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613"/>
        <w:gridCol w:w="4908"/>
        <w:gridCol w:w="2975"/>
      </w:tblGrid>
      <w:tr w:rsidR="00A522EE" w:rsidRPr="00241696" w14:paraId="7DD03148" w14:textId="77777777" w:rsidTr="009A4C9E">
        <w:trPr>
          <w:trHeight w:val="895"/>
          <w:jc w:val="right"/>
        </w:trPr>
        <w:tc>
          <w:tcPr>
            <w:tcW w:w="1613" w:type="dxa"/>
            <w:vMerge w:val="restart"/>
          </w:tcPr>
          <w:p w14:paraId="2B234921" w14:textId="6BF72F43" w:rsidR="00A522EE" w:rsidRPr="00241696" w:rsidRDefault="00A522EE" w:rsidP="00E22E28">
            <w:pPr>
              <w:spacing w:before="40"/>
              <w:rPr>
                <w:rFonts w:ascii="Arial" w:hAnsi="Arial" w:cs="Arial"/>
                <w:b/>
                <w:sz w:val="27"/>
                <w:szCs w:val="27"/>
              </w:rPr>
            </w:pPr>
            <w:r w:rsidRPr="00241696">
              <w:rPr>
                <w:rFonts w:ascii="Arial" w:hAnsi="Arial" w:cs="Arial"/>
                <w:b/>
                <w:bCs/>
                <w:sz w:val="27"/>
                <w:szCs w:val="27"/>
              </w:rPr>
              <w:t>NATIONS UNIES</w:t>
            </w:r>
          </w:p>
        </w:tc>
        <w:tc>
          <w:tcPr>
            <w:tcW w:w="4908" w:type="dxa"/>
            <w:vMerge w:val="restart"/>
          </w:tcPr>
          <w:p w14:paraId="03B93C4D" w14:textId="0EC94425" w:rsidR="00A522EE" w:rsidRPr="00241696" w:rsidRDefault="00827820" w:rsidP="00E22E28">
            <w:pPr>
              <w:spacing w:before="40"/>
              <w:rPr>
                <w:rFonts w:ascii="Arial" w:hAnsi="Arial" w:cs="Arial"/>
                <w:b/>
                <w:sz w:val="22"/>
              </w:rPr>
            </w:pPr>
            <w:r w:rsidRPr="00241696">
              <w:rPr>
                <w:rFonts w:ascii="Arial" w:hAnsi="Arial"/>
                <w:b/>
                <w:caps/>
                <w:sz w:val="27"/>
                <w:szCs w:val="27"/>
              </w:rPr>
              <w:object w:dxaOrig="1560" w:dyaOrig="990" w14:anchorId="6E7EB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53pt" o:ole="" fillcolor="window">
                  <v:imagedata r:id="rId8" o:title=""/>
                </v:shape>
                <o:OLEObject Type="Embed" ProgID="Word.Picture.8" ShapeID="_x0000_i1025" DrawAspect="Content" ObjectID="_1594456962" r:id="rId9"/>
              </w:object>
            </w:r>
          </w:p>
        </w:tc>
        <w:tc>
          <w:tcPr>
            <w:tcW w:w="2975" w:type="dxa"/>
          </w:tcPr>
          <w:p w14:paraId="744B0A1F" w14:textId="77777777" w:rsidR="00A522EE" w:rsidRPr="00241696" w:rsidRDefault="00A522EE" w:rsidP="00C86C90">
            <w:pPr>
              <w:jc w:val="right"/>
              <w:rPr>
                <w:rFonts w:ascii="Arial" w:hAnsi="Arial" w:cs="Arial"/>
                <w:sz w:val="64"/>
                <w:szCs w:val="64"/>
              </w:rPr>
            </w:pPr>
            <w:r w:rsidRPr="00241696">
              <w:rPr>
                <w:rFonts w:ascii="Arial" w:hAnsi="Arial" w:cs="Arial"/>
                <w:b/>
                <w:bCs/>
                <w:sz w:val="64"/>
                <w:szCs w:val="64"/>
              </w:rPr>
              <w:t>SC</w:t>
            </w:r>
          </w:p>
        </w:tc>
      </w:tr>
      <w:tr w:rsidR="00A522EE" w:rsidRPr="00241696" w14:paraId="3E193CB9" w14:textId="77777777" w:rsidTr="009A4C9E">
        <w:trPr>
          <w:trHeight w:val="150"/>
          <w:jc w:val="right"/>
        </w:trPr>
        <w:tc>
          <w:tcPr>
            <w:tcW w:w="1613" w:type="dxa"/>
            <w:vMerge/>
            <w:tcBorders>
              <w:bottom w:val="single" w:sz="4" w:space="0" w:color="auto"/>
            </w:tcBorders>
          </w:tcPr>
          <w:p w14:paraId="36FF9842" w14:textId="77777777" w:rsidR="00A522EE" w:rsidRPr="00241696" w:rsidRDefault="00A522EE" w:rsidP="00C86C90">
            <w:pPr>
              <w:rPr>
                <w:rFonts w:ascii="Arial" w:hAnsi="Arial" w:cs="Arial"/>
                <w:b/>
                <w:sz w:val="22"/>
              </w:rPr>
            </w:pPr>
          </w:p>
        </w:tc>
        <w:tc>
          <w:tcPr>
            <w:tcW w:w="4908" w:type="dxa"/>
            <w:vMerge/>
            <w:tcBorders>
              <w:bottom w:val="single" w:sz="4" w:space="0" w:color="auto"/>
            </w:tcBorders>
          </w:tcPr>
          <w:p w14:paraId="0680F49F" w14:textId="77777777" w:rsidR="00A522EE" w:rsidRPr="00241696" w:rsidRDefault="00A522EE" w:rsidP="00C86C90">
            <w:pPr>
              <w:rPr>
                <w:rFonts w:ascii="Arial" w:hAnsi="Arial" w:cs="Arial"/>
                <w:b/>
                <w:sz w:val="22"/>
              </w:rPr>
            </w:pPr>
          </w:p>
        </w:tc>
        <w:tc>
          <w:tcPr>
            <w:tcW w:w="2975" w:type="dxa"/>
            <w:tcBorders>
              <w:bottom w:val="single" w:sz="4" w:space="0" w:color="auto"/>
            </w:tcBorders>
          </w:tcPr>
          <w:p w14:paraId="1C3526AB" w14:textId="0B53D51B" w:rsidR="00A522EE" w:rsidRPr="00241696" w:rsidRDefault="00A522EE" w:rsidP="004E42EB">
            <w:pPr>
              <w:ind w:left="-59"/>
              <w:rPr>
                <w:sz w:val="22"/>
              </w:rPr>
            </w:pPr>
            <w:r w:rsidRPr="00241696">
              <w:rPr>
                <w:b/>
                <w:sz w:val="28"/>
                <w:szCs w:val="28"/>
              </w:rPr>
              <w:t>UNEP</w:t>
            </w:r>
            <w:r w:rsidRPr="00241696">
              <w:t>/POPS/POPRC.14/</w:t>
            </w:r>
            <w:r w:rsidR="009A4C9E" w:rsidRPr="00241696">
              <w:t>INF/</w:t>
            </w:r>
            <w:r w:rsidRPr="00241696">
              <w:t>1</w:t>
            </w:r>
          </w:p>
        </w:tc>
      </w:tr>
      <w:tr w:rsidR="00A522EE" w:rsidRPr="00241696" w14:paraId="5EE507C7" w14:textId="77777777" w:rsidTr="009A4C9E">
        <w:trPr>
          <w:trHeight w:val="2262"/>
          <w:jc w:val="right"/>
        </w:trPr>
        <w:tc>
          <w:tcPr>
            <w:tcW w:w="1613" w:type="dxa"/>
            <w:tcBorders>
              <w:top w:val="single" w:sz="4" w:space="0" w:color="auto"/>
              <w:bottom w:val="single" w:sz="24" w:space="0" w:color="auto"/>
            </w:tcBorders>
          </w:tcPr>
          <w:p w14:paraId="693B4D70" w14:textId="77777777" w:rsidR="00A522EE" w:rsidRPr="00241696" w:rsidRDefault="00A57744" w:rsidP="00E22E28">
            <w:pPr>
              <w:spacing w:before="800" w:after="240"/>
              <w:ind w:left="-108"/>
              <w:rPr>
                <w:rFonts w:ascii="Arial" w:hAnsi="Arial" w:cs="Arial"/>
                <w:b/>
                <w:sz w:val="24"/>
                <w:szCs w:val="24"/>
              </w:rPr>
            </w:pPr>
            <w:r w:rsidRPr="00241696">
              <w:rPr>
                <w:rFonts w:ascii="Arial" w:hAnsi="Arial" w:cs="Arial"/>
                <w:b/>
                <w:noProof/>
                <w:sz w:val="24"/>
                <w:szCs w:val="24"/>
                <w:lang w:eastAsia="en-GB"/>
              </w:rPr>
              <w:drawing>
                <wp:inline distT="0" distB="0" distL="0" distR="0" wp14:anchorId="3E29ABAA" wp14:editId="5FAB670E">
                  <wp:extent cx="1009015" cy="793750"/>
                  <wp:effectExtent l="0" t="0" r="635" b="6350"/>
                  <wp:docPr id="2" name="Picture 2"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BW NO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015" cy="793750"/>
                          </a:xfrm>
                          <a:prstGeom prst="rect">
                            <a:avLst/>
                          </a:prstGeom>
                          <a:noFill/>
                          <a:ln>
                            <a:noFill/>
                          </a:ln>
                        </pic:spPr>
                      </pic:pic>
                    </a:graphicData>
                  </a:graphic>
                </wp:inline>
              </w:drawing>
            </w:r>
          </w:p>
        </w:tc>
        <w:tc>
          <w:tcPr>
            <w:tcW w:w="4908" w:type="dxa"/>
            <w:tcBorders>
              <w:top w:val="single" w:sz="4" w:space="0" w:color="auto"/>
              <w:bottom w:val="single" w:sz="24" w:space="0" w:color="auto"/>
            </w:tcBorders>
          </w:tcPr>
          <w:p w14:paraId="23169F6D" w14:textId="34A31959" w:rsidR="00A522EE" w:rsidRPr="00241696" w:rsidRDefault="00A522EE" w:rsidP="00D11AF9">
            <w:pPr>
              <w:pStyle w:val="Heading1"/>
              <w:spacing w:before="800" w:after="0"/>
              <w:ind w:left="0" w:firstLine="0"/>
              <w:rPr>
                <w:rFonts w:ascii="Arial" w:hAnsi="Arial" w:cs="Arial"/>
                <w:szCs w:val="28"/>
              </w:rPr>
            </w:pPr>
            <w:r w:rsidRPr="00241696">
              <w:rPr>
                <w:rFonts w:ascii="Arial" w:hAnsi="Arial" w:cs="Arial"/>
              </w:rPr>
              <w:t xml:space="preserve">Convention de Stockholm </w:t>
            </w:r>
            <w:r w:rsidR="00827820" w:rsidRPr="00241696">
              <w:rPr>
                <w:rFonts w:ascii="Arial" w:hAnsi="Arial" w:cs="Arial"/>
              </w:rPr>
              <w:br/>
            </w:r>
            <w:r w:rsidRPr="00241696">
              <w:rPr>
                <w:rFonts w:ascii="Arial" w:hAnsi="Arial" w:cs="Arial"/>
              </w:rPr>
              <w:t>sur les polluants organiques persistants</w:t>
            </w:r>
          </w:p>
        </w:tc>
        <w:tc>
          <w:tcPr>
            <w:tcW w:w="2975" w:type="dxa"/>
            <w:tcBorders>
              <w:top w:val="single" w:sz="4" w:space="0" w:color="auto"/>
              <w:bottom w:val="single" w:sz="24" w:space="0" w:color="auto"/>
            </w:tcBorders>
          </w:tcPr>
          <w:p w14:paraId="35EED4FE" w14:textId="012AAF33" w:rsidR="00A522EE" w:rsidRPr="00241696" w:rsidRDefault="006A7D5F" w:rsidP="00C86C90">
            <w:pPr>
              <w:pStyle w:val="Normal-pool"/>
              <w:spacing w:before="120"/>
              <w:rPr>
                <w:lang w:val="fr-FR"/>
              </w:rPr>
            </w:pPr>
            <w:proofErr w:type="spellStart"/>
            <w:r w:rsidRPr="00241696">
              <w:rPr>
                <w:lang w:val="fr-FR"/>
              </w:rPr>
              <w:t>Distr</w:t>
            </w:r>
            <w:proofErr w:type="spellEnd"/>
            <w:r w:rsidRPr="00241696">
              <w:rPr>
                <w:lang w:val="fr-FR"/>
              </w:rPr>
              <w:t>. </w:t>
            </w:r>
            <w:r w:rsidR="00A522EE" w:rsidRPr="00241696">
              <w:rPr>
                <w:lang w:val="fr-FR"/>
              </w:rPr>
              <w:t>générale</w:t>
            </w:r>
            <w:r w:rsidR="00D927B3" w:rsidRPr="00241696">
              <w:rPr>
                <w:lang w:val="fr-FR"/>
              </w:rPr>
              <w:br/>
            </w:r>
            <w:r w:rsidR="009A4C9E" w:rsidRPr="00241696">
              <w:rPr>
                <w:lang w:val="fr-FR"/>
              </w:rPr>
              <w:t>29 </w:t>
            </w:r>
            <w:r w:rsidR="004A126A" w:rsidRPr="00241696">
              <w:rPr>
                <w:lang w:val="fr-FR"/>
              </w:rPr>
              <w:t>mai </w:t>
            </w:r>
            <w:r w:rsidR="00A522EE" w:rsidRPr="00241696">
              <w:rPr>
                <w:lang w:val="fr-FR"/>
              </w:rPr>
              <w:t>2018</w:t>
            </w:r>
          </w:p>
          <w:p w14:paraId="266DD730" w14:textId="667ADEA6" w:rsidR="00A522EE" w:rsidRPr="00241696" w:rsidRDefault="00591926" w:rsidP="00D927B3">
            <w:pPr>
              <w:pStyle w:val="Normal-pool"/>
              <w:spacing w:before="120"/>
              <w:rPr>
                <w:sz w:val="22"/>
                <w:lang w:val="fr-FR"/>
              </w:rPr>
            </w:pPr>
            <w:r w:rsidRPr="00241696">
              <w:rPr>
                <w:lang w:val="fr-FR"/>
              </w:rPr>
              <w:t>Français</w:t>
            </w:r>
            <w:r w:rsidR="00D927B3" w:rsidRPr="00241696">
              <w:rPr>
                <w:lang w:val="fr-FR"/>
              </w:rPr>
              <w:br/>
            </w:r>
            <w:r w:rsidR="006A7D5F" w:rsidRPr="00241696">
              <w:rPr>
                <w:lang w:val="fr-FR"/>
              </w:rPr>
              <w:t>Original </w:t>
            </w:r>
            <w:r w:rsidR="00A522EE" w:rsidRPr="00241696">
              <w:rPr>
                <w:lang w:val="fr-FR"/>
              </w:rPr>
              <w:t>: anglais</w:t>
            </w:r>
          </w:p>
        </w:tc>
      </w:tr>
    </w:tbl>
    <w:p w14:paraId="44FEA70A" w14:textId="3BFB0FDD" w:rsidR="00D434A2" w:rsidRPr="00241696" w:rsidRDefault="00A522EE" w:rsidP="00827820">
      <w:pPr>
        <w:pStyle w:val="AATitle"/>
        <w:ind w:right="4676"/>
        <w:rPr>
          <w:lang w:val="fr-FR"/>
        </w:rPr>
      </w:pPr>
      <w:r w:rsidRPr="00241696">
        <w:rPr>
          <w:lang w:val="fr-FR"/>
        </w:rPr>
        <w:t>Comité d</w:t>
      </w:r>
      <w:r w:rsidR="000A44E2" w:rsidRPr="00241696">
        <w:rPr>
          <w:lang w:val="fr-FR"/>
        </w:rPr>
        <w:t>’</w:t>
      </w:r>
      <w:r w:rsidRPr="00241696">
        <w:rPr>
          <w:lang w:val="fr-FR"/>
        </w:rPr>
        <w:t>étude des polluants organiques persistants</w:t>
      </w:r>
    </w:p>
    <w:p w14:paraId="1368581A" w14:textId="56F946FD" w:rsidR="001968A8" w:rsidRPr="00241696" w:rsidRDefault="003D56D7" w:rsidP="001968A8">
      <w:pPr>
        <w:pStyle w:val="AATitle"/>
        <w:rPr>
          <w:b w:val="0"/>
          <w:lang w:val="fr-FR"/>
        </w:rPr>
      </w:pPr>
      <w:r w:rsidRPr="00241696">
        <w:rPr>
          <w:bCs/>
          <w:lang w:val="fr-FR"/>
        </w:rPr>
        <w:t>Quatorzième réunion</w:t>
      </w:r>
    </w:p>
    <w:p w14:paraId="2508AC1F" w14:textId="7410A858" w:rsidR="001968A8" w:rsidRPr="00241696" w:rsidRDefault="001968A8" w:rsidP="001968A8">
      <w:pPr>
        <w:pStyle w:val="AATitle"/>
        <w:rPr>
          <w:b w:val="0"/>
          <w:lang w:val="fr-FR"/>
        </w:rPr>
      </w:pPr>
      <w:r w:rsidRPr="00241696">
        <w:rPr>
          <w:b w:val="0"/>
          <w:lang w:val="fr-FR"/>
        </w:rPr>
        <w:t>Rome, 17</w:t>
      </w:r>
      <w:r w:rsidR="001C37F6" w:rsidRPr="00241696">
        <w:rPr>
          <w:b w:val="0"/>
          <w:lang w:val="fr-FR"/>
        </w:rPr>
        <w:t>–</w:t>
      </w:r>
      <w:r w:rsidRPr="00241696">
        <w:rPr>
          <w:b w:val="0"/>
          <w:lang w:val="fr-FR"/>
        </w:rPr>
        <w:t>21</w:t>
      </w:r>
      <w:r w:rsidR="004A126A" w:rsidRPr="00241696">
        <w:rPr>
          <w:b w:val="0"/>
          <w:lang w:val="fr-FR"/>
        </w:rPr>
        <w:t> septembre </w:t>
      </w:r>
      <w:r w:rsidRPr="00241696">
        <w:rPr>
          <w:b w:val="0"/>
          <w:lang w:val="fr-FR"/>
        </w:rPr>
        <w:t>2018</w:t>
      </w:r>
    </w:p>
    <w:p w14:paraId="623934ED" w14:textId="70A3FDD9" w:rsidR="004D06C1" w:rsidRPr="00241696" w:rsidRDefault="004D06C1" w:rsidP="004D06C1">
      <w:pPr>
        <w:pStyle w:val="AATitle"/>
        <w:rPr>
          <w:rFonts w:eastAsia="MS Mincho"/>
          <w:b w:val="0"/>
          <w:lang w:val="fr-FR"/>
        </w:rPr>
      </w:pPr>
      <w:r w:rsidRPr="00241696">
        <w:rPr>
          <w:b w:val="0"/>
          <w:lang w:val="fr-FR"/>
        </w:rPr>
        <w:t>Point 2 b) de l</w:t>
      </w:r>
      <w:r w:rsidR="000A44E2" w:rsidRPr="00241696">
        <w:rPr>
          <w:b w:val="0"/>
          <w:lang w:val="fr-FR"/>
        </w:rPr>
        <w:t>’</w:t>
      </w:r>
      <w:r w:rsidRPr="00241696">
        <w:rPr>
          <w:b w:val="0"/>
          <w:lang w:val="fr-FR"/>
        </w:rPr>
        <w:t>ordre du jour provisoire</w:t>
      </w:r>
      <w:r w:rsidRPr="00241696">
        <w:rPr>
          <w:rFonts w:eastAsia="MS Mincho"/>
          <w:b w:val="0"/>
          <w:szCs w:val="18"/>
          <w:lang w:val="fr-FR" w:eastAsia="ja-JP"/>
        </w:rPr>
        <w:footnoteReference w:customMarkFollows="1" w:id="1"/>
        <w:sym w:font="Symbol" w:char="F02A"/>
      </w:r>
    </w:p>
    <w:p w14:paraId="47B058DD" w14:textId="7DB890DD" w:rsidR="004D06C1" w:rsidRPr="00241696" w:rsidRDefault="004D06C1" w:rsidP="004D06C1">
      <w:pPr>
        <w:pStyle w:val="AATitle2"/>
        <w:rPr>
          <w:rFonts w:eastAsia="MS Mincho"/>
          <w:lang w:val="fr-FR"/>
        </w:rPr>
      </w:pPr>
      <w:r w:rsidRPr="00241696">
        <w:rPr>
          <w:lang w:val="fr-FR"/>
        </w:rPr>
        <w:t>Questions d</w:t>
      </w:r>
      <w:r w:rsidR="000A44E2" w:rsidRPr="00241696">
        <w:rPr>
          <w:lang w:val="fr-FR"/>
        </w:rPr>
        <w:t>’</w:t>
      </w:r>
      <w:r w:rsidRPr="00241696">
        <w:rPr>
          <w:lang w:val="fr-FR"/>
        </w:rPr>
        <w:t>organisation : organisation des travaux</w:t>
      </w:r>
    </w:p>
    <w:p w14:paraId="534DFE49" w14:textId="495C6499" w:rsidR="004D06C1" w:rsidRPr="00241696" w:rsidRDefault="004D06C1" w:rsidP="004D06C1">
      <w:pPr>
        <w:pStyle w:val="BBTitle"/>
        <w:rPr>
          <w:lang w:val="fr-FR"/>
        </w:rPr>
      </w:pPr>
      <w:r w:rsidRPr="00241696">
        <w:rPr>
          <w:lang w:val="fr-FR"/>
        </w:rPr>
        <w:t>Note relative a</w:t>
      </w:r>
      <w:r w:rsidR="000A44E2" w:rsidRPr="00241696">
        <w:rPr>
          <w:lang w:val="fr-FR"/>
        </w:rPr>
        <w:t>u déroulement de la quatorzième </w:t>
      </w:r>
      <w:r w:rsidRPr="00241696">
        <w:rPr>
          <w:lang w:val="fr-FR"/>
        </w:rPr>
        <w:t>réunion du</w:t>
      </w:r>
      <w:r w:rsidR="000A44E2" w:rsidRPr="00241696">
        <w:rPr>
          <w:lang w:val="fr-FR"/>
        </w:rPr>
        <w:t> </w:t>
      </w:r>
      <w:r w:rsidRPr="00241696">
        <w:rPr>
          <w:lang w:val="fr-FR"/>
        </w:rPr>
        <w:t>Comité d</w:t>
      </w:r>
      <w:r w:rsidR="000A44E2" w:rsidRPr="00241696">
        <w:rPr>
          <w:lang w:val="fr-FR"/>
        </w:rPr>
        <w:t>’</w:t>
      </w:r>
      <w:r w:rsidRPr="00241696">
        <w:rPr>
          <w:lang w:val="fr-FR"/>
        </w:rPr>
        <w:t>étude des polluants organiques persistants</w:t>
      </w:r>
    </w:p>
    <w:p w14:paraId="722114DA" w14:textId="77777777" w:rsidR="004D06C1" w:rsidRPr="00241696" w:rsidRDefault="004D06C1" w:rsidP="004D06C1">
      <w:pPr>
        <w:pStyle w:val="CH2"/>
        <w:rPr>
          <w:rFonts w:eastAsia="MS Mincho"/>
          <w:lang w:val="fr-FR"/>
        </w:rPr>
      </w:pPr>
      <w:r w:rsidRPr="00241696">
        <w:rPr>
          <w:lang w:val="fr-FR"/>
        </w:rPr>
        <w:tab/>
      </w:r>
      <w:r w:rsidRPr="00241696">
        <w:rPr>
          <w:lang w:val="fr-FR"/>
        </w:rPr>
        <w:tab/>
        <w:t>Note du Secrétariat</w:t>
      </w:r>
    </w:p>
    <w:p w14:paraId="7A29E355" w14:textId="75239597" w:rsidR="004D06C1" w:rsidRPr="00241696" w:rsidRDefault="004D06C1" w:rsidP="004D06C1">
      <w:pPr>
        <w:pStyle w:val="Normal-pool"/>
        <w:tabs>
          <w:tab w:val="clear" w:pos="1247"/>
          <w:tab w:val="clear" w:pos="1814"/>
          <w:tab w:val="clear" w:pos="2381"/>
          <w:tab w:val="clear" w:pos="2948"/>
          <w:tab w:val="clear" w:pos="3515"/>
          <w:tab w:val="clear" w:pos="4082"/>
          <w:tab w:val="left" w:pos="624"/>
        </w:tabs>
        <w:spacing w:after="120"/>
        <w:ind w:left="1247" w:firstLine="624"/>
        <w:rPr>
          <w:rFonts w:eastAsia="MS Mincho"/>
          <w:lang w:val="fr-FR"/>
        </w:rPr>
      </w:pPr>
      <w:r w:rsidRPr="00241696">
        <w:rPr>
          <w:lang w:val="fr-FR"/>
        </w:rPr>
        <w:t>Une note établie par la Présidente du Comité d</w:t>
      </w:r>
      <w:r w:rsidR="000A44E2" w:rsidRPr="00241696">
        <w:rPr>
          <w:lang w:val="fr-FR"/>
        </w:rPr>
        <w:t>’</w:t>
      </w:r>
      <w:r w:rsidRPr="00241696">
        <w:rPr>
          <w:lang w:val="fr-FR"/>
        </w:rPr>
        <w:t xml:space="preserve">étude des polluants organiques persistants, Mme </w:t>
      </w:r>
      <w:proofErr w:type="spellStart"/>
      <w:r w:rsidRPr="00241696">
        <w:rPr>
          <w:lang w:val="fr-FR"/>
        </w:rPr>
        <w:t>Estefania</w:t>
      </w:r>
      <w:proofErr w:type="spellEnd"/>
      <w:r w:rsidRPr="00241696">
        <w:rPr>
          <w:lang w:val="fr-FR"/>
        </w:rPr>
        <w:t xml:space="preserve"> Moreira (Brésil), pour aider les participants à se préparer en vue de la quatorzième</w:t>
      </w:r>
      <w:r w:rsidR="000A44E2" w:rsidRPr="00241696">
        <w:rPr>
          <w:lang w:val="fr-FR"/>
        </w:rPr>
        <w:t> </w:t>
      </w:r>
      <w:r w:rsidRPr="00241696">
        <w:rPr>
          <w:lang w:val="fr-FR"/>
        </w:rPr>
        <w:t>réunion du Comité figure dans l</w:t>
      </w:r>
      <w:r w:rsidR="000A44E2" w:rsidRPr="00241696">
        <w:rPr>
          <w:lang w:val="fr-FR"/>
        </w:rPr>
        <w:t>’</w:t>
      </w:r>
      <w:r w:rsidRPr="00241696">
        <w:rPr>
          <w:lang w:val="fr-FR"/>
        </w:rPr>
        <w:t>annexe de la présente note.</w:t>
      </w:r>
    </w:p>
    <w:p w14:paraId="3EA31436" w14:textId="77777777" w:rsidR="009A4C9E" w:rsidRPr="00241696" w:rsidRDefault="009A4C9E">
      <w:pPr>
        <w:tabs>
          <w:tab w:val="clear" w:pos="1247"/>
          <w:tab w:val="clear" w:pos="1814"/>
          <w:tab w:val="clear" w:pos="2381"/>
          <w:tab w:val="clear" w:pos="2948"/>
          <w:tab w:val="clear" w:pos="3515"/>
        </w:tabs>
        <w:rPr>
          <w:b/>
          <w:bCs/>
          <w:sz w:val="28"/>
          <w:szCs w:val="22"/>
        </w:rPr>
      </w:pPr>
      <w:r w:rsidRPr="00241696">
        <w:br w:type="page"/>
      </w:r>
    </w:p>
    <w:p w14:paraId="340322B3" w14:textId="51582C29" w:rsidR="004D06C1" w:rsidRPr="00241696" w:rsidRDefault="004D06C1" w:rsidP="004D06C1">
      <w:pPr>
        <w:pStyle w:val="ZZAnxheader"/>
        <w:rPr>
          <w:rFonts w:eastAsia="MS Mincho"/>
          <w:lang w:val="fr-FR"/>
        </w:rPr>
      </w:pPr>
      <w:r w:rsidRPr="00241696">
        <w:rPr>
          <w:lang w:val="fr-FR"/>
        </w:rPr>
        <w:lastRenderedPageBreak/>
        <w:t>Annexe</w:t>
      </w:r>
    </w:p>
    <w:p w14:paraId="7756F960" w14:textId="38C30A88" w:rsidR="004D06C1" w:rsidRPr="00241696" w:rsidRDefault="004D06C1" w:rsidP="004D06C1">
      <w:pPr>
        <w:pStyle w:val="ZZAnxtitle"/>
        <w:rPr>
          <w:lang w:val="fr-FR"/>
        </w:rPr>
      </w:pPr>
      <w:r w:rsidRPr="00241696">
        <w:rPr>
          <w:lang w:val="fr-FR"/>
        </w:rPr>
        <w:t>Note relative a</w:t>
      </w:r>
      <w:r w:rsidR="000A44E2" w:rsidRPr="00241696">
        <w:rPr>
          <w:lang w:val="fr-FR"/>
        </w:rPr>
        <w:t>u déroulement de la quatorzième </w:t>
      </w:r>
      <w:r w:rsidRPr="00241696">
        <w:rPr>
          <w:lang w:val="fr-FR"/>
        </w:rPr>
        <w:t>réunion du Comité d</w:t>
      </w:r>
      <w:r w:rsidR="000A44E2" w:rsidRPr="00241696">
        <w:rPr>
          <w:lang w:val="fr-FR"/>
        </w:rPr>
        <w:t>’</w:t>
      </w:r>
      <w:r w:rsidRPr="00241696">
        <w:rPr>
          <w:lang w:val="fr-FR"/>
        </w:rPr>
        <w:t>étude des polluants organiques persistants</w:t>
      </w:r>
    </w:p>
    <w:p w14:paraId="5EA9DB99" w14:textId="07457F9A"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La présente note est destinée à aider les participants à se préparer en vue de la quatorzième</w:t>
      </w:r>
      <w:r w:rsidR="000A44E2" w:rsidRPr="00241696">
        <w:rPr>
          <w:lang w:val="fr-FR"/>
        </w:rPr>
        <w:t> </w:t>
      </w:r>
      <w:r w:rsidRPr="00241696">
        <w:rPr>
          <w:lang w:val="fr-FR"/>
        </w:rPr>
        <w:t>réunion du Comité d</w:t>
      </w:r>
      <w:r w:rsidR="000A44E2" w:rsidRPr="00241696">
        <w:rPr>
          <w:lang w:val="fr-FR"/>
        </w:rPr>
        <w:t>’</w:t>
      </w:r>
      <w:r w:rsidRPr="00241696">
        <w:rPr>
          <w:lang w:val="fr-FR"/>
        </w:rPr>
        <w:t>étude des polluants organiques persistants.</w:t>
      </w:r>
    </w:p>
    <w:p w14:paraId="355A6303" w14:textId="77777777"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Les documents de session ont été publiés sur le site Web de la Convention de Stockholm sur les polluants organiques persistants (www.pops.int/poprc14) et mis à la disposition du Comité.</w:t>
      </w:r>
    </w:p>
    <w:p w14:paraId="6795292D" w14:textId="16A2A207" w:rsidR="004D06C1" w:rsidRPr="00241696" w:rsidRDefault="004D06C1" w:rsidP="009A4C9E">
      <w:pPr>
        <w:pStyle w:val="CH2"/>
        <w:numPr>
          <w:ilvl w:val="0"/>
          <w:numId w:val="15"/>
        </w:numPr>
        <w:tabs>
          <w:tab w:val="clear" w:pos="851"/>
        </w:tabs>
        <w:ind w:left="567" w:firstLine="0"/>
        <w:rPr>
          <w:rFonts w:eastAsia="MS Mincho"/>
          <w:lang w:val="fr-FR"/>
        </w:rPr>
      </w:pPr>
      <w:r w:rsidRPr="00241696">
        <w:rPr>
          <w:lang w:val="fr-FR"/>
        </w:rPr>
        <w:t>Objectifs et résultats attendus de la réunion</w:t>
      </w:r>
    </w:p>
    <w:p w14:paraId="6059A14D" w14:textId="40C386EC"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L</w:t>
      </w:r>
      <w:r w:rsidR="000A44E2" w:rsidRPr="00241696">
        <w:rPr>
          <w:lang w:val="fr-FR"/>
        </w:rPr>
        <w:t>’objectif premier </w:t>
      </w:r>
      <w:r w:rsidRPr="00241696">
        <w:rPr>
          <w:lang w:val="fr-FR"/>
        </w:rPr>
        <w:t>de la réunion est de s</w:t>
      </w:r>
      <w:r w:rsidR="000A44E2" w:rsidRPr="00241696">
        <w:rPr>
          <w:lang w:val="fr-FR"/>
        </w:rPr>
        <w:t>’</w:t>
      </w:r>
      <w:r w:rsidRPr="00241696">
        <w:rPr>
          <w:lang w:val="fr-FR"/>
        </w:rPr>
        <w:t>assurer que le Comité s</w:t>
      </w:r>
      <w:r w:rsidR="000A44E2" w:rsidRPr="00241696">
        <w:rPr>
          <w:lang w:val="fr-FR"/>
        </w:rPr>
        <w:t>’</w:t>
      </w:r>
      <w:r w:rsidRPr="00241696">
        <w:rPr>
          <w:lang w:val="fr-FR"/>
        </w:rPr>
        <w:t>acquitte des tâches qui lui incombent au titre de la Convention. À cette fin, le Comité pourra :</w:t>
      </w:r>
    </w:p>
    <w:p w14:paraId="698DEDC6" w14:textId="0A0CAC9F" w:rsidR="004D06C1" w:rsidRPr="00241696" w:rsidRDefault="004D06C1" w:rsidP="004D06C1">
      <w:pPr>
        <w:pStyle w:val="Normalnumber"/>
        <w:numPr>
          <w:ilvl w:val="1"/>
          <w:numId w:val="8"/>
        </w:numPr>
        <w:tabs>
          <w:tab w:val="clear" w:pos="624"/>
        </w:tabs>
        <w:ind w:firstLine="624"/>
        <w:rPr>
          <w:rFonts w:eastAsia="Calibri"/>
          <w:lang w:val="fr-FR"/>
        </w:rPr>
      </w:pPr>
      <w:bookmarkStart w:id="0" w:name="OLE_LINK1"/>
      <w:r w:rsidRPr="00241696">
        <w:rPr>
          <w:lang w:val="fr-FR"/>
        </w:rPr>
        <w:t>Pour ce qui est du projet de descriptif des risques concernant l</w:t>
      </w:r>
      <w:r w:rsidR="000A44E2" w:rsidRPr="00241696">
        <w:rPr>
          <w:lang w:val="fr-FR"/>
        </w:rPr>
        <w:t>’</w:t>
      </w:r>
      <w:r w:rsidRPr="00241696">
        <w:rPr>
          <w:lang w:val="fr-FR"/>
        </w:rPr>
        <w:t xml:space="preserve">acide </w:t>
      </w:r>
      <w:proofErr w:type="spellStart"/>
      <w:r w:rsidRPr="00241696">
        <w:rPr>
          <w:lang w:val="fr-FR"/>
        </w:rPr>
        <w:t>perfluorohexane</w:t>
      </w:r>
      <w:proofErr w:type="spellEnd"/>
      <w:r w:rsidRPr="00241696">
        <w:rPr>
          <w:lang w:val="fr-FR"/>
        </w:rPr>
        <w:t xml:space="preserve"> sulfonique (n° CAS : 355-46-4, </w:t>
      </w:r>
      <w:proofErr w:type="spellStart"/>
      <w:r w:rsidRPr="00241696">
        <w:rPr>
          <w:lang w:val="fr-FR"/>
        </w:rPr>
        <w:t>PFHxS</w:t>
      </w:r>
      <w:proofErr w:type="spellEnd"/>
      <w:r w:rsidRPr="00241696">
        <w:rPr>
          <w:lang w:val="fr-FR"/>
        </w:rPr>
        <w:t>), ses sels et les composés apparentés établi par le groupe de travail intersessions qu</w:t>
      </w:r>
      <w:r w:rsidR="000A44E2" w:rsidRPr="00241696">
        <w:rPr>
          <w:lang w:val="fr-FR"/>
        </w:rPr>
        <w:t>’</w:t>
      </w:r>
      <w:r w:rsidRPr="00241696">
        <w:rPr>
          <w:lang w:val="fr-FR"/>
        </w:rPr>
        <w:t>il a créé :</w:t>
      </w:r>
    </w:p>
    <w:p w14:paraId="04E7A6DD" w14:textId="7898B2B4" w:rsidR="004D06C1" w:rsidRPr="00241696" w:rsidRDefault="004D06C1" w:rsidP="009A4C9E">
      <w:pPr>
        <w:pStyle w:val="Normalnumber"/>
        <w:numPr>
          <w:ilvl w:val="2"/>
          <w:numId w:val="13"/>
        </w:numPr>
        <w:tabs>
          <w:tab w:val="num" w:pos="624"/>
        </w:tabs>
        <w:ind w:left="3192" w:hanging="714"/>
        <w:rPr>
          <w:rFonts w:eastAsia="Calibri"/>
          <w:lang w:val="fr-FR"/>
        </w:rPr>
      </w:pPr>
      <w:r w:rsidRPr="00241696">
        <w:rPr>
          <w:lang w:val="fr-FR"/>
        </w:rPr>
        <w:t>Adopter le descriptif des risques après y avoir apporté d</w:t>
      </w:r>
      <w:r w:rsidR="000A44E2" w:rsidRPr="00241696">
        <w:rPr>
          <w:lang w:val="fr-FR"/>
        </w:rPr>
        <w:t>’</w:t>
      </w:r>
      <w:r w:rsidRPr="00241696">
        <w:rPr>
          <w:lang w:val="fr-FR"/>
        </w:rPr>
        <w:t>éventuels amendements ;</w:t>
      </w:r>
    </w:p>
    <w:p w14:paraId="45F92F45" w14:textId="51B2C284" w:rsidR="004D06C1" w:rsidRPr="00241696" w:rsidRDefault="004D06C1" w:rsidP="009A4C9E">
      <w:pPr>
        <w:pStyle w:val="Normalnumber"/>
        <w:numPr>
          <w:ilvl w:val="2"/>
          <w:numId w:val="13"/>
        </w:numPr>
        <w:tabs>
          <w:tab w:val="num" w:pos="624"/>
        </w:tabs>
        <w:ind w:left="3192" w:hanging="714"/>
        <w:rPr>
          <w:rFonts w:eastAsia="Calibri"/>
          <w:lang w:val="fr-FR"/>
        </w:rPr>
      </w:pPr>
      <w:r w:rsidRPr="00241696">
        <w:rPr>
          <w:lang w:val="fr-FR"/>
        </w:rPr>
        <w:t>Déterminer, conformément au paragraphe</w:t>
      </w:r>
      <w:r w:rsidR="000A44E2" w:rsidRPr="00241696">
        <w:rPr>
          <w:lang w:val="fr-FR"/>
        </w:rPr>
        <w:t> </w:t>
      </w:r>
      <w:r w:rsidRPr="00241696">
        <w:rPr>
          <w:lang w:val="fr-FR"/>
        </w:rPr>
        <w:t>7 de l</w:t>
      </w:r>
      <w:r w:rsidR="000A44E2" w:rsidRPr="00241696">
        <w:rPr>
          <w:lang w:val="fr-FR"/>
        </w:rPr>
        <w:t>’</w:t>
      </w:r>
      <w:r w:rsidRPr="00241696">
        <w:rPr>
          <w:lang w:val="fr-FR"/>
        </w:rPr>
        <w:t>article</w:t>
      </w:r>
      <w:r w:rsidR="000A44E2" w:rsidRPr="00241696">
        <w:rPr>
          <w:lang w:val="fr-FR"/>
        </w:rPr>
        <w:t> </w:t>
      </w:r>
      <w:r w:rsidRPr="00241696">
        <w:rPr>
          <w:lang w:val="fr-FR"/>
        </w:rPr>
        <w:t>8 de la Convention et sur la base du descriptif des risques, si les produits considérés sont susceptibles, du fait de leur propagation à longue distance dans l</w:t>
      </w:r>
      <w:r w:rsidR="000A44E2" w:rsidRPr="00241696">
        <w:rPr>
          <w:lang w:val="fr-FR"/>
        </w:rPr>
        <w:t>’</w:t>
      </w:r>
      <w:r w:rsidRPr="00241696">
        <w:rPr>
          <w:lang w:val="fr-FR"/>
        </w:rPr>
        <w:t>environnement, d</w:t>
      </w:r>
      <w:r w:rsidR="000A44E2" w:rsidRPr="00241696">
        <w:rPr>
          <w:lang w:val="fr-FR"/>
        </w:rPr>
        <w:t>’</w:t>
      </w:r>
      <w:r w:rsidRPr="00241696">
        <w:rPr>
          <w:lang w:val="fr-FR"/>
        </w:rPr>
        <w:t>avoir des effets nocifs importants sur la santé humaine et/ou l</w:t>
      </w:r>
      <w:r w:rsidR="000A44E2" w:rsidRPr="00241696">
        <w:rPr>
          <w:lang w:val="fr-FR"/>
        </w:rPr>
        <w:t>’</w:t>
      </w:r>
      <w:r w:rsidRPr="00241696">
        <w:rPr>
          <w:lang w:val="fr-FR"/>
        </w:rPr>
        <w:t>environnement justifiant l</w:t>
      </w:r>
      <w:r w:rsidR="000A44E2" w:rsidRPr="00241696">
        <w:rPr>
          <w:lang w:val="fr-FR"/>
        </w:rPr>
        <w:t>’</w:t>
      </w:r>
      <w:r w:rsidRPr="00241696">
        <w:rPr>
          <w:lang w:val="fr-FR"/>
        </w:rPr>
        <w:t>adoption de mesures au niveau mondial, et s</w:t>
      </w:r>
      <w:r w:rsidR="000A44E2" w:rsidRPr="00241696">
        <w:rPr>
          <w:lang w:val="fr-FR"/>
        </w:rPr>
        <w:t>’</w:t>
      </w:r>
      <w:r w:rsidRPr="00241696">
        <w:rPr>
          <w:lang w:val="fr-FR"/>
        </w:rPr>
        <w:t>il faut donner suite à la proposition ;</w:t>
      </w:r>
    </w:p>
    <w:p w14:paraId="039752BF" w14:textId="33C3E736" w:rsidR="004D06C1" w:rsidRPr="00241696" w:rsidRDefault="004D06C1" w:rsidP="004D06C1">
      <w:pPr>
        <w:pStyle w:val="Normalnumber"/>
        <w:numPr>
          <w:ilvl w:val="1"/>
          <w:numId w:val="8"/>
        </w:numPr>
        <w:tabs>
          <w:tab w:val="clear" w:pos="624"/>
        </w:tabs>
        <w:ind w:firstLine="624"/>
        <w:rPr>
          <w:rFonts w:eastAsia="Calibri"/>
          <w:lang w:val="fr-FR"/>
        </w:rPr>
      </w:pPr>
      <w:r w:rsidRPr="00241696">
        <w:rPr>
          <w:lang w:val="fr-FR"/>
        </w:rPr>
        <w:t>Pour ce qui est de l</w:t>
      </w:r>
      <w:r w:rsidR="000A44E2" w:rsidRPr="00241696">
        <w:rPr>
          <w:lang w:val="fr-FR"/>
        </w:rPr>
        <w:t>’</w:t>
      </w:r>
      <w:r w:rsidRPr="00241696">
        <w:rPr>
          <w:lang w:val="fr-FR"/>
        </w:rPr>
        <w:t xml:space="preserve">acide </w:t>
      </w:r>
      <w:proofErr w:type="spellStart"/>
      <w:r w:rsidRPr="00241696">
        <w:rPr>
          <w:lang w:val="fr-FR"/>
        </w:rPr>
        <w:t>pentadécafluorooctanoïque</w:t>
      </w:r>
      <w:proofErr w:type="spellEnd"/>
      <w:r w:rsidRPr="00241696">
        <w:rPr>
          <w:lang w:val="fr-FR"/>
        </w:rPr>
        <w:t xml:space="preserve"> (n° CAS 335-67-1, acide </w:t>
      </w:r>
      <w:proofErr w:type="spellStart"/>
      <w:r w:rsidRPr="00241696">
        <w:rPr>
          <w:lang w:val="fr-FR"/>
        </w:rPr>
        <w:t>perfluorooctanoïque</w:t>
      </w:r>
      <w:proofErr w:type="spellEnd"/>
      <w:r w:rsidRPr="00241696">
        <w:rPr>
          <w:lang w:val="fr-FR"/>
        </w:rPr>
        <w:t xml:space="preserve"> (APFO)), de ses sels et des composés apparentés :</w:t>
      </w:r>
    </w:p>
    <w:p w14:paraId="5F4E1358" w14:textId="30882D56" w:rsidR="004D06C1" w:rsidRPr="00241696" w:rsidRDefault="004D06C1" w:rsidP="009A4C9E">
      <w:pPr>
        <w:pStyle w:val="Normalnumber"/>
        <w:numPr>
          <w:ilvl w:val="2"/>
          <w:numId w:val="8"/>
        </w:numPr>
        <w:tabs>
          <w:tab w:val="num" w:pos="624"/>
        </w:tabs>
        <w:ind w:left="3206" w:hanging="700"/>
        <w:rPr>
          <w:rFonts w:eastAsia="Calibri"/>
          <w:lang w:val="fr-FR"/>
        </w:rPr>
      </w:pPr>
      <w:r w:rsidRPr="00241696">
        <w:rPr>
          <w:lang w:val="fr-FR"/>
        </w:rPr>
        <w:t>Examiner le projet d</w:t>
      </w:r>
      <w:r w:rsidR="000A44E2" w:rsidRPr="00241696">
        <w:rPr>
          <w:lang w:val="fr-FR"/>
        </w:rPr>
        <w:t>’</w:t>
      </w:r>
      <w:r w:rsidRPr="00241696">
        <w:rPr>
          <w:lang w:val="fr-FR"/>
        </w:rPr>
        <w:t>évaluation des informations sur l</w:t>
      </w:r>
      <w:r w:rsidR="000A44E2" w:rsidRPr="00241696">
        <w:rPr>
          <w:lang w:val="fr-FR"/>
        </w:rPr>
        <w:t>’</w:t>
      </w:r>
      <w:r w:rsidRPr="00241696">
        <w:rPr>
          <w:lang w:val="fr-FR"/>
        </w:rPr>
        <w:t>APFO, ses sels et les composés apparentés et envisager de l</w:t>
      </w:r>
      <w:r w:rsidR="000A44E2" w:rsidRPr="00241696">
        <w:rPr>
          <w:lang w:val="fr-FR"/>
        </w:rPr>
        <w:t>’</w:t>
      </w:r>
      <w:r w:rsidRPr="00241696">
        <w:rPr>
          <w:lang w:val="fr-FR"/>
        </w:rPr>
        <w:t>inclure dans un additif à l</w:t>
      </w:r>
      <w:r w:rsidR="000A44E2" w:rsidRPr="00241696">
        <w:rPr>
          <w:lang w:val="fr-FR"/>
        </w:rPr>
        <w:t>’</w:t>
      </w:r>
      <w:r w:rsidRPr="00241696">
        <w:rPr>
          <w:lang w:val="fr-FR"/>
        </w:rPr>
        <w:t>évaluation de la gestion des risques concernant ces substances chimiques qu</w:t>
      </w:r>
      <w:r w:rsidR="000A44E2" w:rsidRPr="00241696">
        <w:rPr>
          <w:lang w:val="fr-FR"/>
        </w:rPr>
        <w:t>’</w:t>
      </w:r>
      <w:r w:rsidRPr="00241696">
        <w:rPr>
          <w:lang w:val="fr-FR"/>
        </w:rPr>
        <w:t>il a adoptée à sa treizième réunion ;</w:t>
      </w:r>
    </w:p>
    <w:p w14:paraId="51490C61" w14:textId="22634782" w:rsidR="004D06C1" w:rsidRPr="00241696" w:rsidRDefault="004D06C1" w:rsidP="009A4C9E">
      <w:pPr>
        <w:pStyle w:val="Normalnumber"/>
        <w:numPr>
          <w:ilvl w:val="2"/>
          <w:numId w:val="8"/>
        </w:numPr>
        <w:tabs>
          <w:tab w:val="num" w:pos="624"/>
        </w:tabs>
        <w:ind w:left="3206" w:hanging="700"/>
        <w:rPr>
          <w:rFonts w:eastAsia="Calibri"/>
          <w:lang w:val="fr-FR"/>
        </w:rPr>
      </w:pPr>
      <w:r w:rsidRPr="00241696">
        <w:rPr>
          <w:lang w:val="fr-FR"/>
        </w:rPr>
        <w:t>Envisager de recommander plus vigoureusement à la Conférence des Parties de procéder à l</w:t>
      </w:r>
      <w:r w:rsidR="000A44E2" w:rsidRPr="00241696">
        <w:rPr>
          <w:lang w:val="fr-FR"/>
        </w:rPr>
        <w:t>’</w:t>
      </w:r>
      <w:r w:rsidRPr="00241696">
        <w:rPr>
          <w:lang w:val="fr-FR"/>
        </w:rPr>
        <w:t>inscription de l</w:t>
      </w:r>
      <w:r w:rsidR="000A44E2" w:rsidRPr="00241696">
        <w:rPr>
          <w:lang w:val="fr-FR"/>
        </w:rPr>
        <w:t>’</w:t>
      </w:r>
      <w:r w:rsidRPr="00241696">
        <w:rPr>
          <w:lang w:val="fr-FR"/>
        </w:rPr>
        <w:t>APFO, de ses sels et des composés apparentés.</w:t>
      </w:r>
    </w:p>
    <w:bookmarkEnd w:id="0"/>
    <w:p w14:paraId="7A6CD747" w14:textId="43AB6589"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Les participants devraient prendre note du fait que toute nouvelle information sur les substances chimiques considérées qu</w:t>
      </w:r>
      <w:r w:rsidR="000A44E2" w:rsidRPr="00241696">
        <w:rPr>
          <w:lang w:val="fr-FR"/>
        </w:rPr>
        <w:t>’</w:t>
      </w:r>
      <w:r w:rsidRPr="00241696">
        <w:rPr>
          <w:lang w:val="fr-FR"/>
        </w:rPr>
        <w:t>ils souhaiteraient porter à l</w:t>
      </w:r>
      <w:r w:rsidR="000A44E2" w:rsidRPr="00241696">
        <w:rPr>
          <w:lang w:val="fr-FR"/>
        </w:rPr>
        <w:t>’</w:t>
      </w:r>
      <w:r w:rsidRPr="00241696">
        <w:rPr>
          <w:lang w:val="fr-FR"/>
        </w:rPr>
        <w:t>attention du Comité ne pourra être examinée pendant la réunion que si les documents contenant l</w:t>
      </w:r>
      <w:r w:rsidR="000A44E2" w:rsidRPr="00241696">
        <w:rPr>
          <w:lang w:val="fr-FR"/>
        </w:rPr>
        <w:t>’</w:t>
      </w:r>
      <w:r w:rsidRPr="00241696">
        <w:rPr>
          <w:lang w:val="fr-FR"/>
        </w:rPr>
        <w:t>information en question, y compris leurs références, sont distribués dans leur intégralité à tous les membres du Comité.</w:t>
      </w:r>
    </w:p>
    <w:p w14:paraId="3C8BAA2A" w14:textId="46411779"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Le deuxième</w:t>
      </w:r>
      <w:r w:rsidR="000A44E2" w:rsidRPr="00241696">
        <w:rPr>
          <w:lang w:val="fr-FR"/>
        </w:rPr>
        <w:t> </w:t>
      </w:r>
      <w:r w:rsidRPr="00241696">
        <w:rPr>
          <w:lang w:val="fr-FR"/>
        </w:rPr>
        <w:t>objectif de la réunion est de s</w:t>
      </w:r>
      <w:r w:rsidR="000A44E2" w:rsidRPr="00241696">
        <w:rPr>
          <w:lang w:val="fr-FR"/>
        </w:rPr>
        <w:t>’</w:t>
      </w:r>
      <w:r w:rsidRPr="00241696">
        <w:rPr>
          <w:lang w:val="fr-FR"/>
        </w:rPr>
        <w:t>assurer que le Comité s</w:t>
      </w:r>
      <w:r w:rsidR="000A44E2" w:rsidRPr="00241696">
        <w:rPr>
          <w:lang w:val="fr-FR"/>
        </w:rPr>
        <w:t>’</w:t>
      </w:r>
      <w:r w:rsidRPr="00241696">
        <w:rPr>
          <w:lang w:val="fr-FR"/>
        </w:rPr>
        <w:t>acquitte des tâches qui lui ont été confiées par la Conférence des Parties et d</w:t>
      </w:r>
      <w:r w:rsidR="000A44E2" w:rsidRPr="00241696">
        <w:rPr>
          <w:lang w:val="fr-FR"/>
        </w:rPr>
        <w:t>’</w:t>
      </w:r>
      <w:r w:rsidRPr="00241696">
        <w:rPr>
          <w:lang w:val="fr-FR"/>
        </w:rPr>
        <w:t>examiner les questions relatives au bon fonctionnement du Comité. À cette fin, le Comité pourra :</w:t>
      </w:r>
    </w:p>
    <w:p w14:paraId="550BF256" w14:textId="41E4153B" w:rsidR="004D06C1" w:rsidRPr="00241696" w:rsidRDefault="004D06C1" w:rsidP="004D06C1">
      <w:pPr>
        <w:pStyle w:val="Normalnumber"/>
        <w:numPr>
          <w:ilvl w:val="1"/>
          <w:numId w:val="9"/>
        </w:numPr>
        <w:tabs>
          <w:tab w:val="clear" w:pos="567"/>
          <w:tab w:val="num" w:pos="624"/>
        </w:tabs>
        <w:ind w:firstLine="624"/>
        <w:rPr>
          <w:rFonts w:eastAsia="Calibri"/>
          <w:lang w:val="fr-FR"/>
        </w:rPr>
      </w:pPr>
      <w:r w:rsidRPr="00241696">
        <w:rPr>
          <w:lang w:val="fr-FR"/>
        </w:rPr>
        <w:t>Se réunir à huis clos avant le début de la réunion pour examiner toute question afférente à des conflits d</w:t>
      </w:r>
      <w:r w:rsidR="000A44E2" w:rsidRPr="00241696">
        <w:rPr>
          <w:lang w:val="fr-FR"/>
        </w:rPr>
        <w:t>’</w:t>
      </w:r>
      <w:r w:rsidRPr="00241696">
        <w:rPr>
          <w:lang w:val="fr-FR"/>
        </w:rPr>
        <w:t>intérêts mettant en cause ses membres ;</w:t>
      </w:r>
    </w:p>
    <w:p w14:paraId="465CA85B" w14:textId="75E80CAF" w:rsidR="004D06C1" w:rsidRPr="00241696" w:rsidRDefault="004D06C1" w:rsidP="004D06C1">
      <w:pPr>
        <w:pStyle w:val="Normalnumber"/>
        <w:numPr>
          <w:ilvl w:val="1"/>
          <w:numId w:val="9"/>
        </w:numPr>
        <w:tabs>
          <w:tab w:val="clear" w:pos="567"/>
          <w:tab w:val="num" w:pos="624"/>
        </w:tabs>
        <w:ind w:firstLine="624"/>
        <w:rPr>
          <w:rFonts w:eastAsia="Calibri"/>
          <w:lang w:val="fr-FR"/>
        </w:rPr>
      </w:pPr>
      <w:r w:rsidRPr="00241696">
        <w:rPr>
          <w:lang w:val="fr-FR"/>
        </w:rPr>
        <w:t>Pour ce qui est de l</w:t>
      </w:r>
      <w:r w:rsidR="000A44E2" w:rsidRPr="00241696">
        <w:rPr>
          <w:lang w:val="fr-FR"/>
        </w:rPr>
        <w:t>’</w:t>
      </w:r>
      <w:r w:rsidRPr="00241696">
        <w:rPr>
          <w:lang w:val="fr-FR"/>
        </w:rPr>
        <w:t xml:space="preserve">acide </w:t>
      </w:r>
      <w:proofErr w:type="spellStart"/>
      <w:r w:rsidRPr="00241696">
        <w:rPr>
          <w:lang w:val="fr-FR"/>
        </w:rPr>
        <w:t>perfluorooctane</w:t>
      </w:r>
      <w:proofErr w:type="spellEnd"/>
      <w:r w:rsidRPr="00241696">
        <w:rPr>
          <w:lang w:val="fr-FR"/>
        </w:rPr>
        <w:t xml:space="preserve"> sulfonique (SPFO), de ses sels et du fluorure de </w:t>
      </w:r>
      <w:proofErr w:type="spellStart"/>
      <w:r w:rsidRPr="00241696">
        <w:rPr>
          <w:lang w:val="fr-FR"/>
        </w:rPr>
        <w:t>perfluorooctane</w:t>
      </w:r>
      <w:proofErr w:type="spellEnd"/>
      <w:r w:rsidRPr="00241696">
        <w:rPr>
          <w:lang w:val="fr-FR"/>
        </w:rPr>
        <w:t xml:space="preserve"> sulfonyle (FSPFO) :</w:t>
      </w:r>
    </w:p>
    <w:p w14:paraId="6BB3801A" w14:textId="21109A83" w:rsidR="004D06C1" w:rsidRPr="00241696" w:rsidRDefault="004D06C1" w:rsidP="000A44E2">
      <w:pPr>
        <w:pStyle w:val="Normalnumber"/>
        <w:numPr>
          <w:ilvl w:val="2"/>
          <w:numId w:val="9"/>
        </w:numPr>
        <w:tabs>
          <w:tab w:val="clear" w:pos="624"/>
        </w:tabs>
        <w:ind w:left="3220" w:hanging="700"/>
        <w:rPr>
          <w:rFonts w:eastAsia="Calibri"/>
          <w:lang w:val="fr-FR"/>
        </w:rPr>
      </w:pPr>
      <w:r w:rsidRPr="00241696">
        <w:rPr>
          <w:lang w:val="fr-FR"/>
        </w:rPr>
        <w:t>Achever son rapport sur l</w:t>
      </w:r>
      <w:r w:rsidR="000A44E2" w:rsidRPr="00241696">
        <w:rPr>
          <w:lang w:val="fr-FR"/>
        </w:rPr>
        <w:t>’</w:t>
      </w:r>
      <w:r w:rsidRPr="00241696">
        <w:rPr>
          <w:lang w:val="fr-FR"/>
        </w:rPr>
        <w:t>évaluation des solutions de remplacement du SPFO, de ses sels et du FSPFO, y compris les recommandations qui y sont formulées ;</w:t>
      </w:r>
      <w:bookmarkStart w:id="1" w:name="_Hlk514746636"/>
      <w:bookmarkEnd w:id="1"/>
    </w:p>
    <w:p w14:paraId="60464580" w14:textId="602A08B7" w:rsidR="004D06C1" w:rsidRPr="00241696" w:rsidRDefault="004D06C1" w:rsidP="000A44E2">
      <w:pPr>
        <w:pStyle w:val="Normalnumber"/>
        <w:numPr>
          <w:ilvl w:val="2"/>
          <w:numId w:val="9"/>
        </w:numPr>
        <w:tabs>
          <w:tab w:val="clear" w:pos="567"/>
          <w:tab w:val="num" w:pos="624"/>
        </w:tabs>
        <w:ind w:left="3220" w:hanging="728"/>
        <w:rPr>
          <w:rFonts w:eastAsia="Calibri"/>
          <w:lang w:val="fr-FR"/>
        </w:rPr>
      </w:pPr>
      <w:r w:rsidRPr="00241696">
        <w:rPr>
          <w:lang w:val="fr-FR"/>
        </w:rPr>
        <w:t>Examiner le projet de rapport établi par le Secrétariat sur l</w:t>
      </w:r>
      <w:r w:rsidR="000A44E2" w:rsidRPr="00241696">
        <w:rPr>
          <w:lang w:val="fr-FR"/>
        </w:rPr>
        <w:t>’</w:t>
      </w:r>
      <w:r w:rsidRPr="00241696">
        <w:rPr>
          <w:lang w:val="fr-FR"/>
        </w:rPr>
        <w:t xml:space="preserve">évaluation du SPFO, de ses sels et du FSPFO et formuler des observations à ce sujet ; </w:t>
      </w:r>
    </w:p>
    <w:p w14:paraId="02E53A9C" w14:textId="229DDD21" w:rsidR="004D06C1" w:rsidRPr="00241696" w:rsidRDefault="004D06C1" w:rsidP="000A44E2">
      <w:pPr>
        <w:pStyle w:val="Normalnumber"/>
        <w:numPr>
          <w:ilvl w:val="2"/>
          <w:numId w:val="9"/>
        </w:numPr>
        <w:tabs>
          <w:tab w:val="clear" w:pos="567"/>
          <w:tab w:val="num" w:pos="624"/>
        </w:tabs>
        <w:ind w:left="3220" w:hanging="728"/>
        <w:rPr>
          <w:rFonts w:eastAsia="Calibri"/>
          <w:lang w:val="fr-FR"/>
        </w:rPr>
      </w:pPr>
      <w:r w:rsidRPr="00241696">
        <w:rPr>
          <w:lang w:val="fr-FR"/>
        </w:rPr>
        <w:t xml:space="preserve">Se pencher sur le traitement à accorder au </w:t>
      </w:r>
      <w:proofErr w:type="spellStart"/>
      <w:r w:rsidRPr="00241696">
        <w:rPr>
          <w:lang w:val="fr-FR"/>
        </w:rPr>
        <w:t>sulfluramide</w:t>
      </w:r>
      <w:proofErr w:type="spellEnd"/>
      <w:r w:rsidRPr="00241696">
        <w:rPr>
          <w:lang w:val="fr-FR"/>
        </w:rPr>
        <w:t>, compte tenu du fait que celui-ci peut répondre à la définition d</w:t>
      </w:r>
      <w:r w:rsidR="000A44E2" w:rsidRPr="00241696">
        <w:rPr>
          <w:lang w:val="fr-FR"/>
        </w:rPr>
        <w:t>’</w:t>
      </w:r>
      <w:r w:rsidRPr="00241696">
        <w:rPr>
          <w:lang w:val="fr-FR"/>
        </w:rPr>
        <w:t>une substance apparentée à l</w:t>
      </w:r>
      <w:r w:rsidR="000A44E2" w:rsidRPr="00241696">
        <w:rPr>
          <w:lang w:val="fr-FR"/>
        </w:rPr>
        <w:t>’</w:t>
      </w:r>
      <w:r w:rsidRPr="00241696">
        <w:rPr>
          <w:lang w:val="fr-FR"/>
        </w:rPr>
        <w:t>APFO et qu</w:t>
      </w:r>
      <w:r w:rsidR="000A44E2" w:rsidRPr="00241696">
        <w:rPr>
          <w:lang w:val="fr-FR"/>
        </w:rPr>
        <w:t>’</w:t>
      </w:r>
      <w:r w:rsidRPr="00241696">
        <w:rPr>
          <w:lang w:val="fr-FR"/>
        </w:rPr>
        <w:t>il figure également dans le descriptif des risques concernant le SPFO, ses sels et le FSPFO, mais que son numéro CAS n</w:t>
      </w:r>
      <w:r w:rsidR="000A44E2" w:rsidRPr="00241696">
        <w:rPr>
          <w:lang w:val="fr-FR"/>
        </w:rPr>
        <w:t>’</w:t>
      </w:r>
      <w:r w:rsidRPr="00241696">
        <w:rPr>
          <w:lang w:val="fr-FR"/>
        </w:rPr>
        <w:t>est pas inclus dans l</w:t>
      </w:r>
      <w:r w:rsidR="000A44E2" w:rsidRPr="00241696">
        <w:rPr>
          <w:lang w:val="fr-FR"/>
        </w:rPr>
        <w:t>’</w:t>
      </w:r>
      <w:r w:rsidRPr="00241696">
        <w:rPr>
          <w:lang w:val="fr-FR"/>
        </w:rPr>
        <w:t>Annexe B de la Convention ;</w:t>
      </w:r>
    </w:p>
    <w:p w14:paraId="2F0636DC" w14:textId="2C187D4B" w:rsidR="004D06C1" w:rsidRPr="00241696" w:rsidRDefault="004D06C1" w:rsidP="004D06C1">
      <w:pPr>
        <w:pStyle w:val="Normalnumber"/>
        <w:numPr>
          <w:ilvl w:val="1"/>
          <w:numId w:val="9"/>
        </w:numPr>
        <w:tabs>
          <w:tab w:val="clear" w:pos="567"/>
          <w:tab w:val="num" w:pos="624"/>
        </w:tabs>
        <w:ind w:firstLine="624"/>
        <w:rPr>
          <w:rFonts w:eastAsia="Calibri"/>
          <w:lang w:val="fr-FR"/>
        </w:rPr>
      </w:pPr>
      <w:r w:rsidRPr="00241696">
        <w:rPr>
          <w:lang w:val="fr-FR"/>
        </w:rPr>
        <w:lastRenderedPageBreak/>
        <w:t>Envisager les activités pouvant être mises en œuvre en vue d</w:t>
      </w:r>
      <w:r w:rsidR="000A44E2" w:rsidRPr="00241696">
        <w:rPr>
          <w:lang w:val="fr-FR"/>
        </w:rPr>
        <w:t>’</w:t>
      </w:r>
      <w:r w:rsidRPr="00241696">
        <w:rPr>
          <w:lang w:val="fr-FR"/>
        </w:rPr>
        <w:t>assurer la participation effective des Parties à ses travaux.</w:t>
      </w:r>
    </w:p>
    <w:p w14:paraId="1C7354A4" w14:textId="77777777" w:rsidR="004D06C1" w:rsidRPr="00241696" w:rsidRDefault="004D06C1" w:rsidP="00680FC3">
      <w:pPr>
        <w:pStyle w:val="CH2"/>
        <w:numPr>
          <w:ilvl w:val="0"/>
          <w:numId w:val="15"/>
        </w:numPr>
        <w:tabs>
          <w:tab w:val="clear" w:pos="851"/>
        </w:tabs>
        <w:ind w:left="567" w:firstLine="0"/>
        <w:rPr>
          <w:rFonts w:eastAsia="MS Mincho"/>
          <w:lang w:val="fr-FR"/>
        </w:rPr>
      </w:pPr>
      <w:r w:rsidRPr="00241696">
        <w:rPr>
          <w:lang w:val="fr-FR"/>
        </w:rPr>
        <w:t>Ordre du jour de la réunion</w:t>
      </w:r>
      <w:bookmarkStart w:id="2" w:name="_GoBack"/>
      <w:bookmarkEnd w:id="2"/>
    </w:p>
    <w:p w14:paraId="0F82E355" w14:textId="2ABC03CA" w:rsidR="004D06C1" w:rsidRPr="00241696" w:rsidRDefault="004D06C1" w:rsidP="004D06C1">
      <w:pPr>
        <w:pStyle w:val="Normalnumber"/>
        <w:keepNext/>
        <w:keepLines/>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L</w:t>
      </w:r>
      <w:r w:rsidR="000A44E2" w:rsidRPr="00241696">
        <w:rPr>
          <w:lang w:val="fr-FR"/>
        </w:rPr>
        <w:t>’</w:t>
      </w:r>
      <w:r w:rsidRPr="00241696">
        <w:rPr>
          <w:lang w:val="fr-FR"/>
        </w:rPr>
        <w:t>ordre du jour provisoire de la réunion (UNEP/POPS/POPRC.14/1) recense les questions dont le Comité est saisi. Les membres du Comité sont invités à informer le Secrétariat, avant la réunion, de toute autre question devant y figurer. L</w:t>
      </w:r>
      <w:r w:rsidR="000A44E2" w:rsidRPr="00241696">
        <w:rPr>
          <w:lang w:val="fr-FR"/>
        </w:rPr>
        <w:t>’</w:t>
      </w:r>
      <w:r w:rsidRPr="00241696">
        <w:rPr>
          <w:lang w:val="fr-FR"/>
        </w:rPr>
        <w:t>ordre du jour provisoire annoté (UNEP/POPS/POPRC.14/1/Add.1) énumère les questions devant être examinées au titre de chaque point de l</w:t>
      </w:r>
      <w:r w:rsidR="000A44E2" w:rsidRPr="00241696">
        <w:rPr>
          <w:lang w:val="fr-FR"/>
        </w:rPr>
        <w:t>’</w:t>
      </w:r>
      <w:r w:rsidRPr="00241696">
        <w:rPr>
          <w:lang w:val="fr-FR"/>
        </w:rPr>
        <w:t>ordre du jour ainsi que les documents s</w:t>
      </w:r>
      <w:r w:rsidR="000A44E2" w:rsidRPr="00241696">
        <w:rPr>
          <w:lang w:val="fr-FR"/>
        </w:rPr>
        <w:t>’</w:t>
      </w:r>
      <w:r w:rsidRPr="00241696">
        <w:rPr>
          <w:lang w:val="fr-FR"/>
        </w:rPr>
        <w:t xml:space="preserve">y rapportant. </w:t>
      </w:r>
    </w:p>
    <w:p w14:paraId="2B57FFDC" w14:textId="77777777" w:rsidR="004D06C1" w:rsidRPr="00241696" w:rsidRDefault="004D06C1" w:rsidP="00680FC3">
      <w:pPr>
        <w:pStyle w:val="CH2"/>
        <w:numPr>
          <w:ilvl w:val="0"/>
          <w:numId w:val="15"/>
        </w:numPr>
        <w:tabs>
          <w:tab w:val="clear" w:pos="851"/>
        </w:tabs>
        <w:ind w:left="567" w:firstLine="0"/>
        <w:rPr>
          <w:rFonts w:eastAsia="MS Mincho"/>
          <w:lang w:val="fr-FR"/>
        </w:rPr>
      </w:pPr>
      <w:r w:rsidRPr="00241696">
        <w:rPr>
          <w:lang w:val="fr-FR"/>
        </w:rPr>
        <w:t>Organisation des travaux</w:t>
      </w:r>
    </w:p>
    <w:p w14:paraId="69FF5570" w14:textId="24B9830D"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 xml:space="preserve">La réunion aura </w:t>
      </w:r>
      <w:r w:rsidR="000A44E2" w:rsidRPr="00241696">
        <w:rPr>
          <w:lang w:val="fr-FR"/>
        </w:rPr>
        <w:t>lieu du lundi 17 au vendredi 21 </w:t>
      </w:r>
      <w:r w:rsidRPr="00241696">
        <w:rPr>
          <w:lang w:val="fr-FR"/>
        </w:rPr>
        <w:t>septembre 2018. Avant la réunion, les membres du Comité se ré</w:t>
      </w:r>
      <w:r w:rsidR="000A44E2" w:rsidRPr="00241696">
        <w:rPr>
          <w:lang w:val="fr-FR"/>
        </w:rPr>
        <w:t>uniront à huis clos le lundi 17 septembre de 9 heures à 9 h </w:t>
      </w:r>
      <w:r w:rsidRPr="00241696">
        <w:rPr>
          <w:lang w:val="fr-FR"/>
        </w:rPr>
        <w:t>30 pour examiner les questions relatives aux conflits d</w:t>
      </w:r>
      <w:r w:rsidR="000A44E2" w:rsidRPr="00241696">
        <w:rPr>
          <w:lang w:val="fr-FR"/>
        </w:rPr>
        <w:t>’</w:t>
      </w:r>
      <w:r w:rsidRPr="00241696">
        <w:rPr>
          <w:lang w:val="fr-FR"/>
        </w:rPr>
        <w:t>intérêts. Un calendrier provisoire de la semaine, comprenant les ho</w:t>
      </w:r>
      <w:r w:rsidR="000A44E2" w:rsidRPr="00241696">
        <w:rPr>
          <w:lang w:val="fr-FR"/>
        </w:rPr>
        <w:t>raires, figure dans le document </w:t>
      </w:r>
      <w:r w:rsidRPr="00241696">
        <w:rPr>
          <w:lang w:val="fr-FR"/>
        </w:rPr>
        <w:t xml:space="preserve">UNEP/POPS/POPRC.14/INF/2. Des groupes de contact et de rédaction seront créés pendant la semaine en fonction des besoins. </w:t>
      </w:r>
    </w:p>
    <w:p w14:paraId="037DA493" w14:textId="4EF3FD03"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La</w:t>
      </w:r>
      <w:r w:rsidR="000A44E2" w:rsidRPr="00241696">
        <w:rPr>
          <w:lang w:val="fr-FR"/>
        </w:rPr>
        <w:t xml:space="preserve"> réunion commencera le lundi 17 septembre 2018 à 9 h </w:t>
      </w:r>
      <w:r w:rsidRPr="00241696">
        <w:rPr>
          <w:lang w:val="fr-FR"/>
        </w:rPr>
        <w:t>30 par les formalités d</w:t>
      </w:r>
      <w:r w:rsidR="000A44E2" w:rsidRPr="00241696">
        <w:rPr>
          <w:lang w:val="fr-FR"/>
        </w:rPr>
        <w:t>’ouverture en plénière (point </w:t>
      </w:r>
      <w:r w:rsidRPr="00241696">
        <w:rPr>
          <w:lang w:val="fr-FR"/>
        </w:rPr>
        <w:t>1 de l</w:t>
      </w:r>
      <w:r w:rsidR="000A44E2" w:rsidRPr="00241696">
        <w:rPr>
          <w:lang w:val="fr-FR"/>
        </w:rPr>
        <w:t>’</w:t>
      </w:r>
      <w:r w:rsidRPr="00241696">
        <w:rPr>
          <w:lang w:val="fr-FR"/>
        </w:rPr>
        <w:t>ordre du jour provisoire). Le Comité adoptera ensuite l</w:t>
      </w:r>
      <w:r w:rsidR="000A44E2" w:rsidRPr="00241696">
        <w:rPr>
          <w:lang w:val="fr-FR"/>
        </w:rPr>
        <w:t>’</w:t>
      </w:r>
      <w:r w:rsidRPr="00241696">
        <w:rPr>
          <w:lang w:val="fr-FR"/>
        </w:rPr>
        <w:t>ord</w:t>
      </w:r>
      <w:r w:rsidR="000A44E2" w:rsidRPr="00241696">
        <w:rPr>
          <w:lang w:val="fr-FR"/>
        </w:rPr>
        <w:t>re du jour de la réunion (point 2 </w:t>
      </w:r>
      <w:r w:rsidRPr="00241696">
        <w:rPr>
          <w:lang w:val="fr-FR"/>
        </w:rPr>
        <w:t>a) de l</w:t>
      </w:r>
      <w:r w:rsidR="000A44E2" w:rsidRPr="00241696">
        <w:rPr>
          <w:lang w:val="fr-FR"/>
        </w:rPr>
        <w:t>’</w:t>
      </w:r>
      <w:r w:rsidRPr="00241696">
        <w:rPr>
          <w:lang w:val="fr-FR"/>
        </w:rPr>
        <w:t>ordre du jour provisoire), amendé selon qu</w:t>
      </w:r>
      <w:r w:rsidR="000A44E2" w:rsidRPr="00241696">
        <w:rPr>
          <w:lang w:val="fr-FR"/>
        </w:rPr>
        <w:t>’</w:t>
      </w:r>
      <w:r w:rsidRPr="00241696">
        <w:rPr>
          <w:lang w:val="fr-FR"/>
        </w:rPr>
        <w:t>il convient, et décidera de l</w:t>
      </w:r>
      <w:r w:rsidR="000A44E2" w:rsidRPr="00241696">
        <w:rPr>
          <w:lang w:val="fr-FR"/>
        </w:rPr>
        <w:t>’organisation des travaux (point 2 </w:t>
      </w:r>
      <w:r w:rsidRPr="00241696">
        <w:rPr>
          <w:lang w:val="fr-FR"/>
        </w:rPr>
        <w:t>b) de l</w:t>
      </w:r>
      <w:r w:rsidR="000A44E2" w:rsidRPr="00241696">
        <w:rPr>
          <w:lang w:val="fr-FR"/>
        </w:rPr>
        <w:t>’</w:t>
      </w:r>
      <w:r w:rsidRPr="00241696">
        <w:rPr>
          <w:lang w:val="fr-FR"/>
        </w:rPr>
        <w:t xml:space="preserve">ordre du jour provisoire). </w:t>
      </w:r>
    </w:p>
    <w:p w14:paraId="061F4AB0" w14:textId="5FDFFF4A"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Le Comité examinera alors la question du renouvellement de ses membres par roulement (point 3 de l</w:t>
      </w:r>
      <w:r w:rsidR="000A44E2" w:rsidRPr="00241696">
        <w:rPr>
          <w:lang w:val="fr-FR"/>
        </w:rPr>
        <w:t>’</w:t>
      </w:r>
      <w:r w:rsidRPr="00241696">
        <w:rPr>
          <w:lang w:val="fr-FR"/>
        </w:rPr>
        <w:t>ordre du jour provisoire). Un(e) représentant(e) du Secrétariat donnera des informations sur les membres nouvellement nommés et sur le prochain rou</w:t>
      </w:r>
      <w:r w:rsidR="000A44E2" w:rsidRPr="00241696">
        <w:rPr>
          <w:lang w:val="fr-FR"/>
        </w:rPr>
        <w:t>lement, qui interviendra en mai </w:t>
      </w:r>
      <w:r w:rsidRPr="00241696">
        <w:rPr>
          <w:lang w:val="fr-FR"/>
        </w:rPr>
        <w:t xml:space="preserve">2020. </w:t>
      </w:r>
    </w:p>
    <w:p w14:paraId="7980E6A6" w14:textId="7C3BC02B"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Le Comité s</w:t>
      </w:r>
      <w:r w:rsidR="000A44E2" w:rsidRPr="00241696">
        <w:rPr>
          <w:lang w:val="fr-FR"/>
        </w:rPr>
        <w:t>’</w:t>
      </w:r>
      <w:r w:rsidRPr="00241696">
        <w:rPr>
          <w:lang w:val="fr-FR"/>
        </w:rPr>
        <w:t>intéressera ensuite aux travaux techniques (point 4 de l</w:t>
      </w:r>
      <w:r w:rsidR="000A44E2" w:rsidRPr="00241696">
        <w:rPr>
          <w:lang w:val="fr-FR"/>
        </w:rPr>
        <w:t>’</w:t>
      </w:r>
      <w:r w:rsidRPr="00241696">
        <w:rPr>
          <w:lang w:val="fr-FR"/>
        </w:rPr>
        <w:t>ordre du jour provisoire), comme suit :</w:t>
      </w:r>
    </w:p>
    <w:p w14:paraId="611D6EA8" w14:textId="77777777" w:rsidR="004D06C1" w:rsidRPr="00241696" w:rsidRDefault="004D06C1" w:rsidP="004D06C1">
      <w:pPr>
        <w:pStyle w:val="Normalnumber"/>
        <w:numPr>
          <w:ilvl w:val="0"/>
          <w:numId w:val="10"/>
        </w:numPr>
        <w:ind w:left="1247" w:firstLine="624"/>
        <w:rPr>
          <w:rFonts w:eastAsia="Calibri"/>
          <w:lang w:val="fr-FR"/>
        </w:rPr>
      </w:pPr>
      <w:r w:rsidRPr="00241696">
        <w:rPr>
          <w:lang w:val="fr-FR"/>
        </w:rPr>
        <w:t xml:space="preserve">Le Comité examinera le projet de descriptif des risques concernant le </w:t>
      </w:r>
      <w:proofErr w:type="spellStart"/>
      <w:r w:rsidRPr="00241696">
        <w:rPr>
          <w:lang w:val="fr-FR"/>
        </w:rPr>
        <w:t>PFHxS</w:t>
      </w:r>
      <w:proofErr w:type="spellEnd"/>
      <w:r w:rsidRPr="00241696">
        <w:rPr>
          <w:lang w:val="fr-FR"/>
        </w:rPr>
        <w:t xml:space="preserve">, ses sels et les composés apparentés. Au titre de ce point : </w:t>
      </w:r>
    </w:p>
    <w:p w14:paraId="412B02B7" w14:textId="44951B11" w:rsidR="004D06C1" w:rsidRPr="00241696" w:rsidRDefault="004D06C1" w:rsidP="000A44E2">
      <w:pPr>
        <w:pStyle w:val="Normalnumber"/>
        <w:numPr>
          <w:ilvl w:val="2"/>
          <w:numId w:val="11"/>
        </w:numPr>
        <w:tabs>
          <w:tab w:val="num" w:pos="624"/>
        </w:tabs>
        <w:ind w:left="3178" w:hanging="644"/>
        <w:rPr>
          <w:rFonts w:eastAsia="Calibri"/>
          <w:lang w:val="fr-FR"/>
        </w:rPr>
      </w:pPr>
      <w:r w:rsidRPr="00241696">
        <w:rPr>
          <w:lang w:val="fr-FR"/>
        </w:rPr>
        <w:t>Le Président du groupe de travail intersessions qui a établi le projet de descriptif des risques présentera ce dernier au Comité ;</w:t>
      </w:r>
    </w:p>
    <w:p w14:paraId="2A13FE99" w14:textId="38C3BED2" w:rsidR="004D06C1" w:rsidRPr="00241696" w:rsidRDefault="004D06C1" w:rsidP="000A44E2">
      <w:pPr>
        <w:pStyle w:val="Normalnumber"/>
        <w:numPr>
          <w:ilvl w:val="2"/>
          <w:numId w:val="11"/>
        </w:numPr>
        <w:tabs>
          <w:tab w:val="num" w:pos="624"/>
        </w:tabs>
        <w:ind w:left="3178" w:hanging="644"/>
        <w:rPr>
          <w:rFonts w:eastAsia="Calibri"/>
          <w:lang w:val="fr-FR"/>
        </w:rPr>
      </w:pPr>
      <w:r w:rsidRPr="00241696">
        <w:rPr>
          <w:lang w:val="fr-FR"/>
        </w:rPr>
        <w:t>Le Comité aura l</w:t>
      </w:r>
      <w:r w:rsidR="000A44E2" w:rsidRPr="00241696">
        <w:rPr>
          <w:lang w:val="fr-FR"/>
        </w:rPr>
        <w:t>’</w:t>
      </w:r>
      <w:r w:rsidRPr="00241696">
        <w:rPr>
          <w:lang w:val="fr-FR"/>
        </w:rPr>
        <w:t>occasion de poser des questions sur le projet ;</w:t>
      </w:r>
    </w:p>
    <w:p w14:paraId="5C1AFE6F" w14:textId="13E7F172" w:rsidR="004D06C1" w:rsidRPr="00241696" w:rsidRDefault="004D06C1" w:rsidP="000A44E2">
      <w:pPr>
        <w:pStyle w:val="Normalnumber"/>
        <w:numPr>
          <w:ilvl w:val="2"/>
          <w:numId w:val="11"/>
        </w:numPr>
        <w:tabs>
          <w:tab w:val="num" w:pos="624"/>
        </w:tabs>
        <w:ind w:left="3178" w:hanging="644"/>
        <w:rPr>
          <w:rFonts w:eastAsia="Calibri"/>
          <w:lang w:val="fr-FR"/>
        </w:rPr>
      </w:pPr>
      <w:r w:rsidRPr="00241696">
        <w:rPr>
          <w:lang w:val="fr-FR"/>
        </w:rPr>
        <w:t>Le Comité examinera le projet de descriptif des risques et décidera si les produits chimiques considérés sont susceptibles, du fait de leur propagation à longue distance dans l</w:t>
      </w:r>
      <w:r w:rsidR="000A44E2" w:rsidRPr="00241696">
        <w:rPr>
          <w:lang w:val="fr-FR"/>
        </w:rPr>
        <w:t>’</w:t>
      </w:r>
      <w:r w:rsidRPr="00241696">
        <w:rPr>
          <w:lang w:val="fr-FR"/>
        </w:rPr>
        <w:t>environnement, d</w:t>
      </w:r>
      <w:r w:rsidR="000A44E2" w:rsidRPr="00241696">
        <w:rPr>
          <w:lang w:val="fr-FR"/>
        </w:rPr>
        <w:t>’</w:t>
      </w:r>
      <w:r w:rsidRPr="00241696">
        <w:rPr>
          <w:lang w:val="fr-FR"/>
        </w:rPr>
        <w:t>avoir des effets nocifs importants sur la santé humaine et/ou l</w:t>
      </w:r>
      <w:r w:rsidR="000A44E2" w:rsidRPr="00241696">
        <w:rPr>
          <w:lang w:val="fr-FR"/>
        </w:rPr>
        <w:t>’</w:t>
      </w:r>
      <w:r w:rsidRPr="00241696">
        <w:rPr>
          <w:lang w:val="fr-FR"/>
        </w:rPr>
        <w:t>environnement justifiant l</w:t>
      </w:r>
      <w:r w:rsidR="000A44E2" w:rsidRPr="00241696">
        <w:rPr>
          <w:lang w:val="fr-FR"/>
        </w:rPr>
        <w:t>’</w:t>
      </w:r>
      <w:r w:rsidRPr="00241696">
        <w:rPr>
          <w:lang w:val="fr-FR"/>
        </w:rPr>
        <w:t>adoption de mesures au niveau mondial ;</w:t>
      </w:r>
    </w:p>
    <w:p w14:paraId="129FD3C6" w14:textId="347B2794" w:rsidR="004D06C1" w:rsidRPr="00241696" w:rsidRDefault="004D06C1" w:rsidP="000A44E2">
      <w:pPr>
        <w:pStyle w:val="Normalnumber"/>
        <w:numPr>
          <w:ilvl w:val="2"/>
          <w:numId w:val="11"/>
        </w:numPr>
        <w:tabs>
          <w:tab w:val="num" w:pos="624"/>
        </w:tabs>
        <w:ind w:left="3136" w:hanging="616"/>
        <w:rPr>
          <w:rFonts w:eastAsia="Calibri"/>
          <w:lang w:val="fr-FR"/>
        </w:rPr>
      </w:pPr>
      <w:r w:rsidRPr="00241696">
        <w:rPr>
          <w:lang w:val="fr-FR"/>
        </w:rPr>
        <w:t>Le Comité créera très vraisemblablement un groupe de contact chargé d</w:t>
      </w:r>
      <w:r w:rsidR="000A44E2" w:rsidRPr="00241696">
        <w:rPr>
          <w:lang w:val="fr-FR"/>
        </w:rPr>
        <w:t>’</w:t>
      </w:r>
      <w:r w:rsidRPr="00241696">
        <w:rPr>
          <w:lang w:val="fr-FR"/>
        </w:rPr>
        <w:t xml:space="preserve">élaborer un projet de décision comprenant les </w:t>
      </w:r>
      <w:r w:rsidR="000A44E2" w:rsidRPr="00241696">
        <w:rPr>
          <w:lang w:val="fr-FR"/>
        </w:rPr>
        <w:t>éléments énumérés au paragraphe 3 </w:t>
      </w:r>
      <w:r w:rsidRPr="00241696">
        <w:rPr>
          <w:lang w:val="fr-FR"/>
        </w:rPr>
        <w:t>a</w:t>
      </w:r>
      <w:r w:rsidR="000A44E2" w:rsidRPr="00241696">
        <w:rPr>
          <w:lang w:val="fr-FR"/>
        </w:rPr>
        <w:t>) </w:t>
      </w:r>
      <w:r w:rsidRPr="00241696">
        <w:rPr>
          <w:lang w:val="fr-FR"/>
        </w:rPr>
        <w:t>ii) ci-dessus, qu</w:t>
      </w:r>
      <w:r w:rsidR="000A44E2" w:rsidRPr="00241696">
        <w:rPr>
          <w:lang w:val="fr-FR"/>
        </w:rPr>
        <w:t>’</w:t>
      </w:r>
      <w:r w:rsidRPr="00241696">
        <w:rPr>
          <w:lang w:val="fr-FR"/>
        </w:rPr>
        <w:t>il pourrait adopter pendant la réunion ;</w:t>
      </w:r>
    </w:p>
    <w:p w14:paraId="188C188A" w14:textId="1A6A8BB0" w:rsidR="004D06C1" w:rsidRPr="00241696" w:rsidRDefault="004D06C1" w:rsidP="004D06C1">
      <w:pPr>
        <w:pStyle w:val="Normalnumber"/>
        <w:numPr>
          <w:ilvl w:val="0"/>
          <w:numId w:val="10"/>
        </w:numPr>
        <w:ind w:left="1247" w:firstLine="624"/>
        <w:rPr>
          <w:rFonts w:eastAsia="Calibri"/>
          <w:lang w:val="fr-FR"/>
        </w:rPr>
      </w:pPr>
      <w:r w:rsidRPr="00241696">
        <w:rPr>
          <w:lang w:val="fr-FR"/>
        </w:rPr>
        <w:t>Le Comité examinera alors sa recommandation à la Conférence des Parties concernant l</w:t>
      </w:r>
      <w:r w:rsidR="000A44E2" w:rsidRPr="00241696">
        <w:rPr>
          <w:lang w:val="fr-FR"/>
        </w:rPr>
        <w:t>’</w:t>
      </w:r>
      <w:r w:rsidRPr="00241696">
        <w:rPr>
          <w:lang w:val="fr-FR"/>
        </w:rPr>
        <w:t>APFO, ses sels et composés apparentés. Au titre de ce point :</w:t>
      </w:r>
    </w:p>
    <w:p w14:paraId="51963628" w14:textId="4D31D109" w:rsidR="004D06C1" w:rsidRPr="00241696" w:rsidRDefault="004D06C1" w:rsidP="000A44E2">
      <w:pPr>
        <w:pStyle w:val="Normalnumber"/>
        <w:numPr>
          <w:ilvl w:val="2"/>
          <w:numId w:val="12"/>
        </w:numPr>
        <w:tabs>
          <w:tab w:val="num" w:pos="624"/>
        </w:tabs>
        <w:ind w:left="3234" w:hanging="714"/>
        <w:rPr>
          <w:rFonts w:eastAsia="Calibri"/>
          <w:lang w:val="fr-FR"/>
        </w:rPr>
      </w:pPr>
      <w:r w:rsidRPr="00241696">
        <w:rPr>
          <w:lang w:val="fr-FR"/>
        </w:rPr>
        <w:t>Le Président du groupe de travail intersessions qui a établi le projet d</w:t>
      </w:r>
      <w:r w:rsidR="000A44E2" w:rsidRPr="00241696">
        <w:rPr>
          <w:lang w:val="fr-FR"/>
        </w:rPr>
        <w:t>’</w:t>
      </w:r>
      <w:r w:rsidRPr="00241696">
        <w:rPr>
          <w:lang w:val="fr-FR"/>
        </w:rPr>
        <w:t>évaluation des informations sur l</w:t>
      </w:r>
      <w:r w:rsidR="000A44E2" w:rsidRPr="00241696">
        <w:rPr>
          <w:lang w:val="fr-FR"/>
        </w:rPr>
        <w:t>’</w:t>
      </w:r>
      <w:r w:rsidRPr="00241696">
        <w:rPr>
          <w:lang w:val="fr-FR"/>
        </w:rPr>
        <w:t>APFO, ses sels et composés apparentés présentera ce dernier au Comité ;</w:t>
      </w:r>
    </w:p>
    <w:p w14:paraId="0AA87613" w14:textId="5CABAA0D" w:rsidR="004D06C1" w:rsidRPr="00241696" w:rsidRDefault="004D06C1" w:rsidP="000A44E2">
      <w:pPr>
        <w:pStyle w:val="Normalnumber"/>
        <w:numPr>
          <w:ilvl w:val="2"/>
          <w:numId w:val="12"/>
        </w:numPr>
        <w:tabs>
          <w:tab w:val="num" w:pos="624"/>
        </w:tabs>
        <w:ind w:left="3234" w:hanging="714"/>
        <w:rPr>
          <w:rFonts w:eastAsia="Calibri"/>
          <w:lang w:val="fr-FR"/>
        </w:rPr>
      </w:pPr>
      <w:r w:rsidRPr="00241696">
        <w:rPr>
          <w:lang w:val="fr-FR"/>
        </w:rPr>
        <w:t>Le Comité aura l</w:t>
      </w:r>
      <w:r w:rsidR="000A44E2" w:rsidRPr="00241696">
        <w:rPr>
          <w:lang w:val="fr-FR"/>
        </w:rPr>
        <w:t>’</w:t>
      </w:r>
      <w:r w:rsidRPr="00241696">
        <w:rPr>
          <w:lang w:val="fr-FR"/>
        </w:rPr>
        <w:t xml:space="preserve">occasion de poser des questions sur le projet ; </w:t>
      </w:r>
    </w:p>
    <w:p w14:paraId="7BC66CB3" w14:textId="04B1506A" w:rsidR="004D06C1" w:rsidRPr="00241696" w:rsidRDefault="004D06C1" w:rsidP="000A44E2">
      <w:pPr>
        <w:pStyle w:val="Normalnumber"/>
        <w:numPr>
          <w:ilvl w:val="2"/>
          <w:numId w:val="12"/>
        </w:numPr>
        <w:tabs>
          <w:tab w:val="num" w:pos="624"/>
        </w:tabs>
        <w:ind w:left="3234" w:hanging="714"/>
        <w:rPr>
          <w:rFonts w:eastAsia="Calibri"/>
          <w:lang w:val="fr-FR"/>
        </w:rPr>
      </w:pPr>
      <w:r w:rsidRPr="00241696">
        <w:rPr>
          <w:lang w:val="fr-FR"/>
        </w:rPr>
        <w:t>Il est fort probable que le Comité créera un groupe de contact chargé d</w:t>
      </w:r>
      <w:r w:rsidR="000A44E2" w:rsidRPr="00241696">
        <w:rPr>
          <w:lang w:val="fr-FR"/>
        </w:rPr>
        <w:t>’</w:t>
      </w:r>
      <w:r w:rsidRPr="00241696">
        <w:rPr>
          <w:lang w:val="fr-FR"/>
        </w:rPr>
        <w:t>examiner le projet d</w:t>
      </w:r>
      <w:r w:rsidR="000A44E2" w:rsidRPr="00241696">
        <w:rPr>
          <w:lang w:val="fr-FR"/>
        </w:rPr>
        <w:t>’</w:t>
      </w:r>
      <w:r w:rsidRPr="00241696">
        <w:rPr>
          <w:lang w:val="fr-FR"/>
        </w:rPr>
        <w:t>évaluation et envisagera de recommander plus vigoureusement à la Conférence des Parties de procéder à l</w:t>
      </w:r>
      <w:r w:rsidR="000A44E2" w:rsidRPr="00241696">
        <w:rPr>
          <w:lang w:val="fr-FR"/>
        </w:rPr>
        <w:t>’</w:t>
      </w:r>
      <w:r w:rsidRPr="00241696">
        <w:rPr>
          <w:lang w:val="fr-FR"/>
        </w:rPr>
        <w:t>inscription de l</w:t>
      </w:r>
      <w:r w:rsidR="000A44E2" w:rsidRPr="00241696">
        <w:rPr>
          <w:lang w:val="fr-FR"/>
        </w:rPr>
        <w:t>’</w:t>
      </w:r>
      <w:r w:rsidRPr="00241696">
        <w:rPr>
          <w:lang w:val="fr-FR"/>
        </w:rPr>
        <w:t>APFO, de ses sels et des composés apparentés ;</w:t>
      </w:r>
    </w:p>
    <w:p w14:paraId="0644F8E8" w14:textId="26059F13" w:rsidR="004D06C1" w:rsidRPr="00241696" w:rsidRDefault="004D06C1" w:rsidP="004D06C1">
      <w:pPr>
        <w:pStyle w:val="Normalnumber"/>
        <w:numPr>
          <w:ilvl w:val="0"/>
          <w:numId w:val="10"/>
        </w:numPr>
        <w:ind w:left="1247" w:firstLine="624"/>
        <w:rPr>
          <w:rFonts w:eastAsia="Calibri"/>
          <w:lang w:val="fr-FR"/>
        </w:rPr>
      </w:pPr>
      <w:r w:rsidRPr="00241696">
        <w:rPr>
          <w:lang w:val="fr-FR"/>
        </w:rPr>
        <w:t>Le Comité se penchera alors sur les travaux menés concernant la procédure d</w:t>
      </w:r>
      <w:r w:rsidR="000A44E2" w:rsidRPr="00241696">
        <w:rPr>
          <w:lang w:val="fr-FR"/>
        </w:rPr>
        <w:t>’</w:t>
      </w:r>
      <w:r w:rsidRPr="00241696">
        <w:rPr>
          <w:lang w:val="fr-FR"/>
        </w:rPr>
        <w:t>évaluation du SPFO, de ses sels et du FSPFO</w:t>
      </w:r>
      <w:r w:rsidR="000A44E2" w:rsidRPr="00241696">
        <w:rPr>
          <w:lang w:val="fr-FR"/>
        </w:rPr>
        <w:t xml:space="preserve"> conformément aux paragraphes 5 et </w:t>
      </w:r>
      <w:r w:rsidRPr="00241696">
        <w:rPr>
          <w:lang w:val="fr-FR"/>
        </w:rPr>
        <w:t>6 de la partie III de l</w:t>
      </w:r>
      <w:r w:rsidR="000A44E2" w:rsidRPr="00241696">
        <w:rPr>
          <w:lang w:val="fr-FR"/>
        </w:rPr>
        <w:t>’Annexe B de la Convention (point </w:t>
      </w:r>
      <w:r w:rsidRPr="00241696">
        <w:rPr>
          <w:lang w:val="fr-FR"/>
        </w:rPr>
        <w:t>4 c) de l</w:t>
      </w:r>
      <w:r w:rsidR="000A44E2" w:rsidRPr="00241696">
        <w:rPr>
          <w:lang w:val="fr-FR"/>
        </w:rPr>
        <w:t>’</w:t>
      </w:r>
      <w:r w:rsidRPr="00241696">
        <w:rPr>
          <w:lang w:val="fr-FR"/>
        </w:rPr>
        <w:t xml:space="preserve">ordre du jour provisoire). </w:t>
      </w:r>
    </w:p>
    <w:p w14:paraId="1F0D82B9" w14:textId="480BE3D6"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Ensuite, le Comité examinera un rapport sur les activités pouvant être mises en œuvre en vue d</w:t>
      </w:r>
      <w:r w:rsidR="000A44E2" w:rsidRPr="00241696">
        <w:rPr>
          <w:lang w:val="fr-FR"/>
        </w:rPr>
        <w:t>’</w:t>
      </w:r>
      <w:r w:rsidRPr="00241696">
        <w:rPr>
          <w:lang w:val="fr-FR"/>
        </w:rPr>
        <w:t>assurer la participation effective d</w:t>
      </w:r>
      <w:r w:rsidR="000A44E2" w:rsidRPr="00241696">
        <w:rPr>
          <w:lang w:val="fr-FR"/>
        </w:rPr>
        <w:t>es Parties à ses travaux (point </w:t>
      </w:r>
      <w:r w:rsidRPr="00241696">
        <w:rPr>
          <w:lang w:val="fr-FR"/>
        </w:rPr>
        <w:t>5 de l</w:t>
      </w:r>
      <w:r w:rsidR="000A44E2" w:rsidRPr="00241696">
        <w:rPr>
          <w:lang w:val="fr-FR"/>
        </w:rPr>
        <w:t>’</w:t>
      </w:r>
      <w:r w:rsidRPr="00241696">
        <w:rPr>
          <w:lang w:val="fr-FR"/>
        </w:rPr>
        <w:t xml:space="preserve">ordre du jour provisoire). </w:t>
      </w:r>
    </w:p>
    <w:p w14:paraId="645CADA6" w14:textId="1AEAE6A0"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lastRenderedPageBreak/>
        <w:t>Le Comité examinera ensuite un plan de travail pour la période comprise entre ses</w:t>
      </w:r>
      <w:r w:rsidR="00680FC3" w:rsidRPr="00241696">
        <w:rPr>
          <w:lang w:val="fr-FR"/>
        </w:rPr>
        <w:t> </w:t>
      </w:r>
      <w:r w:rsidRPr="00241696">
        <w:rPr>
          <w:lang w:val="fr-FR"/>
        </w:rPr>
        <w:t>quatorziè</w:t>
      </w:r>
      <w:r w:rsidR="000A44E2" w:rsidRPr="00241696">
        <w:rPr>
          <w:lang w:val="fr-FR"/>
        </w:rPr>
        <w:t>me</w:t>
      </w:r>
      <w:r w:rsidR="00680FC3" w:rsidRPr="00241696">
        <w:rPr>
          <w:lang w:val="fr-FR"/>
        </w:rPr>
        <w:t> </w:t>
      </w:r>
      <w:r w:rsidR="000A44E2" w:rsidRPr="00241696">
        <w:rPr>
          <w:lang w:val="fr-FR"/>
        </w:rPr>
        <w:t>et quinzième réunions (point </w:t>
      </w:r>
      <w:r w:rsidRPr="00241696">
        <w:rPr>
          <w:lang w:val="fr-FR"/>
        </w:rPr>
        <w:t>6 de l</w:t>
      </w:r>
      <w:r w:rsidR="000A44E2" w:rsidRPr="00241696">
        <w:rPr>
          <w:lang w:val="fr-FR"/>
        </w:rPr>
        <w:t>’</w:t>
      </w:r>
      <w:r w:rsidRPr="00241696">
        <w:rPr>
          <w:lang w:val="fr-FR"/>
        </w:rPr>
        <w:t>ordre du jour provisoire). Au titre de ce point, le</w:t>
      </w:r>
      <w:r w:rsidR="00680FC3" w:rsidRPr="00241696">
        <w:rPr>
          <w:lang w:val="fr-FR"/>
        </w:rPr>
        <w:t> </w:t>
      </w:r>
      <w:r w:rsidRPr="00241696">
        <w:rPr>
          <w:lang w:val="fr-FR"/>
        </w:rPr>
        <w:t>plan de travail relatif à l</w:t>
      </w:r>
      <w:r w:rsidR="000A44E2" w:rsidRPr="00241696">
        <w:rPr>
          <w:lang w:val="fr-FR"/>
        </w:rPr>
        <w:t>’</w:t>
      </w:r>
      <w:r w:rsidRPr="00241696">
        <w:rPr>
          <w:lang w:val="fr-FR"/>
        </w:rPr>
        <w:t>établissement des projets de descriptif des risques et d</w:t>
      </w:r>
      <w:r w:rsidR="000A44E2" w:rsidRPr="00241696">
        <w:rPr>
          <w:lang w:val="fr-FR"/>
        </w:rPr>
        <w:t>’</w:t>
      </w:r>
      <w:r w:rsidRPr="00241696">
        <w:rPr>
          <w:lang w:val="fr-FR"/>
        </w:rPr>
        <w:t>évaluation de la gestion des risques sera adopté.</w:t>
      </w:r>
    </w:p>
    <w:p w14:paraId="527EAD38" w14:textId="6A806747"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Le Comité décidera ensuite du lieu et des dates</w:t>
      </w:r>
      <w:r w:rsidR="000A44E2" w:rsidRPr="00241696">
        <w:rPr>
          <w:lang w:val="fr-FR"/>
        </w:rPr>
        <w:t xml:space="preserve"> de sa quinzième réunion (point </w:t>
      </w:r>
      <w:r w:rsidRPr="00241696">
        <w:rPr>
          <w:lang w:val="fr-FR"/>
        </w:rPr>
        <w:t>7 de l</w:t>
      </w:r>
      <w:r w:rsidR="000A44E2" w:rsidRPr="00241696">
        <w:rPr>
          <w:lang w:val="fr-FR"/>
        </w:rPr>
        <w:t>’</w:t>
      </w:r>
      <w:r w:rsidRPr="00241696">
        <w:rPr>
          <w:lang w:val="fr-FR"/>
        </w:rPr>
        <w:t>ordre du jour provisoire) et examin</w:t>
      </w:r>
      <w:r w:rsidR="000A44E2" w:rsidRPr="00241696">
        <w:rPr>
          <w:lang w:val="fr-FR"/>
        </w:rPr>
        <w:t>era toute autre question (point </w:t>
      </w:r>
      <w:r w:rsidRPr="00241696">
        <w:rPr>
          <w:lang w:val="fr-FR"/>
        </w:rPr>
        <w:t>8 de l</w:t>
      </w:r>
      <w:r w:rsidR="000A44E2" w:rsidRPr="00241696">
        <w:rPr>
          <w:lang w:val="fr-FR"/>
        </w:rPr>
        <w:t>’</w:t>
      </w:r>
      <w:r w:rsidRPr="00241696">
        <w:rPr>
          <w:lang w:val="fr-FR"/>
        </w:rPr>
        <w:t>ordre du jour provisoire), y compris l</w:t>
      </w:r>
      <w:r w:rsidR="000A44E2" w:rsidRPr="00241696">
        <w:rPr>
          <w:lang w:val="fr-FR"/>
        </w:rPr>
        <w:t>’</w:t>
      </w:r>
      <w:r w:rsidRPr="00241696">
        <w:rPr>
          <w:lang w:val="fr-FR"/>
        </w:rPr>
        <w:t>éventuel examen des grandes lignes des descriptifs des risques et des évaluations de la gestion des risques, ainsi que les dernières informations communiquées par le Secrétariat sur les travaux relevant de l</w:t>
      </w:r>
      <w:r w:rsidR="000A44E2" w:rsidRPr="00241696">
        <w:rPr>
          <w:lang w:val="fr-FR"/>
        </w:rPr>
        <w:t>’</w:t>
      </w:r>
      <w:r w:rsidRPr="00241696">
        <w:rPr>
          <w:lang w:val="fr-FR"/>
        </w:rPr>
        <w:t>initiative « De la science à l</w:t>
      </w:r>
      <w:r w:rsidR="000A44E2" w:rsidRPr="00241696">
        <w:rPr>
          <w:lang w:val="fr-FR"/>
        </w:rPr>
        <w:t>’</w:t>
      </w:r>
      <w:r w:rsidRPr="00241696">
        <w:rPr>
          <w:lang w:val="fr-FR"/>
        </w:rPr>
        <w:t>action ».</w:t>
      </w:r>
    </w:p>
    <w:p w14:paraId="60C8171B" w14:textId="56A56625"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 xml:space="preserve">Le rapport sur les travaux de la réunion devrait être adopté </w:t>
      </w:r>
      <w:r w:rsidR="000A44E2" w:rsidRPr="00241696">
        <w:rPr>
          <w:lang w:val="fr-FR"/>
        </w:rPr>
        <w:t>le vendredi 21 septembre </w:t>
      </w:r>
      <w:r w:rsidRPr="00241696">
        <w:rPr>
          <w:lang w:val="fr-FR"/>
        </w:rPr>
        <w:t>2018 dans l</w:t>
      </w:r>
      <w:r w:rsidR="000A44E2" w:rsidRPr="00241696">
        <w:rPr>
          <w:lang w:val="fr-FR"/>
        </w:rPr>
        <w:t>’après-midi (point </w:t>
      </w:r>
      <w:r w:rsidRPr="00241696">
        <w:rPr>
          <w:lang w:val="fr-FR"/>
        </w:rPr>
        <w:t>9 de l</w:t>
      </w:r>
      <w:r w:rsidR="000A44E2" w:rsidRPr="00241696">
        <w:rPr>
          <w:lang w:val="fr-FR"/>
        </w:rPr>
        <w:t>’</w:t>
      </w:r>
      <w:r w:rsidRPr="00241696">
        <w:rPr>
          <w:lang w:val="fr-FR"/>
        </w:rPr>
        <w:t>ordre du jour provisoire). Le Comité l</w:t>
      </w:r>
      <w:r w:rsidR="000A44E2" w:rsidRPr="00241696">
        <w:rPr>
          <w:lang w:val="fr-FR"/>
        </w:rPr>
        <w:t>’</w:t>
      </w:r>
      <w:r w:rsidRPr="00241696">
        <w:rPr>
          <w:lang w:val="fr-FR"/>
        </w:rPr>
        <w:t>approuvera à la fin de la séance plén</w:t>
      </w:r>
      <w:r w:rsidR="000A44E2" w:rsidRPr="00241696">
        <w:rPr>
          <w:lang w:val="fr-FR"/>
        </w:rPr>
        <w:t>ière qui se tiendra le jeudi 20 </w:t>
      </w:r>
      <w:r w:rsidRPr="00241696">
        <w:rPr>
          <w:lang w:val="fr-FR"/>
        </w:rPr>
        <w:t>septembre, en y apportant tous les amendements qu</w:t>
      </w:r>
      <w:r w:rsidR="000A44E2" w:rsidRPr="00241696">
        <w:rPr>
          <w:lang w:val="fr-FR"/>
        </w:rPr>
        <w:t>’</w:t>
      </w:r>
      <w:r w:rsidRPr="00241696">
        <w:rPr>
          <w:lang w:val="fr-FR"/>
        </w:rPr>
        <w:t xml:space="preserve">il jugera nécessaires. Conformément à la pratique établie, le Comité décidera peut-être de faire établir la partie du rapport concernant les séances </w:t>
      </w:r>
      <w:r w:rsidR="000A44E2" w:rsidRPr="00241696">
        <w:rPr>
          <w:lang w:val="fr-FR"/>
        </w:rPr>
        <w:t>plénières tenues le vendredi 21 septembre </w:t>
      </w:r>
      <w:r w:rsidRPr="00241696">
        <w:rPr>
          <w:lang w:val="fr-FR"/>
        </w:rPr>
        <w:t>2018 par le Vice</w:t>
      </w:r>
      <w:r w:rsidRPr="00241696">
        <w:rPr>
          <w:lang w:val="fr-FR"/>
        </w:rPr>
        <w:noBreakHyphen/>
        <w:t>Président, en sa qualité de rapporteur, en concertation avec le Secrétariat, et de la faire insérer dans le rapport final sous l</w:t>
      </w:r>
      <w:r w:rsidR="000A44E2" w:rsidRPr="00241696">
        <w:rPr>
          <w:lang w:val="fr-FR"/>
        </w:rPr>
        <w:t>’</w:t>
      </w:r>
      <w:r w:rsidRPr="00241696">
        <w:rPr>
          <w:lang w:val="fr-FR"/>
        </w:rPr>
        <w:t>autorité de la Présidente.</w:t>
      </w:r>
    </w:p>
    <w:p w14:paraId="772B57DF" w14:textId="56018285" w:rsidR="004D06C1" w:rsidRPr="00241696" w:rsidRDefault="004D06C1" w:rsidP="004D06C1">
      <w:pPr>
        <w:pStyle w:val="Normalnumber"/>
        <w:numPr>
          <w:ilvl w:val="0"/>
          <w:numId w:val="1"/>
        </w:numPr>
        <w:tabs>
          <w:tab w:val="clear" w:pos="624"/>
          <w:tab w:val="left" w:pos="1247"/>
          <w:tab w:val="left" w:pos="1814"/>
          <w:tab w:val="left" w:pos="2381"/>
          <w:tab w:val="left" w:pos="2948"/>
          <w:tab w:val="left" w:pos="3515"/>
          <w:tab w:val="left" w:pos="4082"/>
        </w:tabs>
        <w:rPr>
          <w:rFonts w:eastAsia="Calibri"/>
          <w:lang w:val="fr-FR"/>
        </w:rPr>
      </w:pPr>
      <w:r w:rsidRPr="00241696">
        <w:rPr>
          <w:lang w:val="fr-FR"/>
        </w:rPr>
        <w:t>Lorsque le Comité aura terminé d</w:t>
      </w:r>
      <w:r w:rsidR="000A44E2" w:rsidRPr="00241696">
        <w:rPr>
          <w:lang w:val="fr-FR"/>
        </w:rPr>
        <w:t>’</w:t>
      </w:r>
      <w:r w:rsidRPr="00241696">
        <w:rPr>
          <w:lang w:val="fr-FR"/>
        </w:rPr>
        <w:t>examiner les questions dont il est saisi, la Préside</w:t>
      </w:r>
      <w:r w:rsidR="000A44E2" w:rsidRPr="00241696">
        <w:rPr>
          <w:lang w:val="fr-FR"/>
        </w:rPr>
        <w:t>nte clôturera la réunion (point </w:t>
      </w:r>
      <w:r w:rsidRPr="00241696">
        <w:rPr>
          <w:lang w:val="fr-FR"/>
        </w:rPr>
        <w:t>10 de l</w:t>
      </w:r>
      <w:r w:rsidR="000A44E2" w:rsidRPr="00241696">
        <w:rPr>
          <w:lang w:val="fr-FR"/>
        </w:rPr>
        <w:t>’</w:t>
      </w:r>
      <w:r w:rsidRPr="00241696">
        <w:rPr>
          <w:lang w:val="fr-FR"/>
        </w:rPr>
        <w:t>ordre du jour provisoire).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3"/>
        <w:gridCol w:w="1943"/>
        <w:gridCol w:w="1943"/>
        <w:gridCol w:w="1944"/>
        <w:gridCol w:w="1944"/>
      </w:tblGrid>
      <w:tr w:rsidR="004D06C1" w:rsidRPr="00241696" w14:paraId="5CF1E856" w14:textId="77777777" w:rsidTr="00EA30D4">
        <w:tc>
          <w:tcPr>
            <w:tcW w:w="1943" w:type="dxa"/>
          </w:tcPr>
          <w:p w14:paraId="54D709E2" w14:textId="77777777" w:rsidR="004D06C1" w:rsidRPr="00241696" w:rsidRDefault="004D06C1" w:rsidP="00EA30D4">
            <w:pPr>
              <w:pStyle w:val="Normal-pool"/>
              <w:spacing w:before="520"/>
              <w:rPr>
                <w:lang w:val="fr-FR"/>
              </w:rPr>
            </w:pPr>
          </w:p>
        </w:tc>
        <w:tc>
          <w:tcPr>
            <w:tcW w:w="1943" w:type="dxa"/>
          </w:tcPr>
          <w:p w14:paraId="58A31750" w14:textId="77777777" w:rsidR="004D06C1" w:rsidRPr="00241696" w:rsidRDefault="004D06C1" w:rsidP="00EA30D4">
            <w:pPr>
              <w:pStyle w:val="Normal-pool"/>
              <w:spacing w:before="520"/>
              <w:rPr>
                <w:lang w:val="fr-FR"/>
              </w:rPr>
            </w:pPr>
          </w:p>
        </w:tc>
        <w:tc>
          <w:tcPr>
            <w:tcW w:w="1943" w:type="dxa"/>
            <w:tcBorders>
              <w:top w:val="nil"/>
              <w:left w:val="nil"/>
              <w:bottom w:val="single" w:sz="4" w:space="0" w:color="auto"/>
              <w:right w:val="nil"/>
            </w:tcBorders>
          </w:tcPr>
          <w:p w14:paraId="03C24DB4" w14:textId="77777777" w:rsidR="004D06C1" w:rsidRPr="00241696" w:rsidRDefault="004D06C1" w:rsidP="00EA30D4">
            <w:pPr>
              <w:pStyle w:val="Normal-pool"/>
              <w:spacing w:before="520"/>
              <w:rPr>
                <w:lang w:val="fr-FR"/>
              </w:rPr>
            </w:pPr>
          </w:p>
        </w:tc>
        <w:tc>
          <w:tcPr>
            <w:tcW w:w="1944" w:type="dxa"/>
          </w:tcPr>
          <w:p w14:paraId="502BAC9C" w14:textId="77777777" w:rsidR="004D06C1" w:rsidRPr="00241696" w:rsidRDefault="004D06C1" w:rsidP="00EA30D4">
            <w:pPr>
              <w:pStyle w:val="Normal-pool"/>
              <w:spacing w:before="520"/>
              <w:rPr>
                <w:lang w:val="fr-FR"/>
              </w:rPr>
            </w:pPr>
          </w:p>
        </w:tc>
        <w:tc>
          <w:tcPr>
            <w:tcW w:w="1944" w:type="dxa"/>
          </w:tcPr>
          <w:p w14:paraId="3689BBAF" w14:textId="77777777" w:rsidR="004D06C1" w:rsidRPr="00241696" w:rsidRDefault="004D06C1" w:rsidP="00EA30D4">
            <w:pPr>
              <w:pStyle w:val="Normal-pool"/>
              <w:spacing w:before="520"/>
              <w:rPr>
                <w:lang w:val="fr-FR"/>
              </w:rPr>
            </w:pPr>
          </w:p>
        </w:tc>
      </w:tr>
    </w:tbl>
    <w:p w14:paraId="3E172810" w14:textId="77777777" w:rsidR="004D06C1" w:rsidRPr="00241696" w:rsidRDefault="004D06C1" w:rsidP="00241696">
      <w:pPr>
        <w:pStyle w:val="AATitle"/>
        <w:rPr>
          <w:b w:val="0"/>
          <w:lang w:val="fr-FR"/>
        </w:rPr>
      </w:pPr>
    </w:p>
    <w:sectPr w:rsidR="004D06C1" w:rsidRPr="00241696" w:rsidSect="005849C5">
      <w:headerReference w:type="even" r:id="rId11"/>
      <w:headerReference w:type="default" r:id="rId12"/>
      <w:footerReference w:type="even" r:id="rId13"/>
      <w:headerReference w:type="first" r:id="rId14"/>
      <w:footerReference w:type="first" r:id="rId1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1AC6F" w14:textId="77777777" w:rsidR="00CB2039" w:rsidRDefault="00CB2039">
      <w:r>
        <w:separator/>
      </w:r>
    </w:p>
  </w:endnote>
  <w:endnote w:type="continuationSeparator" w:id="0">
    <w:p w14:paraId="6D6BA93C" w14:textId="77777777" w:rsidR="00CB2039" w:rsidRDefault="00CB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A6C" w14:textId="6097490E" w:rsidR="00133A8C" w:rsidRDefault="007363B9">
    <w:pPr>
      <w:pStyle w:val="Footer"/>
    </w:pPr>
    <w:r>
      <w:rPr>
        <w:rStyle w:val="PageNumber"/>
      </w:rPr>
      <w:fldChar w:fldCharType="begin"/>
    </w:r>
    <w:r w:rsidR="00133A8C">
      <w:rPr>
        <w:rStyle w:val="PageNumber"/>
      </w:rPr>
      <w:instrText xml:space="preserve"> PAGE </w:instrText>
    </w:r>
    <w:r>
      <w:rPr>
        <w:rStyle w:val="PageNumber"/>
      </w:rPr>
      <w:fldChar w:fldCharType="separate"/>
    </w:r>
    <w:r w:rsidR="00534D68">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2548" w14:textId="7FD8C782" w:rsidR="00AB7E18" w:rsidRDefault="006259A5" w:rsidP="00D5719D">
    <w:pPr>
      <w:pStyle w:val="Normal-pool"/>
    </w:pPr>
    <w:r>
      <w:rPr>
        <w:lang w:val="fr-FR"/>
      </w:rPr>
      <w:t>K1801</w:t>
    </w:r>
    <w:r w:rsidR="009A4C9E">
      <w:rPr>
        <w:lang w:val="fr-FR"/>
      </w:rPr>
      <w:t>325</w:t>
    </w:r>
    <w:r>
      <w:rPr>
        <w:lang w:val="fr-FR"/>
      </w:rPr>
      <w:tab/>
    </w:r>
    <w:r w:rsidR="00241696">
      <w:rPr>
        <w:lang w:val="fr-FR"/>
      </w:rPr>
      <w:t>27</w:t>
    </w:r>
    <w:r w:rsidR="009A4C9E">
      <w:rPr>
        <w:lang w:val="fr-FR"/>
      </w:rPr>
      <w:t>07</w:t>
    </w:r>
    <w:r>
      <w:rPr>
        <w:lang w:val="fr-FR"/>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E124" w14:textId="77777777" w:rsidR="00CB2039" w:rsidRDefault="00CB2039" w:rsidP="00D92DE0">
      <w:pPr>
        <w:ind w:left="624"/>
      </w:pPr>
      <w:r>
        <w:separator/>
      </w:r>
    </w:p>
  </w:footnote>
  <w:footnote w:type="continuationSeparator" w:id="0">
    <w:p w14:paraId="2F2CB8C0" w14:textId="77777777" w:rsidR="00CB2039" w:rsidRDefault="00CB2039">
      <w:r>
        <w:continuationSeparator/>
      </w:r>
    </w:p>
  </w:footnote>
  <w:footnote w:id="1">
    <w:p w14:paraId="72FEC226" w14:textId="77777777" w:rsidR="004D06C1" w:rsidRPr="00E91454" w:rsidRDefault="004D06C1" w:rsidP="004D06C1">
      <w:pPr>
        <w:pStyle w:val="FootnoteText"/>
        <w:tabs>
          <w:tab w:val="left" w:pos="624"/>
        </w:tabs>
        <w:rPr>
          <w:szCs w:val="18"/>
        </w:rPr>
      </w:pPr>
      <w:r w:rsidRPr="00E91454">
        <w:rPr>
          <w:rStyle w:val="FootnoteReference"/>
          <w:vertAlign w:val="baseline"/>
          <w:lang w:val="fr-FR"/>
        </w:rPr>
        <w:sym w:font="Symbol" w:char="F02A"/>
      </w:r>
      <w:r>
        <w:rPr>
          <w:lang w:val="fr-FR"/>
        </w:rPr>
        <w:t xml:space="preserve"> UNEP/POPS/POPRC.14/1.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F98F" w14:textId="291C4305" w:rsidR="00133A8C" w:rsidRPr="000F4391" w:rsidRDefault="007A6C3E">
    <w:pPr>
      <w:pStyle w:val="Header"/>
      <w:rPr>
        <w:szCs w:val="18"/>
      </w:rPr>
    </w:pPr>
    <w:r>
      <w:rPr>
        <w:szCs w:val="18"/>
      </w:rPr>
      <w:t>UNEP/POPS/POPRC.</w:t>
    </w:r>
    <w:r w:rsidR="00055A9D">
      <w:rPr>
        <w:szCs w:val="18"/>
      </w:rPr>
      <w:t>1</w:t>
    </w:r>
    <w:r w:rsidR="009A4C9E">
      <w:rPr>
        <w:szCs w:val="18"/>
      </w:rPr>
      <w:t>4/INF</w:t>
    </w:r>
    <w:r>
      <w:rPr>
        <w:szCs w:val="18"/>
      </w:rPr>
      <w:t>/</w:t>
    </w:r>
    <w:r w:rsidR="001968A8">
      <w:rPr>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90BF" w14:textId="5B00C7E8" w:rsidR="00133A8C" w:rsidRPr="000F4391" w:rsidRDefault="007A6C3E" w:rsidP="000F4391">
    <w:pPr>
      <w:pStyle w:val="Header"/>
      <w:jc w:val="right"/>
      <w:rPr>
        <w:szCs w:val="18"/>
      </w:rPr>
    </w:pPr>
    <w:r>
      <w:rPr>
        <w:szCs w:val="18"/>
      </w:rPr>
      <w:t>UNEP/POPS/POPRC.1</w:t>
    </w:r>
    <w:r w:rsidR="009A4C9E">
      <w:rPr>
        <w:szCs w:val="18"/>
      </w:rPr>
      <w:t>4/INF/</w:t>
    </w:r>
    <w:r>
      <w:rPr>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BE9F" w14:textId="58BD3519" w:rsidR="00133A8C" w:rsidRPr="00A522EE" w:rsidRDefault="00133A8C" w:rsidP="0090404C">
    <w:pPr>
      <w:pStyle w:val="Header"/>
      <w:pBdr>
        <w:bottom w:val="none" w:sz="0" w:space="0" w:color="auto"/>
      </w:pBdr>
      <w:tabs>
        <w:tab w:val="clear" w:pos="4536"/>
        <w:tab w:val="clear" w:pos="9072"/>
        <w:tab w:val="left" w:pos="624"/>
      </w:tabs>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8EC"/>
    <w:multiLevelType w:val="multilevel"/>
    <w:tmpl w:val="4E7698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AB44C62"/>
    <w:multiLevelType w:val="hybridMultilevel"/>
    <w:tmpl w:val="F040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E7CCA"/>
    <w:multiLevelType w:val="multilevel"/>
    <w:tmpl w:val="F2508B6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17F82BCE"/>
    <w:multiLevelType w:val="hybridMultilevel"/>
    <w:tmpl w:val="7F6A6824"/>
    <w:lvl w:ilvl="0" w:tplc="08090017">
      <w:start w:val="1"/>
      <w:numFmt w:val="lowerLetter"/>
      <w:lvlText w:val="%1)"/>
      <w:lvlJc w:val="left"/>
      <w:pPr>
        <w:ind w:left="2534" w:hanging="360"/>
      </w:pPr>
      <w:rPr>
        <w:rFonts w:hint="default"/>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DE6478E"/>
    <w:multiLevelType w:val="multilevel"/>
    <w:tmpl w:val="F3E431C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50FF1455"/>
    <w:multiLevelType w:val="multilevel"/>
    <w:tmpl w:val="CCE6232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62291BF8"/>
    <w:multiLevelType w:val="multilevel"/>
    <w:tmpl w:val="8872E3BA"/>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97"/>
        </w:tabs>
        <w:ind w:left="297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4153684"/>
    <w:multiLevelType w:val="multilevel"/>
    <w:tmpl w:val="2D78D84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65B937C2"/>
    <w:multiLevelType w:val="hybridMultilevel"/>
    <w:tmpl w:val="E2240F44"/>
    <w:lvl w:ilvl="0" w:tplc="82F2F8BC">
      <w:start w:val="1"/>
      <w:numFmt w:val="upperLetter"/>
      <w:lvlText w:val="%1."/>
      <w:lvlJc w:val="left"/>
      <w:pPr>
        <w:ind w:left="1208" w:hanging="848"/>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82D2E75"/>
    <w:multiLevelType w:val="hybridMultilevel"/>
    <w:tmpl w:val="93CEEA9A"/>
    <w:lvl w:ilvl="0" w:tplc="B03460E4">
      <w:start w:val="1"/>
      <w:numFmt w:val="upperLetter"/>
      <w:lvlText w:val="%1."/>
      <w:lvlJc w:val="left"/>
      <w:pPr>
        <w:ind w:left="927" w:hanging="360"/>
      </w:pPr>
      <w:rPr>
        <w:rFonts w:eastAsia="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8"/>
  </w:num>
  <w:num w:numId="3">
    <w:abstractNumId w:val="4"/>
  </w:num>
  <w:num w:numId="4">
    <w:abstractNumId w:val="6"/>
  </w:num>
  <w:num w:numId="5">
    <w:abstractNumId w:val="9"/>
    <w:lvlOverride w:ilvl="0">
      <w:lvl w:ilvl="0">
        <w:start w:val="1"/>
        <w:numFmt w:val="decimal"/>
        <w:pStyle w:val="Normalnumber"/>
        <w:lvlText w:val="%1."/>
        <w:lvlJc w:val="left"/>
        <w:pPr>
          <w:tabs>
            <w:tab w:val="num" w:pos="567"/>
          </w:tabs>
          <w:ind w:left="1247" w:firstLine="0"/>
        </w:pPr>
        <w:rPr>
          <w:rFonts w:hint="default"/>
        </w:rPr>
      </w:lvl>
    </w:lvlOverride>
  </w:num>
  <w:num w:numId="6">
    <w:abstractNumId w:val="9"/>
  </w:num>
  <w:num w:numId="7">
    <w:abstractNumId w:val="1"/>
  </w:num>
  <w:num w:numId="8">
    <w:abstractNumId w:val="5"/>
  </w:num>
  <w:num w:numId="9">
    <w:abstractNumId w:val="7"/>
  </w:num>
  <w:num w:numId="10">
    <w:abstractNumId w:val="3"/>
  </w:num>
  <w:num w:numId="11">
    <w:abstractNumId w:val="0"/>
  </w:num>
  <w:num w:numId="12">
    <w:abstractNumId w:val="10"/>
  </w:num>
  <w:num w:numId="13">
    <w:abstractNumId w:val="2"/>
  </w:num>
  <w:num w:numId="14">
    <w:abstractNumId w:val="11"/>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1"/>
  <w:activeWritingStyle w:appName="MSWord" w:lang="fr-CA"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51"/>
    <w:rsid w:val="00012BA4"/>
    <w:rsid w:val="000149E6"/>
    <w:rsid w:val="00017C52"/>
    <w:rsid w:val="000247B0"/>
    <w:rsid w:val="000253D9"/>
    <w:rsid w:val="00026997"/>
    <w:rsid w:val="00033E0B"/>
    <w:rsid w:val="00035EDE"/>
    <w:rsid w:val="000509B4"/>
    <w:rsid w:val="00054B99"/>
    <w:rsid w:val="00055A9D"/>
    <w:rsid w:val="0006035B"/>
    <w:rsid w:val="00070313"/>
    <w:rsid w:val="00071886"/>
    <w:rsid w:val="00071DE5"/>
    <w:rsid w:val="00073A99"/>
    <w:rsid w:val="000742BC"/>
    <w:rsid w:val="00082A0C"/>
    <w:rsid w:val="00083504"/>
    <w:rsid w:val="00093E68"/>
    <w:rsid w:val="0009640C"/>
    <w:rsid w:val="000A44E2"/>
    <w:rsid w:val="000B22A2"/>
    <w:rsid w:val="000B2FE4"/>
    <w:rsid w:val="000C05CD"/>
    <w:rsid w:val="000C2A52"/>
    <w:rsid w:val="000D1111"/>
    <w:rsid w:val="000D33C0"/>
    <w:rsid w:val="000D6941"/>
    <w:rsid w:val="000F4391"/>
    <w:rsid w:val="000F5A07"/>
    <w:rsid w:val="00106FCD"/>
    <w:rsid w:val="00111A51"/>
    <w:rsid w:val="001202E3"/>
    <w:rsid w:val="00123699"/>
    <w:rsid w:val="0012639E"/>
    <w:rsid w:val="0013059D"/>
    <w:rsid w:val="00130FCE"/>
    <w:rsid w:val="00133A8C"/>
    <w:rsid w:val="00140760"/>
    <w:rsid w:val="00141A55"/>
    <w:rsid w:val="00141A76"/>
    <w:rsid w:val="001446A3"/>
    <w:rsid w:val="00147EC7"/>
    <w:rsid w:val="001524AC"/>
    <w:rsid w:val="00155395"/>
    <w:rsid w:val="0016084C"/>
    <w:rsid w:val="001609B3"/>
    <w:rsid w:val="00160D74"/>
    <w:rsid w:val="00167D02"/>
    <w:rsid w:val="00177B5F"/>
    <w:rsid w:val="00181EC8"/>
    <w:rsid w:val="00184349"/>
    <w:rsid w:val="0019388F"/>
    <w:rsid w:val="00195F33"/>
    <w:rsid w:val="001968A8"/>
    <w:rsid w:val="001A6B39"/>
    <w:rsid w:val="001A7B24"/>
    <w:rsid w:val="001B1617"/>
    <w:rsid w:val="001B504B"/>
    <w:rsid w:val="001C37F6"/>
    <w:rsid w:val="001C48C5"/>
    <w:rsid w:val="001C7740"/>
    <w:rsid w:val="001D3874"/>
    <w:rsid w:val="001D7E75"/>
    <w:rsid w:val="001E019F"/>
    <w:rsid w:val="001E56D2"/>
    <w:rsid w:val="001E7D56"/>
    <w:rsid w:val="001F00CA"/>
    <w:rsid w:val="001F1B1D"/>
    <w:rsid w:val="001F7033"/>
    <w:rsid w:val="001F75DE"/>
    <w:rsid w:val="00200D58"/>
    <w:rsid w:val="002013BE"/>
    <w:rsid w:val="002063A4"/>
    <w:rsid w:val="0021145B"/>
    <w:rsid w:val="00213873"/>
    <w:rsid w:val="00221041"/>
    <w:rsid w:val="00222605"/>
    <w:rsid w:val="002315D6"/>
    <w:rsid w:val="00241696"/>
    <w:rsid w:val="00243243"/>
    <w:rsid w:val="00243D36"/>
    <w:rsid w:val="00245B0E"/>
    <w:rsid w:val="00246241"/>
    <w:rsid w:val="00247707"/>
    <w:rsid w:val="0026018E"/>
    <w:rsid w:val="00275B03"/>
    <w:rsid w:val="0028023F"/>
    <w:rsid w:val="00284B44"/>
    <w:rsid w:val="00286740"/>
    <w:rsid w:val="002929D8"/>
    <w:rsid w:val="002950D5"/>
    <w:rsid w:val="002A237D"/>
    <w:rsid w:val="002A4C53"/>
    <w:rsid w:val="002A7D1A"/>
    <w:rsid w:val="002B0672"/>
    <w:rsid w:val="002B247F"/>
    <w:rsid w:val="002B7920"/>
    <w:rsid w:val="002C145D"/>
    <w:rsid w:val="002C2C3E"/>
    <w:rsid w:val="002C41FA"/>
    <w:rsid w:val="002C533E"/>
    <w:rsid w:val="002C5A5D"/>
    <w:rsid w:val="002D027F"/>
    <w:rsid w:val="002D141F"/>
    <w:rsid w:val="002D7A85"/>
    <w:rsid w:val="002D7AB7"/>
    <w:rsid w:val="002D7B60"/>
    <w:rsid w:val="002F24A7"/>
    <w:rsid w:val="002F4761"/>
    <w:rsid w:val="002F5C79"/>
    <w:rsid w:val="003017E2"/>
    <w:rsid w:val="003019E2"/>
    <w:rsid w:val="0030204D"/>
    <w:rsid w:val="00310264"/>
    <w:rsid w:val="0031413F"/>
    <w:rsid w:val="003148BB"/>
    <w:rsid w:val="00316FF5"/>
    <w:rsid w:val="00317976"/>
    <w:rsid w:val="003260EE"/>
    <w:rsid w:val="003262C7"/>
    <w:rsid w:val="00333B84"/>
    <w:rsid w:val="003427E4"/>
    <w:rsid w:val="00355EA9"/>
    <w:rsid w:val="003578DE"/>
    <w:rsid w:val="0038026E"/>
    <w:rsid w:val="00396257"/>
    <w:rsid w:val="00397EB8"/>
    <w:rsid w:val="003A1BF8"/>
    <w:rsid w:val="003A3F55"/>
    <w:rsid w:val="003A4FD0"/>
    <w:rsid w:val="003A69D1"/>
    <w:rsid w:val="003A7705"/>
    <w:rsid w:val="003A77F1"/>
    <w:rsid w:val="003B1545"/>
    <w:rsid w:val="003B1E6E"/>
    <w:rsid w:val="003C409D"/>
    <w:rsid w:val="003C5BA6"/>
    <w:rsid w:val="003D4097"/>
    <w:rsid w:val="003D56D7"/>
    <w:rsid w:val="003E4C22"/>
    <w:rsid w:val="003F0E85"/>
    <w:rsid w:val="00410C55"/>
    <w:rsid w:val="00416854"/>
    <w:rsid w:val="00417725"/>
    <w:rsid w:val="00420EF1"/>
    <w:rsid w:val="004261AC"/>
    <w:rsid w:val="00437F26"/>
    <w:rsid w:val="00444097"/>
    <w:rsid w:val="00445463"/>
    <w:rsid w:val="00445487"/>
    <w:rsid w:val="00452039"/>
    <w:rsid w:val="00454769"/>
    <w:rsid w:val="00462387"/>
    <w:rsid w:val="00466991"/>
    <w:rsid w:val="0047064C"/>
    <w:rsid w:val="00474208"/>
    <w:rsid w:val="004844E1"/>
    <w:rsid w:val="004851E3"/>
    <w:rsid w:val="004911BD"/>
    <w:rsid w:val="004963D4"/>
    <w:rsid w:val="004A126A"/>
    <w:rsid w:val="004A42E1"/>
    <w:rsid w:val="004A57BE"/>
    <w:rsid w:val="004A5987"/>
    <w:rsid w:val="004B162C"/>
    <w:rsid w:val="004C3DBE"/>
    <w:rsid w:val="004C5014"/>
    <w:rsid w:val="004C5C96"/>
    <w:rsid w:val="004D06A4"/>
    <w:rsid w:val="004D06C1"/>
    <w:rsid w:val="004D723B"/>
    <w:rsid w:val="004E42EB"/>
    <w:rsid w:val="004E68A9"/>
    <w:rsid w:val="004F1A81"/>
    <w:rsid w:val="004F2942"/>
    <w:rsid w:val="005218D9"/>
    <w:rsid w:val="00534D68"/>
    <w:rsid w:val="00536186"/>
    <w:rsid w:val="00543160"/>
    <w:rsid w:val="005431DA"/>
    <w:rsid w:val="00544CBB"/>
    <w:rsid w:val="00552DAF"/>
    <w:rsid w:val="0057315F"/>
    <w:rsid w:val="00576104"/>
    <w:rsid w:val="00584295"/>
    <w:rsid w:val="005849C5"/>
    <w:rsid w:val="00591926"/>
    <w:rsid w:val="0059650A"/>
    <w:rsid w:val="005A4DB5"/>
    <w:rsid w:val="005A51DC"/>
    <w:rsid w:val="005A5FC6"/>
    <w:rsid w:val="005C0AB9"/>
    <w:rsid w:val="005C67C8"/>
    <w:rsid w:val="005C6BD6"/>
    <w:rsid w:val="005D0249"/>
    <w:rsid w:val="005D6E8C"/>
    <w:rsid w:val="005F100C"/>
    <w:rsid w:val="005F68DA"/>
    <w:rsid w:val="00604737"/>
    <w:rsid w:val="0060773B"/>
    <w:rsid w:val="00613767"/>
    <w:rsid w:val="006157B5"/>
    <w:rsid w:val="006259A5"/>
    <w:rsid w:val="00626FC6"/>
    <w:rsid w:val="006303B4"/>
    <w:rsid w:val="00633D3D"/>
    <w:rsid w:val="00634BA4"/>
    <w:rsid w:val="00641703"/>
    <w:rsid w:val="006431A6"/>
    <w:rsid w:val="006459F6"/>
    <w:rsid w:val="006501AD"/>
    <w:rsid w:val="00651BFA"/>
    <w:rsid w:val="00651DC5"/>
    <w:rsid w:val="00652549"/>
    <w:rsid w:val="00654475"/>
    <w:rsid w:val="00654D58"/>
    <w:rsid w:val="00657B66"/>
    <w:rsid w:val="00661F86"/>
    <w:rsid w:val="00665A4B"/>
    <w:rsid w:val="006771B3"/>
    <w:rsid w:val="00680FC3"/>
    <w:rsid w:val="00683623"/>
    <w:rsid w:val="00692E2A"/>
    <w:rsid w:val="00697AC8"/>
    <w:rsid w:val="006A3C1E"/>
    <w:rsid w:val="006A4735"/>
    <w:rsid w:val="006A76F2"/>
    <w:rsid w:val="006A7D5F"/>
    <w:rsid w:val="006B28B5"/>
    <w:rsid w:val="006B74F9"/>
    <w:rsid w:val="006D014E"/>
    <w:rsid w:val="006D2605"/>
    <w:rsid w:val="006D7EFB"/>
    <w:rsid w:val="006E2390"/>
    <w:rsid w:val="006E396C"/>
    <w:rsid w:val="006E6672"/>
    <w:rsid w:val="006E6722"/>
    <w:rsid w:val="006E7A3B"/>
    <w:rsid w:val="006F0089"/>
    <w:rsid w:val="00700C3B"/>
    <w:rsid w:val="00701C51"/>
    <w:rsid w:val="007027B9"/>
    <w:rsid w:val="007157B7"/>
    <w:rsid w:val="00715E88"/>
    <w:rsid w:val="00734CAA"/>
    <w:rsid w:val="007363B9"/>
    <w:rsid w:val="007448F6"/>
    <w:rsid w:val="0075533C"/>
    <w:rsid w:val="00757581"/>
    <w:rsid w:val="0076023E"/>
    <w:rsid w:val="007611A0"/>
    <w:rsid w:val="007615F7"/>
    <w:rsid w:val="00775F1C"/>
    <w:rsid w:val="0077790D"/>
    <w:rsid w:val="00792D8F"/>
    <w:rsid w:val="00796674"/>
    <w:rsid w:val="00796D3F"/>
    <w:rsid w:val="007A1683"/>
    <w:rsid w:val="007A5C12"/>
    <w:rsid w:val="007A6C3E"/>
    <w:rsid w:val="007A7CB0"/>
    <w:rsid w:val="007B6289"/>
    <w:rsid w:val="007B68A3"/>
    <w:rsid w:val="007C2541"/>
    <w:rsid w:val="007C2DCB"/>
    <w:rsid w:val="007C3E2C"/>
    <w:rsid w:val="007D352E"/>
    <w:rsid w:val="007D66A8"/>
    <w:rsid w:val="007E003F"/>
    <w:rsid w:val="007E0639"/>
    <w:rsid w:val="007E778D"/>
    <w:rsid w:val="007E7942"/>
    <w:rsid w:val="007F4967"/>
    <w:rsid w:val="008164F2"/>
    <w:rsid w:val="00821395"/>
    <w:rsid w:val="00827820"/>
    <w:rsid w:val="00830E26"/>
    <w:rsid w:val="008351F8"/>
    <w:rsid w:val="00843576"/>
    <w:rsid w:val="00843B64"/>
    <w:rsid w:val="008478FC"/>
    <w:rsid w:val="008548AC"/>
    <w:rsid w:val="00865BD6"/>
    <w:rsid w:val="00867BFF"/>
    <w:rsid w:val="008718CF"/>
    <w:rsid w:val="00875222"/>
    <w:rsid w:val="00880572"/>
    <w:rsid w:val="0088480A"/>
    <w:rsid w:val="0088757A"/>
    <w:rsid w:val="008957DD"/>
    <w:rsid w:val="00897D98"/>
    <w:rsid w:val="008A1BCA"/>
    <w:rsid w:val="008A5BEB"/>
    <w:rsid w:val="008A6DF2"/>
    <w:rsid w:val="008A7807"/>
    <w:rsid w:val="008B4CC9"/>
    <w:rsid w:val="008B4DAC"/>
    <w:rsid w:val="008C1F1B"/>
    <w:rsid w:val="008C3B0B"/>
    <w:rsid w:val="008C74B0"/>
    <w:rsid w:val="008D0323"/>
    <w:rsid w:val="008D7C99"/>
    <w:rsid w:val="008E0FCB"/>
    <w:rsid w:val="008E23D3"/>
    <w:rsid w:val="008E66E4"/>
    <w:rsid w:val="008F1889"/>
    <w:rsid w:val="008F52CA"/>
    <w:rsid w:val="008F690A"/>
    <w:rsid w:val="008F6EBF"/>
    <w:rsid w:val="0090404C"/>
    <w:rsid w:val="00904695"/>
    <w:rsid w:val="009066D1"/>
    <w:rsid w:val="0092178C"/>
    <w:rsid w:val="00930B88"/>
    <w:rsid w:val="00940DCC"/>
    <w:rsid w:val="0094179A"/>
    <w:rsid w:val="0094459E"/>
    <w:rsid w:val="00944DBC"/>
    <w:rsid w:val="00950977"/>
    <w:rsid w:val="00951A7B"/>
    <w:rsid w:val="009564A6"/>
    <w:rsid w:val="00960C74"/>
    <w:rsid w:val="00960F21"/>
    <w:rsid w:val="00967621"/>
    <w:rsid w:val="00967E6A"/>
    <w:rsid w:val="0097785A"/>
    <w:rsid w:val="0098726E"/>
    <w:rsid w:val="0099440A"/>
    <w:rsid w:val="009A4C9E"/>
    <w:rsid w:val="009B4A0F"/>
    <w:rsid w:val="009B6C4A"/>
    <w:rsid w:val="009C11D2"/>
    <w:rsid w:val="009C3A45"/>
    <w:rsid w:val="009C6A18"/>
    <w:rsid w:val="009C6C70"/>
    <w:rsid w:val="009D0B63"/>
    <w:rsid w:val="009E307E"/>
    <w:rsid w:val="009F10B2"/>
    <w:rsid w:val="009F47DE"/>
    <w:rsid w:val="009F71F4"/>
    <w:rsid w:val="00A02A78"/>
    <w:rsid w:val="00A07622"/>
    <w:rsid w:val="00A07870"/>
    <w:rsid w:val="00A07F19"/>
    <w:rsid w:val="00A1267C"/>
    <w:rsid w:val="00A1348D"/>
    <w:rsid w:val="00A21895"/>
    <w:rsid w:val="00A232EE"/>
    <w:rsid w:val="00A30891"/>
    <w:rsid w:val="00A4175F"/>
    <w:rsid w:val="00A424CA"/>
    <w:rsid w:val="00A44411"/>
    <w:rsid w:val="00A469FA"/>
    <w:rsid w:val="00A522EE"/>
    <w:rsid w:val="00A5570B"/>
    <w:rsid w:val="00A55B01"/>
    <w:rsid w:val="00A56B5B"/>
    <w:rsid w:val="00A57744"/>
    <w:rsid w:val="00A603FF"/>
    <w:rsid w:val="00A657DD"/>
    <w:rsid w:val="00A666A6"/>
    <w:rsid w:val="00A675FD"/>
    <w:rsid w:val="00A72437"/>
    <w:rsid w:val="00A758BF"/>
    <w:rsid w:val="00A80611"/>
    <w:rsid w:val="00A8154B"/>
    <w:rsid w:val="00A959D4"/>
    <w:rsid w:val="00AA067D"/>
    <w:rsid w:val="00AA311D"/>
    <w:rsid w:val="00AB3AE6"/>
    <w:rsid w:val="00AB5340"/>
    <w:rsid w:val="00AB77DC"/>
    <w:rsid w:val="00AB7E18"/>
    <w:rsid w:val="00AC0A89"/>
    <w:rsid w:val="00AC7C96"/>
    <w:rsid w:val="00AD0F12"/>
    <w:rsid w:val="00AE237D"/>
    <w:rsid w:val="00AE502A"/>
    <w:rsid w:val="00AE6960"/>
    <w:rsid w:val="00AF28F0"/>
    <w:rsid w:val="00AF796A"/>
    <w:rsid w:val="00AF7C07"/>
    <w:rsid w:val="00B203E4"/>
    <w:rsid w:val="00B2188F"/>
    <w:rsid w:val="00B22A9A"/>
    <w:rsid w:val="00B22C93"/>
    <w:rsid w:val="00B27589"/>
    <w:rsid w:val="00B31134"/>
    <w:rsid w:val="00B405B7"/>
    <w:rsid w:val="00B52222"/>
    <w:rsid w:val="00B52892"/>
    <w:rsid w:val="00B54FE7"/>
    <w:rsid w:val="00B60B17"/>
    <w:rsid w:val="00B64D4C"/>
    <w:rsid w:val="00B66901"/>
    <w:rsid w:val="00B71E6D"/>
    <w:rsid w:val="00B72070"/>
    <w:rsid w:val="00B779E1"/>
    <w:rsid w:val="00B81A21"/>
    <w:rsid w:val="00B91EE1"/>
    <w:rsid w:val="00B939F7"/>
    <w:rsid w:val="00BA0090"/>
    <w:rsid w:val="00BA1A67"/>
    <w:rsid w:val="00BA73CC"/>
    <w:rsid w:val="00BB4EFC"/>
    <w:rsid w:val="00BD4E1F"/>
    <w:rsid w:val="00BE5B5F"/>
    <w:rsid w:val="00BF6ABB"/>
    <w:rsid w:val="00BF7EE2"/>
    <w:rsid w:val="00C01977"/>
    <w:rsid w:val="00C01FB7"/>
    <w:rsid w:val="00C17CAF"/>
    <w:rsid w:val="00C2348A"/>
    <w:rsid w:val="00C26F55"/>
    <w:rsid w:val="00C30C63"/>
    <w:rsid w:val="00C3671A"/>
    <w:rsid w:val="00C36B8B"/>
    <w:rsid w:val="00C415C1"/>
    <w:rsid w:val="00C47DBF"/>
    <w:rsid w:val="00C552FF"/>
    <w:rsid w:val="00C558DA"/>
    <w:rsid w:val="00C55AF3"/>
    <w:rsid w:val="00C571F8"/>
    <w:rsid w:val="00C64D96"/>
    <w:rsid w:val="00C77CF0"/>
    <w:rsid w:val="00C84434"/>
    <w:rsid w:val="00C84759"/>
    <w:rsid w:val="00C853D2"/>
    <w:rsid w:val="00C86C90"/>
    <w:rsid w:val="00CA6C7F"/>
    <w:rsid w:val="00CB2039"/>
    <w:rsid w:val="00CB5CBF"/>
    <w:rsid w:val="00CC0E96"/>
    <w:rsid w:val="00CC10A6"/>
    <w:rsid w:val="00CD5EB8"/>
    <w:rsid w:val="00CD7044"/>
    <w:rsid w:val="00CE08B9"/>
    <w:rsid w:val="00CE3A96"/>
    <w:rsid w:val="00CE524C"/>
    <w:rsid w:val="00CF02C8"/>
    <w:rsid w:val="00CF141F"/>
    <w:rsid w:val="00CF4777"/>
    <w:rsid w:val="00D01441"/>
    <w:rsid w:val="00D03CF5"/>
    <w:rsid w:val="00D067BB"/>
    <w:rsid w:val="00D11AF9"/>
    <w:rsid w:val="00D1352A"/>
    <w:rsid w:val="00D169AF"/>
    <w:rsid w:val="00D25249"/>
    <w:rsid w:val="00D434A2"/>
    <w:rsid w:val="00D44172"/>
    <w:rsid w:val="00D51B86"/>
    <w:rsid w:val="00D56D76"/>
    <w:rsid w:val="00D5719D"/>
    <w:rsid w:val="00D63B8C"/>
    <w:rsid w:val="00D64A9D"/>
    <w:rsid w:val="00D739CC"/>
    <w:rsid w:val="00D8093D"/>
    <w:rsid w:val="00D8108C"/>
    <w:rsid w:val="00D842AE"/>
    <w:rsid w:val="00D9211C"/>
    <w:rsid w:val="00D927B3"/>
    <w:rsid w:val="00D92DE0"/>
    <w:rsid w:val="00D92FEF"/>
    <w:rsid w:val="00D934A2"/>
    <w:rsid w:val="00D93A0F"/>
    <w:rsid w:val="00D94570"/>
    <w:rsid w:val="00DA1BCA"/>
    <w:rsid w:val="00DB3468"/>
    <w:rsid w:val="00DB7D4A"/>
    <w:rsid w:val="00DC46FF"/>
    <w:rsid w:val="00DC5254"/>
    <w:rsid w:val="00DC5C57"/>
    <w:rsid w:val="00DD1A4F"/>
    <w:rsid w:val="00DD3107"/>
    <w:rsid w:val="00DD7C2C"/>
    <w:rsid w:val="00DE0624"/>
    <w:rsid w:val="00DE07C6"/>
    <w:rsid w:val="00DE25E7"/>
    <w:rsid w:val="00DE30BC"/>
    <w:rsid w:val="00E06797"/>
    <w:rsid w:val="00E1265B"/>
    <w:rsid w:val="00E138B8"/>
    <w:rsid w:val="00E13B48"/>
    <w:rsid w:val="00E1404F"/>
    <w:rsid w:val="00E15086"/>
    <w:rsid w:val="00E21C83"/>
    <w:rsid w:val="00E22E28"/>
    <w:rsid w:val="00E24ADA"/>
    <w:rsid w:val="00E32F59"/>
    <w:rsid w:val="00E363B5"/>
    <w:rsid w:val="00E37855"/>
    <w:rsid w:val="00E4046A"/>
    <w:rsid w:val="00E42DAA"/>
    <w:rsid w:val="00E46926"/>
    <w:rsid w:val="00E46D9A"/>
    <w:rsid w:val="00E565FF"/>
    <w:rsid w:val="00E65388"/>
    <w:rsid w:val="00E725FD"/>
    <w:rsid w:val="00E85B7D"/>
    <w:rsid w:val="00E9121B"/>
    <w:rsid w:val="00E93529"/>
    <w:rsid w:val="00E95213"/>
    <w:rsid w:val="00E95639"/>
    <w:rsid w:val="00EA0AE2"/>
    <w:rsid w:val="00EA3672"/>
    <w:rsid w:val="00EA39E5"/>
    <w:rsid w:val="00EC5A46"/>
    <w:rsid w:val="00EC63E2"/>
    <w:rsid w:val="00EC66B4"/>
    <w:rsid w:val="00ED4F17"/>
    <w:rsid w:val="00EF22B3"/>
    <w:rsid w:val="00EF26E1"/>
    <w:rsid w:val="00EF6BB8"/>
    <w:rsid w:val="00F03B69"/>
    <w:rsid w:val="00F03EF2"/>
    <w:rsid w:val="00F0572A"/>
    <w:rsid w:val="00F057D9"/>
    <w:rsid w:val="00F07A50"/>
    <w:rsid w:val="00F113DA"/>
    <w:rsid w:val="00F16410"/>
    <w:rsid w:val="00F20B72"/>
    <w:rsid w:val="00F21C8C"/>
    <w:rsid w:val="00F3273F"/>
    <w:rsid w:val="00F353EA"/>
    <w:rsid w:val="00F37DC8"/>
    <w:rsid w:val="00F439B3"/>
    <w:rsid w:val="00F468B0"/>
    <w:rsid w:val="00F506DC"/>
    <w:rsid w:val="00F510A9"/>
    <w:rsid w:val="00F51181"/>
    <w:rsid w:val="00F5221A"/>
    <w:rsid w:val="00F557CF"/>
    <w:rsid w:val="00F565C1"/>
    <w:rsid w:val="00F57A17"/>
    <w:rsid w:val="00F650C3"/>
    <w:rsid w:val="00F65D85"/>
    <w:rsid w:val="00F70121"/>
    <w:rsid w:val="00F73D62"/>
    <w:rsid w:val="00F73FDF"/>
    <w:rsid w:val="00F776EB"/>
    <w:rsid w:val="00F8091E"/>
    <w:rsid w:val="00F8615C"/>
    <w:rsid w:val="00F92ED0"/>
    <w:rsid w:val="00F933BA"/>
    <w:rsid w:val="00F969E5"/>
    <w:rsid w:val="00F96EB4"/>
    <w:rsid w:val="00FA6BB0"/>
    <w:rsid w:val="00FC4321"/>
    <w:rsid w:val="00FD5860"/>
    <w:rsid w:val="00FE352D"/>
    <w:rsid w:val="00FE40EB"/>
    <w:rsid w:val="00FE4D02"/>
    <w:rsid w:val="00FE7D62"/>
    <w:rsid w:val="00FF04FA"/>
    <w:rsid w:val="00FF381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DA081E"/>
  <w15:docId w15:val="{AF4BE051-378B-4B4D-88FB-44EACF09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C8C"/>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F21C8C"/>
    <w:pPr>
      <w:keepNext/>
      <w:spacing w:before="240" w:after="120"/>
      <w:ind w:left="1247" w:hanging="680"/>
      <w:outlineLvl w:val="0"/>
    </w:pPr>
    <w:rPr>
      <w:b/>
      <w:sz w:val="28"/>
    </w:rPr>
  </w:style>
  <w:style w:type="paragraph" w:styleId="Heading2">
    <w:name w:val="heading 2"/>
    <w:basedOn w:val="Normal"/>
    <w:next w:val="Normalnumber"/>
    <w:qFormat/>
    <w:rsid w:val="00F21C8C"/>
    <w:pPr>
      <w:keepNext/>
      <w:spacing w:before="240" w:after="120"/>
      <w:ind w:left="1247" w:hanging="680"/>
      <w:outlineLvl w:val="1"/>
    </w:pPr>
    <w:rPr>
      <w:b/>
      <w:sz w:val="24"/>
      <w:szCs w:val="24"/>
    </w:rPr>
  </w:style>
  <w:style w:type="paragraph" w:styleId="Heading3">
    <w:name w:val="heading 3"/>
    <w:basedOn w:val="Normal"/>
    <w:next w:val="Normalnumber"/>
    <w:qFormat/>
    <w:rsid w:val="00F21C8C"/>
    <w:pPr>
      <w:spacing w:after="120"/>
      <w:ind w:left="1247" w:hanging="680"/>
      <w:outlineLvl w:val="2"/>
    </w:pPr>
    <w:rPr>
      <w:b/>
    </w:rPr>
  </w:style>
  <w:style w:type="paragraph" w:styleId="Heading4">
    <w:name w:val="heading 4"/>
    <w:basedOn w:val="Heading3"/>
    <w:next w:val="Normalnumber"/>
    <w:qFormat/>
    <w:rsid w:val="00F21C8C"/>
    <w:pPr>
      <w:keepNext/>
      <w:outlineLvl w:val="3"/>
    </w:pPr>
  </w:style>
  <w:style w:type="paragraph" w:styleId="Heading5">
    <w:name w:val="heading 5"/>
    <w:basedOn w:val="Normal"/>
    <w:next w:val="Normal"/>
    <w:qFormat/>
    <w:rsid w:val="00F21C8C"/>
    <w:pPr>
      <w:keepNext/>
      <w:outlineLvl w:val="4"/>
    </w:pPr>
    <w:rPr>
      <w:rFonts w:ascii="Univers" w:hAnsi="Univers"/>
      <w:b/>
      <w:sz w:val="24"/>
    </w:rPr>
  </w:style>
  <w:style w:type="paragraph" w:styleId="Heading6">
    <w:name w:val="heading 6"/>
    <w:basedOn w:val="Normal"/>
    <w:next w:val="Normal"/>
    <w:qFormat/>
    <w:rsid w:val="00F21C8C"/>
    <w:pPr>
      <w:keepNext/>
      <w:ind w:left="578"/>
      <w:outlineLvl w:val="5"/>
    </w:pPr>
    <w:rPr>
      <w:b/>
      <w:bCs/>
      <w:sz w:val="24"/>
    </w:rPr>
  </w:style>
  <w:style w:type="paragraph" w:styleId="Heading7">
    <w:name w:val="heading 7"/>
    <w:basedOn w:val="Normal"/>
    <w:next w:val="Normal"/>
    <w:qFormat/>
    <w:rsid w:val="00F21C8C"/>
    <w:pPr>
      <w:keepNext/>
      <w:widowControl w:val="0"/>
      <w:jc w:val="center"/>
      <w:outlineLvl w:val="6"/>
    </w:pPr>
    <w:rPr>
      <w:snapToGrid w:val="0"/>
      <w:u w:val="single"/>
      <w:lang w:val="en-US"/>
    </w:rPr>
  </w:style>
  <w:style w:type="paragraph" w:styleId="Heading8">
    <w:name w:val="heading 8"/>
    <w:basedOn w:val="Normal"/>
    <w:next w:val="Normal"/>
    <w:qFormat/>
    <w:rsid w:val="00F21C8C"/>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F21C8C"/>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F21C8C"/>
    <w:rPr>
      <w:rFonts w:ascii="Times New Roman" w:hAnsi="Times New Roman"/>
      <w:b/>
      <w:sz w:val="18"/>
    </w:rPr>
  </w:style>
  <w:style w:type="table" w:customStyle="1" w:styleId="Tabledocright">
    <w:name w:val="Table_doc_right"/>
    <w:basedOn w:val="TableNormal"/>
    <w:rsid w:val="00F21C8C"/>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F21C8C"/>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F21C8C"/>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F21C8C"/>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F21C8C"/>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F21C8C"/>
    <w:rPr>
      <w:bCs w:val="0"/>
    </w:rPr>
  </w:style>
  <w:style w:type="paragraph" w:styleId="TableofFigures">
    <w:name w:val="table of figures"/>
    <w:basedOn w:val="Normal"/>
    <w:next w:val="Normal"/>
    <w:autoRedefine/>
    <w:semiHidden/>
    <w:rsid w:val="00F21C8C"/>
    <w:pPr>
      <w:tabs>
        <w:tab w:val="clear" w:pos="1814"/>
        <w:tab w:val="clear" w:pos="2381"/>
        <w:tab w:val="clear" w:pos="2948"/>
        <w:tab w:val="clear" w:pos="3515"/>
      </w:tabs>
      <w:ind w:left="1814" w:hanging="567"/>
    </w:pPr>
  </w:style>
  <w:style w:type="paragraph" w:customStyle="1" w:styleId="CH1">
    <w:name w:val="CH1"/>
    <w:basedOn w:val="Normalpool"/>
    <w:next w:val="CH2"/>
    <w:rsid w:val="00F21C8C"/>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21C8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21C8C"/>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21C8C"/>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F21C8C"/>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F21C8C"/>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F21C8C"/>
    <w:pPr>
      <w:tabs>
        <w:tab w:val="left" w:pos="4321"/>
        <w:tab w:val="right" w:pos="8641"/>
      </w:tabs>
      <w:spacing w:before="60" w:after="120"/>
    </w:pPr>
    <w:rPr>
      <w:b/>
      <w:sz w:val="18"/>
    </w:rPr>
  </w:style>
  <w:style w:type="paragraph" w:customStyle="1" w:styleId="Headerpool">
    <w:name w:val="Header_pool"/>
    <w:basedOn w:val="Normal"/>
    <w:next w:val="Normal"/>
    <w:semiHidden/>
    <w:rsid w:val="00F21C8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F21C8C"/>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F21C8C"/>
    <w:pPr>
      <w:tabs>
        <w:tab w:val="left" w:pos="4321"/>
        <w:tab w:val="right" w:pos="8641"/>
      </w:tabs>
      <w:spacing w:before="60" w:after="120"/>
    </w:pPr>
    <w:rPr>
      <w:b/>
      <w:sz w:val="18"/>
    </w:rPr>
  </w:style>
  <w:style w:type="paragraph" w:customStyle="1" w:styleId="Header-pool">
    <w:name w:val="Header-pool"/>
    <w:basedOn w:val="Normal-pool"/>
    <w:next w:val="Normal-pool"/>
    <w:rsid w:val="00F21C8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F21C8C"/>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F21C8C"/>
    <w:rPr>
      <w:rFonts w:ascii="Times New Roman" w:hAnsi="Times New Roman"/>
      <w:color w:val="auto"/>
      <w:sz w:val="20"/>
      <w:szCs w:val="18"/>
      <w:vertAlign w:val="superscript"/>
    </w:rPr>
  </w:style>
  <w:style w:type="paragraph" w:styleId="FootnoteText">
    <w:name w:val="footnote text"/>
    <w:basedOn w:val="Normalpool"/>
    <w:link w:val="FootnoteTextChar"/>
    <w:semiHidden/>
    <w:rsid w:val="00F21C8C"/>
    <w:pPr>
      <w:spacing w:before="20" w:after="40"/>
      <w:ind w:left="1247"/>
    </w:pPr>
    <w:rPr>
      <w:sz w:val="18"/>
    </w:rPr>
  </w:style>
  <w:style w:type="character" w:customStyle="1" w:styleId="FootnoteTextChar">
    <w:name w:val="Footnote Text Char"/>
    <w:link w:val="FootnoteText"/>
    <w:semiHidden/>
    <w:locked/>
    <w:rsid w:val="00A522EE"/>
    <w:rPr>
      <w:sz w:val="18"/>
      <w:lang w:val="fr-CA"/>
    </w:rPr>
  </w:style>
  <w:style w:type="character" w:customStyle="1" w:styleId="NormalnumberChar">
    <w:name w:val="Normal_number Char"/>
    <w:link w:val="Normalnumber"/>
    <w:rsid w:val="00C84434"/>
    <w:rPr>
      <w:lang w:val="fr-CA"/>
    </w:rPr>
  </w:style>
  <w:style w:type="character" w:customStyle="1" w:styleId="BBTitleChar">
    <w:name w:val="BB_Title Char"/>
    <w:link w:val="BBTitle"/>
    <w:rsid w:val="003427E4"/>
    <w:rPr>
      <w:b/>
      <w:sz w:val="28"/>
      <w:szCs w:val="28"/>
      <w:lang w:val="fr-CA"/>
    </w:rPr>
  </w:style>
  <w:style w:type="character" w:customStyle="1" w:styleId="CH2Char">
    <w:name w:val="CH2 Char"/>
    <w:link w:val="CH2"/>
    <w:rsid w:val="00A522EE"/>
    <w:rPr>
      <w:b/>
      <w:sz w:val="24"/>
      <w:szCs w:val="24"/>
      <w:lang w:val="fr-CA"/>
    </w:rPr>
  </w:style>
  <w:style w:type="character" w:customStyle="1" w:styleId="CharChar6">
    <w:name w:val="Char Char6"/>
    <w:semiHidden/>
    <w:rsid w:val="00960F21"/>
    <w:rPr>
      <w:sz w:val="18"/>
      <w:lang w:eastAsia="en-US"/>
    </w:rPr>
  </w:style>
  <w:style w:type="character" w:customStyle="1" w:styleId="HeaderChar">
    <w:name w:val="Header Char"/>
    <w:link w:val="Header"/>
    <w:semiHidden/>
    <w:rsid w:val="00960F21"/>
    <w:rPr>
      <w:b/>
      <w:sz w:val="18"/>
      <w:lang w:val="fr-FR"/>
    </w:rPr>
  </w:style>
  <w:style w:type="paragraph" w:styleId="BalloonText">
    <w:name w:val="Balloon Text"/>
    <w:basedOn w:val="Normal"/>
    <w:link w:val="BalloonTextChar"/>
    <w:rsid w:val="0012639E"/>
    <w:rPr>
      <w:rFonts w:ascii="Tahoma" w:hAnsi="Tahoma"/>
      <w:sz w:val="16"/>
      <w:szCs w:val="16"/>
    </w:rPr>
  </w:style>
  <w:style w:type="character" w:customStyle="1" w:styleId="BalloonTextChar">
    <w:name w:val="Balloon Text Char"/>
    <w:link w:val="BalloonText"/>
    <w:rsid w:val="0012639E"/>
    <w:rPr>
      <w:rFonts w:ascii="Tahoma" w:hAnsi="Tahoma" w:cs="Tahoma"/>
      <w:sz w:val="16"/>
      <w:szCs w:val="16"/>
      <w:lang w:eastAsia="en-US"/>
    </w:rPr>
  </w:style>
  <w:style w:type="table" w:styleId="TableGrid">
    <w:name w:val="Table Grid"/>
    <w:basedOn w:val="TableNormal"/>
    <w:uiPriority w:val="59"/>
    <w:rsid w:val="00B2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F21C8C"/>
    <w:rPr>
      <w:lang w:val="fr-FR" w:eastAsia="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F21C8C"/>
    <w:pPr>
      <w:keepNext/>
      <w:keepLines/>
      <w:suppressAutoHyphens/>
      <w:ind w:right="5103"/>
    </w:pPr>
    <w:rPr>
      <w:b/>
    </w:rPr>
  </w:style>
  <w:style w:type="paragraph" w:customStyle="1" w:styleId="AATitle2">
    <w:name w:val="AA_Title2"/>
    <w:basedOn w:val="AATitle"/>
    <w:rsid w:val="00C84434"/>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F21C8C"/>
    <w:pPr>
      <w:keepNext/>
      <w:keepLines/>
      <w:suppressAutoHyphens/>
      <w:spacing w:before="320" w:after="240"/>
      <w:ind w:left="1247" w:right="567"/>
    </w:pPr>
    <w:rPr>
      <w:b/>
      <w:sz w:val="28"/>
      <w:szCs w:val="28"/>
    </w:rPr>
  </w:style>
  <w:style w:type="paragraph" w:styleId="Footer">
    <w:name w:val="footer"/>
    <w:basedOn w:val="Normal"/>
    <w:semiHidden/>
    <w:rsid w:val="00F21C8C"/>
    <w:pPr>
      <w:tabs>
        <w:tab w:val="center" w:pos="4320"/>
        <w:tab w:val="right" w:pos="8640"/>
      </w:tabs>
      <w:spacing w:before="60" w:after="120"/>
    </w:pPr>
    <w:rPr>
      <w:sz w:val="18"/>
    </w:rPr>
  </w:style>
  <w:style w:type="paragraph" w:styleId="Header">
    <w:name w:val="header"/>
    <w:basedOn w:val="Normal"/>
    <w:link w:val="HeaderChar"/>
    <w:semiHidden/>
    <w:rsid w:val="00F21C8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F21C8C"/>
    <w:rPr>
      <w:rFonts w:ascii="Times New Roman" w:hAnsi="Times New Roman"/>
      <w:color w:val="auto"/>
      <w:sz w:val="20"/>
      <w:szCs w:val="20"/>
      <w:u w:val="none"/>
      <w:lang w:val="fr-FR"/>
    </w:rPr>
  </w:style>
  <w:style w:type="numbering" w:customStyle="1" w:styleId="Normallist">
    <w:name w:val="Normal_list"/>
    <w:basedOn w:val="NoList"/>
    <w:rsid w:val="00F21C8C"/>
    <w:pPr>
      <w:numPr>
        <w:numId w:val="2"/>
      </w:numPr>
    </w:pPr>
  </w:style>
  <w:style w:type="paragraph" w:customStyle="1" w:styleId="NormalNonumber">
    <w:name w:val="Normal_No_number"/>
    <w:basedOn w:val="Normalpool"/>
    <w:rsid w:val="00F21C8C"/>
    <w:pPr>
      <w:spacing w:after="120"/>
      <w:ind w:left="1247"/>
    </w:pPr>
  </w:style>
  <w:style w:type="paragraph" w:customStyle="1" w:styleId="Normalnumber">
    <w:name w:val="Normal_number"/>
    <w:basedOn w:val="Normalpool"/>
    <w:link w:val="NormalnumberChar"/>
    <w:uiPriority w:val="99"/>
    <w:rsid w:val="00C84434"/>
    <w:pPr>
      <w:numPr>
        <w:numId w:val="5"/>
      </w:numPr>
      <w:tabs>
        <w:tab w:val="clear" w:pos="567"/>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F21C8C"/>
    <w:pPr>
      <w:keepNext/>
      <w:keepLines/>
      <w:suppressAutoHyphens/>
      <w:spacing w:after="60"/>
      <w:ind w:left="1247"/>
    </w:pPr>
    <w:rPr>
      <w:b/>
      <w:bCs/>
    </w:rPr>
  </w:style>
  <w:style w:type="paragraph" w:styleId="TOC1">
    <w:name w:val="toc 1"/>
    <w:basedOn w:val="Normalpool"/>
    <w:next w:val="Normalpool"/>
    <w:rsid w:val="00F21C8C"/>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21C8C"/>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21C8C"/>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21C8C"/>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21C8C"/>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F21C8C"/>
    <w:rPr>
      <w:b/>
      <w:bCs/>
      <w:sz w:val="28"/>
      <w:szCs w:val="22"/>
    </w:rPr>
  </w:style>
  <w:style w:type="paragraph" w:customStyle="1" w:styleId="ZZAnxtitle">
    <w:name w:val="ZZ_Anx_title"/>
    <w:basedOn w:val="Normalpool"/>
    <w:rsid w:val="00F21C8C"/>
    <w:pPr>
      <w:spacing w:before="360" w:after="120"/>
      <w:ind w:left="1247"/>
    </w:pPr>
    <w:rPr>
      <w:b/>
      <w:bCs/>
      <w:sz w:val="28"/>
      <w:szCs w:val="26"/>
    </w:rPr>
  </w:style>
  <w:style w:type="character" w:styleId="CommentReference">
    <w:name w:val="annotation reference"/>
    <w:basedOn w:val="DefaultParagraphFont"/>
    <w:rsid w:val="007448F6"/>
    <w:rPr>
      <w:sz w:val="16"/>
      <w:szCs w:val="16"/>
    </w:rPr>
  </w:style>
  <w:style w:type="paragraph" w:styleId="CommentText">
    <w:name w:val="annotation text"/>
    <w:basedOn w:val="Normal"/>
    <w:link w:val="CommentTextChar"/>
    <w:rsid w:val="007448F6"/>
  </w:style>
  <w:style w:type="character" w:customStyle="1" w:styleId="CommentTextChar">
    <w:name w:val="Comment Text Char"/>
    <w:basedOn w:val="DefaultParagraphFont"/>
    <w:link w:val="CommentText"/>
    <w:rsid w:val="007448F6"/>
    <w:rPr>
      <w:lang w:val="fr-FR"/>
    </w:rPr>
  </w:style>
  <w:style w:type="paragraph" w:styleId="CommentSubject">
    <w:name w:val="annotation subject"/>
    <w:basedOn w:val="CommentText"/>
    <w:next w:val="CommentText"/>
    <w:link w:val="CommentSubjectChar"/>
    <w:rsid w:val="007448F6"/>
    <w:rPr>
      <w:b/>
      <w:bCs/>
    </w:rPr>
  </w:style>
  <w:style w:type="character" w:customStyle="1" w:styleId="CommentSubjectChar">
    <w:name w:val="Comment Subject Char"/>
    <w:basedOn w:val="CommentTextChar"/>
    <w:link w:val="CommentSubject"/>
    <w:rsid w:val="007448F6"/>
    <w:rPr>
      <w:b/>
      <w:bCs/>
      <w:lang w:val="fr-FR"/>
    </w:rPr>
  </w:style>
  <w:style w:type="paragraph" w:styleId="ListParagraph">
    <w:name w:val="List Paragraph"/>
    <w:basedOn w:val="Normal"/>
    <w:uiPriority w:val="34"/>
    <w:qFormat/>
    <w:rsid w:val="00BF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376220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77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C14A-DAFA-40AF-BA6B-972A3EF9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8026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Ariel Dayao</cp:lastModifiedBy>
  <cp:revision>3</cp:revision>
  <cp:lastPrinted>2018-05-30T08:03:00Z</cp:lastPrinted>
  <dcterms:created xsi:type="dcterms:W3CDTF">2018-07-27T08:06:00Z</dcterms:created>
  <dcterms:modified xsi:type="dcterms:W3CDTF">2018-07-30T09:56:00Z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5/22/2018 10:50:15 AM</vt:lpwstr>
  </property>
  <property fmtid="{D5CDD505-2E9C-101B-9397-08002B2CF9AE}" pid="5" name="OriginalDocID">
    <vt:lpwstr>2cae7631-5c07-4553-a3af-fb411ed2ace1</vt:lpwstr>
  </property>
</Properties>
</file>