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614"/>
        <w:gridCol w:w="5286"/>
        <w:gridCol w:w="2601"/>
      </w:tblGrid>
      <w:tr w:rsidR="00C268AF" w:rsidRPr="00CE15CF" w14:paraId="0104B28F" w14:textId="77777777" w:rsidTr="006C4D1E">
        <w:trPr>
          <w:trHeight w:val="57"/>
          <w:jc w:val="right"/>
        </w:trPr>
        <w:tc>
          <w:tcPr>
            <w:tcW w:w="1647" w:type="dxa"/>
            <w:vMerge w:val="restart"/>
          </w:tcPr>
          <w:p w14:paraId="595B3268" w14:textId="77777777" w:rsidR="00C268AF" w:rsidRPr="00CE15CF" w:rsidRDefault="00C268AF" w:rsidP="00CE15CF">
            <w:pPr>
              <w:spacing w:before="40"/>
              <w:rPr>
                <w:sz w:val="22"/>
              </w:rPr>
            </w:pPr>
            <w:bookmarkStart w:id="0" w:name="_Toc20198231"/>
            <w:r w:rsidRPr="00CE15CF">
              <w:rPr>
                <w:rFonts w:ascii="Arial" w:hAnsi="Arial" w:cs="Arial"/>
                <w:b/>
                <w:sz w:val="27"/>
              </w:rPr>
              <w:t xml:space="preserve">UNITED </w:t>
            </w:r>
            <w:r w:rsidRPr="00CE15CF">
              <w:rPr>
                <w:rFonts w:ascii="Arial" w:hAnsi="Arial" w:cs="Arial"/>
                <w:b/>
                <w:sz w:val="27"/>
              </w:rPr>
              <w:br/>
              <w:t>NATIONS</w:t>
            </w:r>
          </w:p>
        </w:tc>
        <w:tc>
          <w:tcPr>
            <w:tcW w:w="5407" w:type="dxa"/>
            <w:vMerge w:val="restart"/>
          </w:tcPr>
          <w:p w14:paraId="1AA999D9" w14:textId="77777777" w:rsidR="00C268AF" w:rsidRPr="00CE15CF" w:rsidRDefault="00C268AF" w:rsidP="00CE15CF">
            <w:pPr>
              <w:spacing w:before="40"/>
              <w:rPr>
                <w:sz w:val="22"/>
              </w:rPr>
            </w:pPr>
            <w:r w:rsidRPr="00CE15CF">
              <w:rPr>
                <w:noProof/>
                <w:lang w:eastAsia="en-GB"/>
              </w:rPr>
              <w:drawing>
                <wp:inline distT="0" distB="0" distL="0" distR="0" wp14:anchorId="63A9769D" wp14:editId="773854E6">
                  <wp:extent cx="974725" cy="526415"/>
                  <wp:effectExtent l="0" t="0" r="0" b="6985"/>
                  <wp:docPr id="1" name="Picture 1" descr="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u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526415"/>
                          </a:xfrm>
                          <a:prstGeom prst="rect">
                            <a:avLst/>
                          </a:prstGeom>
                          <a:noFill/>
                          <a:ln>
                            <a:noFill/>
                          </a:ln>
                        </pic:spPr>
                      </pic:pic>
                    </a:graphicData>
                  </a:graphic>
                </wp:inline>
              </w:drawing>
            </w:r>
          </w:p>
        </w:tc>
        <w:tc>
          <w:tcPr>
            <w:tcW w:w="2658" w:type="dxa"/>
          </w:tcPr>
          <w:p w14:paraId="777FE86E" w14:textId="77777777" w:rsidR="00C268AF" w:rsidRPr="00CE15CF" w:rsidRDefault="00C268AF" w:rsidP="00CE15CF">
            <w:pPr>
              <w:jc w:val="right"/>
              <w:rPr>
                <w:rFonts w:ascii="Arial" w:hAnsi="Arial" w:cs="Arial"/>
                <w:sz w:val="64"/>
                <w:szCs w:val="64"/>
              </w:rPr>
            </w:pPr>
            <w:r w:rsidRPr="00CE15CF">
              <w:rPr>
                <w:rFonts w:ascii="Arial" w:hAnsi="Arial" w:cs="Arial"/>
                <w:b/>
                <w:sz w:val="64"/>
                <w:szCs w:val="64"/>
              </w:rPr>
              <w:t>SC</w:t>
            </w:r>
          </w:p>
        </w:tc>
      </w:tr>
      <w:tr w:rsidR="00C268AF" w:rsidRPr="00CE15CF" w14:paraId="5678E36C" w14:textId="77777777" w:rsidTr="006C4D1E">
        <w:trPr>
          <w:trHeight w:val="57"/>
          <w:jc w:val="right"/>
        </w:trPr>
        <w:tc>
          <w:tcPr>
            <w:tcW w:w="1647" w:type="dxa"/>
            <w:vMerge/>
            <w:tcBorders>
              <w:bottom w:val="single" w:sz="4" w:space="0" w:color="auto"/>
            </w:tcBorders>
          </w:tcPr>
          <w:p w14:paraId="2C42CF53" w14:textId="77777777" w:rsidR="00C268AF" w:rsidRPr="00CE15CF" w:rsidRDefault="00C268AF" w:rsidP="00CE15CF">
            <w:pPr>
              <w:rPr>
                <w:b/>
                <w:sz w:val="22"/>
              </w:rPr>
            </w:pPr>
          </w:p>
        </w:tc>
        <w:tc>
          <w:tcPr>
            <w:tcW w:w="5407" w:type="dxa"/>
            <w:vMerge/>
            <w:tcBorders>
              <w:bottom w:val="single" w:sz="4" w:space="0" w:color="auto"/>
            </w:tcBorders>
          </w:tcPr>
          <w:p w14:paraId="1A185F8C" w14:textId="77777777" w:rsidR="00C268AF" w:rsidRPr="00CE15CF" w:rsidRDefault="00C268AF" w:rsidP="00CE15CF">
            <w:pPr>
              <w:rPr>
                <w:b/>
                <w:sz w:val="22"/>
              </w:rPr>
            </w:pPr>
          </w:p>
        </w:tc>
        <w:tc>
          <w:tcPr>
            <w:tcW w:w="2658" w:type="dxa"/>
            <w:tcBorders>
              <w:bottom w:val="single" w:sz="4" w:space="0" w:color="auto"/>
            </w:tcBorders>
          </w:tcPr>
          <w:p w14:paraId="34164C46" w14:textId="77777777" w:rsidR="00C268AF" w:rsidRPr="00CE15CF" w:rsidRDefault="00C268AF" w:rsidP="00CE15CF">
            <w:pPr>
              <w:ind w:left="-59"/>
              <w:rPr>
                <w:sz w:val="22"/>
              </w:rPr>
            </w:pPr>
            <w:r w:rsidRPr="00CE15CF">
              <w:rPr>
                <w:b/>
                <w:sz w:val="28"/>
                <w:szCs w:val="28"/>
              </w:rPr>
              <w:t>UNEP</w:t>
            </w:r>
            <w:r w:rsidRPr="00CE15CF">
              <w:rPr>
                <w:sz w:val="20"/>
                <w:szCs w:val="20"/>
              </w:rPr>
              <w:t>/POPS/POPRC.14/3</w:t>
            </w:r>
          </w:p>
        </w:tc>
      </w:tr>
      <w:tr w:rsidR="00C268AF" w:rsidRPr="00CE15CF" w14:paraId="69988D0D" w14:textId="77777777" w:rsidTr="006C4D1E">
        <w:trPr>
          <w:trHeight w:val="57"/>
          <w:jc w:val="right"/>
        </w:trPr>
        <w:tc>
          <w:tcPr>
            <w:tcW w:w="1647" w:type="dxa"/>
            <w:tcBorders>
              <w:top w:val="single" w:sz="4" w:space="0" w:color="auto"/>
              <w:bottom w:val="single" w:sz="24" w:space="0" w:color="auto"/>
            </w:tcBorders>
          </w:tcPr>
          <w:p w14:paraId="76B97B16" w14:textId="77777777" w:rsidR="00C268AF" w:rsidRPr="00CE15CF" w:rsidRDefault="00C268AF" w:rsidP="00CE15CF">
            <w:pPr>
              <w:spacing w:before="800" w:after="240"/>
              <w:ind w:left="-108"/>
            </w:pPr>
            <w:r w:rsidRPr="00CE15CF">
              <w:rPr>
                <w:noProof/>
                <w:lang w:eastAsia="en-GB"/>
              </w:rPr>
              <w:drawing>
                <wp:inline distT="0" distB="0" distL="0" distR="0" wp14:anchorId="471E0306" wp14:editId="6566E69A">
                  <wp:extent cx="1009015" cy="793750"/>
                  <wp:effectExtent l="0" t="0" r="635" b="6350"/>
                  <wp:docPr id="5" name="Picture 5" descr="SC BW 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 BW NO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015" cy="793750"/>
                          </a:xfrm>
                          <a:prstGeom prst="rect">
                            <a:avLst/>
                          </a:prstGeom>
                          <a:noFill/>
                          <a:ln>
                            <a:noFill/>
                          </a:ln>
                        </pic:spPr>
                      </pic:pic>
                    </a:graphicData>
                  </a:graphic>
                </wp:inline>
              </w:drawing>
            </w:r>
          </w:p>
        </w:tc>
        <w:tc>
          <w:tcPr>
            <w:tcW w:w="5407" w:type="dxa"/>
            <w:tcBorders>
              <w:top w:val="single" w:sz="4" w:space="0" w:color="auto"/>
              <w:bottom w:val="single" w:sz="24" w:space="0" w:color="auto"/>
            </w:tcBorders>
          </w:tcPr>
          <w:p w14:paraId="44B40336" w14:textId="77777777" w:rsidR="00C268AF" w:rsidRPr="00CE15CF" w:rsidRDefault="00C268AF" w:rsidP="00CE15CF">
            <w:pPr>
              <w:pStyle w:val="Heading1"/>
              <w:numPr>
                <w:ilvl w:val="0"/>
                <w:numId w:val="0"/>
              </w:numPr>
              <w:spacing w:before="800" w:after="0"/>
              <w:jc w:val="left"/>
              <w:rPr>
                <w:rFonts w:ascii="Arial" w:hAnsi="Arial" w:cs="Arial"/>
                <w:sz w:val="28"/>
                <w:szCs w:val="28"/>
              </w:rPr>
            </w:pPr>
            <w:r w:rsidRPr="00CE15CF">
              <w:rPr>
                <w:rFonts w:ascii="Arial" w:hAnsi="Arial" w:cs="Arial"/>
                <w:sz w:val="28"/>
                <w:szCs w:val="28"/>
              </w:rPr>
              <w:t>Stockholm Convention</w:t>
            </w:r>
            <w:r w:rsidRPr="00CE15CF">
              <w:rPr>
                <w:rFonts w:ascii="Arial" w:hAnsi="Arial" w:cs="Arial"/>
                <w:sz w:val="28"/>
                <w:szCs w:val="28"/>
              </w:rPr>
              <w:br/>
              <w:t>on Persistent Organic</w:t>
            </w:r>
            <w:r w:rsidRPr="00CE15CF">
              <w:rPr>
                <w:rFonts w:ascii="Arial" w:hAnsi="Arial" w:cs="Arial"/>
                <w:sz w:val="28"/>
                <w:szCs w:val="28"/>
              </w:rPr>
              <w:br/>
              <w:t>Pollutants</w:t>
            </w:r>
          </w:p>
        </w:tc>
        <w:tc>
          <w:tcPr>
            <w:tcW w:w="2658" w:type="dxa"/>
            <w:tcBorders>
              <w:top w:val="single" w:sz="4" w:space="0" w:color="auto"/>
              <w:bottom w:val="single" w:sz="24" w:space="0" w:color="auto"/>
            </w:tcBorders>
          </w:tcPr>
          <w:p w14:paraId="48EC1126" w14:textId="77777777" w:rsidR="00C268AF" w:rsidRPr="00CE15CF" w:rsidRDefault="00C268AF" w:rsidP="00CE15CF">
            <w:pPr>
              <w:pStyle w:val="Normal-pool"/>
              <w:spacing w:before="120"/>
            </w:pPr>
            <w:r w:rsidRPr="00CE15CF">
              <w:t xml:space="preserve">Distr.: General </w:t>
            </w:r>
            <w:r w:rsidRPr="00CE15CF">
              <w:br/>
              <w:t>9 May 2018</w:t>
            </w:r>
          </w:p>
          <w:p w14:paraId="235AB32D" w14:textId="77777777" w:rsidR="00C268AF" w:rsidRPr="00CE15CF" w:rsidRDefault="00C268AF" w:rsidP="00CE15CF">
            <w:pPr>
              <w:pStyle w:val="Normal-pool"/>
              <w:spacing w:before="120"/>
              <w:rPr>
                <w:sz w:val="22"/>
              </w:rPr>
            </w:pPr>
            <w:r w:rsidRPr="00CE15CF">
              <w:t>Original: English</w:t>
            </w:r>
          </w:p>
        </w:tc>
      </w:tr>
    </w:tbl>
    <w:p w14:paraId="1C682569" w14:textId="77777777" w:rsidR="00C268AF" w:rsidRPr="00CE15CF" w:rsidRDefault="00C268AF" w:rsidP="00CE15CF">
      <w:pPr>
        <w:pStyle w:val="AATitle"/>
        <w:rPr>
          <w:lang w:val="en-GB"/>
        </w:rPr>
      </w:pPr>
      <w:r w:rsidRPr="00CE15CF">
        <w:rPr>
          <w:lang w:val="en-GB"/>
        </w:rPr>
        <w:t>Persistent Organic Pollutants Review Committee</w:t>
      </w:r>
    </w:p>
    <w:p w14:paraId="626FE005" w14:textId="77777777" w:rsidR="00C268AF" w:rsidRPr="00CE15CF" w:rsidRDefault="00C268AF" w:rsidP="00CE15CF">
      <w:pPr>
        <w:pStyle w:val="AATitle"/>
        <w:rPr>
          <w:b w:val="0"/>
          <w:lang w:val="en-GB"/>
        </w:rPr>
      </w:pPr>
      <w:r w:rsidRPr="00CE15CF">
        <w:rPr>
          <w:lang w:val="en-GB"/>
        </w:rPr>
        <w:t>Fourteenth meeting</w:t>
      </w:r>
    </w:p>
    <w:p w14:paraId="78F20677" w14:textId="77777777" w:rsidR="00C268AF" w:rsidRPr="00CE15CF" w:rsidRDefault="00C268AF" w:rsidP="00CE15CF">
      <w:pPr>
        <w:pStyle w:val="AATitle"/>
        <w:rPr>
          <w:b w:val="0"/>
          <w:lang w:val="en-GB"/>
        </w:rPr>
      </w:pPr>
      <w:r w:rsidRPr="00CE15CF">
        <w:rPr>
          <w:b w:val="0"/>
          <w:lang w:val="en-GB"/>
        </w:rPr>
        <w:t>Rome, 17–21 September 2018</w:t>
      </w:r>
    </w:p>
    <w:p w14:paraId="77EEFD96" w14:textId="77777777" w:rsidR="00C268AF" w:rsidRPr="00CE15CF" w:rsidRDefault="00C268AF" w:rsidP="00CE15CF">
      <w:pPr>
        <w:pStyle w:val="AATitle"/>
        <w:rPr>
          <w:b w:val="0"/>
          <w:lang w:val="en-GB"/>
        </w:rPr>
      </w:pPr>
      <w:r w:rsidRPr="00CE15CF">
        <w:rPr>
          <w:b w:val="0"/>
          <w:lang w:val="en-GB"/>
        </w:rPr>
        <w:t>Item 4 (b) of the provisional agenda</w:t>
      </w:r>
      <w:r w:rsidRPr="00CE15CF">
        <w:rPr>
          <w:lang w:val="en-GB"/>
        </w:rPr>
        <w:footnoteReference w:customMarkFollows="1" w:id="2"/>
        <w:t>*</w:t>
      </w:r>
    </w:p>
    <w:p w14:paraId="26835529" w14:textId="63BBF2F8" w:rsidR="00C268AF" w:rsidRPr="00CE15CF" w:rsidRDefault="00C268AF" w:rsidP="00CE15CF">
      <w:pPr>
        <w:pStyle w:val="AATitle2"/>
        <w:spacing w:before="60" w:after="0"/>
        <w:rPr>
          <w:lang w:val="en-GB"/>
        </w:rPr>
      </w:pPr>
      <w:r w:rsidRPr="00CE15CF">
        <w:rPr>
          <w:lang w:val="en-GB"/>
        </w:rPr>
        <w:t xml:space="preserve">Technical work: consideration of a recommendation to the Conference of the Parties on </w:t>
      </w:r>
      <w:proofErr w:type="spellStart"/>
      <w:r w:rsidRPr="00CE15CF">
        <w:rPr>
          <w:lang w:val="en-GB"/>
        </w:rPr>
        <w:t>pentadecafluorooctanoic</w:t>
      </w:r>
      <w:proofErr w:type="spellEnd"/>
      <w:r w:rsidRPr="00CE15CF">
        <w:rPr>
          <w:lang w:val="en-GB"/>
        </w:rPr>
        <w:t xml:space="preserve"> acid (CAS No: 335-67-1, PFOA, perfluorooctanoic acid), its salts and PFOA-related compounds</w:t>
      </w:r>
    </w:p>
    <w:p w14:paraId="1766CE81" w14:textId="3C64FA72" w:rsidR="00C268AF" w:rsidRPr="00CE15CF" w:rsidRDefault="00C268AF" w:rsidP="00CE15CF">
      <w:pPr>
        <w:pStyle w:val="BBTitle"/>
      </w:pPr>
      <w:r w:rsidRPr="00CE15CF">
        <w:t xml:space="preserve">Further assessment of information on </w:t>
      </w:r>
      <w:proofErr w:type="spellStart"/>
      <w:r w:rsidRPr="00CE15CF">
        <w:t>pentadecafluorooctanoic</w:t>
      </w:r>
      <w:proofErr w:type="spellEnd"/>
      <w:r w:rsidRPr="00CE15CF">
        <w:t xml:space="preserve"> acid (CAS No: 335-67-1, PFOA, perfluorooctanoic acid), its salts and PFOA-related compounds </w:t>
      </w:r>
    </w:p>
    <w:p w14:paraId="5E0CDEB6" w14:textId="77777777" w:rsidR="00C268AF" w:rsidRPr="00CE15CF" w:rsidRDefault="00C268AF" w:rsidP="00CE15CF">
      <w:pPr>
        <w:pStyle w:val="CH2"/>
        <w:rPr>
          <w:rFonts w:asciiTheme="majorBidi" w:hAnsiTheme="majorBidi" w:cstheme="majorBidi"/>
        </w:rPr>
      </w:pPr>
      <w:r w:rsidRPr="00CE15CF">
        <w:rPr>
          <w:rFonts w:asciiTheme="majorBidi" w:hAnsiTheme="majorBidi" w:cstheme="majorBidi"/>
        </w:rPr>
        <w:tab/>
      </w:r>
      <w:r w:rsidRPr="00CE15CF">
        <w:tab/>
      </w:r>
      <w:bookmarkStart w:id="1" w:name="_Toc424215731"/>
      <w:r w:rsidRPr="00CE15CF">
        <w:t>Note by the Secretariat</w:t>
      </w:r>
      <w:bookmarkEnd w:id="1"/>
    </w:p>
    <w:p w14:paraId="2EC8E0A2" w14:textId="77777777" w:rsidR="00C268AF" w:rsidRPr="00CE15CF" w:rsidRDefault="00C268AF" w:rsidP="00CE15CF">
      <w:pPr>
        <w:pStyle w:val="CH1"/>
      </w:pPr>
      <w:r w:rsidRPr="00CE15CF">
        <w:tab/>
      </w:r>
      <w:bookmarkStart w:id="2" w:name="_Toc424215732"/>
      <w:r w:rsidRPr="00CE15CF">
        <w:t>I.</w:t>
      </w:r>
      <w:r w:rsidRPr="00CE15CF">
        <w:tab/>
        <w:t>Introduction</w:t>
      </w:r>
      <w:bookmarkEnd w:id="2"/>
    </w:p>
    <w:p w14:paraId="6B5E6BA2" w14:textId="711CC1ED" w:rsidR="00C268AF" w:rsidRPr="00CE15CF" w:rsidRDefault="00C268AF" w:rsidP="00CE15CF">
      <w:pPr>
        <w:pStyle w:val="Normalnumber"/>
        <w:numPr>
          <w:ilvl w:val="0"/>
          <w:numId w:val="35"/>
        </w:numPr>
        <w:tabs>
          <w:tab w:val="left" w:pos="1247"/>
          <w:tab w:val="left" w:pos="1814"/>
          <w:tab w:val="left" w:pos="2381"/>
          <w:tab w:val="left" w:pos="2948"/>
          <w:tab w:val="left" w:pos="3515"/>
          <w:tab w:val="left" w:pos="4082"/>
        </w:tabs>
      </w:pPr>
      <w:r w:rsidRPr="00CE15CF">
        <w:rPr>
          <w:rFonts w:asciiTheme="majorBidi" w:hAnsiTheme="majorBidi" w:cstheme="majorBidi"/>
        </w:rPr>
        <w:t xml:space="preserve">By its decision </w:t>
      </w:r>
      <w:r w:rsidRPr="00CE15CF">
        <w:t xml:space="preserve">POPRC-13/2, on </w:t>
      </w:r>
      <w:proofErr w:type="spellStart"/>
      <w:r w:rsidRPr="00CE15CF">
        <w:t>pentadecafluorooctanoic</w:t>
      </w:r>
      <w:proofErr w:type="spellEnd"/>
      <w:r w:rsidRPr="00CE15CF">
        <w:t xml:space="preserve"> acid (CAS No: 335-67-1, PFOA, perfluorooctanoic acid), its salts and PFOA-related compounds</w:t>
      </w:r>
      <w:r w:rsidR="005A6128">
        <w:t xml:space="preserve"> </w:t>
      </w:r>
      <w:r w:rsidR="005A6128">
        <w:rPr>
          <w:szCs w:val="18"/>
        </w:rPr>
        <w:t>(s</w:t>
      </w:r>
      <w:r w:rsidR="005A6128" w:rsidRPr="003A56EB">
        <w:rPr>
          <w:szCs w:val="18"/>
        </w:rPr>
        <w:t>ee UNEP/POPS/POPRC.13/7, annex I</w:t>
      </w:r>
      <w:r w:rsidR="005A6128">
        <w:rPr>
          <w:szCs w:val="18"/>
        </w:rPr>
        <w:t>)</w:t>
      </w:r>
      <w:r w:rsidRPr="00CE15CF">
        <w:t xml:space="preserve">, </w:t>
      </w:r>
      <w:r w:rsidRPr="00CE15CF">
        <w:rPr>
          <w:rFonts w:asciiTheme="majorBidi" w:hAnsiTheme="majorBidi" w:cstheme="majorBidi"/>
        </w:rPr>
        <w:t xml:space="preserve">the Persistent Organic Pollutants Review Committee at its thirteenth meeting </w:t>
      </w:r>
      <w:r w:rsidRPr="00CE15CF">
        <w:t>decided to recommend to the Conference of the Parties that it consider listing PFOA, its salts and PFOA-related compounds in Annex A or B to the Convention with specific exemptions as specified in paragraph 2 of that decision.</w:t>
      </w:r>
    </w:p>
    <w:p w14:paraId="20541C51" w14:textId="77777777" w:rsidR="00C268AF" w:rsidRPr="00CE15CF" w:rsidRDefault="00C268AF" w:rsidP="00CE15CF">
      <w:pPr>
        <w:pStyle w:val="Normalnumber"/>
        <w:numPr>
          <w:ilvl w:val="0"/>
          <w:numId w:val="35"/>
        </w:numPr>
        <w:tabs>
          <w:tab w:val="left" w:pos="1247"/>
          <w:tab w:val="left" w:pos="1814"/>
          <w:tab w:val="left" w:pos="2381"/>
          <w:tab w:val="left" w:pos="2948"/>
          <w:tab w:val="left" w:pos="3515"/>
          <w:tab w:val="left" w:pos="4082"/>
        </w:tabs>
      </w:pPr>
      <w:r w:rsidRPr="00CE15CF">
        <w:t>In paragraphs 3, 4 and 5 of the same decision, the Committee invited Parties and observers to provide the following information by 12 January 2018:</w:t>
      </w:r>
    </w:p>
    <w:p w14:paraId="55CF09A5" w14:textId="77777777" w:rsidR="00C268AF" w:rsidRPr="00CE15CF" w:rsidRDefault="00C268AF" w:rsidP="00CE15CF">
      <w:pPr>
        <w:pStyle w:val="Normalnumber"/>
        <w:numPr>
          <w:ilvl w:val="1"/>
          <w:numId w:val="35"/>
        </w:numPr>
        <w:tabs>
          <w:tab w:val="left" w:pos="1247"/>
          <w:tab w:val="left" w:pos="1814"/>
          <w:tab w:val="left" w:pos="2381"/>
          <w:tab w:val="left" w:pos="2948"/>
          <w:tab w:val="left" w:pos="3515"/>
          <w:tab w:val="left" w:pos="4082"/>
        </w:tabs>
      </w:pPr>
      <w:r w:rsidRPr="00CE15CF">
        <w:t xml:space="preserve">Information that would assist the possible defining by the Committee of specific exemptions for production and use of PFOA, its salts and PFOA-related compounds </w:t>
      </w:r>
      <w:proofErr w:type="gramStart"/>
      <w:r w:rsidRPr="00CE15CF">
        <w:t>in particular in</w:t>
      </w:r>
      <w:proofErr w:type="gramEnd"/>
      <w:r w:rsidRPr="00CE15CF">
        <w:t xml:space="preserve"> the following applications:</w:t>
      </w:r>
    </w:p>
    <w:p w14:paraId="02B1DDF4" w14:textId="77777777" w:rsidR="00C268AF" w:rsidRPr="00CE15CF" w:rsidRDefault="00C268AF" w:rsidP="00CE15CF">
      <w:pPr>
        <w:pStyle w:val="Normalnumber"/>
        <w:numPr>
          <w:ilvl w:val="2"/>
          <w:numId w:val="35"/>
        </w:numPr>
        <w:tabs>
          <w:tab w:val="clear" w:pos="597"/>
          <w:tab w:val="num" w:pos="567"/>
          <w:tab w:val="left" w:pos="1247"/>
          <w:tab w:val="left" w:pos="1814"/>
          <w:tab w:val="left" w:pos="2381"/>
          <w:tab w:val="left" w:pos="2948"/>
          <w:tab w:val="left" w:pos="3515"/>
          <w:tab w:val="left" w:pos="4082"/>
        </w:tabs>
        <w:ind w:left="2948"/>
      </w:pPr>
      <w:r w:rsidRPr="00CE15CF">
        <w:t>Membranes intended for use in medical textiles, filtration in water treatment, production processes and effluent treatment: information on the scope of the applications, used amounts, availability of alternatives and socioeconomic aspects;</w:t>
      </w:r>
    </w:p>
    <w:p w14:paraId="7C9C9967" w14:textId="77777777" w:rsidR="00C268AF" w:rsidRPr="00CE15CF" w:rsidRDefault="00C268AF" w:rsidP="00CE15CF">
      <w:pPr>
        <w:pStyle w:val="Normalnumber"/>
        <w:numPr>
          <w:ilvl w:val="2"/>
          <w:numId w:val="35"/>
        </w:numPr>
        <w:tabs>
          <w:tab w:val="clear" w:pos="597"/>
          <w:tab w:val="num" w:pos="567"/>
          <w:tab w:val="left" w:pos="1247"/>
          <w:tab w:val="left" w:pos="1814"/>
          <w:tab w:val="left" w:pos="2381"/>
          <w:tab w:val="left" w:pos="2948"/>
          <w:tab w:val="left" w:pos="3515"/>
          <w:tab w:val="left" w:pos="4082"/>
        </w:tabs>
        <w:ind w:left="2948"/>
      </w:pPr>
      <w:r w:rsidRPr="00CE15CF">
        <w:t xml:space="preserve">Transported isolated intermediates </w:t>
      </w:r>
      <w:proofErr w:type="gramStart"/>
      <w:r w:rsidRPr="00CE15CF">
        <w:t>in order to</w:t>
      </w:r>
      <w:proofErr w:type="gramEnd"/>
      <w:r w:rsidRPr="00CE15CF">
        <w:t xml:space="preserve"> enable reprocessing in another site than the production site: information on the quantities used, extent of transport and risks, and use;</w:t>
      </w:r>
    </w:p>
    <w:p w14:paraId="1EB5F45E" w14:textId="77777777" w:rsidR="00C268AF" w:rsidRPr="00CE15CF" w:rsidRDefault="00C268AF" w:rsidP="00CE15CF">
      <w:pPr>
        <w:pStyle w:val="Normalnumber"/>
        <w:numPr>
          <w:ilvl w:val="2"/>
          <w:numId w:val="35"/>
        </w:numPr>
        <w:tabs>
          <w:tab w:val="clear" w:pos="597"/>
          <w:tab w:val="num" w:pos="567"/>
          <w:tab w:val="left" w:pos="1247"/>
          <w:tab w:val="left" w:pos="1814"/>
          <w:tab w:val="left" w:pos="2381"/>
          <w:tab w:val="left" w:pos="2948"/>
          <w:tab w:val="left" w:pos="3515"/>
          <w:tab w:val="left" w:pos="4082"/>
        </w:tabs>
        <w:ind w:left="2948"/>
      </w:pPr>
      <w:r w:rsidRPr="00CE15CF">
        <w:t>Medical devices: information on specific applications/uses and timelines foreseen as needed for potential related exemptions;</w:t>
      </w:r>
    </w:p>
    <w:p w14:paraId="456C6C93" w14:textId="77777777" w:rsidR="00C268AF" w:rsidRPr="00CE15CF" w:rsidRDefault="00C268AF" w:rsidP="00CE15CF">
      <w:pPr>
        <w:pStyle w:val="Normalnumber"/>
        <w:numPr>
          <w:ilvl w:val="2"/>
          <w:numId w:val="35"/>
        </w:numPr>
        <w:tabs>
          <w:tab w:val="clear" w:pos="597"/>
          <w:tab w:val="num" w:pos="567"/>
          <w:tab w:val="left" w:pos="1247"/>
          <w:tab w:val="left" w:pos="1814"/>
          <w:tab w:val="left" w:pos="2381"/>
          <w:tab w:val="left" w:pos="2948"/>
          <w:tab w:val="left" w:pos="3515"/>
          <w:tab w:val="left" w:pos="4082"/>
        </w:tabs>
        <w:ind w:left="2948"/>
      </w:pPr>
      <w:r w:rsidRPr="00CE15CF">
        <w:t>Implantable medical devices: information on the quantities used, extent of transport and risks, and use;</w:t>
      </w:r>
    </w:p>
    <w:p w14:paraId="6B8E269B" w14:textId="77777777" w:rsidR="00C268AF" w:rsidRPr="00CE15CF" w:rsidRDefault="00C268AF" w:rsidP="00CE15CF">
      <w:pPr>
        <w:pStyle w:val="Normalnumber"/>
        <w:numPr>
          <w:ilvl w:val="2"/>
          <w:numId w:val="35"/>
        </w:numPr>
        <w:tabs>
          <w:tab w:val="clear" w:pos="597"/>
          <w:tab w:val="num" w:pos="567"/>
          <w:tab w:val="left" w:pos="1247"/>
          <w:tab w:val="left" w:pos="1814"/>
          <w:tab w:val="left" w:pos="2381"/>
          <w:tab w:val="left" w:pos="2948"/>
          <w:tab w:val="left" w:pos="3515"/>
          <w:tab w:val="left" w:pos="4082"/>
        </w:tabs>
        <w:ind w:left="2948"/>
      </w:pPr>
      <w:r w:rsidRPr="00CE15CF">
        <w:lastRenderedPageBreak/>
        <w:t>Photo imaging sector: information on paper and printing, and information relevant for developing countries;</w:t>
      </w:r>
    </w:p>
    <w:p w14:paraId="476BF508" w14:textId="77777777" w:rsidR="00C268AF" w:rsidRPr="00CE15CF" w:rsidRDefault="00C268AF" w:rsidP="00CE15CF">
      <w:pPr>
        <w:pStyle w:val="Normalnumber"/>
        <w:numPr>
          <w:ilvl w:val="2"/>
          <w:numId w:val="35"/>
        </w:numPr>
        <w:tabs>
          <w:tab w:val="clear" w:pos="597"/>
          <w:tab w:val="num" w:pos="567"/>
          <w:tab w:val="left" w:pos="1247"/>
          <w:tab w:val="left" w:pos="1814"/>
          <w:tab w:val="left" w:pos="2381"/>
          <w:tab w:val="left" w:pos="2948"/>
          <w:tab w:val="left" w:pos="3515"/>
          <w:tab w:val="left" w:pos="4082"/>
        </w:tabs>
        <w:ind w:left="2948"/>
      </w:pPr>
      <w:r w:rsidRPr="00CE15CF">
        <w:t>Automotive industry: information on spare parts;</w:t>
      </w:r>
    </w:p>
    <w:p w14:paraId="13A3FCF7" w14:textId="77777777" w:rsidR="00C268AF" w:rsidRPr="00CE15CF" w:rsidRDefault="00C268AF" w:rsidP="00CE15CF">
      <w:pPr>
        <w:pStyle w:val="Normalnumber"/>
        <w:numPr>
          <w:ilvl w:val="2"/>
          <w:numId w:val="35"/>
        </w:numPr>
        <w:tabs>
          <w:tab w:val="clear" w:pos="597"/>
          <w:tab w:val="num" w:pos="567"/>
          <w:tab w:val="left" w:pos="1247"/>
          <w:tab w:val="left" w:pos="1814"/>
          <w:tab w:val="left" w:pos="2381"/>
          <w:tab w:val="left" w:pos="2948"/>
          <w:tab w:val="left" w:pos="3515"/>
          <w:tab w:val="left" w:pos="4082"/>
        </w:tabs>
        <w:ind w:left="2948"/>
      </w:pPr>
      <w:r w:rsidRPr="00CE15CF">
        <w:t>Fire-fighting foams: information on chemical composition of mixtures and the volumes of pre-installed amount of fire-fighting foam mixtures;</w:t>
      </w:r>
    </w:p>
    <w:p w14:paraId="152C4708" w14:textId="77777777" w:rsidR="00C268AF" w:rsidRPr="00CE15CF" w:rsidRDefault="00C268AF" w:rsidP="00CE15CF">
      <w:pPr>
        <w:pStyle w:val="Normalnumber"/>
        <w:numPr>
          <w:ilvl w:val="1"/>
          <w:numId w:val="35"/>
        </w:numPr>
        <w:tabs>
          <w:tab w:val="left" w:pos="1247"/>
          <w:tab w:val="left" w:pos="1814"/>
          <w:tab w:val="left" w:pos="2381"/>
          <w:tab w:val="left" w:pos="2948"/>
          <w:tab w:val="left" w:pos="3515"/>
          <w:tab w:val="left" w:pos="4082"/>
        </w:tabs>
      </w:pPr>
      <w:r w:rsidRPr="00CE15CF">
        <w:t xml:space="preserve">Information that would assist the further evaluation by the Committee of those chemicals in relation to their unintentional formation and release, </w:t>
      </w:r>
      <w:proofErr w:type="gramStart"/>
      <w:r w:rsidRPr="00CE15CF">
        <w:t>in particular from</w:t>
      </w:r>
      <w:proofErr w:type="gramEnd"/>
      <w:r w:rsidRPr="00CE15CF">
        <w:t xml:space="preserve"> primary aluminium production and from incomplete combustion;</w:t>
      </w:r>
    </w:p>
    <w:p w14:paraId="5EADB354" w14:textId="77777777" w:rsidR="00C268AF" w:rsidRPr="00CE15CF" w:rsidRDefault="00C268AF" w:rsidP="00CE15CF">
      <w:pPr>
        <w:pStyle w:val="Normalnumber"/>
        <w:numPr>
          <w:ilvl w:val="1"/>
          <w:numId w:val="35"/>
        </w:numPr>
        <w:tabs>
          <w:tab w:val="left" w:pos="1247"/>
          <w:tab w:val="left" w:pos="1814"/>
          <w:tab w:val="left" w:pos="2381"/>
          <w:tab w:val="left" w:pos="2948"/>
          <w:tab w:val="left" w:pos="3515"/>
          <w:tab w:val="left" w:pos="4082"/>
        </w:tabs>
      </w:pPr>
      <w:r w:rsidRPr="00CE15CF">
        <w:t>Information that would assist the further evaluation by the Committee of the chemical identity of PFOA-related compounds chemical list.</w:t>
      </w:r>
    </w:p>
    <w:p w14:paraId="48C58AE9" w14:textId="77777777" w:rsidR="00C268AF" w:rsidRPr="00CE15CF" w:rsidRDefault="00C268AF" w:rsidP="00CE15CF">
      <w:pPr>
        <w:pStyle w:val="Normalnumber"/>
        <w:numPr>
          <w:ilvl w:val="0"/>
          <w:numId w:val="35"/>
        </w:numPr>
        <w:tabs>
          <w:tab w:val="left" w:pos="1247"/>
          <w:tab w:val="left" w:pos="1814"/>
          <w:tab w:val="left" w:pos="2381"/>
          <w:tab w:val="left" w:pos="2948"/>
          <w:tab w:val="left" w:pos="3515"/>
          <w:tab w:val="left" w:pos="4082"/>
        </w:tabs>
      </w:pPr>
      <w:r w:rsidRPr="00CE15CF">
        <w:t xml:space="preserve">Pursuant to paragraph 9 of the same decision, the Secretariat has compiled the information provided in accordance with </w:t>
      </w:r>
      <w:r w:rsidRPr="00CE15CF">
        <w:rPr>
          <w:rFonts w:asciiTheme="majorBidi" w:hAnsiTheme="majorBidi" w:cstheme="majorBidi"/>
        </w:rPr>
        <w:t>paragraphs 3, 4 and 5 of that decision</w:t>
      </w:r>
      <w:r w:rsidRPr="00CE15CF">
        <w:t xml:space="preserve">, and </w:t>
      </w:r>
      <w:r w:rsidRPr="00CE15CF">
        <w:rPr>
          <w:rFonts w:asciiTheme="majorBidi" w:hAnsiTheme="majorBidi" w:cstheme="majorBidi"/>
        </w:rPr>
        <w:t>made it available on the website of the Stockholm Convention.</w:t>
      </w:r>
      <w:r w:rsidRPr="00CE15CF">
        <w:rPr>
          <w:rStyle w:val="FootnoteReference"/>
          <w:rFonts w:cstheme="majorBidi"/>
        </w:rPr>
        <w:footnoteReference w:id="3"/>
      </w:r>
    </w:p>
    <w:p w14:paraId="5D6EEDFA" w14:textId="77777777" w:rsidR="00C268AF" w:rsidRPr="00CE15CF" w:rsidRDefault="00C268AF" w:rsidP="00CE15CF">
      <w:pPr>
        <w:pStyle w:val="Normalnumber"/>
        <w:numPr>
          <w:ilvl w:val="0"/>
          <w:numId w:val="35"/>
        </w:numPr>
        <w:tabs>
          <w:tab w:val="clear" w:pos="567"/>
          <w:tab w:val="num" w:pos="1134"/>
          <w:tab w:val="left" w:pos="1247"/>
          <w:tab w:val="left" w:pos="1814"/>
          <w:tab w:val="left" w:pos="2381"/>
          <w:tab w:val="left" w:pos="2948"/>
          <w:tab w:val="left" w:pos="3515"/>
          <w:tab w:val="left" w:pos="4082"/>
        </w:tabs>
        <w:rPr>
          <w:rFonts w:asciiTheme="majorBidi" w:hAnsiTheme="majorBidi" w:cstheme="majorBidi"/>
        </w:rPr>
      </w:pPr>
      <w:r w:rsidRPr="00CE15CF">
        <w:t>Furthermore, pursuant to paragraph 6 of the same decision, the Secretariat has prepared a document on note (ii) of part I of Annex A to the Convention and the scope of the reference to stockpiles within Article 6 of the Convention (see UNEP/POPS/POPRC.14/INF/6), for consideration by the Committee at its fourteenth meeting. The document was prepared following the collection of information from Parties through a questionnaire.</w:t>
      </w:r>
    </w:p>
    <w:p w14:paraId="03AC67CA" w14:textId="77777777" w:rsidR="00C268AF" w:rsidRPr="00CE15CF" w:rsidRDefault="00C268AF" w:rsidP="00CE15CF">
      <w:pPr>
        <w:pStyle w:val="Normalnumber"/>
        <w:numPr>
          <w:ilvl w:val="0"/>
          <w:numId w:val="35"/>
        </w:numPr>
        <w:tabs>
          <w:tab w:val="clear" w:pos="567"/>
          <w:tab w:val="num" w:pos="1134"/>
          <w:tab w:val="left" w:pos="1247"/>
          <w:tab w:val="left" w:pos="1814"/>
          <w:tab w:val="left" w:pos="2381"/>
          <w:tab w:val="left" w:pos="2948"/>
          <w:tab w:val="left" w:pos="3515"/>
          <w:tab w:val="left" w:pos="4082"/>
        </w:tabs>
      </w:pPr>
      <w:r w:rsidRPr="00CE15CF">
        <w:t xml:space="preserve">In paragraph 10 of the same decision, the Committee established an intersessional working group to assess the information provided in accordance with </w:t>
      </w:r>
      <w:r w:rsidRPr="00CE15CF">
        <w:rPr>
          <w:rFonts w:asciiTheme="majorBidi" w:hAnsiTheme="majorBidi" w:cstheme="majorBidi"/>
        </w:rPr>
        <w:t>paragraphs 3, 4 and 5 of that decision</w:t>
      </w:r>
      <w:r w:rsidRPr="00CE15CF">
        <w:t xml:space="preserve"> with the intention of strengthening the recommendation on the listing of the chemicals for consideration at its fourteenth meeting.</w:t>
      </w:r>
    </w:p>
    <w:p w14:paraId="08166D4E" w14:textId="6D05C332" w:rsidR="00C268AF" w:rsidRPr="00CE15CF" w:rsidRDefault="00C268AF" w:rsidP="00CE15CF">
      <w:pPr>
        <w:pStyle w:val="Normalnumber"/>
        <w:numPr>
          <w:ilvl w:val="0"/>
          <w:numId w:val="35"/>
        </w:numPr>
        <w:tabs>
          <w:tab w:val="left" w:pos="1247"/>
          <w:tab w:val="left" w:pos="1814"/>
          <w:tab w:val="left" w:pos="2381"/>
          <w:tab w:val="left" w:pos="2948"/>
          <w:tab w:val="left" w:pos="3515"/>
          <w:tab w:val="left" w:pos="4082"/>
        </w:tabs>
      </w:pPr>
      <w:r w:rsidRPr="00CE15CF">
        <w:t xml:space="preserve">The draft assessment of the information prepared by the intersessional working group is set out in the annex to the present note, without formal editing. </w:t>
      </w:r>
      <w:r w:rsidR="005A6128">
        <w:t>A</w:t>
      </w:r>
      <w:r w:rsidRPr="00CE15CF">
        <w:rPr>
          <w:rFonts w:asciiTheme="majorBidi" w:hAnsiTheme="majorBidi" w:cstheme="majorBidi"/>
        </w:rPr>
        <w:t xml:space="preserve"> compilation of comments and responses relating to the draft assessment </w:t>
      </w:r>
      <w:r w:rsidR="005A6128">
        <w:rPr>
          <w:rFonts w:asciiTheme="majorBidi" w:hAnsiTheme="majorBidi" w:cstheme="majorBidi"/>
        </w:rPr>
        <w:t>is</w:t>
      </w:r>
      <w:r w:rsidR="005A6128" w:rsidRPr="00CE15CF">
        <w:rPr>
          <w:rFonts w:asciiTheme="majorBidi" w:hAnsiTheme="majorBidi" w:cstheme="majorBidi"/>
        </w:rPr>
        <w:t xml:space="preserve"> </w:t>
      </w:r>
      <w:r w:rsidRPr="00CE15CF">
        <w:rPr>
          <w:rFonts w:asciiTheme="majorBidi" w:hAnsiTheme="majorBidi" w:cstheme="majorBidi"/>
        </w:rPr>
        <w:t xml:space="preserve">set out </w:t>
      </w:r>
      <w:r w:rsidRPr="00CE15CF">
        <w:t>in document UNEP/POPS/POPRC.14/INF/7</w:t>
      </w:r>
      <w:r w:rsidRPr="00CE15CF">
        <w:rPr>
          <w:rFonts w:asciiTheme="majorBidi" w:hAnsiTheme="majorBidi" w:cstheme="majorBidi"/>
        </w:rPr>
        <w:t>.</w:t>
      </w:r>
      <w:r w:rsidRPr="00CE15CF">
        <w:t xml:space="preserve"> </w:t>
      </w:r>
    </w:p>
    <w:p w14:paraId="5F6BF04C" w14:textId="77777777" w:rsidR="00C268AF" w:rsidRPr="00CE15CF" w:rsidRDefault="00C268AF" w:rsidP="00CE15CF">
      <w:pPr>
        <w:pStyle w:val="CH1"/>
        <w:rPr>
          <w:rFonts w:asciiTheme="majorBidi" w:hAnsiTheme="majorBidi" w:cstheme="majorBidi"/>
        </w:rPr>
      </w:pPr>
      <w:r w:rsidRPr="00CE15CF">
        <w:rPr>
          <w:rFonts w:asciiTheme="majorBidi" w:hAnsiTheme="majorBidi" w:cstheme="majorBidi"/>
        </w:rPr>
        <w:tab/>
      </w:r>
      <w:bookmarkStart w:id="3" w:name="_Toc424215733"/>
      <w:r w:rsidRPr="00CE15CF">
        <w:rPr>
          <w:rFonts w:asciiTheme="majorBidi" w:hAnsiTheme="majorBidi" w:cstheme="majorBidi"/>
        </w:rPr>
        <w:t>II.</w:t>
      </w:r>
      <w:r w:rsidRPr="00CE15CF">
        <w:rPr>
          <w:rFonts w:asciiTheme="majorBidi" w:hAnsiTheme="majorBidi" w:cstheme="majorBidi"/>
        </w:rPr>
        <w:tab/>
        <w:t>Proposed action</w:t>
      </w:r>
      <w:bookmarkEnd w:id="3"/>
      <w:r w:rsidRPr="00CE15CF">
        <w:rPr>
          <w:rFonts w:asciiTheme="majorBidi" w:hAnsiTheme="majorBidi" w:cstheme="majorBidi"/>
        </w:rPr>
        <w:t xml:space="preserve"> </w:t>
      </w:r>
    </w:p>
    <w:p w14:paraId="4AEE7ED5" w14:textId="77777777" w:rsidR="00C268AF" w:rsidRPr="00CE15CF" w:rsidRDefault="00C268AF" w:rsidP="00CE15CF">
      <w:pPr>
        <w:pStyle w:val="Normalnumber"/>
        <w:numPr>
          <w:ilvl w:val="0"/>
          <w:numId w:val="35"/>
        </w:numPr>
        <w:tabs>
          <w:tab w:val="clear" w:pos="567"/>
          <w:tab w:val="num" w:pos="1134"/>
          <w:tab w:val="left" w:pos="1247"/>
          <w:tab w:val="left" w:pos="1814"/>
          <w:tab w:val="left" w:pos="2381"/>
          <w:tab w:val="left" w:pos="2948"/>
          <w:tab w:val="left" w:pos="3515"/>
          <w:tab w:val="left" w:pos="4082"/>
        </w:tabs>
        <w:rPr>
          <w:rFonts w:asciiTheme="majorBidi" w:hAnsiTheme="majorBidi" w:cstheme="majorBidi"/>
        </w:rPr>
      </w:pPr>
      <w:r w:rsidRPr="00CE15CF">
        <w:rPr>
          <w:rFonts w:asciiTheme="majorBidi" w:hAnsiTheme="majorBidi" w:cstheme="majorBidi"/>
        </w:rPr>
        <w:t>The Committee may wish:</w:t>
      </w:r>
    </w:p>
    <w:p w14:paraId="3A848872" w14:textId="409D8A6D" w:rsidR="00C268AF" w:rsidRPr="00CE15CF" w:rsidRDefault="00C268AF" w:rsidP="00CE15CF">
      <w:pPr>
        <w:pStyle w:val="Normalnumber"/>
        <w:numPr>
          <w:ilvl w:val="1"/>
          <w:numId w:val="35"/>
        </w:numPr>
        <w:tabs>
          <w:tab w:val="left" w:pos="1247"/>
          <w:tab w:val="left" w:pos="1814"/>
          <w:tab w:val="left" w:pos="2381"/>
          <w:tab w:val="left" w:pos="2948"/>
          <w:tab w:val="left" w:pos="3515"/>
          <w:tab w:val="left" w:pos="4082"/>
        </w:tabs>
        <w:rPr>
          <w:rFonts w:asciiTheme="majorBidi" w:hAnsiTheme="majorBidi" w:cstheme="majorBidi"/>
        </w:rPr>
      </w:pPr>
      <w:r w:rsidRPr="00CE15CF">
        <w:rPr>
          <w:rFonts w:asciiTheme="majorBidi" w:hAnsiTheme="majorBidi" w:cstheme="majorBidi"/>
        </w:rPr>
        <w:t>To review the draft assessment of the information provided in accordance with paragraphs 3, 4 and 5 of decision POPRC-13/2 on PFOA, its salts and PFOA-related compounds set out in the annex to the present note</w:t>
      </w:r>
      <w:r w:rsidRPr="00CE15CF">
        <w:t>, and consider including it in an addendum to the risk management evaluation on those chemicals that was adopted by the Committee at its thirteenth meeting</w:t>
      </w:r>
      <w:r w:rsidR="005A6128">
        <w:rPr>
          <w:rStyle w:val="FootnoteReference"/>
        </w:rPr>
        <w:footnoteReference w:id="4"/>
      </w:r>
      <w:r w:rsidRPr="00CE15CF">
        <w:t>;</w:t>
      </w:r>
    </w:p>
    <w:p w14:paraId="097359CE" w14:textId="477667B1" w:rsidR="00C268AF" w:rsidRPr="00CE15CF" w:rsidRDefault="00C268AF" w:rsidP="00CE15CF">
      <w:pPr>
        <w:pStyle w:val="Normalnumber"/>
        <w:numPr>
          <w:ilvl w:val="1"/>
          <w:numId w:val="35"/>
        </w:numPr>
        <w:tabs>
          <w:tab w:val="left" w:pos="1247"/>
          <w:tab w:val="left" w:pos="1814"/>
          <w:tab w:val="left" w:pos="2381"/>
          <w:tab w:val="left" w:pos="2948"/>
          <w:tab w:val="left" w:pos="3515"/>
          <w:tab w:val="left" w:pos="4082"/>
        </w:tabs>
        <w:rPr>
          <w:rFonts w:asciiTheme="majorBidi" w:hAnsiTheme="majorBidi" w:cstheme="majorBidi"/>
        </w:rPr>
      </w:pPr>
      <w:r w:rsidRPr="00CE15CF">
        <w:rPr>
          <w:rFonts w:asciiTheme="majorBidi" w:hAnsiTheme="majorBidi" w:cstheme="majorBidi"/>
        </w:rPr>
        <w:t xml:space="preserve">To consider strengthening its recommendation to the Conference of the Parties on listing PFOA, its salts and PFOA-related compounds, </w:t>
      </w:r>
      <w:proofErr w:type="gramStart"/>
      <w:r w:rsidRPr="00CE15CF">
        <w:rPr>
          <w:rFonts w:asciiTheme="majorBidi" w:hAnsiTheme="majorBidi" w:cstheme="majorBidi"/>
        </w:rPr>
        <w:t>taking into account</w:t>
      </w:r>
      <w:proofErr w:type="gramEnd"/>
      <w:r w:rsidRPr="00CE15CF">
        <w:rPr>
          <w:rFonts w:asciiTheme="majorBidi" w:hAnsiTheme="majorBidi" w:cstheme="majorBidi"/>
        </w:rPr>
        <w:t xml:space="preserve"> the information set out in the annex to the present note and in document </w:t>
      </w:r>
      <w:r w:rsidRPr="00CE15CF">
        <w:t>UNEP/POPS/POPRC.14/INF/6</w:t>
      </w:r>
      <w:r w:rsidRPr="00CE15CF">
        <w:rPr>
          <w:rFonts w:asciiTheme="majorBidi" w:hAnsiTheme="majorBidi" w:cstheme="majorBidi"/>
        </w:rPr>
        <w:t>.</w:t>
      </w:r>
    </w:p>
    <w:p w14:paraId="2948E5E4" w14:textId="77777777" w:rsidR="00C268AF" w:rsidRPr="00CE15CF" w:rsidRDefault="00C268AF" w:rsidP="00CE15CF">
      <w:pPr>
        <w:pStyle w:val="ZZAnxheader"/>
        <w:rPr>
          <w:lang w:val="en-US"/>
        </w:rPr>
      </w:pPr>
      <w:r w:rsidRPr="00CE15CF">
        <w:rPr>
          <w:lang w:val="en-GB"/>
        </w:rPr>
        <w:br w:type="page"/>
      </w:r>
      <w:r w:rsidRPr="00CE15CF">
        <w:rPr>
          <w:lang w:val="en-US"/>
        </w:rPr>
        <w:lastRenderedPageBreak/>
        <w:t>Annex</w:t>
      </w:r>
    </w:p>
    <w:p w14:paraId="7C2B93D1" w14:textId="77777777" w:rsidR="00E06B31" w:rsidRPr="00370BD5" w:rsidRDefault="00E06B31" w:rsidP="00CE15CF">
      <w:pPr>
        <w:tabs>
          <w:tab w:val="left" w:pos="624"/>
          <w:tab w:val="left" w:pos="1247"/>
          <w:tab w:val="left" w:pos="1871"/>
          <w:tab w:val="left" w:pos="2495"/>
          <w:tab w:val="left" w:pos="3119"/>
        </w:tabs>
        <w:autoSpaceDE w:val="0"/>
        <w:autoSpaceDN w:val="0"/>
        <w:adjustRightInd w:val="0"/>
        <w:spacing w:after="120"/>
        <w:rPr>
          <w:b/>
          <w:bCs/>
          <w:sz w:val="44"/>
          <w:szCs w:val="44"/>
          <w:lang w:eastAsia="ja-JP"/>
        </w:rPr>
      </w:pPr>
    </w:p>
    <w:p w14:paraId="2ED2A74C" w14:textId="50A36F39" w:rsidR="00E06B31" w:rsidRPr="00CE15CF" w:rsidRDefault="00E06B31" w:rsidP="00CE15CF">
      <w:pPr>
        <w:tabs>
          <w:tab w:val="left" w:pos="624"/>
          <w:tab w:val="left" w:pos="1247"/>
          <w:tab w:val="left" w:pos="1871"/>
          <w:tab w:val="left" w:pos="2495"/>
          <w:tab w:val="left" w:pos="3119"/>
        </w:tabs>
        <w:autoSpaceDE w:val="0"/>
        <w:autoSpaceDN w:val="0"/>
        <w:adjustRightInd w:val="0"/>
        <w:spacing w:after="120"/>
        <w:rPr>
          <w:b/>
          <w:bCs/>
          <w:sz w:val="44"/>
          <w:szCs w:val="44"/>
          <w:lang w:eastAsia="ja-JP"/>
        </w:rPr>
      </w:pPr>
    </w:p>
    <w:p w14:paraId="28EEBCF1" w14:textId="6B6C75FD" w:rsidR="005B2DB4" w:rsidRPr="00CE15CF" w:rsidRDefault="005B2DB4" w:rsidP="00CE15CF">
      <w:pPr>
        <w:tabs>
          <w:tab w:val="left" w:pos="624"/>
          <w:tab w:val="left" w:pos="1247"/>
          <w:tab w:val="left" w:pos="1871"/>
          <w:tab w:val="left" w:pos="2495"/>
          <w:tab w:val="left" w:pos="3119"/>
        </w:tabs>
        <w:autoSpaceDE w:val="0"/>
        <w:autoSpaceDN w:val="0"/>
        <w:adjustRightInd w:val="0"/>
        <w:spacing w:after="120"/>
        <w:rPr>
          <w:b/>
          <w:bCs/>
          <w:sz w:val="44"/>
          <w:szCs w:val="44"/>
          <w:lang w:eastAsia="ja-JP"/>
        </w:rPr>
      </w:pPr>
    </w:p>
    <w:p w14:paraId="3AF7669E" w14:textId="77777777" w:rsidR="005B2DB4" w:rsidRPr="00CE15CF" w:rsidRDefault="005B2DB4" w:rsidP="00CE15CF">
      <w:pPr>
        <w:tabs>
          <w:tab w:val="left" w:pos="624"/>
          <w:tab w:val="left" w:pos="1247"/>
          <w:tab w:val="left" w:pos="1871"/>
          <w:tab w:val="left" w:pos="2495"/>
          <w:tab w:val="left" w:pos="3119"/>
        </w:tabs>
        <w:autoSpaceDE w:val="0"/>
        <w:autoSpaceDN w:val="0"/>
        <w:adjustRightInd w:val="0"/>
        <w:spacing w:after="120"/>
        <w:rPr>
          <w:b/>
          <w:bCs/>
          <w:sz w:val="44"/>
          <w:szCs w:val="44"/>
          <w:lang w:eastAsia="ja-JP"/>
        </w:rPr>
      </w:pPr>
    </w:p>
    <w:p w14:paraId="7831DC73" w14:textId="283ABD47" w:rsidR="008304F0" w:rsidRPr="00CE15CF" w:rsidRDefault="00AB1B45" w:rsidP="00CE15CF">
      <w:pPr>
        <w:tabs>
          <w:tab w:val="left" w:pos="624"/>
          <w:tab w:val="left" w:pos="1247"/>
          <w:tab w:val="left" w:pos="1871"/>
          <w:tab w:val="left" w:pos="2495"/>
          <w:tab w:val="left" w:pos="3119"/>
        </w:tabs>
        <w:autoSpaceDE w:val="0"/>
        <w:autoSpaceDN w:val="0"/>
        <w:adjustRightInd w:val="0"/>
        <w:spacing w:after="120"/>
        <w:jc w:val="center"/>
        <w:rPr>
          <w:b/>
          <w:sz w:val="40"/>
        </w:rPr>
      </w:pPr>
      <w:r w:rsidRPr="00CE15CF">
        <w:rPr>
          <w:b/>
          <w:bCs/>
          <w:sz w:val="40"/>
          <w:szCs w:val="40"/>
          <w:lang w:eastAsia="ja-JP"/>
        </w:rPr>
        <w:t xml:space="preserve">FURTHER ASSESSMENT OF INFORMATION ON </w:t>
      </w:r>
      <w:r w:rsidR="00E451C4" w:rsidRPr="00CE15CF">
        <w:rPr>
          <w:b/>
          <w:sz w:val="40"/>
        </w:rPr>
        <w:t>PFOA, ITS SALTS AND PFOA-RELATED COMPOUNDS</w:t>
      </w:r>
    </w:p>
    <w:p w14:paraId="2BE30E95" w14:textId="3E4129F4" w:rsidR="008304F0" w:rsidRPr="00CE15CF" w:rsidRDefault="008304F0" w:rsidP="00CE15CF">
      <w:pPr>
        <w:tabs>
          <w:tab w:val="left" w:pos="624"/>
          <w:tab w:val="left" w:pos="1247"/>
          <w:tab w:val="left" w:pos="1871"/>
          <w:tab w:val="left" w:pos="2495"/>
          <w:tab w:val="left" w:pos="3119"/>
        </w:tabs>
        <w:autoSpaceDE w:val="0"/>
        <w:autoSpaceDN w:val="0"/>
        <w:adjustRightInd w:val="0"/>
        <w:spacing w:after="120"/>
        <w:jc w:val="both"/>
        <w:rPr>
          <w:b/>
          <w:bCs/>
          <w:sz w:val="44"/>
          <w:szCs w:val="44"/>
        </w:rPr>
      </w:pPr>
    </w:p>
    <w:p w14:paraId="64F33F85" w14:textId="77777777" w:rsidR="005B2DB4" w:rsidRPr="00CE15CF" w:rsidRDefault="005B2DB4" w:rsidP="00CE15CF">
      <w:pPr>
        <w:tabs>
          <w:tab w:val="left" w:pos="624"/>
          <w:tab w:val="left" w:pos="1247"/>
          <w:tab w:val="left" w:pos="1871"/>
          <w:tab w:val="left" w:pos="2495"/>
          <w:tab w:val="left" w:pos="3119"/>
        </w:tabs>
        <w:autoSpaceDE w:val="0"/>
        <w:autoSpaceDN w:val="0"/>
        <w:adjustRightInd w:val="0"/>
        <w:spacing w:after="120"/>
        <w:jc w:val="both"/>
        <w:rPr>
          <w:b/>
          <w:bCs/>
          <w:sz w:val="44"/>
          <w:szCs w:val="44"/>
        </w:rPr>
      </w:pPr>
    </w:p>
    <w:p w14:paraId="7FE12791" w14:textId="05BC94FB" w:rsidR="00511C42" w:rsidRPr="00CE15CF" w:rsidRDefault="00E74CCD" w:rsidP="00CE15CF">
      <w:pPr>
        <w:autoSpaceDE w:val="0"/>
        <w:autoSpaceDN w:val="0"/>
        <w:adjustRightInd w:val="0"/>
        <w:spacing w:after="120"/>
        <w:jc w:val="center"/>
        <w:rPr>
          <w:b/>
          <w:bCs/>
          <w:sz w:val="32"/>
          <w:szCs w:val="32"/>
        </w:rPr>
      </w:pPr>
      <w:r w:rsidRPr="00CE15CF">
        <w:rPr>
          <w:b/>
          <w:bCs/>
          <w:sz w:val="32"/>
          <w:szCs w:val="32"/>
        </w:rPr>
        <w:t>Draft a</w:t>
      </w:r>
      <w:r w:rsidR="00511C42" w:rsidRPr="00CE15CF">
        <w:rPr>
          <w:b/>
          <w:bCs/>
          <w:sz w:val="32"/>
          <w:szCs w:val="32"/>
        </w:rPr>
        <w:t>ddendum</w:t>
      </w:r>
      <w:r w:rsidR="00511C42" w:rsidRPr="00CE15CF">
        <w:rPr>
          <w:b/>
          <w:sz w:val="32"/>
        </w:rPr>
        <w:t xml:space="preserve"> to the </w:t>
      </w:r>
      <w:r w:rsidR="00511C42" w:rsidRPr="00CE15CF">
        <w:rPr>
          <w:b/>
          <w:bCs/>
          <w:sz w:val="32"/>
          <w:szCs w:val="32"/>
        </w:rPr>
        <w:t>risk management evaluation on PFOA, its salts and PFOA-related compounds</w:t>
      </w:r>
      <w:r w:rsidR="000D7872">
        <w:rPr>
          <w:rStyle w:val="FootnoteReference"/>
          <w:b/>
          <w:bCs/>
          <w:sz w:val="32"/>
          <w:szCs w:val="32"/>
        </w:rPr>
        <w:footnoteReference w:customMarkFollows="1" w:id="5"/>
        <w:t>1</w:t>
      </w:r>
      <w:r w:rsidR="00511C42" w:rsidRPr="00CE15CF">
        <w:rPr>
          <w:b/>
          <w:bCs/>
          <w:sz w:val="32"/>
          <w:szCs w:val="32"/>
        </w:rPr>
        <w:t xml:space="preserve"> </w:t>
      </w:r>
    </w:p>
    <w:p w14:paraId="33BA0704" w14:textId="58215F65" w:rsidR="006336A0" w:rsidRPr="00CE15CF" w:rsidRDefault="006336A0" w:rsidP="00CE15CF">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02ABE6C5" w14:textId="77777777" w:rsidR="006336A0" w:rsidRPr="00CE15CF" w:rsidRDefault="006336A0" w:rsidP="00CE15CF">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17C0BD87" w14:textId="77777777" w:rsidR="006336A0" w:rsidRPr="00CE15CF" w:rsidRDefault="006336A0" w:rsidP="00CE15CF">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5833B318" w14:textId="77777777" w:rsidR="006336A0" w:rsidRPr="00CE15CF" w:rsidRDefault="006336A0" w:rsidP="00CE15CF">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526A8266" w14:textId="77777777" w:rsidR="006336A0" w:rsidRPr="00CE15CF" w:rsidRDefault="006336A0" w:rsidP="00CE15CF">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5B19655C" w14:textId="77777777" w:rsidR="006336A0" w:rsidRPr="00CE15CF" w:rsidRDefault="006336A0" w:rsidP="00CE15CF">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7852603F" w14:textId="77777777" w:rsidR="006336A0" w:rsidRPr="00CE15CF" w:rsidRDefault="006336A0" w:rsidP="00CE15CF">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418E00F8" w14:textId="77777777" w:rsidR="008F314D" w:rsidRPr="00CE15CF" w:rsidRDefault="008F314D" w:rsidP="00CE15CF">
      <w:pPr>
        <w:tabs>
          <w:tab w:val="left" w:pos="624"/>
          <w:tab w:val="left" w:pos="1247"/>
          <w:tab w:val="left" w:pos="1871"/>
          <w:tab w:val="left" w:pos="2495"/>
          <w:tab w:val="left" w:pos="3119"/>
        </w:tabs>
        <w:autoSpaceDE w:val="0"/>
        <w:autoSpaceDN w:val="0"/>
        <w:adjustRightInd w:val="0"/>
        <w:spacing w:after="120"/>
        <w:jc w:val="center"/>
        <w:rPr>
          <w:b/>
          <w:bCs/>
          <w:sz w:val="44"/>
          <w:szCs w:val="44"/>
          <w:lang w:eastAsia="ja-JP"/>
        </w:rPr>
      </w:pPr>
    </w:p>
    <w:p w14:paraId="2FAD5B23" w14:textId="205D370B" w:rsidR="008304F0" w:rsidRPr="00CE15CF" w:rsidRDefault="004E49A7" w:rsidP="00CE15CF">
      <w:pPr>
        <w:tabs>
          <w:tab w:val="left" w:pos="624"/>
          <w:tab w:val="left" w:pos="1247"/>
          <w:tab w:val="left" w:pos="1871"/>
          <w:tab w:val="left" w:pos="2495"/>
          <w:tab w:val="left" w:pos="3119"/>
        </w:tabs>
        <w:autoSpaceDE w:val="0"/>
        <w:autoSpaceDN w:val="0"/>
        <w:adjustRightInd w:val="0"/>
        <w:spacing w:after="120"/>
        <w:jc w:val="center"/>
        <w:rPr>
          <w:sz w:val="32"/>
          <w:szCs w:val="32"/>
        </w:rPr>
      </w:pPr>
      <w:r w:rsidRPr="00CE15CF">
        <w:rPr>
          <w:sz w:val="32"/>
          <w:szCs w:val="32"/>
        </w:rPr>
        <w:t xml:space="preserve">May </w:t>
      </w:r>
      <w:r w:rsidR="00B80BE0" w:rsidRPr="00CE15CF">
        <w:rPr>
          <w:sz w:val="32"/>
          <w:szCs w:val="32"/>
        </w:rPr>
        <w:t>201</w:t>
      </w:r>
      <w:r w:rsidR="007E0E9E" w:rsidRPr="00CE15CF">
        <w:rPr>
          <w:sz w:val="32"/>
          <w:szCs w:val="32"/>
        </w:rPr>
        <w:t>8</w:t>
      </w:r>
    </w:p>
    <w:p w14:paraId="47CD0B94" w14:textId="0A7428B1" w:rsidR="00706214" w:rsidRPr="00CE15CF" w:rsidRDefault="00706214" w:rsidP="00CE15CF">
      <w:pPr>
        <w:tabs>
          <w:tab w:val="left" w:pos="624"/>
          <w:tab w:val="left" w:pos="1247"/>
          <w:tab w:val="left" w:pos="1871"/>
          <w:tab w:val="left" w:pos="2495"/>
          <w:tab w:val="left" w:pos="3119"/>
        </w:tabs>
        <w:autoSpaceDE w:val="0"/>
        <w:autoSpaceDN w:val="0"/>
        <w:adjustRightInd w:val="0"/>
        <w:spacing w:after="120"/>
        <w:jc w:val="center"/>
        <w:rPr>
          <w:sz w:val="32"/>
          <w:szCs w:val="32"/>
        </w:rPr>
      </w:pPr>
    </w:p>
    <w:p w14:paraId="2549C5F9" w14:textId="7AB90E21" w:rsidR="00706214" w:rsidRPr="00CE15CF" w:rsidRDefault="00706214" w:rsidP="00370BD5">
      <w:pPr>
        <w:tabs>
          <w:tab w:val="left" w:pos="624"/>
          <w:tab w:val="left" w:pos="1247"/>
          <w:tab w:val="left" w:pos="1871"/>
          <w:tab w:val="left" w:pos="2495"/>
          <w:tab w:val="left" w:pos="3119"/>
        </w:tabs>
        <w:autoSpaceDE w:val="0"/>
        <w:autoSpaceDN w:val="0"/>
        <w:adjustRightInd w:val="0"/>
        <w:spacing w:after="120"/>
        <w:rPr>
          <w:sz w:val="32"/>
          <w:szCs w:val="32"/>
        </w:rPr>
      </w:pPr>
    </w:p>
    <w:p w14:paraId="288E1918" w14:textId="77777777" w:rsidR="008304F0" w:rsidRPr="00CE15CF" w:rsidRDefault="008304F0" w:rsidP="00CE15CF">
      <w:pPr>
        <w:tabs>
          <w:tab w:val="left" w:pos="624"/>
          <w:tab w:val="left" w:pos="1247"/>
          <w:tab w:val="left" w:pos="1871"/>
          <w:tab w:val="left" w:pos="2495"/>
          <w:tab w:val="left" w:pos="3119"/>
        </w:tabs>
        <w:autoSpaceDE w:val="0"/>
        <w:autoSpaceDN w:val="0"/>
        <w:adjustRightInd w:val="0"/>
        <w:spacing w:after="120"/>
        <w:jc w:val="both"/>
        <w:rPr>
          <w:sz w:val="32"/>
          <w:szCs w:val="32"/>
        </w:rPr>
      </w:pPr>
    </w:p>
    <w:p w14:paraId="6E657D37" w14:textId="77777777" w:rsidR="00C151FB" w:rsidRPr="00CE15CF" w:rsidRDefault="008304F0" w:rsidP="00CE15CF">
      <w:pPr>
        <w:tabs>
          <w:tab w:val="left" w:pos="624"/>
          <w:tab w:val="left" w:pos="1247"/>
        </w:tabs>
        <w:rPr>
          <w:rFonts w:eastAsia="Times New Roman"/>
          <w:sz w:val="28"/>
          <w:szCs w:val="28"/>
          <w:lang w:eastAsia="ja-JP"/>
        </w:rPr>
      </w:pPr>
      <w:r w:rsidRPr="00CE15CF">
        <w:br w:type="page"/>
      </w:r>
    </w:p>
    <w:p w14:paraId="46819C78" w14:textId="77777777" w:rsidR="004D2782" w:rsidRPr="00CE15CF" w:rsidRDefault="004D2782" w:rsidP="00CE15CF">
      <w:pPr>
        <w:pStyle w:val="Standardde"/>
        <w:tabs>
          <w:tab w:val="left" w:pos="624"/>
          <w:tab w:val="left" w:pos="1247"/>
        </w:tabs>
        <w:spacing w:line="240" w:lineRule="auto"/>
        <w:jc w:val="center"/>
        <w:rPr>
          <w:rFonts w:ascii="Times New Roman" w:hAnsi="Times New Roman"/>
          <w:b/>
          <w:sz w:val="28"/>
        </w:rPr>
        <w:sectPr w:rsidR="004D2782" w:rsidRPr="00CE15CF" w:rsidSect="00382554">
          <w:headerReference w:type="even" r:id="rId10"/>
          <w:headerReference w:type="default" r:id="rId11"/>
          <w:footerReference w:type="even" r:id="rId12"/>
          <w:footerReference w:type="default" r:id="rId13"/>
          <w:footerReference w:type="first" r:id="rId14"/>
          <w:pgSz w:w="11906" w:h="16838" w:code="9"/>
          <w:pgMar w:top="907" w:right="994" w:bottom="1411" w:left="1411" w:header="533" w:footer="979" w:gutter="0"/>
          <w:pgNumType w:start="1"/>
          <w:cols w:space="720"/>
          <w:titlePg/>
          <w:docGrid w:linePitch="326"/>
        </w:sectPr>
      </w:pPr>
    </w:p>
    <w:p w14:paraId="755C7A3D" w14:textId="59725CC9" w:rsidR="00C151FB" w:rsidRPr="00CE15CF" w:rsidRDefault="001B62B3" w:rsidP="00CE15CF">
      <w:pPr>
        <w:pStyle w:val="Standardde"/>
        <w:tabs>
          <w:tab w:val="left" w:pos="624"/>
        </w:tabs>
        <w:spacing w:line="240" w:lineRule="auto"/>
        <w:rPr>
          <w:rFonts w:ascii="Times New Roman" w:hAnsi="Times New Roman"/>
          <w:b/>
          <w:sz w:val="28"/>
        </w:rPr>
      </w:pPr>
      <w:r w:rsidRPr="00CE15CF">
        <w:rPr>
          <w:rFonts w:ascii="Times New Roman" w:hAnsi="Times New Roman"/>
          <w:b/>
          <w:sz w:val="28"/>
        </w:rPr>
        <w:lastRenderedPageBreak/>
        <w:t xml:space="preserve">Table of </w:t>
      </w:r>
      <w:r w:rsidR="00C151FB" w:rsidRPr="00CE15CF">
        <w:rPr>
          <w:rFonts w:ascii="Times New Roman" w:hAnsi="Times New Roman"/>
          <w:b/>
          <w:sz w:val="28"/>
        </w:rPr>
        <w:t>Content</w:t>
      </w:r>
      <w:r w:rsidR="00891744" w:rsidRPr="00CE15CF">
        <w:rPr>
          <w:rFonts w:ascii="Times New Roman" w:hAnsi="Times New Roman"/>
          <w:b/>
          <w:sz w:val="28"/>
        </w:rPr>
        <w:t>s</w:t>
      </w:r>
    </w:p>
    <w:p w14:paraId="797E7E9F" w14:textId="78093C57" w:rsidR="002C70E8" w:rsidRPr="00370BD5" w:rsidRDefault="00783290" w:rsidP="00CE15CF">
      <w:pPr>
        <w:pStyle w:val="TOC1"/>
        <w:rPr>
          <w:rFonts w:eastAsiaTheme="minorEastAsia"/>
          <w:b w:val="0"/>
          <w:noProof/>
          <w:sz w:val="20"/>
          <w:szCs w:val="20"/>
          <w:lang w:eastAsia="en-GB"/>
        </w:rPr>
      </w:pPr>
      <w:r w:rsidRPr="00370BD5">
        <w:rPr>
          <w:sz w:val="20"/>
          <w:szCs w:val="20"/>
        </w:rPr>
        <w:fldChar w:fldCharType="begin"/>
      </w:r>
      <w:r w:rsidR="00C151FB" w:rsidRPr="00370BD5">
        <w:rPr>
          <w:sz w:val="20"/>
          <w:szCs w:val="20"/>
        </w:rPr>
        <w:instrText xml:space="preserve"> TOC \o "1-3" \h \z \u </w:instrText>
      </w:r>
      <w:r w:rsidRPr="00370BD5">
        <w:rPr>
          <w:sz w:val="20"/>
          <w:szCs w:val="20"/>
        </w:rPr>
        <w:fldChar w:fldCharType="separate"/>
      </w:r>
      <w:hyperlink w:anchor="_Toc515267883" w:history="1">
        <w:r w:rsidR="002C70E8" w:rsidRPr="00370BD5">
          <w:rPr>
            <w:rStyle w:val="Hyperlink"/>
            <w:noProof/>
            <w:sz w:val="20"/>
            <w:szCs w:val="20"/>
          </w:rPr>
          <w:t>Executive Summary</w:t>
        </w:r>
        <w:r w:rsidR="002C70E8" w:rsidRPr="00370BD5">
          <w:rPr>
            <w:noProof/>
            <w:webHidden/>
            <w:sz w:val="20"/>
            <w:szCs w:val="20"/>
          </w:rPr>
          <w:tab/>
        </w:r>
        <w:r w:rsidR="002C70E8" w:rsidRPr="00370BD5">
          <w:rPr>
            <w:noProof/>
            <w:webHidden/>
            <w:sz w:val="20"/>
            <w:szCs w:val="20"/>
          </w:rPr>
          <w:fldChar w:fldCharType="begin"/>
        </w:r>
        <w:r w:rsidR="002C70E8" w:rsidRPr="00370BD5">
          <w:rPr>
            <w:noProof/>
            <w:webHidden/>
            <w:sz w:val="20"/>
            <w:szCs w:val="20"/>
          </w:rPr>
          <w:instrText xml:space="preserve"> PAGEREF _Toc515267883 \h </w:instrText>
        </w:r>
        <w:r w:rsidR="002C70E8" w:rsidRPr="00370BD5">
          <w:rPr>
            <w:noProof/>
            <w:webHidden/>
            <w:sz w:val="20"/>
            <w:szCs w:val="20"/>
          </w:rPr>
        </w:r>
        <w:r w:rsidR="002C70E8" w:rsidRPr="00370BD5">
          <w:rPr>
            <w:noProof/>
            <w:webHidden/>
            <w:sz w:val="20"/>
            <w:szCs w:val="20"/>
          </w:rPr>
          <w:fldChar w:fldCharType="separate"/>
        </w:r>
        <w:r w:rsidR="00AA57F7">
          <w:rPr>
            <w:noProof/>
            <w:webHidden/>
            <w:sz w:val="20"/>
            <w:szCs w:val="20"/>
          </w:rPr>
          <w:t>6</w:t>
        </w:r>
        <w:r w:rsidR="002C70E8" w:rsidRPr="00370BD5">
          <w:rPr>
            <w:noProof/>
            <w:webHidden/>
            <w:sz w:val="20"/>
            <w:szCs w:val="20"/>
          </w:rPr>
          <w:fldChar w:fldCharType="end"/>
        </w:r>
      </w:hyperlink>
    </w:p>
    <w:p w14:paraId="04CCA369" w14:textId="784E4443" w:rsidR="002C70E8" w:rsidRPr="00370BD5" w:rsidRDefault="00AA57F7" w:rsidP="00CE15CF">
      <w:pPr>
        <w:pStyle w:val="TOC1"/>
        <w:rPr>
          <w:rFonts w:eastAsiaTheme="minorEastAsia"/>
          <w:b w:val="0"/>
          <w:noProof/>
          <w:sz w:val="20"/>
          <w:szCs w:val="20"/>
          <w:lang w:eastAsia="en-GB"/>
        </w:rPr>
      </w:pPr>
      <w:hyperlink w:anchor="_Toc515267884" w:history="1">
        <w:r w:rsidR="002C70E8" w:rsidRPr="00370BD5">
          <w:rPr>
            <w:rStyle w:val="Hyperlink"/>
            <w:noProof/>
            <w:sz w:val="20"/>
            <w:szCs w:val="20"/>
          </w:rPr>
          <w:t>1</w:t>
        </w:r>
        <w:r w:rsidR="002C70E8" w:rsidRPr="00370BD5">
          <w:rPr>
            <w:rFonts w:eastAsiaTheme="minorEastAsia"/>
            <w:b w:val="0"/>
            <w:noProof/>
            <w:sz w:val="20"/>
            <w:szCs w:val="20"/>
            <w:lang w:eastAsia="en-GB"/>
          </w:rPr>
          <w:tab/>
        </w:r>
        <w:r w:rsidR="002C70E8" w:rsidRPr="00370BD5">
          <w:rPr>
            <w:rStyle w:val="Hyperlink"/>
            <w:noProof/>
            <w:sz w:val="20"/>
            <w:szCs w:val="20"/>
          </w:rPr>
          <w:t>Introduction</w:t>
        </w:r>
        <w:r w:rsidR="002C70E8" w:rsidRPr="00370BD5">
          <w:rPr>
            <w:noProof/>
            <w:webHidden/>
            <w:sz w:val="20"/>
            <w:szCs w:val="20"/>
          </w:rPr>
          <w:tab/>
        </w:r>
        <w:r w:rsidR="002C70E8" w:rsidRPr="00370BD5">
          <w:rPr>
            <w:noProof/>
            <w:webHidden/>
            <w:sz w:val="20"/>
            <w:szCs w:val="20"/>
          </w:rPr>
          <w:fldChar w:fldCharType="begin"/>
        </w:r>
        <w:r w:rsidR="002C70E8" w:rsidRPr="00370BD5">
          <w:rPr>
            <w:noProof/>
            <w:webHidden/>
            <w:sz w:val="20"/>
            <w:szCs w:val="20"/>
          </w:rPr>
          <w:instrText xml:space="preserve"> PAGEREF _Toc515267884 \h </w:instrText>
        </w:r>
        <w:r w:rsidR="002C70E8" w:rsidRPr="00370BD5">
          <w:rPr>
            <w:noProof/>
            <w:webHidden/>
            <w:sz w:val="20"/>
            <w:szCs w:val="20"/>
          </w:rPr>
        </w:r>
        <w:r w:rsidR="002C70E8" w:rsidRPr="00370BD5">
          <w:rPr>
            <w:noProof/>
            <w:webHidden/>
            <w:sz w:val="20"/>
            <w:szCs w:val="20"/>
          </w:rPr>
          <w:fldChar w:fldCharType="separate"/>
        </w:r>
        <w:r>
          <w:rPr>
            <w:noProof/>
            <w:webHidden/>
            <w:sz w:val="20"/>
            <w:szCs w:val="20"/>
          </w:rPr>
          <w:t>10</w:t>
        </w:r>
        <w:r w:rsidR="002C70E8" w:rsidRPr="00370BD5">
          <w:rPr>
            <w:noProof/>
            <w:webHidden/>
            <w:sz w:val="20"/>
            <w:szCs w:val="20"/>
          </w:rPr>
          <w:fldChar w:fldCharType="end"/>
        </w:r>
      </w:hyperlink>
    </w:p>
    <w:p w14:paraId="39A59A2F" w14:textId="57CECA60" w:rsidR="002C70E8" w:rsidRPr="00370BD5" w:rsidRDefault="00AA57F7" w:rsidP="00CE15CF">
      <w:pPr>
        <w:pStyle w:val="TOC2"/>
        <w:rPr>
          <w:rFonts w:eastAsiaTheme="minorEastAsia" w:cs="Times New Roman"/>
          <w:sz w:val="20"/>
          <w:szCs w:val="20"/>
          <w:lang w:eastAsia="en-GB"/>
        </w:rPr>
      </w:pPr>
      <w:hyperlink w:anchor="_Toc515267885" w:history="1">
        <w:r w:rsidR="002C70E8" w:rsidRPr="00370BD5">
          <w:rPr>
            <w:rStyle w:val="Hyperlink"/>
            <w:sz w:val="20"/>
            <w:szCs w:val="20"/>
          </w:rPr>
          <w:t>1.1</w:t>
        </w:r>
        <w:r w:rsidR="002C70E8" w:rsidRPr="00370BD5">
          <w:rPr>
            <w:rFonts w:eastAsiaTheme="minorEastAsia" w:cs="Times New Roman"/>
            <w:sz w:val="20"/>
            <w:szCs w:val="20"/>
            <w:lang w:eastAsia="en-GB"/>
          </w:rPr>
          <w:tab/>
        </w:r>
        <w:r w:rsidR="002C70E8" w:rsidRPr="00370BD5">
          <w:rPr>
            <w:rStyle w:val="Hyperlink"/>
            <w:sz w:val="20"/>
            <w:szCs w:val="20"/>
          </w:rPr>
          <w:t>Overview of actions to date</w:t>
        </w:r>
        <w:r w:rsidR="002C70E8" w:rsidRPr="00370BD5">
          <w:rPr>
            <w:rFonts w:cs="Times New Roman"/>
            <w:webHidden/>
            <w:sz w:val="20"/>
            <w:szCs w:val="20"/>
          </w:rPr>
          <w:tab/>
        </w:r>
        <w:r w:rsidR="002C70E8" w:rsidRPr="00370BD5">
          <w:rPr>
            <w:rFonts w:cs="Times New Roman"/>
            <w:webHidden/>
            <w:sz w:val="20"/>
            <w:szCs w:val="20"/>
          </w:rPr>
          <w:fldChar w:fldCharType="begin"/>
        </w:r>
        <w:r w:rsidR="002C70E8" w:rsidRPr="00370BD5">
          <w:rPr>
            <w:rFonts w:cs="Times New Roman"/>
            <w:webHidden/>
            <w:sz w:val="20"/>
            <w:szCs w:val="20"/>
          </w:rPr>
          <w:instrText xml:space="preserve"> PAGEREF _Toc515267885 \h </w:instrText>
        </w:r>
        <w:r w:rsidR="002C70E8" w:rsidRPr="00370BD5">
          <w:rPr>
            <w:rFonts w:cs="Times New Roman"/>
            <w:webHidden/>
            <w:sz w:val="20"/>
            <w:szCs w:val="20"/>
          </w:rPr>
        </w:r>
        <w:r w:rsidR="002C70E8" w:rsidRPr="00370BD5">
          <w:rPr>
            <w:rFonts w:cs="Times New Roman"/>
            <w:webHidden/>
            <w:sz w:val="20"/>
            <w:szCs w:val="20"/>
          </w:rPr>
          <w:fldChar w:fldCharType="separate"/>
        </w:r>
        <w:r>
          <w:rPr>
            <w:rFonts w:cs="Times New Roman"/>
            <w:webHidden/>
            <w:sz w:val="20"/>
            <w:szCs w:val="20"/>
          </w:rPr>
          <w:t>10</w:t>
        </w:r>
        <w:r w:rsidR="002C70E8" w:rsidRPr="00370BD5">
          <w:rPr>
            <w:rFonts w:cs="Times New Roman"/>
            <w:webHidden/>
            <w:sz w:val="20"/>
            <w:szCs w:val="20"/>
          </w:rPr>
          <w:fldChar w:fldCharType="end"/>
        </w:r>
      </w:hyperlink>
    </w:p>
    <w:p w14:paraId="2118C8E7" w14:textId="55B7F302" w:rsidR="002C70E8" w:rsidRPr="00370BD5" w:rsidRDefault="00AA57F7" w:rsidP="00CE15CF">
      <w:pPr>
        <w:pStyle w:val="TOC2"/>
        <w:rPr>
          <w:rFonts w:eastAsiaTheme="minorEastAsia" w:cs="Times New Roman"/>
          <w:sz w:val="20"/>
          <w:szCs w:val="20"/>
          <w:lang w:eastAsia="en-GB"/>
        </w:rPr>
      </w:pPr>
      <w:hyperlink w:anchor="_Toc515267886" w:history="1">
        <w:r w:rsidR="002C70E8" w:rsidRPr="00370BD5">
          <w:rPr>
            <w:rStyle w:val="Hyperlink"/>
            <w:sz w:val="20"/>
            <w:szCs w:val="20"/>
          </w:rPr>
          <w:t>1.2</w:t>
        </w:r>
        <w:r w:rsidR="002C70E8" w:rsidRPr="00370BD5">
          <w:rPr>
            <w:rFonts w:eastAsiaTheme="minorEastAsia" w:cs="Times New Roman"/>
            <w:sz w:val="20"/>
            <w:szCs w:val="20"/>
            <w:lang w:eastAsia="en-GB"/>
          </w:rPr>
          <w:tab/>
        </w:r>
        <w:r w:rsidR="002C70E8" w:rsidRPr="00370BD5">
          <w:rPr>
            <w:rStyle w:val="Hyperlink"/>
            <w:sz w:val="20"/>
            <w:szCs w:val="20"/>
          </w:rPr>
          <w:t>Structure of this document</w:t>
        </w:r>
        <w:r w:rsidR="002C70E8" w:rsidRPr="00370BD5">
          <w:rPr>
            <w:rFonts w:cs="Times New Roman"/>
            <w:webHidden/>
            <w:sz w:val="20"/>
            <w:szCs w:val="20"/>
          </w:rPr>
          <w:tab/>
        </w:r>
        <w:r w:rsidR="002C70E8" w:rsidRPr="00370BD5">
          <w:rPr>
            <w:rFonts w:cs="Times New Roman"/>
            <w:webHidden/>
            <w:sz w:val="20"/>
            <w:szCs w:val="20"/>
          </w:rPr>
          <w:fldChar w:fldCharType="begin"/>
        </w:r>
        <w:r w:rsidR="002C70E8" w:rsidRPr="00370BD5">
          <w:rPr>
            <w:rFonts w:cs="Times New Roman"/>
            <w:webHidden/>
            <w:sz w:val="20"/>
            <w:szCs w:val="20"/>
          </w:rPr>
          <w:instrText xml:space="preserve"> PAGEREF _Toc515267886 \h </w:instrText>
        </w:r>
        <w:r w:rsidR="002C70E8" w:rsidRPr="00370BD5">
          <w:rPr>
            <w:rFonts w:cs="Times New Roman"/>
            <w:webHidden/>
            <w:sz w:val="20"/>
            <w:szCs w:val="20"/>
          </w:rPr>
        </w:r>
        <w:r w:rsidR="002C70E8" w:rsidRPr="00370BD5">
          <w:rPr>
            <w:rFonts w:cs="Times New Roman"/>
            <w:webHidden/>
            <w:sz w:val="20"/>
            <w:szCs w:val="20"/>
          </w:rPr>
          <w:fldChar w:fldCharType="separate"/>
        </w:r>
        <w:r>
          <w:rPr>
            <w:rFonts w:cs="Times New Roman"/>
            <w:webHidden/>
            <w:sz w:val="20"/>
            <w:szCs w:val="20"/>
          </w:rPr>
          <w:t>11</w:t>
        </w:r>
        <w:r w:rsidR="002C70E8" w:rsidRPr="00370BD5">
          <w:rPr>
            <w:rFonts w:cs="Times New Roman"/>
            <w:webHidden/>
            <w:sz w:val="20"/>
            <w:szCs w:val="20"/>
          </w:rPr>
          <w:fldChar w:fldCharType="end"/>
        </w:r>
      </w:hyperlink>
    </w:p>
    <w:p w14:paraId="4EE018DD" w14:textId="4C595A3A" w:rsidR="002C70E8" w:rsidRPr="00370BD5" w:rsidRDefault="00AA57F7" w:rsidP="00CE15CF">
      <w:pPr>
        <w:pStyle w:val="TOC2"/>
        <w:rPr>
          <w:rFonts w:eastAsiaTheme="minorEastAsia" w:cs="Times New Roman"/>
          <w:sz w:val="20"/>
          <w:szCs w:val="20"/>
          <w:lang w:eastAsia="en-GB"/>
        </w:rPr>
      </w:pPr>
      <w:hyperlink w:anchor="_Toc515267887" w:history="1">
        <w:r w:rsidR="002C70E8" w:rsidRPr="00370BD5">
          <w:rPr>
            <w:rStyle w:val="Hyperlink"/>
            <w:sz w:val="20"/>
            <w:szCs w:val="20"/>
          </w:rPr>
          <w:t>1.3</w:t>
        </w:r>
        <w:r w:rsidR="002C70E8" w:rsidRPr="00370BD5">
          <w:rPr>
            <w:rFonts w:eastAsiaTheme="minorEastAsia" w:cs="Times New Roman"/>
            <w:sz w:val="20"/>
            <w:szCs w:val="20"/>
            <w:lang w:eastAsia="en-GB"/>
          </w:rPr>
          <w:tab/>
        </w:r>
        <w:r w:rsidR="002C70E8" w:rsidRPr="00370BD5">
          <w:rPr>
            <w:rStyle w:val="Hyperlink"/>
            <w:sz w:val="20"/>
            <w:szCs w:val="20"/>
          </w:rPr>
          <w:t>Data sources</w:t>
        </w:r>
        <w:r w:rsidR="002C70E8" w:rsidRPr="00370BD5">
          <w:rPr>
            <w:rFonts w:cs="Times New Roman"/>
            <w:webHidden/>
            <w:sz w:val="20"/>
            <w:szCs w:val="20"/>
          </w:rPr>
          <w:tab/>
        </w:r>
        <w:r w:rsidR="002C70E8" w:rsidRPr="00370BD5">
          <w:rPr>
            <w:rFonts w:cs="Times New Roman"/>
            <w:webHidden/>
            <w:sz w:val="20"/>
            <w:szCs w:val="20"/>
          </w:rPr>
          <w:fldChar w:fldCharType="begin"/>
        </w:r>
        <w:r w:rsidR="002C70E8" w:rsidRPr="00370BD5">
          <w:rPr>
            <w:rFonts w:cs="Times New Roman"/>
            <w:webHidden/>
            <w:sz w:val="20"/>
            <w:szCs w:val="20"/>
          </w:rPr>
          <w:instrText xml:space="preserve"> PAGEREF _Toc515267887 \h </w:instrText>
        </w:r>
        <w:r w:rsidR="002C70E8" w:rsidRPr="00370BD5">
          <w:rPr>
            <w:rFonts w:cs="Times New Roman"/>
            <w:webHidden/>
            <w:sz w:val="20"/>
            <w:szCs w:val="20"/>
          </w:rPr>
        </w:r>
        <w:r w:rsidR="002C70E8" w:rsidRPr="00370BD5">
          <w:rPr>
            <w:rFonts w:cs="Times New Roman"/>
            <w:webHidden/>
            <w:sz w:val="20"/>
            <w:szCs w:val="20"/>
          </w:rPr>
          <w:fldChar w:fldCharType="separate"/>
        </w:r>
        <w:r>
          <w:rPr>
            <w:rFonts w:cs="Times New Roman"/>
            <w:webHidden/>
            <w:sz w:val="20"/>
            <w:szCs w:val="20"/>
          </w:rPr>
          <w:t>11</w:t>
        </w:r>
        <w:r w:rsidR="002C70E8" w:rsidRPr="00370BD5">
          <w:rPr>
            <w:rFonts w:cs="Times New Roman"/>
            <w:webHidden/>
            <w:sz w:val="20"/>
            <w:szCs w:val="20"/>
          </w:rPr>
          <w:fldChar w:fldCharType="end"/>
        </w:r>
      </w:hyperlink>
    </w:p>
    <w:p w14:paraId="0626B30D" w14:textId="32A898DF" w:rsidR="002C70E8" w:rsidRPr="00370BD5" w:rsidRDefault="00AA57F7" w:rsidP="00CE15CF">
      <w:pPr>
        <w:pStyle w:val="TOC1"/>
        <w:rPr>
          <w:rFonts w:eastAsiaTheme="minorEastAsia"/>
          <w:b w:val="0"/>
          <w:noProof/>
          <w:sz w:val="20"/>
          <w:szCs w:val="20"/>
          <w:lang w:eastAsia="en-GB"/>
        </w:rPr>
      </w:pPr>
      <w:hyperlink w:anchor="_Toc515267888" w:history="1">
        <w:r w:rsidR="002C70E8" w:rsidRPr="00370BD5">
          <w:rPr>
            <w:rStyle w:val="Hyperlink"/>
            <w:noProof/>
            <w:sz w:val="20"/>
            <w:szCs w:val="20"/>
          </w:rPr>
          <w:t>2</w:t>
        </w:r>
        <w:r w:rsidR="002C70E8" w:rsidRPr="00370BD5">
          <w:rPr>
            <w:rFonts w:eastAsiaTheme="minorEastAsia"/>
            <w:b w:val="0"/>
            <w:noProof/>
            <w:sz w:val="20"/>
            <w:szCs w:val="20"/>
            <w:lang w:eastAsia="en-GB"/>
          </w:rPr>
          <w:tab/>
        </w:r>
        <w:r w:rsidR="002C70E8" w:rsidRPr="00370BD5">
          <w:rPr>
            <w:rStyle w:val="Hyperlink"/>
            <w:noProof/>
            <w:sz w:val="20"/>
            <w:szCs w:val="20"/>
          </w:rPr>
          <w:t>Chemical identity of PFOA, its salts and PFOA-related compounds</w:t>
        </w:r>
        <w:r w:rsidR="002C70E8" w:rsidRPr="00370BD5">
          <w:rPr>
            <w:noProof/>
            <w:webHidden/>
            <w:sz w:val="20"/>
            <w:szCs w:val="20"/>
          </w:rPr>
          <w:tab/>
        </w:r>
        <w:r w:rsidR="002C70E8" w:rsidRPr="00370BD5">
          <w:rPr>
            <w:noProof/>
            <w:webHidden/>
            <w:sz w:val="20"/>
            <w:szCs w:val="20"/>
          </w:rPr>
          <w:fldChar w:fldCharType="begin"/>
        </w:r>
        <w:r w:rsidR="002C70E8" w:rsidRPr="00370BD5">
          <w:rPr>
            <w:noProof/>
            <w:webHidden/>
            <w:sz w:val="20"/>
            <w:szCs w:val="20"/>
          </w:rPr>
          <w:instrText xml:space="preserve"> PAGEREF _Toc515267888 \h </w:instrText>
        </w:r>
        <w:r w:rsidR="002C70E8" w:rsidRPr="00370BD5">
          <w:rPr>
            <w:noProof/>
            <w:webHidden/>
            <w:sz w:val="20"/>
            <w:szCs w:val="20"/>
          </w:rPr>
        </w:r>
        <w:r w:rsidR="002C70E8" w:rsidRPr="00370BD5">
          <w:rPr>
            <w:noProof/>
            <w:webHidden/>
            <w:sz w:val="20"/>
            <w:szCs w:val="20"/>
          </w:rPr>
          <w:fldChar w:fldCharType="separate"/>
        </w:r>
        <w:r>
          <w:rPr>
            <w:noProof/>
            <w:webHidden/>
            <w:sz w:val="20"/>
            <w:szCs w:val="20"/>
          </w:rPr>
          <w:t>12</w:t>
        </w:r>
        <w:r w:rsidR="002C70E8" w:rsidRPr="00370BD5">
          <w:rPr>
            <w:noProof/>
            <w:webHidden/>
            <w:sz w:val="20"/>
            <w:szCs w:val="20"/>
          </w:rPr>
          <w:fldChar w:fldCharType="end"/>
        </w:r>
      </w:hyperlink>
    </w:p>
    <w:p w14:paraId="15AFA842" w14:textId="7E2A5A31" w:rsidR="002C70E8" w:rsidRPr="00370BD5" w:rsidRDefault="00AA57F7" w:rsidP="00CE15CF">
      <w:pPr>
        <w:pStyle w:val="TOC2"/>
        <w:rPr>
          <w:rFonts w:eastAsiaTheme="minorEastAsia" w:cs="Times New Roman"/>
          <w:sz w:val="20"/>
          <w:szCs w:val="20"/>
          <w:lang w:eastAsia="en-GB"/>
        </w:rPr>
      </w:pPr>
      <w:hyperlink w:anchor="_Toc515267889" w:history="1">
        <w:r w:rsidR="002C70E8" w:rsidRPr="00370BD5">
          <w:rPr>
            <w:rStyle w:val="Hyperlink"/>
            <w:sz w:val="20"/>
            <w:szCs w:val="20"/>
          </w:rPr>
          <w:t>2.1</w:t>
        </w:r>
        <w:r w:rsidR="002C70E8" w:rsidRPr="00370BD5">
          <w:rPr>
            <w:rFonts w:eastAsiaTheme="minorEastAsia" w:cs="Times New Roman"/>
            <w:sz w:val="20"/>
            <w:szCs w:val="20"/>
            <w:lang w:eastAsia="en-GB"/>
          </w:rPr>
          <w:tab/>
        </w:r>
        <w:r w:rsidR="002C70E8" w:rsidRPr="00370BD5">
          <w:rPr>
            <w:rStyle w:val="Hyperlink"/>
            <w:sz w:val="20"/>
            <w:szCs w:val="20"/>
          </w:rPr>
          <w:t>Chemical identity according to the RME</w:t>
        </w:r>
        <w:r w:rsidR="002C70E8" w:rsidRPr="00370BD5">
          <w:rPr>
            <w:rFonts w:cs="Times New Roman"/>
            <w:webHidden/>
            <w:sz w:val="20"/>
            <w:szCs w:val="20"/>
          </w:rPr>
          <w:tab/>
        </w:r>
        <w:r w:rsidR="002C70E8" w:rsidRPr="00370BD5">
          <w:rPr>
            <w:rFonts w:cs="Times New Roman"/>
            <w:webHidden/>
            <w:sz w:val="20"/>
            <w:szCs w:val="20"/>
          </w:rPr>
          <w:fldChar w:fldCharType="begin"/>
        </w:r>
        <w:r w:rsidR="002C70E8" w:rsidRPr="00370BD5">
          <w:rPr>
            <w:rFonts w:cs="Times New Roman"/>
            <w:webHidden/>
            <w:sz w:val="20"/>
            <w:szCs w:val="20"/>
          </w:rPr>
          <w:instrText xml:space="preserve"> PAGEREF _Toc515267889 \h </w:instrText>
        </w:r>
        <w:r w:rsidR="002C70E8" w:rsidRPr="00370BD5">
          <w:rPr>
            <w:rFonts w:cs="Times New Roman"/>
            <w:webHidden/>
            <w:sz w:val="20"/>
            <w:szCs w:val="20"/>
          </w:rPr>
        </w:r>
        <w:r w:rsidR="002C70E8" w:rsidRPr="00370BD5">
          <w:rPr>
            <w:rFonts w:cs="Times New Roman"/>
            <w:webHidden/>
            <w:sz w:val="20"/>
            <w:szCs w:val="20"/>
          </w:rPr>
          <w:fldChar w:fldCharType="separate"/>
        </w:r>
        <w:r>
          <w:rPr>
            <w:rFonts w:cs="Times New Roman"/>
            <w:webHidden/>
            <w:sz w:val="20"/>
            <w:szCs w:val="20"/>
          </w:rPr>
          <w:t>12</w:t>
        </w:r>
        <w:r w:rsidR="002C70E8" w:rsidRPr="00370BD5">
          <w:rPr>
            <w:rFonts w:cs="Times New Roman"/>
            <w:webHidden/>
            <w:sz w:val="20"/>
            <w:szCs w:val="20"/>
          </w:rPr>
          <w:fldChar w:fldCharType="end"/>
        </w:r>
      </w:hyperlink>
    </w:p>
    <w:p w14:paraId="0ED697BD" w14:textId="726700C2" w:rsidR="002C70E8" w:rsidRPr="00370BD5" w:rsidRDefault="00AA57F7" w:rsidP="00CE15CF">
      <w:pPr>
        <w:pStyle w:val="TOC2"/>
        <w:rPr>
          <w:rFonts w:eastAsiaTheme="minorEastAsia" w:cs="Times New Roman"/>
          <w:sz w:val="20"/>
          <w:szCs w:val="20"/>
          <w:lang w:eastAsia="en-GB"/>
        </w:rPr>
      </w:pPr>
      <w:hyperlink w:anchor="_Toc515267890" w:history="1">
        <w:r w:rsidR="002C70E8" w:rsidRPr="00370BD5">
          <w:rPr>
            <w:rStyle w:val="Hyperlink"/>
            <w:sz w:val="20"/>
            <w:szCs w:val="20"/>
          </w:rPr>
          <w:t>2.2</w:t>
        </w:r>
        <w:r w:rsidR="002C70E8" w:rsidRPr="00370BD5">
          <w:rPr>
            <w:rFonts w:eastAsiaTheme="minorEastAsia" w:cs="Times New Roman"/>
            <w:sz w:val="20"/>
            <w:szCs w:val="20"/>
            <w:lang w:eastAsia="en-GB"/>
          </w:rPr>
          <w:tab/>
        </w:r>
        <w:r w:rsidR="002C70E8" w:rsidRPr="00370BD5">
          <w:rPr>
            <w:rStyle w:val="Hyperlink"/>
            <w:sz w:val="20"/>
            <w:szCs w:val="20"/>
          </w:rPr>
          <w:t>Possible exclusion of sulfluramid from the scope of the RME</w:t>
        </w:r>
        <w:r w:rsidR="002C70E8" w:rsidRPr="00370BD5">
          <w:rPr>
            <w:rFonts w:cs="Times New Roman"/>
            <w:webHidden/>
            <w:sz w:val="20"/>
            <w:szCs w:val="20"/>
          </w:rPr>
          <w:tab/>
        </w:r>
        <w:r w:rsidR="002C70E8" w:rsidRPr="00370BD5">
          <w:rPr>
            <w:rFonts w:cs="Times New Roman"/>
            <w:webHidden/>
            <w:sz w:val="20"/>
            <w:szCs w:val="20"/>
          </w:rPr>
          <w:fldChar w:fldCharType="begin"/>
        </w:r>
        <w:r w:rsidR="002C70E8" w:rsidRPr="00370BD5">
          <w:rPr>
            <w:rFonts w:cs="Times New Roman"/>
            <w:webHidden/>
            <w:sz w:val="20"/>
            <w:szCs w:val="20"/>
          </w:rPr>
          <w:instrText xml:space="preserve"> PAGEREF _Toc515267890 \h </w:instrText>
        </w:r>
        <w:r w:rsidR="002C70E8" w:rsidRPr="00370BD5">
          <w:rPr>
            <w:rFonts w:cs="Times New Roman"/>
            <w:webHidden/>
            <w:sz w:val="20"/>
            <w:szCs w:val="20"/>
          </w:rPr>
        </w:r>
        <w:r w:rsidR="002C70E8" w:rsidRPr="00370BD5">
          <w:rPr>
            <w:rFonts w:cs="Times New Roman"/>
            <w:webHidden/>
            <w:sz w:val="20"/>
            <w:szCs w:val="20"/>
          </w:rPr>
          <w:fldChar w:fldCharType="separate"/>
        </w:r>
        <w:r>
          <w:rPr>
            <w:rFonts w:cs="Times New Roman"/>
            <w:webHidden/>
            <w:sz w:val="20"/>
            <w:szCs w:val="20"/>
          </w:rPr>
          <w:t>13</w:t>
        </w:r>
        <w:r w:rsidR="002C70E8" w:rsidRPr="00370BD5">
          <w:rPr>
            <w:rFonts w:cs="Times New Roman"/>
            <w:webHidden/>
            <w:sz w:val="20"/>
            <w:szCs w:val="20"/>
          </w:rPr>
          <w:fldChar w:fldCharType="end"/>
        </w:r>
      </w:hyperlink>
    </w:p>
    <w:p w14:paraId="5987E422" w14:textId="16A40768" w:rsidR="002C70E8" w:rsidRPr="00370BD5" w:rsidRDefault="00AA57F7" w:rsidP="00CE15CF">
      <w:pPr>
        <w:pStyle w:val="TOC2"/>
        <w:rPr>
          <w:rFonts w:eastAsiaTheme="minorEastAsia" w:cs="Times New Roman"/>
          <w:sz w:val="20"/>
          <w:szCs w:val="20"/>
          <w:lang w:eastAsia="en-GB"/>
        </w:rPr>
      </w:pPr>
      <w:hyperlink w:anchor="_Toc515267891" w:history="1">
        <w:r w:rsidR="002C70E8" w:rsidRPr="00370BD5">
          <w:rPr>
            <w:rStyle w:val="Hyperlink"/>
            <w:sz w:val="20"/>
            <w:szCs w:val="20"/>
          </w:rPr>
          <w:t>2.3</w:t>
        </w:r>
        <w:r w:rsidR="002C70E8" w:rsidRPr="00370BD5">
          <w:rPr>
            <w:rFonts w:eastAsiaTheme="minorEastAsia" w:cs="Times New Roman"/>
            <w:sz w:val="20"/>
            <w:szCs w:val="20"/>
            <w:lang w:eastAsia="en-GB"/>
          </w:rPr>
          <w:tab/>
        </w:r>
        <w:r w:rsidR="002C70E8" w:rsidRPr="00370BD5">
          <w:rPr>
            <w:rStyle w:val="Hyperlink"/>
            <w:sz w:val="20"/>
            <w:szCs w:val="20"/>
          </w:rPr>
          <w:t>Possible exclusion of 1-H-PFO from the scope of the RME</w:t>
        </w:r>
        <w:r w:rsidR="002C70E8" w:rsidRPr="00370BD5">
          <w:rPr>
            <w:rFonts w:cs="Times New Roman"/>
            <w:webHidden/>
            <w:sz w:val="20"/>
            <w:szCs w:val="20"/>
          </w:rPr>
          <w:tab/>
        </w:r>
        <w:r w:rsidR="002C70E8" w:rsidRPr="00370BD5">
          <w:rPr>
            <w:rFonts w:cs="Times New Roman"/>
            <w:webHidden/>
            <w:sz w:val="20"/>
            <w:szCs w:val="20"/>
          </w:rPr>
          <w:fldChar w:fldCharType="begin"/>
        </w:r>
        <w:r w:rsidR="002C70E8" w:rsidRPr="00370BD5">
          <w:rPr>
            <w:rFonts w:cs="Times New Roman"/>
            <w:webHidden/>
            <w:sz w:val="20"/>
            <w:szCs w:val="20"/>
          </w:rPr>
          <w:instrText xml:space="preserve"> PAGEREF _Toc515267891 \h </w:instrText>
        </w:r>
        <w:r w:rsidR="002C70E8" w:rsidRPr="00370BD5">
          <w:rPr>
            <w:rFonts w:cs="Times New Roman"/>
            <w:webHidden/>
            <w:sz w:val="20"/>
            <w:szCs w:val="20"/>
          </w:rPr>
        </w:r>
        <w:r w:rsidR="002C70E8" w:rsidRPr="00370BD5">
          <w:rPr>
            <w:rFonts w:cs="Times New Roman"/>
            <w:webHidden/>
            <w:sz w:val="20"/>
            <w:szCs w:val="20"/>
          </w:rPr>
          <w:fldChar w:fldCharType="separate"/>
        </w:r>
        <w:r>
          <w:rPr>
            <w:rFonts w:cs="Times New Roman"/>
            <w:webHidden/>
            <w:sz w:val="20"/>
            <w:szCs w:val="20"/>
          </w:rPr>
          <w:t>15</w:t>
        </w:r>
        <w:r w:rsidR="002C70E8" w:rsidRPr="00370BD5">
          <w:rPr>
            <w:rFonts w:cs="Times New Roman"/>
            <w:webHidden/>
            <w:sz w:val="20"/>
            <w:szCs w:val="20"/>
          </w:rPr>
          <w:fldChar w:fldCharType="end"/>
        </w:r>
      </w:hyperlink>
    </w:p>
    <w:p w14:paraId="4D47C837" w14:textId="403EB89D" w:rsidR="002C70E8" w:rsidRPr="00370BD5" w:rsidRDefault="00AA57F7" w:rsidP="00CE15CF">
      <w:pPr>
        <w:pStyle w:val="TOC2"/>
        <w:rPr>
          <w:rFonts w:eastAsiaTheme="minorEastAsia" w:cs="Times New Roman"/>
          <w:sz w:val="20"/>
          <w:szCs w:val="20"/>
          <w:lang w:eastAsia="en-GB"/>
        </w:rPr>
      </w:pPr>
      <w:hyperlink w:anchor="_Toc515267892" w:history="1">
        <w:r w:rsidR="002C70E8" w:rsidRPr="00370BD5">
          <w:rPr>
            <w:rStyle w:val="Hyperlink"/>
            <w:sz w:val="20"/>
            <w:szCs w:val="20"/>
          </w:rPr>
          <w:t>2.4</w:t>
        </w:r>
        <w:r w:rsidR="002C70E8" w:rsidRPr="00370BD5">
          <w:rPr>
            <w:rFonts w:eastAsiaTheme="minorEastAsia" w:cs="Times New Roman"/>
            <w:sz w:val="20"/>
            <w:szCs w:val="20"/>
            <w:lang w:eastAsia="en-GB"/>
          </w:rPr>
          <w:tab/>
        </w:r>
        <w:r w:rsidR="002C70E8" w:rsidRPr="00370BD5">
          <w:rPr>
            <w:rStyle w:val="Hyperlink"/>
            <w:sz w:val="20"/>
            <w:szCs w:val="20"/>
          </w:rPr>
          <w:t>Inclusion of 8:2 fluorotelomer methacrylate, polymer with methyl methacrylate in the scope of the RME</w:t>
        </w:r>
        <w:r w:rsidR="002C70E8" w:rsidRPr="00370BD5">
          <w:rPr>
            <w:rFonts w:cs="Times New Roman"/>
            <w:webHidden/>
            <w:sz w:val="20"/>
            <w:szCs w:val="20"/>
          </w:rPr>
          <w:tab/>
        </w:r>
        <w:r w:rsidR="002C70E8" w:rsidRPr="00370BD5">
          <w:rPr>
            <w:rFonts w:cs="Times New Roman"/>
            <w:webHidden/>
            <w:sz w:val="20"/>
            <w:szCs w:val="20"/>
          </w:rPr>
          <w:fldChar w:fldCharType="begin"/>
        </w:r>
        <w:r w:rsidR="002C70E8" w:rsidRPr="00370BD5">
          <w:rPr>
            <w:rFonts w:cs="Times New Roman"/>
            <w:webHidden/>
            <w:sz w:val="20"/>
            <w:szCs w:val="20"/>
          </w:rPr>
          <w:instrText xml:space="preserve"> PAGEREF _Toc515267892 \h </w:instrText>
        </w:r>
        <w:r w:rsidR="002C70E8" w:rsidRPr="00370BD5">
          <w:rPr>
            <w:rFonts w:cs="Times New Roman"/>
            <w:webHidden/>
            <w:sz w:val="20"/>
            <w:szCs w:val="20"/>
          </w:rPr>
        </w:r>
        <w:r w:rsidR="002C70E8" w:rsidRPr="00370BD5">
          <w:rPr>
            <w:rFonts w:cs="Times New Roman"/>
            <w:webHidden/>
            <w:sz w:val="20"/>
            <w:szCs w:val="20"/>
          </w:rPr>
          <w:fldChar w:fldCharType="separate"/>
        </w:r>
        <w:r>
          <w:rPr>
            <w:rFonts w:cs="Times New Roman"/>
            <w:webHidden/>
            <w:sz w:val="20"/>
            <w:szCs w:val="20"/>
          </w:rPr>
          <w:t>16</w:t>
        </w:r>
        <w:r w:rsidR="002C70E8" w:rsidRPr="00370BD5">
          <w:rPr>
            <w:rFonts w:cs="Times New Roman"/>
            <w:webHidden/>
            <w:sz w:val="20"/>
            <w:szCs w:val="20"/>
          </w:rPr>
          <w:fldChar w:fldCharType="end"/>
        </w:r>
      </w:hyperlink>
    </w:p>
    <w:p w14:paraId="55D8B3FB" w14:textId="65797282" w:rsidR="002C70E8" w:rsidRPr="00370BD5" w:rsidRDefault="00AA57F7" w:rsidP="00CE15CF">
      <w:pPr>
        <w:pStyle w:val="TOC1"/>
        <w:rPr>
          <w:rFonts w:eastAsiaTheme="minorEastAsia"/>
          <w:b w:val="0"/>
          <w:noProof/>
          <w:sz w:val="20"/>
          <w:szCs w:val="20"/>
          <w:lang w:eastAsia="en-GB"/>
        </w:rPr>
      </w:pPr>
      <w:hyperlink w:anchor="_Toc515267893" w:history="1">
        <w:r w:rsidR="002C70E8" w:rsidRPr="00370BD5">
          <w:rPr>
            <w:rStyle w:val="Hyperlink"/>
            <w:noProof/>
            <w:sz w:val="20"/>
            <w:szCs w:val="20"/>
          </w:rPr>
          <w:t>3</w:t>
        </w:r>
        <w:r w:rsidR="002C70E8" w:rsidRPr="00370BD5">
          <w:rPr>
            <w:rFonts w:eastAsiaTheme="minorEastAsia"/>
            <w:b w:val="0"/>
            <w:noProof/>
            <w:sz w:val="20"/>
            <w:szCs w:val="20"/>
            <w:lang w:eastAsia="en-GB"/>
          </w:rPr>
          <w:tab/>
        </w:r>
        <w:r w:rsidR="002C70E8" w:rsidRPr="00370BD5">
          <w:rPr>
            <w:rStyle w:val="Hyperlink"/>
            <w:noProof/>
            <w:sz w:val="20"/>
            <w:szCs w:val="20"/>
          </w:rPr>
          <w:t>Information on unintentional formation and release</w:t>
        </w:r>
        <w:r w:rsidR="002C70E8" w:rsidRPr="00370BD5">
          <w:rPr>
            <w:noProof/>
            <w:webHidden/>
            <w:sz w:val="20"/>
            <w:szCs w:val="20"/>
          </w:rPr>
          <w:tab/>
        </w:r>
        <w:r w:rsidR="002C70E8" w:rsidRPr="00370BD5">
          <w:rPr>
            <w:noProof/>
            <w:webHidden/>
            <w:sz w:val="20"/>
            <w:szCs w:val="20"/>
          </w:rPr>
          <w:fldChar w:fldCharType="begin"/>
        </w:r>
        <w:r w:rsidR="002C70E8" w:rsidRPr="00370BD5">
          <w:rPr>
            <w:noProof/>
            <w:webHidden/>
            <w:sz w:val="20"/>
            <w:szCs w:val="20"/>
          </w:rPr>
          <w:instrText xml:space="preserve"> PAGEREF _Toc515267893 \h </w:instrText>
        </w:r>
        <w:r w:rsidR="002C70E8" w:rsidRPr="00370BD5">
          <w:rPr>
            <w:noProof/>
            <w:webHidden/>
            <w:sz w:val="20"/>
            <w:szCs w:val="20"/>
          </w:rPr>
        </w:r>
        <w:r w:rsidR="002C70E8" w:rsidRPr="00370BD5">
          <w:rPr>
            <w:noProof/>
            <w:webHidden/>
            <w:sz w:val="20"/>
            <w:szCs w:val="20"/>
          </w:rPr>
          <w:fldChar w:fldCharType="separate"/>
        </w:r>
        <w:r>
          <w:rPr>
            <w:noProof/>
            <w:webHidden/>
            <w:sz w:val="20"/>
            <w:szCs w:val="20"/>
          </w:rPr>
          <w:t>16</w:t>
        </w:r>
        <w:r w:rsidR="002C70E8" w:rsidRPr="00370BD5">
          <w:rPr>
            <w:noProof/>
            <w:webHidden/>
            <w:sz w:val="20"/>
            <w:szCs w:val="20"/>
          </w:rPr>
          <w:fldChar w:fldCharType="end"/>
        </w:r>
      </w:hyperlink>
    </w:p>
    <w:p w14:paraId="757D8164" w14:textId="2B1B055C" w:rsidR="002C70E8" w:rsidRPr="00370BD5" w:rsidRDefault="00AA57F7" w:rsidP="00CE15CF">
      <w:pPr>
        <w:pStyle w:val="TOC2"/>
        <w:rPr>
          <w:rFonts w:eastAsiaTheme="minorEastAsia" w:cs="Times New Roman"/>
          <w:sz w:val="20"/>
          <w:szCs w:val="20"/>
          <w:lang w:eastAsia="en-GB"/>
        </w:rPr>
      </w:pPr>
      <w:hyperlink w:anchor="_Toc515267894" w:history="1">
        <w:r w:rsidR="002C70E8" w:rsidRPr="00370BD5">
          <w:rPr>
            <w:rStyle w:val="Hyperlink"/>
            <w:sz w:val="20"/>
            <w:szCs w:val="20"/>
          </w:rPr>
          <w:t>3.1</w:t>
        </w:r>
        <w:r w:rsidR="002C70E8" w:rsidRPr="00370BD5">
          <w:rPr>
            <w:rFonts w:eastAsiaTheme="minorEastAsia" w:cs="Times New Roman"/>
            <w:sz w:val="20"/>
            <w:szCs w:val="20"/>
            <w:lang w:eastAsia="en-GB"/>
          </w:rPr>
          <w:tab/>
        </w:r>
        <w:r w:rsidR="002C70E8" w:rsidRPr="00370BD5">
          <w:rPr>
            <w:rStyle w:val="Hyperlink"/>
            <w:sz w:val="20"/>
            <w:szCs w:val="20"/>
          </w:rPr>
          <w:t>Unintentional formation and release from incomplete combustion</w:t>
        </w:r>
        <w:r w:rsidR="002C70E8" w:rsidRPr="00370BD5">
          <w:rPr>
            <w:rFonts w:cs="Times New Roman"/>
            <w:webHidden/>
            <w:sz w:val="20"/>
            <w:szCs w:val="20"/>
          </w:rPr>
          <w:tab/>
        </w:r>
        <w:r w:rsidR="002C70E8" w:rsidRPr="00370BD5">
          <w:rPr>
            <w:rFonts w:cs="Times New Roman"/>
            <w:webHidden/>
            <w:sz w:val="20"/>
            <w:szCs w:val="20"/>
          </w:rPr>
          <w:fldChar w:fldCharType="begin"/>
        </w:r>
        <w:r w:rsidR="002C70E8" w:rsidRPr="00370BD5">
          <w:rPr>
            <w:rFonts w:cs="Times New Roman"/>
            <w:webHidden/>
            <w:sz w:val="20"/>
            <w:szCs w:val="20"/>
          </w:rPr>
          <w:instrText xml:space="preserve"> PAGEREF _Toc515267894 \h </w:instrText>
        </w:r>
        <w:r w:rsidR="002C70E8" w:rsidRPr="00370BD5">
          <w:rPr>
            <w:rFonts w:cs="Times New Roman"/>
            <w:webHidden/>
            <w:sz w:val="20"/>
            <w:szCs w:val="20"/>
          </w:rPr>
        </w:r>
        <w:r w:rsidR="002C70E8" w:rsidRPr="00370BD5">
          <w:rPr>
            <w:rFonts w:cs="Times New Roman"/>
            <w:webHidden/>
            <w:sz w:val="20"/>
            <w:szCs w:val="20"/>
          </w:rPr>
          <w:fldChar w:fldCharType="separate"/>
        </w:r>
        <w:r>
          <w:rPr>
            <w:rFonts w:cs="Times New Roman"/>
            <w:webHidden/>
            <w:sz w:val="20"/>
            <w:szCs w:val="20"/>
          </w:rPr>
          <w:t>16</w:t>
        </w:r>
        <w:r w:rsidR="002C70E8" w:rsidRPr="00370BD5">
          <w:rPr>
            <w:rFonts w:cs="Times New Roman"/>
            <w:webHidden/>
            <w:sz w:val="20"/>
            <w:szCs w:val="20"/>
          </w:rPr>
          <w:fldChar w:fldCharType="end"/>
        </w:r>
      </w:hyperlink>
    </w:p>
    <w:p w14:paraId="6AD9D808" w14:textId="6B711BF2" w:rsidR="002C70E8" w:rsidRPr="00370BD5" w:rsidRDefault="00AA57F7" w:rsidP="00CE15CF">
      <w:pPr>
        <w:pStyle w:val="TOC2"/>
        <w:rPr>
          <w:rFonts w:eastAsiaTheme="minorEastAsia" w:cs="Times New Roman"/>
          <w:sz w:val="20"/>
          <w:szCs w:val="20"/>
          <w:lang w:eastAsia="en-GB"/>
        </w:rPr>
      </w:pPr>
      <w:hyperlink w:anchor="_Toc515267895" w:history="1">
        <w:r w:rsidR="002C70E8" w:rsidRPr="00370BD5">
          <w:rPr>
            <w:rStyle w:val="Hyperlink"/>
            <w:sz w:val="20"/>
            <w:szCs w:val="20"/>
          </w:rPr>
          <w:t>3.2</w:t>
        </w:r>
        <w:r w:rsidR="002C70E8" w:rsidRPr="00370BD5">
          <w:rPr>
            <w:rFonts w:eastAsiaTheme="minorEastAsia" w:cs="Times New Roman"/>
            <w:sz w:val="20"/>
            <w:szCs w:val="20"/>
            <w:lang w:eastAsia="en-GB"/>
          </w:rPr>
          <w:tab/>
        </w:r>
        <w:r w:rsidR="002C70E8" w:rsidRPr="00370BD5">
          <w:rPr>
            <w:rStyle w:val="Hyperlink"/>
            <w:sz w:val="20"/>
            <w:szCs w:val="20"/>
          </w:rPr>
          <w:t>Unintentional formation and release from primary aluminium production</w:t>
        </w:r>
        <w:r w:rsidR="002C70E8" w:rsidRPr="00370BD5">
          <w:rPr>
            <w:rFonts w:cs="Times New Roman"/>
            <w:webHidden/>
            <w:sz w:val="20"/>
            <w:szCs w:val="20"/>
          </w:rPr>
          <w:tab/>
        </w:r>
        <w:r w:rsidR="002C70E8" w:rsidRPr="00370BD5">
          <w:rPr>
            <w:rFonts w:cs="Times New Roman"/>
            <w:webHidden/>
            <w:sz w:val="20"/>
            <w:szCs w:val="20"/>
          </w:rPr>
          <w:fldChar w:fldCharType="begin"/>
        </w:r>
        <w:r w:rsidR="002C70E8" w:rsidRPr="00370BD5">
          <w:rPr>
            <w:rFonts w:cs="Times New Roman"/>
            <w:webHidden/>
            <w:sz w:val="20"/>
            <w:szCs w:val="20"/>
          </w:rPr>
          <w:instrText xml:space="preserve"> PAGEREF _Toc515267895 \h </w:instrText>
        </w:r>
        <w:r w:rsidR="002C70E8" w:rsidRPr="00370BD5">
          <w:rPr>
            <w:rFonts w:cs="Times New Roman"/>
            <w:webHidden/>
            <w:sz w:val="20"/>
            <w:szCs w:val="20"/>
          </w:rPr>
        </w:r>
        <w:r w:rsidR="002C70E8" w:rsidRPr="00370BD5">
          <w:rPr>
            <w:rFonts w:cs="Times New Roman"/>
            <w:webHidden/>
            <w:sz w:val="20"/>
            <w:szCs w:val="20"/>
          </w:rPr>
          <w:fldChar w:fldCharType="separate"/>
        </w:r>
        <w:r>
          <w:rPr>
            <w:rFonts w:cs="Times New Roman"/>
            <w:webHidden/>
            <w:sz w:val="20"/>
            <w:szCs w:val="20"/>
          </w:rPr>
          <w:t>17</w:t>
        </w:r>
        <w:r w:rsidR="002C70E8" w:rsidRPr="00370BD5">
          <w:rPr>
            <w:rFonts w:cs="Times New Roman"/>
            <w:webHidden/>
            <w:sz w:val="20"/>
            <w:szCs w:val="20"/>
          </w:rPr>
          <w:fldChar w:fldCharType="end"/>
        </w:r>
      </w:hyperlink>
    </w:p>
    <w:p w14:paraId="42418ABD" w14:textId="49262D30" w:rsidR="002C70E8" w:rsidRPr="00370BD5" w:rsidRDefault="00AA57F7" w:rsidP="00CE15CF">
      <w:pPr>
        <w:pStyle w:val="TOC2"/>
        <w:rPr>
          <w:rFonts w:eastAsiaTheme="minorEastAsia" w:cs="Times New Roman"/>
          <w:sz w:val="20"/>
          <w:szCs w:val="20"/>
          <w:lang w:eastAsia="en-GB"/>
        </w:rPr>
      </w:pPr>
      <w:hyperlink w:anchor="_Toc515267896" w:history="1">
        <w:r w:rsidR="002C70E8" w:rsidRPr="00370BD5">
          <w:rPr>
            <w:rStyle w:val="Hyperlink"/>
            <w:sz w:val="20"/>
            <w:szCs w:val="20"/>
          </w:rPr>
          <w:t>3.3</w:t>
        </w:r>
        <w:r w:rsidR="002C70E8" w:rsidRPr="00370BD5">
          <w:rPr>
            <w:rFonts w:eastAsiaTheme="minorEastAsia" w:cs="Times New Roman"/>
            <w:sz w:val="20"/>
            <w:szCs w:val="20"/>
            <w:lang w:eastAsia="en-GB"/>
          </w:rPr>
          <w:tab/>
        </w:r>
        <w:r w:rsidR="002C70E8" w:rsidRPr="00370BD5">
          <w:rPr>
            <w:rStyle w:val="Hyperlink"/>
            <w:sz w:val="20"/>
            <w:szCs w:val="20"/>
          </w:rPr>
          <w:t>Summary and conclusion related to unintentional formation and release</w:t>
        </w:r>
        <w:r w:rsidR="002C70E8" w:rsidRPr="00370BD5">
          <w:rPr>
            <w:rFonts w:cs="Times New Roman"/>
            <w:webHidden/>
            <w:sz w:val="20"/>
            <w:szCs w:val="20"/>
          </w:rPr>
          <w:tab/>
        </w:r>
        <w:r w:rsidR="002C70E8" w:rsidRPr="00370BD5">
          <w:rPr>
            <w:rFonts w:cs="Times New Roman"/>
            <w:webHidden/>
            <w:sz w:val="20"/>
            <w:szCs w:val="20"/>
          </w:rPr>
          <w:fldChar w:fldCharType="begin"/>
        </w:r>
        <w:r w:rsidR="002C70E8" w:rsidRPr="00370BD5">
          <w:rPr>
            <w:rFonts w:cs="Times New Roman"/>
            <w:webHidden/>
            <w:sz w:val="20"/>
            <w:szCs w:val="20"/>
          </w:rPr>
          <w:instrText xml:space="preserve"> PAGEREF _Toc515267896 \h </w:instrText>
        </w:r>
        <w:r w:rsidR="002C70E8" w:rsidRPr="00370BD5">
          <w:rPr>
            <w:rFonts w:cs="Times New Roman"/>
            <w:webHidden/>
            <w:sz w:val="20"/>
            <w:szCs w:val="20"/>
          </w:rPr>
        </w:r>
        <w:r w:rsidR="002C70E8" w:rsidRPr="00370BD5">
          <w:rPr>
            <w:rFonts w:cs="Times New Roman"/>
            <w:webHidden/>
            <w:sz w:val="20"/>
            <w:szCs w:val="20"/>
          </w:rPr>
          <w:fldChar w:fldCharType="separate"/>
        </w:r>
        <w:r>
          <w:rPr>
            <w:rFonts w:cs="Times New Roman"/>
            <w:webHidden/>
            <w:sz w:val="20"/>
            <w:szCs w:val="20"/>
          </w:rPr>
          <w:t>17</w:t>
        </w:r>
        <w:r w:rsidR="002C70E8" w:rsidRPr="00370BD5">
          <w:rPr>
            <w:rFonts w:cs="Times New Roman"/>
            <w:webHidden/>
            <w:sz w:val="20"/>
            <w:szCs w:val="20"/>
          </w:rPr>
          <w:fldChar w:fldCharType="end"/>
        </w:r>
      </w:hyperlink>
    </w:p>
    <w:p w14:paraId="67745AC9" w14:textId="1A28A101" w:rsidR="002C70E8" w:rsidRPr="00370BD5" w:rsidRDefault="00AA57F7" w:rsidP="00CE15CF">
      <w:pPr>
        <w:pStyle w:val="TOC1"/>
        <w:rPr>
          <w:rFonts w:eastAsiaTheme="minorEastAsia"/>
          <w:b w:val="0"/>
          <w:noProof/>
          <w:sz w:val="20"/>
          <w:szCs w:val="20"/>
          <w:lang w:eastAsia="en-GB"/>
        </w:rPr>
      </w:pPr>
      <w:hyperlink w:anchor="_Toc515267897" w:history="1">
        <w:r w:rsidR="002C70E8" w:rsidRPr="00370BD5">
          <w:rPr>
            <w:rStyle w:val="Hyperlink"/>
            <w:noProof/>
            <w:sz w:val="20"/>
            <w:szCs w:val="20"/>
          </w:rPr>
          <w:t>4</w:t>
        </w:r>
        <w:r w:rsidR="002C70E8" w:rsidRPr="00370BD5">
          <w:rPr>
            <w:rFonts w:eastAsiaTheme="minorEastAsia"/>
            <w:b w:val="0"/>
            <w:noProof/>
            <w:sz w:val="20"/>
            <w:szCs w:val="20"/>
            <w:lang w:eastAsia="en-GB"/>
          </w:rPr>
          <w:tab/>
        </w:r>
        <w:r w:rsidR="002C70E8" w:rsidRPr="00370BD5">
          <w:rPr>
            <w:rStyle w:val="Hyperlink"/>
            <w:noProof/>
            <w:sz w:val="20"/>
            <w:szCs w:val="20"/>
          </w:rPr>
          <w:t>Uses of PFOA, salts and PFOA-related compounds where further exemptions may be needed</w:t>
        </w:r>
        <w:r w:rsidR="002C70E8" w:rsidRPr="00370BD5">
          <w:rPr>
            <w:noProof/>
            <w:webHidden/>
            <w:sz w:val="20"/>
            <w:szCs w:val="20"/>
          </w:rPr>
          <w:tab/>
        </w:r>
        <w:r w:rsidR="002C70E8" w:rsidRPr="00370BD5">
          <w:rPr>
            <w:noProof/>
            <w:webHidden/>
            <w:sz w:val="20"/>
            <w:szCs w:val="20"/>
          </w:rPr>
          <w:fldChar w:fldCharType="begin"/>
        </w:r>
        <w:r w:rsidR="002C70E8" w:rsidRPr="00370BD5">
          <w:rPr>
            <w:noProof/>
            <w:webHidden/>
            <w:sz w:val="20"/>
            <w:szCs w:val="20"/>
          </w:rPr>
          <w:instrText xml:space="preserve"> PAGEREF _Toc515267897 \h </w:instrText>
        </w:r>
        <w:r w:rsidR="002C70E8" w:rsidRPr="00370BD5">
          <w:rPr>
            <w:noProof/>
            <w:webHidden/>
            <w:sz w:val="20"/>
            <w:szCs w:val="20"/>
          </w:rPr>
        </w:r>
        <w:r w:rsidR="002C70E8" w:rsidRPr="00370BD5">
          <w:rPr>
            <w:noProof/>
            <w:webHidden/>
            <w:sz w:val="20"/>
            <w:szCs w:val="20"/>
          </w:rPr>
          <w:fldChar w:fldCharType="separate"/>
        </w:r>
        <w:r>
          <w:rPr>
            <w:noProof/>
            <w:webHidden/>
            <w:sz w:val="20"/>
            <w:szCs w:val="20"/>
          </w:rPr>
          <w:t>18</w:t>
        </w:r>
        <w:r w:rsidR="002C70E8" w:rsidRPr="00370BD5">
          <w:rPr>
            <w:noProof/>
            <w:webHidden/>
            <w:sz w:val="20"/>
            <w:szCs w:val="20"/>
          </w:rPr>
          <w:fldChar w:fldCharType="end"/>
        </w:r>
      </w:hyperlink>
    </w:p>
    <w:p w14:paraId="75CBC0F6" w14:textId="01EAA416" w:rsidR="002C70E8" w:rsidRPr="00370BD5" w:rsidRDefault="00AA57F7" w:rsidP="00CE15CF">
      <w:pPr>
        <w:pStyle w:val="TOC2"/>
        <w:rPr>
          <w:rFonts w:eastAsiaTheme="minorEastAsia" w:cs="Times New Roman"/>
          <w:sz w:val="20"/>
          <w:szCs w:val="20"/>
          <w:lang w:eastAsia="en-GB"/>
        </w:rPr>
      </w:pPr>
      <w:hyperlink w:anchor="_Toc515267898" w:history="1">
        <w:r w:rsidR="002C70E8" w:rsidRPr="00370BD5">
          <w:rPr>
            <w:rStyle w:val="Hyperlink"/>
            <w:sz w:val="20"/>
            <w:szCs w:val="20"/>
          </w:rPr>
          <w:t>4.1</w:t>
        </w:r>
        <w:r w:rsidR="002C70E8" w:rsidRPr="00370BD5">
          <w:rPr>
            <w:rFonts w:eastAsiaTheme="minorEastAsia" w:cs="Times New Roman"/>
            <w:sz w:val="20"/>
            <w:szCs w:val="20"/>
            <w:lang w:eastAsia="en-GB"/>
          </w:rPr>
          <w:tab/>
        </w:r>
        <w:r w:rsidR="002C70E8" w:rsidRPr="00370BD5">
          <w:rPr>
            <w:rStyle w:val="Hyperlink"/>
            <w:sz w:val="20"/>
            <w:szCs w:val="20"/>
          </w:rPr>
          <w:t>Introduction</w:t>
        </w:r>
        <w:r w:rsidR="002C70E8" w:rsidRPr="00370BD5">
          <w:rPr>
            <w:rFonts w:cs="Times New Roman"/>
            <w:webHidden/>
            <w:sz w:val="20"/>
            <w:szCs w:val="20"/>
          </w:rPr>
          <w:tab/>
        </w:r>
        <w:r w:rsidR="002C70E8" w:rsidRPr="00370BD5">
          <w:rPr>
            <w:rFonts w:cs="Times New Roman"/>
            <w:webHidden/>
            <w:sz w:val="20"/>
            <w:szCs w:val="20"/>
          </w:rPr>
          <w:fldChar w:fldCharType="begin"/>
        </w:r>
        <w:r w:rsidR="002C70E8" w:rsidRPr="00370BD5">
          <w:rPr>
            <w:rFonts w:cs="Times New Roman"/>
            <w:webHidden/>
            <w:sz w:val="20"/>
            <w:szCs w:val="20"/>
          </w:rPr>
          <w:instrText xml:space="preserve"> PAGEREF _Toc515267898 \h </w:instrText>
        </w:r>
        <w:r w:rsidR="002C70E8" w:rsidRPr="00370BD5">
          <w:rPr>
            <w:rFonts w:cs="Times New Roman"/>
            <w:webHidden/>
            <w:sz w:val="20"/>
            <w:szCs w:val="20"/>
          </w:rPr>
        </w:r>
        <w:r w:rsidR="002C70E8" w:rsidRPr="00370BD5">
          <w:rPr>
            <w:rFonts w:cs="Times New Roman"/>
            <w:webHidden/>
            <w:sz w:val="20"/>
            <w:szCs w:val="20"/>
          </w:rPr>
          <w:fldChar w:fldCharType="separate"/>
        </w:r>
        <w:r>
          <w:rPr>
            <w:rFonts w:cs="Times New Roman"/>
            <w:webHidden/>
            <w:sz w:val="20"/>
            <w:szCs w:val="20"/>
          </w:rPr>
          <w:t>18</w:t>
        </w:r>
        <w:r w:rsidR="002C70E8" w:rsidRPr="00370BD5">
          <w:rPr>
            <w:rFonts w:cs="Times New Roman"/>
            <w:webHidden/>
            <w:sz w:val="20"/>
            <w:szCs w:val="20"/>
          </w:rPr>
          <w:fldChar w:fldCharType="end"/>
        </w:r>
      </w:hyperlink>
    </w:p>
    <w:p w14:paraId="24B68572" w14:textId="6A0B5DC3" w:rsidR="002C70E8" w:rsidRPr="00370BD5" w:rsidRDefault="00AA57F7" w:rsidP="00CE15CF">
      <w:pPr>
        <w:pStyle w:val="TOC2"/>
        <w:rPr>
          <w:rFonts w:eastAsiaTheme="minorEastAsia" w:cs="Times New Roman"/>
          <w:sz w:val="20"/>
          <w:szCs w:val="20"/>
          <w:lang w:eastAsia="en-GB"/>
        </w:rPr>
      </w:pPr>
      <w:hyperlink w:anchor="_Toc515267899" w:history="1">
        <w:r w:rsidR="002C70E8" w:rsidRPr="00370BD5">
          <w:rPr>
            <w:rStyle w:val="Hyperlink"/>
            <w:sz w:val="20"/>
            <w:szCs w:val="20"/>
          </w:rPr>
          <w:t>4.2</w:t>
        </w:r>
        <w:r w:rsidR="002C70E8" w:rsidRPr="00370BD5">
          <w:rPr>
            <w:rFonts w:eastAsiaTheme="minorEastAsia" w:cs="Times New Roman"/>
            <w:sz w:val="20"/>
            <w:szCs w:val="20"/>
            <w:lang w:eastAsia="en-GB"/>
          </w:rPr>
          <w:tab/>
        </w:r>
        <w:r w:rsidR="002C70E8" w:rsidRPr="00370BD5">
          <w:rPr>
            <w:rStyle w:val="Hyperlink"/>
            <w:sz w:val="20"/>
            <w:szCs w:val="20"/>
          </w:rPr>
          <w:t>(a) Membranes intended for use in medical textiles, filtration in water treatment, production processes and effluent treatment</w:t>
        </w:r>
        <w:r w:rsidR="002C70E8" w:rsidRPr="00370BD5">
          <w:rPr>
            <w:rFonts w:cs="Times New Roman"/>
            <w:webHidden/>
            <w:sz w:val="20"/>
            <w:szCs w:val="20"/>
          </w:rPr>
          <w:tab/>
        </w:r>
        <w:r w:rsidR="002C70E8" w:rsidRPr="00370BD5">
          <w:rPr>
            <w:rFonts w:cs="Times New Roman"/>
            <w:webHidden/>
            <w:sz w:val="20"/>
            <w:szCs w:val="20"/>
          </w:rPr>
          <w:fldChar w:fldCharType="begin"/>
        </w:r>
        <w:r w:rsidR="002C70E8" w:rsidRPr="00370BD5">
          <w:rPr>
            <w:rFonts w:cs="Times New Roman"/>
            <w:webHidden/>
            <w:sz w:val="20"/>
            <w:szCs w:val="20"/>
          </w:rPr>
          <w:instrText xml:space="preserve"> PAGEREF _Toc515267899 \h </w:instrText>
        </w:r>
        <w:r w:rsidR="002C70E8" w:rsidRPr="00370BD5">
          <w:rPr>
            <w:rFonts w:cs="Times New Roman"/>
            <w:webHidden/>
            <w:sz w:val="20"/>
            <w:szCs w:val="20"/>
          </w:rPr>
        </w:r>
        <w:r w:rsidR="002C70E8" w:rsidRPr="00370BD5">
          <w:rPr>
            <w:rFonts w:cs="Times New Roman"/>
            <w:webHidden/>
            <w:sz w:val="20"/>
            <w:szCs w:val="20"/>
          </w:rPr>
          <w:fldChar w:fldCharType="separate"/>
        </w:r>
        <w:r>
          <w:rPr>
            <w:rFonts w:cs="Times New Roman"/>
            <w:webHidden/>
            <w:sz w:val="20"/>
            <w:szCs w:val="20"/>
          </w:rPr>
          <w:t>18</w:t>
        </w:r>
        <w:r w:rsidR="002C70E8" w:rsidRPr="00370BD5">
          <w:rPr>
            <w:rFonts w:cs="Times New Roman"/>
            <w:webHidden/>
            <w:sz w:val="20"/>
            <w:szCs w:val="20"/>
          </w:rPr>
          <w:fldChar w:fldCharType="end"/>
        </w:r>
      </w:hyperlink>
    </w:p>
    <w:p w14:paraId="092A256F" w14:textId="46D7D886" w:rsidR="002C70E8" w:rsidRPr="00370BD5" w:rsidRDefault="00AA57F7" w:rsidP="00CE15CF">
      <w:pPr>
        <w:pStyle w:val="TOC3"/>
        <w:rPr>
          <w:rFonts w:eastAsiaTheme="minorEastAsia"/>
          <w:sz w:val="20"/>
          <w:szCs w:val="20"/>
          <w:lang w:eastAsia="en-GB"/>
        </w:rPr>
      </w:pPr>
      <w:hyperlink w:anchor="_Toc515267900" w:history="1">
        <w:r w:rsidR="002C70E8" w:rsidRPr="00370BD5">
          <w:rPr>
            <w:rStyle w:val="Hyperlink"/>
            <w:sz w:val="20"/>
            <w:szCs w:val="20"/>
          </w:rPr>
          <w:t>4.2.1</w:t>
        </w:r>
        <w:r w:rsidR="002C70E8" w:rsidRPr="00370BD5">
          <w:rPr>
            <w:rFonts w:eastAsiaTheme="minorEastAsia"/>
            <w:sz w:val="20"/>
            <w:szCs w:val="20"/>
            <w:lang w:eastAsia="en-GB"/>
          </w:rPr>
          <w:tab/>
        </w:r>
        <w:r w:rsidR="002C70E8" w:rsidRPr="00370BD5">
          <w:rPr>
            <w:rStyle w:val="Hyperlink"/>
            <w:sz w:val="20"/>
            <w:szCs w:val="20"/>
          </w:rPr>
          <w:t>Introduction</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_Toc515267900 \h </w:instrText>
        </w:r>
        <w:r w:rsidR="002C70E8" w:rsidRPr="00370BD5">
          <w:rPr>
            <w:webHidden/>
            <w:sz w:val="20"/>
            <w:szCs w:val="20"/>
          </w:rPr>
        </w:r>
        <w:r w:rsidR="002C70E8" w:rsidRPr="00370BD5">
          <w:rPr>
            <w:webHidden/>
            <w:sz w:val="20"/>
            <w:szCs w:val="20"/>
          </w:rPr>
          <w:fldChar w:fldCharType="separate"/>
        </w:r>
        <w:r>
          <w:rPr>
            <w:webHidden/>
            <w:sz w:val="20"/>
            <w:szCs w:val="20"/>
          </w:rPr>
          <w:t>18</w:t>
        </w:r>
        <w:r w:rsidR="002C70E8" w:rsidRPr="00370BD5">
          <w:rPr>
            <w:webHidden/>
            <w:sz w:val="20"/>
            <w:szCs w:val="20"/>
          </w:rPr>
          <w:fldChar w:fldCharType="end"/>
        </w:r>
      </w:hyperlink>
    </w:p>
    <w:p w14:paraId="30EABD96" w14:textId="79874311" w:rsidR="002C70E8" w:rsidRPr="00370BD5" w:rsidRDefault="00AA57F7" w:rsidP="00CE15CF">
      <w:pPr>
        <w:pStyle w:val="TOC3"/>
        <w:rPr>
          <w:rFonts w:eastAsiaTheme="minorEastAsia"/>
          <w:sz w:val="20"/>
          <w:szCs w:val="20"/>
          <w:lang w:eastAsia="en-GB"/>
        </w:rPr>
      </w:pPr>
      <w:hyperlink w:anchor="_Toc515267901" w:history="1">
        <w:r w:rsidR="002C70E8" w:rsidRPr="00370BD5">
          <w:rPr>
            <w:rStyle w:val="Hyperlink"/>
            <w:sz w:val="20"/>
            <w:szCs w:val="20"/>
          </w:rPr>
          <w:t>4.2.2</w:t>
        </w:r>
        <w:r w:rsidR="002C70E8" w:rsidRPr="00370BD5">
          <w:rPr>
            <w:rFonts w:eastAsiaTheme="minorEastAsia"/>
            <w:sz w:val="20"/>
            <w:szCs w:val="20"/>
            <w:lang w:eastAsia="en-GB"/>
          </w:rPr>
          <w:tab/>
        </w:r>
        <w:r w:rsidR="002C70E8" w:rsidRPr="00370BD5">
          <w:rPr>
            <w:rStyle w:val="Hyperlink"/>
            <w:sz w:val="20"/>
            <w:szCs w:val="20"/>
          </w:rPr>
          <w:t>Efficacy and efficiency of possible control measures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_Toc515267901 \h </w:instrText>
        </w:r>
        <w:r w:rsidR="002C70E8" w:rsidRPr="00370BD5">
          <w:rPr>
            <w:webHidden/>
            <w:sz w:val="20"/>
            <w:szCs w:val="20"/>
          </w:rPr>
        </w:r>
        <w:r w:rsidR="002C70E8" w:rsidRPr="00370BD5">
          <w:rPr>
            <w:webHidden/>
            <w:sz w:val="20"/>
            <w:szCs w:val="20"/>
          </w:rPr>
          <w:fldChar w:fldCharType="separate"/>
        </w:r>
        <w:r>
          <w:rPr>
            <w:webHidden/>
            <w:sz w:val="20"/>
            <w:szCs w:val="20"/>
          </w:rPr>
          <w:t>19</w:t>
        </w:r>
        <w:r w:rsidR="002C70E8" w:rsidRPr="00370BD5">
          <w:rPr>
            <w:webHidden/>
            <w:sz w:val="20"/>
            <w:szCs w:val="20"/>
          </w:rPr>
          <w:fldChar w:fldCharType="end"/>
        </w:r>
      </w:hyperlink>
    </w:p>
    <w:p w14:paraId="3877E80D" w14:textId="0051134D" w:rsidR="002C70E8" w:rsidRPr="00370BD5" w:rsidRDefault="00AA57F7" w:rsidP="00CE15CF">
      <w:pPr>
        <w:pStyle w:val="TOC3"/>
        <w:rPr>
          <w:rFonts w:eastAsiaTheme="minorEastAsia"/>
          <w:sz w:val="20"/>
          <w:szCs w:val="20"/>
          <w:lang w:eastAsia="en-GB"/>
        </w:rPr>
      </w:pPr>
      <w:hyperlink w:anchor="_Toc515267902" w:history="1">
        <w:r w:rsidR="002C70E8" w:rsidRPr="00370BD5">
          <w:rPr>
            <w:rStyle w:val="Hyperlink"/>
            <w:sz w:val="20"/>
            <w:szCs w:val="20"/>
          </w:rPr>
          <w:t>4.2.3</w:t>
        </w:r>
        <w:r w:rsidR="002C70E8" w:rsidRPr="00370BD5">
          <w:rPr>
            <w:rFonts w:eastAsiaTheme="minorEastAsia"/>
            <w:sz w:val="20"/>
            <w:szCs w:val="20"/>
            <w:lang w:eastAsia="en-GB"/>
          </w:rPr>
          <w:tab/>
        </w:r>
        <w:r w:rsidR="002C70E8" w:rsidRPr="00370BD5">
          <w:rPr>
            <w:rStyle w:val="Hyperlink"/>
            <w:sz w:val="20"/>
            <w:szCs w:val="20"/>
          </w:rPr>
          <w:t>Information on alternatives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_Toc515267902 \h </w:instrText>
        </w:r>
        <w:r w:rsidR="002C70E8" w:rsidRPr="00370BD5">
          <w:rPr>
            <w:webHidden/>
            <w:sz w:val="20"/>
            <w:szCs w:val="20"/>
          </w:rPr>
        </w:r>
        <w:r w:rsidR="002C70E8" w:rsidRPr="00370BD5">
          <w:rPr>
            <w:webHidden/>
            <w:sz w:val="20"/>
            <w:szCs w:val="20"/>
          </w:rPr>
          <w:fldChar w:fldCharType="separate"/>
        </w:r>
        <w:r>
          <w:rPr>
            <w:webHidden/>
            <w:sz w:val="20"/>
            <w:szCs w:val="20"/>
          </w:rPr>
          <w:t>19</w:t>
        </w:r>
        <w:r w:rsidR="002C70E8" w:rsidRPr="00370BD5">
          <w:rPr>
            <w:webHidden/>
            <w:sz w:val="20"/>
            <w:szCs w:val="20"/>
          </w:rPr>
          <w:fldChar w:fldCharType="end"/>
        </w:r>
      </w:hyperlink>
    </w:p>
    <w:p w14:paraId="6B0E1C47" w14:textId="536CC42A" w:rsidR="002C70E8" w:rsidRPr="00370BD5" w:rsidRDefault="00AA57F7" w:rsidP="00CE15CF">
      <w:pPr>
        <w:pStyle w:val="TOC3"/>
        <w:rPr>
          <w:rFonts w:eastAsiaTheme="minorEastAsia"/>
          <w:sz w:val="20"/>
          <w:szCs w:val="20"/>
          <w:lang w:eastAsia="en-GB"/>
        </w:rPr>
      </w:pPr>
      <w:hyperlink w:anchor="_Toc515267903" w:history="1">
        <w:r w:rsidR="002C70E8" w:rsidRPr="00370BD5">
          <w:rPr>
            <w:rStyle w:val="Hyperlink"/>
            <w:sz w:val="20"/>
            <w:szCs w:val="20"/>
          </w:rPr>
          <w:t>Short-chain fluorinated alternatives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_Toc515267903 \h </w:instrText>
        </w:r>
        <w:r w:rsidR="002C70E8" w:rsidRPr="00370BD5">
          <w:rPr>
            <w:webHidden/>
            <w:sz w:val="20"/>
            <w:szCs w:val="20"/>
          </w:rPr>
        </w:r>
        <w:r w:rsidR="002C70E8" w:rsidRPr="00370BD5">
          <w:rPr>
            <w:webHidden/>
            <w:sz w:val="20"/>
            <w:szCs w:val="20"/>
          </w:rPr>
          <w:fldChar w:fldCharType="separate"/>
        </w:r>
        <w:r>
          <w:rPr>
            <w:webHidden/>
            <w:sz w:val="20"/>
            <w:szCs w:val="20"/>
          </w:rPr>
          <w:t>19</w:t>
        </w:r>
        <w:r w:rsidR="002C70E8" w:rsidRPr="00370BD5">
          <w:rPr>
            <w:webHidden/>
            <w:sz w:val="20"/>
            <w:szCs w:val="20"/>
          </w:rPr>
          <w:fldChar w:fldCharType="end"/>
        </w:r>
      </w:hyperlink>
    </w:p>
    <w:p w14:paraId="175FBCAB" w14:textId="552C1CC2" w:rsidR="002C70E8" w:rsidRPr="00370BD5" w:rsidRDefault="00AA57F7" w:rsidP="00CE15CF">
      <w:pPr>
        <w:pStyle w:val="TOC3"/>
        <w:rPr>
          <w:rFonts w:eastAsiaTheme="minorEastAsia"/>
          <w:sz w:val="20"/>
          <w:szCs w:val="20"/>
          <w:lang w:eastAsia="en-GB"/>
        </w:rPr>
      </w:pPr>
      <w:hyperlink w:anchor="_Toc515267904" w:history="1">
        <w:r w:rsidR="002C70E8" w:rsidRPr="00370BD5">
          <w:rPr>
            <w:rStyle w:val="Hyperlink"/>
            <w:sz w:val="20"/>
            <w:szCs w:val="20"/>
          </w:rPr>
          <w:t>Non-fluorine-containing alternatives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_Toc515267904 \h </w:instrText>
        </w:r>
        <w:r w:rsidR="002C70E8" w:rsidRPr="00370BD5">
          <w:rPr>
            <w:webHidden/>
            <w:sz w:val="20"/>
            <w:szCs w:val="20"/>
          </w:rPr>
        </w:r>
        <w:r w:rsidR="002C70E8" w:rsidRPr="00370BD5">
          <w:rPr>
            <w:webHidden/>
            <w:sz w:val="20"/>
            <w:szCs w:val="20"/>
          </w:rPr>
          <w:fldChar w:fldCharType="separate"/>
        </w:r>
        <w:r>
          <w:rPr>
            <w:webHidden/>
            <w:sz w:val="20"/>
            <w:szCs w:val="20"/>
          </w:rPr>
          <w:t>20</w:t>
        </w:r>
        <w:r w:rsidR="002C70E8" w:rsidRPr="00370BD5">
          <w:rPr>
            <w:webHidden/>
            <w:sz w:val="20"/>
            <w:szCs w:val="20"/>
          </w:rPr>
          <w:fldChar w:fldCharType="end"/>
        </w:r>
      </w:hyperlink>
    </w:p>
    <w:p w14:paraId="4ED59CC0" w14:textId="064AD15F" w:rsidR="002C70E8" w:rsidRPr="00370BD5" w:rsidRDefault="00AA57F7" w:rsidP="00CE15CF">
      <w:pPr>
        <w:pStyle w:val="TOC3"/>
        <w:rPr>
          <w:rFonts w:eastAsiaTheme="minorEastAsia"/>
          <w:sz w:val="20"/>
          <w:szCs w:val="20"/>
          <w:lang w:eastAsia="en-GB"/>
        </w:rPr>
      </w:pPr>
      <w:hyperlink w:anchor="_Toc515267905" w:history="1">
        <w:r w:rsidR="002C70E8" w:rsidRPr="00370BD5">
          <w:rPr>
            <w:rStyle w:val="Hyperlink"/>
            <w:sz w:val="20"/>
            <w:szCs w:val="20"/>
          </w:rPr>
          <w:t>Non-chemical alternatives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_Toc515267905 \h </w:instrText>
        </w:r>
        <w:r w:rsidR="002C70E8" w:rsidRPr="00370BD5">
          <w:rPr>
            <w:webHidden/>
            <w:sz w:val="20"/>
            <w:szCs w:val="20"/>
          </w:rPr>
        </w:r>
        <w:r w:rsidR="002C70E8" w:rsidRPr="00370BD5">
          <w:rPr>
            <w:webHidden/>
            <w:sz w:val="20"/>
            <w:szCs w:val="20"/>
          </w:rPr>
          <w:fldChar w:fldCharType="separate"/>
        </w:r>
        <w:r>
          <w:rPr>
            <w:webHidden/>
            <w:sz w:val="20"/>
            <w:szCs w:val="20"/>
          </w:rPr>
          <w:t>21</w:t>
        </w:r>
        <w:r w:rsidR="002C70E8" w:rsidRPr="00370BD5">
          <w:rPr>
            <w:webHidden/>
            <w:sz w:val="20"/>
            <w:szCs w:val="20"/>
          </w:rPr>
          <w:fldChar w:fldCharType="end"/>
        </w:r>
      </w:hyperlink>
    </w:p>
    <w:p w14:paraId="73EB472A" w14:textId="0CD1A67F" w:rsidR="002C70E8" w:rsidRPr="00370BD5" w:rsidRDefault="00AA57F7" w:rsidP="00CE15CF">
      <w:pPr>
        <w:pStyle w:val="TOC3"/>
        <w:rPr>
          <w:rFonts w:eastAsiaTheme="minorEastAsia"/>
          <w:sz w:val="20"/>
          <w:szCs w:val="20"/>
          <w:lang w:eastAsia="en-GB"/>
        </w:rPr>
      </w:pPr>
      <w:hyperlink w:anchor="_Toc515267906" w:history="1">
        <w:r w:rsidR="002C70E8" w:rsidRPr="00370BD5">
          <w:rPr>
            <w:rStyle w:val="Hyperlink"/>
            <w:sz w:val="20"/>
            <w:szCs w:val="20"/>
          </w:rPr>
          <w:t>4.2.4</w:t>
        </w:r>
        <w:r w:rsidR="002C70E8" w:rsidRPr="00370BD5">
          <w:rPr>
            <w:rFonts w:eastAsiaTheme="minorEastAsia"/>
            <w:sz w:val="20"/>
            <w:szCs w:val="20"/>
            <w:lang w:eastAsia="en-GB"/>
          </w:rPr>
          <w:tab/>
        </w:r>
        <w:r w:rsidR="002C70E8" w:rsidRPr="00370BD5">
          <w:rPr>
            <w:rStyle w:val="Hyperlink"/>
            <w:sz w:val="20"/>
            <w:szCs w:val="20"/>
          </w:rPr>
          <w:t>Information on impacts on society</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_Toc515267906 \h </w:instrText>
        </w:r>
        <w:r w:rsidR="002C70E8" w:rsidRPr="00370BD5">
          <w:rPr>
            <w:webHidden/>
            <w:sz w:val="20"/>
            <w:szCs w:val="20"/>
          </w:rPr>
        </w:r>
        <w:r w:rsidR="002C70E8" w:rsidRPr="00370BD5">
          <w:rPr>
            <w:webHidden/>
            <w:sz w:val="20"/>
            <w:szCs w:val="20"/>
          </w:rPr>
          <w:fldChar w:fldCharType="separate"/>
        </w:r>
        <w:r>
          <w:rPr>
            <w:webHidden/>
            <w:sz w:val="20"/>
            <w:szCs w:val="20"/>
          </w:rPr>
          <w:t>21</w:t>
        </w:r>
        <w:r w:rsidR="002C70E8" w:rsidRPr="00370BD5">
          <w:rPr>
            <w:webHidden/>
            <w:sz w:val="20"/>
            <w:szCs w:val="20"/>
          </w:rPr>
          <w:fldChar w:fldCharType="end"/>
        </w:r>
      </w:hyperlink>
    </w:p>
    <w:p w14:paraId="24161929" w14:textId="5BA833F3" w:rsidR="002C70E8" w:rsidRPr="00370BD5" w:rsidRDefault="00AA57F7" w:rsidP="00CE15CF">
      <w:pPr>
        <w:pStyle w:val="TOC3"/>
        <w:rPr>
          <w:rFonts w:eastAsiaTheme="minorEastAsia"/>
          <w:sz w:val="20"/>
          <w:szCs w:val="20"/>
          <w:lang w:eastAsia="en-GB"/>
        </w:rPr>
      </w:pPr>
      <w:hyperlink w:anchor="_Toc515267907" w:history="1">
        <w:r w:rsidR="002C70E8" w:rsidRPr="00370BD5">
          <w:rPr>
            <w:rStyle w:val="Hyperlink"/>
            <w:sz w:val="20"/>
            <w:szCs w:val="20"/>
          </w:rPr>
          <w:t>4.2.5</w:t>
        </w:r>
        <w:r w:rsidR="002C70E8" w:rsidRPr="00370BD5">
          <w:rPr>
            <w:rFonts w:eastAsiaTheme="minorEastAsia"/>
            <w:sz w:val="20"/>
            <w:szCs w:val="20"/>
            <w:lang w:eastAsia="en-GB"/>
          </w:rPr>
          <w:tab/>
        </w:r>
        <w:r w:rsidR="002C70E8" w:rsidRPr="00370BD5">
          <w:rPr>
            <w:rStyle w:val="Hyperlink"/>
            <w:sz w:val="20"/>
            <w:szCs w:val="20"/>
          </w:rPr>
          <w:t>Synthesis of Information</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_Toc515267907 \h </w:instrText>
        </w:r>
        <w:r w:rsidR="002C70E8" w:rsidRPr="00370BD5">
          <w:rPr>
            <w:webHidden/>
            <w:sz w:val="20"/>
            <w:szCs w:val="20"/>
          </w:rPr>
        </w:r>
        <w:r w:rsidR="002C70E8" w:rsidRPr="00370BD5">
          <w:rPr>
            <w:webHidden/>
            <w:sz w:val="20"/>
            <w:szCs w:val="20"/>
          </w:rPr>
          <w:fldChar w:fldCharType="separate"/>
        </w:r>
        <w:r>
          <w:rPr>
            <w:webHidden/>
            <w:sz w:val="20"/>
            <w:szCs w:val="20"/>
          </w:rPr>
          <w:t>21</w:t>
        </w:r>
        <w:r w:rsidR="002C70E8" w:rsidRPr="00370BD5">
          <w:rPr>
            <w:webHidden/>
            <w:sz w:val="20"/>
            <w:szCs w:val="20"/>
          </w:rPr>
          <w:fldChar w:fldCharType="end"/>
        </w:r>
      </w:hyperlink>
    </w:p>
    <w:p w14:paraId="7ECFF9F4" w14:textId="007230CC" w:rsidR="002C70E8" w:rsidRPr="00370BD5" w:rsidRDefault="00AA57F7" w:rsidP="00CE15CF">
      <w:pPr>
        <w:pStyle w:val="TOC3"/>
        <w:rPr>
          <w:rFonts w:eastAsiaTheme="minorEastAsia"/>
          <w:sz w:val="20"/>
          <w:szCs w:val="20"/>
          <w:lang w:eastAsia="en-GB"/>
        </w:rPr>
      </w:pPr>
      <w:hyperlink w:anchor="_Toc515267908" w:history="1">
        <w:r w:rsidR="002C70E8" w:rsidRPr="00370BD5">
          <w:rPr>
            <w:rStyle w:val="Hyperlink"/>
            <w:sz w:val="20"/>
            <w:szCs w:val="20"/>
          </w:rPr>
          <w:t>4.2.6</w:t>
        </w:r>
        <w:r w:rsidR="002C70E8" w:rsidRPr="00370BD5">
          <w:rPr>
            <w:rFonts w:eastAsiaTheme="minorEastAsia"/>
            <w:sz w:val="20"/>
            <w:szCs w:val="20"/>
            <w:lang w:eastAsia="en-GB"/>
          </w:rPr>
          <w:tab/>
        </w:r>
        <w:r w:rsidR="002C70E8" w:rsidRPr="00370BD5">
          <w:rPr>
            <w:rStyle w:val="Hyperlink"/>
            <w:sz w:val="20"/>
            <w:szCs w:val="20"/>
          </w:rPr>
          <w:t>Conclusion</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_Toc515267908 \h </w:instrText>
        </w:r>
        <w:r w:rsidR="002C70E8" w:rsidRPr="00370BD5">
          <w:rPr>
            <w:webHidden/>
            <w:sz w:val="20"/>
            <w:szCs w:val="20"/>
          </w:rPr>
        </w:r>
        <w:r w:rsidR="002C70E8" w:rsidRPr="00370BD5">
          <w:rPr>
            <w:webHidden/>
            <w:sz w:val="20"/>
            <w:szCs w:val="20"/>
          </w:rPr>
          <w:fldChar w:fldCharType="separate"/>
        </w:r>
        <w:r>
          <w:rPr>
            <w:webHidden/>
            <w:sz w:val="20"/>
            <w:szCs w:val="20"/>
          </w:rPr>
          <w:t>22</w:t>
        </w:r>
        <w:r w:rsidR="002C70E8" w:rsidRPr="00370BD5">
          <w:rPr>
            <w:webHidden/>
            <w:sz w:val="20"/>
            <w:szCs w:val="20"/>
          </w:rPr>
          <w:fldChar w:fldCharType="end"/>
        </w:r>
      </w:hyperlink>
    </w:p>
    <w:p w14:paraId="0BB51176" w14:textId="59DE3372" w:rsidR="002C70E8" w:rsidRPr="00370BD5" w:rsidRDefault="00AA57F7" w:rsidP="00CE15CF">
      <w:pPr>
        <w:pStyle w:val="TOC2"/>
        <w:rPr>
          <w:rFonts w:eastAsiaTheme="minorEastAsia" w:cs="Times New Roman"/>
          <w:sz w:val="20"/>
          <w:szCs w:val="20"/>
          <w:lang w:eastAsia="en-GB"/>
        </w:rPr>
      </w:pPr>
      <w:hyperlink w:anchor="_Toc515267909" w:history="1">
        <w:r w:rsidR="002C70E8" w:rsidRPr="00370BD5">
          <w:rPr>
            <w:rStyle w:val="Hyperlink"/>
            <w:sz w:val="20"/>
            <w:szCs w:val="20"/>
          </w:rPr>
          <w:t>4.3</w:t>
        </w:r>
        <w:r w:rsidR="002C70E8" w:rsidRPr="00370BD5">
          <w:rPr>
            <w:rFonts w:eastAsiaTheme="minorEastAsia" w:cs="Times New Roman"/>
            <w:sz w:val="20"/>
            <w:szCs w:val="20"/>
            <w:lang w:eastAsia="en-GB"/>
          </w:rPr>
          <w:tab/>
        </w:r>
        <w:r w:rsidR="002C70E8" w:rsidRPr="00370BD5">
          <w:rPr>
            <w:rStyle w:val="Hyperlink"/>
            <w:sz w:val="20"/>
            <w:szCs w:val="20"/>
          </w:rPr>
          <w:t>(b) Use of perfluorooctane iodide (PFOI) as isolated intermediate in order to enable reprocessing to tetrafluoroethylene (TFE) and hexafluoropropylene (HFP) in another site than the production site</w:t>
        </w:r>
        <w:r w:rsidR="002C70E8" w:rsidRPr="00370BD5">
          <w:rPr>
            <w:rFonts w:cs="Times New Roman"/>
            <w:webHidden/>
            <w:sz w:val="20"/>
            <w:szCs w:val="20"/>
          </w:rPr>
          <w:tab/>
        </w:r>
        <w:r w:rsidR="002C70E8" w:rsidRPr="00370BD5">
          <w:rPr>
            <w:rFonts w:cs="Times New Roman"/>
            <w:webHidden/>
            <w:sz w:val="20"/>
            <w:szCs w:val="20"/>
          </w:rPr>
          <w:fldChar w:fldCharType="begin"/>
        </w:r>
        <w:r w:rsidR="002C70E8" w:rsidRPr="00370BD5">
          <w:rPr>
            <w:rFonts w:cs="Times New Roman"/>
            <w:webHidden/>
            <w:sz w:val="20"/>
            <w:szCs w:val="20"/>
          </w:rPr>
          <w:instrText xml:space="preserve"> PAGEREF _Toc515267909 \h </w:instrText>
        </w:r>
        <w:r w:rsidR="002C70E8" w:rsidRPr="00370BD5">
          <w:rPr>
            <w:rFonts w:cs="Times New Roman"/>
            <w:webHidden/>
            <w:sz w:val="20"/>
            <w:szCs w:val="20"/>
          </w:rPr>
        </w:r>
        <w:r w:rsidR="002C70E8" w:rsidRPr="00370BD5">
          <w:rPr>
            <w:rFonts w:cs="Times New Roman"/>
            <w:webHidden/>
            <w:sz w:val="20"/>
            <w:szCs w:val="20"/>
          </w:rPr>
          <w:fldChar w:fldCharType="separate"/>
        </w:r>
        <w:r>
          <w:rPr>
            <w:rFonts w:cs="Times New Roman"/>
            <w:webHidden/>
            <w:sz w:val="20"/>
            <w:szCs w:val="20"/>
          </w:rPr>
          <w:t>22</w:t>
        </w:r>
        <w:r w:rsidR="002C70E8" w:rsidRPr="00370BD5">
          <w:rPr>
            <w:rFonts w:cs="Times New Roman"/>
            <w:webHidden/>
            <w:sz w:val="20"/>
            <w:szCs w:val="20"/>
          </w:rPr>
          <w:fldChar w:fldCharType="end"/>
        </w:r>
      </w:hyperlink>
    </w:p>
    <w:p w14:paraId="3C6B8D3F" w14:textId="0F0907BA" w:rsidR="002C70E8" w:rsidRPr="00370BD5" w:rsidRDefault="00AA57F7" w:rsidP="00CE15CF">
      <w:pPr>
        <w:pStyle w:val="TOC3"/>
        <w:rPr>
          <w:rFonts w:eastAsiaTheme="minorEastAsia"/>
          <w:sz w:val="20"/>
          <w:szCs w:val="20"/>
          <w:lang w:eastAsia="en-GB"/>
        </w:rPr>
      </w:pPr>
      <w:hyperlink w:anchor="_Toc515267910" w:history="1">
        <w:r w:rsidR="002C70E8" w:rsidRPr="00370BD5">
          <w:rPr>
            <w:rStyle w:val="Hyperlink"/>
            <w:sz w:val="20"/>
            <w:szCs w:val="20"/>
          </w:rPr>
          <w:t>4.3.1</w:t>
        </w:r>
        <w:r w:rsidR="002C70E8" w:rsidRPr="00370BD5">
          <w:rPr>
            <w:rFonts w:eastAsiaTheme="minorEastAsia"/>
            <w:sz w:val="20"/>
            <w:szCs w:val="20"/>
            <w:lang w:eastAsia="en-GB"/>
          </w:rPr>
          <w:tab/>
        </w:r>
        <w:r w:rsidR="002C70E8" w:rsidRPr="00370BD5">
          <w:rPr>
            <w:rStyle w:val="Hyperlink"/>
            <w:sz w:val="20"/>
            <w:szCs w:val="20"/>
          </w:rPr>
          <w:t>Efficacy and efficiency of possible control measures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_Toc515267910 \h </w:instrText>
        </w:r>
        <w:r w:rsidR="002C70E8" w:rsidRPr="00370BD5">
          <w:rPr>
            <w:webHidden/>
            <w:sz w:val="20"/>
            <w:szCs w:val="20"/>
          </w:rPr>
        </w:r>
        <w:r w:rsidR="002C70E8" w:rsidRPr="00370BD5">
          <w:rPr>
            <w:webHidden/>
            <w:sz w:val="20"/>
            <w:szCs w:val="20"/>
          </w:rPr>
          <w:fldChar w:fldCharType="separate"/>
        </w:r>
        <w:r>
          <w:rPr>
            <w:webHidden/>
            <w:sz w:val="20"/>
            <w:szCs w:val="20"/>
          </w:rPr>
          <w:t>22</w:t>
        </w:r>
        <w:r w:rsidR="002C70E8" w:rsidRPr="00370BD5">
          <w:rPr>
            <w:webHidden/>
            <w:sz w:val="20"/>
            <w:szCs w:val="20"/>
          </w:rPr>
          <w:fldChar w:fldCharType="end"/>
        </w:r>
      </w:hyperlink>
    </w:p>
    <w:p w14:paraId="05167844" w14:textId="31FECB97" w:rsidR="002C70E8" w:rsidRPr="00370BD5" w:rsidRDefault="00AA57F7" w:rsidP="00CE15CF">
      <w:pPr>
        <w:pStyle w:val="TOC3"/>
        <w:rPr>
          <w:rFonts w:eastAsiaTheme="minorEastAsia"/>
          <w:sz w:val="20"/>
          <w:szCs w:val="20"/>
          <w:lang w:eastAsia="en-GB"/>
        </w:rPr>
      </w:pPr>
      <w:hyperlink w:anchor="_Toc515267911" w:history="1">
        <w:r w:rsidR="002C70E8" w:rsidRPr="00370BD5">
          <w:rPr>
            <w:rStyle w:val="Hyperlink"/>
            <w:sz w:val="20"/>
            <w:szCs w:val="20"/>
          </w:rPr>
          <w:t>4.3.2</w:t>
        </w:r>
        <w:r w:rsidR="002C70E8" w:rsidRPr="00370BD5">
          <w:rPr>
            <w:rFonts w:eastAsiaTheme="minorEastAsia"/>
            <w:sz w:val="20"/>
            <w:szCs w:val="20"/>
            <w:lang w:eastAsia="en-GB"/>
          </w:rPr>
          <w:tab/>
        </w:r>
        <w:r w:rsidR="002C70E8" w:rsidRPr="00370BD5">
          <w:rPr>
            <w:rStyle w:val="Hyperlink"/>
            <w:sz w:val="20"/>
            <w:szCs w:val="20"/>
          </w:rPr>
          <w:t>Information on alternatives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_Toc515267911 \h </w:instrText>
        </w:r>
        <w:r w:rsidR="002C70E8" w:rsidRPr="00370BD5">
          <w:rPr>
            <w:webHidden/>
            <w:sz w:val="20"/>
            <w:szCs w:val="20"/>
          </w:rPr>
        </w:r>
        <w:r w:rsidR="002C70E8" w:rsidRPr="00370BD5">
          <w:rPr>
            <w:webHidden/>
            <w:sz w:val="20"/>
            <w:szCs w:val="20"/>
          </w:rPr>
          <w:fldChar w:fldCharType="separate"/>
        </w:r>
        <w:r>
          <w:rPr>
            <w:webHidden/>
            <w:sz w:val="20"/>
            <w:szCs w:val="20"/>
          </w:rPr>
          <w:t>25</w:t>
        </w:r>
        <w:r w:rsidR="002C70E8" w:rsidRPr="00370BD5">
          <w:rPr>
            <w:webHidden/>
            <w:sz w:val="20"/>
            <w:szCs w:val="20"/>
          </w:rPr>
          <w:fldChar w:fldCharType="end"/>
        </w:r>
      </w:hyperlink>
    </w:p>
    <w:p w14:paraId="4A107C07" w14:textId="0B446829" w:rsidR="002C70E8" w:rsidRPr="00370BD5" w:rsidRDefault="00AA57F7" w:rsidP="00CE15CF">
      <w:pPr>
        <w:pStyle w:val="TOC3"/>
        <w:rPr>
          <w:rFonts w:eastAsiaTheme="minorEastAsia"/>
          <w:sz w:val="20"/>
          <w:szCs w:val="20"/>
          <w:lang w:eastAsia="en-GB"/>
        </w:rPr>
      </w:pPr>
      <w:hyperlink w:anchor="_Toc515267912" w:history="1">
        <w:r w:rsidR="002C70E8" w:rsidRPr="00370BD5">
          <w:rPr>
            <w:rStyle w:val="Hyperlink"/>
            <w:sz w:val="20"/>
            <w:szCs w:val="20"/>
          </w:rPr>
          <w:t>4.3.3</w:t>
        </w:r>
        <w:r w:rsidR="002C70E8" w:rsidRPr="00370BD5">
          <w:rPr>
            <w:rFonts w:eastAsiaTheme="minorEastAsia"/>
            <w:sz w:val="20"/>
            <w:szCs w:val="20"/>
            <w:lang w:eastAsia="en-GB"/>
          </w:rPr>
          <w:tab/>
        </w:r>
        <w:r w:rsidR="002C70E8" w:rsidRPr="00370BD5">
          <w:rPr>
            <w:rStyle w:val="Hyperlink"/>
            <w:sz w:val="20"/>
            <w:szCs w:val="20"/>
          </w:rPr>
          <w:t>Information on impacts on society</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_Toc515267912 \h </w:instrText>
        </w:r>
        <w:r w:rsidR="002C70E8" w:rsidRPr="00370BD5">
          <w:rPr>
            <w:webHidden/>
            <w:sz w:val="20"/>
            <w:szCs w:val="20"/>
          </w:rPr>
        </w:r>
        <w:r w:rsidR="002C70E8" w:rsidRPr="00370BD5">
          <w:rPr>
            <w:webHidden/>
            <w:sz w:val="20"/>
            <w:szCs w:val="20"/>
          </w:rPr>
          <w:fldChar w:fldCharType="separate"/>
        </w:r>
        <w:r>
          <w:rPr>
            <w:webHidden/>
            <w:sz w:val="20"/>
            <w:szCs w:val="20"/>
          </w:rPr>
          <w:t>25</w:t>
        </w:r>
        <w:r w:rsidR="002C70E8" w:rsidRPr="00370BD5">
          <w:rPr>
            <w:webHidden/>
            <w:sz w:val="20"/>
            <w:szCs w:val="20"/>
          </w:rPr>
          <w:fldChar w:fldCharType="end"/>
        </w:r>
      </w:hyperlink>
    </w:p>
    <w:p w14:paraId="757302A3" w14:textId="3021FB6F" w:rsidR="002C70E8" w:rsidRPr="00370BD5" w:rsidRDefault="00AA57F7" w:rsidP="00CE15CF">
      <w:pPr>
        <w:pStyle w:val="TOC3"/>
        <w:rPr>
          <w:rFonts w:eastAsiaTheme="minorEastAsia"/>
          <w:sz w:val="20"/>
          <w:szCs w:val="20"/>
          <w:lang w:eastAsia="en-GB"/>
        </w:rPr>
      </w:pPr>
      <w:hyperlink w:anchor="_Toc515267913" w:history="1">
        <w:r w:rsidR="002C70E8" w:rsidRPr="00370BD5">
          <w:rPr>
            <w:rStyle w:val="Hyperlink"/>
            <w:sz w:val="20"/>
            <w:szCs w:val="20"/>
          </w:rPr>
          <w:t>4.3.4</w:t>
        </w:r>
        <w:r w:rsidR="002C70E8" w:rsidRPr="00370BD5">
          <w:rPr>
            <w:rFonts w:eastAsiaTheme="minorEastAsia"/>
            <w:sz w:val="20"/>
            <w:szCs w:val="20"/>
            <w:lang w:eastAsia="en-GB"/>
          </w:rPr>
          <w:tab/>
        </w:r>
        <w:r w:rsidR="002C70E8" w:rsidRPr="00370BD5">
          <w:rPr>
            <w:rStyle w:val="Hyperlink"/>
            <w:sz w:val="20"/>
            <w:szCs w:val="20"/>
          </w:rPr>
          <w:t>Synthesis of information</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_Toc515267913 \h </w:instrText>
        </w:r>
        <w:r w:rsidR="002C70E8" w:rsidRPr="00370BD5">
          <w:rPr>
            <w:webHidden/>
            <w:sz w:val="20"/>
            <w:szCs w:val="20"/>
          </w:rPr>
        </w:r>
        <w:r w:rsidR="002C70E8" w:rsidRPr="00370BD5">
          <w:rPr>
            <w:webHidden/>
            <w:sz w:val="20"/>
            <w:szCs w:val="20"/>
          </w:rPr>
          <w:fldChar w:fldCharType="separate"/>
        </w:r>
        <w:r>
          <w:rPr>
            <w:webHidden/>
            <w:sz w:val="20"/>
            <w:szCs w:val="20"/>
          </w:rPr>
          <w:t>25</w:t>
        </w:r>
        <w:r w:rsidR="002C70E8" w:rsidRPr="00370BD5">
          <w:rPr>
            <w:webHidden/>
            <w:sz w:val="20"/>
            <w:szCs w:val="20"/>
          </w:rPr>
          <w:fldChar w:fldCharType="end"/>
        </w:r>
      </w:hyperlink>
    </w:p>
    <w:p w14:paraId="58392F35" w14:textId="77CD02DB" w:rsidR="002C70E8" w:rsidRPr="00370BD5" w:rsidRDefault="00AA57F7" w:rsidP="00CE15CF">
      <w:pPr>
        <w:pStyle w:val="TOC3"/>
        <w:rPr>
          <w:rFonts w:eastAsiaTheme="minorEastAsia"/>
          <w:sz w:val="20"/>
          <w:szCs w:val="20"/>
          <w:lang w:eastAsia="en-GB"/>
        </w:rPr>
      </w:pPr>
      <w:hyperlink w:anchor="_Toc515267914" w:history="1">
        <w:r w:rsidR="002C70E8" w:rsidRPr="00370BD5">
          <w:rPr>
            <w:rStyle w:val="Hyperlink"/>
            <w:sz w:val="20"/>
            <w:szCs w:val="20"/>
          </w:rPr>
          <w:t>4.3.5</w:t>
        </w:r>
        <w:r w:rsidR="002C70E8" w:rsidRPr="00370BD5">
          <w:rPr>
            <w:rFonts w:eastAsiaTheme="minorEastAsia"/>
            <w:sz w:val="20"/>
            <w:szCs w:val="20"/>
            <w:lang w:eastAsia="en-GB"/>
          </w:rPr>
          <w:tab/>
        </w:r>
        <w:r w:rsidR="002C70E8" w:rsidRPr="00370BD5">
          <w:rPr>
            <w:rStyle w:val="Hyperlink"/>
            <w:sz w:val="20"/>
            <w:szCs w:val="20"/>
          </w:rPr>
          <w:t>Conclusion</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_Toc515267914 \h </w:instrText>
        </w:r>
        <w:r w:rsidR="002C70E8" w:rsidRPr="00370BD5">
          <w:rPr>
            <w:webHidden/>
            <w:sz w:val="20"/>
            <w:szCs w:val="20"/>
          </w:rPr>
        </w:r>
        <w:r w:rsidR="002C70E8" w:rsidRPr="00370BD5">
          <w:rPr>
            <w:webHidden/>
            <w:sz w:val="20"/>
            <w:szCs w:val="20"/>
          </w:rPr>
          <w:fldChar w:fldCharType="separate"/>
        </w:r>
        <w:r>
          <w:rPr>
            <w:webHidden/>
            <w:sz w:val="20"/>
            <w:szCs w:val="20"/>
          </w:rPr>
          <w:t>26</w:t>
        </w:r>
        <w:r w:rsidR="002C70E8" w:rsidRPr="00370BD5">
          <w:rPr>
            <w:webHidden/>
            <w:sz w:val="20"/>
            <w:szCs w:val="20"/>
          </w:rPr>
          <w:fldChar w:fldCharType="end"/>
        </w:r>
      </w:hyperlink>
    </w:p>
    <w:p w14:paraId="24D4F82C" w14:textId="2C601664" w:rsidR="002C70E8" w:rsidRPr="00370BD5" w:rsidRDefault="00AA57F7" w:rsidP="00CE15CF">
      <w:pPr>
        <w:pStyle w:val="TOC2"/>
        <w:rPr>
          <w:rFonts w:eastAsiaTheme="minorEastAsia" w:cs="Times New Roman"/>
          <w:sz w:val="20"/>
          <w:szCs w:val="20"/>
          <w:lang w:eastAsia="en-GB"/>
        </w:rPr>
      </w:pPr>
      <w:hyperlink w:anchor="_Toc515267915" w:history="1">
        <w:r w:rsidR="002C70E8" w:rsidRPr="00370BD5">
          <w:rPr>
            <w:rStyle w:val="Hyperlink"/>
            <w:sz w:val="20"/>
            <w:szCs w:val="20"/>
          </w:rPr>
          <w:t>4.4</w:t>
        </w:r>
        <w:r w:rsidR="002C70E8" w:rsidRPr="00370BD5">
          <w:rPr>
            <w:rFonts w:eastAsiaTheme="minorEastAsia" w:cs="Times New Roman"/>
            <w:sz w:val="20"/>
            <w:szCs w:val="20"/>
            <w:lang w:eastAsia="en-GB"/>
          </w:rPr>
          <w:tab/>
        </w:r>
        <w:r w:rsidR="002C70E8" w:rsidRPr="00370BD5">
          <w:rPr>
            <w:rStyle w:val="Hyperlink"/>
            <w:sz w:val="20"/>
            <w:szCs w:val="20"/>
          </w:rPr>
          <w:t>(c) Medical devices other than implantable devices</w:t>
        </w:r>
        <w:r w:rsidR="002C70E8" w:rsidRPr="00370BD5">
          <w:rPr>
            <w:rFonts w:cs="Times New Roman"/>
            <w:webHidden/>
            <w:sz w:val="20"/>
            <w:szCs w:val="20"/>
          </w:rPr>
          <w:tab/>
        </w:r>
        <w:r w:rsidR="002C70E8" w:rsidRPr="00370BD5">
          <w:rPr>
            <w:rFonts w:cs="Times New Roman"/>
            <w:webHidden/>
            <w:sz w:val="20"/>
            <w:szCs w:val="20"/>
          </w:rPr>
          <w:fldChar w:fldCharType="begin"/>
        </w:r>
        <w:r w:rsidR="002C70E8" w:rsidRPr="00370BD5">
          <w:rPr>
            <w:rFonts w:cs="Times New Roman"/>
            <w:webHidden/>
            <w:sz w:val="20"/>
            <w:szCs w:val="20"/>
          </w:rPr>
          <w:instrText xml:space="preserve"> PAGEREF _Toc515267915 \h </w:instrText>
        </w:r>
        <w:r w:rsidR="002C70E8" w:rsidRPr="00370BD5">
          <w:rPr>
            <w:rFonts w:cs="Times New Roman"/>
            <w:webHidden/>
            <w:sz w:val="20"/>
            <w:szCs w:val="20"/>
          </w:rPr>
        </w:r>
        <w:r w:rsidR="002C70E8" w:rsidRPr="00370BD5">
          <w:rPr>
            <w:rFonts w:cs="Times New Roman"/>
            <w:webHidden/>
            <w:sz w:val="20"/>
            <w:szCs w:val="20"/>
          </w:rPr>
          <w:fldChar w:fldCharType="separate"/>
        </w:r>
        <w:r>
          <w:rPr>
            <w:rFonts w:cs="Times New Roman"/>
            <w:webHidden/>
            <w:sz w:val="20"/>
            <w:szCs w:val="20"/>
          </w:rPr>
          <w:t>26</w:t>
        </w:r>
        <w:r w:rsidR="002C70E8" w:rsidRPr="00370BD5">
          <w:rPr>
            <w:rFonts w:cs="Times New Roman"/>
            <w:webHidden/>
            <w:sz w:val="20"/>
            <w:szCs w:val="20"/>
          </w:rPr>
          <w:fldChar w:fldCharType="end"/>
        </w:r>
      </w:hyperlink>
    </w:p>
    <w:p w14:paraId="19416363" w14:textId="4367980D" w:rsidR="002C70E8" w:rsidRPr="00370BD5" w:rsidRDefault="00AA57F7" w:rsidP="00CE15CF">
      <w:pPr>
        <w:pStyle w:val="TOC3"/>
        <w:rPr>
          <w:rFonts w:eastAsiaTheme="minorEastAsia"/>
          <w:sz w:val="20"/>
          <w:szCs w:val="20"/>
          <w:lang w:eastAsia="en-GB"/>
        </w:rPr>
      </w:pPr>
      <w:hyperlink w:anchor="_Toc515267916" w:history="1">
        <w:r w:rsidR="002C70E8" w:rsidRPr="00370BD5">
          <w:rPr>
            <w:rStyle w:val="Hyperlink"/>
            <w:sz w:val="20"/>
            <w:szCs w:val="20"/>
          </w:rPr>
          <w:t>4.4.1</w:t>
        </w:r>
        <w:r w:rsidR="002C70E8" w:rsidRPr="00370BD5">
          <w:rPr>
            <w:rFonts w:eastAsiaTheme="minorEastAsia"/>
            <w:sz w:val="20"/>
            <w:szCs w:val="20"/>
            <w:lang w:eastAsia="en-GB"/>
          </w:rPr>
          <w:tab/>
        </w:r>
        <w:r w:rsidR="002C70E8" w:rsidRPr="00370BD5">
          <w:rPr>
            <w:rStyle w:val="Hyperlink"/>
            <w:sz w:val="20"/>
            <w:szCs w:val="20"/>
          </w:rPr>
          <w:t>Introduction</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_Toc515267916 \h </w:instrText>
        </w:r>
        <w:r w:rsidR="002C70E8" w:rsidRPr="00370BD5">
          <w:rPr>
            <w:webHidden/>
            <w:sz w:val="20"/>
            <w:szCs w:val="20"/>
          </w:rPr>
        </w:r>
        <w:r w:rsidR="002C70E8" w:rsidRPr="00370BD5">
          <w:rPr>
            <w:webHidden/>
            <w:sz w:val="20"/>
            <w:szCs w:val="20"/>
          </w:rPr>
          <w:fldChar w:fldCharType="separate"/>
        </w:r>
        <w:r>
          <w:rPr>
            <w:webHidden/>
            <w:sz w:val="20"/>
            <w:szCs w:val="20"/>
          </w:rPr>
          <w:t>26</w:t>
        </w:r>
        <w:r w:rsidR="002C70E8" w:rsidRPr="00370BD5">
          <w:rPr>
            <w:webHidden/>
            <w:sz w:val="20"/>
            <w:szCs w:val="20"/>
          </w:rPr>
          <w:fldChar w:fldCharType="end"/>
        </w:r>
      </w:hyperlink>
    </w:p>
    <w:p w14:paraId="7C8E97AA" w14:textId="6E67BBDD" w:rsidR="002C70E8" w:rsidRPr="00370BD5" w:rsidRDefault="00AA57F7" w:rsidP="00CE15CF">
      <w:pPr>
        <w:pStyle w:val="TOC3"/>
        <w:rPr>
          <w:rFonts w:eastAsiaTheme="minorEastAsia"/>
          <w:sz w:val="20"/>
          <w:szCs w:val="20"/>
          <w:lang w:eastAsia="en-GB"/>
        </w:rPr>
      </w:pPr>
      <w:hyperlink w:anchor="_Toc515267917" w:history="1">
        <w:r w:rsidR="002C70E8" w:rsidRPr="00370BD5">
          <w:rPr>
            <w:rStyle w:val="Hyperlink"/>
            <w:sz w:val="20"/>
            <w:szCs w:val="20"/>
          </w:rPr>
          <w:t>4.4.2</w:t>
        </w:r>
        <w:r w:rsidR="002C70E8" w:rsidRPr="00370BD5">
          <w:rPr>
            <w:rFonts w:eastAsiaTheme="minorEastAsia"/>
            <w:sz w:val="20"/>
            <w:szCs w:val="20"/>
            <w:lang w:eastAsia="en-GB"/>
          </w:rPr>
          <w:tab/>
        </w:r>
        <w:r w:rsidR="002C70E8" w:rsidRPr="00370BD5">
          <w:rPr>
            <w:rStyle w:val="Hyperlink"/>
            <w:sz w:val="20"/>
            <w:szCs w:val="20"/>
          </w:rPr>
          <w:t>Efficacy and efficiency of possible control measures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_Toc515267917 \h </w:instrText>
        </w:r>
        <w:r w:rsidR="002C70E8" w:rsidRPr="00370BD5">
          <w:rPr>
            <w:webHidden/>
            <w:sz w:val="20"/>
            <w:szCs w:val="20"/>
          </w:rPr>
        </w:r>
        <w:r w:rsidR="002C70E8" w:rsidRPr="00370BD5">
          <w:rPr>
            <w:webHidden/>
            <w:sz w:val="20"/>
            <w:szCs w:val="20"/>
          </w:rPr>
          <w:fldChar w:fldCharType="separate"/>
        </w:r>
        <w:r>
          <w:rPr>
            <w:webHidden/>
            <w:sz w:val="20"/>
            <w:szCs w:val="20"/>
          </w:rPr>
          <w:t>26</w:t>
        </w:r>
        <w:r w:rsidR="002C70E8" w:rsidRPr="00370BD5">
          <w:rPr>
            <w:webHidden/>
            <w:sz w:val="20"/>
            <w:szCs w:val="20"/>
          </w:rPr>
          <w:fldChar w:fldCharType="end"/>
        </w:r>
      </w:hyperlink>
    </w:p>
    <w:p w14:paraId="055D58A3" w14:textId="1D98BD5D" w:rsidR="002C70E8" w:rsidRPr="00370BD5" w:rsidRDefault="00AA57F7" w:rsidP="00CE15CF">
      <w:pPr>
        <w:pStyle w:val="TOC3"/>
        <w:rPr>
          <w:rFonts w:eastAsiaTheme="minorEastAsia"/>
          <w:sz w:val="20"/>
          <w:szCs w:val="20"/>
          <w:lang w:eastAsia="en-GB"/>
        </w:rPr>
      </w:pPr>
      <w:hyperlink w:anchor="_Toc515267918" w:history="1">
        <w:r w:rsidR="002C70E8" w:rsidRPr="00370BD5">
          <w:rPr>
            <w:rStyle w:val="Hyperlink"/>
            <w:sz w:val="20"/>
            <w:szCs w:val="20"/>
          </w:rPr>
          <w:t>Identification of uses of PFOA and PFOA-related compounds in medical devices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_Toc515267918 \h </w:instrText>
        </w:r>
        <w:r w:rsidR="002C70E8" w:rsidRPr="00370BD5">
          <w:rPr>
            <w:webHidden/>
            <w:sz w:val="20"/>
            <w:szCs w:val="20"/>
          </w:rPr>
        </w:r>
        <w:r w:rsidR="002C70E8" w:rsidRPr="00370BD5">
          <w:rPr>
            <w:webHidden/>
            <w:sz w:val="20"/>
            <w:szCs w:val="20"/>
          </w:rPr>
          <w:fldChar w:fldCharType="separate"/>
        </w:r>
        <w:r>
          <w:rPr>
            <w:webHidden/>
            <w:sz w:val="20"/>
            <w:szCs w:val="20"/>
          </w:rPr>
          <w:t>26</w:t>
        </w:r>
        <w:r w:rsidR="002C70E8" w:rsidRPr="00370BD5">
          <w:rPr>
            <w:webHidden/>
            <w:sz w:val="20"/>
            <w:szCs w:val="20"/>
          </w:rPr>
          <w:fldChar w:fldCharType="end"/>
        </w:r>
      </w:hyperlink>
    </w:p>
    <w:p w14:paraId="691E0CB3" w14:textId="7064DEB8" w:rsidR="002C70E8" w:rsidRPr="00370BD5" w:rsidRDefault="00AA57F7" w:rsidP="00CE15CF">
      <w:pPr>
        <w:pStyle w:val="TOC3"/>
        <w:rPr>
          <w:rFonts w:eastAsiaTheme="minorEastAsia"/>
          <w:sz w:val="20"/>
          <w:szCs w:val="20"/>
          <w:lang w:eastAsia="en-GB"/>
        </w:rPr>
      </w:pPr>
      <w:hyperlink w:anchor="_Toc515267919" w:history="1">
        <w:r w:rsidR="002C70E8" w:rsidRPr="00370BD5">
          <w:rPr>
            <w:rStyle w:val="Hyperlink"/>
            <w:sz w:val="20"/>
            <w:szCs w:val="20"/>
          </w:rPr>
          <w:t>Timescales foreseen for potential exemptions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_Toc515267919 \h </w:instrText>
        </w:r>
        <w:r w:rsidR="002C70E8" w:rsidRPr="00370BD5">
          <w:rPr>
            <w:webHidden/>
            <w:sz w:val="20"/>
            <w:szCs w:val="20"/>
          </w:rPr>
        </w:r>
        <w:r w:rsidR="002C70E8" w:rsidRPr="00370BD5">
          <w:rPr>
            <w:webHidden/>
            <w:sz w:val="20"/>
            <w:szCs w:val="20"/>
          </w:rPr>
          <w:fldChar w:fldCharType="separate"/>
        </w:r>
        <w:r>
          <w:rPr>
            <w:webHidden/>
            <w:sz w:val="20"/>
            <w:szCs w:val="20"/>
          </w:rPr>
          <w:t>27</w:t>
        </w:r>
        <w:r w:rsidR="002C70E8" w:rsidRPr="00370BD5">
          <w:rPr>
            <w:webHidden/>
            <w:sz w:val="20"/>
            <w:szCs w:val="20"/>
          </w:rPr>
          <w:fldChar w:fldCharType="end"/>
        </w:r>
      </w:hyperlink>
    </w:p>
    <w:p w14:paraId="40DA24AA" w14:textId="5443DABC" w:rsidR="002C70E8" w:rsidRPr="00370BD5" w:rsidRDefault="00AA57F7" w:rsidP="00CE15CF">
      <w:pPr>
        <w:pStyle w:val="TOC3"/>
        <w:rPr>
          <w:rFonts w:eastAsiaTheme="minorEastAsia"/>
          <w:sz w:val="20"/>
          <w:szCs w:val="20"/>
          <w:lang w:eastAsia="en-GB"/>
        </w:rPr>
      </w:pPr>
      <w:hyperlink w:anchor="_Toc515267920" w:history="1">
        <w:r w:rsidR="002C70E8" w:rsidRPr="00370BD5">
          <w:rPr>
            <w:rStyle w:val="Hyperlink"/>
            <w:sz w:val="20"/>
            <w:szCs w:val="20"/>
          </w:rPr>
          <w:t>4.4.3</w:t>
        </w:r>
        <w:r w:rsidR="002C70E8" w:rsidRPr="00370BD5">
          <w:rPr>
            <w:rFonts w:eastAsiaTheme="minorEastAsia"/>
            <w:sz w:val="20"/>
            <w:szCs w:val="20"/>
            <w:lang w:eastAsia="en-GB"/>
          </w:rPr>
          <w:tab/>
        </w:r>
        <w:r w:rsidR="002C70E8" w:rsidRPr="00370BD5">
          <w:rPr>
            <w:rStyle w:val="Hyperlink"/>
            <w:sz w:val="20"/>
            <w:szCs w:val="20"/>
          </w:rPr>
          <w:t>Information on alternatives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_Toc515267920 \h </w:instrText>
        </w:r>
        <w:r w:rsidR="002C70E8" w:rsidRPr="00370BD5">
          <w:rPr>
            <w:webHidden/>
            <w:sz w:val="20"/>
            <w:szCs w:val="20"/>
          </w:rPr>
        </w:r>
        <w:r w:rsidR="002C70E8" w:rsidRPr="00370BD5">
          <w:rPr>
            <w:webHidden/>
            <w:sz w:val="20"/>
            <w:szCs w:val="20"/>
          </w:rPr>
          <w:fldChar w:fldCharType="separate"/>
        </w:r>
        <w:r>
          <w:rPr>
            <w:webHidden/>
            <w:sz w:val="20"/>
            <w:szCs w:val="20"/>
          </w:rPr>
          <w:t>27</w:t>
        </w:r>
        <w:r w:rsidR="002C70E8" w:rsidRPr="00370BD5">
          <w:rPr>
            <w:webHidden/>
            <w:sz w:val="20"/>
            <w:szCs w:val="20"/>
          </w:rPr>
          <w:fldChar w:fldCharType="end"/>
        </w:r>
      </w:hyperlink>
    </w:p>
    <w:p w14:paraId="0BBD6E58" w14:textId="76E48A95" w:rsidR="002C70E8" w:rsidRPr="00370BD5" w:rsidRDefault="00AA57F7" w:rsidP="00CE15CF">
      <w:pPr>
        <w:pStyle w:val="TOC3"/>
        <w:rPr>
          <w:rFonts w:eastAsiaTheme="minorEastAsia"/>
          <w:sz w:val="20"/>
          <w:szCs w:val="20"/>
          <w:lang w:eastAsia="en-GB"/>
        </w:rPr>
      </w:pPr>
      <w:hyperlink w:anchor="_Toc515267921" w:history="1">
        <w:r w:rsidR="002C70E8" w:rsidRPr="00370BD5">
          <w:rPr>
            <w:rStyle w:val="Hyperlink"/>
            <w:sz w:val="20"/>
            <w:szCs w:val="20"/>
          </w:rPr>
          <w:t>4.4.4</w:t>
        </w:r>
        <w:r w:rsidR="002C70E8" w:rsidRPr="00370BD5">
          <w:rPr>
            <w:rFonts w:eastAsiaTheme="minorEastAsia"/>
            <w:sz w:val="20"/>
            <w:szCs w:val="20"/>
            <w:lang w:eastAsia="en-GB"/>
          </w:rPr>
          <w:tab/>
        </w:r>
        <w:r w:rsidR="002C70E8" w:rsidRPr="00370BD5">
          <w:rPr>
            <w:rStyle w:val="Hyperlink"/>
            <w:sz w:val="20"/>
            <w:szCs w:val="20"/>
          </w:rPr>
          <w:t>Information on impacts on society</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_Toc515267921 \h </w:instrText>
        </w:r>
        <w:r w:rsidR="002C70E8" w:rsidRPr="00370BD5">
          <w:rPr>
            <w:webHidden/>
            <w:sz w:val="20"/>
            <w:szCs w:val="20"/>
          </w:rPr>
        </w:r>
        <w:r w:rsidR="002C70E8" w:rsidRPr="00370BD5">
          <w:rPr>
            <w:webHidden/>
            <w:sz w:val="20"/>
            <w:szCs w:val="20"/>
          </w:rPr>
          <w:fldChar w:fldCharType="separate"/>
        </w:r>
        <w:r>
          <w:rPr>
            <w:webHidden/>
            <w:sz w:val="20"/>
            <w:szCs w:val="20"/>
          </w:rPr>
          <w:t>28</w:t>
        </w:r>
        <w:r w:rsidR="002C70E8" w:rsidRPr="00370BD5">
          <w:rPr>
            <w:webHidden/>
            <w:sz w:val="20"/>
            <w:szCs w:val="20"/>
          </w:rPr>
          <w:fldChar w:fldCharType="end"/>
        </w:r>
      </w:hyperlink>
    </w:p>
    <w:p w14:paraId="7D3EDE9C" w14:textId="3DA858D6" w:rsidR="002C70E8" w:rsidRPr="00370BD5" w:rsidRDefault="00AA57F7" w:rsidP="00CE15CF">
      <w:pPr>
        <w:pStyle w:val="TOC3"/>
        <w:rPr>
          <w:rFonts w:eastAsiaTheme="minorEastAsia"/>
          <w:sz w:val="20"/>
          <w:szCs w:val="20"/>
          <w:lang w:eastAsia="en-GB"/>
        </w:rPr>
      </w:pPr>
      <w:hyperlink w:anchor="_Toc515267922" w:history="1">
        <w:r w:rsidR="002C70E8" w:rsidRPr="00370BD5">
          <w:rPr>
            <w:rStyle w:val="Hyperlink"/>
            <w:sz w:val="20"/>
            <w:szCs w:val="20"/>
          </w:rPr>
          <w:t>4.4.5</w:t>
        </w:r>
        <w:r w:rsidR="002C70E8" w:rsidRPr="00370BD5">
          <w:rPr>
            <w:rFonts w:eastAsiaTheme="minorEastAsia"/>
            <w:sz w:val="20"/>
            <w:szCs w:val="20"/>
            <w:lang w:eastAsia="en-GB"/>
          </w:rPr>
          <w:tab/>
        </w:r>
        <w:r w:rsidR="002C70E8" w:rsidRPr="00370BD5">
          <w:rPr>
            <w:rStyle w:val="Hyperlink"/>
            <w:sz w:val="20"/>
            <w:szCs w:val="20"/>
          </w:rPr>
          <w:t>Other considerations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_Toc515267922 \h </w:instrText>
        </w:r>
        <w:r w:rsidR="002C70E8" w:rsidRPr="00370BD5">
          <w:rPr>
            <w:webHidden/>
            <w:sz w:val="20"/>
            <w:szCs w:val="20"/>
          </w:rPr>
        </w:r>
        <w:r w:rsidR="002C70E8" w:rsidRPr="00370BD5">
          <w:rPr>
            <w:webHidden/>
            <w:sz w:val="20"/>
            <w:szCs w:val="20"/>
          </w:rPr>
          <w:fldChar w:fldCharType="separate"/>
        </w:r>
        <w:r>
          <w:rPr>
            <w:webHidden/>
            <w:sz w:val="20"/>
            <w:szCs w:val="20"/>
          </w:rPr>
          <w:t>28</w:t>
        </w:r>
        <w:r w:rsidR="002C70E8" w:rsidRPr="00370BD5">
          <w:rPr>
            <w:webHidden/>
            <w:sz w:val="20"/>
            <w:szCs w:val="20"/>
          </w:rPr>
          <w:fldChar w:fldCharType="end"/>
        </w:r>
      </w:hyperlink>
    </w:p>
    <w:p w14:paraId="6FEF1329" w14:textId="00983000" w:rsidR="002C70E8" w:rsidRPr="00370BD5" w:rsidRDefault="00AA57F7" w:rsidP="00CE15CF">
      <w:pPr>
        <w:pStyle w:val="TOC3"/>
        <w:rPr>
          <w:rFonts w:eastAsiaTheme="minorEastAsia"/>
          <w:sz w:val="20"/>
          <w:szCs w:val="20"/>
          <w:lang w:eastAsia="en-GB"/>
        </w:rPr>
      </w:pPr>
      <w:hyperlink w:anchor="_Toc515267923" w:history="1">
        <w:r w:rsidR="002C70E8" w:rsidRPr="00370BD5">
          <w:rPr>
            <w:rStyle w:val="Hyperlink"/>
            <w:sz w:val="20"/>
            <w:szCs w:val="20"/>
          </w:rPr>
          <w:t>4.4.6</w:t>
        </w:r>
        <w:r w:rsidR="002C70E8" w:rsidRPr="00370BD5">
          <w:rPr>
            <w:rFonts w:eastAsiaTheme="minorEastAsia"/>
            <w:sz w:val="20"/>
            <w:szCs w:val="20"/>
            <w:lang w:eastAsia="en-GB"/>
          </w:rPr>
          <w:tab/>
        </w:r>
        <w:r w:rsidR="002C70E8" w:rsidRPr="00370BD5">
          <w:rPr>
            <w:rStyle w:val="Hyperlink"/>
            <w:sz w:val="20"/>
            <w:szCs w:val="20"/>
          </w:rPr>
          <w:t>Syntheses of information</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_Toc515267923 \h </w:instrText>
        </w:r>
        <w:r w:rsidR="002C70E8" w:rsidRPr="00370BD5">
          <w:rPr>
            <w:webHidden/>
            <w:sz w:val="20"/>
            <w:szCs w:val="20"/>
          </w:rPr>
        </w:r>
        <w:r w:rsidR="002C70E8" w:rsidRPr="00370BD5">
          <w:rPr>
            <w:webHidden/>
            <w:sz w:val="20"/>
            <w:szCs w:val="20"/>
          </w:rPr>
          <w:fldChar w:fldCharType="separate"/>
        </w:r>
        <w:r>
          <w:rPr>
            <w:webHidden/>
            <w:sz w:val="20"/>
            <w:szCs w:val="20"/>
          </w:rPr>
          <w:t>28</w:t>
        </w:r>
        <w:r w:rsidR="002C70E8" w:rsidRPr="00370BD5">
          <w:rPr>
            <w:webHidden/>
            <w:sz w:val="20"/>
            <w:szCs w:val="20"/>
          </w:rPr>
          <w:fldChar w:fldCharType="end"/>
        </w:r>
      </w:hyperlink>
    </w:p>
    <w:p w14:paraId="41BEFBEA" w14:textId="7646F974" w:rsidR="002C70E8" w:rsidRPr="00370BD5" w:rsidRDefault="00AA57F7" w:rsidP="00CE15CF">
      <w:pPr>
        <w:pStyle w:val="TOC3"/>
        <w:rPr>
          <w:rFonts w:eastAsiaTheme="minorEastAsia"/>
          <w:sz w:val="20"/>
          <w:szCs w:val="20"/>
          <w:lang w:eastAsia="en-GB"/>
        </w:rPr>
      </w:pPr>
      <w:hyperlink w:anchor="_Toc515267924" w:history="1">
        <w:r w:rsidR="002C70E8" w:rsidRPr="00370BD5">
          <w:rPr>
            <w:rStyle w:val="Hyperlink"/>
            <w:sz w:val="20"/>
            <w:szCs w:val="20"/>
          </w:rPr>
          <w:t>4.4.7</w:t>
        </w:r>
        <w:r w:rsidR="002C70E8" w:rsidRPr="00370BD5">
          <w:rPr>
            <w:rFonts w:eastAsiaTheme="minorEastAsia"/>
            <w:sz w:val="20"/>
            <w:szCs w:val="20"/>
            <w:lang w:eastAsia="en-GB"/>
          </w:rPr>
          <w:tab/>
        </w:r>
        <w:r w:rsidR="002C70E8" w:rsidRPr="00370BD5">
          <w:rPr>
            <w:rStyle w:val="Hyperlink"/>
            <w:sz w:val="20"/>
            <w:szCs w:val="20"/>
          </w:rPr>
          <w:t>Conclusion</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_Toc515267924 \h </w:instrText>
        </w:r>
        <w:r w:rsidR="002C70E8" w:rsidRPr="00370BD5">
          <w:rPr>
            <w:webHidden/>
            <w:sz w:val="20"/>
            <w:szCs w:val="20"/>
          </w:rPr>
        </w:r>
        <w:r w:rsidR="002C70E8" w:rsidRPr="00370BD5">
          <w:rPr>
            <w:webHidden/>
            <w:sz w:val="20"/>
            <w:szCs w:val="20"/>
          </w:rPr>
          <w:fldChar w:fldCharType="separate"/>
        </w:r>
        <w:r>
          <w:rPr>
            <w:webHidden/>
            <w:sz w:val="20"/>
            <w:szCs w:val="20"/>
          </w:rPr>
          <w:t>29</w:t>
        </w:r>
        <w:r w:rsidR="002C70E8" w:rsidRPr="00370BD5">
          <w:rPr>
            <w:webHidden/>
            <w:sz w:val="20"/>
            <w:szCs w:val="20"/>
          </w:rPr>
          <w:fldChar w:fldCharType="end"/>
        </w:r>
      </w:hyperlink>
    </w:p>
    <w:p w14:paraId="56D308C3" w14:textId="00BA0E1B" w:rsidR="002C70E8" w:rsidRPr="00370BD5" w:rsidRDefault="00AA57F7" w:rsidP="00CE15CF">
      <w:pPr>
        <w:pStyle w:val="TOC2"/>
        <w:rPr>
          <w:rFonts w:eastAsiaTheme="minorEastAsia" w:cs="Times New Roman"/>
          <w:sz w:val="20"/>
          <w:szCs w:val="20"/>
          <w:lang w:eastAsia="en-GB"/>
        </w:rPr>
      </w:pPr>
      <w:hyperlink w:anchor="_Toc515267925" w:history="1">
        <w:r w:rsidR="002C70E8" w:rsidRPr="00370BD5">
          <w:rPr>
            <w:rStyle w:val="Hyperlink"/>
            <w:sz w:val="20"/>
            <w:szCs w:val="20"/>
          </w:rPr>
          <w:t>4.5</w:t>
        </w:r>
        <w:r w:rsidR="002C70E8" w:rsidRPr="00370BD5">
          <w:rPr>
            <w:rFonts w:eastAsiaTheme="minorEastAsia" w:cs="Times New Roman"/>
            <w:sz w:val="20"/>
            <w:szCs w:val="20"/>
            <w:lang w:eastAsia="en-GB"/>
          </w:rPr>
          <w:tab/>
        </w:r>
        <w:r w:rsidR="002C70E8" w:rsidRPr="00370BD5">
          <w:rPr>
            <w:rStyle w:val="Hyperlink"/>
            <w:sz w:val="20"/>
            <w:szCs w:val="20"/>
          </w:rPr>
          <w:t>(d) Implantable medical devices</w:t>
        </w:r>
        <w:r w:rsidR="002C70E8" w:rsidRPr="00370BD5">
          <w:rPr>
            <w:rFonts w:cs="Times New Roman"/>
            <w:webHidden/>
            <w:sz w:val="20"/>
            <w:szCs w:val="20"/>
          </w:rPr>
          <w:tab/>
        </w:r>
        <w:r w:rsidR="002C70E8" w:rsidRPr="00370BD5">
          <w:rPr>
            <w:rFonts w:cs="Times New Roman"/>
            <w:webHidden/>
            <w:sz w:val="20"/>
            <w:szCs w:val="20"/>
          </w:rPr>
          <w:fldChar w:fldCharType="begin"/>
        </w:r>
        <w:r w:rsidR="002C70E8" w:rsidRPr="00370BD5">
          <w:rPr>
            <w:rFonts w:cs="Times New Roman"/>
            <w:webHidden/>
            <w:sz w:val="20"/>
            <w:szCs w:val="20"/>
          </w:rPr>
          <w:instrText xml:space="preserve"> PAGEREF _Toc515267925 \h </w:instrText>
        </w:r>
        <w:r w:rsidR="002C70E8" w:rsidRPr="00370BD5">
          <w:rPr>
            <w:rFonts w:cs="Times New Roman"/>
            <w:webHidden/>
            <w:sz w:val="20"/>
            <w:szCs w:val="20"/>
          </w:rPr>
        </w:r>
        <w:r w:rsidR="002C70E8" w:rsidRPr="00370BD5">
          <w:rPr>
            <w:rFonts w:cs="Times New Roman"/>
            <w:webHidden/>
            <w:sz w:val="20"/>
            <w:szCs w:val="20"/>
          </w:rPr>
          <w:fldChar w:fldCharType="separate"/>
        </w:r>
        <w:r>
          <w:rPr>
            <w:rFonts w:cs="Times New Roman"/>
            <w:webHidden/>
            <w:sz w:val="20"/>
            <w:szCs w:val="20"/>
          </w:rPr>
          <w:t>29</w:t>
        </w:r>
        <w:r w:rsidR="002C70E8" w:rsidRPr="00370BD5">
          <w:rPr>
            <w:rFonts w:cs="Times New Roman"/>
            <w:webHidden/>
            <w:sz w:val="20"/>
            <w:szCs w:val="20"/>
          </w:rPr>
          <w:fldChar w:fldCharType="end"/>
        </w:r>
      </w:hyperlink>
    </w:p>
    <w:p w14:paraId="790408FD" w14:textId="4A03E4F2" w:rsidR="002C70E8" w:rsidRPr="00370BD5" w:rsidRDefault="00AA57F7" w:rsidP="00CE15CF">
      <w:pPr>
        <w:pStyle w:val="TOC3"/>
        <w:rPr>
          <w:rFonts w:eastAsiaTheme="minorEastAsia"/>
          <w:sz w:val="20"/>
          <w:szCs w:val="20"/>
          <w:lang w:eastAsia="en-GB"/>
        </w:rPr>
      </w:pPr>
      <w:hyperlink w:anchor="_Toc515267926" w:history="1">
        <w:r w:rsidR="002C70E8" w:rsidRPr="00370BD5">
          <w:rPr>
            <w:rStyle w:val="Hyperlink"/>
            <w:sz w:val="20"/>
            <w:szCs w:val="20"/>
          </w:rPr>
          <w:t>4.5.1</w:t>
        </w:r>
        <w:r w:rsidR="002C70E8" w:rsidRPr="00370BD5">
          <w:rPr>
            <w:rFonts w:eastAsiaTheme="minorEastAsia"/>
            <w:sz w:val="20"/>
            <w:szCs w:val="20"/>
            <w:lang w:eastAsia="en-GB"/>
          </w:rPr>
          <w:tab/>
        </w:r>
        <w:r w:rsidR="002C70E8" w:rsidRPr="00370BD5">
          <w:rPr>
            <w:rStyle w:val="Hyperlink"/>
            <w:sz w:val="20"/>
            <w:szCs w:val="20"/>
          </w:rPr>
          <w:t>Efficacy and efficiency of possible control measures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_Toc515267926 \h </w:instrText>
        </w:r>
        <w:r w:rsidR="002C70E8" w:rsidRPr="00370BD5">
          <w:rPr>
            <w:webHidden/>
            <w:sz w:val="20"/>
            <w:szCs w:val="20"/>
          </w:rPr>
        </w:r>
        <w:r w:rsidR="002C70E8" w:rsidRPr="00370BD5">
          <w:rPr>
            <w:webHidden/>
            <w:sz w:val="20"/>
            <w:szCs w:val="20"/>
          </w:rPr>
          <w:fldChar w:fldCharType="separate"/>
        </w:r>
        <w:r>
          <w:rPr>
            <w:webHidden/>
            <w:sz w:val="20"/>
            <w:szCs w:val="20"/>
          </w:rPr>
          <w:t>29</w:t>
        </w:r>
        <w:r w:rsidR="002C70E8" w:rsidRPr="00370BD5">
          <w:rPr>
            <w:webHidden/>
            <w:sz w:val="20"/>
            <w:szCs w:val="20"/>
          </w:rPr>
          <w:fldChar w:fldCharType="end"/>
        </w:r>
      </w:hyperlink>
    </w:p>
    <w:p w14:paraId="2AD9BE2F" w14:textId="6094350F" w:rsidR="002C70E8" w:rsidRPr="00370BD5" w:rsidRDefault="00AA57F7" w:rsidP="00CE15CF">
      <w:pPr>
        <w:pStyle w:val="TOC3"/>
        <w:rPr>
          <w:rFonts w:eastAsiaTheme="minorEastAsia"/>
          <w:sz w:val="20"/>
          <w:szCs w:val="20"/>
          <w:lang w:eastAsia="en-GB"/>
        </w:rPr>
      </w:pPr>
      <w:hyperlink w:anchor="_Toc515267927" w:history="1">
        <w:r w:rsidR="002C70E8" w:rsidRPr="00370BD5">
          <w:rPr>
            <w:rStyle w:val="Hyperlink"/>
            <w:sz w:val="20"/>
            <w:szCs w:val="20"/>
          </w:rPr>
          <w:t>4.5.2</w:t>
        </w:r>
        <w:r w:rsidR="002C70E8" w:rsidRPr="00370BD5">
          <w:rPr>
            <w:rFonts w:eastAsiaTheme="minorEastAsia"/>
            <w:sz w:val="20"/>
            <w:szCs w:val="20"/>
            <w:lang w:eastAsia="en-GB"/>
          </w:rPr>
          <w:tab/>
        </w:r>
        <w:r w:rsidR="002C70E8" w:rsidRPr="00370BD5">
          <w:rPr>
            <w:rStyle w:val="Hyperlink"/>
            <w:sz w:val="20"/>
            <w:szCs w:val="20"/>
          </w:rPr>
          <w:t>Information on alternatives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_Toc515267927 \h </w:instrText>
        </w:r>
        <w:r w:rsidR="002C70E8" w:rsidRPr="00370BD5">
          <w:rPr>
            <w:webHidden/>
            <w:sz w:val="20"/>
            <w:szCs w:val="20"/>
          </w:rPr>
        </w:r>
        <w:r w:rsidR="002C70E8" w:rsidRPr="00370BD5">
          <w:rPr>
            <w:webHidden/>
            <w:sz w:val="20"/>
            <w:szCs w:val="20"/>
          </w:rPr>
          <w:fldChar w:fldCharType="separate"/>
        </w:r>
        <w:r>
          <w:rPr>
            <w:webHidden/>
            <w:sz w:val="20"/>
            <w:szCs w:val="20"/>
          </w:rPr>
          <w:t>29</w:t>
        </w:r>
        <w:r w:rsidR="002C70E8" w:rsidRPr="00370BD5">
          <w:rPr>
            <w:webHidden/>
            <w:sz w:val="20"/>
            <w:szCs w:val="20"/>
          </w:rPr>
          <w:fldChar w:fldCharType="end"/>
        </w:r>
      </w:hyperlink>
    </w:p>
    <w:p w14:paraId="7E61D6AE" w14:textId="77725E6E" w:rsidR="002C70E8" w:rsidRPr="00370BD5" w:rsidRDefault="00AA57F7" w:rsidP="00CE15CF">
      <w:pPr>
        <w:pStyle w:val="TOC3"/>
        <w:rPr>
          <w:rFonts w:eastAsiaTheme="minorEastAsia"/>
          <w:sz w:val="20"/>
          <w:szCs w:val="20"/>
          <w:lang w:eastAsia="en-GB"/>
        </w:rPr>
      </w:pPr>
      <w:hyperlink w:anchor="_Toc515267928" w:history="1">
        <w:r w:rsidR="002C70E8" w:rsidRPr="00370BD5">
          <w:rPr>
            <w:rStyle w:val="Hyperlink"/>
            <w:sz w:val="20"/>
            <w:szCs w:val="20"/>
          </w:rPr>
          <w:t>4.5.3</w:t>
        </w:r>
        <w:r w:rsidR="002C70E8" w:rsidRPr="00370BD5">
          <w:rPr>
            <w:rFonts w:eastAsiaTheme="minorEastAsia"/>
            <w:sz w:val="20"/>
            <w:szCs w:val="20"/>
            <w:lang w:eastAsia="en-GB"/>
          </w:rPr>
          <w:tab/>
        </w:r>
        <w:r w:rsidR="002C70E8" w:rsidRPr="00370BD5">
          <w:rPr>
            <w:rStyle w:val="Hyperlink"/>
            <w:sz w:val="20"/>
            <w:szCs w:val="20"/>
          </w:rPr>
          <w:t>Information on impacts on society</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_Toc515267928 \h </w:instrText>
        </w:r>
        <w:r w:rsidR="002C70E8" w:rsidRPr="00370BD5">
          <w:rPr>
            <w:webHidden/>
            <w:sz w:val="20"/>
            <w:szCs w:val="20"/>
          </w:rPr>
        </w:r>
        <w:r w:rsidR="002C70E8" w:rsidRPr="00370BD5">
          <w:rPr>
            <w:webHidden/>
            <w:sz w:val="20"/>
            <w:szCs w:val="20"/>
          </w:rPr>
          <w:fldChar w:fldCharType="separate"/>
        </w:r>
        <w:r>
          <w:rPr>
            <w:webHidden/>
            <w:sz w:val="20"/>
            <w:szCs w:val="20"/>
          </w:rPr>
          <w:t>30</w:t>
        </w:r>
        <w:r w:rsidR="002C70E8" w:rsidRPr="00370BD5">
          <w:rPr>
            <w:webHidden/>
            <w:sz w:val="20"/>
            <w:szCs w:val="20"/>
          </w:rPr>
          <w:fldChar w:fldCharType="end"/>
        </w:r>
      </w:hyperlink>
    </w:p>
    <w:p w14:paraId="0A75C79A" w14:textId="3099690A" w:rsidR="002C70E8" w:rsidRPr="00370BD5" w:rsidRDefault="00AA57F7" w:rsidP="00CE15CF">
      <w:pPr>
        <w:pStyle w:val="TOC3"/>
        <w:rPr>
          <w:rFonts w:eastAsiaTheme="minorEastAsia"/>
          <w:sz w:val="20"/>
          <w:szCs w:val="20"/>
          <w:lang w:eastAsia="en-GB"/>
        </w:rPr>
      </w:pPr>
      <w:hyperlink w:anchor="_Toc515267929" w:history="1">
        <w:r w:rsidR="002C70E8" w:rsidRPr="00370BD5">
          <w:rPr>
            <w:rStyle w:val="Hyperlink"/>
            <w:sz w:val="20"/>
            <w:szCs w:val="20"/>
          </w:rPr>
          <w:t>4.5.4</w:t>
        </w:r>
        <w:r w:rsidR="002C70E8" w:rsidRPr="00370BD5">
          <w:rPr>
            <w:rFonts w:eastAsiaTheme="minorEastAsia"/>
            <w:sz w:val="20"/>
            <w:szCs w:val="20"/>
            <w:lang w:eastAsia="en-GB"/>
          </w:rPr>
          <w:tab/>
        </w:r>
        <w:r w:rsidR="002C70E8" w:rsidRPr="00370BD5">
          <w:rPr>
            <w:rStyle w:val="Hyperlink"/>
            <w:sz w:val="20"/>
            <w:szCs w:val="20"/>
          </w:rPr>
          <w:t>Syntheses of information</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_Toc515267929 \h </w:instrText>
        </w:r>
        <w:r w:rsidR="002C70E8" w:rsidRPr="00370BD5">
          <w:rPr>
            <w:webHidden/>
            <w:sz w:val="20"/>
            <w:szCs w:val="20"/>
          </w:rPr>
        </w:r>
        <w:r w:rsidR="002C70E8" w:rsidRPr="00370BD5">
          <w:rPr>
            <w:webHidden/>
            <w:sz w:val="20"/>
            <w:szCs w:val="20"/>
          </w:rPr>
          <w:fldChar w:fldCharType="separate"/>
        </w:r>
        <w:r>
          <w:rPr>
            <w:webHidden/>
            <w:sz w:val="20"/>
            <w:szCs w:val="20"/>
          </w:rPr>
          <w:t>30</w:t>
        </w:r>
        <w:r w:rsidR="002C70E8" w:rsidRPr="00370BD5">
          <w:rPr>
            <w:webHidden/>
            <w:sz w:val="20"/>
            <w:szCs w:val="20"/>
          </w:rPr>
          <w:fldChar w:fldCharType="end"/>
        </w:r>
      </w:hyperlink>
    </w:p>
    <w:p w14:paraId="6377121F" w14:textId="500B5614" w:rsidR="002C70E8" w:rsidRPr="00370BD5" w:rsidRDefault="00AA57F7" w:rsidP="00CE15CF">
      <w:pPr>
        <w:pStyle w:val="TOC3"/>
        <w:rPr>
          <w:rFonts w:eastAsiaTheme="minorEastAsia"/>
          <w:sz w:val="20"/>
          <w:szCs w:val="20"/>
          <w:lang w:eastAsia="en-GB"/>
        </w:rPr>
      </w:pPr>
      <w:hyperlink w:anchor="_Toc515267930" w:history="1">
        <w:r w:rsidR="002C70E8" w:rsidRPr="00370BD5">
          <w:rPr>
            <w:rStyle w:val="Hyperlink"/>
            <w:sz w:val="20"/>
            <w:szCs w:val="20"/>
          </w:rPr>
          <w:t>4.5.5</w:t>
        </w:r>
        <w:r w:rsidR="002C70E8" w:rsidRPr="00370BD5">
          <w:rPr>
            <w:rFonts w:eastAsiaTheme="minorEastAsia"/>
            <w:sz w:val="20"/>
            <w:szCs w:val="20"/>
            <w:lang w:eastAsia="en-GB"/>
          </w:rPr>
          <w:tab/>
        </w:r>
        <w:r w:rsidR="002C70E8" w:rsidRPr="00370BD5">
          <w:rPr>
            <w:rStyle w:val="Hyperlink"/>
            <w:sz w:val="20"/>
            <w:szCs w:val="20"/>
          </w:rPr>
          <w:t>Conclusion</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_Toc515267930 \h </w:instrText>
        </w:r>
        <w:r w:rsidR="002C70E8" w:rsidRPr="00370BD5">
          <w:rPr>
            <w:webHidden/>
            <w:sz w:val="20"/>
            <w:szCs w:val="20"/>
          </w:rPr>
        </w:r>
        <w:r w:rsidR="002C70E8" w:rsidRPr="00370BD5">
          <w:rPr>
            <w:webHidden/>
            <w:sz w:val="20"/>
            <w:szCs w:val="20"/>
          </w:rPr>
          <w:fldChar w:fldCharType="separate"/>
        </w:r>
        <w:r>
          <w:rPr>
            <w:webHidden/>
            <w:sz w:val="20"/>
            <w:szCs w:val="20"/>
          </w:rPr>
          <w:t>30</w:t>
        </w:r>
        <w:r w:rsidR="002C70E8" w:rsidRPr="00370BD5">
          <w:rPr>
            <w:webHidden/>
            <w:sz w:val="20"/>
            <w:szCs w:val="20"/>
          </w:rPr>
          <w:fldChar w:fldCharType="end"/>
        </w:r>
      </w:hyperlink>
    </w:p>
    <w:p w14:paraId="69FF0B6C" w14:textId="2EFF4F5B" w:rsidR="002C70E8" w:rsidRPr="00370BD5" w:rsidRDefault="00AA57F7" w:rsidP="00CE15CF">
      <w:pPr>
        <w:pStyle w:val="TOC2"/>
        <w:rPr>
          <w:rFonts w:eastAsiaTheme="minorEastAsia" w:cs="Times New Roman"/>
          <w:sz w:val="20"/>
          <w:szCs w:val="20"/>
          <w:lang w:eastAsia="en-GB"/>
        </w:rPr>
      </w:pPr>
      <w:hyperlink w:anchor="_Toc515267931" w:history="1">
        <w:r w:rsidR="002C70E8" w:rsidRPr="00370BD5">
          <w:rPr>
            <w:rStyle w:val="Hyperlink"/>
            <w:sz w:val="20"/>
            <w:szCs w:val="20"/>
          </w:rPr>
          <w:t>4.6</w:t>
        </w:r>
        <w:r w:rsidR="002C70E8" w:rsidRPr="00370BD5">
          <w:rPr>
            <w:rFonts w:eastAsiaTheme="minorEastAsia" w:cs="Times New Roman"/>
            <w:sz w:val="20"/>
            <w:szCs w:val="20"/>
            <w:lang w:eastAsia="en-GB"/>
          </w:rPr>
          <w:tab/>
        </w:r>
        <w:r w:rsidR="002C70E8" w:rsidRPr="00370BD5">
          <w:rPr>
            <w:rStyle w:val="Hyperlink"/>
            <w:sz w:val="20"/>
            <w:szCs w:val="20"/>
          </w:rPr>
          <w:t>(e) Photo-imaging sector</w:t>
        </w:r>
        <w:r w:rsidR="002C70E8" w:rsidRPr="00370BD5">
          <w:rPr>
            <w:rFonts w:cs="Times New Roman"/>
            <w:webHidden/>
            <w:sz w:val="20"/>
            <w:szCs w:val="20"/>
          </w:rPr>
          <w:tab/>
        </w:r>
        <w:r w:rsidR="002C70E8" w:rsidRPr="00370BD5">
          <w:rPr>
            <w:rFonts w:cs="Times New Roman"/>
            <w:webHidden/>
            <w:sz w:val="20"/>
            <w:szCs w:val="20"/>
          </w:rPr>
          <w:fldChar w:fldCharType="begin"/>
        </w:r>
        <w:r w:rsidR="002C70E8" w:rsidRPr="00370BD5">
          <w:rPr>
            <w:rFonts w:cs="Times New Roman"/>
            <w:webHidden/>
            <w:sz w:val="20"/>
            <w:szCs w:val="20"/>
          </w:rPr>
          <w:instrText xml:space="preserve"> PAGEREF _Toc515267931 \h </w:instrText>
        </w:r>
        <w:r w:rsidR="002C70E8" w:rsidRPr="00370BD5">
          <w:rPr>
            <w:rFonts w:cs="Times New Roman"/>
            <w:webHidden/>
            <w:sz w:val="20"/>
            <w:szCs w:val="20"/>
          </w:rPr>
        </w:r>
        <w:r w:rsidR="002C70E8" w:rsidRPr="00370BD5">
          <w:rPr>
            <w:rFonts w:cs="Times New Roman"/>
            <w:webHidden/>
            <w:sz w:val="20"/>
            <w:szCs w:val="20"/>
          </w:rPr>
          <w:fldChar w:fldCharType="separate"/>
        </w:r>
        <w:r>
          <w:rPr>
            <w:rFonts w:cs="Times New Roman"/>
            <w:webHidden/>
            <w:sz w:val="20"/>
            <w:szCs w:val="20"/>
          </w:rPr>
          <w:t>31</w:t>
        </w:r>
        <w:r w:rsidR="002C70E8" w:rsidRPr="00370BD5">
          <w:rPr>
            <w:rFonts w:cs="Times New Roman"/>
            <w:webHidden/>
            <w:sz w:val="20"/>
            <w:szCs w:val="20"/>
          </w:rPr>
          <w:fldChar w:fldCharType="end"/>
        </w:r>
      </w:hyperlink>
    </w:p>
    <w:p w14:paraId="7866181B" w14:textId="3601679C" w:rsidR="002C70E8" w:rsidRPr="00370BD5" w:rsidRDefault="00AA57F7" w:rsidP="00CE15CF">
      <w:pPr>
        <w:pStyle w:val="TOC3"/>
        <w:rPr>
          <w:rFonts w:eastAsiaTheme="minorEastAsia"/>
          <w:sz w:val="20"/>
          <w:szCs w:val="20"/>
          <w:lang w:eastAsia="en-GB"/>
        </w:rPr>
      </w:pPr>
      <w:hyperlink w:anchor="_Toc515267932" w:history="1">
        <w:r w:rsidR="002C70E8" w:rsidRPr="00370BD5">
          <w:rPr>
            <w:rStyle w:val="Hyperlink"/>
            <w:sz w:val="20"/>
            <w:szCs w:val="20"/>
          </w:rPr>
          <w:t>4.6.1</w:t>
        </w:r>
        <w:r w:rsidR="002C70E8" w:rsidRPr="00370BD5">
          <w:rPr>
            <w:rFonts w:eastAsiaTheme="minorEastAsia"/>
            <w:sz w:val="20"/>
            <w:szCs w:val="20"/>
            <w:lang w:eastAsia="en-GB"/>
          </w:rPr>
          <w:tab/>
        </w:r>
        <w:r w:rsidR="002C70E8" w:rsidRPr="00370BD5">
          <w:rPr>
            <w:rStyle w:val="Hyperlink"/>
            <w:sz w:val="20"/>
            <w:szCs w:val="20"/>
          </w:rPr>
          <w:t>Introduction</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_Toc515267932 \h </w:instrText>
        </w:r>
        <w:r w:rsidR="002C70E8" w:rsidRPr="00370BD5">
          <w:rPr>
            <w:webHidden/>
            <w:sz w:val="20"/>
            <w:szCs w:val="20"/>
          </w:rPr>
        </w:r>
        <w:r w:rsidR="002C70E8" w:rsidRPr="00370BD5">
          <w:rPr>
            <w:webHidden/>
            <w:sz w:val="20"/>
            <w:szCs w:val="20"/>
          </w:rPr>
          <w:fldChar w:fldCharType="separate"/>
        </w:r>
        <w:r>
          <w:rPr>
            <w:webHidden/>
            <w:sz w:val="20"/>
            <w:szCs w:val="20"/>
          </w:rPr>
          <w:t>31</w:t>
        </w:r>
        <w:r w:rsidR="002C70E8" w:rsidRPr="00370BD5">
          <w:rPr>
            <w:webHidden/>
            <w:sz w:val="20"/>
            <w:szCs w:val="20"/>
          </w:rPr>
          <w:fldChar w:fldCharType="end"/>
        </w:r>
      </w:hyperlink>
    </w:p>
    <w:p w14:paraId="7FB7B6E5" w14:textId="1DD44940" w:rsidR="002C70E8" w:rsidRPr="00370BD5" w:rsidRDefault="00AA57F7" w:rsidP="00CE15CF">
      <w:pPr>
        <w:pStyle w:val="TOC3"/>
        <w:rPr>
          <w:rFonts w:eastAsiaTheme="minorEastAsia"/>
          <w:sz w:val="20"/>
          <w:szCs w:val="20"/>
          <w:lang w:eastAsia="en-GB"/>
        </w:rPr>
      </w:pPr>
      <w:hyperlink w:anchor="_Toc515267933" w:history="1">
        <w:r w:rsidR="002C70E8" w:rsidRPr="00370BD5">
          <w:rPr>
            <w:rStyle w:val="Hyperlink"/>
            <w:sz w:val="20"/>
            <w:szCs w:val="20"/>
          </w:rPr>
          <w:t>4.6.2</w:t>
        </w:r>
        <w:r w:rsidR="002C70E8" w:rsidRPr="00370BD5">
          <w:rPr>
            <w:rFonts w:eastAsiaTheme="minorEastAsia"/>
            <w:sz w:val="20"/>
            <w:szCs w:val="20"/>
            <w:lang w:eastAsia="en-GB"/>
          </w:rPr>
          <w:tab/>
        </w:r>
        <w:r w:rsidR="002C70E8" w:rsidRPr="00370BD5">
          <w:rPr>
            <w:rStyle w:val="Hyperlink"/>
            <w:sz w:val="20"/>
            <w:szCs w:val="20"/>
          </w:rPr>
          <w:t>Efficacy and efficiency of possible control measures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_Toc515267933 \h </w:instrText>
        </w:r>
        <w:r w:rsidR="002C70E8" w:rsidRPr="00370BD5">
          <w:rPr>
            <w:webHidden/>
            <w:sz w:val="20"/>
            <w:szCs w:val="20"/>
          </w:rPr>
        </w:r>
        <w:r w:rsidR="002C70E8" w:rsidRPr="00370BD5">
          <w:rPr>
            <w:webHidden/>
            <w:sz w:val="20"/>
            <w:szCs w:val="20"/>
          </w:rPr>
          <w:fldChar w:fldCharType="separate"/>
        </w:r>
        <w:r>
          <w:rPr>
            <w:webHidden/>
            <w:sz w:val="20"/>
            <w:szCs w:val="20"/>
          </w:rPr>
          <w:t>31</w:t>
        </w:r>
        <w:r w:rsidR="002C70E8" w:rsidRPr="00370BD5">
          <w:rPr>
            <w:webHidden/>
            <w:sz w:val="20"/>
            <w:szCs w:val="20"/>
          </w:rPr>
          <w:fldChar w:fldCharType="end"/>
        </w:r>
      </w:hyperlink>
    </w:p>
    <w:p w14:paraId="45F06F65" w14:textId="61E6352A" w:rsidR="002C70E8" w:rsidRPr="00370BD5" w:rsidRDefault="00AA57F7" w:rsidP="00CE15CF">
      <w:pPr>
        <w:pStyle w:val="TOC3"/>
        <w:rPr>
          <w:rFonts w:eastAsiaTheme="minorEastAsia"/>
          <w:sz w:val="20"/>
          <w:szCs w:val="20"/>
          <w:lang w:eastAsia="en-GB"/>
        </w:rPr>
      </w:pPr>
      <w:hyperlink w:anchor="_Toc515267934" w:history="1">
        <w:r w:rsidR="002C70E8" w:rsidRPr="00370BD5">
          <w:rPr>
            <w:rStyle w:val="Hyperlink"/>
            <w:iCs/>
            <w:sz w:val="20"/>
            <w:szCs w:val="20"/>
          </w:rPr>
          <w:t>Use in developing countries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_Toc515267934 \h </w:instrText>
        </w:r>
        <w:r w:rsidR="002C70E8" w:rsidRPr="00370BD5">
          <w:rPr>
            <w:webHidden/>
            <w:sz w:val="20"/>
            <w:szCs w:val="20"/>
          </w:rPr>
        </w:r>
        <w:r w:rsidR="002C70E8" w:rsidRPr="00370BD5">
          <w:rPr>
            <w:webHidden/>
            <w:sz w:val="20"/>
            <w:szCs w:val="20"/>
          </w:rPr>
          <w:fldChar w:fldCharType="separate"/>
        </w:r>
        <w:r>
          <w:rPr>
            <w:webHidden/>
            <w:sz w:val="20"/>
            <w:szCs w:val="20"/>
          </w:rPr>
          <w:t>31</w:t>
        </w:r>
        <w:r w:rsidR="002C70E8" w:rsidRPr="00370BD5">
          <w:rPr>
            <w:webHidden/>
            <w:sz w:val="20"/>
            <w:szCs w:val="20"/>
          </w:rPr>
          <w:fldChar w:fldCharType="end"/>
        </w:r>
      </w:hyperlink>
    </w:p>
    <w:p w14:paraId="33EE4770" w14:textId="2B8263C8" w:rsidR="002C70E8" w:rsidRPr="00370BD5" w:rsidRDefault="00AA57F7" w:rsidP="00CE15CF">
      <w:pPr>
        <w:pStyle w:val="TOC3"/>
        <w:rPr>
          <w:rFonts w:eastAsiaTheme="minorEastAsia"/>
          <w:sz w:val="20"/>
          <w:szCs w:val="20"/>
          <w:lang w:eastAsia="en-GB"/>
        </w:rPr>
      </w:pPr>
      <w:hyperlink w:anchor="_Toc515267935" w:history="1">
        <w:r w:rsidR="002C70E8" w:rsidRPr="00370BD5">
          <w:rPr>
            <w:rStyle w:val="Hyperlink"/>
            <w:iCs/>
            <w:sz w:val="20"/>
            <w:szCs w:val="20"/>
          </w:rPr>
          <w:t>Control measures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_Toc515267935 \h </w:instrText>
        </w:r>
        <w:r w:rsidR="002C70E8" w:rsidRPr="00370BD5">
          <w:rPr>
            <w:webHidden/>
            <w:sz w:val="20"/>
            <w:szCs w:val="20"/>
          </w:rPr>
        </w:r>
        <w:r w:rsidR="002C70E8" w:rsidRPr="00370BD5">
          <w:rPr>
            <w:webHidden/>
            <w:sz w:val="20"/>
            <w:szCs w:val="20"/>
          </w:rPr>
          <w:fldChar w:fldCharType="separate"/>
        </w:r>
        <w:r>
          <w:rPr>
            <w:webHidden/>
            <w:sz w:val="20"/>
            <w:szCs w:val="20"/>
          </w:rPr>
          <w:t>32</w:t>
        </w:r>
        <w:r w:rsidR="002C70E8" w:rsidRPr="00370BD5">
          <w:rPr>
            <w:webHidden/>
            <w:sz w:val="20"/>
            <w:szCs w:val="20"/>
          </w:rPr>
          <w:fldChar w:fldCharType="end"/>
        </w:r>
      </w:hyperlink>
    </w:p>
    <w:p w14:paraId="5737740B" w14:textId="1E569E8D" w:rsidR="002C70E8" w:rsidRPr="00370BD5" w:rsidRDefault="00AA57F7" w:rsidP="00CE15CF">
      <w:pPr>
        <w:pStyle w:val="TOC3"/>
        <w:rPr>
          <w:rFonts w:eastAsiaTheme="minorEastAsia"/>
          <w:sz w:val="20"/>
          <w:szCs w:val="20"/>
          <w:lang w:eastAsia="en-GB"/>
        </w:rPr>
      </w:pPr>
      <w:hyperlink w:anchor="_Toc515267936" w:history="1">
        <w:r w:rsidR="002C70E8" w:rsidRPr="00370BD5">
          <w:rPr>
            <w:rStyle w:val="Hyperlink"/>
            <w:sz w:val="20"/>
            <w:szCs w:val="20"/>
          </w:rPr>
          <w:t>4.6.3</w:t>
        </w:r>
        <w:r w:rsidR="002C70E8" w:rsidRPr="00370BD5">
          <w:rPr>
            <w:rFonts w:eastAsiaTheme="minorEastAsia"/>
            <w:sz w:val="20"/>
            <w:szCs w:val="20"/>
            <w:lang w:eastAsia="en-GB"/>
          </w:rPr>
          <w:tab/>
        </w:r>
        <w:r w:rsidR="002C70E8" w:rsidRPr="00370BD5">
          <w:rPr>
            <w:rStyle w:val="Hyperlink"/>
            <w:sz w:val="20"/>
            <w:szCs w:val="20"/>
          </w:rPr>
          <w:t>Information on alternatives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_Toc515267936 \h </w:instrText>
        </w:r>
        <w:r w:rsidR="002C70E8" w:rsidRPr="00370BD5">
          <w:rPr>
            <w:webHidden/>
            <w:sz w:val="20"/>
            <w:szCs w:val="20"/>
          </w:rPr>
        </w:r>
        <w:r w:rsidR="002C70E8" w:rsidRPr="00370BD5">
          <w:rPr>
            <w:webHidden/>
            <w:sz w:val="20"/>
            <w:szCs w:val="20"/>
          </w:rPr>
          <w:fldChar w:fldCharType="separate"/>
        </w:r>
        <w:r>
          <w:rPr>
            <w:webHidden/>
            <w:sz w:val="20"/>
            <w:szCs w:val="20"/>
          </w:rPr>
          <w:t>32</w:t>
        </w:r>
        <w:r w:rsidR="002C70E8" w:rsidRPr="00370BD5">
          <w:rPr>
            <w:webHidden/>
            <w:sz w:val="20"/>
            <w:szCs w:val="20"/>
          </w:rPr>
          <w:fldChar w:fldCharType="end"/>
        </w:r>
      </w:hyperlink>
    </w:p>
    <w:p w14:paraId="056BBA78" w14:textId="2704037D" w:rsidR="002C70E8" w:rsidRPr="00370BD5" w:rsidRDefault="00AA57F7" w:rsidP="00CE15CF">
      <w:pPr>
        <w:pStyle w:val="TOC3"/>
        <w:rPr>
          <w:rFonts w:eastAsiaTheme="minorEastAsia"/>
          <w:sz w:val="20"/>
          <w:szCs w:val="20"/>
          <w:lang w:eastAsia="en-GB"/>
        </w:rPr>
      </w:pPr>
      <w:hyperlink w:anchor="_Toc515267937" w:history="1">
        <w:r w:rsidR="002C70E8" w:rsidRPr="00370BD5">
          <w:rPr>
            <w:rStyle w:val="Hyperlink"/>
            <w:sz w:val="20"/>
            <w:szCs w:val="20"/>
          </w:rPr>
          <w:t>4.6.4</w:t>
        </w:r>
        <w:r w:rsidR="002C70E8" w:rsidRPr="00370BD5">
          <w:rPr>
            <w:rFonts w:eastAsiaTheme="minorEastAsia"/>
            <w:sz w:val="20"/>
            <w:szCs w:val="20"/>
            <w:lang w:eastAsia="en-GB"/>
          </w:rPr>
          <w:tab/>
        </w:r>
        <w:r w:rsidR="002C70E8" w:rsidRPr="00370BD5">
          <w:rPr>
            <w:rStyle w:val="Hyperlink"/>
            <w:sz w:val="20"/>
            <w:szCs w:val="20"/>
          </w:rPr>
          <w:t>Information on impacts on society</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_Toc515267937 \h </w:instrText>
        </w:r>
        <w:r w:rsidR="002C70E8" w:rsidRPr="00370BD5">
          <w:rPr>
            <w:webHidden/>
            <w:sz w:val="20"/>
            <w:szCs w:val="20"/>
          </w:rPr>
        </w:r>
        <w:r w:rsidR="002C70E8" w:rsidRPr="00370BD5">
          <w:rPr>
            <w:webHidden/>
            <w:sz w:val="20"/>
            <w:szCs w:val="20"/>
          </w:rPr>
          <w:fldChar w:fldCharType="separate"/>
        </w:r>
        <w:r>
          <w:rPr>
            <w:webHidden/>
            <w:sz w:val="20"/>
            <w:szCs w:val="20"/>
          </w:rPr>
          <w:t>32</w:t>
        </w:r>
        <w:r w:rsidR="002C70E8" w:rsidRPr="00370BD5">
          <w:rPr>
            <w:webHidden/>
            <w:sz w:val="20"/>
            <w:szCs w:val="20"/>
          </w:rPr>
          <w:fldChar w:fldCharType="end"/>
        </w:r>
      </w:hyperlink>
    </w:p>
    <w:p w14:paraId="10DD335C" w14:textId="77E60921" w:rsidR="002C70E8" w:rsidRPr="00370BD5" w:rsidRDefault="00AA57F7" w:rsidP="00CE15CF">
      <w:pPr>
        <w:pStyle w:val="TOC3"/>
        <w:rPr>
          <w:rFonts w:eastAsiaTheme="minorEastAsia"/>
          <w:sz w:val="20"/>
          <w:szCs w:val="20"/>
          <w:lang w:eastAsia="en-GB"/>
        </w:rPr>
      </w:pPr>
      <w:hyperlink w:anchor="_Toc515267938" w:history="1">
        <w:r w:rsidR="002C70E8" w:rsidRPr="00370BD5">
          <w:rPr>
            <w:rStyle w:val="Hyperlink"/>
            <w:sz w:val="20"/>
            <w:szCs w:val="20"/>
          </w:rPr>
          <w:t>4.6.5</w:t>
        </w:r>
        <w:r w:rsidR="002C70E8" w:rsidRPr="00370BD5">
          <w:rPr>
            <w:rFonts w:eastAsiaTheme="minorEastAsia"/>
            <w:sz w:val="20"/>
            <w:szCs w:val="20"/>
            <w:lang w:eastAsia="en-GB"/>
          </w:rPr>
          <w:tab/>
        </w:r>
        <w:r w:rsidR="002C70E8" w:rsidRPr="00370BD5">
          <w:rPr>
            <w:rStyle w:val="Hyperlink"/>
            <w:sz w:val="20"/>
            <w:szCs w:val="20"/>
          </w:rPr>
          <w:t>Syntheses of information</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_Toc515267938 \h </w:instrText>
        </w:r>
        <w:r w:rsidR="002C70E8" w:rsidRPr="00370BD5">
          <w:rPr>
            <w:webHidden/>
            <w:sz w:val="20"/>
            <w:szCs w:val="20"/>
          </w:rPr>
        </w:r>
        <w:r w:rsidR="002C70E8" w:rsidRPr="00370BD5">
          <w:rPr>
            <w:webHidden/>
            <w:sz w:val="20"/>
            <w:szCs w:val="20"/>
          </w:rPr>
          <w:fldChar w:fldCharType="separate"/>
        </w:r>
        <w:r>
          <w:rPr>
            <w:webHidden/>
            <w:sz w:val="20"/>
            <w:szCs w:val="20"/>
          </w:rPr>
          <w:t>32</w:t>
        </w:r>
        <w:r w:rsidR="002C70E8" w:rsidRPr="00370BD5">
          <w:rPr>
            <w:webHidden/>
            <w:sz w:val="20"/>
            <w:szCs w:val="20"/>
          </w:rPr>
          <w:fldChar w:fldCharType="end"/>
        </w:r>
      </w:hyperlink>
    </w:p>
    <w:p w14:paraId="110818E1" w14:textId="4A28E026" w:rsidR="002C70E8" w:rsidRPr="00370BD5" w:rsidRDefault="00AA57F7" w:rsidP="00CE15CF">
      <w:pPr>
        <w:pStyle w:val="TOC3"/>
        <w:rPr>
          <w:rFonts w:eastAsiaTheme="minorEastAsia"/>
          <w:sz w:val="20"/>
          <w:szCs w:val="20"/>
          <w:lang w:eastAsia="en-GB"/>
        </w:rPr>
      </w:pPr>
      <w:hyperlink w:anchor="_Toc515267939" w:history="1">
        <w:r w:rsidR="002C70E8" w:rsidRPr="00370BD5">
          <w:rPr>
            <w:rStyle w:val="Hyperlink"/>
            <w:sz w:val="20"/>
            <w:szCs w:val="20"/>
          </w:rPr>
          <w:t>4.6.6</w:t>
        </w:r>
        <w:r w:rsidR="002C70E8" w:rsidRPr="00370BD5">
          <w:rPr>
            <w:rFonts w:eastAsiaTheme="minorEastAsia"/>
            <w:sz w:val="20"/>
            <w:szCs w:val="20"/>
            <w:lang w:eastAsia="en-GB"/>
          </w:rPr>
          <w:tab/>
        </w:r>
        <w:r w:rsidR="002C70E8" w:rsidRPr="00370BD5">
          <w:rPr>
            <w:rStyle w:val="Hyperlink"/>
            <w:sz w:val="20"/>
            <w:szCs w:val="20"/>
          </w:rPr>
          <w:t>Conclusion</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_Toc515267939 \h </w:instrText>
        </w:r>
        <w:r w:rsidR="002C70E8" w:rsidRPr="00370BD5">
          <w:rPr>
            <w:webHidden/>
            <w:sz w:val="20"/>
            <w:szCs w:val="20"/>
          </w:rPr>
        </w:r>
        <w:r w:rsidR="002C70E8" w:rsidRPr="00370BD5">
          <w:rPr>
            <w:webHidden/>
            <w:sz w:val="20"/>
            <w:szCs w:val="20"/>
          </w:rPr>
          <w:fldChar w:fldCharType="separate"/>
        </w:r>
        <w:r>
          <w:rPr>
            <w:webHidden/>
            <w:sz w:val="20"/>
            <w:szCs w:val="20"/>
          </w:rPr>
          <w:t>33</w:t>
        </w:r>
        <w:r w:rsidR="002C70E8" w:rsidRPr="00370BD5">
          <w:rPr>
            <w:webHidden/>
            <w:sz w:val="20"/>
            <w:szCs w:val="20"/>
          </w:rPr>
          <w:fldChar w:fldCharType="end"/>
        </w:r>
      </w:hyperlink>
    </w:p>
    <w:p w14:paraId="7EAF3C03" w14:textId="3BF5A858" w:rsidR="002C70E8" w:rsidRPr="00370BD5" w:rsidRDefault="00AA57F7" w:rsidP="00CE15CF">
      <w:pPr>
        <w:pStyle w:val="TOC2"/>
        <w:rPr>
          <w:rFonts w:eastAsiaTheme="minorEastAsia" w:cs="Times New Roman"/>
          <w:sz w:val="20"/>
          <w:szCs w:val="20"/>
          <w:lang w:eastAsia="en-GB"/>
        </w:rPr>
      </w:pPr>
      <w:hyperlink w:anchor="_Toc515267940" w:history="1">
        <w:r w:rsidR="002C70E8" w:rsidRPr="00370BD5">
          <w:rPr>
            <w:rStyle w:val="Hyperlink"/>
            <w:sz w:val="20"/>
            <w:szCs w:val="20"/>
          </w:rPr>
          <w:t>4.7</w:t>
        </w:r>
        <w:r w:rsidR="002C70E8" w:rsidRPr="00370BD5">
          <w:rPr>
            <w:rFonts w:eastAsiaTheme="minorEastAsia" w:cs="Times New Roman"/>
            <w:sz w:val="20"/>
            <w:szCs w:val="20"/>
            <w:lang w:eastAsia="en-GB"/>
          </w:rPr>
          <w:tab/>
        </w:r>
        <w:r w:rsidR="002C70E8" w:rsidRPr="00370BD5">
          <w:rPr>
            <w:rStyle w:val="Hyperlink"/>
            <w:sz w:val="20"/>
            <w:szCs w:val="20"/>
          </w:rPr>
          <w:t>(f) Automotive industry</w:t>
        </w:r>
        <w:r w:rsidR="002C70E8" w:rsidRPr="00370BD5">
          <w:rPr>
            <w:rFonts w:cs="Times New Roman"/>
            <w:webHidden/>
            <w:sz w:val="20"/>
            <w:szCs w:val="20"/>
          </w:rPr>
          <w:tab/>
        </w:r>
        <w:r w:rsidR="002C70E8" w:rsidRPr="00370BD5">
          <w:rPr>
            <w:rFonts w:cs="Times New Roman"/>
            <w:webHidden/>
            <w:sz w:val="20"/>
            <w:szCs w:val="20"/>
          </w:rPr>
          <w:fldChar w:fldCharType="begin"/>
        </w:r>
        <w:r w:rsidR="002C70E8" w:rsidRPr="00370BD5">
          <w:rPr>
            <w:rFonts w:cs="Times New Roman"/>
            <w:webHidden/>
            <w:sz w:val="20"/>
            <w:szCs w:val="20"/>
          </w:rPr>
          <w:instrText xml:space="preserve"> PAGEREF _Toc515267940 \h </w:instrText>
        </w:r>
        <w:r w:rsidR="002C70E8" w:rsidRPr="00370BD5">
          <w:rPr>
            <w:rFonts w:cs="Times New Roman"/>
            <w:webHidden/>
            <w:sz w:val="20"/>
            <w:szCs w:val="20"/>
          </w:rPr>
        </w:r>
        <w:r w:rsidR="002C70E8" w:rsidRPr="00370BD5">
          <w:rPr>
            <w:rFonts w:cs="Times New Roman"/>
            <w:webHidden/>
            <w:sz w:val="20"/>
            <w:szCs w:val="20"/>
          </w:rPr>
          <w:fldChar w:fldCharType="separate"/>
        </w:r>
        <w:r>
          <w:rPr>
            <w:rFonts w:cs="Times New Roman"/>
            <w:webHidden/>
            <w:sz w:val="20"/>
            <w:szCs w:val="20"/>
          </w:rPr>
          <w:t>33</w:t>
        </w:r>
        <w:r w:rsidR="002C70E8" w:rsidRPr="00370BD5">
          <w:rPr>
            <w:rFonts w:cs="Times New Roman"/>
            <w:webHidden/>
            <w:sz w:val="20"/>
            <w:szCs w:val="20"/>
          </w:rPr>
          <w:fldChar w:fldCharType="end"/>
        </w:r>
      </w:hyperlink>
    </w:p>
    <w:p w14:paraId="239E3BD9" w14:textId="171FC38F" w:rsidR="002C70E8" w:rsidRPr="00370BD5" w:rsidRDefault="00AA57F7" w:rsidP="00CE15CF">
      <w:pPr>
        <w:pStyle w:val="TOC3"/>
        <w:rPr>
          <w:rFonts w:eastAsiaTheme="minorEastAsia"/>
          <w:sz w:val="20"/>
          <w:szCs w:val="20"/>
          <w:lang w:eastAsia="en-GB"/>
        </w:rPr>
      </w:pPr>
      <w:hyperlink w:anchor="_Toc515267941" w:history="1">
        <w:r w:rsidR="002C70E8" w:rsidRPr="00370BD5">
          <w:rPr>
            <w:rStyle w:val="Hyperlink"/>
            <w:sz w:val="20"/>
            <w:szCs w:val="20"/>
          </w:rPr>
          <w:t>4.7.1</w:t>
        </w:r>
        <w:r w:rsidR="002C70E8" w:rsidRPr="00370BD5">
          <w:rPr>
            <w:rFonts w:eastAsiaTheme="minorEastAsia"/>
            <w:sz w:val="20"/>
            <w:szCs w:val="20"/>
            <w:lang w:eastAsia="en-GB"/>
          </w:rPr>
          <w:tab/>
        </w:r>
        <w:r w:rsidR="002C70E8" w:rsidRPr="00370BD5">
          <w:rPr>
            <w:rStyle w:val="Hyperlink"/>
            <w:sz w:val="20"/>
            <w:szCs w:val="20"/>
          </w:rPr>
          <w:t>Introduction</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_Toc515267941 \h </w:instrText>
        </w:r>
        <w:r w:rsidR="002C70E8" w:rsidRPr="00370BD5">
          <w:rPr>
            <w:webHidden/>
            <w:sz w:val="20"/>
            <w:szCs w:val="20"/>
          </w:rPr>
        </w:r>
        <w:r w:rsidR="002C70E8" w:rsidRPr="00370BD5">
          <w:rPr>
            <w:webHidden/>
            <w:sz w:val="20"/>
            <w:szCs w:val="20"/>
          </w:rPr>
          <w:fldChar w:fldCharType="separate"/>
        </w:r>
        <w:r>
          <w:rPr>
            <w:webHidden/>
            <w:sz w:val="20"/>
            <w:szCs w:val="20"/>
          </w:rPr>
          <w:t>33</w:t>
        </w:r>
        <w:r w:rsidR="002C70E8" w:rsidRPr="00370BD5">
          <w:rPr>
            <w:webHidden/>
            <w:sz w:val="20"/>
            <w:szCs w:val="20"/>
          </w:rPr>
          <w:fldChar w:fldCharType="end"/>
        </w:r>
      </w:hyperlink>
    </w:p>
    <w:p w14:paraId="086AB7F2" w14:textId="21138AF8" w:rsidR="002C70E8" w:rsidRPr="00370BD5" w:rsidRDefault="00AA57F7" w:rsidP="00CE15CF">
      <w:pPr>
        <w:pStyle w:val="TOC3"/>
        <w:rPr>
          <w:rFonts w:eastAsiaTheme="minorEastAsia"/>
          <w:sz w:val="20"/>
          <w:szCs w:val="20"/>
          <w:lang w:eastAsia="en-GB"/>
        </w:rPr>
      </w:pPr>
      <w:hyperlink w:anchor="_Toc515267942" w:history="1">
        <w:r w:rsidR="002C70E8" w:rsidRPr="00370BD5">
          <w:rPr>
            <w:rStyle w:val="Hyperlink"/>
            <w:sz w:val="20"/>
            <w:szCs w:val="20"/>
          </w:rPr>
          <w:t>4.7.2</w:t>
        </w:r>
        <w:r w:rsidR="002C70E8" w:rsidRPr="00370BD5">
          <w:rPr>
            <w:rFonts w:eastAsiaTheme="minorEastAsia"/>
            <w:sz w:val="20"/>
            <w:szCs w:val="20"/>
            <w:lang w:eastAsia="en-GB"/>
          </w:rPr>
          <w:tab/>
        </w:r>
        <w:r w:rsidR="002C70E8" w:rsidRPr="00370BD5">
          <w:rPr>
            <w:rStyle w:val="Hyperlink"/>
            <w:sz w:val="20"/>
            <w:szCs w:val="20"/>
          </w:rPr>
          <w:t>Efficacy and efficiency of possible control measures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_Toc515267942 \h </w:instrText>
        </w:r>
        <w:r w:rsidR="002C70E8" w:rsidRPr="00370BD5">
          <w:rPr>
            <w:webHidden/>
            <w:sz w:val="20"/>
            <w:szCs w:val="20"/>
          </w:rPr>
        </w:r>
        <w:r w:rsidR="002C70E8" w:rsidRPr="00370BD5">
          <w:rPr>
            <w:webHidden/>
            <w:sz w:val="20"/>
            <w:szCs w:val="20"/>
          </w:rPr>
          <w:fldChar w:fldCharType="separate"/>
        </w:r>
        <w:r>
          <w:rPr>
            <w:webHidden/>
            <w:sz w:val="20"/>
            <w:szCs w:val="20"/>
          </w:rPr>
          <w:t>33</w:t>
        </w:r>
        <w:r w:rsidR="002C70E8" w:rsidRPr="00370BD5">
          <w:rPr>
            <w:webHidden/>
            <w:sz w:val="20"/>
            <w:szCs w:val="20"/>
          </w:rPr>
          <w:fldChar w:fldCharType="end"/>
        </w:r>
      </w:hyperlink>
    </w:p>
    <w:p w14:paraId="011F76AA" w14:textId="3EFC6D90" w:rsidR="002C70E8" w:rsidRPr="00370BD5" w:rsidRDefault="00AA57F7" w:rsidP="00CE15CF">
      <w:pPr>
        <w:pStyle w:val="TOC3"/>
        <w:rPr>
          <w:rFonts w:eastAsiaTheme="minorEastAsia"/>
          <w:sz w:val="20"/>
          <w:szCs w:val="20"/>
          <w:lang w:eastAsia="en-GB"/>
        </w:rPr>
      </w:pPr>
      <w:hyperlink w:anchor="_Toc515267943" w:history="1">
        <w:r w:rsidR="002C70E8" w:rsidRPr="00370BD5">
          <w:rPr>
            <w:rStyle w:val="Hyperlink"/>
            <w:sz w:val="20"/>
            <w:szCs w:val="20"/>
          </w:rPr>
          <w:t>4.7.3</w:t>
        </w:r>
        <w:r w:rsidR="002C70E8" w:rsidRPr="00370BD5">
          <w:rPr>
            <w:rFonts w:eastAsiaTheme="minorEastAsia"/>
            <w:sz w:val="20"/>
            <w:szCs w:val="20"/>
            <w:lang w:eastAsia="en-GB"/>
          </w:rPr>
          <w:tab/>
        </w:r>
        <w:r w:rsidR="002C70E8" w:rsidRPr="00370BD5">
          <w:rPr>
            <w:rStyle w:val="Hyperlink"/>
            <w:sz w:val="20"/>
            <w:szCs w:val="20"/>
          </w:rPr>
          <w:t>Information on alternatives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_Toc515267943 \h </w:instrText>
        </w:r>
        <w:r w:rsidR="002C70E8" w:rsidRPr="00370BD5">
          <w:rPr>
            <w:webHidden/>
            <w:sz w:val="20"/>
            <w:szCs w:val="20"/>
          </w:rPr>
        </w:r>
        <w:r w:rsidR="002C70E8" w:rsidRPr="00370BD5">
          <w:rPr>
            <w:webHidden/>
            <w:sz w:val="20"/>
            <w:szCs w:val="20"/>
          </w:rPr>
          <w:fldChar w:fldCharType="separate"/>
        </w:r>
        <w:r>
          <w:rPr>
            <w:webHidden/>
            <w:sz w:val="20"/>
            <w:szCs w:val="20"/>
          </w:rPr>
          <w:t>35</w:t>
        </w:r>
        <w:r w:rsidR="002C70E8" w:rsidRPr="00370BD5">
          <w:rPr>
            <w:webHidden/>
            <w:sz w:val="20"/>
            <w:szCs w:val="20"/>
          </w:rPr>
          <w:fldChar w:fldCharType="end"/>
        </w:r>
      </w:hyperlink>
    </w:p>
    <w:p w14:paraId="2F1810A1" w14:textId="37D8063A" w:rsidR="002C70E8" w:rsidRPr="00370BD5" w:rsidRDefault="00AA57F7" w:rsidP="00CE15CF">
      <w:pPr>
        <w:pStyle w:val="TOC3"/>
        <w:rPr>
          <w:rFonts w:eastAsiaTheme="minorEastAsia"/>
          <w:sz w:val="20"/>
          <w:szCs w:val="20"/>
          <w:lang w:eastAsia="en-GB"/>
        </w:rPr>
      </w:pPr>
      <w:hyperlink w:anchor="_Toc515267944" w:history="1">
        <w:r w:rsidR="002C70E8" w:rsidRPr="00370BD5">
          <w:rPr>
            <w:rStyle w:val="Hyperlink"/>
            <w:sz w:val="20"/>
            <w:szCs w:val="20"/>
          </w:rPr>
          <w:t>4.7.4</w:t>
        </w:r>
        <w:r w:rsidR="002C70E8" w:rsidRPr="00370BD5">
          <w:rPr>
            <w:rFonts w:eastAsiaTheme="minorEastAsia"/>
            <w:sz w:val="20"/>
            <w:szCs w:val="20"/>
            <w:lang w:eastAsia="en-GB"/>
          </w:rPr>
          <w:tab/>
        </w:r>
        <w:r w:rsidR="002C70E8" w:rsidRPr="00370BD5">
          <w:rPr>
            <w:rStyle w:val="Hyperlink"/>
            <w:sz w:val="20"/>
            <w:szCs w:val="20"/>
          </w:rPr>
          <w:t>Information on impacts on society</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_Toc515267944 \h </w:instrText>
        </w:r>
        <w:r w:rsidR="002C70E8" w:rsidRPr="00370BD5">
          <w:rPr>
            <w:webHidden/>
            <w:sz w:val="20"/>
            <w:szCs w:val="20"/>
          </w:rPr>
        </w:r>
        <w:r w:rsidR="002C70E8" w:rsidRPr="00370BD5">
          <w:rPr>
            <w:webHidden/>
            <w:sz w:val="20"/>
            <w:szCs w:val="20"/>
          </w:rPr>
          <w:fldChar w:fldCharType="separate"/>
        </w:r>
        <w:r>
          <w:rPr>
            <w:webHidden/>
            <w:sz w:val="20"/>
            <w:szCs w:val="20"/>
          </w:rPr>
          <w:t>35</w:t>
        </w:r>
        <w:r w:rsidR="002C70E8" w:rsidRPr="00370BD5">
          <w:rPr>
            <w:webHidden/>
            <w:sz w:val="20"/>
            <w:szCs w:val="20"/>
          </w:rPr>
          <w:fldChar w:fldCharType="end"/>
        </w:r>
      </w:hyperlink>
    </w:p>
    <w:p w14:paraId="4942C528" w14:textId="72AF1E24" w:rsidR="002C70E8" w:rsidRPr="00370BD5" w:rsidRDefault="00AA57F7" w:rsidP="00CE15CF">
      <w:pPr>
        <w:pStyle w:val="TOC3"/>
        <w:rPr>
          <w:rFonts w:eastAsiaTheme="minorEastAsia"/>
          <w:sz w:val="20"/>
          <w:szCs w:val="20"/>
          <w:lang w:eastAsia="en-GB"/>
        </w:rPr>
      </w:pPr>
      <w:hyperlink w:anchor="_Toc515267945" w:history="1">
        <w:r w:rsidR="002C70E8" w:rsidRPr="00370BD5">
          <w:rPr>
            <w:rStyle w:val="Hyperlink"/>
            <w:sz w:val="20"/>
            <w:szCs w:val="20"/>
          </w:rPr>
          <w:t>4.7.5</w:t>
        </w:r>
        <w:r w:rsidR="002C70E8" w:rsidRPr="00370BD5">
          <w:rPr>
            <w:rFonts w:eastAsiaTheme="minorEastAsia"/>
            <w:sz w:val="20"/>
            <w:szCs w:val="20"/>
            <w:lang w:eastAsia="en-GB"/>
          </w:rPr>
          <w:tab/>
        </w:r>
        <w:r w:rsidR="002C70E8" w:rsidRPr="00370BD5">
          <w:rPr>
            <w:rStyle w:val="Hyperlink"/>
            <w:sz w:val="20"/>
            <w:szCs w:val="20"/>
          </w:rPr>
          <w:t>Syntheses of information</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_Toc515267945 \h </w:instrText>
        </w:r>
        <w:r w:rsidR="002C70E8" w:rsidRPr="00370BD5">
          <w:rPr>
            <w:webHidden/>
            <w:sz w:val="20"/>
            <w:szCs w:val="20"/>
          </w:rPr>
        </w:r>
        <w:r w:rsidR="002C70E8" w:rsidRPr="00370BD5">
          <w:rPr>
            <w:webHidden/>
            <w:sz w:val="20"/>
            <w:szCs w:val="20"/>
          </w:rPr>
          <w:fldChar w:fldCharType="separate"/>
        </w:r>
        <w:r>
          <w:rPr>
            <w:webHidden/>
            <w:sz w:val="20"/>
            <w:szCs w:val="20"/>
          </w:rPr>
          <w:t>36</w:t>
        </w:r>
        <w:r w:rsidR="002C70E8" w:rsidRPr="00370BD5">
          <w:rPr>
            <w:webHidden/>
            <w:sz w:val="20"/>
            <w:szCs w:val="20"/>
          </w:rPr>
          <w:fldChar w:fldCharType="end"/>
        </w:r>
      </w:hyperlink>
    </w:p>
    <w:p w14:paraId="21927E9D" w14:textId="634ED08E" w:rsidR="002C70E8" w:rsidRPr="00370BD5" w:rsidRDefault="00AA57F7" w:rsidP="00CE15CF">
      <w:pPr>
        <w:pStyle w:val="TOC3"/>
        <w:rPr>
          <w:rFonts w:eastAsiaTheme="minorEastAsia"/>
          <w:sz w:val="20"/>
          <w:szCs w:val="20"/>
          <w:lang w:eastAsia="en-GB"/>
        </w:rPr>
      </w:pPr>
      <w:hyperlink w:anchor="_Toc515267946" w:history="1">
        <w:r w:rsidR="002C70E8" w:rsidRPr="00370BD5">
          <w:rPr>
            <w:rStyle w:val="Hyperlink"/>
            <w:sz w:val="20"/>
            <w:szCs w:val="20"/>
          </w:rPr>
          <w:t>4.7.6</w:t>
        </w:r>
        <w:r w:rsidR="002C70E8" w:rsidRPr="00370BD5">
          <w:rPr>
            <w:rFonts w:eastAsiaTheme="minorEastAsia"/>
            <w:sz w:val="20"/>
            <w:szCs w:val="20"/>
            <w:lang w:eastAsia="en-GB"/>
          </w:rPr>
          <w:tab/>
        </w:r>
        <w:r w:rsidR="002C70E8" w:rsidRPr="00370BD5">
          <w:rPr>
            <w:rStyle w:val="Hyperlink"/>
            <w:sz w:val="20"/>
            <w:szCs w:val="20"/>
          </w:rPr>
          <w:t>Conclusion</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_Toc515267946 \h </w:instrText>
        </w:r>
        <w:r w:rsidR="002C70E8" w:rsidRPr="00370BD5">
          <w:rPr>
            <w:webHidden/>
            <w:sz w:val="20"/>
            <w:szCs w:val="20"/>
          </w:rPr>
        </w:r>
        <w:r w:rsidR="002C70E8" w:rsidRPr="00370BD5">
          <w:rPr>
            <w:webHidden/>
            <w:sz w:val="20"/>
            <w:szCs w:val="20"/>
          </w:rPr>
          <w:fldChar w:fldCharType="separate"/>
        </w:r>
        <w:r>
          <w:rPr>
            <w:webHidden/>
            <w:sz w:val="20"/>
            <w:szCs w:val="20"/>
          </w:rPr>
          <w:t>36</w:t>
        </w:r>
        <w:r w:rsidR="002C70E8" w:rsidRPr="00370BD5">
          <w:rPr>
            <w:webHidden/>
            <w:sz w:val="20"/>
            <w:szCs w:val="20"/>
          </w:rPr>
          <w:fldChar w:fldCharType="end"/>
        </w:r>
      </w:hyperlink>
    </w:p>
    <w:p w14:paraId="0C101E90" w14:textId="632A6E1E" w:rsidR="002C70E8" w:rsidRPr="00370BD5" w:rsidRDefault="00AA57F7" w:rsidP="00CE15CF">
      <w:pPr>
        <w:pStyle w:val="TOC2"/>
        <w:rPr>
          <w:rFonts w:eastAsiaTheme="minorEastAsia" w:cs="Times New Roman"/>
          <w:sz w:val="20"/>
          <w:szCs w:val="20"/>
          <w:lang w:eastAsia="en-GB"/>
        </w:rPr>
      </w:pPr>
      <w:hyperlink w:anchor="_Toc515267947" w:history="1">
        <w:r w:rsidR="002C70E8" w:rsidRPr="00370BD5">
          <w:rPr>
            <w:rStyle w:val="Hyperlink"/>
            <w:sz w:val="20"/>
            <w:szCs w:val="20"/>
          </w:rPr>
          <w:t>4.8</w:t>
        </w:r>
        <w:r w:rsidR="002C70E8" w:rsidRPr="00370BD5">
          <w:rPr>
            <w:rFonts w:eastAsiaTheme="minorEastAsia" w:cs="Times New Roman"/>
            <w:sz w:val="20"/>
            <w:szCs w:val="20"/>
            <w:lang w:eastAsia="en-GB"/>
          </w:rPr>
          <w:tab/>
        </w:r>
        <w:r w:rsidR="002C70E8" w:rsidRPr="00370BD5">
          <w:rPr>
            <w:rStyle w:val="Hyperlink"/>
            <w:sz w:val="20"/>
            <w:szCs w:val="20"/>
          </w:rPr>
          <w:t>(g) Fire-fighting foams</w:t>
        </w:r>
        <w:r w:rsidR="002C70E8" w:rsidRPr="00370BD5">
          <w:rPr>
            <w:rFonts w:cs="Times New Roman"/>
            <w:webHidden/>
            <w:sz w:val="20"/>
            <w:szCs w:val="20"/>
          </w:rPr>
          <w:tab/>
        </w:r>
        <w:r w:rsidR="002C70E8" w:rsidRPr="00370BD5">
          <w:rPr>
            <w:rFonts w:cs="Times New Roman"/>
            <w:webHidden/>
            <w:sz w:val="20"/>
            <w:szCs w:val="20"/>
          </w:rPr>
          <w:fldChar w:fldCharType="begin"/>
        </w:r>
        <w:r w:rsidR="002C70E8" w:rsidRPr="00370BD5">
          <w:rPr>
            <w:rFonts w:cs="Times New Roman"/>
            <w:webHidden/>
            <w:sz w:val="20"/>
            <w:szCs w:val="20"/>
          </w:rPr>
          <w:instrText xml:space="preserve"> PAGEREF _Toc515267947 \h </w:instrText>
        </w:r>
        <w:r w:rsidR="002C70E8" w:rsidRPr="00370BD5">
          <w:rPr>
            <w:rFonts w:cs="Times New Roman"/>
            <w:webHidden/>
            <w:sz w:val="20"/>
            <w:szCs w:val="20"/>
          </w:rPr>
        </w:r>
        <w:r w:rsidR="002C70E8" w:rsidRPr="00370BD5">
          <w:rPr>
            <w:rFonts w:cs="Times New Roman"/>
            <w:webHidden/>
            <w:sz w:val="20"/>
            <w:szCs w:val="20"/>
          </w:rPr>
          <w:fldChar w:fldCharType="separate"/>
        </w:r>
        <w:r>
          <w:rPr>
            <w:rFonts w:cs="Times New Roman"/>
            <w:webHidden/>
            <w:sz w:val="20"/>
            <w:szCs w:val="20"/>
          </w:rPr>
          <w:t>37</w:t>
        </w:r>
        <w:r w:rsidR="002C70E8" w:rsidRPr="00370BD5">
          <w:rPr>
            <w:rFonts w:cs="Times New Roman"/>
            <w:webHidden/>
            <w:sz w:val="20"/>
            <w:szCs w:val="20"/>
          </w:rPr>
          <w:fldChar w:fldCharType="end"/>
        </w:r>
      </w:hyperlink>
    </w:p>
    <w:p w14:paraId="61711F66" w14:textId="46C4468C" w:rsidR="002C70E8" w:rsidRPr="00370BD5" w:rsidRDefault="00AA57F7" w:rsidP="00CE15CF">
      <w:pPr>
        <w:pStyle w:val="TOC3"/>
        <w:rPr>
          <w:rFonts w:eastAsiaTheme="minorEastAsia"/>
          <w:sz w:val="20"/>
          <w:szCs w:val="20"/>
          <w:lang w:eastAsia="en-GB"/>
        </w:rPr>
      </w:pPr>
      <w:hyperlink w:anchor="_Toc515267948" w:history="1">
        <w:r w:rsidR="002C70E8" w:rsidRPr="00370BD5">
          <w:rPr>
            <w:rStyle w:val="Hyperlink"/>
            <w:sz w:val="20"/>
            <w:szCs w:val="20"/>
          </w:rPr>
          <w:t>4.8.1</w:t>
        </w:r>
        <w:r w:rsidR="002C70E8" w:rsidRPr="00370BD5">
          <w:rPr>
            <w:rFonts w:eastAsiaTheme="minorEastAsia"/>
            <w:sz w:val="20"/>
            <w:szCs w:val="20"/>
            <w:lang w:eastAsia="en-GB"/>
          </w:rPr>
          <w:tab/>
        </w:r>
        <w:r w:rsidR="002C70E8" w:rsidRPr="00370BD5">
          <w:rPr>
            <w:rStyle w:val="Hyperlink"/>
            <w:sz w:val="20"/>
            <w:szCs w:val="20"/>
          </w:rPr>
          <w:t>Introduction</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_Toc515267948 \h </w:instrText>
        </w:r>
        <w:r w:rsidR="002C70E8" w:rsidRPr="00370BD5">
          <w:rPr>
            <w:webHidden/>
            <w:sz w:val="20"/>
            <w:szCs w:val="20"/>
          </w:rPr>
        </w:r>
        <w:r w:rsidR="002C70E8" w:rsidRPr="00370BD5">
          <w:rPr>
            <w:webHidden/>
            <w:sz w:val="20"/>
            <w:szCs w:val="20"/>
          </w:rPr>
          <w:fldChar w:fldCharType="separate"/>
        </w:r>
        <w:r>
          <w:rPr>
            <w:webHidden/>
            <w:sz w:val="20"/>
            <w:szCs w:val="20"/>
          </w:rPr>
          <w:t>37</w:t>
        </w:r>
        <w:r w:rsidR="002C70E8" w:rsidRPr="00370BD5">
          <w:rPr>
            <w:webHidden/>
            <w:sz w:val="20"/>
            <w:szCs w:val="20"/>
          </w:rPr>
          <w:fldChar w:fldCharType="end"/>
        </w:r>
      </w:hyperlink>
    </w:p>
    <w:p w14:paraId="4BCE88E3" w14:textId="2B233C30" w:rsidR="002C70E8" w:rsidRPr="00370BD5" w:rsidRDefault="00AA57F7" w:rsidP="00CE15CF">
      <w:pPr>
        <w:pStyle w:val="TOC3"/>
        <w:rPr>
          <w:rFonts w:eastAsiaTheme="minorEastAsia"/>
          <w:sz w:val="20"/>
          <w:szCs w:val="20"/>
          <w:lang w:eastAsia="en-GB"/>
        </w:rPr>
      </w:pPr>
      <w:hyperlink w:anchor="_Toc515267949" w:history="1">
        <w:r w:rsidR="002C70E8" w:rsidRPr="00370BD5">
          <w:rPr>
            <w:rStyle w:val="Hyperlink"/>
            <w:sz w:val="20"/>
            <w:szCs w:val="20"/>
          </w:rPr>
          <w:t>4.8.2</w:t>
        </w:r>
        <w:r w:rsidR="002C70E8" w:rsidRPr="00370BD5">
          <w:rPr>
            <w:rFonts w:eastAsiaTheme="minorEastAsia"/>
            <w:sz w:val="20"/>
            <w:szCs w:val="20"/>
            <w:lang w:eastAsia="en-GB"/>
          </w:rPr>
          <w:tab/>
        </w:r>
        <w:r w:rsidR="002C70E8" w:rsidRPr="00370BD5">
          <w:rPr>
            <w:rStyle w:val="Hyperlink"/>
            <w:sz w:val="20"/>
            <w:szCs w:val="20"/>
          </w:rPr>
          <w:t>Efficacy and efficiency of possible control measures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_Toc515267949 \h </w:instrText>
        </w:r>
        <w:r w:rsidR="002C70E8" w:rsidRPr="00370BD5">
          <w:rPr>
            <w:webHidden/>
            <w:sz w:val="20"/>
            <w:szCs w:val="20"/>
          </w:rPr>
        </w:r>
        <w:r w:rsidR="002C70E8" w:rsidRPr="00370BD5">
          <w:rPr>
            <w:webHidden/>
            <w:sz w:val="20"/>
            <w:szCs w:val="20"/>
          </w:rPr>
          <w:fldChar w:fldCharType="separate"/>
        </w:r>
        <w:r>
          <w:rPr>
            <w:webHidden/>
            <w:sz w:val="20"/>
            <w:szCs w:val="20"/>
          </w:rPr>
          <w:t>38</w:t>
        </w:r>
        <w:r w:rsidR="002C70E8" w:rsidRPr="00370BD5">
          <w:rPr>
            <w:webHidden/>
            <w:sz w:val="20"/>
            <w:szCs w:val="20"/>
          </w:rPr>
          <w:fldChar w:fldCharType="end"/>
        </w:r>
      </w:hyperlink>
    </w:p>
    <w:p w14:paraId="4D663778" w14:textId="0E00B29C" w:rsidR="002C70E8" w:rsidRPr="00370BD5" w:rsidRDefault="00AA57F7" w:rsidP="00CE15CF">
      <w:pPr>
        <w:pStyle w:val="TOC3"/>
        <w:rPr>
          <w:rFonts w:eastAsiaTheme="minorEastAsia"/>
          <w:sz w:val="20"/>
          <w:szCs w:val="20"/>
          <w:lang w:eastAsia="en-GB"/>
        </w:rPr>
      </w:pPr>
      <w:hyperlink w:anchor="_Toc515267950" w:history="1">
        <w:r w:rsidR="002C70E8" w:rsidRPr="00370BD5">
          <w:rPr>
            <w:rStyle w:val="Hyperlink"/>
            <w:sz w:val="20"/>
            <w:szCs w:val="20"/>
          </w:rPr>
          <w:t>Stockpiles already placed on the market</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_Toc515267950 \h </w:instrText>
        </w:r>
        <w:r w:rsidR="002C70E8" w:rsidRPr="00370BD5">
          <w:rPr>
            <w:webHidden/>
            <w:sz w:val="20"/>
            <w:szCs w:val="20"/>
          </w:rPr>
        </w:r>
        <w:r w:rsidR="002C70E8" w:rsidRPr="00370BD5">
          <w:rPr>
            <w:webHidden/>
            <w:sz w:val="20"/>
            <w:szCs w:val="20"/>
          </w:rPr>
          <w:fldChar w:fldCharType="separate"/>
        </w:r>
        <w:r>
          <w:rPr>
            <w:webHidden/>
            <w:sz w:val="20"/>
            <w:szCs w:val="20"/>
          </w:rPr>
          <w:t>38</w:t>
        </w:r>
        <w:r w:rsidR="002C70E8" w:rsidRPr="00370BD5">
          <w:rPr>
            <w:webHidden/>
            <w:sz w:val="20"/>
            <w:szCs w:val="20"/>
          </w:rPr>
          <w:fldChar w:fldCharType="end"/>
        </w:r>
      </w:hyperlink>
    </w:p>
    <w:p w14:paraId="656AC99D" w14:textId="241B4976" w:rsidR="002C70E8" w:rsidRPr="00370BD5" w:rsidRDefault="00AA57F7" w:rsidP="00CE15CF">
      <w:pPr>
        <w:pStyle w:val="TOC3"/>
        <w:rPr>
          <w:rFonts w:eastAsiaTheme="minorEastAsia"/>
          <w:sz w:val="20"/>
          <w:szCs w:val="20"/>
          <w:lang w:eastAsia="en-GB"/>
        </w:rPr>
      </w:pPr>
      <w:hyperlink w:anchor="_Toc515267951" w:history="1">
        <w:r w:rsidR="002C70E8" w:rsidRPr="00370BD5">
          <w:rPr>
            <w:rStyle w:val="Hyperlink"/>
            <w:sz w:val="20"/>
            <w:szCs w:val="20"/>
          </w:rPr>
          <w:t>Control measures for environmental release linked to fire-fighting foam</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_Toc515267951 \h </w:instrText>
        </w:r>
        <w:r w:rsidR="002C70E8" w:rsidRPr="00370BD5">
          <w:rPr>
            <w:webHidden/>
            <w:sz w:val="20"/>
            <w:szCs w:val="20"/>
          </w:rPr>
        </w:r>
        <w:r w:rsidR="002C70E8" w:rsidRPr="00370BD5">
          <w:rPr>
            <w:webHidden/>
            <w:sz w:val="20"/>
            <w:szCs w:val="20"/>
          </w:rPr>
          <w:fldChar w:fldCharType="separate"/>
        </w:r>
        <w:r>
          <w:rPr>
            <w:webHidden/>
            <w:sz w:val="20"/>
            <w:szCs w:val="20"/>
          </w:rPr>
          <w:t>40</w:t>
        </w:r>
        <w:r w:rsidR="002C70E8" w:rsidRPr="00370BD5">
          <w:rPr>
            <w:webHidden/>
            <w:sz w:val="20"/>
            <w:szCs w:val="20"/>
          </w:rPr>
          <w:fldChar w:fldCharType="end"/>
        </w:r>
      </w:hyperlink>
    </w:p>
    <w:p w14:paraId="4CC56FC4" w14:textId="70A162DE" w:rsidR="002C70E8" w:rsidRPr="00370BD5" w:rsidRDefault="00AA57F7" w:rsidP="00CE15CF">
      <w:pPr>
        <w:pStyle w:val="TOC3"/>
        <w:rPr>
          <w:rFonts w:eastAsiaTheme="minorEastAsia"/>
          <w:sz w:val="20"/>
          <w:szCs w:val="20"/>
          <w:lang w:eastAsia="en-GB"/>
        </w:rPr>
      </w:pPr>
      <w:hyperlink w:anchor="_Toc515267952" w:history="1">
        <w:r w:rsidR="002C70E8" w:rsidRPr="00370BD5">
          <w:rPr>
            <w:rStyle w:val="Hyperlink"/>
            <w:sz w:val="20"/>
            <w:szCs w:val="20"/>
          </w:rPr>
          <w:t>4.8.3</w:t>
        </w:r>
        <w:r w:rsidR="002C70E8" w:rsidRPr="00370BD5">
          <w:rPr>
            <w:rFonts w:eastAsiaTheme="minorEastAsia"/>
            <w:sz w:val="20"/>
            <w:szCs w:val="20"/>
            <w:lang w:eastAsia="en-GB"/>
          </w:rPr>
          <w:tab/>
        </w:r>
        <w:r w:rsidR="002C70E8" w:rsidRPr="00370BD5">
          <w:rPr>
            <w:rStyle w:val="Hyperlink"/>
            <w:sz w:val="20"/>
            <w:szCs w:val="20"/>
          </w:rPr>
          <w:t>Information on alternatives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_Toc515267952 \h </w:instrText>
        </w:r>
        <w:r w:rsidR="002C70E8" w:rsidRPr="00370BD5">
          <w:rPr>
            <w:webHidden/>
            <w:sz w:val="20"/>
            <w:szCs w:val="20"/>
          </w:rPr>
        </w:r>
        <w:r w:rsidR="002C70E8" w:rsidRPr="00370BD5">
          <w:rPr>
            <w:webHidden/>
            <w:sz w:val="20"/>
            <w:szCs w:val="20"/>
          </w:rPr>
          <w:fldChar w:fldCharType="separate"/>
        </w:r>
        <w:r>
          <w:rPr>
            <w:webHidden/>
            <w:sz w:val="20"/>
            <w:szCs w:val="20"/>
          </w:rPr>
          <w:t>40</w:t>
        </w:r>
        <w:r w:rsidR="002C70E8" w:rsidRPr="00370BD5">
          <w:rPr>
            <w:webHidden/>
            <w:sz w:val="20"/>
            <w:szCs w:val="20"/>
          </w:rPr>
          <w:fldChar w:fldCharType="end"/>
        </w:r>
      </w:hyperlink>
    </w:p>
    <w:p w14:paraId="4D5D82FA" w14:textId="0710B1D1" w:rsidR="002C70E8" w:rsidRPr="00370BD5" w:rsidRDefault="00AA57F7" w:rsidP="00CE15CF">
      <w:pPr>
        <w:pStyle w:val="TOC3"/>
        <w:rPr>
          <w:rFonts w:eastAsiaTheme="minorEastAsia"/>
          <w:sz w:val="20"/>
          <w:szCs w:val="20"/>
          <w:lang w:eastAsia="en-GB"/>
        </w:rPr>
      </w:pPr>
      <w:hyperlink w:anchor="_Toc515267953" w:history="1">
        <w:r w:rsidR="002C70E8" w:rsidRPr="00370BD5">
          <w:rPr>
            <w:rStyle w:val="Hyperlink"/>
            <w:sz w:val="20"/>
            <w:szCs w:val="20"/>
          </w:rPr>
          <w:t>Short-chained fluorinated alternatives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_Toc515267953 \h </w:instrText>
        </w:r>
        <w:r w:rsidR="002C70E8" w:rsidRPr="00370BD5">
          <w:rPr>
            <w:webHidden/>
            <w:sz w:val="20"/>
            <w:szCs w:val="20"/>
          </w:rPr>
        </w:r>
        <w:r w:rsidR="002C70E8" w:rsidRPr="00370BD5">
          <w:rPr>
            <w:webHidden/>
            <w:sz w:val="20"/>
            <w:szCs w:val="20"/>
          </w:rPr>
          <w:fldChar w:fldCharType="separate"/>
        </w:r>
        <w:r>
          <w:rPr>
            <w:webHidden/>
            <w:sz w:val="20"/>
            <w:szCs w:val="20"/>
          </w:rPr>
          <w:t>40</w:t>
        </w:r>
        <w:r w:rsidR="002C70E8" w:rsidRPr="00370BD5">
          <w:rPr>
            <w:webHidden/>
            <w:sz w:val="20"/>
            <w:szCs w:val="20"/>
          </w:rPr>
          <w:fldChar w:fldCharType="end"/>
        </w:r>
      </w:hyperlink>
    </w:p>
    <w:p w14:paraId="17768352" w14:textId="70890C1F" w:rsidR="002C70E8" w:rsidRPr="00370BD5" w:rsidRDefault="00AA57F7" w:rsidP="00CE15CF">
      <w:pPr>
        <w:pStyle w:val="TOC3"/>
        <w:rPr>
          <w:rFonts w:eastAsiaTheme="minorEastAsia"/>
          <w:sz w:val="20"/>
          <w:szCs w:val="20"/>
          <w:lang w:eastAsia="en-GB"/>
        </w:rPr>
      </w:pPr>
      <w:hyperlink w:anchor="_Toc515267954" w:history="1">
        <w:r w:rsidR="002C70E8" w:rsidRPr="00370BD5">
          <w:rPr>
            <w:rStyle w:val="Hyperlink"/>
            <w:sz w:val="20"/>
            <w:szCs w:val="20"/>
          </w:rPr>
          <w:t>Non-fluorine containing alternatives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_Toc515267954 \h </w:instrText>
        </w:r>
        <w:r w:rsidR="002C70E8" w:rsidRPr="00370BD5">
          <w:rPr>
            <w:webHidden/>
            <w:sz w:val="20"/>
            <w:szCs w:val="20"/>
          </w:rPr>
        </w:r>
        <w:r w:rsidR="002C70E8" w:rsidRPr="00370BD5">
          <w:rPr>
            <w:webHidden/>
            <w:sz w:val="20"/>
            <w:szCs w:val="20"/>
          </w:rPr>
          <w:fldChar w:fldCharType="separate"/>
        </w:r>
        <w:r>
          <w:rPr>
            <w:webHidden/>
            <w:sz w:val="20"/>
            <w:szCs w:val="20"/>
          </w:rPr>
          <w:t>41</w:t>
        </w:r>
        <w:r w:rsidR="002C70E8" w:rsidRPr="00370BD5">
          <w:rPr>
            <w:webHidden/>
            <w:sz w:val="20"/>
            <w:szCs w:val="20"/>
          </w:rPr>
          <w:fldChar w:fldCharType="end"/>
        </w:r>
      </w:hyperlink>
    </w:p>
    <w:p w14:paraId="389893BE" w14:textId="0B9BCE11" w:rsidR="002C70E8" w:rsidRPr="00370BD5" w:rsidRDefault="00AA57F7" w:rsidP="00CE15CF">
      <w:pPr>
        <w:pStyle w:val="TOC3"/>
        <w:rPr>
          <w:rFonts w:eastAsiaTheme="minorEastAsia"/>
          <w:sz w:val="20"/>
          <w:szCs w:val="20"/>
          <w:lang w:eastAsia="en-GB"/>
        </w:rPr>
      </w:pPr>
      <w:hyperlink w:anchor="_Toc515267955" w:history="1">
        <w:r w:rsidR="002C70E8" w:rsidRPr="00370BD5">
          <w:rPr>
            <w:rStyle w:val="Hyperlink"/>
            <w:sz w:val="20"/>
            <w:szCs w:val="20"/>
          </w:rPr>
          <w:t>4.8.4</w:t>
        </w:r>
        <w:r w:rsidR="002C70E8" w:rsidRPr="00370BD5">
          <w:rPr>
            <w:rFonts w:eastAsiaTheme="minorEastAsia"/>
            <w:sz w:val="20"/>
            <w:szCs w:val="20"/>
            <w:lang w:eastAsia="en-GB"/>
          </w:rPr>
          <w:tab/>
        </w:r>
        <w:r w:rsidR="002C70E8" w:rsidRPr="00370BD5">
          <w:rPr>
            <w:rStyle w:val="Hyperlink"/>
            <w:sz w:val="20"/>
            <w:szCs w:val="20"/>
          </w:rPr>
          <w:t>Information on impacts on society</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_Toc515267955 \h </w:instrText>
        </w:r>
        <w:r w:rsidR="002C70E8" w:rsidRPr="00370BD5">
          <w:rPr>
            <w:webHidden/>
            <w:sz w:val="20"/>
            <w:szCs w:val="20"/>
          </w:rPr>
        </w:r>
        <w:r w:rsidR="002C70E8" w:rsidRPr="00370BD5">
          <w:rPr>
            <w:webHidden/>
            <w:sz w:val="20"/>
            <w:szCs w:val="20"/>
          </w:rPr>
          <w:fldChar w:fldCharType="separate"/>
        </w:r>
        <w:r>
          <w:rPr>
            <w:webHidden/>
            <w:sz w:val="20"/>
            <w:szCs w:val="20"/>
          </w:rPr>
          <w:t>43</w:t>
        </w:r>
        <w:r w:rsidR="002C70E8" w:rsidRPr="00370BD5">
          <w:rPr>
            <w:webHidden/>
            <w:sz w:val="20"/>
            <w:szCs w:val="20"/>
          </w:rPr>
          <w:fldChar w:fldCharType="end"/>
        </w:r>
      </w:hyperlink>
    </w:p>
    <w:p w14:paraId="5068A748" w14:textId="0C9C3501" w:rsidR="002C70E8" w:rsidRPr="00370BD5" w:rsidRDefault="00AA57F7" w:rsidP="00CE15CF">
      <w:pPr>
        <w:pStyle w:val="TOC3"/>
        <w:rPr>
          <w:rFonts w:eastAsiaTheme="minorEastAsia"/>
          <w:sz w:val="20"/>
          <w:szCs w:val="20"/>
          <w:lang w:eastAsia="en-GB"/>
        </w:rPr>
      </w:pPr>
      <w:hyperlink w:anchor="_Toc515267956" w:history="1">
        <w:r w:rsidR="002C70E8" w:rsidRPr="00370BD5">
          <w:rPr>
            <w:rStyle w:val="Hyperlink"/>
            <w:sz w:val="20"/>
            <w:szCs w:val="20"/>
          </w:rPr>
          <w:t>4.8.5</w:t>
        </w:r>
        <w:r w:rsidR="002C70E8" w:rsidRPr="00370BD5">
          <w:rPr>
            <w:rFonts w:eastAsiaTheme="minorEastAsia"/>
            <w:sz w:val="20"/>
            <w:szCs w:val="20"/>
            <w:lang w:eastAsia="en-GB"/>
          </w:rPr>
          <w:tab/>
        </w:r>
        <w:r w:rsidR="002C70E8" w:rsidRPr="00370BD5">
          <w:rPr>
            <w:rStyle w:val="Hyperlink"/>
            <w:sz w:val="20"/>
            <w:szCs w:val="20"/>
          </w:rPr>
          <w:t>Other considerations</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_Toc515267956 \h </w:instrText>
        </w:r>
        <w:r w:rsidR="002C70E8" w:rsidRPr="00370BD5">
          <w:rPr>
            <w:webHidden/>
            <w:sz w:val="20"/>
            <w:szCs w:val="20"/>
          </w:rPr>
        </w:r>
        <w:r w:rsidR="002C70E8" w:rsidRPr="00370BD5">
          <w:rPr>
            <w:webHidden/>
            <w:sz w:val="20"/>
            <w:szCs w:val="20"/>
          </w:rPr>
          <w:fldChar w:fldCharType="separate"/>
        </w:r>
        <w:r>
          <w:rPr>
            <w:webHidden/>
            <w:sz w:val="20"/>
            <w:szCs w:val="20"/>
          </w:rPr>
          <w:t>44</w:t>
        </w:r>
        <w:r w:rsidR="002C70E8" w:rsidRPr="00370BD5">
          <w:rPr>
            <w:webHidden/>
            <w:sz w:val="20"/>
            <w:szCs w:val="20"/>
          </w:rPr>
          <w:fldChar w:fldCharType="end"/>
        </w:r>
      </w:hyperlink>
    </w:p>
    <w:p w14:paraId="59E64507" w14:textId="1AB508B6" w:rsidR="002C70E8" w:rsidRPr="00370BD5" w:rsidRDefault="00AA57F7" w:rsidP="00CE15CF">
      <w:pPr>
        <w:pStyle w:val="TOC3"/>
        <w:rPr>
          <w:rFonts w:eastAsiaTheme="minorEastAsia"/>
          <w:sz w:val="20"/>
          <w:szCs w:val="20"/>
          <w:lang w:eastAsia="en-GB"/>
        </w:rPr>
      </w:pPr>
      <w:hyperlink w:anchor="_Toc515267957" w:history="1">
        <w:r w:rsidR="002C70E8" w:rsidRPr="00370BD5">
          <w:rPr>
            <w:rStyle w:val="Hyperlink"/>
            <w:sz w:val="20"/>
            <w:szCs w:val="20"/>
          </w:rPr>
          <w:t>4.8.6</w:t>
        </w:r>
        <w:r w:rsidR="002C70E8" w:rsidRPr="00370BD5">
          <w:rPr>
            <w:rFonts w:eastAsiaTheme="minorEastAsia"/>
            <w:sz w:val="20"/>
            <w:szCs w:val="20"/>
            <w:lang w:eastAsia="en-GB"/>
          </w:rPr>
          <w:tab/>
        </w:r>
        <w:r w:rsidR="002C70E8" w:rsidRPr="00370BD5">
          <w:rPr>
            <w:rStyle w:val="Hyperlink"/>
            <w:sz w:val="20"/>
            <w:szCs w:val="20"/>
          </w:rPr>
          <w:t>Synthesis of information</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_Toc515267957 \h </w:instrText>
        </w:r>
        <w:r w:rsidR="002C70E8" w:rsidRPr="00370BD5">
          <w:rPr>
            <w:webHidden/>
            <w:sz w:val="20"/>
            <w:szCs w:val="20"/>
          </w:rPr>
        </w:r>
        <w:r w:rsidR="002C70E8" w:rsidRPr="00370BD5">
          <w:rPr>
            <w:webHidden/>
            <w:sz w:val="20"/>
            <w:szCs w:val="20"/>
          </w:rPr>
          <w:fldChar w:fldCharType="separate"/>
        </w:r>
        <w:r>
          <w:rPr>
            <w:webHidden/>
            <w:sz w:val="20"/>
            <w:szCs w:val="20"/>
          </w:rPr>
          <w:t>44</w:t>
        </w:r>
        <w:r w:rsidR="002C70E8" w:rsidRPr="00370BD5">
          <w:rPr>
            <w:webHidden/>
            <w:sz w:val="20"/>
            <w:szCs w:val="20"/>
          </w:rPr>
          <w:fldChar w:fldCharType="end"/>
        </w:r>
      </w:hyperlink>
    </w:p>
    <w:p w14:paraId="71F30F82" w14:textId="02DD6587" w:rsidR="002C70E8" w:rsidRPr="00370BD5" w:rsidRDefault="00AA57F7" w:rsidP="00CE15CF">
      <w:pPr>
        <w:pStyle w:val="TOC3"/>
        <w:rPr>
          <w:rFonts w:eastAsiaTheme="minorEastAsia"/>
          <w:sz w:val="20"/>
          <w:szCs w:val="20"/>
          <w:lang w:eastAsia="en-GB"/>
        </w:rPr>
      </w:pPr>
      <w:hyperlink w:anchor="_Toc515267958" w:history="1">
        <w:r w:rsidR="002C70E8" w:rsidRPr="00370BD5">
          <w:rPr>
            <w:rStyle w:val="Hyperlink"/>
            <w:sz w:val="20"/>
            <w:szCs w:val="20"/>
          </w:rPr>
          <w:t>4.8.7</w:t>
        </w:r>
        <w:r w:rsidR="002C70E8" w:rsidRPr="00370BD5">
          <w:rPr>
            <w:rFonts w:eastAsiaTheme="minorEastAsia"/>
            <w:sz w:val="20"/>
            <w:szCs w:val="20"/>
            <w:lang w:eastAsia="en-GB"/>
          </w:rPr>
          <w:tab/>
        </w:r>
        <w:r w:rsidR="002C70E8" w:rsidRPr="00370BD5">
          <w:rPr>
            <w:rStyle w:val="Hyperlink"/>
            <w:sz w:val="20"/>
            <w:szCs w:val="20"/>
          </w:rPr>
          <w:t>Conclusion</w:t>
        </w:r>
        <w:r w:rsidR="002C70E8" w:rsidRPr="00370BD5">
          <w:rPr>
            <w:webHidden/>
            <w:sz w:val="20"/>
            <w:szCs w:val="20"/>
          </w:rPr>
          <w:tab/>
        </w:r>
        <w:r w:rsidR="002C70E8" w:rsidRPr="00370BD5">
          <w:rPr>
            <w:webHidden/>
            <w:sz w:val="20"/>
            <w:szCs w:val="20"/>
          </w:rPr>
          <w:fldChar w:fldCharType="begin"/>
        </w:r>
        <w:r w:rsidR="002C70E8" w:rsidRPr="00370BD5">
          <w:rPr>
            <w:webHidden/>
            <w:sz w:val="20"/>
            <w:szCs w:val="20"/>
          </w:rPr>
          <w:instrText xml:space="preserve"> PAGEREF _Toc515267958 \h </w:instrText>
        </w:r>
        <w:r w:rsidR="002C70E8" w:rsidRPr="00370BD5">
          <w:rPr>
            <w:webHidden/>
            <w:sz w:val="20"/>
            <w:szCs w:val="20"/>
          </w:rPr>
        </w:r>
        <w:r w:rsidR="002C70E8" w:rsidRPr="00370BD5">
          <w:rPr>
            <w:webHidden/>
            <w:sz w:val="20"/>
            <w:szCs w:val="20"/>
          </w:rPr>
          <w:fldChar w:fldCharType="separate"/>
        </w:r>
        <w:r>
          <w:rPr>
            <w:webHidden/>
            <w:sz w:val="20"/>
            <w:szCs w:val="20"/>
          </w:rPr>
          <w:t>45</w:t>
        </w:r>
        <w:r w:rsidR="002C70E8" w:rsidRPr="00370BD5">
          <w:rPr>
            <w:webHidden/>
            <w:sz w:val="20"/>
            <w:szCs w:val="20"/>
          </w:rPr>
          <w:fldChar w:fldCharType="end"/>
        </w:r>
      </w:hyperlink>
    </w:p>
    <w:p w14:paraId="14A6D2A2" w14:textId="66BC8F67" w:rsidR="002C70E8" w:rsidRPr="00370BD5" w:rsidRDefault="00AA57F7" w:rsidP="00CE15CF">
      <w:pPr>
        <w:pStyle w:val="TOC1"/>
        <w:rPr>
          <w:rFonts w:eastAsiaTheme="minorEastAsia"/>
          <w:b w:val="0"/>
          <w:noProof/>
          <w:sz w:val="20"/>
          <w:szCs w:val="20"/>
          <w:lang w:eastAsia="en-GB"/>
        </w:rPr>
      </w:pPr>
      <w:hyperlink w:anchor="_Toc515267959" w:history="1">
        <w:r w:rsidR="002C70E8" w:rsidRPr="00370BD5">
          <w:rPr>
            <w:rStyle w:val="Hyperlink"/>
            <w:noProof/>
            <w:sz w:val="20"/>
            <w:szCs w:val="20"/>
          </w:rPr>
          <w:t>5</w:t>
        </w:r>
        <w:r w:rsidR="002C70E8" w:rsidRPr="00370BD5">
          <w:rPr>
            <w:rFonts w:eastAsiaTheme="minorEastAsia"/>
            <w:b w:val="0"/>
            <w:noProof/>
            <w:sz w:val="20"/>
            <w:szCs w:val="20"/>
            <w:lang w:eastAsia="en-GB"/>
          </w:rPr>
          <w:tab/>
        </w:r>
        <w:r w:rsidR="002C70E8" w:rsidRPr="00370BD5">
          <w:rPr>
            <w:rStyle w:val="Hyperlink"/>
            <w:noProof/>
            <w:sz w:val="20"/>
            <w:szCs w:val="20"/>
          </w:rPr>
          <w:t>Synthesis of information</w:t>
        </w:r>
        <w:r w:rsidR="002C70E8" w:rsidRPr="00370BD5">
          <w:rPr>
            <w:noProof/>
            <w:webHidden/>
            <w:sz w:val="20"/>
            <w:szCs w:val="20"/>
          </w:rPr>
          <w:tab/>
        </w:r>
        <w:r w:rsidR="002C70E8" w:rsidRPr="00370BD5">
          <w:rPr>
            <w:noProof/>
            <w:webHidden/>
            <w:sz w:val="20"/>
            <w:szCs w:val="20"/>
          </w:rPr>
          <w:fldChar w:fldCharType="begin"/>
        </w:r>
        <w:r w:rsidR="002C70E8" w:rsidRPr="00370BD5">
          <w:rPr>
            <w:noProof/>
            <w:webHidden/>
            <w:sz w:val="20"/>
            <w:szCs w:val="20"/>
          </w:rPr>
          <w:instrText xml:space="preserve"> PAGEREF _Toc515267959 \h </w:instrText>
        </w:r>
        <w:r w:rsidR="002C70E8" w:rsidRPr="00370BD5">
          <w:rPr>
            <w:noProof/>
            <w:webHidden/>
            <w:sz w:val="20"/>
            <w:szCs w:val="20"/>
          </w:rPr>
        </w:r>
        <w:r w:rsidR="002C70E8" w:rsidRPr="00370BD5">
          <w:rPr>
            <w:noProof/>
            <w:webHidden/>
            <w:sz w:val="20"/>
            <w:szCs w:val="20"/>
          </w:rPr>
          <w:fldChar w:fldCharType="separate"/>
        </w:r>
        <w:r>
          <w:rPr>
            <w:noProof/>
            <w:webHidden/>
            <w:sz w:val="20"/>
            <w:szCs w:val="20"/>
          </w:rPr>
          <w:t>45</w:t>
        </w:r>
        <w:r w:rsidR="002C70E8" w:rsidRPr="00370BD5">
          <w:rPr>
            <w:noProof/>
            <w:webHidden/>
            <w:sz w:val="20"/>
            <w:szCs w:val="20"/>
          </w:rPr>
          <w:fldChar w:fldCharType="end"/>
        </w:r>
      </w:hyperlink>
    </w:p>
    <w:p w14:paraId="5EEB539C" w14:textId="3CFF7806" w:rsidR="002C70E8" w:rsidRPr="00370BD5" w:rsidRDefault="00AA57F7" w:rsidP="00CE15CF">
      <w:pPr>
        <w:pStyle w:val="TOC2"/>
        <w:rPr>
          <w:rFonts w:eastAsiaTheme="minorEastAsia" w:cs="Times New Roman"/>
          <w:sz w:val="20"/>
          <w:szCs w:val="20"/>
          <w:lang w:eastAsia="en-GB"/>
        </w:rPr>
      </w:pPr>
      <w:hyperlink w:anchor="_Toc515267960" w:history="1">
        <w:r w:rsidR="002C70E8" w:rsidRPr="00370BD5">
          <w:rPr>
            <w:rStyle w:val="Hyperlink"/>
            <w:sz w:val="20"/>
            <w:szCs w:val="20"/>
          </w:rPr>
          <w:t>5.1</w:t>
        </w:r>
        <w:r w:rsidR="002C70E8" w:rsidRPr="00370BD5">
          <w:rPr>
            <w:rFonts w:eastAsiaTheme="minorEastAsia" w:cs="Times New Roman"/>
            <w:sz w:val="20"/>
            <w:szCs w:val="20"/>
            <w:lang w:eastAsia="en-GB"/>
          </w:rPr>
          <w:tab/>
        </w:r>
        <w:r w:rsidR="002C70E8" w:rsidRPr="00370BD5">
          <w:rPr>
            <w:rStyle w:val="Hyperlink"/>
            <w:sz w:val="20"/>
            <w:szCs w:val="20"/>
          </w:rPr>
          <w:t>Summary of information and concluding statement for uses</w:t>
        </w:r>
        <w:r w:rsidR="002C70E8" w:rsidRPr="00370BD5">
          <w:rPr>
            <w:rFonts w:cs="Times New Roman"/>
            <w:webHidden/>
            <w:sz w:val="20"/>
            <w:szCs w:val="20"/>
          </w:rPr>
          <w:tab/>
        </w:r>
        <w:r w:rsidR="002C70E8" w:rsidRPr="00370BD5">
          <w:rPr>
            <w:rFonts w:cs="Times New Roman"/>
            <w:webHidden/>
            <w:sz w:val="20"/>
            <w:szCs w:val="20"/>
          </w:rPr>
          <w:fldChar w:fldCharType="begin"/>
        </w:r>
        <w:r w:rsidR="002C70E8" w:rsidRPr="00370BD5">
          <w:rPr>
            <w:rFonts w:cs="Times New Roman"/>
            <w:webHidden/>
            <w:sz w:val="20"/>
            <w:szCs w:val="20"/>
          </w:rPr>
          <w:instrText xml:space="preserve"> PAGEREF _Toc515267960 \h </w:instrText>
        </w:r>
        <w:r w:rsidR="002C70E8" w:rsidRPr="00370BD5">
          <w:rPr>
            <w:rFonts w:cs="Times New Roman"/>
            <w:webHidden/>
            <w:sz w:val="20"/>
            <w:szCs w:val="20"/>
          </w:rPr>
        </w:r>
        <w:r w:rsidR="002C70E8" w:rsidRPr="00370BD5">
          <w:rPr>
            <w:rFonts w:cs="Times New Roman"/>
            <w:webHidden/>
            <w:sz w:val="20"/>
            <w:szCs w:val="20"/>
          </w:rPr>
          <w:fldChar w:fldCharType="separate"/>
        </w:r>
        <w:r>
          <w:rPr>
            <w:rFonts w:cs="Times New Roman"/>
            <w:webHidden/>
            <w:sz w:val="20"/>
            <w:szCs w:val="20"/>
          </w:rPr>
          <w:t>45</w:t>
        </w:r>
        <w:r w:rsidR="002C70E8" w:rsidRPr="00370BD5">
          <w:rPr>
            <w:rFonts w:cs="Times New Roman"/>
            <w:webHidden/>
            <w:sz w:val="20"/>
            <w:szCs w:val="20"/>
          </w:rPr>
          <w:fldChar w:fldCharType="end"/>
        </w:r>
      </w:hyperlink>
    </w:p>
    <w:p w14:paraId="04F381CF" w14:textId="01634D5F" w:rsidR="002C70E8" w:rsidRPr="00370BD5" w:rsidRDefault="00AA57F7" w:rsidP="00CE15CF">
      <w:pPr>
        <w:pStyle w:val="TOC2"/>
        <w:rPr>
          <w:rFonts w:eastAsiaTheme="minorEastAsia" w:cs="Times New Roman"/>
          <w:sz w:val="20"/>
          <w:szCs w:val="20"/>
          <w:lang w:eastAsia="en-GB"/>
        </w:rPr>
      </w:pPr>
      <w:hyperlink w:anchor="_Toc515267961" w:history="1">
        <w:r w:rsidR="002C70E8" w:rsidRPr="00370BD5">
          <w:rPr>
            <w:rStyle w:val="Hyperlink"/>
            <w:sz w:val="20"/>
            <w:szCs w:val="20"/>
          </w:rPr>
          <w:t>5.2</w:t>
        </w:r>
        <w:r w:rsidR="002C70E8" w:rsidRPr="00370BD5">
          <w:rPr>
            <w:rFonts w:eastAsiaTheme="minorEastAsia" w:cs="Times New Roman"/>
            <w:sz w:val="20"/>
            <w:szCs w:val="20"/>
            <w:lang w:eastAsia="en-GB"/>
          </w:rPr>
          <w:tab/>
        </w:r>
        <w:r w:rsidR="002C70E8" w:rsidRPr="00370BD5">
          <w:rPr>
            <w:rStyle w:val="Hyperlink"/>
            <w:sz w:val="20"/>
            <w:szCs w:val="20"/>
          </w:rPr>
          <w:t>Discussion on listing in Annex A/B</w:t>
        </w:r>
        <w:r w:rsidR="002C70E8" w:rsidRPr="00370BD5">
          <w:rPr>
            <w:rFonts w:cs="Times New Roman"/>
            <w:webHidden/>
            <w:sz w:val="20"/>
            <w:szCs w:val="20"/>
          </w:rPr>
          <w:tab/>
        </w:r>
        <w:r w:rsidR="002C70E8" w:rsidRPr="00370BD5">
          <w:rPr>
            <w:rFonts w:cs="Times New Roman"/>
            <w:webHidden/>
            <w:sz w:val="20"/>
            <w:szCs w:val="20"/>
          </w:rPr>
          <w:fldChar w:fldCharType="begin"/>
        </w:r>
        <w:r w:rsidR="002C70E8" w:rsidRPr="00370BD5">
          <w:rPr>
            <w:rFonts w:cs="Times New Roman"/>
            <w:webHidden/>
            <w:sz w:val="20"/>
            <w:szCs w:val="20"/>
          </w:rPr>
          <w:instrText xml:space="preserve"> PAGEREF _Toc515267961 \h </w:instrText>
        </w:r>
        <w:r w:rsidR="002C70E8" w:rsidRPr="00370BD5">
          <w:rPr>
            <w:rFonts w:cs="Times New Roman"/>
            <w:webHidden/>
            <w:sz w:val="20"/>
            <w:szCs w:val="20"/>
          </w:rPr>
        </w:r>
        <w:r w:rsidR="002C70E8" w:rsidRPr="00370BD5">
          <w:rPr>
            <w:rFonts w:cs="Times New Roman"/>
            <w:webHidden/>
            <w:sz w:val="20"/>
            <w:szCs w:val="20"/>
          </w:rPr>
          <w:fldChar w:fldCharType="separate"/>
        </w:r>
        <w:r>
          <w:rPr>
            <w:rFonts w:cs="Times New Roman"/>
            <w:webHidden/>
            <w:sz w:val="20"/>
            <w:szCs w:val="20"/>
          </w:rPr>
          <w:t>45</w:t>
        </w:r>
        <w:r w:rsidR="002C70E8" w:rsidRPr="00370BD5">
          <w:rPr>
            <w:rFonts w:cs="Times New Roman"/>
            <w:webHidden/>
            <w:sz w:val="20"/>
            <w:szCs w:val="20"/>
          </w:rPr>
          <w:fldChar w:fldCharType="end"/>
        </w:r>
      </w:hyperlink>
    </w:p>
    <w:p w14:paraId="4686CBDF" w14:textId="00E1EB47" w:rsidR="004056D0" w:rsidRPr="00CE15CF" w:rsidRDefault="00783290" w:rsidP="00CE15CF">
      <w:pPr>
        <w:pStyle w:val="Heading1"/>
        <w:keepNext w:val="0"/>
        <w:numPr>
          <w:ilvl w:val="0"/>
          <w:numId w:val="0"/>
        </w:numPr>
        <w:tabs>
          <w:tab w:val="left" w:pos="0"/>
        </w:tabs>
        <w:spacing w:line="240" w:lineRule="auto"/>
        <w:jc w:val="left"/>
      </w:pPr>
      <w:r w:rsidRPr="00370BD5">
        <w:rPr>
          <w:sz w:val="20"/>
        </w:rPr>
        <w:lastRenderedPageBreak/>
        <w:fldChar w:fldCharType="end"/>
      </w:r>
      <w:bookmarkStart w:id="4" w:name="_Toc507148932"/>
      <w:bookmarkStart w:id="5" w:name="_Toc515267883"/>
      <w:r w:rsidR="004056D0" w:rsidRPr="00CE15CF">
        <w:t>Executive</w:t>
      </w:r>
      <w:r w:rsidR="00797A01" w:rsidRPr="00CE15CF">
        <w:t xml:space="preserve"> </w:t>
      </w:r>
      <w:r w:rsidR="004056D0" w:rsidRPr="00CE15CF">
        <w:t>Summary</w:t>
      </w:r>
      <w:bookmarkEnd w:id="4"/>
      <w:bookmarkEnd w:id="5"/>
    </w:p>
    <w:p w14:paraId="0C9E4E3C" w14:textId="538B796B" w:rsidR="009F0ECE" w:rsidRPr="00CE15CF" w:rsidRDefault="009F0ECE" w:rsidP="00CE15CF">
      <w:pPr>
        <w:pStyle w:val="Paralevel1"/>
      </w:pPr>
      <w:r w:rsidRPr="00CE15CF">
        <w:t>In June 2015</w:t>
      </w:r>
      <w:r w:rsidR="001E3E26" w:rsidRPr="00CE15CF">
        <w:t>,</w:t>
      </w:r>
      <w:r w:rsidRPr="00CE15CF">
        <w:t xml:space="preserve"> the European Union (EU) and its member States submitted a proposal to list </w:t>
      </w:r>
      <w:proofErr w:type="spellStart"/>
      <w:r w:rsidRPr="00CE15CF">
        <w:t>pentadecafluorooctanoic</w:t>
      </w:r>
      <w:proofErr w:type="spellEnd"/>
      <w:r w:rsidRPr="00CE15CF">
        <w:t xml:space="preserve"> acid (CAS No: 335-67-1, PFOA, perfluorooctanoic acid), its salts and PFOA-related compounds</w:t>
      </w:r>
      <w:r w:rsidR="000D7872">
        <w:rPr>
          <w:rStyle w:val="FootnoteReference"/>
        </w:rPr>
        <w:footnoteReference w:customMarkFollows="1" w:id="6"/>
        <w:t>2</w:t>
      </w:r>
      <w:r w:rsidRPr="00CE15CF">
        <w:t xml:space="preserve"> in Annexes A, B, and/or C to the Stockholm Convention (UNEP/POPS/POPRC.11/5). At its twelfth meeting in September 2016, the Persistent Organic Pollutants Review Committee (POPRC) concluded that PFOA is persistent, </w:t>
      </w:r>
      <w:proofErr w:type="spellStart"/>
      <w:r w:rsidRPr="00CE15CF">
        <w:t>bioaccumulative</w:t>
      </w:r>
      <w:proofErr w:type="spellEnd"/>
      <w:r w:rsidRPr="00CE15CF">
        <w:t xml:space="preserve"> and toxic to animals including humans. There is widespread occurrence of PFOA and </w:t>
      </w:r>
      <w:proofErr w:type="gramStart"/>
      <w:r w:rsidRPr="00CE15CF">
        <w:t>a number of</w:t>
      </w:r>
      <w:proofErr w:type="gramEnd"/>
      <w:r w:rsidRPr="00CE15CF">
        <w:t xml:space="preserve"> PFOA-related compounds in environmental compartments and in biota and humans. Therefore, PFOA, its salts and PFOA-related compounds that degrade to PFOA are likely, </w:t>
      </w:r>
      <w:proofErr w:type="gramStart"/>
      <w:r w:rsidRPr="00CE15CF">
        <w:t>as a result of</w:t>
      </w:r>
      <w:proofErr w:type="gramEnd"/>
      <w:r w:rsidRPr="00CE15CF">
        <w:t xml:space="preserve"> their long-range environmental transport, to lead to significant adverse human health and/or environmental effects such that global action is warranted (UNEP/POPS/POPRC.12/11/Add.2).</w:t>
      </w:r>
    </w:p>
    <w:p w14:paraId="227F0CDB" w14:textId="57A3A00A" w:rsidR="009F0ECE" w:rsidRPr="00CE15CF" w:rsidRDefault="009F0ECE" w:rsidP="00CE15CF">
      <w:pPr>
        <w:pStyle w:val="Paralevel1"/>
      </w:pPr>
      <w:r w:rsidRPr="00CE15CF">
        <w:t>At its thirteenth meeting in October 2017, the POPRC adopted the risk management evaluation</w:t>
      </w:r>
      <w:r w:rsidR="006119F4" w:rsidRPr="00CE15CF">
        <w:t xml:space="preserve"> (RME)</w:t>
      </w:r>
      <w:r w:rsidRPr="00CE15CF">
        <w:t xml:space="preserve"> on PFOA, its salts and PFOA-related compounds (UNEP/POPS/POPRC.13/7/Add.2) and recommended to the COP that it consider listing the chemicals in Annex A or B to the Convention with specific exemptions specified in decision POPRC-13/2 (also in UNEP/POPS/POPRC.13/7/Add.2</w:t>
      </w:r>
      <w:r w:rsidR="00D6117D" w:rsidRPr="00CE15CF">
        <w:t>,</w:t>
      </w:r>
      <w:r w:rsidRPr="00CE15CF">
        <w:t xml:space="preserve"> para 13). However, the </w:t>
      </w:r>
      <w:r w:rsidR="00915C49" w:rsidRPr="00CE15CF">
        <w:t>Committee was</w:t>
      </w:r>
      <w:r w:rsidRPr="00CE15CF">
        <w:t xml:space="preserve"> unable to reach conclusions on whether exemptions may be needed for specific uses. Furthermore, additional work was needed to consider the possibility of unintentional releases and specific issues related to substance identity.</w:t>
      </w:r>
    </w:p>
    <w:p w14:paraId="7F1CF6AF" w14:textId="3B3F7414" w:rsidR="009F0ECE" w:rsidRPr="00CE15CF" w:rsidRDefault="009F0ECE" w:rsidP="00CE15CF">
      <w:pPr>
        <w:pStyle w:val="Paralevel1"/>
      </w:pPr>
      <w:r w:rsidRPr="00CE15CF">
        <w:t xml:space="preserve">The </w:t>
      </w:r>
      <w:r w:rsidR="00006042" w:rsidRPr="00CE15CF">
        <w:t>Committee established</w:t>
      </w:r>
      <w:r w:rsidRPr="00CE15CF">
        <w:t xml:space="preserve"> an intersessional work group to </w:t>
      </w:r>
      <w:r w:rsidR="00006042" w:rsidRPr="00CE15CF">
        <w:t xml:space="preserve">assess additional </w:t>
      </w:r>
      <w:r w:rsidRPr="00CE15CF">
        <w:t xml:space="preserve">information to help further the discussion at the fourteenth meeting to define the need for possible specific exemptions and/or acceptable purposes for certain additional applications and to evaluate their unintentional releases in the view of strengthening its recommendation to the COP. </w:t>
      </w:r>
      <w:bookmarkStart w:id="6" w:name="_Ref503866141"/>
      <w:r w:rsidRPr="00CE15CF">
        <w:t xml:space="preserve">The Committee invited Parties and observers, including the relevant industries, to provide information that would assist the possible defining by the Committee of specific exemptions for production and use of PFOA, its salts and PFOA-related compounds </w:t>
      </w:r>
      <w:proofErr w:type="gramStart"/>
      <w:r w:rsidRPr="00CE15CF">
        <w:t>in particular in</w:t>
      </w:r>
      <w:proofErr w:type="gramEnd"/>
      <w:r w:rsidRPr="00CE15CF">
        <w:t xml:space="preserve"> the following applications:</w:t>
      </w:r>
      <w:bookmarkEnd w:id="6"/>
    </w:p>
    <w:p w14:paraId="1530A292" w14:textId="6820D5C0" w:rsidR="009F0ECE" w:rsidRPr="00CE15CF" w:rsidRDefault="009F0ECE" w:rsidP="00CE15CF">
      <w:pPr>
        <w:tabs>
          <w:tab w:val="left" w:pos="0"/>
        </w:tabs>
        <w:snapToGrid w:val="0"/>
        <w:spacing w:after="120"/>
        <w:ind w:firstLine="630"/>
        <w:rPr>
          <w:sz w:val="20"/>
          <w:szCs w:val="20"/>
        </w:rPr>
      </w:pPr>
      <w:r w:rsidRPr="00CE15CF">
        <w:rPr>
          <w:sz w:val="20"/>
          <w:szCs w:val="20"/>
        </w:rPr>
        <w:t>(a)</w:t>
      </w:r>
      <w:r w:rsidRPr="00CE15CF">
        <w:rPr>
          <w:sz w:val="20"/>
          <w:szCs w:val="20"/>
        </w:rPr>
        <w:tab/>
        <w:t xml:space="preserve">Membranes intended for use in medical textiles, filtration in water treatment, production processes and effluent treatment: information on the scope of the applications, used amounts, availability of alternatives and </w:t>
      </w:r>
      <w:r w:rsidR="00370BD5">
        <w:rPr>
          <w:sz w:val="20"/>
          <w:szCs w:val="20"/>
        </w:rPr>
        <w:br/>
      </w:r>
      <w:r w:rsidRPr="00CE15CF">
        <w:rPr>
          <w:sz w:val="20"/>
          <w:szCs w:val="20"/>
        </w:rPr>
        <w:t>socio-economic aspects;</w:t>
      </w:r>
    </w:p>
    <w:p w14:paraId="05D96C6C" w14:textId="77777777" w:rsidR="009F0ECE" w:rsidRPr="00CE15CF" w:rsidRDefault="009F0ECE" w:rsidP="00CE15CF">
      <w:pPr>
        <w:tabs>
          <w:tab w:val="left" w:pos="0"/>
        </w:tabs>
        <w:snapToGrid w:val="0"/>
        <w:spacing w:after="120"/>
        <w:ind w:firstLine="630"/>
        <w:rPr>
          <w:sz w:val="20"/>
          <w:szCs w:val="20"/>
        </w:rPr>
      </w:pPr>
      <w:r w:rsidRPr="00CE15CF">
        <w:rPr>
          <w:sz w:val="20"/>
          <w:szCs w:val="20"/>
        </w:rPr>
        <w:t>(b)</w:t>
      </w:r>
      <w:r w:rsidRPr="00CE15CF">
        <w:rPr>
          <w:sz w:val="20"/>
          <w:szCs w:val="20"/>
        </w:rPr>
        <w:tab/>
        <w:t xml:space="preserve">Transported isolated intermediates </w:t>
      </w:r>
      <w:proofErr w:type="gramStart"/>
      <w:r w:rsidRPr="00CE15CF">
        <w:rPr>
          <w:sz w:val="20"/>
          <w:szCs w:val="20"/>
        </w:rPr>
        <w:t>in order to</w:t>
      </w:r>
      <w:proofErr w:type="gramEnd"/>
      <w:r w:rsidRPr="00CE15CF">
        <w:rPr>
          <w:sz w:val="20"/>
          <w:szCs w:val="20"/>
        </w:rPr>
        <w:t xml:space="preserve"> enable reprocessing in another site than the production site: Information on the quantities used, extent of transport and risks, and use;</w:t>
      </w:r>
    </w:p>
    <w:p w14:paraId="01211340" w14:textId="77777777" w:rsidR="009F0ECE" w:rsidRPr="00CE15CF" w:rsidRDefault="009F0ECE" w:rsidP="00CE15CF">
      <w:pPr>
        <w:tabs>
          <w:tab w:val="left" w:pos="0"/>
        </w:tabs>
        <w:snapToGrid w:val="0"/>
        <w:spacing w:after="120"/>
        <w:ind w:firstLine="630"/>
        <w:rPr>
          <w:sz w:val="20"/>
          <w:szCs w:val="20"/>
        </w:rPr>
      </w:pPr>
      <w:r w:rsidRPr="00CE15CF">
        <w:rPr>
          <w:sz w:val="20"/>
          <w:szCs w:val="20"/>
        </w:rPr>
        <w:t>(c)</w:t>
      </w:r>
      <w:r w:rsidRPr="00CE15CF">
        <w:rPr>
          <w:sz w:val="20"/>
          <w:szCs w:val="20"/>
        </w:rPr>
        <w:tab/>
        <w:t>Medical devices: information on specific applications/uses and timelines foreseen as needed for potential related exemptions;</w:t>
      </w:r>
    </w:p>
    <w:p w14:paraId="6CEC3193" w14:textId="77777777" w:rsidR="009F0ECE" w:rsidRPr="00CE15CF" w:rsidRDefault="009F0ECE" w:rsidP="00CE15CF">
      <w:pPr>
        <w:tabs>
          <w:tab w:val="left" w:pos="0"/>
        </w:tabs>
        <w:snapToGrid w:val="0"/>
        <w:spacing w:after="120"/>
        <w:ind w:firstLine="630"/>
        <w:rPr>
          <w:sz w:val="20"/>
          <w:szCs w:val="20"/>
        </w:rPr>
      </w:pPr>
      <w:r w:rsidRPr="00CE15CF">
        <w:rPr>
          <w:sz w:val="20"/>
          <w:szCs w:val="20"/>
        </w:rPr>
        <w:t>(d)</w:t>
      </w:r>
      <w:r w:rsidRPr="00CE15CF">
        <w:rPr>
          <w:sz w:val="20"/>
          <w:szCs w:val="20"/>
        </w:rPr>
        <w:tab/>
        <w:t>Implantable medical devices: information on the quantities used, extent of transport and risks, and use;</w:t>
      </w:r>
    </w:p>
    <w:p w14:paraId="3C36BE81" w14:textId="77777777" w:rsidR="009F0ECE" w:rsidRPr="00CE15CF" w:rsidRDefault="009F0ECE" w:rsidP="00CE15CF">
      <w:pPr>
        <w:tabs>
          <w:tab w:val="left" w:pos="0"/>
        </w:tabs>
        <w:snapToGrid w:val="0"/>
        <w:spacing w:after="120"/>
        <w:ind w:firstLine="630"/>
        <w:rPr>
          <w:sz w:val="20"/>
          <w:szCs w:val="20"/>
        </w:rPr>
      </w:pPr>
      <w:r w:rsidRPr="00CE15CF">
        <w:rPr>
          <w:sz w:val="20"/>
          <w:szCs w:val="20"/>
        </w:rPr>
        <w:t>(e)</w:t>
      </w:r>
      <w:r w:rsidRPr="00CE15CF">
        <w:rPr>
          <w:sz w:val="20"/>
          <w:szCs w:val="20"/>
        </w:rPr>
        <w:tab/>
        <w:t>Photo imaging sector: information on paper and printing, and information relevant for developing countries;</w:t>
      </w:r>
    </w:p>
    <w:p w14:paraId="1B3721AC" w14:textId="77777777" w:rsidR="009F0ECE" w:rsidRPr="00CE15CF" w:rsidRDefault="009F0ECE" w:rsidP="00CE15CF">
      <w:pPr>
        <w:tabs>
          <w:tab w:val="left" w:pos="0"/>
        </w:tabs>
        <w:snapToGrid w:val="0"/>
        <w:spacing w:after="120"/>
        <w:ind w:firstLine="630"/>
        <w:rPr>
          <w:sz w:val="20"/>
          <w:szCs w:val="20"/>
        </w:rPr>
      </w:pPr>
      <w:r w:rsidRPr="00CE15CF">
        <w:rPr>
          <w:sz w:val="20"/>
          <w:szCs w:val="20"/>
        </w:rPr>
        <w:t>(f)</w:t>
      </w:r>
      <w:r w:rsidRPr="00CE15CF">
        <w:rPr>
          <w:sz w:val="20"/>
          <w:szCs w:val="20"/>
        </w:rPr>
        <w:tab/>
        <w:t>Automotive industry: information on spare parts;</w:t>
      </w:r>
    </w:p>
    <w:p w14:paraId="2D138FEA" w14:textId="00A79026" w:rsidR="009F0ECE" w:rsidRPr="00CE15CF" w:rsidRDefault="009F0ECE" w:rsidP="00CE15CF">
      <w:pPr>
        <w:tabs>
          <w:tab w:val="left" w:pos="0"/>
        </w:tabs>
        <w:snapToGrid w:val="0"/>
        <w:spacing w:after="120"/>
        <w:ind w:firstLine="630"/>
        <w:rPr>
          <w:sz w:val="20"/>
          <w:szCs w:val="20"/>
        </w:rPr>
      </w:pPr>
      <w:r w:rsidRPr="00CE15CF">
        <w:rPr>
          <w:sz w:val="20"/>
          <w:szCs w:val="20"/>
        </w:rPr>
        <w:t>(g)</w:t>
      </w:r>
      <w:r w:rsidRPr="00CE15CF">
        <w:rPr>
          <w:sz w:val="20"/>
          <w:szCs w:val="20"/>
        </w:rPr>
        <w:tab/>
        <w:t>Firefighting foams: information on chemical composition of mixtures and the volumes of pre-installed amount of firefighting foam mixtures.</w:t>
      </w:r>
    </w:p>
    <w:p w14:paraId="6284C1F9" w14:textId="77777777" w:rsidR="009F0ECE" w:rsidRPr="00CE15CF" w:rsidRDefault="009F0ECE" w:rsidP="00CE15CF">
      <w:pPr>
        <w:pStyle w:val="Paralevel1"/>
      </w:pPr>
      <w:r w:rsidRPr="00CE15CF">
        <w:t xml:space="preserve">For the </w:t>
      </w:r>
      <w:proofErr w:type="gramStart"/>
      <w:r w:rsidRPr="00CE15CF">
        <w:t>applications</w:t>
      </w:r>
      <w:proofErr w:type="gramEnd"/>
      <w:r w:rsidRPr="00CE15CF">
        <w:t xml:space="preserve"> above, information regarding socio-economic aspects as well as other relevant information was also requested.</w:t>
      </w:r>
    </w:p>
    <w:p w14:paraId="1A124F9E" w14:textId="4AA8766D" w:rsidR="009F0ECE" w:rsidRPr="00CE15CF" w:rsidRDefault="009F0ECE" w:rsidP="00CE15CF">
      <w:pPr>
        <w:pStyle w:val="Paralevel1"/>
      </w:pPr>
      <w:r w:rsidRPr="00CE15CF">
        <w:t xml:space="preserve">In addition, the Committee </w:t>
      </w:r>
      <w:r w:rsidR="00006042" w:rsidRPr="00CE15CF">
        <w:t>invited</w:t>
      </w:r>
      <w:r w:rsidRPr="00CE15CF">
        <w:t xml:space="preserve"> Parties and observers </w:t>
      </w:r>
      <w:r w:rsidR="00006042" w:rsidRPr="00CE15CF">
        <w:t xml:space="preserve">to submit </w:t>
      </w:r>
      <w:r w:rsidRPr="00CE15CF">
        <w:t xml:space="preserve">information that would assist the further evaluation by the Committee of PFOA, its salts and PFOA-related compounds in relation to its unintentional formation and release, </w:t>
      </w:r>
      <w:proofErr w:type="gramStart"/>
      <w:r w:rsidRPr="00CE15CF">
        <w:t>in particular from</w:t>
      </w:r>
      <w:proofErr w:type="gramEnd"/>
      <w:r w:rsidRPr="00CE15CF">
        <w:t xml:space="preserve"> primary </w:t>
      </w:r>
      <w:r w:rsidR="002A1D08" w:rsidRPr="00CE15CF">
        <w:t>aluminium</w:t>
      </w:r>
      <w:r w:rsidRPr="00CE15CF">
        <w:t xml:space="preserve"> production and from incomplete combustion.</w:t>
      </w:r>
    </w:p>
    <w:p w14:paraId="4D2C5DAC" w14:textId="38F75A53" w:rsidR="006B3237" w:rsidRPr="00CE15CF" w:rsidRDefault="00604C41" w:rsidP="00CE15CF">
      <w:pPr>
        <w:pStyle w:val="Paralevel1"/>
      </w:pPr>
      <w:r w:rsidRPr="00CE15CF">
        <w:t xml:space="preserve">The Committee also invited Parties and observers to provide information that would assist the Committee to further evaluate the chemical identity of the PFOA-related compounds chemical list; </w:t>
      </w:r>
      <w:proofErr w:type="gramStart"/>
      <w:r w:rsidRPr="00CE15CF">
        <w:t>in particular</w:t>
      </w:r>
      <w:proofErr w:type="gramEnd"/>
      <w:r w:rsidRPr="00CE15CF">
        <w:t xml:space="preserve"> in relation to </w:t>
      </w:r>
      <w:proofErr w:type="spellStart"/>
      <w:r w:rsidRPr="00CE15CF">
        <w:t>sulfluramid</w:t>
      </w:r>
      <w:proofErr w:type="spellEnd"/>
      <w:r w:rsidRPr="00CE15CF">
        <w:t xml:space="preserve"> and </w:t>
      </w:r>
      <w:r w:rsidR="00B73C12" w:rsidRPr="00CE15CF">
        <w:t>1-hydroperfluorooctane (</w:t>
      </w:r>
      <w:r w:rsidRPr="00CE15CF">
        <w:t>1-H-PFO</w:t>
      </w:r>
      <w:r w:rsidR="00B73C12" w:rsidRPr="00CE15CF">
        <w:t>)</w:t>
      </w:r>
      <w:r w:rsidR="006B3237" w:rsidRPr="00CE15CF">
        <w:t xml:space="preserve">. </w:t>
      </w:r>
      <w:proofErr w:type="spellStart"/>
      <w:r w:rsidR="006B3237" w:rsidRPr="00CE15CF">
        <w:t>Sulfluramid</w:t>
      </w:r>
      <w:proofErr w:type="spellEnd"/>
      <w:r w:rsidR="006B3237" w:rsidRPr="00CE15CF">
        <w:t xml:space="preserve"> is manufactured by using </w:t>
      </w:r>
      <w:proofErr w:type="spellStart"/>
      <w:r w:rsidR="006D1234" w:rsidRPr="00CE15CF">
        <w:t>perfluorooctane</w:t>
      </w:r>
      <w:proofErr w:type="spellEnd"/>
      <w:r w:rsidR="006D1234" w:rsidRPr="00CE15CF">
        <w:t xml:space="preserve"> sulfonyl fluoride (</w:t>
      </w:r>
      <w:r w:rsidR="006B3237" w:rsidRPr="00CE15CF">
        <w:t>PFOSF</w:t>
      </w:r>
      <w:r w:rsidR="006D1234" w:rsidRPr="00CE15CF">
        <w:t>)</w:t>
      </w:r>
      <w:r w:rsidR="006B3237" w:rsidRPr="00CE15CF">
        <w:t xml:space="preserve"> as an intermediate and its structure is related to </w:t>
      </w:r>
      <w:proofErr w:type="spellStart"/>
      <w:r w:rsidR="006D1234" w:rsidRPr="00CE15CF">
        <w:t>perfluorooctane</w:t>
      </w:r>
      <w:proofErr w:type="spellEnd"/>
      <w:r w:rsidR="006D1234" w:rsidRPr="00CE15CF">
        <w:t xml:space="preserve"> sulfonic acid (</w:t>
      </w:r>
      <w:r w:rsidR="006B3237" w:rsidRPr="00CE15CF">
        <w:t>PFOS</w:t>
      </w:r>
      <w:r w:rsidR="006D1234" w:rsidRPr="00CE15CF">
        <w:t>)</w:t>
      </w:r>
      <w:r w:rsidR="006B3237" w:rsidRPr="00CE15CF">
        <w:t>. In the environment</w:t>
      </w:r>
      <w:r w:rsidR="00D366E1" w:rsidRPr="00CE15CF">
        <w:t>,</w:t>
      </w:r>
      <w:r w:rsidR="006B3237" w:rsidRPr="00CE15CF">
        <w:t xml:space="preserve"> it degrades in significant yields to PFOS </w:t>
      </w:r>
      <w:r w:rsidR="00B519CC" w:rsidRPr="00CE15CF">
        <w:t xml:space="preserve">although it </w:t>
      </w:r>
      <w:r w:rsidR="006B3237" w:rsidRPr="00CE15CF">
        <w:t xml:space="preserve">also has the potential to degrade to PFOA under certain conditions. </w:t>
      </w:r>
      <w:r w:rsidR="006B3237" w:rsidRPr="00CE15CF" w:rsidDel="00B519CC">
        <w:t xml:space="preserve">Therefore, </w:t>
      </w:r>
      <w:proofErr w:type="spellStart"/>
      <w:r w:rsidR="006B3237" w:rsidRPr="00CE15CF" w:rsidDel="00B519CC">
        <w:t>sulfluramid</w:t>
      </w:r>
      <w:proofErr w:type="spellEnd"/>
      <w:r w:rsidR="006B3237" w:rsidRPr="00CE15CF" w:rsidDel="00B519CC">
        <w:t xml:space="preserve"> should be dealt with under the listing of PFOS, its salts and PFOSF </w:t>
      </w:r>
      <w:proofErr w:type="gramStart"/>
      <w:r w:rsidR="006B3237" w:rsidRPr="00CE15CF" w:rsidDel="00B519CC">
        <w:t>according to</w:t>
      </w:r>
      <w:proofErr w:type="gramEnd"/>
      <w:r w:rsidR="006B3237" w:rsidRPr="00CE15CF" w:rsidDel="00B519CC">
        <w:t xml:space="preserve"> Annex B </w:t>
      </w:r>
      <w:r w:rsidR="0064322D" w:rsidRPr="00CE15CF">
        <w:t>to</w:t>
      </w:r>
      <w:r w:rsidR="006B3237" w:rsidRPr="00CE15CF" w:rsidDel="00B519CC">
        <w:t xml:space="preserve"> the Stockholm Convention rather than under the listing of PFOA. </w:t>
      </w:r>
      <w:r w:rsidR="006B3237" w:rsidRPr="00CE15CF">
        <w:t>Based on the further information submitted, 1-H-PFO should not be excluded from the scope of PFOA</w:t>
      </w:r>
      <w:r w:rsidR="00142465" w:rsidRPr="00CE15CF">
        <w:t>-</w:t>
      </w:r>
      <w:r w:rsidR="006B3237" w:rsidRPr="00CE15CF">
        <w:t xml:space="preserve">related </w:t>
      </w:r>
      <w:r w:rsidR="00142465" w:rsidRPr="00CE15CF">
        <w:t>compounds</w:t>
      </w:r>
      <w:r w:rsidR="006B3237" w:rsidRPr="00CE15CF">
        <w:t xml:space="preserve"> since studies </w:t>
      </w:r>
      <w:r w:rsidR="006B3237" w:rsidRPr="00CE15CF">
        <w:lastRenderedPageBreak/>
        <w:t xml:space="preserve">suggest that a transformation to PFOA is possible. 8:2 fluorotelomer methacrylate, polymer with methyl methacrylate (CAS No: 93705-98-7) should be included in the non-exhaustive list of PFOA-related </w:t>
      </w:r>
      <w:r w:rsidR="00DA208B" w:rsidRPr="00CE15CF">
        <w:t>compounds</w:t>
      </w:r>
      <w:r w:rsidR="006B3237" w:rsidRPr="00CE15CF">
        <w:t>.</w:t>
      </w:r>
    </w:p>
    <w:p w14:paraId="1AD37588" w14:textId="05E2E0CD" w:rsidR="00ED06E5" w:rsidRPr="00CE15CF" w:rsidRDefault="00ED06E5" w:rsidP="00CE15CF">
      <w:pPr>
        <w:pStyle w:val="Paralevel1"/>
        <w:numPr>
          <w:ilvl w:val="0"/>
          <w:numId w:val="0"/>
        </w:numPr>
        <w:rPr>
          <w:u w:val="single"/>
        </w:rPr>
      </w:pPr>
      <w:r w:rsidRPr="00CE15CF">
        <w:rPr>
          <w:u w:val="single"/>
        </w:rPr>
        <w:t>Unintentional formation and release</w:t>
      </w:r>
    </w:p>
    <w:p w14:paraId="4B0D8D69" w14:textId="61E37965" w:rsidR="009F0ECE" w:rsidRPr="00CE15CF" w:rsidRDefault="009F0ECE" w:rsidP="00CE15CF">
      <w:pPr>
        <w:pStyle w:val="Paralevel1"/>
      </w:pPr>
      <w:r w:rsidRPr="00CE15CF">
        <w:t>The RME identified that PFOA</w:t>
      </w:r>
      <w:r w:rsidR="0039724E" w:rsidRPr="00CE15CF">
        <w:t>, its salts and PFOA</w:t>
      </w:r>
      <w:r w:rsidR="004F57D0" w:rsidRPr="00CE15CF">
        <w:t>-</w:t>
      </w:r>
      <w:r w:rsidR="0039724E" w:rsidRPr="00CE15CF">
        <w:t xml:space="preserve">related compounds </w:t>
      </w:r>
      <w:r w:rsidRPr="00CE15CF">
        <w:t xml:space="preserve">could potentially be unintentionally formed from incomplete combustion and primary aluminium production but that further information was needed on this topic. </w:t>
      </w:r>
      <w:r w:rsidR="00431C20" w:rsidRPr="00CE15CF">
        <w:t xml:space="preserve">Additional information </w:t>
      </w:r>
      <w:r w:rsidR="002F17AC" w:rsidRPr="00CE15CF">
        <w:t>on unintentional formation and release of PFOA, its salts and PFOA</w:t>
      </w:r>
      <w:r w:rsidR="004F57D0" w:rsidRPr="00CE15CF">
        <w:t>-related compounds</w:t>
      </w:r>
      <w:r w:rsidR="002F17AC" w:rsidRPr="00CE15CF">
        <w:t xml:space="preserve"> </w:t>
      </w:r>
      <w:r w:rsidRPr="00CE15CF">
        <w:t xml:space="preserve">was provided by </w:t>
      </w:r>
      <w:r w:rsidR="00B970F8" w:rsidRPr="00CE15CF">
        <w:t>Austria (2018), the Netherlands (2018</w:t>
      </w:r>
      <w:r w:rsidR="005B78AB" w:rsidRPr="00CE15CF">
        <w:t>a</w:t>
      </w:r>
      <w:r w:rsidR="00431C20" w:rsidRPr="00CE15CF">
        <w:t xml:space="preserve">) and </w:t>
      </w:r>
      <w:r w:rsidR="008A0042" w:rsidRPr="00CE15CF">
        <w:t>International POPs Elimination Network (</w:t>
      </w:r>
      <w:r w:rsidRPr="00CE15CF">
        <w:t>IPEN</w:t>
      </w:r>
      <w:r w:rsidR="008A0042" w:rsidRPr="00CE15CF">
        <w:t>)</w:t>
      </w:r>
      <w:r w:rsidRPr="00CE15CF">
        <w:t xml:space="preserve"> and </w:t>
      </w:r>
      <w:r w:rsidR="008A0042" w:rsidRPr="00CE15CF">
        <w:t>Alaska Community Action on Toxics (</w:t>
      </w:r>
      <w:r w:rsidRPr="00CE15CF">
        <w:t>ACAT</w:t>
      </w:r>
      <w:r w:rsidR="008A0042" w:rsidRPr="00CE15CF">
        <w:t>)</w:t>
      </w:r>
      <w:r w:rsidR="00B970F8" w:rsidRPr="00CE15CF">
        <w:t xml:space="preserve"> (2018</w:t>
      </w:r>
      <w:r w:rsidRPr="00CE15CF">
        <w:t xml:space="preserve">). </w:t>
      </w:r>
      <w:r w:rsidR="002635E6" w:rsidRPr="00CE15CF">
        <w:t>They</w:t>
      </w:r>
      <w:r w:rsidRPr="00CE15CF">
        <w:t xml:space="preserve"> provided substantiated information detailed in the RME for releases of PFOA from incomplete combustion sources. Additional information and preferably also measurements / quantitative data from other incinerators</w:t>
      </w:r>
      <w:r w:rsidR="00CC019D" w:rsidRPr="00CE15CF">
        <w:t>, open burning and other sources of unintentional</w:t>
      </w:r>
      <w:r w:rsidR="00432C7D" w:rsidRPr="00CE15CF">
        <w:t xml:space="preserve"> formation</w:t>
      </w:r>
      <w:r w:rsidRPr="00CE15CF">
        <w:t xml:space="preserve"> would be desirable</w:t>
      </w:r>
      <w:r w:rsidR="009B5B4F" w:rsidRPr="00CE15CF">
        <w:t xml:space="preserve">. It is also noted that </w:t>
      </w:r>
      <w:r w:rsidR="002635E6" w:rsidRPr="00CE15CF">
        <w:t xml:space="preserve">in </w:t>
      </w:r>
      <w:r w:rsidR="009B5B4F" w:rsidRPr="00CE15CF">
        <w:t xml:space="preserve">developing and transition countries </w:t>
      </w:r>
      <w:r w:rsidR="002635E6" w:rsidRPr="00CE15CF">
        <w:t xml:space="preserve">there is </w:t>
      </w:r>
      <w:r w:rsidR="009B5B4F" w:rsidRPr="00CE15CF">
        <w:t xml:space="preserve">greater prevalence of open burning and other </w:t>
      </w:r>
      <w:r w:rsidR="00F4417E" w:rsidRPr="00CE15CF">
        <w:t xml:space="preserve">uncontrolled </w:t>
      </w:r>
      <w:r w:rsidR="009B5B4F" w:rsidRPr="00CE15CF">
        <w:t>combustion processes, and these should also be considered. The Netherlands (2018</w:t>
      </w:r>
      <w:r w:rsidR="005B78AB" w:rsidRPr="00CE15CF">
        <w:t>a</w:t>
      </w:r>
      <w:r w:rsidR="009B5B4F" w:rsidRPr="00CE15CF">
        <w:t xml:space="preserve">) highlighted that an addition to Annex C would need to not only be justified but proportionate, highlighting that </w:t>
      </w:r>
      <w:r w:rsidR="00432C7D" w:rsidRPr="00CE15CF">
        <w:t>the emission is negligible (0.057 g/</w:t>
      </w:r>
      <w:proofErr w:type="spellStart"/>
      <w:r w:rsidR="00432C7D" w:rsidRPr="00CE15CF">
        <w:t>yr</w:t>
      </w:r>
      <w:proofErr w:type="spellEnd"/>
      <w:r w:rsidR="00432C7D" w:rsidRPr="00CE15CF">
        <w:t>) compared to all the other sources.</w:t>
      </w:r>
      <w:r w:rsidR="009B5B4F" w:rsidRPr="00CE15CF">
        <w:t xml:space="preserve"> </w:t>
      </w:r>
      <w:r w:rsidRPr="00CE15CF">
        <w:t xml:space="preserve"> No new information on unintentional releases of PFOA linked to aluminium production were provided. Most of the information identified in literature and detailed in the RME relates to emissions of CF</w:t>
      </w:r>
      <w:r w:rsidRPr="00CE15CF">
        <w:rPr>
          <w:vertAlign w:val="subscript"/>
        </w:rPr>
        <w:t>4</w:t>
      </w:r>
      <w:r w:rsidRPr="00CE15CF">
        <w:t xml:space="preserve"> and C</w:t>
      </w:r>
      <w:r w:rsidRPr="00CE15CF">
        <w:rPr>
          <w:vertAlign w:val="subscript"/>
        </w:rPr>
        <w:t>2</w:t>
      </w:r>
      <w:r w:rsidRPr="00CE15CF">
        <w:t>F</w:t>
      </w:r>
      <w:r w:rsidRPr="00CE15CF">
        <w:rPr>
          <w:vertAlign w:val="subscript"/>
        </w:rPr>
        <w:t>6</w:t>
      </w:r>
      <w:r w:rsidRPr="00CE15CF">
        <w:t>, which are unrelated to PFOA. From the currently available information it is not possible to conclude that aluminium production represents a relevant source of PFOA releases to the environment.</w:t>
      </w:r>
      <w:r w:rsidR="00A66C65" w:rsidRPr="00CE15CF">
        <w:t xml:space="preserve"> </w:t>
      </w:r>
    </w:p>
    <w:p w14:paraId="024DD67C" w14:textId="1779C56C" w:rsidR="00A400A2" w:rsidRPr="00CE15CF" w:rsidRDefault="00A400A2" w:rsidP="00CE15CF">
      <w:pPr>
        <w:pStyle w:val="Paralevel1"/>
        <w:numPr>
          <w:ilvl w:val="0"/>
          <w:numId w:val="0"/>
        </w:numPr>
        <w:rPr>
          <w:u w:val="single"/>
        </w:rPr>
      </w:pPr>
      <w:r w:rsidRPr="00CE15CF">
        <w:rPr>
          <w:u w:val="single"/>
        </w:rPr>
        <w:t>Membranes intended for use in medical textiles, filtration in water treatment, production processes and effluent treatment</w:t>
      </w:r>
    </w:p>
    <w:p w14:paraId="61F6C697" w14:textId="403586DA" w:rsidR="009F0ECE" w:rsidRPr="00CE15CF" w:rsidRDefault="00395050" w:rsidP="00CE15CF">
      <w:pPr>
        <w:pStyle w:val="Paralevel1"/>
      </w:pPr>
      <w:r w:rsidRPr="00CE15CF">
        <w:t>The RME for PFOA highlighted a potential need for more information about a possible exemption</w:t>
      </w:r>
      <w:r w:rsidR="009F0ECE" w:rsidRPr="00CE15CF">
        <w:t xml:space="preserve"> for membranes intended for use in medical textiles, filtration in water treatment, production processes and effluent treatment. Specific information on membranes intended for use in medical textiles, filtration in water treatment, production processes and effluent treatment has been provided by Canada, </w:t>
      </w:r>
      <w:r w:rsidR="009A5BB5" w:rsidRPr="00CE15CF">
        <w:t xml:space="preserve">China, Mexico and </w:t>
      </w:r>
      <w:r w:rsidR="009F0ECE" w:rsidRPr="00CE15CF">
        <w:t>IPEN and ACAT. Furthermore, relevant information has been identified in the submissions from Health Care Without Harm</w:t>
      </w:r>
      <w:r w:rsidR="003C107C" w:rsidRPr="00CE15CF">
        <w:t xml:space="preserve"> Europe</w:t>
      </w:r>
      <w:r w:rsidR="009F0ECE" w:rsidRPr="00CE15CF">
        <w:t xml:space="preserve"> and </w:t>
      </w:r>
      <w:proofErr w:type="spellStart"/>
      <w:r w:rsidR="009F0ECE" w:rsidRPr="00CE15CF">
        <w:t>MedTech</w:t>
      </w:r>
      <w:proofErr w:type="spellEnd"/>
      <w:r w:rsidR="009F0ECE" w:rsidRPr="00CE15CF">
        <w:t xml:space="preserve"> Europe related to medical devices. </w:t>
      </w:r>
      <w:r w:rsidR="006F4AA6" w:rsidRPr="00CE15CF">
        <w:t xml:space="preserve">Several </w:t>
      </w:r>
      <w:r w:rsidR="0072493D" w:rsidRPr="00CE15CF">
        <w:t xml:space="preserve">potential </w:t>
      </w:r>
      <w:r w:rsidR="006F4AA6" w:rsidRPr="00CE15CF">
        <w:t>alternatives for use in textiles such as short-chain fluorinated alternatives, non-fluorine containing alternatives and non-chemical alternatives have been identified in the RME</w:t>
      </w:r>
      <w:r w:rsidR="0055286C" w:rsidRPr="00CE15CF">
        <w:t>,</w:t>
      </w:r>
      <w:r w:rsidR="006F4AA6" w:rsidRPr="00CE15CF">
        <w:t xml:space="preserve"> including those that meet regulatory requirements</w:t>
      </w:r>
      <w:r w:rsidR="003C6E7D" w:rsidRPr="00CE15CF">
        <w:t xml:space="preserve"> and are in current use</w:t>
      </w:r>
      <w:r w:rsidR="006F4AA6" w:rsidRPr="00CE15CF">
        <w:t>. In addition, no specific application has been identified that requires C</w:t>
      </w:r>
      <w:r w:rsidR="006F4AA6" w:rsidRPr="00CE15CF">
        <w:rPr>
          <w:vertAlign w:val="subscript"/>
        </w:rPr>
        <w:t>8</w:t>
      </w:r>
      <w:r w:rsidR="006F4AA6" w:rsidRPr="00CE15CF">
        <w:t xml:space="preserve"> chemistry. Based on the evaluation of available information no exemption is needed for membranes intended for use in medical textiles, filtration in water treatment, production processes and effluent treatment.</w:t>
      </w:r>
    </w:p>
    <w:p w14:paraId="3869C6EA" w14:textId="235BCBC0" w:rsidR="009A3FB2" w:rsidRPr="00CE15CF" w:rsidRDefault="009A3FB2" w:rsidP="00CE15CF">
      <w:pPr>
        <w:pStyle w:val="Paralevel1"/>
        <w:numPr>
          <w:ilvl w:val="0"/>
          <w:numId w:val="0"/>
        </w:numPr>
        <w:rPr>
          <w:u w:val="single"/>
        </w:rPr>
      </w:pPr>
      <w:r w:rsidRPr="00CE15CF">
        <w:rPr>
          <w:u w:val="single"/>
        </w:rPr>
        <w:t>Transported isolated intermediates</w:t>
      </w:r>
    </w:p>
    <w:p w14:paraId="088EF244" w14:textId="10B8DED7" w:rsidR="00262BD0" w:rsidRPr="00CE15CF" w:rsidRDefault="006B3237" w:rsidP="00CE15CF">
      <w:pPr>
        <w:pStyle w:val="Paralevel1"/>
      </w:pPr>
      <w:r w:rsidRPr="00CE15CF">
        <w:t xml:space="preserve">The RME for PFOA highlighted a potential need for more information about a possible exemption for transported isolated intermediates. The Committee requested information related to the quantities used, extent of transport and possible risks, and use. Additional information was submitted by IPEN and ACAT and </w:t>
      </w:r>
      <w:proofErr w:type="spellStart"/>
      <w:r w:rsidRPr="00CE15CF">
        <w:t>Archroma</w:t>
      </w:r>
      <w:proofErr w:type="spellEnd"/>
      <w:r w:rsidRPr="00CE15CF">
        <w:t xml:space="preserve"> (a</w:t>
      </w:r>
      <w:r w:rsidR="00370BD5">
        <w:t> </w:t>
      </w:r>
      <w:r w:rsidRPr="00CE15CF">
        <w:t xml:space="preserve">member of </w:t>
      </w:r>
      <w:proofErr w:type="spellStart"/>
      <w:r w:rsidRPr="00CE15CF">
        <w:t>FluoroCouncil</w:t>
      </w:r>
      <w:proofErr w:type="spellEnd"/>
      <w:r w:rsidRPr="00CE15CF">
        <w:t xml:space="preserve">). </w:t>
      </w:r>
      <w:proofErr w:type="spellStart"/>
      <w:r w:rsidRPr="00CE15CF">
        <w:t>Archroma</w:t>
      </w:r>
      <w:proofErr w:type="spellEnd"/>
      <w:r w:rsidRPr="00CE15CF">
        <w:t xml:space="preserve"> reported about the risk management measures in place. Based on the evaluation of available information a time limited exemption could be considered for </w:t>
      </w:r>
      <w:proofErr w:type="spellStart"/>
      <w:r w:rsidR="00EC7A19" w:rsidRPr="00CE15CF">
        <w:t>perfluorooctane</w:t>
      </w:r>
      <w:proofErr w:type="spellEnd"/>
      <w:r w:rsidR="00EC7A19" w:rsidRPr="00CE15CF">
        <w:t xml:space="preserve"> iodide (</w:t>
      </w:r>
      <w:r w:rsidRPr="00CE15CF">
        <w:t>PFOI</w:t>
      </w:r>
      <w:r w:rsidR="00EC7A19" w:rsidRPr="00CE15CF">
        <w:t>)</w:t>
      </w:r>
      <w:r w:rsidRPr="00CE15CF">
        <w:t xml:space="preserve"> as an isolated intermediate to enable reprocessing at another site than the production site. </w:t>
      </w:r>
    </w:p>
    <w:p w14:paraId="7111CA04" w14:textId="3C1F5AF3" w:rsidR="00F63DAA" w:rsidRPr="00CE15CF" w:rsidRDefault="00F63DAA" w:rsidP="00CE15CF">
      <w:pPr>
        <w:pStyle w:val="Paralevel1"/>
        <w:numPr>
          <w:ilvl w:val="0"/>
          <w:numId w:val="0"/>
        </w:numPr>
        <w:rPr>
          <w:u w:val="single"/>
        </w:rPr>
      </w:pPr>
      <w:r w:rsidRPr="00CE15CF">
        <w:rPr>
          <w:u w:val="single"/>
        </w:rPr>
        <w:t>Medical devices</w:t>
      </w:r>
    </w:p>
    <w:p w14:paraId="12A2C8FB" w14:textId="28AC597E" w:rsidR="009F0ECE" w:rsidRPr="00CE15CF" w:rsidRDefault="00C1550E" w:rsidP="00CE15CF">
      <w:pPr>
        <w:pStyle w:val="Paralevel1"/>
      </w:pPr>
      <w:r w:rsidRPr="00CE15CF">
        <w:t>For medical devices, t</w:t>
      </w:r>
      <w:r w:rsidR="009F0ECE" w:rsidRPr="00CE15CF">
        <w:t>he European restriction (EU 2017/1000) allows an exemption for all medical devices</w:t>
      </w:r>
      <w:r w:rsidR="002635E6" w:rsidRPr="00CE15CF">
        <w:t xml:space="preserve"> (excluding implantable ones)</w:t>
      </w:r>
      <w:r w:rsidR="009F0ECE" w:rsidRPr="00CE15CF">
        <w:t xml:space="preserve"> of 15 years</w:t>
      </w:r>
      <w:r w:rsidR="002635E6" w:rsidRPr="00CE15CF">
        <w:t xml:space="preserve"> and a non-time limited exemption for implantable medical devices</w:t>
      </w:r>
      <w:r w:rsidR="009F0ECE" w:rsidRPr="00CE15CF">
        <w:t xml:space="preserve">. </w:t>
      </w:r>
      <w:r w:rsidR="00B02894" w:rsidRPr="00CE15CF">
        <w:t xml:space="preserve">However, on the other hand the RME (UNEP-POPS-POPRC.13-7-Add-2) highlights that alternatives to PFOA for manufacture of PTFE exist and have been commercialised. </w:t>
      </w:r>
      <w:r w:rsidR="009F0ECE" w:rsidRPr="00CE15CF">
        <w:t xml:space="preserve">A report by ECHA (2015a) as part of the European restriction estimates total quantities in use for medical devices amounts to &lt;5kg of PFOA globally.  </w:t>
      </w:r>
      <w:proofErr w:type="spellStart"/>
      <w:r w:rsidR="00413D59" w:rsidRPr="00CE15CF">
        <w:t>MedTech</w:t>
      </w:r>
      <w:proofErr w:type="spellEnd"/>
      <w:r w:rsidR="009F0ECE" w:rsidRPr="00CE15CF">
        <w:t xml:space="preserve"> (2018) and </w:t>
      </w:r>
      <w:proofErr w:type="spellStart"/>
      <w:r w:rsidR="009F0ECE" w:rsidRPr="00CE15CF">
        <w:t>Euromed</w:t>
      </w:r>
      <w:proofErr w:type="spellEnd"/>
      <w:r w:rsidR="009F0ECE" w:rsidRPr="00CE15CF">
        <w:t xml:space="preserve"> (2015) both highlighted the difficulty in producing detailed lists of specific applications within healthcare due to the diverse ways in which </w:t>
      </w:r>
      <w:r w:rsidR="006252BD" w:rsidRPr="00CE15CF">
        <w:t>polytetrafluoroethylene (</w:t>
      </w:r>
      <w:r w:rsidR="009F0ECE" w:rsidRPr="00CE15CF">
        <w:t>PTFE</w:t>
      </w:r>
      <w:r w:rsidR="006252BD" w:rsidRPr="00CE15CF">
        <w:t>)</w:t>
      </w:r>
      <w:r w:rsidR="00262BD0" w:rsidRPr="00CE15CF">
        <w:rPr>
          <w:rStyle w:val="FootnoteReference"/>
        </w:rPr>
        <w:footnoteReference w:id="7"/>
      </w:r>
      <w:r w:rsidR="009F0ECE" w:rsidRPr="00CE15CF">
        <w:t xml:space="preserve"> is used, though alternatives for PFOA and PFOA-related compounds in medical devices </w:t>
      </w:r>
      <w:r w:rsidR="00586D90" w:rsidRPr="00CE15CF">
        <w:t>have passed stringent regulatory requirements in some geographies and are already in use</w:t>
      </w:r>
      <w:r w:rsidR="009F0ECE" w:rsidRPr="00CE15CF">
        <w:t xml:space="preserve">. However, </w:t>
      </w:r>
      <w:proofErr w:type="spellStart"/>
      <w:r w:rsidR="00413D59" w:rsidRPr="00CE15CF">
        <w:t>MedTech</w:t>
      </w:r>
      <w:proofErr w:type="spellEnd"/>
      <w:r w:rsidR="00586D90" w:rsidRPr="00CE15CF">
        <w:t>, (2018) highlighted that</w:t>
      </w:r>
      <w:r w:rsidR="009F0ECE" w:rsidRPr="00CE15CF">
        <w:t xml:space="preserve"> due to the stringent regulations for substitution in the healthcare sector, if changes are made to articles this can trigger the need for a new round of clinical trials (taking years to complete). Based on the information compiled and discussed within the RME and further elaborated upon within the current addendum, </w:t>
      </w:r>
      <w:r w:rsidR="001703A5" w:rsidRPr="00CE15CF">
        <w:t xml:space="preserve">examples exist </w:t>
      </w:r>
      <w:r w:rsidR="005E1F3A" w:rsidRPr="00CE15CF">
        <w:t xml:space="preserve">cases where </w:t>
      </w:r>
      <w:r w:rsidR="00B02894" w:rsidRPr="00CE15CF">
        <w:t>medical devices made without PFOA are available on the market and in use. However, the evidence reviewed suggests that phase-out is still ongoing for some uses and</w:t>
      </w:r>
      <w:r w:rsidR="005E1F3A" w:rsidRPr="00CE15CF">
        <w:t xml:space="preserve"> that</w:t>
      </w:r>
      <w:r w:rsidR="009F0ECE" w:rsidRPr="00CE15CF">
        <w:t xml:space="preserve"> a time-limited exemption may be needed for medical devices to prevent loss of critical applications. However further detail on specifically which applications are critical is needed for further resolution. </w:t>
      </w:r>
    </w:p>
    <w:p w14:paraId="53005E1D" w14:textId="37192E5F" w:rsidR="005B1902" w:rsidRPr="00CE15CF" w:rsidRDefault="005B1902" w:rsidP="00CE15CF">
      <w:pPr>
        <w:pStyle w:val="Paralevel1"/>
        <w:numPr>
          <w:ilvl w:val="0"/>
          <w:numId w:val="0"/>
        </w:numPr>
        <w:rPr>
          <w:u w:val="single"/>
        </w:rPr>
      </w:pPr>
      <w:r w:rsidRPr="00CE15CF">
        <w:rPr>
          <w:u w:val="single"/>
        </w:rPr>
        <w:lastRenderedPageBreak/>
        <w:t>Implantable medical devices</w:t>
      </w:r>
    </w:p>
    <w:p w14:paraId="0A050FD1" w14:textId="6B349B26" w:rsidR="009F0ECE" w:rsidRPr="00CE15CF" w:rsidRDefault="001777BF" w:rsidP="00CE15CF">
      <w:pPr>
        <w:pStyle w:val="Paralevel1"/>
      </w:pPr>
      <w:r w:rsidRPr="00CE15CF">
        <w:t xml:space="preserve">The RME for PFOA highlighted a need for more information about a </w:t>
      </w:r>
      <w:r w:rsidR="00B02894" w:rsidRPr="00CE15CF">
        <w:t xml:space="preserve">potential </w:t>
      </w:r>
      <w:r w:rsidRPr="00CE15CF">
        <w:t>exemption for medical implantable devices</w:t>
      </w:r>
      <w:r w:rsidR="00B02894" w:rsidRPr="00CE15CF">
        <w:t xml:space="preserve"> due to possible presence as a by-product in PTFE</w:t>
      </w:r>
      <w:r w:rsidRPr="00CE15CF">
        <w:t>.</w:t>
      </w:r>
      <w:r w:rsidR="009F0ECE" w:rsidRPr="00CE15CF">
        <w:t xml:space="preserve"> Quantities of PFOA and PFOA-related </w:t>
      </w:r>
      <w:r w:rsidR="00DA208B" w:rsidRPr="00CE15CF">
        <w:t xml:space="preserve">compounds </w:t>
      </w:r>
      <w:r w:rsidR="009F0ECE" w:rsidRPr="00CE15CF">
        <w:t xml:space="preserve">used </w:t>
      </w:r>
      <w:r w:rsidR="00B739F4" w:rsidRPr="00CE15CF">
        <w:t xml:space="preserve">in the production of PTFE found </w:t>
      </w:r>
      <w:r w:rsidR="009F0ECE" w:rsidRPr="00CE15CF">
        <w:t>in implantable medical devices are small</w:t>
      </w:r>
      <w:r w:rsidR="00FB7BDA" w:rsidRPr="00CE15CF">
        <w:t>.</w:t>
      </w:r>
      <w:r w:rsidR="009F0ECE" w:rsidRPr="00CE15CF">
        <w:t xml:space="preserve"> </w:t>
      </w:r>
      <w:r w:rsidR="00B02894" w:rsidRPr="00CE15CF">
        <w:t xml:space="preserve">As an indicative estimate for order of magnitude </w:t>
      </w:r>
      <w:r w:rsidR="00FB7BDA" w:rsidRPr="00CE15CF">
        <w:t>a manufacturer</w:t>
      </w:r>
      <w:r w:rsidR="00BC0B82" w:rsidRPr="00CE15CF">
        <w:t xml:space="preserve"> commented that </w:t>
      </w:r>
      <w:r w:rsidR="00FB7BDA" w:rsidRPr="00CE15CF">
        <w:t xml:space="preserve">the EU </w:t>
      </w:r>
      <w:r w:rsidR="002272ED" w:rsidRPr="00CE15CF">
        <w:t xml:space="preserve">total </w:t>
      </w:r>
      <w:r w:rsidR="00FB7BDA" w:rsidRPr="00CE15CF">
        <w:t xml:space="preserve">is </w:t>
      </w:r>
      <w:r w:rsidR="009F0ECE" w:rsidRPr="00CE15CF">
        <w:t xml:space="preserve">20g </w:t>
      </w:r>
      <w:r w:rsidR="00FB7BDA" w:rsidRPr="00CE15CF">
        <w:t>in all devices put on the market during the period 2018–2025. This would lead to and estimation</w:t>
      </w:r>
      <w:r w:rsidR="009F0ECE" w:rsidRPr="00CE15CF">
        <w:t xml:space="preserve"> </w:t>
      </w:r>
      <w:r w:rsidR="00FB7BDA" w:rsidRPr="00CE15CF">
        <w:t xml:space="preserve">of </w:t>
      </w:r>
      <w:r w:rsidR="009F0ECE" w:rsidRPr="00CE15CF">
        <w:t xml:space="preserve">100g </w:t>
      </w:r>
      <w:r w:rsidR="00FB7BDA" w:rsidRPr="00CE15CF">
        <w:t>worldwide</w:t>
      </w:r>
      <w:r w:rsidR="00262BD0" w:rsidRPr="00CE15CF">
        <w:t xml:space="preserve"> (ECHA, 2014a)</w:t>
      </w:r>
      <w:r w:rsidR="00FB7BDA" w:rsidRPr="00CE15CF">
        <w:t>.</w:t>
      </w:r>
      <w:r w:rsidR="00641B57" w:rsidRPr="00CE15CF">
        <w:t xml:space="preserve"> </w:t>
      </w:r>
      <w:r w:rsidR="006C473E" w:rsidRPr="00CE15CF">
        <w:t xml:space="preserve">ECHA (2015b) reported during the EU REACH restriction that during the manufacture of PTFE, concentrations of PFOA as a by-product range from 0.0001 to 0.5% </w:t>
      </w:r>
      <w:proofErr w:type="spellStart"/>
      <w:r w:rsidR="006C473E" w:rsidRPr="00CE15CF">
        <w:t>wt</w:t>
      </w:r>
      <w:proofErr w:type="spellEnd"/>
      <w:r w:rsidR="006C473E" w:rsidRPr="00CE15CF">
        <w:t>/</w:t>
      </w:r>
      <w:proofErr w:type="spellStart"/>
      <w:r w:rsidR="006C473E" w:rsidRPr="00CE15CF">
        <w:t>wt</w:t>
      </w:r>
      <w:proofErr w:type="spellEnd"/>
      <w:r w:rsidR="006C473E" w:rsidRPr="00CE15CF">
        <w:t xml:space="preserve"> PTFE. A further personal communication with ECHA (2018) highlighted that during the discussions with industry working concentrations of PFOA specifically within implantable medical devices were likely to be much lower again.</w:t>
      </w:r>
      <w:r w:rsidR="009F0ECE" w:rsidRPr="00CE15CF">
        <w:t xml:space="preserve"> </w:t>
      </w:r>
      <w:r w:rsidR="00DF5E36" w:rsidRPr="00CE15CF">
        <w:t xml:space="preserve">However, alternatives such as PFOA free PTFE products have undergone clinical testing, and been approved for use in some geographies. This includes the use of PFOA free PTFE products for guidewires in the USA (Nesbitt, 2017). </w:t>
      </w:r>
      <w:r w:rsidR="009F0ECE" w:rsidRPr="00CE15CF">
        <w:t>Limited additional information has been provided on the extent of transport, risks and socio-economic impacts of a possible restriction however the low quantities presently being used in implantable medical devices would also mean low potential for exposure. Similarly, additional information on the use of PFOA in medical implants in developing countries is unknown. A time-limited exemption for this use should be considered.</w:t>
      </w:r>
    </w:p>
    <w:p w14:paraId="63E6DAB7" w14:textId="20D44D2B" w:rsidR="0049534D" w:rsidRPr="00CE15CF" w:rsidRDefault="0049534D" w:rsidP="00CE15CF">
      <w:pPr>
        <w:pStyle w:val="Paralevel1"/>
        <w:numPr>
          <w:ilvl w:val="0"/>
          <w:numId w:val="0"/>
        </w:numPr>
        <w:rPr>
          <w:u w:val="single"/>
        </w:rPr>
      </w:pPr>
      <w:r w:rsidRPr="00CE15CF">
        <w:rPr>
          <w:u w:val="single"/>
        </w:rPr>
        <w:t>Photo imaging sector</w:t>
      </w:r>
    </w:p>
    <w:p w14:paraId="3E4547EC" w14:textId="2DCC6B31" w:rsidR="0081572C" w:rsidRPr="00CE15CF" w:rsidRDefault="009F0ECE" w:rsidP="00CE15CF">
      <w:pPr>
        <w:pStyle w:val="Paralevel1"/>
      </w:pPr>
      <w:r w:rsidRPr="00CE15CF">
        <w:t>At POPRC-13,</w:t>
      </w:r>
      <w:r w:rsidR="0006035A" w:rsidRPr="00CE15CF">
        <w:t xml:space="preserve"> </w:t>
      </w:r>
      <w:r w:rsidR="003A5DC3" w:rsidRPr="00CE15CF">
        <w:t>representatives of the European photographic</w:t>
      </w:r>
      <w:r w:rsidRPr="00CE15CF">
        <w:t xml:space="preserve"> industry provided information for the RME that suggested time-limited exemptions for photographic coatings applied to paper and for use in printing </w:t>
      </w:r>
      <w:r w:rsidR="00F02AB3" w:rsidRPr="00CE15CF">
        <w:t xml:space="preserve">plates </w:t>
      </w:r>
      <w:r w:rsidRPr="00CE15CF">
        <w:t>are no longer needed. Non-</w:t>
      </w:r>
      <w:proofErr w:type="spellStart"/>
      <w:r w:rsidRPr="00CE15CF">
        <w:t>perfluorinated</w:t>
      </w:r>
      <w:proofErr w:type="spellEnd"/>
      <w:r w:rsidRPr="00CE15CF">
        <w:t xml:space="preserve"> alternatives have successfully replaced </w:t>
      </w:r>
      <w:r w:rsidR="003A5DC3" w:rsidRPr="00CE15CF">
        <w:t>most</w:t>
      </w:r>
      <w:r w:rsidRPr="00CE15CF">
        <w:t xml:space="preserve"> uses in the imaging and printing industry and the move to digital imaging will replace the need for PFOA. I&amp;P Europe </w:t>
      </w:r>
      <w:r w:rsidR="00694EBA" w:rsidRPr="00CE15CF">
        <w:t>(2016</w:t>
      </w:r>
      <w:r w:rsidRPr="00CE15CF">
        <w:t xml:space="preserve">) comment that use of PFOA compounds in photo imaging has decreased globally by 95% since 2000 and only limited critical applications </w:t>
      </w:r>
      <w:r w:rsidR="005472E8" w:rsidRPr="00CE15CF">
        <w:t xml:space="preserve">(limited to photographic coatings applied to films only) </w:t>
      </w:r>
      <w:r w:rsidRPr="00CE15CF">
        <w:t xml:space="preserve">still use PFOA. However, it was also noted that for developing countries, such information was lacking. New information provided by </w:t>
      </w:r>
      <w:r w:rsidR="000B1311" w:rsidRPr="00CE15CF">
        <w:t>the Netherlands (2018</w:t>
      </w:r>
      <w:r w:rsidR="005B78AB" w:rsidRPr="00CE15CF">
        <w:t>a</w:t>
      </w:r>
      <w:r w:rsidR="000B1311" w:rsidRPr="00CE15CF">
        <w:t>), IPEN and ACAT (2018) and Healthcare Without Harm (HCWH, 2018)</w:t>
      </w:r>
      <w:r w:rsidRPr="00CE15CF">
        <w:t xml:space="preserve"> indicates that analogue printing is being phased out and replaced rapidly by digital, including in developing </w:t>
      </w:r>
      <w:r w:rsidR="003778AC" w:rsidRPr="00CE15CF">
        <w:t xml:space="preserve">and transition </w:t>
      </w:r>
      <w:r w:rsidR="0006035A" w:rsidRPr="00CE15CF">
        <w:t>countries.</w:t>
      </w:r>
      <w:r w:rsidR="003778AC" w:rsidRPr="00CE15CF">
        <w:t xml:space="preserve"> </w:t>
      </w:r>
      <w:r w:rsidRPr="00CE15CF">
        <w:t>Based on</w:t>
      </w:r>
      <w:r w:rsidR="0006035A" w:rsidRPr="00CE15CF">
        <w:t xml:space="preserve"> </w:t>
      </w:r>
      <w:r w:rsidR="005472E8" w:rsidRPr="00CE15CF">
        <w:t>the existing and rapid</w:t>
      </w:r>
      <w:r w:rsidRPr="00CE15CF">
        <w:t xml:space="preserve"> transition towards digital imaging</w:t>
      </w:r>
      <w:r w:rsidR="005472E8" w:rsidRPr="00CE15CF">
        <w:t xml:space="preserve">, the wide use of digital techniques in developing and transitional countries, </w:t>
      </w:r>
      <w:r w:rsidRPr="00CE15CF">
        <w:t xml:space="preserve">and the further reduction in use of PFOA in this sector, no exemptions for </w:t>
      </w:r>
      <w:r w:rsidR="005472E8" w:rsidRPr="00CE15CF">
        <w:t xml:space="preserve">photographic coatings applied to </w:t>
      </w:r>
      <w:r w:rsidRPr="00CE15CF">
        <w:t xml:space="preserve">paper and printing </w:t>
      </w:r>
      <w:r w:rsidR="005472E8" w:rsidRPr="00CE15CF">
        <w:t xml:space="preserve">plates </w:t>
      </w:r>
      <w:r w:rsidRPr="00CE15CF">
        <w:t>should be considered necessary.</w:t>
      </w:r>
    </w:p>
    <w:p w14:paraId="16640562" w14:textId="3B2C009F" w:rsidR="00FB5576" w:rsidRPr="00CE15CF" w:rsidRDefault="00FB5576" w:rsidP="00CE15CF">
      <w:pPr>
        <w:pStyle w:val="Paralevel1"/>
        <w:numPr>
          <w:ilvl w:val="0"/>
          <w:numId w:val="0"/>
        </w:numPr>
        <w:rPr>
          <w:u w:val="single"/>
        </w:rPr>
      </w:pPr>
      <w:r w:rsidRPr="00CE15CF">
        <w:rPr>
          <w:u w:val="single"/>
        </w:rPr>
        <w:t>Automotive industry</w:t>
      </w:r>
    </w:p>
    <w:p w14:paraId="5F101190" w14:textId="2BAFD8C5" w:rsidR="0006035A" w:rsidRPr="00CE15CF" w:rsidRDefault="009320C3" w:rsidP="00CE15CF">
      <w:pPr>
        <w:pStyle w:val="Paralevel1"/>
      </w:pPr>
      <w:r w:rsidRPr="00CE15CF">
        <w:t xml:space="preserve">The RME for PFOA highlighted a need for more information about a </w:t>
      </w:r>
      <w:r w:rsidR="004F57D0" w:rsidRPr="00CE15CF">
        <w:t xml:space="preserve">potential </w:t>
      </w:r>
      <w:r w:rsidRPr="00CE15CF">
        <w:t>PFOA exemption for</w:t>
      </w:r>
      <w:r w:rsidR="0006035A" w:rsidRPr="00CE15CF">
        <w:t xml:space="preserve"> automotive service and replacement parts</w:t>
      </w:r>
      <w:r w:rsidRPr="00CE15CF">
        <w:t>.</w:t>
      </w:r>
      <w:r w:rsidR="0006035A" w:rsidRPr="00CE15CF">
        <w:t xml:space="preserve"> </w:t>
      </w:r>
      <w:r w:rsidR="0064613B" w:rsidRPr="00CE15CF">
        <w:t>S</w:t>
      </w:r>
      <w:r w:rsidR="0006035A" w:rsidRPr="00CE15CF">
        <w:t xml:space="preserve">pecification of relevant automotive service and replacement parts as well as sound justification for any exemption is required. Relevant information was submitted by the </w:t>
      </w:r>
      <w:r w:rsidR="009A5BB5" w:rsidRPr="00CE15CF">
        <w:t>Canadian Vehicle Manufacturers` Association (CVMA, 2018), European Automobile Manufacturers Association (ACEA, 2018), Society of Indian Automobile Manufacturers (SIAM, 2018) and IPEN and ACAT (2018)</w:t>
      </w:r>
      <w:r w:rsidR="0006035A" w:rsidRPr="00CE15CF">
        <w:t xml:space="preserve">. </w:t>
      </w:r>
      <w:proofErr w:type="gramStart"/>
      <w:r w:rsidR="0006035A" w:rsidRPr="00CE15CF">
        <w:t>Furthermore</w:t>
      </w:r>
      <w:proofErr w:type="gramEnd"/>
      <w:r w:rsidR="0006035A" w:rsidRPr="00CE15CF">
        <w:t xml:space="preserve"> Canada (2018) indicated that the drafters should look at paragraphs 79, 89 and 232 of the RME as being relevant to the </w:t>
      </w:r>
      <w:r w:rsidR="001947FD" w:rsidRPr="00CE15CF">
        <w:t>current document</w:t>
      </w:r>
      <w:r w:rsidR="0006035A" w:rsidRPr="00CE15CF">
        <w:t xml:space="preserve">. Based on the evaluation of updated information a time limited exemption </w:t>
      </w:r>
      <w:r w:rsidR="003E2625" w:rsidRPr="00CE15CF">
        <w:t>could</w:t>
      </w:r>
      <w:r w:rsidR="009A5BB5" w:rsidRPr="00CE15CF">
        <w:t xml:space="preserve"> be considered</w:t>
      </w:r>
      <w:r w:rsidR="0006035A" w:rsidRPr="00CE15CF">
        <w:t xml:space="preserve"> for automotive service and replacement parts</w:t>
      </w:r>
      <w:r w:rsidR="009A5BB5" w:rsidRPr="00CE15CF">
        <w:t xml:space="preserve"> and vehicles</w:t>
      </w:r>
      <w:r w:rsidR="0006035A" w:rsidRPr="00CE15CF">
        <w:t xml:space="preserve">. </w:t>
      </w:r>
      <w:r w:rsidR="003E2625" w:rsidRPr="00CE15CF">
        <w:t xml:space="preserve">So far, no conclusive information has been provided on </w:t>
      </w:r>
      <w:r w:rsidR="00BC0B82" w:rsidRPr="00CE15CF">
        <w:t>specific</w:t>
      </w:r>
      <w:r w:rsidR="003E2625" w:rsidRPr="00CE15CF">
        <w:t xml:space="preserve"> relevant service and replacement parts and on the quantities of relevant substances used in different applications. Information such as amounts </w:t>
      </w:r>
      <w:r w:rsidR="00BC0B82" w:rsidRPr="00CE15CF">
        <w:t xml:space="preserve">of PFOA and related compounds </w:t>
      </w:r>
      <w:r w:rsidR="003E2625" w:rsidRPr="00CE15CF">
        <w:t xml:space="preserve">used in different parts is considered </w:t>
      </w:r>
      <w:r w:rsidR="005B78AB" w:rsidRPr="00CE15CF">
        <w:t>supportive</w:t>
      </w:r>
      <w:r w:rsidR="003E2625" w:rsidRPr="00CE15CF">
        <w:t xml:space="preserve"> to justify a consideration of a recommendation for an exemption. </w:t>
      </w:r>
      <w:r w:rsidR="00AB73B3" w:rsidRPr="00CE15CF">
        <w:t>F</w:t>
      </w:r>
      <w:r w:rsidR="003E2625" w:rsidRPr="00CE15CF">
        <w:t xml:space="preserve">urther </w:t>
      </w:r>
      <w:r w:rsidR="00BC0B82" w:rsidRPr="00CE15CF">
        <w:t xml:space="preserve">additional </w:t>
      </w:r>
      <w:r w:rsidR="003E2625" w:rsidRPr="00CE15CF">
        <w:t xml:space="preserve">information </w:t>
      </w:r>
      <w:r w:rsidR="00BC0B82" w:rsidRPr="00CE15CF">
        <w:t>such as</w:t>
      </w:r>
      <w:r w:rsidR="003E2625" w:rsidRPr="00CE15CF">
        <w:t xml:space="preserve"> time </w:t>
      </w:r>
      <w:r w:rsidR="00AB73B3" w:rsidRPr="00CE15CF">
        <w:t xml:space="preserve">required </w:t>
      </w:r>
      <w:r w:rsidR="003E2625" w:rsidRPr="00CE15CF">
        <w:t xml:space="preserve">for phase-out, estimation of economic impacts, </w:t>
      </w:r>
      <w:r w:rsidR="00316613" w:rsidRPr="00CE15CF">
        <w:t xml:space="preserve">and potential </w:t>
      </w:r>
      <w:r w:rsidR="003E2625" w:rsidRPr="00CE15CF">
        <w:t xml:space="preserve">alternatives </w:t>
      </w:r>
      <w:r w:rsidR="00316613" w:rsidRPr="00CE15CF">
        <w:t xml:space="preserve">already </w:t>
      </w:r>
      <w:r w:rsidR="003E2625" w:rsidRPr="00CE15CF">
        <w:t>in place</w:t>
      </w:r>
      <w:r w:rsidR="00316613" w:rsidRPr="00CE15CF">
        <w:t>,</w:t>
      </w:r>
      <w:r w:rsidR="003E2625" w:rsidRPr="00CE15CF">
        <w:t xml:space="preserve"> and retrofitting capacity would support further discussions at international level. </w:t>
      </w:r>
    </w:p>
    <w:p w14:paraId="04676FB4" w14:textId="3DF7A2A2" w:rsidR="00E2603E" w:rsidRPr="00CE15CF" w:rsidRDefault="00E2603E" w:rsidP="00CE15CF">
      <w:pPr>
        <w:pStyle w:val="Paralevel1"/>
        <w:numPr>
          <w:ilvl w:val="0"/>
          <w:numId w:val="0"/>
        </w:numPr>
        <w:rPr>
          <w:u w:val="single"/>
        </w:rPr>
      </w:pPr>
      <w:r w:rsidRPr="00CE15CF">
        <w:rPr>
          <w:u w:val="single"/>
        </w:rPr>
        <w:t>Firefighting foams</w:t>
      </w:r>
    </w:p>
    <w:p w14:paraId="35195141" w14:textId="179F52E2" w:rsidR="008E69C7" w:rsidRPr="00CE15CF" w:rsidRDefault="00E31B6A" w:rsidP="00CE15CF">
      <w:pPr>
        <w:pStyle w:val="Paralevel1"/>
      </w:pPr>
      <w:r w:rsidRPr="00CE15CF">
        <w:t>F</w:t>
      </w:r>
      <w:r w:rsidR="009F0ECE" w:rsidRPr="00CE15CF">
        <w:t>ire</w:t>
      </w:r>
      <w:r w:rsidR="008E69C7" w:rsidRPr="00CE15CF">
        <w:t>-</w:t>
      </w:r>
      <w:r w:rsidR="009F0ECE" w:rsidRPr="00CE15CF">
        <w:t>fighting foams</w:t>
      </w:r>
      <w:r w:rsidRPr="00CE15CF">
        <w:t xml:space="preserve"> were identified as a </w:t>
      </w:r>
      <w:r w:rsidR="002C0BDC" w:rsidRPr="00CE15CF">
        <w:t>dispersive</w:t>
      </w:r>
      <w:r w:rsidRPr="00CE15CF">
        <w:t xml:space="preserve"> use of PFOA in the RME</w:t>
      </w:r>
      <w:r w:rsidR="006618BF" w:rsidRPr="00CE15CF">
        <w:t xml:space="preserve"> resulting in direct release to the environment</w:t>
      </w:r>
      <w:r w:rsidRPr="00CE15CF">
        <w:t>.</w:t>
      </w:r>
      <w:r w:rsidR="009F0ECE" w:rsidRPr="00CE15CF">
        <w:t xml:space="preserve"> </w:t>
      </w:r>
      <w:proofErr w:type="spellStart"/>
      <w:r w:rsidR="00D61086" w:rsidRPr="00CE15CF">
        <w:t>P</w:t>
      </w:r>
      <w:r w:rsidR="008E69C7" w:rsidRPr="00CE15CF">
        <w:t>erfluorinated</w:t>
      </w:r>
      <w:proofErr w:type="spellEnd"/>
      <w:r w:rsidR="008E69C7" w:rsidRPr="00CE15CF">
        <w:t xml:space="preserve"> compounds within fire-fighting foams </w:t>
      </w:r>
      <w:r w:rsidR="00D61086" w:rsidRPr="00CE15CF">
        <w:t xml:space="preserve">have </w:t>
      </w:r>
      <w:r w:rsidR="008E69C7" w:rsidRPr="00CE15CF">
        <w:t>been used because t</w:t>
      </w:r>
      <w:r w:rsidR="005E3BAB" w:rsidRPr="00CE15CF">
        <w:t>hey proved effective against liquid fuel</w:t>
      </w:r>
      <w:r w:rsidR="008E69C7" w:rsidRPr="00CE15CF">
        <w:t xml:space="preserve"> fires (Class B) (</w:t>
      </w:r>
      <w:r w:rsidR="005E3BAB" w:rsidRPr="00CE15CF">
        <w:t>ECHA, 2014a</w:t>
      </w:r>
      <w:r w:rsidR="008E69C7" w:rsidRPr="00CE15CF">
        <w:t>). In the past C</w:t>
      </w:r>
      <w:r w:rsidR="008E69C7" w:rsidRPr="00CE15CF">
        <w:rPr>
          <w:vertAlign w:val="subscript"/>
        </w:rPr>
        <w:t>8</w:t>
      </w:r>
      <w:r w:rsidR="008E69C7" w:rsidRPr="00CE15CF">
        <w:t xml:space="preserve"> based perfluoro technologies</w:t>
      </w:r>
      <w:r w:rsidR="00D61086" w:rsidRPr="00CE15CF">
        <w:t xml:space="preserve"> were mostly used</w:t>
      </w:r>
      <w:r w:rsidR="008E69C7" w:rsidRPr="00CE15CF">
        <w:t xml:space="preserve">, including PFOS (now recognised as a POP under the Stockholm Convention) and PFOA. </w:t>
      </w:r>
      <w:proofErr w:type="spellStart"/>
      <w:r w:rsidR="008E69C7" w:rsidRPr="00CE15CF">
        <w:t>Seow</w:t>
      </w:r>
      <w:proofErr w:type="spellEnd"/>
      <w:r w:rsidR="008E69C7" w:rsidRPr="00CE15CF">
        <w:t xml:space="preserve"> (2013) comments that the primary intentional use of PFOA within fire-fighting foams was as the ammonium salt (APFO). Where concerns over the human health and environmental effects of C</w:t>
      </w:r>
      <w:r w:rsidR="008E69C7" w:rsidRPr="00CE15CF">
        <w:rPr>
          <w:vertAlign w:val="subscript"/>
        </w:rPr>
        <w:t>8</w:t>
      </w:r>
      <w:r w:rsidR="008E69C7" w:rsidRPr="00CE15CF">
        <w:t xml:space="preserve"> technologies were raised, industry largely moved towards shorter-chain C</w:t>
      </w:r>
      <w:r w:rsidR="008E69C7" w:rsidRPr="00CE15CF">
        <w:rPr>
          <w:vertAlign w:val="subscript"/>
        </w:rPr>
        <w:t>6</w:t>
      </w:r>
      <w:r w:rsidR="008E69C7" w:rsidRPr="00CE15CF">
        <w:t xml:space="preserve"> </w:t>
      </w:r>
      <w:proofErr w:type="spellStart"/>
      <w:r w:rsidR="008E69C7" w:rsidRPr="00CE15CF">
        <w:t>perfluorinated</w:t>
      </w:r>
      <w:proofErr w:type="spellEnd"/>
      <w:r w:rsidR="008E69C7" w:rsidRPr="00CE15CF">
        <w:t xml:space="preserve"> compounds manufactured through telomerisation. The Swedish </w:t>
      </w:r>
      <w:r w:rsidR="00982003" w:rsidRPr="00CE15CF">
        <w:t>Chemicals</w:t>
      </w:r>
      <w:r w:rsidR="008E69C7" w:rsidRPr="00CE15CF">
        <w:t xml:space="preserve"> Agency (2015) highlight</w:t>
      </w:r>
      <w:r w:rsidR="00D61086" w:rsidRPr="00CE15CF">
        <w:t>s</w:t>
      </w:r>
      <w:r w:rsidR="008E69C7" w:rsidRPr="00CE15CF">
        <w:t xml:space="preserve"> that while C</w:t>
      </w:r>
      <w:r w:rsidR="008E69C7" w:rsidRPr="00CE15CF">
        <w:rPr>
          <w:vertAlign w:val="subscript"/>
        </w:rPr>
        <w:t>6</w:t>
      </w:r>
      <w:r w:rsidR="008E69C7" w:rsidRPr="00CE15CF">
        <w:t xml:space="preserve"> fluorotelomers are not manufactured using PFOA</w:t>
      </w:r>
      <w:r w:rsidR="00D61086" w:rsidRPr="00CE15CF">
        <w:t>,</w:t>
      </w:r>
      <w:r w:rsidR="008E69C7" w:rsidRPr="00CE15CF">
        <w:t xml:space="preserve"> the reaction process can create C</w:t>
      </w:r>
      <w:r w:rsidR="008E69C7" w:rsidRPr="00CE15CF">
        <w:rPr>
          <w:vertAlign w:val="subscript"/>
        </w:rPr>
        <w:t>8</w:t>
      </w:r>
      <w:r w:rsidR="008E69C7" w:rsidRPr="00CE15CF">
        <w:t xml:space="preserve"> species including PFOA as a by-product. </w:t>
      </w:r>
      <w:proofErr w:type="spellStart"/>
      <w:r w:rsidR="008E69C7" w:rsidRPr="00CE15CF">
        <w:t>Seow</w:t>
      </w:r>
      <w:proofErr w:type="spellEnd"/>
      <w:r w:rsidR="008E69C7" w:rsidRPr="00CE15CF">
        <w:t xml:space="preserve"> (2013) also comments that some other </w:t>
      </w:r>
      <w:proofErr w:type="spellStart"/>
      <w:r w:rsidR="008E69C7" w:rsidRPr="00CE15CF">
        <w:t>perfluorinated</w:t>
      </w:r>
      <w:proofErr w:type="spellEnd"/>
      <w:r w:rsidR="008E69C7" w:rsidRPr="00CE15CF">
        <w:t xml:space="preserve"> compounds (greater than C</w:t>
      </w:r>
      <w:r w:rsidR="008E69C7" w:rsidRPr="00CE15CF">
        <w:rPr>
          <w:vertAlign w:val="subscript"/>
        </w:rPr>
        <w:t>6</w:t>
      </w:r>
      <w:r w:rsidR="008E69C7" w:rsidRPr="00CE15CF">
        <w:t>) within C</w:t>
      </w:r>
      <w:r w:rsidR="008E69C7" w:rsidRPr="00CE15CF">
        <w:rPr>
          <w:vertAlign w:val="subscript"/>
        </w:rPr>
        <w:t>6</w:t>
      </w:r>
      <w:r w:rsidR="008E69C7" w:rsidRPr="00CE15CF">
        <w:t xml:space="preserve"> fluorotelomer products can degrade into PFOA in the natural environment, such an example includes </w:t>
      </w:r>
      <w:r w:rsidR="005E3BAB" w:rsidRPr="00CE15CF">
        <w:t xml:space="preserve">acrylamide-based </w:t>
      </w:r>
      <w:proofErr w:type="spellStart"/>
      <w:r w:rsidR="005E3BAB" w:rsidRPr="00CE15CF">
        <w:t>fluorosurfactant</w:t>
      </w:r>
      <w:proofErr w:type="spellEnd"/>
      <w:r w:rsidR="005E3BAB" w:rsidRPr="00CE15CF">
        <w:t xml:space="preserve"> (CAS </w:t>
      </w:r>
      <w:r w:rsidR="003463FF" w:rsidRPr="00CE15CF">
        <w:t xml:space="preserve">No: </w:t>
      </w:r>
      <w:r w:rsidR="005E3BAB" w:rsidRPr="00CE15CF">
        <w:t xml:space="preserve">70969-47-0). </w:t>
      </w:r>
    </w:p>
    <w:p w14:paraId="08FF2772" w14:textId="77777777" w:rsidR="00CE15CF" w:rsidRPr="00CE15CF" w:rsidRDefault="00E31B6A" w:rsidP="00CE15CF">
      <w:pPr>
        <w:pStyle w:val="Paralevel1"/>
      </w:pPr>
      <w:r w:rsidRPr="00CE15CF">
        <w:t xml:space="preserve">Information </w:t>
      </w:r>
      <w:r w:rsidR="005E3BAB" w:rsidRPr="00CE15CF">
        <w:t>on in-use stockpiles and mixtures</w:t>
      </w:r>
      <w:r w:rsidRPr="00CE15CF">
        <w:t xml:space="preserve"> was provided by Belarus (2018), Netherlands (2018</w:t>
      </w:r>
      <w:r w:rsidR="005B78AB" w:rsidRPr="00CE15CF">
        <w:t>a</w:t>
      </w:r>
      <w:r w:rsidRPr="00CE15CF">
        <w:t xml:space="preserve">), Sweden (2018), the Fire-Fighting Foams </w:t>
      </w:r>
      <w:r w:rsidR="005E3BAB" w:rsidRPr="00CE15CF">
        <w:t xml:space="preserve">Industry </w:t>
      </w:r>
      <w:r w:rsidRPr="00CE15CF">
        <w:t>Coalition (</w:t>
      </w:r>
      <w:r w:rsidR="00204BDB" w:rsidRPr="00CE15CF">
        <w:t xml:space="preserve">FFFC, </w:t>
      </w:r>
      <w:r w:rsidRPr="00CE15CF">
        <w:t xml:space="preserve">2018), and IPEN and ACAT (2018) as a joint submission. </w:t>
      </w:r>
      <w:r w:rsidR="00204BDB" w:rsidRPr="00CE15CF">
        <w:t>Only l</w:t>
      </w:r>
      <w:r w:rsidRPr="00CE15CF">
        <w:t xml:space="preserve">imited information on the existing stockpiles of PFOA based fire-fighting foams was available. </w:t>
      </w:r>
    </w:p>
    <w:p w14:paraId="4E8D0DE1" w14:textId="2B72FF16" w:rsidR="00CE15CF" w:rsidRPr="00CE15CF" w:rsidRDefault="00E31B6A" w:rsidP="00CE15CF">
      <w:pPr>
        <w:pStyle w:val="Paralevel1"/>
      </w:pPr>
      <w:r w:rsidRPr="00CE15CF">
        <w:lastRenderedPageBreak/>
        <w:t>A report by ECHA (2015a) estimate</w:t>
      </w:r>
      <w:r w:rsidR="00204BDB" w:rsidRPr="00CE15CF">
        <w:t>d</w:t>
      </w:r>
      <w:r w:rsidRPr="00CE15CF">
        <w:t xml:space="preserve"> 50–100 tonnes of a PFOA-related compound (</w:t>
      </w:r>
      <w:r w:rsidR="00204BDB" w:rsidRPr="00CE15CF">
        <w:t>CAS</w:t>
      </w:r>
      <w:r w:rsidR="00673255" w:rsidRPr="00CE15CF">
        <w:t xml:space="preserve"> No:</w:t>
      </w:r>
      <w:r w:rsidR="00204BDB" w:rsidRPr="00CE15CF">
        <w:t xml:space="preserve"> 70969-47-0</w:t>
      </w:r>
      <w:r w:rsidR="00673255" w:rsidRPr="00CE15CF">
        <w:t>,</w:t>
      </w:r>
      <w:r w:rsidR="00204BDB" w:rsidRPr="00CE15CF">
        <w:t xml:space="preserve"> </w:t>
      </w:r>
      <w:r w:rsidR="00370BD5">
        <w:br/>
      </w:r>
      <w:r w:rsidR="00204BDB" w:rsidRPr="00CE15CF">
        <w:t>C</w:t>
      </w:r>
      <w:r w:rsidR="00204BDB" w:rsidRPr="00CE15CF">
        <w:rPr>
          <w:vertAlign w:val="subscript"/>
        </w:rPr>
        <w:t>8</w:t>
      </w:r>
      <w:r w:rsidR="00204BDB" w:rsidRPr="00CE15CF">
        <w:t>-C</w:t>
      </w:r>
      <w:r w:rsidR="00204BDB" w:rsidRPr="00CE15CF">
        <w:rPr>
          <w:vertAlign w:val="subscript"/>
        </w:rPr>
        <w:t>20</w:t>
      </w:r>
      <w:r w:rsidR="00204BDB" w:rsidRPr="00CE15CF">
        <w:t xml:space="preserve">-ω-perfluoro telomer thiols with acrylamide) within foam concentrates present across Europe in 2014. </w:t>
      </w:r>
      <w:r w:rsidR="001F208B" w:rsidRPr="00CE15CF">
        <w:t>Australia (2018) comments that Australia has never manufactu</w:t>
      </w:r>
      <w:r w:rsidR="00262BD0" w:rsidRPr="00CE15CF">
        <w:t xml:space="preserve">red PFOA or its precursor APFO, but import of fire-fighting concentrates included 48 grams and 0.6 grams of PFOA in 2002 and 2003 respectively. Other estimates include the FFFC (2018) inventory of PFOS assuming similar order of magnitude for PFOA based concentrates as 3.3 million gallons (12.5 million litres) of </w:t>
      </w:r>
      <w:r w:rsidR="002955DC" w:rsidRPr="00CE15CF">
        <w:t>aqueous film forming foam (</w:t>
      </w:r>
      <w:r w:rsidR="00262BD0" w:rsidRPr="00CE15CF">
        <w:t>AFFF</w:t>
      </w:r>
      <w:r w:rsidR="002955DC" w:rsidRPr="00CE15CF">
        <w:t>)</w:t>
      </w:r>
      <w:r w:rsidR="00262BD0" w:rsidRPr="00CE15CF">
        <w:t xml:space="preserve"> PFOA based foams. Norway (2007) highlight a global inventory of APFO (the ammonium salt of PFOA, which was the main species used intentionally for </w:t>
      </w:r>
      <w:r w:rsidR="00370BD5">
        <w:br/>
      </w:r>
      <w:r w:rsidR="00262BD0" w:rsidRPr="00CE15CF">
        <w:t xml:space="preserve">fire-fighting foams) </w:t>
      </w:r>
      <w:r w:rsidR="00B73B01" w:rsidRPr="00CE15CF">
        <w:t xml:space="preserve">with production of 3,600–5,700 tonnes between 1951 and 2004. This can be back calculated to between </w:t>
      </w:r>
      <w:r w:rsidR="005E14A1" w:rsidRPr="00CE15CF">
        <w:t>309</w:t>
      </w:r>
      <w:r w:rsidR="00B73B01" w:rsidRPr="00CE15CF">
        <w:t xml:space="preserve"> million and </w:t>
      </w:r>
      <w:r w:rsidR="005E14A1" w:rsidRPr="00CE15CF">
        <w:t>4901</w:t>
      </w:r>
      <w:r w:rsidR="00B73B01" w:rsidRPr="00CE15CF">
        <w:t xml:space="preserve"> million litres of APFO based AFFF concentrate within existing stockpiles depending on the assumed shelf-life of the goods. </w:t>
      </w:r>
      <w:r w:rsidR="009F0ECE" w:rsidRPr="00CE15CF">
        <w:t xml:space="preserve">Alternatives to all uses of PFOA in fire-fighting foams exist and include fluorine-free solutions as well as </w:t>
      </w:r>
      <w:proofErr w:type="spellStart"/>
      <w:r w:rsidR="009F0ECE" w:rsidRPr="00CE15CF">
        <w:t>fluorosurfactants</w:t>
      </w:r>
      <w:proofErr w:type="spellEnd"/>
      <w:r w:rsidR="009F0ECE" w:rsidRPr="00CE15CF">
        <w:t xml:space="preserve"> with C</w:t>
      </w:r>
      <w:r w:rsidR="009F0ECE" w:rsidRPr="00CE15CF">
        <w:rPr>
          <w:vertAlign w:val="subscript"/>
        </w:rPr>
        <w:t>6</w:t>
      </w:r>
      <w:r w:rsidR="009F0ECE" w:rsidRPr="00CE15CF">
        <w:t>-fluorotelomers</w:t>
      </w:r>
      <w:r w:rsidR="00306CC5" w:rsidRPr="00CE15CF">
        <w:t>.</w:t>
      </w:r>
      <w:r w:rsidR="002C0BDC" w:rsidRPr="00CE15CF">
        <w:rPr>
          <w:rStyle w:val="FootnoteReference"/>
        </w:rPr>
        <w:footnoteReference w:id="8"/>
      </w:r>
      <w:r w:rsidR="00E5527F" w:rsidRPr="00CE15CF">
        <w:t xml:space="preserve"> </w:t>
      </w:r>
    </w:p>
    <w:p w14:paraId="520E245B" w14:textId="77777777" w:rsidR="00CE15CF" w:rsidRPr="00CE15CF" w:rsidRDefault="00E5527F" w:rsidP="00CE15CF">
      <w:pPr>
        <w:pStyle w:val="Paralevel1"/>
      </w:pPr>
      <w:r w:rsidRPr="00CE15CF">
        <w:t xml:space="preserve">IPEN and ACAT (2018) note reference to </w:t>
      </w:r>
      <w:proofErr w:type="gramStart"/>
      <w:r w:rsidRPr="00CE15CF">
        <w:t>a number of</w:t>
      </w:r>
      <w:proofErr w:type="gramEnd"/>
      <w:r w:rsidRPr="00CE15CF">
        <w:t xml:space="preserve"> fluorine free alternatives which have </w:t>
      </w:r>
      <w:r w:rsidR="00D61086" w:rsidRPr="00CE15CF">
        <w:t xml:space="preserve">been </w:t>
      </w:r>
      <w:r w:rsidRPr="00CE15CF">
        <w:t xml:space="preserve">tested </w:t>
      </w:r>
      <w:r w:rsidR="00D61086" w:rsidRPr="00CE15CF">
        <w:t xml:space="preserve">as </w:t>
      </w:r>
      <w:r w:rsidRPr="00CE15CF">
        <w:t>effective against Class B fires</w:t>
      </w:r>
      <w:r w:rsidR="00D61086" w:rsidRPr="00CE15CF">
        <w:t>.</w:t>
      </w:r>
      <w:r w:rsidR="009F0ECE" w:rsidRPr="00CE15CF">
        <w:t xml:space="preserve"> Overall the costs associated with destruction and replacement can be perceived to be significant, one estimate by </w:t>
      </w:r>
      <w:proofErr w:type="spellStart"/>
      <w:r w:rsidR="009F0ECE" w:rsidRPr="00CE15CF">
        <w:t>Seow</w:t>
      </w:r>
      <w:proofErr w:type="spellEnd"/>
      <w:r w:rsidR="009F0ECE" w:rsidRPr="00CE15CF">
        <w:t xml:space="preserve"> (2013) quotes $1 AUD/ 1.5</w:t>
      </w:r>
      <w:r w:rsidR="00DD56BB" w:rsidRPr="00CE15CF">
        <w:t xml:space="preserve"> </w:t>
      </w:r>
      <w:r w:rsidR="009F0ECE" w:rsidRPr="00CE15CF">
        <w:t>E</w:t>
      </w:r>
      <w:r w:rsidR="00DD56BB" w:rsidRPr="00CE15CF">
        <w:t>uro</w:t>
      </w:r>
      <w:r w:rsidR="009F0ECE" w:rsidRPr="00CE15CF">
        <w:t xml:space="preserve"> per litre of concentrate. However, costs associated with clean-up for sites contaminated by </w:t>
      </w:r>
      <w:proofErr w:type="spellStart"/>
      <w:r w:rsidR="009F0ECE" w:rsidRPr="00CE15CF">
        <w:t>perfluorinated</w:t>
      </w:r>
      <w:proofErr w:type="spellEnd"/>
      <w:r w:rsidR="009F0ECE" w:rsidRPr="00CE15CF">
        <w:t xml:space="preserve"> compounds are also significant, with examples quoted in the RME as millions of euros per site. IPEN (2018) commented that the life span of foams varied depending on climate and storage and therefore a 20</w:t>
      </w:r>
      <w:r w:rsidR="0055286C" w:rsidRPr="00CE15CF">
        <w:t>-</w:t>
      </w:r>
      <w:r w:rsidR="009F0ECE" w:rsidRPr="00CE15CF">
        <w:t xml:space="preserve">year derogation would not be acceptable for the Stockholm Convention. The </w:t>
      </w:r>
      <w:r w:rsidR="002955DC" w:rsidRPr="00CE15CF">
        <w:t xml:space="preserve">FFFC </w:t>
      </w:r>
      <w:r w:rsidR="009F0ECE" w:rsidRPr="00CE15CF">
        <w:t>(2016) state that foams do not have an expiry date but have a shelf life of 10</w:t>
      </w:r>
      <w:r w:rsidR="00673255" w:rsidRPr="00CE15CF">
        <w:t>–</w:t>
      </w:r>
      <w:r w:rsidR="009F0ECE" w:rsidRPr="00CE15CF">
        <w:t>25 years</w:t>
      </w:r>
      <w:r w:rsidR="00204BDB" w:rsidRPr="00CE15CF">
        <w:t xml:space="preserve">. </w:t>
      </w:r>
    </w:p>
    <w:p w14:paraId="44F1EDB5" w14:textId="381599B0" w:rsidR="009F0ECE" w:rsidRPr="00CE15CF" w:rsidRDefault="00204BDB" w:rsidP="00CE15CF">
      <w:pPr>
        <w:pStyle w:val="Paralevel1"/>
      </w:pPr>
      <w:r w:rsidRPr="00CE15CF">
        <w:t xml:space="preserve">Based on the information compiled and reviewed within the RME, the size of in-use stockpiles may be significant and socio-economic impacts of an immediate ban may be equally significant, </w:t>
      </w:r>
      <w:r w:rsidR="00D61086" w:rsidRPr="00CE15CF">
        <w:t xml:space="preserve">potentially justifying </w:t>
      </w:r>
      <w:r w:rsidRPr="00CE15CF">
        <w:t>a time-limited exemption. However</w:t>
      </w:r>
      <w:r w:rsidR="00673255" w:rsidRPr="00CE15CF">
        <w:t>,</w:t>
      </w:r>
      <w:r w:rsidRPr="00CE15CF">
        <w:t xml:space="preserve"> the impacts of release to ground water and socio-economic costs of clean-up </w:t>
      </w:r>
      <w:r w:rsidR="001E3E86" w:rsidRPr="00CE15CF">
        <w:t>are equally if not more significant, and the continued dispersive use of a POP is not consistent with the objectives of the Convention.</w:t>
      </w:r>
      <w:r w:rsidRPr="00CE15CF">
        <w:t xml:space="preserve"> </w:t>
      </w:r>
      <w:r w:rsidR="00D00FEB" w:rsidRPr="00CE15CF">
        <w:t xml:space="preserve">On the other hand, the use of fluorinated alternatives could lead to contamination of water from </w:t>
      </w:r>
      <w:r w:rsidR="00370BD5">
        <w:br/>
      </w:r>
      <w:r w:rsidR="00D00FEB" w:rsidRPr="00CE15CF">
        <w:t xml:space="preserve">short-chain </w:t>
      </w:r>
      <w:r w:rsidR="009A1367" w:rsidRPr="00CE15CF">
        <w:t>PFAS, which is</w:t>
      </w:r>
      <w:r w:rsidR="00D00FEB" w:rsidRPr="00CE15CF">
        <w:t xml:space="preserve"> </w:t>
      </w:r>
      <w:r w:rsidR="00244B7C" w:rsidRPr="00CE15CF">
        <w:t xml:space="preserve">even </w:t>
      </w:r>
      <w:r w:rsidR="00D00FEB" w:rsidRPr="00CE15CF">
        <w:t xml:space="preserve">more difficult to remediate than the contamination from the long chain ones. </w:t>
      </w:r>
      <w:r w:rsidR="00244B7C" w:rsidRPr="00CE15CF">
        <w:t>Concerning PFOA and PFOA-related compounds present as by-products in fluorotelomers based AFFF fire-fighting foams, the evidence reviewed suggests that they can be present at high concentration. The Committee should discuss if the non-fluorinated alternatives already commercialised and in use can replace the fluorine-based AFFFs for all uses</w:t>
      </w:r>
      <w:r w:rsidR="00D14D32" w:rsidRPr="00CE15CF">
        <w:t xml:space="preserve"> and the issues surrounding existing stockpiles as two separate elements</w:t>
      </w:r>
      <w:r w:rsidR="00244B7C" w:rsidRPr="00CE15CF">
        <w:t>. On this basis, t</w:t>
      </w:r>
      <w:r w:rsidR="00D00FEB" w:rsidRPr="00CE15CF">
        <w:t xml:space="preserve">he Committee should </w:t>
      </w:r>
      <w:r w:rsidR="00AB73B3" w:rsidRPr="00CE15CF">
        <w:t>consider</w:t>
      </w:r>
      <w:r w:rsidR="00D14D32" w:rsidRPr="00CE15CF">
        <w:t xml:space="preserve"> a recommendation that covers both PFOA and PFOA-related compounds within fire-fighting foams and existing stockpiles.</w:t>
      </w:r>
      <w:r w:rsidR="00FC3142" w:rsidRPr="00CE15CF">
        <w:t xml:space="preserve"> </w:t>
      </w:r>
    </w:p>
    <w:p w14:paraId="7ECE687D" w14:textId="230892CC" w:rsidR="00973AD1" w:rsidRPr="00CE15CF" w:rsidRDefault="009B35C1" w:rsidP="00CE15CF">
      <w:pPr>
        <w:pStyle w:val="Paralevel1"/>
        <w:numPr>
          <w:ilvl w:val="0"/>
          <w:numId w:val="0"/>
        </w:numPr>
        <w:rPr>
          <w:u w:val="single"/>
        </w:rPr>
      </w:pPr>
      <w:r w:rsidRPr="00CE15CF">
        <w:rPr>
          <w:u w:val="single"/>
        </w:rPr>
        <w:t>Conclusion</w:t>
      </w:r>
    </w:p>
    <w:p w14:paraId="73C1E019" w14:textId="35ED96E3" w:rsidR="003C0C0C" w:rsidRPr="00CE15CF" w:rsidRDefault="009F0ECE" w:rsidP="00CE15CF">
      <w:pPr>
        <w:pStyle w:val="Paralevel1"/>
      </w:pPr>
      <w:r w:rsidRPr="00CE15CF">
        <w:t xml:space="preserve">Based on the review of information within the RME and elaborated on in the </w:t>
      </w:r>
      <w:r w:rsidR="00597AE5" w:rsidRPr="00CE15CF">
        <w:t>current document</w:t>
      </w:r>
      <w:r w:rsidRPr="00CE15CF">
        <w:t xml:space="preserve">, only </w:t>
      </w:r>
      <w:r w:rsidR="00370BD5">
        <w:br/>
      </w:r>
      <w:r w:rsidRPr="00CE15CF">
        <w:t>time-limited exemptions are envisaged. Furthermore</w:t>
      </w:r>
      <w:r w:rsidR="00673255" w:rsidRPr="00CE15CF">
        <w:t>,</w:t>
      </w:r>
      <w:r w:rsidRPr="00CE15CF">
        <w:t xml:space="preserve"> within the European restriction (EU 2017/1000) only one non-time limited exemption exists (implantable medical devices). </w:t>
      </w:r>
      <w:proofErr w:type="spellStart"/>
      <w:r w:rsidR="00413D59" w:rsidRPr="00CE15CF">
        <w:t>MedTech</w:t>
      </w:r>
      <w:proofErr w:type="spellEnd"/>
      <w:r w:rsidRPr="00CE15CF">
        <w:t xml:space="preserve"> (2018) commented that a transition period up to 2030 would be needed for implantable medical devices, suggesting that a time-limited exemption would be sufficient. </w:t>
      </w:r>
      <w:r w:rsidR="00214924" w:rsidRPr="00CE15CF">
        <w:t>Therefore</w:t>
      </w:r>
      <w:r w:rsidR="00673255" w:rsidRPr="00CE15CF">
        <w:t>,</w:t>
      </w:r>
      <w:r w:rsidR="00214924" w:rsidRPr="00CE15CF">
        <w:t xml:space="preserve"> in</w:t>
      </w:r>
      <w:r w:rsidRPr="00CE15CF">
        <w:t xml:space="preserve"> accordance with paragraph 9 of Article 8 of the Convention, the Conference of the Parties to the Stockholm Convention should consider listing and specifying the related control measures of PFOA, its salts and PFOA-related compounds</w:t>
      </w:r>
      <w:r w:rsidR="004F57D0" w:rsidRPr="00CE15CF">
        <w:t xml:space="preserve"> </w:t>
      </w:r>
      <w:proofErr w:type="spellStart"/>
      <w:r w:rsidR="00142465" w:rsidRPr="00CE15CF">
        <w:t>i</w:t>
      </w:r>
      <w:r w:rsidRPr="00CE15CF">
        <w:t>n</w:t>
      </w:r>
      <w:r w:rsidR="004F57D0" w:rsidRPr="00CE15CF">
        <w:t>i</w:t>
      </w:r>
      <w:r w:rsidRPr="00CE15CF">
        <w:t>n</w:t>
      </w:r>
      <w:proofErr w:type="spellEnd"/>
      <w:r w:rsidRPr="00CE15CF">
        <w:t xml:space="preserve"> Annex A, with specific exemptions accompanied if needed with a specific part of Annex A that details actions.</w:t>
      </w:r>
    </w:p>
    <w:p w14:paraId="7E80D9DE" w14:textId="77777777" w:rsidR="00FD5C9E" w:rsidRPr="00CE15CF" w:rsidRDefault="00FD5C9E" w:rsidP="00CE15CF">
      <w:pPr>
        <w:pStyle w:val="Paralevel1"/>
        <w:numPr>
          <w:ilvl w:val="0"/>
          <w:numId w:val="0"/>
        </w:numPr>
      </w:pPr>
    </w:p>
    <w:p w14:paraId="0E854EDC" w14:textId="431F8A18" w:rsidR="008D4C8F" w:rsidRPr="00CE15CF" w:rsidRDefault="008D4C8F" w:rsidP="00CE15CF">
      <w:pPr>
        <w:pStyle w:val="Heading1"/>
        <w:keepNext w:val="0"/>
        <w:tabs>
          <w:tab w:val="clear" w:pos="432"/>
          <w:tab w:val="num" w:pos="810"/>
        </w:tabs>
        <w:spacing w:before="120" w:after="120" w:line="240" w:lineRule="auto"/>
        <w:ind w:left="630" w:hanging="630"/>
        <w:jc w:val="left"/>
        <w:rPr>
          <w:sz w:val="28"/>
          <w:szCs w:val="28"/>
        </w:rPr>
      </w:pPr>
      <w:bookmarkStart w:id="7" w:name="_Toc507148933"/>
      <w:bookmarkStart w:id="8" w:name="_Toc515267884"/>
      <w:r w:rsidRPr="00CE15CF">
        <w:rPr>
          <w:sz w:val="28"/>
          <w:szCs w:val="28"/>
        </w:rPr>
        <w:lastRenderedPageBreak/>
        <w:t>Introduction</w:t>
      </w:r>
      <w:bookmarkEnd w:id="7"/>
      <w:bookmarkEnd w:id="8"/>
    </w:p>
    <w:p w14:paraId="2810C1FD" w14:textId="24CF03C1" w:rsidR="00662B66" w:rsidRPr="00CE15CF" w:rsidRDefault="00662B66" w:rsidP="00CE15CF">
      <w:pPr>
        <w:pStyle w:val="StyleHeading2u2h2ABC2ChptTimesNewRomanLinespaci"/>
      </w:pPr>
      <w:bookmarkStart w:id="9" w:name="_Toc507148934"/>
      <w:bookmarkStart w:id="10" w:name="_Toc515267885"/>
      <w:r w:rsidRPr="00CE15CF">
        <w:t>Overview of actions to date</w:t>
      </w:r>
      <w:bookmarkEnd w:id="9"/>
      <w:bookmarkEnd w:id="10"/>
    </w:p>
    <w:p w14:paraId="2B2EFB1B" w14:textId="3CD98B1F" w:rsidR="00B4152E" w:rsidRPr="00CE15CF" w:rsidRDefault="00B4152E" w:rsidP="00CE15CF">
      <w:pPr>
        <w:pStyle w:val="Paralevel1"/>
      </w:pPr>
      <w:r w:rsidRPr="00CE15CF">
        <w:t>In June 2015</w:t>
      </w:r>
      <w:r w:rsidR="00B83B5A" w:rsidRPr="00CE15CF">
        <w:t xml:space="preserve">, </w:t>
      </w:r>
      <w:r w:rsidRPr="00CE15CF">
        <w:t xml:space="preserve">the European Union </w:t>
      </w:r>
      <w:r w:rsidR="00DE64F1" w:rsidRPr="00CE15CF">
        <w:t xml:space="preserve">(EU) </w:t>
      </w:r>
      <w:r w:rsidRPr="00CE15CF">
        <w:t xml:space="preserve">and its </w:t>
      </w:r>
      <w:r w:rsidR="00DE64F1" w:rsidRPr="00CE15CF">
        <w:t>m</w:t>
      </w:r>
      <w:r w:rsidRPr="00CE15CF">
        <w:t xml:space="preserve">ember States submitted a proposal to list </w:t>
      </w:r>
      <w:proofErr w:type="spellStart"/>
      <w:r w:rsidRPr="00CE15CF">
        <w:t>pentadecafluorooctanoic</w:t>
      </w:r>
      <w:proofErr w:type="spellEnd"/>
      <w:r w:rsidRPr="00CE15CF">
        <w:t xml:space="preserve"> acid (CAS No: 335-67-1, PFOA, perfluorooctanoic acid), its salts and PFOA-related compounds in Annex A, B, and/or C of the Stockholm Convention (UNEP/POPS/POPRC.11/5). This proposal was considered by the Persistent Organic Pollutants Review Committee (POPRC) at its eleventh meeting held in October 2015, where the Committee concluded that PFOA fulfilled the screening criteria in Annex D and that issues related to the inclusion of PFOA-related compounds that potentially degrade to PFOA and the inclusion of PFOA salts should be addressed in the draft risk profile (see </w:t>
      </w:r>
      <w:r w:rsidR="000002F1" w:rsidRPr="00CE15CF">
        <w:t>d</w:t>
      </w:r>
      <w:r w:rsidRPr="00CE15CF">
        <w:t xml:space="preserve">ecision POPRC-11/4). </w:t>
      </w:r>
    </w:p>
    <w:p w14:paraId="44640297" w14:textId="7C6F1C00" w:rsidR="00B4152E" w:rsidRPr="00CE15CF" w:rsidRDefault="00B4152E" w:rsidP="00CE15CF">
      <w:pPr>
        <w:pStyle w:val="Paralevel1"/>
      </w:pPr>
      <w:r w:rsidRPr="00CE15CF">
        <w:t xml:space="preserve">The substances covered by the risk profile </w:t>
      </w:r>
      <w:r w:rsidR="00064556" w:rsidRPr="00CE15CF">
        <w:t>are</w:t>
      </w:r>
      <w:r w:rsidRPr="00CE15CF">
        <w:t xml:space="preserve"> PFOA including its isomers, its salts and PFOA-related compounds. At its twelfth meeting held in September 2016, by its decision</w:t>
      </w:r>
      <w:r w:rsidR="000C226B" w:rsidRPr="00CE15CF">
        <w:t xml:space="preserve"> </w:t>
      </w:r>
      <w:r w:rsidRPr="00CE15CF">
        <w:t xml:space="preserve">POPRC-12/2, the </w:t>
      </w:r>
      <w:r w:rsidR="00A76EDB" w:rsidRPr="00CE15CF">
        <w:t>Committee</w:t>
      </w:r>
      <w:r w:rsidRPr="00CE15CF">
        <w:t xml:space="preserve"> adopted the risk profile (UNEP/POPS/POPRC.12/11/Add.2) and decided to establish an intersessional working group to prepare a risk management evaluation </w:t>
      </w:r>
      <w:r w:rsidR="006A261B" w:rsidRPr="00CE15CF">
        <w:t xml:space="preserve">dossier (RME) </w:t>
      </w:r>
      <w:r w:rsidRPr="00CE15CF">
        <w:t>that includes an analysis of possible control measures for PFOA, its salts and PFOA-related compounds in accordance with Annex F to the Convention. Further, the Committee invited Parties and observers to submit to the Secretariat the information specified in Annex F before 9 December 2016.</w:t>
      </w:r>
      <w:r w:rsidR="001002A3" w:rsidRPr="00CE15CF">
        <w:t xml:space="preserve"> </w:t>
      </w:r>
    </w:p>
    <w:p w14:paraId="6CFDBB5F" w14:textId="4ADC6F4F" w:rsidR="00C85D03" w:rsidRPr="00CE15CF" w:rsidRDefault="00C85D03" w:rsidP="00CE15CF">
      <w:pPr>
        <w:pStyle w:val="Paralevel1"/>
      </w:pPr>
      <w:r w:rsidRPr="00CE15CF">
        <w:t xml:space="preserve">By decision POPRC-13/2, the Committee adopted the </w:t>
      </w:r>
      <w:r w:rsidR="00493632" w:rsidRPr="00CE15CF">
        <w:t xml:space="preserve">RME </w:t>
      </w:r>
      <w:r w:rsidRPr="00CE15CF">
        <w:t xml:space="preserve">on PFOA, its salts and PFOA-related compounds </w:t>
      </w:r>
      <w:r w:rsidR="004248C8" w:rsidRPr="00CE15CF">
        <w:t xml:space="preserve">(UNEP/POPS/POPRC.13/7/Add.2) </w:t>
      </w:r>
      <w:r w:rsidRPr="00CE15CF">
        <w:t>and decided, in accordance with paragraph 9 of Article 8 of the Convention, to recommend to the Conference of the Parties that it consider listing PFOA, its salts and PFOA-related compounds in Annex A or B to the Convention with specific exemptions for the following:</w:t>
      </w:r>
    </w:p>
    <w:p w14:paraId="17EEE346" w14:textId="77777777" w:rsidR="00787600" w:rsidRPr="00CE15CF" w:rsidRDefault="00787600" w:rsidP="00CE15CF">
      <w:pPr>
        <w:tabs>
          <w:tab w:val="left" w:pos="0"/>
        </w:tabs>
        <w:snapToGrid w:val="0"/>
        <w:spacing w:after="120"/>
        <w:ind w:firstLine="630"/>
        <w:rPr>
          <w:sz w:val="20"/>
          <w:szCs w:val="20"/>
        </w:rPr>
      </w:pPr>
      <w:r w:rsidRPr="00CE15CF">
        <w:rPr>
          <w:sz w:val="20"/>
          <w:szCs w:val="20"/>
        </w:rPr>
        <w:t>(a)</w:t>
      </w:r>
      <w:r w:rsidRPr="00CE15CF">
        <w:rPr>
          <w:sz w:val="20"/>
          <w:szCs w:val="20"/>
        </w:rPr>
        <w:tab/>
        <w:t xml:space="preserve">For five years from the date of entry into force of the amendment in accordance with Article 4: </w:t>
      </w:r>
    </w:p>
    <w:p w14:paraId="18C45756" w14:textId="1AA21739" w:rsidR="00787600" w:rsidRPr="00CE15CF" w:rsidRDefault="00787600" w:rsidP="00CE15CF">
      <w:pPr>
        <w:tabs>
          <w:tab w:val="left" w:pos="1260"/>
        </w:tabs>
        <w:snapToGrid w:val="0"/>
        <w:spacing w:after="120"/>
        <w:ind w:left="1843" w:hanging="583"/>
        <w:rPr>
          <w:sz w:val="20"/>
          <w:szCs w:val="20"/>
        </w:rPr>
      </w:pPr>
      <w:r w:rsidRPr="00CE15CF">
        <w:rPr>
          <w:sz w:val="20"/>
          <w:szCs w:val="20"/>
        </w:rPr>
        <w:t>(</w:t>
      </w:r>
      <w:proofErr w:type="spellStart"/>
      <w:r w:rsidRPr="00CE15CF">
        <w:rPr>
          <w:sz w:val="20"/>
          <w:szCs w:val="20"/>
        </w:rPr>
        <w:t>i</w:t>
      </w:r>
      <w:proofErr w:type="spellEnd"/>
      <w:r w:rsidRPr="00CE15CF">
        <w:rPr>
          <w:sz w:val="20"/>
          <w:szCs w:val="20"/>
        </w:rPr>
        <w:t>)</w:t>
      </w:r>
      <w:r w:rsidRPr="00CE15CF">
        <w:rPr>
          <w:sz w:val="20"/>
          <w:szCs w:val="20"/>
        </w:rPr>
        <w:tab/>
        <w:t xml:space="preserve">Manufacture of semiconductors or related electronic devices: </w:t>
      </w:r>
    </w:p>
    <w:p w14:paraId="3F5734F1" w14:textId="77777777" w:rsidR="00787600" w:rsidRPr="00CE15CF" w:rsidRDefault="00787600" w:rsidP="00CE15CF">
      <w:pPr>
        <w:tabs>
          <w:tab w:val="left" w:pos="624"/>
        </w:tabs>
        <w:snapToGrid w:val="0"/>
        <w:spacing w:after="120"/>
        <w:ind w:left="2340" w:hanging="497"/>
        <w:rPr>
          <w:sz w:val="20"/>
          <w:szCs w:val="20"/>
        </w:rPr>
      </w:pPr>
      <w:r w:rsidRPr="00CE15CF">
        <w:rPr>
          <w:sz w:val="20"/>
          <w:szCs w:val="20"/>
        </w:rPr>
        <w:t>a.</w:t>
      </w:r>
      <w:r w:rsidRPr="00CE15CF">
        <w:rPr>
          <w:sz w:val="20"/>
          <w:szCs w:val="20"/>
        </w:rPr>
        <w:tab/>
        <w:t>Equipment or fabrication plant</w:t>
      </w:r>
      <w:r w:rsidRPr="00CE15CF">
        <w:rPr>
          <w:sz w:val="20"/>
        </w:rPr>
        <w:t xml:space="preserve"> related infrastructure </w:t>
      </w:r>
      <w:r w:rsidRPr="00CE15CF">
        <w:rPr>
          <w:sz w:val="20"/>
          <w:szCs w:val="20"/>
        </w:rPr>
        <w:t xml:space="preserve">containing fluoropolymers and/or </w:t>
      </w:r>
      <w:proofErr w:type="spellStart"/>
      <w:r w:rsidRPr="00CE15CF">
        <w:rPr>
          <w:sz w:val="20"/>
          <w:szCs w:val="20"/>
        </w:rPr>
        <w:t>fluoroelastomers</w:t>
      </w:r>
      <w:proofErr w:type="spellEnd"/>
      <w:r w:rsidRPr="00CE15CF">
        <w:rPr>
          <w:sz w:val="20"/>
          <w:szCs w:val="20"/>
        </w:rPr>
        <w:t xml:space="preserve"> with PFOA residues; </w:t>
      </w:r>
    </w:p>
    <w:p w14:paraId="0F96CBF5" w14:textId="77777777" w:rsidR="00787600" w:rsidRPr="00CE15CF" w:rsidRDefault="00787600" w:rsidP="00CE15CF">
      <w:pPr>
        <w:tabs>
          <w:tab w:val="left" w:pos="624"/>
        </w:tabs>
        <w:snapToGrid w:val="0"/>
        <w:spacing w:after="120"/>
        <w:ind w:left="2340" w:hanging="497"/>
        <w:rPr>
          <w:sz w:val="20"/>
          <w:szCs w:val="20"/>
        </w:rPr>
      </w:pPr>
      <w:r w:rsidRPr="00CE15CF">
        <w:rPr>
          <w:sz w:val="20"/>
          <w:szCs w:val="20"/>
        </w:rPr>
        <w:t>b.</w:t>
      </w:r>
      <w:r w:rsidRPr="00CE15CF">
        <w:rPr>
          <w:sz w:val="20"/>
          <w:szCs w:val="20"/>
        </w:rPr>
        <w:tab/>
        <w:t xml:space="preserve">Legacy equipment or legacy fabrication plant related infrastructure: maintenance; </w:t>
      </w:r>
    </w:p>
    <w:p w14:paraId="271B37A5" w14:textId="77777777" w:rsidR="00787600" w:rsidRPr="00CE15CF" w:rsidRDefault="00787600" w:rsidP="00CE15CF">
      <w:pPr>
        <w:tabs>
          <w:tab w:val="left" w:pos="624"/>
        </w:tabs>
        <w:snapToGrid w:val="0"/>
        <w:spacing w:after="120"/>
        <w:ind w:left="2340" w:hanging="497"/>
        <w:rPr>
          <w:sz w:val="20"/>
          <w:szCs w:val="20"/>
        </w:rPr>
      </w:pPr>
      <w:r w:rsidRPr="00CE15CF">
        <w:rPr>
          <w:sz w:val="20"/>
          <w:szCs w:val="20"/>
        </w:rPr>
        <w:t>c.</w:t>
      </w:r>
      <w:r w:rsidRPr="00CE15CF">
        <w:rPr>
          <w:sz w:val="20"/>
          <w:szCs w:val="20"/>
        </w:rPr>
        <w:tab/>
        <w:t>Photo</w:t>
      </w:r>
      <w:r w:rsidRPr="00CE15CF">
        <w:rPr>
          <w:sz w:val="20"/>
        </w:rPr>
        <w:t xml:space="preserve">-lithography </w:t>
      </w:r>
      <w:r w:rsidRPr="00CE15CF">
        <w:rPr>
          <w:sz w:val="20"/>
          <w:szCs w:val="20"/>
        </w:rPr>
        <w:t xml:space="preserve">or etch </w:t>
      </w:r>
      <w:r w:rsidRPr="00CE15CF">
        <w:rPr>
          <w:sz w:val="20"/>
        </w:rPr>
        <w:t>processes</w:t>
      </w:r>
      <w:r w:rsidRPr="00CE15CF">
        <w:rPr>
          <w:sz w:val="20"/>
          <w:szCs w:val="20"/>
        </w:rPr>
        <w:t>;</w:t>
      </w:r>
    </w:p>
    <w:p w14:paraId="5A326CE9" w14:textId="77777777" w:rsidR="00787600" w:rsidRPr="00CE15CF" w:rsidRDefault="00787600" w:rsidP="00CE15CF">
      <w:pPr>
        <w:tabs>
          <w:tab w:val="left" w:pos="624"/>
        </w:tabs>
        <w:snapToGrid w:val="0"/>
        <w:spacing w:after="120"/>
        <w:ind w:left="1843" w:hanging="583"/>
        <w:rPr>
          <w:sz w:val="20"/>
          <w:szCs w:val="20"/>
        </w:rPr>
      </w:pPr>
      <w:r w:rsidRPr="00CE15CF">
        <w:rPr>
          <w:sz w:val="20"/>
          <w:szCs w:val="20"/>
        </w:rPr>
        <w:t>(ii)</w:t>
      </w:r>
      <w:r w:rsidRPr="00CE15CF">
        <w:rPr>
          <w:sz w:val="20"/>
          <w:szCs w:val="20"/>
        </w:rPr>
        <w:tab/>
        <w:t>Photographic coatings applied to films;</w:t>
      </w:r>
    </w:p>
    <w:p w14:paraId="5B891AC8" w14:textId="77777777" w:rsidR="00787600" w:rsidRPr="00CE15CF" w:rsidRDefault="00787600" w:rsidP="00CE15CF">
      <w:pPr>
        <w:tabs>
          <w:tab w:val="left" w:pos="624"/>
        </w:tabs>
        <w:snapToGrid w:val="0"/>
        <w:spacing w:after="120"/>
        <w:ind w:left="1843" w:hanging="583"/>
        <w:rPr>
          <w:sz w:val="20"/>
          <w:szCs w:val="20"/>
        </w:rPr>
      </w:pPr>
      <w:r w:rsidRPr="00CE15CF">
        <w:rPr>
          <w:sz w:val="20"/>
          <w:szCs w:val="20"/>
        </w:rPr>
        <w:t>(iii)</w:t>
      </w:r>
      <w:r w:rsidRPr="00CE15CF">
        <w:rPr>
          <w:sz w:val="20"/>
          <w:szCs w:val="20"/>
        </w:rPr>
        <w:tab/>
        <w:t xml:space="preserve">Textiles for oil and water </w:t>
      </w:r>
      <w:proofErr w:type="spellStart"/>
      <w:r w:rsidRPr="00CE15CF">
        <w:rPr>
          <w:sz w:val="20"/>
          <w:szCs w:val="20"/>
        </w:rPr>
        <w:t>repellency</w:t>
      </w:r>
      <w:proofErr w:type="spellEnd"/>
      <w:r w:rsidRPr="00CE15CF">
        <w:rPr>
          <w:sz w:val="20"/>
          <w:szCs w:val="20"/>
        </w:rPr>
        <w:t xml:space="preserve"> for the protection from dangerous liquids for the protection of workers from risks to their health and safety;</w:t>
      </w:r>
    </w:p>
    <w:p w14:paraId="35D55954" w14:textId="77777777" w:rsidR="00787600" w:rsidRPr="00CE15CF" w:rsidRDefault="00787600" w:rsidP="00CE15CF">
      <w:pPr>
        <w:snapToGrid w:val="0"/>
        <w:spacing w:after="120"/>
        <w:ind w:firstLine="630"/>
        <w:rPr>
          <w:sz w:val="20"/>
          <w:szCs w:val="20"/>
        </w:rPr>
      </w:pPr>
      <w:r w:rsidRPr="00CE15CF">
        <w:rPr>
          <w:sz w:val="20"/>
          <w:szCs w:val="20"/>
        </w:rPr>
        <w:t>(b)</w:t>
      </w:r>
      <w:r w:rsidRPr="00CE15CF">
        <w:rPr>
          <w:sz w:val="20"/>
          <w:szCs w:val="20"/>
        </w:rPr>
        <w:tab/>
        <w:t xml:space="preserve">For ten years from the date of entry into force of the amendment for manufacture of semiconductors or related electronic devices: refurbishment parts containing fluoropolymers and/or </w:t>
      </w:r>
      <w:proofErr w:type="spellStart"/>
      <w:r w:rsidRPr="00CE15CF">
        <w:rPr>
          <w:sz w:val="20"/>
          <w:szCs w:val="20"/>
        </w:rPr>
        <w:t>fluoroelastomers</w:t>
      </w:r>
      <w:proofErr w:type="spellEnd"/>
      <w:r w:rsidRPr="00CE15CF">
        <w:rPr>
          <w:sz w:val="20"/>
          <w:szCs w:val="20"/>
        </w:rPr>
        <w:t xml:space="preserve"> with PFOA residues for legacy equipment or legacy refurbishment parts;</w:t>
      </w:r>
    </w:p>
    <w:p w14:paraId="18D70146" w14:textId="3DC290DD" w:rsidR="00493632" w:rsidRPr="00CE15CF" w:rsidRDefault="00787600" w:rsidP="00CE15CF">
      <w:pPr>
        <w:snapToGrid w:val="0"/>
        <w:spacing w:after="120"/>
        <w:ind w:firstLine="630"/>
        <w:rPr>
          <w:sz w:val="20"/>
          <w:szCs w:val="20"/>
        </w:rPr>
      </w:pPr>
      <w:r w:rsidRPr="00CE15CF">
        <w:rPr>
          <w:sz w:val="20"/>
          <w:szCs w:val="20"/>
        </w:rPr>
        <w:t>(c)</w:t>
      </w:r>
      <w:r w:rsidRPr="00CE15CF">
        <w:rPr>
          <w:sz w:val="20"/>
          <w:szCs w:val="20"/>
        </w:rPr>
        <w:tab/>
        <w:t xml:space="preserve">For use of </w:t>
      </w:r>
      <w:proofErr w:type="spellStart"/>
      <w:r w:rsidRPr="00CE15CF">
        <w:rPr>
          <w:sz w:val="20"/>
          <w:szCs w:val="20"/>
        </w:rPr>
        <w:t>perfluorooctane</w:t>
      </w:r>
      <w:proofErr w:type="spellEnd"/>
      <w:r w:rsidRPr="00CE15CF">
        <w:rPr>
          <w:sz w:val="20"/>
          <w:szCs w:val="20"/>
        </w:rPr>
        <w:t xml:space="preserve"> iodide, production of </w:t>
      </w:r>
      <w:proofErr w:type="spellStart"/>
      <w:r w:rsidRPr="00CE15CF">
        <w:rPr>
          <w:sz w:val="20"/>
          <w:szCs w:val="20"/>
        </w:rPr>
        <w:t>perfluorooctane</w:t>
      </w:r>
      <w:proofErr w:type="spellEnd"/>
      <w:r w:rsidRPr="00CE15CF">
        <w:rPr>
          <w:sz w:val="20"/>
          <w:szCs w:val="20"/>
        </w:rPr>
        <w:t xml:space="preserve"> bromide </w:t>
      </w:r>
      <w:proofErr w:type="gramStart"/>
      <w:r w:rsidRPr="00CE15CF">
        <w:rPr>
          <w:sz w:val="20"/>
          <w:szCs w:val="20"/>
        </w:rPr>
        <w:t>for the purpose of</w:t>
      </w:r>
      <w:proofErr w:type="gramEnd"/>
      <w:r w:rsidRPr="00CE15CF">
        <w:rPr>
          <w:sz w:val="20"/>
          <w:szCs w:val="20"/>
        </w:rPr>
        <w:t xml:space="preserve"> producing pharmaceutical products with a review of continued need for exemptions. The specific exemption should expire in any case at the latest in 2036.</w:t>
      </w:r>
    </w:p>
    <w:p w14:paraId="7759A1ED" w14:textId="410DD23E" w:rsidR="007E3095" w:rsidRPr="00CE15CF" w:rsidRDefault="007E3095" w:rsidP="00CE15CF">
      <w:pPr>
        <w:pStyle w:val="Paralevel1"/>
      </w:pPr>
      <w:bookmarkStart w:id="11" w:name="_Ref503868190"/>
      <w:r w:rsidRPr="00CE15CF">
        <w:t xml:space="preserve">The Committee invited Parties and observers, including the relevant industries, to provide, by 12 January 2018, information that would assist the possible defining by the Committee of specific exemptions for production and use of PFOA, its salts and PFOA-related compounds </w:t>
      </w:r>
      <w:proofErr w:type="gramStart"/>
      <w:r w:rsidRPr="00CE15CF">
        <w:t>in particular in</w:t>
      </w:r>
      <w:proofErr w:type="gramEnd"/>
      <w:r w:rsidRPr="00CE15CF">
        <w:t xml:space="preserve"> the following applications:</w:t>
      </w:r>
      <w:bookmarkEnd w:id="11"/>
    </w:p>
    <w:p w14:paraId="44A6013A" w14:textId="77777777" w:rsidR="007E3095" w:rsidRPr="00CE15CF" w:rsidRDefault="007E3095" w:rsidP="00CE15CF">
      <w:pPr>
        <w:tabs>
          <w:tab w:val="left" w:pos="0"/>
        </w:tabs>
        <w:snapToGrid w:val="0"/>
        <w:spacing w:after="120"/>
        <w:ind w:firstLine="630"/>
        <w:rPr>
          <w:sz w:val="20"/>
          <w:szCs w:val="20"/>
        </w:rPr>
      </w:pPr>
      <w:r w:rsidRPr="00CE15CF">
        <w:rPr>
          <w:sz w:val="20"/>
          <w:szCs w:val="20"/>
        </w:rPr>
        <w:t>(a)</w:t>
      </w:r>
      <w:r w:rsidRPr="00CE15CF">
        <w:rPr>
          <w:sz w:val="20"/>
          <w:szCs w:val="20"/>
        </w:rPr>
        <w:tab/>
        <w:t>Membranes intended for use in medical textiles, filtration in water treatment, production processes and effluent treatment: information on the scope of the applications, used amounts, availability of alternatives and socio-economic aspects;</w:t>
      </w:r>
    </w:p>
    <w:p w14:paraId="2F89D8ED" w14:textId="77777777" w:rsidR="007E3095" w:rsidRPr="00CE15CF" w:rsidRDefault="007E3095" w:rsidP="00CE15CF">
      <w:pPr>
        <w:tabs>
          <w:tab w:val="left" w:pos="0"/>
        </w:tabs>
        <w:snapToGrid w:val="0"/>
        <w:spacing w:after="120"/>
        <w:ind w:firstLine="630"/>
        <w:rPr>
          <w:sz w:val="20"/>
          <w:szCs w:val="20"/>
        </w:rPr>
      </w:pPr>
      <w:r w:rsidRPr="00CE15CF">
        <w:rPr>
          <w:sz w:val="20"/>
          <w:szCs w:val="20"/>
        </w:rPr>
        <w:t>(b)</w:t>
      </w:r>
      <w:r w:rsidRPr="00CE15CF">
        <w:rPr>
          <w:sz w:val="20"/>
          <w:szCs w:val="20"/>
        </w:rPr>
        <w:tab/>
        <w:t xml:space="preserve">Transported isolated intermediates </w:t>
      </w:r>
      <w:proofErr w:type="gramStart"/>
      <w:r w:rsidRPr="00CE15CF">
        <w:rPr>
          <w:sz w:val="20"/>
          <w:szCs w:val="20"/>
        </w:rPr>
        <w:t>in order to</w:t>
      </w:r>
      <w:proofErr w:type="gramEnd"/>
      <w:r w:rsidRPr="00CE15CF">
        <w:rPr>
          <w:sz w:val="20"/>
          <w:szCs w:val="20"/>
        </w:rPr>
        <w:t xml:space="preserve"> enable reprocessing in another site than the production site: information on the quantities used, extent of transport and risks, and use;</w:t>
      </w:r>
    </w:p>
    <w:p w14:paraId="5653C12E" w14:textId="77777777" w:rsidR="007E3095" w:rsidRPr="00CE15CF" w:rsidRDefault="007E3095" w:rsidP="00CE15CF">
      <w:pPr>
        <w:tabs>
          <w:tab w:val="left" w:pos="0"/>
        </w:tabs>
        <w:snapToGrid w:val="0"/>
        <w:spacing w:after="120"/>
        <w:ind w:firstLine="630"/>
        <w:rPr>
          <w:sz w:val="20"/>
          <w:szCs w:val="20"/>
        </w:rPr>
      </w:pPr>
      <w:r w:rsidRPr="00CE15CF">
        <w:rPr>
          <w:sz w:val="20"/>
          <w:szCs w:val="20"/>
        </w:rPr>
        <w:t>(c)</w:t>
      </w:r>
      <w:r w:rsidRPr="00CE15CF">
        <w:rPr>
          <w:sz w:val="20"/>
          <w:szCs w:val="20"/>
        </w:rPr>
        <w:tab/>
        <w:t>Medical devices: information on specific applications/uses and timelines foreseen as needed for potential related exemptions;</w:t>
      </w:r>
    </w:p>
    <w:p w14:paraId="6626EDAE" w14:textId="77777777" w:rsidR="007E3095" w:rsidRPr="00CE15CF" w:rsidRDefault="007E3095" w:rsidP="00CE15CF">
      <w:pPr>
        <w:tabs>
          <w:tab w:val="left" w:pos="0"/>
        </w:tabs>
        <w:snapToGrid w:val="0"/>
        <w:spacing w:after="120"/>
        <w:ind w:firstLine="630"/>
        <w:rPr>
          <w:sz w:val="20"/>
          <w:szCs w:val="20"/>
        </w:rPr>
      </w:pPr>
      <w:r w:rsidRPr="00CE15CF">
        <w:rPr>
          <w:sz w:val="20"/>
          <w:szCs w:val="20"/>
        </w:rPr>
        <w:t>(d)</w:t>
      </w:r>
      <w:r w:rsidRPr="00CE15CF">
        <w:rPr>
          <w:sz w:val="20"/>
          <w:szCs w:val="20"/>
        </w:rPr>
        <w:tab/>
        <w:t>Implantable medical devices: information on the quantities used, extent of transport and risks, and use;</w:t>
      </w:r>
    </w:p>
    <w:p w14:paraId="7E792298" w14:textId="77777777" w:rsidR="007E3095" w:rsidRPr="00CE15CF" w:rsidRDefault="007E3095" w:rsidP="00CE15CF">
      <w:pPr>
        <w:tabs>
          <w:tab w:val="left" w:pos="0"/>
        </w:tabs>
        <w:snapToGrid w:val="0"/>
        <w:spacing w:after="120"/>
        <w:ind w:firstLine="630"/>
        <w:rPr>
          <w:sz w:val="20"/>
          <w:szCs w:val="20"/>
        </w:rPr>
      </w:pPr>
      <w:r w:rsidRPr="00CE15CF">
        <w:rPr>
          <w:sz w:val="20"/>
          <w:szCs w:val="20"/>
        </w:rPr>
        <w:t>(e)</w:t>
      </w:r>
      <w:r w:rsidRPr="00CE15CF">
        <w:rPr>
          <w:sz w:val="20"/>
          <w:szCs w:val="20"/>
        </w:rPr>
        <w:tab/>
        <w:t>Photo imaging sector: information on paper and printing, and information relevant for developing countries;</w:t>
      </w:r>
    </w:p>
    <w:p w14:paraId="08312120" w14:textId="77777777" w:rsidR="007E3095" w:rsidRPr="00CE15CF" w:rsidRDefault="007E3095" w:rsidP="00CE15CF">
      <w:pPr>
        <w:tabs>
          <w:tab w:val="left" w:pos="0"/>
        </w:tabs>
        <w:snapToGrid w:val="0"/>
        <w:spacing w:after="120"/>
        <w:ind w:firstLine="630"/>
        <w:rPr>
          <w:sz w:val="20"/>
          <w:szCs w:val="20"/>
        </w:rPr>
      </w:pPr>
      <w:r w:rsidRPr="00CE15CF">
        <w:rPr>
          <w:sz w:val="20"/>
          <w:szCs w:val="20"/>
        </w:rPr>
        <w:t>(f)</w:t>
      </w:r>
      <w:r w:rsidRPr="00CE15CF">
        <w:rPr>
          <w:sz w:val="20"/>
          <w:szCs w:val="20"/>
        </w:rPr>
        <w:tab/>
        <w:t>Automotive industry: information on spare parts;</w:t>
      </w:r>
    </w:p>
    <w:p w14:paraId="5FD07E7F" w14:textId="6D693659" w:rsidR="007E3095" w:rsidRPr="00CE15CF" w:rsidRDefault="007E3095" w:rsidP="00CE15CF">
      <w:pPr>
        <w:snapToGrid w:val="0"/>
        <w:spacing w:after="120"/>
        <w:ind w:firstLine="630"/>
        <w:rPr>
          <w:sz w:val="20"/>
          <w:szCs w:val="20"/>
        </w:rPr>
      </w:pPr>
      <w:r w:rsidRPr="00CE15CF">
        <w:rPr>
          <w:sz w:val="20"/>
          <w:szCs w:val="20"/>
        </w:rPr>
        <w:t>(g)</w:t>
      </w:r>
      <w:r w:rsidRPr="00CE15CF">
        <w:rPr>
          <w:sz w:val="20"/>
          <w:szCs w:val="20"/>
        </w:rPr>
        <w:tab/>
        <w:t>Firefighting foams: information on chemical composition of mixtures and the volumes of pre-installed amount of firefighting foam mixtures.</w:t>
      </w:r>
    </w:p>
    <w:p w14:paraId="5168344F" w14:textId="77777777" w:rsidR="00D245F4" w:rsidRPr="00CE15CF" w:rsidRDefault="00D245F4" w:rsidP="00CE15CF">
      <w:pPr>
        <w:pStyle w:val="Paralevel1"/>
      </w:pPr>
      <w:r w:rsidRPr="00CE15CF">
        <w:lastRenderedPageBreak/>
        <w:t xml:space="preserve">For the </w:t>
      </w:r>
      <w:proofErr w:type="gramStart"/>
      <w:r w:rsidRPr="00CE15CF">
        <w:t>applications</w:t>
      </w:r>
      <w:proofErr w:type="gramEnd"/>
      <w:r w:rsidRPr="00CE15CF">
        <w:t xml:space="preserve"> above, information regarding socio-economic aspects as well as other relevant information is also welcomed.</w:t>
      </w:r>
    </w:p>
    <w:p w14:paraId="75DB479B" w14:textId="77777777" w:rsidR="00736A2D" w:rsidRPr="00CE15CF" w:rsidRDefault="00D245F4" w:rsidP="00CE15CF">
      <w:pPr>
        <w:pStyle w:val="Paralevel1"/>
      </w:pPr>
      <w:r w:rsidRPr="00CE15CF">
        <w:t xml:space="preserve">Furthermore, the Committee invited Parties and observers to provide, information that would assist the Committee to further evaluate unintentional formation and release of PFOA, its salts and PFOA-related compounds, </w:t>
      </w:r>
      <w:proofErr w:type="gramStart"/>
      <w:r w:rsidRPr="00CE15CF">
        <w:t>in particular from</w:t>
      </w:r>
      <w:proofErr w:type="gramEnd"/>
      <w:r w:rsidRPr="00CE15CF">
        <w:t xml:space="preserve"> primary aluminium production and from incomplete combustion. Finally, the Committee invited Parties and observers to provide information that would assist the Committee to further evaluate the chemical identity of PFOA-related compounds chemical list. </w:t>
      </w:r>
    </w:p>
    <w:p w14:paraId="642BB5AC" w14:textId="57184B13" w:rsidR="00736A2D" w:rsidRPr="00CE15CF" w:rsidRDefault="00D245F4" w:rsidP="00CE15CF">
      <w:pPr>
        <w:pStyle w:val="Paralevel1"/>
      </w:pPr>
      <w:r w:rsidRPr="00CE15CF">
        <w:t xml:space="preserve">This document represents an </w:t>
      </w:r>
      <w:r w:rsidRPr="00CE15CF">
        <w:rPr>
          <w:i/>
        </w:rPr>
        <w:t>addendum</w:t>
      </w:r>
      <w:r w:rsidRPr="00CE15CF">
        <w:t xml:space="preserve"> to the adopted </w:t>
      </w:r>
      <w:r w:rsidR="006A261B" w:rsidRPr="00CE15CF">
        <w:t>RME</w:t>
      </w:r>
      <w:r w:rsidRPr="00CE15CF">
        <w:t xml:space="preserve"> of PFOA, its salts and PFOA-related compounds (UNEP/POPS/POPRC.13/7/Add.2; considering the information received from </w:t>
      </w:r>
      <w:r w:rsidR="0049269F" w:rsidRPr="00CE15CF">
        <w:t>P</w:t>
      </w:r>
      <w:r w:rsidRPr="00CE15CF">
        <w:t xml:space="preserve">arties and observers. The RME will not be re-opened. To aid readers, the present document contains references to the RME and repeats selected essential details from the </w:t>
      </w:r>
      <w:r w:rsidR="006119F4" w:rsidRPr="00CE15CF">
        <w:t>RME</w:t>
      </w:r>
      <w:r w:rsidRPr="00CE15CF">
        <w:t xml:space="preserve"> </w:t>
      </w:r>
      <w:r w:rsidR="008A1EB1" w:rsidRPr="00CE15CF">
        <w:t xml:space="preserve">(in italics) </w:t>
      </w:r>
      <w:proofErr w:type="gramStart"/>
      <w:r w:rsidRPr="00CE15CF">
        <w:t>in order to</w:t>
      </w:r>
      <w:proofErr w:type="gramEnd"/>
      <w:r w:rsidRPr="00CE15CF">
        <w:t xml:space="preserve"> enable a good understanding for an informed discussion at the </w:t>
      </w:r>
      <w:r w:rsidR="0049269F" w:rsidRPr="00CE15CF">
        <w:t xml:space="preserve">fourteenth </w:t>
      </w:r>
      <w:r w:rsidRPr="00CE15CF">
        <w:t xml:space="preserve">meeting of the </w:t>
      </w:r>
      <w:r w:rsidR="009B638E" w:rsidRPr="00CE15CF">
        <w:t>Committee</w:t>
      </w:r>
      <w:r w:rsidR="00293920" w:rsidRPr="00CE15CF">
        <w:t>.</w:t>
      </w:r>
      <w:r w:rsidRPr="00CE15CF">
        <w:t xml:space="preserve"> </w:t>
      </w:r>
      <w:bookmarkStart w:id="12" w:name="_Toc507148935"/>
    </w:p>
    <w:p w14:paraId="5FFBE968" w14:textId="5780E7F8" w:rsidR="006A261B" w:rsidRPr="00CE15CF" w:rsidRDefault="006A261B" w:rsidP="00CE15CF">
      <w:pPr>
        <w:pStyle w:val="Heading2"/>
        <w:tabs>
          <w:tab w:val="clear" w:pos="756"/>
          <w:tab w:val="num" w:pos="630"/>
        </w:tabs>
        <w:spacing w:before="240" w:after="120" w:line="240" w:lineRule="auto"/>
        <w:ind w:left="763" w:hanging="763"/>
        <w:rPr>
          <w:sz w:val="24"/>
        </w:rPr>
      </w:pPr>
      <w:bookmarkStart w:id="13" w:name="_Toc515267886"/>
      <w:r w:rsidRPr="00CE15CF">
        <w:rPr>
          <w:sz w:val="24"/>
        </w:rPr>
        <w:t>Structure of this document</w:t>
      </w:r>
      <w:bookmarkEnd w:id="12"/>
      <w:bookmarkEnd w:id="13"/>
    </w:p>
    <w:p w14:paraId="06D8E648" w14:textId="70E5A870" w:rsidR="00FD5C9E" w:rsidRPr="00CE15CF" w:rsidRDefault="00FD5C9E" w:rsidP="00CE15CF">
      <w:pPr>
        <w:pStyle w:val="Paralevel1"/>
      </w:pPr>
      <w:bookmarkStart w:id="14" w:name="_Toc507148936"/>
      <w:r w:rsidRPr="00CE15CF">
        <w:t xml:space="preserve">For ease of reference this document has been set out in a chronological fashion to answer the questions set out by the </w:t>
      </w:r>
      <w:r w:rsidR="00020EDF" w:rsidRPr="00CE15CF">
        <w:t xml:space="preserve">Committee’s </w:t>
      </w:r>
      <w:r w:rsidR="00E80F11" w:rsidRPr="00CE15CF">
        <w:t xml:space="preserve">invitation </w:t>
      </w:r>
      <w:r w:rsidRPr="00CE15CF">
        <w:t xml:space="preserve">for </w:t>
      </w:r>
      <w:r w:rsidR="00020EDF" w:rsidRPr="00CE15CF">
        <w:t xml:space="preserve">additional </w:t>
      </w:r>
      <w:r w:rsidRPr="00CE15CF">
        <w:t xml:space="preserve">information. Section 2 will provide an overview of information on substance identity. Section 3 will provide information on unintentional releases, and section 4 will provide information on each of the seven uses identified </w:t>
      </w:r>
      <w:r w:rsidR="00AB74C3" w:rsidRPr="00CE15CF">
        <w:t>in paragraph 3 of decision POPRC-13/2</w:t>
      </w:r>
      <w:r w:rsidRPr="00CE15CF">
        <w:t xml:space="preserve">. To provide as complete a narrative as possible and for ease of reference, where necessary sections of the RME have been included in the </w:t>
      </w:r>
      <w:r w:rsidR="00D27AA4" w:rsidRPr="00CE15CF">
        <w:t>current document</w:t>
      </w:r>
      <w:r w:rsidRPr="00CE15CF">
        <w:t xml:space="preserve">. Where this is the case, text will be marked in italics to clearly denote </w:t>
      </w:r>
      <w:r w:rsidR="006D538C" w:rsidRPr="00CE15CF">
        <w:t xml:space="preserve">the </w:t>
      </w:r>
      <w:r w:rsidRPr="00CE15CF">
        <w:t>text taken directly from the RME.</w:t>
      </w:r>
      <w:bookmarkEnd w:id="14"/>
    </w:p>
    <w:p w14:paraId="5CCD2292" w14:textId="6BC6F93E" w:rsidR="00904E67" w:rsidRPr="00CE15CF" w:rsidRDefault="00904E67" w:rsidP="00CE15CF">
      <w:pPr>
        <w:pStyle w:val="StyleHeading2u2h2ABC2ChptTimesNewRomanLinespaci"/>
      </w:pPr>
      <w:bookmarkStart w:id="15" w:name="_Toc507148937"/>
      <w:bookmarkStart w:id="16" w:name="_Toc515267887"/>
      <w:r w:rsidRPr="00CE15CF">
        <w:t>Data sources</w:t>
      </w:r>
      <w:bookmarkEnd w:id="15"/>
      <w:bookmarkEnd w:id="16"/>
    </w:p>
    <w:p w14:paraId="740657FA" w14:textId="15008AC8" w:rsidR="00D245F4" w:rsidRPr="00CE15CF" w:rsidRDefault="00D245F4" w:rsidP="00CE15CF">
      <w:pPr>
        <w:pStyle w:val="Paralevel1"/>
      </w:pPr>
      <w:r w:rsidRPr="00CE15CF">
        <w:t xml:space="preserve">The </w:t>
      </w:r>
      <w:r w:rsidR="00CE3A57" w:rsidRPr="00CE15CF">
        <w:t>current document</w:t>
      </w:r>
      <w:r w:rsidRPr="00CE15CF">
        <w:t xml:space="preserve"> is primarily based on information that has been provided by Parties to the Convention and observers. Information was submitted by the following Parties:</w:t>
      </w:r>
    </w:p>
    <w:p w14:paraId="326A140C" w14:textId="7438A01F" w:rsidR="00D245F4" w:rsidRPr="00CE15CF" w:rsidRDefault="00D245F4" w:rsidP="00CE15CF">
      <w:pPr>
        <w:pStyle w:val="Paralevel2"/>
        <w:numPr>
          <w:ilvl w:val="0"/>
          <w:numId w:val="29"/>
        </w:numPr>
        <w:tabs>
          <w:tab w:val="left" w:pos="1260"/>
        </w:tabs>
        <w:ind w:left="0" w:firstLine="810"/>
      </w:pPr>
      <w:r w:rsidRPr="00CE15CF">
        <w:t>Parties: Belarus, Brazil, Canada, Ecuador, Monaco, Netherlands, Philippines, Sweden and United</w:t>
      </w:r>
      <w:r w:rsidR="007F2F4F">
        <w:t> </w:t>
      </w:r>
      <w:r w:rsidRPr="00CE15CF">
        <w:t>Kingdom</w:t>
      </w:r>
      <w:r w:rsidR="00A34E61" w:rsidRPr="00CE15CF">
        <w:t xml:space="preserve"> of Great Britain and Northern Ireland (UK)</w:t>
      </w:r>
      <w:r w:rsidRPr="00CE15CF">
        <w:t>;</w:t>
      </w:r>
    </w:p>
    <w:p w14:paraId="2A8FDE83" w14:textId="2A4E88E2" w:rsidR="00D245F4" w:rsidRPr="00CE15CF" w:rsidRDefault="00D245F4" w:rsidP="00CE15CF">
      <w:pPr>
        <w:pStyle w:val="Paralevel2"/>
        <w:numPr>
          <w:ilvl w:val="0"/>
          <w:numId w:val="29"/>
        </w:numPr>
        <w:tabs>
          <w:tab w:val="left" w:pos="1260"/>
        </w:tabs>
        <w:ind w:left="0" w:firstLine="810"/>
      </w:pPr>
      <w:r w:rsidRPr="00CE15CF">
        <w:t xml:space="preserve">Observers: </w:t>
      </w:r>
      <w:proofErr w:type="spellStart"/>
      <w:r w:rsidRPr="00CE15CF">
        <w:t>Associação</w:t>
      </w:r>
      <w:proofErr w:type="spellEnd"/>
      <w:r w:rsidRPr="00CE15CF">
        <w:t xml:space="preserve"> </w:t>
      </w:r>
      <w:proofErr w:type="spellStart"/>
      <w:r w:rsidRPr="00CE15CF">
        <w:t>brasileira</w:t>
      </w:r>
      <w:proofErr w:type="spellEnd"/>
      <w:r w:rsidRPr="00CE15CF">
        <w:t xml:space="preserve"> dos </w:t>
      </w:r>
      <w:proofErr w:type="spellStart"/>
      <w:r w:rsidRPr="00CE15CF">
        <w:t>fabricantes</w:t>
      </w:r>
      <w:proofErr w:type="spellEnd"/>
      <w:r w:rsidRPr="00CE15CF">
        <w:t xml:space="preserve"> de </w:t>
      </w:r>
      <w:proofErr w:type="spellStart"/>
      <w:r w:rsidRPr="00CE15CF">
        <w:t>iscas</w:t>
      </w:r>
      <w:proofErr w:type="spellEnd"/>
      <w:r w:rsidRPr="00CE15CF">
        <w:t xml:space="preserve"> </w:t>
      </w:r>
      <w:proofErr w:type="spellStart"/>
      <w:r w:rsidRPr="00CE15CF">
        <w:t>inseticidas</w:t>
      </w:r>
      <w:proofErr w:type="spellEnd"/>
      <w:r w:rsidRPr="00CE15CF">
        <w:t xml:space="preserve"> (ABRAISCA), </w:t>
      </w:r>
      <w:proofErr w:type="spellStart"/>
      <w:r w:rsidRPr="00CE15CF">
        <w:t>FluoroCouncil</w:t>
      </w:r>
      <w:proofErr w:type="spellEnd"/>
      <w:r w:rsidRPr="00CE15CF">
        <w:t xml:space="preserve"> (</w:t>
      </w:r>
      <w:r w:rsidR="008A2780" w:rsidRPr="00CE15CF">
        <w:t xml:space="preserve">including </w:t>
      </w:r>
      <w:proofErr w:type="spellStart"/>
      <w:r w:rsidRPr="00CE15CF">
        <w:t>Archroma</w:t>
      </w:r>
      <w:proofErr w:type="spellEnd"/>
      <w:r w:rsidRPr="00CE15CF">
        <w:t xml:space="preserve">), Canadian Vehicles Manufacturers’ Association (CVMA), </w:t>
      </w:r>
      <w:r w:rsidR="00C34465" w:rsidRPr="00CE15CF">
        <w:t>Fire-fighting</w:t>
      </w:r>
      <w:r w:rsidRPr="00CE15CF">
        <w:t xml:space="preserve"> Foam Coalition</w:t>
      </w:r>
      <w:r w:rsidR="006C6623" w:rsidRPr="00CE15CF">
        <w:t xml:space="preserve"> (FFFC)</w:t>
      </w:r>
      <w:r w:rsidRPr="00CE15CF">
        <w:t>, Health Care Without Harm</w:t>
      </w:r>
      <w:r w:rsidR="00D9745E" w:rsidRPr="00CE15CF">
        <w:t xml:space="preserve"> (HCWH)</w:t>
      </w:r>
      <w:r w:rsidRPr="00CE15CF">
        <w:t xml:space="preserve">, </w:t>
      </w:r>
      <w:proofErr w:type="spellStart"/>
      <w:r w:rsidR="00413D59" w:rsidRPr="00CE15CF">
        <w:t>MedTech</w:t>
      </w:r>
      <w:proofErr w:type="spellEnd"/>
      <w:r w:rsidR="00E31B6A" w:rsidRPr="00CE15CF">
        <w:t xml:space="preserve"> Europe, and joint submission by </w:t>
      </w:r>
      <w:r w:rsidRPr="00CE15CF">
        <w:t>International POPs Elimination Network</w:t>
      </w:r>
      <w:r w:rsidR="00E31B6A" w:rsidRPr="00CE15CF">
        <w:t xml:space="preserve"> (IPEN), and</w:t>
      </w:r>
      <w:r w:rsidRPr="00CE15CF">
        <w:t xml:space="preserve"> Alaska Community Action on Toxics (IPEN/ACAT). </w:t>
      </w:r>
    </w:p>
    <w:p w14:paraId="6C580C5F" w14:textId="21E60FD5" w:rsidR="00D245F4" w:rsidRPr="00CE15CF" w:rsidRDefault="00D245F4" w:rsidP="00CE15CF">
      <w:pPr>
        <w:pStyle w:val="Paralevel1"/>
      </w:pPr>
      <w:r w:rsidRPr="00CE15CF">
        <w:t xml:space="preserve">In addition to the above-mentioned references and comments received from Parties and observers, information has been used from additional open information sources as well as scientific literature (see list of references). The following key references were used as a basis to develop the </w:t>
      </w:r>
      <w:r w:rsidR="0057280B" w:rsidRPr="00CE15CF">
        <w:t>current document</w:t>
      </w:r>
      <w:r w:rsidRPr="00CE15CF">
        <w:t xml:space="preserve">: </w:t>
      </w:r>
    </w:p>
    <w:p w14:paraId="08DF8EFA" w14:textId="45C49F9B" w:rsidR="00D245F4" w:rsidRPr="00CE15CF" w:rsidRDefault="00121D15" w:rsidP="00CE15CF">
      <w:pPr>
        <w:pStyle w:val="Paralevel2"/>
        <w:numPr>
          <w:ilvl w:val="0"/>
          <w:numId w:val="28"/>
        </w:numPr>
        <w:tabs>
          <w:tab w:val="left" w:pos="1260"/>
        </w:tabs>
        <w:ind w:left="0" w:firstLine="810"/>
      </w:pPr>
      <w:r w:rsidRPr="00CE15CF">
        <w:t xml:space="preserve">RME </w:t>
      </w:r>
      <w:r w:rsidR="00D500E6" w:rsidRPr="00CE15CF">
        <w:t xml:space="preserve">on </w:t>
      </w:r>
      <w:r w:rsidRPr="00CE15CF">
        <w:t>PFOA, its salts and PFOA-related compounds (UNEP/POPS/POPRC.13/7/Add.2);</w:t>
      </w:r>
    </w:p>
    <w:p w14:paraId="037CC70B" w14:textId="3B079593" w:rsidR="00D245F4" w:rsidRPr="00CE15CF" w:rsidRDefault="00D245F4" w:rsidP="00CE15CF">
      <w:pPr>
        <w:pStyle w:val="Paralevel2"/>
        <w:numPr>
          <w:ilvl w:val="0"/>
          <w:numId w:val="28"/>
        </w:numPr>
        <w:tabs>
          <w:tab w:val="left" w:pos="1260"/>
        </w:tabs>
        <w:ind w:left="0" w:firstLine="810"/>
      </w:pPr>
      <w:r w:rsidRPr="00CE15CF">
        <w:t xml:space="preserve">Supporting information related to the </w:t>
      </w:r>
      <w:r w:rsidR="006119F4" w:rsidRPr="00CE15CF">
        <w:t>RME</w:t>
      </w:r>
      <w:r w:rsidRPr="00CE15CF">
        <w:t xml:space="preserve"> on PFOA, its salts and PFOA-related compounds (UNEP/POPS/POPRC.13/INF/6)</w:t>
      </w:r>
      <w:r w:rsidR="00CB0912" w:rsidRPr="00CE15CF">
        <w:t>;</w:t>
      </w:r>
      <w:r w:rsidRPr="00CE15CF">
        <w:t xml:space="preserve"> </w:t>
      </w:r>
    </w:p>
    <w:p w14:paraId="64ECA9A4" w14:textId="2D01F0B6" w:rsidR="00D245F4" w:rsidRPr="00CE15CF" w:rsidRDefault="00D245F4" w:rsidP="00CE15CF">
      <w:pPr>
        <w:pStyle w:val="Paralevel2"/>
        <w:numPr>
          <w:ilvl w:val="0"/>
          <w:numId w:val="28"/>
        </w:numPr>
        <w:tabs>
          <w:tab w:val="left" w:pos="1260"/>
        </w:tabs>
        <w:ind w:left="0" w:firstLine="810"/>
      </w:pPr>
      <w:r w:rsidRPr="00CE15CF">
        <w:t xml:space="preserve">Additional information in relation to the </w:t>
      </w:r>
      <w:r w:rsidR="006119F4" w:rsidRPr="00CE15CF">
        <w:t>RME</w:t>
      </w:r>
      <w:r w:rsidRPr="00CE15CF">
        <w:t xml:space="preserve"> of PFOA, its Salts, and Related compounds; Prepared by ETH Zurich on behalf of the Swiss Federal Office for the Environment (FOEN)</w:t>
      </w:r>
      <w:r w:rsidR="00CB0912" w:rsidRPr="00CE15CF">
        <w:t>,</w:t>
      </w:r>
      <w:r w:rsidRPr="00CE15CF">
        <w:t xml:space="preserve"> 2017</w:t>
      </w:r>
      <w:r w:rsidR="00CB0912" w:rsidRPr="00CE15CF">
        <w:t>;</w:t>
      </w:r>
      <w:r w:rsidRPr="00CE15CF">
        <w:t xml:space="preserve"> </w:t>
      </w:r>
    </w:p>
    <w:p w14:paraId="6634DEB4" w14:textId="1888684C" w:rsidR="00D245F4" w:rsidRPr="00CE15CF" w:rsidRDefault="000E7AF3" w:rsidP="00CE15CF">
      <w:pPr>
        <w:pStyle w:val="Paralevel2"/>
        <w:numPr>
          <w:ilvl w:val="0"/>
          <w:numId w:val="28"/>
        </w:numPr>
        <w:tabs>
          <w:tab w:val="left" w:pos="1260"/>
        </w:tabs>
        <w:ind w:left="0" w:firstLine="810"/>
      </w:pPr>
      <w:r w:rsidRPr="00CE15CF">
        <w:t>N</w:t>
      </w:r>
      <w:r w:rsidR="00D245F4" w:rsidRPr="00CE15CF">
        <w:t xml:space="preserve">on-exhaustive list of substances covered or not covered by the </w:t>
      </w:r>
      <w:r w:rsidR="006119F4" w:rsidRPr="00CE15CF">
        <w:t>RME</w:t>
      </w:r>
      <w:r w:rsidR="00F25D2D" w:rsidRPr="00CE15CF">
        <w:t>.</w:t>
      </w:r>
      <w:r w:rsidR="00D245F4" w:rsidRPr="00CE15CF">
        <w:t xml:space="preserve"> (UNEP/POPS/POPRC.13/INF/6/Add.1)</w:t>
      </w:r>
      <w:r w:rsidRPr="00CE15CF">
        <w:t>.</w:t>
      </w:r>
    </w:p>
    <w:p w14:paraId="4860A1EE" w14:textId="4EA83C21" w:rsidR="008022D3" w:rsidRPr="00CE15CF" w:rsidRDefault="008022D3" w:rsidP="00CE15CF">
      <w:pPr>
        <w:pStyle w:val="Heading1"/>
        <w:tabs>
          <w:tab w:val="clear" w:pos="432"/>
          <w:tab w:val="num" w:pos="630"/>
        </w:tabs>
        <w:spacing w:before="240" w:after="120" w:line="240" w:lineRule="auto"/>
        <w:ind w:left="634" w:hanging="634"/>
        <w:rPr>
          <w:sz w:val="28"/>
        </w:rPr>
      </w:pPr>
      <w:bookmarkStart w:id="17" w:name="_Toc506913483"/>
      <w:bookmarkStart w:id="18" w:name="_Toc507148938"/>
      <w:bookmarkStart w:id="19" w:name="_Toc515267888"/>
      <w:r w:rsidRPr="00CE15CF">
        <w:rPr>
          <w:sz w:val="28"/>
        </w:rPr>
        <w:lastRenderedPageBreak/>
        <w:t>Chemical identity of PFOA, its salts and PFOA-related compounds</w:t>
      </w:r>
      <w:bookmarkEnd w:id="17"/>
      <w:bookmarkEnd w:id="18"/>
      <w:bookmarkEnd w:id="19"/>
    </w:p>
    <w:p w14:paraId="3E30F71C" w14:textId="7AB08FC0" w:rsidR="008022D3" w:rsidRPr="00CE15CF" w:rsidRDefault="008022D3" w:rsidP="00CE15CF">
      <w:pPr>
        <w:pStyle w:val="Paralevel1"/>
      </w:pPr>
      <w:bookmarkStart w:id="20" w:name="_Toc130616636"/>
      <w:bookmarkStart w:id="21" w:name="_Toc153938442"/>
      <w:r w:rsidRPr="00CE15CF">
        <w:t xml:space="preserve">The Committee invited Parties and observers to provide information that would assist </w:t>
      </w:r>
      <w:r w:rsidR="00547836" w:rsidRPr="00CE15CF">
        <w:t xml:space="preserve">its </w:t>
      </w:r>
      <w:r w:rsidRPr="00CE15CF">
        <w:t xml:space="preserve">further </w:t>
      </w:r>
      <w:r w:rsidR="00547836" w:rsidRPr="00CE15CF">
        <w:t>evaluation of</w:t>
      </w:r>
      <w:r w:rsidRPr="00CE15CF">
        <w:t xml:space="preserve"> the chemical identity of PFOA-related compounds chemical list. Relevant information has been submitted by The Brazilian Ministry of Agriculture (Brazil, 2018) and ABRAISCA (2018) (Brazilian association of manufacturer of insecticides)</w:t>
      </w:r>
      <w:r w:rsidR="00C67007" w:rsidRPr="00CE15CF">
        <w:t>,</w:t>
      </w:r>
      <w:r w:rsidR="00D2028A" w:rsidRPr="00CE15CF">
        <w:t xml:space="preserve"> Norway (2018), Mexico (2018), Austria (2018), Japan (2018), Canada (2018</w:t>
      </w:r>
      <w:r w:rsidRPr="00CE15CF">
        <w:t xml:space="preserve">) </w:t>
      </w:r>
      <w:proofErr w:type="spellStart"/>
      <w:r w:rsidRPr="00CE15CF">
        <w:t>Fluoro</w:t>
      </w:r>
      <w:proofErr w:type="spellEnd"/>
      <w:r w:rsidRPr="00CE15CF">
        <w:t xml:space="preserve"> Council (</w:t>
      </w:r>
      <w:proofErr w:type="spellStart"/>
      <w:r w:rsidRPr="00CE15CF">
        <w:t>FluoroCouncil</w:t>
      </w:r>
      <w:proofErr w:type="spellEnd"/>
      <w:r w:rsidRPr="00CE15CF">
        <w:t>, 2018</w:t>
      </w:r>
      <w:r w:rsidR="00D2028A" w:rsidRPr="00CE15CF">
        <w:t>a, 2018b</w:t>
      </w:r>
      <w:r w:rsidRPr="00CE15CF">
        <w:t>)</w:t>
      </w:r>
      <w:r w:rsidR="00C67007" w:rsidRPr="00CE15CF">
        <w:t>, and IPEN/ACAT (IPEN/ACT, 2018)</w:t>
      </w:r>
      <w:r w:rsidRPr="00CE15CF">
        <w:t xml:space="preserve">. No additional information is available for submission from Canada on the chemical identity of PFOA except from the information already presented in the risk profile and RME (Canada, 2018). </w:t>
      </w:r>
    </w:p>
    <w:p w14:paraId="7784CA3B" w14:textId="77777777" w:rsidR="008022D3" w:rsidRPr="00CE15CF" w:rsidRDefault="008022D3" w:rsidP="00CE15CF">
      <w:pPr>
        <w:pStyle w:val="StyleHeading2u2h2ABC2ChptTimesNewRomanLinespaci"/>
      </w:pPr>
      <w:bookmarkStart w:id="22" w:name="_Toc506913484"/>
      <w:bookmarkStart w:id="23" w:name="_Toc507148939"/>
      <w:bookmarkStart w:id="24" w:name="_Toc515267889"/>
      <w:r w:rsidRPr="00CE15CF">
        <w:t xml:space="preserve">Chemical identity </w:t>
      </w:r>
      <w:proofErr w:type="gramStart"/>
      <w:r w:rsidRPr="00CE15CF">
        <w:t>according to</w:t>
      </w:r>
      <w:proofErr w:type="gramEnd"/>
      <w:r w:rsidRPr="00CE15CF">
        <w:t xml:space="preserve"> the RME</w:t>
      </w:r>
      <w:bookmarkEnd w:id="22"/>
      <w:bookmarkEnd w:id="23"/>
      <w:bookmarkEnd w:id="24"/>
    </w:p>
    <w:p w14:paraId="3C4F2A34" w14:textId="0C77B4D5" w:rsidR="008022D3" w:rsidRPr="00CE15CF" w:rsidRDefault="008022D3" w:rsidP="00CE15CF">
      <w:pPr>
        <w:pStyle w:val="Paralevel1"/>
      </w:pPr>
      <w:r w:rsidRPr="00CE15CF">
        <w:t>The chemical identity and related details are outlined in section 1.1 of the RME.</w:t>
      </w:r>
      <w:r w:rsidR="00D04E16" w:rsidRPr="00CE15CF">
        <w:rPr>
          <w:rStyle w:val="FootnoteReference"/>
        </w:rPr>
        <w:footnoteReference w:id="9"/>
      </w:r>
      <w:r w:rsidRPr="00CE15CF">
        <w:t xml:space="preserve"> The following paragraphs </w:t>
      </w:r>
      <w:r w:rsidR="008849D6" w:rsidRPr="00CE15CF">
        <w:t xml:space="preserve">in italics </w:t>
      </w:r>
      <w:r w:rsidRPr="00CE15CF">
        <w:t xml:space="preserve">are copied from the RME: </w:t>
      </w:r>
    </w:p>
    <w:p w14:paraId="4412CE9A" w14:textId="1118ED54" w:rsidR="008022D3" w:rsidRPr="00CE15CF" w:rsidRDefault="008022D3" w:rsidP="00CE15CF">
      <w:pPr>
        <w:pStyle w:val="Paralevel1"/>
      </w:pPr>
      <w:bookmarkStart w:id="25" w:name="_Ref506900866"/>
      <w:r w:rsidRPr="00CE15CF">
        <w:t xml:space="preserve">PFOA, its salts and PFOA-related compounds fall within a family of perfluoroalkyl and </w:t>
      </w:r>
      <w:proofErr w:type="spellStart"/>
      <w:r w:rsidRPr="00CE15CF">
        <w:t>polyfluoroalkyl</w:t>
      </w:r>
      <w:proofErr w:type="spellEnd"/>
      <w:r w:rsidRPr="00CE15CF">
        <w:t xml:space="preserve"> substances (PFASs). </w:t>
      </w:r>
      <w:proofErr w:type="spellStart"/>
      <w:r w:rsidRPr="00CE15CF">
        <w:t>Perfluorinated</w:t>
      </w:r>
      <w:proofErr w:type="spellEnd"/>
      <w:r w:rsidRPr="00CE15CF">
        <w:t xml:space="preserve"> acids, like PFOA, are not degradable in the environment and in biota (including humans). Certain polyfluorinated substances can be degraded to persistent </w:t>
      </w:r>
      <w:proofErr w:type="spellStart"/>
      <w:r w:rsidRPr="00CE15CF">
        <w:t>perfluorinated</w:t>
      </w:r>
      <w:proofErr w:type="spellEnd"/>
      <w:r w:rsidRPr="00CE15CF">
        <w:t xml:space="preserve"> substances like PFOA</w:t>
      </w:r>
      <w:r w:rsidR="005B78AB" w:rsidRPr="00CE15CF">
        <w:t>.</w:t>
      </w:r>
      <w:r w:rsidRPr="00CE15CF">
        <w:t xml:space="preserve"> Those PFASs that can be degraded to PFOA in the environment and in biota are referred to as PFOA-related compounds.</w:t>
      </w:r>
      <w:bookmarkEnd w:id="25"/>
      <w:r w:rsidR="00E3344D" w:rsidRPr="00CE15CF">
        <w:t xml:space="preserve"> </w:t>
      </w:r>
    </w:p>
    <w:p w14:paraId="208CCF40" w14:textId="77777777" w:rsidR="008022D3" w:rsidRPr="00CE15CF" w:rsidRDefault="008022D3" w:rsidP="00CE15CF">
      <w:pPr>
        <w:pStyle w:val="Paralevel1"/>
      </w:pPr>
      <w:bookmarkStart w:id="26" w:name="_Ref475970615"/>
      <w:r w:rsidRPr="00CE15CF">
        <w:t>The RME covers:</w:t>
      </w:r>
      <w:bookmarkEnd w:id="26"/>
    </w:p>
    <w:p w14:paraId="54F793E7" w14:textId="77777777" w:rsidR="008022D3" w:rsidRPr="00CE15CF" w:rsidRDefault="008022D3" w:rsidP="00CE15CF">
      <w:pPr>
        <w:pStyle w:val="Paralevel2"/>
        <w:numPr>
          <w:ilvl w:val="0"/>
          <w:numId w:val="21"/>
        </w:numPr>
        <w:rPr>
          <w:i/>
        </w:rPr>
      </w:pPr>
      <w:r w:rsidRPr="00CE15CF">
        <w:rPr>
          <w:i/>
        </w:rPr>
        <w:t>PFOA (</w:t>
      </w:r>
      <w:proofErr w:type="spellStart"/>
      <w:r w:rsidRPr="00CE15CF">
        <w:rPr>
          <w:i/>
        </w:rPr>
        <w:t>pentadecafluorooctanoic</w:t>
      </w:r>
      <w:proofErr w:type="spellEnd"/>
      <w:r w:rsidRPr="00CE15CF">
        <w:rPr>
          <w:i/>
        </w:rPr>
        <w:t xml:space="preserve"> acid, CAS No: 335-67-1, EC No: 206-397-9) including any of its branched isomers;</w:t>
      </w:r>
    </w:p>
    <w:p w14:paraId="38F1F3F6" w14:textId="77777777" w:rsidR="008022D3" w:rsidRPr="00CE15CF" w:rsidRDefault="008022D3" w:rsidP="00CE15CF">
      <w:pPr>
        <w:pStyle w:val="Paralevel2"/>
        <w:numPr>
          <w:ilvl w:val="0"/>
          <w:numId w:val="21"/>
        </w:numPr>
        <w:rPr>
          <w:i/>
        </w:rPr>
      </w:pPr>
      <w:r w:rsidRPr="00CE15CF">
        <w:rPr>
          <w:i/>
        </w:rPr>
        <w:t>Its salts; and</w:t>
      </w:r>
    </w:p>
    <w:p w14:paraId="3529058D" w14:textId="77777777" w:rsidR="008022D3" w:rsidRPr="00CE15CF" w:rsidRDefault="008022D3" w:rsidP="00CE15CF">
      <w:pPr>
        <w:pStyle w:val="Paralevel2"/>
        <w:numPr>
          <w:ilvl w:val="0"/>
          <w:numId w:val="21"/>
        </w:numPr>
        <w:rPr>
          <w:i/>
        </w:rPr>
      </w:pPr>
      <w:r w:rsidRPr="00CE15CF">
        <w:rPr>
          <w:i/>
        </w:rPr>
        <w:t xml:space="preserve">PFOA-related compounds which, for the purposes of this risk management evaluation, are any substances that degrade to PFOA, including any substances (including salts and polymers) having a linear or branched </w:t>
      </w:r>
      <w:proofErr w:type="spellStart"/>
      <w:r w:rsidRPr="00CE15CF">
        <w:rPr>
          <w:i/>
        </w:rPr>
        <w:t>perfluoroheptyl</w:t>
      </w:r>
      <w:proofErr w:type="spellEnd"/>
      <w:r w:rsidRPr="00CE15CF">
        <w:rPr>
          <w:i/>
        </w:rPr>
        <w:t xml:space="preserve"> group with the moiety (C</w:t>
      </w:r>
      <w:r w:rsidRPr="00CE15CF">
        <w:rPr>
          <w:i/>
          <w:vertAlign w:val="subscript"/>
        </w:rPr>
        <w:t>7</w:t>
      </w:r>
      <w:r w:rsidRPr="00CE15CF">
        <w:rPr>
          <w:i/>
        </w:rPr>
        <w:t>F</w:t>
      </w:r>
      <w:proofErr w:type="gramStart"/>
      <w:r w:rsidRPr="00CE15CF">
        <w:rPr>
          <w:i/>
          <w:vertAlign w:val="subscript"/>
        </w:rPr>
        <w:t>15</w:t>
      </w:r>
      <w:r w:rsidRPr="00CE15CF">
        <w:rPr>
          <w:i/>
        </w:rPr>
        <w:t>)C</w:t>
      </w:r>
      <w:proofErr w:type="gramEnd"/>
      <w:r w:rsidRPr="00CE15CF">
        <w:rPr>
          <w:i/>
        </w:rPr>
        <w:t xml:space="preserve"> as one of the structural elements, for example:</w:t>
      </w:r>
    </w:p>
    <w:p w14:paraId="01C6BC42" w14:textId="77777777" w:rsidR="008022D3" w:rsidRPr="00CE15CF" w:rsidRDefault="008022D3" w:rsidP="00CE15CF">
      <w:pPr>
        <w:pStyle w:val="Paralevel2"/>
        <w:numPr>
          <w:ilvl w:val="1"/>
          <w:numId w:val="4"/>
        </w:numPr>
        <w:rPr>
          <w:i/>
        </w:rPr>
      </w:pPr>
      <w:r w:rsidRPr="00CE15CF">
        <w:rPr>
          <w:i/>
        </w:rPr>
        <w:t>Polymers with ≥C</w:t>
      </w:r>
      <w:r w:rsidRPr="00CE15CF">
        <w:rPr>
          <w:i/>
          <w:vertAlign w:val="subscript"/>
        </w:rPr>
        <w:t>8</w:t>
      </w:r>
      <w:r w:rsidRPr="00CE15CF">
        <w:rPr>
          <w:i/>
        </w:rPr>
        <w:t xml:space="preserve"> based perfluoroalkyl side chains;</w:t>
      </w:r>
      <w:r w:rsidRPr="00CE15CF">
        <w:rPr>
          <w:rStyle w:val="FootnoteReference"/>
          <w:i/>
        </w:rPr>
        <w:footnoteReference w:id="10"/>
      </w:r>
    </w:p>
    <w:p w14:paraId="4030CEC6" w14:textId="77777777" w:rsidR="008022D3" w:rsidRPr="00CE15CF" w:rsidRDefault="008022D3" w:rsidP="00CE15CF">
      <w:pPr>
        <w:pStyle w:val="Paralevel2"/>
        <w:numPr>
          <w:ilvl w:val="1"/>
          <w:numId w:val="4"/>
        </w:numPr>
        <w:rPr>
          <w:i/>
        </w:rPr>
      </w:pPr>
      <w:r w:rsidRPr="00CE15CF">
        <w:rPr>
          <w:i/>
        </w:rPr>
        <w:t>8:2 fluorotelomer compounds;</w:t>
      </w:r>
    </w:p>
    <w:p w14:paraId="2B794E83" w14:textId="77777777" w:rsidR="008022D3" w:rsidRPr="00CE15CF" w:rsidRDefault="008022D3" w:rsidP="00CE15CF">
      <w:pPr>
        <w:pStyle w:val="Paralevel2"/>
        <w:numPr>
          <w:ilvl w:val="1"/>
          <w:numId w:val="4"/>
        </w:numPr>
        <w:rPr>
          <w:i/>
        </w:rPr>
      </w:pPr>
      <w:r w:rsidRPr="00CE15CF">
        <w:rPr>
          <w:i/>
        </w:rPr>
        <w:t>10:2 fluorotelomer compounds.</w:t>
      </w:r>
    </w:p>
    <w:p w14:paraId="67C5B421" w14:textId="77777777" w:rsidR="008022D3" w:rsidRPr="00CE15CF" w:rsidRDefault="008022D3" w:rsidP="00CE15CF">
      <w:pPr>
        <w:pStyle w:val="Paralevel2"/>
        <w:rPr>
          <w:i/>
        </w:rPr>
      </w:pPr>
      <w:r w:rsidRPr="00CE15CF">
        <w:rPr>
          <w:i/>
        </w:rPr>
        <w:t xml:space="preserve">The compounds below do not degrade to PFOA and are therefore </w:t>
      </w:r>
      <w:r w:rsidRPr="00CE15CF">
        <w:rPr>
          <w:i/>
          <w:u w:val="single"/>
        </w:rPr>
        <w:t>not</w:t>
      </w:r>
      <w:r w:rsidRPr="00CE15CF">
        <w:rPr>
          <w:i/>
        </w:rPr>
        <w:t xml:space="preserve"> included as PFOA-related compounds:</w:t>
      </w:r>
    </w:p>
    <w:p w14:paraId="269C4D33" w14:textId="77777777" w:rsidR="008022D3" w:rsidRPr="00CE15CF" w:rsidRDefault="008022D3" w:rsidP="00CE15CF">
      <w:pPr>
        <w:pStyle w:val="Paralevel2"/>
        <w:numPr>
          <w:ilvl w:val="0"/>
          <w:numId w:val="7"/>
        </w:numPr>
        <w:rPr>
          <w:i/>
        </w:rPr>
      </w:pPr>
      <w:bookmarkStart w:id="27" w:name="_Ref483929621"/>
      <w:r w:rsidRPr="00CE15CF">
        <w:rPr>
          <w:i/>
        </w:rPr>
        <w:t>C</w:t>
      </w:r>
      <w:r w:rsidRPr="00CE15CF">
        <w:rPr>
          <w:i/>
          <w:vertAlign w:val="subscript"/>
        </w:rPr>
        <w:t>8</w:t>
      </w:r>
      <w:r w:rsidRPr="00CE15CF">
        <w:rPr>
          <w:i/>
        </w:rPr>
        <w:t>F</w:t>
      </w:r>
      <w:r w:rsidRPr="00CE15CF">
        <w:rPr>
          <w:i/>
          <w:vertAlign w:val="subscript"/>
        </w:rPr>
        <w:t>17</w:t>
      </w:r>
      <w:r w:rsidRPr="00CE15CF">
        <w:rPr>
          <w:i/>
        </w:rPr>
        <w:t>-X, where X= F, Cl, Br;</w:t>
      </w:r>
      <w:bookmarkEnd w:id="27"/>
    </w:p>
    <w:p w14:paraId="554A76FE" w14:textId="5978EAD1" w:rsidR="008022D3" w:rsidRPr="00CE15CF" w:rsidRDefault="008022D3" w:rsidP="00CE15CF">
      <w:pPr>
        <w:pStyle w:val="Paralevel2"/>
        <w:numPr>
          <w:ilvl w:val="0"/>
          <w:numId w:val="7"/>
        </w:numPr>
        <w:rPr>
          <w:i/>
        </w:rPr>
      </w:pPr>
      <w:r w:rsidRPr="00CE15CF">
        <w:rPr>
          <w:i/>
        </w:rPr>
        <w:t>Fluoropolymers</w:t>
      </w:r>
      <w:r w:rsidRPr="00CE15CF">
        <w:rPr>
          <w:rStyle w:val="FootnoteReference"/>
          <w:i/>
        </w:rPr>
        <w:footnoteReference w:id="11"/>
      </w:r>
      <w:r w:rsidRPr="00CE15CF">
        <w:rPr>
          <w:i/>
        </w:rPr>
        <w:t xml:space="preserve"> that are covered by CF</w:t>
      </w:r>
      <w:r w:rsidRPr="00CE15CF">
        <w:rPr>
          <w:i/>
          <w:vertAlign w:val="subscript"/>
        </w:rPr>
        <w:t>3</w:t>
      </w:r>
      <w:r w:rsidR="00260CF7" w:rsidRPr="00CE15CF">
        <w:rPr>
          <w:i/>
        </w:rPr>
        <w:t>(</w:t>
      </w:r>
      <w:r w:rsidRPr="00CE15CF">
        <w:rPr>
          <w:i/>
        </w:rPr>
        <w:t>CF</w:t>
      </w:r>
      <w:proofErr w:type="gramStart"/>
      <w:r w:rsidRPr="00CE15CF">
        <w:rPr>
          <w:i/>
          <w:vertAlign w:val="subscript"/>
        </w:rPr>
        <w:t>2</w:t>
      </w:r>
      <w:r w:rsidR="00260CF7" w:rsidRPr="00CE15CF">
        <w:rPr>
          <w:i/>
        </w:rPr>
        <w:t>)</w:t>
      </w:r>
      <w:r w:rsidRPr="00CE15CF">
        <w:rPr>
          <w:i/>
        </w:rPr>
        <w:t>n</w:t>
      </w:r>
      <w:proofErr w:type="gramEnd"/>
      <w:r w:rsidRPr="00CE15CF">
        <w:rPr>
          <w:i/>
        </w:rPr>
        <w:t>-R’, where R’=any group, n&gt;16;</w:t>
      </w:r>
      <w:r w:rsidRPr="00CE15CF">
        <w:rPr>
          <w:rStyle w:val="FootnoteReference"/>
          <w:i/>
        </w:rPr>
        <w:footnoteReference w:id="12"/>
      </w:r>
    </w:p>
    <w:p w14:paraId="24C3C378" w14:textId="77777777" w:rsidR="008022D3" w:rsidRPr="00CE15CF" w:rsidRDefault="008022D3" w:rsidP="00CE15CF">
      <w:pPr>
        <w:pStyle w:val="Paralevel2"/>
        <w:numPr>
          <w:ilvl w:val="0"/>
          <w:numId w:val="7"/>
        </w:numPr>
        <w:rPr>
          <w:i/>
        </w:rPr>
      </w:pPr>
      <w:r w:rsidRPr="00CE15CF">
        <w:rPr>
          <w:i/>
        </w:rPr>
        <w:t xml:space="preserve">Perfluoroalkyl carboxylic and </w:t>
      </w:r>
      <w:proofErr w:type="spellStart"/>
      <w:r w:rsidRPr="00CE15CF">
        <w:rPr>
          <w:i/>
        </w:rPr>
        <w:t>phosphonic</w:t>
      </w:r>
      <w:proofErr w:type="spellEnd"/>
      <w:r w:rsidRPr="00CE15CF">
        <w:rPr>
          <w:i/>
        </w:rPr>
        <w:t xml:space="preserve"> acids (including their salts, esters, halides and anhydrides) with ≥8 </w:t>
      </w:r>
      <w:proofErr w:type="spellStart"/>
      <w:r w:rsidRPr="00CE15CF">
        <w:rPr>
          <w:i/>
        </w:rPr>
        <w:t>perfluorinated</w:t>
      </w:r>
      <w:proofErr w:type="spellEnd"/>
      <w:r w:rsidRPr="00CE15CF">
        <w:rPr>
          <w:i/>
        </w:rPr>
        <w:t xml:space="preserve"> carbons; </w:t>
      </w:r>
    </w:p>
    <w:p w14:paraId="052E9A3B" w14:textId="77777777" w:rsidR="008022D3" w:rsidRPr="00CE15CF" w:rsidRDefault="008022D3" w:rsidP="00CE15CF">
      <w:pPr>
        <w:pStyle w:val="Paralevel2"/>
        <w:numPr>
          <w:ilvl w:val="0"/>
          <w:numId w:val="7"/>
        </w:numPr>
        <w:rPr>
          <w:i/>
        </w:rPr>
      </w:pPr>
      <w:proofErr w:type="spellStart"/>
      <w:r w:rsidRPr="00CE15CF">
        <w:rPr>
          <w:i/>
        </w:rPr>
        <w:t>Perfluoroalkane</w:t>
      </w:r>
      <w:proofErr w:type="spellEnd"/>
      <w:r w:rsidRPr="00CE15CF">
        <w:rPr>
          <w:i/>
        </w:rPr>
        <w:t xml:space="preserve"> sulfonic acids (including their salts, esters, halides and anhydrides) with ≥9 </w:t>
      </w:r>
      <w:proofErr w:type="spellStart"/>
      <w:r w:rsidRPr="00CE15CF">
        <w:rPr>
          <w:i/>
        </w:rPr>
        <w:t>perfluorinated</w:t>
      </w:r>
      <w:proofErr w:type="spellEnd"/>
      <w:r w:rsidRPr="00CE15CF">
        <w:rPr>
          <w:i/>
        </w:rPr>
        <w:t xml:space="preserve"> carbons;  </w:t>
      </w:r>
    </w:p>
    <w:p w14:paraId="67DF6F6C" w14:textId="46587F4F" w:rsidR="008022D3" w:rsidRPr="00CE15CF" w:rsidRDefault="008022D3" w:rsidP="00CE15CF">
      <w:pPr>
        <w:pStyle w:val="Paralevel2"/>
        <w:numPr>
          <w:ilvl w:val="0"/>
          <w:numId w:val="7"/>
        </w:numPr>
        <w:rPr>
          <w:i/>
        </w:rPr>
      </w:pPr>
      <w:proofErr w:type="spellStart"/>
      <w:r w:rsidRPr="00CE15CF">
        <w:rPr>
          <w:i/>
        </w:rPr>
        <w:t>Perfluorooctane</w:t>
      </w:r>
      <w:proofErr w:type="spellEnd"/>
      <w:r w:rsidRPr="00CE15CF">
        <w:rPr>
          <w:i/>
        </w:rPr>
        <w:t xml:space="preserve"> sulfonic acid (PFOS), its salts and </w:t>
      </w:r>
      <w:proofErr w:type="spellStart"/>
      <w:r w:rsidRPr="00CE15CF">
        <w:rPr>
          <w:i/>
        </w:rPr>
        <w:t>perfluorooctane</w:t>
      </w:r>
      <w:proofErr w:type="spellEnd"/>
      <w:r w:rsidRPr="00CE15CF">
        <w:rPr>
          <w:i/>
        </w:rPr>
        <w:t xml:space="preserve"> sulfonyl fluoride (PFOSF) as listed in Annex B to the Stockholm Convention.</w:t>
      </w:r>
    </w:p>
    <w:p w14:paraId="4C18CC92" w14:textId="0ED53AE1" w:rsidR="00292F52" w:rsidRPr="00CE15CF" w:rsidRDefault="00292F52" w:rsidP="00CE15CF">
      <w:pPr>
        <w:pStyle w:val="Paralevel2"/>
        <w:rPr>
          <w:i/>
        </w:rPr>
      </w:pPr>
      <w:proofErr w:type="spellStart"/>
      <w:r w:rsidRPr="00CE15CF">
        <w:t>Sulfluramid</w:t>
      </w:r>
      <w:proofErr w:type="spellEnd"/>
      <w:r w:rsidRPr="00CE15CF">
        <w:t xml:space="preserve"> (</w:t>
      </w:r>
      <w:r w:rsidRPr="00CE15CF">
        <w:rPr>
          <w:i/>
        </w:rPr>
        <w:t>N</w:t>
      </w:r>
      <w:r w:rsidRPr="00CE15CF">
        <w:t>-</w:t>
      </w:r>
      <w:r w:rsidR="009F7B19" w:rsidRPr="00CE15CF">
        <w:t>e</w:t>
      </w:r>
      <w:r w:rsidRPr="00CE15CF">
        <w:t>thyl</w:t>
      </w:r>
      <w:r w:rsidR="00BA36E2" w:rsidRPr="00CE15CF">
        <w:t xml:space="preserve"> </w:t>
      </w:r>
      <w:proofErr w:type="spellStart"/>
      <w:r w:rsidRPr="00CE15CF">
        <w:t>perfluorooct</w:t>
      </w:r>
      <w:r w:rsidR="009F7B19" w:rsidRPr="00CE15CF">
        <w:t>ane</w:t>
      </w:r>
      <w:proofErr w:type="spellEnd"/>
      <w:r w:rsidR="009F7B19" w:rsidRPr="00CE15CF">
        <w:t xml:space="preserve"> </w:t>
      </w:r>
      <w:proofErr w:type="spellStart"/>
      <w:r w:rsidRPr="00CE15CF">
        <w:t>sulfonamide</w:t>
      </w:r>
      <w:proofErr w:type="spellEnd"/>
      <w:r w:rsidRPr="00CE15CF">
        <w:t xml:space="preserve">, CAS No: 4151-50-2) is </w:t>
      </w:r>
      <w:r w:rsidRPr="00CE15CF">
        <w:rPr>
          <w:u w:val="single"/>
        </w:rPr>
        <w:t>not</w:t>
      </w:r>
      <w:r w:rsidRPr="00CE15CF">
        <w:t xml:space="preserve"> included as PFOA-related compounds </w:t>
      </w:r>
      <w:r w:rsidR="00D5318A" w:rsidRPr="00CE15CF">
        <w:t>since it</w:t>
      </w:r>
      <w:r w:rsidRPr="00CE15CF">
        <w:t xml:space="preserve"> </w:t>
      </w:r>
      <w:r w:rsidR="008F7570" w:rsidRPr="00CE15CF">
        <w:t>is produced from P</w:t>
      </w:r>
      <w:r w:rsidR="0025507C" w:rsidRPr="00CE15CF">
        <w:t xml:space="preserve">FOSF and it </w:t>
      </w:r>
      <w:r w:rsidRPr="00CE15CF">
        <w:t xml:space="preserve">is </w:t>
      </w:r>
      <w:r w:rsidR="0025507C" w:rsidRPr="00CE15CF">
        <w:t xml:space="preserve">then </w:t>
      </w:r>
      <w:r w:rsidRPr="00CE15CF">
        <w:t>already covered under the listing of PFOS, its salts and PFOSF.</w:t>
      </w:r>
    </w:p>
    <w:bookmarkEnd w:id="20"/>
    <w:bookmarkEnd w:id="21"/>
    <w:p w14:paraId="01C25F99" w14:textId="58A2E7F5" w:rsidR="008022D3" w:rsidRPr="00CE15CF" w:rsidRDefault="008022D3" w:rsidP="00CE15CF">
      <w:pPr>
        <w:pStyle w:val="Paralevel1"/>
      </w:pPr>
      <w:r w:rsidRPr="00CE15CF">
        <w:t>To assist the identification of PFOA-related compounds a non-exhaustive list of substances covered or not covered by the RME is provided in UNEP/POPS/POPRC.13/INF/6/Add.1.</w:t>
      </w:r>
      <w:r w:rsidR="0008542A" w:rsidRPr="00CE15CF">
        <w:t xml:space="preserve"> </w:t>
      </w:r>
      <w:proofErr w:type="spellStart"/>
      <w:r w:rsidR="008100A9" w:rsidRPr="00CE15CF">
        <w:t>Sulfluramid</w:t>
      </w:r>
      <w:proofErr w:type="spellEnd"/>
      <w:r w:rsidR="008100A9" w:rsidRPr="00CE15CF">
        <w:t xml:space="preserve"> is listed, but is explicitly excluded from the scope of the RME.</w:t>
      </w:r>
    </w:p>
    <w:p w14:paraId="18DA3080" w14:textId="766686F2" w:rsidR="008022D3" w:rsidRPr="00CE15CF" w:rsidRDefault="008022D3" w:rsidP="00CE15CF">
      <w:pPr>
        <w:pStyle w:val="StyleHeading2u2h2ABC2ChptTimesNewRomanLinespaci"/>
      </w:pPr>
      <w:bookmarkStart w:id="28" w:name="_Toc506913485"/>
      <w:bookmarkStart w:id="29" w:name="_Toc507148940"/>
      <w:bookmarkStart w:id="30" w:name="_Toc515267890"/>
      <w:r w:rsidRPr="00CE15CF">
        <w:lastRenderedPageBreak/>
        <w:t xml:space="preserve">Possible exclusion of </w:t>
      </w:r>
      <w:proofErr w:type="spellStart"/>
      <w:r w:rsidRPr="00CE15CF">
        <w:t>sulfluramid</w:t>
      </w:r>
      <w:proofErr w:type="spellEnd"/>
      <w:r w:rsidRPr="00CE15CF">
        <w:t xml:space="preserve"> from the scope of the RME</w:t>
      </w:r>
      <w:bookmarkEnd w:id="28"/>
      <w:bookmarkEnd w:id="29"/>
      <w:bookmarkEnd w:id="30"/>
      <w:r w:rsidRPr="00CE15CF" w:rsidDel="001A7502">
        <w:t xml:space="preserve"> </w:t>
      </w:r>
    </w:p>
    <w:p w14:paraId="3ACACC8C" w14:textId="51372D3D" w:rsidR="00A52750" w:rsidRPr="00CE15CF" w:rsidRDefault="00A52750" w:rsidP="00CE15CF">
      <w:pPr>
        <w:pStyle w:val="Paralevel1"/>
      </w:pPr>
      <w:proofErr w:type="spellStart"/>
      <w:r w:rsidRPr="00CE15CF">
        <w:t>Sulfluramid</w:t>
      </w:r>
      <w:proofErr w:type="spellEnd"/>
      <w:r w:rsidRPr="00CE15CF">
        <w:t xml:space="preserve"> is manufactured by using PFOSF as an intermediate and is the active ingredient in the manufacture of ant baits and ready-to-use formulations. The use of </w:t>
      </w:r>
      <w:proofErr w:type="spellStart"/>
      <w:r w:rsidRPr="00CE15CF">
        <w:t>sulfluramid</w:t>
      </w:r>
      <w:proofErr w:type="spellEnd"/>
      <w:r w:rsidRPr="00CE15CF">
        <w:t xml:space="preserve"> represents a direct release of PFOS to the environment.</w:t>
      </w:r>
      <w:r w:rsidR="00482B54" w:rsidRPr="00CE15CF">
        <w:t xml:space="preserve"> </w:t>
      </w:r>
      <w:proofErr w:type="spellStart"/>
      <w:r w:rsidR="00482B54" w:rsidRPr="00CE15CF">
        <w:t>Sulfluramid</w:t>
      </w:r>
      <w:proofErr w:type="spellEnd"/>
      <w:r w:rsidR="00482B54" w:rsidRPr="00CE15CF">
        <w:t xml:space="preserve"> is identified as a (potential) precursor of PFOAs in the OECD New Comprehensive Global Database of Per- and </w:t>
      </w:r>
      <w:proofErr w:type="spellStart"/>
      <w:r w:rsidR="00482B54" w:rsidRPr="00CE15CF">
        <w:t>Polyfluoroalkyl</w:t>
      </w:r>
      <w:proofErr w:type="spellEnd"/>
      <w:r w:rsidR="00482B54" w:rsidRPr="00CE15CF">
        <w:t xml:space="preserve"> Substances (PFASs). </w:t>
      </w:r>
      <w:r w:rsidRPr="00CE15CF">
        <w:t xml:space="preserve"> Brazil has notified the production and use of PFOSF for the acceptable purpose “insect baits for the control of leaf-cutting ants from </w:t>
      </w:r>
      <w:r w:rsidRPr="00CE15CF">
        <w:rPr>
          <w:i/>
        </w:rPr>
        <w:t>Atta spp</w:t>
      </w:r>
      <w:r w:rsidRPr="00CE15CF">
        <w:t xml:space="preserve">. and </w:t>
      </w:r>
      <w:proofErr w:type="spellStart"/>
      <w:r w:rsidRPr="00CE15CF">
        <w:rPr>
          <w:i/>
        </w:rPr>
        <w:t>Acromyrmex</w:t>
      </w:r>
      <w:proofErr w:type="spellEnd"/>
      <w:r w:rsidRPr="00CE15CF">
        <w:rPr>
          <w:i/>
        </w:rPr>
        <w:t xml:space="preserve"> </w:t>
      </w:r>
      <w:proofErr w:type="spellStart"/>
      <w:r w:rsidRPr="00CE15CF">
        <w:rPr>
          <w:i/>
        </w:rPr>
        <w:t>spp</w:t>
      </w:r>
      <w:proofErr w:type="spellEnd"/>
      <w:r w:rsidRPr="00CE15CF">
        <w:rPr>
          <w:i/>
        </w:rPr>
        <w:t>”</w:t>
      </w:r>
      <w:r w:rsidRPr="00CE15CF">
        <w:t>.</w:t>
      </w:r>
      <w:r w:rsidRPr="00CE15CF">
        <w:rPr>
          <w:rStyle w:val="FootnoteReference"/>
        </w:rPr>
        <w:footnoteReference w:id="13"/>
      </w:r>
      <w:r w:rsidRPr="00CE15CF">
        <w:t xml:space="preserve">  Regarding baits used in Brazil, baits with </w:t>
      </w:r>
      <w:proofErr w:type="spellStart"/>
      <w:r w:rsidRPr="00CE15CF">
        <w:t>sulfluramid</w:t>
      </w:r>
      <w:proofErr w:type="spellEnd"/>
      <w:r w:rsidRPr="00CE15CF">
        <w:t xml:space="preserve"> represent more than 95% </w:t>
      </w:r>
      <w:r w:rsidR="00C67007" w:rsidRPr="00CE15CF">
        <w:t xml:space="preserve">of the total use </w:t>
      </w:r>
      <w:r w:rsidRPr="00CE15CF">
        <w:t xml:space="preserve">(UNEP/POP/POPRC.4/15/Add.6). </w:t>
      </w:r>
    </w:p>
    <w:p w14:paraId="05834FA9" w14:textId="4CCF520E" w:rsidR="008022D3" w:rsidRPr="00CE15CF" w:rsidRDefault="008022D3" w:rsidP="00CE15CF">
      <w:pPr>
        <w:pStyle w:val="Paralevel1"/>
      </w:pPr>
      <w:proofErr w:type="gramStart"/>
      <w:r w:rsidRPr="00CE15CF">
        <w:t>According to</w:t>
      </w:r>
      <w:proofErr w:type="gramEnd"/>
      <w:r w:rsidRPr="00CE15CF">
        <w:t xml:space="preserve"> Brazil (2018), </w:t>
      </w:r>
      <w:proofErr w:type="spellStart"/>
      <w:r w:rsidRPr="00CE15CF">
        <w:t>sulfluramid</w:t>
      </w:r>
      <w:proofErr w:type="spellEnd"/>
      <w:r w:rsidRPr="00CE15CF">
        <w:t xml:space="preserve"> should be excluded from the list of PFOA-related compounds until conclusive information has been obtained. The main concern expressed is that </w:t>
      </w:r>
      <w:proofErr w:type="spellStart"/>
      <w:r w:rsidRPr="00CE15CF">
        <w:t>sulfluramid</w:t>
      </w:r>
      <w:proofErr w:type="spellEnd"/>
      <w:r w:rsidRPr="00CE15CF">
        <w:t xml:space="preserve"> is a compound related to PFOS, it salts and PFOSF and the use of this substance is already covered by the Stockholm Convention as acceptable purpose in Annex B (decision SC-4/17). </w:t>
      </w:r>
      <w:r w:rsidR="009E66D1" w:rsidRPr="00CE15CF">
        <w:t xml:space="preserve">However, the listing of PFOS and PFOSF in Annex B refers only to an “intermediate in the production of chemicals” and does not explicitly name </w:t>
      </w:r>
      <w:proofErr w:type="spellStart"/>
      <w:r w:rsidR="009E66D1" w:rsidRPr="00CE15CF">
        <w:t>sulfluramid</w:t>
      </w:r>
      <w:proofErr w:type="spellEnd"/>
      <w:r w:rsidR="009E66D1" w:rsidRPr="00CE15CF">
        <w:t xml:space="preserve"> or provide its CAS number. Brazil states that, </w:t>
      </w:r>
      <w:r w:rsidRPr="00CE15CF">
        <w:t xml:space="preserve">the information regarding </w:t>
      </w:r>
      <w:proofErr w:type="spellStart"/>
      <w:r w:rsidRPr="00CE15CF">
        <w:t>sulfluramid</w:t>
      </w:r>
      <w:proofErr w:type="spellEnd"/>
      <w:r w:rsidRPr="00CE15CF">
        <w:t xml:space="preserve"> is consolidated as part of the process for evaluation of the continued need of PFOS, it salts and PFOSF for the various acceptable purpose</w:t>
      </w:r>
      <w:r w:rsidR="00C77822" w:rsidRPr="00CE15CF">
        <w:t>s</w:t>
      </w:r>
      <w:r w:rsidRPr="00CE15CF">
        <w:t xml:space="preserve"> and specific exemptions in accordance with paragraph</w:t>
      </w:r>
      <w:r w:rsidR="00C77822" w:rsidRPr="00CE15CF">
        <w:t>s</w:t>
      </w:r>
      <w:r w:rsidRPr="00CE15CF">
        <w:t xml:space="preserve"> 5</w:t>
      </w:r>
      <w:r w:rsidR="00312896" w:rsidRPr="00CE15CF">
        <w:t>–</w:t>
      </w:r>
      <w:r w:rsidRPr="00CE15CF">
        <w:t xml:space="preserve">6 of part III of Annex B to the Convention. Further, Brazil (2018) states that the inclusion of the substance in the PFOA list took place without extensive discussion and with no technical justification and that papers were cited as justification for the inclusion, </w:t>
      </w:r>
      <w:r w:rsidR="00904E67" w:rsidRPr="00CE15CF">
        <w:t>which would</w:t>
      </w:r>
      <w:r w:rsidRPr="00CE15CF">
        <w:t xml:space="preserve"> not be conclusive and would not reflect the conditions that occur in the environment. It would therefore not be possible to conclude, based on this information only, that </w:t>
      </w:r>
      <w:proofErr w:type="spellStart"/>
      <w:r w:rsidRPr="00CE15CF">
        <w:t>sulfluramid</w:t>
      </w:r>
      <w:proofErr w:type="spellEnd"/>
      <w:r w:rsidRPr="00CE15CF">
        <w:t xml:space="preserve"> degrades to PFOA, nor that </w:t>
      </w:r>
      <w:proofErr w:type="spellStart"/>
      <w:r w:rsidRPr="00CE15CF">
        <w:t>sulfluramid</w:t>
      </w:r>
      <w:proofErr w:type="spellEnd"/>
      <w:r w:rsidRPr="00CE15CF">
        <w:t xml:space="preserve"> is a PFOA</w:t>
      </w:r>
      <w:r w:rsidR="00A7792E" w:rsidRPr="00CE15CF">
        <w:t>-</w:t>
      </w:r>
      <w:r w:rsidRPr="00CE15CF">
        <w:t xml:space="preserve">related compound (Brazil, 2018). </w:t>
      </w:r>
    </w:p>
    <w:p w14:paraId="1993B082" w14:textId="04EC68A1" w:rsidR="008022D3" w:rsidRPr="00CE15CF" w:rsidRDefault="008022D3" w:rsidP="00CE15CF">
      <w:pPr>
        <w:pStyle w:val="Paralevel1"/>
      </w:pPr>
      <w:r w:rsidRPr="00CE15CF">
        <w:t xml:space="preserve">The exclusion of </w:t>
      </w:r>
      <w:proofErr w:type="spellStart"/>
      <w:r w:rsidRPr="00CE15CF">
        <w:t>sulfluramid</w:t>
      </w:r>
      <w:proofErr w:type="spellEnd"/>
      <w:r w:rsidRPr="00CE15CF">
        <w:t xml:space="preserve"> from the non-exhaustive list of substances is also supported by ABRAISCA (2018), stating that </w:t>
      </w:r>
      <w:proofErr w:type="spellStart"/>
      <w:r w:rsidRPr="00CE15CF">
        <w:t>sulfluramid</w:t>
      </w:r>
      <w:proofErr w:type="spellEnd"/>
      <w:r w:rsidRPr="00CE15CF">
        <w:t xml:space="preserve"> is a </w:t>
      </w:r>
      <w:proofErr w:type="spellStart"/>
      <w:r w:rsidRPr="00CE15CF">
        <w:t>perfluoalkyl</w:t>
      </w:r>
      <w:proofErr w:type="spellEnd"/>
      <w:r w:rsidRPr="00CE15CF">
        <w:t xml:space="preserve"> sulfonate compound, and not a perfluoroalkyl carboxylate such as PFOA. Thus, </w:t>
      </w:r>
      <w:proofErr w:type="gramStart"/>
      <w:r w:rsidRPr="00CE15CF">
        <w:t>according to</w:t>
      </w:r>
      <w:proofErr w:type="gramEnd"/>
      <w:r w:rsidRPr="00CE15CF">
        <w:t xml:space="preserve"> ABRAISCA, </w:t>
      </w:r>
      <w:proofErr w:type="spellStart"/>
      <w:r w:rsidRPr="00CE15CF">
        <w:t>sulfluramid</w:t>
      </w:r>
      <w:proofErr w:type="spellEnd"/>
      <w:r w:rsidRPr="00CE15CF">
        <w:t xml:space="preserve"> should be in the list of compounds that do not degrade </w:t>
      </w:r>
      <w:r w:rsidR="00C67007" w:rsidRPr="00CE15CF">
        <w:t>to</w:t>
      </w:r>
      <w:r w:rsidRPr="00CE15CF">
        <w:t xml:space="preserve"> PFOA. It is known that </w:t>
      </w:r>
      <w:proofErr w:type="spellStart"/>
      <w:r w:rsidRPr="00CE15CF">
        <w:t>sulfluramid</w:t>
      </w:r>
      <w:proofErr w:type="spellEnd"/>
      <w:r w:rsidRPr="00CE15CF">
        <w:t xml:space="preserve"> could be a PFOS</w:t>
      </w:r>
      <w:r w:rsidR="00071303" w:rsidRPr="00CE15CF">
        <w:t>-</w:t>
      </w:r>
      <w:r w:rsidRPr="00CE15CF">
        <w:t xml:space="preserve">related compound and that the production of </w:t>
      </w:r>
      <w:proofErr w:type="spellStart"/>
      <w:r w:rsidRPr="00CE15CF">
        <w:t>sulfluramid</w:t>
      </w:r>
      <w:proofErr w:type="spellEnd"/>
      <w:r w:rsidRPr="00CE15CF">
        <w:t xml:space="preserve"> is obtained from PFOSF. </w:t>
      </w:r>
    </w:p>
    <w:p w14:paraId="67C70093" w14:textId="7FCB3854" w:rsidR="00A52750" w:rsidRPr="00CE15CF" w:rsidRDefault="00A52750" w:rsidP="00CE15CF">
      <w:pPr>
        <w:pStyle w:val="Paralevel1"/>
      </w:pPr>
      <w:r w:rsidRPr="00CE15CF">
        <w:t xml:space="preserve">Martin et al. (2006) investigated the possibility that </w:t>
      </w:r>
      <w:proofErr w:type="spellStart"/>
      <w:r w:rsidRPr="00CE15CF">
        <w:t>perfluorooctane</w:t>
      </w:r>
      <w:proofErr w:type="spellEnd"/>
      <w:r w:rsidRPr="00CE15CF">
        <w:t xml:space="preserve"> </w:t>
      </w:r>
      <w:proofErr w:type="spellStart"/>
      <w:r w:rsidRPr="00CE15CF">
        <w:t>sulfonamides</w:t>
      </w:r>
      <w:proofErr w:type="spellEnd"/>
      <w:r w:rsidRPr="00CE15CF">
        <w:t xml:space="preserve"> which are present in the atmosphere may, via atmospheric transport and oxidation, contribute to </w:t>
      </w:r>
      <w:proofErr w:type="spellStart"/>
      <w:r w:rsidRPr="00CE15CF">
        <w:t>perfluorocarboxylic</w:t>
      </w:r>
      <w:proofErr w:type="spellEnd"/>
      <w:r w:rsidRPr="00CE15CF">
        <w:t xml:space="preserve"> acid (PFCA) and PFOS pollution in remote locations. </w:t>
      </w:r>
      <w:proofErr w:type="gramStart"/>
      <w:r w:rsidRPr="00CE15CF">
        <w:t>According to</w:t>
      </w:r>
      <w:proofErr w:type="gramEnd"/>
      <w:r w:rsidRPr="00CE15CF">
        <w:t xml:space="preserve"> the authors, their results suggest a plausible route by which </w:t>
      </w:r>
      <w:proofErr w:type="spellStart"/>
      <w:r w:rsidRPr="00CE15CF">
        <w:t>perfluorooctane</w:t>
      </w:r>
      <w:proofErr w:type="spellEnd"/>
      <w:r w:rsidRPr="00CE15CF">
        <w:t xml:space="preserve"> </w:t>
      </w:r>
      <w:proofErr w:type="spellStart"/>
      <w:r w:rsidRPr="00CE15CF">
        <w:t>sulfonamides</w:t>
      </w:r>
      <w:proofErr w:type="spellEnd"/>
      <w:r w:rsidRPr="00CE15CF">
        <w:t xml:space="preserve"> may serve as atmospheric sources of PFCAs, including PFOA (Martin et al. 2006). </w:t>
      </w:r>
      <w:proofErr w:type="gramStart"/>
      <w:r w:rsidRPr="00CE15CF">
        <w:t>According to</w:t>
      </w:r>
      <w:proofErr w:type="gramEnd"/>
      <w:r w:rsidRPr="00CE15CF">
        <w:t xml:space="preserve"> ABRAISCA, results from Martin et al. (2006) do not represent atmospheric conditions. In addition, </w:t>
      </w:r>
      <w:r w:rsidR="00440A7B" w:rsidRPr="00CE15CF">
        <w:t>ABRAISCA</w:t>
      </w:r>
      <w:r w:rsidRPr="00CE15CF">
        <w:t xml:space="preserve"> criticised that </w:t>
      </w:r>
      <w:r w:rsidRPr="00CE15CF">
        <w:rPr>
          <w:i/>
        </w:rPr>
        <w:t>N</w:t>
      </w:r>
      <w:r w:rsidRPr="00CE15CF">
        <w:t>-ethyl</w:t>
      </w:r>
      <w:r w:rsidR="00603D4E" w:rsidRPr="00CE15CF">
        <w:t xml:space="preserve"> </w:t>
      </w:r>
      <w:proofErr w:type="spellStart"/>
      <w:r w:rsidRPr="00CE15CF">
        <w:t>perfluorobutane</w:t>
      </w:r>
      <w:proofErr w:type="spellEnd"/>
      <w:r w:rsidRPr="00CE15CF">
        <w:t xml:space="preserve"> </w:t>
      </w:r>
      <w:proofErr w:type="spellStart"/>
      <w:r w:rsidRPr="00CE15CF">
        <w:t>sulfonamide</w:t>
      </w:r>
      <w:proofErr w:type="spellEnd"/>
      <w:r w:rsidRPr="00CE15CF">
        <w:t xml:space="preserve"> was used as target material to investigate the gas phase reactivity of </w:t>
      </w:r>
      <w:proofErr w:type="spellStart"/>
      <w:r w:rsidRPr="00CE15CF">
        <w:t>perfluoroalkane</w:t>
      </w:r>
      <w:proofErr w:type="spellEnd"/>
      <w:r w:rsidRPr="00CE15CF">
        <w:t xml:space="preserve"> </w:t>
      </w:r>
      <w:proofErr w:type="spellStart"/>
      <w:r w:rsidRPr="00CE15CF">
        <w:t>sulfonamides</w:t>
      </w:r>
      <w:proofErr w:type="spellEnd"/>
      <w:r w:rsidRPr="00CE15CF">
        <w:t xml:space="preserve"> in the presence of radicals, and not the relevant substance, which has a different volatility (see ABRAISCA, 2018). </w:t>
      </w:r>
      <w:r w:rsidR="00440A7B" w:rsidRPr="00CE15CF">
        <w:t xml:space="preserve">However, the butane analogue, </w:t>
      </w:r>
      <w:r w:rsidR="00440A7B" w:rsidRPr="00CE15CF">
        <w:rPr>
          <w:i/>
        </w:rPr>
        <w:t>N</w:t>
      </w:r>
      <w:r w:rsidR="00440A7B" w:rsidRPr="00CE15CF">
        <w:t>-ethyl</w:t>
      </w:r>
      <w:r w:rsidR="00603D4E" w:rsidRPr="00CE15CF">
        <w:t xml:space="preserve"> </w:t>
      </w:r>
      <w:proofErr w:type="spellStart"/>
      <w:r w:rsidR="00440A7B" w:rsidRPr="00CE15CF">
        <w:t>perfluorobutane</w:t>
      </w:r>
      <w:proofErr w:type="spellEnd"/>
      <w:r w:rsidR="00440A7B" w:rsidRPr="00CE15CF">
        <w:t xml:space="preserve"> </w:t>
      </w:r>
      <w:proofErr w:type="spellStart"/>
      <w:r w:rsidR="00440A7B" w:rsidRPr="00CE15CF">
        <w:t>sul</w:t>
      </w:r>
      <w:r w:rsidR="00651835" w:rsidRPr="00CE15CF">
        <w:t>f</w:t>
      </w:r>
      <w:r w:rsidR="00440A7B" w:rsidRPr="00CE15CF">
        <w:t>onamide</w:t>
      </w:r>
      <w:proofErr w:type="spellEnd"/>
      <w:r w:rsidR="00440A7B" w:rsidRPr="00CE15CF">
        <w:t xml:space="preserve">, was used because </w:t>
      </w:r>
      <w:r w:rsidR="00440A7B" w:rsidRPr="00CE15CF">
        <w:rPr>
          <w:i/>
        </w:rPr>
        <w:t>N</w:t>
      </w:r>
      <w:r w:rsidR="00440A7B" w:rsidRPr="00CE15CF">
        <w:t xml:space="preserve">-ethyl </w:t>
      </w:r>
      <w:proofErr w:type="spellStart"/>
      <w:r w:rsidR="00440A7B" w:rsidRPr="00CE15CF">
        <w:t>perfluorooctane</w:t>
      </w:r>
      <w:proofErr w:type="spellEnd"/>
      <w:r w:rsidR="00C14D0B" w:rsidRPr="00CE15CF">
        <w:t xml:space="preserve"> </w:t>
      </w:r>
      <w:proofErr w:type="spellStart"/>
      <w:r w:rsidR="00440A7B" w:rsidRPr="00CE15CF">
        <w:t>sulfonamide</w:t>
      </w:r>
      <w:proofErr w:type="spellEnd"/>
      <w:r w:rsidR="00440A7B" w:rsidRPr="00CE15CF">
        <w:t xml:space="preserve"> is not volatile enough for their in vitro system, but is an appropriate model because the </w:t>
      </w:r>
      <w:proofErr w:type="spellStart"/>
      <w:r w:rsidR="00440A7B" w:rsidRPr="00CE15CF">
        <w:t>perfluorinated</w:t>
      </w:r>
      <w:proofErr w:type="spellEnd"/>
      <w:r w:rsidR="00440A7B" w:rsidRPr="00CE15CF">
        <w:t xml:space="preserve"> chain length is not expected to </w:t>
      </w:r>
      <w:proofErr w:type="gramStart"/>
      <w:r w:rsidR="00440A7B" w:rsidRPr="00CE15CF">
        <w:t>have an effect on</w:t>
      </w:r>
      <w:proofErr w:type="gramEnd"/>
      <w:r w:rsidR="00440A7B" w:rsidRPr="00CE15CF">
        <w:t xml:space="preserve"> the reactivity.  </w:t>
      </w:r>
      <w:r w:rsidRPr="00CE15CF">
        <w:t xml:space="preserve">Even if the experimental conditions were not representative for environmental conditions, Martin et al. (2006) provide scientific evidence that the degradation of </w:t>
      </w:r>
      <w:proofErr w:type="spellStart"/>
      <w:r w:rsidRPr="00CE15CF">
        <w:t>perfluorooctane</w:t>
      </w:r>
      <w:proofErr w:type="spellEnd"/>
      <w:r w:rsidRPr="00CE15CF">
        <w:t xml:space="preserve"> </w:t>
      </w:r>
      <w:proofErr w:type="spellStart"/>
      <w:r w:rsidRPr="00CE15CF">
        <w:t>sulfonamides</w:t>
      </w:r>
      <w:proofErr w:type="spellEnd"/>
      <w:r w:rsidRPr="00CE15CF">
        <w:t xml:space="preserve"> to PFOA cannot be excluded.</w:t>
      </w:r>
      <w:r w:rsidR="00292F52" w:rsidRPr="00CE15CF">
        <w:t xml:space="preserve"> </w:t>
      </w:r>
      <w:r w:rsidRPr="00CE15CF">
        <w:t xml:space="preserve">The results of </w:t>
      </w:r>
      <w:proofErr w:type="spellStart"/>
      <w:r w:rsidRPr="00CE15CF">
        <w:t>D´eon</w:t>
      </w:r>
      <w:proofErr w:type="spellEnd"/>
      <w:r w:rsidRPr="00CE15CF">
        <w:t xml:space="preserve"> et al. (2006) indicate that </w:t>
      </w:r>
      <w:r w:rsidRPr="00CE15CF">
        <w:rPr>
          <w:i/>
        </w:rPr>
        <w:t>N</w:t>
      </w:r>
      <w:r w:rsidRPr="00CE15CF">
        <w:t xml:space="preserve">-methyl </w:t>
      </w:r>
      <w:proofErr w:type="spellStart"/>
      <w:r w:rsidRPr="00CE15CF">
        <w:t>perfluorobutane</w:t>
      </w:r>
      <w:proofErr w:type="spellEnd"/>
      <w:r w:rsidRPr="00CE15CF">
        <w:t xml:space="preserve"> </w:t>
      </w:r>
      <w:proofErr w:type="spellStart"/>
      <w:r w:rsidRPr="00CE15CF">
        <w:t>sulfonamidoethanol</w:t>
      </w:r>
      <w:proofErr w:type="spellEnd"/>
      <w:r w:rsidRPr="00CE15CF">
        <w:t xml:space="preserve"> may contribute to the burden of </w:t>
      </w:r>
      <w:proofErr w:type="spellStart"/>
      <w:r w:rsidRPr="00CE15CF">
        <w:t>perfluorinated</w:t>
      </w:r>
      <w:proofErr w:type="spellEnd"/>
      <w:r w:rsidRPr="00CE15CF">
        <w:t xml:space="preserve"> contamination in remote locations. It appears that anthropogenic production of </w:t>
      </w:r>
      <w:r w:rsidRPr="00CE15CF">
        <w:rPr>
          <w:i/>
        </w:rPr>
        <w:t>N</w:t>
      </w:r>
      <w:r w:rsidRPr="00CE15CF">
        <w:t xml:space="preserve">-methyl </w:t>
      </w:r>
      <w:proofErr w:type="spellStart"/>
      <w:r w:rsidRPr="00CE15CF">
        <w:t>perfluorooctane</w:t>
      </w:r>
      <w:proofErr w:type="spellEnd"/>
      <w:r w:rsidRPr="00CE15CF">
        <w:t xml:space="preserve"> </w:t>
      </w:r>
      <w:proofErr w:type="spellStart"/>
      <w:r w:rsidRPr="00CE15CF">
        <w:t>sulfonamidoethanol</w:t>
      </w:r>
      <w:proofErr w:type="spellEnd"/>
      <w:r w:rsidRPr="00CE15CF">
        <w:t xml:space="preserve"> contributes to the ubiquity of perfluoroalkyl sulfonate and carboxylate compounds in the environment (</w:t>
      </w:r>
      <w:proofErr w:type="spellStart"/>
      <w:r w:rsidRPr="00CE15CF">
        <w:t>D´eon</w:t>
      </w:r>
      <w:proofErr w:type="spellEnd"/>
      <w:r w:rsidRPr="00CE15CF">
        <w:t xml:space="preserve"> et al., 2006). </w:t>
      </w:r>
      <w:proofErr w:type="gramStart"/>
      <w:r w:rsidRPr="00CE15CF">
        <w:t>According to</w:t>
      </w:r>
      <w:proofErr w:type="gramEnd"/>
      <w:r w:rsidRPr="00CE15CF">
        <w:t xml:space="preserve"> ABRAISCA, the results from this study investigating the formation of PFCAs from </w:t>
      </w:r>
      <w:r w:rsidRPr="00CE15CF">
        <w:rPr>
          <w:i/>
        </w:rPr>
        <w:t>N</w:t>
      </w:r>
      <w:r w:rsidRPr="00CE15CF">
        <w:t>-methyl</w:t>
      </w:r>
      <w:r w:rsidR="00603D4E" w:rsidRPr="00CE15CF">
        <w:t xml:space="preserve"> </w:t>
      </w:r>
      <w:proofErr w:type="spellStart"/>
      <w:r w:rsidRPr="00CE15CF">
        <w:t>perfluorobutane</w:t>
      </w:r>
      <w:proofErr w:type="spellEnd"/>
      <w:r w:rsidRPr="00CE15CF">
        <w:t xml:space="preserve"> </w:t>
      </w:r>
      <w:proofErr w:type="spellStart"/>
      <w:r w:rsidRPr="00CE15CF">
        <w:t>sulfonamid</w:t>
      </w:r>
      <w:r w:rsidR="007834AD" w:rsidRPr="00CE15CF">
        <w:t>o</w:t>
      </w:r>
      <w:r w:rsidRPr="00CE15CF">
        <w:t>ethanol</w:t>
      </w:r>
      <w:proofErr w:type="spellEnd"/>
      <w:r w:rsidRPr="00CE15CF">
        <w:t xml:space="preserve"> cannot be transferred to </w:t>
      </w:r>
      <w:proofErr w:type="spellStart"/>
      <w:r w:rsidRPr="00CE15CF">
        <w:t>perfluoroalkane</w:t>
      </w:r>
      <w:proofErr w:type="spellEnd"/>
      <w:r w:rsidRPr="00CE15CF">
        <w:t xml:space="preserve"> </w:t>
      </w:r>
      <w:proofErr w:type="spellStart"/>
      <w:r w:rsidRPr="00CE15CF">
        <w:t>sulfonamides</w:t>
      </w:r>
      <w:proofErr w:type="spellEnd"/>
      <w:r w:rsidRPr="00CE15CF">
        <w:t xml:space="preserve"> (such as </w:t>
      </w:r>
      <w:proofErr w:type="spellStart"/>
      <w:r w:rsidRPr="00CE15CF">
        <w:t>sulfluramid</w:t>
      </w:r>
      <w:proofErr w:type="spellEnd"/>
      <w:r w:rsidRPr="00CE15CF">
        <w:t xml:space="preserve">), which have no hydroxyethyl group attached to a nitrogen atom. </w:t>
      </w:r>
      <w:proofErr w:type="gramStart"/>
      <w:r w:rsidRPr="00CE15CF">
        <w:t>According to</w:t>
      </w:r>
      <w:proofErr w:type="gramEnd"/>
      <w:r w:rsidRPr="00CE15CF">
        <w:t xml:space="preserve"> ABRAISCA this hydroxyethyl group leads to a higher reactivity compared to </w:t>
      </w:r>
      <w:r w:rsidRPr="00CE15CF">
        <w:rPr>
          <w:i/>
        </w:rPr>
        <w:t>N</w:t>
      </w:r>
      <w:r w:rsidRPr="00CE15CF">
        <w:t>-alkyl</w:t>
      </w:r>
      <w:r w:rsidR="00603D4E" w:rsidRPr="00CE15CF">
        <w:t xml:space="preserve"> </w:t>
      </w:r>
      <w:r w:rsidRPr="00CE15CF">
        <w:t xml:space="preserve">perfluoro </w:t>
      </w:r>
      <w:proofErr w:type="spellStart"/>
      <w:r w:rsidRPr="00CE15CF">
        <w:t>sulfonamides</w:t>
      </w:r>
      <w:proofErr w:type="spellEnd"/>
      <w:r w:rsidRPr="00CE15CF">
        <w:t xml:space="preserve"> (ABRAISCA, 2018). Even if the hydroxyethyl group in </w:t>
      </w:r>
      <w:r w:rsidRPr="00CE15CF">
        <w:rPr>
          <w:i/>
        </w:rPr>
        <w:t>N</w:t>
      </w:r>
      <w:r w:rsidRPr="00CE15CF">
        <w:t xml:space="preserve">-methyl </w:t>
      </w:r>
      <w:proofErr w:type="spellStart"/>
      <w:r w:rsidRPr="00CE15CF">
        <w:t>perfluorobutane</w:t>
      </w:r>
      <w:proofErr w:type="spellEnd"/>
      <w:r w:rsidRPr="00CE15CF">
        <w:t xml:space="preserve"> </w:t>
      </w:r>
      <w:proofErr w:type="spellStart"/>
      <w:r w:rsidRPr="00CE15CF">
        <w:t>sulfonamidoethanol</w:t>
      </w:r>
      <w:proofErr w:type="spellEnd"/>
      <w:r w:rsidRPr="00CE15CF">
        <w:t xml:space="preserve"> leads to a higher reactivity compared to </w:t>
      </w:r>
      <w:r w:rsidRPr="00CE15CF">
        <w:rPr>
          <w:i/>
        </w:rPr>
        <w:t>N</w:t>
      </w:r>
      <w:r w:rsidRPr="00CE15CF">
        <w:t>-alkyl</w:t>
      </w:r>
      <w:r w:rsidR="00603D4E" w:rsidRPr="00CE15CF">
        <w:t xml:space="preserve"> </w:t>
      </w:r>
      <w:r w:rsidRPr="00CE15CF">
        <w:t xml:space="preserve">perfluoro </w:t>
      </w:r>
      <w:proofErr w:type="spellStart"/>
      <w:r w:rsidRPr="00CE15CF">
        <w:t>sulfonamides</w:t>
      </w:r>
      <w:proofErr w:type="spellEnd"/>
      <w:r w:rsidRPr="00CE15CF">
        <w:t xml:space="preserve">, it cannot be excluded that PFCAs are formed from </w:t>
      </w:r>
      <w:r w:rsidRPr="00CE15CF">
        <w:rPr>
          <w:i/>
        </w:rPr>
        <w:t>N</w:t>
      </w:r>
      <w:r w:rsidRPr="00CE15CF">
        <w:t>-alkyl</w:t>
      </w:r>
      <w:r w:rsidR="002A0D3D" w:rsidRPr="00CE15CF">
        <w:t xml:space="preserve"> </w:t>
      </w:r>
      <w:r w:rsidRPr="00CE15CF">
        <w:t xml:space="preserve">perfluoro </w:t>
      </w:r>
      <w:proofErr w:type="spellStart"/>
      <w:r w:rsidRPr="00CE15CF">
        <w:t>sulfonamides</w:t>
      </w:r>
      <w:proofErr w:type="spellEnd"/>
      <w:r w:rsidRPr="00CE15CF">
        <w:t xml:space="preserve">. </w:t>
      </w:r>
    </w:p>
    <w:p w14:paraId="4B8B04AB" w14:textId="66FAD673" w:rsidR="002A172B" w:rsidRPr="00CE15CF" w:rsidRDefault="002A172B" w:rsidP="00CE15CF">
      <w:pPr>
        <w:pStyle w:val="Paralevel1"/>
      </w:pPr>
      <w:proofErr w:type="spellStart"/>
      <w:r w:rsidRPr="00CE15CF">
        <w:t>Plumlee</w:t>
      </w:r>
      <w:proofErr w:type="spellEnd"/>
      <w:r w:rsidRPr="00CE15CF">
        <w:t xml:space="preserve"> et al. (2009) irradiated selected </w:t>
      </w:r>
      <w:proofErr w:type="spellStart"/>
      <w:r w:rsidRPr="00CE15CF">
        <w:t>perfluorinated</w:t>
      </w:r>
      <w:proofErr w:type="spellEnd"/>
      <w:r w:rsidRPr="00CE15CF">
        <w:t xml:space="preserve"> surfactants in aqueous hydrogen peroxide solutions using artificial sunlight to study transformation under aquatic environmental conditions</w:t>
      </w:r>
      <w:r w:rsidR="0040517E" w:rsidRPr="00CE15CF">
        <w:t xml:space="preserve">, however, the study authors note that conditions simulated natural sunlight and that the relatively high peroxide concentration was only used to observe significant decay during the experimental </w:t>
      </w:r>
      <w:proofErr w:type="gramStart"/>
      <w:r w:rsidR="0040517E" w:rsidRPr="00CE15CF">
        <w:t>time period</w:t>
      </w:r>
      <w:proofErr w:type="gramEnd"/>
      <w:r w:rsidRPr="00CE15CF">
        <w:t>. Indirect photolysis mediated by hydroxyl radical was among other</w:t>
      </w:r>
      <w:r w:rsidR="00E35F78" w:rsidRPr="00CE15CF">
        <w:t>s</w:t>
      </w:r>
      <w:r w:rsidRPr="00CE15CF">
        <w:t xml:space="preserve"> observed for </w:t>
      </w:r>
      <w:proofErr w:type="spellStart"/>
      <w:r w:rsidRPr="00CE15CF">
        <w:t>sulfluramid</w:t>
      </w:r>
      <w:proofErr w:type="spellEnd"/>
      <w:r w:rsidRPr="00CE15CF">
        <w:t xml:space="preserve">. ABRAISCA noted </w:t>
      </w:r>
      <w:proofErr w:type="gramStart"/>
      <w:r w:rsidRPr="00CE15CF">
        <w:t>with regard to</w:t>
      </w:r>
      <w:proofErr w:type="gramEnd"/>
      <w:r w:rsidRPr="00CE15CF">
        <w:t xml:space="preserve"> the study by </w:t>
      </w:r>
      <w:proofErr w:type="spellStart"/>
      <w:r w:rsidRPr="00CE15CF">
        <w:t>Plumlee</w:t>
      </w:r>
      <w:proofErr w:type="spellEnd"/>
      <w:r w:rsidRPr="00CE15CF">
        <w:t xml:space="preserve"> et al. (2009), that the conditions used in the study do not represent environmental conditions. Further, ABRAISCA stated that the formation of </w:t>
      </w:r>
      <w:proofErr w:type="spellStart"/>
      <w:r w:rsidRPr="00CE15CF">
        <w:t>perfluorooctane</w:t>
      </w:r>
      <w:proofErr w:type="spellEnd"/>
      <w:r w:rsidRPr="00CE15CF">
        <w:t xml:space="preserve"> </w:t>
      </w:r>
      <w:proofErr w:type="spellStart"/>
      <w:r w:rsidRPr="00CE15CF">
        <w:t>sulfonamide</w:t>
      </w:r>
      <w:proofErr w:type="spellEnd"/>
      <w:r w:rsidRPr="00CE15CF">
        <w:t xml:space="preserve"> from </w:t>
      </w:r>
      <w:proofErr w:type="spellStart"/>
      <w:r w:rsidRPr="00CE15CF">
        <w:t>sulfluramid</w:t>
      </w:r>
      <w:proofErr w:type="spellEnd"/>
      <w:r w:rsidRPr="00CE15CF">
        <w:t xml:space="preserve"> is by far more favourable than the formation of PFOA (see ABRAISCA, 2018). </w:t>
      </w:r>
      <w:r w:rsidR="00051EA9" w:rsidRPr="00CE15CF">
        <w:t>Moreover, ABRAISCA argues</w:t>
      </w:r>
      <w:r w:rsidR="00E35F78" w:rsidRPr="00CE15CF">
        <w:t xml:space="preserve"> that</w:t>
      </w:r>
      <w:r w:rsidR="00051EA9" w:rsidRPr="00CE15CF">
        <w:t xml:space="preserve"> </w:t>
      </w:r>
      <w:proofErr w:type="spellStart"/>
      <w:r w:rsidR="00051EA9" w:rsidRPr="00CE15CF">
        <w:t>sulfluramid</w:t>
      </w:r>
      <w:proofErr w:type="spellEnd"/>
      <w:r w:rsidR="00051EA9" w:rsidRPr="00CE15CF">
        <w:t xml:space="preserve"> molecule</w:t>
      </w:r>
      <w:r w:rsidR="00E35F78" w:rsidRPr="00CE15CF">
        <w:t>s</w:t>
      </w:r>
      <w:r w:rsidR="00051EA9" w:rsidRPr="00CE15CF">
        <w:t xml:space="preserve"> </w:t>
      </w:r>
      <w:r w:rsidR="0082215A" w:rsidRPr="00CE15CF">
        <w:t>are</w:t>
      </w:r>
      <w:r w:rsidR="00051EA9" w:rsidRPr="00CE15CF">
        <w:t xml:space="preserve"> not identical to </w:t>
      </w:r>
      <w:r w:rsidR="00051EA9" w:rsidRPr="00CE15CF">
        <w:rPr>
          <w:i/>
        </w:rPr>
        <w:t>N</w:t>
      </w:r>
      <w:r w:rsidR="00051EA9" w:rsidRPr="00CE15CF">
        <w:t xml:space="preserve">-methyl </w:t>
      </w:r>
      <w:proofErr w:type="spellStart"/>
      <w:r w:rsidR="00051EA9" w:rsidRPr="00CE15CF">
        <w:lastRenderedPageBreak/>
        <w:t>perfluorobutane</w:t>
      </w:r>
      <w:proofErr w:type="spellEnd"/>
      <w:r w:rsidR="00051EA9" w:rsidRPr="00CE15CF">
        <w:t xml:space="preserve"> </w:t>
      </w:r>
      <w:proofErr w:type="spellStart"/>
      <w:r w:rsidR="00051EA9" w:rsidRPr="00CE15CF">
        <w:t>sulfonamidoethanol</w:t>
      </w:r>
      <w:proofErr w:type="spellEnd"/>
      <w:r w:rsidR="00DD56BB" w:rsidRPr="00CE15CF">
        <w:t>.</w:t>
      </w:r>
      <w:r w:rsidR="00051EA9" w:rsidRPr="00CE15CF">
        <w:t xml:space="preserve">  </w:t>
      </w:r>
      <w:r w:rsidRPr="00CE15CF">
        <w:t xml:space="preserve">Even if the experimental conditions were not representative for environmental conditions, </w:t>
      </w:r>
      <w:proofErr w:type="spellStart"/>
      <w:r w:rsidRPr="00CE15CF">
        <w:t>Plumlee</w:t>
      </w:r>
      <w:proofErr w:type="spellEnd"/>
      <w:r w:rsidRPr="00CE15CF">
        <w:t xml:space="preserve"> et al. (2009) provide scientific evidence that the degradation of </w:t>
      </w:r>
      <w:proofErr w:type="spellStart"/>
      <w:r w:rsidRPr="00CE15CF">
        <w:t>sulfluramid</w:t>
      </w:r>
      <w:proofErr w:type="spellEnd"/>
      <w:r w:rsidRPr="00CE15CF">
        <w:t xml:space="preserve"> to PFOA cannot be excluded.</w:t>
      </w:r>
    </w:p>
    <w:p w14:paraId="3F827611" w14:textId="32B38F17" w:rsidR="002A172B" w:rsidRPr="00CE15CF" w:rsidRDefault="002A172B" w:rsidP="00CE15CF">
      <w:pPr>
        <w:pStyle w:val="Paralevel1"/>
      </w:pPr>
      <w:r w:rsidRPr="00CE15CF">
        <w:t xml:space="preserve">Liu et al. (2017) analysed PFOS and PFOA release into the environment in the central and eastern region of China, which accounts for the </w:t>
      </w:r>
      <w:proofErr w:type="gramStart"/>
      <w:r w:rsidRPr="00CE15CF">
        <w:t>vast majority</w:t>
      </w:r>
      <w:proofErr w:type="gramEnd"/>
      <w:r w:rsidRPr="00CE15CF">
        <w:t xml:space="preserve"> of national emission</w:t>
      </w:r>
      <w:r w:rsidR="00BE31BA" w:rsidRPr="00CE15CF">
        <w:t>s</w:t>
      </w:r>
      <w:r w:rsidRPr="00CE15CF">
        <w:t xml:space="preserve">. </w:t>
      </w:r>
      <w:proofErr w:type="gramStart"/>
      <w:r w:rsidRPr="00CE15CF">
        <w:t>According to</w:t>
      </w:r>
      <w:proofErr w:type="gramEnd"/>
      <w:r w:rsidRPr="00CE15CF">
        <w:t xml:space="preserve"> the authors</w:t>
      </w:r>
      <w:r w:rsidR="00E92604" w:rsidRPr="00CE15CF">
        <w:t xml:space="preserve">, </w:t>
      </w:r>
      <w:proofErr w:type="spellStart"/>
      <w:r w:rsidR="00E92604" w:rsidRPr="00CE15CF">
        <w:t>sulfluramid</w:t>
      </w:r>
      <w:proofErr w:type="spellEnd"/>
      <w:r w:rsidR="00E92604" w:rsidRPr="00CE15CF">
        <w:t xml:space="preserve"> likely resulted in the release of</w:t>
      </w:r>
      <w:r w:rsidRPr="00CE15CF">
        <w:t xml:space="preserve"> PFOS and PFOA to the environment. The environmental release of PFOS has been estimated to be 2.6 t/a while the release of PFOA from this source was calculated to be 1.4 t/a based on the annual consumption of </w:t>
      </w:r>
      <w:proofErr w:type="spellStart"/>
      <w:r w:rsidRPr="00CE15CF">
        <w:t>sulfluramid</w:t>
      </w:r>
      <w:proofErr w:type="spellEnd"/>
      <w:r w:rsidRPr="00CE15CF">
        <w:t xml:space="preserve">, and the transformation rate to PFOA and PFOA content as impurities in </w:t>
      </w:r>
      <w:proofErr w:type="spellStart"/>
      <w:r w:rsidRPr="00CE15CF">
        <w:t>sulfluramid</w:t>
      </w:r>
      <w:proofErr w:type="spellEnd"/>
      <w:r w:rsidRPr="00CE15CF">
        <w:t xml:space="preserve"> (Liu et al., 2017). Regarding this study, ABRAISCA </w:t>
      </w:r>
      <w:r w:rsidR="00E92604" w:rsidRPr="00CE15CF">
        <w:t>claimed</w:t>
      </w:r>
      <w:r w:rsidRPr="00CE15CF">
        <w:t xml:space="preserve"> that PFOS and PFOA are not present as contaminants in </w:t>
      </w:r>
      <w:proofErr w:type="spellStart"/>
      <w:r w:rsidRPr="00CE15CF">
        <w:t>sulfluramid</w:t>
      </w:r>
      <w:proofErr w:type="spellEnd"/>
      <w:r w:rsidRPr="00CE15CF">
        <w:t xml:space="preserve"> </w:t>
      </w:r>
      <w:proofErr w:type="gramStart"/>
      <w:r w:rsidRPr="00CE15CF">
        <w:t>provided that</w:t>
      </w:r>
      <w:proofErr w:type="gramEnd"/>
      <w:r w:rsidRPr="00CE15CF">
        <w:t xml:space="preserve"> it is synthesized by applying correct experimental procedures. Additionally, ABRAISCA mentioned that annual emissions of PFOS and PFOA from </w:t>
      </w:r>
      <w:proofErr w:type="spellStart"/>
      <w:r w:rsidRPr="00CE15CF">
        <w:t>sulfluramid</w:t>
      </w:r>
      <w:proofErr w:type="spellEnd"/>
      <w:r w:rsidRPr="00CE15CF">
        <w:t xml:space="preserve">-based pesticides are overestimated and that data regarding degradation rates are missing. Further ABRAISCA stated that no </w:t>
      </w:r>
      <w:r w:rsidRPr="00CE15CF">
        <w:rPr>
          <w:lang w:val="en-US"/>
        </w:rPr>
        <w:t xml:space="preserve">new experimental scientific evidence is presented and that the study should </w:t>
      </w:r>
      <w:proofErr w:type="gramStart"/>
      <w:r w:rsidRPr="00CE15CF">
        <w:rPr>
          <w:lang w:val="en-US"/>
        </w:rPr>
        <w:t>be seen as</w:t>
      </w:r>
      <w:proofErr w:type="gramEnd"/>
      <w:r w:rsidRPr="00CE15CF">
        <w:rPr>
          <w:lang w:val="en-US"/>
        </w:rPr>
        <w:t xml:space="preserve"> a modeling paper to estimate emissions</w:t>
      </w:r>
      <w:r w:rsidRPr="00CE15CF">
        <w:t xml:space="preserve"> (see ABRAISCA, 2018). </w:t>
      </w:r>
      <w:r w:rsidR="00E92604" w:rsidRPr="00CE15CF">
        <w:t xml:space="preserve">However, PFOSF is used to manufacture </w:t>
      </w:r>
      <w:proofErr w:type="spellStart"/>
      <w:r w:rsidR="00E92604" w:rsidRPr="00CE15CF">
        <w:t>sulfluramid</w:t>
      </w:r>
      <w:proofErr w:type="spellEnd"/>
      <w:r w:rsidR="00E92604" w:rsidRPr="00CE15CF">
        <w:t xml:space="preserve"> and when electrochemical fluorination is used to make PFOSF, there are a significant number of organic and inorganic by-products</w:t>
      </w:r>
      <w:r w:rsidR="003D788D" w:rsidRPr="00CE15CF">
        <w:t xml:space="preserve"> (</w:t>
      </w:r>
      <w:proofErr w:type="spellStart"/>
      <w:r w:rsidR="00A74DE9" w:rsidRPr="00CE15CF">
        <w:t>Lehmler</w:t>
      </w:r>
      <w:proofErr w:type="spellEnd"/>
      <w:r w:rsidR="00A74DE9" w:rsidRPr="00CE15CF">
        <w:t xml:space="preserve"> et al. 2007)</w:t>
      </w:r>
      <w:r w:rsidR="00E92604" w:rsidRPr="00CE15CF">
        <w:t xml:space="preserve">. The Liu et al. study also notes the possibility that the </w:t>
      </w:r>
      <w:r w:rsidR="00F85BD8" w:rsidRPr="00CE15CF">
        <w:t xml:space="preserve">active </w:t>
      </w:r>
      <w:r w:rsidR="00E92604" w:rsidRPr="00CE15CF">
        <w:t xml:space="preserve">ingredient in </w:t>
      </w:r>
      <w:proofErr w:type="spellStart"/>
      <w:r w:rsidR="00E92604" w:rsidRPr="00CE15CF">
        <w:t>sulfluramid</w:t>
      </w:r>
      <w:proofErr w:type="spellEnd"/>
      <w:r w:rsidR="00F85BD8" w:rsidRPr="00CE15CF">
        <w:t xml:space="preserve"> baits</w:t>
      </w:r>
      <w:r w:rsidR="00E92604" w:rsidRPr="00CE15CF">
        <w:t xml:space="preserve">, </w:t>
      </w:r>
      <w:r w:rsidR="00E92604" w:rsidRPr="00CE15CF">
        <w:rPr>
          <w:i/>
        </w:rPr>
        <w:t>N</w:t>
      </w:r>
      <w:r w:rsidR="00E92604" w:rsidRPr="00CE15CF">
        <w:t xml:space="preserve">-ethyl </w:t>
      </w:r>
      <w:proofErr w:type="spellStart"/>
      <w:r w:rsidR="00E92604" w:rsidRPr="00CE15CF">
        <w:t>perfluorooctane</w:t>
      </w:r>
      <w:proofErr w:type="spellEnd"/>
      <w:r w:rsidR="00E92604" w:rsidRPr="00CE15CF">
        <w:t xml:space="preserve"> </w:t>
      </w:r>
      <w:proofErr w:type="spellStart"/>
      <w:r w:rsidR="00E92604" w:rsidRPr="00CE15CF">
        <w:t>sul</w:t>
      </w:r>
      <w:r w:rsidR="009C697C" w:rsidRPr="00CE15CF">
        <w:t>f</w:t>
      </w:r>
      <w:r w:rsidR="00E92604" w:rsidRPr="00CE15CF">
        <w:t>onamide</w:t>
      </w:r>
      <w:proofErr w:type="spellEnd"/>
      <w:r w:rsidR="00E92604" w:rsidRPr="00CE15CF">
        <w:t xml:space="preserve">, can transform to PFOA and PFOS through photolysis, oxidation, and biotransformation indicating that PFOA release can occur in other ways besides impurities in </w:t>
      </w:r>
      <w:proofErr w:type="spellStart"/>
      <w:r w:rsidR="00E92604" w:rsidRPr="00CE15CF">
        <w:t>sulfluramid</w:t>
      </w:r>
      <w:proofErr w:type="spellEnd"/>
      <w:r w:rsidR="009E66D1" w:rsidRPr="00CE15CF">
        <w:t>.</w:t>
      </w:r>
    </w:p>
    <w:p w14:paraId="5DFE8BB7" w14:textId="2464804B" w:rsidR="008022D3" w:rsidRPr="00CE15CF" w:rsidRDefault="008022D3" w:rsidP="00CE15CF">
      <w:pPr>
        <w:pStyle w:val="Paralevel1"/>
      </w:pPr>
      <w:r w:rsidRPr="00CE15CF">
        <w:t xml:space="preserve">Regarding the comments from ABRAISCA (2018) with respect to the question whether </w:t>
      </w:r>
      <w:proofErr w:type="spellStart"/>
      <w:r w:rsidRPr="00CE15CF">
        <w:t>sulfluramid</w:t>
      </w:r>
      <w:proofErr w:type="spellEnd"/>
      <w:r w:rsidRPr="00CE15CF">
        <w:t xml:space="preserve"> is a PFOA-related compound, it can be stated that two </w:t>
      </w:r>
      <w:r w:rsidR="00FF2FDC" w:rsidRPr="00CE15CF">
        <w:t>in vitro</w:t>
      </w:r>
      <w:r w:rsidRPr="00CE15CF">
        <w:t xml:space="preserve"> studies (Martin et al., 2006 and </w:t>
      </w:r>
      <w:proofErr w:type="spellStart"/>
      <w:r w:rsidRPr="00CE15CF">
        <w:t>Plumlee</w:t>
      </w:r>
      <w:proofErr w:type="spellEnd"/>
      <w:r w:rsidRPr="00CE15CF">
        <w:t xml:space="preserve"> et al., 2009) provide scientific evidence that </w:t>
      </w:r>
      <w:r w:rsidR="0094751E" w:rsidRPr="00CE15CF">
        <w:t>indicates that</w:t>
      </w:r>
      <w:r w:rsidRPr="00CE15CF">
        <w:t xml:space="preserve"> </w:t>
      </w:r>
      <w:proofErr w:type="spellStart"/>
      <w:r w:rsidRPr="00CE15CF">
        <w:t>sulfluramid</w:t>
      </w:r>
      <w:proofErr w:type="spellEnd"/>
      <w:r w:rsidRPr="00CE15CF">
        <w:t xml:space="preserve"> can degrade to PFOA and could thus be considered a PFOA</w:t>
      </w:r>
      <w:r w:rsidR="00142465" w:rsidRPr="00CE15CF">
        <w:t>-</w:t>
      </w:r>
      <w:r w:rsidRPr="00CE15CF">
        <w:t xml:space="preserve">related compound. </w:t>
      </w:r>
      <w:r w:rsidR="00292F52" w:rsidRPr="00CE15CF">
        <w:t xml:space="preserve">Moreover, </w:t>
      </w:r>
      <w:r w:rsidR="00292F52" w:rsidRPr="00CE15CF">
        <w:rPr>
          <w:lang w:val="en-US"/>
        </w:rPr>
        <w:t xml:space="preserve">abiotic degradation to PFOA via photo-oxidation may occur given that volatilization of </w:t>
      </w:r>
      <w:proofErr w:type="spellStart"/>
      <w:r w:rsidR="00292F52" w:rsidRPr="00CE15CF">
        <w:rPr>
          <w:lang w:val="en-US"/>
        </w:rPr>
        <w:t>sulfluramid</w:t>
      </w:r>
      <w:proofErr w:type="spellEnd"/>
      <w:r w:rsidR="00292F52" w:rsidRPr="00CE15CF">
        <w:rPr>
          <w:lang w:val="en-US"/>
        </w:rPr>
        <w:t xml:space="preserve"> from moist soil surfaces is expected to be an important fate process (HSDB database) Austria added that in a recent report by the Norwegian environment Agency it was concluded that photooxidation of </w:t>
      </w:r>
      <w:proofErr w:type="spellStart"/>
      <w:r w:rsidR="009C697C" w:rsidRPr="00CE15CF">
        <w:rPr>
          <w:lang w:val="en-US"/>
        </w:rPr>
        <w:t>perfluorobutane</w:t>
      </w:r>
      <w:proofErr w:type="spellEnd"/>
      <w:r w:rsidR="009C697C" w:rsidRPr="00CE15CF">
        <w:rPr>
          <w:lang w:val="en-US"/>
        </w:rPr>
        <w:t xml:space="preserve"> sulfonic acid (</w:t>
      </w:r>
      <w:r w:rsidR="00292F52" w:rsidRPr="00CE15CF">
        <w:rPr>
          <w:lang w:val="en-US"/>
        </w:rPr>
        <w:t>PFBS</w:t>
      </w:r>
      <w:r w:rsidR="009C697C" w:rsidRPr="00CE15CF">
        <w:rPr>
          <w:lang w:val="en-US"/>
        </w:rPr>
        <w:t>)</w:t>
      </w:r>
      <w:r w:rsidR="00292F52" w:rsidRPr="00CE15CF">
        <w:rPr>
          <w:lang w:val="en-US"/>
        </w:rPr>
        <w:t xml:space="preserve"> and </w:t>
      </w:r>
      <w:proofErr w:type="spellStart"/>
      <w:r w:rsidR="009C697C" w:rsidRPr="00CE15CF">
        <w:rPr>
          <w:lang w:val="en-US"/>
        </w:rPr>
        <w:t>perfluorohexane</w:t>
      </w:r>
      <w:proofErr w:type="spellEnd"/>
      <w:r w:rsidR="009C697C" w:rsidRPr="00CE15CF">
        <w:rPr>
          <w:lang w:val="en-US"/>
        </w:rPr>
        <w:t xml:space="preserve"> sulfonic acid (</w:t>
      </w:r>
      <w:proofErr w:type="spellStart"/>
      <w:r w:rsidR="00292F52" w:rsidRPr="00CE15CF">
        <w:rPr>
          <w:lang w:val="en-US"/>
        </w:rPr>
        <w:t>PFHxS</w:t>
      </w:r>
      <w:proofErr w:type="spellEnd"/>
      <w:r w:rsidR="009C697C" w:rsidRPr="00CE15CF">
        <w:rPr>
          <w:lang w:val="en-US"/>
        </w:rPr>
        <w:t>)</w:t>
      </w:r>
      <w:r w:rsidR="00292F52" w:rsidRPr="00CE15CF">
        <w:rPr>
          <w:lang w:val="en-US"/>
        </w:rPr>
        <w:t xml:space="preserve"> sulfonamides will also result in the release of C</w:t>
      </w:r>
      <w:r w:rsidR="00292F52" w:rsidRPr="00CE15CF">
        <w:rPr>
          <w:vertAlign w:val="subscript"/>
          <w:lang w:val="en-US"/>
        </w:rPr>
        <w:t>2</w:t>
      </w:r>
      <w:r w:rsidR="00292F52" w:rsidRPr="00CE15CF">
        <w:rPr>
          <w:lang w:val="en-US"/>
        </w:rPr>
        <w:t>–C</w:t>
      </w:r>
      <w:r w:rsidR="00292F52" w:rsidRPr="00CE15CF">
        <w:rPr>
          <w:vertAlign w:val="subscript"/>
          <w:lang w:val="en-US"/>
        </w:rPr>
        <w:t>6</w:t>
      </w:r>
      <w:r w:rsidR="00292F52" w:rsidRPr="00CE15CF">
        <w:rPr>
          <w:lang w:val="en-US"/>
        </w:rPr>
        <w:t xml:space="preserve"> PFCAs and concluded that the same mechanism can be anticipated for </w:t>
      </w:r>
      <w:r w:rsidR="00292F52" w:rsidRPr="00CE15CF">
        <w:rPr>
          <w:i/>
          <w:lang w:val="en-US"/>
        </w:rPr>
        <w:t>N</w:t>
      </w:r>
      <w:r w:rsidR="00292F52" w:rsidRPr="00CE15CF">
        <w:rPr>
          <w:lang w:val="en-US"/>
        </w:rPr>
        <w:t>-</w:t>
      </w:r>
      <w:r w:rsidR="009C697C" w:rsidRPr="00CE15CF">
        <w:rPr>
          <w:lang w:val="en-US"/>
        </w:rPr>
        <w:t>e</w:t>
      </w:r>
      <w:r w:rsidR="00292F52" w:rsidRPr="00CE15CF">
        <w:rPr>
          <w:lang w:val="en-US"/>
        </w:rPr>
        <w:t>thyl</w:t>
      </w:r>
      <w:r w:rsidR="00603D4E" w:rsidRPr="00CE15CF">
        <w:rPr>
          <w:lang w:val="en-US"/>
        </w:rPr>
        <w:t xml:space="preserve"> </w:t>
      </w:r>
      <w:proofErr w:type="spellStart"/>
      <w:r w:rsidR="00292F52" w:rsidRPr="00CE15CF">
        <w:rPr>
          <w:lang w:val="en-US"/>
        </w:rPr>
        <w:t>perfluorooct</w:t>
      </w:r>
      <w:r w:rsidR="009C697C" w:rsidRPr="00CE15CF">
        <w:rPr>
          <w:lang w:val="en-US"/>
        </w:rPr>
        <w:t>ane</w:t>
      </w:r>
      <w:proofErr w:type="spellEnd"/>
      <w:r w:rsidR="009C697C" w:rsidRPr="00CE15CF">
        <w:rPr>
          <w:lang w:val="en-US"/>
        </w:rPr>
        <w:t xml:space="preserve"> </w:t>
      </w:r>
      <w:r w:rsidR="00292F52" w:rsidRPr="00CE15CF">
        <w:rPr>
          <w:lang w:val="en-US"/>
        </w:rPr>
        <w:t xml:space="preserve">sulfonamide. These studies and information sources suggest that a transformation of </w:t>
      </w:r>
      <w:proofErr w:type="spellStart"/>
      <w:r w:rsidR="00292F52" w:rsidRPr="00CE15CF">
        <w:rPr>
          <w:lang w:val="en-US"/>
        </w:rPr>
        <w:t>sulfluramid</w:t>
      </w:r>
      <w:proofErr w:type="spellEnd"/>
      <w:r w:rsidR="00292F52" w:rsidRPr="00CE15CF">
        <w:rPr>
          <w:lang w:val="en-US"/>
        </w:rPr>
        <w:t xml:space="preserve"> to PFOA is possible. However, </w:t>
      </w:r>
      <w:r w:rsidR="00292F52" w:rsidRPr="00CE15CF">
        <w:t xml:space="preserve">the </w:t>
      </w:r>
      <w:r w:rsidRPr="00CE15CF">
        <w:t xml:space="preserve">question whether </w:t>
      </w:r>
      <w:proofErr w:type="spellStart"/>
      <w:r w:rsidRPr="00CE15CF">
        <w:t>sulfluramid</w:t>
      </w:r>
      <w:proofErr w:type="spellEnd"/>
      <w:r w:rsidRPr="00CE15CF">
        <w:t xml:space="preserve"> can degrade to PFOA under environmental conditions is not conclusively clarified. </w:t>
      </w:r>
    </w:p>
    <w:p w14:paraId="6D00FD7D" w14:textId="6C10857F" w:rsidR="002A172B" w:rsidRPr="00CE15CF" w:rsidRDefault="00D2028A" w:rsidP="00CE15CF">
      <w:pPr>
        <w:pStyle w:val="Paralevel1"/>
      </w:pPr>
      <w:proofErr w:type="spellStart"/>
      <w:r w:rsidRPr="00CE15CF">
        <w:t>S</w:t>
      </w:r>
      <w:r w:rsidR="00942866" w:rsidRPr="00CE15CF">
        <w:t>ulfluramid</w:t>
      </w:r>
      <w:proofErr w:type="spellEnd"/>
      <w:r w:rsidR="00942866" w:rsidRPr="00CE15CF">
        <w:t xml:space="preserve"> is more</w:t>
      </w:r>
      <w:r w:rsidR="002A172B" w:rsidRPr="00CE15CF">
        <w:t xml:space="preserve"> structural</w:t>
      </w:r>
      <w:r w:rsidR="00942866" w:rsidRPr="00CE15CF">
        <w:t xml:space="preserve">ly related </w:t>
      </w:r>
      <w:r w:rsidR="002A172B" w:rsidRPr="00CE15CF">
        <w:t>to PFOS (both consist of a C</w:t>
      </w:r>
      <w:r w:rsidR="002A172B" w:rsidRPr="00CE15CF">
        <w:rPr>
          <w:vertAlign w:val="subscript"/>
        </w:rPr>
        <w:t>8</w:t>
      </w:r>
      <w:r w:rsidR="002A172B" w:rsidRPr="00CE15CF">
        <w:t>F</w:t>
      </w:r>
      <w:r w:rsidR="002A172B" w:rsidRPr="00CE15CF">
        <w:rPr>
          <w:vertAlign w:val="subscript"/>
        </w:rPr>
        <w:t>17</w:t>
      </w:r>
      <w:r w:rsidR="002A172B" w:rsidRPr="00CE15CF">
        <w:t>SO</w:t>
      </w:r>
      <w:r w:rsidR="002A172B" w:rsidRPr="00CE15CF">
        <w:rPr>
          <w:vertAlign w:val="subscript"/>
        </w:rPr>
        <w:t>2</w:t>
      </w:r>
      <w:r w:rsidR="002A172B" w:rsidRPr="00CE15CF">
        <w:t>-unit) than to PFOA</w:t>
      </w:r>
      <w:r w:rsidR="00C625F8" w:rsidRPr="00CE15CF">
        <w:t>,</w:t>
      </w:r>
      <w:r w:rsidR="002A172B" w:rsidRPr="00CE15CF">
        <w:t xml:space="preserve"> thus degradation of </w:t>
      </w:r>
      <w:proofErr w:type="spellStart"/>
      <w:r w:rsidR="002A172B" w:rsidRPr="00CE15CF">
        <w:t>sulfluramid</w:t>
      </w:r>
      <w:proofErr w:type="spellEnd"/>
      <w:r w:rsidR="002A172B" w:rsidRPr="00CE15CF">
        <w:t xml:space="preserve"> to PFOS is more likely. </w:t>
      </w:r>
      <w:proofErr w:type="spellStart"/>
      <w:r w:rsidR="002A172B" w:rsidRPr="00CE15CF">
        <w:t>Zabaleta</w:t>
      </w:r>
      <w:proofErr w:type="spellEnd"/>
      <w:r w:rsidR="002A172B" w:rsidRPr="00CE15CF">
        <w:t xml:space="preserve"> et al. (2018) </w:t>
      </w:r>
      <w:r w:rsidR="002A172B" w:rsidRPr="00CE15CF">
        <w:rPr>
          <w:lang w:val="en-US"/>
        </w:rPr>
        <w:t xml:space="preserve">investigate the importance of </w:t>
      </w:r>
      <w:proofErr w:type="spellStart"/>
      <w:r w:rsidR="002A172B" w:rsidRPr="00CE15CF">
        <w:rPr>
          <w:lang w:val="en-US"/>
        </w:rPr>
        <w:t>sulfluramid</w:t>
      </w:r>
      <w:proofErr w:type="spellEnd"/>
      <w:r w:rsidR="002A172B" w:rsidRPr="00CE15CF">
        <w:rPr>
          <w:lang w:val="en-US"/>
        </w:rPr>
        <w:t xml:space="preserve"> as a source of environmental PFOS. The authors conclude on the one hand, that observed formation of PFOA </w:t>
      </w:r>
      <w:r w:rsidR="00942866" w:rsidRPr="00CE15CF">
        <w:rPr>
          <w:lang w:val="en-US"/>
        </w:rPr>
        <w:t>may be</w:t>
      </w:r>
      <w:r w:rsidR="002A172B" w:rsidRPr="00CE15CF">
        <w:rPr>
          <w:lang w:val="en-US"/>
        </w:rPr>
        <w:t xml:space="preserve"> due to the presence of </w:t>
      </w:r>
      <w:r w:rsidR="002A172B" w:rsidRPr="00CE15CF">
        <w:rPr>
          <w:i/>
          <w:lang w:val="en-US"/>
        </w:rPr>
        <w:t>N</w:t>
      </w:r>
      <w:r w:rsidR="002A172B" w:rsidRPr="00CE15CF">
        <w:rPr>
          <w:lang w:val="en-US"/>
        </w:rPr>
        <w:t>-ethyl</w:t>
      </w:r>
      <w:r w:rsidR="00603D4E" w:rsidRPr="00CE15CF">
        <w:rPr>
          <w:lang w:val="en-US"/>
        </w:rPr>
        <w:t xml:space="preserve"> </w:t>
      </w:r>
      <w:proofErr w:type="spellStart"/>
      <w:r w:rsidR="002A172B" w:rsidRPr="00CE15CF">
        <w:rPr>
          <w:lang w:val="en-US"/>
        </w:rPr>
        <w:t>perfluorooctanamide</w:t>
      </w:r>
      <w:proofErr w:type="spellEnd"/>
      <w:r w:rsidR="002A172B" w:rsidRPr="00CE15CF">
        <w:rPr>
          <w:lang w:val="en-US"/>
        </w:rPr>
        <w:t xml:space="preserve">, which is known to occur as an impurity in </w:t>
      </w:r>
      <w:proofErr w:type="spellStart"/>
      <w:r w:rsidR="002A172B" w:rsidRPr="00CE15CF">
        <w:rPr>
          <w:lang w:val="en-US"/>
        </w:rPr>
        <w:t>sulfluramid</w:t>
      </w:r>
      <w:proofErr w:type="spellEnd"/>
      <w:r w:rsidR="002A172B" w:rsidRPr="00CE15CF">
        <w:rPr>
          <w:lang w:val="en-US"/>
        </w:rPr>
        <w:t xml:space="preserve">. </w:t>
      </w:r>
      <w:proofErr w:type="spellStart"/>
      <w:r w:rsidR="00942866" w:rsidRPr="00CE15CF">
        <w:rPr>
          <w:lang w:val="en-US"/>
        </w:rPr>
        <w:t>Zabaleta</w:t>
      </w:r>
      <w:proofErr w:type="spellEnd"/>
      <w:r w:rsidR="00942866" w:rsidRPr="00CE15CF">
        <w:rPr>
          <w:lang w:val="en-US"/>
        </w:rPr>
        <w:t xml:space="preserve"> et al. (2018)</w:t>
      </w:r>
      <w:r w:rsidR="003C196A" w:rsidRPr="00CE15CF" w:rsidDel="003C196A">
        <w:rPr>
          <w:rStyle w:val="FootnoteReference"/>
        </w:rPr>
        <w:t xml:space="preserve"> </w:t>
      </w:r>
      <w:r w:rsidR="00942866" w:rsidRPr="00CE15CF">
        <w:rPr>
          <w:lang w:val="en-US"/>
        </w:rPr>
        <w:t xml:space="preserve"> performed </w:t>
      </w:r>
      <w:r w:rsidR="002A172B" w:rsidRPr="00CE15CF">
        <w:rPr>
          <w:lang w:val="en-US"/>
        </w:rPr>
        <w:t xml:space="preserve">experiments in the presence of carrot </w:t>
      </w:r>
      <w:r w:rsidR="00942866" w:rsidRPr="00CE15CF">
        <w:rPr>
          <w:lang w:val="en-US"/>
        </w:rPr>
        <w:t>that</w:t>
      </w:r>
      <w:r w:rsidR="002A172B" w:rsidRPr="00CE15CF">
        <w:rPr>
          <w:lang w:val="en-US"/>
        </w:rPr>
        <w:t xml:space="preserve"> produced </w:t>
      </w:r>
      <w:r w:rsidR="002A172B" w:rsidRPr="00CE15CF">
        <w:rPr>
          <w:bCs/>
          <w:lang w:val="en-US"/>
        </w:rPr>
        <w:t xml:space="preserve">PFOS yields of up to 34 % using a technical </w:t>
      </w:r>
      <w:proofErr w:type="spellStart"/>
      <w:r w:rsidR="002A172B" w:rsidRPr="00CE15CF">
        <w:rPr>
          <w:bCs/>
          <w:lang w:val="en-US"/>
        </w:rPr>
        <w:t>sulfluramid</w:t>
      </w:r>
      <w:proofErr w:type="spellEnd"/>
      <w:r w:rsidR="002A172B" w:rsidRPr="00CE15CF">
        <w:rPr>
          <w:bCs/>
          <w:lang w:val="en-US"/>
        </w:rPr>
        <w:t xml:space="preserve"> standard</w:t>
      </w:r>
      <w:r w:rsidR="00942866" w:rsidRPr="00CE15CF">
        <w:rPr>
          <w:bCs/>
          <w:lang w:val="en-US"/>
        </w:rPr>
        <w:t xml:space="preserve"> and up to 277% using a commercial </w:t>
      </w:r>
      <w:proofErr w:type="spellStart"/>
      <w:r w:rsidR="00942866" w:rsidRPr="00CE15CF">
        <w:rPr>
          <w:bCs/>
          <w:lang w:val="en-US"/>
        </w:rPr>
        <w:t>sulfluramid</w:t>
      </w:r>
      <w:proofErr w:type="spellEnd"/>
      <w:r w:rsidR="00942866" w:rsidRPr="00CE15CF">
        <w:rPr>
          <w:bCs/>
          <w:lang w:val="en-US"/>
        </w:rPr>
        <w:t xml:space="preserve"> formulation used in Brazil</w:t>
      </w:r>
      <w:r w:rsidR="002A172B" w:rsidRPr="00CE15CF">
        <w:rPr>
          <w:bCs/>
          <w:lang w:val="en-US"/>
        </w:rPr>
        <w:t xml:space="preserve">. </w:t>
      </w:r>
      <w:r w:rsidR="00815EDD" w:rsidRPr="00CE15CF">
        <w:rPr>
          <w:bCs/>
          <w:lang w:val="en-US"/>
        </w:rPr>
        <w:t xml:space="preserve">The </w:t>
      </w:r>
      <w:r w:rsidR="006F6157" w:rsidRPr="00CE15CF">
        <w:rPr>
          <w:bCs/>
          <w:lang w:val="en-US"/>
        </w:rPr>
        <w:t>authors</w:t>
      </w:r>
      <w:r w:rsidR="00815EDD" w:rsidRPr="00CE15CF">
        <w:rPr>
          <w:bCs/>
          <w:lang w:val="en-US"/>
        </w:rPr>
        <w:t xml:space="preserve"> note that a signiﬁcant fraction appears to be associated with one or more unidentiﬁed PFOS-precursors in the commercial bait</w:t>
      </w:r>
      <w:r w:rsidR="006F6157" w:rsidRPr="00CE15CF">
        <w:rPr>
          <w:bCs/>
          <w:lang w:val="en-US"/>
        </w:rPr>
        <w:t>.</w:t>
      </w:r>
      <w:r w:rsidR="00815EDD" w:rsidRPr="00CE15CF">
        <w:rPr>
          <w:bCs/>
          <w:lang w:val="en-US"/>
        </w:rPr>
        <w:t xml:space="preserve"> </w:t>
      </w:r>
      <w:proofErr w:type="gramStart"/>
      <w:r w:rsidR="002A172B" w:rsidRPr="00CE15CF">
        <w:rPr>
          <w:bCs/>
          <w:lang w:val="en-US"/>
        </w:rPr>
        <w:t>According to</w:t>
      </w:r>
      <w:proofErr w:type="gramEnd"/>
      <w:r w:rsidR="002A172B" w:rsidRPr="00CE15CF">
        <w:rPr>
          <w:bCs/>
          <w:lang w:val="en-US"/>
        </w:rPr>
        <w:t xml:space="preserve"> the authors, t</w:t>
      </w:r>
      <w:r w:rsidR="002A172B" w:rsidRPr="00CE15CF">
        <w:rPr>
          <w:lang w:val="en-US"/>
        </w:rPr>
        <w:t xml:space="preserve">he data </w:t>
      </w:r>
      <w:r w:rsidR="002A172B" w:rsidRPr="00CE15CF">
        <w:rPr>
          <w:bCs/>
          <w:lang w:val="en-US"/>
        </w:rPr>
        <w:t>suggest that</w:t>
      </w:r>
      <w:r w:rsidR="002A172B" w:rsidRPr="00CE15CF">
        <w:rPr>
          <w:lang w:val="en-US"/>
        </w:rPr>
        <w:t xml:space="preserve"> in the natural environment (and </w:t>
      </w:r>
      <w:r w:rsidR="002A172B" w:rsidRPr="00CE15CF">
        <w:rPr>
          <w:bCs/>
          <w:lang w:val="en-US"/>
        </w:rPr>
        <w:t>in particular in the presence of a vegetable crop</w:t>
      </w:r>
      <w:r w:rsidR="002A172B" w:rsidRPr="00CE15CF">
        <w:rPr>
          <w:lang w:val="en-US"/>
        </w:rPr>
        <w:t xml:space="preserve">), </w:t>
      </w:r>
      <w:r w:rsidR="002A172B" w:rsidRPr="00CE15CF">
        <w:rPr>
          <w:bCs/>
          <w:lang w:val="en-US"/>
        </w:rPr>
        <w:t xml:space="preserve">yields of PFOS from </w:t>
      </w:r>
      <w:proofErr w:type="spellStart"/>
      <w:r w:rsidR="002A172B" w:rsidRPr="00CE15CF">
        <w:rPr>
          <w:bCs/>
          <w:lang w:val="en-US"/>
        </w:rPr>
        <w:t>sulfluramid</w:t>
      </w:r>
      <w:proofErr w:type="spellEnd"/>
      <w:r w:rsidR="002A172B" w:rsidRPr="00CE15CF">
        <w:rPr>
          <w:bCs/>
          <w:lang w:val="en-US"/>
        </w:rPr>
        <w:t xml:space="preserve"> may be considerably higher than 4%</w:t>
      </w:r>
      <w:r w:rsidR="002A172B" w:rsidRPr="00CE15CF">
        <w:rPr>
          <w:lang w:val="en-US"/>
        </w:rPr>
        <w:t>.</w:t>
      </w:r>
      <w:r w:rsidR="00C83C21" w:rsidRPr="00CE15CF">
        <w:rPr>
          <w:lang w:val="en-US"/>
        </w:rPr>
        <w:t xml:space="preserve"> </w:t>
      </w:r>
      <w:proofErr w:type="spellStart"/>
      <w:r w:rsidR="00C83C21" w:rsidRPr="00CE15CF">
        <w:t>Avendaño</w:t>
      </w:r>
      <w:proofErr w:type="spellEnd"/>
      <w:r w:rsidR="00C83C21" w:rsidRPr="00CE15CF">
        <w:t xml:space="preserve"> and Liu </w:t>
      </w:r>
      <w:r w:rsidR="00F85BD8" w:rsidRPr="00CE15CF">
        <w:t>(</w:t>
      </w:r>
      <w:r w:rsidR="00C83C21" w:rsidRPr="00CE15CF">
        <w:t>2015</w:t>
      </w:r>
      <w:r w:rsidR="00F85BD8" w:rsidRPr="00CE15CF">
        <w:t>)</w:t>
      </w:r>
      <w:r w:rsidR="00C83C21" w:rsidRPr="00CE15CF">
        <w:t xml:space="preserve"> reported </w:t>
      </w:r>
      <w:r w:rsidR="00C83C21" w:rsidRPr="00CE15CF">
        <w:rPr>
          <w:lang w:val="en-US"/>
        </w:rPr>
        <w:t xml:space="preserve">4% </w:t>
      </w:r>
      <w:r w:rsidR="00C83C21" w:rsidRPr="00CE15CF">
        <w:t xml:space="preserve">PFOS yields from </w:t>
      </w:r>
      <w:r w:rsidR="00C83C21" w:rsidRPr="00CE15CF">
        <w:rPr>
          <w:lang w:val="en-US"/>
        </w:rPr>
        <w:t xml:space="preserve">degradation of </w:t>
      </w:r>
      <w:proofErr w:type="spellStart"/>
      <w:r w:rsidR="00C83C21" w:rsidRPr="00CE15CF">
        <w:rPr>
          <w:lang w:val="en-US"/>
        </w:rPr>
        <w:t>EtFOSA</w:t>
      </w:r>
      <w:proofErr w:type="spellEnd"/>
      <w:r w:rsidR="00C83C21" w:rsidRPr="00CE15CF">
        <w:rPr>
          <w:lang w:val="en-US"/>
        </w:rPr>
        <w:t xml:space="preserve"> from soil biodegradation experiments. </w:t>
      </w:r>
    </w:p>
    <w:p w14:paraId="5F50DCD2" w14:textId="44F0E49E" w:rsidR="00796DB1" w:rsidRPr="00CE15CF" w:rsidRDefault="00532C95" w:rsidP="00CE15CF">
      <w:pPr>
        <w:pStyle w:val="Paralevel1"/>
      </w:pPr>
      <w:r w:rsidRPr="00CE15CF">
        <w:t>ABRAISCA</w:t>
      </w:r>
      <w:r w:rsidR="00E8601E" w:rsidRPr="00CE15CF">
        <w:t xml:space="preserve"> (2018</w:t>
      </w:r>
      <w:r w:rsidR="000E6E31" w:rsidRPr="00CE15CF">
        <w:t>)</w:t>
      </w:r>
      <w:r w:rsidRPr="00CE15CF">
        <w:t xml:space="preserve"> provided information about </w:t>
      </w:r>
      <w:r w:rsidR="0032264D" w:rsidRPr="00CE15CF">
        <w:t xml:space="preserve">a new study that is currently prepared by the Stockholm Convention Regional </w:t>
      </w:r>
      <w:proofErr w:type="spellStart"/>
      <w:r w:rsidR="0032264D" w:rsidRPr="00CE15CF">
        <w:t>Center</w:t>
      </w:r>
      <w:proofErr w:type="spellEnd"/>
      <w:r w:rsidR="0032264D" w:rsidRPr="00CE15CF">
        <w:t xml:space="preserve"> (CETESB) and the Brazilian Agricultural Research Corporation (</w:t>
      </w:r>
      <w:proofErr w:type="spellStart"/>
      <w:r w:rsidR="0032264D" w:rsidRPr="00CE15CF">
        <w:t>Embrapa</w:t>
      </w:r>
      <w:proofErr w:type="spellEnd"/>
      <w:r w:rsidR="0032264D" w:rsidRPr="00CE15CF">
        <w:t>) with the aim to</w:t>
      </w:r>
      <w:r w:rsidRPr="00CE15CF">
        <w:t xml:space="preserve"> verify the degradation of </w:t>
      </w:r>
      <w:proofErr w:type="spellStart"/>
      <w:r w:rsidRPr="00CE15CF">
        <w:t>sulfluramid</w:t>
      </w:r>
      <w:proofErr w:type="spellEnd"/>
      <w:r w:rsidRPr="00CE15CF">
        <w:t xml:space="preserve"> in representative soils of reforestation areas </w:t>
      </w:r>
      <w:proofErr w:type="gramStart"/>
      <w:r w:rsidRPr="00CE15CF">
        <w:t>in order t</w:t>
      </w:r>
      <w:r w:rsidR="0032264D" w:rsidRPr="00CE15CF">
        <w:t>o</w:t>
      </w:r>
      <w:proofErr w:type="gramEnd"/>
      <w:r w:rsidR="0032264D" w:rsidRPr="00CE15CF">
        <w:t xml:space="preserve"> determine the transformation to PFOS. </w:t>
      </w:r>
      <w:r w:rsidR="00B15DC8" w:rsidRPr="00CE15CF">
        <w:t>A</w:t>
      </w:r>
      <w:r w:rsidRPr="00CE15CF">
        <w:t xml:space="preserve">BRAISCA argues that information about the transformation of </w:t>
      </w:r>
      <w:proofErr w:type="spellStart"/>
      <w:r w:rsidRPr="00CE15CF">
        <w:t>sulflurami</w:t>
      </w:r>
      <w:r w:rsidR="00292F52" w:rsidRPr="00CE15CF">
        <w:t>d</w:t>
      </w:r>
      <w:proofErr w:type="spellEnd"/>
      <w:r w:rsidRPr="00CE15CF">
        <w:t xml:space="preserve"> into PFOS is scarce, </w:t>
      </w:r>
      <w:proofErr w:type="gramStart"/>
      <w:r w:rsidRPr="00CE15CF">
        <w:t>in particular for</w:t>
      </w:r>
      <w:proofErr w:type="gramEnd"/>
      <w:r w:rsidRPr="00CE15CF">
        <w:t xml:space="preserve"> soils in Brazil or tropica</w:t>
      </w:r>
      <w:r w:rsidR="00B15DC8" w:rsidRPr="00CE15CF">
        <w:t>l environments (ABRAISCA 2018)</w:t>
      </w:r>
      <w:r w:rsidR="00564190" w:rsidRPr="00CE15CF">
        <w:t>.</w:t>
      </w:r>
      <w:r w:rsidR="00B15DC8" w:rsidRPr="00CE15CF">
        <w:t xml:space="preserve"> </w:t>
      </w:r>
      <w:r w:rsidR="0032264D" w:rsidRPr="00CE15CF">
        <w:t>ABRAISCA argues that th</w:t>
      </w:r>
      <w:r w:rsidR="003F08BA" w:rsidRPr="00CE15CF">
        <w:t>e statement that the use of insect bait</w:t>
      </w:r>
      <w:r w:rsidRPr="00CE15CF">
        <w:t xml:space="preserve"> may represents a release of PFOS in the enviro</w:t>
      </w:r>
      <w:r w:rsidR="003F08BA" w:rsidRPr="00CE15CF">
        <w:t xml:space="preserve">nment lacks scientific evidence </w:t>
      </w:r>
      <w:r w:rsidR="00B15DC8" w:rsidRPr="00CE15CF">
        <w:t>and that more</w:t>
      </w:r>
      <w:r w:rsidR="003F08BA" w:rsidRPr="00CE15CF">
        <w:t xml:space="preserve"> information is needed. ABRAISCA informed that they are working with the</w:t>
      </w:r>
      <w:r w:rsidRPr="00CE15CF">
        <w:t xml:space="preserve"> </w:t>
      </w:r>
      <w:proofErr w:type="spellStart"/>
      <w:r w:rsidR="003F08BA" w:rsidRPr="00CE15CF">
        <w:t>Universidade</w:t>
      </w:r>
      <w:proofErr w:type="spellEnd"/>
      <w:r w:rsidR="003F08BA" w:rsidRPr="00CE15CF">
        <w:t xml:space="preserve"> </w:t>
      </w:r>
      <w:proofErr w:type="spellStart"/>
      <w:r w:rsidR="003F08BA" w:rsidRPr="00CE15CF">
        <w:t>Estadual</w:t>
      </w:r>
      <w:proofErr w:type="spellEnd"/>
      <w:r w:rsidR="003F08BA" w:rsidRPr="00CE15CF">
        <w:t xml:space="preserve"> </w:t>
      </w:r>
      <w:proofErr w:type="spellStart"/>
      <w:r w:rsidR="003F08BA" w:rsidRPr="00CE15CF">
        <w:t>Paulista</w:t>
      </w:r>
      <w:proofErr w:type="spellEnd"/>
      <w:r w:rsidR="003F08BA" w:rsidRPr="00CE15CF">
        <w:t xml:space="preserve"> "Júlio de </w:t>
      </w:r>
      <w:proofErr w:type="spellStart"/>
      <w:r w:rsidR="003F08BA" w:rsidRPr="00CE15CF">
        <w:t>Mesquita</w:t>
      </w:r>
      <w:proofErr w:type="spellEnd"/>
      <w:r w:rsidR="003F08BA" w:rsidRPr="00CE15CF">
        <w:t xml:space="preserve"> </w:t>
      </w:r>
      <w:proofErr w:type="spellStart"/>
      <w:r w:rsidR="003F08BA" w:rsidRPr="00CE15CF">
        <w:t>Filho</w:t>
      </w:r>
      <w:proofErr w:type="spellEnd"/>
      <w:r w:rsidR="003F08BA" w:rsidRPr="00CE15CF">
        <w:t>” on the following project</w:t>
      </w:r>
      <w:r w:rsidRPr="00CE15CF">
        <w:t xml:space="preserve">: </w:t>
      </w:r>
      <w:r w:rsidR="00564190" w:rsidRPr="00CE15CF">
        <w:t>“</w:t>
      </w:r>
      <w:r w:rsidRPr="00CE15CF">
        <w:t>A</w:t>
      </w:r>
      <w:r w:rsidR="003F08BA" w:rsidRPr="00CE15CF">
        <w:t xml:space="preserve">ssessment of the behaviour and degradation of </w:t>
      </w:r>
      <w:proofErr w:type="spellStart"/>
      <w:r w:rsidR="003F08BA" w:rsidRPr="00CE15CF">
        <w:t>Sulfluramid</w:t>
      </w:r>
      <w:proofErr w:type="spellEnd"/>
      <w:r w:rsidR="003F08BA" w:rsidRPr="00CE15CF">
        <w:t>, applied in the form of ant bait for the control of leaf-cutting ants, in Brazilian soils”</w:t>
      </w:r>
      <w:r w:rsidR="000E6E31" w:rsidRPr="00CE15CF">
        <w:t xml:space="preserve"> (ABRAISCA, 2018)</w:t>
      </w:r>
      <w:r w:rsidR="00796DB1" w:rsidRPr="00CE15CF">
        <w:t>.</w:t>
      </w:r>
    </w:p>
    <w:p w14:paraId="70FA9F8B" w14:textId="2D854138" w:rsidR="002A172B" w:rsidRPr="00CE15CF" w:rsidRDefault="00292F52" w:rsidP="00CE15CF">
      <w:pPr>
        <w:pStyle w:val="Paralevel1"/>
        <w:rPr>
          <w:lang w:val="en-US"/>
        </w:rPr>
      </w:pPr>
      <w:proofErr w:type="spellStart"/>
      <w:r w:rsidRPr="00CE15CF">
        <w:rPr>
          <w:lang w:val="en-US"/>
        </w:rPr>
        <w:t>Sulfluramid</w:t>
      </w:r>
      <w:proofErr w:type="spellEnd"/>
      <w:r w:rsidRPr="00CE15CF">
        <w:rPr>
          <w:lang w:val="en-US"/>
        </w:rPr>
        <w:t xml:space="preserve"> is manufactured by using PFOSF </w:t>
      </w:r>
      <w:r w:rsidR="00137D75" w:rsidRPr="00CE15CF">
        <w:rPr>
          <w:lang w:val="en-US"/>
        </w:rPr>
        <w:t>(</w:t>
      </w:r>
      <w:r w:rsidRPr="00CE15CF">
        <w:rPr>
          <w:lang w:val="en-US"/>
        </w:rPr>
        <w:t xml:space="preserve">CAS No: 307-35-7) as an intermediate. From a structural point of view, </w:t>
      </w:r>
      <w:proofErr w:type="spellStart"/>
      <w:r w:rsidRPr="00CE15CF">
        <w:rPr>
          <w:lang w:val="en-US"/>
        </w:rPr>
        <w:t>sulfluramid</w:t>
      </w:r>
      <w:proofErr w:type="spellEnd"/>
      <w:r w:rsidRPr="00CE15CF">
        <w:rPr>
          <w:lang w:val="en-US"/>
        </w:rPr>
        <w:t xml:space="preserve"> is related to PFOS </w:t>
      </w:r>
      <w:r w:rsidR="00264568" w:rsidRPr="00CE15CF">
        <w:rPr>
          <w:lang w:val="en-US"/>
        </w:rPr>
        <w:t>(</w:t>
      </w:r>
      <w:r w:rsidRPr="00CE15CF">
        <w:rPr>
          <w:lang w:val="en-US"/>
        </w:rPr>
        <w:t>CAS No: 1763-23-1) and degrades in the environment to PFOS</w:t>
      </w:r>
      <w:r w:rsidR="00272559" w:rsidRPr="00CE15CF">
        <w:rPr>
          <w:lang w:val="en-US"/>
        </w:rPr>
        <w:t xml:space="preserve"> (Nguyen et al. 2013, </w:t>
      </w:r>
      <w:proofErr w:type="spellStart"/>
      <w:r w:rsidR="00272559" w:rsidRPr="00CE15CF">
        <w:rPr>
          <w:lang w:val="en-US"/>
        </w:rPr>
        <w:t>Avendano</w:t>
      </w:r>
      <w:proofErr w:type="spellEnd"/>
      <w:r w:rsidR="00272559" w:rsidRPr="00CE15CF">
        <w:rPr>
          <w:lang w:val="en-US"/>
        </w:rPr>
        <w:t xml:space="preserve"> and Liu 2015, </w:t>
      </w:r>
      <w:proofErr w:type="spellStart"/>
      <w:r w:rsidR="00272559" w:rsidRPr="00CE15CF">
        <w:rPr>
          <w:lang w:val="en-US"/>
        </w:rPr>
        <w:t>Beskin</w:t>
      </w:r>
      <w:proofErr w:type="spellEnd"/>
      <w:r w:rsidR="00272559" w:rsidRPr="00CE15CF">
        <w:rPr>
          <w:lang w:val="en-US"/>
        </w:rPr>
        <w:t xml:space="preserve"> et al. 2009, </w:t>
      </w:r>
      <w:proofErr w:type="spellStart"/>
      <w:r w:rsidR="00272559" w:rsidRPr="00CE15CF">
        <w:rPr>
          <w:lang w:val="en-US"/>
        </w:rPr>
        <w:t>Gilljam</w:t>
      </w:r>
      <w:proofErr w:type="spellEnd"/>
      <w:r w:rsidR="00272559" w:rsidRPr="00CE15CF">
        <w:rPr>
          <w:lang w:val="en-US"/>
        </w:rPr>
        <w:t xml:space="preserve"> et al. 2015)</w:t>
      </w:r>
      <w:bookmarkStart w:id="31" w:name="_Hlk514857890"/>
      <w:r w:rsidRPr="00CE15CF">
        <w:rPr>
          <w:lang w:val="en-US"/>
        </w:rPr>
        <w:t xml:space="preserve">. </w:t>
      </w:r>
      <w:bookmarkEnd w:id="31"/>
      <w:r w:rsidRPr="00CE15CF">
        <w:rPr>
          <w:lang w:val="en-US"/>
        </w:rPr>
        <w:t xml:space="preserve">Based on the available information </w:t>
      </w:r>
      <w:proofErr w:type="spellStart"/>
      <w:r w:rsidRPr="00CE15CF">
        <w:rPr>
          <w:lang w:val="en-US"/>
        </w:rPr>
        <w:t>sulfluramid</w:t>
      </w:r>
      <w:proofErr w:type="spellEnd"/>
      <w:r w:rsidRPr="00CE15CF">
        <w:rPr>
          <w:lang w:val="en-US"/>
        </w:rPr>
        <w:t xml:space="preserve"> </w:t>
      </w:r>
      <w:r w:rsidR="008F7570" w:rsidRPr="00CE15CF">
        <w:rPr>
          <w:lang w:val="en-US"/>
        </w:rPr>
        <w:t xml:space="preserve">could also </w:t>
      </w:r>
      <w:r w:rsidRPr="00CE15CF">
        <w:rPr>
          <w:lang w:val="en-US"/>
        </w:rPr>
        <w:t xml:space="preserve">be considered a PFOA-related </w:t>
      </w:r>
      <w:r w:rsidR="009120FD" w:rsidRPr="00CE15CF">
        <w:rPr>
          <w:lang w:val="en-US"/>
        </w:rPr>
        <w:t>compound</w:t>
      </w:r>
      <w:r w:rsidRPr="00CE15CF">
        <w:rPr>
          <w:lang w:val="en-US"/>
        </w:rPr>
        <w:t xml:space="preserve">. </w:t>
      </w:r>
      <w:r w:rsidR="008F7570" w:rsidRPr="00CE15CF">
        <w:rPr>
          <w:lang w:val="en-US"/>
        </w:rPr>
        <w:t xml:space="preserve">PFOSF (restricted under the listing of PFOS, its salts and PFOSF </w:t>
      </w:r>
      <w:proofErr w:type="gramStart"/>
      <w:r w:rsidR="008F7570" w:rsidRPr="00CE15CF">
        <w:rPr>
          <w:lang w:val="en-US"/>
        </w:rPr>
        <w:t>according to</w:t>
      </w:r>
      <w:proofErr w:type="gramEnd"/>
      <w:r w:rsidR="008F7570" w:rsidRPr="00CE15CF">
        <w:rPr>
          <w:lang w:val="en-US"/>
        </w:rPr>
        <w:t xml:space="preserve"> Annex B </w:t>
      </w:r>
      <w:r w:rsidR="0064322D" w:rsidRPr="00CE15CF">
        <w:rPr>
          <w:lang w:val="en-US"/>
        </w:rPr>
        <w:t xml:space="preserve">to </w:t>
      </w:r>
      <w:r w:rsidR="008F7570" w:rsidRPr="00CE15CF">
        <w:rPr>
          <w:lang w:val="en-US"/>
        </w:rPr>
        <w:t>the Stockholm Convention) is used to produce</w:t>
      </w:r>
      <w:r w:rsidRPr="00CE15CF">
        <w:rPr>
          <w:lang w:val="en-US"/>
        </w:rPr>
        <w:t xml:space="preserve"> </w:t>
      </w:r>
      <w:proofErr w:type="spellStart"/>
      <w:r w:rsidRPr="00CE15CF">
        <w:rPr>
          <w:lang w:val="en-US"/>
        </w:rPr>
        <w:t>sulfluramid</w:t>
      </w:r>
      <w:proofErr w:type="spellEnd"/>
      <w:r w:rsidR="008F7570" w:rsidRPr="00CE15CF">
        <w:rPr>
          <w:lang w:val="en-US"/>
        </w:rPr>
        <w:t xml:space="preserve">, then </w:t>
      </w:r>
      <w:r w:rsidRPr="00CE15CF">
        <w:rPr>
          <w:lang w:val="en-US"/>
        </w:rPr>
        <w:t xml:space="preserve">used </w:t>
      </w:r>
      <w:r w:rsidR="00FA6792" w:rsidRPr="00CE15CF">
        <w:rPr>
          <w:lang w:val="en-US"/>
        </w:rPr>
        <w:t xml:space="preserve">for control of leaf-cutting ants from </w:t>
      </w:r>
      <w:r w:rsidR="00FA6792" w:rsidRPr="00CE15CF">
        <w:rPr>
          <w:i/>
          <w:lang w:val="en-US"/>
        </w:rPr>
        <w:t>Atta spp</w:t>
      </w:r>
      <w:r w:rsidR="00E256B3" w:rsidRPr="00CE15CF">
        <w:rPr>
          <w:i/>
          <w:iCs/>
          <w:lang w:val="en-US"/>
        </w:rPr>
        <w:t>.</w:t>
      </w:r>
      <w:r w:rsidR="00FA6792" w:rsidRPr="00CE15CF">
        <w:rPr>
          <w:lang w:val="en-US"/>
        </w:rPr>
        <w:t xml:space="preserve"> and </w:t>
      </w:r>
      <w:proofErr w:type="spellStart"/>
      <w:r w:rsidR="00FA6792" w:rsidRPr="00CE15CF">
        <w:rPr>
          <w:i/>
          <w:lang w:val="en-US"/>
        </w:rPr>
        <w:t>Acromyrmex</w:t>
      </w:r>
      <w:proofErr w:type="spellEnd"/>
      <w:r w:rsidR="00FA6792" w:rsidRPr="00CE15CF">
        <w:rPr>
          <w:i/>
          <w:lang w:val="en-US"/>
        </w:rPr>
        <w:t xml:space="preserve"> </w:t>
      </w:r>
      <w:proofErr w:type="spellStart"/>
      <w:r w:rsidR="00FA6792" w:rsidRPr="00CE15CF">
        <w:rPr>
          <w:i/>
          <w:lang w:val="en-US"/>
        </w:rPr>
        <w:t>spp</w:t>
      </w:r>
      <w:proofErr w:type="spellEnd"/>
      <w:r w:rsidR="00FA6792" w:rsidRPr="00CE15CF">
        <w:rPr>
          <w:i/>
          <w:lang w:val="en-US"/>
        </w:rPr>
        <w:t>,</w:t>
      </w:r>
      <w:r w:rsidR="00FA6792" w:rsidRPr="00CE15CF">
        <w:rPr>
          <w:lang w:val="en-US"/>
        </w:rPr>
        <w:t xml:space="preserve"> as well as insecticides for control of imported red fire ants and termites</w:t>
      </w:r>
      <w:r w:rsidRPr="00CE15CF">
        <w:rPr>
          <w:lang w:val="en-US"/>
        </w:rPr>
        <w:t xml:space="preserve">. </w:t>
      </w:r>
      <w:r w:rsidR="001F38E8" w:rsidRPr="00CE15CF">
        <w:rPr>
          <w:lang w:val="en-US"/>
        </w:rPr>
        <w:t xml:space="preserve">However, </w:t>
      </w:r>
      <w:proofErr w:type="spellStart"/>
      <w:r w:rsidR="001F38E8" w:rsidRPr="00CE15CF">
        <w:rPr>
          <w:lang w:val="en-US"/>
        </w:rPr>
        <w:t>sulfluramid</w:t>
      </w:r>
      <w:proofErr w:type="spellEnd"/>
      <w:r w:rsidR="001F38E8" w:rsidRPr="00CE15CF">
        <w:rPr>
          <w:lang w:val="en-US"/>
        </w:rPr>
        <w:t xml:space="preserve"> is not </w:t>
      </w:r>
      <w:r w:rsidR="00BC0B82" w:rsidRPr="00CE15CF">
        <w:rPr>
          <w:lang w:val="en-US"/>
        </w:rPr>
        <w:t xml:space="preserve">explicitly </w:t>
      </w:r>
      <w:r w:rsidR="001F38E8" w:rsidRPr="00CE15CF">
        <w:rPr>
          <w:lang w:val="en-US"/>
        </w:rPr>
        <w:t xml:space="preserve">included the scope of the listing of PFOS, its salts and PFOSF. </w:t>
      </w:r>
      <w:r w:rsidRPr="00CE15CF">
        <w:rPr>
          <w:lang w:val="en-US"/>
        </w:rPr>
        <w:t xml:space="preserve">Therefore, </w:t>
      </w:r>
      <w:r w:rsidR="008F7570" w:rsidRPr="00CE15CF">
        <w:rPr>
          <w:lang w:val="en-US"/>
        </w:rPr>
        <w:t xml:space="preserve">we can consider that </w:t>
      </w:r>
      <w:proofErr w:type="spellStart"/>
      <w:r w:rsidRPr="00CE15CF">
        <w:rPr>
          <w:lang w:val="en-US"/>
        </w:rPr>
        <w:t>sulfluramid</w:t>
      </w:r>
      <w:proofErr w:type="spellEnd"/>
      <w:r w:rsidRPr="00CE15CF">
        <w:rPr>
          <w:lang w:val="en-US"/>
        </w:rPr>
        <w:t xml:space="preserve"> </w:t>
      </w:r>
      <w:r w:rsidR="008F7570" w:rsidRPr="00CE15CF">
        <w:rPr>
          <w:lang w:val="en-US"/>
        </w:rPr>
        <w:t xml:space="preserve">production is already </w:t>
      </w:r>
      <w:r w:rsidR="004F2032" w:rsidRPr="00CE15CF">
        <w:rPr>
          <w:lang w:val="en-US"/>
        </w:rPr>
        <w:t>covered by an acceptable purpose</w:t>
      </w:r>
      <w:r w:rsidR="008F7570" w:rsidRPr="00CE15CF">
        <w:rPr>
          <w:lang w:val="en-US"/>
        </w:rPr>
        <w:t xml:space="preserve"> under the PFOS listing and it </w:t>
      </w:r>
      <w:r w:rsidRPr="00CE15CF">
        <w:rPr>
          <w:lang w:val="en-US"/>
        </w:rPr>
        <w:t xml:space="preserve">should </w:t>
      </w:r>
      <w:r w:rsidR="008F7570" w:rsidRPr="00CE15CF">
        <w:rPr>
          <w:lang w:val="en-US"/>
        </w:rPr>
        <w:t xml:space="preserve">then </w:t>
      </w:r>
      <w:r w:rsidRPr="00CE15CF">
        <w:rPr>
          <w:lang w:val="en-US"/>
        </w:rPr>
        <w:t xml:space="preserve">not be included under the PFOA </w:t>
      </w:r>
      <w:r w:rsidR="008F7570" w:rsidRPr="00CE15CF">
        <w:rPr>
          <w:lang w:val="en-US"/>
        </w:rPr>
        <w:t xml:space="preserve">listing </w:t>
      </w:r>
      <w:r w:rsidRPr="00CE15CF">
        <w:rPr>
          <w:lang w:val="en-US"/>
        </w:rPr>
        <w:t xml:space="preserve">to avoid double regulation. </w:t>
      </w:r>
    </w:p>
    <w:p w14:paraId="34FEBE89" w14:textId="77777777" w:rsidR="008022D3" w:rsidRPr="00CE15CF" w:rsidRDefault="008022D3" w:rsidP="00CE15CF">
      <w:pPr>
        <w:pStyle w:val="StyleHeading2u2h2ABC2ChptTimesNewRomanLinespaci"/>
      </w:pPr>
      <w:bookmarkStart w:id="32" w:name="_Toc506913486"/>
      <w:bookmarkStart w:id="33" w:name="_Toc507148941"/>
      <w:bookmarkStart w:id="34" w:name="_Toc515267891"/>
      <w:bookmarkStart w:id="35" w:name="_Ref505689675"/>
      <w:r w:rsidRPr="00CE15CF">
        <w:lastRenderedPageBreak/>
        <w:t>Possible exclusion of 1-H-PFO from the scope of the RME</w:t>
      </w:r>
      <w:bookmarkEnd w:id="32"/>
      <w:bookmarkEnd w:id="33"/>
      <w:bookmarkEnd w:id="34"/>
    </w:p>
    <w:p w14:paraId="2BE058ED" w14:textId="4F413613" w:rsidR="008022D3" w:rsidRPr="00CE15CF" w:rsidRDefault="008022D3" w:rsidP="00CE15CF">
      <w:pPr>
        <w:pStyle w:val="Paralevel1"/>
      </w:pPr>
      <w:r w:rsidRPr="00CE15CF">
        <w:t xml:space="preserve">The status of 1-H-PFO </w:t>
      </w:r>
      <w:bookmarkStart w:id="36" w:name="_Hlk511835477"/>
      <w:r w:rsidRPr="00CE15CF">
        <w:t>(1-</w:t>
      </w:r>
      <w:r w:rsidR="002F257E" w:rsidRPr="00CE15CF">
        <w:t>h</w:t>
      </w:r>
      <w:r w:rsidRPr="00CE15CF">
        <w:t>ydroperfluorooctane,</w:t>
      </w:r>
      <w:r w:rsidR="00417009" w:rsidRPr="00CE15CF">
        <w:t xml:space="preserve"> </w:t>
      </w:r>
      <w:r w:rsidR="00E83A7D" w:rsidRPr="00CE15CF">
        <w:t>PFO</w:t>
      </w:r>
      <w:r w:rsidR="00E83A7D">
        <w:t>H</w:t>
      </w:r>
      <w:r w:rsidR="00417009" w:rsidRPr="00CE15CF">
        <w:t>,</w:t>
      </w:r>
      <w:r w:rsidRPr="00CE15CF">
        <w:t xml:space="preserve"> CAS</w:t>
      </w:r>
      <w:r w:rsidR="001F1FD2" w:rsidRPr="00CE15CF">
        <w:t xml:space="preserve"> No</w:t>
      </w:r>
      <w:r w:rsidRPr="00CE15CF">
        <w:t>: 335-65-9)</w:t>
      </w:r>
      <w:bookmarkEnd w:id="36"/>
      <w:r w:rsidRPr="00CE15CF">
        <w:t xml:space="preserve"> as a PFOA</w:t>
      </w:r>
      <w:r w:rsidR="00142465" w:rsidRPr="00CE15CF">
        <w:t>-</w:t>
      </w:r>
      <w:r w:rsidRPr="00CE15CF">
        <w:t xml:space="preserve">related </w:t>
      </w:r>
      <w:r w:rsidR="00142465" w:rsidRPr="00CE15CF">
        <w:t>compound</w:t>
      </w:r>
      <w:r w:rsidRPr="00CE15CF">
        <w:t xml:space="preserve"> is questioned by </w:t>
      </w:r>
      <w:proofErr w:type="spellStart"/>
      <w:r w:rsidRPr="00CE15CF">
        <w:t>FluoroCouncil</w:t>
      </w:r>
      <w:proofErr w:type="spellEnd"/>
      <w:r w:rsidRPr="00CE15CF">
        <w:t xml:space="preserve"> (</w:t>
      </w:r>
      <w:proofErr w:type="spellStart"/>
      <w:r w:rsidRPr="00CE15CF">
        <w:t>FluoroCouncil</w:t>
      </w:r>
      <w:proofErr w:type="spellEnd"/>
      <w:r w:rsidRPr="00CE15CF">
        <w:t>, 2018</w:t>
      </w:r>
      <w:r w:rsidR="003C39D9" w:rsidRPr="00CE15CF">
        <w:t>a</w:t>
      </w:r>
      <w:r w:rsidRPr="00CE15CF">
        <w:t>). Currently, substances with the formula C</w:t>
      </w:r>
      <w:r w:rsidRPr="00CE15CF">
        <w:rPr>
          <w:vertAlign w:val="subscript"/>
        </w:rPr>
        <w:t>8</w:t>
      </w:r>
      <w:r w:rsidRPr="00CE15CF">
        <w:t>F</w:t>
      </w:r>
      <w:r w:rsidRPr="00CE15CF">
        <w:rPr>
          <w:vertAlign w:val="subscript"/>
        </w:rPr>
        <w:t>17</w:t>
      </w:r>
      <w:r w:rsidRPr="00CE15CF">
        <w:t xml:space="preserve">–X are considered PFOA-related </w:t>
      </w:r>
      <w:r w:rsidR="009120FD" w:rsidRPr="00CE15CF">
        <w:t xml:space="preserve">compounds </w:t>
      </w:r>
      <w:r w:rsidRPr="00CE15CF">
        <w:t xml:space="preserve">except if the X consists in either </w:t>
      </w:r>
      <w:r w:rsidR="001F3816" w:rsidRPr="00CE15CF">
        <w:t>f</w:t>
      </w:r>
      <w:r w:rsidRPr="00CE15CF">
        <w:t xml:space="preserve">luorine, </w:t>
      </w:r>
      <w:r w:rsidR="001F3816" w:rsidRPr="00CE15CF">
        <w:t>c</w:t>
      </w:r>
      <w:r w:rsidRPr="00CE15CF">
        <w:t xml:space="preserve">hlorine or </w:t>
      </w:r>
      <w:r w:rsidR="001F3816" w:rsidRPr="00CE15CF">
        <w:t>b</w:t>
      </w:r>
      <w:r w:rsidRPr="00CE15CF">
        <w:t>romine (i.e. C</w:t>
      </w:r>
      <w:r w:rsidRPr="00CE15CF">
        <w:rPr>
          <w:vertAlign w:val="subscript"/>
        </w:rPr>
        <w:t>8</w:t>
      </w:r>
      <w:r w:rsidRPr="00CE15CF">
        <w:t>F</w:t>
      </w:r>
      <w:r w:rsidRPr="00CE15CF">
        <w:rPr>
          <w:vertAlign w:val="subscript"/>
        </w:rPr>
        <w:t>17</w:t>
      </w:r>
      <w:r w:rsidRPr="00CE15CF">
        <w:t>-F, C</w:t>
      </w:r>
      <w:r w:rsidRPr="00CE15CF">
        <w:rPr>
          <w:vertAlign w:val="subscript"/>
        </w:rPr>
        <w:t>8</w:t>
      </w:r>
      <w:r w:rsidRPr="00CE15CF">
        <w:t>F</w:t>
      </w:r>
      <w:r w:rsidRPr="00CE15CF">
        <w:rPr>
          <w:vertAlign w:val="subscript"/>
        </w:rPr>
        <w:t>17</w:t>
      </w:r>
      <w:r w:rsidRPr="00CE15CF">
        <w:t>-Cl or C</w:t>
      </w:r>
      <w:r w:rsidRPr="00CE15CF">
        <w:rPr>
          <w:vertAlign w:val="subscript"/>
        </w:rPr>
        <w:t>8</w:t>
      </w:r>
      <w:r w:rsidRPr="00CE15CF">
        <w:t>F</w:t>
      </w:r>
      <w:r w:rsidRPr="00CE15CF">
        <w:rPr>
          <w:vertAlign w:val="subscript"/>
        </w:rPr>
        <w:t>17</w:t>
      </w:r>
      <w:r w:rsidRPr="00CE15CF">
        <w:t>-Br) ending</w:t>
      </w:r>
      <w:r w:rsidR="00C318A3" w:rsidRPr="00CE15CF">
        <w:t xml:space="preserve"> or they are specifically excluded from the scope (e.g. PFOS)</w:t>
      </w:r>
      <w:r w:rsidRPr="00CE15CF">
        <w:t xml:space="preserve"> </w:t>
      </w:r>
      <w:proofErr w:type="gramStart"/>
      <w:r w:rsidRPr="00CE15CF">
        <w:t>As a result</w:t>
      </w:r>
      <w:proofErr w:type="gramEnd"/>
      <w:r w:rsidRPr="00CE15CF">
        <w:t xml:space="preserve">, 1-H-PFO is considered a PFOA-related compound. </w:t>
      </w:r>
      <w:proofErr w:type="spellStart"/>
      <w:r w:rsidRPr="00CE15CF">
        <w:t>FluoroCouncil</w:t>
      </w:r>
      <w:proofErr w:type="spellEnd"/>
      <w:r w:rsidRPr="00CE15CF">
        <w:t xml:space="preserve"> (2018) argues that C</w:t>
      </w:r>
      <w:r w:rsidRPr="00CE15CF">
        <w:rPr>
          <w:vertAlign w:val="subscript"/>
        </w:rPr>
        <w:t>8</w:t>
      </w:r>
      <w:r w:rsidRPr="00CE15CF">
        <w:t>F</w:t>
      </w:r>
      <w:r w:rsidRPr="00CE15CF">
        <w:rPr>
          <w:vertAlign w:val="subscript"/>
        </w:rPr>
        <w:t>17</w:t>
      </w:r>
      <w:r w:rsidRPr="00CE15CF">
        <w:t>-H (1-H-PFO) is even less accessible to biological and chemical degradation compared to the exempted molecules C</w:t>
      </w:r>
      <w:r w:rsidRPr="00CE15CF">
        <w:rPr>
          <w:vertAlign w:val="subscript"/>
        </w:rPr>
        <w:t>8</w:t>
      </w:r>
      <w:r w:rsidRPr="00CE15CF">
        <w:t>F</w:t>
      </w:r>
      <w:r w:rsidRPr="00CE15CF">
        <w:rPr>
          <w:vertAlign w:val="subscript"/>
        </w:rPr>
        <w:t>17</w:t>
      </w:r>
      <w:r w:rsidRPr="00CE15CF">
        <w:t>-Cl and C</w:t>
      </w:r>
      <w:r w:rsidRPr="00CE15CF">
        <w:rPr>
          <w:vertAlign w:val="subscript"/>
        </w:rPr>
        <w:t>8</w:t>
      </w:r>
      <w:r w:rsidRPr="00CE15CF">
        <w:t>F</w:t>
      </w:r>
      <w:r w:rsidRPr="00CE15CF">
        <w:rPr>
          <w:vertAlign w:val="subscript"/>
        </w:rPr>
        <w:t>17</w:t>
      </w:r>
      <w:r w:rsidRPr="00CE15CF">
        <w:t xml:space="preserve">-Br. </w:t>
      </w:r>
      <w:proofErr w:type="spellStart"/>
      <w:r w:rsidRPr="00CE15CF">
        <w:t>FluoroCouncil</w:t>
      </w:r>
      <w:proofErr w:type="spellEnd"/>
      <w:r w:rsidRPr="00CE15CF">
        <w:t xml:space="preserve"> further states that 1-H-PFO has comparable temperature and chemical inertness to the fully fluorinated </w:t>
      </w:r>
      <w:proofErr w:type="spellStart"/>
      <w:r w:rsidRPr="00CE15CF">
        <w:t>perfluorooctane</w:t>
      </w:r>
      <w:proofErr w:type="spellEnd"/>
      <w:r w:rsidRPr="00CE15CF">
        <w:t xml:space="preserve"> C</w:t>
      </w:r>
      <w:r w:rsidRPr="00CE15CF">
        <w:rPr>
          <w:vertAlign w:val="subscript"/>
        </w:rPr>
        <w:t>8</w:t>
      </w:r>
      <w:r w:rsidRPr="00CE15CF">
        <w:t>F</w:t>
      </w:r>
      <w:r w:rsidRPr="00CE15CF">
        <w:rPr>
          <w:vertAlign w:val="subscript"/>
        </w:rPr>
        <w:t>18</w:t>
      </w:r>
      <w:r w:rsidRPr="00CE15CF">
        <w:t xml:space="preserve"> and that the C</w:t>
      </w:r>
      <w:r w:rsidRPr="00CE15CF">
        <w:rPr>
          <w:vertAlign w:val="subscript"/>
        </w:rPr>
        <w:t>8</w:t>
      </w:r>
      <w:r w:rsidRPr="00CE15CF">
        <w:t>F</w:t>
      </w:r>
      <w:r w:rsidRPr="00CE15CF">
        <w:rPr>
          <w:vertAlign w:val="subscript"/>
        </w:rPr>
        <w:t>17</w:t>
      </w:r>
      <w:r w:rsidRPr="00CE15CF">
        <w:t>-H structure and excellent thermal stability which shows no evidence of degradation to PFOA under foreseeable conditions. 1-H-PFO’s transformation into PFOA would require the loss of the hydrogen as well as two Fluor atoms on the carbon (see</w:t>
      </w:r>
      <w:r w:rsidR="008849D6" w:rsidRPr="00CE15CF">
        <w:t xml:space="preserve"> Figure 2.1</w:t>
      </w:r>
      <w:r w:rsidRPr="00CE15CF">
        <w:t xml:space="preserve">). </w:t>
      </w:r>
      <w:proofErr w:type="spellStart"/>
      <w:r w:rsidRPr="00CE15CF">
        <w:t>FluoroCouncil</w:t>
      </w:r>
      <w:proofErr w:type="spellEnd"/>
      <w:r w:rsidRPr="00CE15CF">
        <w:t xml:space="preserve"> states that this has never been observed considering the remarkable stability of the C-F bond and the fact that the hydrogen is surrounded by 3 large atoms of Fluor (</w:t>
      </w:r>
      <w:proofErr w:type="spellStart"/>
      <w:r w:rsidRPr="00CE15CF">
        <w:t>FluoroCouncil</w:t>
      </w:r>
      <w:proofErr w:type="spellEnd"/>
      <w:r w:rsidRPr="00CE15CF">
        <w:t>, 2018</w:t>
      </w:r>
      <w:r w:rsidR="003C39D9" w:rsidRPr="00CE15CF">
        <w:t>a</w:t>
      </w:r>
      <w:r w:rsidRPr="00CE15CF">
        <w:t>).</w:t>
      </w:r>
      <w:bookmarkEnd w:id="35"/>
      <w:r w:rsidRPr="00CE15CF">
        <w:t xml:space="preserve"> </w:t>
      </w:r>
    </w:p>
    <w:p w14:paraId="60FEFFC9" w14:textId="253D13EA" w:rsidR="008022D3" w:rsidRPr="00CE15CF" w:rsidRDefault="008022D3" w:rsidP="00CE15CF">
      <w:pPr>
        <w:pStyle w:val="Caption"/>
        <w:jc w:val="center"/>
        <w:rPr>
          <w:color w:val="auto"/>
        </w:rPr>
      </w:pPr>
      <w:r w:rsidRPr="00CE15CF">
        <w:rPr>
          <w:noProof/>
          <w:color w:val="auto"/>
          <w:lang w:eastAsia="en-GB"/>
        </w:rPr>
        <w:drawing>
          <wp:inline distT="0" distB="0" distL="0" distR="0" wp14:anchorId="24319B42" wp14:editId="1E1E09E5">
            <wp:extent cx="4581525" cy="11334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lum contrast="20000"/>
                      <a:extLst>
                        <a:ext uri="{28A0092B-C50C-407E-A947-70E740481C1C}">
                          <a14:useLocalDpi xmlns:a14="http://schemas.microsoft.com/office/drawing/2010/main" val="0"/>
                        </a:ext>
                      </a:extLst>
                    </a:blip>
                    <a:srcRect/>
                    <a:stretch>
                      <a:fillRect/>
                    </a:stretch>
                  </pic:blipFill>
                  <pic:spPr bwMode="auto">
                    <a:xfrm>
                      <a:off x="0" y="0"/>
                      <a:ext cx="4581525" cy="1133475"/>
                    </a:xfrm>
                    <a:prstGeom prst="rect">
                      <a:avLst/>
                    </a:prstGeom>
                    <a:noFill/>
                    <a:ln>
                      <a:noFill/>
                    </a:ln>
                  </pic:spPr>
                </pic:pic>
              </a:graphicData>
            </a:graphic>
          </wp:inline>
        </w:drawing>
      </w:r>
    </w:p>
    <w:p w14:paraId="3331B620" w14:textId="54193EE4" w:rsidR="008755D0" w:rsidRPr="00CE15CF" w:rsidRDefault="008755D0" w:rsidP="00CE15CF">
      <w:pPr>
        <w:spacing w:after="120"/>
        <w:ind w:left="-90"/>
        <w:jc w:val="center"/>
      </w:pPr>
      <w:r w:rsidRPr="00CE15CF">
        <w:rPr>
          <w:b/>
          <w:sz w:val="20"/>
        </w:rPr>
        <w:t>Figure 2.1 chemical structure of 1-H-PFO and PFOA</w:t>
      </w:r>
    </w:p>
    <w:p w14:paraId="3AE4E873" w14:textId="3AB15146" w:rsidR="002A172B" w:rsidRPr="00CE15CF" w:rsidRDefault="008022D3" w:rsidP="00CE15CF">
      <w:pPr>
        <w:pStyle w:val="Paralevel1"/>
      </w:pPr>
      <w:proofErr w:type="spellStart"/>
      <w:r w:rsidRPr="00CE15CF">
        <w:t>FluoroCouncil</w:t>
      </w:r>
      <w:proofErr w:type="spellEnd"/>
      <w:r w:rsidRPr="00CE15CF">
        <w:t xml:space="preserve"> argues that 1-H-PFO should not be considered a PFOA-related compound (see section 4.3 on transported isolated intermediates). </w:t>
      </w:r>
      <w:proofErr w:type="spellStart"/>
      <w:r w:rsidRPr="00CE15CF">
        <w:t>FluoroCouncil</w:t>
      </w:r>
      <w:proofErr w:type="spellEnd"/>
      <w:r w:rsidRPr="00CE15CF">
        <w:t xml:space="preserve"> believes that the scientific basis for the status of 1-H-PFO as PFOA-related compound should be further investigated (</w:t>
      </w:r>
      <w:proofErr w:type="spellStart"/>
      <w:r w:rsidRPr="00CE15CF">
        <w:t>FluoroCouncil</w:t>
      </w:r>
      <w:proofErr w:type="spellEnd"/>
      <w:r w:rsidRPr="00CE15CF">
        <w:t>, 2018</w:t>
      </w:r>
      <w:r w:rsidR="003C39D9" w:rsidRPr="00CE15CF">
        <w:t>a</w:t>
      </w:r>
      <w:r w:rsidRPr="00CE15CF">
        <w:t xml:space="preserve">). </w:t>
      </w:r>
      <w:r w:rsidR="00BF7D2E" w:rsidRPr="00CE15CF">
        <w:t xml:space="preserve">Japan </w:t>
      </w:r>
      <w:r w:rsidR="00881B91" w:rsidRPr="00CE15CF">
        <w:t>brought forward</w:t>
      </w:r>
      <w:r w:rsidR="00600364" w:rsidRPr="00CE15CF">
        <w:t xml:space="preserve"> that it would be an overstatement to conclude that </w:t>
      </w:r>
      <w:r w:rsidR="00417009" w:rsidRPr="00CE15CF">
        <w:t xml:space="preserve">1-H-PFO </w:t>
      </w:r>
      <w:r w:rsidR="00600364" w:rsidRPr="00CE15CF">
        <w:t>is among PFOA-related compounds because the reaction rate with OH radicals is negligibly small at the order of 10</w:t>
      </w:r>
      <w:proofErr w:type="gramStart"/>
      <w:r w:rsidR="00600364" w:rsidRPr="00CE15CF">
        <w:t>E(</w:t>
      </w:r>
      <w:proofErr w:type="gramEnd"/>
      <w:r w:rsidR="00600364" w:rsidRPr="00CE15CF">
        <w:t>-15)cm</w:t>
      </w:r>
      <w:r w:rsidR="00600364" w:rsidRPr="00CE15CF">
        <w:rPr>
          <w:vertAlign w:val="superscript"/>
        </w:rPr>
        <w:t>3</w:t>
      </w:r>
      <w:r w:rsidR="00DD56BB" w:rsidRPr="00CE15CF">
        <w:rPr>
          <w:vertAlign w:val="superscript"/>
        </w:rPr>
        <w:t xml:space="preserve"> </w:t>
      </w:r>
      <w:r w:rsidR="00600364" w:rsidRPr="00CE15CF">
        <w:t>molec-1 s-1</w:t>
      </w:r>
      <w:r w:rsidR="00881B91" w:rsidRPr="00CE15CF">
        <w:t xml:space="preserve"> (Japan, 2018).</w:t>
      </w:r>
      <w:r w:rsidR="00C67007" w:rsidRPr="00CE15CF">
        <w:t>T</w:t>
      </w:r>
      <w:r w:rsidR="002A172B" w:rsidRPr="00CE15CF">
        <w:t xml:space="preserve">here is some evidence that </w:t>
      </w:r>
      <w:r w:rsidR="00370BD5">
        <w:br/>
      </w:r>
      <w:r w:rsidR="002A172B" w:rsidRPr="00CE15CF">
        <w:t xml:space="preserve">1-H-PFO is relatively stable. </w:t>
      </w:r>
      <w:r w:rsidR="00BF77C0" w:rsidRPr="00CE15CF">
        <w:t xml:space="preserve">The </w:t>
      </w:r>
      <w:r w:rsidR="00881B91" w:rsidRPr="00CE15CF">
        <w:t>bond dissociation energy of C-H is 338 kJ/</w:t>
      </w:r>
      <w:proofErr w:type="spellStart"/>
      <w:r w:rsidR="00881B91" w:rsidRPr="00CE15CF">
        <w:t>mol</w:t>
      </w:r>
      <w:proofErr w:type="spellEnd"/>
      <w:r w:rsidR="00881B91" w:rsidRPr="00CE15CF">
        <w:t xml:space="preserve"> (for C-Cl it is C-Cl 395 kJ/</w:t>
      </w:r>
      <w:proofErr w:type="spellStart"/>
      <w:r w:rsidR="00881B91" w:rsidRPr="00CE15CF">
        <w:t>mol</w:t>
      </w:r>
      <w:proofErr w:type="spellEnd"/>
      <w:r w:rsidR="00881B91" w:rsidRPr="00CE15CF">
        <w:t xml:space="preserve"> and 318 kJ/</w:t>
      </w:r>
      <w:proofErr w:type="spellStart"/>
      <w:r w:rsidR="00881B91" w:rsidRPr="00CE15CF">
        <w:t>mol</w:t>
      </w:r>
      <w:proofErr w:type="spellEnd"/>
      <w:r w:rsidR="00881B91" w:rsidRPr="00CE15CF">
        <w:t xml:space="preserve"> for C-Br) (Luo, 2007)</w:t>
      </w:r>
      <w:r w:rsidR="00EE64C2" w:rsidRPr="00CE15CF">
        <w:t>.</w:t>
      </w:r>
      <w:r w:rsidR="000E6E31" w:rsidRPr="00CE15CF">
        <w:rPr>
          <w:rStyle w:val="FootnoteReference"/>
        </w:rPr>
        <w:footnoteReference w:id="14"/>
      </w:r>
      <w:r w:rsidR="002A172B" w:rsidRPr="00CE15CF">
        <w:t xml:space="preserve"> However, Chen et al. (2003) showed that CF</w:t>
      </w:r>
      <w:r w:rsidR="002A172B" w:rsidRPr="00CE15CF">
        <w:rPr>
          <w:vertAlign w:val="subscript"/>
        </w:rPr>
        <w:t>3</w:t>
      </w:r>
      <w:r w:rsidR="002A172B" w:rsidRPr="00CE15CF">
        <w:t>CF</w:t>
      </w:r>
      <w:r w:rsidR="002A172B" w:rsidRPr="00CE15CF">
        <w:rPr>
          <w:vertAlign w:val="subscript"/>
        </w:rPr>
        <w:t>2</w:t>
      </w:r>
      <w:r w:rsidR="002A172B" w:rsidRPr="00CE15CF">
        <w:t>CF</w:t>
      </w:r>
      <w:r w:rsidR="002A172B" w:rsidRPr="00CE15CF">
        <w:rPr>
          <w:vertAlign w:val="subscript"/>
        </w:rPr>
        <w:t>2</w:t>
      </w:r>
      <w:r w:rsidR="002A172B" w:rsidRPr="00CE15CF">
        <w:t>CF</w:t>
      </w:r>
      <w:r w:rsidR="002A172B" w:rsidRPr="00CE15CF">
        <w:rPr>
          <w:vertAlign w:val="subscript"/>
        </w:rPr>
        <w:t>2</w:t>
      </w:r>
      <w:r w:rsidR="002A172B" w:rsidRPr="00CE15CF">
        <w:t>CF</w:t>
      </w:r>
      <w:r w:rsidR="002A172B" w:rsidRPr="00CE15CF">
        <w:rPr>
          <w:vertAlign w:val="subscript"/>
        </w:rPr>
        <w:t>2</w:t>
      </w:r>
      <w:r w:rsidR="002A172B" w:rsidRPr="00CE15CF">
        <w:t>CHF</w:t>
      </w:r>
      <w:r w:rsidR="002A172B" w:rsidRPr="00CE15CF">
        <w:rPr>
          <w:vertAlign w:val="subscript"/>
        </w:rPr>
        <w:t>2</w:t>
      </w:r>
      <w:r w:rsidR="002A172B" w:rsidRPr="00CE15CF">
        <w:t xml:space="preserve"> can react with OH radicals over the temperature range -23 to 156°C (reported in Chen et al</w:t>
      </w:r>
      <w:r w:rsidR="002140CD" w:rsidRPr="00CE15CF">
        <w:t>.</w:t>
      </w:r>
      <w:r w:rsidR="002A172B" w:rsidRPr="00CE15CF">
        <w:t xml:space="preserve"> as Kelvin: 250-430 K). This shows for a shorter-chained </w:t>
      </w:r>
      <w:r w:rsidR="00C003F8" w:rsidRPr="00CE15CF">
        <w:t>hydrofluorocarbon (</w:t>
      </w:r>
      <w:r w:rsidR="002A172B" w:rsidRPr="00CE15CF">
        <w:t>HFC</w:t>
      </w:r>
      <w:r w:rsidR="00C003F8" w:rsidRPr="00CE15CF">
        <w:t>)</w:t>
      </w:r>
      <w:r w:rsidR="002A172B" w:rsidRPr="00CE15CF">
        <w:t xml:space="preserve"> compound with a -CHF</w:t>
      </w:r>
      <w:r w:rsidR="002A172B" w:rsidRPr="00CE15CF">
        <w:rPr>
          <w:vertAlign w:val="subscript"/>
        </w:rPr>
        <w:t>2</w:t>
      </w:r>
      <w:r w:rsidR="002A172B" w:rsidRPr="00CE15CF">
        <w:t xml:space="preserve"> moiety that a H-abstraction reaction by OH radicals takes place and the carbon-oxygen bond degrades. Young et al. (2009) showed that PFCAs can be formed from atmospheric reactions of CF</w:t>
      </w:r>
      <w:r w:rsidR="002A172B" w:rsidRPr="00CE15CF">
        <w:rPr>
          <w:vertAlign w:val="subscript"/>
        </w:rPr>
        <w:t>3</w:t>
      </w:r>
      <w:r w:rsidR="002A172B" w:rsidRPr="00CE15CF">
        <w:t>CF</w:t>
      </w:r>
      <w:r w:rsidR="002A172B" w:rsidRPr="00CE15CF">
        <w:rPr>
          <w:vertAlign w:val="subscript"/>
        </w:rPr>
        <w:t>2</w:t>
      </w:r>
      <w:r w:rsidR="002A172B" w:rsidRPr="00CE15CF">
        <w:t>H and CF</w:t>
      </w:r>
      <w:r w:rsidR="002A172B" w:rsidRPr="00CE15CF">
        <w:rPr>
          <w:vertAlign w:val="subscript"/>
        </w:rPr>
        <w:t>3</w:t>
      </w:r>
      <w:r w:rsidR="002A172B" w:rsidRPr="00CE15CF">
        <w:t>CF</w:t>
      </w:r>
      <w:r w:rsidR="002A172B" w:rsidRPr="00CE15CF">
        <w:rPr>
          <w:vertAlign w:val="subscript"/>
        </w:rPr>
        <w:t>2</w:t>
      </w:r>
      <w:r w:rsidR="002A172B" w:rsidRPr="00CE15CF">
        <w:t>CF</w:t>
      </w:r>
      <w:r w:rsidR="002A172B" w:rsidRPr="00CE15CF">
        <w:rPr>
          <w:vertAlign w:val="subscript"/>
        </w:rPr>
        <w:t>2</w:t>
      </w:r>
      <w:r w:rsidR="002A172B" w:rsidRPr="00CE15CF">
        <w:t>CF</w:t>
      </w:r>
      <w:r w:rsidR="002A172B" w:rsidRPr="00CE15CF">
        <w:rPr>
          <w:vertAlign w:val="subscript"/>
        </w:rPr>
        <w:t>2</w:t>
      </w:r>
      <w:r w:rsidR="002A172B" w:rsidRPr="00CE15CF">
        <w:t>H in absence of NOx. Accordingly, HFCs with the –CHF</w:t>
      </w:r>
      <w:r w:rsidR="002A172B" w:rsidRPr="00CE15CF">
        <w:rPr>
          <w:vertAlign w:val="subscript"/>
        </w:rPr>
        <w:t>2</w:t>
      </w:r>
      <w:r w:rsidR="002A172B" w:rsidRPr="00CE15CF">
        <w:t xml:space="preserve"> moiety (e.g., HFC-329ccb and HFC 52-13p) can react with OH radicals and form a perfluoroalkyl radical </w:t>
      </w:r>
      <w:r w:rsidR="00260CF7" w:rsidRPr="00CE15CF">
        <w:t>(</w:t>
      </w:r>
      <w:r w:rsidR="002A172B" w:rsidRPr="00CE15CF">
        <w:t>CF</w:t>
      </w:r>
      <w:r w:rsidR="002A172B" w:rsidRPr="00CE15CF">
        <w:rPr>
          <w:vertAlign w:val="subscript"/>
        </w:rPr>
        <w:t>3</w:t>
      </w:r>
      <w:r w:rsidR="002A172B" w:rsidRPr="00CE15CF">
        <w:t>(CF</w:t>
      </w:r>
      <w:proofErr w:type="gramStart"/>
      <w:r w:rsidR="002A172B" w:rsidRPr="00CE15CF">
        <w:rPr>
          <w:vertAlign w:val="subscript"/>
        </w:rPr>
        <w:t>2</w:t>
      </w:r>
      <w:r w:rsidR="002A172B" w:rsidRPr="00CE15CF">
        <w:t>)n</w:t>
      </w:r>
      <w:proofErr w:type="gramEnd"/>
      <w:r w:rsidR="002A172B" w:rsidRPr="00CE15CF">
        <w:t>•</w:t>
      </w:r>
      <w:r w:rsidR="00260CF7" w:rsidRPr="00CE15CF">
        <w:t>)</w:t>
      </w:r>
      <w:r w:rsidR="002A172B" w:rsidRPr="00CE15CF">
        <w:t>,which can further react to form PFCAs (under low NO</w:t>
      </w:r>
      <w:r w:rsidR="002A172B" w:rsidRPr="00CE15CF">
        <w:rPr>
          <w:vertAlign w:val="subscript"/>
        </w:rPr>
        <w:t>x</w:t>
      </w:r>
      <w:r w:rsidR="002A172B" w:rsidRPr="00CE15CF">
        <w:t xml:space="preserve"> conditions) (see Wang et al. 2014). </w:t>
      </w:r>
      <w:r w:rsidR="0094751E" w:rsidRPr="00CE15CF">
        <w:t>Chen et al. (2011)</w:t>
      </w:r>
      <w:r w:rsidR="0094751E" w:rsidRPr="00CE15CF">
        <w:rPr>
          <w:rStyle w:val="FootnoteReference"/>
        </w:rPr>
        <w:footnoteReference w:id="15"/>
      </w:r>
      <w:r w:rsidR="0094751E" w:rsidRPr="00CE15CF">
        <w:t xml:space="preserve"> propose a mechanism for the oxidation of 1-H-PFO to PFOA in the atmosphere through reaction with OH radical</w:t>
      </w:r>
      <w:r w:rsidR="00294430" w:rsidRPr="00CE15CF">
        <w:t>s</w:t>
      </w:r>
      <w:r w:rsidR="0094751E" w:rsidRPr="00CE15CF">
        <w:t xml:space="preserve">.  They report that molar yields of PFOA range between 0.07-0.12. </w:t>
      </w:r>
      <w:r w:rsidR="002A172B" w:rsidRPr="00CE15CF">
        <w:t xml:space="preserve">These results suggest that a transformation from 1-H-PFO to PFOA is possible. Specific data for the transformation of 1-H-PFO to PFOA is not available. </w:t>
      </w:r>
      <w:r w:rsidR="003629FC" w:rsidRPr="00CE15CF">
        <w:t xml:space="preserve">The </w:t>
      </w:r>
      <w:proofErr w:type="spellStart"/>
      <w:r w:rsidR="003629FC" w:rsidRPr="00CE15CF">
        <w:t>FluoroCouncil</w:t>
      </w:r>
      <w:proofErr w:type="spellEnd"/>
      <w:r w:rsidR="003629FC" w:rsidRPr="00CE15CF">
        <w:t xml:space="preserve"> </w:t>
      </w:r>
      <w:r w:rsidR="005805EA" w:rsidRPr="00CE15CF">
        <w:t xml:space="preserve">argues that the intramolecular shielding of the H-C bond makes degradation extremely unlikely and that, in atmospheric conditions, the probability of a reaction with OH radicals is further reduced by the existence of a competing reaction with NOx that does not result in PFOA. </w:t>
      </w:r>
      <w:r w:rsidR="00963766" w:rsidRPr="00CE15CF">
        <w:t xml:space="preserve">However, Switzerland notes that </w:t>
      </w:r>
      <w:r w:rsidR="00417009" w:rsidRPr="00CE15CF">
        <w:t>1-H-PFO</w:t>
      </w:r>
      <w:r w:rsidR="00963766" w:rsidRPr="00CE15CF">
        <w:t xml:space="preserve"> remains in the atmosphere (&gt; 99 % based on EPI Suite Level III Fugacity Model with emissions to air only) until transformed and </w:t>
      </w:r>
      <w:r w:rsidR="00370BD5">
        <w:br/>
      </w:r>
      <w:r w:rsidR="00417009" w:rsidRPr="00CE15CF">
        <w:t>1-H-PFO</w:t>
      </w:r>
      <w:r w:rsidR="00963766" w:rsidRPr="00CE15CF">
        <w:t xml:space="preserve"> may be transformed to PFOA over long time scales (Switzerland 2018). </w:t>
      </w:r>
      <w:r w:rsidR="0099314F" w:rsidRPr="00CE15CF">
        <w:t>Chen et al. (2011)</w:t>
      </w:r>
      <w:r w:rsidR="00963766" w:rsidRPr="00CE15CF">
        <w:t xml:space="preserve"> </w:t>
      </w:r>
      <w:r w:rsidR="0099314F" w:rsidRPr="00CE15CF">
        <w:t xml:space="preserve">estimated an </w:t>
      </w:r>
      <w:r w:rsidR="00963766" w:rsidRPr="00CE15CF">
        <w:t>atmospheric lifetime of 24 year.</w:t>
      </w:r>
    </w:p>
    <w:p w14:paraId="44227808" w14:textId="4E09D748" w:rsidR="002A172B" w:rsidRPr="00CE15CF" w:rsidRDefault="002A172B" w:rsidP="00CE15CF">
      <w:pPr>
        <w:pStyle w:val="Paralevel1"/>
      </w:pPr>
      <w:r w:rsidRPr="00CE15CF">
        <w:t xml:space="preserve">In conclusion, 1-H-PFO should be </w:t>
      </w:r>
      <w:r w:rsidR="0027373C" w:rsidRPr="00CE15CF">
        <w:t>considered a</w:t>
      </w:r>
      <w:r w:rsidRPr="00CE15CF">
        <w:t xml:space="preserve"> PFOA-related compound since scientific evidence indicates that a transformation to PFOA is possible</w:t>
      </w:r>
      <w:r w:rsidR="0027373C" w:rsidRPr="00CE15CF">
        <w:t xml:space="preserve"> and should be included in the non-exhaustive list of PFOA-related </w:t>
      </w:r>
      <w:r w:rsidR="009120FD" w:rsidRPr="00CE15CF">
        <w:t>compounds</w:t>
      </w:r>
      <w:r w:rsidRPr="00CE15CF">
        <w:t xml:space="preserve">. </w:t>
      </w:r>
      <w:r w:rsidR="005805EA" w:rsidRPr="00CE15CF">
        <w:t xml:space="preserve">In addition, 1-H-PFO is identified as a </w:t>
      </w:r>
      <w:r w:rsidR="00482B54" w:rsidRPr="00CE15CF">
        <w:t xml:space="preserve">(potential) </w:t>
      </w:r>
      <w:r w:rsidR="005805EA" w:rsidRPr="00CE15CF">
        <w:t>precursor of PF</w:t>
      </w:r>
      <w:r w:rsidR="00D22CE7" w:rsidRPr="00CE15CF">
        <w:t>A</w:t>
      </w:r>
      <w:r w:rsidR="005805EA" w:rsidRPr="00CE15CF">
        <w:t>A</w:t>
      </w:r>
      <w:r w:rsidR="00D22CE7" w:rsidRPr="00CE15CF">
        <w:t>s</w:t>
      </w:r>
      <w:r w:rsidR="005805EA" w:rsidRPr="00CE15CF">
        <w:t xml:space="preserve"> in the OECD </w:t>
      </w:r>
      <w:r w:rsidR="00D22CE7" w:rsidRPr="00CE15CF">
        <w:t xml:space="preserve">New Comprehensive Global Database of Per- and </w:t>
      </w:r>
      <w:proofErr w:type="spellStart"/>
      <w:r w:rsidR="00D22CE7" w:rsidRPr="00CE15CF">
        <w:t>Polyfluoroalkyl</w:t>
      </w:r>
      <w:proofErr w:type="spellEnd"/>
      <w:r w:rsidR="00D22CE7" w:rsidRPr="00CE15CF">
        <w:t xml:space="preserve"> Substances (PFASs)</w:t>
      </w:r>
      <w:r w:rsidR="005805EA" w:rsidRPr="00CE15CF">
        <w:t xml:space="preserve">. </w:t>
      </w:r>
    </w:p>
    <w:p w14:paraId="3114C835" w14:textId="238374FA" w:rsidR="008022D3" w:rsidRPr="00CE15CF" w:rsidRDefault="008022D3" w:rsidP="00370BD5">
      <w:pPr>
        <w:pStyle w:val="StyleHeading2u2h2ABC2ChptTimesNewRomanLinespaci"/>
        <w:keepLines/>
      </w:pPr>
      <w:bookmarkStart w:id="37" w:name="_Toc506913487"/>
      <w:bookmarkStart w:id="38" w:name="_Toc507148942"/>
      <w:bookmarkStart w:id="39" w:name="_Toc515267892"/>
      <w:bookmarkStart w:id="40" w:name="_Hlk511836168"/>
      <w:r w:rsidRPr="00CE15CF">
        <w:lastRenderedPageBreak/>
        <w:t>Inclusion of 8:2 fluorotelomer methacrylate, polymer with methyl methacrylate in the scope of the RME</w:t>
      </w:r>
      <w:bookmarkEnd w:id="37"/>
      <w:bookmarkEnd w:id="38"/>
      <w:bookmarkEnd w:id="39"/>
    </w:p>
    <w:bookmarkEnd w:id="40"/>
    <w:p w14:paraId="796A5E3F" w14:textId="6883F540" w:rsidR="002A172B" w:rsidRPr="00CE15CF" w:rsidRDefault="002A172B" w:rsidP="00370BD5">
      <w:pPr>
        <w:pStyle w:val="Paralevel1"/>
        <w:keepNext/>
        <w:keepLines/>
        <w:rPr>
          <w:sz w:val="22"/>
          <w:szCs w:val="22"/>
        </w:rPr>
      </w:pPr>
      <w:r w:rsidRPr="00CE15CF">
        <w:t xml:space="preserve">Based on information submitted by Australia (2018), 8:2 fluorotelomer methacrylate (CAS </w:t>
      </w:r>
      <w:r w:rsidR="001F1FD2" w:rsidRPr="00CE15CF">
        <w:t xml:space="preserve">No: </w:t>
      </w:r>
      <w:r w:rsidRPr="00CE15CF">
        <w:t xml:space="preserve">93705-98-7), polymer with methyl methacrylate </w:t>
      </w:r>
      <w:r w:rsidR="00E863CE" w:rsidRPr="00CE15CF">
        <w:t>sh</w:t>
      </w:r>
      <w:r w:rsidRPr="00CE15CF">
        <w:t xml:space="preserve">ould be included </w:t>
      </w:r>
      <w:r w:rsidR="00E863CE" w:rsidRPr="00CE15CF">
        <w:t>in</w:t>
      </w:r>
      <w:r w:rsidRPr="00CE15CF">
        <w:t xml:space="preserve"> the </w:t>
      </w:r>
      <w:r w:rsidR="00721E31" w:rsidRPr="00CE15CF">
        <w:t>non-exhaustive</w:t>
      </w:r>
      <w:r w:rsidRPr="00CE15CF">
        <w:t xml:space="preserve"> list of </w:t>
      </w:r>
      <w:r w:rsidR="00721E31" w:rsidRPr="00CE15CF">
        <w:t xml:space="preserve">PFOA-related </w:t>
      </w:r>
      <w:r w:rsidR="009120FD" w:rsidRPr="00CE15CF">
        <w:t>compounds</w:t>
      </w:r>
      <w:r w:rsidRPr="00CE15CF">
        <w:t>. A</w:t>
      </w:r>
      <w:r w:rsidR="00677A8E" w:rsidRPr="00CE15CF">
        <w:t>ustralia’s National Industrial Chemicals Notification and Assessment Scheme (</w:t>
      </w:r>
      <w:r w:rsidRPr="00CE15CF">
        <w:t>NICNAS</w:t>
      </w:r>
      <w:r w:rsidR="00677A8E" w:rsidRPr="00CE15CF">
        <w:t>)</w:t>
      </w:r>
      <w:r w:rsidRPr="00CE15CF">
        <w:t xml:space="preserve"> under the Inventory </w:t>
      </w:r>
      <w:r w:rsidR="00370BD5">
        <w:br/>
      </w:r>
      <w:r w:rsidRPr="00CE15CF">
        <w:t>Multi-tiered Assessment and Prioritisation (IMAP) framework concluded that PFOA is expected to be the major product of environmental biodegradation for the following five long-chain fluorinated chemicals on the Australian Inventory of Chemical Substances (AICS) (NICNAS undated): 8:2 fluorotelomer alcohol</w:t>
      </w:r>
      <w:r w:rsidR="0007647B" w:rsidRPr="00CE15CF">
        <w:t xml:space="preserve"> (CAS No: 678-39-7</w:t>
      </w:r>
      <w:r w:rsidRPr="00CE15CF">
        <w:t>), 8:2 fluorotelomer methacrylate</w:t>
      </w:r>
      <w:r w:rsidR="0007647B" w:rsidRPr="00CE15CF">
        <w:t xml:space="preserve"> (CAS No: 1996-88-9</w:t>
      </w:r>
      <w:r w:rsidRPr="00CE15CF">
        <w:t>), 8:2 fluorotelomer methacrylate, polymer with methyl methacrylate</w:t>
      </w:r>
      <w:r w:rsidR="0007647B" w:rsidRPr="00CE15CF">
        <w:t xml:space="preserve"> (CAS No: 93705-98-7</w:t>
      </w:r>
      <w:r w:rsidRPr="00CE15CF">
        <w:t xml:space="preserve">); </w:t>
      </w:r>
      <w:proofErr w:type="spellStart"/>
      <w:r w:rsidR="0007647B" w:rsidRPr="00CE15CF">
        <w:t>p</w:t>
      </w:r>
      <w:r w:rsidRPr="00CE15CF">
        <w:t>ropanamide</w:t>
      </w:r>
      <w:proofErr w:type="spellEnd"/>
      <w:r w:rsidRPr="00CE15CF">
        <w:t>, 3-[(.gamma.-.omega.-perfluoro-C</w:t>
      </w:r>
      <w:r w:rsidRPr="00CE15CF">
        <w:rPr>
          <w:vertAlign w:val="subscript"/>
        </w:rPr>
        <w:t>4-10</w:t>
      </w:r>
      <w:r w:rsidRPr="00CE15CF">
        <w:t>-alkyl)</w:t>
      </w:r>
      <w:proofErr w:type="spellStart"/>
      <w:r w:rsidRPr="00CE15CF">
        <w:t>thio</w:t>
      </w:r>
      <w:proofErr w:type="spellEnd"/>
      <w:r w:rsidRPr="00CE15CF">
        <w:t>] derivatives</w:t>
      </w:r>
      <w:r w:rsidR="0007647B" w:rsidRPr="00CE15CF">
        <w:t xml:space="preserve"> (CAS No: 68187-42-8</w:t>
      </w:r>
      <w:r w:rsidRPr="00CE15CF">
        <w:t>)</w:t>
      </w:r>
      <w:r w:rsidR="0007647B" w:rsidRPr="00CE15CF">
        <w:t>;</w:t>
      </w:r>
      <w:r w:rsidRPr="00CE15CF">
        <w:t xml:space="preserve"> and 7:1 </w:t>
      </w:r>
      <w:proofErr w:type="spellStart"/>
      <w:r w:rsidRPr="00CE15CF">
        <w:t>fluoroalcohol</w:t>
      </w:r>
      <w:proofErr w:type="spellEnd"/>
      <w:r w:rsidRPr="00CE15CF">
        <w:t xml:space="preserve"> methacrylate, polymer with acrylic acid</w:t>
      </w:r>
      <w:r w:rsidR="0007647B" w:rsidRPr="00CE15CF">
        <w:t xml:space="preserve"> (CAS No: 53515-73-4</w:t>
      </w:r>
      <w:r w:rsidRPr="00CE15CF">
        <w:t xml:space="preserve">). The remaining 4 chemicals indicated are already included in the list of non-exhaustive substances. </w:t>
      </w:r>
    </w:p>
    <w:p w14:paraId="3C5CA83B" w14:textId="289081C2" w:rsidR="002A172B" w:rsidRPr="00CE15CF" w:rsidRDefault="002A172B" w:rsidP="00CE15CF">
      <w:pPr>
        <w:pStyle w:val="Paralevel1"/>
      </w:pPr>
      <w:r w:rsidRPr="00CE15CF">
        <w:t xml:space="preserve">In conclusion, </w:t>
      </w:r>
      <w:r w:rsidR="00196046" w:rsidRPr="00CE15CF">
        <w:t xml:space="preserve">8:2 fluorotelomer methacrylate </w:t>
      </w:r>
      <w:r w:rsidRPr="00CE15CF">
        <w:t xml:space="preserve">polymer with methyl methacrylate </w:t>
      </w:r>
      <w:r w:rsidR="008B3A49" w:rsidRPr="00CE15CF">
        <w:t xml:space="preserve">(CAS No: 93705-98-7) </w:t>
      </w:r>
      <w:r w:rsidR="00153856" w:rsidRPr="00CE15CF">
        <w:t>c</w:t>
      </w:r>
      <w:r w:rsidRPr="00CE15CF">
        <w:t xml:space="preserve">ould be </w:t>
      </w:r>
      <w:r w:rsidR="00223E56" w:rsidRPr="00CE15CF">
        <w:t xml:space="preserve">considered for inclusion </w:t>
      </w:r>
      <w:r w:rsidR="00196046" w:rsidRPr="00CE15CF">
        <w:t xml:space="preserve">in </w:t>
      </w:r>
      <w:r w:rsidRPr="00CE15CF">
        <w:t xml:space="preserve">the non-exhaustive list of </w:t>
      </w:r>
      <w:r w:rsidR="00196046" w:rsidRPr="00CE15CF">
        <w:t>PFOA-related</w:t>
      </w:r>
      <w:r w:rsidRPr="00CE15CF">
        <w:t xml:space="preserve"> </w:t>
      </w:r>
      <w:r w:rsidR="009120FD" w:rsidRPr="00CE15CF">
        <w:t>compounds</w:t>
      </w:r>
      <w:r w:rsidRPr="00CE15CF">
        <w:t>.</w:t>
      </w:r>
      <w:r w:rsidR="00E137EF" w:rsidRPr="00CE15CF">
        <w:t xml:space="preserve"> Further data related to main components by environmental degradation of polymer with methyl methacrylate </w:t>
      </w:r>
      <w:r w:rsidR="009C51EF" w:rsidRPr="00CE15CF">
        <w:t xml:space="preserve">would </w:t>
      </w:r>
      <w:r w:rsidR="00E137EF" w:rsidRPr="00CE15CF">
        <w:t xml:space="preserve">be </w:t>
      </w:r>
      <w:r w:rsidR="009C51EF" w:rsidRPr="00CE15CF">
        <w:t>supportive</w:t>
      </w:r>
      <w:r w:rsidR="00E137EF" w:rsidRPr="00CE15CF">
        <w:t xml:space="preserve">. </w:t>
      </w:r>
    </w:p>
    <w:p w14:paraId="48A0FEAB" w14:textId="733D26C1" w:rsidR="008022D3" w:rsidRPr="00CE15CF" w:rsidRDefault="008022D3" w:rsidP="00CE15CF">
      <w:pPr>
        <w:pStyle w:val="Heading1"/>
        <w:pageBreakBefore w:val="0"/>
        <w:tabs>
          <w:tab w:val="clear" w:pos="432"/>
          <w:tab w:val="num" w:pos="630"/>
        </w:tabs>
        <w:spacing w:before="240" w:after="120" w:line="240" w:lineRule="auto"/>
        <w:ind w:left="634" w:hanging="634"/>
        <w:rPr>
          <w:sz w:val="28"/>
        </w:rPr>
      </w:pPr>
      <w:bookmarkStart w:id="41" w:name="_Toc166913976"/>
      <w:bookmarkStart w:id="42" w:name="_Toc506913488"/>
      <w:bookmarkStart w:id="43" w:name="_Toc507148943"/>
      <w:bookmarkStart w:id="44" w:name="_Toc515267893"/>
      <w:bookmarkEnd w:id="41"/>
      <w:r w:rsidRPr="00CE15CF">
        <w:rPr>
          <w:sz w:val="28"/>
        </w:rPr>
        <w:t>Information on unintentional formation and release</w:t>
      </w:r>
      <w:bookmarkEnd w:id="42"/>
      <w:bookmarkEnd w:id="43"/>
      <w:bookmarkEnd w:id="44"/>
      <w:r w:rsidRPr="00CE15CF">
        <w:rPr>
          <w:sz w:val="28"/>
        </w:rPr>
        <w:t xml:space="preserve"> </w:t>
      </w:r>
    </w:p>
    <w:p w14:paraId="6356B89E" w14:textId="7889EB8E" w:rsidR="008022D3" w:rsidRPr="00CE15CF" w:rsidRDefault="008022D3" w:rsidP="00CE15CF">
      <w:pPr>
        <w:pStyle w:val="Paralevel1"/>
      </w:pPr>
      <w:r w:rsidRPr="00CE15CF">
        <w:t>The Committee invited Parties and observers to provide information that would assist to further evaluate unintentional formation and release of PFOA, its salts and PFOA-related compounds from incomplete combustion and primary aluminium production. Relevant information in response to the request for information was submitted by IPEN and ACAT (2018)</w:t>
      </w:r>
      <w:r w:rsidR="00337D7D" w:rsidRPr="00CE15CF">
        <w:t xml:space="preserve">, </w:t>
      </w:r>
      <w:r w:rsidR="005F2E5C" w:rsidRPr="00CE15CF">
        <w:t>the Netherlands (2018</w:t>
      </w:r>
      <w:r w:rsidR="005B78AB" w:rsidRPr="00CE15CF">
        <w:t>a</w:t>
      </w:r>
      <w:r w:rsidR="005F2E5C" w:rsidRPr="00CE15CF">
        <w:t xml:space="preserve">) and </w:t>
      </w:r>
      <w:r w:rsidR="00DD56BB" w:rsidRPr="00CE15CF">
        <w:t>Austria</w:t>
      </w:r>
      <w:r w:rsidR="005F2E5C" w:rsidRPr="00CE15CF">
        <w:t xml:space="preserve"> (2018)</w:t>
      </w:r>
      <w:r w:rsidRPr="00CE15CF">
        <w:t xml:space="preserve">. The </w:t>
      </w:r>
      <w:r w:rsidR="00FE3CBE" w:rsidRPr="00CE15CF">
        <w:t>UK</w:t>
      </w:r>
      <w:r w:rsidRPr="00CE15CF">
        <w:t xml:space="preserve"> (2018) stated that PFOA is not a substance that is reported within the UK’s Pollution Inventories, and therefore no relevant data on its releases is available. The same also applies to emissions from primary aluminium production (</w:t>
      </w:r>
      <w:r w:rsidR="00FE3CBE" w:rsidRPr="00CE15CF">
        <w:t>UK</w:t>
      </w:r>
      <w:r w:rsidRPr="00CE15CF">
        <w:t xml:space="preserve">, 2018). No additional information (in addition to the </w:t>
      </w:r>
      <w:r w:rsidR="005F2E5C" w:rsidRPr="00CE15CF">
        <w:t xml:space="preserve">already included </w:t>
      </w:r>
      <w:r w:rsidRPr="00CE15CF">
        <w:t xml:space="preserve">in the RME) is available from Canada (Canada, 2018). </w:t>
      </w:r>
    </w:p>
    <w:p w14:paraId="10F55EB7" w14:textId="2FB5BC6D" w:rsidR="008022D3" w:rsidRPr="00CE15CF" w:rsidRDefault="008022D3" w:rsidP="00CE15CF">
      <w:pPr>
        <w:pStyle w:val="StyleHeading2u2h2ABC2ChptTimesNewRomanLinespaci"/>
      </w:pPr>
      <w:bookmarkStart w:id="45" w:name="_Toc506913489"/>
      <w:bookmarkStart w:id="46" w:name="_Toc507148944"/>
      <w:bookmarkStart w:id="47" w:name="_Toc515267894"/>
      <w:r w:rsidRPr="00CE15CF">
        <w:t>Unintentional formation and release from incomplete combustion</w:t>
      </w:r>
      <w:bookmarkEnd w:id="45"/>
      <w:bookmarkEnd w:id="46"/>
      <w:bookmarkEnd w:id="47"/>
      <w:r w:rsidRPr="00CE15CF">
        <w:t xml:space="preserve"> </w:t>
      </w:r>
    </w:p>
    <w:p w14:paraId="303F59BD" w14:textId="560326F5" w:rsidR="008022D3" w:rsidRPr="00CE15CF" w:rsidRDefault="008022D3" w:rsidP="00CE15CF">
      <w:pPr>
        <w:pStyle w:val="Paralevel1"/>
      </w:pPr>
      <w:r w:rsidRPr="00CE15CF">
        <w:t>During the development of the RME, Switzerland supplied information on unintentional formation of PFOA from incineration of fluoropolymers with inappropriate incineration or open burning facilities at moderate temperatures. Recent studies have been summarized</w:t>
      </w:r>
      <w:r w:rsidRPr="00CE15CF">
        <w:rPr>
          <w:i/>
        </w:rPr>
        <w:t xml:space="preserve">, showing measurable amounts of PFOA and a wide range of other PFCA homologues that can be generated during the </w:t>
      </w:r>
      <w:proofErr w:type="spellStart"/>
      <w:r w:rsidRPr="00CE15CF">
        <w:rPr>
          <w:i/>
        </w:rPr>
        <w:t>thermolysis</w:t>
      </w:r>
      <w:proofErr w:type="spellEnd"/>
      <w:r w:rsidRPr="00CE15CF">
        <w:rPr>
          <w:i/>
        </w:rPr>
        <w:t xml:space="preserve"> of PTFE (polytetrafluoroethylene) at temperatures between 250 and 600°C. It has been concluded that this may be particularly relevant for developing countries and countries in transition, where wastes are often not incinerated to sufficiently high temperatures and without proper treatment of flue gases</w:t>
      </w:r>
      <w:r w:rsidRPr="00CE15CF">
        <w:t xml:space="preserve"> (FOEN, 2017). </w:t>
      </w:r>
    </w:p>
    <w:p w14:paraId="0962778A" w14:textId="2DAF2A27" w:rsidR="008022D3" w:rsidRPr="00CE15CF" w:rsidRDefault="008022D3" w:rsidP="00CE15CF">
      <w:pPr>
        <w:pStyle w:val="Paralevel1"/>
      </w:pPr>
      <w:r w:rsidRPr="00CE15CF">
        <w:rPr>
          <w:i/>
        </w:rPr>
        <w:t xml:space="preserve">High temperature incineration (e.g., at 1000°C) </w:t>
      </w:r>
      <w:r w:rsidR="009E3816" w:rsidRPr="00CE15CF">
        <w:rPr>
          <w:i/>
        </w:rPr>
        <w:t>can be</w:t>
      </w:r>
      <w:r w:rsidRPr="00CE15CF">
        <w:rPr>
          <w:i/>
        </w:rPr>
        <w:t xml:space="preserve"> effective to destroy PFOA and to prevent the formation of PFOA from the </w:t>
      </w:r>
      <w:proofErr w:type="spellStart"/>
      <w:r w:rsidRPr="00CE15CF">
        <w:rPr>
          <w:i/>
        </w:rPr>
        <w:t>thermolysis</w:t>
      </w:r>
      <w:proofErr w:type="spellEnd"/>
      <w:r w:rsidRPr="00CE15CF">
        <w:rPr>
          <w:i/>
        </w:rPr>
        <w:t xml:space="preserve"> of highly fluorinated polymers. It is however, currently unclear to what extent formation of PFOA may occur in municipal waste incinerators where (1) flue gases may reach temperatures of 850°C or greater and may result in different degradation products; (2) other substances coexist and may interfere with the </w:t>
      </w:r>
      <w:proofErr w:type="spellStart"/>
      <w:r w:rsidRPr="00CE15CF">
        <w:rPr>
          <w:i/>
        </w:rPr>
        <w:t>thermolysis</w:t>
      </w:r>
      <w:proofErr w:type="spellEnd"/>
      <w:r w:rsidRPr="00CE15CF">
        <w:rPr>
          <w:i/>
        </w:rPr>
        <w:t xml:space="preserve"> of fluoropolymers (e.g., </w:t>
      </w:r>
      <w:proofErr w:type="spellStart"/>
      <w:r w:rsidRPr="00CE15CF">
        <w:rPr>
          <w:i/>
        </w:rPr>
        <w:t>thermolysis</w:t>
      </w:r>
      <w:proofErr w:type="spellEnd"/>
      <w:r w:rsidRPr="00CE15CF">
        <w:rPr>
          <w:i/>
        </w:rPr>
        <w:t xml:space="preserve"> of PTFE is inhibited by a hydrogen or chlorine atmosphere in contrast to steam, oxygen or </w:t>
      </w:r>
      <w:proofErr w:type="spellStart"/>
      <w:r w:rsidRPr="00CE15CF">
        <w:rPr>
          <w:i/>
        </w:rPr>
        <w:t>sulfur</w:t>
      </w:r>
      <w:proofErr w:type="spellEnd"/>
      <w:r w:rsidRPr="00CE15CF">
        <w:rPr>
          <w:i/>
        </w:rPr>
        <w:t xml:space="preserve"> dioxide, which accelerate decomposition; and (3) technologies such as activated carbon injection (ACI) coupled with baghouse filtration (BF) may be installed to remove dioxin or mercury and may also trap PFCAs</w:t>
      </w:r>
      <w:r w:rsidR="00A71AC3" w:rsidRPr="00CE15CF">
        <w:t xml:space="preserve">. </w:t>
      </w:r>
      <w:r w:rsidRPr="00CE15CF">
        <w:t xml:space="preserve">A </w:t>
      </w:r>
      <w:r w:rsidR="00F13911" w:rsidRPr="00CE15CF">
        <w:t xml:space="preserve">laboratory-scale </w:t>
      </w:r>
      <w:r w:rsidRPr="00CE15CF">
        <w:t xml:space="preserve">study from the US concluded that waste incineration of fluorotelomer-based polymers does not lead to formation of detectable levels of PFOA under conditions representative of typical municipal waste incineration in the US. However, </w:t>
      </w:r>
      <w:r w:rsidRPr="00CE15CF">
        <w:rPr>
          <w:i/>
        </w:rPr>
        <w:t>a recent study found PFOA in flue gases from a state of the art incinerator of Harlingen, the Netherlands</w:t>
      </w:r>
      <w:r w:rsidRPr="00CE15CF">
        <w:t xml:space="preserve"> (see the RME). </w:t>
      </w:r>
      <w:r w:rsidR="00DD56BB" w:rsidRPr="00CE15CF">
        <w:t>Currently (a</w:t>
      </w:r>
      <w:r w:rsidR="00553193" w:rsidRPr="00CE15CF">
        <w:t xml:space="preserve">s of </w:t>
      </w:r>
      <w:r w:rsidR="00DD56BB" w:rsidRPr="00CE15CF">
        <w:t>2018)</w:t>
      </w:r>
      <w:r w:rsidR="00553193" w:rsidRPr="00CE15CF">
        <w:t xml:space="preserve"> PFOA is not regulated as </w:t>
      </w:r>
      <w:r w:rsidR="00DD56BB" w:rsidRPr="00CE15CF">
        <w:t xml:space="preserve">an </w:t>
      </w:r>
      <w:r w:rsidR="00553193" w:rsidRPr="00CE15CF">
        <w:t xml:space="preserve">air pollutant from waste incineration under the Industrial Emission Directive </w:t>
      </w:r>
      <w:r w:rsidR="00257184" w:rsidRPr="00CE15CF">
        <w:t>(</w:t>
      </w:r>
      <w:r w:rsidR="00553193" w:rsidRPr="00CE15CF">
        <w:t>Directive 2010/75/EU</w:t>
      </w:r>
      <w:r w:rsidR="00257184" w:rsidRPr="00CE15CF">
        <w:t>)</w:t>
      </w:r>
      <w:r w:rsidR="00553193" w:rsidRPr="00CE15CF">
        <w:t xml:space="preserve"> on European level (</w:t>
      </w:r>
      <w:r w:rsidR="00DD56BB" w:rsidRPr="00CE15CF">
        <w:t>Austria</w:t>
      </w:r>
      <w:r w:rsidR="00553193" w:rsidRPr="00CE15CF">
        <w:t>, 2018).</w:t>
      </w:r>
      <w:r w:rsidR="00D82BA1" w:rsidRPr="00CE15CF">
        <w:t xml:space="preserve"> </w:t>
      </w:r>
      <w:r w:rsidR="0010751A" w:rsidRPr="00CE15CF">
        <w:t>In Europe, the state of the art (best available technique, BAT) in waste incineration is defined in the European BAT Reference Document on Waste Incineration (BREF WI 2006), issued by the European IPPC Bureau (EIPPCB) in 2006. Th</w:t>
      </w:r>
      <w:r w:rsidR="005431EB" w:rsidRPr="00CE15CF">
        <w:t>e</w:t>
      </w:r>
      <w:r w:rsidR="0010751A" w:rsidRPr="00CE15CF">
        <w:t xml:space="preserve"> document has been subject to a review process since July 2014, which is supposed to be finished by the end of 2018. In contrary to </w:t>
      </w:r>
      <w:r w:rsidR="00434189" w:rsidRPr="00CE15CF">
        <w:t xml:space="preserve">for instance </w:t>
      </w:r>
      <w:r w:rsidR="00AA7368" w:rsidRPr="00CE15CF">
        <w:t xml:space="preserve">polychlorinated </w:t>
      </w:r>
      <w:r w:rsidR="00D04E16" w:rsidRPr="00CE15CF">
        <w:t>dibenzo-</w:t>
      </w:r>
      <w:r w:rsidR="00D04E16" w:rsidRPr="00CE15CF">
        <w:rPr>
          <w:i/>
          <w:iCs/>
        </w:rPr>
        <w:t>p</w:t>
      </w:r>
      <w:r w:rsidR="00D04E16" w:rsidRPr="00CE15CF">
        <w:t>-</w:t>
      </w:r>
      <w:r w:rsidR="00AA7368" w:rsidRPr="00CE15CF">
        <w:t xml:space="preserve">dioxins and </w:t>
      </w:r>
      <w:r w:rsidR="00D04E16" w:rsidRPr="00CE15CF">
        <w:t>dibenzo</w:t>
      </w:r>
      <w:r w:rsidR="00AA7368" w:rsidRPr="00CE15CF">
        <w:t>furans (</w:t>
      </w:r>
      <w:r w:rsidR="0010751A" w:rsidRPr="00CE15CF">
        <w:t>PCDD/</w:t>
      </w:r>
      <w:r w:rsidR="00AA7368" w:rsidRPr="00CE15CF">
        <w:t>P</w:t>
      </w:r>
      <w:r w:rsidR="00D04E16" w:rsidRPr="00CE15CF">
        <w:t>CD</w:t>
      </w:r>
      <w:r w:rsidR="0010751A" w:rsidRPr="00CE15CF">
        <w:t>F</w:t>
      </w:r>
      <w:r w:rsidR="00AA7368" w:rsidRPr="00CE15CF">
        <w:t>)</w:t>
      </w:r>
      <w:r w:rsidR="0010751A" w:rsidRPr="00CE15CF">
        <w:t xml:space="preserve"> and PCBs, PFOA and other fluorinated and/or brominated organic compounds are not addressed by the BREF </w:t>
      </w:r>
      <w:r w:rsidR="00624205" w:rsidRPr="00CE15CF">
        <w:t xml:space="preserve">WI </w:t>
      </w:r>
      <w:r w:rsidR="0010751A" w:rsidRPr="00CE15CF">
        <w:t xml:space="preserve">so far (POPRC Member, 2018). </w:t>
      </w:r>
    </w:p>
    <w:p w14:paraId="21908E60" w14:textId="738545A4" w:rsidR="008022D3" w:rsidRPr="00CE15CF" w:rsidRDefault="008022D3" w:rsidP="00CE15CF">
      <w:pPr>
        <w:pStyle w:val="Paralevel1"/>
      </w:pPr>
      <w:r w:rsidRPr="00CE15CF">
        <w:t>Information provided by IPEN and ACAT (2018) in their current submission</w:t>
      </w:r>
      <w:r w:rsidR="00682360" w:rsidRPr="00CE15CF">
        <w:t>s</w:t>
      </w:r>
      <w:r w:rsidRPr="00CE15CF">
        <w:t xml:space="preserve"> mainly supports information provided by Switzerland which has already been considered </w:t>
      </w:r>
      <w:r w:rsidR="00682360" w:rsidRPr="00CE15CF">
        <w:t>in</w:t>
      </w:r>
      <w:r w:rsidRPr="00CE15CF">
        <w:t xml:space="preserve"> </w:t>
      </w:r>
      <w:r w:rsidR="000923FC" w:rsidRPr="00CE15CF">
        <w:t xml:space="preserve">the </w:t>
      </w:r>
      <w:r w:rsidRPr="00CE15CF">
        <w:t>RME</w:t>
      </w:r>
      <w:r w:rsidR="00A71AC3" w:rsidRPr="00CE15CF">
        <w:t xml:space="preserve">, and further includes </w:t>
      </w:r>
      <w:r w:rsidR="00682360" w:rsidRPr="00CE15CF">
        <w:t xml:space="preserve">additional </w:t>
      </w:r>
      <w:r w:rsidR="00A71AC3" w:rsidRPr="00CE15CF">
        <w:t>information on PFOA detected in a state of the art incineration facility in the Netherlands</w:t>
      </w:r>
      <w:r w:rsidR="00C55055" w:rsidRPr="00CE15CF">
        <w:t xml:space="preserve"> (Harlingen)</w:t>
      </w:r>
      <w:r w:rsidRPr="00CE15CF">
        <w:t xml:space="preserve">. </w:t>
      </w:r>
      <w:proofErr w:type="gramStart"/>
      <w:r w:rsidRPr="00CE15CF">
        <w:t>According to</w:t>
      </w:r>
      <w:proofErr w:type="gramEnd"/>
      <w:r w:rsidRPr="00CE15CF">
        <w:t xml:space="preserve"> </w:t>
      </w:r>
      <w:r w:rsidR="00A71AC3" w:rsidRPr="00CE15CF">
        <w:t xml:space="preserve">information provided by </w:t>
      </w:r>
      <w:r w:rsidRPr="00CE15CF">
        <w:t xml:space="preserve">IPEN and ACAT (2018), PFOA can be unintentionally generated as a product of incomplete combustion arising from open burning and waste incineration processes. In laboratory experiments, high temperature incineration is effective to destroy PFOA and prevent formation of PFOA, however, in practise PFOA may be formed in currently operating incinerators (a link to raw data from the above-mentioned incinerator in Harlingen has been provided as </w:t>
      </w:r>
      <w:r w:rsidRPr="00CE15CF">
        <w:lastRenderedPageBreak/>
        <w:t>reference</w:t>
      </w:r>
      <w:r w:rsidR="00E91C00" w:rsidRPr="00CE15CF">
        <w:t>).</w:t>
      </w:r>
      <w:bookmarkStart w:id="48" w:name="_Ref514757955"/>
      <w:r w:rsidRPr="00CE15CF">
        <w:rPr>
          <w:vertAlign w:val="superscript"/>
        </w:rPr>
        <w:footnoteReference w:id="16"/>
      </w:r>
      <w:bookmarkEnd w:id="48"/>
      <w:r w:rsidRPr="00CE15CF">
        <w:t xml:space="preserve"> IPEN and ACAT (2018) conclude that stringent adherence to </w:t>
      </w:r>
      <w:r w:rsidR="00B30D2D" w:rsidRPr="00CE15CF">
        <w:t>best available techniques and best environmental practices (</w:t>
      </w:r>
      <w:r w:rsidRPr="00CE15CF">
        <w:t>BAT/BEP</w:t>
      </w:r>
      <w:r w:rsidR="00B30D2D" w:rsidRPr="00CE15CF">
        <w:t>)</w:t>
      </w:r>
      <w:r w:rsidRPr="00CE15CF">
        <w:t xml:space="preserve"> is needed to avoid PFOA generation and release and that PFOA should be listed in Annex C as an unintentional POP to capture potential formation and unintentional release from anthropogenic sources (IPEN and ACAT, 2018). </w:t>
      </w:r>
      <w:r w:rsidR="0010751A" w:rsidRPr="00CE15CF">
        <w:t xml:space="preserve">Further, </w:t>
      </w:r>
      <w:proofErr w:type="gramStart"/>
      <w:r w:rsidR="0010751A" w:rsidRPr="00CE15CF">
        <w:t>according to</w:t>
      </w:r>
      <w:proofErr w:type="gramEnd"/>
      <w:r w:rsidR="0010751A" w:rsidRPr="00CE15CF">
        <w:t xml:space="preserve"> information provided by </w:t>
      </w:r>
      <w:r w:rsidR="00DD56BB" w:rsidRPr="00CE15CF">
        <w:t>Austria (2018)</w:t>
      </w:r>
      <w:r w:rsidR="0010751A" w:rsidRPr="00CE15CF">
        <w:t xml:space="preserve">, there is evidence given in literature from the Netherlands that flue gas from waste incineration also contains brominated flame retardants, polybrominated diphenyl ethers and PFOA. Under unstable conditions </w:t>
      </w:r>
      <w:r w:rsidR="006B496D" w:rsidRPr="00CE15CF">
        <w:t>poly</w:t>
      </w:r>
      <w:r w:rsidR="0010751A" w:rsidRPr="00CE15CF">
        <w:t xml:space="preserve">brominated </w:t>
      </w:r>
      <w:r w:rsidR="00330FB1" w:rsidRPr="00CE15CF">
        <w:t>dibenzo-</w:t>
      </w:r>
      <w:r w:rsidR="00330FB1" w:rsidRPr="00CE15CF">
        <w:rPr>
          <w:i/>
          <w:iCs/>
        </w:rPr>
        <w:t>p</w:t>
      </w:r>
      <w:r w:rsidR="00330FB1" w:rsidRPr="00CE15CF">
        <w:t>-</w:t>
      </w:r>
      <w:r w:rsidR="0010751A" w:rsidRPr="00CE15CF">
        <w:t>dioxins</w:t>
      </w:r>
      <w:r w:rsidR="006B496D" w:rsidRPr="00CE15CF">
        <w:t xml:space="preserve"> and </w:t>
      </w:r>
      <w:r w:rsidR="0034057D" w:rsidRPr="00CE15CF">
        <w:t>dibenzo</w:t>
      </w:r>
      <w:r w:rsidR="006B496D" w:rsidRPr="00CE15CF">
        <w:t>furans</w:t>
      </w:r>
      <w:r w:rsidR="0010751A" w:rsidRPr="00CE15CF">
        <w:t xml:space="preserve"> (PBDD/</w:t>
      </w:r>
      <w:r w:rsidR="006B496D" w:rsidRPr="00CE15CF">
        <w:t>PBD</w:t>
      </w:r>
      <w:r w:rsidR="0010751A" w:rsidRPr="00CE15CF">
        <w:t xml:space="preserve">Fs) were </w:t>
      </w:r>
      <w:r w:rsidR="00DD56BB" w:rsidRPr="00CE15CF">
        <w:t xml:space="preserve">also </w:t>
      </w:r>
      <w:r w:rsidR="0010751A" w:rsidRPr="00CE15CF">
        <w:t>found</w:t>
      </w:r>
      <w:r w:rsidR="006B496D" w:rsidRPr="00CE15CF">
        <w:t>.</w:t>
      </w:r>
      <w:r w:rsidR="00924042" w:rsidRPr="00CE15CF">
        <w:rPr>
          <w:rStyle w:val="FootnoteReference"/>
        </w:rPr>
        <w:fldChar w:fldCharType="begin"/>
      </w:r>
      <w:r w:rsidR="00924042" w:rsidRPr="00CE15CF">
        <w:rPr>
          <w:vertAlign w:val="superscript"/>
        </w:rPr>
        <w:instrText xml:space="preserve"> NOTEREF _Ref514757955 \h </w:instrText>
      </w:r>
      <w:r w:rsidR="00924042" w:rsidRPr="00CE15CF">
        <w:rPr>
          <w:rStyle w:val="FootnoteReference"/>
        </w:rPr>
        <w:instrText xml:space="preserve"> \* MERGEFORMAT </w:instrText>
      </w:r>
      <w:r w:rsidR="00924042" w:rsidRPr="00CE15CF">
        <w:rPr>
          <w:rStyle w:val="FootnoteReference"/>
        </w:rPr>
      </w:r>
      <w:r w:rsidR="00924042" w:rsidRPr="00CE15CF">
        <w:rPr>
          <w:rStyle w:val="FootnoteReference"/>
        </w:rPr>
        <w:fldChar w:fldCharType="separate"/>
      </w:r>
      <w:r w:rsidR="00AA57F7">
        <w:rPr>
          <w:vertAlign w:val="superscript"/>
        </w:rPr>
        <w:t>12</w:t>
      </w:r>
      <w:r w:rsidR="00924042" w:rsidRPr="00CE15CF">
        <w:rPr>
          <w:rStyle w:val="FootnoteReference"/>
        </w:rPr>
        <w:fldChar w:fldCharType="end"/>
      </w:r>
      <w:r w:rsidR="0010751A" w:rsidRPr="00CE15CF">
        <w:t xml:space="preserve"> There is also evidence from laboratory experiments that fluoropolymers </w:t>
      </w:r>
      <w:proofErr w:type="gramStart"/>
      <w:r w:rsidR="0010751A" w:rsidRPr="00CE15CF">
        <w:t>have to</w:t>
      </w:r>
      <w:proofErr w:type="gramEnd"/>
      <w:r w:rsidR="0010751A" w:rsidRPr="00CE15CF">
        <w:t xml:space="preserve"> be regarded as possible sources of halogenated organic compounds generated during waste incineration</w:t>
      </w:r>
      <w:r w:rsidR="00150370" w:rsidRPr="00CE15CF">
        <w:t>.</w:t>
      </w:r>
      <w:r w:rsidR="001408FA" w:rsidRPr="00CE15CF">
        <w:rPr>
          <w:rStyle w:val="FootnoteReference"/>
        </w:rPr>
        <w:footnoteReference w:id="17"/>
      </w:r>
      <w:r w:rsidR="0010751A" w:rsidRPr="00CE15CF">
        <w:t xml:space="preserve"> </w:t>
      </w:r>
    </w:p>
    <w:p w14:paraId="155D3512" w14:textId="6C21D866" w:rsidR="00C049AA" w:rsidRPr="00CE15CF" w:rsidRDefault="00373EEF" w:rsidP="00CE15CF">
      <w:pPr>
        <w:pStyle w:val="Paralevel1"/>
      </w:pPr>
      <w:proofErr w:type="gramStart"/>
      <w:r w:rsidRPr="00CE15CF">
        <w:t>According to</w:t>
      </w:r>
      <w:proofErr w:type="gramEnd"/>
      <w:r w:rsidRPr="00CE15CF">
        <w:t xml:space="preserve"> </w:t>
      </w:r>
      <w:r w:rsidR="00682360" w:rsidRPr="00CE15CF">
        <w:t>the</w:t>
      </w:r>
      <w:r w:rsidRPr="00CE15CF">
        <w:t xml:space="preserve"> recent submission</w:t>
      </w:r>
      <w:r w:rsidR="003C3BB7" w:rsidRPr="00CE15CF">
        <w:t xml:space="preserve"> </w:t>
      </w:r>
      <w:r w:rsidR="004679CB" w:rsidRPr="00CE15CF">
        <w:t>by</w:t>
      </w:r>
      <w:r w:rsidRPr="00CE15CF">
        <w:t xml:space="preserve"> the Netherlands (2018</w:t>
      </w:r>
      <w:r w:rsidR="005B78AB" w:rsidRPr="00CE15CF">
        <w:t>a</w:t>
      </w:r>
      <w:r w:rsidRPr="00CE15CF">
        <w:t xml:space="preserve">), </w:t>
      </w:r>
      <w:r w:rsidR="004679CB" w:rsidRPr="00CE15CF">
        <w:t>listing</w:t>
      </w:r>
      <w:r w:rsidR="003C3BB7" w:rsidRPr="00CE15CF">
        <w:t xml:space="preserve"> PFOA </w:t>
      </w:r>
      <w:r w:rsidR="004679CB" w:rsidRPr="00CE15CF">
        <w:t>in</w:t>
      </w:r>
      <w:r w:rsidR="003C3BB7" w:rsidRPr="00CE15CF">
        <w:t xml:space="preserve"> </w:t>
      </w:r>
      <w:r w:rsidRPr="00CE15CF">
        <w:t>A</w:t>
      </w:r>
      <w:r w:rsidR="003C3BB7" w:rsidRPr="00CE15CF">
        <w:t xml:space="preserve">nnex C </w:t>
      </w:r>
      <w:r w:rsidR="004206F4" w:rsidRPr="00CE15CF">
        <w:t>to</w:t>
      </w:r>
      <w:r w:rsidR="004679CB" w:rsidRPr="00CE15CF">
        <w:t xml:space="preserve"> the Convention </w:t>
      </w:r>
      <w:r w:rsidR="003C3BB7" w:rsidRPr="00CE15CF">
        <w:t xml:space="preserve">is not </w:t>
      </w:r>
      <w:r w:rsidR="00682360" w:rsidRPr="00CE15CF">
        <w:t>recommended</w:t>
      </w:r>
      <w:r w:rsidR="003C3BB7" w:rsidRPr="00CE15CF">
        <w:t xml:space="preserve"> </w:t>
      </w:r>
      <w:r w:rsidR="004679CB" w:rsidRPr="00CE15CF">
        <w:t xml:space="preserve">due to the </w:t>
      </w:r>
      <w:r w:rsidR="00C55055" w:rsidRPr="00CE15CF">
        <w:t>following reasons</w:t>
      </w:r>
      <w:r w:rsidR="003C3BB7" w:rsidRPr="00CE15CF">
        <w:t xml:space="preserve">. </w:t>
      </w:r>
      <w:r w:rsidR="00DD56BB" w:rsidRPr="00CE15CF">
        <w:t>Firstly,</w:t>
      </w:r>
      <w:r w:rsidR="003C3BB7" w:rsidRPr="00CE15CF">
        <w:t xml:space="preserve"> the data </w:t>
      </w:r>
      <w:r w:rsidR="00C55055" w:rsidRPr="00CE15CF">
        <w:t xml:space="preserve">from the </w:t>
      </w:r>
      <w:r w:rsidR="003C3BB7" w:rsidRPr="00CE15CF">
        <w:t xml:space="preserve">Harlingen municipal waste incinerator </w:t>
      </w:r>
      <w:r w:rsidR="00C55055" w:rsidRPr="00CE15CF">
        <w:t>from</w:t>
      </w:r>
      <w:r w:rsidR="003C3BB7" w:rsidRPr="00CE15CF">
        <w:t xml:space="preserve"> the Netherlands indicates that PFOA emissions are negligible. </w:t>
      </w:r>
      <w:r w:rsidR="004679CB" w:rsidRPr="00CE15CF">
        <w:t>Estimating</w:t>
      </w:r>
      <w:r w:rsidR="003C3BB7" w:rsidRPr="00CE15CF">
        <w:t xml:space="preserve"> a yearly emission, using the flow rate of the installation, the total PFOA emission </w:t>
      </w:r>
      <w:r w:rsidR="00DD56BB" w:rsidRPr="00CE15CF">
        <w:t xml:space="preserve">is </w:t>
      </w:r>
      <w:r w:rsidR="003C3BB7" w:rsidRPr="00CE15CF">
        <w:t>show</w:t>
      </w:r>
      <w:r w:rsidR="00DD56BB" w:rsidRPr="00CE15CF">
        <w:t>n</w:t>
      </w:r>
      <w:r w:rsidR="003C3BB7" w:rsidRPr="00CE15CF">
        <w:t xml:space="preserve"> to be 0.057 g/</w:t>
      </w:r>
      <w:proofErr w:type="spellStart"/>
      <w:r w:rsidR="003C3BB7" w:rsidRPr="00CE15CF">
        <w:t>yr</w:t>
      </w:r>
      <w:proofErr w:type="spellEnd"/>
      <w:r w:rsidR="009A1825" w:rsidRPr="00CE15CF">
        <w:t xml:space="preserve"> (at concentrations about 0.01–0.04 ng/m</w:t>
      </w:r>
      <w:r w:rsidR="009A1825" w:rsidRPr="00CE15CF">
        <w:rPr>
          <w:vertAlign w:val="superscript"/>
        </w:rPr>
        <w:t>3</w:t>
      </w:r>
      <w:r w:rsidR="009A1825" w:rsidRPr="00CE15CF">
        <w:t>).</w:t>
      </w:r>
      <w:r w:rsidR="003C3BB7" w:rsidRPr="00CE15CF">
        <w:t xml:space="preserve"> Compared to the amounts mentioned in other places in this document (most are in kg’s or tonnes) this amount is negligible and </w:t>
      </w:r>
      <w:r w:rsidR="00521677" w:rsidRPr="00CE15CF">
        <w:t xml:space="preserve">the </w:t>
      </w:r>
      <w:r w:rsidR="003C3BB7" w:rsidRPr="00CE15CF">
        <w:t xml:space="preserve">costs to monitor </w:t>
      </w:r>
      <w:r w:rsidR="004679CB" w:rsidRPr="00CE15CF">
        <w:t xml:space="preserve">and reduce </w:t>
      </w:r>
      <w:r w:rsidR="00C73440" w:rsidRPr="00CE15CF">
        <w:t xml:space="preserve">the emissions </w:t>
      </w:r>
      <w:r w:rsidR="003C3BB7" w:rsidRPr="00CE15CF">
        <w:t>are disproportiona</w:t>
      </w:r>
      <w:r w:rsidR="00DD56BB" w:rsidRPr="00CE15CF">
        <w:t>te</w:t>
      </w:r>
      <w:r w:rsidR="003C3BB7" w:rsidRPr="00CE15CF">
        <w:t xml:space="preserve">. Furthermore, emissions of other POPs such as </w:t>
      </w:r>
      <w:proofErr w:type="spellStart"/>
      <w:r w:rsidR="003C587C" w:rsidRPr="00CE15CF">
        <w:t>decabromodiphenyl</w:t>
      </w:r>
      <w:proofErr w:type="spellEnd"/>
      <w:r w:rsidR="003C587C" w:rsidRPr="00CE15CF">
        <w:t xml:space="preserve"> ether (</w:t>
      </w:r>
      <w:proofErr w:type="spellStart"/>
      <w:r w:rsidR="003C3BB7" w:rsidRPr="00CE15CF">
        <w:t>decaBDE</w:t>
      </w:r>
      <w:proofErr w:type="spellEnd"/>
      <w:r w:rsidR="003C587C" w:rsidRPr="00CE15CF">
        <w:t>)</w:t>
      </w:r>
      <w:r w:rsidR="003C3BB7" w:rsidRPr="00CE15CF">
        <w:t xml:space="preserve"> are in</w:t>
      </w:r>
      <w:r w:rsidR="004679CB" w:rsidRPr="00CE15CF">
        <w:t xml:space="preserve"> </w:t>
      </w:r>
      <w:r w:rsidR="00C940AE" w:rsidRPr="00CE15CF">
        <w:t>a</w:t>
      </w:r>
      <w:r w:rsidR="004679CB" w:rsidRPr="00CE15CF">
        <w:t xml:space="preserve"> similar order of magnitude and </w:t>
      </w:r>
      <w:r w:rsidR="003C3BB7" w:rsidRPr="00CE15CF">
        <w:t xml:space="preserve">indicate that all POPs </w:t>
      </w:r>
      <w:r w:rsidR="004679CB" w:rsidRPr="00CE15CF">
        <w:t xml:space="preserve">may be expected </w:t>
      </w:r>
      <w:r w:rsidR="003C3BB7" w:rsidRPr="00CE15CF">
        <w:t>in all kinds of incineration processes, which is also related to the fact that measurement techniques have improved considerably</w:t>
      </w:r>
      <w:r w:rsidR="00C940AE" w:rsidRPr="00CE15CF">
        <w:t xml:space="preserve"> in recent decades</w:t>
      </w:r>
      <w:r w:rsidR="003C3BB7" w:rsidRPr="00CE15CF">
        <w:t xml:space="preserve">. </w:t>
      </w:r>
      <w:proofErr w:type="gramStart"/>
      <w:r w:rsidR="002B75D4" w:rsidRPr="00CE15CF">
        <w:t>According to</w:t>
      </w:r>
      <w:proofErr w:type="gramEnd"/>
      <w:r w:rsidR="002B75D4" w:rsidRPr="00CE15CF">
        <w:t xml:space="preserve"> </w:t>
      </w:r>
      <w:r w:rsidR="004679CB" w:rsidRPr="00CE15CF">
        <w:t xml:space="preserve">the </w:t>
      </w:r>
      <w:r w:rsidR="002B75D4" w:rsidRPr="00CE15CF">
        <w:t xml:space="preserve">Netherlands, </w:t>
      </w:r>
      <w:r w:rsidR="004F28BE" w:rsidRPr="00CE15CF">
        <w:t xml:space="preserve">these reasons </w:t>
      </w:r>
      <w:r w:rsidR="000C771D" w:rsidRPr="00CE15CF">
        <w:t xml:space="preserve">need to be </w:t>
      </w:r>
      <w:r w:rsidR="004679CB" w:rsidRPr="00CE15CF">
        <w:t>considered</w:t>
      </w:r>
      <w:r w:rsidR="000C771D" w:rsidRPr="00CE15CF">
        <w:t xml:space="preserve"> </w:t>
      </w:r>
      <w:r w:rsidR="002B75D4" w:rsidRPr="00CE15CF">
        <w:t xml:space="preserve">to </w:t>
      </w:r>
      <w:r w:rsidR="004F28BE" w:rsidRPr="00CE15CF">
        <w:t>enable</w:t>
      </w:r>
      <w:r w:rsidR="002B75D4" w:rsidRPr="00CE15CF">
        <w:t xml:space="preserve"> the COP to </w:t>
      </w:r>
      <w:r w:rsidR="004679CB" w:rsidRPr="00CE15CF">
        <w:t>properly evaluate</w:t>
      </w:r>
      <w:r w:rsidR="003C3BB7" w:rsidRPr="00CE15CF">
        <w:t xml:space="preserve"> the pros and cons of a possible </w:t>
      </w:r>
      <w:r w:rsidR="00C73440" w:rsidRPr="00CE15CF">
        <w:t>A</w:t>
      </w:r>
      <w:r w:rsidR="003C3BB7" w:rsidRPr="00CE15CF">
        <w:t>nnex C</w:t>
      </w:r>
      <w:r w:rsidR="00C73440" w:rsidRPr="00CE15CF">
        <w:t xml:space="preserve"> listing (Netherlands, 2018)</w:t>
      </w:r>
      <w:r w:rsidR="003C3BB7" w:rsidRPr="00CE15CF">
        <w:t>.</w:t>
      </w:r>
      <w:r w:rsidR="008B1A24" w:rsidRPr="00CE15CF">
        <w:t xml:space="preserve"> </w:t>
      </w:r>
    </w:p>
    <w:p w14:paraId="41B2B6EA" w14:textId="1E4B7AF7" w:rsidR="008022D3" w:rsidRPr="00CE15CF" w:rsidRDefault="008022D3" w:rsidP="00CE15CF">
      <w:pPr>
        <w:pStyle w:val="StyleHeading2u2h2ABC2ChptTimesNewRomanLinespaci"/>
      </w:pPr>
      <w:bookmarkStart w:id="49" w:name="_Toc506913490"/>
      <w:bookmarkStart w:id="50" w:name="_Toc507148945"/>
      <w:bookmarkStart w:id="51" w:name="_Toc515267895"/>
      <w:r w:rsidRPr="00CE15CF">
        <w:t>Unintentional formation and release from primary aluminium production</w:t>
      </w:r>
      <w:bookmarkEnd w:id="49"/>
      <w:bookmarkEnd w:id="50"/>
      <w:bookmarkEnd w:id="51"/>
      <w:r w:rsidRPr="00CE15CF">
        <w:t xml:space="preserve"> </w:t>
      </w:r>
    </w:p>
    <w:p w14:paraId="00201823" w14:textId="2A245635" w:rsidR="008022D3" w:rsidRPr="00CE15CF" w:rsidRDefault="008022D3" w:rsidP="00CE15CF">
      <w:pPr>
        <w:pStyle w:val="Paralevel1"/>
      </w:pPr>
      <w:r w:rsidRPr="00CE15CF">
        <w:t>According to the RME, referring to a study from the EU Parliament from 2008, perfluorocarbons (PFCs) are widely used in aluminium production and emissions of PFCs (possibly including PFOA; not specified in the study) occur during specific electrolysis processes in aluminium manufacturing</w:t>
      </w:r>
      <w:r w:rsidR="00150370" w:rsidRPr="00CE15CF">
        <w:t>.</w:t>
      </w:r>
      <w:r w:rsidRPr="00CE15CF">
        <w:rPr>
          <w:rStyle w:val="FootnoteReference"/>
          <w:i/>
        </w:rPr>
        <w:footnoteReference w:id="18"/>
      </w:r>
      <w:r w:rsidRPr="00CE15CF">
        <w:t xml:space="preserve"> This can be reconfirmed by several information sources, for instance Gibbs et al</w:t>
      </w:r>
      <w:r w:rsidR="002140CD" w:rsidRPr="00CE15CF">
        <w:t>.</w:t>
      </w:r>
      <w:r w:rsidRPr="00CE15CF">
        <w:t xml:space="preserve"> (2001) stating that the primary aluminium production process has been identified as the largest anthropogenic source of emissions of two PFCs: tetrafluoromethane (CF</w:t>
      </w:r>
      <w:r w:rsidRPr="00CE15CF">
        <w:rPr>
          <w:vertAlign w:val="subscript"/>
        </w:rPr>
        <w:t>4</w:t>
      </w:r>
      <w:r w:rsidRPr="00CE15CF">
        <w:t>) and hexafluoroethane (C</w:t>
      </w:r>
      <w:r w:rsidRPr="00CE15CF">
        <w:rPr>
          <w:vertAlign w:val="subscript"/>
        </w:rPr>
        <w:t>2</w:t>
      </w:r>
      <w:r w:rsidRPr="00CE15CF">
        <w:t>F</w:t>
      </w:r>
      <w:r w:rsidRPr="00CE15CF">
        <w:rPr>
          <w:vertAlign w:val="subscript"/>
        </w:rPr>
        <w:t>6</w:t>
      </w:r>
      <w:r w:rsidRPr="00CE15CF">
        <w:t>). It is further explained that primary aluminium is produced using the Hall-</w:t>
      </w:r>
      <w:proofErr w:type="spellStart"/>
      <w:r w:rsidRPr="00CE15CF">
        <w:t>Héroult</w:t>
      </w:r>
      <w:proofErr w:type="spellEnd"/>
      <w:r w:rsidRPr="00CE15CF">
        <w:t xml:space="preserve"> electrolytic process, where the smelting pot itself acts as the electrolysis cell during the reduction process. When the alumina ore content of the electrolytic bath falls below critical levels required for electrolysis, rapid voltage increases occur, termed “anode effects”. Anode effects cause carbon from the anode and fluorine from the dissociated molten cryolite bath to combine, producing CF</w:t>
      </w:r>
      <w:r w:rsidRPr="00CE15CF">
        <w:rPr>
          <w:vertAlign w:val="subscript"/>
        </w:rPr>
        <w:t>4</w:t>
      </w:r>
      <w:r w:rsidRPr="00CE15CF">
        <w:t xml:space="preserve"> and C</w:t>
      </w:r>
      <w:r w:rsidRPr="00CE15CF">
        <w:rPr>
          <w:vertAlign w:val="subscript"/>
        </w:rPr>
        <w:t>2</w:t>
      </w:r>
      <w:r w:rsidRPr="00CE15CF">
        <w:t>F</w:t>
      </w:r>
      <w:r w:rsidRPr="00CE15CF">
        <w:rPr>
          <w:vertAlign w:val="subscript"/>
        </w:rPr>
        <w:t>6</w:t>
      </w:r>
      <w:r w:rsidRPr="00CE15CF">
        <w:t>. Further, the International Aluminium Institute provides among other statistics, information on global PFCs emissions from aluminium production. The available data refers to emissions of gases containing CF</w:t>
      </w:r>
      <w:r w:rsidRPr="00CE15CF">
        <w:rPr>
          <w:vertAlign w:val="subscript"/>
        </w:rPr>
        <w:t>4</w:t>
      </w:r>
      <w:r w:rsidRPr="00CE15CF">
        <w:t xml:space="preserve"> and C</w:t>
      </w:r>
      <w:r w:rsidRPr="00CE15CF">
        <w:rPr>
          <w:vertAlign w:val="subscript"/>
        </w:rPr>
        <w:t>2</w:t>
      </w:r>
      <w:r w:rsidRPr="00CE15CF">
        <w:t>F</w:t>
      </w:r>
      <w:r w:rsidRPr="00CE15CF">
        <w:rPr>
          <w:vertAlign w:val="subscript"/>
        </w:rPr>
        <w:t>6</w:t>
      </w:r>
      <w:r w:rsidR="004206F4" w:rsidRPr="00CE15CF">
        <w:rPr>
          <w:vertAlign w:val="subscript"/>
        </w:rPr>
        <w:t>.</w:t>
      </w:r>
      <w:r w:rsidRPr="00CE15CF">
        <w:rPr>
          <w:rStyle w:val="FootnoteReference"/>
        </w:rPr>
        <w:footnoteReference w:id="19"/>
      </w:r>
      <w:r w:rsidRPr="00CE15CF">
        <w:t xml:space="preserve"> It was not possible to identify relevant information indicating that also PFOA may be released from aluminium production. It seems that most of the available information relates to emissions of CF</w:t>
      </w:r>
      <w:r w:rsidRPr="00CE15CF">
        <w:rPr>
          <w:vertAlign w:val="subscript"/>
        </w:rPr>
        <w:t>4</w:t>
      </w:r>
      <w:r w:rsidRPr="00CE15CF">
        <w:t xml:space="preserve"> and C</w:t>
      </w:r>
      <w:r w:rsidRPr="00CE15CF">
        <w:rPr>
          <w:vertAlign w:val="subscript"/>
        </w:rPr>
        <w:t>2</w:t>
      </w:r>
      <w:r w:rsidRPr="00CE15CF">
        <w:t>F</w:t>
      </w:r>
      <w:r w:rsidRPr="00CE15CF">
        <w:rPr>
          <w:vertAlign w:val="subscript"/>
        </w:rPr>
        <w:t>6</w:t>
      </w:r>
      <w:r w:rsidRPr="00CE15CF">
        <w:t xml:space="preserve"> from aluminium production. No additional information has been submitted by </w:t>
      </w:r>
      <w:r w:rsidR="002B6CC0" w:rsidRPr="00CE15CF">
        <w:t>P</w:t>
      </w:r>
      <w:r w:rsidRPr="00CE15CF">
        <w:t>arties and observers on potential releases of PFOA from aluminium production.</w:t>
      </w:r>
      <w:r w:rsidR="00DA6A62" w:rsidRPr="00CE15CF">
        <w:t xml:space="preserve"> </w:t>
      </w:r>
    </w:p>
    <w:p w14:paraId="6A4AA41E" w14:textId="55AD5FFE" w:rsidR="008022D3" w:rsidRPr="00CE15CF" w:rsidRDefault="008022D3" w:rsidP="00CE15CF">
      <w:pPr>
        <w:pStyle w:val="StyleHeading2u2h2ABC2ChptTimesNewRomanLinespaci"/>
      </w:pPr>
      <w:bookmarkStart w:id="52" w:name="_Toc506913491"/>
      <w:bookmarkStart w:id="53" w:name="_Toc507148946"/>
      <w:bookmarkStart w:id="54" w:name="_Toc515267896"/>
      <w:r w:rsidRPr="00CE15CF">
        <w:t>Summary and conclusion related to unintentional formation and release</w:t>
      </w:r>
      <w:bookmarkEnd w:id="52"/>
      <w:bookmarkEnd w:id="53"/>
      <w:bookmarkEnd w:id="54"/>
      <w:r w:rsidRPr="00CE15CF">
        <w:t xml:space="preserve"> </w:t>
      </w:r>
    </w:p>
    <w:p w14:paraId="609B101B" w14:textId="14718D9A" w:rsidR="002A172B" w:rsidRPr="00CE15CF" w:rsidRDefault="002A172B" w:rsidP="00CE15CF">
      <w:pPr>
        <w:pStyle w:val="Paralevel1"/>
      </w:pPr>
      <w:r w:rsidRPr="00CE15CF">
        <w:t>In summary, the Committee invited Parties and observers to provide additional information to further evaluate unintentional formation and release of PFOA, its salts and PFOA-related compounds from incomplete combustion and primary aluminium production. New information was provided by IPEN and ACAT (2018)</w:t>
      </w:r>
      <w:r w:rsidR="00C66B54" w:rsidRPr="00CE15CF">
        <w:t>,</w:t>
      </w:r>
      <w:r w:rsidR="006C23E8" w:rsidRPr="00CE15CF">
        <w:t xml:space="preserve"> the Netherlands (2018</w:t>
      </w:r>
      <w:r w:rsidR="005B78AB" w:rsidRPr="00CE15CF">
        <w:t>a</w:t>
      </w:r>
      <w:r w:rsidR="006C23E8" w:rsidRPr="00CE15CF">
        <w:t xml:space="preserve">) and </w:t>
      </w:r>
      <w:r w:rsidR="00C940AE" w:rsidRPr="00CE15CF">
        <w:t xml:space="preserve">Austria </w:t>
      </w:r>
      <w:r w:rsidR="006C23E8" w:rsidRPr="00CE15CF">
        <w:t>(2018)</w:t>
      </w:r>
      <w:r w:rsidRPr="00CE15CF">
        <w:t xml:space="preserve">. The </w:t>
      </w:r>
      <w:r w:rsidR="00327C65" w:rsidRPr="00CE15CF">
        <w:t>UK</w:t>
      </w:r>
      <w:r w:rsidRPr="00CE15CF">
        <w:t xml:space="preserve"> (2018) stated that PFOA is not a substance that is reported within the UK’s Pollution Inventories, and therefore no relevant data on its releases is available. The same also applies to emissions from primary aluminium production (</w:t>
      </w:r>
      <w:r w:rsidR="00327C65" w:rsidRPr="00CE15CF">
        <w:t>UK</w:t>
      </w:r>
      <w:r w:rsidRPr="00CE15CF">
        <w:t xml:space="preserve">, 2018). </w:t>
      </w:r>
    </w:p>
    <w:p w14:paraId="6CAFCAA8" w14:textId="6351FA33" w:rsidR="00355BA7" w:rsidRPr="00CE15CF" w:rsidRDefault="008022D3" w:rsidP="00CE15CF">
      <w:pPr>
        <w:pStyle w:val="Paralevel1"/>
      </w:pPr>
      <w:r w:rsidRPr="00CE15CF">
        <w:t xml:space="preserve">Information from the RME indicates that </w:t>
      </w:r>
      <w:r w:rsidRPr="00CE15CF">
        <w:rPr>
          <w:i/>
        </w:rPr>
        <w:t>PFOA may be unintentionally formed and released from inadequate incineration or open burning at moderate temperatures</w:t>
      </w:r>
      <w:r w:rsidRPr="00CE15CF">
        <w:t>. Switzerland provided recent studies (FOEN, 2017), showing small, but measurable amounts of PFOA detected at incineration temperatures between 250</w:t>
      </w:r>
      <w:r w:rsidR="0038555D" w:rsidRPr="00CE15CF">
        <w:t xml:space="preserve"> </w:t>
      </w:r>
      <w:r w:rsidRPr="00CE15CF">
        <w:t>°C and 600</w:t>
      </w:r>
      <w:r w:rsidR="0038555D" w:rsidRPr="00CE15CF">
        <w:t xml:space="preserve"> </w:t>
      </w:r>
      <w:r w:rsidRPr="00CE15CF">
        <w:t>°C. Therefore, it has been concluded that this may be particularly critical for developing countries and countries in transition, where wastes are often not incinerated to sufficiently high temperatures and without proper flue gas treatment. The submission</w:t>
      </w:r>
      <w:r w:rsidR="006C23E8" w:rsidRPr="00CE15CF">
        <w:t>s</w:t>
      </w:r>
      <w:r w:rsidRPr="00CE15CF">
        <w:t xml:space="preserve"> from IPEN and ACAT (2018) </w:t>
      </w:r>
      <w:r w:rsidR="006C23E8" w:rsidRPr="00CE15CF">
        <w:t xml:space="preserve">are </w:t>
      </w:r>
      <w:r w:rsidRPr="00CE15CF">
        <w:t>in line with information submitted by Switzerland and further include information on PFOA detected in a state of the art incineration facility in the Netherlands (at concentrations about 0.01</w:t>
      </w:r>
      <w:r w:rsidR="00AF4A0F" w:rsidRPr="00CE15CF">
        <w:t>–</w:t>
      </w:r>
      <w:r w:rsidRPr="00CE15CF">
        <w:t>0.04 ng/m</w:t>
      </w:r>
      <w:r w:rsidRPr="00CE15CF">
        <w:rPr>
          <w:vertAlign w:val="superscript"/>
        </w:rPr>
        <w:t>3</w:t>
      </w:r>
      <w:r w:rsidRPr="00CE15CF">
        <w:t xml:space="preserve">). IPEN and ACAT (2018) conclude that stringent adherence to BAT/BEP techniques is needed to </w:t>
      </w:r>
      <w:r w:rsidRPr="00CE15CF">
        <w:lastRenderedPageBreak/>
        <w:t>avoid PFOA generation and release and that PFOA should be listed in Annex C as an unintentional POP.</w:t>
      </w:r>
      <w:r w:rsidR="00130D21" w:rsidRPr="00CE15CF">
        <w:t xml:space="preserve"> The Netherlands (2018</w:t>
      </w:r>
      <w:r w:rsidR="005B78AB" w:rsidRPr="00CE15CF">
        <w:t>a</w:t>
      </w:r>
      <w:r w:rsidR="00130D21" w:rsidRPr="00CE15CF">
        <w:t xml:space="preserve">), </w:t>
      </w:r>
      <w:r w:rsidR="006C23E8" w:rsidRPr="00CE15CF">
        <w:t>in contra</w:t>
      </w:r>
      <w:r w:rsidR="004A4C15" w:rsidRPr="00CE15CF">
        <w:t>st,</w:t>
      </w:r>
      <w:r w:rsidR="00355BA7" w:rsidRPr="00CE15CF">
        <w:t xml:space="preserve"> indicate</w:t>
      </w:r>
      <w:r w:rsidR="006C23E8" w:rsidRPr="00CE15CF">
        <w:t>s</w:t>
      </w:r>
      <w:r w:rsidR="00355BA7" w:rsidRPr="00CE15CF">
        <w:t xml:space="preserve"> that </w:t>
      </w:r>
      <w:r w:rsidR="00BA117B" w:rsidRPr="00CE15CF">
        <w:t xml:space="preserve">adding PFOA to Annex C is not the right way forward as estimated </w:t>
      </w:r>
      <w:r w:rsidR="00355BA7" w:rsidRPr="00CE15CF">
        <w:t>yearly emissions, appear to be negligible, and costs to reduce the emission are disproportiona</w:t>
      </w:r>
      <w:r w:rsidR="004A4C15" w:rsidRPr="00CE15CF">
        <w:t>te</w:t>
      </w:r>
      <w:r w:rsidR="00355BA7" w:rsidRPr="00CE15CF">
        <w:t xml:space="preserve">. </w:t>
      </w:r>
      <w:r w:rsidR="00DC612E" w:rsidRPr="00CE15CF">
        <w:t xml:space="preserve">Further, it is pointed out by the Netherlands </w:t>
      </w:r>
      <w:r w:rsidR="00EF0530" w:rsidRPr="00CE15CF">
        <w:t>(2018</w:t>
      </w:r>
      <w:r w:rsidR="005B78AB" w:rsidRPr="00CE15CF">
        <w:t>a</w:t>
      </w:r>
      <w:r w:rsidR="00EF0530" w:rsidRPr="00CE15CF">
        <w:t xml:space="preserve">) </w:t>
      </w:r>
      <w:r w:rsidR="00DC612E" w:rsidRPr="00CE15CF">
        <w:t xml:space="preserve">that other POPs (such as </w:t>
      </w:r>
      <w:proofErr w:type="spellStart"/>
      <w:r w:rsidR="00DC612E" w:rsidRPr="00CE15CF">
        <w:t>decaBDE</w:t>
      </w:r>
      <w:proofErr w:type="spellEnd"/>
      <w:r w:rsidR="00DC612E" w:rsidRPr="00CE15CF">
        <w:t xml:space="preserve">) are </w:t>
      </w:r>
      <w:r w:rsidR="00E04217" w:rsidRPr="00CE15CF">
        <w:t xml:space="preserve">detected </w:t>
      </w:r>
      <w:r w:rsidR="00DC612E" w:rsidRPr="00CE15CF">
        <w:t xml:space="preserve">in </w:t>
      </w:r>
      <w:r w:rsidR="004A4C15" w:rsidRPr="00CE15CF">
        <w:t>a</w:t>
      </w:r>
      <w:r w:rsidR="00DC612E" w:rsidRPr="00CE15CF">
        <w:t xml:space="preserve"> similar order of magnitude as PFOA, without currently being listed under Annex C. </w:t>
      </w:r>
    </w:p>
    <w:p w14:paraId="47FE5D4D" w14:textId="074648C0" w:rsidR="008022D3" w:rsidRPr="00CE15CF" w:rsidRDefault="008022D3" w:rsidP="00CE15CF">
      <w:pPr>
        <w:pStyle w:val="Paralevel1"/>
      </w:pPr>
      <w:r w:rsidRPr="00CE15CF">
        <w:t xml:space="preserve">No information has been submitted by </w:t>
      </w:r>
      <w:r w:rsidR="002B6CC0" w:rsidRPr="00CE15CF">
        <w:t>P</w:t>
      </w:r>
      <w:r w:rsidRPr="00CE15CF">
        <w:t xml:space="preserve">arties and observers on potential releases of PFOA, its salts and PFOA-related compounds from primary aluminium production. </w:t>
      </w:r>
    </w:p>
    <w:p w14:paraId="2E0F8DA9" w14:textId="5F8E860C" w:rsidR="0010718A" w:rsidRPr="00CE15CF" w:rsidRDefault="008022D3" w:rsidP="00CE15CF">
      <w:pPr>
        <w:pStyle w:val="Paralevel1"/>
      </w:pPr>
      <w:r w:rsidRPr="00CE15CF">
        <w:t xml:space="preserve">In conclusion, available information to further evaluate unintentional formation and release of PFOA, its salts and PFOA-related compounds from incomplete combustion and primary aluminium production is limited. </w:t>
      </w:r>
      <w:r w:rsidR="00BA117B" w:rsidRPr="00CE15CF">
        <w:t xml:space="preserve">There is a contradicting opinion among </w:t>
      </w:r>
      <w:r w:rsidR="002B6CC0" w:rsidRPr="00CE15CF">
        <w:t>P</w:t>
      </w:r>
      <w:r w:rsidR="00BA117B" w:rsidRPr="00CE15CF">
        <w:t>arties and observers o</w:t>
      </w:r>
      <w:r w:rsidR="00357670" w:rsidRPr="00CE15CF">
        <w:t xml:space="preserve">n the possible listing of PFOA </w:t>
      </w:r>
      <w:r w:rsidR="00BA117B" w:rsidRPr="00CE15CF">
        <w:t xml:space="preserve">in Annex C. </w:t>
      </w:r>
      <w:r w:rsidRPr="00CE15CF">
        <w:t xml:space="preserve">Additional information and preferably also </w:t>
      </w:r>
      <w:r w:rsidR="00B80567" w:rsidRPr="00CE15CF">
        <w:t>further</w:t>
      </w:r>
      <w:r w:rsidR="00BA117B" w:rsidRPr="00CE15CF">
        <w:t xml:space="preserve"> </w:t>
      </w:r>
      <w:r w:rsidRPr="00CE15CF">
        <w:t xml:space="preserve">measurements / quantitative data from other </w:t>
      </w:r>
      <w:r w:rsidR="00B80567" w:rsidRPr="00CE15CF">
        <w:t xml:space="preserve">waste </w:t>
      </w:r>
      <w:r w:rsidRPr="00CE15CF">
        <w:t>incinerators</w:t>
      </w:r>
      <w:r w:rsidR="003456ED" w:rsidRPr="00CE15CF">
        <w:t>, open burning, and other sources of unintentionally produced POPs</w:t>
      </w:r>
      <w:r w:rsidRPr="00CE15CF">
        <w:t xml:space="preserve"> would be </w:t>
      </w:r>
      <w:r w:rsidR="003456ED" w:rsidRPr="00CE15CF">
        <w:t>useful for further discussion on this topic</w:t>
      </w:r>
      <w:r w:rsidR="001B6BBF" w:rsidRPr="00CE15CF">
        <w:t xml:space="preserve"> (e.g. at POPRC14)</w:t>
      </w:r>
      <w:r w:rsidRPr="00CE15CF">
        <w:t xml:space="preserve">. </w:t>
      </w:r>
      <w:r w:rsidR="00170047" w:rsidRPr="00CE15CF">
        <w:t>For</w:t>
      </w:r>
      <w:r w:rsidRPr="00CE15CF">
        <w:t xml:space="preserve"> potential PFOA releases from aluminium production</w:t>
      </w:r>
      <w:r w:rsidR="00170047" w:rsidRPr="00CE15CF">
        <w:t>,</w:t>
      </w:r>
      <w:r w:rsidRPr="00CE15CF">
        <w:t xml:space="preserve"> </w:t>
      </w:r>
      <w:r w:rsidR="00170047" w:rsidRPr="00CE15CF">
        <w:t xml:space="preserve">most </w:t>
      </w:r>
      <w:r w:rsidRPr="00CE15CF">
        <w:t>of the information identified in literature relates to emissions of CF</w:t>
      </w:r>
      <w:r w:rsidRPr="00CE15CF">
        <w:rPr>
          <w:vertAlign w:val="subscript"/>
        </w:rPr>
        <w:t>4</w:t>
      </w:r>
      <w:r w:rsidRPr="00CE15CF">
        <w:t xml:space="preserve"> and C</w:t>
      </w:r>
      <w:r w:rsidRPr="00CE15CF">
        <w:rPr>
          <w:vertAlign w:val="subscript"/>
        </w:rPr>
        <w:t>2</w:t>
      </w:r>
      <w:r w:rsidRPr="00CE15CF">
        <w:t>F</w:t>
      </w:r>
      <w:r w:rsidRPr="00CE15CF">
        <w:rPr>
          <w:vertAlign w:val="subscript"/>
        </w:rPr>
        <w:t>6</w:t>
      </w:r>
      <w:r w:rsidRPr="00CE15CF">
        <w:t xml:space="preserve"> during aluminium production. From the currently available information it is not possible to conclude that </w:t>
      </w:r>
      <w:r w:rsidR="00963D13" w:rsidRPr="00CE15CF">
        <w:t xml:space="preserve">primary </w:t>
      </w:r>
      <w:r w:rsidRPr="00CE15CF">
        <w:t xml:space="preserve">aluminium production represents a relevant source of PFOA releases to the environment. </w:t>
      </w:r>
    </w:p>
    <w:p w14:paraId="460F9F28" w14:textId="4597FC83" w:rsidR="00A36A32" w:rsidRPr="00CE15CF" w:rsidRDefault="00A36A32" w:rsidP="00CE15CF">
      <w:pPr>
        <w:pStyle w:val="Heading1"/>
        <w:pageBreakBefore w:val="0"/>
        <w:tabs>
          <w:tab w:val="clear" w:pos="432"/>
          <w:tab w:val="num" w:pos="630"/>
        </w:tabs>
        <w:spacing w:before="240"/>
        <w:ind w:left="630" w:hanging="630"/>
        <w:jc w:val="left"/>
        <w:rPr>
          <w:sz w:val="28"/>
        </w:rPr>
      </w:pPr>
      <w:bookmarkStart w:id="55" w:name="_Toc507148947"/>
      <w:bookmarkStart w:id="56" w:name="_Toc515267897"/>
      <w:r w:rsidRPr="00CE15CF">
        <w:rPr>
          <w:sz w:val="28"/>
        </w:rPr>
        <w:t>Uses of PFOA, salts and PFOA-related compounds where further exemptions may be needed</w:t>
      </w:r>
      <w:bookmarkEnd w:id="55"/>
      <w:bookmarkEnd w:id="56"/>
    </w:p>
    <w:p w14:paraId="7B2599B1" w14:textId="6C8610F0" w:rsidR="00A36A32" w:rsidRPr="00CE15CF" w:rsidRDefault="00A36A32" w:rsidP="00CE15CF">
      <w:pPr>
        <w:pStyle w:val="Heading2"/>
        <w:tabs>
          <w:tab w:val="clear" w:pos="756"/>
        </w:tabs>
        <w:spacing w:before="240" w:after="120" w:line="240" w:lineRule="auto"/>
        <w:ind w:left="634" w:hanging="634"/>
        <w:rPr>
          <w:sz w:val="24"/>
        </w:rPr>
      </w:pPr>
      <w:bookmarkStart w:id="57" w:name="_Toc507148948"/>
      <w:bookmarkStart w:id="58" w:name="_Toc515267898"/>
      <w:r w:rsidRPr="00CE15CF">
        <w:rPr>
          <w:sz w:val="24"/>
        </w:rPr>
        <w:t>Introduction</w:t>
      </w:r>
      <w:bookmarkEnd w:id="57"/>
      <w:bookmarkEnd w:id="58"/>
    </w:p>
    <w:p w14:paraId="6286606F" w14:textId="6D173AC7" w:rsidR="007C1410" w:rsidRPr="00CE15CF" w:rsidRDefault="007C1410" w:rsidP="00CE15CF">
      <w:pPr>
        <w:pStyle w:val="Paralevel1"/>
      </w:pPr>
      <w:r w:rsidRPr="00CE15CF">
        <w:t xml:space="preserve">The </w:t>
      </w:r>
      <w:r w:rsidR="008242DA" w:rsidRPr="00CE15CF">
        <w:t>RME</w:t>
      </w:r>
      <w:r w:rsidRPr="00CE15CF">
        <w:t xml:space="preserve"> identified a range of uses</w:t>
      </w:r>
      <w:r w:rsidR="00431839" w:rsidRPr="00CE15CF">
        <w:rPr>
          <w:rStyle w:val="FootnoteReference"/>
        </w:rPr>
        <w:footnoteReference w:id="20"/>
      </w:r>
      <w:r w:rsidRPr="00CE15CF">
        <w:t xml:space="preserve"> covering applications for </w:t>
      </w:r>
      <w:r w:rsidR="007C4963" w:rsidRPr="00CE15CF">
        <w:t xml:space="preserve">production of </w:t>
      </w:r>
      <w:r w:rsidRPr="00CE15CF">
        <w:t xml:space="preserve">fluoropolymers (primarily </w:t>
      </w:r>
      <w:r w:rsidR="001C27F5" w:rsidRPr="00CE15CF">
        <w:t>polytetrafluoroethylene (</w:t>
      </w:r>
      <w:r w:rsidRPr="00CE15CF">
        <w:t>PTFE)</w:t>
      </w:r>
      <w:r w:rsidR="001C27F5" w:rsidRPr="00CE15CF">
        <w:t>)</w:t>
      </w:r>
      <w:r w:rsidRPr="00CE15CF">
        <w:t>, use as surfactants and one use involving the generation of intermediates for further processing. All seven of the uses documented in the RME have the potential to generate releases during production, use and end of life for articles. During POPRC</w:t>
      </w:r>
      <w:r w:rsidR="00CB41CB" w:rsidRPr="00CE15CF">
        <w:t>-</w:t>
      </w:r>
      <w:r w:rsidRPr="00CE15CF">
        <w:t xml:space="preserve">13 in </w:t>
      </w:r>
      <w:r w:rsidR="000A0E14" w:rsidRPr="00CE15CF">
        <w:t>October</w:t>
      </w:r>
      <w:r w:rsidRPr="00CE15CF">
        <w:t xml:space="preserve"> 2017, the </w:t>
      </w:r>
      <w:r w:rsidR="00CB41CB" w:rsidRPr="00CE15CF">
        <w:t>Committee</w:t>
      </w:r>
      <w:r w:rsidRPr="00CE15CF">
        <w:t xml:space="preserve"> discussed each of these uses and whether </w:t>
      </w:r>
      <w:r w:rsidR="000A0E14" w:rsidRPr="00CE15CF">
        <w:t>an exemption was necessary</w:t>
      </w:r>
      <w:r w:rsidR="004539B0" w:rsidRPr="00CE15CF">
        <w:t>, but were unable to reach</w:t>
      </w:r>
      <w:r w:rsidR="000A0E14" w:rsidRPr="00CE15CF">
        <w:t xml:space="preserve"> </w:t>
      </w:r>
      <w:r w:rsidR="004539B0" w:rsidRPr="00CE15CF">
        <w:t xml:space="preserve">a </w:t>
      </w:r>
      <w:r w:rsidR="000A0E14" w:rsidRPr="00CE15CF">
        <w:t xml:space="preserve">conclusion. The </w:t>
      </w:r>
      <w:r w:rsidR="00240D02" w:rsidRPr="00CE15CF">
        <w:t>Committee</w:t>
      </w:r>
      <w:r w:rsidR="000A0E14" w:rsidRPr="00CE15CF">
        <w:t xml:space="preserve"> invited </w:t>
      </w:r>
      <w:r w:rsidR="002C44FA" w:rsidRPr="00CE15CF">
        <w:t>Parties and observers</w:t>
      </w:r>
      <w:r w:rsidR="000A0E14" w:rsidRPr="00CE15CF">
        <w:t xml:space="preserve"> to provide further information around specific aspects of each use (see section 1.1) which are presented in </w:t>
      </w:r>
      <w:r w:rsidR="007E0026" w:rsidRPr="00CE15CF">
        <w:t>the current document</w:t>
      </w:r>
      <w:r w:rsidR="000A0E14" w:rsidRPr="00CE15CF">
        <w:t>.</w:t>
      </w:r>
    </w:p>
    <w:p w14:paraId="05D2643F" w14:textId="34D6402E" w:rsidR="00A36A32" w:rsidRPr="00CE15CF" w:rsidRDefault="004539B0" w:rsidP="00CE15CF">
      <w:pPr>
        <w:pStyle w:val="Paralevel1"/>
      </w:pPr>
      <w:r w:rsidRPr="00CE15CF">
        <w:t>Existing n</w:t>
      </w:r>
      <w:r w:rsidR="00A36A32" w:rsidRPr="00CE15CF">
        <w:t xml:space="preserve">ational and regional control actions differ </w:t>
      </w:r>
      <w:proofErr w:type="gramStart"/>
      <w:r w:rsidR="00A36A32" w:rsidRPr="00CE15CF">
        <w:t>with regard to</w:t>
      </w:r>
      <w:proofErr w:type="gramEnd"/>
      <w:r w:rsidR="00A36A32" w:rsidRPr="00CE15CF">
        <w:t xml:space="preserve"> their chemical scope and exemptions</w:t>
      </w:r>
      <w:r w:rsidR="00E8142F" w:rsidRPr="00CE15CF">
        <w:t xml:space="preserve">. </w:t>
      </w:r>
      <w:r w:rsidR="00B43C9C" w:rsidRPr="00CE15CF">
        <w:t>Appendix I</w:t>
      </w:r>
      <w:r w:rsidR="00C925C2" w:rsidRPr="00CE15CF">
        <w:t xml:space="preserve"> </w:t>
      </w:r>
      <w:r w:rsidR="00724D4F" w:rsidRPr="00CE15CF">
        <w:t>to</w:t>
      </w:r>
      <w:r w:rsidR="00E779AD" w:rsidRPr="00CE15CF">
        <w:t xml:space="preserve"> this document </w:t>
      </w:r>
      <w:r w:rsidR="008242DA" w:rsidRPr="00CE15CF">
        <w:t>(</w:t>
      </w:r>
      <w:r w:rsidR="000258DB" w:rsidRPr="00CE15CF">
        <w:t>Table 3 of</w:t>
      </w:r>
      <w:r w:rsidR="008242DA" w:rsidRPr="00CE15CF">
        <w:t xml:space="preserve"> the RME) </w:t>
      </w:r>
      <w:r w:rsidR="00E779AD" w:rsidRPr="00CE15CF">
        <w:t>gives an overview o</w:t>
      </w:r>
      <w:r w:rsidRPr="00CE15CF">
        <w:t>f</w:t>
      </w:r>
      <w:r w:rsidR="00E779AD" w:rsidRPr="00CE15CF">
        <w:t xml:space="preserve"> the regulatory risk management approaches and exemptions in Canada, the EU and Norway. </w:t>
      </w:r>
      <w:r w:rsidR="00A36A32" w:rsidRPr="00CE15CF">
        <w:t xml:space="preserve">Section 3 </w:t>
      </w:r>
      <w:r w:rsidR="008242DA" w:rsidRPr="00CE15CF">
        <w:t xml:space="preserve">of </w:t>
      </w:r>
      <w:r w:rsidR="00A36A32" w:rsidRPr="00CE15CF">
        <w:t>the background document (UNEP/POPS/POPRC.13/INF/6) provides further details on the legislative approaches in these countries.</w:t>
      </w:r>
    </w:p>
    <w:p w14:paraId="4CB39FEA" w14:textId="3754D0C5" w:rsidR="00A2493E" w:rsidRPr="00CE15CF" w:rsidRDefault="00A2493E" w:rsidP="00CE15CF">
      <w:pPr>
        <w:pStyle w:val="StyleHeading2u2h2ABC2ChptTimesNewRoman12ptBef1"/>
      </w:pPr>
      <w:bookmarkStart w:id="59" w:name="_Toc506913494"/>
      <w:bookmarkStart w:id="60" w:name="_Toc507148949"/>
      <w:bookmarkStart w:id="61" w:name="_Toc515267899"/>
      <w:r w:rsidRPr="00CE15CF">
        <w:t>(a) Membranes intended for use in medical textiles, filtration in water treatment, production processes and effluent treatment</w:t>
      </w:r>
      <w:bookmarkEnd w:id="59"/>
      <w:bookmarkEnd w:id="60"/>
      <w:bookmarkEnd w:id="61"/>
      <w:r w:rsidRPr="00CE15CF">
        <w:t xml:space="preserve"> </w:t>
      </w:r>
    </w:p>
    <w:p w14:paraId="220ABF3B" w14:textId="77777777" w:rsidR="00A2493E" w:rsidRPr="00CE15CF" w:rsidRDefault="00A2493E" w:rsidP="00CE15CF">
      <w:pPr>
        <w:pStyle w:val="StyleHeading3h3123SecTimesNewRomanBold"/>
      </w:pPr>
      <w:bookmarkStart w:id="62" w:name="_Toc506913495"/>
      <w:bookmarkStart w:id="63" w:name="_Toc507148950"/>
      <w:bookmarkStart w:id="64" w:name="_Toc515267900"/>
      <w:r w:rsidRPr="00CE15CF">
        <w:t>Introduction</w:t>
      </w:r>
      <w:bookmarkEnd w:id="62"/>
      <w:bookmarkEnd w:id="63"/>
      <w:bookmarkEnd w:id="64"/>
    </w:p>
    <w:p w14:paraId="11571181" w14:textId="22C22231" w:rsidR="00A2493E" w:rsidRPr="00CE15CF" w:rsidRDefault="00A13AB5" w:rsidP="00CE15CF">
      <w:pPr>
        <w:pStyle w:val="Paralevel1"/>
      </w:pPr>
      <w:r w:rsidRPr="00CE15CF">
        <w:t>T</w:t>
      </w:r>
      <w:r w:rsidR="00A2493E" w:rsidRPr="00CE15CF">
        <w:t xml:space="preserve">he RME </w:t>
      </w:r>
      <w:r w:rsidRPr="00CE15CF">
        <w:t xml:space="preserve">highlights </w:t>
      </w:r>
      <w:r w:rsidR="0002014B" w:rsidRPr="00CE15CF">
        <w:t>the</w:t>
      </w:r>
      <w:r w:rsidR="003F0094" w:rsidRPr="00CE15CF">
        <w:t xml:space="preserve"> need for more information </w:t>
      </w:r>
      <w:r w:rsidRPr="00CE15CF">
        <w:t xml:space="preserve">about a possible exemption </w:t>
      </w:r>
      <w:r w:rsidR="00A2493E" w:rsidRPr="00CE15CF">
        <w:t xml:space="preserve">for membranes intended for use in medical textiles, filtration in water treatment, production processes and effluent treatment. Additional information to clarify the scope of the applications, used amounts, availability of alternatives and socio-economic aspects is needed to allow for an exemption. </w:t>
      </w:r>
    </w:p>
    <w:p w14:paraId="544737E3" w14:textId="6BEBE863" w:rsidR="00A2493E" w:rsidRPr="00CE15CF" w:rsidRDefault="00A2493E" w:rsidP="00CE15CF">
      <w:pPr>
        <w:pStyle w:val="Paralevel1"/>
      </w:pPr>
      <w:r w:rsidRPr="00CE15CF">
        <w:t xml:space="preserve">The </w:t>
      </w:r>
      <w:r w:rsidR="00915C49" w:rsidRPr="00CE15CF">
        <w:t xml:space="preserve">Committee </w:t>
      </w:r>
      <w:r w:rsidRPr="00CE15CF">
        <w:t xml:space="preserve">invited </w:t>
      </w:r>
      <w:r w:rsidR="00C5223E" w:rsidRPr="00CE15CF">
        <w:t>P</w:t>
      </w:r>
      <w:r w:rsidRPr="00CE15CF">
        <w:t xml:space="preserve">arties and observers to submit further information on the scope of the applications, used amounts, availability of alternatives, socio-economic aspects and other relevant information. </w:t>
      </w:r>
      <w:r w:rsidR="003E0902" w:rsidRPr="00CE15CF">
        <w:t>I</w:t>
      </w:r>
      <w:r w:rsidRPr="00CE15CF">
        <w:t>nformation on membranes intended for use in medical textiles, filtration in water treatment, production processes and effluent treatment has been provided by Canada (2018)</w:t>
      </w:r>
      <w:r w:rsidR="00B0183C" w:rsidRPr="00CE15CF">
        <w:t>, China (2018)</w:t>
      </w:r>
      <w:r w:rsidR="003C6B45" w:rsidRPr="00CE15CF">
        <w:t>, Mexico</w:t>
      </w:r>
      <w:r w:rsidRPr="00CE15CF">
        <w:t xml:space="preserve"> </w:t>
      </w:r>
      <w:r w:rsidR="003C6B45" w:rsidRPr="00CE15CF">
        <w:t xml:space="preserve">(2018) </w:t>
      </w:r>
      <w:r w:rsidRPr="00CE15CF">
        <w:t xml:space="preserve">and IPEN </w:t>
      </w:r>
      <w:r w:rsidR="00E31B6A" w:rsidRPr="00CE15CF">
        <w:t xml:space="preserve">and </w:t>
      </w:r>
      <w:r w:rsidRPr="00CE15CF">
        <w:t xml:space="preserve">ACAT (2018). Furthermore, additional information has been identified in the submissions from HealthCare Without Harm Europe (HCWH, 2018) and </w:t>
      </w:r>
      <w:proofErr w:type="spellStart"/>
      <w:r w:rsidRPr="00CE15CF">
        <w:t>MedTech</w:t>
      </w:r>
      <w:proofErr w:type="spellEnd"/>
      <w:r w:rsidRPr="00CE15CF">
        <w:t xml:space="preserve"> Europe (2018), providing information related to medical devices.</w:t>
      </w:r>
    </w:p>
    <w:p w14:paraId="4B37D7E1" w14:textId="43F713DD" w:rsidR="00A2493E" w:rsidRPr="00CE15CF" w:rsidRDefault="00A2493E" w:rsidP="00CE15CF">
      <w:pPr>
        <w:pStyle w:val="StyleHeading3h3123SecTimesNewRomanBold"/>
      </w:pPr>
      <w:bookmarkStart w:id="65" w:name="_Toc506913496"/>
      <w:bookmarkStart w:id="66" w:name="_Toc507148951"/>
      <w:bookmarkStart w:id="67" w:name="_Toc515267901"/>
      <w:r w:rsidRPr="00CE15CF">
        <w:lastRenderedPageBreak/>
        <w:t>Efficacy and efficiency of possible control measures</w:t>
      </w:r>
      <w:bookmarkEnd w:id="65"/>
      <w:bookmarkEnd w:id="66"/>
      <w:bookmarkEnd w:id="67"/>
    </w:p>
    <w:p w14:paraId="3861B977" w14:textId="11280F65" w:rsidR="00A2493E" w:rsidRPr="00CE15CF" w:rsidRDefault="00A2493E" w:rsidP="00CE15CF">
      <w:pPr>
        <w:pStyle w:val="Paralevel1"/>
      </w:pPr>
      <w:proofErr w:type="gramStart"/>
      <w:r w:rsidRPr="00CE15CF">
        <w:t>According to</w:t>
      </w:r>
      <w:proofErr w:type="gramEnd"/>
      <w:r w:rsidRPr="00CE15CF">
        <w:t xml:space="preserve"> IPEN and ACAT (2018), </w:t>
      </w:r>
      <w:r w:rsidR="004A1D25" w:rsidRPr="00CE15CF">
        <w:t>the</w:t>
      </w:r>
      <w:r w:rsidR="00145F80" w:rsidRPr="00CE15CF">
        <w:t xml:space="preserve"> </w:t>
      </w:r>
      <w:r w:rsidRPr="00CE15CF">
        <w:t xml:space="preserve">use of PFOA should be specifically identified </w:t>
      </w:r>
      <w:r w:rsidR="003F0094" w:rsidRPr="00CE15CF">
        <w:t>to enable</w:t>
      </w:r>
      <w:r w:rsidRPr="00CE15CF">
        <w:t xml:space="preserve"> consideration of </w:t>
      </w:r>
      <w:r w:rsidR="003F0094" w:rsidRPr="00CE15CF">
        <w:t xml:space="preserve">a </w:t>
      </w:r>
      <w:r w:rsidRPr="00CE15CF">
        <w:t>specific exemption. IPEN and ACAT (2018) therefore conclude that no exemption for PFOA use in membranes for filtration in water treatment, production processes and effluent treatment should be recommended</w:t>
      </w:r>
      <w:r w:rsidR="003F0094" w:rsidRPr="00CE15CF">
        <w:t>, since no specific use has been named in the evaluation process</w:t>
      </w:r>
      <w:r w:rsidRPr="00CE15CF">
        <w:t>. The same has been also concluded for application in medical textiles (IPEN and ACAT, 2018).</w:t>
      </w:r>
    </w:p>
    <w:p w14:paraId="1814E532" w14:textId="48E33FA7" w:rsidR="00A2493E" w:rsidRPr="00CE15CF" w:rsidRDefault="00A2493E" w:rsidP="00CE15CF">
      <w:pPr>
        <w:pStyle w:val="Paralevel1"/>
      </w:pPr>
      <w:r w:rsidRPr="00CE15CF">
        <w:t xml:space="preserve">A possible presence of PFOA in surgical drapes was confirmed by </w:t>
      </w:r>
      <w:proofErr w:type="spellStart"/>
      <w:r w:rsidRPr="00CE15CF">
        <w:t>MedTech</w:t>
      </w:r>
      <w:proofErr w:type="spellEnd"/>
      <w:r w:rsidR="006E0BDB" w:rsidRPr="00CE15CF">
        <w:t>:</w:t>
      </w:r>
      <w:r w:rsidRPr="00CE15CF">
        <w:t xml:space="preserve"> “The presence of PFOA is mainly related to the use of fluoropolymers such as PTFE” (</w:t>
      </w:r>
      <w:proofErr w:type="spellStart"/>
      <w:r w:rsidRPr="00CE15CF">
        <w:t>MedTech</w:t>
      </w:r>
      <w:proofErr w:type="spellEnd"/>
      <w:r w:rsidRPr="00CE15CF">
        <w:t xml:space="preserve"> Europe, 2018). </w:t>
      </w:r>
      <w:proofErr w:type="gramStart"/>
      <w:r w:rsidRPr="00CE15CF">
        <w:t>According to</w:t>
      </w:r>
      <w:proofErr w:type="gramEnd"/>
      <w:r w:rsidRPr="00CE15CF">
        <w:t xml:space="preserve"> information submitted by HCWH (2018), PFOA can be found in several products in health care including textiles. A complete picture on PFOA use in the sector is however not yet available. For this reason, HCWH believes that it is crucial as a first step to collect further information and determine which fluorinated compounds are present in products used in the healthcare sector (HCWH, 2018). </w:t>
      </w:r>
    </w:p>
    <w:p w14:paraId="74A97645" w14:textId="0D687FF2" w:rsidR="00A2493E" w:rsidRPr="00CE15CF" w:rsidRDefault="00A2493E" w:rsidP="00CE15CF">
      <w:pPr>
        <w:pStyle w:val="Paralevel1"/>
      </w:pPr>
      <w:r w:rsidRPr="00CE15CF">
        <w:t xml:space="preserve">According to information submitted by Canada (2018), commercial filter membranes can be made of different materials, some based upon fluorochemicals such as polyvinylidene fluoride (PVDF), </w:t>
      </w:r>
      <w:proofErr w:type="gramStart"/>
      <w:r w:rsidRPr="00CE15CF">
        <w:t>poly(</w:t>
      </w:r>
      <w:proofErr w:type="gramEnd"/>
      <w:r w:rsidRPr="00CE15CF">
        <w:t>ether sulfone) (PES) and polytetrafluoroethylene (PTFE).</w:t>
      </w:r>
      <w:r w:rsidRPr="00CE15CF">
        <w:rPr>
          <w:sz w:val="22"/>
          <w:szCs w:val="22"/>
        </w:rPr>
        <w:t xml:space="preserve"> </w:t>
      </w:r>
      <w:r w:rsidRPr="00CE15CF">
        <w:t>PFOA can be used as a surfactant in the emulsion polymerization of PTFE</w:t>
      </w:r>
      <w:r w:rsidR="003F0094" w:rsidRPr="00CE15CF">
        <w:t xml:space="preserve">. </w:t>
      </w:r>
      <w:r w:rsidR="004A29CA" w:rsidRPr="00CE15CF">
        <w:t xml:space="preserve">Further, </w:t>
      </w:r>
      <w:proofErr w:type="gramStart"/>
      <w:r w:rsidR="004A29CA" w:rsidRPr="00CE15CF">
        <w:t>according to</w:t>
      </w:r>
      <w:proofErr w:type="gramEnd"/>
      <w:r w:rsidR="004A29CA" w:rsidRPr="00CE15CF">
        <w:t xml:space="preserve"> Canada, </w:t>
      </w:r>
      <w:r w:rsidRPr="00CE15CF">
        <w:t>PTFE membranes are</w:t>
      </w:r>
      <w:r w:rsidR="00E733DA" w:rsidRPr="00CE15CF">
        <w:t xml:space="preserve"> among others</w:t>
      </w:r>
      <w:r w:rsidRPr="00CE15CF">
        <w:t xml:space="preserve"> used in manufacture of purified water and special need water, beverage and dairy, chemical regent, biochemical regent, air filtration of fermentation tank, purification and filtration in microelectronic plants, filtration and separation of antibacterial fluid, production of medicine, air conditioning of hospitals and commercial buildings (Canada, 2018). </w:t>
      </w:r>
    </w:p>
    <w:p w14:paraId="251272FF" w14:textId="002B2B28" w:rsidR="00A2493E" w:rsidRPr="00CE15CF" w:rsidRDefault="00A2493E" w:rsidP="00CE15CF">
      <w:pPr>
        <w:pStyle w:val="StyleHeading3h3123SecTimesNewRomanBold"/>
      </w:pPr>
      <w:bookmarkStart w:id="68" w:name="_Toc506913497"/>
      <w:bookmarkStart w:id="69" w:name="_Toc507148952"/>
      <w:bookmarkStart w:id="70" w:name="_Toc515267902"/>
      <w:r w:rsidRPr="00CE15CF">
        <w:t>Information on alternatives</w:t>
      </w:r>
      <w:bookmarkEnd w:id="68"/>
      <w:bookmarkEnd w:id="69"/>
      <w:bookmarkEnd w:id="70"/>
    </w:p>
    <w:p w14:paraId="4FD25DED" w14:textId="73975BCD" w:rsidR="00A2493E" w:rsidRPr="00CE15CF" w:rsidRDefault="007E523B" w:rsidP="00CE15CF">
      <w:pPr>
        <w:pStyle w:val="Paralevel1"/>
      </w:pPr>
      <w:r w:rsidRPr="00CE15CF">
        <w:t xml:space="preserve">The companies </w:t>
      </w:r>
      <w:proofErr w:type="spellStart"/>
      <w:r w:rsidR="0087150F" w:rsidRPr="00CE15CF">
        <w:t>Arkema</w:t>
      </w:r>
      <w:proofErr w:type="spellEnd"/>
      <w:r w:rsidR="0087150F" w:rsidRPr="00CE15CF">
        <w:t xml:space="preserve">, Asahi, BASF Corporation, </w:t>
      </w:r>
      <w:proofErr w:type="spellStart"/>
      <w:r w:rsidR="0087150F" w:rsidRPr="00CE15CF">
        <w:t>Clariant</w:t>
      </w:r>
      <w:proofErr w:type="spellEnd"/>
      <w:r w:rsidR="0087150F" w:rsidRPr="00CE15CF">
        <w:t>, Daikin, 3M/</w:t>
      </w:r>
      <w:proofErr w:type="spellStart"/>
      <w:r w:rsidR="0087150F" w:rsidRPr="00CE15CF">
        <w:t>Dyneon</w:t>
      </w:r>
      <w:proofErr w:type="spellEnd"/>
      <w:r w:rsidR="0087150F" w:rsidRPr="00CE15CF">
        <w:t xml:space="preserve">, DuPont and Solvay </w:t>
      </w:r>
      <w:proofErr w:type="spellStart"/>
      <w:r w:rsidR="0087150F" w:rsidRPr="00CE15CF">
        <w:t>Solexis</w:t>
      </w:r>
      <w:proofErr w:type="spellEnd"/>
      <w:r w:rsidR="0087150F" w:rsidRPr="00CE15CF">
        <w:t xml:space="preserve"> </w:t>
      </w:r>
      <w:r w:rsidR="00A2493E" w:rsidRPr="00CE15CF">
        <w:t>have agreed under the US EPA 2010/15 Stewardship program to manufacture fluoropolymers without using PFOA (as processing aid) by the end of 2015. The objective of the proposal is to restrict the placing on the market, import, and use of fluoropolymers manufactured with PFOA, while allowing the use of the same fluoropolymers when they are not manufactured with PFOA. The substitution was reportedly being carried out by around 70% of the global market for fluoropolymers in 2015 (ECHA, 2014a).</w:t>
      </w:r>
    </w:p>
    <w:p w14:paraId="546A3D44" w14:textId="19EB673B" w:rsidR="00A2493E" w:rsidRPr="00CE15CF" w:rsidRDefault="00A2493E" w:rsidP="00CE15CF">
      <w:pPr>
        <w:pStyle w:val="Paralevel1"/>
      </w:pPr>
      <w:proofErr w:type="gramStart"/>
      <w:r w:rsidRPr="00CE15CF">
        <w:t>According to</w:t>
      </w:r>
      <w:proofErr w:type="gramEnd"/>
      <w:r w:rsidRPr="00CE15CF">
        <w:t xml:space="preserve"> the RME, </w:t>
      </w:r>
      <w:r w:rsidRPr="00CE15CF">
        <w:rPr>
          <w:i/>
        </w:rPr>
        <w:t>for filter materials for oil and fuel filtration some companies claim that no alternatives are available</w:t>
      </w:r>
      <w:r w:rsidRPr="00CE15CF">
        <w:t xml:space="preserve">. </w:t>
      </w:r>
      <w:r w:rsidR="00DE73E3" w:rsidRPr="00CE15CF">
        <w:t xml:space="preserve">This has been also stated in a recent submission from China (2018). </w:t>
      </w:r>
      <w:r w:rsidR="00135BB1" w:rsidRPr="00CE15CF">
        <w:t xml:space="preserve">However, it is </w:t>
      </w:r>
      <w:r w:rsidR="007D3075" w:rsidRPr="00CE15CF">
        <w:t xml:space="preserve">also </w:t>
      </w:r>
      <w:r w:rsidR="00135BB1" w:rsidRPr="00CE15CF">
        <w:t xml:space="preserve">further stated that several strategies can be taken to </w:t>
      </w:r>
      <w:r w:rsidR="00416EE6" w:rsidRPr="00CE15CF">
        <w:t>use</w:t>
      </w:r>
      <w:r w:rsidR="00BF7C8C" w:rsidRPr="00CE15CF">
        <w:t xml:space="preserve"> potentially non-</w:t>
      </w:r>
      <w:proofErr w:type="spellStart"/>
      <w:r w:rsidR="00BF7C8C" w:rsidRPr="00CE15CF">
        <w:t>bioaccumulable</w:t>
      </w:r>
      <w:proofErr w:type="spellEnd"/>
      <w:r w:rsidR="00BF7C8C" w:rsidRPr="00CE15CF">
        <w:t xml:space="preserve"> alternatives of</w:t>
      </w:r>
      <w:r w:rsidR="00135BB1" w:rsidRPr="00CE15CF">
        <w:t xml:space="preserve"> </w:t>
      </w:r>
      <w:r w:rsidR="009F4DCB" w:rsidRPr="00CE15CF">
        <w:t xml:space="preserve">PFOS and </w:t>
      </w:r>
      <w:r w:rsidR="00135BB1" w:rsidRPr="00CE15CF">
        <w:t>PFOA</w:t>
      </w:r>
      <w:r w:rsidR="00C33EBE" w:rsidRPr="00CE15CF">
        <w:t xml:space="preserve"> (China, 2018)</w:t>
      </w:r>
      <w:r w:rsidR="00135BB1" w:rsidRPr="00CE15CF">
        <w:t xml:space="preserve">. </w:t>
      </w:r>
    </w:p>
    <w:p w14:paraId="0ABD3053" w14:textId="38977814" w:rsidR="00A2493E" w:rsidRPr="00CE15CF" w:rsidRDefault="00A2493E" w:rsidP="00CE15CF">
      <w:pPr>
        <w:pStyle w:val="Paralevel1"/>
      </w:pPr>
      <w:r w:rsidRPr="00CE15CF">
        <w:t xml:space="preserve">Several alternatives for use in textiles such as short-chain fluorinated alternatives, non-fluorine containing alternatives and non-chemical alternatives have been identified in the RME. In the following </w:t>
      </w:r>
      <w:r w:rsidR="0087150F" w:rsidRPr="00CE15CF">
        <w:t xml:space="preserve">paragraphs, </w:t>
      </w:r>
      <w:r w:rsidRPr="00CE15CF">
        <w:t>relevant alternatives are briefly summari</w:t>
      </w:r>
      <w:r w:rsidR="004A4C15" w:rsidRPr="00CE15CF">
        <w:t>s</w:t>
      </w:r>
      <w:r w:rsidRPr="00CE15CF">
        <w:t xml:space="preserve">ed (see the RME for full details, not for discussion). </w:t>
      </w:r>
    </w:p>
    <w:p w14:paraId="16F392BB" w14:textId="1D0BBB6B" w:rsidR="00A2493E" w:rsidRPr="00CE15CF" w:rsidRDefault="00A2493E" w:rsidP="00CE15CF">
      <w:pPr>
        <w:pStyle w:val="Heading3"/>
        <w:numPr>
          <w:ilvl w:val="0"/>
          <w:numId w:val="0"/>
        </w:numPr>
        <w:spacing w:before="240" w:after="120" w:line="240" w:lineRule="auto"/>
      </w:pPr>
      <w:bookmarkStart w:id="71" w:name="_Toc506913498"/>
      <w:bookmarkStart w:id="72" w:name="_Toc507148953"/>
      <w:bookmarkStart w:id="73" w:name="_Toc515267903"/>
      <w:r w:rsidRPr="00CE15CF">
        <w:t>Short-chain fluorinated alternatives</w:t>
      </w:r>
      <w:bookmarkEnd w:id="71"/>
      <w:bookmarkEnd w:id="72"/>
      <w:bookmarkEnd w:id="73"/>
    </w:p>
    <w:p w14:paraId="1950DAB7" w14:textId="00164FC6" w:rsidR="00A2493E" w:rsidRPr="00CE15CF" w:rsidRDefault="00A2493E" w:rsidP="00CE15CF">
      <w:pPr>
        <w:pStyle w:val="Paralevel1"/>
      </w:pPr>
      <w:r w:rsidRPr="00CE15CF">
        <w:t xml:space="preserve">Information on short-chain fluorinated alternatives was identified in the RME. </w:t>
      </w:r>
      <w:r w:rsidR="00984D04" w:rsidRPr="00CE15CF">
        <w:t>For the f</w:t>
      </w:r>
      <w:r w:rsidRPr="00CE15CF">
        <w:t xml:space="preserve">luorotelomer products based on 8:2 fluorotelomer alcohol (8:2 FTOH), short-chain 6:2 FTOH are used as alternatives for a variety of uses including textiles. This substance will not degrade to PFOA, but rather to other acids, such as </w:t>
      </w:r>
      <w:proofErr w:type="spellStart"/>
      <w:r w:rsidRPr="00CE15CF">
        <w:t>perfluorobutanoic</w:t>
      </w:r>
      <w:proofErr w:type="spellEnd"/>
      <w:r w:rsidRPr="00CE15CF">
        <w:t xml:space="preserve"> acid (PFBA), </w:t>
      </w:r>
      <w:proofErr w:type="spellStart"/>
      <w:r w:rsidRPr="00CE15CF">
        <w:t>perfluoropentanoic</w:t>
      </w:r>
      <w:proofErr w:type="spellEnd"/>
      <w:r w:rsidRPr="00CE15CF">
        <w:t xml:space="preserve"> acid (</w:t>
      </w:r>
      <w:proofErr w:type="spellStart"/>
      <w:r w:rsidRPr="00CE15CF">
        <w:t>PFPeA</w:t>
      </w:r>
      <w:proofErr w:type="spellEnd"/>
      <w:r w:rsidRPr="00CE15CF">
        <w:t xml:space="preserve">), </w:t>
      </w:r>
      <w:proofErr w:type="spellStart"/>
      <w:r w:rsidRPr="00CE15CF">
        <w:t>perfluorohexanoic</w:t>
      </w:r>
      <w:proofErr w:type="spellEnd"/>
      <w:r w:rsidRPr="00CE15CF">
        <w:t xml:space="preserve"> acid (</w:t>
      </w:r>
      <w:proofErr w:type="spellStart"/>
      <w:r w:rsidRPr="00CE15CF">
        <w:t>PFHxA</w:t>
      </w:r>
      <w:proofErr w:type="spellEnd"/>
      <w:r w:rsidRPr="00CE15CF">
        <w:t xml:space="preserve">), and 2H,2H,3H,3H-undecafluoro octanoic acid (5:3 fluorotelomer acid). The fluorinated chemical alternatives to PFOA (6:2 FTOH, </w:t>
      </w:r>
      <w:proofErr w:type="spellStart"/>
      <w:r w:rsidRPr="00CE15CF">
        <w:t>PFHxA</w:t>
      </w:r>
      <w:proofErr w:type="spellEnd"/>
      <w:r w:rsidRPr="00CE15CF">
        <w:t xml:space="preserve">, 6:2 methacrylate and 6:2 acrylate) </w:t>
      </w:r>
      <w:r w:rsidR="00E57E6E" w:rsidRPr="00CE15CF">
        <w:t>have not been evaluated under the</w:t>
      </w:r>
      <w:r w:rsidRPr="00CE15CF">
        <w:t xml:space="preserve"> Stockholm Convention. </w:t>
      </w:r>
      <w:r w:rsidR="003E38F0" w:rsidRPr="00CE15CF">
        <w:t xml:space="preserve">However, </w:t>
      </w:r>
      <w:r w:rsidR="00F72833" w:rsidRPr="00CE15CF">
        <w:t>IPEN</w:t>
      </w:r>
      <w:r w:rsidR="00296CE8" w:rsidRPr="00CE15CF">
        <w:t xml:space="preserve"> and </w:t>
      </w:r>
      <w:r w:rsidR="007E6BE6" w:rsidRPr="00CE15CF">
        <w:t>ACAT highlight</w:t>
      </w:r>
      <w:r w:rsidR="000D7178" w:rsidRPr="00CE15CF">
        <w:t xml:space="preserve"> that there </w:t>
      </w:r>
      <w:r w:rsidR="00802732" w:rsidRPr="00CE15CF">
        <w:t>are</w:t>
      </w:r>
      <w:r w:rsidR="00296CE8" w:rsidRPr="00CE15CF">
        <w:t xml:space="preserve"> </w:t>
      </w:r>
      <w:r w:rsidR="003E38F0" w:rsidRPr="00CE15CF">
        <w:t>several</w:t>
      </w:r>
      <w:r w:rsidR="00296CE8" w:rsidRPr="00CE15CF">
        <w:t xml:space="preserve"> related scientific literature </w:t>
      </w:r>
      <w:r w:rsidR="003E38F0" w:rsidRPr="00CE15CF">
        <w:t xml:space="preserve">sources </w:t>
      </w:r>
      <w:r w:rsidR="00296CE8" w:rsidRPr="00CE15CF">
        <w:t xml:space="preserve">and </w:t>
      </w:r>
      <w:r w:rsidR="00EC508B" w:rsidRPr="00CE15CF">
        <w:t>conclude</w:t>
      </w:r>
      <w:r w:rsidR="00296CE8" w:rsidRPr="00CE15CF">
        <w:t xml:space="preserve"> that these alternatives raise various concerns including persistence, </w:t>
      </w:r>
      <w:r w:rsidR="00081C25" w:rsidRPr="00CE15CF">
        <w:t xml:space="preserve">long range transport, </w:t>
      </w:r>
      <w:r w:rsidR="00296CE8" w:rsidRPr="00CE15CF">
        <w:t>high mobility in water and soil and potential toxic properties. For instance, 6:2 FTOH is found in the Artic and the Antarctic, has endocrine disrupting properties, is found in indoor air, air of manufacturing plants, house dust, food contact materials and consumer products (</w:t>
      </w:r>
      <w:r w:rsidR="006F1C8E" w:rsidRPr="00CE15CF">
        <w:t xml:space="preserve">based </w:t>
      </w:r>
      <w:r w:rsidR="004A4C15" w:rsidRPr="00CE15CF">
        <w:t xml:space="preserve">scientific </w:t>
      </w:r>
      <w:r w:rsidR="00296CE8" w:rsidRPr="00CE15CF">
        <w:t>literature s</w:t>
      </w:r>
      <w:r w:rsidR="004A4C15" w:rsidRPr="00CE15CF">
        <w:t>tudies</w:t>
      </w:r>
      <w:r w:rsidR="00296CE8" w:rsidRPr="00CE15CF">
        <w:t xml:space="preserve">). </w:t>
      </w:r>
      <w:r w:rsidR="003E38F0" w:rsidRPr="00CE15CF">
        <w:t xml:space="preserve">Besides, </w:t>
      </w:r>
      <w:proofErr w:type="spellStart"/>
      <w:r w:rsidR="00A06ACF" w:rsidRPr="00CE15CF">
        <w:t>PFHxS</w:t>
      </w:r>
      <w:proofErr w:type="spellEnd"/>
      <w:r w:rsidR="00A06ACF" w:rsidRPr="00CE15CF">
        <w:t xml:space="preserve"> is currently nominated and under review by the </w:t>
      </w:r>
      <w:r w:rsidR="00377BE3" w:rsidRPr="00CE15CF">
        <w:t xml:space="preserve">Committee </w:t>
      </w:r>
      <w:r w:rsidR="00A06ACF" w:rsidRPr="00CE15CF">
        <w:t xml:space="preserve">(Canada, 2018). </w:t>
      </w:r>
      <w:r w:rsidRPr="00CE15CF">
        <w:t xml:space="preserve">Concerns that short-chain fluorinated alternatives meet POP criteria </w:t>
      </w:r>
      <w:r w:rsidR="003E38F0" w:rsidRPr="00CE15CF">
        <w:t>are</w:t>
      </w:r>
      <w:r w:rsidRPr="00CE15CF">
        <w:t xml:space="preserve"> </w:t>
      </w:r>
      <w:r w:rsidR="00EC508B" w:rsidRPr="00CE15CF">
        <w:t xml:space="preserve">further </w:t>
      </w:r>
      <w:r w:rsidRPr="00CE15CF">
        <w:t>addressed in the RME for instance in paragraph 179.</w:t>
      </w:r>
      <w:r w:rsidR="00296CE8" w:rsidRPr="00CE15CF">
        <w:t xml:space="preserve"> </w:t>
      </w:r>
    </w:p>
    <w:p w14:paraId="4DE35C98" w14:textId="4B24B187" w:rsidR="00A2493E" w:rsidRPr="00CE15CF" w:rsidRDefault="00A2493E" w:rsidP="00CE15CF">
      <w:pPr>
        <w:pStyle w:val="Paralevel1"/>
        <w:rPr>
          <w:i/>
        </w:rPr>
      </w:pPr>
      <w:r w:rsidRPr="00CE15CF">
        <w:rPr>
          <w:i/>
        </w:rPr>
        <w:t xml:space="preserve">During the development of the RME, industry associations noted that especially in the field of professional, technical and protective textiles and other advanced textiles, no alternatives meeting the high demand by legal requirements and by customers are currently available. However, those textile products that must only fulfil </w:t>
      </w:r>
      <w:r w:rsidR="00370BD5">
        <w:rPr>
          <w:i/>
        </w:rPr>
        <w:br/>
      </w:r>
      <w:r w:rsidRPr="00CE15CF">
        <w:rPr>
          <w:i/>
        </w:rPr>
        <w:t xml:space="preserve">low-performance requirements, which were formerly treated with PFOA-related compounds, may be treated by </w:t>
      </w:r>
      <w:r w:rsidR="00370BD5">
        <w:rPr>
          <w:i/>
        </w:rPr>
        <w:br/>
      </w:r>
      <w:r w:rsidRPr="00CE15CF">
        <w:rPr>
          <w:i/>
        </w:rPr>
        <w:t>C</w:t>
      </w:r>
      <w:r w:rsidRPr="00CE15CF">
        <w:rPr>
          <w:i/>
          <w:vertAlign w:val="subscript"/>
        </w:rPr>
        <w:t>6</w:t>
      </w:r>
      <w:r w:rsidRPr="00CE15CF">
        <w:rPr>
          <w:i/>
        </w:rPr>
        <w:t>-products or even fluorine-free alternatives (</w:t>
      </w:r>
      <w:r w:rsidRPr="00CE15CF">
        <w:t>see the RME</w:t>
      </w:r>
      <w:r w:rsidRPr="00CE15CF">
        <w:rPr>
          <w:i/>
        </w:rPr>
        <w:t xml:space="preserve">). </w:t>
      </w:r>
    </w:p>
    <w:p w14:paraId="26642350" w14:textId="630248ED" w:rsidR="00A2493E" w:rsidRPr="00CE15CF" w:rsidRDefault="00AA7518" w:rsidP="00CE15CF">
      <w:pPr>
        <w:pStyle w:val="Paralevel1"/>
        <w:rPr>
          <w:i/>
        </w:rPr>
      </w:pPr>
      <w:r w:rsidRPr="00CE15CF">
        <w:rPr>
          <w:i/>
        </w:rPr>
        <w:t xml:space="preserve">The European Apparel and Textile Confederation states that </w:t>
      </w:r>
      <w:r w:rsidR="00A2493E" w:rsidRPr="00CE15CF">
        <w:rPr>
          <w:i/>
        </w:rPr>
        <w:t>over the life-cycle, technical textiles treated with 6:2 fluorotelomer-based finishes often exhibit 4</w:t>
      </w:r>
      <w:r w:rsidR="00876209" w:rsidRPr="00CE15CF">
        <w:rPr>
          <w:i/>
        </w:rPr>
        <w:t>–</w:t>
      </w:r>
      <w:r w:rsidR="00A2493E" w:rsidRPr="00CE15CF">
        <w:rPr>
          <w:i/>
        </w:rPr>
        <w:t>8 times higher total PFAS emissions compared to the observed emissions using the C</w:t>
      </w:r>
      <w:r w:rsidR="00A2493E" w:rsidRPr="00CE15CF">
        <w:rPr>
          <w:i/>
          <w:vertAlign w:val="subscript"/>
        </w:rPr>
        <w:t>8</w:t>
      </w:r>
      <w:r w:rsidR="00A2493E" w:rsidRPr="00CE15CF">
        <w:rPr>
          <w:i/>
        </w:rPr>
        <w:t>-chemistry (</w:t>
      </w:r>
      <w:r w:rsidR="00A2493E" w:rsidRPr="00CE15CF">
        <w:t>see the RME</w:t>
      </w:r>
      <w:r w:rsidR="00A2493E" w:rsidRPr="00CE15CF">
        <w:rPr>
          <w:i/>
        </w:rPr>
        <w:t>).</w:t>
      </w:r>
    </w:p>
    <w:p w14:paraId="6AAB83B6" w14:textId="30354013" w:rsidR="00A2493E" w:rsidRPr="00CE15CF" w:rsidRDefault="00A2493E" w:rsidP="00CE15CF">
      <w:pPr>
        <w:pStyle w:val="Heading3"/>
        <w:numPr>
          <w:ilvl w:val="0"/>
          <w:numId w:val="0"/>
        </w:numPr>
        <w:spacing w:before="240" w:after="120" w:line="240" w:lineRule="auto"/>
      </w:pPr>
      <w:bookmarkStart w:id="74" w:name="_Toc506913499"/>
      <w:bookmarkStart w:id="75" w:name="_Toc507148954"/>
      <w:bookmarkStart w:id="76" w:name="_Toc515267904"/>
      <w:r w:rsidRPr="00CE15CF">
        <w:lastRenderedPageBreak/>
        <w:t>Non-fluorine-containing alternatives</w:t>
      </w:r>
      <w:bookmarkEnd w:id="74"/>
      <w:bookmarkEnd w:id="75"/>
      <w:bookmarkEnd w:id="76"/>
    </w:p>
    <w:p w14:paraId="50E8BA2D" w14:textId="3FB29B9A" w:rsidR="00A2493E" w:rsidRPr="00CE15CF" w:rsidRDefault="00A2493E" w:rsidP="00CE15CF">
      <w:pPr>
        <w:pStyle w:val="Paralevel1"/>
      </w:pPr>
      <w:proofErr w:type="gramStart"/>
      <w:r w:rsidRPr="00CE15CF">
        <w:t>According to</w:t>
      </w:r>
      <w:proofErr w:type="gramEnd"/>
      <w:r w:rsidRPr="00CE15CF">
        <w:t xml:space="preserve"> the RME, </w:t>
      </w:r>
      <w:r w:rsidRPr="00CE15CF">
        <w:rPr>
          <w:i/>
        </w:rPr>
        <w:t xml:space="preserve">non-fluorine containing alternatives in the textile industry include </w:t>
      </w:r>
      <w:proofErr w:type="spellStart"/>
      <w:r w:rsidRPr="00CE15CF">
        <w:rPr>
          <w:i/>
        </w:rPr>
        <w:t>paraffins</w:t>
      </w:r>
      <w:proofErr w:type="spellEnd"/>
      <w:r w:rsidRPr="00CE15CF">
        <w:rPr>
          <w:i/>
        </w:rPr>
        <w:t xml:space="preserve">, alpha olefin modified siloxanes, fatty-acid modified melamine resins and fatty-acid modified polyurethanes exist for textiles with low required levels of water </w:t>
      </w:r>
      <w:proofErr w:type="spellStart"/>
      <w:r w:rsidRPr="00CE15CF">
        <w:rPr>
          <w:i/>
        </w:rPr>
        <w:t>repellency</w:t>
      </w:r>
      <w:proofErr w:type="spellEnd"/>
      <w:r w:rsidRPr="00CE15CF">
        <w:rPr>
          <w:i/>
        </w:rPr>
        <w:t xml:space="preserve">. In some cases, when applying fluorine-free alternatives, quality requirements of technical textiles cannot be fulfilled due to, for example, </w:t>
      </w:r>
      <w:r w:rsidR="00F31DD7" w:rsidRPr="00CE15CF">
        <w:rPr>
          <w:i/>
        </w:rPr>
        <w:t>decreased</w:t>
      </w:r>
      <w:r w:rsidRPr="00CE15CF">
        <w:rPr>
          <w:i/>
        </w:rPr>
        <w:t xml:space="preserve"> chemical-, oil- and/or </w:t>
      </w:r>
      <w:r w:rsidR="00370BD5">
        <w:rPr>
          <w:i/>
        </w:rPr>
        <w:br/>
      </w:r>
      <w:r w:rsidRPr="00CE15CF">
        <w:rPr>
          <w:i/>
        </w:rPr>
        <w:t xml:space="preserve">dirt-repellent properties, inadequate abrasion and/or wash resistance. Available alternatives for grease- and </w:t>
      </w:r>
      <w:r w:rsidR="00370BD5">
        <w:rPr>
          <w:i/>
        </w:rPr>
        <w:br/>
      </w:r>
      <w:r w:rsidRPr="00CE15CF">
        <w:rPr>
          <w:i/>
        </w:rPr>
        <w:t xml:space="preserve">dirt-repellent agents are limited. Most prominent water-repellent alternatives are reported to be silicone-based agents. These include high molecular weight polydimethylsiloxanes (PDMS), mixtures of silicones and </w:t>
      </w:r>
      <w:proofErr w:type="spellStart"/>
      <w:r w:rsidRPr="00CE15CF">
        <w:rPr>
          <w:i/>
        </w:rPr>
        <w:t>stearamid</w:t>
      </w:r>
      <w:r w:rsidR="00350DDE" w:rsidRPr="00CE15CF">
        <w:rPr>
          <w:i/>
        </w:rPr>
        <w:t>e</w:t>
      </w:r>
      <w:proofErr w:type="spellEnd"/>
      <w:r w:rsidR="00350DDE" w:rsidRPr="00CE15CF">
        <w:rPr>
          <w:i/>
        </w:rPr>
        <w:t xml:space="preserve"> </w:t>
      </w:r>
      <w:r w:rsidRPr="00CE15CF">
        <w:rPr>
          <w:i/>
        </w:rPr>
        <w:t xml:space="preserve">methyl </w:t>
      </w:r>
      <w:proofErr w:type="spellStart"/>
      <w:r w:rsidRPr="00CE15CF">
        <w:rPr>
          <w:i/>
        </w:rPr>
        <w:t>pryriden</w:t>
      </w:r>
      <w:proofErr w:type="spellEnd"/>
      <w:r w:rsidRPr="00CE15CF">
        <w:rPr>
          <w:i/>
        </w:rPr>
        <w:t xml:space="preserve"> chloride (sometimes in combination with carbamide (urea) and melamine resins), waxes and </w:t>
      </w:r>
      <w:proofErr w:type="spellStart"/>
      <w:r w:rsidRPr="00CE15CF">
        <w:rPr>
          <w:i/>
        </w:rPr>
        <w:t>paraffins</w:t>
      </w:r>
      <w:proofErr w:type="spellEnd"/>
      <w:r w:rsidRPr="00CE15CF">
        <w:rPr>
          <w:i/>
        </w:rPr>
        <w:t xml:space="preserve"> (usually consisting of modified melamine-based resins) and dendrimers that are being developed to imitate the ability of the lotus blossom to repel water. Alternatives to provide similar stain- and water-</w:t>
      </w:r>
      <w:proofErr w:type="spellStart"/>
      <w:r w:rsidRPr="00CE15CF">
        <w:rPr>
          <w:i/>
        </w:rPr>
        <w:t>repellency</w:t>
      </w:r>
      <w:proofErr w:type="spellEnd"/>
      <w:r w:rsidRPr="00CE15CF">
        <w:rPr>
          <w:i/>
        </w:rPr>
        <w:t xml:space="preserve"> are available and include textile surface treatment applications based on acrylate, methacrylate adipate and urethane polymers</w:t>
      </w:r>
      <w:r w:rsidRPr="00CE15CF">
        <w:t xml:space="preserve"> (see the RME).</w:t>
      </w:r>
    </w:p>
    <w:p w14:paraId="0B3B411E" w14:textId="77777777" w:rsidR="00A2493E" w:rsidRPr="00CE15CF" w:rsidRDefault="00A2493E" w:rsidP="00CE15CF">
      <w:pPr>
        <w:pStyle w:val="Paralevel1"/>
      </w:pPr>
      <w:proofErr w:type="gramStart"/>
      <w:r w:rsidRPr="00CE15CF">
        <w:t>According to</w:t>
      </w:r>
      <w:proofErr w:type="gramEnd"/>
      <w:r w:rsidRPr="00CE15CF">
        <w:t xml:space="preserve"> the RME, </w:t>
      </w:r>
      <w:r w:rsidRPr="00CE15CF">
        <w:rPr>
          <w:i/>
        </w:rPr>
        <w:t xml:space="preserve">a range of fluorocarbon-free, water-repellent finishing agents for textiles include commercial products such as BIONIC-FINISH®ECO and RUCO-DRY® ECO marketed by Rudolf </w:t>
      </w:r>
      <w:proofErr w:type="spellStart"/>
      <w:r w:rsidRPr="00CE15CF">
        <w:rPr>
          <w:i/>
        </w:rPr>
        <w:t>Chemie</w:t>
      </w:r>
      <w:proofErr w:type="spellEnd"/>
      <w:r w:rsidRPr="00CE15CF">
        <w:rPr>
          <w:i/>
        </w:rPr>
        <w:t xml:space="preserve"> Ltd., </w:t>
      </w:r>
      <w:proofErr w:type="spellStart"/>
      <w:r w:rsidRPr="00CE15CF">
        <w:rPr>
          <w:i/>
        </w:rPr>
        <w:t>Geretsried</w:t>
      </w:r>
      <w:proofErr w:type="spellEnd"/>
      <w:r w:rsidRPr="00CE15CF">
        <w:rPr>
          <w:i/>
        </w:rPr>
        <w:t xml:space="preserve">/ Germany; </w:t>
      </w:r>
      <w:proofErr w:type="spellStart"/>
      <w:r w:rsidRPr="00CE15CF">
        <w:rPr>
          <w:i/>
        </w:rPr>
        <w:t>Purtex</w:t>
      </w:r>
      <w:proofErr w:type="spellEnd"/>
      <w:r w:rsidRPr="00CE15CF">
        <w:rPr>
          <w:i/>
        </w:rPr>
        <w:t xml:space="preserve">® WR, </w:t>
      </w:r>
      <w:proofErr w:type="spellStart"/>
      <w:r w:rsidRPr="00CE15CF">
        <w:rPr>
          <w:i/>
        </w:rPr>
        <w:t>Purtex</w:t>
      </w:r>
      <w:proofErr w:type="spellEnd"/>
      <w:r w:rsidRPr="00CE15CF">
        <w:rPr>
          <w:i/>
        </w:rPr>
        <w:t xml:space="preserve">® WA, </w:t>
      </w:r>
      <w:proofErr w:type="spellStart"/>
      <w:r w:rsidRPr="00CE15CF">
        <w:rPr>
          <w:i/>
        </w:rPr>
        <w:t>Purtex</w:t>
      </w:r>
      <w:proofErr w:type="spellEnd"/>
      <w:r w:rsidRPr="00CE15CF">
        <w:rPr>
          <w:i/>
        </w:rPr>
        <w:t xml:space="preserve">® AP marketed by the Freudenberg Group, </w:t>
      </w:r>
      <w:proofErr w:type="spellStart"/>
      <w:r w:rsidRPr="00CE15CF">
        <w:rPr>
          <w:i/>
        </w:rPr>
        <w:t>Weinheim</w:t>
      </w:r>
      <w:proofErr w:type="spellEnd"/>
      <w:r w:rsidRPr="00CE15CF">
        <w:rPr>
          <w:i/>
        </w:rPr>
        <w:t xml:space="preserve">/Germany; and </w:t>
      </w:r>
      <w:proofErr w:type="spellStart"/>
      <w:r w:rsidRPr="00CE15CF">
        <w:rPr>
          <w:i/>
        </w:rPr>
        <w:t>ecorepel</w:t>
      </w:r>
      <w:proofErr w:type="spellEnd"/>
      <w:r w:rsidRPr="00CE15CF">
        <w:rPr>
          <w:i/>
        </w:rPr>
        <w:t xml:space="preserve">® marketed by </w:t>
      </w:r>
      <w:proofErr w:type="spellStart"/>
      <w:r w:rsidRPr="00CE15CF">
        <w:rPr>
          <w:i/>
        </w:rPr>
        <w:t>SchoellerTechologies</w:t>
      </w:r>
      <w:proofErr w:type="spellEnd"/>
      <w:r w:rsidRPr="00CE15CF">
        <w:rPr>
          <w:i/>
        </w:rPr>
        <w:t xml:space="preserve"> AG, </w:t>
      </w:r>
      <w:proofErr w:type="spellStart"/>
      <w:r w:rsidRPr="00CE15CF">
        <w:rPr>
          <w:i/>
        </w:rPr>
        <w:t>Sevelen</w:t>
      </w:r>
      <w:proofErr w:type="spellEnd"/>
      <w:r w:rsidRPr="00CE15CF">
        <w:rPr>
          <w:i/>
        </w:rPr>
        <w:t>/Switzerland</w:t>
      </w:r>
      <w:r w:rsidRPr="00CE15CF">
        <w:t xml:space="preserve"> (see the RME).</w:t>
      </w:r>
    </w:p>
    <w:p w14:paraId="7B3DDD88" w14:textId="77777777" w:rsidR="00A2493E" w:rsidRPr="00CE15CF" w:rsidRDefault="00A2493E" w:rsidP="00CE15CF">
      <w:pPr>
        <w:pStyle w:val="Paralevel1"/>
      </w:pPr>
      <w:proofErr w:type="gramStart"/>
      <w:r w:rsidRPr="00CE15CF">
        <w:t>According to</w:t>
      </w:r>
      <w:proofErr w:type="gramEnd"/>
      <w:r w:rsidRPr="00CE15CF">
        <w:t xml:space="preserve"> the RME, </w:t>
      </w:r>
      <w:r w:rsidRPr="00CE15CF">
        <w:rPr>
          <w:i/>
        </w:rPr>
        <w:t xml:space="preserve">paraffin repellents are liquid emulsions that should not be classified as hazardous to health according to the producers. However, some of the identified ingredients seem to be harmful. The main ingredient in most products is paraffin oil/wax (mixtures of long chain alkanes), which is considered harmless in pure form. Some products also contain isocyanates, </w:t>
      </w:r>
      <w:proofErr w:type="spellStart"/>
      <w:r w:rsidRPr="00CE15CF">
        <w:rPr>
          <w:i/>
        </w:rPr>
        <w:t>dipropylene</w:t>
      </w:r>
      <w:proofErr w:type="spellEnd"/>
      <w:r w:rsidRPr="00CE15CF">
        <w:rPr>
          <w:i/>
        </w:rPr>
        <w:t xml:space="preserve"> glycol, metal salts, which may be harmful </w:t>
      </w:r>
      <w:r w:rsidRPr="00CE15CF">
        <w:t xml:space="preserve">(see the RME). </w:t>
      </w:r>
    </w:p>
    <w:p w14:paraId="0F68AF1C" w14:textId="4EC7F6B5" w:rsidR="00A2493E" w:rsidRPr="00CE15CF" w:rsidRDefault="00A2493E" w:rsidP="00CE15CF">
      <w:pPr>
        <w:pStyle w:val="Paralevel1"/>
      </w:pPr>
      <w:proofErr w:type="gramStart"/>
      <w:r w:rsidRPr="00CE15CF">
        <w:t>According to</w:t>
      </w:r>
      <w:proofErr w:type="gramEnd"/>
      <w:r w:rsidRPr="00CE15CF">
        <w:t xml:space="preserve"> the RME, </w:t>
      </w:r>
      <w:r w:rsidRPr="00CE15CF">
        <w:rPr>
          <w:i/>
        </w:rPr>
        <w:t>PDMS are inert and have in general no adverse effects. Various siloxanes, especially the cyclic siloxanes known as D4, D5 and D6 and specific linear siloxanes are intermediates for the synthesis of silicone polymers used for textile impregnation. Certain siloxanes are persistent and widespread in the environment. Mostly, they are detected in urban areas and in the aquatic environment. High levels have been found in livers of fish, which were caught close to outlets of sewage treatment plants. Siloxanes are generally removed from the aqueous phase by sedimentation, and exhibit a long half-life in sediments. In soils, siloxanes are transformed depending on the conditions into hydroxylated forms, which still may be persistent. In Canada, it is concluded that D4 is entering the environment in a quantity or concentration or under conditions that have or may have an immediate or long-term harmful effect on the environment or its biological diversity</w:t>
      </w:r>
      <w:r w:rsidRPr="00CE15CF">
        <w:t xml:space="preserve"> (see the RME).</w:t>
      </w:r>
      <w:r w:rsidR="00252250" w:rsidRPr="00CE15CF">
        <w:t xml:space="preserve"> In Europe, D4, D5 and D6 are being considered for identification as </w:t>
      </w:r>
      <w:r w:rsidR="00E50186" w:rsidRPr="00CE15CF">
        <w:t>Substances of Very High Concern (</w:t>
      </w:r>
      <w:r w:rsidR="00252250" w:rsidRPr="00CE15CF">
        <w:t>SVHCs</w:t>
      </w:r>
      <w:r w:rsidR="00E50186" w:rsidRPr="00CE15CF">
        <w:t>)</w:t>
      </w:r>
      <w:r w:rsidR="000D7178" w:rsidRPr="00CE15CF">
        <w:t xml:space="preserve"> under the REACH regulation</w:t>
      </w:r>
      <w:r w:rsidR="00252250" w:rsidRPr="00CE15CF">
        <w:t>.</w:t>
      </w:r>
    </w:p>
    <w:p w14:paraId="3E126CA9" w14:textId="1D736999" w:rsidR="00A2493E" w:rsidRPr="00CE15CF" w:rsidRDefault="00A2493E" w:rsidP="00CE15CF">
      <w:pPr>
        <w:pStyle w:val="Paralevel1"/>
      </w:pPr>
      <w:r w:rsidRPr="00CE15CF">
        <w:t>IPEN and ACAT (2018) submitted information that technically feasible alternatives that meet regulatory requirements but do not contain PFOA are available. These include surgical gowns and drapes.</w:t>
      </w:r>
      <w:r w:rsidRPr="00CE15CF">
        <w:rPr>
          <w:vertAlign w:val="superscript"/>
        </w:rPr>
        <w:footnoteReference w:id="21"/>
      </w:r>
      <w:r w:rsidRPr="00CE15CF">
        <w:t xml:space="preserve"> </w:t>
      </w:r>
      <w:r w:rsidRPr="00CE15CF">
        <w:rPr>
          <w:vertAlign w:val="superscript"/>
        </w:rPr>
        <w:footnoteReference w:id="22"/>
      </w:r>
      <w:r w:rsidRPr="00CE15CF">
        <w:t xml:space="preserve"> </w:t>
      </w:r>
      <w:r w:rsidRPr="00CE15CF">
        <w:rPr>
          <w:vertAlign w:val="superscript"/>
        </w:rPr>
        <w:footnoteReference w:id="23"/>
      </w:r>
      <w:r w:rsidRPr="00CE15CF">
        <w:t xml:space="preserve"> </w:t>
      </w:r>
      <w:r w:rsidRPr="00CE15CF">
        <w:rPr>
          <w:vertAlign w:val="superscript"/>
        </w:rPr>
        <w:footnoteReference w:id="24"/>
      </w:r>
      <w:r w:rsidRPr="00CE15CF">
        <w:t xml:space="preserve"> </w:t>
      </w:r>
      <w:proofErr w:type="gramStart"/>
      <w:r w:rsidRPr="00CE15CF">
        <w:t>According to</w:t>
      </w:r>
      <w:proofErr w:type="gramEnd"/>
      <w:r w:rsidRPr="00CE15CF">
        <w:t xml:space="preserve"> Wang et al</w:t>
      </w:r>
      <w:r w:rsidR="002140CD" w:rsidRPr="00CE15CF">
        <w:t>.</w:t>
      </w:r>
      <w:r w:rsidRPr="00CE15CF">
        <w:t xml:space="preserve"> (2015) </w:t>
      </w:r>
      <w:r w:rsidR="00984D04" w:rsidRPr="00CE15CF">
        <w:t xml:space="preserve">and </w:t>
      </w:r>
      <w:r w:rsidRPr="00CE15CF">
        <w:t>Rudolf Group (2018), “non-fluorinated water-repellent textile finishes that are based on high molecular weight and highly branched polymers known as dendrimers have been commercialized” for use in textile pre-treatment, coating, sizing, and finishing and may have application for medical textiles.</w:t>
      </w:r>
    </w:p>
    <w:p w14:paraId="63DF5EAB" w14:textId="77777777" w:rsidR="00A2493E" w:rsidRPr="00CE15CF" w:rsidRDefault="00A2493E" w:rsidP="00CE15CF">
      <w:pPr>
        <w:pStyle w:val="Paralevel1"/>
      </w:pPr>
      <w:proofErr w:type="gramStart"/>
      <w:r w:rsidRPr="00CE15CF">
        <w:t>According to</w:t>
      </w:r>
      <w:proofErr w:type="gramEnd"/>
      <w:r w:rsidRPr="00CE15CF">
        <w:t xml:space="preserve"> the RME, </w:t>
      </w:r>
      <w:r w:rsidRPr="00CE15CF">
        <w:rPr>
          <w:i/>
        </w:rPr>
        <w:t xml:space="preserve">there are no data on health properties of the active substances and other components of dendrimer-based repellents, but producers of commercial products have provided health data in the material safety data sheets and made some proposals for classification of the product. </w:t>
      </w:r>
      <w:proofErr w:type="gramStart"/>
      <w:r w:rsidRPr="00CE15CF">
        <w:rPr>
          <w:i/>
        </w:rPr>
        <w:t>According to</w:t>
      </w:r>
      <w:proofErr w:type="gramEnd"/>
      <w:r w:rsidRPr="00CE15CF">
        <w:rPr>
          <w:i/>
        </w:rPr>
        <w:t xml:space="preserve"> information from producers these products should not be classified as harmful for the environment, but it is not possible to evaluate these statements on the basis of available information. The compositions of the products were not specified sufficiently for an assessment, but some of the products include unknown siloxanes, cationic polymers, isocyanates, or irritating organic acids. In summary, the available information for this group of chemicals is insufficient for an assessment of the possible health effects of the impregnation agents</w:t>
      </w:r>
      <w:r w:rsidRPr="00CE15CF">
        <w:t xml:space="preserve"> (see the RME).</w:t>
      </w:r>
    </w:p>
    <w:p w14:paraId="0B3FA6B5" w14:textId="77777777" w:rsidR="00A2493E" w:rsidRPr="00CE15CF" w:rsidRDefault="00A2493E" w:rsidP="00CE15CF">
      <w:pPr>
        <w:pStyle w:val="Paralevel1"/>
      </w:pPr>
      <w:r w:rsidRPr="00CE15CF">
        <w:rPr>
          <w:i/>
        </w:rPr>
        <w:t xml:space="preserve">The RME identified alternatives to PFOA for use in reverse osmosis membranes for water and effluent treatment. It notes that for membranes an alternative to PTFE is a composite of a hydrophobic polyester and a hydrophilic polymer forming a microstructure, which allows the fabric to breathe </w:t>
      </w:r>
      <w:r w:rsidRPr="00CE15CF">
        <w:t xml:space="preserve">(see the RME). </w:t>
      </w:r>
    </w:p>
    <w:p w14:paraId="23EB2667" w14:textId="2A34375B" w:rsidR="00A2493E" w:rsidRPr="00CE15CF" w:rsidRDefault="00A2493E" w:rsidP="00CE15CF">
      <w:pPr>
        <w:pStyle w:val="Paralevel1"/>
      </w:pPr>
      <w:proofErr w:type="spellStart"/>
      <w:r w:rsidRPr="00CE15CF">
        <w:lastRenderedPageBreak/>
        <w:t>Syndar</w:t>
      </w:r>
      <w:proofErr w:type="spellEnd"/>
      <w:r w:rsidRPr="00CE15CF">
        <w:t xml:space="preserve"> Filtration manufactures membranes for a wide variety of purposes, including water filtration, effluent treatment, production processes, and medical applications. They use fluorine-free materials for these applications including: polyacrylonitrile (PAN)</w:t>
      </w:r>
      <w:r w:rsidR="00DC4290" w:rsidRPr="00CE15CF">
        <w:t xml:space="preserve">, </w:t>
      </w:r>
      <w:r w:rsidRPr="00CE15CF">
        <w:t xml:space="preserve">most often used for oil/water separations and similar applications; </w:t>
      </w:r>
      <w:proofErr w:type="spellStart"/>
      <w:r w:rsidRPr="00CE15CF">
        <w:t>polyethersulfone</w:t>
      </w:r>
      <w:proofErr w:type="spellEnd"/>
      <w:r w:rsidRPr="00CE15CF">
        <w:t xml:space="preserve"> (PES)</w:t>
      </w:r>
      <w:r w:rsidR="00DC4290" w:rsidRPr="00CE15CF">
        <w:t xml:space="preserve">, </w:t>
      </w:r>
      <w:r w:rsidRPr="00CE15CF">
        <w:t>most often used for protein concentration and purification; and thin film composite (TFC)</w:t>
      </w:r>
      <w:r w:rsidR="00DC4290" w:rsidRPr="00CE15CF">
        <w:t xml:space="preserve">, </w:t>
      </w:r>
      <w:r w:rsidRPr="00CE15CF">
        <w:t>these membranes use PES with polyamide coatings that are used for various concentrating and purifying applications</w:t>
      </w:r>
      <w:r w:rsidRPr="00CE15CF">
        <w:rPr>
          <w:vertAlign w:val="superscript"/>
        </w:rPr>
        <w:footnoteReference w:id="25"/>
      </w:r>
      <w:r w:rsidRPr="00CE15CF">
        <w:t xml:space="preserve"> (IPEN and ACAT, 2018). </w:t>
      </w:r>
    </w:p>
    <w:p w14:paraId="0F2CFD2F" w14:textId="4789F542" w:rsidR="00A2493E" w:rsidRPr="00CE15CF" w:rsidRDefault="00A2493E" w:rsidP="00CE15CF">
      <w:pPr>
        <w:pStyle w:val="Heading3"/>
        <w:numPr>
          <w:ilvl w:val="0"/>
          <w:numId w:val="0"/>
        </w:numPr>
        <w:spacing w:before="240" w:after="120" w:line="240" w:lineRule="auto"/>
      </w:pPr>
      <w:bookmarkStart w:id="77" w:name="_Toc506913500"/>
      <w:bookmarkStart w:id="78" w:name="_Toc507148955"/>
      <w:bookmarkStart w:id="79" w:name="_Toc515267905"/>
      <w:r w:rsidRPr="00CE15CF">
        <w:t>Non-chemical alternatives</w:t>
      </w:r>
      <w:bookmarkEnd w:id="77"/>
      <w:bookmarkEnd w:id="78"/>
      <w:bookmarkEnd w:id="79"/>
    </w:p>
    <w:p w14:paraId="4BF9BDA7" w14:textId="7AB198F3" w:rsidR="00A2493E" w:rsidRPr="00CE15CF" w:rsidRDefault="00350DDE" w:rsidP="00CE15CF">
      <w:pPr>
        <w:pStyle w:val="Paralevel1"/>
        <w:rPr>
          <w:lang w:val="en-US"/>
        </w:rPr>
      </w:pPr>
      <w:r w:rsidRPr="00CE15CF">
        <w:t xml:space="preserve">Considering information provided by IPEN and ACAT (2018), bioinspired slippery liquid-infused porous surfaces, based on substances found in the Nepenthes plant, although still in the development phase, have </w:t>
      </w:r>
      <w:r w:rsidR="00EC508B" w:rsidRPr="00CE15CF">
        <w:t>a broad application</w:t>
      </w:r>
      <w:r w:rsidRPr="00CE15CF">
        <w:t xml:space="preserve"> that include</w:t>
      </w:r>
      <w:r w:rsidR="00EC508B" w:rsidRPr="00CE15CF">
        <w:t>s</w:t>
      </w:r>
      <w:r w:rsidRPr="00CE15CF">
        <w:t xml:space="preserve"> biomedical devices, optical sensing, </w:t>
      </w:r>
      <w:r w:rsidRPr="00CE15CF">
        <w:rPr>
          <w:lang w:val="en-US"/>
        </w:rPr>
        <w:t>fluid/fuel handling, and anti-fouling; and provide a viable alternative for surface treatments</w:t>
      </w:r>
      <w:r w:rsidR="00711716" w:rsidRPr="00CE15CF">
        <w:rPr>
          <w:lang w:val="en-US"/>
        </w:rPr>
        <w:t>.</w:t>
      </w:r>
      <w:r w:rsidRPr="00CE15CF">
        <w:rPr>
          <w:vertAlign w:val="superscript"/>
          <w:lang w:val="en-US"/>
        </w:rPr>
        <w:footnoteReference w:id="26"/>
      </w:r>
    </w:p>
    <w:p w14:paraId="46ED97BE" w14:textId="0539CB55" w:rsidR="00A2493E" w:rsidRPr="00CE15CF" w:rsidRDefault="00A2493E" w:rsidP="00CE15CF">
      <w:pPr>
        <w:pStyle w:val="StyleHeading3h3123SecTimesNewRomanBold"/>
      </w:pPr>
      <w:bookmarkStart w:id="80" w:name="_Toc506913501"/>
      <w:bookmarkStart w:id="81" w:name="_Toc507148956"/>
      <w:bookmarkStart w:id="82" w:name="_Toc515267906"/>
      <w:r w:rsidRPr="00CE15CF">
        <w:t>Information on impacts on society</w:t>
      </w:r>
      <w:bookmarkEnd w:id="80"/>
      <w:bookmarkEnd w:id="81"/>
      <w:bookmarkEnd w:id="82"/>
    </w:p>
    <w:p w14:paraId="23E33954" w14:textId="0A99D300" w:rsidR="00A2493E" w:rsidRPr="00CE15CF" w:rsidRDefault="00A2493E" w:rsidP="00CE15CF">
      <w:pPr>
        <w:pStyle w:val="Paralevel1"/>
      </w:pPr>
      <w:proofErr w:type="gramStart"/>
      <w:r w:rsidRPr="00CE15CF">
        <w:t>According to</w:t>
      </w:r>
      <w:proofErr w:type="gramEnd"/>
      <w:r w:rsidRPr="00CE15CF">
        <w:t xml:space="preserve"> the </w:t>
      </w:r>
      <w:r w:rsidR="004357B3" w:rsidRPr="00CE15CF">
        <w:t>textile industry submissions</w:t>
      </w:r>
      <w:r w:rsidRPr="00CE15CF">
        <w:t xml:space="preserve">, </w:t>
      </w:r>
      <w:r w:rsidRPr="00CE15CF">
        <w:rPr>
          <w:i/>
        </w:rPr>
        <w:t xml:space="preserve">the technical textile sector has to fulfil many different performance standards in particular medical, chemical and environmental protection. Textiles </w:t>
      </w:r>
      <w:proofErr w:type="gramStart"/>
      <w:r w:rsidRPr="00CE15CF">
        <w:rPr>
          <w:i/>
        </w:rPr>
        <w:t>have to</w:t>
      </w:r>
      <w:proofErr w:type="gramEnd"/>
      <w:r w:rsidRPr="00CE15CF">
        <w:rPr>
          <w:i/>
        </w:rPr>
        <w:t xml:space="preserve"> be certified in long procedures, which could take years and several textiles are regulated by various other EU- and national laws </w:t>
      </w:r>
      <w:r w:rsidRPr="00CE15CF">
        <w:t xml:space="preserve">(see the RME). </w:t>
      </w:r>
    </w:p>
    <w:p w14:paraId="5F1B152B" w14:textId="3BFF15CD" w:rsidR="00A2493E" w:rsidRPr="00CE15CF" w:rsidRDefault="00A2493E" w:rsidP="00CE15CF">
      <w:pPr>
        <w:pStyle w:val="Paralevel1"/>
      </w:pPr>
      <w:bookmarkStart w:id="83" w:name="_Hlk505183724"/>
      <w:proofErr w:type="gramStart"/>
      <w:r w:rsidRPr="00CE15CF">
        <w:t>According to</w:t>
      </w:r>
      <w:proofErr w:type="gramEnd"/>
      <w:r w:rsidRPr="00CE15CF">
        <w:t xml:space="preserve"> ECHA (2014), the introduction of alternatives in the fluoropolymers production industry has been carried out by around 70% of the global market which took place with a moderate price increase</w:t>
      </w:r>
      <w:bookmarkEnd w:id="83"/>
      <w:r w:rsidR="00A93FED" w:rsidRPr="00CE15CF">
        <w:t xml:space="preserve"> (see </w:t>
      </w:r>
      <w:r w:rsidR="004A4C15" w:rsidRPr="00CE15CF">
        <w:t xml:space="preserve">the </w:t>
      </w:r>
      <w:r w:rsidR="00A93FED" w:rsidRPr="00CE15CF">
        <w:t>RME)</w:t>
      </w:r>
      <w:r w:rsidRPr="00CE15CF">
        <w:t xml:space="preserve">. </w:t>
      </w:r>
    </w:p>
    <w:p w14:paraId="460FE7AC" w14:textId="36596333" w:rsidR="00C82F9B" w:rsidRPr="00CE15CF" w:rsidRDefault="00C82F9B" w:rsidP="00CE15CF">
      <w:pPr>
        <w:pStyle w:val="Paralevel1"/>
      </w:pPr>
      <w:r w:rsidRPr="00CE15CF">
        <w:t>IPEN and ACAT (2018)</w:t>
      </w:r>
      <w:r w:rsidR="00900E96" w:rsidRPr="00CE15CF">
        <w:t xml:space="preserve"> state in their recent submission</w:t>
      </w:r>
      <w:r w:rsidRPr="00CE15CF">
        <w:t xml:space="preserve">, </w:t>
      </w:r>
      <w:r w:rsidR="00900E96" w:rsidRPr="00CE15CF">
        <w:t xml:space="preserve">that </w:t>
      </w:r>
      <w:r w:rsidRPr="00CE15CF">
        <w:t>prohibit</w:t>
      </w:r>
      <w:r w:rsidR="00EC508B" w:rsidRPr="00CE15CF">
        <w:t>ing the use in these applications</w:t>
      </w:r>
      <w:r w:rsidR="00900E96" w:rsidRPr="00CE15CF">
        <w:t xml:space="preserve"> </w:t>
      </w:r>
      <w:r w:rsidRPr="00CE15CF">
        <w:t xml:space="preserve">would have a positive impact on human health and the environment by limiting further PFOA releases and exposures and a positive impact on businesses making alternatives, particularly non-fluorinated alternatives. </w:t>
      </w:r>
    </w:p>
    <w:p w14:paraId="3F4D6B84" w14:textId="6A292082" w:rsidR="004D4F4B" w:rsidRPr="00CE15CF" w:rsidRDefault="004D4F4B" w:rsidP="00CE15CF">
      <w:pPr>
        <w:pStyle w:val="Paralevel1"/>
      </w:pPr>
      <w:r w:rsidRPr="00CE15CF">
        <w:t xml:space="preserve">Mexico (2018) would support a time-limited exemption for the membranes used in medical practices to prevent impact upon patients. However, no </w:t>
      </w:r>
      <w:r w:rsidR="00C94C9C" w:rsidRPr="00CE15CF">
        <w:t xml:space="preserve">further </w:t>
      </w:r>
      <w:r w:rsidRPr="00CE15CF">
        <w:t xml:space="preserve">information </w:t>
      </w:r>
      <w:r w:rsidR="00C94C9C" w:rsidRPr="00CE15CF">
        <w:t xml:space="preserve">/ justification </w:t>
      </w:r>
      <w:r w:rsidRPr="00CE15CF">
        <w:t xml:space="preserve">has been given. </w:t>
      </w:r>
    </w:p>
    <w:p w14:paraId="2734B7F1" w14:textId="7049F71C" w:rsidR="00A2493E" w:rsidRPr="00CE15CF" w:rsidRDefault="00A2493E" w:rsidP="00CE15CF">
      <w:pPr>
        <w:pStyle w:val="StyleHeading3h3123SecTimesNewRomanBold"/>
      </w:pPr>
      <w:bookmarkStart w:id="84" w:name="_Toc506913502"/>
      <w:bookmarkStart w:id="85" w:name="_Toc507148957"/>
      <w:bookmarkStart w:id="86" w:name="_Toc515267907"/>
      <w:r w:rsidRPr="00CE15CF">
        <w:t>Synthesis of Information</w:t>
      </w:r>
      <w:bookmarkEnd w:id="84"/>
      <w:bookmarkEnd w:id="85"/>
      <w:bookmarkEnd w:id="86"/>
    </w:p>
    <w:p w14:paraId="2C816295" w14:textId="1388C10F" w:rsidR="00A2493E" w:rsidRPr="00CE15CF" w:rsidRDefault="00A2493E" w:rsidP="00CE15CF">
      <w:pPr>
        <w:pStyle w:val="Paralevel1"/>
      </w:pPr>
      <w:proofErr w:type="gramStart"/>
      <w:r w:rsidRPr="00CE15CF">
        <w:t>According to</w:t>
      </w:r>
      <w:proofErr w:type="gramEnd"/>
      <w:r w:rsidRPr="00CE15CF">
        <w:t xml:space="preserve"> HCWH (2018) and IPEN and ACAT (2018), membranes intended for use in medical textiles could include products that function as a barrier to exposure to blood or fluids such as surgical drapes, in which the presence of PFOA is mainly related to the use of fluoropolymers. </w:t>
      </w:r>
      <w:r w:rsidR="00C82F9B" w:rsidRPr="00CE15CF">
        <w:rPr>
          <w:lang w:val="en-US"/>
        </w:rPr>
        <w:t xml:space="preserve">However, they </w:t>
      </w:r>
      <w:r w:rsidR="004A4C15" w:rsidRPr="00CE15CF">
        <w:rPr>
          <w:lang w:val="en-US"/>
        </w:rPr>
        <w:t>indicate</w:t>
      </w:r>
      <w:r w:rsidR="00C82F9B" w:rsidRPr="00CE15CF">
        <w:rPr>
          <w:lang w:val="en-US"/>
        </w:rPr>
        <w:t xml:space="preserve"> that there are technically feasible alternatives </w:t>
      </w:r>
      <w:r w:rsidR="00AE77D7" w:rsidRPr="00CE15CF">
        <w:rPr>
          <w:lang w:val="en-US"/>
        </w:rPr>
        <w:t xml:space="preserve">available </w:t>
      </w:r>
      <w:r w:rsidR="00C82F9B" w:rsidRPr="00CE15CF">
        <w:rPr>
          <w:lang w:val="en-US"/>
        </w:rPr>
        <w:t xml:space="preserve">that meet regulatory requirements but </w:t>
      </w:r>
      <w:r w:rsidR="004A4C15" w:rsidRPr="00CE15CF">
        <w:rPr>
          <w:lang w:val="en-US"/>
        </w:rPr>
        <w:t xml:space="preserve">which </w:t>
      </w:r>
      <w:r w:rsidR="00C82F9B" w:rsidRPr="00CE15CF">
        <w:rPr>
          <w:lang w:val="en-US"/>
        </w:rPr>
        <w:t>do not contain PFOA. These include surgical gowns and drapes.</w:t>
      </w:r>
      <w:r w:rsidR="00C82F9B" w:rsidRPr="00CE15CF">
        <w:rPr>
          <w:vertAlign w:val="superscript"/>
          <w:lang w:val="en-US"/>
        </w:rPr>
        <w:footnoteReference w:id="27"/>
      </w:r>
      <w:r w:rsidR="00C82F9B" w:rsidRPr="00CE15CF">
        <w:rPr>
          <w:lang w:val="en-US"/>
        </w:rPr>
        <w:t xml:space="preserve"> </w:t>
      </w:r>
      <w:r w:rsidR="00C82F9B" w:rsidRPr="00CE15CF">
        <w:rPr>
          <w:vertAlign w:val="superscript"/>
          <w:lang w:val="en-US"/>
        </w:rPr>
        <w:footnoteReference w:id="28"/>
      </w:r>
      <w:r w:rsidR="00C82F9B" w:rsidRPr="00CE15CF">
        <w:rPr>
          <w:lang w:val="en-US"/>
        </w:rPr>
        <w:t xml:space="preserve"> </w:t>
      </w:r>
      <w:r w:rsidR="00C82F9B" w:rsidRPr="00CE15CF">
        <w:rPr>
          <w:vertAlign w:val="superscript"/>
          <w:lang w:val="en-US"/>
        </w:rPr>
        <w:footnoteReference w:id="29"/>
      </w:r>
      <w:r w:rsidR="00C82F9B" w:rsidRPr="00CE15CF">
        <w:rPr>
          <w:lang w:val="en-US"/>
        </w:rPr>
        <w:t xml:space="preserve"> </w:t>
      </w:r>
      <w:r w:rsidR="00C82F9B" w:rsidRPr="00CE15CF">
        <w:rPr>
          <w:vertAlign w:val="superscript"/>
          <w:lang w:val="en-US"/>
        </w:rPr>
        <w:footnoteReference w:id="30"/>
      </w:r>
    </w:p>
    <w:p w14:paraId="7AAFB349" w14:textId="670C5919" w:rsidR="00A2493E" w:rsidRPr="00CE15CF" w:rsidRDefault="00A2493E" w:rsidP="00CE15CF">
      <w:pPr>
        <w:pStyle w:val="Paralevel1"/>
      </w:pPr>
      <w:proofErr w:type="gramStart"/>
      <w:r w:rsidRPr="00CE15CF">
        <w:t>According to</w:t>
      </w:r>
      <w:proofErr w:type="gramEnd"/>
      <w:r w:rsidRPr="00CE15CF">
        <w:t xml:space="preserve"> information submitted by Canada (2018), PFOA can be used as a surfactant in the emulsion polymerization of PTFE. </w:t>
      </w:r>
      <w:r w:rsidR="00DE7299" w:rsidRPr="00CE15CF">
        <w:t>PTFE membranes are reported to be used in various applications (see e.g. Canada</w:t>
      </w:r>
      <w:r w:rsidR="00480533" w:rsidRPr="00CE15CF">
        <w:t>,</w:t>
      </w:r>
      <w:r w:rsidR="00DE7299" w:rsidRPr="00CE15CF">
        <w:t xml:space="preserve"> 2018). </w:t>
      </w:r>
    </w:p>
    <w:p w14:paraId="417DEA76" w14:textId="77777777" w:rsidR="00A2493E" w:rsidRPr="00CE15CF" w:rsidRDefault="00A2493E" w:rsidP="00CE15CF">
      <w:pPr>
        <w:pStyle w:val="Paralevel1"/>
      </w:pPr>
      <w:proofErr w:type="gramStart"/>
      <w:r w:rsidRPr="00CE15CF">
        <w:t>According to</w:t>
      </w:r>
      <w:proofErr w:type="gramEnd"/>
      <w:r w:rsidRPr="00CE15CF">
        <w:t xml:space="preserve"> the RME, </w:t>
      </w:r>
      <w:r w:rsidRPr="00CE15CF">
        <w:rPr>
          <w:i/>
        </w:rPr>
        <w:t>for filter materials for oil and fuel filtration some companies claim that no alternatives are available.</w:t>
      </w:r>
      <w:r w:rsidRPr="00CE15CF">
        <w:t xml:space="preserve"> Specific information is, however, not available.</w:t>
      </w:r>
    </w:p>
    <w:p w14:paraId="16987CEC" w14:textId="77777777" w:rsidR="00A2493E" w:rsidRPr="00CE15CF" w:rsidRDefault="00A2493E" w:rsidP="00CE15CF">
      <w:pPr>
        <w:pStyle w:val="Paralevel1"/>
      </w:pPr>
      <w:proofErr w:type="gramStart"/>
      <w:r w:rsidRPr="00CE15CF">
        <w:t>According to</w:t>
      </w:r>
      <w:proofErr w:type="gramEnd"/>
      <w:r w:rsidRPr="00CE15CF">
        <w:t xml:space="preserve"> the information available, technical and/or economically feasible alternatives exist for membranes intended for use in medical textiles and filtration in water treatment, production processes and effluent treatment. No specific application has been identified that requires C</w:t>
      </w:r>
      <w:r w:rsidRPr="00CE15CF">
        <w:rPr>
          <w:vertAlign w:val="subscript"/>
        </w:rPr>
        <w:t>8</w:t>
      </w:r>
      <w:r w:rsidRPr="00CE15CF">
        <w:noBreakHyphen/>
        <w:t xml:space="preserve">chemistry. </w:t>
      </w:r>
    </w:p>
    <w:p w14:paraId="72FD2B38" w14:textId="5FC30C57" w:rsidR="00A2493E" w:rsidRPr="00CE15CF" w:rsidRDefault="00C82F9B" w:rsidP="00CE15CF">
      <w:pPr>
        <w:pStyle w:val="Paralevel1"/>
      </w:pPr>
      <w:r w:rsidRPr="00CE15CF">
        <w:t xml:space="preserve">IPEN and ACAT (2018) state that a prohibition on PFOA use for these applications would benefit companies making alternatives, particularly non-fluorinated alternatives. </w:t>
      </w:r>
      <w:r w:rsidR="00A2493E" w:rsidRPr="00CE15CF">
        <w:t xml:space="preserve">70% of the fluoropolymer producing market has already replaced the use of PFOA by the end of 2015 at a moderate price increase (ECHA, 2014a). This indicates that </w:t>
      </w:r>
      <w:r w:rsidR="00A2493E" w:rsidRPr="00CE15CF">
        <w:lastRenderedPageBreak/>
        <w:t xml:space="preserve">membranes intended for use in medical textiles, filtration in water treatment, production processes and effluent treatment can possibly be produced without PFOA. </w:t>
      </w:r>
    </w:p>
    <w:p w14:paraId="756FFA1A" w14:textId="093719F8" w:rsidR="00A2493E" w:rsidRPr="00CE15CF" w:rsidRDefault="00A2493E" w:rsidP="00CE15CF">
      <w:pPr>
        <w:pStyle w:val="Paralevel1"/>
      </w:pPr>
      <w:r w:rsidRPr="00CE15CF">
        <w:t xml:space="preserve">The Committee requested information on the scope of the applications, used amounts, availability of alternatives and socio-economic aspects. Information was submitted on the scope of the applications and the availability of alternatives by HCWH (2018), Canada (2018) and IPEN and ACAT (2018). </w:t>
      </w:r>
      <w:r w:rsidR="00FD1917" w:rsidRPr="00CE15CF">
        <w:t xml:space="preserve">IPEN and ACAT (2018) </w:t>
      </w:r>
      <w:r w:rsidR="004A4C15" w:rsidRPr="00CE15CF">
        <w:t>suggest</w:t>
      </w:r>
      <w:r w:rsidR="00FD1917" w:rsidRPr="00CE15CF">
        <w:t xml:space="preserve"> that the socio-economic impacts of not allowing PFOA for these uses should be </w:t>
      </w:r>
      <w:r w:rsidR="004A4C15" w:rsidRPr="00CE15CF">
        <w:t>more limited given that</w:t>
      </w:r>
      <w:r w:rsidR="00FD1917" w:rsidRPr="00CE15CF">
        <w:t xml:space="preserve"> feasible alternatives exist and are in use.</w:t>
      </w:r>
      <w:r w:rsidRPr="00CE15CF">
        <w:t xml:space="preserve"> Used amounts for specific applications and related information which would enable the socio-economic aspects and information on the possible non-availability of alternatives to be evaluated would be needed to further evaluate possible exemptions. In conclusion, more specific information on the scope of the applications, used amounts, non-availability of alternatives and socio-economic aspects is still lacking and the information reviewed does not substantially help to enable the Committee to evaluate whether there is a specific need for an exemption. </w:t>
      </w:r>
    </w:p>
    <w:p w14:paraId="63DAB3E6" w14:textId="61F63323" w:rsidR="00A2493E" w:rsidRPr="00CE15CF" w:rsidRDefault="00A2493E" w:rsidP="00CE15CF">
      <w:pPr>
        <w:pStyle w:val="StyleHeading3h3123SecTimesNewRomanBold"/>
      </w:pPr>
      <w:bookmarkStart w:id="87" w:name="_Toc506913503"/>
      <w:bookmarkStart w:id="88" w:name="_Toc507148958"/>
      <w:bookmarkStart w:id="89" w:name="_Toc515267908"/>
      <w:r w:rsidRPr="00CE15CF">
        <w:t>Conclusion</w:t>
      </w:r>
      <w:bookmarkEnd w:id="87"/>
      <w:bookmarkEnd w:id="88"/>
      <w:bookmarkEnd w:id="89"/>
    </w:p>
    <w:p w14:paraId="57E2683C" w14:textId="528BF239" w:rsidR="002A172B" w:rsidRPr="00CE15CF" w:rsidRDefault="002A172B" w:rsidP="00CE15CF">
      <w:pPr>
        <w:pStyle w:val="Paralevel1"/>
      </w:pPr>
      <w:r w:rsidRPr="00CE15CF">
        <w:t>Based on the evaluation of available information</w:t>
      </w:r>
      <w:r w:rsidR="00776BDD" w:rsidRPr="00CE15CF">
        <w:t>,</w:t>
      </w:r>
      <w:r w:rsidRPr="00CE15CF">
        <w:t xml:space="preserve"> </w:t>
      </w:r>
      <w:r w:rsidR="00776BDD" w:rsidRPr="00CE15CF">
        <w:t xml:space="preserve">an </w:t>
      </w:r>
      <w:r w:rsidRPr="00CE15CF">
        <w:t>exemption for membranes intended for use in medical textiles, filtration in water treatment, production processes and effluent treatment</w:t>
      </w:r>
      <w:r w:rsidR="00776BDD" w:rsidRPr="00CE15CF">
        <w:t xml:space="preserve"> should not be considered</w:t>
      </w:r>
      <w:r w:rsidRPr="00CE15CF">
        <w:t xml:space="preserve">. </w:t>
      </w:r>
    </w:p>
    <w:p w14:paraId="6F407D8B" w14:textId="687C6FD0" w:rsidR="00A2493E" w:rsidRPr="00CE15CF" w:rsidRDefault="00A2493E" w:rsidP="00CE15CF">
      <w:pPr>
        <w:pStyle w:val="Heading2"/>
        <w:widowControl/>
        <w:tabs>
          <w:tab w:val="clear" w:pos="756"/>
          <w:tab w:val="num" w:pos="142"/>
        </w:tabs>
        <w:spacing w:before="240" w:after="120" w:line="240" w:lineRule="auto"/>
        <w:ind w:left="634" w:hanging="634"/>
        <w:jc w:val="left"/>
        <w:rPr>
          <w:sz w:val="24"/>
        </w:rPr>
      </w:pPr>
      <w:bookmarkStart w:id="90" w:name="_Toc515267909"/>
      <w:r w:rsidRPr="00CE15CF">
        <w:rPr>
          <w:sz w:val="24"/>
        </w:rPr>
        <w:t xml:space="preserve">(b) </w:t>
      </w:r>
      <w:r w:rsidR="00292F52" w:rsidRPr="00CE15CF">
        <w:rPr>
          <w:sz w:val="24"/>
        </w:rPr>
        <w:t xml:space="preserve">Use of </w:t>
      </w:r>
      <w:proofErr w:type="spellStart"/>
      <w:r w:rsidR="007F29FC" w:rsidRPr="00CE15CF">
        <w:rPr>
          <w:sz w:val="24"/>
          <w:szCs w:val="24"/>
        </w:rPr>
        <w:t>p</w:t>
      </w:r>
      <w:r w:rsidR="00292F52" w:rsidRPr="00CE15CF">
        <w:rPr>
          <w:sz w:val="24"/>
          <w:szCs w:val="24"/>
        </w:rPr>
        <w:t>erfluorooctane</w:t>
      </w:r>
      <w:proofErr w:type="spellEnd"/>
      <w:r w:rsidR="00292F52" w:rsidRPr="00CE15CF">
        <w:rPr>
          <w:sz w:val="24"/>
        </w:rPr>
        <w:t xml:space="preserve"> iodide</w:t>
      </w:r>
      <w:r w:rsidR="00994245" w:rsidRPr="00CE15CF">
        <w:rPr>
          <w:sz w:val="24"/>
          <w:szCs w:val="24"/>
        </w:rPr>
        <w:t xml:space="preserve"> (PFOI</w:t>
      </w:r>
      <w:r w:rsidR="00292F52" w:rsidRPr="00CE15CF">
        <w:rPr>
          <w:sz w:val="24"/>
        </w:rPr>
        <w:t xml:space="preserve">) as isolated intermediate </w:t>
      </w:r>
      <w:proofErr w:type="gramStart"/>
      <w:r w:rsidR="00292F52" w:rsidRPr="00CE15CF">
        <w:rPr>
          <w:sz w:val="24"/>
        </w:rPr>
        <w:t>in order to</w:t>
      </w:r>
      <w:proofErr w:type="gramEnd"/>
      <w:r w:rsidR="00292F52" w:rsidRPr="00CE15CF">
        <w:rPr>
          <w:sz w:val="24"/>
        </w:rPr>
        <w:t xml:space="preserve"> enable reprocessing to tetrafluoroethylene</w:t>
      </w:r>
      <w:r w:rsidR="00353F9A" w:rsidRPr="00CE15CF">
        <w:rPr>
          <w:sz w:val="24"/>
          <w:szCs w:val="24"/>
        </w:rPr>
        <w:t xml:space="preserve"> (TFE</w:t>
      </w:r>
      <w:r w:rsidR="00292F52" w:rsidRPr="00CE15CF">
        <w:rPr>
          <w:sz w:val="24"/>
        </w:rPr>
        <w:t>) and hexafluoropropylene</w:t>
      </w:r>
      <w:r w:rsidR="00353F9A" w:rsidRPr="00CE15CF">
        <w:rPr>
          <w:sz w:val="24"/>
          <w:szCs w:val="24"/>
        </w:rPr>
        <w:t xml:space="preserve"> (HFP</w:t>
      </w:r>
      <w:r w:rsidR="00292F52" w:rsidRPr="00CE15CF">
        <w:rPr>
          <w:sz w:val="24"/>
        </w:rPr>
        <w:t>) in another site than the production site</w:t>
      </w:r>
      <w:bookmarkEnd w:id="90"/>
      <w:r w:rsidR="00292F52" w:rsidRPr="00CE15CF">
        <w:rPr>
          <w:sz w:val="24"/>
        </w:rPr>
        <w:t xml:space="preserve"> </w:t>
      </w:r>
    </w:p>
    <w:p w14:paraId="181D4199" w14:textId="37C31467" w:rsidR="00A2493E" w:rsidRPr="00CE15CF" w:rsidRDefault="009258CF" w:rsidP="00CE15CF">
      <w:pPr>
        <w:pStyle w:val="Paralevel1"/>
      </w:pPr>
      <w:r w:rsidRPr="00CE15CF">
        <w:t xml:space="preserve">The RME for PFOA highlighted a potential need for more information about a possible </w:t>
      </w:r>
      <w:r w:rsidR="003F005D" w:rsidRPr="00CE15CF">
        <w:t>e</w:t>
      </w:r>
      <w:r w:rsidRPr="00CE15CF">
        <w:t>xemption</w:t>
      </w:r>
      <w:r w:rsidR="00A2493E" w:rsidRPr="00CE15CF">
        <w:t xml:space="preserve"> for transported isolated intermediates</w:t>
      </w:r>
      <w:r w:rsidR="00252250" w:rsidRPr="00CE15CF">
        <w:t xml:space="preserve">. An </w:t>
      </w:r>
      <w:r w:rsidR="00A2493E" w:rsidRPr="00CE15CF">
        <w:t>exemption without time limit is included in the EU restriction</w:t>
      </w:r>
      <w:r w:rsidR="00252250" w:rsidRPr="00CE15CF">
        <w:t>,</w:t>
      </w:r>
      <w:r w:rsidR="00A2493E" w:rsidRPr="00CE15CF">
        <w:t xml:space="preserve"> </w:t>
      </w:r>
      <w:r w:rsidR="00252250" w:rsidRPr="00CE15CF">
        <w:t xml:space="preserve">paragraph 4(c) </w:t>
      </w:r>
      <w:r w:rsidR="00A2493E" w:rsidRPr="00CE15CF">
        <w:t xml:space="preserve">(EU 2017/1000 amending EC 1907/2006), </w:t>
      </w:r>
      <w:proofErr w:type="gramStart"/>
      <w:r w:rsidR="00A2493E" w:rsidRPr="00CE15CF">
        <w:t>provided that</w:t>
      </w:r>
      <w:proofErr w:type="gramEnd"/>
      <w:r w:rsidR="00A2493E" w:rsidRPr="00CE15CF">
        <w:t xml:space="preserve"> </w:t>
      </w:r>
      <w:r w:rsidR="00252250" w:rsidRPr="00CE15CF">
        <w:t>the use complies with the REACH definition of strictly controlled conditions according to Art. 18(4)</w:t>
      </w:r>
      <w:r w:rsidR="00A2493E" w:rsidRPr="00CE15CF">
        <w:t xml:space="preserve"> (described further below). </w:t>
      </w:r>
      <w:r w:rsidR="006E7841" w:rsidRPr="00CE15CF">
        <w:t>T</w:t>
      </w:r>
      <w:r w:rsidR="00A2493E" w:rsidRPr="00CE15CF">
        <w:t>herefore</w:t>
      </w:r>
      <w:r w:rsidR="006E5270" w:rsidRPr="00CE15CF">
        <w:t>,</w:t>
      </w:r>
      <w:r w:rsidR="006E7841" w:rsidRPr="00CE15CF">
        <w:t xml:space="preserve"> the need for</w:t>
      </w:r>
      <w:r w:rsidR="00A2493E" w:rsidRPr="00CE15CF">
        <w:t xml:space="preserve"> an exemption should be </w:t>
      </w:r>
      <w:r w:rsidR="006E7841" w:rsidRPr="00CE15CF">
        <w:t>assessed</w:t>
      </w:r>
      <w:r w:rsidR="00A2493E" w:rsidRPr="00CE15CF">
        <w:t xml:space="preserve"> under the Stockholm Convention to enable reprocessing </w:t>
      </w:r>
      <w:r w:rsidRPr="00CE15CF">
        <w:t>at a different</w:t>
      </w:r>
      <w:r w:rsidR="00A2493E" w:rsidRPr="00CE15CF">
        <w:t xml:space="preserve"> site than the production site. The conditions could be similar to what is established under the EU restriction</w:t>
      </w:r>
      <w:r w:rsidR="0068348D" w:rsidRPr="00CE15CF">
        <w:t>, as quoted in the RME</w:t>
      </w:r>
      <w:r w:rsidR="001918EA" w:rsidRPr="00CE15CF">
        <w:t xml:space="preserve">: </w:t>
      </w:r>
      <w:r w:rsidR="0068348D" w:rsidRPr="00CE15CF">
        <w:rPr>
          <w:i/>
        </w:rPr>
        <w:t>“</w:t>
      </w:r>
      <w:r w:rsidR="001918EA" w:rsidRPr="00CE15CF">
        <w:rPr>
          <w:i/>
        </w:rPr>
        <w:t>(1) the substance is rigorously contained by technical means during its whole lifecycle including manufacture, purification, cleaning and maintenance of equipment, sampling, analysis, loading and unloading of equipment or vessels, waste disposal or purification and storage; (2) procedural and control technologies shall be used that minimise emission and any resulting exposure; (3) only properly trained and authorised personnel handle the substance; (4) in the case of cleaning and maintenance works, special procedures such as purging and washing are applied before the system is opened and entered; (5) in cases of accident and where waste is generated, procedural and/or control technologies are used to minimise emissions and the resulting exposure during purification or cleaning and maintenance procedures; (6) substance-handling procedures are well documented and strictly supervised by the site operator</w:t>
      </w:r>
      <w:r w:rsidR="0068348D" w:rsidRPr="00CE15CF">
        <w:rPr>
          <w:i/>
        </w:rPr>
        <w:t>”</w:t>
      </w:r>
      <w:r w:rsidR="00A2493E" w:rsidRPr="00CE15CF">
        <w:rPr>
          <w:i/>
        </w:rPr>
        <w:t xml:space="preserve">. </w:t>
      </w:r>
    </w:p>
    <w:p w14:paraId="356A470D" w14:textId="51F28DA2" w:rsidR="00A2493E" w:rsidRPr="00CE15CF" w:rsidRDefault="00A2493E" w:rsidP="00CE15CF">
      <w:pPr>
        <w:pStyle w:val="Paralevel1"/>
      </w:pPr>
      <w:r w:rsidRPr="00CE15CF">
        <w:t xml:space="preserve">The Committee invited </w:t>
      </w:r>
      <w:r w:rsidR="00917924" w:rsidRPr="00CE15CF">
        <w:t>P</w:t>
      </w:r>
      <w:r w:rsidRPr="00CE15CF">
        <w:t xml:space="preserve">arties and observers to provide information that would assist the possible defining of specific exemptions, </w:t>
      </w:r>
      <w:proofErr w:type="gramStart"/>
      <w:r w:rsidRPr="00CE15CF">
        <w:t>in particular for</w:t>
      </w:r>
      <w:proofErr w:type="gramEnd"/>
      <w:r w:rsidRPr="00CE15CF">
        <w:t xml:space="preserve"> transported isolated intermediates, in order to enable reprocessing </w:t>
      </w:r>
      <w:r w:rsidR="009258CF" w:rsidRPr="00CE15CF">
        <w:t>at a different</w:t>
      </w:r>
      <w:r w:rsidRPr="00CE15CF">
        <w:t xml:space="preserve"> site than the production site. The Committee requested information related to the quantities used, extent of transport and possible risks, and use. </w:t>
      </w:r>
    </w:p>
    <w:p w14:paraId="4934879A" w14:textId="45DA7DE4" w:rsidR="00A2493E" w:rsidRPr="00CE15CF" w:rsidRDefault="00A2493E" w:rsidP="00CE15CF">
      <w:pPr>
        <w:pStyle w:val="Paralevel1"/>
      </w:pPr>
      <w:r w:rsidRPr="00CE15CF">
        <w:t>Relevant information was submitted by IPEN and ACAT (2018</w:t>
      </w:r>
      <w:r w:rsidR="008F6EB7" w:rsidRPr="00CE15CF">
        <w:t>)</w:t>
      </w:r>
      <w:r w:rsidR="00A47828" w:rsidRPr="00CE15CF">
        <w:t>,</w:t>
      </w:r>
      <w:r w:rsidRPr="00CE15CF">
        <w:t xml:space="preserve"> by the </w:t>
      </w:r>
      <w:proofErr w:type="spellStart"/>
      <w:r w:rsidRPr="00CE15CF">
        <w:t>FluoroCouncil</w:t>
      </w:r>
      <w:proofErr w:type="spellEnd"/>
      <w:r w:rsidRPr="00CE15CF">
        <w:t xml:space="preserve"> (2018)</w:t>
      </w:r>
      <w:r w:rsidR="00A47828" w:rsidRPr="00CE15CF">
        <w:t>,</w:t>
      </w:r>
      <w:r w:rsidR="005B78AB" w:rsidRPr="00CE15CF">
        <w:t xml:space="preserve"> </w:t>
      </w:r>
      <w:r w:rsidR="00A47828" w:rsidRPr="00CE15CF">
        <w:t>Norway (</w:t>
      </w:r>
      <w:r w:rsidRPr="00CE15CF">
        <w:t>2018</w:t>
      </w:r>
      <w:r w:rsidR="00A47828" w:rsidRPr="00CE15CF">
        <w:t>)</w:t>
      </w:r>
      <w:r w:rsidR="00A7479F" w:rsidRPr="00CE15CF">
        <w:t>, and the Netherlands (2018</w:t>
      </w:r>
      <w:r w:rsidR="005B78AB" w:rsidRPr="00CE15CF">
        <w:t>a</w:t>
      </w:r>
      <w:r w:rsidR="00A7479F" w:rsidRPr="00CE15CF">
        <w:t>)</w:t>
      </w:r>
      <w:r w:rsidRPr="00CE15CF">
        <w:t xml:space="preserve">. </w:t>
      </w:r>
      <w:r w:rsidR="003F005D" w:rsidRPr="00CE15CF">
        <w:t xml:space="preserve"> </w:t>
      </w:r>
    </w:p>
    <w:p w14:paraId="7F42FC87" w14:textId="6F4DC41E" w:rsidR="00A2493E" w:rsidRPr="00CE15CF" w:rsidRDefault="00A2493E" w:rsidP="00CE15CF">
      <w:pPr>
        <w:pStyle w:val="StyleHeading3h3123SecTimesNewRomanBold"/>
      </w:pPr>
      <w:bookmarkStart w:id="91" w:name="_Toc506913505"/>
      <w:bookmarkStart w:id="92" w:name="_Toc507148960"/>
      <w:bookmarkStart w:id="93" w:name="_Toc515267910"/>
      <w:r w:rsidRPr="00CE15CF">
        <w:t>Efficacy and efficiency of possible control measures</w:t>
      </w:r>
      <w:bookmarkEnd w:id="91"/>
      <w:bookmarkEnd w:id="92"/>
      <w:bookmarkEnd w:id="93"/>
    </w:p>
    <w:p w14:paraId="60D1318F" w14:textId="0EF0B5BF" w:rsidR="009C3FC0" w:rsidRPr="00CE15CF" w:rsidRDefault="00A2493E" w:rsidP="00CE15CF">
      <w:pPr>
        <w:pStyle w:val="Paralevel1"/>
      </w:pPr>
      <w:r w:rsidRPr="00CE15CF">
        <w:t xml:space="preserve">An exemption should be considered under the Stockholm Convention with similar conditions to those established under the EU restriction (EU 2017/1000) approach. </w:t>
      </w:r>
      <w:r w:rsidR="009C3FC0" w:rsidRPr="00CE15CF">
        <w:t>IPEN and ACAT (2018) note that the proposal to exempt transport of isolated intermediates at the global level undermines the integrity of the Stockholm Convention. The Convention limits generic exemptions relating to intermediates to strictly closed-system site-limited intermediates that are chemically transformed in the manufacture of other chemicals that, taking into consideration the criteria in paragraph 1 of Annex D, do not exhibit the characteristics of POPs.</w:t>
      </w:r>
      <w:r w:rsidR="009C3FC0" w:rsidRPr="00CE15CF">
        <w:rPr>
          <w:vertAlign w:val="superscript"/>
        </w:rPr>
        <w:footnoteReference w:id="31"/>
      </w:r>
      <w:r w:rsidR="00433570" w:rsidRPr="00CE15CF">
        <w:t xml:space="preserve"> However, exemptions for the transport of intermediates can still be requested. </w:t>
      </w:r>
    </w:p>
    <w:p w14:paraId="22A6F469" w14:textId="3B0900A3" w:rsidR="00A2493E" w:rsidRPr="00CE15CF" w:rsidRDefault="00A2493E" w:rsidP="00CE15CF">
      <w:pPr>
        <w:pStyle w:val="Paralevel1"/>
      </w:pPr>
      <w:r w:rsidRPr="00CE15CF">
        <w:t xml:space="preserve">An exemption </w:t>
      </w:r>
      <w:r w:rsidR="00633AE9" w:rsidRPr="00CE15CF">
        <w:t>to Daikin Industries Ltd</w:t>
      </w:r>
      <w:r w:rsidRPr="00CE15CF">
        <w:t xml:space="preserve"> for transported isolated intermediates </w:t>
      </w:r>
      <w:r w:rsidR="003629FC" w:rsidRPr="00CE15CF">
        <w:t>has</w:t>
      </w:r>
      <w:r w:rsidRPr="00CE15CF">
        <w:t xml:space="preserve"> already </w:t>
      </w:r>
      <w:r w:rsidR="003629FC" w:rsidRPr="00CE15CF">
        <w:t xml:space="preserve">been </w:t>
      </w:r>
      <w:r w:rsidRPr="00CE15CF">
        <w:t>considered in the RME for the transport of PFOI (perfluorooctyl iodide, CAS</w:t>
      </w:r>
      <w:r w:rsidR="006E5270" w:rsidRPr="00CE15CF">
        <w:t xml:space="preserve"> No</w:t>
      </w:r>
      <w:r w:rsidRPr="00CE15CF">
        <w:t xml:space="preserve">: 2043-57-4) that is </w:t>
      </w:r>
      <w:r w:rsidR="0012715A" w:rsidRPr="00CE15CF">
        <w:rPr>
          <w:i/>
        </w:rPr>
        <w:t xml:space="preserve">generated </w:t>
      </w:r>
      <w:r w:rsidRPr="00CE15CF">
        <w:rPr>
          <w:i/>
        </w:rPr>
        <w:t>during the production of 6:2 fluorotelomer-based substances, whereby a fraction of the isolated intermediate PFOI is then transported to another site in Japan to produce PFOB</w:t>
      </w:r>
      <w:r w:rsidR="001E6576" w:rsidRPr="00CE15CF">
        <w:t>, used for pharmaceutical applications</w:t>
      </w:r>
      <w:r w:rsidRPr="00CE15CF">
        <w:t xml:space="preserve"> (see RME para </w:t>
      </w:r>
      <w:r w:rsidR="00D3607C" w:rsidRPr="00CE15CF">
        <w:t xml:space="preserve">89 and </w:t>
      </w:r>
      <w:r w:rsidRPr="00CE15CF">
        <w:t>20</w:t>
      </w:r>
      <w:r w:rsidR="00D3607C" w:rsidRPr="00CE15CF">
        <w:t>1</w:t>
      </w:r>
      <w:r w:rsidRPr="00CE15CF">
        <w:t>).</w:t>
      </w:r>
    </w:p>
    <w:p w14:paraId="79FB2B98" w14:textId="0B60D683" w:rsidR="00A2493E" w:rsidRPr="00CE15CF" w:rsidRDefault="00A2493E" w:rsidP="00CE15CF">
      <w:pPr>
        <w:pStyle w:val="Paralevel1"/>
      </w:pPr>
      <w:r w:rsidRPr="00CE15CF">
        <w:lastRenderedPageBreak/>
        <w:t xml:space="preserve">The </w:t>
      </w:r>
      <w:proofErr w:type="spellStart"/>
      <w:r w:rsidRPr="00CE15CF">
        <w:t>FluoroCouncil</w:t>
      </w:r>
      <w:proofErr w:type="spellEnd"/>
      <w:r w:rsidRPr="00CE15CF">
        <w:t xml:space="preserve"> (2018) submitted a request for an exemption for the “use of PFOI as intermediate in the production of TFE (tetrafluoroethylene, CAS</w:t>
      </w:r>
      <w:r w:rsidR="006E5270" w:rsidRPr="00CE15CF">
        <w:t xml:space="preserve"> No</w:t>
      </w:r>
      <w:r w:rsidRPr="00CE15CF">
        <w:t>: 116-14-3) and HFP (hexafluoropropylene, CAS</w:t>
      </w:r>
      <w:r w:rsidR="006E5270" w:rsidRPr="00CE15CF">
        <w:t xml:space="preserve"> No</w:t>
      </w:r>
      <w:r w:rsidRPr="00CE15CF">
        <w:t xml:space="preserve">: 116-15-4)”. The </w:t>
      </w:r>
      <w:proofErr w:type="spellStart"/>
      <w:r w:rsidRPr="00CE15CF">
        <w:t>FluoroCouncil</w:t>
      </w:r>
      <w:proofErr w:type="spellEnd"/>
      <w:r w:rsidRPr="00CE15CF">
        <w:t xml:space="preserve"> provides information on the processes </w:t>
      </w:r>
      <w:r w:rsidR="001E22A6" w:rsidRPr="00CE15CF">
        <w:t xml:space="preserve">from their member, </w:t>
      </w:r>
      <w:proofErr w:type="spellStart"/>
      <w:r w:rsidR="001E22A6" w:rsidRPr="00CE15CF">
        <w:t>Archroma</w:t>
      </w:r>
      <w:proofErr w:type="spellEnd"/>
      <w:r w:rsidRPr="00CE15CF">
        <w:t xml:space="preserve">, </w:t>
      </w:r>
      <w:r w:rsidR="001E22A6" w:rsidRPr="00CE15CF">
        <w:t xml:space="preserve">on </w:t>
      </w:r>
      <w:r w:rsidRPr="00CE15CF">
        <w:t>the research and development (R&amp;D) activities</w:t>
      </w:r>
      <w:r w:rsidR="001E22A6" w:rsidRPr="00CE15CF">
        <w:t>,</w:t>
      </w:r>
      <w:r w:rsidRPr="00CE15CF">
        <w:t xml:space="preserve"> as well as the strict conditions of use of PFOI from its generation as an unintended side chain fraction (by-product) of C</w:t>
      </w:r>
      <w:r w:rsidRPr="00CE15CF">
        <w:rPr>
          <w:vertAlign w:val="subscript"/>
        </w:rPr>
        <w:t>6</w:t>
      </w:r>
      <w:r w:rsidRPr="00CE15CF">
        <w:t xml:space="preserve"> fluorotelomer production to its reprocessing into TFE. They also question the status of 1-H-PFO as a PFOA</w:t>
      </w:r>
      <w:r w:rsidR="00142465" w:rsidRPr="00CE15CF">
        <w:t>-</w:t>
      </w:r>
      <w:r w:rsidRPr="00CE15CF">
        <w:t xml:space="preserve">related </w:t>
      </w:r>
      <w:r w:rsidR="00142465" w:rsidRPr="00CE15CF">
        <w:t>compound</w:t>
      </w:r>
      <w:r w:rsidRPr="00CE15CF">
        <w:t xml:space="preserve"> (see </w:t>
      </w:r>
      <w:r w:rsidR="0064573E" w:rsidRPr="00CE15CF">
        <w:t xml:space="preserve">section </w:t>
      </w:r>
      <w:r w:rsidRPr="00CE15CF">
        <w:t>2 on chemical identity) (</w:t>
      </w:r>
      <w:proofErr w:type="spellStart"/>
      <w:r w:rsidRPr="00CE15CF">
        <w:t>FluoroCouncil</w:t>
      </w:r>
      <w:proofErr w:type="spellEnd"/>
      <w:r w:rsidRPr="00CE15CF">
        <w:t>, 2018</w:t>
      </w:r>
      <w:r w:rsidR="003C39D9" w:rsidRPr="00CE15CF">
        <w:t>a</w:t>
      </w:r>
      <w:r w:rsidRPr="00CE15CF">
        <w:t xml:space="preserve">). </w:t>
      </w:r>
    </w:p>
    <w:p w14:paraId="7FC874A8" w14:textId="2FD85F43" w:rsidR="00433570" w:rsidRPr="00CE15CF" w:rsidRDefault="006039E7" w:rsidP="00CE15CF">
      <w:pPr>
        <w:pStyle w:val="Paralevel1"/>
      </w:pPr>
      <w:r w:rsidRPr="00CE15CF">
        <w:t>Brown et al (2008) completed studies suggesting</w:t>
      </w:r>
      <w:r w:rsidR="0048051A" w:rsidRPr="00CE15CF">
        <w:t xml:space="preserve"> that </w:t>
      </w:r>
      <w:r w:rsidR="00433570" w:rsidRPr="00CE15CF">
        <w:t xml:space="preserve">PFOI is a PFOA-related compound </w:t>
      </w:r>
      <w:r w:rsidRPr="00CE15CF">
        <w:t xml:space="preserve">(amongst </w:t>
      </w:r>
      <w:r w:rsidR="00433570" w:rsidRPr="00CE15CF">
        <w:t>120 substances</w:t>
      </w:r>
      <w:r w:rsidRPr="00CE15CF">
        <w:t>)</w:t>
      </w:r>
      <w:r w:rsidR="00433570" w:rsidRPr="00CE15CF">
        <w:t xml:space="preserve"> predicted to become an Arctic contaminant based on modelling studies. </w:t>
      </w:r>
      <w:r w:rsidRPr="00CE15CF">
        <w:t>Brown et al (2008) go on to</w:t>
      </w:r>
      <w:r w:rsidR="0048051A" w:rsidRPr="00CE15CF">
        <w:t xml:space="preserve"> claim that </w:t>
      </w:r>
      <w:r w:rsidR="00433570" w:rsidRPr="00CE15CF">
        <w:t>PFOI matches the structural profile of known Arctic contaminants. In vivo studies in male medaka fish show that PFOI upregulates estrogenic genes in a dose-dependent manner indicating that it is an endocrine disruptor</w:t>
      </w:r>
      <w:r w:rsidR="00A7479F" w:rsidRPr="00CE15CF">
        <w:t xml:space="preserve"> (</w:t>
      </w:r>
      <w:r w:rsidR="006344FE" w:rsidRPr="00CE15CF">
        <w:t>Wang et al. 2011</w:t>
      </w:r>
      <w:r w:rsidR="00A7479F" w:rsidRPr="00CE15CF">
        <w:t>)</w:t>
      </w:r>
      <w:r w:rsidR="00433570" w:rsidRPr="00CE15CF">
        <w:t xml:space="preserve">. </w:t>
      </w:r>
      <w:r w:rsidR="006344FE" w:rsidRPr="00CE15CF">
        <w:t>Wang et al. (2015) showed that in</w:t>
      </w:r>
      <w:r w:rsidR="00433570" w:rsidRPr="00CE15CF">
        <w:t xml:space="preserve"> human adrenocortical cells in vitro, PFOI upregulates 10 steroidogenic genes at </w:t>
      </w:r>
      <w:proofErr w:type="spellStart"/>
      <w:r w:rsidR="00433570" w:rsidRPr="00CE15CF">
        <w:t>uM</w:t>
      </w:r>
      <w:proofErr w:type="spellEnd"/>
      <w:r w:rsidR="00433570" w:rsidRPr="00CE15CF">
        <w:t xml:space="preserve"> levels of PFOI. GHS hazard statements for PFOI note that it “may cause long lasting harmful effects to aquatic life” and EU precautionary statement codes include P273 (avoid release to the environment).</w:t>
      </w:r>
    </w:p>
    <w:p w14:paraId="33C4630D" w14:textId="43E7BD7B" w:rsidR="00A2493E" w:rsidRPr="00CE15CF" w:rsidRDefault="00A2493E" w:rsidP="00CE15CF">
      <w:pPr>
        <w:pStyle w:val="Paralevel1"/>
      </w:pPr>
      <w:proofErr w:type="spellStart"/>
      <w:r w:rsidRPr="00CE15CF">
        <w:t>A</w:t>
      </w:r>
      <w:r w:rsidR="00416EE6" w:rsidRPr="00CE15CF">
        <w:t>rchroma</w:t>
      </w:r>
      <w:proofErr w:type="spellEnd"/>
      <w:r w:rsidRPr="00CE15CF">
        <w:t xml:space="preserve"> </w:t>
      </w:r>
      <w:r w:rsidR="00416EE6" w:rsidRPr="00CE15CF">
        <w:t xml:space="preserve">(a </w:t>
      </w:r>
      <w:r w:rsidRPr="00CE15CF">
        <w:t xml:space="preserve">member of the </w:t>
      </w:r>
      <w:proofErr w:type="spellStart"/>
      <w:r w:rsidRPr="00CE15CF">
        <w:t>FluoroCouncil</w:t>
      </w:r>
      <w:proofErr w:type="spellEnd"/>
      <w:r w:rsidR="00416EE6" w:rsidRPr="00CE15CF">
        <w:t>)</w:t>
      </w:r>
      <w:r w:rsidRPr="00CE15CF">
        <w:t>, produces C</w:t>
      </w:r>
      <w:r w:rsidRPr="00CE15CF">
        <w:rPr>
          <w:vertAlign w:val="subscript"/>
        </w:rPr>
        <w:t>6</w:t>
      </w:r>
      <w:r w:rsidRPr="00CE15CF">
        <w:t xml:space="preserve"> fluorotelomers at one single site, located in Germany. During the C</w:t>
      </w:r>
      <w:r w:rsidRPr="00CE15CF">
        <w:rPr>
          <w:vertAlign w:val="subscript"/>
        </w:rPr>
        <w:t>6</w:t>
      </w:r>
      <w:r w:rsidRPr="00CE15CF">
        <w:t xml:space="preserve"> telomerisation, </w:t>
      </w:r>
      <w:r w:rsidR="001E6576" w:rsidRPr="00CE15CF">
        <w:t xml:space="preserve">PFOI, is generated </w:t>
      </w:r>
      <w:r w:rsidRPr="00CE15CF">
        <w:t>as an unintended side fraction of C</w:t>
      </w:r>
      <w:r w:rsidRPr="00CE15CF">
        <w:rPr>
          <w:vertAlign w:val="subscript"/>
        </w:rPr>
        <w:t>8</w:t>
      </w:r>
      <w:r w:rsidRPr="00CE15CF">
        <w:t xml:space="preserve">/ long-chain fluorotelomers, </w:t>
      </w:r>
      <w:r w:rsidR="00416EE6" w:rsidRPr="00CE15CF">
        <w:t>the</w:t>
      </w:r>
      <w:r w:rsidR="005D6CBB" w:rsidRPr="00CE15CF">
        <w:t xml:space="preserve"> residual fraction includes some longer-chain substances such as C</w:t>
      </w:r>
      <w:r w:rsidR="005D6CBB" w:rsidRPr="00CE15CF">
        <w:rPr>
          <w:vertAlign w:val="subscript"/>
        </w:rPr>
        <w:t>10</w:t>
      </w:r>
      <w:r w:rsidR="005D6CBB" w:rsidRPr="00CE15CF">
        <w:t>F</w:t>
      </w:r>
      <w:r w:rsidR="005D6CBB" w:rsidRPr="00CE15CF">
        <w:rPr>
          <w:vertAlign w:val="subscript"/>
        </w:rPr>
        <w:t>21</w:t>
      </w:r>
      <w:r w:rsidR="005D6CBB" w:rsidRPr="00CE15CF">
        <w:t>-I and possibly C</w:t>
      </w:r>
      <w:r w:rsidR="005D6CBB" w:rsidRPr="00CE15CF">
        <w:rPr>
          <w:vertAlign w:val="subscript"/>
        </w:rPr>
        <w:t>12</w:t>
      </w:r>
      <w:r w:rsidR="005D6CBB" w:rsidRPr="00CE15CF">
        <w:t>F</w:t>
      </w:r>
      <w:r w:rsidR="005D6CBB" w:rsidRPr="00CE15CF">
        <w:rPr>
          <w:vertAlign w:val="subscript"/>
        </w:rPr>
        <w:t>25</w:t>
      </w:r>
      <w:r w:rsidR="005D6CBB" w:rsidRPr="00CE15CF">
        <w:t>-</w:t>
      </w:r>
      <w:r w:rsidR="004B7B1D" w:rsidRPr="00CE15CF">
        <w:t xml:space="preserve">I </w:t>
      </w:r>
      <w:r w:rsidR="005D6CBB" w:rsidRPr="00CE15CF">
        <w:t>and other non-fluorinated substances. The composition of the residual fraction is projected to shift further from C</w:t>
      </w:r>
      <w:r w:rsidR="005D6CBB" w:rsidRPr="00CE15CF">
        <w:rPr>
          <w:vertAlign w:val="subscript"/>
        </w:rPr>
        <w:t>12</w:t>
      </w:r>
      <w:r w:rsidR="005D6CBB" w:rsidRPr="00CE15CF">
        <w:t xml:space="preserve"> and C</w:t>
      </w:r>
      <w:r w:rsidR="005D6CBB" w:rsidRPr="00CE15CF">
        <w:rPr>
          <w:vertAlign w:val="subscript"/>
        </w:rPr>
        <w:t>10</w:t>
      </w:r>
      <w:r w:rsidR="005D6CBB" w:rsidRPr="00CE15CF">
        <w:t xml:space="preserve"> towards C</w:t>
      </w:r>
      <w:r w:rsidR="005D6CBB" w:rsidRPr="00CE15CF">
        <w:rPr>
          <w:vertAlign w:val="subscript"/>
        </w:rPr>
        <w:t>8</w:t>
      </w:r>
      <w:r w:rsidR="005D6CBB" w:rsidRPr="00CE15CF">
        <w:t xml:space="preserve"> as of 2020 </w:t>
      </w:r>
      <w:proofErr w:type="gramStart"/>
      <w:r w:rsidR="005D6CBB" w:rsidRPr="00CE15CF">
        <w:t>as a result of</w:t>
      </w:r>
      <w:proofErr w:type="gramEnd"/>
      <w:r w:rsidR="005D6CBB" w:rsidRPr="00CE15CF">
        <w:t xml:space="preserve"> the reduction effort. </w:t>
      </w:r>
      <w:r w:rsidRPr="00CE15CF">
        <w:t>This fraction</w:t>
      </w:r>
      <w:r w:rsidR="001712E8" w:rsidRPr="00CE15CF">
        <w:t xml:space="preserve"> that also consists of </w:t>
      </w:r>
      <w:r w:rsidR="00D3607C" w:rsidRPr="00CE15CF">
        <w:t>C</w:t>
      </w:r>
      <w:r w:rsidR="00D3607C" w:rsidRPr="00CE15CF">
        <w:rPr>
          <w:vertAlign w:val="subscript"/>
        </w:rPr>
        <w:t>10</w:t>
      </w:r>
      <w:r w:rsidR="00D3607C" w:rsidRPr="00CE15CF">
        <w:t>F</w:t>
      </w:r>
      <w:r w:rsidR="00D3607C" w:rsidRPr="00CE15CF">
        <w:rPr>
          <w:vertAlign w:val="subscript"/>
        </w:rPr>
        <w:t>21</w:t>
      </w:r>
      <w:r w:rsidR="00D3607C" w:rsidRPr="00CE15CF">
        <w:t>-I and possibly C</w:t>
      </w:r>
      <w:r w:rsidR="00D3607C" w:rsidRPr="00CE15CF">
        <w:rPr>
          <w:vertAlign w:val="subscript"/>
        </w:rPr>
        <w:t>12</w:t>
      </w:r>
      <w:r w:rsidR="00D3607C" w:rsidRPr="00CE15CF">
        <w:t>F</w:t>
      </w:r>
      <w:r w:rsidR="00D3607C" w:rsidRPr="00CE15CF">
        <w:rPr>
          <w:vertAlign w:val="subscript"/>
        </w:rPr>
        <w:t>25</w:t>
      </w:r>
      <w:r w:rsidR="00D3607C" w:rsidRPr="00CE15CF">
        <w:t>-</w:t>
      </w:r>
      <w:r w:rsidR="004B7B1D" w:rsidRPr="00CE15CF">
        <w:t xml:space="preserve">I </w:t>
      </w:r>
      <w:r w:rsidRPr="00CE15CF">
        <w:t xml:space="preserve">is sent in closed barrels to a facility in </w:t>
      </w:r>
      <w:r w:rsidR="00292653" w:rsidRPr="00CE15CF">
        <w:t xml:space="preserve">the Republic of </w:t>
      </w:r>
      <w:r w:rsidRPr="00CE15CF">
        <w:t>Korea where</w:t>
      </w:r>
      <w:r w:rsidR="00581B48" w:rsidRPr="00CE15CF">
        <w:t xml:space="preserve"> the company claims that</w:t>
      </w:r>
      <w:r w:rsidRPr="00CE15CF">
        <w:t xml:space="preserve"> iodine recovery and reprocessing to TFE and HFP take place under closed system conditions. </w:t>
      </w:r>
    </w:p>
    <w:p w14:paraId="1018B4E1" w14:textId="7291B38F" w:rsidR="00A2493E" w:rsidRPr="00CE15CF" w:rsidRDefault="00A2493E" w:rsidP="00CE15CF">
      <w:pPr>
        <w:pStyle w:val="Paralevel1"/>
      </w:pPr>
      <w:r w:rsidRPr="00CE15CF">
        <w:t xml:space="preserve">In the EU, PFOI is registered as a transported </w:t>
      </w:r>
      <w:r w:rsidR="001E6576" w:rsidRPr="00CE15CF">
        <w:t xml:space="preserve">isolated </w:t>
      </w:r>
      <w:r w:rsidRPr="00CE15CF">
        <w:t>intermediate under REACH</w:t>
      </w:r>
      <w:r w:rsidRPr="00CE15CF">
        <w:rPr>
          <w:rStyle w:val="FootnoteReference"/>
        </w:rPr>
        <w:footnoteReference w:id="32"/>
      </w:r>
      <w:r w:rsidRPr="00CE15CF">
        <w:t xml:space="preserve"> </w:t>
      </w:r>
      <w:proofErr w:type="gramStart"/>
      <w:r w:rsidRPr="00CE15CF">
        <w:t>for the purpose of</w:t>
      </w:r>
      <w:proofErr w:type="gramEnd"/>
      <w:r w:rsidRPr="00CE15CF">
        <w:t xml:space="preserve"> its off-site reprocessing and is exempted from the REACH restriction on PFOA (</w:t>
      </w:r>
      <w:proofErr w:type="spellStart"/>
      <w:r w:rsidRPr="00CE15CF">
        <w:t>FluoroCouncil</w:t>
      </w:r>
      <w:proofErr w:type="spellEnd"/>
      <w:r w:rsidRPr="00CE15CF">
        <w:t>, 2018</w:t>
      </w:r>
      <w:r w:rsidR="003C39D9" w:rsidRPr="00CE15CF">
        <w:t>a</w:t>
      </w:r>
      <w:r w:rsidRPr="00CE15CF">
        <w:t xml:space="preserve">). </w:t>
      </w:r>
      <w:proofErr w:type="gramStart"/>
      <w:r w:rsidRPr="00CE15CF">
        <w:t>According to</w:t>
      </w:r>
      <w:proofErr w:type="gramEnd"/>
      <w:r w:rsidRPr="00CE15CF">
        <w:t xml:space="preserve"> the </w:t>
      </w:r>
      <w:proofErr w:type="spellStart"/>
      <w:r w:rsidRPr="00CE15CF">
        <w:t>FluoroCouncil</w:t>
      </w:r>
      <w:proofErr w:type="spellEnd"/>
      <w:r w:rsidRPr="00CE15CF">
        <w:t>, PFOI cannot be directly reprocessed via pyrolysis to obtain the desired products TFE and HFP due to iodine contamination which prevents use in downstream polymerisation reactions (</w:t>
      </w:r>
      <w:proofErr w:type="spellStart"/>
      <w:r w:rsidRPr="00CE15CF">
        <w:t>FluoroCouncil</w:t>
      </w:r>
      <w:proofErr w:type="spellEnd"/>
      <w:r w:rsidRPr="00CE15CF">
        <w:t>, 2018</w:t>
      </w:r>
      <w:r w:rsidR="003C39D9" w:rsidRPr="00CE15CF">
        <w:t>a</w:t>
      </w:r>
      <w:r w:rsidRPr="00CE15CF">
        <w:t>).</w:t>
      </w:r>
      <w:r w:rsidR="00154850" w:rsidRPr="00CE15CF">
        <w:t xml:space="preserve"> </w:t>
      </w:r>
    </w:p>
    <w:p w14:paraId="1EDFD656" w14:textId="1BC88BAB" w:rsidR="00A2493E" w:rsidRPr="00CE15CF" w:rsidRDefault="00106B50" w:rsidP="00CE15CF">
      <w:pPr>
        <w:pStyle w:val="Paralevel1"/>
      </w:pPr>
      <w:r w:rsidRPr="00CE15CF">
        <w:t xml:space="preserve">The </w:t>
      </w:r>
      <w:proofErr w:type="spellStart"/>
      <w:r w:rsidRPr="00CE15CF">
        <w:t>FluoroCouncil</w:t>
      </w:r>
      <w:proofErr w:type="spellEnd"/>
      <w:r w:rsidRPr="00CE15CF">
        <w:t xml:space="preserve"> did not report the current </w:t>
      </w:r>
      <w:r w:rsidR="00A2493E" w:rsidRPr="00CE15CF">
        <w:t>volume of the PFOI fraction to be covered by the</w:t>
      </w:r>
      <w:r w:rsidRPr="00CE15CF">
        <w:t>ir</w:t>
      </w:r>
      <w:r w:rsidR="00A2493E" w:rsidRPr="00CE15CF">
        <w:t xml:space="preserve"> </w:t>
      </w:r>
      <w:r w:rsidRPr="00CE15CF">
        <w:t xml:space="preserve">proposed </w:t>
      </w:r>
      <w:r w:rsidR="00A2493E" w:rsidRPr="00CE15CF">
        <w:t>exemption,</w:t>
      </w:r>
      <w:r w:rsidRPr="00CE15CF">
        <w:t xml:space="preserve"> but stated</w:t>
      </w:r>
      <w:r w:rsidR="00A2493E" w:rsidRPr="00CE15CF">
        <w:t xml:space="preserve"> </w:t>
      </w:r>
      <w:r w:rsidR="000D7178" w:rsidRPr="00CE15CF">
        <w:t xml:space="preserve">that </w:t>
      </w:r>
      <w:r w:rsidR="00A2493E" w:rsidRPr="00CE15CF">
        <w:t>a</w:t>
      </w:r>
      <w:r w:rsidR="000D7178" w:rsidRPr="00CE15CF">
        <w:t>n</w:t>
      </w:r>
      <w:r w:rsidR="00A2493E" w:rsidRPr="00CE15CF">
        <w:t xml:space="preserve"> R&amp;D project is ongoing with the aim to further reduce this fraction</w:t>
      </w:r>
      <w:r w:rsidRPr="00CE15CF">
        <w:t xml:space="preserve"> (by a factor 3 to 6)</w:t>
      </w:r>
      <w:r w:rsidR="00A2493E" w:rsidRPr="00CE15CF">
        <w:t xml:space="preserve">. By 2020, </w:t>
      </w:r>
      <w:proofErr w:type="spellStart"/>
      <w:r w:rsidRPr="00CE15CF">
        <w:t>Archroma</w:t>
      </w:r>
      <w:proofErr w:type="spellEnd"/>
      <w:r w:rsidRPr="00CE15CF">
        <w:t xml:space="preserve"> estimates</w:t>
      </w:r>
      <w:r w:rsidR="00BC0B82" w:rsidRPr="00CE15CF">
        <w:t xml:space="preserve"> </w:t>
      </w:r>
      <w:r w:rsidR="00A2493E" w:rsidRPr="00CE15CF">
        <w:t xml:space="preserve">that the volume of PFOI </w:t>
      </w:r>
      <w:r w:rsidR="0012715A" w:rsidRPr="00CE15CF">
        <w:t>generated as unintended side fraction (by-product) in the production of C</w:t>
      </w:r>
      <w:r w:rsidR="0012715A" w:rsidRPr="00CE15CF">
        <w:rPr>
          <w:vertAlign w:val="subscript"/>
        </w:rPr>
        <w:t>6</w:t>
      </w:r>
      <w:r w:rsidR="0012715A" w:rsidRPr="00CE15CF">
        <w:t xml:space="preserve"> fluorotelomers at</w:t>
      </w:r>
      <w:r w:rsidRPr="00CE15CF">
        <w:t xml:space="preserve"> their manufacturing</w:t>
      </w:r>
      <w:r w:rsidR="0012715A" w:rsidRPr="00CE15CF">
        <w:t xml:space="preserve"> sites </w:t>
      </w:r>
      <w:r w:rsidR="00A2493E" w:rsidRPr="00CE15CF">
        <w:t>will range between 50 and 100 tonnes per year (</w:t>
      </w:r>
      <w:proofErr w:type="spellStart"/>
      <w:r w:rsidR="00A2493E" w:rsidRPr="00CE15CF">
        <w:t>FluoroCouncil</w:t>
      </w:r>
      <w:proofErr w:type="spellEnd"/>
      <w:r w:rsidR="00A2493E" w:rsidRPr="00CE15CF">
        <w:t>, 2018</w:t>
      </w:r>
      <w:r w:rsidR="003C39D9" w:rsidRPr="00CE15CF">
        <w:t>a</w:t>
      </w:r>
      <w:r w:rsidR="00A2493E" w:rsidRPr="00CE15CF">
        <w:t xml:space="preserve">). </w:t>
      </w:r>
    </w:p>
    <w:p w14:paraId="0C2E565F" w14:textId="2950D0CD" w:rsidR="00A2493E" w:rsidRPr="00CE15CF" w:rsidRDefault="00A2493E" w:rsidP="00CE15CF">
      <w:pPr>
        <w:pStyle w:val="Paralevel1"/>
      </w:pPr>
      <w:proofErr w:type="gramStart"/>
      <w:r w:rsidRPr="00CE15CF">
        <w:t>According to</w:t>
      </w:r>
      <w:proofErr w:type="gramEnd"/>
      <w:r w:rsidRPr="00CE15CF">
        <w:t xml:space="preserve"> the submission of the </w:t>
      </w:r>
      <w:proofErr w:type="spellStart"/>
      <w:r w:rsidRPr="00CE15CF">
        <w:t>FluoroCouncil</w:t>
      </w:r>
      <w:proofErr w:type="spellEnd"/>
      <w:r w:rsidRPr="00CE15CF">
        <w:t>, reprocessing of PFOI to TFE and HFP takes place via iodine recovery and subsequent pyrolysis (</w:t>
      </w:r>
      <w:proofErr w:type="spellStart"/>
      <w:r w:rsidRPr="00CE15CF">
        <w:t>FluoroCouncil</w:t>
      </w:r>
      <w:proofErr w:type="spellEnd"/>
      <w:r w:rsidRPr="00CE15CF">
        <w:t>, 2018</w:t>
      </w:r>
      <w:r w:rsidR="003C39D9" w:rsidRPr="00CE15CF">
        <w:t>a</w:t>
      </w:r>
      <w:r w:rsidRPr="00CE15CF">
        <w:t xml:space="preserve">). TFE and HFP are both non-POP substances. They are used by the facility </w:t>
      </w:r>
      <w:r w:rsidR="000267CF" w:rsidRPr="00CE15CF">
        <w:t xml:space="preserve">in the Republic of Korea </w:t>
      </w:r>
      <w:r w:rsidRPr="00CE15CF">
        <w:t xml:space="preserve">as raw materials </w:t>
      </w:r>
      <w:proofErr w:type="gramStart"/>
      <w:r w:rsidRPr="00CE15CF">
        <w:t>for the production of</w:t>
      </w:r>
      <w:proofErr w:type="gramEnd"/>
      <w:r w:rsidRPr="00CE15CF">
        <w:t xml:space="preserve"> fluoropolymers and C</w:t>
      </w:r>
      <w:r w:rsidRPr="00CE15CF">
        <w:rPr>
          <w:vertAlign w:val="subscript"/>
        </w:rPr>
        <w:t>6</w:t>
      </w:r>
      <w:r w:rsidRPr="00CE15CF">
        <w:t xml:space="preserve"> fluorotelomers. No significant additional releases of PFOI are expected from this process compared to PFOI incineration, particularly as transport would be required in the absence of on-site iodine recovery and given possible emissions from incineration. </w:t>
      </w:r>
      <w:proofErr w:type="gramStart"/>
      <w:r w:rsidRPr="00CE15CF">
        <w:t>In the event that</w:t>
      </w:r>
      <w:proofErr w:type="gramEnd"/>
      <w:r w:rsidRPr="00CE15CF">
        <w:t xml:space="preserve"> the exemption request is not granted, </w:t>
      </w:r>
      <w:proofErr w:type="spellStart"/>
      <w:r w:rsidRPr="00CE15CF">
        <w:t>Archroma</w:t>
      </w:r>
      <w:proofErr w:type="spellEnd"/>
      <w:r w:rsidRPr="00CE15CF">
        <w:t xml:space="preserve"> argued that PFOI could only be stock-piled. As stockpiling is not a viable option, a closure of the production site may have to be envisaged (</w:t>
      </w:r>
      <w:proofErr w:type="spellStart"/>
      <w:r w:rsidRPr="00CE15CF">
        <w:t>FluoroCouncil</w:t>
      </w:r>
      <w:proofErr w:type="spellEnd"/>
      <w:r w:rsidRPr="00CE15CF">
        <w:t>, 2018</w:t>
      </w:r>
      <w:r w:rsidR="003C39D9" w:rsidRPr="00CE15CF">
        <w:t>a</w:t>
      </w:r>
      <w:r w:rsidRPr="00CE15CF">
        <w:t xml:space="preserve">). </w:t>
      </w:r>
    </w:p>
    <w:p w14:paraId="621602EF" w14:textId="77777777" w:rsidR="00A2493E" w:rsidRPr="00CE15CF" w:rsidRDefault="00A2493E" w:rsidP="00CE15CF">
      <w:pPr>
        <w:tabs>
          <w:tab w:val="left" w:pos="426"/>
        </w:tabs>
        <w:snapToGrid w:val="0"/>
        <w:spacing w:after="120"/>
        <w:ind w:left="630"/>
        <w:rPr>
          <w:rFonts w:eastAsia="Times New Roman"/>
          <w:sz w:val="20"/>
          <w:szCs w:val="20"/>
          <w:lang w:eastAsia="en-US"/>
        </w:rPr>
      </w:pPr>
      <w:r w:rsidRPr="00CE15CF">
        <w:rPr>
          <w:rFonts w:eastAsia="Times New Roman"/>
          <w:noProof/>
          <w:sz w:val="20"/>
          <w:szCs w:val="20"/>
          <w:lang w:eastAsia="en-GB"/>
        </w:rPr>
        <w:drawing>
          <wp:inline distT="0" distB="0" distL="0" distR="0" wp14:anchorId="13EBA007" wp14:editId="5166E0EB">
            <wp:extent cx="3619500" cy="2828925"/>
            <wp:effectExtent l="0" t="0" r="0" b="9525"/>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0" cy="2828925"/>
                    </a:xfrm>
                    <a:prstGeom prst="rect">
                      <a:avLst/>
                    </a:prstGeom>
                    <a:noFill/>
                    <a:ln>
                      <a:noFill/>
                    </a:ln>
                  </pic:spPr>
                </pic:pic>
              </a:graphicData>
            </a:graphic>
          </wp:inline>
        </w:drawing>
      </w:r>
    </w:p>
    <w:p w14:paraId="017B87A9" w14:textId="7F97F438" w:rsidR="00A2493E" w:rsidRPr="00CE15CF" w:rsidRDefault="008755D0" w:rsidP="00CE15CF">
      <w:pPr>
        <w:tabs>
          <w:tab w:val="left" w:pos="426"/>
        </w:tabs>
        <w:snapToGrid w:val="0"/>
        <w:spacing w:after="120"/>
        <w:ind w:left="567" w:firstLine="63"/>
        <w:rPr>
          <w:b/>
          <w:sz w:val="20"/>
        </w:rPr>
      </w:pPr>
      <w:r w:rsidRPr="00CE15CF">
        <w:rPr>
          <w:b/>
          <w:sz w:val="20"/>
        </w:rPr>
        <w:lastRenderedPageBreak/>
        <w:t>Figure 4.1 PFOI closed-system reprocessing (</w:t>
      </w:r>
      <w:proofErr w:type="spellStart"/>
      <w:r w:rsidRPr="00CE15CF">
        <w:rPr>
          <w:b/>
          <w:sz w:val="20"/>
        </w:rPr>
        <w:t>FluoroCouncil</w:t>
      </w:r>
      <w:proofErr w:type="spellEnd"/>
      <w:r w:rsidRPr="00CE15CF">
        <w:rPr>
          <w:b/>
          <w:sz w:val="20"/>
        </w:rPr>
        <w:t>, 2018a)</w:t>
      </w:r>
    </w:p>
    <w:p w14:paraId="7B100308" w14:textId="77A2EA1F" w:rsidR="00A2493E" w:rsidRPr="00CE15CF" w:rsidRDefault="00A2493E" w:rsidP="00CE15CF">
      <w:pPr>
        <w:pStyle w:val="Paralevel1"/>
      </w:pPr>
      <w:proofErr w:type="gramStart"/>
      <w:r w:rsidRPr="00CE15CF">
        <w:t>According to</w:t>
      </w:r>
      <w:proofErr w:type="gramEnd"/>
      <w:r w:rsidRPr="00CE15CF">
        <w:t xml:space="preserve"> the </w:t>
      </w:r>
      <w:proofErr w:type="spellStart"/>
      <w:r w:rsidRPr="00CE15CF">
        <w:t>FluoroCouncil</w:t>
      </w:r>
      <w:proofErr w:type="spellEnd"/>
      <w:r w:rsidRPr="00CE15CF">
        <w:t>, developing a technology to conduct the on-site iodine extraction by their member would take several years after the entry into effect of the Convention’s provisions on PFOA and lead to the production of 1-H-PFO that</w:t>
      </w:r>
      <w:r w:rsidR="004237FF" w:rsidRPr="00CE15CF">
        <w:t xml:space="preserve"> currently</w:t>
      </w:r>
      <w:r w:rsidRPr="00CE15CF">
        <w:t xml:space="preserve"> falls under the definition of a PFOA</w:t>
      </w:r>
      <w:r w:rsidR="00142465" w:rsidRPr="00CE15CF">
        <w:t>-</w:t>
      </w:r>
      <w:r w:rsidRPr="00CE15CF">
        <w:t xml:space="preserve">related </w:t>
      </w:r>
      <w:r w:rsidR="00142465" w:rsidRPr="00CE15CF">
        <w:t>compound</w:t>
      </w:r>
      <w:r w:rsidRPr="00CE15CF">
        <w:t xml:space="preserve">. substance. </w:t>
      </w:r>
      <w:r w:rsidR="004237FF" w:rsidRPr="00CE15CF">
        <w:t xml:space="preserve">The </w:t>
      </w:r>
      <w:proofErr w:type="spellStart"/>
      <w:r w:rsidR="004237FF" w:rsidRPr="00CE15CF">
        <w:t>FluoroCouncil</w:t>
      </w:r>
      <w:proofErr w:type="spellEnd"/>
      <w:r w:rsidR="004237FF" w:rsidRPr="00CE15CF">
        <w:t xml:space="preserve"> argues that degradation of 1-H-PFO to PFOA has never been observed. Provided 1-H-PFO would not be identified as a PFOA-related </w:t>
      </w:r>
      <w:r w:rsidR="00DA208B" w:rsidRPr="00CE15CF">
        <w:t>compound</w:t>
      </w:r>
      <w:r w:rsidR="004237FF" w:rsidRPr="00CE15CF">
        <w:t>, the transformation of PFOI to 1-H-PFO under a closed system may become eligible to the general exemption provided for in Annex A, Part I, note (iii) or Annex B, Part I, note (iii) for the use of on-site intermediates under closed system in the production of non-POP substances (</w:t>
      </w:r>
      <w:proofErr w:type="spellStart"/>
      <w:r w:rsidR="004237FF" w:rsidRPr="00CE15CF">
        <w:t>FluoroCouncil</w:t>
      </w:r>
      <w:proofErr w:type="spellEnd"/>
      <w:r w:rsidR="004237FF" w:rsidRPr="00CE15CF">
        <w:t>, 2018a). T</w:t>
      </w:r>
      <w:r w:rsidRPr="00CE15CF">
        <w:t xml:space="preserve">he viability of on-site iodine extraction will depend on the status of the substance, 1-H-PFO. 1-H-PFO, not PFOI, would </w:t>
      </w:r>
      <w:r w:rsidR="001E6576" w:rsidRPr="00CE15CF">
        <w:t xml:space="preserve">then need to </w:t>
      </w:r>
      <w:r w:rsidRPr="00CE15CF">
        <w:t>be transported for reprocessing. Additional information on the status of 1-H-PFO as a PFOA</w:t>
      </w:r>
      <w:r w:rsidR="00142465" w:rsidRPr="00CE15CF">
        <w:t>-</w:t>
      </w:r>
      <w:r w:rsidRPr="00CE15CF">
        <w:t xml:space="preserve">related </w:t>
      </w:r>
      <w:r w:rsidR="00142465" w:rsidRPr="00CE15CF">
        <w:t>compound</w:t>
      </w:r>
      <w:r w:rsidRPr="00CE15CF">
        <w:t xml:space="preserve"> can be found in the section on the chemical identity (see </w:t>
      </w:r>
      <w:r w:rsidR="00FF7829" w:rsidRPr="00CE15CF">
        <w:t xml:space="preserve">section </w:t>
      </w:r>
      <w:r w:rsidRPr="00CE15CF">
        <w:t xml:space="preserve">2 on chemical identity). </w:t>
      </w:r>
    </w:p>
    <w:p w14:paraId="7E360682" w14:textId="77777777" w:rsidR="008755D0" w:rsidRPr="00CE15CF" w:rsidRDefault="00A2493E" w:rsidP="00CE15CF">
      <w:pPr>
        <w:tabs>
          <w:tab w:val="left" w:pos="426"/>
        </w:tabs>
        <w:snapToGrid w:val="0"/>
        <w:spacing w:after="120"/>
        <w:ind w:left="720"/>
        <w:rPr>
          <w:rFonts w:eastAsia="Times New Roman"/>
          <w:sz w:val="20"/>
          <w:szCs w:val="20"/>
          <w:lang w:eastAsia="en-US"/>
        </w:rPr>
      </w:pPr>
      <w:r w:rsidRPr="00CE15CF">
        <w:rPr>
          <w:rFonts w:eastAsia="Times New Roman"/>
          <w:sz w:val="20"/>
          <w:szCs w:val="20"/>
          <w:lang w:eastAsia="en-US"/>
        </w:rPr>
        <w:tab/>
      </w:r>
      <w:r w:rsidRPr="00CE15CF">
        <w:rPr>
          <w:rFonts w:eastAsia="Times New Roman"/>
          <w:noProof/>
          <w:sz w:val="20"/>
          <w:szCs w:val="20"/>
          <w:lang w:eastAsia="en-GB"/>
        </w:rPr>
        <w:drawing>
          <wp:inline distT="0" distB="0" distL="0" distR="0" wp14:anchorId="72CF6FEF" wp14:editId="0B47F8A4">
            <wp:extent cx="3609975" cy="1495425"/>
            <wp:effectExtent l="0" t="0" r="0" b="0"/>
            <wp:docPr id="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9975" cy="1495425"/>
                    </a:xfrm>
                    <a:prstGeom prst="rect">
                      <a:avLst/>
                    </a:prstGeom>
                    <a:noFill/>
                    <a:ln>
                      <a:noFill/>
                    </a:ln>
                  </pic:spPr>
                </pic:pic>
              </a:graphicData>
            </a:graphic>
          </wp:inline>
        </w:drawing>
      </w:r>
      <w:bookmarkStart w:id="94" w:name="_Hlk511817800"/>
    </w:p>
    <w:p w14:paraId="6BBB62D4" w14:textId="08C810B8" w:rsidR="008755D0" w:rsidRPr="00CE15CF" w:rsidRDefault="008755D0" w:rsidP="00CE15CF">
      <w:pPr>
        <w:tabs>
          <w:tab w:val="left" w:pos="426"/>
        </w:tabs>
        <w:snapToGrid w:val="0"/>
        <w:spacing w:after="120"/>
        <w:ind w:left="630"/>
      </w:pPr>
      <w:r w:rsidRPr="00CE15CF">
        <w:rPr>
          <w:b/>
          <w:sz w:val="20"/>
        </w:rPr>
        <w:t>Figure 4.2 Current off-site reprocessing procedure (red dotted line) and on-site processing option (green dotted line) (</w:t>
      </w:r>
      <w:proofErr w:type="spellStart"/>
      <w:r w:rsidRPr="00CE15CF">
        <w:rPr>
          <w:b/>
          <w:sz w:val="20"/>
        </w:rPr>
        <w:t>FluoroCouncil</w:t>
      </w:r>
      <w:proofErr w:type="spellEnd"/>
      <w:r w:rsidRPr="00CE15CF">
        <w:rPr>
          <w:b/>
          <w:sz w:val="20"/>
        </w:rPr>
        <w:t>, 2018a)</w:t>
      </w:r>
    </w:p>
    <w:bookmarkEnd w:id="94"/>
    <w:p w14:paraId="58F8BEDB" w14:textId="7EB87510" w:rsidR="00A2493E" w:rsidRPr="00CE15CF" w:rsidRDefault="00A2493E" w:rsidP="00CE15CF">
      <w:pPr>
        <w:pStyle w:val="Paralevel1"/>
      </w:pPr>
      <w:r w:rsidRPr="00CE15CF">
        <w:t xml:space="preserve">The </w:t>
      </w:r>
      <w:proofErr w:type="spellStart"/>
      <w:r w:rsidRPr="00CE15CF">
        <w:t>FluoroCouncil’s</w:t>
      </w:r>
      <w:proofErr w:type="spellEnd"/>
      <w:r w:rsidRPr="00CE15CF">
        <w:t xml:space="preserve"> submission (</w:t>
      </w:r>
      <w:proofErr w:type="spellStart"/>
      <w:r w:rsidRPr="00CE15CF">
        <w:t>FluoroCouncil</w:t>
      </w:r>
      <w:proofErr w:type="spellEnd"/>
      <w:r w:rsidRPr="00CE15CF">
        <w:t>, 2018</w:t>
      </w:r>
      <w:r w:rsidR="003C39D9" w:rsidRPr="00CE15CF">
        <w:t>a</w:t>
      </w:r>
      <w:r w:rsidRPr="00CE15CF">
        <w:t>) explains the intention of one of their members</w:t>
      </w:r>
      <w:r w:rsidR="00B83EE6" w:rsidRPr="00CE15CF">
        <w:t xml:space="preserve">, </w:t>
      </w:r>
      <w:proofErr w:type="spellStart"/>
      <w:r w:rsidR="00B83EE6" w:rsidRPr="00CE15CF">
        <w:t>Archroma</w:t>
      </w:r>
      <w:proofErr w:type="spellEnd"/>
      <w:r w:rsidR="00B83EE6" w:rsidRPr="00CE15CF">
        <w:t>,</w:t>
      </w:r>
      <w:r w:rsidRPr="00CE15CF">
        <w:t xml:space="preserve"> to transport PFOI as an intermediate for reprocessing at another site at least for a transitional period. </w:t>
      </w:r>
      <w:r w:rsidR="002352F3" w:rsidRPr="00CE15CF">
        <w:t xml:space="preserve">The member of the </w:t>
      </w:r>
      <w:proofErr w:type="spellStart"/>
      <w:r w:rsidR="002352F3" w:rsidRPr="00CE15CF">
        <w:t>FluoroCouncil</w:t>
      </w:r>
      <w:proofErr w:type="spellEnd"/>
      <w:r w:rsidR="002352F3" w:rsidRPr="00CE15CF">
        <w:t xml:space="preserve"> submitted information </w:t>
      </w:r>
      <w:r w:rsidR="00671ABE" w:rsidRPr="00CE15CF">
        <w:t xml:space="preserve">regarding </w:t>
      </w:r>
      <w:r w:rsidR="002352F3" w:rsidRPr="00CE15CF">
        <w:t xml:space="preserve">risk management measures </w:t>
      </w:r>
      <w:r w:rsidR="00FA5B73" w:rsidRPr="00CE15CF">
        <w:t xml:space="preserve">to avoid releases. </w:t>
      </w:r>
      <w:r w:rsidRPr="00CE15CF">
        <w:t xml:space="preserve"> </w:t>
      </w:r>
      <w:proofErr w:type="spellStart"/>
      <w:r w:rsidR="001E22A6" w:rsidRPr="00CE15CF">
        <w:t>Archroma</w:t>
      </w:r>
      <w:proofErr w:type="spellEnd"/>
      <w:r w:rsidR="00C32415" w:rsidRPr="00CE15CF">
        <w:t xml:space="preserve"> </w:t>
      </w:r>
      <w:r w:rsidR="00B83EE6" w:rsidRPr="00CE15CF">
        <w:t>claims</w:t>
      </w:r>
      <w:r w:rsidR="00C32415" w:rsidRPr="00CE15CF">
        <w:t xml:space="preserve"> that all steps of the process covered by the exemption request apply the best available techniques and are conducted in closed systems with (1) no contact with water and (2) incineration of off-gases. The only exception relates to the loading/unloading of containers used for the transport of the PFOI fraction, where they claim that strictly controlled conditions are in place</w:t>
      </w:r>
      <w:r w:rsidR="003C39D9" w:rsidRPr="00CE15CF">
        <w:t xml:space="preserve"> (</w:t>
      </w:r>
      <w:proofErr w:type="spellStart"/>
      <w:r w:rsidR="003C39D9" w:rsidRPr="00CE15CF">
        <w:t>FluoroCouncil</w:t>
      </w:r>
      <w:proofErr w:type="spellEnd"/>
      <w:r w:rsidR="003C39D9" w:rsidRPr="00CE15CF">
        <w:t>, 2018b)</w:t>
      </w:r>
      <w:r w:rsidR="000545ED" w:rsidRPr="00CE15CF">
        <w:t>.</w:t>
      </w:r>
      <w:r w:rsidR="00B83EE6" w:rsidRPr="00CE15CF">
        <w:t xml:space="preserve"> </w:t>
      </w:r>
      <w:r w:rsidR="000545ED" w:rsidRPr="00CE15CF">
        <w:t>Independent verification of these processes was not provided</w:t>
      </w:r>
      <w:r w:rsidR="00B83EE6" w:rsidRPr="00CE15CF">
        <w:t>.</w:t>
      </w:r>
    </w:p>
    <w:p w14:paraId="5BEF7082" w14:textId="1A68FD0E" w:rsidR="00C32415" w:rsidRPr="00CE15CF" w:rsidRDefault="001E22A6" w:rsidP="00CE15CF">
      <w:pPr>
        <w:pStyle w:val="Paralevel1"/>
      </w:pPr>
      <w:bookmarkStart w:id="95" w:name="_Toc506913506"/>
      <w:bookmarkStart w:id="96" w:name="_Toc507148961"/>
      <w:proofErr w:type="spellStart"/>
      <w:r w:rsidRPr="00CE15CF">
        <w:t>Archroma</w:t>
      </w:r>
      <w:proofErr w:type="spellEnd"/>
      <w:r w:rsidRPr="00CE15CF">
        <w:t xml:space="preserve"> </w:t>
      </w:r>
      <w:r w:rsidR="007C3B82" w:rsidRPr="00CE15CF">
        <w:t>in</w:t>
      </w:r>
      <w:r w:rsidRPr="00CE15CF">
        <w:t>dicated</w:t>
      </w:r>
      <w:r w:rsidR="007C3B82" w:rsidRPr="00CE15CF">
        <w:t xml:space="preserve"> that the p</w:t>
      </w:r>
      <w:r w:rsidR="00C32415" w:rsidRPr="00CE15CF">
        <w:t xml:space="preserve">roduction personnel </w:t>
      </w:r>
      <w:r w:rsidRPr="00CE15CF">
        <w:t>are</w:t>
      </w:r>
      <w:r w:rsidR="00C32415" w:rsidRPr="00CE15CF">
        <w:t xml:space="preserve"> supervised and trained</w:t>
      </w:r>
      <w:r w:rsidR="007C3B82" w:rsidRPr="00CE15CF">
        <w:t>, that a</w:t>
      </w:r>
      <w:r w:rsidR="00C32415" w:rsidRPr="00CE15CF">
        <w:t xml:space="preserve">ll procedures are well documented and most of them are controlled by a process control system. Maintenance operations, </w:t>
      </w:r>
      <w:r w:rsidRPr="00CE15CF">
        <w:t>(</w:t>
      </w:r>
      <w:r w:rsidR="00C32415" w:rsidRPr="00CE15CF">
        <w:t>typically unclogging</w:t>
      </w:r>
      <w:r w:rsidRPr="00CE15CF">
        <w:t>)</w:t>
      </w:r>
      <w:r w:rsidR="00C32415" w:rsidRPr="00CE15CF">
        <w:t>, are conducted with products which are incinerated after use. The C</w:t>
      </w:r>
      <w:r w:rsidR="00C32415" w:rsidRPr="00CE15CF">
        <w:rPr>
          <w:vertAlign w:val="subscript"/>
        </w:rPr>
        <w:t>6</w:t>
      </w:r>
      <w:r w:rsidR="00C32415" w:rsidRPr="00CE15CF">
        <w:t xml:space="preserve"> production from which the PFOI fraction results, takes place </w:t>
      </w:r>
      <w:r w:rsidRPr="00CE15CF">
        <w:t>in a</w:t>
      </w:r>
      <w:r w:rsidR="00C32415" w:rsidRPr="00CE15CF">
        <w:t xml:space="preserve"> closed system, with all production units being linked by closed pipes. Between the units there are vessels buffering the products. In 2016, </w:t>
      </w:r>
      <w:proofErr w:type="spellStart"/>
      <w:r w:rsidR="00C32415" w:rsidRPr="00CE15CF">
        <w:t>Archroma</w:t>
      </w:r>
      <w:proofErr w:type="spellEnd"/>
      <w:r w:rsidR="00C32415" w:rsidRPr="00CE15CF">
        <w:t xml:space="preserve"> made significant investments which have terminated any contact with water during production, thereby preventing any presence of fluorinated chemistry in waste water</w:t>
      </w:r>
      <w:r w:rsidR="003C39D9" w:rsidRPr="00CE15CF">
        <w:t xml:space="preserve"> (</w:t>
      </w:r>
      <w:proofErr w:type="spellStart"/>
      <w:r w:rsidR="003C39D9" w:rsidRPr="00CE15CF">
        <w:t>FluoroCouncil</w:t>
      </w:r>
      <w:proofErr w:type="spellEnd"/>
      <w:r w:rsidR="003C39D9" w:rsidRPr="00CE15CF">
        <w:t>, 2018b)</w:t>
      </w:r>
      <w:r w:rsidR="00C32415" w:rsidRPr="00CE15CF">
        <w:t>. The</w:t>
      </w:r>
      <w:r w:rsidR="00920614" w:rsidRPr="00CE15CF">
        <w:t>y report that the</w:t>
      </w:r>
      <w:r w:rsidR="00C32415" w:rsidRPr="00CE15CF">
        <w:t xml:space="preserve"> only possible emissions are in the off-gases which are incinerated.</w:t>
      </w:r>
      <w:r w:rsidR="007C3B82" w:rsidRPr="00CE15CF">
        <w:t xml:space="preserve"> </w:t>
      </w:r>
      <w:r w:rsidR="00C32415" w:rsidRPr="00CE15CF">
        <w:t xml:space="preserve">The loading and unloading steps for transport in containers take place with local ventilation. </w:t>
      </w:r>
      <w:proofErr w:type="spellStart"/>
      <w:r w:rsidR="00C32415" w:rsidRPr="00CE15CF">
        <w:t>Archroma</w:t>
      </w:r>
      <w:proofErr w:type="spellEnd"/>
      <w:r w:rsidR="00C32415" w:rsidRPr="00CE15CF">
        <w:t xml:space="preserve"> </w:t>
      </w:r>
      <w:r w:rsidR="002E1A32" w:rsidRPr="00CE15CF">
        <w:t xml:space="preserve">claims </w:t>
      </w:r>
      <w:r w:rsidR="00C32415" w:rsidRPr="00CE15CF">
        <w:t>that the PFOI fraction is in a liquid form with a very low volatility which further reduces the risk of emissions. The air flow is then filtered by activated carbon adsorption. Filters are incinerated. The workers conducting the operation wear a protective gear.</w:t>
      </w:r>
      <w:r w:rsidR="007C3B82" w:rsidRPr="00CE15CF">
        <w:t xml:space="preserve"> </w:t>
      </w:r>
      <w:proofErr w:type="spellStart"/>
      <w:r w:rsidR="002E1A32" w:rsidRPr="00CE15CF">
        <w:t>Archroma</w:t>
      </w:r>
      <w:proofErr w:type="spellEnd"/>
      <w:r w:rsidR="002E1A32" w:rsidRPr="00CE15CF">
        <w:t xml:space="preserve"> claims that the</w:t>
      </w:r>
      <w:r w:rsidR="00C32415" w:rsidRPr="00CE15CF">
        <w:t xml:space="preserve"> transport of the entire unintentional side fraction takes place in dedicated containers and with an experienced specialised shipment company for chemicals. The</w:t>
      </w:r>
      <w:r w:rsidR="000545ED" w:rsidRPr="00CE15CF">
        <w:t xml:space="preserve"> </w:t>
      </w:r>
      <w:r w:rsidR="00C32415" w:rsidRPr="00CE15CF">
        <w:t>transformation of PFOI into TFE and HFP including intermediary steps of iodine extraction, pyrolysis and distillation, take place under closed system and in inert gas conditions</w:t>
      </w:r>
      <w:r w:rsidR="002E1A32" w:rsidRPr="00CE15CF">
        <w:t xml:space="preserve"> and that t</w:t>
      </w:r>
      <w:r w:rsidR="00C32415" w:rsidRPr="00CE15CF">
        <w:t xml:space="preserve">he process is water free. </w:t>
      </w:r>
      <w:proofErr w:type="spellStart"/>
      <w:r w:rsidR="002E1A32" w:rsidRPr="00CE15CF">
        <w:t>Archroma</w:t>
      </w:r>
      <w:proofErr w:type="spellEnd"/>
      <w:r w:rsidR="002E1A32" w:rsidRPr="00CE15CF">
        <w:t xml:space="preserve"> claims that t</w:t>
      </w:r>
      <w:r w:rsidR="00C32415" w:rsidRPr="00CE15CF">
        <w:t>he only possible emissions are in the residual off-gases which are incinerated</w:t>
      </w:r>
      <w:r w:rsidR="00927EE5" w:rsidRPr="00CE15CF">
        <w:t xml:space="preserve"> (2018)</w:t>
      </w:r>
      <w:r w:rsidR="00C32415" w:rsidRPr="00CE15CF">
        <w:t>.</w:t>
      </w:r>
      <w:r w:rsidR="002E1A32" w:rsidRPr="00CE15CF">
        <w:t xml:space="preserve"> </w:t>
      </w:r>
      <w:r w:rsidR="000545ED" w:rsidRPr="00CE15CF">
        <w:t>Independent verification of these processes was not provided</w:t>
      </w:r>
      <w:r w:rsidR="002E1A32" w:rsidRPr="00CE15CF">
        <w:t>.</w:t>
      </w:r>
      <w:r w:rsidR="0099612C" w:rsidRPr="00CE15CF">
        <w:t xml:space="preserve"> </w:t>
      </w:r>
    </w:p>
    <w:p w14:paraId="6BFC7A96" w14:textId="6E4C259B" w:rsidR="00DF21FE" w:rsidRPr="00CE15CF" w:rsidRDefault="00C32415" w:rsidP="00370BD5">
      <w:pPr>
        <w:pStyle w:val="Paralevel1"/>
        <w:keepNext/>
        <w:keepLines/>
      </w:pPr>
      <w:r w:rsidRPr="00CE15CF">
        <w:lastRenderedPageBreak/>
        <w:t xml:space="preserve">A summary of </w:t>
      </w:r>
      <w:proofErr w:type="spellStart"/>
      <w:r w:rsidR="000545ED" w:rsidRPr="00CE15CF">
        <w:t>Archroma’s</w:t>
      </w:r>
      <w:proofErr w:type="spellEnd"/>
      <w:r w:rsidRPr="00CE15CF">
        <w:t xml:space="preserve"> risk-management measures in place are displayed below:</w:t>
      </w:r>
    </w:p>
    <w:p w14:paraId="0E978FAC" w14:textId="769A81DC" w:rsidR="00F23A63" w:rsidRPr="00CE15CF" w:rsidRDefault="00F23A63" w:rsidP="00370BD5">
      <w:pPr>
        <w:pStyle w:val="Paralevel1"/>
        <w:keepNext/>
        <w:keepLines/>
        <w:numPr>
          <w:ilvl w:val="0"/>
          <w:numId w:val="0"/>
        </w:numPr>
        <w:ind w:left="619"/>
      </w:pPr>
      <w:r w:rsidRPr="00CE15CF">
        <w:rPr>
          <w:noProof/>
          <w:lang w:eastAsia="en-GB"/>
        </w:rPr>
        <w:drawing>
          <wp:inline distT="0" distB="0" distL="0" distR="0" wp14:anchorId="2074DDAB" wp14:editId="056AB283">
            <wp:extent cx="3534410" cy="2251437"/>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34410" cy="2251437"/>
                    </a:xfrm>
                    <a:prstGeom prst="rect">
                      <a:avLst/>
                    </a:prstGeom>
                  </pic:spPr>
                </pic:pic>
              </a:graphicData>
            </a:graphic>
          </wp:inline>
        </w:drawing>
      </w:r>
    </w:p>
    <w:p w14:paraId="468D17EA" w14:textId="77777777" w:rsidR="008755D0" w:rsidRPr="00CE15CF" w:rsidRDefault="008755D0" w:rsidP="00CE15CF">
      <w:pPr>
        <w:pStyle w:val="Titlefigure"/>
        <w:spacing w:after="120"/>
        <w:ind w:left="619"/>
      </w:pPr>
      <w:r w:rsidRPr="00CE15CF">
        <w:t>Figure 4.3 Risk-management measures for the handling of the PFOI fraction (</w:t>
      </w:r>
      <w:proofErr w:type="spellStart"/>
      <w:r w:rsidRPr="00CE15CF">
        <w:t>Flurocouncil</w:t>
      </w:r>
      <w:proofErr w:type="spellEnd"/>
      <w:r w:rsidRPr="00CE15CF">
        <w:t>, 2018b)</w:t>
      </w:r>
    </w:p>
    <w:p w14:paraId="66089B79" w14:textId="3E93D2CA" w:rsidR="001D6A57" w:rsidRPr="00CE15CF" w:rsidRDefault="001D6A57" w:rsidP="00CE15CF">
      <w:pPr>
        <w:pStyle w:val="Paralevel1"/>
      </w:pPr>
      <w:r w:rsidRPr="00CE15CF">
        <w:t>IPEN and ACAT state that the proposed transport exemption would undermine the integrity of the Stockholm Convention in that (they argue) the fluorochemical industry proposed the exemption to enable production of unspecified C</w:t>
      </w:r>
      <w:r w:rsidRPr="00CE15CF">
        <w:rPr>
          <w:vertAlign w:val="subscript"/>
        </w:rPr>
        <w:t>6</w:t>
      </w:r>
      <w:r w:rsidRPr="00CE15CF">
        <w:t xml:space="preserve"> fluorotelomers, but these substances have not been evaluated (or even named) to determine if they meet the POPs criteria in Annex D, making it impossible to take the POPs criteria into account as required for </w:t>
      </w:r>
      <w:r w:rsidR="00370BD5">
        <w:br/>
      </w:r>
      <w:r w:rsidRPr="00CE15CF">
        <w:t>closed-system, site-limited intermediates. The data that do exist for commonly manufactured C</w:t>
      </w:r>
      <w:r w:rsidRPr="00CE15CF">
        <w:rPr>
          <w:vertAlign w:val="subscript"/>
        </w:rPr>
        <w:t>6</w:t>
      </w:r>
      <w:r w:rsidRPr="00CE15CF">
        <w:t xml:space="preserve"> fluorotelomers indicates that these substances have properties that raise concerns for POPs properties (IPEN and ACAT, 2018</w:t>
      </w:r>
      <w:r w:rsidR="003C39D9" w:rsidRPr="00CE15CF">
        <w:t>a</w:t>
      </w:r>
      <w:r w:rsidRPr="00CE15CF">
        <w:t>). As an example, IPEN and ACAT provided information from peer-reviewed publications on the properties of 6:2 fluorotelomer alcohol (6:2 FTOH) (IPEN and ACAT, 2018</w:t>
      </w:r>
      <w:r w:rsidR="003C39D9" w:rsidRPr="00CE15CF">
        <w:t>a</w:t>
      </w:r>
      <w:r w:rsidRPr="00CE15CF">
        <w:t xml:space="preserve">). </w:t>
      </w:r>
      <w:r w:rsidR="000C0DEB" w:rsidRPr="00CE15CF">
        <w:t>In addition, China raised concern</w:t>
      </w:r>
      <w:r w:rsidR="00D53F04" w:rsidRPr="00CE15CF">
        <w:t>s</w:t>
      </w:r>
      <w:r w:rsidR="000C0DEB" w:rsidRPr="00CE15CF">
        <w:t xml:space="preserve"> about an increased use of </w:t>
      </w:r>
      <w:r w:rsidR="00D53F04" w:rsidRPr="00CE15CF">
        <w:t xml:space="preserve">6:2 PFAS that can lead to an increased concentration of 6:2 FTCA in the environment (China, 2018). </w:t>
      </w:r>
    </w:p>
    <w:p w14:paraId="09C31D37" w14:textId="40481D12" w:rsidR="00F23A63" w:rsidRPr="00CE15CF" w:rsidRDefault="008705F8" w:rsidP="00CE15CF">
      <w:pPr>
        <w:pStyle w:val="Paralevel1"/>
      </w:pPr>
      <w:r w:rsidRPr="00CE15CF">
        <w:t xml:space="preserve">In conclusion, IPEN and ACAT (2018) suggest that the </w:t>
      </w:r>
      <w:r w:rsidR="0035075D" w:rsidRPr="00CE15CF">
        <w:t xml:space="preserve">Committee </w:t>
      </w:r>
      <w:r w:rsidRPr="00CE15CF">
        <w:t xml:space="preserve">should not recommend an exemption for non-site-limited isolated intermediates. The proposed exemption would, </w:t>
      </w:r>
      <w:proofErr w:type="gramStart"/>
      <w:r w:rsidRPr="00CE15CF">
        <w:t>according to</w:t>
      </w:r>
      <w:proofErr w:type="gramEnd"/>
      <w:r w:rsidRPr="00CE15CF">
        <w:t xml:space="preserve"> IPEN and ACAT, also open the door to waste dumping in developing and transition countries under the guise of “reprocessing”.  IPEN and ACAT argue that this exemption could result in significant further releases of PFOA (IPEN and ACAT, 2018</w:t>
      </w:r>
      <w:r w:rsidR="003C39D9" w:rsidRPr="00CE15CF">
        <w:t>a</w:t>
      </w:r>
      <w:r w:rsidRPr="00CE15CF">
        <w:t xml:space="preserve">). </w:t>
      </w:r>
      <w:proofErr w:type="spellStart"/>
      <w:r w:rsidR="00165CB7" w:rsidRPr="00CE15CF">
        <w:t>Archroma</w:t>
      </w:r>
      <w:proofErr w:type="spellEnd"/>
      <w:r w:rsidR="00165CB7" w:rsidRPr="00CE15CF">
        <w:t xml:space="preserve"> </w:t>
      </w:r>
      <w:r w:rsidR="003C044A" w:rsidRPr="00CE15CF">
        <w:t xml:space="preserve">argues that </w:t>
      </w:r>
      <w:r w:rsidR="00E1097A" w:rsidRPr="00CE15CF">
        <w:t>the transport</w:t>
      </w:r>
      <w:r w:rsidR="003C044A" w:rsidRPr="00CE15CF">
        <w:t xml:space="preserve"> would be subject to the strict rules of Article 3 of the Convention.</w:t>
      </w:r>
    </w:p>
    <w:p w14:paraId="59BEC447" w14:textId="3C6CB98F" w:rsidR="00A2493E" w:rsidRPr="00CE15CF" w:rsidRDefault="00A2493E" w:rsidP="00CE15CF">
      <w:pPr>
        <w:pStyle w:val="StyleHeading3h3123SecTimesNewRomanBold"/>
      </w:pPr>
      <w:bookmarkStart w:id="97" w:name="_Toc515267911"/>
      <w:r w:rsidRPr="00CE15CF">
        <w:t>Information on alternatives</w:t>
      </w:r>
      <w:bookmarkEnd w:id="95"/>
      <w:bookmarkEnd w:id="96"/>
      <w:bookmarkEnd w:id="97"/>
    </w:p>
    <w:p w14:paraId="067CC724" w14:textId="5B0C03D8" w:rsidR="00A2493E" w:rsidRPr="00CE15CF" w:rsidRDefault="00A2493E" w:rsidP="00CE15CF">
      <w:pPr>
        <w:pStyle w:val="Paralevel1"/>
      </w:pPr>
      <w:r w:rsidRPr="00CE15CF">
        <w:t xml:space="preserve">The </w:t>
      </w:r>
      <w:proofErr w:type="spellStart"/>
      <w:r w:rsidRPr="00CE15CF">
        <w:t>FluoroCouncil</w:t>
      </w:r>
      <w:proofErr w:type="spellEnd"/>
      <w:r w:rsidRPr="00CE15CF">
        <w:t xml:space="preserve"> does not mention alternative substances; however, they mention the possibility of on-site treatment of PFOI. This process will reportedly not be available in due time and would lead to the generation of </w:t>
      </w:r>
      <w:r w:rsidR="00370BD5">
        <w:br/>
      </w:r>
      <w:r w:rsidRPr="00CE15CF">
        <w:t xml:space="preserve">1-H-PFO, which </w:t>
      </w:r>
      <w:r w:rsidR="000B2126" w:rsidRPr="00CE15CF">
        <w:t xml:space="preserve">currently </w:t>
      </w:r>
      <w:r w:rsidRPr="00CE15CF">
        <w:t>falls under the definition of a PFOA</w:t>
      </w:r>
      <w:r w:rsidR="00142465" w:rsidRPr="00CE15CF">
        <w:t>-</w:t>
      </w:r>
      <w:r w:rsidRPr="00CE15CF">
        <w:t xml:space="preserve">related </w:t>
      </w:r>
      <w:r w:rsidR="00142465" w:rsidRPr="00CE15CF">
        <w:t>compound</w:t>
      </w:r>
      <w:r w:rsidRPr="00CE15CF">
        <w:t xml:space="preserve">. The </w:t>
      </w:r>
      <w:proofErr w:type="spellStart"/>
      <w:r w:rsidRPr="00CE15CF">
        <w:t>FluoroCouncil</w:t>
      </w:r>
      <w:proofErr w:type="spellEnd"/>
      <w:r w:rsidRPr="00CE15CF">
        <w:t xml:space="preserve"> argues that </w:t>
      </w:r>
      <w:r w:rsidR="00370BD5">
        <w:br/>
      </w:r>
      <w:r w:rsidRPr="00CE15CF">
        <w:t xml:space="preserve">1-H-PFO should not be considered a PFOA-related </w:t>
      </w:r>
      <w:r w:rsidR="00DA208B" w:rsidRPr="00CE15CF">
        <w:t>compound</w:t>
      </w:r>
      <w:r w:rsidRPr="00CE15CF">
        <w:t xml:space="preserve">. </w:t>
      </w:r>
    </w:p>
    <w:p w14:paraId="7BF06067" w14:textId="7CC6CBEF" w:rsidR="00A2493E" w:rsidRPr="00CE15CF" w:rsidRDefault="00A2493E" w:rsidP="00CE15CF">
      <w:pPr>
        <w:pStyle w:val="StyleHeading3h3123SecTimesNewRomanBold"/>
      </w:pPr>
      <w:bookmarkStart w:id="98" w:name="_Toc506913507"/>
      <w:bookmarkStart w:id="99" w:name="_Toc507148962"/>
      <w:bookmarkStart w:id="100" w:name="_Toc515267912"/>
      <w:r w:rsidRPr="00CE15CF">
        <w:t>Information on impacts on society</w:t>
      </w:r>
      <w:bookmarkEnd w:id="98"/>
      <w:bookmarkEnd w:id="99"/>
      <w:bookmarkEnd w:id="100"/>
    </w:p>
    <w:p w14:paraId="4FAF55B0" w14:textId="2CD76B0E" w:rsidR="00A2493E" w:rsidRPr="00CE15CF" w:rsidRDefault="00A2493E" w:rsidP="00CE15CF">
      <w:pPr>
        <w:pStyle w:val="Paralevel1"/>
      </w:pPr>
      <w:r w:rsidRPr="00CE15CF">
        <w:t xml:space="preserve">The </w:t>
      </w:r>
      <w:proofErr w:type="spellStart"/>
      <w:r w:rsidRPr="00CE15CF">
        <w:t>FluoroCouncil</w:t>
      </w:r>
      <w:proofErr w:type="spellEnd"/>
      <w:r w:rsidRPr="00CE15CF">
        <w:t xml:space="preserve"> argues that the need for on-site storage if an exemption is not granted might lead to closure of the production site of their member company. </w:t>
      </w:r>
      <w:r w:rsidR="004A6A1F" w:rsidRPr="00CE15CF">
        <w:t xml:space="preserve">A closure would lead to direct job losses and impact suppliers and downstream users. </w:t>
      </w:r>
      <w:r w:rsidRPr="00CE15CF">
        <w:t xml:space="preserve"> </w:t>
      </w:r>
      <w:r w:rsidR="004B732B" w:rsidRPr="00CE15CF">
        <w:t>A treatment of</w:t>
      </w:r>
      <w:r w:rsidRPr="00CE15CF">
        <w:t xml:space="preserve"> the PFOI fraction </w:t>
      </w:r>
      <w:r w:rsidR="004B732B" w:rsidRPr="00CE15CF">
        <w:t>in an incineration facility without iodine extraction is not possible as the iodine content causes rapid corrosion of installations at elevated temperatures (</w:t>
      </w:r>
      <w:proofErr w:type="spellStart"/>
      <w:r w:rsidR="004B732B" w:rsidRPr="00CE15CF">
        <w:t>FluoroCouncil</w:t>
      </w:r>
      <w:proofErr w:type="spellEnd"/>
      <w:r w:rsidR="004B732B" w:rsidRPr="00CE15CF">
        <w:t>, 2018b</w:t>
      </w:r>
      <w:r w:rsidR="00E86F26" w:rsidRPr="00CE15CF">
        <w:t>)</w:t>
      </w:r>
      <w:r w:rsidRPr="00CE15CF">
        <w:t>.</w:t>
      </w:r>
      <w:r w:rsidR="00131B7B" w:rsidRPr="00CE15CF">
        <w:t xml:space="preserve"> </w:t>
      </w:r>
      <w:r w:rsidR="002F7960" w:rsidRPr="00CE15CF">
        <w:t>When considering impacts on society, p</w:t>
      </w:r>
      <w:r w:rsidR="00E86F26" w:rsidRPr="00CE15CF">
        <w:t xml:space="preserve">otential negative </w:t>
      </w:r>
      <w:r w:rsidR="003C39D9" w:rsidRPr="00CE15CF">
        <w:t xml:space="preserve">e.g. </w:t>
      </w:r>
      <w:r w:rsidR="00E86F26" w:rsidRPr="00CE15CF">
        <w:t xml:space="preserve">effects in case of a (accidental) release of </w:t>
      </w:r>
      <w:r w:rsidR="002F7960" w:rsidRPr="00CE15CF">
        <w:t xml:space="preserve">PFOI </w:t>
      </w:r>
      <w:proofErr w:type="gramStart"/>
      <w:r w:rsidR="002F7960" w:rsidRPr="00CE15CF">
        <w:t>have to</w:t>
      </w:r>
      <w:proofErr w:type="gramEnd"/>
      <w:r w:rsidR="002F7960" w:rsidRPr="00CE15CF">
        <w:t xml:space="preserve"> be taken into account.</w:t>
      </w:r>
    </w:p>
    <w:p w14:paraId="3B2AF4DC" w14:textId="37485DCB" w:rsidR="00A2493E" w:rsidRPr="00CE15CF" w:rsidRDefault="00A2493E" w:rsidP="00CE15CF">
      <w:pPr>
        <w:pStyle w:val="StyleHeading3h3123SecTimesNewRomanBold"/>
      </w:pPr>
      <w:bookmarkStart w:id="101" w:name="_Toc506913508"/>
      <w:bookmarkStart w:id="102" w:name="_Toc507148963"/>
      <w:bookmarkStart w:id="103" w:name="_Toc515267913"/>
      <w:r w:rsidRPr="00CE15CF">
        <w:t>Synthesis of information</w:t>
      </w:r>
      <w:bookmarkEnd w:id="101"/>
      <w:bookmarkEnd w:id="102"/>
      <w:bookmarkEnd w:id="103"/>
    </w:p>
    <w:p w14:paraId="2DAF7430" w14:textId="65B41982" w:rsidR="00CE15CF" w:rsidRPr="00CE15CF" w:rsidRDefault="004C33C5" w:rsidP="00CE15CF">
      <w:pPr>
        <w:pStyle w:val="Paralevel1"/>
      </w:pPr>
      <w:r w:rsidRPr="00CE15CF">
        <w:t>A</w:t>
      </w:r>
      <w:r w:rsidR="002F7960" w:rsidRPr="00CE15CF">
        <w:t xml:space="preserve">t sites of </w:t>
      </w:r>
      <w:proofErr w:type="spellStart"/>
      <w:r w:rsidR="00416EE6" w:rsidRPr="00CE15CF">
        <w:t>Archroma</w:t>
      </w:r>
      <w:proofErr w:type="spellEnd"/>
      <w:r w:rsidRPr="00CE15CF">
        <w:t xml:space="preserve"> </w:t>
      </w:r>
      <w:r w:rsidR="00416EE6" w:rsidRPr="00CE15CF">
        <w:t xml:space="preserve">(a </w:t>
      </w:r>
      <w:r w:rsidRPr="00CE15CF">
        <w:t xml:space="preserve">member of the </w:t>
      </w:r>
      <w:proofErr w:type="spellStart"/>
      <w:r w:rsidRPr="00CE15CF">
        <w:t>FluoroCouncil</w:t>
      </w:r>
      <w:proofErr w:type="spellEnd"/>
      <w:r w:rsidR="00416EE6" w:rsidRPr="00CE15CF">
        <w:t>)</w:t>
      </w:r>
      <w:r w:rsidRPr="00CE15CF">
        <w:t xml:space="preserve"> PFOI </w:t>
      </w:r>
      <w:r w:rsidR="002F7960" w:rsidRPr="00CE15CF">
        <w:t>is generated</w:t>
      </w:r>
      <w:r w:rsidRPr="00CE15CF">
        <w:t xml:space="preserve"> as an unintended side fraction </w:t>
      </w:r>
      <w:r w:rsidR="00370BD5">
        <w:br/>
      </w:r>
      <w:r w:rsidRPr="00CE15CF">
        <w:t>(by-product) in the production of C</w:t>
      </w:r>
      <w:r w:rsidRPr="00CE15CF">
        <w:rPr>
          <w:vertAlign w:val="subscript"/>
        </w:rPr>
        <w:t>6</w:t>
      </w:r>
      <w:r w:rsidRPr="00CE15CF">
        <w:t xml:space="preserve"> fluorotelomers. </w:t>
      </w:r>
      <w:proofErr w:type="gramStart"/>
      <w:r w:rsidRPr="00CE15CF">
        <w:t>According to</w:t>
      </w:r>
      <w:proofErr w:type="gramEnd"/>
      <w:r w:rsidRPr="00CE15CF">
        <w:t xml:space="preserve"> the </w:t>
      </w:r>
      <w:proofErr w:type="spellStart"/>
      <w:r w:rsidRPr="00CE15CF">
        <w:t>FluoroCouncil</w:t>
      </w:r>
      <w:proofErr w:type="spellEnd"/>
      <w:r w:rsidRPr="00CE15CF">
        <w:t xml:space="preserve">, their member can currently not process PFOI on-site to TFE and HFP. </w:t>
      </w:r>
      <w:r w:rsidR="00B54229" w:rsidRPr="00CE15CF">
        <w:t xml:space="preserve">Therefore, they are requesting an </w:t>
      </w:r>
      <w:r w:rsidRPr="00CE15CF">
        <w:t xml:space="preserve">exemption for transporting PFOI as an isolated intermediate to another site for reprocessing to TFE and HFP. </w:t>
      </w:r>
      <w:r w:rsidR="00FB125E" w:rsidRPr="00CE15CF">
        <w:t xml:space="preserve">Brown et al (2008) completed modelling studies for 120 substances, which suggested that </w:t>
      </w:r>
      <w:r w:rsidR="00B46BA1" w:rsidRPr="00CE15CF">
        <w:t xml:space="preserve">PFOI is a PFOA-related compound </w:t>
      </w:r>
      <w:r w:rsidR="00FB125E" w:rsidRPr="00CE15CF">
        <w:t xml:space="preserve">with potential </w:t>
      </w:r>
      <w:r w:rsidR="00B46BA1" w:rsidRPr="00CE15CF">
        <w:t>to become an Arctic contaminant</w:t>
      </w:r>
      <w:r w:rsidR="00FB125E" w:rsidRPr="00CE15CF">
        <w:t>. Furthermore</w:t>
      </w:r>
      <w:r w:rsidR="00AE1976" w:rsidRPr="00CE15CF">
        <w:t>,</w:t>
      </w:r>
      <w:r w:rsidR="00FB125E" w:rsidRPr="00CE15CF">
        <w:t xml:space="preserve"> the same study</w:t>
      </w:r>
      <w:r w:rsidR="00B46BA1" w:rsidRPr="00CE15CF">
        <w:t xml:space="preserve"> indicat</w:t>
      </w:r>
      <w:r w:rsidR="00FB125E" w:rsidRPr="00CE15CF">
        <w:t>es</w:t>
      </w:r>
      <w:r w:rsidR="00B46BA1" w:rsidRPr="00CE15CF">
        <w:t xml:space="preserve"> that </w:t>
      </w:r>
      <w:r w:rsidR="00FB125E" w:rsidRPr="00CE15CF">
        <w:t>PFOI</w:t>
      </w:r>
      <w:r w:rsidR="00B46BA1" w:rsidRPr="00CE15CF">
        <w:t xml:space="preserve"> disrupts the endocrine system, </w:t>
      </w:r>
      <w:r w:rsidR="003D19B9" w:rsidRPr="00CE15CF">
        <w:t xml:space="preserve">without possibility that it </w:t>
      </w:r>
      <w:r w:rsidR="00B46BA1" w:rsidRPr="00CE15CF">
        <w:t>may cause long lasting harmful effects to aquatic life.</w:t>
      </w:r>
    </w:p>
    <w:p w14:paraId="4ED37605" w14:textId="5AC27806" w:rsidR="00581B48" w:rsidRPr="00CE15CF" w:rsidRDefault="00B54229" w:rsidP="00CE15CF">
      <w:pPr>
        <w:pStyle w:val="Paralevel1"/>
      </w:pPr>
      <w:proofErr w:type="gramStart"/>
      <w:r w:rsidRPr="00CE15CF">
        <w:t xml:space="preserve">According </w:t>
      </w:r>
      <w:r w:rsidR="000B2126" w:rsidRPr="00CE15CF">
        <w:t>to</w:t>
      </w:r>
      <w:proofErr w:type="gramEnd"/>
      <w:r w:rsidR="000B2126" w:rsidRPr="00CE15CF">
        <w:t xml:space="preserve"> </w:t>
      </w:r>
      <w:proofErr w:type="spellStart"/>
      <w:r w:rsidR="001E22A6" w:rsidRPr="00CE15CF">
        <w:t>Archroma</w:t>
      </w:r>
      <w:proofErr w:type="spellEnd"/>
      <w:r w:rsidR="001E22A6" w:rsidRPr="00CE15CF">
        <w:t xml:space="preserve"> (2018)</w:t>
      </w:r>
      <w:r w:rsidRPr="00CE15CF">
        <w:t>, d</w:t>
      </w:r>
      <w:r w:rsidR="004C33C5" w:rsidRPr="00CE15CF">
        <w:t xml:space="preserve">eveloping a technology to conduct the on-site iodine extraction would take several years after the entry into effect of the Convention’s provisions on PFOA and would lead to the production of 1-H-PFO which currently falls under the definition of a PFOA-related compound. If on-site iodine extraction were in </w:t>
      </w:r>
      <w:r w:rsidR="004C33C5" w:rsidRPr="00CE15CF">
        <w:lastRenderedPageBreak/>
        <w:t xml:space="preserve">place, 1-H-PFO would be transported for reprocessing. </w:t>
      </w:r>
      <w:r w:rsidR="00A1356D" w:rsidRPr="00CE15CF">
        <w:t>If</w:t>
      </w:r>
      <w:r w:rsidR="004C33C5" w:rsidRPr="00CE15CF">
        <w:t xml:space="preserve"> </w:t>
      </w:r>
      <w:r w:rsidR="004C33C5" w:rsidRPr="00CE15CF">
        <w:rPr>
          <w:i/>
        </w:rPr>
        <w:t>1-H-PFO would not be considered a PFOA-related compound</w:t>
      </w:r>
      <w:r w:rsidR="004C33C5" w:rsidRPr="00CE15CF">
        <w:t xml:space="preserve">, </w:t>
      </w:r>
      <w:r w:rsidR="00A1356D" w:rsidRPr="00CE15CF">
        <w:t xml:space="preserve">the company might invest in the on-site iodine extraction and then </w:t>
      </w:r>
      <w:r w:rsidR="004C33C5" w:rsidRPr="00CE15CF">
        <w:t>a transitional exemption would be needed for transporting PFOI as an isolated intermediate to another site for reprocessing to TFE and HFP until on-site</w:t>
      </w:r>
      <w:r w:rsidR="004C33C5" w:rsidRPr="00CE15CF" w:rsidDel="00DC47F0">
        <w:t xml:space="preserve"> </w:t>
      </w:r>
      <w:r w:rsidR="004C33C5" w:rsidRPr="00CE15CF">
        <w:t xml:space="preserve">iodine extraction is possible. </w:t>
      </w:r>
      <w:r w:rsidR="00581B48" w:rsidRPr="00CE15CF">
        <w:t xml:space="preserve">In summary, </w:t>
      </w:r>
      <w:proofErr w:type="spellStart"/>
      <w:r w:rsidR="00581B48" w:rsidRPr="00CE15CF">
        <w:t>Archroma’s</w:t>
      </w:r>
      <w:proofErr w:type="spellEnd"/>
      <w:r w:rsidR="00581B48" w:rsidRPr="00CE15CF">
        <w:t xml:space="preserve"> proposal requires both an exemption for PFOI transport as an intermediate and the reclassifying of 1-H-PFO as not being a PFOA-related compound. </w:t>
      </w:r>
      <w:r w:rsidR="00A2493E" w:rsidRPr="00CE15CF">
        <w:t xml:space="preserve">However, </w:t>
      </w:r>
      <w:r w:rsidR="00A1356D" w:rsidRPr="00CE15CF">
        <w:t>present information indicates that 1-H-PFO should be considered a PFOA-related compound (see paragraph 4</w:t>
      </w:r>
      <w:r w:rsidR="00CE15CF" w:rsidRPr="00CE15CF">
        <w:t>8 above</w:t>
      </w:r>
      <w:r w:rsidR="00A1356D" w:rsidRPr="00CE15CF">
        <w:t xml:space="preserve">). </w:t>
      </w:r>
      <w:r w:rsidR="00BC0B82" w:rsidRPr="00CE15CF">
        <w:t>This topic is currently under discussion at the PBT expert group by the European Chemicals Agency and a conclusion might be available for the 14</w:t>
      </w:r>
      <w:r w:rsidR="00BC0B82" w:rsidRPr="00CE15CF">
        <w:rPr>
          <w:vertAlign w:val="superscript"/>
        </w:rPr>
        <w:t>th</w:t>
      </w:r>
      <w:r w:rsidR="00BC0B82" w:rsidRPr="00CE15CF">
        <w:t xml:space="preserve"> POPRC meeting.</w:t>
      </w:r>
    </w:p>
    <w:p w14:paraId="22880359" w14:textId="78F4EAA7" w:rsidR="001F6B24" w:rsidRPr="00CE15CF" w:rsidRDefault="001F6B24" w:rsidP="00CE15CF">
      <w:pPr>
        <w:pStyle w:val="StyleHeading3h3123SecTimesNewRomanBold"/>
      </w:pPr>
      <w:bookmarkStart w:id="104" w:name="_Toc506913509"/>
      <w:bookmarkStart w:id="105" w:name="_Toc515267914"/>
      <w:r w:rsidRPr="00CE15CF">
        <w:t>Conclusion</w:t>
      </w:r>
      <w:bookmarkEnd w:id="104"/>
      <w:bookmarkEnd w:id="105"/>
    </w:p>
    <w:p w14:paraId="3B375116" w14:textId="5B7CADF0" w:rsidR="001F6B24" w:rsidRPr="00CE15CF" w:rsidRDefault="00292F52" w:rsidP="00CE15CF">
      <w:pPr>
        <w:pStyle w:val="Paralevel1"/>
      </w:pPr>
      <w:r w:rsidRPr="00CE15CF">
        <w:t xml:space="preserve">Based on the evaluation of available information a </w:t>
      </w:r>
      <w:r w:rsidR="000B2126" w:rsidRPr="00CE15CF">
        <w:t xml:space="preserve">specific </w:t>
      </w:r>
      <w:r w:rsidRPr="00CE15CF">
        <w:t>time limited exemption could be considered for the use of PFOI (</w:t>
      </w:r>
      <w:proofErr w:type="spellStart"/>
      <w:r w:rsidR="00CF17FD" w:rsidRPr="00CE15CF">
        <w:t>p</w:t>
      </w:r>
      <w:r w:rsidRPr="00CE15CF">
        <w:t>erfluorooctane</w:t>
      </w:r>
      <w:proofErr w:type="spellEnd"/>
      <w:r w:rsidRPr="00CE15CF">
        <w:t xml:space="preserve"> iodide) as isolated intermediate </w:t>
      </w:r>
      <w:proofErr w:type="gramStart"/>
      <w:r w:rsidRPr="00CE15CF">
        <w:t>in order to</w:t>
      </w:r>
      <w:proofErr w:type="gramEnd"/>
      <w:r w:rsidRPr="00CE15CF">
        <w:t xml:space="preserve"> enable reprocessing to TFE (tetrafluoroethylene) and HFP (hexafluoropropylene) in another site than the production site. </w:t>
      </w:r>
      <w:r w:rsidR="00CB0070" w:rsidRPr="00CE15CF">
        <w:t xml:space="preserve">Based on the information provided, the </w:t>
      </w:r>
      <w:r w:rsidR="00894129" w:rsidRPr="00CE15CF">
        <w:t>C</w:t>
      </w:r>
      <w:r w:rsidR="00CB0070" w:rsidRPr="00CE15CF">
        <w:t xml:space="preserve">ommittee </w:t>
      </w:r>
      <w:proofErr w:type="gramStart"/>
      <w:r w:rsidR="00CB0070" w:rsidRPr="00CE15CF">
        <w:t>has to</w:t>
      </w:r>
      <w:proofErr w:type="gramEnd"/>
      <w:r w:rsidR="00CB0070" w:rsidRPr="00CE15CF">
        <w:t xml:space="preserve"> decide whether an exemption should be given</w:t>
      </w:r>
      <w:r w:rsidR="00894129" w:rsidRPr="00CE15CF">
        <w:t>.</w:t>
      </w:r>
      <w:r w:rsidR="00CB0070" w:rsidRPr="00CE15CF" w:rsidDel="00CB0070">
        <w:t xml:space="preserve"> </w:t>
      </w:r>
      <w:bookmarkStart w:id="106" w:name="_Toc507148965"/>
    </w:p>
    <w:p w14:paraId="4C25DFE5" w14:textId="163A404F" w:rsidR="004D5B0D" w:rsidRPr="00CE15CF" w:rsidRDefault="00D519A6" w:rsidP="00CE15CF">
      <w:pPr>
        <w:pStyle w:val="StyleHeading2u2h2ABC2ChptTimesNewRoman12ptBef1"/>
      </w:pPr>
      <w:bookmarkStart w:id="107" w:name="_Toc515267915"/>
      <w:r w:rsidRPr="00CE15CF">
        <w:t xml:space="preserve">(c) </w:t>
      </w:r>
      <w:r w:rsidR="004C33C5" w:rsidRPr="00CE15CF">
        <w:t>Medical devices other than implantable devices</w:t>
      </w:r>
      <w:bookmarkEnd w:id="106"/>
      <w:bookmarkEnd w:id="107"/>
    </w:p>
    <w:p w14:paraId="618CFD75" w14:textId="15F58AC5" w:rsidR="00EA1B5A" w:rsidRPr="00CE15CF" w:rsidRDefault="00EA1B5A" w:rsidP="00CE15CF">
      <w:pPr>
        <w:pStyle w:val="StyleHeading3h3123SecTimesNewRomanBold"/>
      </w:pPr>
      <w:bookmarkStart w:id="108" w:name="_Toc507148966"/>
      <w:bookmarkStart w:id="109" w:name="_Toc515267916"/>
      <w:r w:rsidRPr="00CE15CF">
        <w:t>Introduction</w:t>
      </w:r>
      <w:bookmarkEnd w:id="108"/>
      <w:bookmarkEnd w:id="109"/>
    </w:p>
    <w:p w14:paraId="128A5D95" w14:textId="79DA3008" w:rsidR="00C1086F" w:rsidRPr="00CE15CF" w:rsidRDefault="00C1086F" w:rsidP="00CE15CF">
      <w:pPr>
        <w:pStyle w:val="Paralevel1"/>
      </w:pPr>
      <w:r w:rsidRPr="00CE15CF">
        <w:t xml:space="preserve">The RME for PFOA highlighted a potential need for </w:t>
      </w:r>
      <w:r w:rsidR="00655C09" w:rsidRPr="00CE15CF">
        <w:t xml:space="preserve">more information about a possible </w:t>
      </w:r>
      <w:r w:rsidRPr="00CE15CF">
        <w:t>exemption for medical devices</w:t>
      </w:r>
      <w:r w:rsidR="00E8142F" w:rsidRPr="00CE15CF">
        <w:t xml:space="preserve">. </w:t>
      </w:r>
      <w:r w:rsidRPr="00CE15CF">
        <w:t>The request for information specifically requested information on specific applications/uses and timelines foreseen as needed for potential related exemptions.</w:t>
      </w:r>
    </w:p>
    <w:p w14:paraId="08F67C1D" w14:textId="5929BABC" w:rsidR="003D1AD6" w:rsidRPr="00CE15CF" w:rsidRDefault="003D1AD6" w:rsidP="00CE15CF">
      <w:pPr>
        <w:pStyle w:val="Paralevel1"/>
      </w:pPr>
      <w:r w:rsidRPr="00CE15CF">
        <w:t xml:space="preserve">Relevant information was submitted by Canada (2018), IPEN and ACAT (2018) and </w:t>
      </w:r>
      <w:proofErr w:type="spellStart"/>
      <w:r w:rsidR="00413D59" w:rsidRPr="00CE15CF">
        <w:t>MedTech</w:t>
      </w:r>
      <w:proofErr w:type="spellEnd"/>
      <w:r w:rsidRPr="00CE15CF">
        <w:t xml:space="preserve"> Europe </w:t>
      </w:r>
      <w:r w:rsidR="003C4F48" w:rsidRPr="00CE15CF">
        <w:t xml:space="preserve">industry association </w:t>
      </w:r>
      <w:r w:rsidRPr="00CE15CF">
        <w:t xml:space="preserve">(2018). </w:t>
      </w:r>
      <w:r w:rsidR="009A592B" w:rsidRPr="00CE15CF">
        <w:t>Information related to medical devices including implantable medical devices was also provided by Healthcare Without Harm (HCWH, 2018)</w:t>
      </w:r>
    </w:p>
    <w:p w14:paraId="2F6226D1" w14:textId="27A174FD" w:rsidR="007B5703" w:rsidRPr="00CE15CF" w:rsidRDefault="00413D59" w:rsidP="00CE15CF">
      <w:pPr>
        <w:pStyle w:val="Paralevel1"/>
      </w:pPr>
      <w:proofErr w:type="spellStart"/>
      <w:r w:rsidRPr="00CE15CF">
        <w:t>MedTech</w:t>
      </w:r>
      <w:proofErr w:type="spellEnd"/>
      <w:r w:rsidR="00C1086F" w:rsidRPr="00CE15CF">
        <w:t xml:space="preserve"> </w:t>
      </w:r>
      <w:r w:rsidR="003D1AD6" w:rsidRPr="00CE15CF">
        <w:t xml:space="preserve">Europe </w:t>
      </w:r>
      <w:r w:rsidR="00C1086F" w:rsidRPr="00CE15CF">
        <w:t>(2018) provided details in their submission stating that PFOA and PFOA-related compounds are used within medical settings as both non-polymeric substances and side-chain fluorinated polymers</w:t>
      </w:r>
      <w:r w:rsidR="00C1086F" w:rsidRPr="00CE15CF">
        <w:rPr>
          <w:rStyle w:val="FootnoteReference"/>
        </w:rPr>
        <w:footnoteReference w:id="33"/>
      </w:r>
      <w:r w:rsidR="00C1086F" w:rsidRPr="00CE15CF">
        <w:t xml:space="preserve"> (including PTFE). </w:t>
      </w:r>
      <w:r w:rsidR="007B5703" w:rsidRPr="00CE15CF">
        <w:t>A report by ECHA (2015a) as part of the European restriction estimated global usage of PFOA within medical devices as &lt;5kg p/a (extrapolated from an EU estimate of &lt;1kg p/a and assumed 20% global market share).</w:t>
      </w:r>
    </w:p>
    <w:p w14:paraId="6134E595" w14:textId="613C8AB2" w:rsidR="00C1086F" w:rsidRPr="00CE15CF" w:rsidRDefault="00C1086F" w:rsidP="00CE15CF">
      <w:pPr>
        <w:pStyle w:val="Paralevel1"/>
      </w:pPr>
      <w:r w:rsidRPr="00CE15CF">
        <w:t xml:space="preserve">Within the EU restriction (EU 20171000 amending EC 1907/2006), a time limited exemption (until </w:t>
      </w:r>
      <w:r w:rsidR="000840AD" w:rsidRPr="00CE15CF">
        <w:t xml:space="preserve">4 </w:t>
      </w:r>
      <w:r w:rsidRPr="00CE15CF">
        <w:t xml:space="preserve">July 2032) is given for medical devices other than for certain implantable medical devices within the scope of Directive 93/42/EEC (EU Directive concerning medical devices). </w:t>
      </w:r>
      <w:proofErr w:type="gramStart"/>
      <w:r w:rsidRPr="00CE15CF">
        <w:t>For the production of</w:t>
      </w:r>
      <w:proofErr w:type="gramEnd"/>
      <w:r w:rsidRPr="00CE15CF">
        <w:t xml:space="preserve"> implantable medical devices, an exemption without time limitation is given</w:t>
      </w:r>
      <w:r w:rsidR="00655C09" w:rsidRPr="00CE15CF">
        <w:t xml:space="preserve"> in the EU</w:t>
      </w:r>
      <w:r w:rsidRPr="00CE15CF">
        <w:t xml:space="preserve">. Norway has an exemption in place for medical devices (with no time limit). The import, use, sale and offer for sale of medical devices containing PFOA, its salts or PFOA-related compounds are not restricted in Canada. </w:t>
      </w:r>
      <w:proofErr w:type="gramStart"/>
      <w:r w:rsidRPr="00CE15CF">
        <w:t>According to</w:t>
      </w:r>
      <w:proofErr w:type="gramEnd"/>
      <w:r w:rsidRPr="00CE15CF">
        <w:t xml:space="preserve"> the information submitted by IPEN</w:t>
      </w:r>
      <w:r w:rsidR="009A592B" w:rsidRPr="00CE15CF">
        <w:t xml:space="preserve"> and ACAT</w:t>
      </w:r>
      <w:r w:rsidRPr="00CE15CF">
        <w:t xml:space="preserve"> (2018), </w:t>
      </w:r>
      <w:r w:rsidR="003C4F48" w:rsidRPr="00CE15CF">
        <w:t xml:space="preserve">in line with the provisions of the Convention clarity is needed over the specific use being exempted in order to allow ratified parties to easily enforce it. </w:t>
      </w:r>
      <w:r w:rsidR="00B34D0B" w:rsidRPr="00CE15CF">
        <w:t xml:space="preserve"> Limited data on specific uses within medical devices has been provided.</w:t>
      </w:r>
    </w:p>
    <w:p w14:paraId="455877C5" w14:textId="5DA86825" w:rsidR="00C1086F" w:rsidRPr="00CE15CF" w:rsidRDefault="00C1086F" w:rsidP="00CE15CF">
      <w:pPr>
        <w:pStyle w:val="Paralevel1"/>
      </w:pPr>
      <w:r w:rsidRPr="00CE15CF">
        <w:t xml:space="preserve">The </w:t>
      </w:r>
      <w:r w:rsidR="009A592B" w:rsidRPr="00CE15CF">
        <w:t>RME</w:t>
      </w:r>
      <w:r w:rsidRPr="00CE15CF">
        <w:t xml:space="preserve"> for PFOA noted that an exemption (with or without time limit) could be considered for use of medical devices. However</w:t>
      </w:r>
      <w:r w:rsidR="005C7DC4" w:rsidRPr="00CE15CF">
        <w:t>,</w:t>
      </w:r>
      <w:r w:rsidRPr="00CE15CF">
        <w:t xml:space="preserve"> a conclusion was not reached at POPRC</w:t>
      </w:r>
      <w:r w:rsidR="005C7DC4" w:rsidRPr="00CE15CF">
        <w:t>-</w:t>
      </w:r>
      <w:r w:rsidRPr="00CE15CF">
        <w:t>13</w:t>
      </w:r>
      <w:r w:rsidR="00223F1D" w:rsidRPr="00CE15CF">
        <w:t xml:space="preserve"> and the Committee</w:t>
      </w:r>
      <w:r w:rsidRPr="00CE15CF">
        <w:t xml:space="preserve"> invited </w:t>
      </w:r>
      <w:r w:rsidR="005C7DC4" w:rsidRPr="00CE15CF">
        <w:t>P</w:t>
      </w:r>
      <w:r w:rsidRPr="00CE15CF">
        <w:t>arties and observers to submit further information on specific applications/uses and timelines foreseen as needed for potential related exemptions.</w:t>
      </w:r>
    </w:p>
    <w:p w14:paraId="34F0D5EE" w14:textId="54C4BE12" w:rsidR="004C33C5" w:rsidRPr="00CE15CF" w:rsidRDefault="004C33C5" w:rsidP="00CE15CF">
      <w:pPr>
        <w:pStyle w:val="StyleHeading3h3123SecTimesNewRomanBold"/>
      </w:pPr>
      <w:bookmarkStart w:id="110" w:name="_Toc506913512"/>
      <w:bookmarkStart w:id="111" w:name="_Toc507148967"/>
      <w:bookmarkStart w:id="112" w:name="_Toc515267917"/>
      <w:r w:rsidRPr="00CE15CF">
        <w:t>Efficacy and efficiency of possible control measures</w:t>
      </w:r>
      <w:bookmarkEnd w:id="110"/>
      <w:bookmarkEnd w:id="111"/>
      <w:bookmarkEnd w:id="112"/>
    </w:p>
    <w:p w14:paraId="4B9B1996" w14:textId="20B04EDA" w:rsidR="00656272" w:rsidRPr="00CE15CF" w:rsidRDefault="00656272" w:rsidP="00CE15CF">
      <w:pPr>
        <w:pStyle w:val="Heading3"/>
        <w:numPr>
          <w:ilvl w:val="0"/>
          <w:numId w:val="0"/>
        </w:numPr>
        <w:snapToGrid w:val="0"/>
        <w:spacing w:before="240" w:after="120" w:line="240" w:lineRule="auto"/>
      </w:pPr>
      <w:bookmarkStart w:id="113" w:name="_Toc507148968"/>
      <w:bookmarkStart w:id="114" w:name="_Toc515267918"/>
      <w:r w:rsidRPr="00CE15CF">
        <w:t xml:space="preserve">Identification of uses </w:t>
      </w:r>
      <w:r w:rsidR="0056276B" w:rsidRPr="00CE15CF">
        <w:t xml:space="preserve">of </w:t>
      </w:r>
      <w:r w:rsidRPr="00CE15CF">
        <w:t>PFOA and PFOA-related compounds in medical devices</w:t>
      </w:r>
      <w:bookmarkEnd w:id="113"/>
      <w:bookmarkEnd w:id="114"/>
    </w:p>
    <w:p w14:paraId="5ADAC323" w14:textId="3FBAA841" w:rsidR="00C1086F" w:rsidRPr="00CE15CF" w:rsidRDefault="00413D59" w:rsidP="00CE15CF">
      <w:pPr>
        <w:pStyle w:val="Paralevel1"/>
      </w:pPr>
      <w:proofErr w:type="spellStart"/>
      <w:r w:rsidRPr="00CE15CF">
        <w:t>MedTech</w:t>
      </w:r>
      <w:proofErr w:type="spellEnd"/>
      <w:r w:rsidR="00C1086F" w:rsidRPr="00CE15CF">
        <w:t xml:space="preserve"> (2018) and </w:t>
      </w:r>
      <w:proofErr w:type="spellStart"/>
      <w:r w:rsidR="00C1086F" w:rsidRPr="00CE15CF">
        <w:t>Euromed</w:t>
      </w:r>
      <w:proofErr w:type="spellEnd"/>
      <w:r w:rsidR="00C1086F" w:rsidRPr="00CE15CF">
        <w:t xml:space="preserve"> (2015) commented that medical device manufacturers encompass up to 11,000 suppliers, with supply chains up to five to seven tiers globally. They suggest that the global supply chain makes collection of information on specific applications difficult. </w:t>
      </w:r>
      <w:proofErr w:type="spellStart"/>
      <w:r w:rsidRPr="00CE15CF">
        <w:t>MedTech</w:t>
      </w:r>
      <w:proofErr w:type="spellEnd"/>
      <w:r w:rsidR="00C1086F" w:rsidRPr="00CE15CF">
        <w:t xml:space="preserve"> (2018) further commented that the diverse set of applications and complexity of supply chains makes development of detailed lists of uses extremely challenging. However, </w:t>
      </w:r>
      <w:proofErr w:type="spellStart"/>
      <w:r w:rsidRPr="00CE15CF">
        <w:t>MedTech</w:t>
      </w:r>
      <w:proofErr w:type="spellEnd"/>
      <w:r w:rsidR="00C1086F" w:rsidRPr="00CE15CF">
        <w:t xml:space="preserve"> (2018) noted that based on a survey of their members the pr</w:t>
      </w:r>
      <w:r w:rsidR="00416EE6" w:rsidRPr="00CE15CF">
        <w:t>esence</w:t>
      </w:r>
      <w:r w:rsidR="00C1086F" w:rsidRPr="00CE15CF">
        <w:t xml:space="preserve"> of PFOA and PFOA-related compounds within medical devices will be present as a by-product of PTFE</w:t>
      </w:r>
      <w:r w:rsidR="00416EE6" w:rsidRPr="00CE15CF">
        <w:t xml:space="preserve"> manufacture, where PFOA is used as an emulsifier</w:t>
      </w:r>
      <w:r w:rsidR="00C1086F" w:rsidRPr="00CE15CF">
        <w:t>. The use of PTFE within medical devices is selected based on its chemical resistance, heat resistance, lubrication and biocompatibility</w:t>
      </w:r>
      <w:r w:rsidR="00E8142F" w:rsidRPr="00CE15CF">
        <w:t xml:space="preserve">. </w:t>
      </w:r>
      <w:r w:rsidR="00FE7FA0" w:rsidRPr="00CE15CF">
        <w:t xml:space="preserve">However, it is also important to recognise that alternatives to the use of PFOA </w:t>
      </w:r>
      <w:r w:rsidR="00FE7FA0" w:rsidRPr="00CE15CF">
        <w:lastRenderedPageBreak/>
        <w:t xml:space="preserve">within PTFE, and PFOA-free PTFE products have been developed (discussed further </w:t>
      </w:r>
      <w:r w:rsidR="0056276B" w:rsidRPr="00CE15CF">
        <w:t xml:space="preserve">in section </w:t>
      </w:r>
      <w:r w:rsidR="00FE7FA0" w:rsidRPr="00CE15CF">
        <w:t xml:space="preserve">4.4.3 </w:t>
      </w:r>
      <w:r w:rsidR="001174A3" w:rsidRPr="00CE15CF">
        <w:t xml:space="preserve">on </w:t>
      </w:r>
      <w:r w:rsidR="00FE7FA0" w:rsidRPr="00CE15CF">
        <w:t>information on alternatives)</w:t>
      </w:r>
      <w:r w:rsidR="00726CE2" w:rsidRPr="00CE15CF">
        <w:t xml:space="preserve"> and have passed regulatory tests for commercialisation in some geographies</w:t>
      </w:r>
      <w:r w:rsidR="00FE7FA0" w:rsidRPr="00CE15CF">
        <w:t>.</w:t>
      </w:r>
      <w:r w:rsidR="00E8142F" w:rsidRPr="00CE15CF">
        <w:t xml:space="preserve"> </w:t>
      </w:r>
    </w:p>
    <w:p w14:paraId="157D0D4E" w14:textId="732E91F2" w:rsidR="00C1086F" w:rsidRPr="00CE15CF" w:rsidRDefault="00C1086F" w:rsidP="00CE15CF">
      <w:pPr>
        <w:pStyle w:val="Paralevel1"/>
      </w:pPr>
      <w:r w:rsidRPr="00CE15CF">
        <w:t>The 2010/15 PFOA stewardship program (which is chaired by the US EPA) which includes eight major manufacturers of PFOA globally, has seen the manufacture of PFOA cease in the EU and decrease dramatically in the US and Japan</w:t>
      </w:r>
      <w:r w:rsidR="00150370" w:rsidRPr="00CE15CF">
        <w:t>.</w:t>
      </w:r>
      <w:r w:rsidRPr="00CE15CF">
        <w:rPr>
          <w:rStyle w:val="FootnoteReference"/>
        </w:rPr>
        <w:footnoteReference w:id="34"/>
      </w:r>
      <w:r w:rsidRPr="00CE15CF">
        <w:t xml:space="preserve"> However, </w:t>
      </w:r>
      <w:proofErr w:type="spellStart"/>
      <w:r w:rsidR="00413D59" w:rsidRPr="00CE15CF">
        <w:t>MedTech</w:t>
      </w:r>
      <w:proofErr w:type="spellEnd"/>
      <w:r w:rsidRPr="00CE15CF">
        <w:t xml:space="preserve"> (2018) also commented that the main component production is outside of Europe and may use PFOA (produced in China and India) as a raw material input </w:t>
      </w:r>
      <w:proofErr w:type="gramStart"/>
      <w:r w:rsidRPr="00CE15CF">
        <w:t>for the production of</w:t>
      </w:r>
      <w:proofErr w:type="gramEnd"/>
      <w:r w:rsidRPr="00CE15CF">
        <w:t xml:space="preserve"> the applied polymers (</w:t>
      </w:r>
      <w:proofErr w:type="spellStart"/>
      <w:r w:rsidR="009A0118" w:rsidRPr="00CE15CF">
        <w:t>Euromed</w:t>
      </w:r>
      <w:proofErr w:type="spellEnd"/>
      <w:r w:rsidR="009A0118" w:rsidRPr="00CE15CF">
        <w:t>, 2015</w:t>
      </w:r>
      <w:r w:rsidRPr="00CE15CF">
        <w:t>). Wang et al</w:t>
      </w:r>
      <w:r w:rsidR="002140CD" w:rsidRPr="00CE15CF">
        <w:t>.</w:t>
      </w:r>
      <w:r w:rsidRPr="00CE15CF">
        <w:t xml:space="preserve"> (2014) further commented that new production had begun post-2006 in Asia (particularly India and China) primarily driven by the demand for production of fluoropolymers including PTFE. The paper by Wang et al</w:t>
      </w:r>
      <w:r w:rsidR="002140CD" w:rsidRPr="00CE15CF">
        <w:t>.</w:t>
      </w:r>
      <w:r w:rsidRPr="00CE15CF">
        <w:t xml:space="preserve"> (2014) estimates production of PFOA and PFOA-related products in China as 50</w:t>
      </w:r>
      <w:r w:rsidR="00312896" w:rsidRPr="00CE15CF">
        <w:t>–</w:t>
      </w:r>
      <w:r w:rsidRPr="00CE15CF">
        <w:t>80 tonnes per annum in 2009, but no disaggregation is provided for uses specifically in medical devices.</w:t>
      </w:r>
      <w:r w:rsidR="009A0118" w:rsidRPr="00CE15CF">
        <w:t xml:space="preserve"> </w:t>
      </w:r>
    </w:p>
    <w:p w14:paraId="79742FEA" w14:textId="5CA1F071" w:rsidR="00C1086F" w:rsidRPr="00CE15CF" w:rsidRDefault="00413D59" w:rsidP="00CE15CF">
      <w:pPr>
        <w:pStyle w:val="Paralevel1"/>
      </w:pPr>
      <w:proofErr w:type="spellStart"/>
      <w:r w:rsidRPr="00CE15CF">
        <w:t>MedTech</w:t>
      </w:r>
      <w:proofErr w:type="spellEnd"/>
      <w:r w:rsidR="00C1086F" w:rsidRPr="00CE15CF">
        <w:t xml:space="preserve"> (2018) stated that </w:t>
      </w:r>
      <w:r w:rsidR="00FE7FA0" w:rsidRPr="00CE15CF">
        <w:t>when</w:t>
      </w:r>
      <w:r w:rsidR="00C1086F" w:rsidRPr="00CE15CF">
        <w:t xml:space="preserve"> PFOA </w:t>
      </w:r>
      <w:r w:rsidR="00FE7FA0" w:rsidRPr="00CE15CF">
        <w:t xml:space="preserve">is used </w:t>
      </w:r>
      <w:r w:rsidR="000840AD" w:rsidRPr="00CE15CF">
        <w:t xml:space="preserve">in PTFE production </w:t>
      </w:r>
      <w:r w:rsidR="00C1086F" w:rsidRPr="00CE15CF">
        <w:t>in generic components</w:t>
      </w:r>
      <w:r w:rsidR="002140CD" w:rsidRPr="00CE15CF">
        <w:t>,</w:t>
      </w:r>
      <w:r w:rsidR="00C1086F" w:rsidRPr="00CE15CF">
        <w:t xml:space="preserve"> trace quantities can end up in medical equipment such as:</w:t>
      </w:r>
    </w:p>
    <w:p w14:paraId="795F2841" w14:textId="4B91FEE2" w:rsidR="00C1086F" w:rsidRPr="00CE15CF" w:rsidRDefault="001854E9" w:rsidP="00CE15CF">
      <w:pPr>
        <w:pStyle w:val="ListBullet"/>
        <w:numPr>
          <w:ilvl w:val="0"/>
          <w:numId w:val="26"/>
        </w:numPr>
        <w:snapToGrid w:val="0"/>
        <w:spacing w:after="120"/>
        <w:ind w:left="0" w:firstLine="630"/>
        <w:contextualSpacing w:val="0"/>
        <w:rPr>
          <w:sz w:val="20"/>
          <w:szCs w:val="20"/>
        </w:rPr>
      </w:pPr>
      <w:r w:rsidRPr="00CE15CF">
        <w:rPr>
          <w:sz w:val="20"/>
          <w:szCs w:val="20"/>
        </w:rPr>
        <w:t>C</w:t>
      </w:r>
      <w:r w:rsidR="00C1086F" w:rsidRPr="00CE15CF">
        <w:rPr>
          <w:sz w:val="20"/>
          <w:szCs w:val="20"/>
        </w:rPr>
        <w:t>able and wiring</w:t>
      </w:r>
      <w:r w:rsidR="00150370" w:rsidRPr="00CE15CF">
        <w:rPr>
          <w:sz w:val="20"/>
          <w:szCs w:val="20"/>
        </w:rPr>
        <w:t>;</w:t>
      </w:r>
      <w:r w:rsidR="00C1086F" w:rsidRPr="00CE15CF">
        <w:rPr>
          <w:sz w:val="20"/>
          <w:szCs w:val="20"/>
        </w:rPr>
        <w:t xml:space="preserve"> </w:t>
      </w:r>
    </w:p>
    <w:p w14:paraId="52983661" w14:textId="3AEC0A28" w:rsidR="00C1086F" w:rsidRPr="00CE15CF" w:rsidRDefault="001854E9" w:rsidP="00CE15CF">
      <w:pPr>
        <w:pStyle w:val="ListBullet"/>
        <w:numPr>
          <w:ilvl w:val="0"/>
          <w:numId w:val="26"/>
        </w:numPr>
        <w:snapToGrid w:val="0"/>
        <w:spacing w:after="120"/>
        <w:ind w:left="0" w:firstLine="630"/>
        <w:contextualSpacing w:val="0"/>
        <w:rPr>
          <w:sz w:val="20"/>
          <w:szCs w:val="20"/>
        </w:rPr>
      </w:pPr>
      <w:r w:rsidRPr="00CE15CF">
        <w:rPr>
          <w:rFonts w:eastAsia="Times New Roman"/>
          <w:sz w:val="20"/>
          <w:szCs w:val="20"/>
          <w:lang w:eastAsia="en-US"/>
        </w:rPr>
        <w:t>E</w:t>
      </w:r>
      <w:r w:rsidR="00C1086F" w:rsidRPr="00CE15CF">
        <w:rPr>
          <w:rFonts w:eastAsia="Times New Roman"/>
          <w:sz w:val="20"/>
          <w:szCs w:val="20"/>
          <w:lang w:eastAsia="en-US"/>
        </w:rPr>
        <w:t>lectronics</w:t>
      </w:r>
      <w:r w:rsidR="00C1086F" w:rsidRPr="00CE15CF">
        <w:rPr>
          <w:sz w:val="20"/>
          <w:szCs w:val="20"/>
        </w:rPr>
        <w:t xml:space="preserve"> (insulators, solder sleeves, vapour phase soldering media)</w:t>
      </w:r>
      <w:r w:rsidR="00150370" w:rsidRPr="00CE15CF">
        <w:rPr>
          <w:sz w:val="20"/>
          <w:szCs w:val="20"/>
        </w:rPr>
        <w:t>;</w:t>
      </w:r>
      <w:r w:rsidR="00C1086F" w:rsidRPr="00CE15CF">
        <w:rPr>
          <w:sz w:val="20"/>
          <w:szCs w:val="20"/>
        </w:rPr>
        <w:t xml:space="preserve"> </w:t>
      </w:r>
    </w:p>
    <w:p w14:paraId="2D320065" w14:textId="0C4E6325" w:rsidR="001F6B24" w:rsidRPr="00CE15CF" w:rsidRDefault="001854E9" w:rsidP="00CE15CF">
      <w:pPr>
        <w:pStyle w:val="ListBullet"/>
        <w:numPr>
          <w:ilvl w:val="0"/>
          <w:numId w:val="26"/>
        </w:numPr>
        <w:snapToGrid w:val="0"/>
        <w:spacing w:after="120"/>
        <w:ind w:left="0" w:firstLine="630"/>
        <w:contextualSpacing w:val="0"/>
        <w:rPr>
          <w:sz w:val="20"/>
          <w:szCs w:val="20"/>
        </w:rPr>
      </w:pPr>
      <w:r w:rsidRPr="00CE15CF">
        <w:rPr>
          <w:rFonts w:eastAsia="Times New Roman"/>
          <w:sz w:val="20"/>
          <w:szCs w:val="20"/>
          <w:lang w:eastAsia="en-US"/>
        </w:rPr>
        <w:t>P</w:t>
      </w:r>
      <w:r w:rsidR="00C1086F" w:rsidRPr="00CE15CF">
        <w:rPr>
          <w:rFonts w:eastAsia="Times New Roman"/>
          <w:sz w:val="20"/>
          <w:szCs w:val="20"/>
          <w:lang w:eastAsia="en-US"/>
        </w:rPr>
        <w:t>hotographic</w:t>
      </w:r>
      <w:r w:rsidR="00C1086F" w:rsidRPr="00CE15CF">
        <w:rPr>
          <w:sz w:val="20"/>
          <w:szCs w:val="20"/>
        </w:rPr>
        <w:t xml:space="preserve"> applications (see section 4.6)</w:t>
      </w:r>
      <w:r w:rsidR="00150370" w:rsidRPr="00CE15CF">
        <w:rPr>
          <w:sz w:val="20"/>
          <w:szCs w:val="20"/>
        </w:rPr>
        <w:t>;</w:t>
      </w:r>
      <w:r w:rsidR="00C1086F" w:rsidRPr="00CE15CF">
        <w:rPr>
          <w:sz w:val="20"/>
          <w:szCs w:val="20"/>
        </w:rPr>
        <w:t xml:space="preserve"> and</w:t>
      </w:r>
    </w:p>
    <w:p w14:paraId="7710F4CE" w14:textId="40703F1D" w:rsidR="0006017B" w:rsidRPr="00CE15CF" w:rsidRDefault="001854E9" w:rsidP="00CE15CF">
      <w:pPr>
        <w:pStyle w:val="ListBullet"/>
        <w:numPr>
          <w:ilvl w:val="0"/>
          <w:numId w:val="26"/>
        </w:numPr>
        <w:snapToGrid w:val="0"/>
        <w:spacing w:after="120"/>
        <w:ind w:left="0" w:firstLine="630"/>
        <w:contextualSpacing w:val="0"/>
        <w:rPr>
          <w:sz w:val="20"/>
          <w:szCs w:val="20"/>
        </w:rPr>
      </w:pPr>
      <w:r w:rsidRPr="00CE15CF">
        <w:rPr>
          <w:sz w:val="20"/>
          <w:szCs w:val="20"/>
        </w:rPr>
        <w:t>M</w:t>
      </w:r>
      <w:r w:rsidR="00C1086F" w:rsidRPr="00CE15CF">
        <w:rPr>
          <w:sz w:val="20"/>
          <w:szCs w:val="20"/>
        </w:rPr>
        <w:t xml:space="preserve">edical </w:t>
      </w:r>
      <w:r w:rsidR="00C1086F" w:rsidRPr="00CE15CF">
        <w:rPr>
          <w:rFonts w:eastAsia="Times New Roman"/>
          <w:sz w:val="20"/>
          <w:szCs w:val="20"/>
          <w:lang w:eastAsia="en-US"/>
        </w:rPr>
        <w:t>articles</w:t>
      </w:r>
      <w:r w:rsidR="00C1086F" w:rsidRPr="00CE15CF">
        <w:rPr>
          <w:sz w:val="20"/>
          <w:szCs w:val="20"/>
        </w:rPr>
        <w:t xml:space="preserve"> (non-woven medical garments; stain- and water-repellents for surgical drapes and gowns (see section 4.2); surgical </w:t>
      </w:r>
      <w:r w:rsidR="001F6B24" w:rsidRPr="00CE15CF">
        <w:rPr>
          <w:sz w:val="20"/>
          <w:szCs w:val="20"/>
        </w:rPr>
        <w:t>patches; and</w:t>
      </w:r>
      <w:r w:rsidR="00FC6AAF" w:rsidRPr="00CE15CF">
        <w:rPr>
          <w:sz w:val="20"/>
          <w:szCs w:val="20"/>
        </w:rPr>
        <w:t xml:space="preserve"> </w:t>
      </w:r>
      <w:r w:rsidR="00C1086F" w:rsidRPr="00CE15CF">
        <w:rPr>
          <w:sz w:val="20"/>
          <w:szCs w:val="20"/>
        </w:rPr>
        <w:t>vascular catheters</w:t>
      </w:r>
      <w:r w:rsidR="00FC6AAF" w:rsidRPr="00CE15CF">
        <w:rPr>
          <w:sz w:val="20"/>
          <w:szCs w:val="20"/>
        </w:rPr>
        <w:t>.</w:t>
      </w:r>
    </w:p>
    <w:p w14:paraId="24BCE92E" w14:textId="77777777" w:rsidR="004C33C5" w:rsidRPr="00CE15CF" w:rsidRDefault="004C33C5" w:rsidP="00CE15CF">
      <w:pPr>
        <w:pStyle w:val="Paralevel1"/>
      </w:pPr>
      <w:r w:rsidRPr="00CE15CF">
        <w:t xml:space="preserve">The above-mentioned components result in applications within a wide range of medical devices including sensors, cardiovascular devices, vascular catheters, protection tubing, implants and orthopaedic devices. </w:t>
      </w:r>
    </w:p>
    <w:p w14:paraId="3B3B6784" w14:textId="322A9503" w:rsidR="00C1086F" w:rsidRPr="00CE15CF" w:rsidRDefault="009E5FF6" w:rsidP="00CE15CF">
      <w:pPr>
        <w:pStyle w:val="Paralevel1"/>
      </w:pPr>
      <w:r w:rsidRPr="00CE15CF">
        <w:t xml:space="preserve">A report by ECHA for the European </w:t>
      </w:r>
      <w:r w:rsidR="009A0118" w:rsidRPr="00CE15CF">
        <w:t xml:space="preserve">restriction </w:t>
      </w:r>
      <w:r w:rsidR="00C1086F" w:rsidRPr="00CE15CF">
        <w:t>(ECHA, 2015</w:t>
      </w:r>
      <w:r w:rsidR="009A0118" w:rsidRPr="00CE15CF">
        <w:t>a</w:t>
      </w:r>
      <w:r w:rsidR="00C1086F" w:rsidRPr="00CE15CF">
        <w:t>) comments that the total usage of PTFE and quantities of PFOA or PFOA-related compounds in medical devices are unknown. However, based on the survey conducted with industry, ECHA (2015</w:t>
      </w:r>
      <w:r w:rsidR="009A0118" w:rsidRPr="00CE15CF">
        <w:t>a</w:t>
      </w:r>
      <w:r w:rsidR="00C1086F" w:rsidRPr="00CE15CF">
        <w:t xml:space="preserve">) estimates that total quantities of PFOA in medical devices in use across Europe would not exceed 1kg. </w:t>
      </w:r>
      <w:r w:rsidR="009A0118" w:rsidRPr="00CE15CF">
        <w:t xml:space="preserve">ECHA (2015a) </w:t>
      </w:r>
      <w:r w:rsidR="00331009" w:rsidRPr="00CE15CF">
        <w:t>estimates</w:t>
      </w:r>
      <w:r w:rsidR="00C1086F" w:rsidRPr="00CE15CF">
        <w:t xml:space="preserve"> that the use within the </w:t>
      </w:r>
      <w:r w:rsidR="00A061CD" w:rsidRPr="00CE15CF">
        <w:t>EU</w:t>
      </w:r>
      <w:r w:rsidR="00C1086F" w:rsidRPr="00CE15CF">
        <w:t xml:space="preserve"> makes up 20% of total global demand for PTFE, and therefore by extrapolation total quantities of PFOA in medical devices globally </w:t>
      </w:r>
      <w:r w:rsidR="00331009" w:rsidRPr="00CE15CF">
        <w:t>may</w:t>
      </w:r>
      <w:r w:rsidR="00C1086F" w:rsidRPr="00CE15CF">
        <w:t xml:space="preserve"> not exceed 5 kg</w:t>
      </w:r>
      <w:r w:rsidR="007A6C41" w:rsidRPr="00CE15CF">
        <w:t>, based on the assumption that the use of PFOA would be similar in other non-EU geographies</w:t>
      </w:r>
      <w:r w:rsidR="00C1086F" w:rsidRPr="00CE15CF">
        <w:t xml:space="preserve">. </w:t>
      </w:r>
    </w:p>
    <w:p w14:paraId="4679BE7E" w14:textId="34569C8F" w:rsidR="009C2FC6" w:rsidRPr="00CE15CF" w:rsidRDefault="009C2FC6" w:rsidP="00CE15CF">
      <w:pPr>
        <w:pStyle w:val="Heading3"/>
        <w:numPr>
          <w:ilvl w:val="0"/>
          <w:numId w:val="0"/>
        </w:numPr>
        <w:snapToGrid w:val="0"/>
        <w:spacing w:before="240" w:after="120" w:line="240" w:lineRule="auto"/>
      </w:pPr>
      <w:bookmarkStart w:id="115" w:name="_Toc507148969"/>
      <w:bookmarkStart w:id="116" w:name="_Toc515267919"/>
      <w:r w:rsidRPr="00CE15CF">
        <w:t>Timescales foreseen for potential exemptions</w:t>
      </w:r>
      <w:bookmarkEnd w:id="115"/>
      <w:bookmarkEnd w:id="116"/>
    </w:p>
    <w:p w14:paraId="60476285" w14:textId="0035E0E7" w:rsidR="00C1086F" w:rsidRPr="00CE15CF" w:rsidRDefault="00413D59" w:rsidP="00CE15CF">
      <w:pPr>
        <w:pStyle w:val="Paralevel1"/>
      </w:pPr>
      <w:proofErr w:type="spellStart"/>
      <w:r w:rsidRPr="00CE15CF">
        <w:t>MedTech</w:t>
      </w:r>
      <w:proofErr w:type="spellEnd"/>
      <w:r w:rsidR="00C1086F" w:rsidRPr="00CE15CF">
        <w:t xml:space="preserve"> </w:t>
      </w:r>
      <w:r w:rsidR="00DE60F6" w:rsidRPr="00CE15CF">
        <w:t xml:space="preserve">Europe </w:t>
      </w:r>
      <w:r w:rsidR="00C1086F" w:rsidRPr="00CE15CF">
        <w:t xml:space="preserve">(2018) noted that the substitution of substances within the medical sector is likely to differ from substitution in other sectors. This is because of the scrutiny and stringent regulatory requirements for medical equipment. </w:t>
      </w:r>
      <w:proofErr w:type="spellStart"/>
      <w:r w:rsidRPr="00CE15CF">
        <w:t>MedTech</w:t>
      </w:r>
      <w:proofErr w:type="spellEnd"/>
      <w:r w:rsidR="00C1086F" w:rsidRPr="00CE15CF">
        <w:t xml:space="preserve"> </w:t>
      </w:r>
      <w:r w:rsidR="00DE60F6" w:rsidRPr="00CE15CF">
        <w:t xml:space="preserve">Europe </w:t>
      </w:r>
      <w:r w:rsidR="00C1086F" w:rsidRPr="00CE15CF">
        <w:t xml:space="preserve">(2018) go on to state that a change in materials could be perceived as affecting the reliability of the device and would thus trigger the need for evaluation as if the device were a new piece of equipment, including the potential need for clinical trials which would delay the transition. </w:t>
      </w:r>
      <w:proofErr w:type="spellStart"/>
      <w:r w:rsidRPr="00CE15CF">
        <w:t>MedTech</w:t>
      </w:r>
      <w:proofErr w:type="spellEnd"/>
      <w:r w:rsidR="00C1086F" w:rsidRPr="00CE15CF">
        <w:t xml:space="preserve"> </w:t>
      </w:r>
      <w:r w:rsidR="00DE60F6" w:rsidRPr="00CE15CF">
        <w:t xml:space="preserve">Europe </w:t>
      </w:r>
      <w:r w:rsidR="00C1086F" w:rsidRPr="00CE15CF">
        <w:t xml:space="preserve">(2018) state that products that have already entered the supply chain would have a shelf-life of 3 to 5 years, mainly relating to product sterility and therefore an exemption would be needed for a similar </w:t>
      </w:r>
      <w:proofErr w:type="gramStart"/>
      <w:r w:rsidR="00C1086F" w:rsidRPr="00CE15CF">
        <w:t>period of time</w:t>
      </w:r>
      <w:proofErr w:type="gramEnd"/>
      <w:r w:rsidR="00C1086F" w:rsidRPr="00CE15CF">
        <w:t>. It is not clear whether this relates only to implantable medical devices or to all medical devices.</w:t>
      </w:r>
    </w:p>
    <w:p w14:paraId="2D9B6860" w14:textId="16B36AEC" w:rsidR="00C1086F" w:rsidRPr="00CE15CF" w:rsidRDefault="00C1086F" w:rsidP="00CE15CF">
      <w:pPr>
        <w:pStyle w:val="Paralevel1"/>
      </w:pPr>
      <w:r w:rsidRPr="00CE15CF">
        <w:t>The European restriction (</w:t>
      </w:r>
      <w:r w:rsidR="00DE60F6" w:rsidRPr="00CE15CF">
        <w:t>EU 2017/1000</w:t>
      </w:r>
      <w:r w:rsidRPr="00CE15CF">
        <w:t>) allows an exemption for all medical devices (excluding implantable medical devices</w:t>
      </w:r>
      <w:r w:rsidR="000840AD" w:rsidRPr="00CE15CF">
        <w:t>)</w:t>
      </w:r>
      <w:r w:rsidRPr="00CE15CF">
        <w:t xml:space="preserve"> of 15 years</w:t>
      </w:r>
      <w:r w:rsidR="000840AD" w:rsidRPr="00CE15CF">
        <w:t xml:space="preserve"> and a non-time limited exemption for implantable medical devices</w:t>
      </w:r>
      <w:r w:rsidRPr="00CE15CF">
        <w:t>. This is expected to expire on 7 July 2032. ECHA</w:t>
      </w:r>
      <w:r w:rsidR="00C272DE" w:rsidRPr="00CE15CF">
        <w:t xml:space="preserve"> </w:t>
      </w:r>
      <w:r w:rsidR="004C33C5" w:rsidRPr="00CE15CF">
        <w:t xml:space="preserve">considered </w:t>
      </w:r>
      <w:r w:rsidRPr="00CE15CF">
        <w:t>comment (within ECHA, 2015</w:t>
      </w:r>
      <w:r w:rsidR="00DE60F6" w:rsidRPr="00CE15CF">
        <w:t>a</w:t>
      </w:r>
      <w:r w:rsidRPr="00CE15CF">
        <w:t xml:space="preserve">) that the reason for the length of the exemption relates to the stringent regulatory requirements for medical equipment which can delay the substitution with alternatives and that a shorter exemption may mean certain critical applications would become unavailable to the healthcare sector. </w:t>
      </w:r>
    </w:p>
    <w:p w14:paraId="4866440B" w14:textId="30CB59DE" w:rsidR="0039560D" w:rsidRPr="00CE15CF" w:rsidRDefault="0039560D" w:rsidP="00CE15CF">
      <w:pPr>
        <w:pStyle w:val="StyleHeading3h3123SecTimesNewRomanBold"/>
      </w:pPr>
      <w:bookmarkStart w:id="117" w:name="_Toc507148970"/>
      <w:bookmarkStart w:id="118" w:name="_Toc515267920"/>
      <w:r w:rsidRPr="00CE15CF">
        <w:t>Information on alternatives</w:t>
      </w:r>
      <w:bookmarkEnd w:id="117"/>
      <w:bookmarkEnd w:id="118"/>
    </w:p>
    <w:p w14:paraId="6B0483E5" w14:textId="2E01A7BB" w:rsidR="00FF5260" w:rsidRPr="00CE15CF" w:rsidRDefault="00FF5260" w:rsidP="00CE15CF">
      <w:pPr>
        <w:pStyle w:val="Paralevel1"/>
      </w:pPr>
      <w:r w:rsidRPr="00CE15CF">
        <w:t xml:space="preserve">Canada (2018) stated as part of the invitation for submissions that the main use of PFOA within medical devices is as a process aid in the emulsion polymerisation of PTFE; however, Canada states that Zero PFOA PTFE products are now available on the market. IPEN </w:t>
      </w:r>
      <w:r w:rsidR="00DE60F6" w:rsidRPr="00CE15CF">
        <w:t xml:space="preserve">and ACAT </w:t>
      </w:r>
      <w:r w:rsidRPr="00CE15CF">
        <w:t xml:space="preserve">(2018) also comment that PFOA-free PTFE products have been commercialised and are available on the market within the USA. </w:t>
      </w:r>
    </w:p>
    <w:p w14:paraId="193B2060" w14:textId="385386C5" w:rsidR="00FF5260" w:rsidRPr="00CE15CF" w:rsidRDefault="00FF5260" w:rsidP="00CE15CF">
      <w:pPr>
        <w:pStyle w:val="Paralevel1"/>
      </w:pPr>
      <w:r w:rsidRPr="00CE15CF">
        <w:t>The RME provided an overview of the main PFOA-free PTFE goods available on the market. In absence of further new information and for ease of reading this information is provided</w:t>
      </w:r>
      <w:r w:rsidR="00DE60F6" w:rsidRPr="00CE15CF">
        <w:t xml:space="preserve"> from the RME in the following paragraph</w:t>
      </w:r>
      <w:r w:rsidRPr="00CE15CF">
        <w:t>.</w:t>
      </w:r>
    </w:p>
    <w:p w14:paraId="0C55C291" w14:textId="602CBD97" w:rsidR="00FF5260" w:rsidRPr="00CE15CF" w:rsidRDefault="00FF5260" w:rsidP="00CE15CF">
      <w:pPr>
        <w:pStyle w:val="Paralevel1"/>
        <w:rPr>
          <w:i/>
        </w:rPr>
      </w:pPr>
      <w:r w:rsidRPr="00CE15CF">
        <w:rPr>
          <w:i/>
        </w:rPr>
        <w:lastRenderedPageBreak/>
        <w:t>Three PFOA-alternatives with ether moieties (</w:t>
      </w:r>
      <w:proofErr w:type="spellStart"/>
      <w:r w:rsidRPr="00CE15CF">
        <w:rPr>
          <w:i/>
        </w:rPr>
        <w:t>GenX</w:t>
      </w:r>
      <w:proofErr w:type="spellEnd"/>
      <w:r w:rsidRPr="00CE15CF">
        <w:rPr>
          <w:i/>
        </w:rPr>
        <w:t>, ADONA and EEA-NH</w:t>
      </w:r>
      <w:r w:rsidRPr="00CE15CF">
        <w:rPr>
          <w:i/>
          <w:vertAlign w:val="subscript"/>
        </w:rPr>
        <w:t>4</w:t>
      </w:r>
      <w:r w:rsidRPr="00CE15CF">
        <w:rPr>
          <w:i/>
        </w:rPr>
        <w:t>) that are generally shorter and/or less fluorinated were assessed in the EU restriction process (ECHA, 2015</w:t>
      </w:r>
      <w:r w:rsidR="00DE60F6" w:rsidRPr="00CE15CF">
        <w:rPr>
          <w:i/>
        </w:rPr>
        <w:t>b</w:t>
      </w:r>
      <w:r w:rsidRPr="00CE15CF">
        <w:rPr>
          <w:i/>
        </w:rPr>
        <w:t>, section C3). C</w:t>
      </w:r>
      <w:r w:rsidRPr="00CE15CF">
        <w:rPr>
          <w:i/>
          <w:vertAlign w:val="subscript"/>
        </w:rPr>
        <w:t>3</w:t>
      </w:r>
      <w:r w:rsidRPr="00CE15CF">
        <w:rPr>
          <w:i/>
        </w:rPr>
        <w:t xml:space="preserve"> Dimer salt</w:t>
      </w:r>
      <w:r w:rsidR="00150370" w:rsidRPr="00CE15CF">
        <w:rPr>
          <w:i/>
        </w:rPr>
        <w:t>,</w:t>
      </w:r>
      <w:r w:rsidR="001F7967" w:rsidRPr="00CE15CF">
        <w:rPr>
          <w:rStyle w:val="FootnoteReference"/>
          <w:i/>
        </w:rPr>
        <w:footnoteReference w:id="35"/>
      </w:r>
      <w:r w:rsidRPr="00CE15CF">
        <w:rPr>
          <w:i/>
        </w:rPr>
        <w:t xml:space="preserve"> ADONA and EEA-NH</w:t>
      </w:r>
      <w:r w:rsidRPr="00CE15CF">
        <w:rPr>
          <w:i/>
          <w:vertAlign w:val="subscript"/>
        </w:rPr>
        <w:t>4</w:t>
      </w:r>
      <w:r w:rsidRPr="00CE15CF">
        <w:rPr>
          <w:i/>
        </w:rPr>
        <w:t xml:space="preserve"> are applied as alternatives for the use of PFOA as polymerization processing agent where it is applied as emulsifying agent enabling reactants from the aqueous phase and reactants from the hydrophobic phase to get into contact in an emulsion and react with each other (ECHA, 2015</w:t>
      </w:r>
      <w:r w:rsidR="00DE60F6" w:rsidRPr="00CE15CF">
        <w:rPr>
          <w:i/>
        </w:rPr>
        <w:t>b</w:t>
      </w:r>
      <w:r w:rsidRPr="00CE15CF">
        <w:rPr>
          <w:i/>
        </w:rPr>
        <w:t xml:space="preserve">). </w:t>
      </w:r>
      <w:proofErr w:type="gramStart"/>
      <w:r w:rsidRPr="00CE15CF">
        <w:rPr>
          <w:i/>
        </w:rPr>
        <w:t>According to</w:t>
      </w:r>
      <w:proofErr w:type="gramEnd"/>
      <w:r w:rsidRPr="00CE15CF">
        <w:rPr>
          <w:i/>
        </w:rPr>
        <w:t xml:space="preserve"> ECHA most of the stakeholders stated that there are no technical differences between fluoropolymers produced with the alternatives and fluoropolymers produced with PFOA (or stakeholders do not know whether there are any differences) (ECHA, 2015</w:t>
      </w:r>
      <w:r w:rsidR="00DE60F6" w:rsidRPr="00CE15CF">
        <w:rPr>
          <w:i/>
        </w:rPr>
        <w:t>b</w:t>
      </w:r>
      <w:r w:rsidRPr="00CE15CF">
        <w:rPr>
          <w:i/>
        </w:rPr>
        <w:t>). Fluoropolymer manufacturers stated during the EU public consultation that the production costs varied from none to 20% increase when applying the alternatives (ECHA, 2015</w:t>
      </w:r>
      <w:r w:rsidR="00DE60F6" w:rsidRPr="00CE15CF">
        <w:rPr>
          <w:i/>
        </w:rPr>
        <w:t>b</w:t>
      </w:r>
      <w:r w:rsidRPr="00CE15CF">
        <w:rPr>
          <w:i/>
        </w:rPr>
        <w:t>). The increase is a result of higher costs of the alternatives as well as higher amounts of the alternatives needed to manufacture one unit of fluoropolymer. Some downstream users mentioned that no cost effects occurred after substitution from PFOA to alternatives.</w:t>
      </w:r>
    </w:p>
    <w:p w14:paraId="6666C7E7" w14:textId="2F7221AC" w:rsidR="007B5703" w:rsidRPr="00CE15CF" w:rsidRDefault="007B5703" w:rsidP="00CE15CF">
      <w:pPr>
        <w:pStyle w:val="Paralevel1"/>
      </w:pPr>
      <w:r w:rsidRPr="00CE15CF">
        <w:t xml:space="preserve">Further information around the </w:t>
      </w:r>
      <w:r w:rsidR="00642028" w:rsidRPr="00CE15CF">
        <w:t xml:space="preserve">persistent, </w:t>
      </w:r>
      <w:proofErr w:type="spellStart"/>
      <w:r w:rsidR="00642028" w:rsidRPr="00CE15CF">
        <w:t>bioaccumulative</w:t>
      </w:r>
      <w:proofErr w:type="spellEnd"/>
      <w:r w:rsidR="00642028" w:rsidRPr="00CE15CF">
        <w:t xml:space="preserve"> and toxic (</w:t>
      </w:r>
      <w:r w:rsidRPr="00CE15CF">
        <w:t>PBT</w:t>
      </w:r>
      <w:r w:rsidR="00642028" w:rsidRPr="00CE15CF">
        <w:t>)</w:t>
      </w:r>
      <w:r w:rsidRPr="00CE15CF">
        <w:t xml:space="preserve"> properties of potential alternatives is detailed within the RME.</w:t>
      </w:r>
    </w:p>
    <w:p w14:paraId="2BB06012" w14:textId="00807E82" w:rsidR="0039560D" w:rsidRPr="00CE15CF" w:rsidRDefault="0039560D" w:rsidP="00CE15CF">
      <w:pPr>
        <w:pStyle w:val="StyleHeading3h3123SecTimesNewRomanBold"/>
      </w:pPr>
      <w:bookmarkStart w:id="119" w:name="_Toc507148971"/>
      <w:bookmarkStart w:id="120" w:name="_Toc515267921"/>
      <w:r w:rsidRPr="00CE15CF">
        <w:t>Information on impacts on society</w:t>
      </w:r>
      <w:bookmarkEnd w:id="119"/>
      <w:bookmarkEnd w:id="120"/>
    </w:p>
    <w:p w14:paraId="04E00609" w14:textId="26A36B76" w:rsidR="00FF5260" w:rsidRPr="00CE15CF" w:rsidRDefault="00413D59" w:rsidP="00CE15CF">
      <w:pPr>
        <w:pStyle w:val="Paralevel1"/>
      </w:pPr>
      <w:proofErr w:type="spellStart"/>
      <w:r w:rsidRPr="00CE15CF">
        <w:t>MedTech</w:t>
      </w:r>
      <w:proofErr w:type="spellEnd"/>
      <w:r w:rsidR="00FF5260" w:rsidRPr="00CE15CF">
        <w:t xml:space="preserve"> </w:t>
      </w:r>
      <w:r w:rsidR="003B4437" w:rsidRPr="00CE15CF">
        <w:t xml:space="preserve">Europe </w:t>
      </w:r>
      <w:r w:rsidR="00FF5260" w:rsidRPr="00CE15CF">
        <w:t xml:space="preserve">(2018) commented that health risks of medical devices are adequately assessed during regulatory procedures before the placing on the market. The European medical device industry commented that they fully supported a phase out of PFOA but requested a limited time exemption </w:t>
      </w:r>
      <w:proofErr w:type="gramStart"/>
      <w:r w:rsidR="00FF5260" w:rsidRPr="00CE15CF">
        <w:t>in order to</w:t>
      </w:r>
      <w:proofErr w:type="gramEnd"/>
      <w:r w:rsidR="00FF5260" w:rsidRPr="00CE15CF">
        <w:t xml:space="preserve"> avoid market disruption and allow for a substitution that is properly enforceable</w:t>
      </w:r>
      <w:r w:rsidR="00755EC3" w:rsidRPr="00CE15CF">
        <w:t xml:space="preserve">. </w:t>
      </w:r>
      <w:r w:rsidR="00FF5260" w:rsidRPr="00CE15CF">
        <w:t xml:space="preserve"> Regarding waste implications, the amount of PFOA in question </w:t>
      </w:r>
      <w:proofErr w:type="gramStart"/>
      <w:r w:rsidR="00FF5260" w:rsidRPr="00CE15CF">
        <w:t xml:space="preserve">is </w:t>
      </w:r>
      <w:r w:rsidR="00F34B2D" w:rsidRPr="00CE15CF">
        <w:t>considered to be</w:t>
      </w:r>
      <w:proofErr w:type="gramEnd"/>
      <w:r w:rsidR="00FF5260" w:rsidRPr="00CE15CF">
        <w:t xml:space="preserve"> small and it can be expected that most medical devices would be disposed of according to the stringent waste disposal requirements applicable to hospitals.</w:t>
      </w:r>
      <w:r w:rsidR="00B44754" w:rsidRPr="00CE15CF">
        <w:t xml:space="preserve"> However, the stringency of medical waste disposal practices will vary.</w:t>
      </w:r>
    </w:p>
    <w:p w14:paraId="5F697F00" w14:textId="1EDEC5D1" w:rsidR="0039560D" w:rsidRPr="00CE15CF" w:rsidRDefault="0039560D" w:rsidP="00CE15CF">
      <w:pPr>
        <w:pStyle w:val="StyleHeading3h3123SecTimesNewRomanBold"/>
      </w:pPr>
      <w:bookmarkStart w:id="121" w:name="_Toc507148972"/>
      <w:bookmarkStart w:id="122" w:name="_Toc515267922"/>
      <w:r w:rsidRPr="00CE15CF">
        <w:t>Other considerations</w:t>
      </w:r>
      <w:bookmarkEnd w:id="121"/>
      <w:bookmarkEnd w:id="122"/>
    </w:p>
    <w:p w14:paraId="7A95A03C" w14:textId="77777777" w:rsidR="003B4B13" w:rsidRPr="00CE15CF" w:rsidRDefault="003B4B13" w:rsidP="00CE15CF">
      <w:pPr>
        <w:pStyle w:val="Paralevel1"/>
      </w:pPr>
      <w:r w:rsidRPr="00CE15CF">
        <w:t>None.</w:t>
      </w:r>
    </w:p>
    <w:p w14:paraId="664F02A3" w14:textId="62F750A3" w:rsidR="0039560D" w:rsidRPr="00CE15CF" w:rsidRDefault="0039560D" w:rsidP="00CE15CF">
      <w:pPr>
        <w:pStyle w:val="StyleHeading3h3123SecTimesNewRomanBold"/>
      </w:pPr>
      <w:bookmarkStart w:id="123" w:name="_Toc507148973"/>
      <w:bookmarkStart w:id="124" w:name="_Toc515267923"/>
      <w:r w:rsidRPr="00CE15CF">
        <w:t>Syntheses of information</w:t>
      </w:r>
      <w:bookmarkEnd w:id="123"/>
      <w:bookmarkEnd w:id="124"/>
    </w:p>
    <w:p w14:paraId="15E6B8EB" w14:textId="67A9CC3B" w:rsidR="00DC22B0" w:rsidRPr="00CE15CF" w:rsidRDefault="00413D59" w:rsidP="00CE15CF">
      <w:pPr>
        <w:pStyle w:val="Paralevel1"/>
      </w:pPr>
      <w:proofErr w:type="spellStart"/>
      <w:r w:rsidRPr="00CE15CF">
        <w:t>MedTech</w:t>
      </w:r>
      <w:proofErr w:type="spellEnd"/>
      <w:r w:rsidR="00DC22B0" w:rsidRPr="00CE15CF">
        <w:t xml:space="preserve"> </w:t>
      </w:r>
      <w:r w:rsidR="003B4437" w:rsidRPr="00CE15CF">
        <w:t xml:space="preserve">Europe </w:t>
      </w:r>
      <w:r w:rsidR="00DC22B0" w:rsidRPr="00CE15CF">
        <w:t xml:space="preserve">(2018) noted that, based on a survey of its members, PFOA will mainly be present in medical devices as a by-product of PTFE manufacture. </w:t>
      </w:r>
      <w:r w:rsidR="00C21C3F" w:rsidRPr="00CE15CF">
        <w:t>However, it is also important to recognise that alternatives to the use of PFOA within PTFE, and PFOA-free PTFE products have been developed</w:t>
      </w:r>
      <w:r w:rsidR="00726CE2" w:rsidRPr="00CE15CF">
        <w:t xml:space="preserve"> (Nesbitt, 2017)</w:t>
      </w:r>
      <w:r w:rsidR="00C21C3F" w:rsidRPr="00CE15CF">
        <w:t xml:space="preserve">. </w:t>
      </w:r>
      <w:proofErr w:type="spellStart"/>
      <w:r w:rsidRPr="00CE15CF">
        <w:t>MedTech</w:t>
      </w:r>
      <w:proofErr w:type="spellEnd"/>
      <w:r w:rsidR="00DC22B0" w:rsidRPr="00CE15CF">
        <w:t xml:space="preserve"> </w:t>
      </w:r>
      <w:r w:rsidR="003B4437" w:rsidRPr="00CE15CF">
        <w:t xml:space="preserve">Europe </w:t>
      </w:r>
      <w:r w:rsidR="00DC22B0" w:rsidRPr="00CE15CF">
        <w:t xml:space="preserve">(2018) and </w:t>
      </w:r>
      <w:proofErr w:type="spellStart"/>
      <w:r w:rsidR="00DC22B0" w:rsidRPr="00CE15CF">
        <w:t>Euromed</w:t>
      </w:r>
      <w:proofErr w:type="spellEnd"/>
      <w:r w:rsidR="00DC22B0" w:rsidRPr="00CE15CF">
        <w:t xml:space="preserve"> (2015) both highlighted the difficulty in producing detailed lists of specific applications within healthcare due to the diverse ways in which PTFE is used. </w:t>
      </w:r>
      <w:r w:rsidR="00C21C3F" w:rsidRPr="00CE15CF">
        <w:t xml:space="preserve">However, in line with the provisions of the Convention, a use of PFOA should be specifically identified to enable consideration of a specific exemption. </w:t>
      </w:r>
      <w:r w:rsidR="00DC22B0" w:rsidRPr="00CE15CF">
        <w:t xml:space="preserve">Generic uses </w:t>
      </w:r>
      <w:r w:rsidR="00F34B2D" w:rsidRPr="00CE15CF">
        <w:t xml:space="preserve">of </w:t>
      </w:r>
      <w:r w:rsidR="00DC22B0" w:rsidRPr="00CE15CF">
        <w:t xml:space="preserve">PTFE </w:t>
      </w:r>
      <w:r w:rsidR="00F34B2D" w:rsidRPr="00CE15CF">
        <w:t>in medical devices</w:t>
      </w:r>
      <w:r w:rsidR="00DC22B0" w:rsidRPr="00CE15CF">
        <w:t xml:space="preserve"> include cables and wiring, electronics (such as insulators, solder sleeves, and vapour phase soldering media), photographic applications, medical articles (such as non-woven garments, stain and water repellents for surgical drapes and gowns, </w:t>
      </w:r>
      <w:r w:rsidR="00C21C3F" w:rsidRPr="00CE15CF">
        <w:t xml:space="preserve">and </w:t>
      </w:r>
      <w:r w:rsidR="00DC22B0" w:rsidRPr="00CE15CF">
        <w:t>vascular catheters</w:t>
      </w:r>
      <w:r w:rsidR="00C21C3F" w:rsidRPr="00CE15CF">
        <w:t>.</w:t>
      </w:r>
      <w:r w:rsidR="00DC22B0" w:rsidRPr="00CE15CF">
        <w:t xml:space="preserve"> ECHA (2015) made estimates to quantify PFOA and PFOA-related compounds in medical devices</w:t>
      </w:r>
      <w:r w:rsidR="00532E6D" w:rsidRPr="00CE15CF">
        <w:t xml:space="preserve">, estimating that these </w:t>
      </w:r>
      <w:r w:rsidR="00DC22B0" w:rsidRPr="00CE15CF">
        <w:t xml:space="preserve">are at or below 1kg for Europe and below 5kg globally. </w:t>
      </w:r>
    </w:p>
    <w:p w14:paraId="4F50DC79" w14:textId="22929568" w:rsidR="00DC22B0" w:rsidRPr="00CE15CF" w:rsidRDefault="00DC22B0" w:rsidP="00CE15CF">
      <w:pPr>
        <w:pStyle w:val="Paralevel1"/>
      </w:pPr>
      <w:r w:rsidRPr="00CE15CF">
        <w:t>ECHA (2015</w:t>
      </w:r>
      <w:r w:rsidR="003B4437" w:rsidRPr="00CE15CF">
        <w:t>a</w:t>
      </w:r>
      <w:r w:rsidRPr="00CE15CF">
        <w:t xml:space="preserve">) noted that substitution to alternative substances may be more challenging in the healthcare sector due to the stringent regulations applied, which can include the need for clinical trials. This was a point also made by </w:t>
      </w:r>
      <w:proofErr w:type="spellStart"/>
      <w:r w:rsidR="00413D59" w:rsidRPr="00CE15CF">
        <w:t>MedTech</w:t>
      </w:r>
      <w:proofErr w:type="spellEnd"/>
      <w:r w:rsidRPr="00CE15CF">
        <w:t xml:space="preserve"> (2018) and </w:t>
      </w:r>
      <w:proofErr w:type="spellStart"/>
      <w:r w:rsidRPr="00CE15CF">
        <w:t>Euromed</w:t>
      </w:r>
      <w:proofErr w:type="spellEnd"/>
      <w:r w:rsidRPr="00CE15CF">
        <w:t xml:space="preserve"> (2015). The European restriction includes a 15</w:t>
      </w:r>
      <w:r w:rsidR="00A86414" w:rsidRPr="00CE15CF">
        <w:t>-</w:t>
      </w:r>
      <w:r w:rsidRPr="00CE15CF">
        <w:t xml:space="preserve">year exemption for medical devices due to expire on </w:t>
      </w:r>
      <w:r w:rsidR="00F34B2D" w:rsidRPr="00CE15CF">
        <w:t xml:space="preserve">4 </w:t>
      </w:r>
      <w:r w:rsidRPr="00CE15CF">
        <w:t xml:space="preserve">July 2032. </w:t>
      </w:r>
      <w:r w:rsidR="009E5FF6" w:rsidRPr="00CE15CF">
        <w:t>ECHA</w:t>
      </w:r>
      <w:r w:rsidRPr="00CE15CF">
        <w:t xml:space="preserve"> commented (ECHA, 2015</w:t>
      </w:r>
      <w:r w:rsidR="003B4437" w:rsidRPr="00CE15CF">
        <w:t>a</w:t>
      </w:r>
      <w:r w:rsidRPr="00CE15CF">
        <w:t>) that such an exemption was needed to aid transition and prevent critical applications becoming unavailable.</w:t>
      </w:r>
    </w:p>
    <w:p w14:paraId="6C26E446" w14:textId="59D084DC" w:rsidR="00DC22B0" w:rsidRPr="00CE15CF" w:rsidRDefault="00DC22B0" w:rsidP="00CE15CF">
      <w:pPr>
        <w:pStyle w:val="Paralevel1"/>
      </w:pPr>
      <w:r w:rsidRPr="00CE15CF">
        <w:t xml:space="preserve">The RME states that alternatives have been developed and commercialised, including Zero PFOA PTFE. </w:t>
      </w:r>
    </w:p>
    <w:p w14:paraId="2B1034DC" w14:textId="507F33E5" w:rsidR="00DC22B0" w:rsidRPr="00CE15CF" w:rsidRDefault="00DC22B0" w:rsidP="00CE15CF">
      <w:pPr>
        <w:pStyle w:val="Paralevel1"/>
      </w:pPr>
      <w:r w:rsidRPr="00CE15CF">
        <w:t xml:space="preserve">The </w:t>
      </w:r>
      <w:r w:rsidR="003B4437" w:rsidRPr="00CE15CF">
        <w:t>RME</w:t>
      </w:r>
      <w:r w:rsidRPr="00CE15CF">
        <w:t xml:space="preserve"> indicates that three key alternative products exist with ether moieties (</w:t>
      </w:r>
      <w:proofErr w:type="spellStart"/>
      <w:r w:rsidRPr="00CE15CF">
        <w:t>GenX</w:t>
      </w:r>
      <w:proofErr w:type="spellEnd"/>
      <w:r w:rsidRPr="00CE15CF">
        <w:t xml:space="preserve">, ADONA and </w:t>
      </w:r>
      <w:r w:rsidR="00370BD5">
        <w:br/>
      </w:r>
      <w:r w:rsidRPr="00CE15CF">
        <w:t>EEA-NH</w:t>
      </w:r>
      <w:r w:rsidRPr="00CE15CF">
        <w:rPr>
          <w:vertAlign w:val="subscript"/>
        </w:rPr>
        <w:t>4</w:t>
      </w:r>
      <w:r w:rsidRPr="00CE15CF">
        <w:t>) that are generally shorter and/or less fluorinated than what was assessed in the EU restriction process (ECHA, 2015a, section C3). C</w:t>
      </w:r>
      <w:r w:rsidRPr="00CE15CF">
        <w:rPr>
          <w:vertAlign w:val="subscript"/>
        </w:rPr>
        <w:t>3</w:t>
      </w:r>
      <w:r w:rsidRPr="00CE15CF">
        <w:t xml:space="preserve"> Dimer salt, ADONA and EEA-NH</w:t>
      </w:r>
      <w:r w:rsidRPr="00CE15CF">
        <w:rPr>
          <w:vertAlign w:val="subscript"/>
        </w:rPr>
        <w:t>4</w:t>
      </w:r>
      <w:r w:rsidRPr="00CE15CF">
        <w:t xml:space="preserve"> are applied as alternatives for the use of PFOA as a polymerisation processing agent where it is applied as an emulsifying agent enabling reactants from the aqueous phase and reactants from the hydrophobic phase to get into contact in an emulsion and react with each other (ECHA, 2015</w:t>
      </w:r>
      <w:r w:rsidR="003B4437" w:rsidRPr="00CE15CF">
        <w:t>b</w:t>
      </w:r>
      <w:r w:rsidRPr="00CE15CF">
        <w:t xml:space="preserve">). </w:t>
      </w:r>
      <w:proofErr w:type="gramStart"/>
      <w:r w:rsidRPr="00CE15CF">
        <w:t>According to</w:t>
      </w:r>
      <w:proofErr w:type="gramEnd"/>
      <w:r w:rsidRPr="00CE15CF">
        <w:t xml:space="preserve"> ECHA most of the stakeholders stated that there are no technical differences between fluoropolymers produced with the alternatives and fluoropolymers produced with PFOA (or stakeholders </w:t>
      </w:r>
      <w:r w:rsidR="00C21C3F" w:rsidRPr="00CE15CF">
        <w:t>cannot recognise</w:t>
      </w:r>
      <w:r w:rsidRPr="00CE15CF">
        <w:t xml:space="preserve"> any differences) (ECHA, 2015</w:t>
      </w:r>
      <w:r w:rsidR="003B4437" w:rsidRPr="00CE15CF">
        <w:t>b</w:t>
      </w:r>
      <w:r w:rsidRPr="00CE15CF">
        <w:t>). Fluoropolymer manufacturers stated during the EU public consultation that the production costs varied from zero to a 20% increase when applying the alternatives (ECHA, 2015</w:t>
      </w:r>
      <w:r w:rsidR="003B4437" w:rsidRPr="00CE15CF">
        <w:t>b</w:t>
      </w:r>
      <w:r w:rsidRPr="00CE15CF">
        <w:t xml:space="preserve">). The increase is a result of higher prices of the alternatives as well as higher quantities of the alternatives needed to manufacture one unit of fluoropolymer. </w:t>
      </w:r>
      <w:r w:rsidR="00C21C3F" w:rsidRPr="00CE15CF">
        <w:t>However, s</w:t>
      </w:r>
      <w:r w:rsidRPr="00CE15CF">
        <w:t>ome downstream users mentioned that no cost effects occurred after substitution from PFOA to alternatives (ECHA, 2015</w:t>
      </w:r>
      <w:r w:rsidR="003B4437" w:rsidRPr="00CE15CF">
        <w:t>b</w:t>
      </w:r>
      <w:r w:rsidRPr="00CE15CF">
        <w:t>).</w:t>
      </w:r>
    </w:p>
    <w:p w14:paraId="27C8B743" w14:textId="7558E769" w:rsidR="00DC22B0" w:rsidRPr="00CE15CF" w:rsidRDefault="00DC22B0" w:rsidP="00CE15CF">
      <w:pPr>
        <w:pStyle w:val="Paralevel1"/>
      </w:pPr>
      <w:r w:rsidRPr="00CE15CF">
        <w:lastRenderedPageBreak/>
        <w:t>The main societal effect</w:t>
      </w:r>
      <w:r w:rsidR="00C21C3F" w:rsidRPr="00CE15CF">
        <w:t>s</w:t>
      </w:r>
      <w:r w:rsidRPr="00CE15CF">
        <w:t xml:space="preserve"> related to the continued use of PFOA-based PTFE or a restriction on PFOA-based PTFE for medical devices relates to the availability of devices for use in the healthcare sector</w:t>
      </w:r>
      <w:r w:rsidR="004C000B" w:rsidRPr="00CE15CF">
        <w:t xml:space="preserve"> (</w:t>
      </w:r>
      <w:proofErr w:type="spellStart"/>
      <w:r w:rsidR="004C000B" w:rsidRPr="00CE15CF">
        <w:t>MedTech</w:t>
      </w:r>
      <w:proofErr w:type="spellEnd"/>
      <w:r w:rsidR="00690671" w:rsidRPr="00CE15CF">
        <w:t xml:space="preserve"> Europe</w:t>
      </w:r>
      <w:r w:rsidR="004C000B" w:rsidRPr="00CE15CF">
        <w:t>, 201</w:t>
      </w:r>
      <w:r w:rsidR="00690671" w:rsidRPr="00CE15CF">
        <w:t>8</w:t>
      </w:r>
      <w:r w:rsidR="004C000B" w:rsidRPr="00CE15CF">
        <w:t>)</w:t>
      </w:r>
      <w:r w:rsidRPr="00CE15CF">
        <w:t>.</w:t>
      </w:r>
      <w:r w:rsidR="00AE1976" w:rsidRPr="00CE15CF">
        <w:t xml:space="preserve"> </w:t>
      </w:r>
      <w:proofErr w:type="spellStart"/>
      <w:r w:rsidR="00413D59" w:rsidRPr="00CE15CF">
        <w:t>MedTech</w:t>
      </w:r>
      <w:proofErr w:type="spellEnd"/>
      <w:r w:rsidRPr="00CE15CF">
        <w:t xml:space="preserve"> </w:t>
      </w:r>
      <w:r w:rsidR="003B4437" w:rsidRPr="00CE15CF">
        <w:t xml:space="preserve">Europe </w:t>
      </w:r>
      <w:r w:rsidRPr="00CE15CF">
        <w:t xml:space="preserve">(2018) and </w:t>
      </w:r>
      <w:proofErr w:type="spellStart"/>
      <w:r w:rsidRPr="00CE15CF">
        <w:t>Euromed</w:t>
      </w:r>
      <w:proofErr w:type="spellEnd"/>
      <w:r w:rsidRPr="00CE15CF">
        <w:t xml:space="preserve"> (2015) both highlight that regulations within the healthcare sector are stringent, and that alteration of substances within devices can mean the need for retesting, including potentially clinical trials. This reportedly delays the transition to alternative products.</w:t>
      </w:r>
      <w:r w:rsidR="00D410F9" w:rsidRPr="00CE15CF">
        <w:t xml:space="preserve"> However, alternatives that do not use or contain PFOA have already passed medical regulations in at least some geographies, and are commercially available.</w:t>
      </w:r>
    </w:p>
    <w:p w14:paraId="2730418D" w14:textId="5539FA03" w:rsidR="0039560D" w:rsidRPr="00CE15CF" w:rsidRDefault="0039560D" w:rsidP="00CE15CF">
      <w:pPr>
        <w:pStyle w:val="StyleHeading3h3123SecTimesNewRomanBold"/>
      </w:pPr>
      <w:bookmarkStart w:id="125" w:name="_Toc507148974"/>
      <w:bookmarkStart w:id="126" w:name="_Toc515267924"/>
      <w:r w:rsidRPr="00CE15CF">
        <w:t>Conclusion</w:t>
      </w:r>
      <w:bookmarkEnd w:id="125"/>
      <w:bookmarkEnd w:id="126"/>
    </w:p>
    <w:p w14:paraId="327D0206" w14:textId="345DC256" w:rsidR="00DC22B0" w:rsidRPr="00CE15CF" w:rsidRDefault="00DC22B0" w:rsidP="00CE15CF">
      <w:pPr>
        <w:pStyle w:val="Paralevel1"/>
      </w:pPr>
      <w:r w:rsidRPr="00CE15CF">
        <w:t xml:space="preserve">Based on the information compiled and discussed within the </w:t>
      </w:r>
      <w:r w:rsidR="003B4437" w:rsidRPr="00CE15CF">
        <w:t>RME</w:t>
      </w:r>
      <w:r w:rsidRPr="00CE15CF">
        <w:t xml:space="preserve"> and further elaborated upon within the current </w:t>
      </w:r>
      <w:r w:rsidR="00A72BD3" w:rsidRPr="00CE15CF">
        <w:t>document</w:t>
      </w:r>
      <w:r w:rsidRPr="00CE15CF">
        <w:t xml:space="preserve">, </w:t>
      </w:r>
      <w:r w:rsidR="00C21C3F" w:rsidRPr="00CE15CF">
        <w:t>alternative medical devices</w:t>
      </w:r>
      <w:r w:rsidR="00215871" w:rsidRPr="00CE15CF">
        <w:t xml:space="preserve"> made without PFOA are available on the market and in use. However, the evidence reviewed suggests that phase-out is still ongoing for some uses and therefore </w:t>
      </w:r>
      <w:r w:rsidRPr="00CE15CF">
        <w:t xml:space="preserve">a time-limited exemption may be needed for medical devices to prevent loss of critical applications. </w:t>
      </w:r>
      <w:r w:rsidR="00413D59" w:rsidRPr="00CE15CF">
        <w:t>F</w:t>
      </w:r>
      <w:r w:rsidRPr="00CE15CF">
        <w:t xml:space="preserve">urther detail on specific applications is needed </w:t>
      </w:r>
      <w:r w:rsidR="00215871" w:rsidRPr="00CE15CF">
        <w:t>before t</w:t>
      </w:r>
      <w:r w:rsidRPr="00CE15CF">
        <w:t xml:space="preserve">he </w:t>
      </w:r>
      <w:r w:rsidR="00166DD5" w:rsidRPr="00CE15CF">
        <w:t>Committee</w:t>
      </w:r>
      <w:r w:rsidRPr="00CE15CF">
        <w:t xml:space="preserve"> should consider an exemption for PFOA and PFOA-related compounds in medical devices.</w:t>
      </w:r>
    </w:p>
    <w:p w14:paraId="1AB2A8F0" w14:textId="787B8A70" w:rsidR="004D5B0D" w:rsidRPr="00CE15CF" w:rsidRDefault="00D519A6" w:rsidP="00CE15CF">
      <w:pPr>
        <w:pStyle w:val="StyleHeading2u2h2ABC2ChptTimesNewRoman12ptBef1"/>
      </w:pPr>
      <w:bookmarkStart w:id="127" w:name="_Toc507148975"/>
      <w:bookmarkStart w:id="128" w:name="_Toc515267925"/>
      <w:r w:rsidRPr="00CE15CF">
        <w:t xml:space="preserve">(d) </w:t>
      </w:r>
      <w:r w:rsidR="00D5362B" w:rsidRPr="00CE15CF">
        <w:t>Implantable medical devices</w:t>
      </w:r>
      <w:bookmarkEnd w:id="127"/>
      <w:bookmarkEnd w:id="128"/>
      <w:r w:rsidR="00D5362B" w:rsidRPr="00CE15CF">
        <w:t xml:space="preserve"> </w:t>
      </w:r>
    </w:p>
    <w:p w14:paraId="1145B5F3" w14:textId="1F1A02DE" w:rsidR="00353A01" w:rsidRPr="00CE15CF" w:rsidRDefault="007C04CB" w:rsidP="00CE15CF">
      <w:pPr>
        <w:pStyle w:val="Paralevel1"/>
      </w:pPr>
      <w:r w:rsidRPr="00CE15CF">
        <w:t xml:space="preserve">The RME for PFOA highlighted a potential need for more information about a possible exemption for implantable medical devices. </w:t>
      </w:r>
      <w:r w:rsidR="00353A01" w:rsidRPr="00CE15CF">
        <w:t xml:space="preserve">The </w:t>
      </w:r>
      <w:r w:rsidR="00082550" w:rsidRPr="00CE15CF">
        <w:t xml:space="preserve">Committee </w:t>
      </w:r>
      <w:r w:rsidR="00353A01" w:rsidRPr="00CE15CF">
        <w:t xml:space="preserve">invited </w:t>
      </w:r>
      <w:r w:rsidR="002B6CC0" w:rsidRPr="00CE15CF">
        <w:t>P</w:t>
      </w:r>
      <w:r w:rsidR="00353A01" w:rsidRPr="00CE15CF">
        <w:t xml:space="preserve">arties and observers to submit further information on the scope of the applications of use, used amounts, extent of transport and risks and other relevant information on socio-economic aspects. Relevant information was submitted by Canada (2018), IPEN and ACAT (2018), Healthcare Without Harm (HCWH, 2018) and </w:t>
      </w:r>
      <w:proofErr w:type="spellStart"/>
      <w:r w:rsidR="00413D59" w:rsidRPr="00CE15CF">
        <w:t>MedTech</w:t>
      </w:r>
      <w:proofErr w:type="spellEnd"/>
      <w:r w:rsidR="00353A01" w:rsidRPr="00CE15CF">
        <w:t xml:space="preserve"> Europe (2018). </w:t>
      </w:r>
    </w:p>
    <w:p w14:paraId="6B1D6B64" w14:textId="643AD5ED" w:rsidR="00CA7FDA" w:rsidRPr="00CE15CF" w:rsidRDefault="00CA7FDA" w:rsidP="00CE15CF">
      <w:pPr>
        <w:pStyle w:val="Paralevel1"/>
      </w:pPr>
      <w:r w:rsidRPr="00CE15CF">
        <w:t>Within the EU restriction</w:t>
      </w:r>
      <w:r w:rsidR="00353A01" w:rsidRPr="00CE15CF">
        <w:t xml:space="preserve"> (EU 2017/1000)</w:t>
      </w:r>
      <w:r w:rsidRPr="00CE15CF">
        <w:t>,</w:t>
      </w:r>
      <w:r w:rsidR="00FE49DD" w:rsidRPr="00CE15CF">
        <w:t xml:space="preserve"> </w:t>
      </w:r>
      <w:r w:rsidRPr="00CE15CF">
        <w:t xml:space="preserve">an exemption without time limit is </w:t>
      </w:r>
      <w:r w:rsidR="007E519B" w:rsidRPr="00CE15CF">
        <w:t xml:space="preserve">currently </w:t>
      </w:r>
      <w:r w:rsidRPr="00CE15CF">
        <w:t xml:space="preserve">given </w:t>
      </w:r>
      <w:proofErr w:type="gramStart"/>
      <w:r w:rsidRPr="00CE15CF">
        <w:t>for the production of</w:t>
      </w:r>
      <w:proofErr w:type="gramEnd"/>
      <w:r w:rsidRPr="00CE15CF">
        <w:t xml:space="preserve"> certain implantabl</w:t>
      </w:r>
      <w:r w:rsidR="008A48F3" w:rsidRPr="00CE15CF">
        <w:t>e devices.</w:t>
      </w:r>
      <w:r w:rsidRPr="00CE15CF">
        <w:t xml:space="preserve"> </w:t>
      </w:r>
    </w:p>
    <w:p w14:paraId="5C6F6072" w14:textId="096E8FCF" w:rsidR="0039560D" w:rsidRPr="00CE15CF" w:rsidRDefault="0039560D" w:rsidP="00CE15CF">
      <w:pPr>
        <w:pStyle w:val="StyleHeading3h3123SecTimesNewRomanBold"/>
      </w:pPr>
      <w:bookmarkStart w:id="129" w:name="_Toc507148976"/>
      <w:bookmarkStart w:id="130" w:name="_Toc515267926"/>
      <w:r w:rsidRPr="00CE15CF">
        <w:t>Efficacy and efficiency of possible control measures</w:t>
      </w:r>
      <w:bookmarkEnd w:id="129"/>
      <w:bookmarkEnd w:id="130"/>
    </w:p>
    <w:p w14:paraId="3A837334" w14:textId="1585AE91" w:rsidR="009B0BF5" w:rsidRPr="00CE15CF" w:rsidRDefault="000B3770" w:rsidP="00CE15CF">
      <w:pPr>
        <w:pStyle w:val="Paralevel1"/>
      </w:pPr>
      <w:r w:rsidRPr="00CE15CF">
        <w:t xml:space="preserve">Information submitted </w:t>
      </w:r>
      <w:r w:rsidR="008A48F3" w:rsidRPr="00CE15CF">
        <w:t xml:space="preserve">to ECHA </w:t>
      </w:r>
      <w:bookmarkStart w:id="131" w:name="_Hlk506292412"/>
      <w:r w:rsidR="00CA7FDA" w:rsidRPr="00CE15CF">
        <w:t>(2015</w:t>
      </w:r>
      <w:r w:rsidR="00353A01" w:rsidRPr="00CE15CF">
        <w:t>a</w:t>
      </w:r>
      <w:r w:rsidR="00CA7FDA" w:rsidRPr="00CE15CF">
        <w:t xml:space="preserve">) </w:t>
      </w:r>
      <w:r w:rsidRPr="00CE15CF">
        <w:t xml:space="preserve">indicates that amounts of PFOA and PFOA-related </w:t>
      </w:r>
      <w:r w:rsidR="00DA208B" w:rsidRPr="00CE15CF">
        <w:t xml:space="preserve">compounds </w:t>
      </w:r>
      <w:r w:rsidRPr="00CE15CF">
        <w:t>related to this use ar</w:t>
      </w:r>
      <w:r w:rsidR="00776C10" w:rsidRPr="00CE15CF">
        <w:t xml:space="preserve">e </w:t>
      </w:r>
      <w:r w:rsidR="005060B7" w:rsidRPr="00CE15CF">
        <w:t xml:space="preserve">estimated to be </w:t>
      </w:r>
      <w:r w:rsidR="00776C10" w:rsidRPr="00CE15CF">
        <w:t xml:space="preserve">extremely low. </w:t>
      </w:r>
      <w:bookmarkEnd w:id="131"/>
      <w:r w:rsidR="00776C10" w:rsidRPr="00CE15CF">
        <w:t xml:space="preserve">In </w:t>
      </w:r>
      <w:r w:rsidRPr="00CE15CF">
        <w:t>implantable d</w:t>
      </w:r>
      <w:r w:rsidR="00776C10" w:rsidRPr="00CE15CF">
        <w:t xml:space="preserve">evices, </w:t>
      </w:r>
      <w:r w:rsidR="009C31F8" w:rsidRPr="00CE15CF">
        <w:t xml:space="preserve">one </w:t>
      </w:r>
      <w:r w:rsidR="00776C10" w:rsidRPr="00CE15CF">
        <w:t xml:space="preserve">manufacturer </w:t>
      </w:r>
      <w:r w:rsidR="0049141C" w:rsidRPr="00CE15CF">
        <w:t xml:space="preserve">previously </w:t>
      </w:r>
      <w:r w:rsidR="00776C10" w:rsidRPr="00CE15CF">
        <w:t>estimated</w:t>
      </w:r>
      <w:r w:rsidRPr="00CE15CF">
        <w:t xml:space="preserve"> that the total amount of PFOA </w:t>
      </w:r>
      <w:r w:rsidR="008A48F3" w:rsidRPr="00CE15CF">
        <w:t>present</w:t>
      </w:r>
      <w:r w:rsidRPr="00CE15CF">
        <w:t xml:space="preserve"> in all devices put on the market in the EU during the period 2018</w:t>
      </w:r>
      <w:r w:rsidR="00312896" w:rsidRPr="00CE15CF">
        <w:t>–</w:t>
      </w:r>
      <w:r w:rsidRPr="00CE15CF">
        <w:t xml:space="preserve">2025 without the restriction would amount to 20 g (it is however unclear if this amount includes only PFOA or also PFOA-related </w:t>
      </w:r>
      <w:r w:rsidR="00DA208B" w:rsidRPr="00CE15CF">
        <w:t>compounds</w:t>
      </w:r>
      <w:r w:rsidRPr="00CE15CF">
        <w:t>)</w:t>
      </w:r>
      <w:r w:rsidR="00E8142F" w:rsidRPr="00CE15CF">
        <w:t xml:space="preserve">. </w:t>
      </w:r>
      <w:r w:rsidR="00E65FF5" w:rsidRPr="00CE15CF">
        <w:t xml:space="preserve">This was </w:t>
      </w:r>
      <w:r w:rsidR="00983D13" w:rsidRPr="00CE15CF">
        <w:t xml:space="preserve">extrapolated to 100g total worldwide </w:t>
      </w:r>
      <w:r w:rsidR="00277F60" w:rsidRPr="00CE15CF">
        <w:t xml:space="preserve">by the industry </w:t>
      </w:r>
      <w:proofErr w:type="gramStart"/>
      <w:r w:rsidR="00277F60" w:rsidRPr="00CE15CF">
        <w:t>assuming that</w:t>
      </w:r>
      <w:proofErr w:type="gramEnd"/>
      <w:r w:rsidR="00277F60" w:rsidRPr="00CE15CF">
        <w:t xml:space="preserve"> the EU occupies 20% of the market </w:t>
      </w:r>
      <w:r w:rsidR="00DD3CE9" w:rsidRPr="00CE15CF">
        <w:t xml:space="preserve">assuming similar usage in other non-EU geographies </w:t>
      </w:r>
      <w:r w:rsidR="00983D13" w:rsidRPr="00CE15CF">
        <w:t>(</w:t>
      </w:r>
      <w:proofErr w:type="spellStart"/>
      <w:r w:rsidR="00413D59" w:rsidRPr="00CE15CF">
        <w:t>MedTech</w:t>
      </w:r>
      <w:proofErr w:type="spellEnd"/>
      <w:r w:rsidR="00353A01" w:rsidRPr="00CE15CF">
        <w:t xml:space="preserve"> Europe, 2018</w:t>
      </w:r>
      <w:r w:rsidR="00983D13" w:rsidRPr="00CE15CF">
        <w:t>)</w:t>
      </w:r>
      <w:r w:rsidRPr="00CE15CF">
        <w:t xml:space="preserve">. </w:t>
      </w:r>
      <w:r w:rsidR="009B0BF5" w:rsidRPr="00CE15CF">
        <w:t>The concentration of PFOA in PTFE is stated to range from 0.001 to 0.5% for emulsion route material</w:t>
      </w:r>
      <w:r w:rsidR="006C473E" w:rsidRPr="00CE15CF">
        <w:t xml:space="preserve"> (ECHA, 2015b)</w:t>
      </w:r>
      <w:r w:rsidR="009A1367" w:rsidRPr="00CE15CF">
        <w:t xml:space="preserve">, with </w:t>
      </w:r>
      <w:r w:rsidR="006C473E" w:rsidRPr="00CE15CF">
        <w:t xml:space="preserve">a comment from ECHA that </w:t>
      </w:r>
      <w:r w:rsidR="009A1367" w:rsidRPr="00CE15CF">
        <w:t xml:space="preserve">confidential information </w:t>
      </w:r>
      <w:r w:rsidR="006C473E" w:rsidRPr="00CE15CF">
        <w:t>indicated that</w:t>
      </w:r>
      <w:r w:rsidR="009A1367" w:rsidRPr="00CE15CF">
        <w:t xml:space="preserve"> the </w:t>
      </w:r>
      <w:r w:rsidR="006C473E" w:rsidRPr="00CE15CF">
        <w:t xml:space="preserve">working concentrations for implantable medical devices would be at the </w:t>
      </w:r>
      <w:r w:rsidR="009A1367" w:rsidRPr="00CE15CF">
        <w:t>lowest concentration</w:t>
      </w:r>
      <w:r w:rsidR="009B0BF5" w:rsidRPr="00CE15CF">
        <w:t xml:space="preserve"> </w:t>
      </w:r>
      <w:r w:rsidR="006C473E" w:rsidRPr="00CE15CF">
        <w:t xml:space="preserve">range </w:t>
      </w:r>
      <w:r w:rsidR="009B0BF5" w:rsidRPr="00CE15CF">
        <w:t>(</w:t>
      </w:r>
      <w:r w:rsidR="00353A01" w:rsidRPr="00CE15CF">
        <w:t>ECHA, 201</w:t>
      </w:r>
      <w:r w:rsidR="006C473E" w:rsidRPr="00CE15CF">
        <w:t>8</w:t>
      </w:r>
      <w:r w:rsidR="009B0BF5" w:rsidRPr="00CE15CF">
        <w:t>)</w:t>
      </w:r>
      <w:r w:rsidR="00277F60" w:rsidRPr="00CE15CF">
        <w:t>.</w:t>
      </w:r>
    </w:p>
    <w:p w14:paraId="1E7F313F" w14:textId="7F8D38B8" w:rsidR="00107BAA" w:rsidRPr="00CE15CF" w:rsidRDefault="00413D59" w:rsidP="00CE15CF">
      <w:pPr>
        <w:pStyle w:val="Paralevel1"/>
      </w:pPr>
      <w:proofErr w:type="spellStart"/>
      <w:r w:rsidRPr="00CE15CF">
        <w:t>MedTech</w:t>
      </w:r>
      <w:proofErr w:type="spellEnd"/>
      <w:r w:rsidR="00353A01" w:rsidRPr="00CE15CF">
        <w:t xml:space="preserve"> Europe (2018) commented that </w:t>
      </w:r>
      <w:r w:rsidR="00837385" w:rsidRPr="00CE15CF">
        <w:t xml:space="preserve">a </w:t>
      </w:r>
      <w:r w:rsidR="00277F60" w:rsidRPr="00CE15CF">
        <w:t xml:space="preserve">specific exemption </w:t>
      </w:r>
      <w:r w:rsidR="00107BAA" w:rsidRPr="00CE15CF">
        <w:t>for implantable cardiovascular devices until 2030</w:t>
      </w:r>
      <w:r w:rsidR="00353A01" w:rsidRPr="00CE15CF">
        <w:t xml:space="preserve"> would be sufficient to allow transition to alternatives without impacting the </w:t>
      </w:r>
      <w:r w:rsidR="00277F60" w:rsidRPr="00CE15CF">
        <w:t xml:space="preserve">European </w:t>
      </w:r>
      <w:r w:rsidR="00353A01" w:rsidRPr="00CE15CF">
        <w:t>healthcare sector</w:t>
      </w:r>
      <w:r w:rsidR="00107BAA" w:rsidRPr="00CE15CF">
        <w:t xml:space="preserve">. </w:t>
      </w:r>
      <w:r w:rsidR="009E5FF6" w:rsidRPr="00CE15CF">
        <w:t>ECHA</w:t>
      </w:r>
      <w:r w:rsidR="00107BAA" w:rsidRPr="00CE15CF">
        <w:t xml:space="preserve"> </w:t>
      </w:r>
      <w:r w:rsidR="009E5FF6" w:rsidRPr="00CE15CF">
        <w:t>(</w:t>
      </w:r>
      <w:r w:rsidR="00353A01" w:rsidRPr="00CE15CF">
        <w:t>2015a) commented that a</w:t>
      </w:r>
      <w:r w:rsidR="00107BAA" w:rsidRPr="00CE15CF">
        <w:t xml:space="preserve"> derogation for implantable medical devices </w:t>
      </w:r>
      <w:r w:rsidR="004C7F24" w:rsidRPr="00CE15CF">
        <w:t xml:space="preserve">in the EU </w:t>
      </w:r>
      <w:r w:rsidR="00353A01" w:rsidRPr="00CE15CF">
        <w:t xml:space="preserve">was needed </w:t>
      </w:r>
      <w:r w:rsidR="00107BAA" w:rsidRPr="00CE15CF">
        <w:t xml:space="preserve">given the very low amounts of PFOA and PFOA-related </w:t>
      </w:r>
      <w:r w:rsidR="00DA208B" w:rsidRPr="00CE15CF">
        <w:t xml:space="preserve">compounds </w:t>
      </w:r>
      <w:r w:rsidR="00107BAA" w:rsidRPr="00CE15CF">
        <w:t>involved and high costs reported</w:t>
      </w:r>
      <w:r w:rsidR="00353A01" w:rsidRPr="00CE15CF">
        <w:t xml:space="preserve"> for immediate transition</w:t>
      </w:r>
      <w:r w:rsidR="00107BAA" w:rsidRPr="00CE15CF">
        <w:t xml:space="preserve">. </w:t>
      </w:r>
    </w:p>
    <w:p w14:paraId="6012EEA4" w14:textId="4917BE78" w:rsidR="0037150A" w:rsidRPr="00CE15CF" w:rsidRDefault="0037150A" w:rsidP="00CE15CF">
      <w:pPr>
        <w:pStyle w:val="Paralevel1"/>
      </w:pPr>
      <w:r w:rsidRPr="00CE15CF">
        <w:t xml:space="preserve">Further information and data on </w:t>
      </w:r>
      <w:r w:rsidR="00532B43" w:rsidRPr="00CE15CF">
        <w:t>quantities used, extent of transport and risks, and use of PFOA</w:t>
      </w:r>
      <w:r w:rsidRPr="00CE15CF">
        <w:t xml:space="preserve"> in implantable medical devices was not provided </w:t>
      </w:r>
      <w:r w:rsidR="00532B43" w:rsidRPr="00CE15CF">
        <w:t xml:space="preserve">in response to </w:t>
      </w:r>
      <w:r w:rsidRPr="00CE15CF">
        <w:t xml:space="preserve">the request for </w:t>
      </w:r>
      <w:r w:rsidR="00532B43" w:rsidRPr="00CE15CF">
        <w:t>information</w:t>
      </w:r>
      <w:r w:rsidRPr="00CE15CF">
        <w:t xml:space="preserve">. </w:t>
      </w:r>
    </w:p>
    <w:p w14:paraId="362743DB" w14:textId="74EE3AFD" w:rsidR="0039560D" w:rsidRPr="00CE15CF" w:rsidRDefault="0039560D" w:rsidP="00CE15CF">
      <w:pPr>
        <w:pStyle w:val="StyleHeading3h3123SecTimesNewRomanBold"/>
      </w:pPr>
      <w:bookmarkStart w:id="132" w:name="_Toc507148977"/>
      <w:bookmarkStart w:id="133" w:name="_Toc515267927"/>
      <w:r w:rsidRPr="00CE15CF">
        <w:t>Information on alternatives</w:t>
      </w:r>
      <w:bookmarkEnd w:id="132"/>
      <w:bookmarkEnd w:id="133"/>
    </w:p>
    <w:p w14:paraId="12687AC9" w14:textId="52B59342" w:rsidR="000B3770" w:rsidRPr="00CE15CF" w:rsidRDefault="000B3770" w:rsidP="00CE15CF">
      <w:pPr>
        <w:pStyle w:val="Paralevel1"/>
      </w:pPr>
      <w:r w:rsidRPr="00CE15CF">
        <w:t>Implantable medical devices</w:t>
      </w:r>
      <w:r w:rsidR="004F09FB" w:rsidRPr="00CE15CF">
        <w:t xml:space="preserve">, such </w:t>
      </w:r>
      <w:r w:rsidR="00072A73" w:rsidRPr="00CE15CF">
        <w:t xml:space="preserve">as </w:t>
      </w:r>
      <w:r w:rsidR="004F09FB" w:rsidRPr="00CE15CF">
        <w:t>cardiovascular devices catheters and guidewires,</w:t>
      </w:r>
      <w:r w:rsidRPr="00CE15CF">
        <w:t xml:space="preserve"> can contain </w:t>
      </w:r>
      <w:r w:rsidR="00B71043" w:rsidRPr="00CE15CF">
        <w:t xml:space="preserve">PTFE </w:t>
      </w:r>
      <w:r w:rsidRPr="00CE15CF">
        <w:t xml:space="preserve">made from PFOA. However, </w:t>
      </w:r>
      <w:r w:rsidR="00B71043" w:rsidRPr="00CE15CF">
        <w:t xml:space="preserve">PTFE </w:t>
      </w:r>
      <w:r w:rsidRPr="00CE15CF">
        <w:t xml:space="preserve">can be made without PFOA </w:t>
      </w:r>
      <w:r w:rsidR="0049141C" w:rsidRPr="00CE15CF">
        <w:t>(</w:t>
      </w:r>
      <w:r w:rsidR="00353A01" w:rsidRPr="00CE15CF">
        <w:t>HCWH, 2018</w:t>
      </w:r>
      <w:r w:rsidR="0049141C" w:rsidRPr="00CE15CF">
        <w:t>)</w:t>
      </w:r>
      <w:r w:rsidR="004F09FB" w:rsidRPr="00CE15CF">
        <w:t xml:space="preserve"> and alternatives are</w:t>
      </w:r>
      <w:r w:rsidR="00DC1B84" w:rsidRPr="00CE15CF">
        <w:t xml:space="preserve"> reportedly</w:t>
      </w:r>
      <w:r w:rsidR="004F09FB" w:rsidRPr="00CE15CF">
        <w:t xml:space="preserve"> now </w:t>
      </w:r>
      <w:r w:rsidR="008D3B2E" w:rsidRPr="00CE15CF">
        <w:t xml:space="preserve">commercially available, approved by US </w:t>
      </w:r>
      <w:r w:rsidR="005A3C12" w:rsidRPr="00CE15CF">
        <w:t>Food and Drug Administration (</w:t>
      </w:r>
      <w:r w:rsidR="008D3B2E" w:rsidRPr="00CE15CF">
        <w:t>FDA</w:t>
      </w:r>
      <w:r w:rsidR="005A3C12" w:rsidRPr="00CE15CF">
        <w:t>)</w:t>
      </w:r>
      <w:r w:rsidR="008D3B2E" w:rsidRPr="00CE15CF">
        <w:t>, and are a feasible and effective alternative to the use of PFOA</w:t>
      </w:r>
      <w:r w:rsidR="00E8142F" w:rsidRPr="00CE15CF">
        <w:t xml:space="preserve">. </w:t>
      </w:r>
      <w:r w:rsidR="008D3B2E" w:rsidRPr="00CE15CF">
        <w:t>(</w:t>
      </w:r>
      <w:r w:rsidR="00353A01" w:rsidRPr="00CE15CF">
        <w:t>IPEN and ACAT, 2018</w:t>
      </w:r>
      <w:r w:rsidR="008D3B2E" w:rsidRPr="00CE15CF">
        <w:t>).</w:t>
      </w:r>
      <w:r w:rsidR="0019499F" w:rsidRPr="00CE15CF">
        <w:t xml:space="preserve"> </w:t>
      </w:r>
      <w:proofErr w:type="gramStart"/>
      <w:r w:rsidR="0019499F" w:rsidRPr="00CE15CF">
        <w:t>A number of</w:t>
      </w:r>
      <w:proofErr w:type="gramEnd"/>
      <w:r w:rsidR="0019499F" w:rsidRPr="00CE15CF">
        <w:t xml:space="preserve"> commercialised PFOA-free PTFE medical devices are now available</w:t>
      </w:r>
      <w:r w:rsidR="00150370" w:rsidRPr="00CE15CF">
        <w:t>.</w:t>
      </w:r>
      <w:r w:rsidR="0019499F" w:rsidRPr="00CE15CF">
        <w:rPr>
          <w:rStyle w:val="FootnoteReference"/>
          <w:lang w:val="en-US"/>
        </w:rPr>
        <w:footnoteReference w:id="36"/>
      </w:r>
      <w:r w:rsidR="0019499F" w:rsidRPr="00CE15CF">
        <w:rPr>
          <w:lang w:val="en-US"/>
        </w:rPr>
        <w:t xml:space="preserve"> </w:t>
      </w:r>
      <w:r w:rsidR="0019499F" w:rsidRPr="00CE15CF">
        <w:rPr>
          <w:rStyle w:val="FootnoteReference"/>
          <w:lang w:val="en-US"/>
        </w:rPr>
        <w:footnoteReference w:id="37"/>
      </w:r>
      <w:r w:rsidR="0019499F" w:rsidRPr="00CE15CF">
        <w:rPr>
          <w:lang w:val="en-US"/>
        </w:rPr>
        <w:t xml:space="preserve"> </w:t>
      </w:r>
      <w:r w:rsidR="0019499F" w:rsidRPr="00CE15CF">
        <w:rPr>
          <w:rStyle w:val="FootnoteReference"/>
          <w:lang w:val="en-US"/>
        </w:rPr>
        <w:footnoteReference w:id="38"/>
      </w:r>
      <w:r w:rsidR="0019499F" w:rsidRPr="00CE15CF">
        <w:rPr>
          <w:lang w:val="en-US"/>
        </w:rPr>
        <w:t xml:space="preserve"> </w:t>
      </w:r>
      <w:r w:rsidR="0019499F" w:rsidRPr="00CE15CF">
        <w:rPr>
          <w:rStyle w:val="FootnoteReference"/>
          <w:lang w:val="en-US"/>
        </w:rPr>
        <w:footnoteReference w:id="39"/>
      </w:r>
    </w:p>
    <w:p w14:paraId="2E771307" w14:textId="046C0A91" w:rsidR="005D6FBC" w:rsidRPr="00CE15CF" w:rsidRDefault="00655A0D" w:rsidP="00370BD5">
      <w:pPr>
        <w:pStyle w:val="Paralevel1"/>
        <w:keepNext/>
        <w:keepLines/>
      </w:pPr>
      <w:r w:rsidRPr="00CE15CF">
        <w:lastRenderedPageBreak/>
        <w:t>The main issue for alternatives is the resistance to saline solutions</w:t>
      </w:r>
      <w:r w:rsidR="0019499F" w:rsidRPr="00CE15CF">
        <w:t>, but also some low friction technical issues may still exist (Nesbitt, 2017)</w:t>
      </w:r>
      <w:r w:rsidRPr="00CE15CF">
        <w:t>. In 201</w:t>
      </w:r>
      <w:r w:rsidR="00353A01" w:rsidRPr="00CE15CF">
        <w:t>6</w:t>
      </w:r>
      <w:r w:rsidRPr="00CE15CF">
        <w:t>, a US</w:t>
      </w:r>
      <w:r w:rsidR="002D0E62" w:rsidRPr="00CE15CF">
        <w:t xml:space="preserve"> </w:t>
      </w:r>
      <w:r w:rsidR="00635575" w:rsidRPr="00CE15CF">
        <w:t>FDA</w:t>
      </w:r>
      <w:r w:rsidRPr="00CE15CF">
        <w:t xml:space="preserve"> r</w:t>
      </w:r>
      <w:r w:rsidR="000B3770" w:rsidRPr="00CE15CF">
        <w:t>ecall on PFOA</w:t>
      </w:r>
      <w:r w:rsidR="00325793" w:rsidRPr="00CE15CF">
        <w:t>-</w:t>
      </w:r>
      <w:r w:rsidR="000B3770" w:rsidRPr="00CE15CF">
        <w:t>free PTFE products used for me</w:t>
      </w:r>
      <w:r w:rsidRPr="00CE15CF">
        <w:t>dical implants occurred in the US</w:t>
      </w:r>
      <w:r w:rsidR="00265F8A" w:rsidRPr="00CE15CF">
        <w:rPr>
          <w:rStyle w:val="FootnoteReference"/>
        </w:rPr>
        <w:footnoteReference w:id="40"/>
      </w:r>
      <w:r w:rsidR="000B3770" w:rsidRPr="00CE15CF">
        <w:t xml:space="preserve"> due to problems with flaking</w:t>
      </w:r>
      <w:r w:rsidRPr="00CE15CF">
        <w:t xml:space="preserve"> and delamination in the body</w:t>
      </w:r>
      <w:r w:rsidR="00D2734D" w:rsidRPr="00CE15CF">
        <w:t xml:space="preserve"> </w:t>
      </w:r>
      <w:r w:rsidR="00BC0804" w:rsidRPr="00CE15CF">
        <w:t>(Gupta et al. 2016)</w:t>
      </w:r>
      <w:r w:rsidR="000B3770" w:rsidRPr="00CE15CF">
        <w:t xml:space="preserve">. </w:t>
      </w:r>
      <w:r w:rsidR="005D6FBC" w:rsidRPr="00CE15CF">
        <w:t>If these flakes pass to the bloodstream they have the potential to cause serious health effects such as heart attack, stroke and blood clots (</w:t>
      </w:r>
      <w:r w:rsidR="00ED42FB" w:rsidRPr="00CE15CF">
        <w:t>Nesbitt, 2017</w:t>
      </w:r>
      <w:r w:rsidR="00BC0804" w:rsidRPr="00CE15CF">
        <w:t>; Gupta et al. 2016</w:t>
      </w:r>
      <w:r w:rsidR="005D6FBC" w:rsidRPr="00CE15CF">
        <w:t>). The second generation of PFOA</w:t>
      </w:r>
      <w:r w:rsidR="00325793" w:rsidRPr="00CE15CF">
        <w:t>-</w:t>
      </w:r>
      <w:r w:rsidR="005D6FBC" w:rsidRPr="00CE15CF">
        <w:t xml:space="preserve">free PTFE products have resolved the bonding issue by </w:t>
      </w:r>
      <w:r w:rsidR="00AD0A1B" w:rsidRPr="00CE15CF">
        <w:t xml:space="preserve">changing </w:t>
      </w:r>
      <w:r w:rsidR="00866E5D" w:rsidRPr="00CE15CF">
        <w:t xml:space="preserve">manufacturing processes related to </w:t>
      </w:r>
      <w:r w:rsidR="00277F60" w:rsidRPr="00CE15CF">
        <w:t>surface preparation, coating viscosity and solids content, humidity, airborne particulates, spray pressure, temperature, electrostatic voltage, spray pattern</w:t>
      </w:r>
      <w:r w:rsidR="003926C1" w:rsidRPr="00CE15CF">
        <w:t xml:space="preserve">, coating line humidity and line speed, among others (Nesbitt, 2017). Nesbitt (2017) also notes that processes following these </w:t>
      </w:r>
      <w:r w:rsidR="00866E5D" w:rsidRPr="00CE15CF">
        <w:t xml:space="preserve">altered </w:t>
      </w:r>
      <w:r w:rsidR="003926C1" w:rsidRPr="00CE15CF">
        <w:t>practices have resulted in zero Class 1 FDA recalls.</w:t>
      </w:r>
    </w:p>
    <w:p w14:paraId="3F9F3EA6" w14:textId="2ECBA32E" w:rsidR="00A12DE7" w:rsidRPr="00CE15CF" w:rsidRDefault="0065676E" w:rsidP="00CE15CF">
      <w:pPr>
        <w:pStyle w:val="Paralevel1"/>
      </w:pPr>
      <w:r w:rsidRPr="00CE15CF">
        <w:t>Fluoropolymer manufacturers stated during the EU public consultation that the production costs varied from none to 20% increase when applying the alternatives (ECHA, 2015b).</w:t>
      </w:r>
      <w:r w:rsidR="00312896" w:rsidRPr="00CE15CF">
        <w:t xml:space="preserve"> </w:t>
      </w:r>
      <w:r w:rsidR="00A12DE7" w:rsidRPr="00CE15CF">
        <w:t>This increase arises from the higher costs and/or the higher amounts of</w:t>
      </w:r>
      <w:r w:rsidR="00D87F77" w:rsidRPr="00CE15CF">
        <w:t xml:space="preserve"> alternatives that will be used, however</w:t>
      </w:r>
      <w:r w:rsidR="00A12DE7" w:rsidRPr="00CE15CF">
        <w:t xml:space="preserve"> </w:t>
      </w:r>
      <w:r w:rsidR="00D87F77" w:rsidRPr="00CE15CF">
        <w:t>d</w:t>
      </w:r>
      <w:r w:rsidR="00DF1788" w:rsidRPr="00CE15CF">
        <w:t xml:space="preserve">uring a previous </w:t>
      </w:r>
      <w:r w:rsidR="00D87F77" w:rsidRPr="00CE15CF">
        <w:t xml:space="preserve">request </w:t>
      </w:r>
      <w:r w:rsidR="00DF1788" w:rsidRPr="00CE15CF">
        <w:t xml:space="preserve">(in 2015) </w:t>
      </w:r>
      <w:r w:rsidR="00D87F77" w:rsidRPr="00CE15CF">
        <w:t>for information</w:t>
      </w:r>
      <w:r w:rsidR="00BA265C" w:rsidRPr="00CE15CF">
        <w:t>,</w:t>
      </w:r>
      <w:r w:rsidR="00D87F77" w:rsidRPr="00CE15CF">
        <w:t xml:space="preserve"> </w:t>
      </w:r>
      <w:r w:rsidR="00DF1788" w:rsidRPr="00CE15CF">
        <w:t xml:space="preserve">EU </w:t>
      </w:r>
      <w:r w:rsidR="00A12DE7" w:rsidRPr="00CE15CF">
        <w:t>Industry stated that there is no change in the quality of the PTFE manufactured with the</w:t>
      </w:r>
      <w:r w:rsidR="00D87F77" w:rsidRPr="00CE15CF">
        <w:t xml:space="preserve"> alternatives (ECHA, 2015</w:t>
      </w:r>
      <w:r w:rsidR="00265F8A" w:rsidRPr="00CE15CF">
        <w:t>b</w:t>
      </w:r>
      <w:r w:rsidR="00D87F77" w:rsidRPr="00CE15CF">
        <w:t>)</w:t>
      </w:r>
      <w:r w:rsidR="00E479F3" w:rsidRPr="00CE15CF">
        <w:t>.</w:t>
      </w:r>
    </w:p>
    <w:p w14:paraId="6E42257C" w14:textId="402DBF3D" w:rsidR="003D2EE5" w:rsidRPr="00CE15CF" w:rsidRDefault="00CA7FDA" w:rsidP="00CE15CF">
      <w:pPr>
        <w:pStyle w:val="Paralevel1"/>
      </w:pPr>
      <w:r w:rsidRPr="00CE15CF">
        <w:t xml:space="preserve">In the </w:t>
      </w:r>
      <w:proofErr w:type="gramStart"/>
      <w:r w:rsidRPr="00CE15CF">
        <w:t>EU</w:t>
      </w:r>
      <w:proofErr w:type="gramEnd"/>
      <w:r w:rsidRPr="00CE15CF">
        <w:t xml:space="preserve"> public consultation, </w:t>
      </w:r>
      <w:r w:rsidR="00D52728" w:rsidRPr="00CE15CF">
        <w:t xml:space="preserve">industry </w:t>
      </w:r>
      <w:r w:rsidRPr="00CE15CF">
        <w:t xml:space="preserve">stakeholders indicated that substitution is ongoing but is a lengthy process given the complexity of the </w:t>
      </w:r>
      <w:bookmarkStart w:id="134" w:name="_Hlk506292705"/>
      <w:r w:rsidRPr="00CE15CF">
        <w:t>supply chains and the certification processes</w:t>
      </w:r>
      <w:r w:rsidR="003D2EE5" w:rsidRPr="00CE15CF">
        <w:t xml:space="preserve"> </w:t>
      </w:r>
      <w:bookmarkEnd w:id="134"/>
      <w:r w:rsidR="003D2EE5" w:rsidRPr="00CE15CF">
        <w:t>(</w:t>
      </w:r>
      <w:r w:rsidR="00265F8A" w:rsidRPr="00CE15CF">
        <w:t>ECHA, 2015a</w:t>
      </w:r>
      <w:r w:rsidR="003D2EE5" w:rsidRPr="00CE15CF">
        <w:t>)</w:t>
      </w:r>
      <w:r w:rsidRPr="00CE15CF">
        <w:t xml:space="preserve">. In the specific case of implantable medical devices, </w:t>
      </w:r>
      <w:r w:rsidR="00D52728" w:rsidRPr="00CE15CF">
        <w:t xml:space="preserve">one </w:t>
      </w:r>
      <w:r w:rsidRPr="00CE15CF">
        <w:t xml:space="preserve">manufacturer requested a transition period of 15 years (ECHA, 2015c). </w:t>
      </w:r>
      <w:r w:rsidR="003D2EE5" w:rsidRPr="00CE15CF">
        <w:t>This request was supported by a</w:t>
      </w:r>
      <w:r w:rsidR="00265F8A" w:rsidRPr="00CE15CF">
        <w:t xml:space="preserve"> socio-economic analysis</w:t>
      </w:r>
      <w:r w:rsidR="003D2EE5" w:rsidRPr="00CE15CF">
        <w:t xml:space="preserve"> comparing the costs of no</w:t>
      </w:r>
      <w:r w:rsidR="00325793" w:rsidRPr="00CE15CF">
        <w:t xml:space="preserve">t </w:t>
      </w:r>
      <w:r w:rsidR="003D2EE5" w:rsidRPr="00CE15CF">
        <w:t xml:space="preserve">using the devices with the avoided emissions. </w:t>
      </w:r>
      <w:r w:rsidR="009E5FF6" w:rsidRPr="00CE15CF">
        <w:t>ECHA</w:t>
      </w:r>
      <w:r w:rsidR="003D2EE5" w:rsidRPr="00CE15CF">
        <w:t xml:space="preserve"> f</w:t>
      </w:r>
      <w:r w:rsidR="00325793" w:rsidRPr="00CE15CF">
        <w:t>ound</w:t>
      </w:r>
      <w:r w:rsidR="003D2EE5" w:rsidRPr="00CE15CF">
        <w:t xml:space="preserve"> that</w:t>
      </w:r>
      <w:r w:rsidR="00325793" w:rsidRPr="00CE15CF">
        <w:t>,</w:t>
      </w:r>
      <w:r w:rsidR="003D2EE5" w:rsidRPr="00CE15CF">
        <w:t xml:space="preserve"> even if all costs </w:t>
      </w:r>
      <w:r w:rsidR="000A4555" w:rsidRPr="00CE15CF">
        <w:t>were</w:t>
      </w:r>
      <w:r w:rsidR="003D2EE5" w:rsidRPr="00CE15CF">
        <w:t xml:space="preserve"> not clearly justified and might include some overestimation, this </w:t>
      </w:r>
      <w:r w:rsidR="00D52728" w:rsidRPr="00CE15CF">
        <w:t xml:space="preserve">socio-economic analysis </w:t>
      </w:r>
      <w:r w:rsidR="008025FD" w:rsidRPr="00CE15CF">
        <w:t xml:space="preserve">demonstrated </w:t>
      </w:r>
      <w:r w:rsidR="003D2EE5" w:rsidRPr="00CE15CF">
        <w:t>that a shorter transition period than reques</w:t>
      </w:r>
      <w:r w:rsidR="007025CC" w:rsidRPr="00CE15CF">
        <w:t>ted would not be cost-effective</w:t>
      </w:r>
      <w:r w:rsidR="003D2EE5" w:rsidRPr="00CE15CF">
        <w:t xml:space="preserve"> (</w:t>
      </w:r>
      <w:r w:rsidR="00265F8A" w:rsidRPr="00CE15CF">
        <w:t>ECHA, 2015a</w:t>
      </w:r>
      <w:r w:rsidR="003D2EE5" w:rsidRPr="00CE15CF">
        <w:t>)</w:t>
      </w:r>
      <w:r w:rsidR="007025CC" w:rsidRPr="00CE15CF">
        <w:t>.</w:t>
      </w:r>
    </w:p>
    <w:p w14:paraId="40B7322E" w14:textId="3C71B29A" w:rsidR="00312AEE" w:rsidRPr="00CE15CF" w:rsidRDefault="00754243" w:rsidP="00CE15CF">
      <w:pPr>
        <w:pStyle w:val="Paralevel1"/>
      </w:pPr>
      <w:r w:rsidRPr="00CE15CF">
        <w:t xml:space="preserve">Further information on the alternatives to PTFE can be found in </w:t>
      </w:r>
      <w:r w:rsidR="002140CD" w:rsidRPr="00CE15CF">
        <w:t xml:space="preserve">section 4.4.3 on </w:t>
      </w:r>
      <w:r w:rsidRPr="00CE15CF">
        <w:t>medical devices</w:t>
      </w:r>
      <w:r w:rsidR="00A85A96" w:rsidRPr="00CE15CF">
        <w:t>.</w:t>
      </w:r>
    </w:p>
    <w:p w14:paraId="3F7CBEF2" w14:textId="6C8C3D9F" w:rsidR="0039560D" w:rsidRPr="00CE15CF" w:rsidRDefault="0039560D" w:rsidP="00CE15CF">
      <w:pPr>
        <w:pStyle w:val="StyleHeading3h3123SecTimesNewRomanBold"/>
      </w:pPr>
      <w:bookmarkStart w:id="135" w:name="_Toc507148978"/>
      <w:bookmarkStart w:id="136" w:name="_Toc515267928"/>
      <w:r w:rsidRPr="00CE15CF">
        <w:t>Information on impacts on society</w:t>
      </w:r>
      <w:bookmarkEnd w:id="135"/>
      <w:bookmarkEnd w:id="136"/>
    </w:p>
    <w:p w14:paraId="5D920143" w14:textId="7F7064CD" w:rsidR="000B3770" w:rsidRPr="00CE15CF" w:rsidRDefault="000B3770" w:rsidP="00CE15CF">
      <w:pPr>
        <w:pStyle w:val="Paralevel1"/>
      </w:pPr>
      <w:r w:rsidRPr="00CE15CF">
        <w:t xml:space="preserve">Implantable medical devices range from synthetic vascular grafts, endovascular and interventional devices, surgical meshes for hernia repair, to sutures for use in vascular, cardiac, and general surgery procedures. These devices allow for example for minimally invasive insertion, and the innovative materials are biocompatible, homogenous and versatile. </w:t>
      </w:r>
      <w:proofErr w:type="spellStart"/>
      <w:r w:rsidR="0007233F" w:rsidRPr="00CE15CF">
        <w:t>M</w:t>
      </w:r>
      <w:r w:rsidR="000A3A98" w:rsidRPr="00CE15CF">
        <w:t>edTech</w:t>
      </w:r>
      <w:proofErr w:type="spellEnd"/>
      <w:r w:rsidR="000A3A98" w:rsidRPr="00CE15CF">
        <w:t xml:space="preserve"> </w:t>
      </w:r>
      <w:r w:rsidR="00265F8A" w:rsidRPr="00CE15CF">
        <w:t xml:space="preserve">Europe </w:t>
      </w:r>
      <w:r w:rsidR="000A3A98" w:rsidRPr="00CE15CF">
        <w:t>(2018)</w:t>
      </w:r>
      <w:r w:rsidR="00C825F8" w:rsidRPr="00CE15CF">
        <w:t xml:space="preserve"> </w:t>
      </w:r>
      <w:r w:rsidR="00A6689A" w:rsidRPr="00CE15CF">
        <w:t xml:space="preserve">noted that they had concerns regarding patient safety if critical </w:t>
      </w:r>
      <w:r w:rsidRPr="00CE15CF">
        <w:t xml:space="preserve">implantable medical devices </w:t>
      </w:r>
      <w:r w:rsidR="00A6689A" w:rsidRPr="00CE15CF">
        <w:t>became unavailable due to lack of transition time to PFOA free alternatives</w:t>
      </w:r>
      <w:r w:rsidR="00690671" w:rsidRPr="00CE15CF">
        <w:t xml:space="preserve"> (</w:t>
      </w:r>
      <w:proofErr w:type="spellStart"/>
      <w:r w:rsidR="00690671" w:rsidRPr="00CE15CF">
        <w:t>MedTech</w:t>
      </w:r>
      <w:proofErr w:type="spellEnd"/>
      <w:r w:rsidR="00690671" w:rsidRPr="00CE15CF">
        <w:t xml:space="preserve"> Europe, 2018)</w:t>
      </w:r>
      <w:r w:rsidR="00A6689A" w:rsidRPr="00CE15CF">
        <w:t>.</w:t>
      </w:r>
      <w:r w:rsidR="00690671" w:rsidRPr="00CE15CF">
        <w:t xml:space="preserve"> The RME and addendum notes that examples have been provided of cases where PFOA-free alternatives have been developed and are already in use for some geographies. However, it is unclear whether this is the case for all global geographies.</w:t>
      </w:r>
    </w:p>
    <w:p w14:paraId="1D8D6FD4" w14:textId="15693CEC" w:rsidR="0039560D" w:rsidRPr="00CE15CF" w:rsidRDefault="0039560D" w:rsidP="00CE15CF">
      <w:pPr>
        <w:pStyle w:val="StyleHeading3h3123SecTimesNewRomanBold"/>
      </w:pPr>
      <w:bookmarkStart w:id="137" w:name="_Toc507148979"/>
      <w:bookmarkStart w:id="138" w:name="_Toc515267929"/>
      <w:r w:rsidRPr="00CE15CF">
        <w:t>Syntheses of information</w:t>
      </w:r>
      <w:bookmarkEnd w:id="137"/>
      <w:bookmarkEnd w:id="138"/>
    </w:p>
    <w:p w14:paraId="1D35607A" w14:textId="01853E2A" w:rsidR="005D0AAA" w:rsidRPr="00CE15CF" w:rsidRDefault="005D0AAA" w:rsidP="00CE15CF">
      <w:pPr>
        <w:pStyle w:val="Paralevel1"/>
      </w:pPr>
      <w:r w:rsidRPr="00CE15CF">
        <w:t xml:space="preserve">Quantities of PFOA </w:t>
      </w:r>
      <w:r w:rsidR="0037150A" w:rsidRPr="00CE15CF">
        <w:t xml:space="preserve">and PFOA-related </w:t>
      </w:r>
      <w:r w:rsidR="00DA208B" w:rsidRPr="00CE15CF">
        <w:t xml:space="preserve">compounds </w:t>
      </w:r>
      <w:r w:rsidRPr="00CE15CF">
        <w:t xml:space="preserve">used </w:t>
      </w:r>
      <w:r w:rsidR="0037150A" w:rsidRPr="00CE15CF">
        <w:t xml:space="preserve">in implantable medical devices </w:t>
      </w:r>
      <w:r w:rsidR="00D344A0" w:rsidRPr="00CE15CF">
        <w:t xml:space="preserve">(largely </w:t>
      </w:r>
      <w:r w:rsidR="008025FD" w:rsidRPr="00CE15CF">
        <w:t>for production</w:t>
      </w:r>
      <w:r w:rsidR="00D344A0" w:rsidRPr="00CE15CF">
        <w:t xml:space="preserve"> of PTFE) </w:t>
      </w:r>
      <w:r w:rsidR="0037150A" w:rsidRPr="00CE15CF">
        <w:t xml:space="preserve">are small </w:t>
      </w:r>
      <w:r w:rsidR="009561BF" w:rsidRPr="00CE15CF">
        <w:t>(</w:t>
      </w:r>
      <w:r w:rsidR="004C7F24" w:rsidRPr="00CE15CF">
        <w:t xml:space="preserve">estimated to be </w:t>
      </w:r>
      <w:r w:rsidR="009561BF" w:rsidRPr="00CE15CF">
        <w:t>20g in the EU</w:t>
      </w:r>
      <w:r w:rsidR="00513F37" w:rsidRPr="00CE15CF">
        <w:t xml:space="preserve"> and 100g worldwide</w:t>
      </w:r>
      <w:r w:rsidR="009561BF" w:rsidRPr="00CE15CF">
        <w:t xml:space="preserve">) </w:t>
      </w:r>
      <w:r w:rsidR="0037150A" w:rsidRPr="00CE15CF">
        <w:t>and concentrations are low in the final product</w:t>
      </w:r>
      <w:r w:rsidR="00513F37" w:rsidRPr="00CE15CF">
        <w:t xml:space="preserve"> </w:t>
      </w:r>
      <w:r w:rsidR="0097153B" w:rsidRPr="00CE15CF">
        <w:t>(</w:t>
      </w:r>
      <w:r w:rsidR="00513F37" w:rsidRPr="00CE15CF">
        <w:t>PFOA in PTFE is stated to range from 0.001 to 0.5%</w:t>
      </w:r>
      <w:r w:rsidR="006C473E" w:rsidRPr="00CE15CF">
        <w:t>; while personal communication with ECHA noted that based on engagement with industry and confidential data concentrations in implantable medical devices were lower than general PTFE</w:t>
      </w:r>
      <w:r w:rsidR="0097153B" w:rsidRPr="00CE15CF">
        <w:t>)</w:t>
      </w:r>
      <w:r w:rsidR="0037150A" w:rsidRPr="00CE15CF">
        <w:t xml:space="preserve">. </w:t>
      </w:r>
      <w:r w:rsidR="009561BF" w:rsidRPr="00CE15CF">
        <w:t xml:space="preserve">In addition, the development of alternatives for substitution is complex due to </w:t>
      </w:r>
      <w:r w:rsidR="00472795" w:rsidRPr="00CE15CF">
        <w:t xml:space="preserve">stringent regulatory requirements for material changes to medical devices </w:t>
      </w:r>
      <w:r w:rsidR="009561BF" w:rsidRPr="00CE15CF">
        <w:t>but altern</w:t>
      </w:r>
      <w:r w:rsidR="0049728B" w:rsidRPr="00CE15CF">
        <w:t>ative PTFE coating</w:t>
      </w:r>
      <w:r w:rsidR="006F73B6" w:rsidRPr="00CE15CF">
        <w:t xml:space="preserve"> methods </w:t>
      </w:r>
      <w:r w:rsidR="0049728B" w:rsidRPr="00CE15CF">
        <w:t>are available and already i</w:t>
      </w:r>
      <w:r w:rsidR="006F73B6" w:rsidRPr="00CE15CF">
        <w:t xml:space="preserve">n use. The </w:t>
      </w:r>
      <w:r w:rsidR="00CB1FC6" w:rsidRPr="00CE15CF">
        <w:t>past</w:t>
      </w:r>
      <w:r w:rsidR="006F73B6" w:rsidRPr="00CE15CF">
        <w:t xml:space="preserve"> performance of PFOA</w:t>
      </w:r>
      <w:r w:rsidR="006F2576" w:rsidRPr="00CE15CF">
        <w:t>-</w:t>
      </w:r>
      <w:r w:rsidR="006F73B6" w:rsidRPr="00CE15CF">
        <w:t>free PTFE alternatives has been subject to concern by the US-</w:t>
      </w:r>
      <w:r w:rsidR="00635575" w:rsidRPr="00CE15CF">
        <w:t xml:space="preserve">FDA </w:t>
      </w:r>
      <w:r w:rsidR="00421D07" w:rsidRPr="00CE15CF">
        <w:t xml:space="preserve">(due to problems with flaking and delamination in the body) </w:t>
      </w:r>
      <w:r w:rsidR="00635575" w:rsidRPr="00CE15CF">
        <w:t xml:space="preserve">but improved manufacturing methods </w:t>
      </w:r>
      <w:r w:rsidR="00CB1FC6" w:rsidRPr="00CE15CF">
        <w:t>have resulted in zero Class 1 recalls</w:t>
      </w:r>
      <w:r w:rsidR="006F73B6" w:rsidRPr="00CE15CF">
        <w:t>.</w:t>
      </w:r>
      <w:r w:rsidR="006C0E2B" w:rsidRPr="00CE15CF">
        <w:t xml:space="preserve"> </w:t>
      </w:r>
      <w:r w:rsidR="006F73B6" w:rsidRPr="00CE15CF">
        <w:t xml:space="preserve">The RME indicates that the use of alternatives </w:t>
      </w:r>
      <w:r w:rsidR="006C0E2B" w:rsidRPr="00CE15CF">
        <w:t xml:space="preserve">also </w:t>
      </w:r>
      <w:r w:rsidR="006F73B6" w:rsidRPr="00CE15CF">
        <w:t>induces a low to moderate increase in production costs (0</w:t>
      </w:r>
      <w:r w:rsidR="00312896" w:rsidRPr="00CE15CF">
        <w:t>–</w:t>
      </w:r>
      <w:r w:rsidR="006F73B6" w:rsidRPr="00CE15CF">
        <w:t>20%)</w:t>
      </w:r>
      <w:r w:rsidR="00C464F9" w:rsidRPr="00CE15CF">
        <w:t xml:space="preserve"> and is paired with a net benefit to society in terms of human health impacts, through the reduced use of PFOA</w:t>
      </w:r>
      <w:r w:rsidR="007F518A" w:rsidRPr="00CE15CF">
        <w:t xml:space="preserve"> in human implants</w:t>
      </w:r>
      <w:r w:rsidR="006F73B6" w:rsidRPr="00CE15CF">
        <w:t xml:space="preserve">. </w:t>
      </w:r>
    </w:p>
    <w:p w14:paraId="05F67CDA" w14:textId="2DBBFBD7" w:rsidR="0039560D" w:rsidRPr="00CE15CF" w:rsidRDefault="0039560D" w:rsidP="00CE15CF">
      <w:pPr>
        <w:pStyle w:val="StyleHeading3h3123SecTimesNewRomanBold"/>
      </w:pPr>
      <w:bookmarkStart w:id="139" w:name="_Toc507148980"/>
      <w:bookmarkStart w:id="140" w:name="_Toc515267930"/>
      <w:r w:rsidRPr="00CE15CF">
        <w:t>Conclusion</w:t>
      </w:r>
      <w:bookmarkEnd w:id="139"/>
      <w:bookmarkEnd w:id="140"/>
    </w:p>
    <w:p w14:paraId="1FF25ABA" w14:textId="6FAE7E10" w:rsidR="00671183" w:rsidRPr="00CE15CF" w:rsidRDefault="00A27FD9" w:rsidP="00CE15CF">
      <w:pPr>
        <w:pStyle w:val="Paralevel1"/>
      </w:pPr>
      <w:r w:rsidRPr="00CE15CF">
        <w:t>Cost competitive alternatives</w:t>
      </w:r>
      <w:r w:rsidR="00FD5833" w:rsidRPr="00CE15CF">
        <w:t xml:space="preserve">, such as PFOA free PTFE products have already </w:t>
      </w:r>
      <w:r w:rsidR="00A257EF" w:rsidRPr="00CE15CF">
        <w:t>undergone clinical testing</w:t>
      </w:r>
      <w:r w:rsidR="00817CCF" w:rsidRPr="00CE15CF">
        <w:t>, been approved</w:t>
      </w:r>
      <w:r w:rsidR="00A257EF" w:rsidRPr="00CE15CF">
        <w:t xml:space="preserve"> and </w:t>
      </w:r>
      <w:r w:rsidR="00817CCF" w:rsidRPr="00CE15CF">
        <w:t>have been</w:t>
      </w:r>
      <w:r w:rsidR="00FD5833" w:rsidRPr="00CE15CF">
        <w:t xml:space="preserve"> implemented for use in medical implants</w:t>
      </w:r>
      <w:r w:rsidR="00BC236E" w:rsidRPr="00CE15CF">
        <w:t xml:space="preserve"> including cardiovascular devices</w:t>
      </w:r>
      <w:r w:rsidR="001A0DB7" w:rsidRPr="00CE15CF">
        <w:t xml:space="preserve"> in some geographic areas, such as North America (Nesbitt, 2017)</w:t>
      </w:r>
      <w:r w:rsidR="00FD5833" w:rsidRPr="00CE15CF">
        <w:t xml:space="preserve">. </w:t>
      </w:r>
      <w:r w:rsidR="001A0DB7" w:rsidRPr="00CE15CF">
        <w:t>However, it is unclear whether this transition has been made in all global geographies. While industry representatives (</w:t>
      </w:r>
      <w:proofErr w:type="spellStart"/>
      <w:r w:rsidR="00413D59" w:rsidRPr="00CE15CF">
        <w:t>MedTech</w:t>
      </w:r>
      <w:proofErr w:type="spellEnd"/>
      <w:r w:rsidR="001A0DB7" w:rsidRPr="00CE15CF">
        <w:t xml:space="preserve">, 2017) have indicated significant progress has been made towards the phase-out of PFOA within implantable medical devices, industry indicates that supply chains are complex and that articles are subject to stringent regulatory testing requirements. </w:t>
      </w:r>
      <w:r w:rsidR="00952505" w:rsidRPr="00CE15CF">
        <w:t xml:space="preserve">Therefore, the Committee could </w:t>
      </w:r>
      <w:r w:rsidR="00952505" w:rsidRPr="00CE15CF">
        <w:lastRenderedPageBreak/>
        <w:t>consider the need for a time-limited exemption to aid the transition to safer alternatives. It could also consider whether such exemption is needed only for cardiovascular implantable medical devices.</w:t>
      </w:r>
    </w:p>
    <w:p w14:paraId="68DC9B3F" w14:textId="69357C90" w:rsidR="004D5B0D" w:rsidRPr="00CE15CF" w:rsidRDefault="00D519A6" w:rsidP="00CE15CF">
      <w:pPr>
        <w:pStyle w:val="StyleHeading2u2h2ABC2ChptTimesNewRoman12ptBef1"/>
      </w:pPr>
      <w:bookmarkStart w:id="141" w:name="_Toc507148981"/>
      <w:bookmarkStart w:id="142" w:name="_Toc515267931"/>
      <w:r w:rsidRPr="00CE15CF">
        <w:t xml:space="preserve">(e) </w:t>
      </w:r>
      <w:r w:rsidR="004D5B0D" w:rsidRPr="00CE15CF">
        <w:t>Photo</w:t>
      </w:r>
      <w:r w:rsidR="00972319" w:rsidRPr="00CE15CF">
        <w:t>-</w:t>
      </w:r>
      <w:r w:rsidR="004D5B0D" w:rsidRPr="00CE15CF">
        <w:t xml:space="preserve">imaging </w:t>
      </w:r>
      <w:r w:rsidR="00AE386D" w:rsidRPr="00CE15CF">
        <w:t>sector</w:t>
      </w:r>
      <w:bookmarkEnd w:id="141"/>
      <w:bookmarkEnd w:id="142"/>
      <w:r w:rsidR="00AE386D" w:rsidRPr="00CE15CF">
        <w:t xml:space="preserve"> </w:t>
      </w:r>
    </w:p>
    <w:p w14:paraId="666DAD88" w14:textId="5FDEC470" w:rsidR="0084721B" w:rsidRPr="00CE15CF" w:rsidRDefault="0084721B" w:rsidP="00CE15CF">
      <w:pPr>
        <w:pStyle w:val="StyleHeading3h3123SecTimesNewRomanBold"/>
      </w:pPr>
      <w:bookmarkStart w:id="143" w:name="_Toc507148982"/>
      <w:bookmarkStart w:id="144" w:name="_Toc515267932"/>
      <w:r w:rsidRPr="00CE15CF">
        <w:t>Introduction</w:t>
      </w:r>
      <w:bookmarkEnd w:id="143"/>
      <w:bookmarkEnd w:id="144"/>
    </w:p>
    <w:p w14:paraId="771DA09E" w14:textId="76736746" w:rsidR="0084721B" w:rsidRPr="00CE15CF" w:rsidRDefault="0084721B" w:rsidP="00CE15CF">
      <w:pPr>
        <w:pStyle w:val="Paralevel1"/>
      </w:pPr>
      <w:r w:rsidRPr="00CE15CF">
        <w:t>The R</w:t>
      </w:r>
      <w:r w:rsidR="00865D00" w:rsidRPr="00CE15CF">
        <w:t>ME</w:t>
      </w:r>
      <w:r w:rsidRPr="00CE15CF">
        <w:t xml:space="preserve"> </w:t>
      </w:r>
      <w:r w:rsidR="00EA378A" w:rsidRPr="00CE15CF">
        <w:t xml:space="preserve">recommends to the COP considering an exemption for five years (from </w:t>
      </w:r>
      <w:r w:rsidR="0075498F" w:rsidRPr="00CE15CF">
        <w:t xml:space="preserve">the </w:t>
      </w:r>
      <w:r w:rsidR="00EA378A" w:rsidRPr="00CE15CF">
        <w:t>date of entry into force) for photographic coatings applied to films. However</w:t>
      </w:r>
      <w:r w:rsidR="001077A0" w:rsidRPr="00CE15CF">
        <w:t>,</w:t>
      </w:r>
      <w:r w:rsidR="00EA378A" w:rsidRPr="00CE15CF">
        <w:t xml:space="preserve"> the RME also </w:t>
      </w:r>
      <w:r w:rsidR="00EC0B10" w:rsidRPr="00CE15CF">
        <w:t xml:space="preserve">highlighted the need for more information about a </w:t>
      </w:r>
      <w:r w:rsidRPr="00CE15CF">
        <w:t xml:space="preserve">small number of relevant uses of PFOA in the photo-imaging sector. </w:t>
      </w:r>
      <w:r w:rsidR="002A7683" w:rsidRPr="00CE15CF">
        <w:t xml:space="preserve">Within the </w:t>
      </w:r>
      <w:r w:rsidR="002745F6" w:rsidRPr="00CE15CF">
        <w:t>EU</w:t>
      </w:r>
      <w:r w:rsidR="002A7683" w:rsidRPr="00CE15CF">
        <w:t xml:space="preserve"> </w:t>
      </w:r>
      <w:r w:rsidRPr="00CE15CF">
        <w:t xml:space="preserve">an exemption </w:t>
      </w:r>
      <w:r w:rsidR="008025FD" w:rsidRPr="00CE15CF">
        <w:t xml:space="preserve">from </w:t>
      </w:r>
      <w:r w:rsidR="002A7683" w:rsidRPr="00CE15CF">
        <w:t xml:space="preserve">the REACH </w:t>
      </w:r>
      <w:r w:rsidR="008025FD" w:rsidRPr="00CE15CF">
        <w:t xml:space="preserve">restriction </w:t>
      </w:r>
      <w:r w:rsidR="002A7683" w:rsidRPr="00CE15CF">
        <w:t>is in place f</w:t>
      </w:r>
      <w:r w:rsidRPr="00CE15CF">
        <w:t>or photographic coatings applied to films, papers or printing plates without time limitation (</w:t>
      </w:r>
      <w:r w:rsidR="00EE162B" w:rsidRPr="00CE15CF">
        <w:t>EU 2017/1000</w:t>
      </w:r>
      <w:r w:rsidRPr="00CE15CF">
        <w:t>)</w:t>
      </w:r>
      <w:r w:rsidR="00E8142F" w:rsidRPr="00CE15CF">
        <w:t xml:space="preserve">. </w:t>
      </w:r>
      <w:r w:rsidR="004C29F3" w:rsidRPr="00CE15CF">
        <w:t>S</w:t>
      </w:r>
      <w:r w:rsidRPr="00CE15CF">
        <w:t>pecific exemptions applied in Norway and Canada until 2016</w:t>
      </w:r>
      <w:r w:rsidR="004C29F3" w:rsidRPr="00CE15CF">
        <w:t xml:space="preserve"> but are now </w:t>
      </w:r>
      <w:r w:rsidR="005446F1" w:rsidRPr="00CE15CF">
        <w:t xml:space="preserve">ended </w:t>
      </w:r>
      <w:r w:rsidR="00165E1D" w:rsidRPr="00CE15CF">
        <w:t xml:space="preserve">(See </w:t>
      </w:r>
      <w:r w:rsidR="000325FD" w:rsidRPr="00CE15CF">
        <w:t>appendix</w:t>
      </w:r>
      <w:r w:rsidR="009B0640" w:rsidRPr="00CE15CF">
        <w:t xml:space="preserve"> I</w:t>
      </w:r>
      <w:r w:rsidR="00165E1D" w:rsidRPr="00CE15CF">
        <w:t>)</w:t>
      </w:r>
      <w:r w:rsidRPr="00CE15CF">
        <w:t>. The Norwegian risk management approach only applies to consumer products and the Canadian approach does not apply to manufactured items.</w:t>
      </w:r>
    </w:p>
    <w:p w14:paraId="46A7C6DB" w14:textId="36FC1937" w:rsidR="0084721B" w:rsidRPr="00CE15CF" w:rsidRDefault="0084721B" w:rsidP="00CE15CF">
      <w:pPr>
        <w:pStyle w:val="Paralevel1"/>
      </w:pPr>
      <w:r w:rsidRPr="00CE15CF">
        <w:t xml:space="preserve">At POPRC-13, </w:t>
      </w:r>
      <w:r w:rsidR="00615CAF" w:rsidRPr="00CE15CF">
        <w:t xml:space="preserve">representatives </w:t>
      </w:r>
      <w:r w:rsidR="000C39D9" w:rsidRPr="00CE15CF">
        <w:t>of the European photographic imaging</w:t>
      </w:r>
      <w:r w:rsidRPr="00CE15CF">
        <w:t xml:space="preserve"> industry provided information</w:t>
      </w:r>
      <w:r w:rsidR="00B50C0A" w:rsidRPr="00CE15CF">
        <w:t xml:space="preserve"> for the RME that suggested</w:t>
      </w:r>
      <w:r w:rsidRPr="00CE15CF">
        <w:t xml:space="preserve"> time</w:t>
      </w:r>
      <w:r w:rsidR="00592CCB" w:rsidRPr="00CE15CF">
        <w:t>-</w:t>
      </w:r>
      <w:r w:rsidRPr="00CE15CF">
        <w:t xml:space="preserve">limited exemptions for photographic coatings applied to paper and for use in printing </w:t>
      </w:r>
      <w:r w:rsidR="000C39D9" w:rsidRPr="00CE15CF">
        <w:t>plates</w:t>
      </w:r>
      <w:r w:rsidRPr="00CE15CF">
        <w:t xml:space="preserve"> are no longer needed. Non-</w:t>
      </w:r>
      <w:proofErr w:type="spellStart"/>
      <w:r w:rsidRPr="00CE15CF">
        <w:t>perfluorinated</w:t>
      </w:r>
      <w:proofErr w:type="spellEnd"/>
      <w:r w:rsidRPr="00CE15CF">
        <w:t xml:space="preserve"> alternatives have successfully replaced some uses in the imaging and printing industry and the move to digital imaging will replace the need for PFOA. PFOA use in photo-imaging has been reduced by more than 95% worldwide since 2000 (I&amp;P Europe)</w:t>
      </w:r>
      <w:r w:rsidR="00E8142F" w:rsidRPr="00CE15CF">
        <w:t xml:space="preserve">. </w:t>
      </w:r>
      <w:r w:rsidR="00592CCB" w:rsidRPr="00CE15CF">
        <w:t>H</w:t>
      </w:r>
      <w:r w:rsidRPr="00CE15CF">
        <w:t>owever, it was also noted that for developing countries, such information was lacking.</w:t>
      </w:r>
    </w:p>
    <w:p w14:paraId="4E3B37B6" w14:textId="618865B4" w:rsidR="0084721B" w:rsidRPr="00CE15CF" w:rsidRDefault="0084721B" w:rsidP="00CE15CF">
      <w:pPr>
        <w:pStyle w:val="Paralevel1"/>
      </w:pPr>
      <w:r w:rsidRPr="00CE15CF">
        <w:t xml:space="preserve">A conclusion </w:t>
      </w:r>
      <w:r w:rsidR="00210CFC" w:rsidRPr="00CE15CF">
        <w:t>on photographic coatings applied to paper and in printing plates</w:t>
      </w:r>
      <w:r w:rsidRPr="00CE15CF">
        <w:t xml:space="preserve"> was not reached </w:t>
      </w:r>
      <w:r w:rsidR="00592CCB" w:rsidRPr="00CE15CF">
        <w:t xml:space="preserve">at </w:t>
      </w:r>
      <w:r w:rsidRPr="00CE15CF">
        <w:t>POPRC-13 and</w:t>
      </w:r>
      <w:r w:rsidR="00592CCB" w:rsidRPr="00CE15CF">
        <w:t xml:space="preserve"> </w:t>
      </w:r>
      <w:r w:rsidRPr="00CE15CF">
        <w:t xml:space="preserve">the </w:t>
      </w:r>
      <w:r w:rsidR="00E80DB0" w:rsidRPr="00CE15CF">
        <w:t xml:space="preserve">Committee </w:t>
      </w:r>
      <w:r w:rsidRPr="00CE15CF">
        <w:t xml:space="preserve">invited </w:t>
      </w:r>
      <w:r w:rsidR="00E80DB0" w:rsidRPr="00CE15CF">
        <w:t>Parties and observers</w:t>
      </w:r>
      <w:r w:rsidRPr="00CE15CF">
        <w:t xml:space="preserve"> to provide information on photo imaging, specifically in relation to </w:t>
      </w:r>
      <w:r w:rsidR="008F3CCD" w:rsidRPr="00CE15CF">
        <w:t xml:space="preserve">photographic coatings applied to paper and in printing plates </w:t>
      </w:r>
      <w:r w:rsidRPr="00CE15CF">
        <w:t>and in developing countries.</w:t>
      </w:r>
    </w:p>
    <w:p w14:paraId="41A0D098" w14:textId="454ACD72" w:rsidR="00EE162B" w:rsidRPr="00CE15CF" w:rsidRDefault="00EE162B" w:rsidP="00CE15CF">
      <w:pPr>
        <w:pStyle w:val="Paralevel1"/>
      </w:pPr>
      <w:r w:rsidRPr="00CE15CF">
        <w:t>Relevant information was submitted by the Netherlands (2018</w:t>
      </w:r>
      <w:r w:rsidR="005B78AB" w:rsidRPr="00CE15CF">
        <w:t>a</w:t>
      </w:r>
      <w:r w:rsidRPr="00CE15CF">
        <w:t>), IPEN and ACAT (2018) and Healthcare Without Harm (HCWH, 2018).</w:t>
      </w:r>
    </w:p>
    <w:p w14:paraId="75B61C2E" w14:textId="6358CBCC" w:rsidR="0039560D" w:rsidRPr="00CE15CF" w:rsidRDefault="0039560D" w:rsidP="00CE15CF">
      <w:pPr>
        <w:pStyle w:val="StyleHeading3h3123SecTimesNewRomanBold"/>
      </w:pPr>
      <w:bookmarkStart w:id="145" w:name="_Toc507148983"/>
      <w:bookmarkStart w:id="146" w:name="_Toc515267933"/>
      <w:r w:rsidRPr="00CE15CF">
        <w:t>Efficacy and efficiency of possible control measures</w:t>
      </w:r>
      <w:bookmarkEnd w:id="145"/>
      <w:bookmarkEnd w:id="146"/>
    </w:p>
    <w:p w14:paraId="7B649498" w14:textId="1D44E7AF" w:rsidR="0084721B" w:rsidRPr="00CE15CF" w:rsidRDefault="0084721B" w:rsidP="00CE15CF">
      <w:pPr>
        <w:pStyle w:val="Paralevel1"/>
      </w:pPr>
      <w:r w:rsidRPr="00CE15CF">
        <w:t>This section provide</w:t>
      </w:r>
      <w:r w:rsidR="00592CCB" w:rsidRPr="00CE15CF">
        <w:t>s</w:t>
      </w:r>
      <w:r w:rsidRPr="00CE15CF">
        <w:t xml:space="preserve"> information on PFOA </w:t>
      </w:r>
      <w:r w:rsidR="00130DFF" w:rsidRPr="00CE15CF">
        <w:t xml:space="preserve">in photographic coatings applied to film, to paper and printing plates </w:t>
      </w:r>
      <w:r w:rsidRPr="00CE15CF">
        <w:t>and additional evidence on use in developing countries.</w:t>
      </w:r>
    </w:p>
    <w:p w14:paraId="2E020E84" w14:textId="45E87209" w:rsidR="000E1548" w:rsidRPr="00CE15CF" w:rsidRDefault="00175BCA" w:rsidP="00CE15CF">
      <w:pPr>
        <w:pStyle w:val="Paralevel1"/>
        <w:keepNext/>
        <w:keepLines/>
        <w:numPr>
          <w:ilvl w:val="0"/>
          <w:numId w:val="0"/>
        </w:numPr>
      </w:pPr>
      <w:bookmarkStart w:id="147" w:name="_Toc507148984"/>
      <w:r w:rsidRPr="00CE15CF">
        <w:rPr>
          <w:rStyle w:val="Emphasis"/>
          <w:u w:val="single"/>
        </w:rPr>
        <w:t>Use in photograp</w:t>
      </w:r>
      <w:r w:rsidR="00D348C1" w:rsidRPr="00CE15CF">
        <w:rPr>
          <w:rStyle w:val="Emphasis"/>
          <w:u w:val="single"/>
        </w:rPr>
        <w:t>hic coatings applied to film,</w:t>
      </w:r>
      <w:r w:rsidRPr="00CE15CF">
        <w:rPr>
          <w:rStyle w:val="Emphasis"/>
          <w:u w:val="single"/>
        </w:rPr>
        <w:t xml:space="preserve"> paper and printing plates</w:t>
      </w:r>
      <w:r w:rsidRPr="00CE15CF" w:rsidDel="00175BCA">
        <w:rPr>
          <w:rStyle w:val="Emphasis"/>
          <w:u w:val="single"/>
        </w:rPr>
        <w:t xml:space="preserve"> </w:t>
      </w:r>
      <w:bookmarkEnd w:id="147"/>
    </w:p>
    <w:p w14:paraId="226C1257" w14:textId="478CDF46" w:rsidR="0084721B" w:rsidRPr="00CE15CF" w:rsidRDefault="00667B7C" w:rsidP="00CE15CF">
      <w:pPr>
        <w:pStyle w:val="Paralevel1"/>
      </w:pPr>
      <w:r w:rsidRPr="00CE15CF">
        <w:t>Industry</w:t>
      </w:r>
      <w:r w:rsidR="00E972F3" w:rsidRPr="00CE15CF">
        <w:t xml:space="preserve"> </w:t>
      </w:r>
      <w:r w:rsidR="0084721B" w:rsidRPr="00CE15CF">
        <w:t>expect</w:t>
      </w:r>
      <w:r w:rsidR="007E5025" w:rsidRPr="00CE15CF">
        <w:t>s</w:t>
      </w:r>
      <w:r w:rsidR="0084721B" w:rsidRPr="00CE15CF">
        <w:t xml:space="preserve"> that the use of PFOA and PFOA-related </w:t>
      </w:r>
      <w:r w:rsidR="00DA208B" w:rsidRPr="00CE15CF">
        <w:t xml:space="preserve">compounds </w:t>
      </w:r>
      <w:r w:rsidR="0084721B" w:rsidRPr="00CE15CF">
        <w:t xml:space="preserve">is likely to cease within 10 years </w:t>
      </w:r>
      <w:r w:rsidR="000B6183" w:rsidRPr="00CE15CF">
        <w:t xml:space="preserve">(from 2014) </w:t>
      </w:r>
      <w:r w:rsidR="0084721B" w:rsidRPr="00CE15CF">
        <w:t xml:space="preserve">when stocks are exhausted and remaining applications will have been replaced by digital techniques </w:t>
      </w:r>
      <w:r w:rsidR="006603AB" w:rsidRPr="00CE15CF">
        <w:t>(</w:t>
      </w:r>
      <w:r w:rsidR="00766158" w:rsidRPr="00CE15CF">
        <w:t>ECHA, 2014a</w:t>
      </w:r>
      <w:r w:rsidR="0084721B" w:rsidRPr="00CE15CF">
        <w:t>).</w:t>
      </w:r>
    </w:p>
    <w:p w14:paraId="1EA3E448" w14:textId="203CA9F9" w:rsidR="0084721B" w:rsidRPr="00CE15CF" w:rsidRDefault="0084721B" w:rsidP="00CE15CF">
      <w:pPr>
        <w:pStyle w:val="Paralevel1"/>
      </w:pPr>
      <w:r w:rsidRPr="00CE15CF">
        <w:t xml:space="preserve">In these uses, PFOA and PFOA-related </w:t>
      </w:r>
      <w:r w:rsidR="00DA208B" w:rsidRPr="00CE15CF">
        <w:t xml:space="preserve">compounds </w:t>
      </w:r>
      <w:r w:rsidRPr="00CE15CF">
        <w:t xml:space="preserve">are bound to a coating matrix, which is covered by other layers of the photographic material. The concentration of PFOA in articles is stated to be </w:t>
      </w:r>
      <w:r w:rsidR="000B284D" w:rsidRPr="00CE15CF">
        <w:t>in the range of 0.1</w:t>
      </w:r>
      <w:r w:rsidR="00F7326B" w:rsidRPr="00CE15CF">
        <w:t>–</w:t>
      </w:r>
      <w:r w:rsidR="000B284D" w:rsidRPr="00CE15CF">
        <w:t xml:space="preserve">0.8 </w:t>
      </w:r>
      <w:proofErr w:type="spellStart"/>
      <w:r w:rsidR="000B284D" w:rsidRPr="00CE15CF">
        <w:t>μg</w:t>
      </w:r>
      <w:proofErr w:type="spellEnd"/>
      <w:r w:rsidR="000B284D" w:rsidRPr="00CE15CF">
        <w:t xml:space="preserve">/cm² </w:t>
      </w:r>
      <w:r w:rsidRPr="00CE15CF">
        <w:t>(</w:t>
      </w:r>
      <w:r w:rsidR="00766158" w:rsidRPr="00CE15CF">
        <w:t>ECHA, 2014a</w:t>
      </w:r>
      <w:r w:rsidRPr="00CE15CF">
        <w:t xml:space="preserve">). The use of PFOA in photographic applications is strongly decreasing owing to the transition to digital techniques. According to </w:t>
      </w:r>
      <w:r w:rsidR="00090C90" w:rsidRPr="00CE15CF">
        <w:t xml:space="preserve">European </w:t>
      </w:r>
      <w:r w:rsidRPr="00CE15CF">
        <w:t xml:space="preserve">industry, &lt; 0.1 t of PFOA and &lt;0.1 t of PFOA-related </w:t>
      </w:r>
      <w:r w:rsidR="00DA208B" w:rsidRPr="00CE15CF">
        <w:t xml:space="preserve">compounds </w:t>
      </w:r>
      <w:proofErr w:type="gramStart"/>
      <w:r w:rsidR="004B5D0E" w:rsidRPr="00CE15CF">
        <w:t>were</w:t>
      </w:r>
      <w:proofErr w:type="gramEnd"/>
      <w:r w:rsidRPr="00CE15CF">
        <w:t xml:space="preserve"> used in the EU in 2013</w:t>
      </w:r>
      <w:r w:rsidR="00B44AE7" w:rsidRPr="00CE15CF">
        <w:t xml:space="preserve"> in photographic applications</w:t>
      </w:r>
      <w:r w:rsidR="000B284D" w:rsidRPr="00CE15CF">
        <w:t xml:space="preserve"> (</w:t>
      </w:r>
      <w:r w:rsidR="00766158" w:rsidRPr="00CE15CF">
        <w:t>ECHA, 2014a</w:t>
      </w:r>
      <w:r w:rsidR="000B284D" w:rsidRPr="00CE15CF">
        <w:t>)</w:t>
      </w:r>
      <w:r w:rsidR="00B44AE7" w:rsidRPr="00CE15CF">
        <w:t>.</w:t>
      </w:r>
      <w:r w:rsidR="007E5F97" w:rsidRPr="00CE15CF">
        <w:t xml:space="preserve"> </w:t>
      </w:r>
      <w:r w:rsidR="005446F1" w:rsidRPr="00CE15CF">
        <w:t>European industry assumes e</w:t>
      </w:r>
      <w:r w:rsidR="007E5F97" w:rsidRPr="00CE15CF">
        <w:t>nvironmental releases and exposure potential to be low during manufacturing (I&amp;P Europe, 2015).</w:t>
      </w:r>
    </w:p>
    <w:p w14:paraId="42DBB262" w14:textId="52517BBD" w:rsidR="0084721B" w:rsidRPr="00CE15CF" w:rsidRDefault="00667B7C" w:rsidP="00CE15CF">
      <w:pPr>
        <w:pStyle w:val="Paralevel1"/>
      </w:pPr>
      <w:r w:rsidRPr="00CE15CF">
        <w:t>T</w:t>
      </w:r>
      <w:r w:rsidR="00766158" w:rsidRPr="00CE15CF">
        <w:t xml:space="preserve">he submission by the Netherlands </w:t>
      </w:r>
      <w:r w:rsidR="0084721B" w:rsidRPr="00CE15CF">
        <w:t>(</w:t>
      </w:r>
      <w:r w:rsidR="00766158" w:rsidRPr="00CE15CF">
        <w:t>2018</w:t>
      </w:r>
      <w:r w:rsidR="005B78AB" w:rsidRPr="00CE15CF">
        <w:t>a</w:t>
      </w:r>
      <w:r w:rsidR="0084721B" w:rsidRPr="00CE15CF">
        <w:t>) provided information that PFOA has been replaced in most applications within the EU. Analog</w:t>
      </w:r>
      <w:r w:rsidR="004B5D0E" w:rsidRPr="00CE15CF">
        <w:t>ue</w:t>
      </w:r>
      <w:r w:rsidR="0084721B" w:rsidRPr="00CE15CF">
        <w:t xml:space="preserve"> applications have largely been replaced by digital, but precise percentages are not available. Forecast numbers </w:t>
      </w:r>
      <w:r w:rsidR="008D5AFC" w:rsidRPr="00CE15CF">
        <w:t xml:space="preserve">previously </w:t>
      </w:r>
      <w:r w:rsidR="0084721B" w:rsidRPr="00CE15CF">
        <w:t>indicate</w:t>
      </w:r>
      <w:r w:rsidR="008D5AFC" w:rsidRPr="00CE15CF">
        <w:t>d</w:t>
      </w:r>
      <w:r w:rsidR="0084721B" w:rsidRPr="00CE15CF">
        <w:t xml:space="preserve"> a further reduction </w:t>
      </w:r>
      <w:r w:rsidR="00594EF1" w:rsidRPr="00CE15CF">
        <w:t xml:space="preserve">of </w:t>
      </w:r>
      <w:r w:rsidR="00B44AE7" w:rsidRPr="00CE15CF">
        <w:t xml:space="preserve">PFOA and PFOA-related </w:t>
      </w:r>
      <w:r w:rsidR="00DA208B" w:rsidRPr="00CE15CF">
        <w:t xml:space="preserve">compounds </w:t>
      </w:r>
      <w:r w:rsidR="00594EF1" w:rsidRPr="00CE15CF">
        <w:t xml:space="preserve">use in Europe </w:t>
      </w:r>
      <w:r w:rsidR="0084721B" w:rsidRPr="00CE15CF">
        <w:t>to about 0.12 t/</w:t>
      </w:r>
      <w:proofErr w:type="spellStart"/>
      <w:r w:rsidR="0084721B" w:rsidRPr="00CE15CF">
        <w:t>yr</w:t>
      </w:r>
      <w:proofErr w:type="spellEnd"/>
      <w:r w:rsidR="0084721B" w:rsidRPr="00CE15CF">
        <w:t xml:space="preserve"> in 2015 and 0.088 t/</w:t>
      </w:r>
      <w:proofErr w:type="spellStart"/>
      <w:r w:rsidR="0084721B" w:rsidRPr="00CE15CF">
        <w:t>yr</w:t>
      </w:r>
      <w:proofErr w:type="spellEnd"/>
      <w:r w:rsidR="0084721B" w:rsidRPr="00CE15CF">
        <w:t xml:space="preserve"> in 2016</w:t>
      </w:r>
      <w:r w:rsidR="008D5AFC" w:rsidRPr="00CE15CF">
        <w:t xml:space="preserve"> (</w:t>
      </w:r>
      <w:r w:rsidR="00766158" w:rsidRPr="00CE15CF">
        <w:t>ECHA, 2015b</w:t>
      </w:r>
      <w:r w:rsidR="00594EF1" w:rsidRPr="00CE15CF">
        <w:t>)</w:t>
      </w:r>
      <w:r w:rsidR="0084721B" w:rsidRPr="00CE15CF">
        <w:t>, amounting to a further reduction of the use of PFOAs in the whole photographic industry to respectively 96.4% and 97.5% since 2000</w:t>
      </w:r>
      <w:r w:rsidR="001919D9" w:rsidRPr="00CE15CF">
        <w:t xml:space="preserve"> (</w:t>
      </w:r>
      <w:r w:rsidR="00766158" w:rsidRPr="00CE15CF">
        <w:t>I&amp;P Europe, 2015</w:t>
      </w:r>
      <w:r w:rsidR="001919D9" w:rsidRPr="00CE15CF">
        <w:t>)</w:t>
      </w:r>
      <w:r w:rsidR="0084721B" w:rsidRPr="00CE15CF">
        <w:t>.</w:t>
      </w:r>
    </w:p>
    <w:p w14:paraId="2A8FAE8B" w14:textId="4D41D2F1" w:rsidR="0084721B" w:rsidRPr="00CE15CF" w:rsidRDefault="0084721B" w:rsidP="00CE15CF">
      <w:pPr>
        <w:pStyle w:val="Heading3"/>
        <w:numPr>
          <w:ilvl w:val="0"/>
          <w:numId w:val="0"/>
        </w:numPr>
        <w:spacing w:before="240" w:after="120" w:line="240" w:lineRule="auto"/>
        <w:rPr>
          <w:rStyle w:val="Emphasis"/>
          <w:bCs w:val="0"/>
          <w:i/>
          <w:sz w:val="24"/>
          <w:szCs w:val="24"/>
          <w:u w:val="none"/>
        </w:rPr>
      </w:pPr>
      <w:bookmarkStart w:id="148" w:name="_Toc507148985"/>
      <w:bookmarkStart w:id="149" w:name="_Toc515267934"/>
      <w:r w:rsidRPr="00CE15CF">
        <w:rPr>
          <w:rStyle w:val="Emphasis"/>
          <w:i/>
        </w:rPr>
        <w:t>Use in developing countries</w:t>
      </w:r>
      <w:bookmarkEnd w:id="148"/>
      <w:bookmarkEnd w:id="149"/>
    </w:p>
    <w:p w14:paraId="5B13F8EA" w14:textId="0C68DCCC" w:rsidR="0084721B" w:rsidRPr="00CE15CF" w:rsidRDefault="00291052" w:rsidP="00CE15CF">
      <w:pPr>
        <w:pStyle w:val="Paralevel1"/>
      </w:pPr>
      <w:r w:rsidRPr="00CE15CF">
        <w:t>IPEN and ACAT</w:t>
      </w:r>
      <w:r w:rsidR="00914555" w:rsidRPr="00CE15CF">
        <w:t xml:space="preserve"> (2018</w:t>
      </w:r>
      <w:r w:rsidRPr="00CE15CF">
        <w:t>)</w:t>
      </w:r>
      <w:r w:rsidR="00914555" w:rsidRPr="00CE15CF">
        <w:t xml:space="preserve"> provided multiple examples (</w:t>
      </w:r>
      <w:r w:rsidR="008B0602" w:rsidRPr="00CE15CF">
        <w:t xml:space="preserve">from countries such as </w:t>
      </w:r>
      <w:r w:rsidR="00A061CD" w:rsidRPr="00CE15CF">
        <w:t xml:space="preserve">Gabon, Kazakhstan, </w:t>
      </w:r>
      <w:r w:rsidR="00407D20" w:rsidRPr="00CE15CF">
        <w:t xml:space="preserve">Kenya, </w:t>
      </w:r>
      <w:r w:rsidR="00A061CD" w:rsidRPr="00CE15CF">
        <w:t xml:space="preserve">South Africa, </w:t>
      </w:r>
      <w:r w:rsidR="00407D20" w:rsidRPr="00CE15CF">
        <w:t>Latin America</w:t>
      </w:r>
      <w:r w:rsidR="00A061CD" w:rsidRPr="00CE15CF">
        <w:t>n region</w:t>
      </w:r>
      <w:r w:rsidR="00407D20" w:rsidRPr="00CE15CF">
        <w:t>, and remote Arctic communities)</w:t>
      </w:r>
      <w:r w:rsidR="00914555" w:rsidRPr="00CE15CF">
        <w:t xml:space="preserve"> where digital imaging has been adopted in developing countries in favour of hardcopy printing. </w:t>
      </w:r>
      <w:r w:rsidR="007A6C41" w:rsidRPr="00CE15CF">
        <w:t>As another example, t</w:t>
      </w:r>
      <w:r w:rsidR="0084721B" w:rsidRPr="00CE15CF">
        <w:t>he International Atomic Energy Agency (IAEA) and the World Health Organization (WHO)</w:t>
      </w:r>
      <w:r w:rsidR="00914555" w:rsidRPr="00CE15CF">
        <w:t xml:space="preserve"> note that</w:t>
      </w:r>
      <w:r w:rsidR="0084721B" w:rsidRPr="00CE15CF">
        <w:t xml:space="preserve"> </w:t>
      </w:r>
      <w:r w:rsidR="007A6C41" w:rsidRPr="00CE15CF">
        <w:t xml:space="preserve">there has been a marked transition towards digital technologies in developing and transition countries. </w:t>
      </w:r>
      <w:proofErr w:type="gramStart"/>
      <w:r w:rsidR="007A6C41" w:rsidRPr="00CE15CF">
        <w:t>In particular</w:t>
      </w:r>
      <w:proofErr w:type="gramEnd"/>
      <w:r w:rsidR="007A6C41" w:rsidRPr="00CE15CF">
        <w:t xml:space="preserve"> the</w:t>
      </w:r>
      <w:r w:rsidR="0084721B" w:rsidRPr="00CE15CF">
        <w:t xml:space="preserve"> IAEA and WHO note that the rapid adoption of digital technology in healthcare results from “efficiencies inherent in digital capture, storage and display and the </w:t>
      </w:r>
      <w:r w:rsidR="0084721B" w:rsidRPr="00CE15CF">
        <w:lastRenderedPageBreak/>
        <w:t>competitive cost structures of such systems when compared to alternatives involving film</w:t>
      </w:r>
      <w:r w:rsidR="007A6C41" w:rsidRPr="00CE15CF">
        <w:rPr>
          <w:rStyle w:val="FootnoteReference"/>
        </w:rPr>
        <w:footnoteReference w:id="41"/>
      </w:r>
      <w:r w:rsidR="0084721B" w:rsidRPr="00CE15CF">
        <w:t>”</w:t>
      </w:r>
      <w:r w:rsidR="005446F1" w:rsidRPr="00CE15CF">
        <w:t xml:space="preserve"> (</w:t>
      </w:r>
      <w:r w:rsidR="005446F1" w:rsidRPr="00CE15CF">
        <w:rPr>
          <w:rFonts w:eastAsiaTheme="minorEastAsia"/>
          <w:lang w:eastAsia="ko-KR"/>
        </w:rPr>
        <w:t>IAEA &amp; WHO, 2015).</w:t>
      </w:r>
      <w:r w:rsidR="00150370" w:rsidRPr="00CE15CF">
        <w:t>”.</w:t>
      </w:r>
      <w:r w:rsidR="007A6C41" w:rsidRPr="00CE15CF">
        <w:rPr>
          <w:rStyle w:val="FootnoteReference"/>
        </w:rPr>
        <w:footnoteReference w:id="42"/>
      </w:r>
    </w:p>
    <w:p w14:paraId="10E596FB" w14:textId="04712556" w:rsidR="006A6AE0" w:rsidRPr="00CE15CF" w:rsidRDefault="006A6AE0" w:rsidP="00CE15CF">
      <w:pPr>
        <w:pStyle w:val="Paralevel1"/>
      </w:pPr>
      <w:r w:rsidRPr="00CE15CF">
        <w:t xml:space="preserve">Further information on use of PFOA or PFOA-related compounds in </w:t>
      </w:r>
      <w:r w:rsidR="005A72A6" w:rsidRPr="00CE15CF">
        <w:t xml:space="preserve">developing countries in </w:t>
      </w:r>
      <w:r w:rsidRPr="00CE15CF">
        <w:t>other industry sectors (other than healthcare) was not received in response to the call for information.</w:t>
      </w:r>
    </w:p>
    <w:p w14:paraId="61F186AC" w14:textId="53F6C9FD" w:rsidR="0084721B" w:rsidRPr="00CE15CF" w:rsidRDefault="0084721B" w:rsidP="00CE15CF">
      <w:pPr>
        <w:pStyle w:val="Heading3"/>
        <w:numPr>
          <w:ilvl w:val="0"/>
          <w:numId w:val="0"/>
        </w:numPr>
        <w:spacing w:before="240" w:after="120" w:line="240" w:lineRule="auto"/>
        <w:rPr>
          <w:rStyle w:val="Emphasis"/>
          <w:bCs w:val="0"/>
          <w:i/>
          <w:sz w:val="24"/>
          <w:szCs w:val="24"/>
          <w:u w:val="none"/>
        </w:rPr>
      </w:pPr>
      <w:bookmarkStart w:id="150" w:name="_Toc507148986"/>
      <w:bookmarkStart w:id="151" w:name="_Toc515267935"/>
      <w:r w:rsidRPr="00CE15CF">
        <w:rPr>
          <w:rStyle w:val="Emphasis"/>
          <w:i/>
        </w:rPr>
        <w:t>Control measures</w:t>
      </w:r>
      <w:bookmarkEnd w:id="150"/>
      <w:bookmarkEnd w:id="151"/>
    </w:p>
    <w:p w14:paraId="46097370" w14:textId="0B96FBD3" w:rsidR="0084721B" w:rsidRPr="00CE15CF" w:rsidRDefault="0084721B" w:rsidP="00CE15CF">
      <w:pPr>
        <w:pStyle w:val="Paralevel1"/>
      </w:pPr>
      <w:r w:rsidRPr="00CE15CF">
        <w:t xml:space="preserve">It is indicated by </w:t>
      </w:r>
      <w:r w:rsidR="00CE6355" w:rsidRPr="00CE15CF">
        <w:t>I&amp;P Europe member companies</w:t>
      </w:r>
      <w:r w:rsidRPr="00CE15CF">
        <w:t xml:space="preserve"> that most photo-imaging products do not contain </w:t>
      </w:r>
      <w:r w:rsidR="00914555" w:rsidRPr="00CE15CF">
        <w:t xml:space="preserve">PFOA or </w:t>
      </w:r>
      <w:r w:rsidRPr="00CE15CF">
        <w:t>PFOA-related compounds</w:t>
      </w:r>
      <w:r w:rsidR="00CE6355" w:rsidRPr="00CE15CF">
        <w:t xml:space="preserve"> (</w:t>
      </w:r>
      <w:r w:rsidR="00353FAE" w:rsidRPr="00CE15CF">
        <w:t>I&amp;P Europe, 2015</w:t>
      </w:r>
      <w:r w:rsidR="00CE6355" w:rsidRPr="00CE15CF">
        <w:t>)</w:t>
      </w:r>
      <w:r w:rsidRPr="00CE15CF">
        <w:t xml:space="preserve">. </w:t>
      </w:r>
      <w:r w:rsidR="00EB62A1" w:rsidRPr="00CE15CF">
        <w:t>The RME provides text which states that for w</w:t>
      </w:r>
      <w:r w:rsidRPr="00CE15CF">
        <w:t xml:space="preserve">aste materials, which are associated with the manufacture of a small number of films containing </w:t>
      </w:r>
      <w:r w:rsidR="00914555" w:rsidRPr="00CE15CF">
        <w:t xml:space="preserve">PFOA or </w:t>
      </w:r>
      <w:r w:rsidRPr="00CE15CF">
        <w:t xml:space="preserve">PFOA-related compounds, are typically disposed </w:t>
      </w:r>
      <w:r w:rsidR="00A50D5E" w:rsidRPr="00CE15CF">
        <w:t xml:space="preserve">of </w:t>
      </w:r>
      <w:r w:rsidRPr="00CE15CF">
        <w:t>by high temperature incineration and excess coating formulations may be sent for silver recovery. Thereby, the waste is incinerated at high</w:t>
      </w:r>
      <w:r w:rsidR="00EB62A1" w:rsidRPr="00CE15CF">
        <w:t xml:space="preserve"> temperatures (I&amp;P Europe, 2016</w:t>
      </w:r>
      <w:r w:rsidRPr="00CE15CF">
        <w:t>). This represents the situation in Europe (IPEN Comments on 1</w:t>
      </w:r>
      <w:r w:rsidRPr="00CE15CF">
        <w:rPr>
          <w:vertAlign w:val="superscript"/>
        </w:rPr>
        <w:t>st</w:t>
      </w:r>
      <w:r w:rsidRPr="00CE15CF">
        <w:t xml:space="preserve"> draft RME).</w:t>
      </w:r>
      <w:r w:rsidR="00914555" w:rsidRPr="00CE15CF">
        <w:t xml:space="preserve"> Information for other geographies has not been identified.</w:t>
      </w:r>
    </w:p>
    <w:p w14:paraId="2159D9AA" w14:textId="66D94AAD" w:rsidR="0084721B" w:rsidRPr="00CE15CF" w:rsidRDefault="0084721B" w:rsidP="00CE15CF">
      <w:pPr>
        <w:pStyle w:val="Paralevel1"/>
      </w:pPr>
      <w:r w:rsidRPr="00CE15CF">
        <w:t xml:space="preserve">Due to lack of data, substitution costs in response to a restriction for photographic applications cannot be </w:t>
      </w:r>
      <w:r w:rsidR="00291052" w:rsidRPr="00CE15CF">
        <w:t>estimated</w:t>
      </w:r>
      <w:r w:rsidRPr="00CE15CF">
        <w:t xml:space="preserve"> and no further up to date information has been received in response to the call for </w:t>
      </w:r>
      <w:r w:rsidR="00A50D5E" w:rsidRPr="00CE15CF">
        <w:t>information</w:t>
      </w:r>
      <w:r w:rsidRPr="00CE15CF">
        <w:t>.</w:t>
      </w:r>
      <w:r w:rsidR="00E816FE" w:rsidRPr="00CE15CF">
        <w:t xml:space="preserve"> </w:t>
      </w:r>
      <w:r w:rsidR="00C021DC" w:rsidRPr="00CE15CF">
        <w:t>This may be due to the extensive transition to digital technologies that has already occurred, however m</w:t>
      </w:r>
      <w:r w:rsidR="00E816FE" w:rsidRPr="00CE15CF">
        <w:t xml:space="preserve">ore information </w:t>
      </w:r>
      <w:r w:rsidR="00BA3D2E" w:rsidRPr="00CE15CF">
        <w:t xml:space="preserve">on cost of substitution </w:t>
      </w:r>
      <w:r w:rsidR="00E816FE" w:rsidRPr="00CE15CF">
        <w:t>would be useful.</w:t>
      </w:r>
    </w:p>
    <w:p w14:paraId="0E6E08F4" w14:textId="3930F4EC" w:rsidR="0084721B" w:rsidRPr="00CE15CF" w:rsidRDefault="0084721B" w:rsidP="00CE15CF">
      <w:pPr>
        <w:pStyle w:val="Paralevel1"/>
      </w:pPr>
      <w:r w:rsidRPr="00CE15CF">
        <w:t xml:space="preserve">Monitoring data linked directly to the photographic sector is very limited and no additional data has been submitted in response to the recent call for </w:t>
      </w:r>
      <w:r w:rsidR="00A50D5E" w:rsidRPr="00CE15CF">
        <w:t>information</w:t>
      </w:r>
      <w:r w:rsidRPr="00CE15CF">
        <w:t>.</w:t>
      </w:r>
    </w:p>
    <w:p w14:paraId="6ED26573" w14:textId="447A6342" w:rsidR="0039560D" w:rsidRPr="00CE15CF" w:rsidRDefault="0039560D" w:rsidP="00CE15CF">
      <w:pPr>
        <w:pStyle w:val="StyleHeading3h3123SecTimesNewRomanBold"/>
      </w:pPr>
      <w:bookmarkStart w:id="152" w:name="_Toc507148987"/>
      <w:bookmarkStart w:id="153" w:name="_Toc515267936"/>
      <w:r w:rsidRPr="00CE15CF">
        <w:t>Information on alternatives</w:t>
      </w:r>
      <w:bookmarkEnd w:id="152"/>
      <w:bookmarkEnd w:id="153"/>
    </w:p>
    <w:p w14:paraId="2B55097A" w14:textId="2005C9C3" w:rsidR="003543A1" w:rsidRPr="00CE15CF" w:rsidRDefault="00FB486E" w:rsidP="00CE15CF">
      <w:pPr>
        <w:pStyle w:val="Paralevel1"/>
      </w:pPr>
      <w:proofErr w:type="gramStart"/>
      <w:r w:rsidRPr="00CE15CF">
        <w:rPr>
          <w:i/>
        </w:rPr>
        <w:t>According to</w:t>
      </w:r>
      <w:proofErr w:type="gramEnd"/>
      <w:r w:rsidRPr="00CE15CF">
        <w:rPr>
          <w:i/>
        </w:rPr>
        <w:t xml:space="preserve"> </w:t>
      </w:r>
      <w:r w:rsidR="00CE6355" w:rsidRPr="00CE15CF">
        <w:rPr>
          <w:i/>
        </w:rPr>
        <w:t>I&amp;P Europe, s</w:t>
      </w:r>
      <w:r w:rsidR="0084721B" w:rsidRPr="00CE15CF">
        <w:rPr>
          <w:i/>
        </w:rPr>
        <w:t>ince 2000</w:t>
      </w:r>
      <w:r w:rsidR="00CE6355" w:rsidRPr="00CE15CF">
        <w:rPr>
          <w:i/>
        </w:rPr>
        <w:t>,</w:t>
      </w:r>
      <w:r w:rsidR="0084721B" w:rsidRPr="00CE15CF">
        <w:rPr>
          <w:i/>
        </w:rPr>
        <w:t xml:space="preserve"> </w:t>
      </w:r>
      <w:r w:rsidR="00CE6355" w:rsidRPr="00CE15CF">
        <w:rPr>
          <w:i/>
        </w:rPr>
        <w:t xml:space="preserve">European </w:t>
      </w:r>
      <w:r w:rsidR="00E327F0" w:rsidRPr="00CE15CF">
        <w:rPr>
          <w:i/>
        </w:rPr>
        <w:t>industry has reformulated/</w:t>
      </w:r>
      <w:r w:rsidR="0084721B" w:rsidRPr="00CE15CF">
        <w:rPr>
          <w:i/>
        </w:rPr>
        <w:t xml:space="preserve">discontinued a large number of products, resulting in a world-wide reduction in the use of PFOA-related compounds of more than 95%. Although replacements do not currently exist for the remaining few applications, further reduction in use of </w:t>
      </w:r>
      <w:r w:rsidR="005925F5" w:rsidRPr="00CE15CF">
        <w:rPr>
          <w:i/>
        </w:rPr>
        <w:t>PFOA-related compounds</w:t>
      </w:r>
      <w:r w:rsidR="0084721B" w:rsidRPr="00CE15CF">
        <w:rPr>
          <w:i/>
        </w:rPr>
        <w:t xml:space="preserve"> is anticipated as the transition continues towards digital imaging. I&amp;P Europe believes that additional control measures for ongoing uses are </w:t>
      </w:r>
      <w:r w:rsidR="00EB62A1" w:rsidRPr="00CE15CF">
        <w:rPr>
          <w:i/>
        </w:rPr>
        <w:t>not necessary (I&amp;P Europe, 2016</w:t>
      </w:r>
      <w:r w:rsidR="0084721B" w:rsidRPr="00CE15CF">
        <w:rPr>
          <w:i/>
        </w:rPr>
        <w:t>).</w:t>
      </w:r>
      <w:r w:rsidR="00734CAF" w:rsidRPr="00CE15CF">
        <w:rPr>
          <w:i/>
        </w:rPr>
        <w:t xml:space="preserve"> </w:t>
      </w:r>
      <w:r w:rsidR="003543A1" w:rsidRPr="00CE15CF">
        <w:rPr>
          <w:i/>
        </w:rPr>
        <w:t xml:space="preserve">A study by van der </w:t>
      </w:r>
      <w:proofErr w:type="spellStart"/>
      <w:r w:rsidR="003543A1" w:rsidRPr="00CE15CF">
        <w:rPr>
          <w:i/>
        </w:rPr>
        <w:t>Putte</w:t>
      </w:r>
      <w:proofErr w:type="spellEnd"/>
      <w:r w:rsidR="003543A1" w:rsidRPr="00CE15CF">
        <w:rPr>
          <w:i/>
        </w:rPr>
        <w:t xml:space="preserve"> et al. (2010) suggests that no alternative currently exists and the significant investment required in R&amp;D to switch to an alternative means it is likely that manufacture and use of PFOA or PFOA-related compounds in the photo-imaging sector could cease (ECHA, 2014a). The largest barriers to development reportedly remain technical and cost of R&amp;D. They suggest that substitution of PFOA typically amounts to 500</w:t>
      </w:r>
      <w:r w:rsidR="00734CAF" w:rsidRPr="00CE15CF">
        <w:rPr>
          <w:i/>
        </w:rPr>
        <w:t>–</w:t>
      </w:r>
      <w:r w:rsidR="003543A1" w:rsidRPr="00CE15CF">
        <w:rPr>
          <w:i/>
        </w:rPr>
        <w:t>1</w:t>
      </w:r>
      <w:r w:rsidR="00E327F0" w:rsidRPr="00CE15CF">
        <w:rPr>
          <w:i/>
        </w:rPr>
        <w:t>,</w:t>
      </w:r>
      <w:r w:rsidR="003543A1" w:rsidRPr="00CE15CF">
        <w:rPr>
          <w:i/>
        </w:rPr>
        <w:t>000</w:t>
      </w:r>
      <w:r w:rsidR="00E327F0" w:rsidRPr="00CE15CF">
        <w:rPr>
          <w:i/>
        </w:rPr>
        <w:t>,000</w:t>
      </w:r>
      <w:r w:rsidR="003543A1" w:rsidRPr="00CE15CF">
        <w:rPr>
          <w:i/>
        </w:rPr>
        <w:t xml:space="preserve"> Euro for a single photographic material. The economic cost associated with substitution of PFOA in the few remaining critical photographic uses has in most cases become prohibitive, the small remaining critical uses being niche products in markets that I&amp;P Europe members anticipate to further decline (I&amp;P Europe, 2015)</w:t>
      </w:r>
      <w:r w:rsidR="003543A1" w:rsidRPr="00CE15CF">
        <w:t xml:space="preserve">. </w:t>
      </w:r>
      <w:r w:rsidR="004B4C44" w:rsidRPr="00CE15CF">
        <w:t>For these reasons, the industry has shifted to digital technologies.</w:t>
      </w:r>
    </w:p>
    <w:p w14:paraId="4D664A85" w14:textId="14AFF210" w:rsidR="0084721B" w:rsidRPr="00CE15CF" w:rsidRDefault="00914555" w:rsidP="00CE15CF">
      <w:pPr>
        <w:pStyle w:val="Paralevel1"/>
      </w:pPr>
      <w:r w:rsidRPr="00CE15CF">
        <w:t>T</w:t>
      </w:r>
      <w:r w:rsidR="0084721B" w:rsidRPr="00CE15CF">
        <w:t>he Netherlands (</w:t>
      </w:r>
      <w:r w:rsidR="00EB62A1" w:rsidRPr="00CE15CF">
        <w:t>2018</w:t>
      </w:r>
      <w:r w:rsidR="005B78AB" w:rsidRPr="00CE15CF">
        <w:t>a</w:t>
      </w:r>
      <w:r w:rsidR="0084721B" w:rsidRPr="00CE15CF">
        <w:t>)</w:t>
      </w:r>
      <w:r w:rsidRPr="00CE15CF">
        <w:t xml:space="preserve"> </w:t>
      </w:r>
      <w:r w:rsidR="001C59CF" w:rsidRPr="00CE15CF">
        <w:t xml:space="preserve">provided information stating that they have </w:t>
      </w:r>
      <w:r w:rsidRPr="00CE15CF">
        <w:t>created</w:t>
      </w:r>
      <w:r w:rsidR="0084721B" w:rsidRPr="00CE15CF">
        <w:t xml:space="preserve"> a replacement program</w:t>
      </w:r>
      <w:r w:rsidR="00D8151D" w:rsidRPr="00CE15CF">
        <w:t>me</w:t>
      </w:r>
      <w:r w:rsidR="0084721B" w:rsidRPr="00CE15CF">
        <w:t xml:space="preserve"> for PFOA. For substitution</w:t>
      </w:r>
      <w:r w:rsidR="00734CAF" w:rsidRPr="00CE15CF">
        <w:t>,</w:t>
      </w:r>
      <w:r w:rsidR="0084721B" w:rsidRPr="00CE15CF">
        <w:t xml:space="preserve"> the first option is to look at non</w:t>
      </w:r>
      <w:r w:rsidR="00D8151D" w:rsidRPr="00CE15CF">
        <w:t>-</w:t>
      </w:r>
      <w:r w:rsidR="0084721B" w:rsidRPr="00CE15CF">
        <w:t xml:space="preserve">fluorine substances if applicable. The </w:t>
      </w:r>
      <w:r w:rsidR="00786CC3" w:rsidRPr="00CE15CF">
        <w:t xml:space="preserve">PFOA </w:t>
      </w:r>
      <w:r w:rsidR="0084721B" w:rsidRPr="00CE15CF">
        <w:t>products concerned (</w:t>
      </w:r>
      <w:proofErr w:type="spellStart"/>
      <w:r w:rsidR="0084721B" w:rsidRPr="00CE15CF">
        <w:t>Amfluk</w:t>
      </w:r>
      <w:proofErr w:type="spellEnd"/>
      <w:r w:rsidR="0084721B" w:rsidRPr="00CE15CF">
        <w:t xml:space="preserve"> and </w:t>
      </w:r>
      <w:proofErr w:type="spellStart"/>
      <w:r w:rsidR="0084721B" w:rsidRPr="00CE15CF">
        <w:t>Kapri</w:t>
      </w:r>
      <w:proofErr w:type="spellEnd"/>
      <w:r w:rsidR="0084721B" w:rsidRPr="00CE15CF">
        <w:t xml:space="preserve">) were replaced where possible by a combination of non-fluorinated products </w:t>
      </w:r>
      <w:r w:rsidR="00575B10" w:rsidRPr="00CE15CF">
        <w:t>and/</w:t>
      </w:r>
      <w:r w:rsidR="0084721B" w:rsidRPr="00CE15CF">
        <w:t xml:space="preserve">or degradable fluorinated compounds </w:t>
      </w:r>
      <w:r w:rsidR="00575B10" w:rsidRPr="00CE15CF">
        <w:t>where no</w:t>
      </w:r>
      <w:r w:rsidR="0084721B" w:rsidRPr="00CE15CF">
        <w:t xml:space="preserve"> PFOA arises</w:t>
      </w:r>
      <w:r w:rsidR="00575B10" w:rsidRPr="00CE15CF">
        <w:t xml:space="preserve"> following degradation</w:t>
      </w:r>
      <w:r w:rsidR="0084721B" w:rsidRPr="00CE15CF">
        <w:t xml:space="preserve">. </w:t>
      </w:r>
    </w:p>
    <w:p w14:paraId="2541E477" w14:textId="50BBAF3F" w:rsidR="0039560D" w:rsidRPr="00CE15CF" w:rsidRDefault="0039560D" w:rsidP="00CE15CF">
      <w:pPr>
        <w:pStyle w:val="StyleHeading3h3123SecTimesNewRomanBold"/>
      </w:pPr>
      <w:bookmarkStart w:id="154" w:name="_Toc507148988"/>
      <w:bookmarkStart w:id="155" w:name="_Toc515267937"/>
      <w:r w:rsidRPr="00CE15CF">
        <w:t>Information on impacts on society</w:t>
      </w:r>
      <w:bookmarkEnd w:id="154"/>
      <w:bookmarkEnd w:id="155"/>
    </w:p>
    <w:p w14:paraId="576EAAE3" w14:textId="777D310C" w:rsidR="0084721B" w:rsidRPr="00CE15CF" w:rsidRDefault="0084721B" w:rsidP="00CE15CF">
      <w:pPr>
        <w:pStyle w:val="Paralevel1"/>
        <w:rPr>
          <w:i/>
        </w:rPr>
      </w:pPr>
      <w:proofErr w:type="gramStart"/>
      <w:r w:rsidRPr="00CE15CF">
        <w:t>According to</w:t>
      </w:r>
      <w:proofErr w:type="gramEnd"/>
      <w:r w:rsidRPr="00CE15CF">
        <w:t xml:space="preserve"> representatives of the European photo industry, control measures implemented by the photo-imaging industry, including reformulation and product discontinuance, have reduced the use of PFOA-related compounds worldwide by more than 95%. The emissions from the small number of ongoing uses by the photo-imaging industry have been assessed by </w:t>
      </w:r>
      <w:proofErr w:type="gramStart"/>
      <w:r w:rsidRPr="00CE15CF">
        <w:t>a number of</w:t>
      </w:r>
      <w:proofErr w:type="gramEnd"/>
      <w:r w:rsidRPr="00CE15CF">
        <w:t xml:space="preserve"> competent authorities in the EU, including ECHA, and determined not to pose a relevant risk to the environment or human health (I&amp;P Europe, 2016).</w:t>
      </w:r>
    </w:p>
    <w:p w14:paraId="143875F1" w14:textId="5039E0B6" w:rsidR="0039560D" w:rsidRPr="00CE15CF" w:rsidRDefault="0039560D" w:rsidP="00CE15CF">
      <w:pPr>
        <w:pStyle w:val="StyleHeading3h3123SecTimesNewRomanBold"/>
      </w:pPr>
      <w:bookmarkStart w:id="156" w:name="_Toc507148989"/>
      <w:bookmarkStart w:id="157" w:name="_Toc515267938"/>
      <w:r w:rsidRPr="00CE15CF">
        <w:t>Syntheses of information</w:t>
      </w:r>
      <w:bookmarkEnd w:id="156"/>
      <w:bookmarkEnd w:id="157"/>
    </w:p>
    <w:p w14:paraId="2765A10D" w14:textId="49F4D385" w:rsidR="0084721B" w:rsidRPr="00CE15CF" w:rsidRDefault="00630AA1" w:rsidP="00CE15CF">
      <w:pPr>
        <w:pStyle w:val="Paralevel1"/>
      </w:pPr>
      <w:proofErr w:type="gramStart"/>
      <w:r w:rsidRPr="00CE15CF">
        <w:t>According to</w:t>
      </w:r>
      <w:proofErr w:type="gramEnd"/>
      <w:r w:rsidRPr="00CE15CF">
        <w:t xml:space="preserve"> I&amp;P Europe, since 2000, European industry has reformulated/discontinued a large number of products, resulting in a worldwide reduction in the use of PFOA-related compounds of more than 95%. </w:t>
      </w:r>
      <w:r w:rsidR="0084721B" w:rsidRPr="00CE15CF">
        <w:t>Analog</w:t>
      </w:r>
      <w:r w:rsidR="00D8151D" w:rsidRPr="00CE15CF">
        <w:t>ue</w:t>
      </w:r>
      <w:r w:rsidR="0084721B" w:rsidRPr="00CE15CF">
        <w:t xml:space="preserve"> printing is being phased out and replaced rapidly by digital, including in developing </w:t>
      </w:r>
      <w:r w:rsidRPr="00CE15CF">
        <w:t xml:space="preserve">and transition </w:t>
      </w:r>
      <w:r w:rsidR="0084721B" w:rsidRPr="00CE15CF">
        <w:t xml:space="preserve">countries.  </w:t>
      </w:r>
      <w:r w:rsidR="006B4564" w:rsidRPr="00CE15CF">
        <w:t xml:space="preserve">IAEA and WHO note that the rapid adoption of digital technology results from “efficiencies inherent in digital capture, storage and display and the competitive cost structures of such systems when compared to alternatives involving </w:t>
      </w:r>
      <w:r w:rsidR="006B4564" w:rsidRPr="00CE15CF">
        <w:lastRenderedPageBreak/>
        <w:t>film.”</w:t>
      </w:r>
      <w:r w:rsidR="00150A45" w:rsidRPr="00CE15CF">
        <w:t xml:space="preserve"> </w:t>
      </w:r>
      <w:r w:rsidR="0084721B" w:rsidRPr="00CE15CF">
        <w:t xml:space="preserve">No </w:t>
      </w:r>
      <w:r w:rsidR="00D52B56" w:rsidRPr="00CE15CF">
        <w:t xml:space="preserve">chemical </w:t>
      </w:r>
      <w:r w:rsidR="0084721B" w:rsidRPr="00CE15CF">
        <w:t xml:space="preserve">alternative currently exists largely due to the economic cost and time investment necessary for development </w:t>
      </w:r>
      <w:r w:rsidR="00D52B56" w:rsidRPr="00CE15CF">
        <w:t xml:space="preserve">in what is a small commercial use sector </w:t>
      </w:r>
      <w:r w:rsidR="0084721B" w:rsidRPr="00CE15CF">
        <w:t>and this is likely to result in phase out of products before an alternative can be found.</w:t>
      </w:r>
    </w:p>
    <w:p w14:paraId="14680084" w14:textId="773BA897" w:rsidR="0039560D" w:rsidRPr="00CE15CF" w:rsidRDefault="0039560D" w:rsidP="00CE15CF">
      <w:pPr>
        <w:pStyle w:val="StyleHeading3h3123SecTimesNewRomanBold"/>
      </w:pPr>
      <w:bookmarkStart w:id="158" w:name="_Toc507148990"/>
      <w:bookmarkStart w:id="159" w:name="_Toc515267939"/>
      <w:r w:rsidRPr="00CE15CF">
        <w:t>Conclusion</w:t>
      </w:r>
      <w:bookmarkEnd w:id="158"/>
      <w:bookmarkEnd w:id="159"/>
    </w:p>
    <w:p w14:paraId="44877A69" w14:textId="692DDABA" w:rsidR="00773DED" w:rsidRPr="00CE15CF" w:rsidRDefault="0084721B" w:rsidP="00CE15CF">
      <w:pPr>
        <w:pStyle w:val="Paralevel1"/>
      </w:pPr>
      <w:r w:rsidRPr="00CE15CF">
        <w:t xml:space="preserve">Based on the </w:t>
      </w:r>
      <w:r w:rsidR="00663FBA" w:rsidRPr="00CE15CF">
        <w:t xml:space="preserve">existing </w:t>
      </w:r>
      <w:r w:rsidR="00300127" w:rsidRPr="00CE15CF">
        <w:t xml:space="preserve">and rapid </w:t>
      </w:r>
      <w:r w:rsidRPr="00CE15CF">
        <w:t>transition towards digital imaging</w:t>
      </w:r>
      <w:r w:rsidR="00300127" w:rsidRPr="00CE15CF">
        <w:t>, the wide use of digital techniques in developing and transitional countries,</w:t>
      </w:r>
      <w:r w:rsidRPr="00CE15CF">
        <w:t xml:space="preserve"> and the further reduction in use of PFOA in this sector, no exemptions for </w:t>
      </w:r>
      <w:r w:rsidR="00300127" w:rsidRPr="00CE15CF">
        <w:t xml:space="preserve">photographic coatings applied to </w:t>
      </w:r>
      <w:r w:rsidRPr="00CE15CF">
        <w:t xml:space="preserve">paper and printing </w:t>
      </w:r>
      <w:r w:rsidR="00300127" w:rsidRPr="00CE15CF">
        <w:t xml:space="preserve">plates </w:t>
      </w:r>
      <w:r w:rsidRPr="00CE15CF">
        <w:t xml:space="preserve">should be considered necessary. </w:t>
      </w:r>
    </w:p>
    <w:p w14:paraId="42465178" w14:textId="04CEDB5E" w:rsidR="004D5B0D" w:rsidRPr="00CE15CF" w:rsidRDefault="00D519A6" w:rsidP="00CE15CF">
      <w:pPr>
        <w:pStyle w:val="StyleHeading2u2h2ABC2ChptTimesNewRoman12ptBef1"/>
      </w:pPr>
      <w:bookmarkStart w:id="160" w:name="_Toc507148991"/>
      <w:bookmarkStart w:id="161" w:name="_Toc515267940"/>
      <w:r w:rsidRPr="00CE15CF">
        <w:t>(f) A</w:t>
      </w:r>
      <w:r w:rsidR="00AE386D" w:rsidRPr="00CE15CF">
        <w:t>utomotive industry</w:t>
      </w:r>
      <w:bookmarkEnd w:id="160"/>
      <w:bookmarkEnd w:id="161"/>
      <w:r w:rsidR="00AE386D" w:rsidRPr="00CE15CF">
        <w:t xml:space="preserve"> </w:t>
      </w:r>
    </w:p>
    <w:p w14:paraId="640F3AB4" w14:textId="77777777" w:rsidR="002A73D6" w:rsidRPr="00CE15CF" w:rsidRDefault="002A73D6" w:rsidP="00CE15CF">
      <w:pPr>
        <w:pStyle w:val="StyleHeading3h3123SecTimesNewRomanBold"/>
      </w:pPr>
      <w:bookmarkStart w:id="162" w:name="_Toc505341086"/>
      <w:bookmarkStart w:id="163" w:name="_Toc506476853"/>
      <w:bookmarkStart w:id="164" w:name="_Toc506913537"/>
      <w:bookmarkStart w:id="165" w:name="_Toc507148992"/>
      <w:bookmarkStart w:id="166" w:name="_Toc515267941"/>
      <w:r w:rsidRPr="00CE15CF">
        <w:t>Introduction</w:t>
      </w:r>
      <w:bookmarkEnd w:id="162"/>
      <w:bookmarkEnd w:id="163"/>
      <w:bookmarkEnd w:id="164"/>
      <w:bookmarkEnd w:id="165"/>
      <w:bookmarkEnd w:id="166"/>
    </w:p>
    <w:p w14:paraId="374C0227" w14:textId="260BD30A" w:rsidR="002A73D6" w:rsidRPr="00CE15CF" w:rsidRDefault="00A45913" w:rsidP="00CE15CF">
      <w:pPr>
        <w:pStyle w:val="Paralevel1"/>
      </w:pPr>
      <w:r w:rsidRPr="00CE15CF">
        <w:t>The</w:t>
      </w:r>
      <w:r w:rsidR="002A73D6" w:rsidRPr="00CE15CF">
        <w:t xml:space="preserve"> RME</w:t>
      </w:r>
      <w:r w:rsidRPr="00CE15CF">
        <w:t xml:space="preserve"> highlighted </w:t>
      </w:r>
      <w:r w:rsidR="00B31BEA" w:rsidRPr="00CE15CF">
        <w:t>the</w:t>
      </w:r>
      <w:r w:rsidRPr="00CE15CF">
        <w:t xml:space="preserve"> need for more information about the uses in </w:t>
      </w:r>
      <w:r w:rsidR="002A73D6" w:rsidRPr="00CE15CF">
        <w:t>automotive service and replacement parts</w:t>
      </w:r>
      <w:r w:rsidRPr="00CE15CF">
        <w:t xml:space="preserve">. </w:t>
      </w:r>
      <w:proofErr w:type="gramStart"/>
      <w:r w:rsidRPr="00CE15CF">
        <w:t>According to</w:t>
      </w:r>
      <w:proofErr w:type="gramEnd"/>
      <w:r w:rsidRPr="00CE15CF">
        <w:t xml:space="preserve"> the RME</w:t>
      </w:r>
      <w:r w:rsidR="0044480B" w:rsidRPr="00CE15CF">
        <w:t>,</w:t>
      </w:r>
      <w:r w:rsidRPr="00CE15CF">
        <w:t xml:space="preserve"> an exemption for</w:t>
      </w:r>
      <w:r w:rsidR="002A73D6" w:rsidRPr="00CE15CF">
        <w:t xml:space="preserve"> </w:t>
      </w:r>
      <w:r w:rsidRPr="00CE15CF">
        <w:t xml:space="preserve">automotive service and replacement parts </w:t>
      </w:r>
      <w:r w:rsidR="002A73D6" w:rsidRPr="00CE15CF">
        <w:t xml:space="preserve">could be considered under the Stockholm Convention. However, specification of relevant automotive service and replacement parts as well as sound justification for any exemption is required. </w:t>
      </w:r>
      <w:r w:rsidR="00ED42BF" w:rsidRPr="00CE15CF">
        <w:t>No related exemptions have been given in the EU and Norway (see the RME)</w:t>
      </w:r>
      <w:r w:rsidR="00D3607C" w:rsidRPr="00CE15CF">
        <w:t xml:space="preserve"> and no exemption is granted in the EU REACH restriction</w:t>
      </w:r>
      <w:r w:rsidR="00ED42BF" w:rsidRPr="00CE15CF">
        <w:t xml:space="preserve">. </w:t>
      </w:r>
    </w:p>
    <w:p w14:paraId="79FB682F" w14:textId="4D861253" w:rsidR="002A73D6" w:rsidRPr="00CE15CF" w:rsidRDefault="002A73D6" w:rsidP="00CE15CF">
      <w:pPr>
        <w:pStyle w:val="Paralevel1"/>
      </w:pPr>
      <w:r w:rsidRPr="00CE15CF">
        <w:t xml:space="preserve">The </w:t>
      </w:r>
      <w:r w:rsidR="003645F7" w:rsidRPr="00CE15CF">
        <w:t>Committe</w:t>
      </w:r>
      <w:r w:rsidR="005906AB" w:rsidRPr="00CE15CF">
        <w:t>e</w:t>
      </w:r>
      <w:r w:rsidR="003645F7" w:rsidRPr="00CE15CF">
        <w:t xml:space="preserve"> </w:t>
      </w:r>
      <w:r w:rsidRPr="00CE15CF">
        <w:t xml:space="preserve">invited </w:t>
      </w:r>
      <w:r w:rsidR="002B6CC0" w:rsidRPr="00CE15CF">
        <w:t>P</w:t>
      </w:r>
      <w:r w:rsidRPr="00CE15CF">
        <w:t xml:space="preserve">arties and observers to submit further information on automotive spare parts and other relevant information. Information was submitted by the Canadian Vehicle </w:t>
      </w:r>
      <w:r w:rsidR="00F62F5B" w:rsidRPr="00CE15CF">
        <w:t xml:space="preserve">Manufacturers` Association </w:t>
      </w:r>
      <w:r w:rsidRPr="00CE15CF">
        <w:t>(CVMA</w:t>
      </w:r>
      <w:r w:rsidR="009C6059" w:rsidRPr="00CE15CF">
        <w:t>, 2018</w:t>
      </w:r>
      <w:r w:rsidRPr="00CE15CF">
        <w:t>)</w:t>
      </w:r>
      <w:r w:rsidR="0026720B" w:rsidRPr="00CE15CF">
        <w:t xml:space="preserve">, European </w:t>
      </w:r>
      <w:r w:rsidR="00C74C34" w:rsidRPr="00CE15CF">
        <w:t>Automobile Manufacturers Association (ACEA</w:t>
      </w:r>
      <w:r w:rsidR="009C6059" w:rsidRPr="00CE15CF">
        <w:t>, 2018</w:t>
      </w:r>
      <w:r w:rsidR="00C74C34" w:rsidRPr="00CE15CF">
        <w:t xml:space="preserve">), </w:t>
      </w:r>
      <w:r w:rsidR="00F46C68" w:rsidRPr="00CE15CF">
        <w:t xml:space="preserve">Society of Indian Automobile Manufacturers (SIAM, 2018), </w:t>
      </w:r>
      <w:r w:rsidR="00C74C34" w:rsidRPr="00CE15CF">
        <w:t>Canada (2018)</w:t>
      </w:r>
      <w:r w:rsidRPr="00CE15CF">
        <w:t xml:space="preserve"> and IPEN and ACAT (2018). </w:t>
      </w:r>
    </w:p>
    <w:p w14:paraId="3CD8C0FF" w14:textId="47C7A69F" w:rsidR="002A73D6" w:rsidRPr="00CE15CF" w:rsidRDefault="002A73D6" w:rsidP="00CE15CF">
      <w:pPr>
        <w:pStyle w:val="StyleHeading3h3123SecTimesNewRomanBold"/>
      </w:pPr>
      <w:bookmarkStart w:id="167" w:name="_Toc506913538"/>
      <w:bookmarkStart w:id="168" w:name="_Toc507148993"/>
      <w:bookmarkStart w:id="169" w:name="_Toc515267942"/>
      <w:r w:rsidRPr="00CE15CF">
        <w:t>Efficacy and efficiency of possible control measures</w:t>
      </w:r>
      <w:bookmarkEnd w:id="167"/>
      <w:bookmarkEnd w:id="168"/>
      <w:bookmarkEnd w:id="169"/>
    </w:p>
    <w:p w14:paraId="6270BC18" w14:textId="2A53A6EC" w:rsidR="002A73D6" w:rsidRPr="00CE15CF" w:rsidRDefault="002A73D6" w:rsidP="00CE15CF">
      <w:pPr>
        <w:pStyle w:val="Paralevel1"/>
      </w:pPr>
      <w:r w:rsidRPr="00CE15CF">
        <w:t xml:space="preserve">During the development of the RME, </w:t>
      </w:r>
      <w:r w:rsidRPr="00CE15CF">
        <w:rPr>
          <w:i/>
        </w:rPr>
        <w:t xml:space="preserve">the CVMA requested specific exemptions for automotive service and replacement parts. </w:t>
      </w:r>
      <w:r w:rsidR="00F54339" w:rsidRPr="00CE15CF">
        <w:rPr>
          <w:i/>
        </w:rPr>
        <w:t xml:space="preserve">The request for exemption is also supported by the European (ACEA) and Indian (SIAM) automotive industry. </w:t>
      </w:r>
      <w:proofErr w:type="gramStart"/>
      <w:r w:rsidRPr="00CE15CF">
        <w:rPr>
          <w:i/>
        </w:rPr>
        <w:t>According to</w:t>
      </w:r>
      <w:proofErr w:type="gramEnd"/>
      <w:r w:rsidRPr="00CE15CF">
        <w:rPr>
          <w:i/>
        </w:rPr>
        <w:t xml:space="preserve"> the CVMA, the industry has been proactively phasing out PFOA use for some time</w:t>
      </w:r>
      <w:r w:rsidR="00F54339" w:rsidRPr="00CE15CF">
        <w:rPr>
          <w:i/>
        </w:rPr>
        <w:t>, however</w:t>
      </w:r>
      <w:r w:rsidRPr="00CE15CF">
        <w:rPr>
          <w:i/>
        </w:rPr>
        <w:t xml:space="preserve">, service and replacement parts might still contain PFOA. </w:t>
      </w:r>
      <w:r w:rsidR="00A45913" w:rsidRPr="00CE15CF">
        <w:rPr>
          <w:i/>
        </w:rPr>
        <w:t>CVMA states that t</w:t>
      </w:r>
      <w:r w:rsidRPr="00CE15CF">
        <w:rPr>
          <w:i/>
        </w:rPr>
        <w:t xml:space="preserve">hese parts represent a small percentage of PFOA use and will decrease naturally over time </w:t>
      </w:r>
      <w:r w:rsidR="00B32B1C" w:rsidRPr="00CE15CF">
        <w:rPr>
          <w:i/>
        </w:rPr>
        <w:t>due to</w:t>
      </w:r>
      <w:r w:rsidRPr="00CE15CF">
        <w:rPr>
          <w:i/>
        </w:rPr>
        <w:t xml:space="preserve"> vehicle fleet turn-over. Automotive manufacturers </w:t>
      </w:r>
      <w:r w:rsidR="00A708FE" w:rsidRPr="00CE15CF">
        <w:rPr>
          <w:i/>
        </w:rPr>
        <w:t xml:space="preserve">indicated the </w:t>
      </w:r>
      <w:r w:rsidRPr="00CE15CF">
        <w:rPr>
          <w:i/>
        </w:rPr>
        <w:t xml:space="preserve">need to ensure the availability of </w:t>
      </w:r>
      <w:r w:rsidR="00F54339" w:rsidRPr="00CE15CF">
        <w:rPr>
          <w:i/>
        </w:rPr>
        <w:t>Original Equipment (OE)</w:t>
      </w:r>
      <w:r w:rsidRPr="00CE15CF">
        <w:rPr>
          <w:i/>
        </w:rPr>
        <w:t xml:space="preserve"> and spare parts to satisfy customer demand </w:t>
      </w:r>
      <w:r w:rsidRPr="00CE15CF">
        <w:t xml:space="preserve">(see the RME). </w:t>
      </w:r>
    </w:p>
    <w:p w14:paraId="19ECCD2C" w14:textId="05ECB427" w:rsidR="002A73D6" w:rsidRPr="00CE15CF" w:rsidRDefault="002A73D6" w:rsidP="00CE15CF">
      <w:pPr>
        <w:pStyle w:val="Paralevel1"/>
      </w:pPr>
      <w:r w:rsidRPr="00CE15CF">
        <w:t>In their recent submission</w:t>
      </w:r>
      <w:r w:rsidR="00DB6274" w:rsidRPr="00CE15CF">
        <w:t>s</w:t>
      </w:r>
      <w:r w:rsidRPr="00CE15CF">
        <w:t xml:space="preserve">, CVMA </w:t>
      </w:r>
      <w:r w:rsidR="00361592" w:rsidRPr="00CE15CF">
        <w:t>requests</w:t>
      </w:r>
      <w:r w:rsidRPr="00CE15CF">
        <w:t xml:space="preserve"> an exemption for automotive vehicle service and replacement parts as well as current production vehicles given the complexity of the sector and the actions already undertaken by the industry. </w:t>
      </w:r>
      <w:r w:rsidR="00392179" w:rsidRPr="00CE15CF">
        <w:t xml:space="preserve">The request for exemption in new vehicles is related to potential use of </w:t>
      </w:r>
      <w:r w:rsidR="0040458A" w:rsidRPr="00CE15CF">
        <w:t xml:space="preserve">PFOA-related </w:t>
      </w:r>
      <w:r w:rsidR="00DA208B" w:rsidRPr="00CE15CF">
        <w:t>compounds</w:t>
      </w:r>
      <w:r w:rsidR="0040458A" w:rsidRPr="00CE15CF">
        <w:t xml:space="preserve"> </w:t>
      </w:r>
      <w:r w:rsidR="00392179" w:rsidRPr="00CE15CF">
        <w:t xml:space="preserve">that are not listed on the Global Automotive Substance List (GADSL) or listed on GADSL but used below the declaration concentration of 0.1%. </w:t>
      </w:r>
      <w:r w:rsidR="00DB6274" w:rsidRPr="00CE15CF">
        <w:t xml:space="preserve">It is further stated that an </w:t>
      </w:r>
      <w:r w:rsidRPr="00CE15CF">
        <w:t xml:space="preserve">exemption was provided for service and replacement parts when the Convention was deliberating the addition of </w:t>
      </w:r>
      <w:proofErr w:type="spellStart"/>
      <w:r w:rsidRPr="00CE15CF">
        <w:t>decaBDE</w:t>
      </w:r>
      <w:proofErr w:type="spellEnd"/>
      <w:r w:rsidRPr="00CE15CF">
        <w:t xml:space="preserve"> and the same exemption should be applied for PFOA. The issues and challenges would reportedly be similar (CVMA, 2018). </w:t>
      </w:r>
      <w:r w:rsidR="000D1744" w:rsidRPr="00CE15CF">
        <w:t xml:space="preserve">IPEN and ACAT (2018) point out that </w:t>
      </w:r>
      <w:r w:rsidR="00D0722A" w:rsidRPr="00CE15CF">
        <w:t xml:space="preserve">the recommended exemption by POPRC is limited to parts used in legacy vehicles. </w:t>
      </w:r>
    </w:p>
    <w:p w14:paraId="2C87CC67" w14:textId="3EBFADFE" w:rsidR="002A73D6" w:rsidRPr="00CE15CF" w:rsidRDefault="002A73D6" w:rsidP="00CE15CF">
      <w:pPr>
        <w:pStyle w:val="Paralevel1"/>
      </w:pPr>
      <w:r w:rsidRPr="00CE15CF">
        <w:t xml:space="preserve">CVMA further explains that it is challenging to provide meaningful information in support of the required exemption for PFOAs used in the automotive industry. </w:t>
      </w:r>
      <w:proofErr w:type="gramStart"/>
      <w:r w:rsidRPr="00CE15CF">
        <w:t>According to</w:t>
      </w:r>
      <w:proofErr w:type="gramEnd"/>
      <w:r w:rsidRPr="00CE15CF">
        <w:t xml:space="preserve"> CVMA, this is in particular challenging as PFOA is unlike other substances examined under the Stockholm Convention identifiable by a single CAS number. </w:t>
      </w:r>
      <w:r w:rsidR="005365A0" w:rsidRPr="00CE15CF">
        <w:t>The efforts have been focused so far on a selected number of PFOA</w:t>
      </w:r>
      <w:r w:rsidR="0012504C" w:rsidRPr="00CE15CF">
        <w:t>-related compounds</w:t>
      </w:r>
      <w:r w:rsidR="005365A0" w:rsidRPr="00CE15CF">
        <w:t xml:space="preserve"> as information was not available on a broad number of PFOA</w:t>
      </w:r>
      <w:r w:rsidR="0012504C" w:rsidRPr="00CE15CF">
        <w:t>-</w:t>
      </w:r>
      <w:r w:rsidR="00A86E67" w:rsidRPr="00CE15CF">
        <w:t>related compounds</w:t>
      </w:r>
      <w:r w:rsidR="005365A0" w:rsidRPr="00CE15CF">
        <w:t xml:space="preserve">. </w:t>
      </w:r>
      <w:r w:rsidRPr="00CE15CF">
        <w:t>CVMA doubts that it would be possible, as a manufacturer of a finished product (a vehicle) to collect information from a large, complex, tiered global supply chain without using clear and accurate identifiers for substances</w:t>
      </w:r>
      <w:r w:rsidR="005365A0" w:rsidRPr="00CE15CF">
        <w:t xml:space="preserve">. </w:t>
      </w:r>
      <w:r w:rsidR="000E70D2" w:rsidRPr="00CE15CF">
        <w:t xml:space="preserve">This </w:t>
      </w:r>
      <w:r w:rsidR="00616748" w:rsidRPr="00CE15CF">
        <w:t>has also been expressed</w:t>
      </w:r>
      <w:r w:rsidR="000E70D2" w:rsidRPr="00CE15CF">
        <w:t xml:space="preserve"> by ACEA (2018)</w:t>
      </w:r>
      <w:r w:rsidR="00616748" w:rsidRPr="00CE15CF">
        <w:t xml:space="preserve"> and</w:t>
      </w:r>
      <w:r w:rsidR="000E70D2" w:rsidRPr="00CE15CF">
        <w:t xml:space="preserve"> </w:t>
      </w:r>
      <w:r w:rsidR="00595691" w:rsidRPr="00CE15CF">
        <w:t>SIAM stat</w:t>
      </w:r>
      <w:r w:rsidR="00616748" w:rsidRPr="00CE15CF">
        <w:t>ing</w:t>
      </w:r>
      <w:r w:rsidR="00595691" w:rsidRPr="00CE15CF">
        <w:t xml:space="preserve"> that this would </w:t>
      </w:r>
      <w:r w:rsidR="00616748" w:rsidRPr="00CE15CF">
        <w:t>require</w:t>
      </w:r>
      <w:r w:rsidR="00595691" w:rsidRPr="00CE15CF">
        <w:t xml:space="preserve"> a great amount of time (SIAM, 2018)</w:t>
      </w:r>
      <w:r w:rsidRPr="00CE15CF">
        <w:t xml:space="preserve">. </w:t>
      </w:r>
      <w:r w:rsidR="006C6F3F" w:rsidRPr="00CE15CF">
        <w:t xml:space="preserve">Further, CVMA points out that auto manufacturers are users and purchasers of </w:t>
      </w:r>
      <w:proofErr w:type="gramStart"/>
      <w:r w:rsidR="006C6F3F" w:rsidRPr="00CE15CF">
        <w:t>a large number of</w:t>
      </w:r>
      <w:proofErr w:type="gramEnd"/>
      <w:r w:rsidR="006C6F3F" w:rsidRPr="00CE15CF">
        <w:t xml:space="preserve"> chemicals and products which are supplied locally or imported from around the world for the purpose of assembling vehicles. The information on PFOA and other substances is derived from information disclosed by the supply base through the International Material Data System (IMDS) or provided in Safety Data Sheets, and the level of information disclosed is dependent on thresholds for disclosure limits and the availability of CAS numbers. Without access or availability of information, the industry is not able to confirm the presence of a substance (CVMA, 2018). </w:t>
      </w:r>
    </w:p>
    <w:p w14:paraId="70B966D4" w14:textId="14A7B2D1" w:rsidR="002A73D6" w:rsidRPr="00CE15CF" w:rsidRDefault="002A73D6" w:rsidP="00CE15CF">
      <w:pPr>
        <w:pStyle w:val="Paralevel1"/>
      </w:pPr>
      <w:proofErr w:type="gramStart"/>
      <w:r w:rsidRPr="00CE15CF">
        <w:t>According to</w:t>
      </w:r>
      <w:proofErr w:type="gramEnd"/>
      <w:r w:rsidRPr="00CE15CF">
        <w:t xml:space="preserve"> CVMA, the automotive industry has recognised the concerns with certain </w:t>
      </w:r>
      <w:r w:rsidR="009C70B5" w:rsidRPr="00CE15CF">
        <w:t>PFOA-related compounds</w:t>
      </w:r>
      <w:r w:rsidRPr="00CE15CF">
        <w:t xml:space="preserve"> and has taken proactive efforts to track and reduce those substances in products. Five (5)</w:t>
      </w:r>
      <w:r w:rsidR="009C70B5" w:rsidRPr="00CE15CF">
        <w:t xml:space="preserve"> compounds</w:t>
      </w:r>
      <w:r w:rsidRPr="00CE15CF">
        <w:t xml:space="preserve"> were added to the GADSL </w:t>
      </w:r>
      <w:r w:rsidR="005365A0" w:rsidRPr="00CE15CF">
        <w:t>(</w:t>
      </w:r>
      <w:r w:rsidRPr="00CE15CF">
        <w:t>www.gadsl.org) in 2008</w:t>
      </w:r>
      <w:r w:rsidR="00A2664F" w:rsidRPr="00CE15CF">
        <w:t xml:space="preserve">, </w:t>
      </w:r>
      <w:r w:rsidRPr="00CE15CF">
        <w:t xml:space="preserve">3 substances in 2016 </w:t>
      </w:r>
      <w:r w:rsidR="00A2664F" w:rsidRPr="00CE15CF">
        <w:t xml:space="preserve">and another 4 in 2018 </w:t>
      </w:r>
      <w:r w:rsidRPr="00CE15CF">
        <w:t xml:space="preserve">(see below). These substances tend to be used at very low levels and probably not all uses have been identified (CVMA, 2018). </w:t>
      </w:r>
    </w:p>
    <w:p w14:paraId="60C377BC" w14:textId="77777777" w:rsidR="002C70E8" w:rsidRPr="00CE15CF" w:rsidRDefault="002C70E8" w:rsidP="00CE15CF">
      <w:pPr>
        <w:pStyle w:val="Paralevel1"/>
        <w:numPr>
          <w:ilvl w:val="0"/>
          <w:numId w:val="0"/>
        </w:numPr>
      </w:pPr>
    </w:p>
    <w:p w14:paraId="13AAC3F0" w14:textId="55F2D658" w:rsidR="002A73D6" w:rsidRPr="00CE15CF" w:rsidRDefault="008755D0" w:rsidP="00CE15CF">
      <w:pPr>
        <w:pStyle w:val="Titletable"/>
        <w:ind w:left="1866" w:hanging="1247"/>
      </w:pPr>
      <w:r w:rsidRPr="00CE15CF">
        <w:lastRenderedPageBreak/>
        <w:t xml:space="preserve">Table </w:t>
      </w:r>
      <w:r w:rsidR="002A73D6" w:rsidRPr="00CE15CF">
        <w:t>4.</w:t>
      </w:r>
      <w:r w:rsidRPr="00CE15CF">
        <w:t xml:space="preserve">1 </w:t>
      </w:r>
      <w:r w:rsidR="002A73D6" w:rsidRPr="00CE15CF">
        <w:t xml:space="preserve">list of </w:t>
      </w:r>
      <w:r w:rsidR="009C70B5" w:rsidRPr="00CE15CF">
        <w:t xml:space="preserve">PFOA-related compound </w:t>
      </w:r>
      <w:r w:rsidR="007D71CE" w:rsidRPr="00CE15CF">
        <w:t xml:space="preserve">on GADSL </w:t>
      </w:r>
      <w:r w:rsidR="002A73D6" w:rsidRPr="00CE15CF">
        <w:t>provided by CVMA (2018)</w:t>
      </w:r>
    </w:p>
    <w:tbl>
      <w:tblPr>
        <w:tblStyle w:val="TableGrid"/>
        <w:tblW w:w="8721" w:type="dxa"/>
        <w:tblInd w:w="630" w:type="dxa"/>
        <w:tblLook w:val="04A0" w:firstRow="1" w:lastRow="0" w:firstColumn="1" w:lastColumn="0" w:noHBand="0" w:noVBand="1"/>
      </w:tblPr>
      <w:tblGrid>
        <w:gridCol w:w="6028"/>
        <w:gridCol w:w="1275"/>
        <w:gridCol w:w="1418"/>
      </w:tblGrid>
      <w:tr w:rsidR="00292822" w:rsidRPr="00CE15CF" w14:paraId="6F4D3730" w14:textId="77777777" w:rsidTr="00D87E18">
        <w:tc>
          <w:tcPr>
            <w:tcW w:w="6028" w:type="dxa"/>
          </w:tcPr>
          <w:p w14:paraId="54300776" w14:textId="386E7C13" w:rsidR="00292822" w:rsidRPr="00CE15CF" w:rsidRDefault="00292822" w:rsidP="00CE15CF">
            <w:pPr>
              <w:pStyle w:val="Paralevel1"/>
              <w:numPr>
                <w:ilvl w:val="0"/>
                <w:numId w:val="0"/>
              </w:numPr>
              <w:spacing w:after="0"/>
            </w:pPr>
            <w:r w:rsidRPr="00CE15CF">
              <w:t xml:space="preserve">Name </w:t>
            </w:r>
          </w:p>
        </w:tc>
        <w:tc>
          <w:tcPr>
            <w:tcW w:w="1275" w:type="dxa"/>
          </w:tcPr>
          <w:p w14:paraId="519B2EFB" w14:textId="43F9C1F0" w:rsidR="00292822" w:rsidRPr="00CE15CF" w:rsidRDefault="00292822" w:rsidP="00CE15CF">
            <w:pPr>
              <w:pStyle w:val="Paralevel1"/>
              <w:numPr>
                <w:ilvl w:val="0"/>
                <w:numId w:val="0"/>
              </w:numPr>
              <w:spacing w:after="0"/>
            </w:pPr>
            <w:r w:rsidRPr="00CE15CF">
              <w:t>CAS NR</w:t>
            </w:r>
          </w:p>
        </w:tc>
        <w:tc>
          <w:tcPr>
            <w:tcW w:w="1418" w:type="dxa"/>
          </w:tcPr>
          <w:p w14:paraId="4966295A" w14:textId="7568EA8D" w:rsidR="00292822" w:rsidRPr="00CE15CF" w:rsidRDefault="00292822" w:rsidP="00CE15CF">
            <w:pPr>
              <w:pStyle w:val="Paralevel1"/>
              <w:numPr>
                <w:ilvl w:val="0"/>
                <w:numId w:val="0"/>
              </w:numPr>
              <w:spacing w:after="0"/>
            </w:pPr>
            <w:r w:rsidRPr="00CE15CF">
              <w:t>Addition Date to GADSL</w:t>
            </w:r>
          </w:p>
        </w:tc>
      </w:tr>
      <w:tr w:rsidR="00292822" w:rsidRPr="00CE15CF" w14:paraId="1E854B88" w14:textId="77777777" w:rsidTr="00D87E18">
        <w:tc>
          <w:tcPr>
            <w:tcW w:w="6028" w:type="dxa"/>
          </w:tcPr>
          <w:p w14:paraId="004B0FF2" w14:textId="63197BBE" w:rsidR="00292822" w:rsidRPr="00CE15CF" w:rsidRDefault="00292822" w:rsidP="00CE15CF">
            <w:pPr>
              <w:pStyle w:val="Paralevel1"/>
              <w:numPr>
                <w:ilvl w:val="0"/>
                <w:numId w:val="0"/>
              </w:numPr>
              <w:spacing w:after="0"/>
            </w:pPr>
            <w:r w:rsidRPr="00CE15CF">
              <w:t>Ammonium salt of PFOA</w:t>
            </w:r>
          </w:p>
        </w:tc>
        <w:tc>
          <w:tcPr>
            <w:tcW w:w="1275" w:type="dxa"/>
          </w:tcPr>
          <w:p w14:paraId="5AAF72C8" w14:textId="54FB7CE9" w:rsidR="00292822" w:rsidRPr="00CE15CF" w:rsidRDefault="00292822" w:rsidP="00CE15CF">
            <w:pPr>
              <w:pStyle w:val="Paralevel1"/>
              <w:numPr>
                <w:ilvl w:val="0"/>
                <w:numId w:val="0"/>
              </w:numPr>
              <w:spacing w:after="0"/>
            </w:pPr>
            <w:r w:rsidRPr="00CE15CF">
              <w:t>3825-26-1</w:t>
            </w:r>
          </w:p>
        </w:tc>
        <w:tc>
          <w:tcPr>
            <w:tcW w:w="1418" w:type="dxa"/>
          </w:tcPr>
          <w:p w14:paraId="17D34185" w14:textId="0EE5D7C6" w:rsidR="00292822" w:rsidRPr="00CE15CF" w:rsidRDefault="00292822" w:rsidP="00CE15CF">
            <w:pPr>
              <w:pStyle w:val="Paralevel1"/>
              <w:numPr>
                <w:ilvl w:val="0"/>
                <w:numId w:val="0"/>
              </w:numPr>
              <w:spacing w:after="0"/>
            </w:pPr>
            <w:r w:rsidRPr="00CE15CF">
              <w:t>1-Feb-2008</w:t>
            </w:r>
          </w:p>
        </w:tc>
      </w:tr>
      <w:tr w:rsidR="0089671C" w:rsidRPr="00CE15CF" w14:paraId="55122407" w14:textId="77777777" w:rsidTr="00D87E18">
        <w:tc>
          <w:tcPr>
            <w:tcW w:w="6028" w:type="dxa"/>
          </w:tcPr>
          <w:p w14:paraId="7AAF6D6E" w14:textId="61393B41" w:rsidR="0089671C" w:rsidRPr="00CE15CF" w:rsidRDefault="0089671C" w:rsidP="00CE15CF">
            <w:pPr>
              <w:pStyle w:val="Paralevel1"/>
              <w:numPr>
                <w:ilvl w:val="0"/>
                <w:numId w:val="0"/>
              </w:numPr>
              <w:spacing w:after="0"/>
            </w:pPr>
            <w:r w:rsidRPr="00CE15CF">
              <w:t>Potassium salt of PFOA</w:t>
            </w:r>
          </w:p>
        </w:tc>
        <w:tc>
          <w:tcPr>
            <w:tcW w:w="1275" w:type="dxa"/>
          </w:tcPr>
          <w:p w14:paraId="37060AAD" w14:textId="10460843" w:rsidR="0089671C" w:rsidRPr="00CE15CF" w:rsidRDefault="0089671C" w:rsidP="00CE15CF">
            <w:pPr>
              <w:pStyle w:val="Paralevel1"/>
              <w:numPr>
                <w:ilvl w:val="0"/>
                <w:numId w:val="0"/>
              </w:numPr>
              <w:spacing w:after="0"/>
            </w:pPr>
            <w:r w:rsidRPr="00CE15CF">
              <w:t>2395-00-8</w:t>
            </w:r>
          </w:p>
        </w:tc>
        <w:tc>
          <w:tcPr>
            <w:tcW w:w="1418" w:type="dxa"/>
          </w:tcPr>
          <w:p w14:paraId="7DD4501B" w14:textId="6483F309" w:rsidR="0089671C" w:rsidRPr="00CE15CF" w:rsidRDefault="0089671C" w:rsidP="00CE15CF">
            <w:pPr>
              <w:pStyle w:val="Paralevel1"/>
              <w:numPr>
                <w:ilvl w:val="0"/>
                <w:numId w:val="0"/>
              </w:numPr>
              <w:spacing w:after="0"/>
            </w:pPr>
            <w:r w:rsidRPr="00CE15CF">
              <w:t>1-Feb-2008</w:t>
            </w:r>
          </w:p>
        </w:tc>
      </w:tr>
      <w:tr w:rsidR="0089671C" w:rsidRPr="00CE15CF" w14:paraId="73150708" w14:textId="77777777" w:rsidTr="00D87E18">
        <w:tc>
          <w:tcPr>
            <w:tcW w:w="6028" w:type="dxa"/>
          </w:tcPr>
          <w:p w14:paraId="33FD0313" w14:textId="2D31C415" w:rsidR="0089671C" w:rsidRPr="00CE15CF" w:rsidRDefault="0089671C" w:rsidP="00CE15CF">
            <w:pPr>
              <w:pStyle w:val="Paralevel1"/>
              <w:numPr>
                <w:ilvl w:val="0"/>
                <w:numId w:val="0"/>
              </w:numPr>
              <w:spacing w:after="0"/>
            </w:pPr>
            <w:r w:rsidRPr="00CE15CF">
              <w:t xml:space="preserve">Silver salt of PFOA </w:t>
            </w:r>
          </w:p>
        </w:tc>
        <w:tc>
          <w:tcPr>
            <w:tcW w:w="1275" w:type="dxa"/>
          </w:tcPr>
          <w:p w14:paraId="0C6BC446" w14:textId="4B442140" w:rsidR="0089671C" w:rsidRPr="00CE15CF" w:rsidRDefault="0089671C" w:rsidP="00CE15CF">
            <w:pPr>
              <w:pStyle w:val="Paralevel1"/>
              <w:numPr>
                <w:ilvl w:val="0"/>
                <w:numId w:val="0"/>
              </w:numPr>
              <w:spacing w:after="0"/>
            </w:pPr>
            <w:r w:rsidRPr="00CE15CF">
              <w:t>335-93-3</w:t>
            </w:r>
          </w:p>
        </w:tc>
        <w:tc>
          <w:tcPr>
            <w:tcW w:w="1418" w:type="dxa"/>
          </w:tcPr>
          <w:p w14:paraId="1D557923" w14:textId="3F1D2DAB" w:rsidR="0089671C" w:rsidRPr="00CE15CF" w:rsidRDefault="0089671C" w:rsidP="00CE15CF">
            <w:pPr>
              <w:pStyle w:val="Paralevel1"/>
              <w:numPr>
                <w:ilvl w:val="0"/>
                <w:numId w:val="0"/>
              </w:numPr>
              <w:spacing w:after="0"/>
            </w:pPr>
            <w:r w:rsidRPr="00CE15CF">
              <w:t>1-Feb-2008</w:t>
            </w:r>
          </w:p>
        </w:tc>
      </w:tr>
      <w:tr w:rsidR="0089671C" w:rsidRPr="00CE15CF" w14:paraId="0355BA6B" w14:textId="77777777" w:rsidTr="00D87E18">
        <w:tc>
          <w:tcPr>
            <w:tcW w:w="6028" w:type="dxa"/>
          </w:tcPr>
          <w:p w14:paraId="08BBBD83" w14:textId="48DD72DC" w:rsidR="0089671C" w:rsidRPr="00CE15CF" w:rsidRDefault="0089671C" w:rsidP="00CE15CF">
            <w:pPr>
              <w:pStyle w:val="Paralevel1"/>
              <w:numPr>
                <w:ilvl w:val="0"/>
                <w:numId w:val="0"/>
              </w:numPr>
              <w:spacing w:after="0"/>
            </w:pPr>
            <w:r w:rsidRPr="00CE15CF">
              <w:t xml:space="preserve">Sodium salt of PFOA </w:t>
            </w:r>
          </w:p>
        </w:tc>
        <w:tc>
          <w:tcPr>
            <w:tcW w:w="1275" w:type="dxa"/>
          </w:tcPr>
          <w:p w14:paraId="25620AF5" w14:textId="2F15BA16" w:rsidR="0089671C" w:rsidRPr="00CE15CF" w:rsidRDefault="0089671C" w:rsidP="00CE15CF">
            <w:pPr>
              <w:pStyle w:val="Paralevel1"/>
              <w:numPr>
                <w:ilvl w:val="0"/>
                <w:numId w:val="0"/>
              </w:numPr>
              <w:spacing w:after="0"/>
            </w:pPr>
            <w:r w:rsidRPr="00CE15CF">
              <w:t>335-95-5</w:t>
            </w:r>
          </w:p>
        </w:tc>
        <w:tc>
          <w:tcPr>
            <w:tcW w:w="1418" w:type="dxa"/>
          </w:tcPr>
          <w:p w14:paraId="3D4B0D9B" w14:textId="5842BE84" w:rsidR="0089671C" w:rsidRPr="00CE15CF" w:rsidRDefault="0089671C" w:rsidP="00CE15CF">
            <w:pPr>
              <w:pStyle w:val="Paralevel1"/>
              <w:numPr>
                <w:ilvl w:val="0"/>
                <w:numId w:val="0"/>
              </w:numPr>
              <w:spacing w:after="0"/>
            </w:pPr>
            <w:r w:rsidRPr="00CE15CF">
              <w:t>1-Feb-2008</w:t>
            </w:r>
          </w:p>
        </w:tc>
      </w:tr>
      <w:tr w:rsidR="0089671C" w:rsidRPr="00CE15CF" w14:paraId="2D98C279" w14:textId="77777777" w:rsidTr="00D87E18">
        <w:tc>
          <w:tcPr>
            <w:tcW w:w="6028" w:type="dxa"/>
          </w:tcPr>
          <w:p w14:paraId="0ADD5CD0" w14:textId="2A694D34" w:rsidR="0089671C" w:rsidRPr="00CE15CF" w:rsidRDefault="0089671C" w:rsidP="00CE15CF">
            <w:pPr>
              <w:pStyle w:val="Paralevel1"/>
              <w:numPr>
                <w:ilvl w:val="0"/>
                <w:numId w:val="0"/>
              </w:numPr>
              <w:spacing w:after="0"/>
            </w:pPr>
            <w:r w:rsidRPr="00CE15CF">
              <w:t xml:space="preserve">PFOA – perfluorooctanoic acid </w:t>
            </w:r>
          </w:p>
        </w:tc>
        <w:tc>
          <w:tcPr>
            <w:tcW w:w="1275" w:type="dxa"/>
          </w:tcPr>
          <w:p w14:paraId="693E450B" w14:textId="7C63B0A1" w:rsidR="0089671C" w:rsidRPr="00CE15CF" w:rsidRDefault="0089671C" w:rsidP="00CE15CF">
            <w:pPr>
              <w:pStyle w:val="Paralevel1"/>
              <w:numPr>
                <w:ilvl w:val="0"/>
                <w:numId w:val="0"/>
              </w:numPr>
              <w:spacing w:after="0"/>
            </w:pPr>
            <w:r w:rsidRPr="00CE15CF">
              <w:t>335-67-1</w:t>
            </w:r>
          </w:p>
        </w:tc>
        <w:tc>
          <w:tcPr>
            <w:tcW w:w="1418" w:type="dxa"/>
          </w:tcPr>
          <w:p w14:paraId="14EB9AA7" w14:textId="64BA7F4E" w:rsidR="0089671C" w:rsidRPr="00CE15CF" w:rsidRDefault="0089671C" w:rsidP="00CE15CF">
            <w:pPr>
              <w:pStyle w:val="Paralevel1"/>
              <w:numPr>
                <w:ilvl w:val="0"/>
                <w:numId w:val="0"/>
              </w:numPr>
              <w:spacing w:after="0"/>
            </w:pPr>
            <w:r w:rsidRPr="00CE15CF">
              <w:t>1-Feb-2008</w:t>
            </w:r>
          </w:p>
        </w:tc>
      </w:tr>
      <w:tr w:rsidR="00292822" w:rsidRPr="00CE15CF" w14:paraId="0D966FDE" w14:textId="77777777" w:rsidTr="00D87E18">
        <w:tc>
          <w:tcPr>
            <w:tcW w:w="6028" w:type="dxa"/>
          </w:tcPr>
          <w:p w14:paraId="58697293" w14:textId="5D19AD99" w:rsidR="00292822" w:rsidRPr="00CE15CF" w:rsidRDefault="0089671C" w:rsidP="00CE15CF">
            <w:pPr>
              <w:pStyle w:val="Paralevel1"/>
              <w:numPr>
                <w:ilvl w:val="0"/>
                <w:numId w:val="0"/>
              </w:numPr>
              <w:spacing w:after="0"/>
            </w:pPr>
            <w:proofErr w:type="spellStart"/>
            <w:r w:rsidRPr="00CE15CF">
              <w:t>Ethylperfluorooctanoate</w:t>
            </w:r>
            <w:proofErr w:type="spellEnd"/>
            <w:r w:rsidRPr="00CE15CF">
              <w:t xml:space="preserve"> </w:t>
            </w:r>
          </w:p>
        </w:tc>
        <w:tc>
          <w:tcPr>
            <w:tcW w:w="1275" w:type="dxa"/>
          </w:tcPr>
          <w:p w14:paraId="605D4A57" w14:textId="751F15A9" w:rsidR="00292822" w:rsidRPr="00CE15CF" w:rsidRDefault="0089671C" w:rsidP="00CE15CF">
            <w:pPr>
              <w:pStyle w:val="Paralevel1"/>
              <w:numPr>
                <w:ilvl w:val="0"/>
                <w:numId w:val="0"/>
              </w:numPr>
              <w:spacing w:after="0"/>
            </w:pPr>
            <w:r w:rsidRPr="00CE15CF">
              <w:t>3108-24-5</w:t>
            </w:r>
          </w:p>
        </w:tc>
        <w:tc>
          <w:tcPr>
            <w:tcW w:w="1418" w:type="dxa"/>
          </w:tcPr>
          <w:p w14:paraId="75F9DCBF" w14:textId="21F5E138" w:rsidR="00292822" w:rsidRPr="00CE15CF" w:rsidRDefault="0089671C" w:rsidP="00CE15CF">
            <w:pPr>
              <w:pStyle w:val="Paralevel1"/>
              <w:numPr>
                <w:ilvl w:val="0"/>
                <w:numId w:val="0"/>
              </w:numPr>
              <w:spacing w:after="0"/>
            </w:pPr>
            <w:r w:rsidRPr="00CE15CF">
              <w:t xml:space="preserve">1-Feb-2016 </w:t>
            </w:r>
          </w:p>
        </w:tc>
      </w:tr>
      <w:tr w:rsidR="000D36D3" w:rsidRPr="00CE15CF" w14:paraId="2365CA46" w14:textId="77777777" w:rsidTr="00D87E18">
        <w:tc>
          <w:tcPr>
            <w:tcW w:w="6028" w:type="dxa"/>
          </w:tcPr>
          <w:p w14:paraId="0BA64C9D" w14:textId="6427E1EE" w:rsidR="000D36D3" w:rsidRPr="00CE15CF" w:rsidRDefault="0089671C" w:rsidP="00CE15CF">
            <w:pPr>
              <w:pStyle w:val="Paralevel1"/>
              <w:numPr>
                <w:ilvl w:val="0"/>
                <w:numId w:val="0"/>
              </w:numPr>
              <w:spacing w:after="0"/>
            </w:pPr>
            <w:proofErr w:type="spellStart"/>
            <w:r w:rsidRPr="00CE15CF">
              <w:t>Methylperfluorooctanoate</w:t>
            </w:r>
            <w:proofErr w:type="spellEnd"/>
            <w:r w:rsidRPr="00CE15CF">
              <w:t xml:space="preserve"> </w:t>
            </w:r>
          </w:p>
        </w:tc>
        <w:tc>
          <w:tcPr>
            <w:tcW w:w="1275" w:type="dxa"/>
          </w:tcPr>
          <w:p w14:paraId="05D5E8A6" w14:textId="6B220DB4" w:rsidR="000D36D3" w:rsidRPr="00CE15CF" w:rsidRDefault="0089671C" w:rsidP="00CE15CF">
            <w:pPr>
              <w:pStyle w:val="Paralevel1"/>
              <w:numPr>
                <w:ilvl w:val="0"/>
                <w:numId w:val="0"/>
              </w:numPr>
              <w:spacing w:after="0"/>
            </w:pPr>
            <w:r w:rsidRPr="00CE15CF">
              <w:t>376-27-2</w:t>
            </w:r>
          </w:p>
        </w:tc>
        <w:tc>
          <w:tcPr>
            <w:tcW w:w="1418" w:type="dxa"/>
          </w:tcPr>
          <w:p w14:paraId="7A4AD1F6" w14:textId="34870024" w:rsidR="000D36D3" w:rsidRPr="00CE15CF" w:rsidRDefault="0089671C" w:rsidP="00CE15CF">
            <w:pPr>
              <w:pStyle w:val="Paralevel1"/>
              <w:numPr>
                <w:ilvl w:val="0"/>
                <w:numId w:val="0"/>
              </w:numPr>
              <w:spacing w:after="0"/>
            </w:pPr>
            <w:r w:rsidRPr="00CE15CF">
              <w:t xml:space="preserve">1-Feb-2016 </w:t>
            </w:r>
          </w:p>
        </w:tc>
      </w:tr>
      <w:tr w:rsidR="000D36D3" w:rsidRPr="00CE15CF" w14:paraId="76B79BC2" w14:textId="77777777" w:rsidTr="00D87E18">
        <w:tc>
          <w:tcPr>
            <w:tcW w:w="6028" w:type="dxa"/>
          </w:tcPr>
          <w:p w14:paraId="66AD603F" w14:textId="251890C9" w:rsidR="000D36D3" w:rsidRPr="00CE15CF" w:rsidRDefault="0089671C" w:rsidP="00CE15CF">
            <w:pPr>
              <w:pStyle w:val="Paralevel1"/>
              <w:numPr>
                <w:ilvl w:val="0"/>
                <w:numId w:val="0"/>
              </w:numPr>
              <w:spacing w:after="0"/>
            </w:pPr>
            <w:proofErr w:type="spellStart"/>
            <w:r w:rsidRPr="00CE15CF">
              <w:t>Pentadecafluorooctyl</w:t>
            </w:r>
            <w:proofErr w:type="spellEnd"/>
            <w:r w:rsidRPr="00CE15CF">
              <w:t xml:space="preserve"> fluoride </w:t>
            </w:r>
          </w:p>
        </w:tc>
        <w:tc>
          <w:tcPr>
            <w:tcW w:w="1275" w:type="dxa"/>
          </w:tcPr>
          <w:p w14:paraId="2452325F" w14:textId="60A13FA7" w:rsidR="000D36D3" w:rsidRPr="00CE15CF" w:rsidRDefault="0089671C" w:rsidP="00CE15CF">
            <w:pPr>
              <w:pStyle w:val="Paralevel1"/>
              <w:numPr>
                <w:ilvl w:val="0"/>
                <w:numId w:val="0"/>
              </w:numPr>
              <w:spacing w:after="0"/>
            </w:pPr>
            <w:r w:rsidRPr="00CE15CF">
              <w:t>335-66-0</w:t>
            </w:r>
          </w:p>
        </w:tc>
        <w:tc>
          <w:tcPr>
            <w:tcW w:w="1418" w:type="dxa"/>
          </w:tcPr>
          <w:p w14:paraId="0063260E" w14:textId="35125CE8" w:rsidR="000D36D3" w:rsidRPr="00CE15CF" w:rsidRDefault="0089671C" w:rsidP="00CE15CF">
            <w:pPr>
              <w:pStyle w:val="Paralevel1"/>
              <w:numPr>
                <w:ilvl w:val="0"/>
                <w:numId w:val="0"/>
              </w:numPr>
              <w:spacing w:after="0"/>
            </w:pPr>
            <w:r w:rsidRPr="00CE15CF">
              <w:t xml:space="preserve">1-Feb-2016 </w:t>
            </w:r>
          </w:p>
        </w:tc>
      </w:tr>
      <w:tr w:rsidR="00292822" w:rsidRPr="00CE15CF" w14:paraId="1F9B0FA7" w14:textId="77777777" w:rsidTr="00D87E18">
        <w:tc>
          <w:tcPr>
            <w:tcW w:w="6028" w:type="dxa"/>
          </w:tcPr>
          <w:p w14:paraId="5F4E6174" w14:textId="08FCE5B3" w:rsidR="00292822" w:rsidRPr="00CE15CF" w:rsidRDefault="00E35432" w:rsidP="00CE15CF">
            <w:pPr>
              <w:pStyle w:val="Paralevel1"/>
              <w:numPr>
                <w:ilvl w:val="0"/>
                <w:numId w:val="0"/>
              </w:numPr>
              <w:spacing w:after="0"/>
            </w:pPr>
            <w:r w:rsidRPr="00CE15CF">
              <w:t>Poly(oxy-1,2-ethanediyl), α-(4,4,5,5,6,6,7,7,8,8,9,9,10,10,11,11,11-heptadecafluoro-2-hydroxyundecyl)-ω-[(4,4,5,5,6,6,7,7,8,8,9,9,10,10,11,11,11-heptadecafluoro-2-</w:t>
            </w:r>
            <w:proofErr w:type="gramStart"/>
            <w:r w:rsidRPr="00CE15CF">
              <w:t>hydroxyundecyl)oxy</w:t>
            </w:r>
            <w:proofErr w:type="gramEnd"/>
            <w:r w:rsidRPr="00CE15CF">
              <w:t>]-</w:t>
            </w:r>
          </w:p>
        </w:tc>
        <w:tc>
          <w:tcPr>
            <w:tcW w:w="1275" w:type="dxa"/>
          </w:tcPr>
          <w:p w14:paraId="5CFD75C2" w14:textId="4D69C0A3" w:rsidR="00292822" w:rsidRPr="00CE15CF" w:rsidRDefault="00A2664F" w:rsidP="00CE15CF">
            <w:pPr>
              <w:pStyle w:val="Paralevel1"/>
              <w:numPr>
                <w:ilvl w:val="0"/>
                <w:numId w:val="0"/>
              </w:numPr>
              <w:spacing w:after="0"/>
            </w:pPr>
            <w:r w:rsidRPr="00CE15CF">
              <w:t>122402-79-3</w:t>
            </w:r>
          </w:p>
        </w:tc>
        <w:tc>
          <w:tcPr>
            <w:tcW w:w="1418" w:type="dxa"/>
          </w:tcPr>
          <w:p w14:paraId="029B6C6C" w14:textId="0BC27326" w:rsidR="00292822" w:rsidRPr="00CE15CF" w:rsidRDefault="00A2664F" w:rsidP="00CE15CF">
            <w:pPr>
              <w:pStyle w:val="Paralevel1"/>
              <w:numPr>
                <w:ilvl w:val="0"/>
                <w:numId w:val="0"/>
              </w:numPr>
              <w:spacing w:after="0"/>
            </w:pPr>
            <w:r w:rsidRPr="00CE15CF">
              <w:t>Feb-2018</w:t>
            </w:r>
          </w:p>
        </w:tc>
      </w:tr>
      <w:tr w:rsidR="000D36D3" w:rsidRPr="00CE15CF" w14:paraId="5E7DB43A" w14:textId="77777777" w:rsidTr="00D87E18">
        <w:tc>
          <w:tcPr>
            <w:tcW w:w="6028" w:type="dxa"/>
          </w:tcPr>
          <w:p w14:paraId="63C6EA47" w14:textId="09CEB020" w:rsidR="000D36D3" w:rsidRPr="00CE15CF" w:rsidRDefault="001855A1" w:rsidP="00CE15CF">
            <w:pPr>
              <w:pStyle w:val="Paralevel1"/>
              <w:numPr>
                <w:ilvl w:val="0"/>
                <w:numId w:val="0"/>
              </w:numPr>
              <w:spacing w:after="0"/>
            </w:pPr>
            <w:r w:rsidRPr="00CE15CF">
              <w:t>2-Propenoic acid, C16-18-alkyl esters, polymers with 3,3,4,4,5,5,6,6,7,7,8,8,9,9,10,10,10-heptadecafluorodecyl acrylate</w:t>
            </w:r>
          </w:p>
        </w:tc>
        <w:tc>
          <w:tcPr>
            <w:tcW w:w="1275" w:type="dxa"/>
          </w:tcPr>
          <w:p w14:paraId="6116A279" w14:textId="2CF32A1B" w:rsidR="000D36D3" w:rsidRPr="00CE15CF" w:rsidRDefault="00A2664F" w:rsidP="00CE15CF">
            <w:pPr>
              <w:pStyle w:val="Paralevel1"/>
              <w:numPr>
                <w:ilvl w:val="0"/>
                <w:numId w:val="0"/>
              </w:numPr>
              <w:spacing w:after="0"/>
            </w:pPr>
            <w:r w:rsidRPr="00CE15CF">
              <w:t>160336-09-4</w:t>
            </w:r>
          </w:p>
        </w:tc>
        <w:tc>
          <w:tcPr>
            <w:tcW w:w="1418" w:type="dxa"/>
          </w:tcPr>
          <w:p w14:paraId="3C63DF63" w14:textId="38AA1F3D" w:rsidR="000D36D3" w:rsidRPr="00CE15CF" w:rsidRDefault="00A2664F" w:rsidP="00CE15CF">
            <w:pPr>
              <w:pStyle w:val="Paralevel1"/>
              <w:numPr>
                <w:ilvl w:val="0"/>
                <w:numId w:val="0"/>
              </w:numPr>
              <w:spacing w:after="0"/>
            </w:pPr>
            <w:r w:rsidRPr="00CE15CF">
              <w:t>Feb-2018</w:t>
            </w:r>
          </w:p>
        </w:tc>
      </w:tr>
      <w:tr w:rsidR="00DE3D5E" w:rsidRPr="00CE15CF" w14:paraId="3A3D4C4D" w14:textId="77777777" w:rsidTr="00D87E18">
        <w:tc>
          <w:tcPr>
            <w:tcW w:w="6028" w:type="dxa"/>
          </w:tcPr>
          <w:p w14:paraId="64852001" w14:textId="64E65ECC" w:rsidR="00DE3D5E" w:rsidRPr="00CE15CF" w:rsidRDefault="005E150F" w:rsidP="00CE15CF">
            <w:pPr>
              <w:pStyle w:val="Paralevel1"/>
              <w:numPr>
                <w:ilvl w:val="0"/>
                <w:numId w:val="0"/>
              </w:numPr>
              <w:spacing w:after="0"/>
            </w:pPr>
            <w:proofErr w:type="spellStart"/>
            <w:r w:rsidRPr="00CE15CF">
              <w:t>Cyclotetrasiloxane</w:t>
            </w:r>
            <w:proofErr w:type="spellEnd"/>
            <w:r w:rsidRPr="00CE15CF">
              <w:t>, 2-(4,4,5,5,6,6,7,7,8,8,9,9,10,10,11,11,11-heptadecafluoroundecyl)-2,4,6,8-tetramethyl-, Si-[3-(</w:t>
            </w:r>
            <w:proofErr w:type="spellStart"/>
            <w:r w:rsidRPr="00CE15CF">
              <w:t>oxiranylmethoxy</w:t>
            </w:r>
            <w:proofErr w:type="spellEnd"/>
            <w:r w:rsidRPr="00CE15CF">
              <w:t xml:space="preserve">)propyl] </w:t>
            </w:r>
            <w:proofErr w:type="spellStart"/>
            <w:r w:rsidRPr="00CE15CF">
              <w:t>derivs</w:t>
            </w:r>
            <w:proofErr w:type="spellEnd"/>
            <w:r w:rsidRPr="00CE15CF">
              <w:t xml:space="preserve"> </w:t>
            </w:r>
          </w:p>
        </w:tc>
        <w:tc>
          <w:tcPr>
            <w:tcW w:w="1275" w:type="dxa"/>
          </w:tcPr>
          <w:p w14:paraId="6229A6A5" w14:textId="2A846D4B" w:rsidR="00DE3D5E" w:rsidRPr="00CE15CF" w:rsidRDefault="00A2664F" w:rsidP="00CE15CF">
            <w:pPr>
              <w:pStyle w:val="Paralevel1"/>
              <w:numPr>
                <w:ilvl w:val="0"/>
                <w:numId w:val="0"/>
              </w:numPr>
              <w:spacing w:after="0"/>
            </w:pPr>
            <w:r w:rsidRPr="00CE15CF">
              <w:t>206886-57-9</w:t>
            </w:r>
          </w:p>
        </w:tc>
        <w:tc>
          <w:tcPr>
            <w:tcW w:w="1418" w:type="dxa"/>
          </w:tcPr>
          <w:p w14:paraId="72EAF170" w14:textId="2F6E7AE1" w:rsidR="00DE3D5E" w:rsidRPr="00CE15CF" w:rsidRDefault="00A2664F" w:rsidP="00CE15CF">
            <w:pPr>
              <w:pStyle w:val="Paralevel1"/>
              <w:numPr>
                <w:ilvl w:val="0"/>
                <w:numId w:val="0"/>
              </w:numPr>
              <w:spacing w:after="0"/>
            </w:pPr>
            <w:r w:rsidRPr="00CE15CF">
              <w:t>Feb-2018</w:t>
            </w:r>
          </w:p>
        </w:tc>
      </w:tr>
      <w:tr w:rsidR="00DE3D5E" w:rsidRPr="00CE15CF" w14:paraId="6FECD5A7" w14:textId="77777777" w:rsidTr="00D87E18">
        <w:tc>
          <w:tcPr>
            <w:tcW w:w="6028" w:type="dxa"/>
          </w:tcPr>
          <w:p w14:paraId="0B9DE7E0" w14:textId="5357E460" w:rsidR="00DE3D5E" w:rsidRPr="00CE15CF" w:rsidRDefault="005E150F" w:rsidP="00CE15CF">
            <w:pPr>
              <w:pStyle w:val="Paralevel1"/>
              <w:numPr>
                <w:ilvl w:val="0"/>
                <w:numId w:val="0"/>
              </w:numPr>
              <w:spacing w:after="0"/>
            </w:pPr>
            <w:proofErr w:type="spellStart"/>
            <w:r w:rsidRPr="00CE15CF">
              <w:t>Trisiloxane</w:t>
            </w:r>
            <w:proofErr w:type="spellEnd"/>
            <w:r w:rsidRPr="00CE15CF">
              <w:t>, 3,3'-(3,3,4,4,5,5,6,6,7,7,8,8-dodecafluoro-1,10-</w:t>
            </w:r>
            <w:proofErr w:type="gramStart"/>
            <w:r w:rsidRPr="00CE15CF">
              <w:t>decanediyl)bis</w:t>
            </w:r>
            <w:proofErr w:type="gramEnd"/>
            <w:r w:rsidRPr="00CE15CF">
              <w:t xml:space="preserve">[3-[(dimethylsilyl)oxy]-1,1,5,5-tetramethyl-, reaction products with 4,4,5,5,6,6,7,7,8,8,9,9,10,10,11,11,11-heptadecafluoro-1-undecene </w:t>
            </w:r>
          </w:p>
        </w:tc>
        <w:tc>
          <w:tcPr>
            <w:tcW w:w="1275" w:type="dxa"/>
          </w:tcPr>
          <w:p w14:paraId="43D53BC4" w14:textId="236ADC38" w:rsidR="00DE3D5E" w:rsidRPr="00CE15CF" w:rsidRDefault="00A2664F" w:rsidP="00CE15CF">
            <w:pPr>
              <w:pStyle w:val="Paralevel1"/>
              <w:numPr>
                <w:ilvl w:val="0"/>
                <w:numId w:val="0"/>
              </w:numPr>
              <w:spacing w:after="0"/>
            </w:pPr>
            <w:r w:rsidRPr="00CE15CF">
              <w:t>185701-89-7</w:t>
            </w:r>
          </w:p>
        </w:tc>
        <w:tc>
          <w:tcPr>
            <w:tcW w:w="1418" w:type="dxa"/>
          </w:tcPr>
          <w:p w14:paraId="66629B4D" w14:textId="182736BD" w:rsidR="00DE3D5E" w:rsidRPr="00CE15CF" w:rsidRDefault="00A2664F" w:rsidP="00CE15CF">
            <w:pPr>
              <w:pStyle w:val="Paralevel1"/>
              <w:numPr>
                <w:ilvl w:val="0"/>
                <w:numId w:val="0"/>
              </w:numPr>
              <w:spacing w:after="0"/>
            </w:pPr>
            <w:r w:rsidRPr="00CE15CF">
              <w:t>Feb-2018</w:t>
            </w:r>
          </w:p>
        </w:tc>
      </w:tr>
    </w:tbl>
    <w:p w14:paraId="6A538D05" w14:textId="77777777" w:rsidR="00292822" w:rsidRPr="00CE15CF" w:rsidRDefault="00292822" w:rsidP="00CE15CF">
      <w:pPr>
        <w:pStyle w:val="Paralevel1"/>
        <w:numPr>
          <w:ilvl w:val="0"/>
          <w:numId w:val="0"/>
        </w:numPr>
        <w:ind w:left="630"/>
      </w:pPr>
    </w:p>
    <w:p w14:paraId="32259C39" w14:textId="50636590" w:rsidR="002A73D6" w:rsidRPr="00CE15CF" w:rsidRDefault="003C35EE" w:rsidP="00CE15CF">
      <w:pPr>
        <w:pStyle w:val="Paralevel1"/>
      </w:pPr>
      <w:r w:rsidRPr="00CE15CF">
        <w:t>O</w:t>
      </w:r>
      <w:r w:rsidR="002A73D6" w:rsidRPr="00CE15CF">
        <w:t xml:space="preserve">nly </w:t>
      </w:r>
      <w:r w:rsidR="009767E7" w:rsidRPr="00CE15CF">
        <w:t>12</w:t>
      </w:r>
      <w:r w:rsidR="002A73D6" w:rsidRPr="00CE15CF">
        <w:t xml:space="preserve"> PFOA salts and precursors are declarable under GADSL and therefore many of the other PFOA salts and precursors could potentially be present in production vehicles without the knowledge of the manufacturers. </w:t>
      </w:r>
      <w:r w:rsidRPr="00CE15CF">
        <w:t xml:space="preserve">An initial evaluation of the non-exhaustive list of PFOA-related </w:t>
      </w:r>
      <w:r w:rsidR="00DA208B" w:rsidRPr="00CE15CF">
        <w:t>compounds</w:t>
      </w:r>
      <w:r w:rsidRPr="00CE15CF">
        <w:t xml:space="preserve"> (i.e. </w:t>
      </w:r>
      <w:r w:rsidRPr="00CE15CF">
        <w:rPr>
          <w:rFonts w:ascii="inherit" w:hAnsi="inherit"/>
          <w:sz w:val="18"/>
          <w:szCs w:val="18"/>
        </w:rPr>
        <w:t xml:space="preserve">UNEP/POPS/POPRC.13/INF/6/Add.1) </w:t>
      </w:r>
      <w:r w:rsidRPr="00CE15CF">
        <w:t xml:space="preserve">shows that 24 individual CAS numbers have been identified by suppliers as potentially being used in the sector. This is twice as many CAS numbers as are currently listed in GADSL which means the presence of PFOA-related compounds is still not known in parts. </w:t>
      </w:r>
      <w:r w:rsidR="0078640B" w:rsidRPr="00CE15CF">
        <w:t>This also</w:t>
      </w:r>
      <w:r w:rsidRPr="00CE15CF">
        <w:t xml:space="preserve"> supports that there may be other PFOA used in service and replacement parts which the industry is unware of as the uses have not been declared</w:t>
      </w:r>
      <w:r w:rsidR="0078640B" w:rsidRPr="00CE15CF">
        <w:t xml:space="preserve"> </w:t>
      </w:r>
      <w:proofErr w:type="gramStart"/>
      <w:r w:rsidR="0078640B" w:rsidRPr="00CE15CF">
        <w:t>according to</w:t>
      </w:r>
      <w:proofErr w:type="gramEnd"/>
      <w:r w:rsidR="0078640B" w:rsidRPr="00CE15CF">
        <w:t xml:space="preserve"> CVMA</w:t>
      </w:r>
      <w:r w:rsidRPr="00CE15CF">
        <w:t>.</w:t>
      </w:r>
      <w:r w:rsidR="0078640B" w:rsidRPr="00CE15CF">
        <w:t xml:space="preserve"> </w:t>
      </w:r>
      <w:r w:rsidR="002A73D6" w:rsidRPr="00CE15CF">
        <w:t xml:space="preserve">Further, it is important to highlight that the </w:t>
      </w:r>
      <w:r w:rsidR="0078640B" w:rsidRPr="00CE15CF">
        <w:t xml:space="preserve">12 </w:t>
      </w:r>
      <w:r w:rsidR="00F27E75" w:rsidRPr="00CE15CF">
        <w:t xml:space="preserve">PFOA and </w:t>
      </w:r>
      <w:r w:rsidR="002A73D6" w:rsidRPr="00CE15CF">
        <w:t>PFOA</w:t>
      </w:r>
      <w:r w:rsidR="005E107F" w:rsidRPr="00CE15CF">
        <w:t>-related</w:t>
      </w:r>
      <w:r w:rsidR="002A73D6" w:rsidRPr="00CE15CF">
        <w:t xml:space="preserve"> </w:t>
      </w:r>
      <w:r w:rsidR="00DA208B" w:rsidRPr="00CE15CF">
        <w:t>compounds</w:t>
      </w:r>
      <w:r w:rsidR="00DA208B" w:rsidRPr="00CE15CF" w:rsidDel="00DA208B">
        <w:t xml:space="preserve"> </w:t>
      </w:r>
      <w:r w:rsidR="002A73D6" w:rsidRPr="00CE15CF">
        <w:t xml:space="preserve">are included in GADSL if they are used at a concentration above 0.1%. Consequently, all uses may not be known and sufficient lead time is required in the </w:t>
      </w:r>
      <w:r w:rsidR="00A45913" w:rsidRPr="00CE15CF">
        <w:t xml:space="preserve">Canadian </w:t>
      </w:r>
      <w:r w:rsidR="002A73D6" w:rsidRPr="00CE15CF">
        <w:t xml:space="preserve">automotive industry to collect meaningful information. This process typically takes at least one full design cycle of approximately 5 years (CVMA, 2018). </w:t>
      </w:r>
    </w:p>
    <w:p w14:paraId="67E6F858" w14:textId="400AD546" w:rsidR="002A73D6" w:rsidRPr="00CE15CF" w:rsidRDefault="002A73D6" w:rsidP="00CE15CF">
      <w:pPr>
        <w:pStyle w:val="Paralevel1"/>
      </w:pPr>
      <w:r w:rsidRPr="00CE15CF">
        <w:t xml:space="preserve">Regarding service and replacement parts, CVMA </w:t>
      </w:r>
      <w:r w:rsidR="00A7411B" w:rsidRPr="00CE15CF">
        <w:t xml:space="preserve">has indicated </w:t>
      </w:r>
      <w:r w:rsidRPr="00CE15CF">
        <w:t xml:space="preserve">that most likely service and replacement parts still contain PFOA, its salts and PFOA-related compounds. </w:t>
      </w:r>
      <w:proofErr w:type="gramStart"/>
      <w:r w:rsidR="005E107F" w:rsidRPr="00CE15CF">
        <w:t>According to</w:t>
      </w:r>
      <w:proofErr w:type="gramEnd"/>
      <w:r w:rsidR="005E107F" w:rsidRPr="00CE15CF">
        <w:t xml:space="preserve"> CVMA these </w:t>
      </w:r>
      <w:r w:rsidRPr="00CE15CF">
        <w:t xml:space="preserve">parts represent a small percentage of the PFOA use and the amount will decrease naturally over time as the vehicle fleet turns over. Vehicle manufacturers normally ensure the availability of the OE service and replacement parts for a minimum of 15 years to satisfy consumer demand and potentially certification and quality requirements. Typically, parts may be built and stocked at the time of vehicle production or built to the original specifications, including compositions, in short production runs after the new vehicle production ends. The cost of replacing a class of substances in a small number of parts is </w:t>
      </w:r>
      <w:proofErr w:type="gramStart"/>
      <w:r w:rsidRPr="00CE15CF">
        <w:t>according to</w:t>
      </w:r>
      <w:proofErr w:type="gramEnd"/>
      <w:r w:rsidRPr="00CE15CF">
        <w:t xml:space="preserve"> CVMA prohibitive. </w:t>
      </w:r>
      <w:r w:rsidR="00996A7C" w:rsidRPr="00CE15CF">
        <w:t xml:space="preserve">However, no further information on costs has been </w:t>
      </w:r>
      <w:r w:rsidR="004C53B9" w:rsidRPr="00CE15CF">
        <w:t>disclosed</w:t>
      </w:r>
      <w:r w:rsidR="00996A7C" w:rsidRPr="00CE15CF">
        <w:t>.</w:t>
      </w:r>
      <w:r w:rsidRPr="00CE15CF">
        <w:t xml:space="preserve"> </w:t>
      </w:r>
      <w:r w:rsidR="00996A7C" w:rsidRPr="00CE15CF">
        <w:t xml:space="preserve">Further </w:t>
      </w:r>
      <w:proofErr w:type="gramStart"/>
      <w:r w:rsidR="00996A7C" w:rsidRPr="00CE15CF">
        <w:t>according to</w:t>
      </w:r>
      <w:proofErr w:type="gramEnd"/>
      <w:r w:rsidR="00996A7C" w:rsidRPr="00CE15CF">
        <w:t xml:space="preserve"> CVMA, it</w:t>
      </w:r>
      <w:r w:rsidRPr="00CE15CF">
        <w:t xml:space="preserve"> should be noted that repair parts need to meet the same performance specifications as the original parts. Based on replacement part availability obligations as noted above, the vehicle manufacturers are working to address the PFOA</w:t>
      </w:r>
      <w:r w:rsidR="008B05C9" w:rsidRPr="00CE15CF">
        <w:t xml:space="preserve">-related </w:t>
      </w:r>
      <w:r w:rsidR="00DA208B" w:rsidRPr="00CE15CF">
        <w:t>compounds</w:t>
      </w:r>
      <w:r w:rsidRPr="00CE15CF">
        <w:t xml:space="preserve"> listed from replacement parts by 2036 provided the effective date of the ban is 2021; for PFOAs substances not known, this would take much longer (CVMA, 2018).</w:t>
      </w:r>
    </w:p>
    <w:p w14:paraId="22D2264E" w14:textId="7AA4C108" w:rsidR="002A73D6" w:rsidRPr="00CE15CF" w:rsidRDefault="002A73D6" w:rsidP="00CE15CF">
      <w:pPr>
        <w:pStyle w:val="Paralevel1"/>
      </w:pPr>
      <w:r w:rsidRPr="00CE15CF">
        <w:t xml:space="preserve">CVMA further explains that each vehicle manufacturer in general carries over 250,000 active replacement parts, with roughly 20,000 new service parts added annually. The number of parts maintained in inventory and its location (Canada or US) depends on expected consumption and future ability to manufacture. To the extent that customers need replacement parts beyond what is initially stocked, there is a “production-on-demand market” whereby suppliers continue to produce replacement parts using original tools, materials and production processes. (CVMA, 2018). </w:t>
      </w:r>
    </w:p>
    <w:p w14:paraId="73144C1C" w14:textId="77DD9154" w:rsidR="002A73D6" w:rsidRPr="00CE15CF" w:rsidRDefault="002A73D6" w:rsidP="00CE15CF">
      <w:pPr>
        <w:pStyle w:val="Paralevel1"/>
      </w:pPr>
      <w:r w:rsidRPr="00CE15CF">
        <w:t>Re-developed replacement parts must function identically to the original part to ensure the vehicle’s functionality and safety are not adversely impacted. It could also result in parts being purchased by consumers from jurisdictions where the original type part or an inferior performing variant could be obtained (CVMA, 2018).</w:t>
      </w:r>
    </w:p>
    <w:p w14:paraId="063168E3" w14:textId="13475C20" w:rsidR="002A73D6" w:rsidRPr="00CE15CF" w:rsidRDefault="002A73D6" w:rsidP="00CE15CF">
      <w:pPr>
        <w:pStyle w:val="Paralevel1"/>
      </w:pPr>
      <w:r w:rsidRPr="00CE15CF">
        <w:t xml:space="preserve">Regarding the quantity of PFOA in spare parts (manufactured articles in finished vehicles), CVMA is not able to provide this information given the limited information and CAS numbers. Based on the typical function of </w:t>
      </w:r>
      <w:r w:rsidR="00370BD5">
        <w:br/>
      </w:r>
      <w:r w:rsidR="00283D08" w:rsidRPr="00CE15CF">
        <w:lastRenderedPageBreak/>
        <w:t xml:space="preserve">PFOA-related </w:t>
      </w:r>
      <w:r w:rsidR="00DA208B" w:rsidRPr="00CE15CF">
        <w:t>compounds</w:t>
      </w:r>
      <w:r w:rsidR="00283D08" w:rsidRPr="00CE15CF">
        <w:t xml:space="preserve"> </w:t>
      </w:r>
      <w:r w:rsidRPr="00CE15CF">
        <w:t xml:space="preserve">which is to repel dirt and water/moisture, it is typically found in areas such as vehicle safety restraint </w:t>
      </w:r>
      <w:r w:rsidR="00DD44F3" w:rsidRPr="00CE15CF">
        <w:t>systems</w:t>
      </w:r>
      <w:r w:rsidRPr="00CE15CF">
        <w:t xml:space="preserve"> and air bag systems, as well as </w:t>
      </w:r>
      <w:r w:rsidR="00DD44F3" w:rsidRPr="00CE15CF">
        <w:t xml:space="preserve">specialised </w:t>
      </w:r>
      <w:r w:rsidRPr="00CE15CF">
        <w:t xml:space="preserve">gaskets, seals and </w:t>
      </w:r>
      <w:r w:rsidR="00DD44F3" w:rsidRPr="00CE15CF">
        <w:t>weather -</w:t>
      </w:r>
      <w:proofErr w:type="spellStart"/>
      <w:r w:rsidR="00DD44F3" w:rsidRPr="00CE15CF">
        <w:t>strippings</w:t>
      </w:r>
      <w:proofErr w:type="spellEnd"/>
      <w:r w:rsidR="00DD44F3" w:rsidRPr="00CE15CF">
        <w:t xml:space="preserve">, </w:t>
      </w:r>
      <w:r w:rsidRPr="00CE15CF">
        <w:t>linings in engine</w:t>
      </w:r>
      <w:r w:rsidR="00DD44F3" w:rsidRPr="00CE15CF">
        <w:t>s</w:t>
      </w:r>
      <w:r w:rsidRPr="00CE15CF">
        <w:t>, fuel</w:t>
      </w:r>
      <w:r w:rsidR="00DD44F3" w:rsidRPr="00CE15CF">
        <w:t>s</w:t>
      </w:r>
      <w:r w:rsidRPr="00CE15CF">
        <w:t xml:space="preserve"> and transmission systems</w:t>
      </w:r>
      <w:r w:rsidR="00DD44F3" w:rsidRPr="00CE15CF">
        <w:t xml:space="preserve">, windshield washer arms, hoses, wirings, </w:t>
      </w:r>
      <w:proofErr w:type="spellStart"/>
      <w:r w:rsidR="00DD44F3" w:rsidRPr="00CE15CF">
        <w:t>o-rings</w:t>
      </w:r>
      <w:proofErr w:type="spellEnd"/>
      <w:r w:rsidR="00DD44F3" w:rsidRPr="00CE15CF">
        <w:t>, cables and other areas not yet identified (subject to change)</w:t>
      </w:r>
      <w:r w:rsidRPr="00CE15CF">
        <w:t xml:space="preserve">. Concentrations tend to be less than 1% in the material and many are at concentrations less than 0.2%. </w:t>
      </w:r>
      <w:r w:rsidR="008B05C9" w:rsidRPr="00CE15CF">
        <w:t xml:space="preserve">Concentrations reported by two CVMA member companies were 5 times lower than the 0.1% GADSL threshold and less than 0.01%, respectively (information on the spare parts </w:t>
      </w:r>
      <w:r w:rsidR="00567F99" w:rsidRPr="00CE15CF">
        <w:t xml:space="preserve">probed </w:t>
      </w:r>
      <w:r w:rsidR="008B05C9" w:rsidRPr="00CE15CF">
        <w:t xml:space="preserve">and exact </w:t>
      </w:r>
      <w:r w:rsidR="00DD44F3" w:rsidRPr="00CE15CF">
        <w:t xml:space="preserve">PFOA-related </w:t>
      </w:r>
      <w:r w:rsidR="00DA208B" w:rsidRPr="00CE15CF">
        <w:t>compounds</w:t>
      </w:r>
      <w:r w:rsidR="00DD44F3" w:rsidRPr="00CE15CF">
        <w:t xml:space="preserve"> was not disclosed). </w:t>
      </w:r>
      <w:r w:rsidRPr="00CE15CF">
        <w:t xml:space="preserve">The mass of PFOA in various components </w:t>
      </w:r>
      <w:proofErr w:type="gramStart"/>
      <w:r w:rsidRPr="00CE15CF">
        <w:t>as a result of</w:t>
      </w:r>
      <w:proofErr w:type="gramEnd"/>
      <w:r w:rsidRPr="00CE15CF">
        <w:t xml:space="preserve"> these low concentrations is also very small (CVMA, 2018). No specific information (e.g. quantities of the </w:t>
      </w:r>
      <w:r w:rsidR="00DD44F3" w:rsidRPr="00CE15CF">
        <w:t xml:space="preserve">12 </w:t>
      </w:r>
      <w:r w:rsidRPr="00CE15CF">
        <w:t>PFOA</w:t>
      </w:r>
      <w:r w:rsidR="00B93238" w:rsidRPr="00CE15CF">
        <w:t>-related</w:t>
      </w:r>
      <w:r w:rsidRPr="00CE15CF">
        <w:t xml:space="preserve"> </w:t>
      </w:r>
      <w:r w:rsidR="00DA208B" w:rsidRPr="00CE15CF">
        <w:t xml:space="preserve">compounds </w:t>
      </w:r>
      <w:r w:rsidRPr="00CE15CF">
        <w:t xml:space="preserve">from the GADSL contained in spare parts) has been provided by CVMA. </w:t>
      </w:r>
      <w:r w:rsidR="00595691" w:rsidRPr="00CE15CF">
        <w:t xml:space="preserve">SIAM reports </w:t>
      </w:r>
      <w:r w:rsidR="00FE48C8" w:rsidRPr="00CE15CF">
        <w:t>use</w:t>
      </w:r>
      <w:r w:rsidR="00595691" w:rsidRPr="00CE15CF">
        <w:t xml:space="preserve"> of PFOA in vehicles safety restraints an air bag systems, fuel and transmission systems, fuel hoses, wire insulations and bearings (SIAM, 2018). </w:t>
      </w:r>
    </w:p>
    <w:p w14:paraId="5AAC3DCA" w14:textId="77777777" w:rsidR="002A73D6" w:rsidRPr="00CE15CF" w:rsidRDefault="002A73D6" w:rsidP="00CE15CF">
      <w:pPr>
        <w:pStyle w:val="Paralevel1"/>
      </w:pPr>
      <w:r w:rsidRPr="00CE15CF">
        <w:t>Regarding recycling activities of articles containing PFOA, no information is available (CVMA, 2018).</w:t>
      </w:r>
    </w:p>
    <w:p w14:paraId="3DB58358" w14:textId="1A54CB27" w:rsidR="002A73D6" w:rsidRPr="00CE15CF" w:rsidRDefault="002A73D6" w:rsidP="00CE15CF">
      <w:pPr>
        <w:pStyle w:val="Paralevel1"/>
      </w:pPr>
      <w:r w:rsidRPr="00CE15CF">
        <w:t>In contrast to the request for exemption information submitted by CVMA, IPEN and ACAT (2018) stipulate that key automotive industry associations have notified company members and suppliers that PFOA will be listed in the Stockholm Convention as well as being regulated in the EU and that “these substances should be substituted.”</w:t>
      </w:r>
      <w:bookmarkStart w:id="170" w:name="_Ref514770109"/>
      <w:r w:rsidRPr="00CE15CF">
        <w:rPr>
          <w:vertAlign w:val="superscript"/>
        </w:rPr>
        <w:footnoteReference w:id="43"/>
      </w:r>
      <w:bookmarkEnd w:id="170"/>
      <w:r w:rsidRPr="00CE15CF">
        <w:t xml:space="preserve"> </w:t>
      </w:r>
      <w:r w:rsidR="006C5559" w:rsidRPr="00CE15CF">
        <w:t>CVMA (2018), however, indicates that they are unaware of key automotive associations notifying their members on a global basis</w:t>
      </w:r>
      <w:r w:rsidR="00DF29BC" w:rsidRPr="00CE15CF">
        <w:t xml:space="preserve"> and that this may have occurred on a regional basis rather than in a broader global context</w:t>
      </w:r>
      <w:r w:rsidR="006C5559" w:rsidRPr="00CE15CF">
        <w:t xml:space="preserve">. </w:t>
      </w:r>
      <w:r w:rsidRPr="00CE15CF">
        <w:t xml:space="preserve">The automotive industry also notes that, “most suppliers producing relevant articles, like waterproofed convertible roofs or PTFE-coated seals, no longer use PFOA or other long-chained </w:t>
      </w:r>
      <w:proofErr w:type="spellStart"/>
      <w:r w:rsidRPr="00CE15CF">
        <w:t>perfluorinated</w:t>
      </w:r>
      <w:proofErr w:type="spellEnd"/>
      <w:r w:rsidRPr="00CE15CF">
        <w:t xml:space="preserve"> chemicals.”</w:t>
      </w:r>
      <w:r w:rsidR="00B42BF1" w:rsidRPr="00CE15CF">
        <w:rPr>
          <w:vertAlign w:val="superscript"/>
        </w:rPr>
        <w:fldChar w:fldCharType="begin"/>
      </w:r>
      <w:r w:rsidR="00B42BF1" w:rsidRPr="00CE15CF">
        <w:rPr>
          <w:vertAlign w:val="superscript"/>
        </w:rPr>
        <w:instrText xml:space="preserve"> NOTEREF _Ref514770109 \h  \* MERGEFORMAT </w:instrText>
      </w:r>
      <w:r w:rsidR="00B42BF1" w:rsidRPr="00CE15CF">
        <w:rPr>
          <w:vertAlign w:val="superscript"/>
        </w:rPr>
      </w:r>
      <w:r w:rsidR="00B42BF1" w:rsidRPr="00CE15CF">
        <w:rPr>
          <w:vertAlign w:val="superscript"/>
        </w:rPr>
        <w:fldChar w:fldCharType="separate"/>
      </w:r>
      <w:r w:rsidR="00AA57F7">
        <w:rPr>
          <w:vertAlign w:val="superscript"/>
        </w:rPr>
        <w:t>39</w:t>
      </w:r>
      <w:r w:rsidR="00B42BF1" w:rsidRPr="00CE15CF">
        <w:rPr>
          <w:vertAlign w:val="superscript"/>
        </w:rPr>
        <w:fldChar w:fldCharType="end"/>
      </w:r>
      <w:r w:rsidRPr="00CE15CF">
        <w:t xml:space="preserve"> In the past PFOA has been used to make fluoropolymers used in automotive fuel systems but several companies have alternative emulsifiers so that PFOA has been eliminated in this class of automotive products.</w:t>
      </w:r>
      <w:r w:rsidRPr="00CE15CF">
        <w:rPr>
          <w:vertAlign w:val="superscript"/>
        </w:rPr>
        <w:footnoteReference w:id="44"/>
      </w:r>
      <w:r w:rsidRPr="00CE15CF">
        <w:t xml:space="preserve"> </w:t>
      </w:r>
      <w:r w:rsidR="00603EA5" w:rsidRPr="00CE15CF">
        <w:t>IPEN and ACAT (2018) commented that</w:t>
      </w:r>
      <w:r w:rsidRPr="00CE15CF">
        <w:t xml:space="preserve"> during the year-long process of developing the PFOA RME the industry did not indicate any exemption interest, despite being fully aware of the </w:t>
      </w:r>
      <w:r w:rsidR="00F3123D" w:rsidRPr="00CE15CF">
        <w:t xml:space="preserve">Committee’s </w:t>
      </w:r>
      <w:r w:rsidRPr="00CE15CF">
        <w:t xml:space="preserve">process due to their involvement with </w:t>
      </w:r>
      <w:proofErr w:type="spellStart"/>
      <w:r w:rsidR="003C587C" w:rsidRPr="00CE15CF">
        <w:t>d</w:t>
      </w:r>
      <w:r w:rsidRPr="00CE15CF">
        <w:t>ecaBDE</w:t>
      </w:r>
      <w:proofErr w:type="spellEnd"/>
      <w:r w:rsidRPr="00CE15CF">
        <w:t xml:space="preserve"> (IPEN and ACAT, 2018). </w:t>
      </w:r>
      <w:r w:rsidR="00C53903" w:rsidRPr="00CE15CF">
        <w:t xml:space="preserve">The CVMA (2018) further commented that while efforts had been made to engage with the </w:t>
      </w:r>
      <w:r w:rsidR="009441EC" w:rsidRPr="00CE15CF">
        <w:t xml:space="preserve">Committee’s </w:t>
      </w:r>
      <w:r w:rsidR="00C53903" w:rsidRPr="00CE15CF">
        <w:t xml:space="preserve">process, there have been limitations to providing further information in this case because PFOA and PFOA-related compounds covers many substances and therefore represents a significant challenge for data gathering compared to </w:t>
      </w:r>
      <w:proofErr w:type="spellStart"/>
      <w:r w:rsidR="003C587C" w:rsidRPr="00CE15CF">
        <w:t>d</w:t>
      </w:r>
      <w:r w:rsidR="00C53903" w:rsidRPr="00CE15CF">
        <w:t>ecaBDE</w:t>
      </w:r>
      <w:proofErr w:type="spellEnd"/>
      <w:r w:rsidR="00C53903" w:rsidRPr="00CE15CF">
        <w:t xml:space="preserve"> which was based on a single substance.</w:t>
      </w:r>
      <w:r w:rsidR="00A91DF0" w:rsidRPr="00CE15CF">
        <w:t xml:space="preserve"> </w:t>
      </w:r>
      <w:r w:rsidRPr="00CE15CF">
        <w:t xml:space="preserve">IPEN and ACAT </w:t>
      </w:r>
      <w:r w:rsidR="00992E33" w:rsidRPr="00CE15CF">
        <w:t xml:space="preserve">advice </w:t>
      </w:r>
      <w:r w:rsidRPr="00CE15CF">
        <w:t xml:space="preserve">that no exemption for PFOA use in the automotive industry should be recommended (IPEN and ACAT, 2018). </w:t>
      </w:r>
    </w:p>
    <w:p w14:paraId="777CA5C0" w14:textId="512603F9" w:rsidR="002A73D6" w:rsidRPr="00CE15CF" w:rsidRDefault="002A73D6" w:rsidP="00CE15CF">
      <w:pPr>
        <w:pStyle w:val="StyleHeading3h3123SecTimesNewRomanBold"/>
      </w:pPr>
      <w:bookmarkStart w:id="171" w:name="_Toc506913539"/>
      <w:bookmarkStart w:id="172" w:name="_Toc507148994"/>
      <w:bookmarkStart w:id="173" w:name="_Toc515267943"/>
      <w:r w:rsidRPr="00CE15CF">
        <w:t>Information on alternatives</w:t>
      </w:r>
      <w:bookmarkEnd w:id="171"/>
      <w:bookmarkEnd w:id="172"/>
      <w:bookmarkEnd w:id="173"/>
    </w:p>
    <w:p w14:paraId="03EFAE57" w14:textId="7B1001C6" w:rsidR="002A73D6" w:rsidRPr="00CE15CF" w:rsidRDefault="002A73D6" w:rsidP="00CE15CF">
      <w:pPr>
        <w:pStyle w:val="Paralevel1"/>
      </w:pPr>
      <w:r w:rsidRPr="00CE15CF">
        <w:t xml:space="preserve">The information from the RME and the new submissions confirm that the phase-out of PFOA, its salts and PFOA-related compounds is ongoing in the automotive industry. Technical and/or economically feasible alternatives for PFOA exist at least in part for the automotive industry. </w:t>
      </w:r>
      <w:r w:rsidR="00A66F8E" w:rsidRPr="00CE15CF">
        <w:t xml:space="preserve">The typical areas of application have been indicated by the automotive industry, however, a complete </w:t>
      </w:r>
      <w:r w:rsidR="00950AA1" w:rsidRPr="00CE15CF">
        <w:t xml:space="preserve">overview is not available, yet. </w:t>
      </w:r>
    </w:p>
    <w:p w14:paraId="2187C507" w14:textId="20156CA1" w:rsidR="002A73D6" w:rsidRPr="00CE15CF" w:rsidRDefault="002A73D6" w:rsidP="00CE15CF">
      <w:pPr>
        <w:pStyle w:val="Paralevel1"/>
      </w:pPr>
      <w:r w:rsidRPr="00CE15CF">
        <w:t>Information gathered indicates that the key obstacle towards a complete phase-out of PFOA in automotive service and spare parts by the entry does not appear to be the lack of alternatives but rather other obstacles such as costs, because additional costs arise for the certification of PFOA free alternative spare parts. These costs are considered prohibitive by the automotive industry</w:t>
      </w:r>
      <w:r w:rsidR="00734CAF" w:rsidRPr="00CE15CF">
        <w:t>;</w:t>
      </w:r>
      <w:r w:rsidR="004D0CC5" w:rsidRPr="00CE15CF">
        <w:t xml:space="preserve"> however, </w:t>
      </w:r>
      <w:r w:rsidR="00B32892" w:rsidRPr="00CE15CF">
        <w:t>no further information has been provided by the industry related to associated costs</w:t>
      </w:r>
      <w:r w:rsidR="004D0CC5" w:rsidRPr="00CE15CF">
        <w:t xml:space="preserve">. </w:t>
      </w:r>
    </w:p>
    <w:p w14:paraId="709E670C" w14:textId="6211A0AE" w:rsidR="002A73D6" w:rsidRPr="00CE15CF" w:rsidRDefault="002A73D6" w:rsidP="00CE15CF">
      <w:pPr>
        <w:pStyle w:val="StyleHeading3h3123SecTimesNewRomanBold"/>
      </w:pPr>
      <w:bookmarkStart w:id="174" w:name="_Toc506913540"/>
      <w:bookmarkStart w:id="175" w:name="_Toc507148995"/>
      <w:bookmarkStart w:id="176" w:name="_Toc515267944"/>
      <w:r w:rsidRPr="00CE15CF">
        <w:t>Information on impacts on society</w:t>
      </w:r>
      <w:bookmarkEnd w:id="174"/>
      <w:bookmarkEnd w:id="175"/>
      <w:bookmarkEnd w:id="176"/>
    </w:p>
    <w:p w14:paraId="07E41878" w14:textId="0857BB88" w:rsidR="002A73D6" w:rsidRPr="00CE15CF" w:rsidRDefault="002A73D6" w:rsidP="00CE15CF">
      <w:pPr>
        <w:pStyle w:val="Paralevel1"/>
      </w:pPr>
      <w:proofErr w:type="gramStart"/>
      <w:r w:rsidRPr="00CE15CF">
        <w:t>According to</w:t>
      </w:r>
      <w:proofErr w:type="gramEnd"/>
      <w:r w:rsidRPr="00CE15CF">
        <w:t xml:space="preserve"> the RME, </w:t>
      </w:r>
      <w:r w:rsidR="004A0B73" w:rsidRPr="00CE15CF">
        <w:rPr>
          <w:i/>
        </w:rPr>
        <w:t xml:space="preserve">general </w:t>
      </w:r>
      <w:r w:rsidRPr="00CE15CF">
        <w:rPr>
          <w:i/>
        </w:rPr>
        <w:t xml:space="preserve">concerns of EU industry stakeholders are related to placing on the market and use of spare parts </w:t>
      </w:r>
      <w:r w:rsidR="004A0B73" w:rsidRPr="00CE15CF">
        <w:rPr>
          <w:i/>
        </w:rPr>
        <w:t xml:space="preserve">of various types </w:t>
      </w:r>
      <w:r w:rsidRPr="00CE15CF">
        <w:rPr>
          <w:i/>
        </w:rPr>
        <w:t>already manufactured</w:t>
      </w:r>
      <w:r w:rsidR="004A0B73" w:rsidRPr="00CE15CF">
        <w:rPr>
          <w:i/>
        </w:rPr>
        <w:t xml:space="preserve"> (e.g. in aviation, telecommunication, semiconductors, etc.)</w:t>
      </w:r>
      <w:r w:rsidRPr="00CE15CF">
        <w:rPr>
          <w:i/>
        </w:rPr>
        <w:t xml:space="preserve">. </w:t>
      </w:r>
      <w:proofErr w:type="gramStart"/>
      <w:r w:rsidRPr="00CE15CF">
        <w:rPr>
          <w:i/>
        </w:rPr>
        <w:t>According to</w:t>
      </w:r>
      <w:proofErr w:type="gramEnd"/>
      <w:r w:rsidRPr="00CE15CF">
        <w:rPr>
          <w:i/>
        </w:rPr>
        <w:t xml:space="preserve"> their comments, in the absence of derogation, those spare parts would have to be destroyed, which would represent an economic loss for EU manufacturers</w:t>
      </w:r>
      <w:r w:rsidR="00D3607C" w:rsidRPr="00CE15CF">
        <w:t xml:space="preserve"> (see the RME)</w:t>
      </w:r>
      <w:r w:rsidRPr="00CE15CF">
        <w:t xml:space="preserve">. </w:t>
      </w:r>
      <w:r w:rsidR="00F80854" w:rsidRPr="00CE15CF">
        <w:t xml:space="preserve">However, this loss will not occur since spare parts containing PFOA, its salts and related compounds </w:t>
      </w:r>
      <w:r w:rsidR="00214263" w:rsidRPr="00CE15CF">
        <w:t xml:space="preserve">manufactured </w:t>
      </w:r>
      <w:r w:rsidR="00F80854" w:rsidRPr="00CE15CF">
        <w:t xml:space="preserve">before the entry into force of a listing under the Stockholm Convention would not be covered by the listing (see Annex A, part I, note (ii) and Annex B, part I, note (ii) respectively). </w:t>
      </w:r>
    </w:p>
    <w:p w14:paraId="548B76A7" w14:textId="724BA28E" w:rsidR="002A73D6" w:rsidRPr="00CE15CF" w:rsidRDefault="002A73D6" w:rsidP="00CE15CF">
      <w:pPr>
        <w:pStyle w:val="Paralevel1"/>
      </w:pPr>
      <w:r w:rsidRPr="00CE15CF">
        <w:t xml:space="preserve">CVMA </w:t>
      </w:r>
      <w:r w:rsidR="006D039D" w:rsidRPr="00CE15CF">
        <w:t xml:space="preserve">and SIAM </w:t>
      </w:r>
      <w:r w:rsidRPr="00CE15CF">
        <w:t xml:space="preserve">state, that vehicle manufacturers normally ensure the availability of the OE for service and replacement parts for a minimum of 15 years. </w:t>
      </w:r>
      <w:proofErr w:type="gramStart"/>
      <w:r w:rsidR="006D039D" w:rsidRPr="00CE15CF">
        <w:t>According to</w:t>
      </w:r>
      <w:proofErr w:type="gramEnd"/>
      <w:r w:rsidR="006D039D" w:rsidRPr="00CE15CF">
        <w:t xml:space="preserve"> CVMA, typically</w:t>
      </w:r>
      <w:r w:rsidRPr="00CE15CF">
        <w:t>, parts may be built and stocked at the time of vehicle production or built to the original specifications, including compositions, in short production runs after the new vehicle production ends. It should be noted that repair parts need to meet the same performance specifications as the original parts.</w:t>
      </w:r>
    </w:p>
    <w:p w14:paraId="22EA234E" w14:textId="77777777" w:rsidR="007D5AE7" w:rsidRPr="00CE15CF" w:rsidRDefault="007D5AE7" w:rsidP="00CE15CF">
      <w:pPr>
        <w:pStyle w:val="Paralevel1"/>
      </w:pPr>
      <w:r w:rsidRPr="00CE15CF">
        <w:lastRenderedPageBreak/>
        <w:t xml:space="preserve">Re-developed replacement parts must function identically to the original part to ensure the vehicle’s functionality and safety are not adversely impacted. The cost of replacing a class of substances in a small number of parts is prohibitive </w:t>
      </w:r>
      <w:proofErr w:type="gramStart"/>
      <w:r w:rsidRPr="00CE15CF">
        <w:t>according to</w:t>
      </w:r>
      <w:proofErr w:type="gramEnd"/>
      <w:r w:rsidRPr="00CE15CF">
        <w:t xml:space="preserve"> industry. It could also result in parts being purchased by consumers from jurisdictions where the original type part or an inferior performing variant could be obtained (CVMA, 2018).</w:t>
      </w:r>
      <w:r w:rsidR="00F16A6E" w:rsidRPr="00CE15CF">
        <w:t xml:space="preserve"> </w:t>
      </w:r>
      <w:proofErr w:type="gramStart"/>
      <w:r w:rsidR="00F16A6E" w:rsidRPr="00CE15CF">
        <w:t>According to</w:t>
      </w:r>
      <w:proofErr w:type="gramEnd"/>
      <w:r w:rsidR="00F16A6E" w:rsidRPr="00CE15CF">
        <w:t xml:space="preserve"> IPEN and ACAT, testing results can be applied to both new and old vehicles. </w:t>
      </w:r>
    </w:p>
    <w:p w14:paraId="0DF2BA61" w14:textId="1EC0216A" w:rsidR="007D5AE7" w:rsidRPr="00CE15CF" w:rsidRDefault="002D45D1" w:rsidP="00CE15CF">
      <w:pPr>
        <w:pStyle w:val="Paralevel1"/>
      </w:pPr>
      <w:r w:rsidRPr="00CE15CF">
        <w:t>P</w:t>
      </w:r>
      <w:r w:rsidR="007D5AE7" w:rsidRPr="00CE15CF">
        <w:t xml:space="preserve">rohibiting PFOA use for automotive applications would have a positive impact on human health and the environment by limiting further PFOA releases and exposures and have a positive impact on businesses making alternatives, particularly non-fluorinated alternatives (IPEN and ACAT, 2018). </w:t>
      </w:r>
    </w:p>
    <w:p w14:paraId="5F437920" w14:textId="6FE4F72A" w:rsidR="002A73D6" w:rsidRPr="00CE15CF" w:rsidRDefault="002A73D6" w:rsidP="00CE15CF">
      <w:pPr>
        <w:pStyle w:val="StyleHeading3h3123SecTimesNewRomanBold"/>
      </w:pPr>
      <w:bookmarkStart w:id="177" w:name="_Toc506913541"/>
      <w:bookmarkStart w:id="178" w:name="_Toc507148996"/>
      <w:bookmarkStart w:id="179" w:name="_Toc515267945"/>
      <w:r w:rsidRPr="00CE15CF">
        <w:t>Syntheses of information</w:t>
      </w:r>
      <w:bookmarkEnd w:id="177"/>
      <w:bookmarkEnd w:id="178"/>
      <w:bookmarkEnd w:id="179"/>
    </w:p>
    <w:p w14:paraId="3A8AAF25" w14:textId="74C26D7C" w:rsidR="002A73D6" w:rsidRPr="00CE15CF" w:rsidRDefault="002A73D6" w:rsidP="00CE15CF">
      <w:pPr>
        <w:pStyle w:val="Paralevel1"/>
      </w:pPr>
      <w:r w:rsidRPr="00CE15CF">
        <w:t xml:space="preserve">The information from the RME and the new submissions confirms that the phase-out of PFOA, its salts and PFOA-related compounds is </w:t>
      </w:r>
      <w:r w:rsidR="004D0CC5" w:rsidRPr="00CE15CF">
        <w:t xml:space="preserve">well-advanced and </w:t>
      </w:r>
      <w:r w:rsidRPr="00CE15CF">
        <w:t xml:space="preserve">ongoing in the automotive industries. </w:t>
      </w:r>
    </w:p>
    <w:p w14:paraId="756DF535" w14:textId="57FBAD2C" w:rsidR="002A73D6" w:rsidRPr="00CE15CF" w:rsidRDefault="002A73D6" w:rsidP="00CE15CF">
      <w:pPr>
        <w:pStyle w:val="Paralevel1"/>
      </w:pPr>
      <w:r w:rsidRPr="00CE15CF">
        <w:t>In their recent submission</w:t>
      </w:r>
      <w:r w:rsidR="00D17BB5" w:rsidRPr="00CE15CF">
        <w:t>s</w:t>
      </w:r>
      <w:r w:rsidRPr="00CE15CF">
        <w:t xml:space="preserve">, CVMA </w:t>
      </w:r>
      <w:r w:rsidR="002D45D1" w:rsidRPr="00CE15CF">
        <w:t xml:space="preserve">requests </w:t>
      </w:r>
      <w:r w:rsidRPr="00CE15CF">
        <w:t xml:space="preserve">an exemption for automotive vehicle service and replacement parts as well as for current production vehicles. </w:t>
      </w:r>
      <w:proofErr w:type="gramStart"/>
      <w:r w:rsidR="00B66E88" w:rsidRPr="00CE15CF">
        <w:t>According to</w:t>
      </w:r>
      <w:proofErr w:type="gramEnd"/>
      <w:r w:rsidR="00B66E88" w:rsidRPr="00CE15CF">
        <w:t xml:space="preserve"> the Stockholm Convention Annex A, part I, note (ii) and Annex B, part I, note (ii) respectively, an exemption is not required for service and replacement parts and vehicles manufactured before the date of entry into force of the listing of PFOA, its salts and related compounds. An exemption would therefore only be relevant for service and replacement parts and vehicles manufactured </w:t>
      </w:r>
      <w:r w:rsidR="00535334" w:rsidRPr="00CE15CF">
        <w:t xml:space="preserve">produced </w:t>
      </w:r>
      <w:r w:rsidR="00B66E88" w:rsidRPr="00CE15CF">
        <w:t xml:space="preserve">after the entry into force of the obligation. </w:t>
      </w:r>
      <w:r w:rsidR="00F16A6E" w:rsidRPr="00CE15CF">
        <w:t xml:space="preserve">However, CVMA further stipulates that even with the mentioned provisions, an alternative timing for the phase-out of automotive service and replacement parts is still needed due to </w:t>
      </w:r>
      <w:proofErr w:type="gramStart"/>
      <w:r w:rsidR="00F16A6E" w:rsidRPr="00CE15CF">
        <w:t>a number of</w:t>
      </w:r>
      <w:proofErr w:type="gramEnd"/>
      <w:r w:rsidR="00F16A6E" w:rsidRPr="00CE15CF">
        <w:t xml:space="preserve"> reasons. Among others, the industry cannot assume that a substance is not present given disclosure thresholds and other limitations </w:t>
      </w:r>
      <w:proofErr w:type="gramStart"/>
      <w:r w:rsidR="00F16A6E" w:rsidRPr="00CE15CF">
        <w:t>according to</w:t>
      </w:r>
      <w:proofErr w:type="gramEnd"/>
      <w:r w:rsidR="00F16A6E" w:rsidRPr="00CE15CF">
        <w:t xml:space="preserve"> CVMA. </w:t>
      </w:r>
      <w:r w:rsidR="00164167" w:rsidRPr="00CE15CF">
        <w:t>S</w:t>
      </w:r>
      <w:r w:rsidR="00F16A6E" w:rsidRPr="00CE15CF">
        <w:t xml:space="preserve">ervice and replacement parts for current and already produced vehicles are made available for a minimum of 15 years. Furthermore, CVMA highlights that due to the breadth or level of detail regarding all PFOA-related compounds used in the automotive sector </w:t>
      </w:r>
      <w:r w:rsidR="009E6417" w:rsidRPr="00CE15CF">
        <w:t xml:space="preserve">comparisons to the data requirements used previously for </w:t>
      </w:r>
      <w:proofErr w:type="spellStart"/>
      <w:r w:rsidR="009E6417" w:rsidRPr="00CE15CF">
        <w:t>decaBDE</w:t>
      </w:r>
      <w:proofErr w:type="spellEnd"/>
      <w:r w:rsidR="009E6417" w:rsidRPr="00CE15CF">
        <w:t xml:space="preserve"> are unfair</w:t>
      </w:r>
      <w:r w:rsidR="00F16A6E" w:rsidRPr="00CE15CF">
        <w:t xml:space="preserve"> (CVMA, 2018). </w:t>
      </w:r>
    </w:p>
    <w:p w14:paraId="35EAAFF7" w14:textId="319D7D77" w:rsidR="002A73D6" w:rsidRPr="00CE15CF" w:rsidRDefault="002A73D6" w:rsidP="00CE15CF">
      <w:pPr>
        <w:pStyle w:val="Paralevel1"/>
      </w:pPr>
      <w:proofErr w:type="gramStart"/>
      <w:r w:rsidRPr="00CE15CF">
        <w:t>According to</w:t>
      </w:r>
      <w:proofErr w:type="gramEnd"/>
      <w:r w:rsidRPr="00CE15CF">
        <w:t xml:space="preserve"> CVMA, a key obstacle in a complete phase-out of PFOA in automotive service and spare parts by the entry into force of a possible amendment of Annex A appears to be the prohibitive costs. However, no information on possible cost implications has been submitted. In addition, the Canadian automotive industry has concerns regarding practical challenges related to the numerous CAS numbers of affected substances.</w:t>
      </w:r>
      <w:r w:rsidR="00561319" w:rsidRPr="00CE15CF">
        <w:t xml:space="preserve"> This </w:t>
      </w:r>
      <w:r w:rsidR="006C22C8" w:rsidRPr="00CE15CF">
        <w:t>has also been expressed</w:t>
      </w:r>
      <w:r w:rsidR="00561319" w:rsidRPr="00CE15CF">
        <w:t xml:space="preserve"> by </w:t>
      </w:r>
      <w:r w:rsidR="006D039D" w:rsidRPr="00CE15CF">
        <w:t xml:space="preserve">automotive associations </w:t>
      </w:r>
      <w:r w:rsidR="00561319" w:rsidRPr="00CE15CF">
        <w:t>ACEA</w:t>
      </w:r>
      <w:r w:rsidR="006D039D" w:rsidRPr="00CE15CF">
        <w:t xml:space="preserve"> and SIAM</w:t>
      </w:r>
      <w:r w:rsidR="00561319" w:rsidRPr="00CE15CF">
        <w:t xml:space="preserve">. </w:t>
      </w:r>
    </w:p>
    <w:p w14:paraId="076D5C91" w14:textId="3EDDCE50" w:rsidR="002A73D6" w:rsidRPr="00CE15CF" w:rsidRDefault="002A73D6" w:rsidP="00CE15CF">
      <w:pPr>
        <w:pStyle w:val="Paralevel1"/>
      </w:pPr>
      <w:proofErr w:type="gramStart"/>
      <w:r w:rsidRPr="00CE15CF">
        <w:t>According to</w:t>
      </w:r>
      <w:proofErr w:type="gramEnd"/>
      <w:r w:rsidRPr="00CE15CF">
        <w:t xml:space="preserve"> CVMA, the level of PFOA usage in the sector is unknown</w:t>
      </w:r>
      <w:r w:rsidR="00EB0994" w:rsidRPr="00CE15CF">
        <w:t xml:space="preserve"> but expected to be low as a result of reported concentrations</w:t>
      </w:r>
      <w:r w:rsidRPr="00CE15CF">
        <w:t xml:space="preserve">. However, CVMA have declared </w:t>
      </w:r>
      <w:r w:rsidR="002F4B3B" w:rsidRPr="00CE15CF">
        <w:t xml:space="preserve">12 </w:t>
      </w:r>
      <w:r w:rsidRPr="00CE15CF">
        <w:t xml:space="preserve">PFOA salts and precursors under GADSL. Given this, the industry has some information on </w:t>
      </w:r>
      <w:r w:rsidR="002F4B3B" w:rsidRPr="00CE15CF">
        <w:t xml:space="preserve">12 </w:t>
      </w:r>
      <w:r w:rsidRPr="00CE15CF">
        <w:t>substances and at least 1 of the substances listed on GADSL is identified by CVMA as being used in the sector. Another PFOA</w:t>
      </w:r>
      <w:r w:rsidR="00142465" w:rsidRPr="00CE15CF">
        <w:t>-</w:t>
      </w:r>
      <w:r w:rsidRPr="00CE15CF">
        <w:t>related</w:t>
      </w:r>
      <w:r w:rsidR="00142465" w:rsidRPr="00CE15CF">
        <w:t xml:space="preserve"> compound</w:t>
      </w:r>
      <w:r w:rsidRPr="00CE15CF">
        <w:t>, which is not been listed on GADSL has been identified by at least one OEM or a supplier as being used in the industry. No specific information (e.g. quantities of the eight PFOA substances from the GADSL) has been provided by CVMA</w:t>
      </w:r>
      <w:r w:rsidR="00EB0994" w:rsidRPr="00CE15CF">
        <w:t xml:space="preserve"> so far</w:t>
      </w:r>
      <w:r w:rsidRPr="00CE15CF">
        <w:t xml:space="preserve">. </w:t>
      </w:r>
    </w:p>
    <w:p w14:paraId="0984E53F" w14:textId="103C33C3" w:rsidR="002A73D6" w:rsidRPr="00CE15CF" w:rsidRDefault="002A73D6" w:rsidP="00CE15CF">
      <w:pPr>
        <w:pStyle w:val="Paralevel1"/>
      </w:pPr>
      <w:r w:rsidRPr="00CE15CF">
        <w:t xml:space="preserve">For these identified </w:t>
      </w:r>
      <w:r w:rsidR="002F4B3B" w:rsidRPr="00CE15CF">
        <w:t xml:space="preserve">PFOA-related </w:t>
      </w:r>
      <w:r w:rsidR="00DA208B" w:rsidRPr="00CE15CF">
        <w:t>compounds</w:t>
      </w:r>
      <w:r w:rsidR="00DA208B" w:rsidRPr="00CE15CF" w:rsidDel="00DA208B">
        <w:t xml:space="preserve"> </w:t>
      </w:r>
      <w:r w:rsidRPr="00CE15CF">
        <w:t xml:space="preserve">and other substances on the non-exhaustive list of substances (UNEP/POPS/POPRC.13/INF/6/Add.1), specific uses in typical service and spare parts as well as quantities should be made available to enable the evaluation of a possible exemption. </w:t>
      </w:r>
      <w:r w:rsidR="002F4B3B" w:rsidRPr="00CE15CF">
        <w:t xml:space="preserve">Until now only a generic list of application areas is provided. </w:t>
      </w:r>
      <w:r w:rsidRPr="00CE15CF">
        <w:t xml:space="preserve">This is especially the case if this exemption should take a similar approach as for </w:t>
      </w:r>
      <w:proofErr w:type="spellStart"/>
      <w:r w:rsidRPr="00CE15CF">
        <w:t>decaBDE</w:t>
      </w:r>
      <w:proofErr w:type="spellEnd"/>
      <w:r w:rsidRPr="00CE15CF">
        <w:t xml:space="preserve">, as requested by CVMA in their recent submission. Based on specific information about relevant spare parts a list of relevant spare parts and categories could be established </w:t>
      </w:r>
      <w:proofErr w:type="gramStart"/>
      <w:r w:rsidRPr="00CE15CF">
        <w:t>similar to</w:t>
      </w:r>
      <w:proofErr w:type="gramEnd"/>
      <w:r w:rsidRPr="00CE15CF">
        <w:t xml:space="preserve"> the approach for </w:t>
      </w:r>
      <w:proofErr w:type="spellStart"/>
      <w:r w:rsidRPr="00CE15CF">
        <w:t>decaBDE</w:t>
      </w:r>
      <w:proofErr w:type="spellEnd"/>
      <w:r w:rsidRPr="00CE15CF">
        <w:t>. The starting point for this could be the parts/categories already specified above, e.</w:t>
      </w:r>
      <w:r w:rsidR="002F4B3B" w:rsidRPr="00CE15CF">
        <w:t>g.</w:t>
      </w:r>
      <w:r w:rsidRPr="00CE15CF">
        <w:t xml:space="preserve"> vehicle safety restraints and air bag systems, gaskets or seals in coatings or lubricants, gaskets, seals and linings in engine, fuel and transmission systems</w:t>
      </w:r>
      <w:r w:rsidR="00164167" w:rsidRPr="00CE15CF">
        <w:t>. This information could be supplemented with further information on available alternatives already commercially in use</w:t>
      </w:r>
      <w:r w:rsidRPr="00CE15CF">
        <w:t>.</w:t>
      </w:r>
    </w:p>
    <w:p w14:paraId="3B4003ED" w14:textId="77777777" w:rsidR="002C70E8" w:rsidRPr="00CE15CF" w:rsidRDefault="002A73D6" w:rsidP="00CE15CF">
      <w:pPr>
        <w:pStyle w:val="Paralevel1"/>
      </w:pPr>
      <w:r w:rsidRPr="00CE15CF">
        <w:t xml:space="preserve">The Committee requested specification of relevant automotive service and replacement parts as well as sound justification as to why an exemption is required. The </w:t>
      </w:r>
      <w:r w:rsidR="00CE1235" w:rsidRPr="00CE15CF">
        <w:t>Committee</w:t>
      </w:r>
      <w:r w:rsidRPr="00CE15CF">
        <w:t xml:space="preserve"> invited </w:t>
      </w:r>
      <w:r w:rsidR="002B6CC0" w:rsidRPr="00CE15CF">
        <w:t>P</w:t>
      </w:r>
      <w:r w:rsidRPr="00CE15CF">
        <w:t>arties and observers to submit further information on automotive spare parts and other relevant information available. Limited information was submitted on socio-economic aspects and the availability of alternatives</w:t>
      </w:r>
      <w:r w:rsidR="0029286C" w:rsidRPr="00CE15CF">
        <w:t>.</w:t>
      </w:r>
      <w:r w:rsidRPr="00CE15CF">
        <w:t xml:space="preserve"> No conclusive information was submitted </w:t>
      </w:r>
      <w:r w:rsidR="003C6441" w:rsidRPr="00CE15CF">
        <w:t xml:space="preserve">so far </w:t>
      </w:r>
      <w:r w:rsidRPr="00CE15CF">
        <w:t xml:space="preserve">on the specification of relevant automotive service and replacement parts and on the quantities of relevant substances used in different applications. Further information such as amounts </w:t>
      </w:r>
      <w:r w:rsidR="00AD4ECB" w:rsidRPr="00CE15CF">
        <w:t xml:space="preserve">used </w:t>
      </w:r>
      <w:r w:rsidRPr="00CE15CF">
        <w:t xml:space="preserve">in different parts is considered necessary to justify a recommendation for an exemption. </w:t>
      </w:r>
    </w:p>
    <w:p w14:paraId="67DA7556" w14:textId="7333946C" w:rsidR="002C70E8" w:rsidRPr="00CE15CF" w:rsidRDefault="002C70E8" w:rsidP="00CE15CF">
      <w:pPr>
        <w:pStyle w:val="StyleHeading3h3123SecTimesNewRomanBold"/>
        <w:numPr>
          <w:ilvl w:val="0"/>
          <w:numId w:val="0"/>
        </w:numPr>
        <w:ind w:left="634" w:hanging="634"/>
      </w:pPr>
      <w:bookmarkStart w:id="180" w:name="_Toc506913542"/>
      <w:bookmarkStart w:id="181" w:name="_Toc507148997"/>
      <w:bookmarkStart w:id="182" w:name="_Toc515267946"/>
      <w:r w:rsidRPr="00CE15CF">
        <w:t>4.7.6</w:t>
      </w:r>
      <w:r w:rsidRPr="00CE15CF">
        <w:tab/>
        <w:t>Conclusion</w:t>
      </w:r>
      <w:bookmarkEnd w:id="180"/>
      <w:bookmarkEnd w:id="181"/>
      <w:bookmarkEnd w:id="182"/>
    </w:p>
    <w:p w14:paraId="4A5B48B3" w14:textId="709A6946" w:rsidR="002A73D6" w:rsidRPr="00CE15CF" w:rsidRDefault="002C70E8" w:rsidP="00CE15CF">
      <w:pPr>
        <w:pStyle w:val="Paralevel1"/>
      </w:pPr>
      <w:r w:rsidRPr="00CE15CF">
        <w:t xml:space="preserve">Based on the review of updated information a time limited exemption could be considered for automotive service and replacement parts and vehicles. However, additional information should be made available by the automotive industry. No conclusive information has been provided on the specification of relevant automotive service and replacement parts (specific parts or categories of parts) and on the quantities of relevant substances used in different applications. Information such as amounts used in different parts is considered necessary to justify a </w:t>
      </w:r>
      <w:r w:rsidRPr="00CE15CF">
        <w:lastRenderedPageBreak/>
        <w:t>consideration of a recommendation for an exemption. Further information on time for phase-out, estimation of economic impacts, alternatives in place and retrofitting capacity would be supportive for further discussions at international level.</w:t>
      </w:r>
    </w:p>
    <w:p w14:paraId="6A44F5C1" w14:textId="64B7A188" w:rsidR="004D5B0D" w:rsidRPr="00CE15CF" w:rsidRDefault="00D519A6" w:rsidP="00CE15CF">
      <w:pPr>
        <w:pStyle w:val="StyleHeading2u2h2ABC2ChptTimesNewRoman12ptBef1"/>
      </w:pPr>
      <w:bookmarkStart w:id="183" w:name="_Toc507148998"/>
      <w:bookmarkStart w:id="184" w:name="_Toc515267947"/>
      <w:r w:rsidRPr="00CE15CF">
        <w:t xml:space="preserve">(g) </w:t>
      </w:r>
      <w:r w:rsidR="00AE386D" w:rsidRPr="00CE15CF">
        <w:t>Fire</w:t>
      </w:r>
      <w:r w:rsidR="00EA71AF" w:rsidRPr="00CE15CF">
        <w:t>-</w:t>
      </w:r>
      <w:r w:rsidR="00AE386D" w:rsidRPr="00CE15CF">
        <w:t>fighting foams</w:t>
      </w:r>
      <w:bookmarkEnd w:id="183"/>
      <w:bookmarkEnd w:id="184"/>
      <w:r w:rsidR="00AE386D" w:rsidRPr="00CE15CF">
        <w:t xml:space="preserve"> </w:t>
      </w:r>
    </w:p>
    <w:p w14:paraId="3F4AE71C" w14:textId="77777777" w:rsidR="000E1507" w:rsidRPr="00CE15CF" w:rsidRDefault="000E1507" w:rsidP="00CE15CF">
      <w:pPr>
        <w:pStyle w:val="StyleHeading3h3123SecTimesNewRomanBold"/>
        <w:rPr>
          <w:i/>
        </w:rPr>
      </w:pPr>
      <w:bookmarkStart w:id="185" w:name="_Toc507148999"/>
      <w:bookmarkStart w:id="186" w:name="_Toc515267948"/>
      <w:r w:rsidRPr="00CE15CF">
        <w:t>Introduction</w:t>
      </w:r>
      <w:bookmarkEnd w:id="185"/>
      <w:bookmarkEnd w:id="186"/>
    </w:p>
    <w:p w14:paraId="4373C740" w14:textId="7E84ACEB" w:rsidR="009C31FF" w:rsidRPr="00CE15CF" w:rsidRDefault="000E1507" w:rsidP="00CE15CF">
      <w:pPr>
        <w:pStyle w:val="Paralevel1"/>
      </w:pPr>
      <w:r w:rsidRPr="00CE15CF">
        <w:t>The RME identifie</w:t>
      </w:r>
      <w:r w:rsidR="00C34465" w:rsidRPr="00CE15CF">
        <w:t>d</w:t>
      </w:r>
      <w:r w:rsidRPr="00CE15CF">
        <w:t xml:space="preserve"> </w:t>
      </w:r>
      <w:r w:rsidR="00C34465" w:rsidRPr="00CE15CF">
        <w:t>that aqueous fi</w:t>
      </w:r>
      <w:r w:rsidR="00856B94" w:rsidRPr="00CE15CF">
        <w:t>lm</w:t>
      </w:r>
      <w:r w:rsidR="00C34465" w:rsidRPr="00CE15CF">
        <w:t>-f</w:t>
      </w:r>
      <w:r w:rsidR="00856B94" w:rsidRPr="00CE15CF">
        <w:t>oaming</w:t>
      </w:r>
      <w:r w:rsidR="00C34465" w:rsidRPr="00CE15CF">
        <w:t xml:space="preserve"> foams (AFFFs) may contain PFOA or PFOA-related </w:t>
      </w:r>
      <w:r w:rsidR="00DA208B" w:rsidRPr="00CE15CF">
        <w:t>compounds</w:t>
      </w:r>
      <w:r w:rsidRPr="00CE15CF">
        <w:t>. This raised concerns at POPRC</w:t>
      </w:r>
      <w:r w:rsidR="00CE1235" w:rsidRPr="00CE15CF">
        <w:t>-</w:t>
      </w:r>
      <w:r w:rsidRPr="00CE15CF">
        <w:t xml:space="preserve">13 </w:t>
      </w:r>
      <w:proofErr w:type="gramStart"/>
      <w:r w:rsidRPr="00CE15CF">
        <w:t xml:space="preserve">due to the </w:t>
      </w:r>
      <w:r w:rsidR="00AD4ECB" w:rsidRPr="00CE15CF">
        <w:t xml:space="preserve">fact </w:t>
      </w:r>
      <w:r w:rsidRPr="00CE15CF">
        <w:t>that</w:t>
      </w:r>
      <w:proofErr w:type="gramEnd"/>
      <w:r w:rsidRPr="00CE15CF">
        <w:t xml:space="preserve"> </w:t>
      </w:r>
      <w:r w:rsidR="00AD4ECB" w:rsidRPr="00CE15CF">
        <w:t xml:space="preserve">the use of </w:t>
      </w:r>
      <w:r w:rsidRPr="00CE15CF">
        <w:t>fire-fighting result</w:t>
      </w:r>
      <w:r w:rsidR="00AD4ECB" w:rsidRPr="00CE15CF">
        <w:t>s</w:t>
      </w:r>
      <w:r w:rsidRPr="00CE15CF">
        <w:t xml:space="preserve"> in the dispersive and </w:t>
      </w:r>
      <w:r w:rsidR="00C34465" w:rsidRPr="00CE15CF">
        <w:t xml:space="preserve">potential </w:t>
      </w:r>
      <w:r w:rsidRPr="00CE15CF">
        <w:t xml:space="preserve">direct release to the environment. </w:t>
      </w:r>
    </w:p>
    <w:p w14:paraId="416184E9" w14:textId="34A8AB47" w:rsidR="00C34465" w:rsidRPr="00CE15CF" w:rsidRDefault="006B3FA6" w:rsidP="00CE15CF">
      <w:pPr>
        <w:pStyle w:val="Paralevel1"/>
      </w:pPr>
      <w:r w:rsidRPr="00CE15CF">
        <w:t>Fluorinated compounds have been used in AFFF as they have proved effective at extinguishing liquid fuel fires</w:t>
      </w:r>
      <w:r w:rsidR="00411386" w:rsidRPr="00CE15CF">
        <w:t>. AFFF was reserved specifically for liquid fuel fires.</w:t>
      </w:r>
      <w:r w:rsidRPr="00CE15CF">
        <w:t xml:space="preserve"> (ECHA, 2014a). In the past </w:t>
      </w:r>
      <w:proofErr w:type="gramStart"/>
      <w:r w:rsidRPr="00CE15CF">
        <w:t>industry</w:t>
      </w:r>
      <w:proofErr w:type="gramEnd"/>
      <w:r w:rsidRPr="00CE15CF">
        <w:t xml:space="preserve"> has favoured the use of C</w:t>
      </w:r>
      <w:r w:rsidRPr="00CE15CF">
        <w:rPr>
          <w:vertAlign w:val="subscript"/>
        </w:rPr>
        <w:t>8</w:t>
      </w:r>
      <w:r w:rsidRPr="00CE15CF">
        <w:t xml:space="preserve"> based </w:t>
      </w:r>
      <w:proofErr w:type="spellStart"/>
      <w:r w:rsidRPr="00CE15CF">
        <w:t>perfluorinated</w:t>
      </w:r>
      <w:proofErr w:type="spellEnd"/>
      <w:r w:rsidRPr="00CE15CF">
        <w:t xml:space="preserve"> compounds,</w:t>
      </w:r>
      <w:r w:rsidR="00F42A56" w:rsidRPr="00CE15CF">
        <w:rPr>
          <w:rStyle w:val="FootnoteReference"/>
        </w:rPr>
        <w:footnoteReference w:id="45"/>
      </w:r>
      <w:r w:rsidRPr="00CE15CF">
        <w:t xml:space="preserve"> including PFOS (which </w:t>
      </w:r>
      <w:r w:rsidR="00856B94" w:rsidRPr="00CE15CF">
        <w:t>has</w:t>
      </w:r>
      <w:r w:rsidRPr="00CE15CF">
        <w:t xml:space="preserve"> </w:t>
      </w:r>
      <w:r w:rsidR="00856B94" w:rsidRPr="00CE15CF">
        <w:t>subsequently been added to the Stockholm Convention as</w:t>
      </w:r>
      <w:r w:rsidRPr="00CE15CF">
        <w:t xml:space="preserve"> a POP). These materials were </w:t>
      </w:r>
      <w:r w:rsidR="00205D9F" w:rsidRPr="00CE15CF">
        <w:t xml:space="preserve">largely </w:t>
      </w:r>
      <w:r w:rsidRPr="00CE15CF">
        <w:t xml:space="preserve">produced using </w:t>
      </w:r>
      <w:r w:rsidR="00B17F8E" w:rsidRPr="00CE15CF">
        <w:t xml:space="preserve">electrochemical fluorination (ECF), with hydrogen fluoride used as a feedstock alongside organic material (Swedish Chemicals Agency, 2015). </w:t>
      </w:r>
      <w:proofErr w:type="spellStart"/>
      <w:r w:rsidR="00B17F8E" w:rsidRPr="00CE15CF">
        <w:t>Seow</w:t>
      </w:r>
      <w:proofErr w:type="spellEnd"/>
      <w:r w:rsidR="00B17F8E" w:rsidRPr="00CE15CF">
        <w:t xml:space="preserve"> (2013) comments that the intentional use of PFOA within C</w:t>
      </w:r>
      <w:r w:rsidR="00B17F8E" w:rsidRPr="00CE15CF">
        <w:rPr>
          <w:vertAlign w:val="subscript"/>
        </w:rPr>
        <w:t>8</w:t>
      </w:r>
      <w:r w:rsidR="00B17F8E" w:rsidRPr="00CE15CF">
        <w:t xml:space="preserve"> fluorinated surfactants for AFFF was chiefly used as the ammonium salt (APFO). However specific information on mixtures and formulations is limited in part because of the </w:t>
      </w:r>
      <w:r w:rsidR="00205D9F" w:rsidRPr="00CE15CF">
        <w:t>c</w:t>
      </w:r>
      <w:r w:rsidR="00B17F8E" w:rsidRPr="00CE15CF">
        <w:t>ommercial sensitivities. Queensland Government (2016a) comments on a study from 2014 where 103 different fluorinated compounds were identified within 10 commercial AFFF products available on the Australian market.</w:t>
      </w:r>
      <w:r w:rsidR="00E95B3C" w:rsidRPr="00CE15CF">
        <w:t xml:space="preserve"> </w:t>
      </w:r>
      <w:proofErr w:type="spellStart"/>
      <w:r w:rsidR="00E95B3C" w:rsidRPr="00CE15CF">
        <w:t>Barzen</w:t>
      </w:r>
      <w:proofErr w:type="spellEnd"/>
      <w:r w:rsidR="00E95B3C" w:rsidRPr="00CE15CF">
        <w:t xml:space="preserve">-Hanson et al, 2017, conducted analysis on AFFF foams (manufactured by both ECF and telomerisation) produced in the 1980s and </w:t>
      </w:r>
      <w:r w:rsidR="00697022" w:rsidRPr="00CE15CF">
        <w:t>19</w:t>
      </w:r>
      <w:r w:rsidR="00E95B3C" w:rsidRPr="00CE15CF">
        <w:t xml:space="preserve">90s which demonstrate the complexity of AFFF mixtures. The study indicated that more than 240 </w:t>
      </w:r>
      <w:proofErr w:type="gramStart"/>
      <w:r w:rsidR="00E95B3C" w:rsidRPr="00CE15CF">
        <w:t>individual</w:t>
      </w:r>
      <w:proofErr w:type="gramEnd"/>
      <w:r w:rsidR="00E95B3C" w:rsidRPr="00CE15CF">
        <w:t xml:space="preserve"> per and </w:t>
      </w:r>
      <w:proofErr w:type="spellStart"/>
      <w:r w:rsidR="00E95B3C" w:rsidRPr="00CE15CF">
        <w:t>polyfluoroalkyl</w:t>
      </w:r>
      <w:proofErr w:type="spellEnd"/>
      <w:r w:rsidR="00E95B3C" w:rsidRPr="00CE15CF">
        <w:t xml:space="preserve"> substances (PFAS) can be associated with AFFF, including discovery of forty novel classes of PFAS (30 associated with ECF and 10 associated with telomerisation) and detection of 17 previously reported PFAS. The authors stated that these newly discovered PFAS will pose challenges for effective remediation due to the presumed wide range of </w:t>
      </w:r>
      <w:proofErr w:type="spellStart"/>
      <w:r w:rsidR="00E95B3C" w:rsidRPr="00CE15CF">
        <w:t>solubilities</w:t>
      </w:r>
      <w:proofErr w:type="spellEnd"/>
      <w:r w:rsidR="00E95B3C" w:rsidRPr="00CE15CF">
        <w:t>. Systems designed to capture PFOS and PFOA (such as granulated active carbon) will not be effective because shorter-chained substances will likely break through.</w:t>
      </w:r>
    </w:p>
    <w:p w14:paraId="3790ECAC" w14:textId="59C19545" w:rsidR="000E1507" w:rsidRPr="00CE15CF" w:rsidRDefault="00B17F8E" w:rsidP="00CE15CF">
      <w:pPr>
        <w:pStyle w:val="Paralevel1"/>
      </w:pPr>
      <w:r w:rsidRPr="00CE15CF">
        <w:t xml:space="preserve">Following the concerns raised over </w:t>
      </w:r>
      <w:r w:rsidR="00205D9F" w:rsidRPr="00CE15CF">
        <w:t>h</w:t>
      </w:r>
      <w:r w:rsidRPr="00CE15CF">
        <w:t xml:space="preserve">uman health and environment from the use of PFOS, industry </w:t>
      </w:r>
      <w:r w:rsidR="00205D9F" w:rsidRPr="00CE15CF">
        <w:t xml:space="preserve">largely </w:t>
      </w:r>
      <w:r w:rsidRPr="00CE15CF">
        <w:t>moved towards C</w:t>
      </w:r>
      <w:r w:rsidRPr="00CE15CF">
        <w:rPr>
          <w:vertAlign w:val="subscript"/>
        </w:rPr>
        <w:t>6</w:t>
      </w:r>
      <w:r w:rsidRPr="00CE15CF">
        <w:t xml:space="preserve"> fluorinated technology</w:t>
      </w:r>
      <w:r w:rsidR="00150370" w:rsidRPr="00CE15CF">
        <w:t>,</w:t>
      </w:r>
      <w:r w:rsidRPr="00CE15CF">
        <w:rPr>
          <w:rStyle w:val="FootnoteReference"/>
        </w:rPr>
        <w:footnoteReference w:id="46"/>
      </w:r>
      <w:r w:rsidRPr="00CE15CF">
        <w:rPr>
          <w:vertAlign w:val="superscript"/>
        </w:rPr>
        <w:t xml:space="preserve">, </w:t>
      </w:r>
      <w:r w:rsidRPr="00CE15CF">
        <w:rPr>
          <w:rStyle w:val="FootnoteReference"/>
        </w:rPr>
        <w:footnoteReference w:id="47"/>
      </w:r>
      <w:r w:rsidR="00205D9F" w:rsidRPr="00CE15CF">
        <w:t xml:space="preserve"> although fluorine free alternatives were also developed</w:t>
      </w:r>
      <w:r w:rsidRPr="00CE15CF">
        <w:t>. This transition is also commented on within the RME. The Swedish Chemicals Agency (2015) comments that C</w:t>
      </w:r>
      <w:r w:rsidRPr="00CE15CF">
        <w:rPr>
          <w:vertAlign w:val="subscript"/>
        </w:rPr>
        <w:t>6</w:t>
      </w:r>
      <w:r w:rsidRPr="00CE15CF">
        <w:t xml:space="preserve"> technologies are not based on ECF but rather telomerisation, beginning </w:t>
      </w:r>
      <w:r w:rsidR="00205D9F" w:rsidRPr="00CE15CF">
        <w:t xml:space="preserve">with </w:t>
      </w:r>
      <w:r w:rsidRPr="00CE15CF">
        <w:t>perfluoroalkyl iodide</w:t>
      </w:r>
      <w:r w:rsidR="001A756E" w:rsidRPr="00CE15CF">
        <w:t xml:space="preserve"> as the raw material. Where telomerisation react</w:t>
      </w:r>
      <w:r w:rsidR="00A84E70" w:rsidRPr="00CE15CF">
        <w:t>ion</w:t>
      </w:r>
      <w:r w:rsidR="001A756E" w:rsidRPr="00CE15CF">
        <w:t xml:space="preserve">s </w:t>
      </w:r>
      <w:r w:rsidR="00A84E70" w:rsidRPr="00CE15CF">
        <w:t xml:space="preserve">involve </w:t>
      </w:r>
      <w:proofErr w:type="spellStart"/>
      <w:r w:rsidR="001A756E" w:rsidRPr="00CE15CF">
        <w:t>perfluorinated</w:t>
      </w:r>
      <w:proofErr w:type="spellEnd"/>
      <w:r w:rsidR="001A756E" w:rsidRPr="00CE15CF">
        <w:t xml:space="preserve"> compounds it is possible to form C</w:t>
      </w:r>
      <w:r w:rsidR="001A756E" w:rsidRPr="00CE15CF">
        <w:rPr>
          <w:vertAlign w:val="subscript"/>
        </w:rPr>
        <w:t>8</w:t>
      </w:r>
      <w:r w:rsidR="001A756E" w:rsidRPr="00CE15CF">
        <w:t xml:space="preserve"> </w:t>
      </w:r>
      <w:proofErr w:type="spellStart"/>
      <w:r w:rsidR="00BB5DCF" w:rsidRPr="00CE15CF">
        <w:t>perfluorinated</w:t>
      </w:r>
      <w:proofErr w:type="spellEnd"/>
      <w:r w:rsidR="00BB5DCF" w:rsidRPr="00CE15CF">
        <w:t xml:space="preserve"> </w:t>
      </w:r>
      <w:r w:rsidR="001A756E" w:rsidRPr="00CE15CF">
        <w:t>compounds, including PFOA, as a contaminant within C</w:t>
      </w:r>
      <w:r w:rsidR="001A756E" w:rsidRPr="00CE15CF">
        <w:rPr>
          <w:vertAlign w:val="subscript"/>
        </w:rPr>
        <w:t>6</w:t>
      </w:r>
      <w:r w:rsidR="001A756E" w:rsidRPr="00CE15CF">
        <w:t xml:space="preserve"> species. The Swedish Chemicals Agency (2015) comments that as much as 20% C</w:t>
      </w:r>
      <w:r w:rsidR="001A756E" w:rsidRPr="00CE15CF">
        <w:rPr>
          <w:vertAlign w:val="subscript"/>
        </w:rPr>
        <w:t>8</w:t>
      </w:r>
      <w:r w:rsidR="001A756E" w:rsidRPr="00CE15CF">
        <w:t xml:space="preserve"> can end up within the final stages before clean</w:t>
      </w:r>
      <w:r w:rsidR="00734CAF" w:rsidRPr="00CE15CF">
        <w:t>-</w:t>
      </w:r>
      <w:r w:rsidR="001A756E" w:rsidRPr="00CE15CF">
        <w:t xml:space="preserve">up, after which residual concentrations of 0.01% </w:t>
      </w:r>
      <w:proofErr w:type="spellStart"/>
      <w:r w:rsidR="001A756E" w:rsidRPr="00CE15CF">
        <w:t>wt</w:t>
      </w:r>
      <w:proofErr w:type="spellEnd"/>
      <w:r w:rsidR="001A756E" w:rsidRPr="00CE15CF">
        <w:t>/</w:t>
      </w:r>
      <w:proofErr w:type="spellStart"/>
      <w:r w:rsidR="001A756E" w:rsidRPr="00CE15CF">
        <w:t>wt</w:t>
      </w:r>
      <w:proofErr w:type="spellEnd"/>
      <w:r w:rsidR="001A756E" w:rsidRPr="00CE15CF">
        <w:t xml:space="preserve"> may be present</w:t>
      </w:r>
      <w:r w:rsidR="00610DF6" w:rsidRPr="00CE15CF">
        <w:t xml:space="preserve"> in the final commercial product</w:t>
      </w:r>
      <w:r w:rsidR="001A756E" w:rsidRPr="00CE15CF">
        <w:t>. However, the Swedish Chemicals Agency (2015) also note that studies exist demonstrating that goods marketed as C</w:t>
      </w:r>
      <w:r w:rsidR="001A756E" w:rsidRPr="00CE15CF">
        <w:rPr>
          <w:vertAlign w:val="subscript"/>
        </w:rPr>
        <w:t>6</w:t>
      </w:r>
      <w:r w:rsidR="001A756E" w:rsidRPr="00CE15CF">
        <w:t xml:space="preserve"> </w:t>
      </w:r>
      <w:r w:rsidR="00610DF6" w:rsidRPr="00CE15CF">
        <w:t xml:space="preserve">fluorotelomer </w:t>
      </w:r>
      <w:r w:rsidR="001A756E" w:rsidRPr="00CE15CF">
        <w:t>products still contain concentrations of C</w:t>
      </w:r>
      <w:r w:rsidR="001A756E" w:rsidRPr="00CE15CF">
        <w:rPr>
          <w:vertAlign w:val="subscript"/>
        </w:rPr>
        <w:t>8</w:t>
      </w:r>
      <w:r w:rsidR="001A756E" w:rsidRPr="00CE15CF">
        <w:t xml:space="preserve"> (including PFOA) significantly above trace residual concentrations</w:t>
      </w:r>
      <w:r w:rsidR="00610DF6" w:rsidRPr="00CE15CF">
        <w:t>, in some cases at concentrations with equal amounts of C</w:t>
      </w:r>
      <w:r w:rsidR="00610DF6" w:rsidRPr="00CE15CF">
        <w:rPr>
          <w:vertAlign w:val="subscript"/>
        </w:rPr>
        <w:t>6</w:t>
      </w:r>
      <w:r w:rsidR="00610DF6" w:rsidRPr="00CE15CF">
        <w:t xml:space="preserve"> and C</w:t>
      </w:r>
      <w:r w:rsidR="00610DF6" w:rsidRPr="00CE15CF">
        <w:rPr>
          <w:vertAlign w:val="subscript"/>
        </w:rPr>
        <w:t>8</w:t>
      </w:r>
      <w:r w:rsidR="00610DF6" w:rsidRPr="00CE15CF">
        <w:t>. ECHA (2014a) also comments that C</w:t>
      </w:r>
      <w:r w:rsidR="00610DF6" w:rsidRPr="00CE15CF">
        <w:rPr>
          <w:vertAlign w:val="subscript"/>
        </w:rPr>
        <w:t>8</w:t>
      </w:r>
      <w:r w:rsidR="00610DF6" w:rsidRPr="00CE15CF">
        <w:t xml:space="preserve"> fluorotelomer alcohols (FTOHs) </w:t>
      </w:r>
      <w:r w:rsidR="000A530C" w:rsidRPr="00CE15CF">
        <w:t xml:space="preserve">used within AFFF </w:t>
      </w:r>
      <w:r w:rsidR="00610DF6" w:rsidRPr="00CE15CF">
        <w:t>can degrade to form PFOA once in the natural environment</w:t>
      </w:r>
      <w:r w:rsidR="001A756E" w:rsidRPr="00CE15CF">
        <w:t>.</w:t>
      </w:r>
    </w:p>
    <w:p w14:paraId="4DD4519C" w14:textId="227E0F03" w:rsidR="000E1507" w:rsidRPr="00CE15CF" w:rsidRDefault="000E1507" w:rsidP="00CE15CF">
      <w:pPr>
        <w:pStyle w:val="Paralevel1"/>
      </w:pPr>
      <w:r w:rsidRPr="00CE15CF">
        <w:t xml:space="preserve">Within the EU </w:t>
      </w:r>
      <w:r w:rsidR="00AD4ECB" w:rsidRPr="00CE15CF">
        <w:t xml:space="preserve">REACH </w:t>
      </w:r>
      <w:r w:rsidRPr="00CE15CF">
        <w:t>restriction for PFOA (ECHA, 2015</w:t>
      </w:r>
      <w:r w:rsidR="007F7983" w:rsidRPr="00CE15CF">
        <w:t>a</w:t>
      </w:r>
      <w:r w:rsidRPr="00CE15CF">
        <w:t>), a</w:t>
      </w:r>
      <w:r w:rsidR="00196E44" w:rsidRPr="00CE15CF">
        <w:t>n</w:t>
      </w:r>
      <w:r w:rsidRPr="00CE15CF">
        <w:t xml:space="preserve"> exemption is given for foams </w:t>
      </w:r>
      <w:r w:rsidR="00AD4ECB" w:rsidRPr="00CE15CF">
        <w:t xml:space="preserve">mixtures </w:t>
      </w:r>
      <w:r w:rsidRPr="00CE15CF">
        <w:t>already placed on the market</w:t>
      </w:r>
      <w:r w:rsidR="00150370" w:rsidRPr="00CE15CF">
        <w:t>.</w:t>
      </w:r>
      <w:r w:rsidRPr="00CE15CF">
        <w:rPr>
          <w:rStyle w:val="FootnoteReference"/>
        </w:rPr>
        <w:footnoteReference w:id="48"/>
      </w:r>
      <w:r w:rsidRPr="00CE15CF">
        <w:t xml:space="preserve"> </w:t>
      </w:r>
      <w:r w:rsidR="00196E44" w:rsidRPr="00CE15CF">
        <w:t>It was considered that a full and quick replacement with AFFFs based on C</w:t>
      </w:r>
      <w:r w:rsidR="00196E44" w:rsidRPr="00CE15CF">
        <w:rPr>
          <w:vertAlign w:val="subscript"/>
        </w:rPr>
        <w:t>6</w:t>
      </w:r>
      <w:r w:rsidR="00196E44" w:rsidRPr="00CE15CF">
        <w:t xml:space="preserve"> technology would not solve the problem of environmental contamination, because of the persistency and mobility of short chain fluorinated alternatives</w:t>
      </w:r>
      <w:r w:rsidR="00244B7C" w:rsidRPr="00CE15CF">
        <w:t xml:space="preserve"> and the difficulty to remediate water contamination</w:t>
      </w:r>
      <w:r w:rsidR="00196E44" w:rsidRPr="00CE15CF">
        <w:t xml:space="preserve">. </w:t>
      </w:r>
      <w:r w:rsidR="00C05F4B" w:rsidRPr="00CE15CF">
        <w:t>T</w:t>
      </w:r>
      <w:r w:rsidR="00A84E70" w:rsidRPr="00CE15CF">
        <w:t xml:space="preserve">he </w:t>
      </w:r>
      <w:r w:rsidR="00C05F4B" w:rsidRPr="00CE15CF">
        <w:t>EU</w:t>
      </w:r>
      <w:r w:rsidR="00734CAF" w:rsidRPr="00CE15CF">
        <w:t>,</w:t>
      </w:r>
      <w:r w:rsidR="00A84E70" w:rsidRPr="00CE15CF">
        <w:t xml:space="preserve"> the </w:t>
      </w:r>
      <w:r w:rsidR="00AD4ECB" w:rsidRPr="00CE15CF">
        <w:t xml:space="preserve">REACH </w:t>
      </w:r>
      <w:r w:rsidR="00A84E70" w:rsidRPr="00CE15CF">
        <w:t>restriction allows for the presence of PFOA and PFOA-related compounds as by-product up to a maximum concentration of</w:t>
      </w:r>
      <w:r w:rsidR="000D4519" w:rsidRPr="00CE15CF">
        <w:t xml:space="preserve"> 25 ppb for PFOA or 1000 ppb for PFOA and PFOA-related compounds </w:t>
      </w:r>
      <w:r w:rsidR="00A84E70" w:rsidRPr="00CE15CF">
        <w:t>in</w:t>
      </w:r>
      <w:r w:rsidR="000D4519" w:rsidRPr="00CE15CF">
        <w:t xml:space="preserve"> fire-fighting foams placed to market in the EU, </w:t>
      </w:r>
      <w:r w:rsidR="00A84E70" w:rsidRPr="00CE15CF">
        <w:t xml:space="preserve">which is </w:t>
      </w:r>
      <w:r w:rsidR="000D4519" w:rsidRPr="00CE15CF">
        <w:t xml:space="preserve">likely related to trace contamination within fluorotelomer based AFFF. </w:t>
      </w:r>
      <w:r w:rsidR="00C05F4B" w:rsidRPr="00CE15CF">
        <w:t>Additionally, Australia</w:t>
      </w:r>
      <w:r w:rsidRPr="00CE15CF">
        <w:t xml:space="preserve"> </w:t>
      </w:r>
      <w:r w:rsidR="00C05F4B" w:rsidRPr="00CE15CF">
        <w:t>maintains a maximum concentration of 50,000 ppb as fluorine within fire-fighting foams (Australia, 2016</w:t>
      </w:r>
      <w:r w:rsidR="0021380A" w:rsidRPr="00CE15CF">
        <w:t>a</w:t>
      </w:r>
      <w:r w:rsidR="00C05F4B" w:rsidRPr="00CE15CF">
        <w:t>), where this limit is exceeded goods must be withdrawn and managed as regulated waste.</w:t>
      </w:r>
      <w:r w:rsidRPr="00CE15CF">
        <w:t xml:space="preserve"> In addition, Canada provides exemptions for </w:t>
      </w:r>
      <w:r w:rsidR="00856B94" w:rsidRPr="00CE15CF">
        <w:t xml:space="preserve">trace quantities of </w:t>
      </w:r>
      <w:r w:rsidRPr="00CE15CF">
        <w:t xml:space="preserve">PFOA </w:t>
      </w:r>
      <w:r w:rsidR="00856B94" w:rsidRPr="00CE15CF">
        <w:t>within</w:t>
      </w:r>
      <w:r w:rsidRPr="00CE15CF">
        <w:t xml:space="preserve"> </w:t>
      </w:r>
      <w:r w:rsidR="00B018A3" w:rsidRPr="00CE15CF">
        <w:t xml:space="preserve">to fluorotelomer based </w:t>
      </w:r>
      <w:r w:rsidRPr="00CE15CF">
        <w:t xml:space="preserve">AFFFs. Furthermore, in Europe the related </w:t>
      </w:r>
      <w:r w:rsidRPr="00CE15CF">
        <w:lastRenderedPageBreak/>
        <w:t>compound PFOS had a time limited</w:t>
      </w:r>
      <w:r w:rsidRPr="00CE15CF">
        <w:rPr>
          <w:rStyle w:val="FootnoteReference"/>
        </w:rPr>
        <w:footnoteReference w:id="49"/>
      </w:r>
      <w:r w:rsidRPr="00CE15CF">
        <w:t xml:space="preserve"> exemption for foams that were already installed or placed on the market under the EU POPs Regulation. </w:t>
      </w:r>
    </w:p>
    <w:p w14:paraId="654BA051" w14:textId="40FE86C0" w:rsidR="000E1507" w:rsidRPr="00CE15CF" w:rsidRDefault="00942C08" w:rsidP="00CE15CF">
      <w:pPr>
        <w:pStyle w:val="Paralevel1"/>
      </w:pPr>
      <w:r w:rsidRPr="00CE15CF">
        <w:t xml:space="preserve">Under the Stockholm Convention goods already placed </w:t>
      </w:r>
      <w:r w:rsidR="004336E2" w:rsidRPr="00CE15CF">
        <w:t>on the</w:t>
      </w:r>
      <w:r w:rsidRPr="00CE15CF">
        <w:t xml:space="preserve"> market are exempt from the listing as detailed within item </w:t>
      </w:r>
      <w:r w:rsidR="00D5336E" w:rsidRPr="00CE15CF">
        <w:t>note (</w:t>
      </w:r>
      <w:r w:rsidRPr="00CE15CF">
        <w:t xml:space="preserve">ii) of Part 1 of Annex A. However, where fire-fighting foams are marketed as concentrates </w:t>
      </w:r>
      <w:r w:rsidR="001D12AE" w:rsidRPr="00CE15CF">
        <w:t xml:space="preserve">which are mixed </w:t>
      </w:r>
      <w:r w:rsidR="004336E2" w:rsidRPr="00CE15CF">
        <w:t xml:space="preserve">with </w:t>
      </w:r>
      <w:r w:rsidR="001D12AE" w:rsidRPr="00CE15CF">
        <w:t xml:space="preserve">water at </w:t>
      </w:r>
      <w:r w:rsidRPr="00CE15CF">
        <w:t>the</w:t>
      </w:r>
      <w:r w:rsidR="001D12AE" w:rsidRPr="00CE15CF">
        <w:t xml:space="preserve"> point of use, it </w:t>
      </w:r>
      <w:r w:rsidR="00B018A3" w:rsidRPr="00CE15CF">
        <w:t xml:space="preserve">is unclear if these materials can be considered as </w:t>
      </w:r>
      <w:r w:rsidR="001D12AE" w:rsidRPr="00CE15CF">
        <w:t xml:space="preserve">stockpiles </w:t>
      </w:r>
      <w:r w:rsidR="00B018A3" w:rsidRPr="00CE15CF">
        <w:t>as</w:t>
      </w:r>
      <w:r w:rsidR="001D12AE" w:rsidRPr="00CE15CF">
        <w:t xml:space="preserve"> </w:t>
      </w:r>
      <w:r w:rsidR="00B018A3" w:rsidRPr="00CE15CF">
        <w:t xml:space="preserve">defined </w:t>
      </w:r>
      <w:r w:rsidR="001D12AE" w:rsidRPr="00CE15CF">
        <w:t>under the Convention</w:t>
      </w:r>
      <w:r w:rsidR="00150370" w:rsidRPr="00CE15CF">
        <w:t>.</w:t>
      </w:r>
      <w:r w:rsidR="001D12AE" w:rsidRPr="00CE15CF">
        <w:rPr>
          <w:rStyle w:val="FootnoteReference"/>
        </w:rPr>
        <w:footnoteReference w:id="50"/>
      </w:r>
      <w:r w:rsidR="001D12AE" w:rsidRPr="00CE15CF">
        <w:t xml:space="preserve"> </w:t>
      </w:r>
      <w:r w:rsidR="00AB456F" w:rsidRPr="00CE15CF">
        <w:t xml:space="preserve">Furthermore responses from industry suggested </w:t>
      </w:r>
      <w:r w:rsidR="00B018A3" w:rsidRPr="00CE15CF">
        <w:t xml:space="preserve">that </w:t>
      </w:r>
      <w:r w:rsidR="00AB456F" w:rsidRPr="00CE15CF">
        <w:t>an exemption for fire-fighting foams may be needed</w:t>
      </w:r>
      <w:r w:rsidR="001C5241" w:rsidRPr="00CE15CF">
        <w:t xml:space="preserve"> for stockpiles of in-use goods to aid phase-out</w:t>
      </w:r>
      <w:r w:rsidR="00AB456F" w:rsidRPr="00CE15CF">
        <w:t xml:space="preserve">. </w:t>
      </w:r>
      <w:r w:rsidR="001D12AE" w:rsidRPr="00CE15CF">
        <w:t>A formal conclusion was not reached at POPRC</w:t>
      </w:r>
      <w:r w:rsidR="00136B9D" w:rsidRPr="00CE15CF">
        <w:t>-</w:t>
      </w:r>
      <w:r w:rsidR="001D12AE" w:rsidRPr="00CE15CF">
        <w:t>13. Therefore</w:t>
      </w:r>
      <w:r w:rsidR="001854E9" w:rsidRPr="00CE15CF">
        <w:t>,</w:t>
      </w:r>
      <w:r w:rsidR="000E1507" w:rsidRPr="00CE15CF">
        <w:t xml:space="preserve"> the </w:t>
      </w:r>
      <w:r w:rsidR="00136B9D" w:rsidRPr="00CE15CF">
        <w:t>Committee invited Parties and observers</w:t>
      </w:r>
      <w:r w:rsidR="000E1507" w:rsidRPr="00CE15CF">
        <w:t xml:space="preserve"> to provide information on chemical composition of mixtures and the volumes of pre-installed fire-fighting foam mixtures in use.</w:t>
      </w:r>
    </w:p>
    <w:p w14:paraId="392364C8" w14:textId="67121DDE" w:rsidR="007F7983" w:rsidRPr="00CE15CF" w:rsidRDefault="007F7983" w:rsidP="00CE15CF">
      <w:pPr>
        <w:pStyle w:val="Paralevel1"/>
      </w:pPr>
      <w:r w:rsidRPr="00CE15CF">
        <w:t>Relevant information was submitted by Belarus (2018), Canada (2018), Netherlands (2018</w:t>
      </w:r>
      <w:r w:rsidR="005B78AB" w:rsidRPr="00CE15CF">
        <w:t>a</w:t>
      </w:r>
      <w:r w:rsidRPr="00CE15CF">
        <w:t>), Sweden (2018), the Fire-Fighting Foams Coalition (FFFC, 2018) and IPEN and ACAT (2018).</w:t>
      </w:r>
    </w:p>
    <w:p w14:paraId="778A0A65" w14:textId="30A62FBC" w:rsidR="0039560D" w:rsidRPr="00CE15CF" w:rsidRDefault="0039560D" w:rsidP="00CE15CF">
      <w:pPr>
        <w:pStyle w:val="StyleHeading3h3123SecTimesNewRomanBold"/>
      </w:pPr>
      <w:bookmarkStart w:id="187" w:name="_Toc515023330"/>
      <w:bookmarkStart w:id="188" w:name="_Toc507149000"/>
      <w:bookmarkStart w:id="189" w:name="_Toc515267949"/>
      <w:bookmarkEnd w:id="187"/>
      <w:r w:rsidRPr="00CE15CF">
        <w:t>Efficacy and efficiency of possible control measures</w:t>
      </w:r>
      <w:bookmarkEnd w:id="188"/>
      <w:bookmarkEnd w:id="189"/>
    </w:p>
    <w:p w14:paraId="65D8637D" w14:textId="77777777" w:rsidR="000E1507" w:rsidRPr="00CE15CF" w:rsidRDefault="000E1507" w:rsidP="00CE15CF">
      <w:pPr>
        <w:pStyle w:val="Paralevel1"/>
      </w:pPr>
      <w:r w:rsidRPr="00CE15CF">
        <w:t xml:space="preserve">This section provides information on total quantities of PFOA-based fire-fighting foams in use, control measures adopted to limit release and details around the final destruction of fire-fighting foams containing PFOA. </w:t>
      </w:r>
    </w:p>
    <w:p w14:paraId="61F3DFBC" w14:textId="1667886F" w:rsidR="00792490" w:rsidRPr="00CE15CF" w:rsidRDefault="00792490" w:rsidP="00CE15CF">
      <w:pPr>
        <w:pStyle w:val="Heading3"/>
        <w:numPr>
          <w:ilvl w:val="0"/>
          <w:numId w:val="0"/>
        </w:numPr>
        <w:spacing w:before="240" w:after="120" w:line="240" w:lineRule="auto"/>
      </w:pPr>
      <w:bookmarkStart w:id="190" w:name="_Toc507149001"/>
      <w:bookmarkStart w:id="191" w:name="_Toc515267950"/>
      <w:r w:rsidRPr="00CE15CF">
        <w:t xml:space="preserve">Stockpiles already placed </w:t>
      </w:r>
      <w:r w:rsidR="004336E2" w:rsidRPr="00CE15CF">
        <w:t>on the</w:t>
      </w:r>
      <w:r w:rsidRPr="00CE15CF">
        <w:t xml:space="preserve"> market</w:t>
      </w:r>
      <w:bookmarkEnd w:id="190"/>
      <w:bookmarkEnd w:id="191"/>
    </w:p>
    <w:p w14:paraId="6B867D06" w14:textId="2541F906" w:rsidR="00D563D5" w:rsidRPr="00CE15CF" w:rsidRDefault="000E1507" w:rsidP="00CE15CF">
      <w:pPr>
        <w:pStyle w:val="Paralevel1"/>
      </w:pPr>
      <w:r w:rsidRPr="00CE15CF">
        <w:t xml:space="preserve">The </w:t>
      </w:r>
      <w:r w:rsidR="00C34465" w:rsidRPr="00CE15CF">
        <w:t>Fire-fighting</w:t>
      </w:r>
      <w:r w:rsidRPr="00CE15CF">
        <w:t xml:space="preserve"> Foam Coalition </w:t>
      </w:r>
      <w:r w:rsidR="004840B7" w:rsidRPr="00CE15CF">
        <w:t>industry association</w:t>
      </w:r>
      <w:r w:rsidRPr="00CE15CF">
        <w:t xml:space="preserve"> (</w:t>
      </w:r>
      <w:r w:rsidR="00BB581C" w:rsidRPr="00CE15CF">
        <w:t xml:space="preserve">FFFC, </w:t>
      </w:r>
      <w:r w:rsidRPr="00CE15CF">
        <w:t xml:space="preserve">2004 and </w:t>
      </w:r>
      <w:r w:rsidR="00BB581C" w:rsidRPr="00CE15CF">
        <w:t xml:space="preserve">FFFC, </w:t>
      </w:r>
      <w:r w:rsidRPr="00CE15CF">
        <w:t>2011) provide details of an inventory for PFOS based AFFF fire-fighting foams in the USA</w:t>
      </w:r>
      <w:r w:rsidR="001C5241" w:rsidRPr="00CE15CF">
        <w:t xml:space="preserve"> as a potential proxy for quantities of PFOA within fire-fighting foam</w:t>
      </w:r>
      <w:r w:rsidR="003A429A" w:rsidRPr="00CE15CF">
        <w:t xml:space="preserve"> </w:t>
      </w:r>
      <w:r w:rsidR="001C5241" w:rsidRPr="00CE15CF">
        <w:t>s</w:t>
      </w:r>
      <w:r w:rsidR="003A429A" w:rsidRPr="00CE15CF">
        <w:t>tockpiles</w:t>
      </w:r>
      <w:r w:rsidR="001C5241" w:rsidRPr="00CE15CF">
        <w:t xml:space="preserve"> </w:t>
      </w:r>
      <w:proofErr w:type="gramStart"/>
      <w:r w:rsidR="001C5241" w:rsidRPr="00CE15CF">
        <w:t>assuming that</w:t>
      </w:r>
      <w:proofErr w:type="gramEnd"/>
      <w:r w:rsidR="001C5241" w:rsidRPr="00CE15CF">
        <w:t xml:space="preserve"> both PFOS and PFOA have been used within C</w:t>
      </w:r>
      <w:r w:rsidR="001C5241" w:rsidRPr="00CE15CF">
        <w:rPr>
          <w:vertAlign w:val="subscript"/>
        </w:rPr>
        <w:t>8</w:t>
      </w:r>
      <w:r w:rsidR="001C5241" w:rsidRPr="00CE15CF">
        <w:t xml:space="preserve"> </w:t>
      </w:r>
      <w:proofErr w:type="spellStart"/>
      <w:r w:rsidR="001C5241" w:rsidRPr="00CE15CF">
        <w:t>perfluorinated</w:t>
      </w:r>
      <w:proofErr w:type="spellEnd"/>
      <w:r w:rsidR="001C5241" w:rsidRPr="00CE15CF">
        <w:t xml:space="preserve"> products. </w:t>
      </w:r>
      <w:r w:rsidR="00F07615" w:rsidRPr="00CE15CF">
        <w:t xml:space="preserve">The inventory </w:t>
      </w:r>
      <w:r w:rsidR="004336E2" w:rsidRPr="00CE15CF">
        <w:t>indicates</w:t>
      </w:r>
      <w:r w:rsidR="00F07615" w:rsidRPr="00CE15CF">
        <w:t xml:space="preserve"> that primary use of PFOS based fire-fighting foams was at installations where oil fires were possible, primarily military installations, </w:t>
      </w:r>
      <w:proofErr w:type="spellStart"/>
      <w:r w:rsidR="00F07615" w:rsidRPr="00CE15CF">
        <w:t>petro</w:t>
      </w:r>
      <w:proofErr w:type="spellEnd"/>
      <w:r w:rsidR="00F07615" w:rsidRPr="00CE15CF">
        <w:t xml:space="preserve">-chemical </w:t>
      </w:r>
      <w:r w:rsidR="00721534" w:rsidRPr="00CE15CF">
        <w:t xml:space="preserve">facilities </w:t>
      </w:r>
      <w:r w:rsidR="00F07615" w:rsidRPr="00CE15CF">
        <w:t xml:space="preserve">and oil refineries. In 2011 the USA PFOS based AFFF inventory </w:t>
      </w:r>
      <w:r w:rsidR="00721534" w:rsidRPr="00CE15CF">
        <w:t>records</w:t>
      </w:r>
      <w:r w:rsidR="00F07615" w:rsidRPr="00CE15CF">
        <w:t xml:space="preserve"> remaining stocks of in-use PFOS based AFFF concentrate as 3.3 million gallons (12.5 million litres)</w:t>
      </w:r>
      <w:r w:rsidR="00B65A16" w:rsidRPr="00CE15CF">
        <w:t xml:space="preserve"> assuming similar quantities of PFOA based AFFF stockpiles</w:t>
      </w:r>
      <w:r w:rsidR="00F07615" w:rsidRPr="00CE15CF">
        <w:t>.</w:t>
      </w:r>
      <w:r w:rsidR="003A429A" w:rsidRPr="00CE15CF">
        <w:t xml:space="preserve"> As an alternative estimate Norway (2007) </w:t>
      </w:r>
      <w:r w:rsidR="00773146" w:rsidRPr="00CE15CF">
        <w:t xml:space="preserve">provides commentary on a global inventory </w:t>
      </w:r>
      <w:proofErr w:type="gramStart"/>
      <w:r w:rsidR="00773146" w:rsidRPr="00CE15CF">
        <w:t>for the production of</w:t>
      </w:r>
      <w:proofErr w:type="gramEnd"/>
      <w:r w:rsidR="00773146" w:rsidRPr="00CE15CF">
        <w:t xml:space="preserve"> APFO, the primary ammonium salt of PFOA used within AFFF fire-fighting foams. The estimates by </w:t>
      </w:r>
      <w:proofErr w:type="spellStart"/>
      <w:r w:rsidR="00773146" w:rsidRPr="00CE15CF">
        <w:t>Prevedouros</w:t>
      </w:r>
      <w:proofErr w:type="spellEnd"/>
      <w:r w:rsidR="00773146" w:rsidRPr="00CE15CF">
        <w:t xml:space="preserve"> et al</w:t>
      </w:r>
      <w:r w:rsidR="002140CD" w:rsidRPr="00CE15CF">
        <w:t>.</w:t>
      </w:r>
      <w:r w:rsidR="00773146" w:rsidRPr="00CE15CF">
        <w:t xml:space="preserve"> (2006) which are quoted in Norway (2007) state that between 1951–2004 global production of APFO was between 3,600–5,700 tonnes.</w:t>
      </w:r>
      <w:r w:rsidR="00B65A16" w:rsidRPr="00CE15CF">
        <w:t xml:space="preserve"> </w:t>
      </w:r>
      <w:proofErr w:type="spellStart"/>
      <w:r w:rsidR="00D563D5" w:rsidRPr="00CE15CF">
        <w:t>Prevedouros</w:t>
      </w:r>
      <w:proofErr w:type="spellEnd"/>
      <w:r w:rsidR="00D563D5" w:rsidRPr="00CE15CF">
        <w:t xml:space="preserve"> (2006) further comments that the concentration of PFCAs within AFFF foams was between 0.1 and 1% </w:t>
      </w:r>
      <w:proofErr w:type="spellStart"/>
      <w:r w:rsidR="00D563D5" w:rsidRPr="00CE15CF">
        <w:t>wt</w:t>
      </w:r>
      <w:proofErr w:type="spellEnd"/>
      <w:r w:rsidR="00D563D5" w:rsidRPr="00CE15CF">
        <w:t>/</w:t>
      </w:r>
      <w:proofErr w:type="spellStart"/>
      <w:r w:rsidR="00D563D5" w:rsidRPr="00CE15CF">
        <w:t>wt</w:t>
      </w:r>
      <w:proofErr w:type="spellEnd"/>
      <w:r w:rsidR="00D563D5" w:rsidRPr="00CE15CF">
        <w:t xml:space="preserve"> of the concentrate, with PFO making the largest proportion. As an alternate estimate, </w:t>
      </w:r>
      <w:proofErr w:type="spellStart"/>
      <w:r w:rsidR="00B65A16" w:rsidRPr="00CE15CF" w:rsidDel="003A429A">
        <w:t>Sontake</w:t>
      </w:r>
      <w:proofErr w:type="spellEnd"/>
      <w:r w:rsidR="00B65A16" w:rsidRPr="00CE15CF" w:rsidDel="003A429A">
        <w:t xml:space="preserve"> and </w:t>
      </w:r>
      <w:proofErr w:type="spellStart"/>
      <w:r w:rsidR="00B65A16" w:rsidRPr="00CE15CF" w:rsidDel="003A429A">
        <w:t>Wagh</w:t>
      </w:r>
      <w:proofErr w:type="spellEnd"/>
      <w:r w:rsidR="00B65A16" w:rsidRPr="00CE15CF" w:rsidDel="003A429A">
        <w:t xml:space="preserve"> (2014) commented that AFFF</w:t>
      </w:r>
      <w:r w:rsidR="00D563D5" w:rsidRPr="00CE15CF">
        <w:t xml:space="preserve"> concentrates were mixed with water at point of use, with typical application rates of 1, 3 or 6% </w:t>
      </w:r>
      <w:proofErr w:type="spellStart"/>
      <w:r w:rsidR="00D563D5" w:rsidRPr="00CE15CF">
        <w:t>wt</w:t>
      </w:r>
      <w:proofErr w:type="spellEnd"/>
      <w:r w:rsidR="00D563D5" w:rsidRPr="00CE15CF">
        <w:t>/</w:t>
      </w:r>
      <w:proofErr w:type="spellStart"/>
      <w:r w:rsidR="00D563D5" w:rsidRPr="00CE15CF">
        <w:t>wt</w:t>
      </w:r>
      <w:proofErr w:type="spellEnd"/>
      <w:r w:rsidR="00D563D5" w:rsidRPr="00CE15CF">
        <w:t xml:space="preserve"> concentrate, which meant that at the point of use (post mixing) PFOS concentrations were at 0.03 – 0.45% </w:t>
      </w:r>
      <w:proofErr w:type="spellStart"/>
      <w:r w:rsidR="00D563D5" w:rsidRPr="00CE15CF">
        <w:t>wt</w:t>
      </w:r>
      <w:proofErr w:type="spellEnd"/>
      <w:r w:rsidR="00D563D5" w:rsidRPr="00CE15CF">
        <w:t>/</w:t>
      </w:r>
      <w:proofErr w:type="spellStart"/>
      <w:r w:rsidR="00D563D5" w:rsidRPr="00CE15CF">
        <w:t>wt</w:t>
      </w:r>
      <w:proofErr w:type="spellEnd"/>
      <w:r w:rsidR="00D563D5" w:rsidRPr="00CE15CF">
        <w:t xml:space="preserve"> of the applied foam.</w:t>
      </w:r>
      <w:r w:rsidR="00B65A16" w:rsidRPr="00CE15CF" w:rsidDel="003A429A">
        <w:t xml:space="preserve"> </w:t>
      </w:r>
    </w:p>
    <w:p w14:paraId="4DEF3B76" w14:textId="40349084" w:rsidR="00787B5C" w:rsidRPr="00CE15CF" w:rsidRDefault="00D563D5" w:rsidP="00CE15CF">
      <w:pPr>
        <w:pStyle w:val="Paralevel1"/>
      </w:pPr>
      <w:r w:rsidRPr="00CE15CF">
        <w:t>Taking a worst case scenario where all PFCA within the AFFF is PFOA/PFOA-related compound, b</w:t>
      </w:r>
      <w:r w:rsidR="00B65A16" w:rsidRPr="00CE15CF">
        <w:t xml:space="preserve">ased on active concentrations of </w:t>
      </w:r>
      <w:r w:rsidRPr="00CE15CF">
        <w:t>0.1 to 1</w:t>
      </w:r>
      <w:r w:rsidR="00B65A16" w:rsidRPr="00CE15CF">
        <w:t>% APFO within AFFF fire-fighting foams</w:t>
      </w:r>
      <w:r w:rsidR="00F62AB3" w:rsidRPr="00CE15CF">
        <w:t>,</w:t>
      </w:r>
      <w:r w:rsidR="00B65A16" w:rsidRPr="00CE15CF">
        <w:t xml:space="preserve"> the global production estimates from </w:t>
      </w:r>
      <w:proofErr w:type="spellStart"/>
      <w:r w:rsidR="00B65A16" w:rsidRPr="00CE15CF">
        <w:t>Prevedouros</w:t>
      </w:r>
      <w:proofErr w:type="spellEnd"/>
      <w:r w:rsidR="00B65A16" w:rsidRPr="00CE15CF">
        <w:t xml:space="preserve"> et al</w:t>
      </w:r>
      <w:r w:rsidR="002140CD" w:rsidRPr="00CE15CF">
        <w:t>.</w:t>
      </w:r>
      <w:r w:rsidR="00B65A16" w:rsidRPr="00CE15CF">
        <w:t xml:space="preserve"> (2006), </w:t>
      </w:r>
      <w:r w:rsidR="00F62AB3" w:rsidRPr="00CE15CF">
        <w:t xml:space="preserve">and assumption that all APFO produced is used in fire-fighting foams </w:t>
      </w:r>
      <w:r w:rsidR="00B65A16" w:rsidRPr="00CE15CF">
        <w:t xml:space="preserve">gives an estimate of global AFFF concentrates containing APFO produced between 1951–2004 as between </w:t>
      </w:r>
      <w:r w:rsidRPr="00CE15CF">
        <w:t>309</w:t>
      </w:r>
      <w:r w:rsidR="00B65A16" w:rsidRPr="00CE15CF">
        <w:t xml:space="preserve"> million litres and 490</w:t>
      </w:r>
      <w:r w:rsidRPr="00CE15CF">
        <w:t>1</w:t>
      </w:r>
      <w:r w:rsidR="00B65A16" w:rsidRPr="00CE15CF">
        <w:t xml:space="preserve"> million litres</w:t>
      </w:r>
      <w:r w:rsidR="00BA588E" w:rsidRPr="00CE15CF">
        <w:t>.</w:t>
      </w:r>
      <w:r w:rsidR="00B65A16" w:rsidRPr="00CE15CF">
        <w:rPr>
          <w:rStyle w:val="FootnoteReference"/>
        </w:rPr>
        <w:footnoteReference w:id="51"/>
      </w:r>
      <w:r w:rsidR="0068316F" w:rsidRPr="00CE15CF">
        <w:t xml:space="preserve"> </w:t>
      </w:r>
      <w:r w:rsidR="00787B5C" w:rsidRPr="00CE15CF">
        <w:t xml:space="preserve">This would equate to an average annual production of between </w:t>
      </w:r>
      <w:r w:rsidRPr="00CE15CF">
        <w:t>6</w:t>
      </w:r>
      <w:r w:rsidR="00787B5C" w:rsidRPr="00CE15CF">
        <w:t xml:space="preserve"> and 9</w:t>
      </w:r>
      <w:r w:rsidRPr="00CE15CF">
        <w:t>6</w:t>
      </w:r>
      <w:r w:rsidR="00787B5C" w:rsidRPr="00CE15CF">
        <w:t xml:space="preserve"> million litres of APFO based AFFF concentrate per annum. </w:t>
      </w:r>
      <w:r w:rsidR="003C1048" w:rsidRPr="00CE15CF">
        <w:t>Assuming the</w:t>
      </w:r>
      <w:r w:rsidR="00D6129E" w:rsidRPr="00CE15CF">
        <w:t xml:space="preserve"> shelf life of AFFF is between 10 and 25 years (</w:t>
      </w:r>
      <w:proofErr w:type="spellStart"/>
      <w:r w:rsidR="00D6129E" w:rsidRPr="00CE15CF">
        <w:t>FluoroCouncil</w:t>
      </w:r>
      <w:proofErr w:type="spellEnd"/>
      <w:r w:rsidR="00D6129E" w:rsidRPr="00CE15CF">
        <w:t xml:space="preserve">, 2018), </w:t>
      </w:r>
      <w:r w:rsidR="003C1048" w:rsidRPr="00CE15CF">
        <w:t xml:space="preserve">this would equate to remaining global stockpiles of between </w:t>
      </w:r>
      <w:r w:rsidRPr="00CE15CF">
        <w:t>60</w:t>
      </w:r>
      <w:r w:rsidR="003C1048" w:rsidRPr="00CE15CF">
        <w:t xml:space="preserve"> and </w:t>
      </w:r>
      <w:r w:rsidRPr="00CE15CF">
        <w:t>2,400</w:t>
      </w:r>
      <w:r w:rsidR="003C1048" w:rsidRPr="00CE15CF">
        <w:t xml:space="preserve"> million litres of APFO based concentrate.</w:t>
      </w:r>
    </w:p>
    <w:p w14:paraId="5F1773B3" w14:textId="680F8016" w:rsidR="000E1507" w:rsidRPr="00CE15CF" w:rsidRDefault="0068316F" w:rsidP="00CE15CF">
      <w:pPr>
        <w:pStyle w:val="Paralevel1"/>
      </w:pPr>
      <w:r w:rsidRPr="00CE15CF">
        <w:t>Armitage et al</w:t>
      </w:r>
      <w:r w:rsidR="002140CD" w:rsidRPr="00CE15CF">
        <w:t>.</w:t>
      </w:r>
      <w:r w:rsidRPr="00CE15CF">
        <w:t xml:space="preserve"> (2006) also quoted </w:t>
      </w:r>
      <w:r w:rsidR="00721534" w:rsidRPr="00CE15CF">
        <w:t>by</w:t>
      </w:r>
      <w:r w:rsidRPr="00CE15CF">
        <w:t xml:space="preserve"> Norway (2007) comments that the estimated environmental emissions of PFOA-related compounds from ECF based manufacture of C</w:t>
      </w:r>
      <w:r w:rsidRPr="00CE15CF">
        <w:rPr>
          <w:vertAlign w:val="subscript"/>
        </w:rPr>
        <w:t>8</w:t>
      </w:r>
      <w:r w:rsidRPr="00CE15CF">
        <w:t xml:space="preserve"> </w:t>
      </w:r>
      <w:proofErr w:type="spellStart"/>
      <w:r w:rsidRPr="00CE15CF">
        <w:t>perfluorinated</w:t>
      </w:r>
      <w:proofErr w:type="spellEnd"/>
      <w:r w:rsidRPr="00CE15CF">
        <w:t xml:space="preserve"> AFFF between 1951 and 2004 was </w:t>
      </w:r>
      <w:r w:rsidR="00370BD5">
        <w:br/>
      </w:r>
      <w:r w:rsidRPr="00CE15CF">
        <w:t>50–100 tonnes, with the largest emissions linked to manufacture of APFO itself (2,060–4,090 tonnes of PFOA between 1951-2004).</w:t>
      </w:r>
    </w:p>
    <w:p w14:paraId="21BE77FD" w14:textId="199FE541" w:rsidR="000E1507" w:rsidRPr="00CE15CF" w:rsidRDefault="00F63A29" w:rsidP="00CE15CF">
      <w:pPr>
        <w:pStyle w:val="Paralevel1"/>
      </w:pPr>
      <w:r w:rsidRPr="00CE15CF">
        <w:t>ECHA</w:t>
      </w:r>
      <w:r w:rsidR="000E1507" w:rsidRPr="00CE15CF">
        <w:t xml:space="preserve"> (ECHA, 2014</w:t>
      </w:r>
      <w:r w:rsidR="00BB581C" w:rsidRPr="00CE15CF">
        <w:t>a</w:t>
      </w:r>
      <w:r w:rsidR="000E1507" w:rsidRPr="00CE15CF">
        <w:t>) estimated that 50</w:t>
      </w:r>
      <w:r w:rsidR="00F50FC2" w:rsidRPr="00CE15CF">
        <w:t>–</w:t>
      </w:r>
      <w:r w:rsidR="000E1507" w:rsidRPr="00CE15CF">
        <w:t xml:space="preserve">100 tonnes of PFOA-related compounds (CAS </w:t>
      </w:r>
      <w:r w:rsidR="001F1FD2" w:rsidRPr="00CE15CF">
        <w:t xml:space="preserve">No: </w:t>
      </w:r>
      <w:r w:rsidR="000E1507" w:rsidRPr="00CE15CF">
        <w:t>70969-47-0</w:t>
      </w:r>
      <w:r w:rsidR="00327C65" w:rsidRPr="00CE15CF">
        <w:t>;</w:t>
      </w:r>
      <w:r w:rsidR="000E1507" w:rsidRPr="00CE15CF">
        <w:t xml:space="preserve"> </w:t>
      </w:r>
      <w:r w:rsidR="00370BD5">
        <w:br/>
      </w:r>
      <w:r w:rsidR="000E1507" w:rsidRPr="00CE15CF">
        <w:t>C</w:t>
      </w:r>
      <w:r w:rsidR="000E1507" w:rsidRPr="00CE15CF">
        <w:rPr>
          <w:vertAlign w:val="subscript"/>
        </w:rPr>
        <w:t>8</w:t>
      </w:r>
      <w:r w:rsidR="000E1507" w:rsidRPr="00CE15CF">
        <w:t>-C</w:t>
      </w:r>
      <w:r w:rsidR="000E1507" w:rsidRPr="00CE15CF">
        <w:rPr>
          <w:vertAlign w:val="subscript"/>
        </w:rPr>
        <w:t>20</w:t>
      </w:r>
      <w:r w:rsidR="000E1507" w:rsidRPr="00CE15CF">
        <w:t xml:space="preserve">-ω-perfluoro telomer thiols with acrylamide) were in use for fire-fighting foams in 2014. This was based on </w:t>
      </w:r>
      <w:r w:rsidR="000E1507" w:rsidRPr="00CE15CF">
        <w:lastRenderedPageBreak/>
        <w:t>data from the Norwegian product register and extrapolated to EU-wide quantities based on population</w:t>
      </w:r>
      <w:r w:rsidR="00073478" w:rsidRPr="00CE15CF">
        <w:t>, and provides an order of magnitude estimate due to uncertainties arising from the method</w:t>
      </w:r>
      <w:r w:rsidR="000E1507" w:rsidRPr="00CE15CF">
        <w:t>. The EU report (ECHA, 2014</w:t>
      </w:r>
      <w:r w:rsidR="00BB581C" w:rsidRPr="00CE15CF">
        <w:t>a</w:t>
      </w:r>
      <w:r w:rsidR="000E1507" w:rsidRPr="00CE15CF">
        <w:t xml:space="preserve">) assumes similar concentrations for PFOA in mixed foams. For means of comparison with the US inventory </w:t>
      </w:r>
      <w:r w:rsidR="00F01F9A" w:rsidRPr="00CE15CF">
        <w:t xml:space="preserve">and APFO extrapolation, </w:t>
      </w:r>
      <w:r w:rsidR="000E1507" w:rsidRPr="00CE15CF">
        <w:t>this quantity has been converted into US gallons</w:t>
      </w:r>
      <w:r w:rsidR="000E1507" w:rsidRPr="00CE15CF">
        <w:rPr>
          <w:rStyle w:val="FootnoteReference"/>
        </w:rPr>
        <w:footnoteReference w:id="52"/>
      </w:r>
      <w:r w:rsidR="000E1507" w:rsidRPr="00CE15CF">
        <w:t xml:space="preserve"> </w:t>
      </w:r>
      <w:r w:rsidR="00F01F9A" w:rsidRPr="00CE15CF">
        <w:t xml:space="preserve">and litres </w:t>
      </w:r>
      <w:r w:rsidR="000E1507" w:rsidRPr="00CE15CF">
        <w:t xml:space="preserve">based on the active concentration of </w:t>
      </w:r>
      <w:r w:rsidR="00BB48FF" w:rsidRPr="00CE15CF">
        <w:t>0.</w:t>
      </w:r>
      <w:r w:rsidR="000E1507" w:rsidRPr="00CE15CF">
        <w:t xml:space="preserve">1 – </w:t>
      </w:r>
      <w:r w:rsidR="00BB48FF" w:rsidRPr="00CE15CF">
        <w:t>1</w:t>
      </w:r>
      <w:r w:rsidR="000E1507" w:rsidRPr="00CE15CF">
        <w:t xml:space="preserve">% </w:t>
      </w:r>
      <w:proofErr w:type="spellStart"/>
      <w:r w:rsidR="000E1507" w:rsidRPr="00CE15CF">
        <w:t>wt</w:t>
      </w:r>
      <w:proofErr w:type="spellEnd"/>
      <w:r w:rsidR="000E1507" w:rsidRPr="00CE15CF">
        <w:t>/</w:t>
      </w:r>
      <w:proofErr w:type="spellStart"/>
      <w:r w:rsidR="000E1507" w:rsidRPr="00CE15CF">
        <w:t>wt</w:t>
      </w:r>
      <w:proofErr w:type="spellEnd"/>
      <w:r w:rsidR="000E1507" w:rsidRPr="00CE15CF">
        <w:t xml:space="preserve"> in fire-fighting foam</w:t>
      </w:r>
      <w:r w:rsidR="00BB48FF" w:rsidRPr="00CE15CF">
        <w:t xml:space="preserve"> concentrate</w:t>
      </w:r>
      <w:r w:rsidR="000E1507" w:rsidRPr="00CE15CF">
        <w:t xml:space="preserve">s. This would equate to between </w:t>
      </w:r>
      <w:r w:rsidR="00D76003" w:rsidRPr="00CE15CF">
        <w:t>1</w:t>
      </w:r>
      <w:r w:rsidR="000E1507" w:rsidRPr="00CE15CF">
        <w:t>.2 - 2</w:t>
      </w:r>
      <w:r w:rsidR="00D76003" w:rsidRPr="00CE15CF">
        <w:t>3</w:t>
      </w:r>
      <w:r w:rsidR="000E1507" w:rsidRPr="00CE15CF">
        <w:t>.</w:t>
      </w:r>
      <w:r w:rsidR="00D76003" w:rsidRPr="00CE15CF">
        <w:t>6</w:t>
      </w:r>
      <w:r w:rsidR="000E1507" w:rsidRPr="00CE15CF">
        <w:t xml:space="preserve"> million gallons </w:t>
      </w:r>
      <w:r w:rsidR="001F7967" w:rsidRPr="00CE15CF">
        <w:t>(</w:t>
      </w:r>
      <w:r w:rsidR="00D76003" w:rsidRPr="00CE15CF">
        <w:t>4.5</w:t>
      </w:r>
      <w:r w:rsidR="001F7967" w:rsidRPr="00CE15CF">
        <w:t xml:space="preserve"> – </w:t>
      </w:r>
      <w:r w:rsidR="00D76003" w:rsidRPr="00CE15CF">
        <w:t>89.3</w:t>
      </w:r>
      <w:r w:rsidR="001F7967" w:rsidRPr="00CE15CF">
        <w:t xml:space="preserve"> million litres) </w:t>
      </w:r>
      <w:r w:rsidR="000E1507" w:rsidRPr="00CE15CF">
        <w:t>of fire-fighting foams in Europe containing PFOA-related compounds.</w:t>
      </w:r>
    </w:p>
    <w:p w14:paraId="230DF636" w14:textId="28CC4873" w:rsidR="000E1507" w:rsidRPr="00CE15CF" w:rsidRDefault="000E1507" w:rsidP="00CE15CF">
      <w:pPr>
        <w:pStyle w:val="Paralevel1"/>
      </w:pPr>
      <w:r w:rsidRPr="00CE15CF">
        <w:t xml:space="preserve">Belarus (2018) noted that PFOA based AFFF foams are not used in Belarus, with the main product in use being a </w:t>
      </w:r>
      <w:proofErr w:type="spellStart"/>
      <w:r w:rsidRPr="00CE15CF">
        <w:t>Fluoro</w:t>
      </w:r>
      <w:proofErr w:type="spellEnd"/>
      <w:r w:rsidRPr="00CE15CF">
        <w:t xml:space="preserve"> telomer (C6:2) product called </w:t>
      </w:r>
      <w:proofErr w:type="spellStart"/>
      <w:r w:rsidRPr="00CE15CF">
        <w:t>Forafac</w:t>
      </w:r>
      <w:proofErr w:type="spellEnd"/>
      <w:r w:rsidRPr="00CE15CF">
        <w:t xml:space="preserve"> 1157. </w:t>
      </w:r>
      <w:r w:rsidR="00E22DF5" w:rsidRPr="00CE15CF">
        <w:t xml:space="preserve">The </w:t>
      </w:r>
      <w:proofErr w:type="spellStart"/>
      <w:r w:rsidR="00E22DF5" w:rsidRPr="00CE15CF">
        <w:t>FluoroCouncil</w:t>
      </w:r>
      <w:proofErr w:type="spellEnd"/>
      <w:r w:rsidR="00E22DF5" w:rsidRPr="00CE15CF">
        <w:t xml:space="preserve"> (2018b) further comment that </w:t>
      </w:r>
      <w:proofErr w:type="spellStart"/>
      <w:r w:rsidR="00E22DF5" w:rsidRPr="00CE15CF">
        <w:t>Forafac</w:t>
      </w:r>
      <w:proofErr w:type="spellEnd"/>
      <w:r w:rsidR="00E22DF5" w:rsidRPr="00CE15CF">
        <w:t xml:space="preserve"> 1157 has been replaced on the market by Capstone 1157, which has a highly purified C</w:t>
      </w:r>
      <w:r w:rsidR="00E22DF5" w:rsidRPr="00CE15CF">
        <w:rPr>
          <w:vertAlign w:val="subscript"/>
        </w:rPr>
        <w:t>6</w:t>
      </w:r>
      <w:r w:rsidR="00E22DF5" w:rsidRPr="00CE15CF">
        <w:t xml:space="preserve">-based product. </w:t>
      </w:r>
      <w:proofErr w:type="spellStart"/>
      <w:r w:rsidR="00E22DF5" w:rsidRPr="00CE15CF">
        <w:t>Forafac</w:t>
      </w:r>
      <w:proofErr w:type="spellEnd"/>
      <w:r w:rsidR="00E22DF5" w:rsidRPr="00CE15CF">
        <w:t xml:space="preserve"> 1157 is also</w:t>
      </w:r>
      <w:r w:rsidRPr="00CE15CF">
        <w:t xml:space="preserve"> used in Russia.</w:t>
      </w:r>
    </w:p>
    <w:p w14:paraId="3F8B69A2" w14:textId="5FC45683" w:rsidR="00710EB3" w:rsidRPr="00CE15CF" w:rsidRDefault="00333A81" w:rsidP="00CE15CF">
      <w:pPr>
        <w:pStyle w:val="Paralevel1"/>
      </w:pPr>
      <w:r w:rsidRPr="00CE15CF">
        <w:t xml:space="preserve">Australia (2018) comments that Australia has never manufactured PFOA or its precursor APFO. However, Australia has imported AFFF foams in the past that contained PFOA-related compounds. The import equated to approximately 48 </w:t>
      </w:r>
      <w:proofErr w:type="spellStart"/>
      <w:r w:rsidRPr="00CE15CF">
        <w:t>gram</w:t>
      </w:r>
      <w:r w:rsidR="00721534" w:rsidRPr="00CE15CF">
        <w:t>me</w:t>
      </w:r>
      <w:r w:rsidRPr="00CE15CF">
        <w:t>s</w:t>
      </w:r>
      <w:proofErr w:type="spellEnd"/>
      <w:r w:rsidRPr="00CE15CF">
        <w:t xml:space="preserve"> and 0.6 </w:t>
      </w:r>
      <w:proofErr w:type="spellStart"/>
      <w:r w:rsidRPr="00CE15CF">
        <w:t>gram</w:t>
      </w:r>
      <w:r w:rsidR="00721534" w:rsidRPr="00CE15CF">
        <w:t>me</w:t>
      </w:r>
      <w:r w:rsidRPr="00CE15CF">
        <w:t>s</w:t>
      </w:r>
      <w:proofErr w:type="spellEnd"/>
      <w:r w:rsidRPr="00CE15CF">
        <w:t xml:space="preserve"> of PFOA in 2002 and 2003 respectively. Import was discontinued after 2003. </w:t>
      </w:r>
      <w:r w:rsidR="0021380A" w:rsidRPr="00CE15CF">
        <w:t xml:space="preserve">A letter from the </w:t>
      </w:r>
      <w:proofErr w:type="spellStart"/>
      <w:r w:rsidR="0021380A" w:rsidRPr="00CE15CF">
        <w:t>Airservices</w:t>
      </w:r>
      <w:proofErr w:type="spellEnd"/>
      <w:r w:rsidR="0021380A" w:rsidRPr="00CE15CF">
        <w:t xml:space="preserve"> Australia (Australia, 2016b) notes that some 260 airports and aerodromes exist across Australia</w:t>
      </w:r>
      <w:r w:rsidR="009E6417" w:rsidRPr="00CE15CF">
        <w:t>.</w:t>
      </w:r>
      <w:r w:rsidR="0021380A" w:rsidRPr="00CE15CF">
        <w:t xml:space="preserve"> </w:t>
      </w:r>
      <w:r w:rsidR="009E6417" w:rsidRPr="00CE15CF">
        <w:t>W</w:t>
      </w:r>
      <w:r w:rsidR="0021380A" w:rsidRPr="00CE15CF">
        <w:t xml:space="preserve">hile efforts have been made to remove PFOS and PFOA based AFFF from service, </w:t>
      </w:r>
      <w:proofErr w:type="spellStart"/>
      <w:r w:rsidR="0021380A" w:rsidRPr="00CE15CF">
        <w:t>Airservices</w:t>
      </w:r>
      <w:proofErr w:type="spellEnd"/>
      <w:r w:rsidR="0021380A" w:rsidRPr="00CE15CF">
        <w:t xml:space="preserve"> Australia acknowledged that some tenants at hangars and fuel depots may still have PFOS/PFOA based foams within fire suppression systems. Discussions were underway to best manage the disposal of these stockpiles. </w:t>
      </w:r>
      <w:proofErr w:type="spellStart"/>
      <w:r w:rsidR="000E1507" w:rsidRPr="00CE15CF">
        <w:t>Seow</w:t>
      </w:r>
      <w:proofErr w:type="spellEnd"/>
      <w:r w:rsidR="000E1507" w:rsidRPr="00CE15CF">
        <w:t xml:space="preserve"> (2013) </w:t>
      </w:r>
      <w:r w:rsidR="00677957" w:rsidRPr="00CE15CF">
        <w:t xml:space="preserve">further </w:t>
      </w:r>
      <w:r w:rsidR="000E1507" w:rsidRPr="00CE15CF">
        <w:t xml:space="preserve">comments </w:t>
      </w:r>
      <w:r w:rsidR="00677957" w:rsidRPr="00CE15CF">
        <w:t>based on a 2009 NICNAS survey that while imports of new stocks had ceased, stockpiles of C</w:t>
      </w:r>
      <w:r w:rsidR="00677957" w:rsidRPr="00CE15CF">
        <w:rPr>
          <w:vertAlign w:val="subscript"/>
        </w:rPr>
        <w:t>8</w:t>
      </w:r>
      <w:r w:rsidR="00677957" w:rsidRPr="00CE15CF">
        <w:t xml:space="preserve"> </w:t>
      </w:r>
      <w:proofErr w:type="spellStart"/>
      <w:r w:rsidR="00677957" w:rsidRPr="00CE15CF">
        <w:t>perfluorinated</w:t>
      </w:r>
      <w:proofErr w:type="spellEnd"/>
      <w:r w:rsidR="00677957" w:rsidRPr="00CE15CF">
        <w:t xml:space="preserve"> AFFF continue to exist in Australia (largely dominated by PFOS); however, </w:t>
      </w:r>
      <w:proofErr w:type="spellStart"/>
      <w:r w:rsidR="00677957" w:rsidRPr="00CE15CF">
        <w:t>Seow</w:t>
      </w:r>
      <w:proofErr w:type="spellEnd"/>
      <w:r w:rsidR="00677957" w:rsidRPr="00CE15CF">
        <w:t xml:space="preserve"> (2013) also noted there had been a shift by industry to make use of shorter chain (C</w:t>
      </w:r>
      <w:r w:rsidR="00677957" w:rsidRPr="00CE15CF">
        <w:rPr>
          <w:vertAlign w:val="subscript"/>
        </w:rPr>
        <w:t>4</w:t>
      </w:r>
      <w:r w:rsidR="00677957" w:rsidRPr="00CE15CF">
        <w:t>–C</w:t>
      </w:r>
      <w:r w:rsidR="00677957" w:rsidRPr="00CE15CF">
        <w:rPr>
          <w:vertAlign w:val="subscript"/>
        </w:rPr>
        <w:t>6</w:t>
      </w:r>
      <w:r w:rsidR="00677957" w:rsidRPr="00CE15CF">
        <w:t xml:space="preserve">) </w:t>
      </w:r>
      <w:proofErr w:type="spellStart"/>
      <w:r w:rsidR="00677957" w:rsidRPr="00CE15CF">
        <w:t>perfluorinated</w:t>
      </w:r>
      <w:proofErr w:type="spellEnd"/>
      <w:r w:rsidR="00677957" w:rsidRPr="00CE15CF">
        <w:t xml:space="preserve"> compounds (produced by telomerisation) or </w:t>
      </w:r>
      <w:proofErr w:type="spellStart"/>
      <w:r w:rsidR="00677957" w:rsidRPr="00CE15CF">
        <w:t>perfluorobutane</w:t>
      </w:r>
      <w:proofErr w:type="spellEnd"/>
      <w:r w:rsidR="00677957" w:rsidRPr="00CE15CF">
        <w:t xml:space="preserve"> </w:t>
      </w:r>
      <w:proofErr w:type="spellStart"/>
      <w:r w:rsidR="00677957" w:rsidRPr="00CE15CF">
        <w:t>sulphonates</w:t>
      </w:r>
      <w:proofErr w:type="spellEnd"/>
      <w:r w:rsidR="00677957" w:rsidRPr="00CE15CF">
        <w:t xml:space="preserve"> (PFBS) in fire-fighting foam. </w:t>
      </w:r>
    </w:p>
    <w:p w14:paraId="67BA7405" w14:textId="272DEB35" w:rsidR="00CB6638" w:rsidRPr="00CE15CF" w:rsidRDefault="00CB6638" w:rsidP="00CE15CF">
      <w:pPr>
        <w:pStyle w:val="Paralevel1"/>
      </w:pPr>
      <w:r w:rsidRPr="00CE15CF">
        <w:t xml:space="preserve">Concentrations of PFASs in AFFF obtained 2012/2013 on the Swiss market (n = 35) were significantly smaller compared to samples (n = 27) taken from fire installations from industrial sites with the last filling date in 1990–2010. The latter demonstrated </w:t>
      </w:r>
      <w:proofErr w:type="gramStart"/>
      <w:r w:rsidRPr="00CE15CF">
        <w:t>a majority of</w:t>
      </w:r>
      <w:proofErr w:type="gramEnd"/>
      <w:r w:rsidRPr="00CE15CF">
        <w:t xml:space="preserve"> PFCAs, PFSAs, FASAs and FASEs with C</w:t>
      </w:r>
      <w:r w:rsidRPr="00CE15CF">
        <w:rPr>
          <w:vertAlign w:val="subscript"/>
        </w:rPr>
        <w:t>4–13</w:t>
      </w:r>
      <w:r w:rsidRPr="00CE15CF">
        <w:t xml:space="preserve"> alkyl chains. In comparison, the mixtures commercially available in 2012/ showed more frequently shorter-chain C</w:t>
      </w:r>
      <w:r w:rsidRPr="00CE15CF">
        <w:rPr>
          <w:vertAlign w:val="subscript"/>
        </w:rPr>
        <w:t>4–6</w:t>
      </w:r>
      <w:r w:rsidRPr="00CE15CF">
        <w:t xml:space="preserve"> PFCAs, 4:2 and 6:2 FTS as well as 6:2 FTOH. The mean concentration declined from 40 to 0.8 ppm (</w:t>
      </w:r>
      <w:proofErr w:type="spellStart"/>
      <w:r w:rsidRPr="00CE15CF">
        <w:t>Favreau</w:t>
      </w:r>
      <w:proofErr w:type="spellEnd"/>
      <w:r w:rsidRPr="00CE15CF">
        <w:t xml:space="preserve"> et al. 2017). Based on a 2005 estimate that quantified the amounts of AFFF stored in Switzerland to be 2,200–2,600 tonnes, the stockpile of PFOA in AFFF may be in the range of 2–100 kg.</w:t>
      </w:r>
    </w:p>
    <w:p w14:paraId="69AB2C2A" w14:textId="47A4FB6A" w:rsidR="000E1507" w:rsidRPr="00CE15CF" w:rsidRDefault="00710EB3" w:rsidP="00CE15CF">
      <w:pPr>
        <w:pStyle w:val="Paralevel1"/>
      </w:pPr>
      <w:r w:rsidRPr="00CE15CF">
        <w:t xml:space="preserve">Alongside the issue of intentional use of PFOA as its ammonium salt (APFO) within existing stockpiles of AFFF, the Swedish </w:t>
      </w:r>
      <w:r w:rsidR="00CB6638" w:rsidRPr="00CE15CF">
        <w:t>Chemicals</w:t>
      </w:r>
      <w:r w:rsidRPr="00CE15CF">
        <w:t xml:space="preserve"> Agency (2015) and European Chemicals Agency (ECHA, 2014a)</w:t>
      </w:r>
      <w:r w:rsidR="002B342A" w:rsidRPr="00CE15CF">
        <w:t xml:space="preserve"> highlight the possible continued presence of PFOA as an unintentional contaminant of C</w:t>
      </w:r>
      <w:r w:rsidR="002B342A" w:rsidRPr="00CE15CF">
        <w:rPr>
          <w:vertAlign w:val="subscript"/>
        </w:rPr>
        <w:t>6</w:t>
      </w:r>
      <w:r w:rsidR="002B342A" w:rsidRPr="00CE15CF">
        <w:t xml:space="preserve"> fluorotelomers. While the manufacture of C</w:t>
      </w:r>
      <w:r w:rsidR="002B342A" w:rsidRPr="00CE15CF">
        <w:rPr>
          <w:vertAlign w:val="subscript"/>
        </w:rPr>
        <w:t>6</w:t>
      </w:r>
      <w:r w:rsidR="002B342A" w:rsidRPr="00CE15CF">
        <w:t xml:space="preserve"> fluorotelomers does not use PFOA in the production process</w:t>
      </w:r>
      <w:r w:rsidR="00B018A3" w:rsidRPr="00CE15CF">
        <w:t>,</w:t>
      </w:r>
      <w:r w:rsidR="002B342A" w:rsidRPr="00CE15CF">
        <w:t xml:space="preserve"> the telomerisation of </w:t>
      </w:r>
      <w:proofErr w:type="spellStart"/>
      <w:r w:rsidR="002B342A" w:rsidRPr="00CE15CF">
        <w:t>perfluorinated</w:t>
      </w:r>
      <w:proofErr w:type="spellEnd"/>
      <w:r w:rsidR="002B342A" w:rsidRPr="00CE15CF">
        <w:t xml:space="preserve"> compounds can generate C</w:t>
      </w:r>
      <w:r w:rsidR="002B342A" w:rsidRPr="00CE15CF">
        <w:rPr>
          <w:vertAlign w:val="subscript"/>
        </w:rPr>
        <w:t>8</w:t>
      </w:r>
      <w:r w:rsidR="002B342A" w:rsidRPr="00CE15CF">
        <w:t xml:space="preserve"> species including PFOA as a by-product. The Swedish </w:t>
      </w:r>
      <w:r w:rsidR="00CB6638" w:rsidRPr="00CE15CF">
        <w:t>Chemicals</w:t>
      </w:r>
      <w:r w:rsidR="002B342A" w:rsidRPr="00CE15CF">
        <w:t xml:space="preserve"> Agency (2015) comments that at the completion of the production process as much as 20% of the mixture can be C</w:t>
      </w:r>
      <w:r w:rsidR="002B342A" w:rsidRPr="00CE15CF">
        <w:rPr>
          <w:vertAlign w:val="subscript"/>
        </w:rPr>
        <w:t>8</w:t>
      </w:r>
      <w:r w:rsidR="002B342A" w:rsidRPr="00CE15CF">
        <w:t xml:space="preserve"> </w:t>
      </w:r>
      <w:proofErr w:type="spellStart"/>
      <w:r w:rsidR="002B342A" w:rsidRPr="00CE15CF">
        <w:t>perfluorinated</w:t>
      </w:r>
      <w:proofErr w:type="spellEnd"/>
      <w:r w:rsidR="002B342A" w:rsidRPr="00CE15CF">
        <w:t xml:space="preserve"> species. After a clean-up phase the final commercial product is expected to contain trace residues at around 0.01%, although the Swedish </w:t>
      </w:r>
      <w:r w:rsidR="003143F6" w:rsidRPr="00CE15CF">
        <w:t>Chemicals</w:t>
      </w:r>
      <w:r w:rsidR="002B342A" w:rsidRPr="00CE15CF">
        <w:t xml:space="preserve"> Agency (2015) highlight studies where concentrations found were far higher and could be as much as 50:50% </w:t>
      </w:r>
      <w:proofErr w:type="spellStart"/>
      <w:r w:rsidR="002B342A" w:rsidRPr="00CE15CF">
        <w:t>wt</w:t>
      </w:r>
      <w:proofErr w:type="spellEnd"/>
      <w:r w:rsidR="002B342A" w:rsidRPr="00CE15CF">
        <w:t>/</w:t>
      </w:r>
      <w:proofErr w:type="spellStart"/>
      <w:r w:rsidR="002B342A" w:rsidRPr="00CE15CF">
        <w:t>wt</w:t>
      </w:r>
      <w:proofErr w:type="spellEnd"/>
      <w:r w:rsidR="002B342A" w:rsidRPr="00CE15CF">
        <w:t xml:space="preserve"> C</w:t>
      </w:r>
      <w:r w:rsidR="002B342A" w:rsidRPr="00CE15CF">
        <w:rPr>
          <w:vertAlign w:val="subscript"/>
        </w:rPr>
        <w:t>6</w:t>
      </w:r>
      <w:r w:rsidR="002B342A" w:rsidRPr="00CE15CF">
        <w:t>:C</w:t>
      </w:r>
      <w:r w:rsidR="002B342A" w:rsidRPr="00CE15CF">
        <w:rPr>
          <w:vertAlign w:val="subscript"/>
        </w:rPr>
        <w:t>8</w:t>
      </w:r>
      <w:r w:rsidR="002B342A" w:rsidRPr="00CE15CF">
        <w:t xml:space="preserve"> in some C</w:t>
      </w:r>
      <w:r w:rsidR="002B342A" w:rsidRPr="00CE15CF">
        <w:rPr>
          <w:vertAlign w:val="subscript"/>
        </w:rPr>
        <w:t>6</w:t>
      </w:r>
      <w:r w:rsidR="002B342A" w:rsidRPr="00CE15CF">
        <w:t xml:space="preserve"> marketed products.</w:t>
      </w:r>
      <w:r w:rsidR="00E3054B" w:rsidRPr="00CE15CF">
        <w:t xml:space="preserve"> </w:t>
      </w:r>
      <w:r w:rsidR="003143F6" w:rsidRPr="00CE15CF">
        <w:t xml:space="preserve">The Netherlands (2018b) comments that data submitted by the </w:t>
      </w:r>
      <w:proofErr w:type="spellStart"/>
      <w:r w:rsidR="003143F6" w:rsidRPr="00CE15CF">
        <w:t>Mineraloelwirtschaftsverband</w:t>
      </w:r>
      <w:proofErr w:type="spellEnd"/>
      <w:r w:rsidR="003143F6" w:rsidRPr="00CE15CF">
        <w:t xml:space="preserve"> trade association, in the public commenting </w:t>
      </w:r>
      <w:proofErr w:type="gramStart"/>
      <w:r w:rsidR="003143F6" w:rsidRPr="00CE15CF">
        <w:t>round</w:t>
      </w:r>
      <w:proofErr w:type="gramEnd"/>
      <w:r w:rsidR="003143F6" w:rsidRPr="00CE15CF">
        <w:t xml:space="preserve"> for </w:t>
      </w:r>
      <w:proofErr w:type="spellStart"/>
      <w:r w:rsidR="003143F6" w:rsidRPr="00CE15CF">
        <w:t>PFHxS</w:t>
      </w:r>
      <w:proofErr w:type="spellEnd"/>
      <w:r w:rsidR="003143F6" w:rsidRPr="00CE15CF">
        <w:t xml:space="preserve"> under REACH, contains data from one PFOS containing AFFF and 14 other foams. The PFOS AFFF also contained PFOA at a concentration of 220 mg/L, approximately twenty times lower than PFOS. Two fluorotelomers based foams analysed as part of the same study (4:2 FTS, 6:2 FTS or 8:2 FTS) contained less than 1.2 mg PFOA/L. Detection limit in these samples varied between 0.010 and 0.050 mg/L (10 and 50 ppb). </w:t>
      </w:r>
      <w:proofErr w:type="spellStart"/>
      <w:r w:rsidR="00E3054B" w:rsidRPr="00CE15CF">
        <w:t>Seow</w:t>
      </w:r>
      <w:proofErr w:type="spellEnd"/>
      <w:r w:rsidR="00E3054B" w:rsidRPr="00CE15CF">
        <w:t xml:space="preserve"> (2013) comments that industry have worked to refine production and reduce quantities of C</w:t>
      </w:r>
      <w:r w:rsidR="00E3054B" w:rsidRPr="00CE15CF">
        <w:rPr>
          <w:vertAlign w:val="subscript"/>
        </w:rPr>
        <w:t>8</w:t>
      </w:r>
      <w:r w:rsidR="00E3054B" w:rsidRPr="00CE15CF">
        <w:t xml:space="preserve"> species within C</w:t>
      </w:r>
      <w:r w:rsidR="00E3054B" w:rsidRPr="00CE15CF">
        <w:rPr>
          <w:vertAlign w:val="subscript"/>
        </w:rPr>
        <w:t>6</w:t>
      </w:r>
      <w:r w:rsidR="00E3054B" w:rsidRPr="00CE15CF">
        <w:t xml:space="preserve"> products; </w:t>
      </w:r>
      <w:proofErr w:type="spellStart"/>
      <w:r w:rsidR="00E3054B" w:rsidRPr="00CE15CF">
        <w:t>Seow</w:t>
      </w:r>
      <w:proofErr w:type="spellEnd"/>
      <w:r w:rsidR="00E3054B" w:rsidRPr="00CE15CF">
        <w:t xml:space="preserve"> (2013) however, </w:t>
      </w:r>
      <w:r w:rsidR="00573351" w:rsidRPr="00CE15CF">
        <w:t xml:space="preserve">also </w:t>
      </w:r>
      <w:r w:rsidR="00E3054B" w:rsidRPr="00CE15CF">
        <w:t>notes that many companies have also preferred to remain with their standard processes and mixture of C</w:t>
      </w:r>
      <w:r w:rsidR="00E3054B" w:rsidRPr="00CE15CF">
        <w:rPr>
          <w:vertAlign w:val="subscript"/>
        </w:rPr>
        <w:t>6</w:t>
      </w:r>
      <w:r w:rsidR="00E3054B" w:rsidRPr="00CE15CF">
        <w:t xml:space="preserve"> and C</w:t>
      </w:r>
      <w:r w:rsidR="00E3054B" w:rsidRPr="00CE15CF">
        <w:rPr>
          <w:vertAlign w:val="subscript"/>
        </w:rPr>
        <w:t>8</w:t>
      </w:r>
      <w:r w:rsidR="00573351" w:rsidRPr="00CE15CF">
        <w:t>.</w:t>
      </w:r>
      <w:r w:rsidR="00E3054B" w:rsidRPr="00CE15CF">
        <w:t xml:space="preserve"> </w:t>
      </w:r>
      <w:proofErr w:type="gramStart"/>
      <w:r w:rsidR="00573351" w:rsidRPr="00CE15CF">
        <w:t>I</w:t>
      </w:r>
      <w:r w:rsidR="00E3054B" w:rsidRPr="00CE15CF">
        <w:t>n particular</w:t>
      </w:r>
      <w:proofErr w:type="gramEnd"/>
      <w:r w:rsidR="00E3054B" w:rsidRPr="00CE15CF">
        <w:t xml:space="preserve"> </w:t>
      </w:r>
      <w:proofErr w:type="spellStart"/>
      <w:r w:rsidR="00E3054B" w:rsidRPr="00CE15CF">
        <w:t>Seow</w:t>
      </w:r>
      <w:proofErr w:type="spellEnd"/>
      <w:r w:rsidR="00E3054B" w:rsidRPr="00CE15CF">
        <w:t xml:space="preserve"> (2013) highlights the presence of acrylamide-based </w:t>
      </w:r>
      <w:proofErr w:type="spellStart"/>
      <w:r w:rsidR="00E3054B" w:rsidRPr="00CE15CF">
        <w:t>fluorosurfactant</w:t>
      </w:r>
      <w:proofErr w:type="spellEnd"/>
      <w:r w:rsidR="00E3054B" w:rsidRPr="00CE15CF">
        <w:t xml:space="preserve"> (CAS </w:t>
      </w:r>
      <w:r w:rsidR="00327C65" w:rsidRPr="00CE15CF">
        <w:t xml:space="preserve">No: </w:t>
      </w:r>
      <w:r w:rsidR="00E3054B" w:rsidRPr="00CE15CF">
        <w:t xml:space="preserve">70969-47-0) in some </w:t>
      </w:r>
      <w:r w:rsidR="00573351" w:rsidRPr="00CE15CF">
        <w:t>C</w:t>
      </w:r>
      <w:r w:rsidR="00573351" w:rsidRPr="00CE15CF">
        <w:rPr>
          <w:vertAlign w:val="subscript"/>
        </w:rPr>
        <w:t>6</w:t>
      </w:r>
      <w:r w:rsidR="00573351" w:rsidRPr="00CE15CF">
        <w:t xml:space="preserve"> fluorotelomer </w:t>
      </w:r>
      <w:r w:rsidR="00E3054B" w:rsidRPr="00CE15CF">
        <w:t>products with a chain length of C</w:t>
      </w:r>
      <w:r w:rsidR="00E3054B" w:rsidRPr="00CE15CF">
        <w:rPr>
          <w:vertAlign w:val="subscript"/>
        </w:rPr>
        <w:t>8</w:t>
      </w:r>
      <w:r w:rsidR="00327C65" w:rsidRPr="00CE15CF">
        <w:t>–</w:t>
      </w:r>
      <w:r w:rsidR="00E3054B" w:rsidRPr="00CE15CF">
        <w:t>C</w:t>
      </w:r>
      <w:r w:rsidR="00E3054B" w:rsidRPr="00CE15CF">
        <w:rPr>
          <w:vertAlign w:val="subscript"/>
        </w:rPr>
        <w:t>20</w:t>
      </w:r>
      <w:r w:rsidR="00E3054B" w:rsidRPr="00CE15CF">
        <w:t xml:space="preserve"> and capacity to act as a PFOA precursor.</w:t>
      </w:r>
      <w:r w:rsidR="000E1507" w:rsidRPr="00CE15CF">
        <w:t xml:space="preserve"> </w:t>
      </w:r>
    </w:p>
    <w:p w14:paraId="3C79DE36" w14:textId="668C4F31" w:rsidR="007A3C4E" w:rsidRPr="00CE15CF" w:rsidRDefault="007A3C4E" w:rsidP="00CE15CF">
      <w:pPr>
        <w:pStyle w:val="Heading3"/>
        <w:numPr>
          <w:ilvl w:val="0"/>
          <w:numId w:val="0"/>
        </w:numPr>
        <w:spacing w:before="240" w:after="120" w:line="240" w:lineRule="auto"/>
      </w:pPr>
      <w:bookmarkStart w:id="192" w:name="_Toc507149002"/>
      <w:bookmarkStart w:id="193" w:name="_Toc515267951"/>
      <w:r w:rsidRPr="00CE15CF">
        <w:lastRenderedPageBreak/>
        <w:t xml:space="preserve">Control measures for </w:t>
      </w:r>
      <w:r w:rsidR="007269A2" w:rsidRPr="00CE15CF">
        <w:t>environmental release linked to</w:t>
      </w:r>
      <w:r w:rsidRPr="00CE15CF">
        <w:t xml:space="preserve"> fire-fighting foam</w:t>
      </w:r>
      <w:bookmarkEnd w:id="192"/>
      <w:bookmarkEnd w:id="193"/>
    </w:p>
    <w:p w14:paraId="45034DF5" w14:textId="0BBD81D6" w:rsidR="000E1507" w:rsidRPr="00CE15CF" w:rsidRDefault="000E1507" w:rsidP="00CE15CF">
      <w:pPr>
        <w:pStyle w:val="Paralevel1"/>
      </w:pPr>
      <w:r w:rsidRPr="00CE15CF">
        <w:t xml:space="preserve">The </w:t>
      </w:r>
      <w:r w:rsidR="00C34465" w:rsidRPr="00CE15CF">
        <w:t>Fire-fighting</w:t>
      </w:r>
      <w:r w:rsidRPr="00CE15CF">
        <w:t xml:space="preserve"> Foam Coalition (2016) provide</w:t>
      </w:r>
      <w:r w:rsidR="00E356E4" w:rsidRPr="00CE15CF">
        <w:t>d</w:t>
      </w:r>
      <w:r w:rsidRPr="00CE15CF">
        <w:t xml:space="preserve"> details of best practice for use of Class B fire-fighting foams</w:t>
      </w:r>
      <w:r w:rsidR="0088411C" w:rsidRPr="00CE15CF">
        <w:t>,</w:t>
      </w:r>
      <w:r w:rsidRPr="00CE15CF">
        <w:rPr>
          <w:rStyle w:val="FootnoteReference"/>
        </w:rPr>
        <w:footnoteReference w:id="53"/>
      </w:r>
      <w:r w:rsidRPr="00CE15CF">
        <w:t xml:space="preserve"> which includes </w:t>
      </w:r>
      <w:r w:rsidR="00667498" w:rsidRPr="00CE15CF">
        <w:t>both non-fluorinated and</w:t>
      </w:r>
      <w:r w:rsidRPr="00CE15CF">
        <w:t xml:space="preserve"> AFFF types of product. The guidance focuses on measures which can be grouped into one of three categories:</w:t>
      </w:r>
    </w:p>
    <w:p w14:paraId="49E78628" w14:textId="65442F40" w:rsidR="001C0D1B" w:rsidRPr="00CE15CF" w:rsidRDefault="000E1507" w:rsidP="00CE15CF">
      <w:pPr>
        <w:pStyle w:val="Paralevel1"/>
        <w:numPr>
          <w:ilvl w:val="1"/>
          <w:numId w:val="34"/>
        </w:numPr>
        <w:ind w:left="0" w:firstLine="630"/>
      </w:pPr>
      <w:r w:rsidRPr="00CE15CF">
        <w:t xml:space="preserve">Selection of when to make use of Class B fire-fighting foams. The FFFC (2016) comments that Class B fire-fighting foams should only be used when the most significant flammable liquid hazards are identified. For facilities that have potential liquid flammable risks, hazard assessments should be used in advance to investigate whether other non-fluorinated techniques can achieve the required extinguishment and </w:t>
      </w:r>
      <w:proofErr w:type="spellStart"/>
      <w:r w:rsidRPr="00CE15CF">
        <w:t>burnback</w:t>
      </w:r>
      <w:proofErr w:type="spellEnd"/>
      <w:r w:rsidRPr="00CE15CF">
        <w:t xml:space="preserve"> resistance. This includes consideration of the potential shortfalls that alternative methods may have. Furthermore</w:t>
      </w:r>
      <w:r w:rsidR="0088411C" w:rsidRPr="00CE15CF">
        <w:t>,</w:t>
      </w:r>
      <w:r w:rsidRPr="00CE15CF">
        <w:t xml:space="preserve"> training exercises should not use fluorinated fire-fighting foams</w:t>
      </w:r>
      <w:r w:rsidR="007269A2" w:rsidRPr="00CE15CF">
        <w:t xml:space="preserve"> due to concerns over environmental pollution</w:t>
      </w:r>
      <w:r w:rsidR="00CE22B1" w:rsidRPr="00CE15CF">
        <w:t>;</w:t>
      </w:r>
    </w:p>
    <w:p w14:paraId="2043C6C8" w14:textId="7E689C5C" w:rsidR="001C0D1B" w:rsidRPr="00CE15CF" w:rsidRDefault="000E1507" w:rsidP="00CE15CF">
      <w:pPr>
        <w:pStyle w:val="Paralevel1"/>
        <w:numPr>
          <w:ilvl w:val="1"/>
          <w:numId w:val="34"/>
        </w:numPr>
        <w:ind w:left="0" w:firstLine="630"/>
      </w:pPr>
      <w:r w:rsidRPr="00CE15CF">
        <w:t xml:space="preserve"> Containment of environmental release during use of Class B fire-fighting foams for live incidents. The </w:t>
      </w:r>
      <w:r w:rsidR="00F408F7" w:rsidRPr="00CE15CF">
        <w:t xml:space="preserve">FFFC </w:t>
      </w:r>
      <w:r w:rsidRPr="00CE15CF">
        <w:t xml:space="preserve">(2016) notes the variability of potential incidents and highlights that it is not possible to contain and collect fire runoff in all situations. However, the </w:t>
      </w:r>
      <w:r w:rsidR="00F408F7" w:rsidRPr="00CE15CF">
        <w:t xml:space="preserve">FFFC </w:t>
      </w:r>
      <w:r w:rsidRPr="00CE15CF">
        <w:t xml:space="preserve">(2016) also highlight that runoff from liquid flammable fires will contain a mixture of water, residual hydrocarbon products, fire-fighting foam and therefore loss to environment should be avoided. For facilities that make use of flammable liquids (such as fuel farms and petroleum/chemical processing, airport operations, specific rail transportation, marine and military storage and industrial facilities) the </w:t>
      </w:r>
      <w:r w:rsidR="00F408F7" w:rsidRPr="00CE15CF">
        <w:t xml:space="preserve">FFFC </w:t>
      </w:r>
      <w:r w:rsidRPr="00CE15CF">
        <w:t>(2016) best practice guidance states that a firewater collection plan should be developed in advance, and for fixed systems with automatic release triggers containment should be built into the system design.</w:t>
      </w:r>
      <w:r w:rsidR="007269A2" w:rsidRPr="00CE15CF">
        <w:t xml:space="preserve"> However, it is not clear how many facilities have done this in practice</w:t>
      </w:r>
      <w:r w:rsidR="00CE22B1" w:rsidRPr="00CE15CF">
        <w:t>;</w:t>
      </w:r>
    </w:p>
    <w:p w14:paraId="72EA2130" w14:textId="033ABBF9" w:rsidR="000E1507" w:rsidRPr="00CE15CF" w:rsidRDefault="000E1507" w:rsidP="00CE15CF">
      <w:pPr>
        <w:pStyle w:val="Paralevel1"/>
        <w:numPr>
          <w:ilvl w:val="1"/>
          <w:numId w:val="34"/>
        </w:numPr>
        <w:ind w:left="0" w:firstLine="630"/>
      </w:pPr>
      <w:r w:rsidRPr="00CE15CF">
        <w:t xml:space="preserve">Disposal of contaminated runoff and foam concentrate. The FFFC (2016) comments that Class B </w:t>
      </w:r>
      <w:r w:rsidR="003D6476">
        <w:br/>
      </w:r>
      <w:r w:rsidRPr="00CE15CF">
        <w:t xml:space="preserve">fire-fighting foam concentrates (which include PFOA based foams) do not carry expiry dates, but generally have a service life of 10–25 years. It is also possible to have testing completed routinely to assess whether the foam in stock still meets requirements. Destruction of Class B fire-fighting foam concentrate should be through thermal destruction. For contaminated fire-water from use of foams the </w:t>
      </w:r>
      <w:r w:rsidR="00557455" w:rsidRPr="00CE15CF">
        <w:t xml:space="preserve">FFFC </w:t>
      </w:r>
      <w:r w:rsidRPr="00CE15CF">
        <w:t>(2016) guidance highlights that the solution will contain a mixture of chemicals and that thermal destruction is the preferable option. Other options include a combination of coagulation, flocculation, electro-flocculation, reverse osmosis, and adsorption on granular activated carbon (GAC).</w:t>
      </w:r>
    </w:p>
    <w:p w14:paraId="1B081FF5" w14:textId="5CC9CC58" w:rsidR="000E1507" w:rsidRPr="00CE15CF" w:rsidRDefault="000E1507" w:rsidP="00CE15CF">
      <w:pPr>
        <w:pStyle w:val="Paralevel1"/>
      </w:pPr>
      <w:r w:rsidRPr="00CE15CF">
        <w:t xml:space="preserve">Klein (2013) provides some further information on the likely costs incurred for the thermal destruction of </w:t>
      </w:r>
      <w:proofErr w:type="spellStart"/>
      <w:r w:rsidR="00CE22B1" w:rsidRPr="00CE15CF">
        <w:t>p</w:t>
      </w:r>
      <w:r w:rsidRPr="00CE15CF">
        <w:t>erfluorinated</w:t>
      </w:r>
      <w:proofErr w:type="spellEnd"/>
      <w:r w:rsidRPr="00CE15CF">
        <w:t xml:space="preserve"> fire-fighting foams (including PFOS and PFOA). This varies depending on technical approach with plasma-arc facilities likely more expensive than using cement kilns (noting that cement kilns operate at high temperatures</w:t>
      </w:r>
      <w:r w:rsidR="0088411C" w:rsidRPr="00CE15CF">
        <w:t>).</w:t>
      </w:r>
      <w:r w:rsidRPr="00CE15CF">
        <w:rPr>
          <w:rStyle w:val="FootnoteReference"/>
        </w:rPr>
        <w:footnoteReference w:id="54"/>
      </w:r>
      <w:r w:rsidRPr="00CE15CF">
        <w:t xml:space="preserve"> Klein provides a general estimate of cost for Europe as €0.77 per litre of concentrate. For Australia costs within cement kilns ranged from $1–1.5 per litre and in plasma-arc $17</w:t>
      </w:r>
      <w:r w:rsidR="0055286C" w:rsidRPr="00CE15CF">
        <w:t>–</w:t>
      </w:r>
      <w:r w:rsidRPr="00CE15CF">
        <w:t>20 per litre. Klein (2013) also comments that the use of GAC, electrocoagulation, or reverse osmosis can be effective at reducing costs as these processes reduce the fluorochemical content. Capital costs for setting up treatment plants using these methodologies varies between €92,000</w:t>
      </w:r>
      <w:r w:rsidR="00734CAF" w:rsidRPr="00CE15CF">
        <w:t>–</w:t>
      </w:r>
      <w:r w:rsidRPr="00CE15CF">
        <w:t xml:space="preserve">€230,000. Klein (2013) comments that the significantly high costs of managing disposal for perfluoro based fire-fighting foams had encouraged one major aviation industry operator to switch to fluorine free fire-fighting foams at </w:t>
      </w:r>
      <w:proofErr w:type="gramStart"/>
      <w:r w:rsidRPr="00CE15CF">
        <w:t>all of</w:t>
      </w:r>
      <w:proofErr w:type="gramEnd"/>
      <w:r w:rsidRPr="00CE15CF">
        <w:t xml:space="preserve"> its national airports.</w:t>
      </w:r>
      <w:r w:rsidR="00804937" w:rsidRPr="00CE15CF">
        <w:t xml:space="preserve"> Other costs for both plasma-arc facilities and cement kilns include those associated with stringent implementation of BAT/BEP including continuous monitoring to avoid generating further fluorinated or other toxic substances.</w:t>
      </w:r>
    </w:p>
    <w:p w14:paraId="7DD880A8" w14:textId="6951DAA6" w:rsidR="0039560D" w:rsidRPr="00CE15CF" w:rsidRDefault="0039560D" w:rsidP="00CE15CF">
      <w:pPr>
        <w:pStyle w:val="StyleHeading3h3123SecTimesNewRomanBold"/>
      </w:pPr>
      <w:bookmarkStart w:id="194" w:name="_Toc507149003"/>
      <w:bookmarkStart w:id="195" w:name="_Toc515267952"/>
      <w:r w:rsidRPr="00CE15CF">
        <w:t>Information on alternatives</w:t>
      </w:r>
      <w:bookmarkEnd w:id="194"/>
      <w:bookmarkEnd w:id="195"/>
    </w:p>
    <w:p w14:paraId="00A25527" w14:textId="00A656FE" w:rsidR="000E1507" w:rsidRPr="00CE15CF" w:rsidRDefault="000E1507" w:rsidP="00CE15CF">
      <w:pPr>
        <w:pStyle w:val="Paralevel1"/>
      </w:pPr>
      <w:r w:rsidRPr="00CE15CF">
        <w:t xml:space="preserve">The RME highlighted that many viable chemical alternatives to PFOA-based AFFF are available and commercially </w:t>
      </w:r>
      <w:r w:rsidR="00BB581C" w:rsidRPr="00CE15CF">
        <w:t>in use globally. The paragraph</w:t>
      </w:r>
      <w:r w:rsidR="00E356E4" w:rsidRPr="00CE15CF">
        <w:t>s</w:t>
      </w:r>
      <w:r w:rsidRPr="00CE15CF">
        <w:t xml:space="preserve"> below are taken from the </w:t>
      </w:r>
      <w:r w:rsidR="00BB581C" w:rsidRPr="00CE15CF">
        <w:t>RME</w:t>
      </w:r>
      <w:r w:rsidRPr="00CE15CF">
        <w:t xml:space="preserve"> for ease of reference. New reference material is included where indicated. </w:t>
      </w:r>
    </w:p>
    <w:p w14:paraId="47071552" w14:textId="789F1186" w:rsidR="00744ECC" w:rsidRPr="00CE15CF" w:rsidRDefault="00744ECC" w:rsidP="00CE15CF">
      <w:pPr>
        <w:pStyle w:val="Heading3"/>
        <w:numPr>
          <w:ilvl w:val="0"/>
          <w:numId w:val="0"/>
        </w:numPr>
        <w:spacing w:before="240" w:after="120" w:line="240" w:lineRule="auto"/>
      </w:pPr>
      <w:bookmarkStart w:id="196" w:name="_Toc507149004"/>
      <w:bookmarkStart w:id="197" w:name="_Toc515267953"/>
      <w:r w:rsidRPr="00CE15CF">
        <w:t>Short-chained fluorinated alternatives</w:t>
      </w:r>
      <w:bookmarkEnd w:id="196"/>
      <w:bookmarkEnd w:id="197"/>
    </w:p>
    <w:p w14:paraId="3D5B67EF" w14:textId="77777777" w:rsidR="000E1507" w:rsidRPr="00CE15CF" w:rsidRDefault="000E1507" w:rsidP="00CE15CF">
      <w:pPr>
        <w:pStyle w:val="Paralevel1"/>
        <w:rPr>
          <w:i/>
        </w:rPr>
      </w:pPr>
      <w:r w:rsidRPr="00CE15CF">
        <w:rPr>
          <w:i/>
        </w:rPr>
        <w:t xml:space="preserve">During the last several years, manufacturers of fluorotelomer-based AFFFs have been replacing long-chain fluorinated surfactants with short-chain fluorinated surfactants (UNEP, 2017). AFFFs based on pure 6:2 fluorotelomers were developed to replace early products based on a mixture of mainly 6:2 and 8:2 fluorotelomers (Klein, 2012; </w:t>
      </w:r>
      <w:proofErr w:type="spellStart"/>
      <w:r w:rsidRPr="00CE15CF">
        <w:rPr>
          <w:i/>
        </w:rPr>
        <w:t>Kleiner</w:t>
      </w:r>
      <w:proofErr w:type="spellEnd"/>
      <w:r w:rsidRPr="00CE15CF">
        <w:rPr>
          <w:i/>
        </w:rPr>
        <w:t xml:space="preserve"> and </w:t>
      </w:r>
      <w:proofErr w:type="spellStart"/>
      <w:r w:rsidRPr="00CE15CF">
        <w:rPr>
          <w:i/>
        </w:rPr>
        <w:t>Jho</w:t>
      </w:r>
      <w:proofErr w:type="spellEnd"/>
      <w:r w:rsidRPr="00CE15CF">
        <w:rPr>
          <w:i/>
        </w:rPr>
        <w:t xml:space="preserve">, 2009). DuPont, for example, commercialized two AFFFs based on 6:2 fluorotelomer </w:t>
      </w:r>
      <w:proofErr w:type="spellStart"/>
      <w:r w:rsidRPr="00CE15CF">
        <w:rPr>
          <w:i/>
        </w:rPr>
        <w:t>sulfonamidealkylbetaine</w:t>
      </w:r>
      <w:proofErr w:type="spellEnd"/>
      <w:r w:rsidRPr="00CE15CF">
        <w:rPr>
          <w:i/>
        </w:rPr>
        <w:t xml:space="preserve"> (6:2 FTAB) or 6:2 fluorotelomer </w:t>
      </w:r>
      <w:proofErr w:type="spellStart"/>
      <w:r w:rsidRPr="00CE15CF">
        <w:rPr>
          <w:i/>
        </w:rPr>
        <w:t>sulfonamideaminoxide</w:t>
      </w:r>
      <w:proofErr w:type="spellEnd"/>
      <w:r w:rsidRPr="00CE15CF">
        <w:rPr>
          <w:i/>
        </w:rPr>
        <w:t xml:space="preserve"> (Wang et al., 2013). Suppliers </w:t>
      </w:r>
      <w:r w:rsidRPr="00CE15CF">
        <w:rPr>
          <w:i/>
        </w:rPr>
        <w:lastRenderedPageBreak/>
        <w:t xml:space="preserve">offering a portfolio of short-chain fluorotelomer-based surfactants include </w:t>
      </w:r>
      <w:proofErr w:type="spellStart"/>
      <w:r w:rsidRPr="00CE15CF">
        <w:rPr>
          <w:i/>
        </w:rPr>
        <w:t>Chemguard</w:t>
      </w:r>
      <w:proofErr w:type="spellEnd"/>
      <w:r w:rsidRPr="00CE15CF">
        <w:rPr>
          <w:i/>
        </w:rPr>
        <w:t xml:space="preserve">, </w:t>
      </w:r>
      <w:proofErr w:type="spellStart"/>
      <w:r w:rsidRPr="00CE15CF">
        <w:rPr>
          <w:i/>
        </w:rPr>
        <w:t>Chemours</w:t>
      </w:r>
      <w:proofErr w:type="spellEnd"/>
      <w:r w:rsidRPr="00CE15CF">
        <w:rPr>
          <w:i/>
        </w:rPr>
        <w:t xml:space="preserve"> and </w:t>
      </w:r>
      <w:proofErr w:type="spellStart"/>
      <w:r w:rsidRPr="00CE15CF">
        <w:rPr>
          <w:i/>
        </w:rPr>
        <w:t>Dynax</w:t>
      </w:r>
      <w:proofErr w:type="spellEnd"/>
      <w:r w:rsidRPr="00CE15CF">
        <w:rPr>
          <w:i/>
        </w:rPr>
        <w:t xml:space="preserve"> (UNEP, 2017).</w:t>
      </w:r>
    </w:p>
    <w:p w14:paraId="76AF1848" w14:textId="1A69E11A" w:rsidR="000E1507" w:rsidRPr="00CE15CF" w:rsidRDefault="000E1507" w:rsidP="00CE15CF">
      <w:pPr>
        <w:pStyle w:val="Paralevel1"/>
      </w:pPr>
      <w:r w:rsidRPr="00CE15CF">
        <w:rPr>
          <w:i/>
        </w:rPr>
        <w:t>Chemical alternatives include C</w:t>
      </w:r>
      <w:r w:rsidRPr="00CE15CF">
        <w:rPr>
          <w:i/>
          <w:vertAlign w:val="subscript"/>
        </w:rPr>
        <w:t>6</w:t>
      </w:r>
      <w:r w:rsidRPr="00CE15CF">
        <w:rPr>
          <w:i/>
        </w:rPr>
        <w:t>-fluorotelomers such as 6:2 fluorotelomer sulfonyl betaine, sometimes combined with hydrocarbons and the 3M product dodecafluoro-2-methylpentan-3-one. The direct release of substances to the environment and the detection of C</w:t>
      </w:r>
      <w:r w:rsidRPr="00CE15CF">
        <w:rPr>
          <w:i/>
          <w:vertAlign w:val="subscript"/>
        </w:rPr>
        <w:t>6</w:t>
      </w:r>
      <w:r w:rsidRPr="00CE15CF">
        <w:rPr>
          <w:i/>
        </w:rPr>
        <w:t xml:space="preserve"> compounds in the environment including the Arctic, human and wildlife make this use of fluorinated alternatives undesirable</w:t>
      </w:r>
      <w:r w:rsidRPr="00CE15CF">
        <w:t xml:space="preserve"> (see UNEP/POPS/POPRC.13/INF/6) (IPEN, 2016).</w:t>
      </w:r>
      <w:r w:rsidR="00196E44" w:rsidRPr="00CE15CF">
        <w:t xml:space="preserve"> It should be noted that contamination of water from short-chain </w:t>
      </w:r>
      <w:r w:rsidR="00D00FEB" w:rsidRPr="00CE15CF">
        <w:t>PFAS</w:t>
      </w:r>
      <w:r w:rsidR="00196E44" w:rsidRPr="00CE15CF">
        <w:t xml:space="preserve"> is very difficult, if not impossible, to remediate.</w:t>
      </w:r>
      <w:r w:rsidR="006078D0" w:rsidRPr="00CE15CF">
        <w:t xml:space="preserve"> Holmes (2017) provided further comment on a series of fire industry ‘myths’, noting that the belief that the alternative short chain C6 and lower PFAS are harmless if released is untrue. Significant evidence has emerged of potential health and environmental effects </w:t>
      </w:r>
      <w:r w:rsidR="009E6417" w:rsidRPr="00CE15CF">
        <w:t xml:space="preserve">of short chain PFAS </w:t>
      </w:r>
      <w:r w:rsidR="006078D0" w:rsidRPr="00CE15CF">
        <w:t>including enhanced mobility, uptake in crops, bioaccumulation, binding to proteins, increasing levels of exposure, difficult</w:t>
      </w:r>
      <w:r w:rsidR="009E6417" w:rsidRPr="00CE15CF">
        <w:t>y</w:t>
      </w:r>
      <w:r w:rsidR="006078D0" w:rsidRPr="00CE15CF">
        <w:t xml:space="preserve"> to capture</w:t>
      </w:r>
      <w:r w:rsidR="009E6417" w:rsidRPr="00CE15CF">
        <w:t xml:space="preserve"> and to </w:t>
      </w:r>
      <w:r w:rsidR="006078D0" w:rsidRPr="00CE15CF">
        <w:t>clean up</w:t>
      </w:r>
      <w:r w:rsidR="009E6417" w:rsidRPr="00CE15CF">
        <w:t xml:space="preserve"> once released into the environment</w:t>
      </w:r>
      <w:r w:rsidR="00390019" w:rsidRPr="00CE15CF">
        <w:t>.</w:t>
      </w:r>
    </w:p>
    <w:p w14:paraId="364387E7" w14:textId="66E28AAC" w:rsidR="000E1507" w:rsidRPr="00CE15CF" w:rsidRDefault="001F7967" w:rsidP="00CE15CF">
      <w:pPr>
        <w:pStyle w:val="Paralevel1"/>
      </w:pPr>
      <w:r w:rsidRPr="00CE15CF">
        <w:t>T</w:t>
      </w:r>
      <w:r w:rsidR="000E1507" w:rsidRPr="00CE15CF">
        <w:t>he EU Annex XV restriction report (ECHA, 2014</w:t>
      </w:r>
      <w:r w:rsidR="00CA2F36" w:rsidRPr="00CE15CF">
        <w:t>a</w:t>
      </w:r>
      <w:r w:rsidR="000E1507" w:rsidRPr="00CE15CF">
        <w:t>) highlighted that, while PFOA or PFOA-related compounds are not used in the manufacture of 6:2 fluorotelomer based fire-fighting foams, fluorotelomer based foams can contain trace quantities of PFOA as a by-product. The restriction implemented under the EU REACH regulation applies an exemption for PFOA-based fire-fighting placed on the market on or before 4 July 2020. However, after this date maximum concentrations of 25 ppb for PFOA or 1000 ppb for PFOA and PFOA-related compounds are imposed for fire-fighting foams placed to market in the EU.</w:t>
      </w:r>
    </w:p>
    <w:p w14:paraId="428C0A3B" w14:textId="4EDD2294" w:rsidR="000E1507" w:rsidRPr="00CE15CF" w:rsidRDefault="000E1507" w:rsidP="00CE15CF">
      <w:pPr>
        <w:pStyle w:val="Paralevel1"/>
      </w:pPr>
      <w:r w:rsidRPr="00CE15CF">
        <w:t>Mil Tech (2017) (quoted within Canada (2018)) notes that the USA department of defence has amended specifications for use of AFFF fire-fighting foams used in military facilities (including marine), so that AFFF fire-fighting foams must not contain more than 800 ppb of PFOA</w:t>
      </w:r>
      <w:r w:rsidR="00B86965" w:rsidRPr="00CE15CF">
        <w:t>.</w:t>
      </w:r>
    </w:p>
    <w:p w14:paraId="04E2ED51" w14:textId="18BCF7B8" w:rsidR="00241C97" w:rsidRPr="00CE15CF" w:rsidRDefault="00241C97" w:rsidP="00CE15CF">
      <w:pPr>
        <w:pStyle w:val="Heading3"/>
        <w:numPr>
          <w:ilvl w:val="0"/>
          <w:numId w:val="0"/>
        </w:numPr>
        <w:spacing w:before="240" w:after="120" w:line="240" w:lineRule="auto"/>
      </w:pPr>
      <w:bookmarkStart w:id="198" w:name="_Toc507149005"/>
      <w:bookmarkStart w:id="199" w:name="_Toc515267954"/>
      <w:r w:rsidRPr="00CE15CF">
        <w:t>Non-fluorine containing alternatives</w:t>
      </w:r>
      <w:bookmarkEnd w:id="198"/>
      <w:bookmarkEnd w:id="199"/>
    </w:p>
    <w:p w14:paraId="6DF75484" w14:textId="64A28CA9" w:rsidR="000E1507" w:rsidRPr="00CE15CF" w:rsidRDefault="00F947A5" w:rsidP="00CE15CF">
      <w:pPr>
        <w:pStyle w:val="Paralevel1"/>
        <w:rPr>
          <w:i/>
        </w:rPr>
      </w:pPr>
      <w:r w:rsidRPr="00CE15CF">
        <w:t xml:space="preserve">Development of fluorine free foams capable of managing Class B type fires represents a significant challenge and need for innovation (Cousins, 2016). However, Cousins (2016) and </w:t>
      </w:r>
      <w:proofErr w:type="spellStart"/>
      <w:r w:rsidRPr="00CE15CF">
        <w:t>Hetzer</w:t>
      </w:r>
      <w:proofErr w:type="spellEnd"/>
      <w:r w:rsidRPr="00CE15CF">
        <w:t xml:space="preserve"> (2014) comment that encouraging progress has been made, with some foam manufacturers stating that AFFF is no longer needed. </w:t>
      </w:r>
      <w:proofErr w:type="gramStart"/>
      <w:r w:rsidRPr="00CE15CF">
        <w:t>Furthermore</w:t>
      </w:r>
      <w:proofErr w:type="gramEnd"/>
      <w:r w:rsidRPr="00CE15CF">
        <w:t xml:space="preserve"> </w:t>
      </w:r>
      <w:proofErr w:type="spellStart"/>
      <w:r w:rsidRPr="00CE15CF">
        <w:t>Norstrom</w:t>
      </w:r>
      <w:proofErr w:type="spellEnd"/>
      <w:r w:rsidRPr="00CE15CF">
        <w:t xml:space="preserve"> (2011) comments that commercial airports in Sweden and Norway have replaced PFAS-based firefighting foams with fluorine-free foams because of environmental safety concerns. </w:t>
      </w:r>
      <w:r w:rsidR="00C469DF" w:rsidRPr="00CE15CF">
        <w:t>Since 2008 AFFF is no longer used at fire drills at the Swedavia airports in Sweden and in 2011 Swedavia started to use fluorine-free alcohol-resistant foam (</w:t>
      </w:r>
      <w:proofErr w:type="spellStart"/>
      <w:r w:rsidR="00C469DF" w:rsidRPr="00CE15CF">
        <w:t>Moussol</w:t>
      </w:r>
      <w:proofErr w:type="spellEnd"/>
      <w:r w:rsidR="00C469DF" w:rsidRPr="00CE15CF">
        <w:t xml:space="preserve"> FF 3/6)” (Nordstrom et al, 2015). </w:t>
      </w:r>
      <w:proofErr w:type="spellStart"/>
      <w:r w:rsidR="000E1507" w:rsidRPr="00CE15CF">
        <w:rPr>
          <w:i/>
        </w:rPr>
        <w:t>Moussoll</w:t>
      </w:r>
      <w:proofErr w:type="spellEnd"/>
      <w:r w:rsidR="000E1507" w:rsidRPr="00CE15CF">
        <w:rPr>
          <w:i/>
        </w:rPr>
        <w:t xml:space="preserve">-FF 3/6 is degraded to carbon dioxide and water in the environment. It is considered effective in fire suppression required at airports where high safety standards </w:t>
      </w:r>
      <w:proofErr w:type="gramStart"/>
      <w:r w:rsidR="000E1507" w:rsidRPr="00CE15CF">
        <w:rPr>
          <w:i/>
        </w:rPr>
        <w:t>have to</w:t>
      </w:r>
      <w:proofErr w:type="gramEnd"/>
      <w:r w:rsidR="000E1507" w:rsidRPr="00CE15CF">
        <w:rPr>
          <w:i/>
        </w:rPr>
        <w:t xml:space="preserve"> be fulfilled. The Swedish Armed Forces began phasing out the use of </w:t>
      </w:r>
      <w:proofErr w:type="spellStart"/>
      <w:r w:rsidR="000E1507" w:rsidRPr="00CE15CF">
        <w:rPr>
          <w:i/>
        </w:rPr>
        <w:t>perfluorinated</w:t>
      </w:r>
      <w:proofErr w:type="spellEnd"/>
      <w:r w:rsidR="000E1507" w:rsidRPr="00CE15CF">
        <w:rPr>
          <w:i/>
        </w:rPr>
        <w:t xml:space="preserve"> substances in firefighting foam in 2011</w:t>
      </w:r>
      <w:r w:rsidR="00C469DF" w:rsidRPr="00CE15CF">
        <w:rPr>
          <w:i/>
        </w:rPr>
        <w:t xml:space="preserve"> and currently use</w:t>
      </w:r>
      <w:r w:rsidR="000E1507" w:rsidRPr="00CE15CF">
        <w:rPr>
          <w:i/>
        </w:rPr>
        <w:t xml:space="preserve"> a fluorotelomer-based firefighting foam, i.e. the substance that is broken down to </w:t>
      </w:r>
      <w:proofErr w:type="spellStart"/>
      <w:r w:rsidR="000E1507" w:rsidRPr="00CE15CF">
        <w:rPr>
          <w:i/>
        </w:rPr>
        <w:t>perfluorinated</w:t>
      </w:r>
      <w:proofErr w:type="spellEnd"/>
      <w:r w:rsidR="000E1507" w:rsidRPr="00CE15CF">
        <w:rPr>
          <w:i/>
        </w:rPr>
        <w:t xml:space="preserve"> substances (further details see Swedish Chemicals Agency, 2015). Norwegian airports, military properties and several offshore companies have also introduced fluorine-free foams (Norway Comments on 3</w:t>
      </w:r>
      <w:r w:rsidR="000E1507" w:rsidRPr="00CE15CF">
        <w:rPr>
          <w:i/>
          <w:vertAlign w:val="superscript"/>
        </w:rPr>
        <w:t>rd</w:t>
      </w:r>
      <w:r w:rsidR="000E1507" w:rsidRPr="00CE15CF">
        <w:rPr>
          <w:i/>
          <w:sz w:val="13"/>
        </w:rPr>
        <w:t xml:space="preserve"> </w:t>
      </w:r>
      <w:r w:rsidR="000E1507" w:rsidRPr="00CE15CF">
        <w:rPr>
          <w:i/>
        </w:rPr>
        <w:t xml:space="preserve">draft RME). </w:t>
      </w:r>
    </w:p>
    <w:p w14:paraId="5E724E9A" w14:textId="02D79C79" w:rsidR="008D1570" w:rsidRPr="00CE15CF" w:rsidRDefault="008D1570" w:rsidP="00CE15CF">
      <w:pPr>
        <w:pStyle w:val="Paralevel1"/>
      </w:pPr>
      <w:r w:rsidRPr="00CE15CF">
        <w:t xml:space="preserve">The Solberg Company developed a high-performance fluorine-free foam concentrate for use on Class B hydrocarbon fuel fires. </w:t>
      </w:r>
      <w:r w:rsidR="004244DB" w:rsidRPr="00CE15CF">
        <w:t xml:space="preserve">Recent independent test results published in 2017 (by the Southwest Research Institute) found that the Solberg fluorine-free foam Re-Healing RF3 met the Performance Level B Fire Test Standard of the International Civil Aviation Organization (ICAO).  Furthermore, </w:t>
      </w:r>
      <w:r w:rsidRPr="00CE15CF">
        <w:t>Solberg received the 2014 USEPA Presidential Green Chemistry Award</w:t>
      </w:r>
      <w:r w:rsidR="007756E9" w:rsidRPr="00CE15CF">
        <w:rPr>
          <w:rStyle w:val="FootnoteReference"/>
        </w:rPr>
        <w:footnoteReference w:id="55"/>
      </w:r>
      <w:r w:rsidRPr="00CE15CF">
        <w:t xml:space="preserve"> for the innovative development and commerciali</w:t>
      </w:r>
      <w:r w:rsidR="00721534" w:rsidRPr="00CE15CF">
        <w:t>s</w:t>
      </w:r>
      <w:r w:rsidRPr="00CE15CF">
        <w:t xml:space="preserve">ation of its fluorine-free foam formulation "Re-Healing." </w:t>
      </w:r>
      <w:proofErr w:type="spellStart"/>
      <w:r w:rsidRPr="00CE15CF">
        <w:t>Airservices</w:t>
      </w:r>
      <w:proofErr w:type="spellEnd"/>
      <w:r w:rsidRPr="00CE15CF">
        <w:t xml:space="preserve"> Australia made the decision to use the Solberg Re-Healing RF6 6% foam as the preferred operational firefighting foam at the 23 capital and major regional city airports</w:t>
      </w:r>
      <w:r w:rsidR="00CB73F4" w:rsidRPr="00CE15CF">
        <w:rPr>
          <w:rStyle w:val="FootnoteReference"/>
        </w:rPr>
        <w:footnoteReference w:id="56"/>
      </w:r>
      <w:r w:rsidRPr="00CE15CF">
        <w:t xml:space="preserve"> throughout Australia that are under the auspices of </w:t>
      </w:r>
      <w:proofErr w:type="spellStart"/>
      <w:r w:rsidRPr="00CE15CF">
        <w:t>Airservices</w:t>
      </w:r>
      <w:proofErr w:type="spellEnd"/>
      <w:r w:rsidRPr="00CE15CF">
        <w:t xml:space="preserve"> Australia</w:t>
      </w:r>
      <w:r w:rsidR="00E63417" w:rsidRPr="00CE15CF">
        <w:t xml:space="preserve"> (</w:t>
      </w:r>
      <w:r w:rsidR="00260FED" w:rsidRPr="00CE15CF">
        <w:t>Australian Parliament, 2017</w:t>
      </w:r>
      <w:r w:rsidR="00E63417" w:rsidRPr="00CE15CF">
        <w:t>)</w:t>
      </w:r>
      <w:r w:rsidRPr="00CE15CF">
        <w:t>.</w:t>
      </w:r>
      <w:r w:rsidR="00946D15" w:rsidRPr="00CE15CF">
        <w:t xml:space="preserve"> Solberg comments that when stored correctly the Re-healing foam has a shelf-life of 10 years (Solberg, 2012)</w:t>
      </w:r>
      <w:r w:rsidR="00557455" w:rsidRPr="00CE15CF">
        <w:t>.</w:t>
      </w:r>
    </w:p>
    <w:p w14:paraId="6BEF7998" w14:textId="77777777" w:rsidR="000E1507" w:rsidRPr="00CE15CF" w:rsidRDefault="000E1507" w:rsidP="00CE15CF">
      <w:pPr>
        <w:pStyle w:val="Paralevel1"/>
      </w:pPr>
      <w:r w:rsidRPr="00CE15CF">
        <w:t xml:space="preserve">The BAT/BEP Guidance for use of PFOS and related chemicals under the Stockholm Convention on POPs (UNEP, 2017) confirms that non-fluorinated foams exist and are in use. </w:t>
      </w:r>
      <w:proofErr w:type="gramStart"/>
      <w:r w:rsidRPr="00CE15CF">
        <w:t>According to</w:t>
      </w:r>
      <w:proofErr w:type="gramEnd"/>
      <w:r w:rsidRPr="00CE15CF">
        <w:t xml:space="preserve"> a review undertaken by the Queensland Government in Australia, many fluorine-free foams are acknowledged as meeting the toughest amongst the firefighting standards and exceeding film-forming fluorinated foam performance in various circumstances and that fluorine-free foams are widely used by airports and other facilities including oil and gas platforms (see Queensland Gov., 2016b). </w:t>
      </w:r>
      <w:proofErr w:type="gramStart"/>
      <w:r w:rsidRPr="00CE15CF">
        <w:t>According to</w:t>
      </w:r>
      <w:proofErr w:type="gramEnd"/>
      <w:r w:rsidRPr="00CE15CF">
        <w:t xml:space="preserve"> the Swedish Armed Forces it is difficult to find fluorine-free alternatives which meet specific safety requirements (see Swedish Chemicals Agency, 2016). </w:t>
      </w:r>
    </w:p>
    <w:p w14:paraId="7BDA07C1" w14:textId="156738E5" w:rsidR="00A35F0A" w:rsidRPr="00CE15CF" w:rsidRDefault="00A35F0A" w:rsidP="00CE15CF">
      <w:pPr>
        <w:pStyle w:val="Paralevel1"/>
        <w:rPr>
          <w:i/>
        </w:rPr>
      </w:pPr>
      <w:r w:rsidRPr="00CE15CF">
        <w:t>Castro et al (</w:t>
      </w:r>
      <w:r w:rsidR="0011666B" w:rsidRPr="00CE15CF">
        <w:t xml:space="preserve">2017) provides comments on the comparable performance between AFFF (telomer based) and FFF (fluorine free) products, which were based on 80 tests carried out by </w:t>
      </w:r>
      <w:proofErr w:type="spellStart"/>
      <w:r w:rsidR="0011666B" w:rsidRPr="00CE15CF">
        <w:t>Auxquimia</w:t>
      </w:r>
      <w:proofErr w:type="spellEnd"/>
      <w:r w:rsidR="0011666B" w:rsidRPr="00CE15CF">
        <w:t xml:space="preserve">. For heptane and diesel based fires fluorine free foams were 6-7% slower than AFFF at bringing fires under control. For gasoline and jet A1 based </w:t>
      </w:r>
      <w:r w:rsidR="0011666B" w:rsidRPr="00CE15CF">
        <w:lastRenderedPageBreak/>
        <w:t>fires, fluorine free foams were 50-60% slower than AFFF at bringing fires under control. However, where application rates were increased (from 2.31/min/m</w:t>
      </w:r>
      <w:r w:rsidR="0011666B" w:rsidRPr="00CE15CF">
        <w:rPr>
          <w:vertAlign w:val="superscript"/>
        </w:rPr>
        <w:t xml:space="preserve">2 </w:t>
      </w:r>
      <w:r w:rsidR="0011666B" w:rsidRPr="00CE15CF">
        <w:t>to 3.75/min/m</w:t>
      </w:r>
      <w:r w:rsidR="0011666B" w:rsidRPr="00CE15CF">
        <w:rPr>
          <w:vertAlign w:val="superscript"/>
        </w:rPr>
        <w:t>2</w:t>
      </w:r>
      <w:r w:rsidR="0011666B" w:rsidRPr="00CE15CF">
        <w:t xml:space="preserve">) for fluorine free based products similar levels of performance compared to AFFF were achieved. Castro et al (2017) goes on to hypothesis why this difference may be the case, noting that fluorinated compounds perform a variety of roles within the foam, one of which is oil repellence allowing foams to spread and control the fire for liquid fuels. Castro comments that fluorine free products lack this quality, but by increasing application rates the fluorine free foam can spread and cover liquid fires more quickly. </w:t>
      </w:r>
    </w:p>
    <w:p w14:paraId="35613517" w14:textId="386E6304" w:rsidR="003975B6" w:rsidRPr="00CE15CF" w:rsidRDefault="000E1507" w:rsidP="00CE15CF">
      <w:pPr>
        <w:pStyle w:val="Paralevel1"/>
        <w:rPr>
          <w:i/>
        </w:rPr>
      </w:pPr>
      <w:proofErr w:type="gramStart"/>
      <w:r w:rsidRPr="00CE15CF">
        <w:t>According to</w:t>
      </w:r>
      <w:proofErr w:type="gramEnd"/>
      <w:r w:rsidRPr="00CE15CF">
        <w:t xml:space="preserve"> the </w:t>
      </w:r>
      <w:r w:rsidR="00C34465" w:rsidRPr="00CE15CF">
        <w:t>Fire-fighting</w:t>
      </w:r>
      <w:r w:rsidRPr="00CE15CF">
        <w:t xml:space="preserve"> Foam Coalition (FFFC) AFFF agents containing fluorotelomer-based </w:t>
      </w:r>
      <w:proofErr w:type="spellStart"/>
      <w:r w:rsidRPr="00CE15CF">
        <w:t>fluorosurfactants</w:t>
      </w:r>
      <w:proofErr w:type="spellEnd"/>
      <w:r w:rsidRPr="00CE15CF">
        <w:t xml:space="preserve"> are the most effective foam agents currently available to fight flammable liquid fires in military, industrial, aviation and municipal applications. Test data provided by the United States Naval Research Laboratories (NRL, 2016) showed that, in pool fire tests, an AFFF agent achieved extinguishment in 18 seconds compared to 40</w:t>
      </w:r>
      <w:r w:rsidR="003D6476">
        <w:t> </w:t>
      </w:r>
      <w:r w:rsidRPr="00CE15CF">
        <w:t xml:space="preserve">seconds for the fluorine-free foam. </w:t>
      </w:r>
      <w:r w:rsidR="003975B6" w:rsidRPr="00CE15CF">
        <w:t xml:space="preserve">However, an alternate study from 2004 (Lerner, 2018) with the US Navy commented that based on testing of AFFF based foams from 3M and fluorine-free alternatives that similar rates were achieved for putting out fires. The fluorine-free alternative put out fires within 39 seconds, while AFFF ranged from 25 to 36 seconds. </w:t>
      </w:r>
    </w:p>
    <w:p w14:paraId="5D18B0A8" w14:textId="24536AF5" w:rsidR="000E1507" w:rsidRPr="00CE15CF" w:rsidRDefault="000E1507" w:rsidP="00CE15CF">
      <w:pPr>
        <w:pStyle w:val="Paralevel1"/>
      </w:pPr>
      <w:r w:rsidRPr="00CE15CF">
        <w:rPr>
          <w:i/>
        </w:rPr>
        <w:t xml:space="preserve"> </w:t>
      </w:r>
      <w:r w:rsidRPr="00CE15CF">
        <w:t xml:space="preserve">In foam degradation tests, fluorine-free foam degraded after 1-2 minutes, while the AFFF lasted 35 minutes before it has been degraded. The FFFC does not support the opinion that AFFF agents are no longer needed and recommends the use of AFFF only in specific circumstances where a significant flammable liquid hazard occurs and that all available measures to minimize emissions to the lowest possible level should be implemented when using AFFF agents (FFFC, 2017). However, blockage factors (i.e. vapour suppression) were indistinguishable between a fluorine-free-foam and two AFFFs tested (Williams et al. 2011). </w:t>
      </w:r>
      <w:r w:rsidR="00822E2F" w:rsidRPr="00CE15CF">
        <w:t xml:space="preserve">Alternatively, information provided by The Solberg Company (Norway, 2018 personal </w:t>
      </w:r>
      <w:proofErr w:type="spellStart"/>
      <w:r w:rsidR="00822E2F" w:rsidRPr="00CE15CF">
        <w:t>comms</w:t>
      </w:r>
      <w:proofErr w:type="spellEnd"/>
      <w:r w:rsidR="00822E2F" w:rsidRPr="00CE15CF">
        <w:t xml:space="preserve">) confirm that </w:t>
      </w:r>
      <w:proofErr w:type="spellStart"/>
      <w:r w:rsidR="00822E2F" w:rsidRPr="00CE15CF">
        <w:t>fluorosurfactant</w:t>
      </w:r>
      <w:proofErr w:type="spellEnd"/>
      <w:r w:rsidR="00822E2F" w:rsidRPr="00CE15CF">
        <w:t xml:space="preserve">- and fluoropolymer-free firefighting foam used to effectively extinguish fuels with no environmental concerns for persistence, bioaccumulation or toxic breakdown have shown to perform the same ability to extinguish Class B fires </w:t>
      </w:r>
      <w:r w:rsidR="00721534" w:rsidRPr="00CE15CF">
        <w:t>as</w:t>
      </w:r>
      <w:r w:rsidR="00822E2F" w:rsidRPr="00CE15CF">
        <w:t xml:space="preserve"> traditional AFFF</w:t>
      </w:r>
      <w:r w:rsidR="007C14BC" w:rsidRPr="00CE15CF">
        <w:t>.</w:t>
      </w:r>
      <w:r w:rsidR="00822E2F" w:rsidRPr="00CE15CF">
        <w:rPr>
          <w:rStyle w:val="FootnoteReference"/>
          <w:i/>
        </w:rPr>
        <w:footnoteReference w:id="57"/>
      </w:r>
      <w:r w:rsidR="00822E2F" w:rsidRPr="00CE15CF">
        <w:t xml:space="preserve"> </w:t>
      </w:r>
      <w:r w:rsidRPr="00CE15CF">
        <w:t xml:space="preserve">Airports and offshore companies around the world have introduced fluorine-free foam and are satisfied by the performance. </w:t>
      </w:r>
    </w:p>
    <w:p w14:paraId="279138C8" w14:textId="59FE2E04" w:rsidR="008D4AAF" w:rsidRPr="00CE15CF" w:rsidRDefault="000E3897" w:rsidP="00CE15CF">
      <w:pPr>
        <w:pStyle w:val="Paralevel1"/>
      </w:pPr>
      <w:r w:rsidRPr="00CE15CF">
        <w:t>F</w:t>
      </w:r>
      <w:r w:rsidR="000E1507" w:rsidRPr="00CE15CF">
        <w:t>luorine-free foams certified to different ICAO levels (required for use at civilian airports) are available on the market (see FFF</w:t>
      </w:r>
      <w:r w:rsidR="008563EC" w:rsidRPr="00CE15CF">
        <w:t>C</w:t>
      </w:r>
      <w:r w:rsidR="000E1507" w:rsidRPr="00CE15CF">
        <w:t xml:space="preserve">, 2017) and are already introduced at airports in practice. </w:t>
      </w:r>
      <w:r w:rsidR="007009E6" w:rsidRPr="00CE15CF">
        <w:t>For example, the UK Civil Aviation Authority notes that fluorine-free foams are ICAO Level B approved and found that fluorine-free foams were just as efficient as AFFF in large-scale fire tests; while the Copenhagen Airport replaced AFFF with Solberg RF Re-Healing foam for environmental reasons</w:t>
      </w:r>
      <w:r w:rsidR="007009E6" w:rsidRPr="00CE15CF">
        <w:rPr>
          <w:rStyle w:val="FootnoteReference"/>
          <w:i/>
        </w:rPr>
        <w:footnoteReference w:id="58"/>
      </w:r>
      <w:r w:rsidR="007009E6" w:rsidRPr="00CE15CF">
        <w:rPr>
          <w:i/>
        </w:rPr>
        <w:t xml:space="preserve">. </w:t>
      </w:r>
      <w:r w:rsidR="000E1507" w:rsidRPr="00CE15CF">
        <w:rPr>
          <w:i/>
        </w:rPr>
        <w:t xml:space="preserve"> </w:t>
      </w:r>
      <w:r w:rsidRPr="00CE15CF">
        <w:t>Manufacturers of fluorine-free foams that are currently on the market include: National Foam (</w:t>
      </w:r>
      <w:proofErr w:type="spellStart"/>
      <w:r w:rsidRPr="00CE15CF">
        <w:t>Jetfoam</w:t>
      </w:r>
      <w:proofErr w:type="spellEnd"/>
      <w:r w:rsidRPr="00CE15CF">
        <w:t xml:space="preserve">—used in aviation applications; and </w:t>
      </w:r>
      <w:proofErr w:type="spellStart"/>
      <w:r w:rsidRPr="00CE15CF">
        <w:t>Respondol</w:t>
      </w:r>
      <w:proofErr w:type="spellEnd"/>
      <w:r w:rsidRPr="00CE15CF">
        <w:t xml:space="preserve">—a Class B product); </w:t>
      </w:r>
      <w:proofErr w:type="spellStart"/>
      <w:r w:rsidRPr="00CE15CF">
        <w:t>Bioex</w:t>
      </w:r>
      <w:proofErr w:type="spellEnd"/>
      <w:r w:rsidRPr="00CE15CF">
        <w:t xml:space="preserve"> (</w:t>
      </w:r>
      <w:proofErr w:type="spellStart"/>
      <w:r w:rsidRPr="00CE15CF">
        <w:t>Ecopol</w:t>
      </w:r>
      <w:proofErr w:type="spellEnd"/>
      <w:r w:rsidRPr="00CE15CF">
        <w:t xml:space="preserve">); </w:t>
      </w:r>
      <w:proofErr w:type="spellStart"/>
      <w:r w:rsidRPr="00CE15CF">
        <w:t>Fomtec</w:t>
      </w:r>
      <w:proofErr w:type="spellEnd"/>
      <w:r w:rsidRPr="00CE15CF">
        <w:t xml:space="preserve"> (Enviro 3x3 Plus); Solberg (Re-Healing Foam RF6/RF3); and </w:t>
      </w:r>
      <w:proofErr w:type="spellStart"/>
      <w:r w:rsidRPr="00CE15CF">
        <w:t>Dr.</w:t>
      </w:r>
      <w:proofErr w:type="spellEnd"/>
      <w:r w:rsidRPr="00CE15CF">
        <w:t xml:space="preserve"> </w:t>
      </w:r>
      <w:proofErr w:type="spellStart"/>
      <w:r w:rsidRPr="00CE15CF">
        <w:t>Sthamer</w:t>
      </w:r>
      <w:proofErr w:type="spellEnd"/>
      <w:r w:rsidRPr="00CE15CF">
        <w:t xml:space="preserve"> (</w:t>
      </w:r>
      <w:proofErr w:type="spellStart"/>
      <w:r w:rsidRPr="00CE15CF">
        <w:t>Moussol</w:t>
      </w:r>
      <w:proofErr w:type="spellEnd"/>
      <w:r w:rsidRPr="00CE15CF">
        <w:t xml:space="preserve"> F-F3/6), </w:t>
      </w:r>
      <w:proofErr w:type="spellStart"/>
      <w:r w:rsidRPr="00CE15CF">
        <w:t>Auxquimia</w:t>
      </w:r>
      <w:proofErr w:type="spellEnd"/>
      <w:r w:rsidRPr="00CE15CF">
        <w:t xml:space="preserve"> (</w:t>
      </w:r>
      <w:proofErr w:type="spellStart"/>
      <w:r w:rsidRPr="00CE15CF">
        <w:t>Unipol</w:t>
      </w:r>
      <w:proofErr w:type="spellEnd"/>
      <w:r w:rsidRPr="00CE15CF">
        <w:t xml:space="preserve">); </w:t>
      </w:r>
      <w:proofErr w:type="spellStart"/>
      <w:r w:rsidRPr="00CE15CF">
        <w:t>Vsfocum</w:t>
      </w:r>
      <w:proofErr w:type="spellEnd"/>
      <w:r w:rsidRPr="00CE15CF">
        <w:t xml:space="preserve"> (</w:t>
      </w:r>
      <w:proofErr w:type="spellStart"/>
      <w:r w:rsidRPr="00CE15CF">
        <w:t>Silvara</w:t>
      </w:r>
      <w:proofErr w:type="spellEnd"/>
      <w:r w:rsidRPr="00CE15CF">
        <w:t xml:space="preserve">); Biosafety Technology (Trident); </w:t>
      </w:r>
      <w:r w:rsidR="008D4AAF" w:rsidRPr="00CE15CF">
        <w:t xml:space="preserve">and </w:t>
      </w:r>
      <w:r w:rsidRPr="00CE15CF">
        <w:t>3F (</w:t>
      </w:r>
      <w:proofErr w:type="spellStart"/>
      <w:r w:rsidRPr="00CE15CF">
        <w:t>Freefor</w:t>
      </w:r>
      <w:proofErr w:type="spellEnd"/>
      <w:r w:rsidRPr="00CE15CF">
        <w:t xml:space="preserve"> SF, </w:t>
      </w:r>
      <w:proofErr w:type="spellStart"/>
      <w:r w:rsidRPr="00CE15CF">
        <w:t>Hyfex</w:t>
      </w:r>
      <w:proofErr w:type="spellEnd"/>
      <w:r w:rsidRPr="00CE15CF">
        <w:t xml:space="preserve"> SF, </w:t>
      </w:r>
      <w:proofErr w:type="spellStart"/>
      <w:r w:rsidRPr="00CE15CF">
        <w:t>Freedol</w:t>
      </w:r>
      <w:proofErr w:type="spellEnd"/>
      <w:r w:rsidRPr="00CE15CF">
        <w:t xml:space="preserve"> SF). </w:t>
      </w:r>
    </w:p>
    <w:p w14:paraId="173E015D" w14:textId="44B126EF" w:rsidR="000E1507" w:rsidRPr="00CE15CF" w:rsidRDefault="000E3897" w:rsidP="00CE15CF">
      <w:pPr>
        <w:pStyle w:val="Paralevel1"/>
      </w:pPr>
      <w:proofErr w:type="spellStart"/>
      <w:r w:rsidRPr="00CE15CF">
        <w:t>Bioex</w:t>
      </w:r>
      <w:proofErr w:type="spellEnd"/>
      <w:r w:rsidRPr="00CE15CF">
        <w:t xml:space="preserve"> asserts that their </w:t>
      </w:r>
      <w:proofErr w:type="spellStart"/>
      <w:r w:rsidRPr="00CE15CF">
        <w:t>Ecopol</w:t>
      </w:r>
      <w:proofErr w:type="spellEnd"/>
      <w:r w:rsidRPr="00CE15CF">
        <w:t>, Bio For, Bio T, and Bio Foam fluorine-free foams are as effective as the best AFFF foams and that they obtained the best 1A performance classification under EN 1568-3 standard (certified 1 A/freshwater and 1 A/seawater).  Solberg Re-Healing RF3 Foam meets fire performance test criteria of Underwriters Laboratory (UL Standard 162), Underwriters Laboratories of Canada (Standard S564), FM Approval Standard 5130, European Standard EN 1568 Part 3 and International Civil Aviation Organization Level B.</w:t>
      </w:r>
      <w:r w:rsidR="007009E6" w:rsidRPr="00CE15CF">
        <w:rPr>
          <w:rStyle w:val="FootnoteReference"/>
          <w:i/>
        </w:rPr>
        <w:footnoteReference w:id="59"/>
      </w:r>
      <w:r w:rsidR="007009E6" w:rsidRPr="00CE15CF">
        <w:t xml:space="preserve"> </w:t>
      </w:r>
      <w:r w:rsidR="000E1507" w:rsidRPr="00CE15CF">
        <w:t xml:space="preserve"> </w:t>
      </w:r>
    </w:p>
    <w:p w14:paraId="40C70894" w14:textId="231FBB4D" w:rsidR="000E1507" w:rsidRPr="00CE15CF" w:rsidRDefault="000E1507" w:rsidP="00CE15CF">
      <w:pPr>
        <w:pStyle w:val="Paralevel1"/>
      </w:pPr>
      <w:r w:rsidRPr="00CE15CF">
        <w:t xml:space="preserve">The </w:t>
      </w:r>
      <w:r w:rsidR="00606F88" w:rsidRPr="00CE15CF">
        <w:t>I</w:t>
      </w:r>
      <w:r w:rsidRPr="00CE15CF">
        <w:t xml:space="preserve">nstitute for </w:t>
      </w:r>
      <w:r w:rsidR="00606F88" w:rsidRPr="00CE15CF">
        <w:t>F</w:t>
      </w:r>
      <w:r w:rsidRPr="00CE15CF">
        <w:t xml:space="preserve">ire and </w:t>
      </w:r>
      <w:r w:rsidR="00606F88" w:rsidRPr="00CE15CF">
        <w:t>D</w:t>
      </w:r>
      <w:r w:rsidRPr="00CE15CF">
        <w:t xml:space="preserve">isaster </w:t>
      </w:r>
      <w:r w:rsidR="00606F88" w:rsidRPr="00CE15CF">
        <w:t>C</w:t>
      </w:r>
      <w:r w:rsidRPr="00CE15CF">
        <w:t xml:space="preserve">ontrol </w:t>
      </w:r>
      <w:proofErr w:type="spellStart"/>
      <w:r w:rsidRPr="00CE15CF">
        <w:t>Heyrothsberge</w:t>
      </w:r>
      <w:proofErr w:type="spellEnd"/>
      <w:r w:rsidRPr="00CE15CF">
        <w:t xml:space="preserve"> in Germany tested six fluorine free alcohol resistant firefighting foams and one PFAS containing foam for their ability to extinguish fires of five different polar liquids. The authors conclude that there are fluorine-free foams available which show a similar performance compared with PFAS containing foams (see </w:t>
      </w:r>
      <w:proofErr w:type="spellStart"/>
      <w:r w:rsidRPr="00CE15CF">
        <w:t>Keutel</w:t>
      </w:r>
      <w:proofErr w:type="spellEnd"/>
      <w:r w:rsidRPr="00CE15CF">
        <w:t xml:space="preserve"> and Koch, 2016). </w:t>
      </w:r>
    </w:p>
    <w:p w14:paraId="354D3086" w14:textId="15047E30" w:rsidR="0034673D" w:rsidRPr="00CE15CF" w:rsidRDefault="0034673D" w:rsidP="00CE15CF">
      <w:pPr>
        <w:pStyle w:val="Paralevel1"/>
        <w:rPr>
          <w:i/>
        </w:rPr>
      </w:pPr>
      <w:r w:rsidRPr="00CE15CF">
        <w:t xml:space="preserve">Only very limited data exists to allow a comparison </w:t>
      </w:r>
      <w:r w:rsidR="00304E99" w:rsidRPr="00CE15CF">
        <w:t>of</w:t>
      </w:r>
      <w:r w:rsidRPr="00CE15CF">
        <w:t xml:space="preserve"> costs of non-fluorinated fire-fighting foams against short-chain fluorotelomers. The RME provided data from 2004 as a price comparison, but this is likely </w:t>
      </w:r>
      <w:r w:rsidR="009E6417" w:rsidRPr="00CE15CF">
        <w:t>to be</w:t>
      </w:r>
      <w:r w:rsidRPr="00CE15CF">
        <w:t xml:space="preserve"> outdated. While data on direct price comparison has not been </w:t>
      </w:r>
      <w:proofErr w:type="gramStart"/>
      <w:r w:rsidRPr="00CE15CF">
        <w:t>identified</w:t>
      </w:r>
      <w:proofErr w:type="gramEnd"/>
      <w:r w:rsidRPr="00CE15CF">
        <w:t xml:space="preserve"> other metrics provide an indication of issues affecting cost. The FFFC (2018) commented that short-chain fluorotelomer based AFFF has a shelf-life of 10-25 years, while a manufacturer of fluorine free alternatives (</w:t>
      </w:r>
      <w:r w:rsidR="00956EAF" w:rsidRPr="00CE15CF">
        <w:t>Solberg, 2012) quotes a shelf-life of 10 years. Comments from the Netherlands (2018b) note that</w:t>
      </w:r>
      <w:r w:rsidR="00304E99" w:rsidRPr="00CE15CF">
        <w:t>,</w:t>
      </w:r>
      <w:r w:rsidR="00956EAF" w:rsidRPr="00CE15CF">
        <w:t xml:space="preserve"> based on discussions with a fire brigade in the Netherlands</w:t>
      </w:r>
      <w:r w:rsidR="00304E99" w:rsidRPr="00CE15CF">
        <w:t>,</w:t>
      </w:r>
      <w:r w:rsidR="00956EAF" w:rsidRPr="00CE15CF">
        <w:t xml:space="preserve"> fires at private facilities are rare, and where AFFF should not be used for training, it can mean that stockpiles reach full life-expectancy without use</w:t>
      </w:r>
      <w:r w:rsidR="008D4AAF" w:rsidRPr="00CE15CF">
        <w:t>, meaning shelf-life is an important consideration</w:t>
      </w:r>
      <w:r w:rsidR="00956EAF" w:rsidRPr="00CE15CF">
        <w:t>. Castro (2017) comments that for application of foams, particularly on petrol and jet A1 fuels that significantly more fluorine free foam (from 2.31/min/m</w:t>
      </w:r>
      <w:r w:rsidR="00956EAF" w:rsidRPr="00CE15CF">
        <w:rPr>
          <w:vertAlign w:val="superscript"/>
        </w:rPr>
        <w:t xml:space="preserve">2 </w:t>
      </w:r>
      <w:r w:rsidR="00956EAF" w:rsidRPr="00CE15CF">
        <w:t>to 3.75/min/m</w:t>
      </w:r>
      <w:r w:rsidR="00956EAF" w:rsidRPr="00CE15CF">
        <w:rPr>
          <w:vertAlign w:val="superscript"/>
        </w:rPr>
        <w:t>2</w:t>
      </w:r>
      <w:r w:rsidR="00956EAF" w:rsidRPr="00CE15CF">
        <w:t xml:space="preserve">) foam is needed to bring fires under control at an equivalent speed to AFFF fluorotelomer. IPEN commented in the RME however that when considering cost the wider environmental costs should also be </w:t>
      </w:r>
      <w:proofErr w:type="gramStart"/>
      <w:r w:rsidR="00956EAF" w:rsidRPr="00CE15CF">
        <w:t>taken into account</w:t>
      </w:r>
      <w:proofErr w:type="gramEnd"/>
      <w:r w:rsidR="00956EAF" w:rsidRPr="00CE15CF">
        <w:t xml:space="preserve">. This would include </w:t>
      </w:r>
      <w:r w:rsidRPr="00CE15CF">
        <w:rPr>
          <w:i/>
        </w:rPr>
        <w:t xml:space="preserve">the internalized costs of continued reliance on </w:t>
      </w:r>
      <w:proofErr w:type="spellStart"/>
      <w:r w:rsidRPr="00CE15CF">
        <w:rPr>
          <w:i/>
        </w:rPr>
        <w:t>fluorosurfactant</w:t>
      </w:r>
      <w:proofErr w:type="spellEnd"/>
      <w:r w:rsidRPr="00CE15CF">
        <w:rPr>
          <w:i/>
        </w:rPr>
        <w:t xml:space="preserve"> foams, including the costs of </w:t>
      </w:r>
      <w:r w:rsidRPr="00CE15CF">
        <w:rPr>
          <w:i/>
        </w:rPr>
        <w:lastRenderedPageBreak/>
        <w:t>groundwater remediation, contamination of aquatic environments, subsistence and commercial fisheries, and environmental and public health (IPEN Comments on 2</w:t>
      </w:r>
      <w:r w:rsidRPr="00CE15CF">
        <w:rPr>
          <w:i/>
          <w:sz w:val="13"/>
        </w:rPr>
        <w:t xml:space="preserve">nd </w:t>
      </w:r>
      <w:r w:rsidRPr="00CE15CF">
        <w:rPr>
          <w:i/>
        </w:rPr>
        <w:t xml:space="preserve">draft RME). Lifetime costs for using AFFF, </w:t>
      </w:r>
      <w:proofErr w:type="spellStart"/>
      <w:r w:rsidRPr="00CE15CF">
        <w:rPr>
          <w:i/>
        </w:rPr>
        <w:t>fluoroprotein</w:t>
      </w:r>
      <w:proofErr w:type="spellEnd"/>
      <w:r w:rsidRPr="00CE15CF">
        <w:rPr>
          <w:i/>
        </w:rPr>
        <w:t xml:space="preserve"> (FP), or film forming </w:t>
      </w:r>
      <w:proofErr w:type="spellStart"/>
      <w:r w:rsidRPr="00CE15CF">
        <w:rPr>
          <w:i/>
        </w:rPr>
        <w:t>fluoroproteins</w:t>
      </w:r>
      <w:proofErr w:type="spellEnd"/>
      <w:r w:rsidRPr="00CE15CF">
        <w:rPr>
          <w:i/>
        </w:rPr>
        <w:t xml:space="preserve"> (FFFP) far outweigh those of fluorine-free foams because of legal and financial liabilities of using a fluorochemical based foam (see Queensland Gov., 2016a and 2016b) as indicated above which include infringement of operating license conditions, reputational and brand image damage (see Klein 2013). Increasing evidence suggests that fluorochemical contamination of groundwater is an ongoing serious issue impacting agriculture, fisheries, property prices, with considerable political and public concern fallout resulting in hugely expensive and damaging and legal challenges. Remediation costs are still substantial, especially off-site, compounded by high analytical and consultancy costs in the case of environmental contamination with fluorinated breakdown products from an AFFF, FP or FFFP (see e.g. Klein 2013). </w:t>
      </w:r>
    </w:p>
    <w:p w14:paraId="2EA0EDA8" w14:textId="15A4BEE7" w:rsidR="000E1507" w:rsidRPr="00CE15CF" w:rsidRDefault="000E1507" w:rsidP="00CE15CF">
      <w:pPr>
        <w:pStyle w:val="Paralevel1"/>
      </w:pPr>
      <w:r w:rsidRPr="00CE15CF">
        <w:t>The evidence presented within the RME suggests that chemical alternatives to PFOA based AFFF exist and are actively in use globally.</w:t>
      </w:r>
    </w:p>
    <w:p w14:paraId="4915DD6C" w14:textId="3F08DCE8" w:rsidR="0039560D" w:rsidRPr="00CE15CF" w:rsidRDefault="0039560D" w:rsidP="00CE15CF">
      <w:pPr>
        <w:pStyle w:val="StyleHeading3h3123SecTimesNewRomanBold"/>
      </w:pPr>
      <w:bookmarkStart w:id="200" w:name="_Toc507149006"/>
      <w:bookmarkStart w:id="201" w:name="_Toc515267955"/>
      <w:r w:rsidRPr="00CE15CF">
        <w:t>Information on impacts on society</w:t>
      </w:r>
      <w:bookmarkEnd w:id="200"/>
      <w:bookmarkEnd w:id="201"/>
    </w:p>
    <w:p w14:paraId="69D3EA65" w14:textId="412BE3BE" w:rsidR="00F93A5E" w:rsidRPr="00CE15CF" w:rsidRDefault="00F93A5E" w:rsidP="00CE15CF">
      <w:pPr>
        <w:pStyle w:val="Paralevel1"/>
      </w:pPr>
      <w:r w:rsidRPr="00CE15CF">
        <w:t xml:space="preserve">The RME highlighted concerns related to the dispersive and direct way in which fire-fighting foams are used. The RME also noted that the continued use of PFOA in firefighting foams would result in the ongoing contamination of groundwater and soil surrounding facilities where PFOA-based AFFF was used (mainly military sites and airports). The RME provides examples of such cases with an indication of the magnitude of the contamination and remediation costs. As part of the request for information, the paragraphs below include further details on ground contamination linked to use of PFOA-based AFFF fire-fighting foam. </w:t>
      </w:r>
    </w:p>
    <w:p w14:paraId="01D40EDE" w14:textId="77777777" w:rsidR="00F93A5E" w:rsidRPr="00CE15CF" w:rsidRDefault="00F93A5E" w:rsidP="00CE15CF">
      <w:pPr>
        <w:pStyle w:val="Paralevel1"/>
      </w:pPr>
      <w:r w:rsidRPr="00CE15CF">
        <w:t xml:space="preserve">Military.com (2017) (quoted within IPEN, 2018) provides details of discussions held in the US senate regarding around 400 military facilities where PFOS and PFOA based fire-fighting foams had been previously used and lost to the environment causing ground contamination such as that Fairchild Air Force base. Total estimated remediation costs for ground contamination are cited within the article as being as high as </w:t>
      </w:r>
      <w:r w:rsidR="00890E3D" w:rsidRPr="00CE15CF">
        <w:t>USD</w:t>
      </w:r>
      <w:r w:rsidRPr="00CE15CF">
        <w:t>$2 billion dollars.</w:t>
      </w:r>
    </w:p>
    <w:p w14:paraId="3F4B1CE3" w14:textId="5B2F65EE" w:rsidR="00F93A5E" w:rsidRPr="00CE15CF" w:rsidRDefault="00F93A5E" w:rsidP="00CE15CF">
      <w:pPr>
        <w:pStyle w:val="Paralevel1"/>
      </w:pPr>
      <w:r w:rsidRPr="00CE15CF">
        <w:t xml:space="preserve">Klein (2013) provides examples of </w:t>
      </w:r>
      <w:proofErr w:type="gramStart"/>
      <w:r w:rsidRPr="00CE15CF">
        <w:t xml:space="preserve">a number </w:t>
      </w:r>
      <w:r w:rsidR="00E356E4" w:rsidRPr="00CE15CF">
        <w:t>of</w:t>
      </w:r>
      <w:proofErr w:type="gramEnd"/>
      <w:r w:rsidR="00E356E4" w:rsidRPr="00CE15CF">
        <w:t xml:space="preserve"> </w:t>
      </w:r>
      <w:r w:rsidRPr="00CE15CF">
        <w:t xml:space="preserve">cases of groundwater contamination at facilities (military, airports and petroleum refineries) where </w:t>
      </w:r>
      <w:r w:rsidR="00890E3D" w:rsidRPr="00CE15CF">
        <w:t>p</w:t>
      </w:r>
      <w:r w:rsidRPr="00CE15CF">
        <w:t>erfluoroalkyl</w:t>
      </w:r>
      <w:r w:rsidR="00890E3D" w:rsidRPr="00CE15CF">
        <w:t>-containing</w:t>
      </w:r>
      <w:r w:rsidRPr="00CE15CF">
        <w:t xml:space="preserve"> (chiefly PFOS) fire-fighting foams have been used for training or </w:t>
      </w:r>
      <w:r w:rsidR="00890E3D" w:rsidRPr="00CE15CF">
        <w:t>real cases of fire</w:t>
      </w:r>
      <w:r w:rsidRPr="00CE15CF">
        <w:t>. In particularly Klein refers to a case study at US military fire training grounds where PFOS had been previously used</w:t>
      </w:r>
      <w:r w:rsidR="00890E3D" w:rsidRPr="00CE15CF">
        <w:t>, and</w:t>
      </w:r>
      <w:r w:rsidRPr="00CE15CF">
        <w:t xml:space="preserve"> </w:t>
      </w:r>
      <w:r w:rsidR="00890E3D" w:rsidRPr="00CE15CF">
        <w:t>e</w:t>
      </w:r>
      <w:r w:rsidRPr="00CE15CF">
        <w:t xml:space="preserve">ven 10–15 years after </w:t>
      </w:r>
      <w:r w:rsidR="00890E3D" w:rsidRPr="00CE15CF">
        <w:t xml:space="preserve">the </w:t>
      </w:r>
      <w:r w:rsidRPr="00CE15CF">
        <w:t xml:space="preserve">use had ceased monitoring found that groundwater would still </w:t>
      </w:r>
      <w:r w:rsidR="00890E3D" w:rsidRPr="00CE15CF">
        <w:t>contain</w:t>
      </w:r>
      <w:r w:rsidRPr="00CE15CF">
        <w:t xml:space="preserve"> high concentrations of fluorotelomer (14.6 mg/</w:t>
      </w:r>
      <w:r w:rsidR="00B74ED8" w:rsidRPr="00CE15CF">
        <w:t>L</w:t>
      </w:r>
      <w:r w:rsidRPr="00CE15CF">
        <w:t xml:space="preserve"> fluorotelomer sul</w:t>
      </w:r>
      <w:r w:rsidR="00E431AA" w:rsidRPr="00CE15CF">
        <w:t>f</w:t>
      </w:r>
      <w:r w:rsidRPr="00CE15CF">
        <w:t xml:space="preserve">onate). Another case study at Jersey Airport, Jersey Island, </w:t>
      </w:r>
      <w:r w:rsidR="00890E3D" w:rsidRPr="00CE15CF">
        <w:t>report that</w:t>
      </w:r>
      <w:r w:rsidRPr="00CE15CF">
        <w:t xml:space="preserve"> the use of PFOS-based AFFF on fire training grounds contaminated the island’s aquifer and drinking water</w:t>
      </w:r>
      <w:r w:rsidR="00E8142F" w:rsidRPr="00CE15CF">
        <w:t xml:space="preserve">. </w:t>
      </w:r>
      <w:r w:rsidRPr="00CE15CF">
        <w:t xml:space="preserve">Remediation costs were estimated to be between £3.7 to £30 million </w:t>
      </w:r>
      <w:proofErr w:type="gramStart"/>
      <w:r w:rsidRPr="00CE15CF">
        <w:t>pounds</w:t>
      </w:r>
      <w:proofErr w:type="gramEnd"/>
      <w:r w:rsidRPr="00CE15CF">
        <w:t xml:space="preserve"> sterling (based on 1999</w:t>
      </w:r>
      <w:r w:rsidR="003F4EDB" w:rsidRPr="00CE15CF">
        <w:t>–</w:t>
      </w:r>
      <w:r w:rsidRPr="00CE15CF">
        <w:t>2000 prices) dependent on options selected. This included the potential removal and destruction of soil to a depth of 30 metres and reconstruction of the site.</w:t>
      </w:r>
    </w:p>
    <w:p w14:paraId="3F9FF9D3" w14:textId="0490017C" w:rsidR="00F93A5E" w:rsidRPr="00CE15CF" w:rsidRDefault="00F93A5E" w:rsidP="00CE15CF">
      <w:pPr>
        <w:pStyle w:val="Paralevel1"/>
      </w:pPr>
      <w:r w:rsidRPr="00CE15CF">
        <w:t xml:space="preserve">Cousins (2016) (quoted within IPEN (2018)) further highlighted that the costs of cleaning up the contaminated site is only one of many costs associated with the </w:t>
      </w:r>
      <w:r w:rsidR="00890E3D" w:rsidRPr="00CE15CF">
        <w:t xml:space="preserve">legacy </w:t>
      </w:r>
      <w:r w:rsidRPr="00CE15CF">
        <w:t>contamination from PFAS-containing firefighting foams</w:t>
      </w:r>
      <w:r w:rsidR="00DD3CE9" w:rsidRPr="00CE15CF">
        <w:t xml:space="preserve"> (both long and short chain)</w:t>
      </w:r>
      <w:r w:rsidRPr="00CE15CF">
        <w:t xml:space="preserve">; </w:t>
      </w:r>
      <w:r w:rsidR="00890E3D" w:rsidRPr="00CE15CF">
        <w:t>O</w:t>
      </w:r>
      <w:r w:rsidRPr="00CE15CF">
        <w:t xml:space="preserve">thers include </w:t>
      </w:r>
      <w:r w:rsidR="00890E3D" w:rsidRPr="00CE15CF">
        <w:t>cost of</w:t>
      </w:r>
      <w:r w:rsidRPr="00CE15CF">
        <w:t xml:space="preserve"> analytical monitoring of PFAS, </w:t>
      </w:r>
      <w:r w:rsidR="000E3897" w:rsidRPr="00CE15CF">
        <w:t>destruction</w:t>
      </w:r>
      <w:r w:rsidRPr="00CE15CF">
        <w:t xml:space="preserve"> of old stockpiles, </w:t>
      </w:r>
      <w:r w:rsidR="003D6476">
        <w:br/>
      </w:r>
      <w:r w:rsidRPr="00CE15CF">
        <w:t xml:space="preserve">clean-up of equipment contaminated by previous use, costs of developing and commercializing sustainable alternatives, funding new research, health costs, legal costs, etc. Most of these costs will be borne by taxpayers, as it is challenging and often costly to identify the principal responsible party or parties in practice. </w:t>
      </w:r>
      <w:r w:rsidR="00890E3D" w:rsidRPr="00CE15CF">
        <w:t xml:space="preserve">However, in environmental law </w:t>
      </w:r>
      <w:r w:rsidR="00D95312" w:rsidRPr="00CE15CF">
        <w:t xml:space="preserve">many countries have adopted </w:t>
      </w:r>
      <w:r w:rsidR="00890E3D" w:rsidRPr="00CE15CF">
        <w:t xml:space="preserve">the "polluter pays principle" to make the party responsible for </w:t>
      </w:r>
      <w:r w:rsidR="00D95312" w:rsidRPr="00CE15CF">
        <w:t xml:space="preserve">the </w:t>
      </w:r>
      <w:r w:rsidR="00890E3D" w:rsidRPr="00CE15CF">
        <w:t xml:space="preserve">pollution responsible for cleaning it up. It is regarded as a regional custom because of the strong support it has received in most OECD countries and in the </w:t>
      </w:r>
      <w:r w:rsidR="002745F6" w:rsidRPr="00CE15CF">
        <w:t>EU</w:t>
      </w:r>
      <w:r w:rsidR="00890E3D" w:rsidRPr="00CE15CF">
        <w:t xml:space="preserve"> as well as in Norway. It is also a fundamental principle in US environmental law (Norway, 2018).</w:t>
      </w:r>
    </w:p>
    <w:p w14:paraId="0FFE1F31" w14:textId="1F809337" w:rsidR="00946D15" w:rsidRPr="00CE15CF" w:rsidRDefault="00946D15" w:rsidP="00CE15CF">
      <w:pPr>
        <w:pStyle w:val="Paralevel1"/>
      </w:pPr>
      <w:bookmarkStart w:id="202" w:name="_Toc507149007"/>
      <w:r w:rsidRPr="00CE15CF">
        <w:t>Recognizing the serious public health implications associated with contamination of drinking water sources by PFAS firefighting foams and the need to prevent further harm, policymakers in Washington State (USA)</w:t>
      </w:r>
      <w:r w:rsidRPr="00CE15CF">
        <w:rPr>
          <w:rStyle w:val="FootnoteReference"/>
        </w:rPr>
        <w:footnoteReference w:id="60"/>
      </w:r>
      <w:r w:rsidRPr="00CE15CF">
        <w:t xml:space="preserve"> recently enacted the first state legislation in the USA that prohibits the use of PFAS-containing firefighting foams for training purposes beginning on July 1, 2018 and prohibits the sale of PFAS-containing firefighting foams for use in Washington State beginning on July 1, 2020.</w:t>
      </w:r>
      <w:r w:rsidR="00E01164" w:rsidRPr="00CE15CF">
        <w:t xml:space="preserve"> Furthermore</w:t>
      </w:r>
      <w:r w:rsidR="00D30DE0" w:rsidRPr="00CE15CF">
        <w:t>,</w:t>
      </w:r>
      <w:r w:rsidR="00E01164" w:rsidRPr="00CE15CF">
        <w:t xml:space="preserve"> Land et al</w:t>
      </w:r>
      <w:r w:rsidR="002140CD" w:rsidRPr="00CE15CF">
        <w:t>.</w:t>
      </w:r>
      <w:r w:rsidR="00E01164" w:rsidRPr="00CE15CF">
        <w:t xml:space="preserve"> (2018) comment on temporal trends of perfluoroalkyl acids in humans and in the environment, stating: "In regions where regulations and phase-outs have been implemented, human concentrations of PFOS, PFDS, and PFOA are generally declining, while previously increasing concentrations of </w:t>
      </w:r>
      <w:proofErr w:type="spellStart"/>
      <w:r w:rsidR="00E01164" w:rsidRPr="00CE15CF">
        <w:t>PFHxS</w:t>
      </w:r>
      <w:proofErr w:type="spellEnd"/>
      <w:r w:rsidR="00E01164" w:rsidRPr="00CE15CF">
        <w:t xml:space="preserve"> have begun to level off”.</w:t>
      </w:r>
    </w:p>
    <w:p w14:paraId="40E92E53" w14:textId="755CBC95" w:rsidR="00890E3D" w:rsidRPr="00CE15CF" w:rsidRDefault="00890E3D" w:rsidP="00CE15CF">
      <w:pPr>
        <w:pStyle w:val="Paralevel1"/>
      </w:pPr>
      <w:r w:rsidRPr="00CE15CF">
        <w:t xml:space="preserve">Patrick </w:t>
      </w:r>
      <w:proofErr w:type="spellStart"/>
      <w:r w:rsidRPr="00CE15CF">
        <w:t>Breysse</w:t>
      </w:r>
      <w:proofErr w:type="spellEnd"/>
      <w:r w:rsidR="00B86965" w:rsidRPr="00CE15CF">
        <w:t>,</w:t>
      </w:r>
      <w:r w:rsidRPr="00CE15CF">
        <w:rPr>
          <w:rStyle w:val="FootnoteReference"/>
        </w:rPr>
        <w:footnoteReference w:id="61"/>
      </w:r>
      <w:r w:rsidRPr="00CE15CF">
        <w:t xml:space="preserve"> Director of the US </w:t>
      </w:r>
      <w:proofErr w:type="spellStart"/>
      <w:r w:rsidRPr="00CE15CF">
        <w:t>Centers</w:t>
      </w:r>
      <w:proofErr w:type="spellEnd"/>
      <w:r w:rsidRPr="00CE15CF">
        <w:t xml:space="preserve"> for Disease Control’s National </w:t>
      </w:r>
      <w:proofErr w:type="spellStart"/>
      <w:r w:rsidRPr="00CE15CF">
        <w:t>Center</w:t>
      </w:r>
      <w:proofErr w:type="spellEnd"/>
      <w:r w:rsidRPr="00CE15CF">
        <w:t xml:space="preserve"> for Environmental Health, described the contamination of drinking water by </w:t>
      </w:r>
      <w:proofErr w:type="spellStart"/>
      <w:r w:rsidRPr="00CE15CF">
        <w:t>perfluorinated</w:t>
      </w:r>
      <w:proofErr w:type="spellEnd"/>
      <w:r w:rsidRPr="00CE15CF">
        <w:t xml:space="preserve"> chemicals in AFFF as “one of the most seminal public health challenges for the next decades.” Unlike other persistent, </w:t>
      </w:r>
      <w:proofErr w:type="spellStart"/>
      <w:r w:rsidRPr="00CE15CF">
        <w:t>bioaccumulative</w:t>
      </w:r>
      <w:proofErr w:type="spellEnd"/>
      <w:r w:rsidRPr="00CE15CF">
        <w:t xml:space="preserve"> toxic chemicals such as PCBs </w:t>
      </w:r>
      <w:r w:rsidRPr="00CE15CF">
        <w:lastRenderedPageBreak/>
        <w:t xml:space="preserve">and dioxins, PFAS are highly water soluble and do not break down in the environment. Of </w:t>
      </w:r>
      <w:proofErr w:type="gramStart"/>
      <w:r w:rsidRPr="00CE15CF">
        <w:t>particular concern</w:t>
      </w:r>
      <w:proofErr w:type="gramEnd"/>
      <w:r w:rsidRPr="00CE15CF">
        <w:t>, perfluoroalkyl acids that reach groundwater “may remain there indefinitely, impacting drinking water sources for generations to come.”  In the United States alone, the drinking water of more than six million people in many communities throughout the country has been found to contain highly fluorinated chemicals at concentrations of concern.  Cousins (2016) recommend a precautionary approach that respects the “design for degradation” principle of Green Chemistry, stating that “</w:t>
      </w:r>
      <w:proofErr w:type="gramStart"/>
      <w:r w:rsidRPr="00CE15CF">
        <w:t>according to</w:t>
      </w:r>
      <w:proofErr w:type="gramEnd"/>
      <w:r w:rsidRPr="00CE15CF">
        <w:t xml:space="preserve"> this reasoning, society should replace all PFAS-based fire-fighting foams with non-persistent fire-fighting products, given that they can lead to poorly reversible exposures.”  The precautionary approach is consistent with that mandated by the Stockholm Convention.</w:t>
      </w:r>
    </w:p>
    <w:p w14:paraId="2CE3B8F9" w14:textId="206C9DC9" w:rsidR="0039560D" w:rsidRPr="00CE15CF" w:rsidRDefault="0039560D" w:rsidP="00CE15CF">
      <w:pPr>
        <w:pStyle w:val="StyleHeading3h3123SecTimesNewRomanBold"/>
      </w:pPr>
      <w:bookmarkStart w:id="203" w:name="_Toc515267956"/>
      <w:r w:rsidRPr="00CE15CF">
        <w:t>Other considerations</w:t>
      </w:r>
      <w:bookmarkEnd w:id="202"/>
      <w:bookmarkEnd w:id="203"/>
    </w:p>
    <w:p w14:paraId="5BD8DE16" w14:textId="5A402C2C" w:rsidR="00F93A5E" w:rsidRPr="00CE15CF" w:rsidRDefault="00B702CD" w:rsidP="00CE15CF">
      <w:pPr>
        <w:pStyle w:val="Paralevel1"/>
      </w:pPr>
      <w:r w:rsidRPr="00CE15CF">
        <w:t>ECHA</w:t>
      </w:r>
      <w:r w:rsidR="00F93A5E" w:rsidRPr="00CE15CF">
        <w:t xml:space="preserve"> (ECHA, 2015</w:t>
      </w:r>
      <w:r w:rsidR="00897978" w:rsidRPr="00CE15CF">
        <w:t>a</w:t>
      </w:r>
      <w:r w:rsidR="00F93A5E" w:rsidRPr="00CE15CF">
        <w:t xml:space="preserve">) allows a derogation for existing PFOA-based fire-fighting foams </w:t>
      </w:r>
      <w:r w:rsidR="00D95312" w:rsidRPr="00CE15CF">
        <w:t xml:space="preserve">mixtures (including the concentrated ones) </w:t>
      </w:r>
      <w:r w:rsidR="00F93A5E" w:rsidRPr="00CE15CF">
        <w:t>placed on the market on or before 4 July 2020, which allows further use for a period of 20</w:t>
      </w:r>
      <w:r w:rsidR="007F2F4F">
        <w:t> </w:t>
      </w:r>
      <w:r w:rsidR="00F93A5E" w:rsidRPr="00CE15CF">
        <w:t>years</w:t>
      </w:r>
      <w:r w:rsidR="00D95312" w:rsidRPr="00CE15CF">
        <w:t xml:space="preserve">, </w:t>
      </w:r>
      <w:proofErr w:type="gramStart"/>
      <w:r w:rsidR="00D95312" w:rsidRPr="00CE15CF">
        <w:t>taking into account</w:t>
      </w:r>
      <w:proofErr w:type="gramEnd"/>
      <w:r w:rsidR="00D95312" w:rsidRPr="00CE15CF">
        <w:t xml:space="preserve"> the shelf life</w:t>
      </w:r>
      <w:r w:rsidR="00F93A5E" w:rsidRPr="00CE15CF">
        <w:t xml:space="preserve">. </w:t>
      </w:r>
      <w:r w:rsidRPr="00CE15CF">
        <w:t>This</w:t>
      </w:r>
      <w:r w:rsidR="00F93A5E" w:rsidRPr="00CE15CF">
        <w:t xml:space="preserve"> derogation is consistent with the exemption for foams already in use, and will avoid the need for early replacement of exempted foams.</w:t>
      </w:r>
      <w:r w:rsidR="00F42A56" w:rsidRPr="00CE15CF">
        <w:rPr>
          <w:rStyle w:val="FootnoteReference"/>
        </w:rPr>
        <w:footnoteReference w:id="62"/>
      </w:r>
      <w:r w:rsidR="00F93A5E" w:rsidRPr="00CE15CF">
        <w:t xml:space="preserve"> IPEN commented within the RME and discussions at POPRC</w:t>
      </w:r>
      <w:r w:rsidR="00CE1235" w:rsidRPr="00CE15CF">
        <w:t>-</w:t>
      </w:r>
      <w:r w:rsidR="00F93A5E" w:rsidRPr="00CE15CF">
        <w:t xml:space="preserve">13 that the normal lifetime of firefighting foam varies considerably with temperature and storage conditions. </w:t>
      </w:r>
      <w:proofErr w:type="gramStart"/>
      <w:r w:rsidR="00F93A5E" w:rsidRPr="00CE15CF">
        <w:t>According to</w:t>
      </w:r>
      <w:proofErr w:type="gramEnd"/>
      <w:r w:rsidR="00F93A5E" w:rsidRPr="00CE15CF">
        <w:t xml:space="preserve"> them, 20 years is an inappropriate length of time for continued dispersive use of POPs, a use which has led to massive contamination of groundwater in many countries. The FFFC (2016) best practice guidance commented that PFOA-based fire-fighting foam does not have an expiry date but will have a shelf life of 10–2</w:t>
      </w:r>
      <w:r w:rsidR="002C5E1D" w:rsidRPr="00CE15CF">
        <w:t>5</w:t>
      </w:r>
      <w:r w:rsidR="00F93A5E" w:rsidRPr="00CE15CF">
        <w:t xml:space="preserve"> years.</w:t>
      </w:r>
      <w:r w:rsidR="000E3897" w:rsidRPr="00CE15CF">
        <w:t xml:space="preserve"> The Netherlands (2018b) noted from discussions with colleagues at the </w:t>
      </w:r>
      <w:proofErr w:type="spellStart"/>
      <w:r w:rsidR="000E3897" w:rsidRPr="00CE15CF">
        <w:t>Bilthoven</w:t>
      </w:r>
      <w:proofErr w:type="spellEnd"/>
      <w:r w:rsidR="000E3897" w:rsidRPr="00CE15CF">
        <w:t xml:space="preserve"> fire brigade, NL, the safety manager for the Gelderland region and their own experience that the active use of AFFF at private installations </w:t>
      </w:r>
      <w:r w:rsidR="009E6417" w:rsidRPr="00CE15CF">
        <w:t xml:space="preserve">(e.g. airports, refineries, and military sites) </w:t>
      </w:r>
      <w:r w:rsidR="000E3897" w:rsidRPr="00CE15CF">
        <w:t>is rare and that stockpiles of AFFF may be likely to reach the 25</w:t>
      </w:r>
      <w:r w:rsidR="00E431AA" w:rsidRPr="00CE15CF">
        <w:t>-</w:t>
      </w:r>
      <w:r w:rsidR="000E3897" w:rsidRPr="00CE15CF">
        <w:t xml:space="preserve">year shelf life without use. </w:t>
      </w:r>
      <w:r w:rsidR="008D4AAF" w:rsidRPr="00CE15CF">
        <w:t>Solberg (2012) comment that their fluorine-free fire-fighting foam has a shelf-life of 10</w:t>
      </w:r>
      <w:r w:rsidR="007F2F4F">
        <w:t> </w:t>
      </w:r>
      <w:r w:rsidR="008D4AAF" w:rsidRPr="00CE15CF">
        <w:t xml:space="preserve">years. </w:t>
      </w:r>
      <w:r w:rsidR="000E3897" w:rsidRPr="00CE15CF">
        <w:t xml:space="preserve">The Netherlands (2018b) </w:t>
      </w:r>
      <w:r w:rsidR="008D4AAF" w:rsidRPr="00CE15CF">
        <w:t xml:space="preserve">further </w:t>
      </w:r>
      <w:r w:rsidR="000E3897" w:rsidRPr="00CE15CF">
        <w:t>comment</w:t>
      </w:r>
      <w:r w:rsidR="008D4AAF" w:rsidRPr="00CE15CF">
        <w:t xml:space="preserve"> </w:t>
      </w:r>
      <w:r w:rsidR="000E3897" w:rsidRPr="00CE15CF">
        <w:t xml:space="preserve">that </w:t>
      </w:r>
      <w:r w:rsidR="008D4AAF" w:rsidRPr="00CE15CF">
        <w:t>where fires at private installations (e.g. airports, refineries, and military sites) are rare</w:t>
      </w:r>
      <w:r w:rsidR="00E431AA" w:rsidRPr="00CE15CF">
        <w:t>,</w:t>
      </w:r>
      <w:r w:rsidR="008D4AAF" w:rsidRPr="00CE15CF">
        <w:t xml:space="preserve"> </w:t>
      </w:r>
      <w:r w:rsidR="000E3897" w:rsidRPr="00CE15CF">
        <w:t xml:space="preserve">the shelf-life of </w:t>
      </w:r>
      <w:r w:rsidR="008D4AAF" w:rsidRPr="00CE15CF">
        <w:t>fire-fighting</w:t>
      </w:r>
      <w:r w:rsidR="000E3897" w:rsidRPr="00CE15CF">
        <w:t xml:space="preserve"> foams is</w:t>
      </w:r>
      <w:r w:rsidR="008D4AAF" w:rsidRPr="00CE15CF">
        <w:t xml:space="preserve"> an important consideration for </w:t>
      </w:r>
      <w:r w:rsidR="000E3897" w:rsidRPr="00CE15CF">
        <w:t>costs.</w:t>
      </w:r>
    </w:p>
    <w:p w14:paraId="12200715" w14:textId="721923DC" w:rsidR="0039560D" w:rsidRPr="00CE15CF" w:rsidRDefault="0039560D" w:rsidP="00CE15CF">
      <w:pPr>
        <w:pStyle w:val="StyleHeading3h3123SecTimesNewRomanBold"/>
      </w:pPr>
      <w:bookmarkStart w:id="204" w:name="_Toc507149008"/>
      <w:bookmarkStart w:id="205" w:name="_Toc515267957"/>
      <w:r w:rsidRPr="00CE15CF">
        <w:t>Synthes</w:t>
      </w:r>
      <w:r w:rsidR="00721534" w:rsidRPr="00CE15CF">
        <w:t>i</w:t>
      </w:r>
      <w:r w:rsidRPr="00CE15CF">
        <w:t>s of information</w:t>
      </w:r>
      <w:bookmarkEnd w:id="204"/>
      <w:bookmarkEnd w:id="205"/>
    </w:p>
    <w:p w14:paraId="6D140553" w14:textId="07636C1F" w:rsidR="002C5E1D" w:rsidRPr="00CE15CF" w:rsidRDefault="002C5E1D" w:rsidP="00CE15CF">
      <w:pPr>
        <w:pStyle w:val="Paralevel1"/>
      </w:pPr>
      <w:r w:rsidRPr="00CE15CF">
        <w:t xml:space="preserve">Fluorinated fire-fighting foams have been used as an effective means </w:t>
      </w:r>
      <w:r w:rsidR="00721534" w:rsidRPr="00CE15CF">
        <w:t xml:space="preserve">of fighting </w:t>
      </w:r>
      <w:r w:rsidRPr="00CE15CF">
        <w:t>Class B (oil) fires, with a preference in the past for C</w:t>
      </w:r>
      <w:r w:rsidRPr="00CE15CF">
        <w:rPr>
          <w:vertAlign w:val="subscript"/>
        </w:rPr>
        <w:t>8</w:t>
      </w:r>
      <w:r w:rsidRPr="00CE15CF">
        <w:t xml:space="preserve"> technologies developed by ECF (Swedish Chemicals Agency, 2015). This included PFOS, which is now a POP under the Stockholm Convention, and PFOA, primarily used as the ammonium salt (APFO). Where human health and environmental concerns over C</w:t>
      </w:r>
      <w:r w:rsidRPr="00CE15CF">
        <w:rPr>
          <w:vertAlign w:val="subscript"/>
        </w:rPr>
        <w:t>8</w:t>
      </w:r>
      <w:r w:rsidRPr="00CE15CF">
        <w:t xml:space="preserve"> </w:t>
      </w:r>
      <w:proofErr w:type="spellStart"/>
      <w:r w:rsidRPr="00CE15CF">
        <w:t>perfluorinated</w:t>
      </w:r>
      <w:proofErr w:type="spellEnd"/>
      <w:r w:rsidRPr="00CE15CF">
        <w:t xml:space="preserve"> compounds exist, industry moved to shorter chain C</w:t>
      </w:r>
      <w:r w:rsidRPr="00CE15CF">
        <w:rPr>
          <w:vertAlign w:val="subscript"/>
        </w:rPr>
        <w:t>6</w:t>
      </w:r>
      <w:r w:rsidRPr="00CE15CF">
        <w:t xml:space="preserve"> technologies developed through telomerisation (Swedish Chemicals Agency, 2015). While C</w:t>
      </w:r>
      <w:r w:rsidRPr="00CE15CF">
        <w:rPr>
          <w:vertAlign w:val="subscript"/>
        </w:rPr>
        <w:t>6</w:t>
      </w:r>
      <w:r w:rsidRPr="00CE15CF">
        <w:t xml:space="preserve"> fluorotelomers are not manufactured using PFOA, final goods can contain PFOA as an unintentional by-product. The Swedish </w:t>
      </w:r>
      <w:r w:rsidR="000E3897" w:rsidRPr="00CE15CF">
        <w:t>Chemicals</w:t>
      </w:r>
      <w:r w:rsidRPr="00CE15CF">
        <w:t xml:space="preserve"> Agency (2015) and </w:t>
      </w:r>
      <w:proofErr w:type="spellStart"/>
      <w:r w:rsidRPr="00CE15CF">
        <w:t>Seow</w:t>
      </w:r>
      <w:proofErr w:type="spellEnd"/>
      <w:r w:rsidRPr="00CE15CF">
        <w:t xml:space="preserve"> (2013) suggest that this is typically a trace residue but </w:t>
      </w:r>
      <w:r w:rsidR="00EF4540" w:rsidRPr="00CE15CF">
        <w:t xml:space="preserve">also highlight </w:t>
      </w:r>
      <w:r w:rsidRPr="00CE15CF">
        <w:t>studies exist demonstrating that the quantity of C</w:t>
      </w:r>
      <w:r w:rsidRPr="00CE15CF">
        <w:rPr>
          <w:vertAlign w:val="subscript"/>
        </w:rPr>
        <w:t>8</w:t>
      </w:r>
      <w:r w:rsidRPr="00CE15CF">
        <w:t xml:space="preserve"> species (including PFOA) within C</w:t>
      </w:r>
      <w:r w:rsidRPr="00CE15CF">
        <w:rPr>
          <w:vertAlign w:val="subscript"/>
        </w:rPr>
        <w:t>6</w:t>
      </w:r>
      <w:r w:rsidRPr="00CE15CF">
        <w:t xml:space="preserve"> technologies can be present at greater concentrations, pote</w:t>
      </w:r>
      <w:r w:rsidR="00EF4540" w:rsidRPr="00CE15CF">
        <w:t xml:space="preserve">ntially up to 50:50% </w:t>
      </w:r>
      <w:proofErr w:type="spellStart"/>
      <w:r w:rsidR="00EF4540" w:rsidRPr="00CE15CF">
        <w:t>wt</w:t>
      </w:r>
      <w:proofErr w:type="spellEnd"/>
      <w:r w:rsidR="00EF4540" w:rsidRPr="00CE15CF">
        <w:t>/</w:t>
      </w:r>
      <w:proofErr w:type="spellStart"/>
      <w:r w:rsidR="00EF4540" w:rsidRPr="00CE15CF">
        <w:t>wt</w:t>
      </w:r>
      <w:proofErr w:type="spellEnd"/>
      <w:r w:rsidR="00EF4540" w:rsidRPr="00CE15CF">
        <w:t xml:space="preserve"> and can contain PFOA precursors such as acrylamide-based </w:t>
      </w:r>
      <w:proofErr w:type="spellStart"/>
      <w:r w:rsidR="00EF4540" w:rsidRPr="00CE15CF">
        <w:t>fluorosurfactant</w:t>
      </w:r>
      <w:proofErr w:type="spellEnd"/>
      <w:r w:rsidR="00EF4540" w:rsidRPr="00CE15CF">
        <w:t xml:space="preserve"> (CAS </w:t>
      </w:r>
      <w:r w:rsidR="00327C65" w:rsidRPr="00CE15CF">
        <w:t xml:space="preserve">No: </w:t>
      </w:r>
      <w:r w:rsidR="00EF4540" w:rsidRPr="00CE15CF">
        <w:t>70969-47-0).</w:t>
      </w:r>
    </w:p>
    <w:p w14:paraId="42AE08FA" w14:textId="20DFF4B4" w:rsidR="00F93A5E" w:rsidRPr="00CE15CF" w:rsidRDefault="00F93A5E" w:rsidP="00CE15CF">
      <w:pPr>
        <w:pStyle w:val="Paralevel1"/>
      </w:pPr>
      <w:r w:rsidRPr="00CE15CF">
        <w:t xml:space="preserve">Only limited information exists to quantify the PFOA-based fire-fighting foams already placed on the market. </w:t>
      </w:r>
      <w:r w:rsidR="00B702CD" w:rsidRPr="00CE15CF">
        <w:t>ECHA</w:t>
      </w:r>
      <w:r w:rsidRPr="00CE15CF">
        <w:t xml:space="preserve"> (ECHA, 2014</w:t>
      </w:r>
      <w:r w:rsidR="00897978" w:rsidRPr="00CE15CF">
        <w:t>a</w:t>
      </w:r>
      <w:r w:rsidRPr="00CE15CF">
        <w:t>) suggested that 50-100 tonnes of PFOA</w:t>
      </w:r>
      <w:r w:rsidR="00142465" w:rsidRPr="00CE15CF">
        <w:t>-</w:t>
      </w:r>
      <w:r w:rsidRPr="00CE15CF">
        <w:t xml:space="preserve">related compounds (CAS </w:t>
      </w:r>
      <w:r w:rsidR="001F1FD2" w:rsidRPr="00CE15CF">
        <w:t>No:</w:t>
      </w:r>
      <w:r w:rsidRPr="00CE15CF">
        <w:t xml:space="preserve"> 70969-47-0) were in-use within fire-fighting foams in 2014, which has been calculated to be equivalent to 0.2–2.3 million US gallons </w:t>
      </w:r>
      <w:r w:rsidR="007F2F4F">
        <w:br/>
      </w:r>
      <w:r w:rsidR="001F7967" w:rsidRPr="00CE15CF">
        <w:t xml:space="preserve">(0.75–8.7 million litres) </w:t>
      </w:r>
      <w:r w:rsidRPr="00CE15CF">
        <w:t>of concentrate for AFFF. The FFFC (2011) inventory of PFOS concentrates quotes 3.3</w:t>
      </w:r>
      <w:r w:rsidR="007F2F4F">
        <w:t> </w:t>
      </w:r>
      <w:r w:rsidRPr="00CE15CF">
        <w:t xml:space="preserve">million US gallons </w:t>
      </w:r>
      <w:r w:rsidR="001F7967" w:rsidRPr="00CE15CF">
        <w:t xml:space="preserve">(12.5 million litres) </w:t>
      </w:r>
      <w:r w:rsidRPr="00CE15CF">
        <w:t xml:space="preserve">in use for 2011. This assumes that similar quantities of PFOA based concentrates were in use. </w:t>
      </w:r>
      <w:r w:rsidR="00EF4540" w:rsidRPr="00CE15CF">
        <w:t xml:space="preserve">Alternatively estimates by </w:t>
      </w:r>
      <w:proofErr w:type="spellStart"/>
      <w:r w:rsidR="00EF4540" w:rsidRPr="00CE15CF">
        <w:t>Prevedouros</w:t>
      </w:r>
      <w:proofErr w:type="spellEnd"/>
      <w:r w:rsidR="00EF4540" w:rsidRPr="00CE15CF">
        <w:t xml:space="preserve"> et al</w:t>
      </w:r>
      <w:r w:rsidR="002140CD" w:rsidRPr="00CE15CF">
        <w:t>.</w:t>
      </w:r>
      <w:r w:rsidR="00EF4540" w:rsidRPr="00CE15CF">
        <w:t xml:space="preserve"> (2006) state that between 1951–2004 global production of APFO was between 3,600–5,700 tonnes, assuming all of this was used in fire-fighting foams equates to between 51–490 million litres of APFO concentrate manufactured globally between 1951– 2004.</w:t>
      </w:r>
      <w:r w:rsidRPr="00CE15CF">
        <w:t xml:space="preserve">The FFFC (2016) </w:t>
      </w:r>
      <w:r w:rsidR="00947FC2" w:rsidRPr="00CE15CF">
        <w:t xml:space="preserve">developed a </w:t>
      </w:r>
      <w:r w:rsidRPr="00CE15CF">
        <w:t>best practice guidance for use of class B fire-fighting foams, which include PFOA based fire-fighting foams. This included selection of foams only where most needed and avoiding the use of class B fire-fighting foams for training</w:t>
      </w:r>
      <w:r w:rsidR="00947FC2" w:rsidRPr="00CE15CF">
        <w:t xml:space="preserve"> due to concerns over environmental pollution</w:t>
      </w:r>
      <w:r w:rsidRPr="00CE15CF">
        <w:t xml:space="preserve">. The best practice also included forward planning for facilities that use flammable liquids to put in place capture and containment systems for runoff. </w:t>
      </w:r>
      <w:r w:rsidR="00947FC2" w:rsidRPr="00CE15CF">
        <w:t>It is not clear how many facilities have implemented this part of the guidance. The</w:t>
      </w:r>
      <w:r w:rsidRPr="00CE15CF">
        <w:t xml:space="preserve"> </w:t>
      </w:r>
      <w:r w:rsidR="00557455" w:rsidRPr="00CE15CF">
        <w:t xml:space="preserve">FFFC </w:t>
      </w:r>
      <w:r w:rsidRPr="00CE15CF">
        <w:t xml:space="preserve">(2016) guidance does also indicate the variability of incidents and that capture of runoff is not possible in every situation. The guidance also provides details on suitable destruction for fire-fighting runoff and foam concentrates; with thermal destruction </w:t>
      </w:r>
      <w:r w:rsidR="00F42A56" w:rsidRPr="00CE15CF">
        <w:t xml:space="preserve">as </w:t>
      </w:r>
      <w:r w:rsidRPr="00CE15CF">
        <w:t xml:space="preserve">the preferred option. Klein (2013) provides indicative costs for destruction of foam concentrates at around €0.77 per litre or </w:t>
      </w:r>
      <w:r w:rsidR="007F2F4F">
        <w:br/>
      </w:r>
      <w:r w:rsidRPr="00CE15CF">
        <w:t>$1–1.5 Australian dollars per litre.</w:t>
      </w:r>
    </w:p>
    <w:p w14:paraId="299B4240" w14:textId="75DC2AA9" w:rsidR="00F93A5E" w:rsidRPr="00CE15CF" w:rsidRDefault="00F93A5E" w:rsidP="00CE15CF">
      <w:pPr>
        <w:pStyle w:val="Paralevel1"/>
      </w:pPr>
      <w:r w:rsidRPr="00CE15CF">
        <w:t xml:space="preserve">The </w:t>
      </w:r>
      <w:r w:rsidR="00897978" w:rsidRPr="00CE15CF">
        <w:t>RME</w:t>
      </w:r>
      <w:r w:rsidRPr="00CE15CF">
        <w:t xml:space="preserve"> details that multiple alternatives to PFOA based fire-fighting foams are already commercialised and readily available. This includes fluorinated options based around fluorotelomers (C6:2) and fluorine free alternatives. </w:t>
      </w:r>
      <w:r w:rsidR="00C36D34" w:rsidRPr="00CE15CF">
        <w:t>ECHA</w:t>
      </w:r>
      <w:r w:rsidRPr="00CE15CF">
        <w:t xml:space="preserve"> (ECHA, 2014</w:t>
      </w:r>
      <w:r w:rsidR="00897978" w:rsidRPr="00CE15CF">
        <w:t>a</w:t>
      </w:r>
      <w:r w:rsidRPr="00CE15CF">
        <w:t xml:space="preserve">) noted that the manufacture of fluorotelomer based fire-fighting foams can contain trace </w:t>
      </w:r>
      <w:r w:rsidRPr="00CE15CF">
        <w:lastRenderedPageBreak/>
        <w:t xml:space="preserve">amounts of PFOA as a by-product. The restriction sets limits of 25ppb for PFOA and 1000ppb for PFOA and </w:t>
      </w:r>
      <w:r w:rsidR="007F2F4F">
        <w:br/>
      </w:r>
      <w:r w:rsidRPr="00CE15CF">
        <w:t xml:space="preserve">PFOA-related compounds. </w:t>
      </w:r>
    </w:p>
    <w:p w14:paraId="44496C83" w14:textId="4623A07D" w:rsidR="00F93A5E" w:rsidRPr="00CE15CF" w:rsidRDefault="00F93A5E" w:rsidP="00CE15CF">
      <w:pPr>
        <w:pStyle w:val="Paralevel1"/>
      </w:pPr>
      <w:r w:rsidRPr="00CE15CF">
        <w:t xml:space="preserve">The </w:t>
      </w:r>
      <w:r w:rsidR="00897978" w:rsidRPr="00CE15CF">
        <w:t>RME</w:t>
      </w:r>
      <w:r w:rsidRPr="00CE15CF">
        <w:t xml:space="preserve"> provided details regarding groundwater contamination with </w:t>
      </w:r>
      <w:proofErr w:type="spellStart"/>
      <w:r w:rsidRPr="00CE15CF">
        <w:t>perfluorinated</w:t>
      </w:r>
      <w:proofErr w:type="spellEnd"/>
      <w:r w:rsidRPr="00CE15CF">
        <w:t xml:space="preserve"> fire-fighting foams (primarily PFOS) indicating the significant costs and efforts required to clean up contaminated sites and potential long</w:t>
      </w:r>
      <w:r w:rsidR="00994B60" w:rsidRPr="00CE15CF">
        <w:t>-</w:t>
      </w:r>
      <w:r w:rsidRPr="00CE15CF">
        <w:t>lasting effects of contamination. This included a case on the island of Jersey, where clean up options for contamination of an aquifer with PFOS based foams was in the order of £3.7</w:t>
      </w:r>
      <w:r w:rsidR="0055286C" w:rsidRPr="00CE15CF">
        <w:t>–</w:t>
      </w:r>
      <w:r w:rsidRPr="00CE15CF">
        <w:t>£30 million pounds. Other examples from the USA highlighted cases where groundwater contaminated with PFOS was still able to produ</w:t>
      </w:r>
      <w:r w:rsidR="001854E9" w:rsidRPr="00CE15CF">
        <w:t>ce foam when extracted 10–</w:t>
      </w:r>
      <w:r w:rsidRPr="00CE15CF">
        <w:t>5 years after contamination.</w:t>
      </w:r>
    </w:p>
    <w:p w14:paraId="4FD4C092" w14:textId="645BAC6E" w:rsidR="00F93A5E" w:rsidRPr="00CE15CF" w:rsidRDefault="00F93A5E" w:rsidP="00CE15CF">
      <w:pPr>
        <w:pStyle w:val="Paralevel1"/>
      </w:pPr>
      <w:r w:rsidRPr="00CE15CF">
        <w:t>Finally</w:t>
      </w:r>
      <w:r w:rsidR="00994B60" w:rsidRPr="00CE15CF">
        <w:t>,</w:t>
      </w:r>
      <w:r w:rsidRPr="00CE15CF">
        <w:t xml:space="preserve"> </w:t>
      </w:r>
      <w:r w:rsidR="00C36D34" w:rsidRPr="00CE15CF">
        <w:t>ECHA</w:t>
      </w:r>
      <w:r w:rsidRPr="00CE15CF">
        <w:t xml:space="preserve"> (ECHA, 2015</w:t>
      </w:r>
      <w:r w:rsidR="00897978" w:rsidRPr="00CE15CF">
        <w:t>a</w:t>
      </w:r>
      <w:r w:rsidRPr="00CE15CF">
        <w:t>) discusses the length of the derogation needed for PFOA based fire-fighting foam placed on the market.</w:t>
      </w:r>
      <w:r w:rsidR="006C51B0" w:rsidRPr="00CE15CF">
        <w:t xml:space="preserve"> Under the EU REACH restriction</w:t>
      </w:r>
      <w:r w:rsidR="00B86965" w:rsidRPr="00CE15CF">
        <w:t>,</w:t>
      </w:r>
      <w:r w:rsidR="006C51B0" w:rsidRPr="00CE15CF">
        <w:t xml:space="preserve"> a derogation was granted for fire-fighting foams (including concentrated solutions) placed on the market before 4 July 2020. Considering the shelf-life of fire-fighting foam mixtures, this means that they could be still used for 20 years.</w:t>
      </w:r>
      <w:r w:rsidR="002F5304" w:rsidRPr="00CE15CF">
        <w:t xml:space="preserve"> A similar exemption could be adopted for the Stockholm Convention</w:t>
      </w:r>
      <w:r w:rsidR="000E3897" w:rsidRPr="00CE15CF">
        <w:t>, although the continued dispersive use of a POP would not be consistent with the objectives of the Convention</w:t>
      </w:r>
      <w:r w:rsidRPr="00CE15CF">
        <w:t>. IPEN (2018) commented that the life span of foams varied depending on climate and storage and therefore a 20</w:t>
      </w:r>
      <w:r w:rsidR="00994B60" w:rsidRPr="00CE15CF">
        <w:t>-</w:t>
      </w:r>
      <w:r w:rsidRPr="00CE15CF">
        <w:t xml:space="preserve">year derogation would not be acceptable for the Stockholm Convention. The </w:t>
      </w:r>
      <w:r w:rsidR="00557455" w:rsidRPr="00CE15CF">
        <w:t xml:space="preserve">FFFC </w:t>
      </w:r>
      <w:r w:rsidRPr="00CE15CF">
        <w:t>(2016) state that foams do not have an expiry date but have a shelf life of 10</w:t>
      </w:r>
      <w:r w:rsidR="0055286C" w:rsidRPr="00CE15CF">
        <w:t>–</w:t>
      </w:r>
      <w:r w:rsidRPr="00CE15CF">
        <w:t>25 years.</w:t>
      </w:r>
    </w:p>
    <w:p w14:paraId="61EF01C6" w14:textId="34A02D76" w:rsidR="0039560D" w:rsidRPr="00CE15CF" w:rsidRDefault="0039560D" w:rsidP="00CE15CF">
      <w:pPr>
        <w:pStyle w:val="StyleHeading3h3123SecTimesNewRomanBold"/>
      </w:pPr>
      <w:bookmarkStart w:id="206" w:name="_Toc507149009"/>
      <w:bookmarkStart w:id="207" w:name="_Toc515267958"/>
      <w:r w:rsidRPr="00CE15CF">
        <w:t>Conclusion</w:t>
      </w:r>
      <w:bookmarkEnd w:id="206"/>
      <w:bookmarkEnd w:id="207"/>
    </w:p>
    <w:p w14:paraId="72805AFD" w14:textId="2E381EC6" w:rsidR="002A73D6" w:rsidRPr="00CE15CF" w:rsidRDefault="004473EE" w:rsidP="00CE15CF">
      <w:pPr>
        <w:pStyle w:val="Paralevel1"/>
      </w:pPr>
      <w:r w:rsidRPr="00CE15CF">
        <w:t xml:space="preserve">Based on the information compiled and reviewed within the RME, the size of in-use stockpiles </w:t>
      </w:r>
      <w:r w:rsidR="00A42BE5" w:rsidRPr="00CE15CF">
        <w:t xml:space="preserve">for </w:t>
      </w:r>
      <w:r w:rsidR="00D95312" w:rsidRPr="00CE15CF">
        <w:t xml:space="preserve">PFOA based fire-fighting foams </w:t>
      </w:r>
      <w:r w:rsidRPr="00CE15CF">
        <w:t>may be significant</w:t>
      </w:r>
      <w:r w:rsidR="00E224B1" w:rsidRPr="00CE15CF">
        <w:t xml:space="preserve">, while PFOA and PFOA-related compounds can also be present as a </w:t>
      </w:r>
      <w:r w:rsidR="003D6476">
        <w:br/>
      </w:r>
      <w:r w:rsidR="00E224B1" w:rsidRPr="00CE15CF">
        <w:t>by-product in shorter chain C</w:t>
      </w:r>
      <w:r w:rsidR="00E224B1" w:rsidRPr="00CE15CF">
        <w:rPr>
          <w:vertAlign w:val="subscript"/>
        </w:rPr>
        <w:t>6</w:t>
      </w:r>
      <w:r w:rsidR="00E224B1" w:rsidRPr="00CE15CF">
        <w:t xml:space="preserve"> telomer technologies. </w:t>
      </w:r>
      <w:r w:rsidR="00C26551" w:rsidRPr="00CE15CF">
        <w:t xml:space="preserve">Concerns have also been highlighted about the mobility and potential environmental impacts of shorter chain </w:t>
      </w:r>
      <w:proofErr w:type="spellStart"/>
      <w:r w:rsidR="00C26551" w:rsidRPr="00CE15CF">
        <w:t>perfluorinated</w:t>
      </w:r>
      <w:proofErr w:type="spellEnd"/>
      <w:r w:rsidR="00C26551" w:rsidRPr="00CE15CF">
        <w:t xml:space="preserve"> compounds in fire-fighting foams</w:t>
      </w:r>
      <w:r w:rsidR="008D3643" w:rsidRPr="00CE15CF">
        <w:t xml:space="preserve"> including high costs of clean-up</w:t>
      </w:r>
      <w:r w:rsidR="008854EF" w:rsidRPr="00CE15CF">
        <w:t xml:space="preserve"> (Klein, 2013)</w:t>
      </w:r>
      <w:r w:rsidR="00C26551" w:rsidRPr="00CE15CF">
        <w:t xml:space="preserve">. The Committee should </w:t>
      </w:r>
      <w:r w:rsidR="00304E99" w:rsidRPr="00CE15CF">
        <w:t xml:space="preserve">consider whether </w:t>
      </w:r>
      <w:r w:rsidR="00C26551" w:rsidRPr="00CE15CF">
        <w:t>the non-fluorinated alternatives already commercialised and in use can replace the fluorine-based AFFFs for all uses</w:t>
      </w:r>
      <w:r w:rsidR="007360EF" w:rsidRPr="00CE15CF">
        <w:t xml:space="preserve"> and the issues surrounding existing stockpiles as two separate elements</w:t>
      </w:r>
      <w:r w:rsidR="00C26551" w:rsidRPr="00CE15CF">
        <w:t xml:space="preserve">. On this basis, the Committee should </w:t>
      </w:r>
      <w:r w:rsidR="007360EF" w:rsidRPr="00CE15CF">
        <w:t xml:space="preserve">formulate a recommendation that covers both </w:t>
      </w:r>
      <w:r w:rsidR="00C26551" w:rsidRPr="00CE15CF">
        <w:t xml:space="preserve">PFOA and PFOA-related </w:t>
      </w:r>
      <w:r w:rsidR="00B67730" w:rsidRPr="00CE15CF">
        <w:t xml:space="preserve">compounds within </w:t>
      </w:r>
      <w:r w:rsidR="00C26551" w:rsidRPr="00CE15CF">
        <w:t xml:space="preserve">fire-fighting foams </w:t>
      </w:r>
      <w:r w:rsidR="007360EF" w:rsidRPr="00CE15CF">
        <w:t>and existing stockpiles</w:t>
      </w:r>
      <w:r w:rsidR="00C26551" w:rsidRPr="00CE15CF">
        <w:t>.</w:t>
      </w:r>
    </w:p>
    <w:p w14:paraId="729DE9D0" w14:textId="009FE423" w:rsidR="002A73D6" w:rsidRPr="00CE15CF" w:rsidRDefault="002A73D6" w:rsidP="00CE15CF">
      <w:pPr>
        <w:pStyle w:val="Heading1"/>
        <w:keepLines/>
        <w:pageBreakBefore w:val="0"/>
        <w:tabs>
          <w:tab w:val="clear" w:pos="432"/>
          <w:tab w:val="left" w:pos="624"/>
        </w:tabs>
        <w:spacing w:before="240" w:line="240" w:lineRule="auto"/>
        <w:ind w:left="1253" w:hanging="1253"/>
        <w:jc w:val="left"/>
        <w:rPr>
          <w:sz w:val="28"/>
        </w:rPr>
      </w:pPr>
      <w:bookmarkStart w:id="208" w:name="_Toc506913555"/>
      <w:bookmarkStart w:id="209" w:name="_Toc507149010"/>
      <w:bookmarkStart w:id="210" w:name="_Toc515267959"/>
      <w:r w:rsidRPr="00CE15CF">
        <w:rPr>
          <w:sz w:val="28"/>
        </w:rPr>
        <w:t>Synthesis of information</w:t>
      </w:r>
      <w:bookmarkEnd w:id="208"/>
      <w:bookmarkEnd w:id="209"/>
      <w:bookmarkEnd w:id="210"/>
    </w:p>
    <w:p w14:paraId="415967E0" w14:textId="74A0136D" w:rsidR="00706214" w:rsidRPr="00CE15CF" w:rsidRDefault="009E5FF6" w:rsidP="00CE15CF">
      <w:pPr>
        <w:pStyle w:val="Heading2"/>
        <w:tabs>
          <w:tab w:val="clear" w:pos="756"/>
          <w:tab w:val="left" w:pos="630"/>
          <w:tab w:val="left" w:pos="851"/>
          <w:tab w:val="left" w:pos="1440"/>
        </w:tabs>
        <w:spacing w:before="240" w:after="120" w:line="240" w:lineRule="auto"/>
        <w:ind w:left="1248" w:hanging="1248"/>
        <w:jc w:val="left"/>
        <w:rPr>
          <w:sz w:val="24"/>
          <w:szCs w:val="24"/>
        </w:rPr>
      </w:pPr>
      <w:bookmarkStart w:id="211" w:name="_Toc507149011"/>
      <w:bookmarkStart w:id="212" w:name="_Toc515267960"/>
      <w:r w:rsidRPr="00CE15CF">
        <w:rPr>
          <w:sz w:val="24"/>
          <w:szCs w:val="24"/>
        </w:rPr>
        <w:t>Summary of i</w:t>
      </w:r>
      <w:r w:rsidR="00706214" w:rsidRPr="00CE15CF">
        <w:rPr>
          <w:sz w:val="24"/>
          <w:szCs w:val="24"/>
        </w:rPr>
        <w:t xml:space="preserve">nformation </w:t>
      </w:r>
      <w:r w:rsidRPr="00CE15CF">
        <w:rPr>
          <w:sz w:val="24"/>
          <w:szCs w:val="24"/>
        </w:rPr>
        <w:t xml:space="preserve">and concluding statement </w:t>
      </w:r>
      <w:r w:rsidR="00A13B24" w:rsidRPr="00CE15CF">
        <w:rPr>
          <w:sz w:val="24"/>
          <w:szCs w:val="24"/>
        </w:rPr>
        <w:t>for uses</w:t>
      </w:r>
      <w:bookmarkEnd w:id="211"/>
      <w:bookmarkEnd w:id="212"/>
      <w:r w:rsidR="00706214" w:rsidRPr="00CE15CF">
        <w:rPr>
          <w:sz w:val="24"/>
          <w:szCs w:val="24"/>
        </w:rPr>
        <w:t xml:space="preserve"> </w:t>
      </w:r>
    </w:p>
    <w:p w14:paraId="65073A75" w14:textId="6D29AB71" w:rsidR="007913C7" w:rsidRPr="00CE15CF" w:rsidRDefault="007913C7" w:rsidP="00CE15CF">
      <w:pPr>
        <w:pStyle w:val="Paralevel1"/>
      </w:pPr>
      <w:r w:rsidRPr="00CE15CF">
        <w:t>The Committee invited Parties and observers, including the relevant industries, to provide information that would assist the possible defining by the Committee of specific exemptions for production and use of PFOA, its salts and PFOA-related compounds</w:t>
      </w:r>
      <w:r w:rsidR="009E5FF6" w:rsidRPr="00CE15CF">
        <w:t xml:space="preserve">. </w:t>
      </w:r>
      <w:r w:rsidRPr="00CE15CF">
        <w:t xml:space="preserve">Table 5.1 </w:t>
      </w:r>
      <w:r w:rsidR="009B0640" w:rsidRPr="00CE15CF">
        <w:t xml:space="preserve">in appendix II to the present document </w:t>
      </w:r>
      <w:r w:rsidR="009E5FF6" w:rsidRPr="00CE15CF">
        <w:t xml:space="preserve">provides a summary of key information within </w:t>
      </w:r>
      <w:r w:rsidR="00A72BD3" w:rsidRPr="00CE15CF">
        <w:t>the current document</w:t>
      </w:r>
      <w:r w:rsidR="009E5FF6" w:rsidRPr="00CE15CF">
        <w:t xml:space="preserve"> and concluding statements.</w:t>
      </w:r>
    </w:p>
    <w:p w14:paraId="6B946320" w14:textId="05C71203" w:rsidR="00706214" w:rsidRPr="00CE15CF" w:rsidRDefault="00B34EEC" w:rsidP="00CE15CF">
      <w:pPr>
        <w:pStyle w:val="Heading2"/>
        <w:tabs>
          <w:tab w:val="clear" w:pos="756"/>
          <w:tab w:val="left" w:pos="630"/>
          <w:tab w:val="left" w:pos="851"/>
          <w:tab w:val="left" w:pos="1440"/>
        </w:tabs>
        <w:spacing w:before="240" w:after="120" w:line="240" w:lineRule="auto"/>
        <w:ind w:left="1248" w:hanging="1248"/>
        <w:jc w:val="left"/>
        <w:rPr>
          <w:sz w:val="24"/>
          <w:szCs w:val="24"/>
        </w:rPr>
      </w:pPr>
      <w:bookmarkStart w:id="213" w:name="_Toc507149012"/>
      <w:bookmarkStart w:id="214" w:name="_Toc515267961"/>
      <w:r w:rsidRPr="00CE15CF">
        <w:rPr>
          <w:sz w:val="24"/>
          <w:szCs w:val="24"/>
        </w:rPr>
        <w:t>Discussion on</w:t>
      </w:r>
      <w:r w:rsidR="00706214" w:rsidRPr="00CE15CF">
        <w:rPr>
          <w:sz w:val="24"/>
          <w:szCs w:val="24"/>
        </w:rPr>
        <w:t xml:space="preserve"> listing in Annex A/B</w:t>
      </w:r>
      <w:bookmarkEnd w:id="213"/>
      <w:bookmarkEnd w:id="214"/>
      <w:r w:rsidR="00706214" w:rsidRPr="00CE15CF">
        <w:rPr>
          <w:sz w:val="24"/>
          <w:szCs w:val="24"/>
        </w:rPr>
        <w:t xml:space="preserve"> </w:t>
      </w:r>
    </w:p>
    <w:p w14:paraId="724C7C6A" w14:textId="18A27E50" w:rsidR="007913C7" w:rsidRPr="00CE15CF" w:rsidRDefault="007913C7" w:rsidP="00CE15CF">
      <w:pPr>
        <w:pStyle w:val="Paralevel1"/>
      </w:pPr>
      <w:r w:rsidRPr="00CE15CF">
        <w:t xml:space="preserve">The </w:t>
      </w:r>
      <w:r w:rsidR="00810561" w:rsidRPr="00CE15CF">
        <w:t>invitation to Parties and observers</w:t>
      </w:r>
      <w:r w:rsidRPr="00CE15CF">
        <w:t xml:space="preserve"> to submit information on the additional uses discussed within </w:t>
      </w:r>
      <w:r w:rsidR="00A72BD3" w:rsidRPr="00CE15CF">
        <w:t>the current document</w:t>
      </w:r>
      <w:r w:rsidRPr="00CE15CF">
        <w:t xml:space="preserve"> is intended to assist the </w:t>
      </w:r>
      <w:r w:rsidR="00CE1235" w:rsidRPr="00CE15CF">
        <w:t>Committee</w:t>
      </w:r>
      <w:r w:rsidRPr="00CE15CF">
        <w:t xml:space="preserve"> in reaching a decision on whether exemption</w:t>
      </w:r>
      <w:r w:rsidR="004C6710" w:rsidRPr="00CE15CF">
        <w:t>s are</w:t>
      </w:r>
      <w:r w:rsidRPr="00CE15CF">
        <w:t xml:space="preserve"> needed, and whether th</w:t>
      </w:r>
      <w:r w:rsidR="004C6710" w:rsidRPr="00CE15CF">
        <w:t>ose</w:t>
      </w:r>
      <w:r w:rsidRPr="00CE15CF">
        <w:t xml:space="preserve"> exemption</w:t>
      </w:r>
      <w:r w:rsidR="004C6710" w:rsidRPr="00CE15CF">
        <w:t>s</w:t>
      </w:r>
      <w:r w:rsidRPr="00CE15CF">
        <w:t xml:space="preserve"> should be a specific exemption (time-limited) or acceptable purpose (non-time limited). Based on a review of the information submitted and the RME, work is already ongoing for many of the applications identified to develop and commercialise alternatives to PFOA, its salts or PFOA-related compounds</w:t>
      </w:r>
      <w:r w:rsidR="004C6710" w:rsidRPr="00CE15CF">
        <w:t xml:space="preserve">, with </w:t>
      </w:r>
      <w:proofErr w:type="gramStart"/>
      <w:r w:rsidR="004C6710" w:rsidRPr="00CE15CF">
        <w:t>a number of</w:t>
      </w:r>
      <w:proofErr w:type="gramEnd"/>
      <w:r w:rsidR="004C6710" w:rsidRPr="00CE15CF">
        <w:t xml:space="preserve"> alternatives already in use</w:t>
      </w:r>
      <w:r w:rsidRPr="00CE15CF">
        <w:t>.</w:t>
      </w:r>
    </w:p>
    <w:p w14:paraId="7B4DD588" w14:textId="2CD4702C" w:rsidR="007913C7" w:rsidRPr="00CE15CF" w:rsidRDefault="007913C7" w:rsidP="00CE15CF">
      <w:pPr>
        <w:pStyle w:val="Paralevel1"/>
      </w:pPr>
      <w:r w:rsidRPr="00CE15CF">
        <w:t>Furthermore</w:t>
      </w:r>
      <w:r w:rsidR="00DC16A7" w:rsidRPr="00CE15CF">
        <w:t>,</w:t>
      </w:r>
      <w:r w:rsidRPr="00CE15CF">
        <w:t xml:space="preserve"> the European restriction for PFOA, its salts and PFOA-related compounds (EU 2017/1000 amending EC 1907/2006) grants only one use, implantable medical devices, with a non-time limited exemption. Canada also has a non-time limited exemption for fire-fighting foams (RME). The information from </w:t>
      </w:r>
      <w:proofErr w:type="spellStart"/>
      <w:r w:rsidR="00413D59" w:rsidRPr="00CE15CF">
        <w:t>MedTech</w:t>
      </w:r>
      <w:proofErr w:type="spellEnd"/>
      <w:r w:rsidRPr="00CE15CF">
        <w:t xml:space="preserve"> </w:t>
      </w:r>
      <w:r w:rsidR="00E04FC1" w:rsidRPr="00CE15CF">
        <w:t xml:space="preserve">Europe </w:t>
      </w:r>
      <w:r w:rsidRPr="00CE15CF">
        <w:t xml:space="preserve">(2018) suggests the transition for implantable medical devices will be complete by 2030. For fire-fighting foams, alternatives are already in use globally (see section 4.8) with the main obstacle being economic management of in-use stocks. </w:t>
      </w:r>
    </w:p>
    <w:p w14:paraId="7405B951" w14:textId="1D9026CC" w:rsidR="007913C7" w:rsidRPr="00CE15CF" w:rsidRDefault="007913C7" w:rsidP="00CE15CF">
      <w:pPr>
        <w:pStyle w:val="Paralevel1"/>
      </w:pPr>
      <w:proofErr w:type="gramStart"/>
      <w:r w:rsidRPr="00CE15CF">
        <w:t>On the basis of</w:t>
      </w:r>
      <w:proofErr w:type="gramEnd"/>
      <w:r w:rsidRPr="00CE15CF">
        <w:t xml:space="preserve"> the information reviewed and compiled within </w:t>
      </w:r>
      <w:r w:rsidR="00A72BD3" w:rsidRPr="00CE15CF">
        <w:t>the current document</w:t>
      </w:r>
      <w:r w:rsidRPr="00CE15CF">
        <w:t>, the exemptions that may be required all relate to time-limited options, which best match specific exemptions under the Convention with no uses identified needing an acceptable purpose. On that basis</w:t>
      </w:r>
      <w:r w:rsidR="00DC16A7" w:rsidRPr="00CE15CF">
        <w:t>,</w:t>
      </w:r>
      <w:r w:rsidRPr="00CE15CF">
        <w:t xml:space="preserve"> it can be concluded that a listing</w:t>
      </w:r>
      <w:r w:rsidR="004A696C" w:rsidRPr="00CE15CF">
        <w:t xml:space="preserve"> of PFOA, its salts and PFOA-related compounds</w:t>
      </w:r>
      <w:r w:rsidRPr="00CE15CF">
        <w:t xml:space="preserve"> </w:t>
      </w:r>
      <w:r w:rsidR="00E92D98" w:rsidRPr="00CE15CF">
        <w:t xml:space="preserve">in </w:t>
      </w:r>
      <w:r w:rsidRPr="00CE15CF">
        <w:t xml:space="preserve">Annex A is most appropriate. </w:t>
      </w:r>
    </w:p>
    <w:p w14:paraId="251FE89E" w14:textId="071DAB0C" w:rsidR="00D519A6" w:rsidRPr="00CE15CF" w:rsidRDefault="00D519A6" w:rsidP="00CE15CF">
      <w:pPr>
        <w:pStyle w:val="Paralevel1"/>
        <w:numPr>
          <w:ilvl w:val="0"/>
          <w:numId w:val="0"/>
        </w:numPr>
        <w:ind w:left="284"/>
      </w:pPr>
    </w:p>
    <w:p w14:paraId="1238CCD9" w14:textId="1E3CFF6E" w:rsidR="00706214" w:rsidRPr="00CE15CF" w:rsidRDefault="00706214" w:rsidP="00CE15CF">
      <w:pPr>
        <w:rPr>
          <w:rFonts w:eastAsia="Times New Roman"/>
          <w:sz w:val="20"/>
          <w:szCs w:val="20"/>
          <w:lang w:eastAsia="en-US"/>
        </w:rPr>
      </w:pPr>
      <w:r w:rsidRPr="00CE15CF">
        <w:rPr>
          <w:rFonts w:eastAsia="Times New Roman"/>
          <w:b/>
          <w:bCs/>
          <w:sz w:val="20"/>
          <w:lang w:eastAsia="en-US"/>
        </w:rPr>
        <w:br w:type="page"/>
      </w:r>
    </w:p>
    <w:bookmarkEnd w:id="0"/>
    <w:p w14:paraId="5520C6DE" w14:textId="029D004D" w:rsidR="00A2605E" w:rsidRPr="00CE15CF" w:rsidRDefault="000325FD" w:rsidP="00CE15CF">
      <w:pPr>
        <w:rPr>
          <w:b/>
          <w:sz w:val="28"/>
        </w:rPr>
      </w:pPr>
      <w:r w:rsidRPr="00CE15CF">
        <w:rPr>
          <w:b/>
          <w:sz w:val="28"/>
        </w:rPr>
        <w:lastRenderedPageBreak/>
        <w:t>Appendix</w:t>
      </w:r>
      <w:r w:rsidR="009B0640" w:rsidRPr="00CE15CF">
        <w:rPr>
          <w:b/>
          <w:sz w:val="28"/>
        </w:rPr>
        <w:t xml:space="preserve"> I</w:t>
      </w:r>
    </w:p>
    <w:p w14:paraId="30262065" w14:textId="4656BB0F" w:rsidR="000325FD" w:rsidRPr="00CE15CF" w:rsidRDefault="000325FD" w:rsidP="00CE15CF">
      <w:pPr>
        <w:rPr>
          <w:b/>
          <w:sz w:val="28"/>
        </w:rPr>
      </w:pPr>
    </w:p>
    <w:p w14:paraId="5E957B53" w14:textId="33715C73" w:rsidR="00BB16C3" w:rsidRPr="00CE15CF" w:rsidRDefault="00E779AD" w:rsidP="00CE15CF">
      <w:pPr>
        <w:pStyle w:val="Titletable"/>
        <w:ind w:left="0"/>
      </w:pPr>
      <w:r w:rsidRPr="00CE15CF">
        <w:rPr>
          <w:sz w:val="24"/>
        </w:rPr>
        <w:t>Overview of regulatory risk management approaches, their chemical scope and exemptions for uses related to PFOA, its salts and PFOA-related compounds in Canada, the EU and Norway</w:t>
      </w:r>
      <w:r w:rsidRPr="00CE15CF">
        <w:t xml:space="preserve"> </w:t>
      </w:r>
    </w:p>
    <w:p w14:paraId="09E71F55" w14:textId="77777777" w:rsidR="00BB16C3" w:rsidRPr="00CE15CF" w:rsidRDefault="00E779AD" w:rsidP="00CE15CF">
      <w:pPr>
        <w:pStyle w:val="Titletable"/>
        <w:ind w:left="0"/>
      </w:pPr>
      <w:r w:rsidRPr="00CE15CF">
        <w:t>(for details see Canada, 2016c, European Commission, 2017 and Norway, 2016)</w:t>
      </w:r>
      <w:r w:rsidR="00A24434" w:rsidRPr="00CE15CF">
        <w:t xml:space="preserve"> </w:t>
      </w:r>
    </w:p>
    <w:p w14:paraId="7735B9F3" w14:textId="1B89F30D" w:rsidR="00E779AD" w:rsidRPr="00CE15CF" w:rsidRDefault="00A24434" w:rsidP="00CE15CF">
      <w:pPr>
        <w:pStyle w:val="Titletable"/>
        <w:ind w:left="0"/>
      </w:pPr>
      <w:r w:rsidRPr="00CE15CF">
        <w:t xml:space="preserve">Table 3 of </w:t>
      </w:r>
      <w:r w:rsidR="00F42A56" w:rsidRPr="00CE15CF">
        <w:t xml:space="preserve">the </w:t>
      </w:r>
      <w:r w:rsidR="00ED3CE5" w:rsidRPr="00CE15CF">
        <w:t xml:space="preserve">RME </w:t>
      </w:r>
      <w:r w:rsidR="00F42A56" w:rsidRPr="00CE15CF">
        <w:t xml:space="preserve">set out </w:t>
      </w:r>
      <w:r w:rsidR="00ED3CE5" w:rsidRPr="00CE15CF">
        <w:t xml:space="preserve">in </w:t>
      </w:r>
      <w:r w:rsidR="006F7240" w:rsidRPr="00CE15CF">
        <w:t xml:space="preserve">document </w:t>
      </w:r>
      <w:r w:rsidRPr="00CE15CF">
        <w:t>UNEP/POPS/POPRC.13/7/Add.2</w:t>
      </w:r>
    </w:p>
    <w:tbl>
      <w:tblPr>
        <w:tblStyle w:val="TableGrid"/>
        <w:tblW w:w="5000" w:type="pct"/>
        <w:tblLook w:val="04A0" w:firstRow="1" w:lastRow="0" w:firstColumn="1" w:lastColumn="0" w:noHBand="0" w:noVBand="1"/>
      </w:tblPr>
      <w:tblGrid>
        <w:gridCol w:w="1787"/>
        <w:gridCol w:w="2168"/>
        <w:gridCol w:w="3239"/>
        <w:gridCol w:w="2292"/>
      </w:tblGrid>
      <w:tr w:rsidR="006966F5" w:rsidRPr="00CE15CF" w14:paraId="1F079588" w14:textId="77777777" w:rsidTr="006966F5">
        <w:trPr>
          <w:cantSplit/>
          <w:tblHeader/>
        </w:trPr>
        <w:tc>
          <w:tcPr>
            <w:tcW w:w="942" w:type="pct"/>
            <w:shd w:val="clear" w:color="auto" w:fill="D9D9D9" w:themeFill="background1" w:themeFillShade="D9"/>
          </w:tcPr>
          <w:p w14:paraId="632BA506" w14:textId="77777777" w:rsidR="00E779AD" w:rsidRPr="00CE15CF" w:rsidRDefault="00E779AD" w:rsidP="00CE15CF">
            <w:pPr>
              <w:pStyle w:val="Paralevel2"/>
              <w:spacing w:after="120"/>
            </w:pPr>
          </w:p>
        </w:tc>
        <w:tc>
          <w:tcPr>
            <w:tcW w:w="1143" w:type="pct"/>
            <w:shd w:val="clear" w:color="auto" w:fill="D9D9D9" w:themeFill="background1" w:themeFillShade="D9"/>
          </w:tcPr>
          <w:p w14:paraId="1C66C780" w14:textId="77777777" w:rsidR="00E779AD" w:rsidRPr="00CE15CF" w:rsidRDefault="00E779AD" w:rsidP="00CE15CF">
            <w:pPr>
              <w:pStyle w:val="Paralevel2"/>
              <w:spacing w:after="120"/>
              <w:rPr>
                <w:b/>
              </w:rPr>
            </w:pPr>
            <w:r w:rsidRPr="00CE15CF">
              <w:rPr>
                <w:b/>
              </w:rPr>
              <w:t>Canada</w:t>
            </w:r>
          </w:p>
        </w:tc>
        <w:tc>
          <w:tcPr>
            <w:tcW w:w="1707" w:type="pct"/>
            <w:shd w:val="clear" w:color="auto" w:fill="D9D9D9" w:themeFill="background1" w:themeFillShade="D9"/>
          </w:tcPr>
          <w:p w14:paraId="2E0037B1" w14:textId="77777777" w:rsidR="00E779AD" w:rsidRPr="00CE15CF" w:rsidRDefault="00E779AD" w:rsidP="00CE15CF">
            <w:pPr>
              <w:pStyle w:val="Paralevel2"/>
              <w:spacing w:after="120"/>
              <w:rPr>
                <w:b/>
              </w:rPr>
            </w:pPr>
            <w:r w:rsidRPr="00CE15CF">
              <w:rPr>
                <w:b/>
              </w:rPr>
              <w:t>EU</w:t>
            </w:r>
          </w:p>
        </w:tc>
        <w:tc>
          <w:tcPr>
            <w:tcW w:w="1208" w:type="pct"/>
            <w:shd w:val="clear" w:color="auto" w:fill="D9D9D9" w:themeFill="background1" w:themeFillShade="D9"/>
          </w:tcPr>
          <w:p w14:paraId="596551FF" w14:textId="77777777" w:rsidR="00E779AD" w:rsidRPr="00CE15CF" w:rsidRDefault="00E779AD" w:rsidP="00CE15CF">
            <w:pPr>
              <w:pStyle w:val="Paralevel2"/>
              <w:spacing w:after="120"/>
              <w:rPr>
                <w:b/>
              </w:rPr>
            </w:pPr>
            <w:r w:rsidRPr="00CE15CF">
              <w:rPr>
                <w:b/>
              </w:rPr>
              <w:t>Norway</w:t>
            </w:r>
          </w:p>
        </w:tc>
      </w:tr>
      <w:tr w:rsidR="001B62B3" w:rsidRPr="00CE15CF" w14:paraId="244FC111" w14:textId="77777777" w:rsidTr="00D87E18">
        <w:trPr>
          <w:cantSplit/>
        </w:trPr>
        <w:tc>
          <w:tcPr>
            <w:tcW w:w="942" w:type="pct"/>
          </w:tcPr>
          <w:p w14:paraId="0100397C" w14:textId="77777777" w:rsidR="00E779AD" w:rsidRPr="00CE15CF" w:rsidRDefault="00E779AD" w:rsidP="00CE15CF">
            <w:pPr>
              <w:pStyle w:val="Paralevel2"/>
              <w:spacing w:after="120"/>
            </w:pPr>
          </w:p>
        </w:tc>
        <w:tc>
          <w:tcPr>
            <w:tcW w:w="1143" w:type="pct"/>
          </w:tcPr>
          <w:p w14:paraId="00A9EA92" w14:textId="77777777" w:rsidR="00E779AD" w:rsidRPr="00CE15CF" w:rsidRDefault="00E779AD" w:rsidP="00CE15CF">
            <w:pPr>
              <w:pStyle w:val="Paralevel2"/>
              <w:spacing w:after="120"/>
            </w:pPr>
            <w:r w:rsidRPr="00CE15CF">
              <w:t>Prohibit manufacture, use, sale, offer for sale or import of the substances and products containing these substances</w:t>
            </w:r>
          </w:p>
        </w:tc>
        <w:tc>
          <w:tcPr>
            <w:tcW w:w="1707" w:type="pct"/>
          </w:tcPr>
          <w:p w14:paraId="11989013" w14:textId="77777777" w:rsidR="00E779AD" w:rsidRPr="00CE15CF" w:rsidRDefault="00E779AD" w:rsidP="00CE15CF">
            <w:pPr>
              <w:pStyle w:val="Paralevel2"/>
              <w:spacing w:after="120"/>
            </w:pPr>
            <w:r w:rsidRPr="00CE15CF">
              <w:t>Prohibit manufacturing, use or placing on the market (1) as substances, as constituents of other substances and (2) articles or any parts thereof containing one of the substances</w:t>
            </w:r>
          </w:p>
        </w:tc>
        <w:tc>
          <w:tcPr>
            <w:tcW w:w="1208" w:type="pct"/>
          </w:tcPr>
          <w:p w14:paraId="24DBEE40" w14:textId="26132F9B" w:rsidR="00E779AD" w:rsidRPr="00CE15CF" w:rsidRDefault="00E779AD" w:rsidP="00CE15CF">
            <w:pPr>
              <w:pStyle w:val="Paralevel2"/>
              <w:spacing w:after="120"/>
            </w:pPr>
            <w:r w:rsidRPr="00CE15CF">
              <w:t>Prohibit to manufacture, import, export and make available on the market (1) textiles, carpets and other coated consumer products that contain the substances and (2) consumer products that contain the substances</w:t>
            </w:r>
          </w:p>
        </w:tc>
      </w:tr>
      <w:tr w:rsidR="001B62B3" w:rsidRPr="00CE15CF" w14:paraId="6180AAB6" w14:textId="77777777" w:rsidTr="00D87E18">
        <w:trPr>
          <w:cantSplit/>
        </w:trPr>
        <w:tc>
          <w:tcPr>
            <w:tcW w:w="942" w:type="pct"/>
          </w:tcPr>
          <w:p w14:paraId="22AE60AA" w14:textId="77777777" w:rsidR="00E779AD" w:rsidRPr="00CE15CF" w:rsidRDefault="00E779AD" w:rsidP="00CE15CF">
            <w:pPr>
              <w:pStyle w:val="Paralevel2"/>
              <w:spacing w:after="120"/>
            </w:pPr>
            <w:r w:rsidRPr="00CE15CF">
              <w:t>Chemical scope</w:t>
            </w:r>
          </w:p>
        </w:tc>
        <w:tc>
          <w:tcPr>
            <w:tcW w:w="1143" w:type="pct"/>
          </w:tcPr>
          <w:p w14:paraId="16BF0D6C" w14:textId="77777777" w:rsidR="00E779AD" w:rsidRPr="00CE15CF" w:rsidRDefault="00E779AD" w:rsidP="00CE15CF">
            <w:pPr>
              <w:pStyle w:val="Paralevel2"/>
              <w:spacing w:after="120"/>
            </w:pPr>
            <w:r w:rsidRPr="00CE15CF">
              <w:t>PFOA and its salts;</w:t>
            </w:r>
          </w:p>
          <w:p w14:paraId="3A72B825" w14:textId="77777777" w:rsidR="00E779AD" w:rsidRPr="00CE15CF" w:rsidRDefault="00E779AD" w:rsidP="00CE15CF">
            <w:pPr>
              <w:pStyle w:val="Paralevel2"/>
              <w:spacing w:after="120"/>
            </w:pPr>
            <w:r w:rsidRPr="00CE15CF">
              <w:rPr>
                <w:lang w:eastAsia="en-US"/>
              </w:rPr>
              <w:t xml:space="preserve">Compounds that consist of a </w:t>
            </w:r>
            <w:proofErr w:type="spellStart"/>
            <w:r w:rsidRPr="00CE15CF">
              <w:rPr>
                <w:lang w:eastAsia="en-US"/>
              </w:rPr>
              <w:t>perfluorinated</w:t>
            </w:r>
            <w:proofErr w:type="spellEnd"/>
            <w:r w:rsidRPr="00CE15CF">
              <w:rPr>
                <w:lang w:eastAsia="en-US"/>
              </w:rPr>
              <w:t xml:space="preserve"> alkyl group that has the molecular formula C</w:t>
            </w:r>
            <w:r w:rsidRPr="00CE15CF">
              <w:rPr>
                <w:vertAlign w:val="subscript"/>
                <w:lang w:eastAsia="en-US"/>
              </w:rPr>
              <w:t>n</w:t>
            </w:r>
            <w:r w:rsidRPr="00CE15CF">
              <w:rPr>
                <w:lang w:eastAsia="en-US"/>
              </w:rPr>
              <w:t>F</w:t>
            </w:r>
            <w:r w:rsidRPr="00CE15CF">
              <w:rPr>
                <w:vertAlign w:val="subscript"/>
                <w:lang w:eastAsia="en-US"/>
              </w:rPr>
              <w:t xml:space="preserve">2n+1 </w:t>
            </w:r>
            <w:r w:rsidRPr="00CE15CF">
              <w:rPr>
                <w:lang w:eastAsia="en-US"/>
              </w:rPr>
              <w:t>in which n=7 or 8 and that is directly bonded to any chemical moiety other than a fluorine, chlorine or bromine atom</w:t>
            </w:r>
            <w:r w:rsidRPr="00CE15CF">
              <w:t xml:space="preserve">; </w:t>
            </w:r>
          </w:p>
          <w:p w14:paraId="5E0F45B5" w14:textId="77777777" w:rsidR="00E779AD" w:rsidRPr="00CE15CF" w:rsidRDefault="00E779AD" w:rsidP="00CE15CF">
            <w:pPr>
              <w:pStyle w:val="Paralevel2"/>
              <w:spacing w:after="120"/>
            </w:pPr>
            <w:proofErr w:type="spellStart"/>
            <w:r w:rsidRPr="00CE15CF">
              <w:t>Perfluorocarboxylic</w:t>
            </w:r>
            <w:proofErr w:type="spellEnd"/>
            <w:r w:rsidRPr="00CE15CF">
              <w:t xml:space="preserve"> acids that have the molecular formula C</w:t>
            </w:r>
            <w:r w:rsidRPr="00CE15CF">
              <w:rPr>
                <w:vertAlign w:val="subscript"/>
              </w:rPr>
              <w:t>n</w:t>
            </w:r>
            <w:r w:rsidRPr="00CE15CF">
              <w:t>F</w:t>
            </w:r>
            <w:r w:rsidRPr="00CE15CF">
              <w:rPr>
                <w:vertAlign w:val="subscript"/>
              </w:rPr>
              <w:t>2n+1</w:t>
            </w:r>
            <w:r w:rsidRPr="00CE15CF">
              <w:t>CO</w:t>
            </w:r>
            <w:r w:rsidRPr="00CE15CF">
              <w:rPr>
                <w:vertAlign w:val="subscript"/>
              </w:rPr>
              <w:t>2</w:t>
            </w:r>
            <w:r w:rsidRPr="00CE15CF">
              <w:t xml:space="preserve">H in which 8≤n≤20, and their salts; </w:t>
            </w:r>
          </w:p>
          <w:p w14:paraId="0AF2263F" w14:textId="77777777" w:rsidR="00E779AD" w:rsidRPr="00CE15CF" w:rsidRDefault="00E779AD" w:rsidP="00CE15CF">
            <w:pPr>
              <w:pStyle w:val="Paralevel2"/>
              <w:spacing w:after="120"/>
            </w:pPr>
            <w:r w:rsidRPr="00CE15CF">
              <w:t xml:space="preserve">Compounds that consist of a </w:t>
            </w:r>
            <w:proofErr w:type="spellStart"/>
            <w:r w:rsidRPr="00CE15CF">
              <w:t>perfluorinated</w:t>
            </w:r>
            <w:proofErr w:type="spellEnd"/>
            <w:r w:rsidRPr="00CE15CF">
              <w:t xml:space="preserve"> alkyl group that has the molecular formula C</w:t>
            </w:r>
            <w:r w:rsidRPr="00CE15CF">
              <w:rPr>
                <w:vertAlign w:val="subscript"/>
              </w:rPr>
              <w:t>n</w:t>
            </w:r>
            <w:r w:rsidRPr="00CE15CF">
              <w:t>F</w:t>
            </w:r>
            <w:r w:rsidRPr="00CE15CF">
              <w:rPr>
                <w:vertAlign w:val="subscript"/>
              </w:rPr>
              <w:t xml:space="preserve">2n+1 </w:t>
            </w:r>
            <w:r w:rsidRPr="00CE15CF">
              <w:t>in which 8≤n≤20 and that is directly bonded to any chemical moiety other than a fluorine, chlorine or bromine atom.</w:t>
            </w:r>
          </w:p>
          <w:p w14:paraId="06B1EB2C" w14:textId="77777777" w:rsidR="00E779AD" w:rsidRPr="00CE15CF" w:rsidRDefault="00E779AD" w:rsidP="00CE15CF">
            <w:pPr>
              <w:pStyle w:val="Paralevel2"/>
              <w:spacing w:after="120"/>
            </w:pPr>
            <w:r w:rsidRPr="00CE15CF">
              <w:t>(see Canada, 2016c)</w:t>
            </w:r>
          </w:p>
        </w:tc>
        <w:tc>
          <w:tcPr>
            <w:tcW w:w="1707" w:type="pct"/>
          </w:tcPr>
          <w:p w14:paraId="7297B7DF" w14:textId="77777777" w:rsidR="00E779AD" w:rsidRPr="00CE15CF" w:rsidRDefault="00E779AD" w:rsidP="00CE15CF">
            <w:pPr>
              <w:pStyle w:val="Paralevel2"/>
              <w:spacing w:after="120"/>
            </w:pPr>
            <w:r w:rsidRPr="00CE15CF">
              <w:t>PFOA and its salts;</w:t>
            </w:r>
          </w:p>
          <w:p w14:paraId="4175CB64" w14:textId="77777777" w:rsidR="00E779AD" w:rsidRPr="00CE15CF" w:rsidRDefault="00E779AD" w:rsidP="00CE15CF">
            <w:pPr>
              <w:pStyle w:val="Paralevel2"/>
              <w:spacing w:after="120"/>
            </w:pPr>
            <w:r w:rsidRPr="00CE15CF">
              <w:t xml:space="preserve">Any related substance (including its salts and polymers) having a linear or branched </w:t>
            </w:r>
            <w:proofErr w:type="spellStart"/>
            <w:r w:rsidRPr="00CE15CF">
              <w:t>perfluoroheptyl</w:t>
            </w:r>
            <w:proofErr w:type="spellEnd"/>
            <w:r w:rsidRPr="00CE15CF">
              <w:t xml:space="preserve"> group with the formula </w:t>
            </w:r>
            <w:r w:rsidRPr="00CE15CF">
              <w:br/>
              <w:t>C</w:t>
            </w:r>
            <w:r w:rsidRPr="00CE15CF">
              <w:rPr>
                <w:vertAlign w:val="subscript"/>
              </w:rPr>
              <w:t>7</w:t>
            </w:r>
            <w:r w:rsidRPr="00CE15CF">
              <w:t>F</w:t>
            </w:r>
            <w:r w:rsidRPr="00CE15CF">
              <w:rPr>
                <w:vertAlign w:val="subscript"/>
              </w:rPr>
              <w:t>15</w:t>
            </w:r>
            <w:r w:rsidRPr="00CE15CF">
              <w:t>- directly attached to another carbon atom, as one of the structural elements.</w:t>
            </w:r>
          </w:p>
          <w:p w14:paraId="5F088C06" w14:textId="77777777" w:rsidR="00E779AD" w:rsidRPr="00CE15CF" w:rsidRDefault="00E779AD" w:rsidP="00CE15CF">
            <w:pPr>
              <w:pStyle w:val="Paralevel2"/>
              <w:spacing w:after="120"/>
            </w:pPr>
            <w:r w:rsidRPr="00CE15CF">
              <w:t>Any related substance (including its salts and polymers) having a linear or branched perfluorooctyl group with the formula C</w:t>
            </w:r>
            <w:r w:rsidRPr="00CE15CF">
              <w:rPr>
                <w:vertAlign w:val="subscript"/>
              </w:rPr>
              <w:t>8</w:t>
            </w:r>
            <w:r w:rsidRPr="00CE15CF">
              <w:t>F</w:t>
            </w:r>
            <w:r w:rsidRPr="00CE15CF">
              <w:rPr>
                <w:vertAlign w:val="subscript"/>
              </w:rPr>
              <w:t>17</w:t>
            </w:r>
            <w:r w:rsidRPr="00CE15CF">
              <w:t>- as one of the structural elements.</w:t>
            </w:r>
          </w:p>
          <w:p w14:paraId="65F0B412" w14:textId="77777777" w:rsidR="00E779AD" w:rsidRPr="00CE15CF" w:rsidRDefault="00E779AD" w:rsidP="00CE15CF">
            <w:pPr>
              <w:pStyle w:val="Paralevel2"/>
              <w:spacing w:after="120"/>
            </w:pPr>
            <w:r w:rsidRPr="00CE15CF">
              <w:t>Exclusions:</w:t>
            </w:r>
          </w:p>
          <w:p w14:paraId="5E38F3F9" w14:textId="77777777" w:rsidR="00E779AD" w:rsidRPr="00CE15CF" w:rsidRDefault="00E779AD" w:rsidP="00CE15CF">
            <w:pPr>
              <w:pStyle w:val="Paralevel2"/>
              <w:spacing w:after="120"/>
            </w:pPr>
            <w:r w:rsidRPr="00CE15CF">
              <w:t>C</w:t>
            </w:r>
            <w:r w:rsidRPr="00CE15CF">
              <w:rPr>
                <w:vertAlign w:val="subscript"/>
              </w:rPr>
              <w:t>8</w:t>
            </w:r>
            <w:r w:rsidRPr="00CE15CF">
              <w:t>F</w:t>
            </w:r>
            <w:r w:rsidRPr="00CE15CF">
              <w:rPr>
                <w:vertAlign w:val="subscript"/>
              </w:rPr>
              <w:t>17</w:t>
            </w:r>
            <w:r w:rsidRPr="00CE15CF">
              <w:t>-X, where X= F, Cl, Br;</w:t>
            </w:r>
          </w:p>
          <w:p w14:paraId="49F484B4" w14:textId="77777777" w:rsidR="00E779AD" w:rsidRPr="00CE15CF" w:rsidRDefault="00E779AD" w:rsidP="00CE15CF">
            <w:pPr>
              <w:pStyle w:val="Paralevel2"/>
              <w:spacing w:after="120"/>
            </w:pPr>
            <w:r w:rsidRPr="00CE15CF">
              <w:t>C</w:t>
            </w:r>
            <w:r w:rsidRPr="00CE15CF">
              <w:rPr>
                <w:vertAlign w:val="subscript"/>
              </w:rPr>
              <w:t>8</w:t>
            </w:r>
            <w:r w:rsidRPr="00CE15CF">
              <w:t>F</w:t>
            </w:r>
            <w:r w:rsidRPr="00CE15CF">
              <w:rPr>
                <w:vertAlign w:val="subscript"/>
              </w:rPr>
              <w:t>17</w:t>
            </w:r>
            <w:r w:rsidRPr="00CE15CF">
              <w:t>-C(=</w:t>
            </w:r>
            <w:proofErr w:type="gramStart"/>
            <w:r w:rsidRPr="00CE15CF">
              <w:t>O)OH</w:t>
            </w:r>
            <w:proofErr w:type="gramEnd"/>
            <w:r w:rsidRPr="00CE15CF">
              <w:t>, C</w:t>
            </w:r>
            <w:r w:rsidRPr="00CE15CF">
              <w:rPr>
                <w:vertAlign w:val="subscript"/>
              </w:rPr>
              <w:t>8</w:t>
            </w:r>
            <w:r w:rsidRPr="00CE15CF">
              <w:t>F</w:t>
            </w:r>
            <w:r w:rsidRPr="00CE15CF">
              <w:rPr>
                <w:vertAlign w:val="subscript"/>
              </w:rPr>
              <w:t>17</w:t>
            </w:r>
            <w:r w:rsidRPr="00CE15CF">
              <w:t>-C(=O)O-X' or C</w:t>
            </w:r>
            <w:r w:rsidRPr="00CE15CF">
              <w:rPr>
                <w:vertAlign w:val="subscript"/>
              </w:rPr>
              <w:t>8</w:t>
            </w:r>
            <w:r w:rsidRPr="00CE15CF">
              <w:t>F</w:t>
            </w:r>
            <w:r w:rsidRPr="00CE15CF">
              <w:rPr>
                <w:vertAlign w:val="subscript"/>
              </w:rPr>
              <w:t>17</w:t>
            </w:r>
            <w:r w:rsidRPr="00CE15CF">
              <w:t>-CF</w:t>
            </w:r>
            <w:r w:rsidRPr="00CE15CF">
              <w:rPr>
                <w:vertAlign w:val="subscript"/>
              </w:rPr>
              <w:t>2</w:t>
            </w:r>
            <w:r w:rsidRPr="00CE15CF">
              <w:t>-X' (where X'=any group, including salts).</w:t>
            </w:r>
          </w:p>
          <w:p w14:paraId="4493C0C9" w14:textId="77777777" w:rsidR="00E779AD" w:rsidRPr="00CE15CF" w:rsidRDefault="00E779AD" w:rsidP="00CE15CF">
            <w:pPr>
              <w:pStyle w:val="Paralevel2"/>
              <w:spacing w:after="120"/>
            </w:pPr>
            <w:r w:rsidRPr="00CE15CF">
              <w:t xml:space="preserve">Does not apply to PFOS and its derivatives, which are listed in Part A of Annex I to Commission Regulation (EC) No 850/2004 </w:t>
            </w:r>
          </w:p>
          <w:p w14:paraId="7357BF3A" w14:textId="77777777" w:rsidR="00E779AD" w:rsidRPr="00CE15CF" w:rsidRDefault="00E779AD" w:rsidP="00CE15CF">
            <w:pPr>
              <w:pStyle w:val="Paralevel2"/>
              <w:spacing w:after="120"/>
            </w:pPr>
            <w:r w:rsidRPr="00CE15CF">
              <w:t>(see European Commission, 2017)</w:t>
            </w:r>
          </w:p>
          <w:p w14:paraId="084FF69B" w14:textId="77777777" w:rsidR="00E779AD" w:rsidRPr="00CE15CF" w:rsidRDefault="00E779AD" w:rsidP="00CE15CF">
            <w:pPr>
              <w:pStyle w:val="Paralevel2"/>
              <w:spacing w:after="120"/>
            </w:pPr>
            <w:r w:rsidRPr="00CE15CF">
              <w:t xml:space="preserve">PFOA&lt;25ppb, related compounds &lt;1,000 ppb </w:t>
            </w:r>
          </w:p>
        </w:tc>
        <w:tc>
          <w:tcPr>
            <w:tcW w:w="1208" w:type="pct"/>
          </w:tcPr>
          <w:p w14:paraId="7EB44663" w14:textId="77777777" w:rsidR="00E779AD" w:rsidRPr="00CE15CF" w:rsidRDefault="00E779AD" w:rsidP="00CE15CF">
            <w:pPr>
              <w:pStyle w:val="Paralevel2"/>
              <w:spacing w:after="120"/>
            </w:pPr>
            <w:r w:rsidRPr="00CE15CF">
              <w:t xml:space="preserve">PFOA and individual salts and esters of PFOA (CAS No: 335-67-1, 3825-26-1, </w:t>
            </w:r>
            <w:r w:rsidRPr="00CE15CF">
              <w:br/>
              <w:t xml:space="preserve">335-95-5, 2395-00-8, </w:t>
            </w:r>
            <w:r w:rsidRPr="00CE15CF">
              <w:br/>
              <w:t xml:space="preserve">335-93-3, 335-66-0, </w:t>
            </w:r>
            <w:r w:rsidRPr="00CE15CF">
              <w:br/>
              <w:t>376-27-2, 3108-24-5)</w:t>
            </w:r>
          </w:p>
          <w:p w14:paraId="64FD3900" w14:textId="77777777" w:rsidR="00E779AD" w:rsidRPr="00CE15CF" w:rsidRDefault="00E779AD" w:rsidP="00CE15CF">
            <w:pPr>
              <w:pStyle w:val="Paralevel2"/>
              <w:spacing w:after="120"/>
            </w:pPr>
            <w:r w:rsidRPr="00CE15CF">
              <w:t>(See Norway, 2016)</w:t>
            </w:r>
          </w:p>
        </w:tc>
      </w:tr>
      <w:tr w:rsidR="001B62B3" w:rsidRPr="00CE15CF" w14:paraId="0949E4B4" w14:textId="77777777" w:rsidTr="00D87E18">
        <w:trPr>
          <w:cantSplit/>
        </w:trPr>
        <w:tc>
          <w:tcPr>
            <w:tcW w:w="942" w:type="pct"/>
          </w:tcPr>
          <w:p w14:paraId="2021EFAC" w14:textId="77777777" w:rsidR="00E779AD" w:rsidRPr="00CE15CF" w:rsidRDefault="00E779AD" w:rsidP="00CE15CF">
            <w:pPr>
              <w:pStyle w:val="Paralevel2"/>
              <w:spacing w:after="120"/>
            </w:pPr>
            <w:r w:rsidRPr="00CE15CF">
              <w:t>Exemptions for photo-imaging</w:t>
            </w:r>
          </w:p>
        </w:tc>
        <w:tc>
          <w:tcPr>
            <w:tcW w:w="1143" w:type="pct"/>
          </w:tcPr>
          <w:p w14:paraId="50F44E02" w14:textId="77777777" w:rsidR="00E779AD" w:rsidRPr="00CE15CF" w:rsidRDefault="00E779AD" w:rsidP="00CE15CF">
            <w:pPr>
              <w:pStyle w:val="Paralevel2"/>
              <w:spacing w:after="120"/>
            </w:pPr>
            <w:r w:rsidRPr="00CE15CF">
              <w:t>Photo media coatings until 31 December 2016</w:t>
            </w:r>
          </w:p>
          <w:p w14:paraId="4761893A" w14:textId="77777777" w:rsidR="00E779AD" w:rsidRPr="00CE15CF" w:rsidRDefault="00E779AD" w:rsidP="00CE15CF">
            <w:pPr>
              <w:pStyle w:val="Paralevel2"/>
              <w:spacing w:after="120"/>
            </w:pPr>
            <w:r w:rsidRPr="00CE15CF">
              <w:t>Since then partially captured under exemptions for manufactured items</w:t>
            </w:r>
          </w:p>
        </w:tc>
        <w:tc>
          <w:tcPr>
            <w:tcW w:w="1707" w:type="pct"/>
          </w:tcPr>
          <w:p w14:paraId="03DA627F" w14:textId="77777777" w:rsidR="00E779AD" w:rsidRPr="00CE15CF" w:rsidRDefault="00E779AD" w:rsidP="00CE15CF">
            <w:pPr>
              <w:pStyle w:val="Paralevel2"/>
              <w:spacing w:after="120"/>
            </w:pPr>
            <w:r w:rsidRPr="00CE15CF">
              <w:t>Photographic coatings applied to films, papers or printing plates</w:t>
            </w:r>
          </w:p>
        </w:tc>
        <w:tc>
          <w:tcPr>
            <w:tcW w:w="1208" w:type="pct"/>
          </w:tcPr>
          <w:p w14:paraId="6C014F3E" w14:textId="77777777" w:rsidR="00E779AD" w:rsidRPr="00CE15CF" w:rsidRDefault="00E779AD" w:rsidP="00CE15CF">
            <w:pPr>
              <w:pStyle w:val="Paralevel2"/>
              <w:spacing w:after="120"/>
            </w:pPr>
            <w:r w:rsidRPr="00CE15CF">
              <w:t>Photographic coatings for film, paper or printing plate until 2016</w:t>
            </w:r>
          </w:p>
        </w:tc>
      </w:tr>
      <w:tr w:rsidR="001B62B3" w:rsidRPr="00CE15CF" w14:paraId="25EF8781" w14:textId="77777777" w:rsidTr="00D87E18">
        <w:trPr>
          <w:cantSplit/>
        </w:trPr>
        <w:tc>
          <w:tcPr>
            <w:tcW w:w="942" w:type="pct"/>
          </w:tcPr>
          <w:p w14:paraId="72D78582" w14:textId="77777777" w:rsidR="00E779AD" w:rsidRPr="00CE15CF" w:rsidRDefault="00E779AD" w:rsidP="00CE15CF">
            <w:pPr>
              <w:pStyle w:val="Paralevel2"/>
              <w:spacing w:after="120"/>
            </w:pPr>
            <w:r w:rsidRPr="00CE15CF">
              <w:lastRenderedPageBreak/>
              <w:t>Exemptions for semiconductor industry</w:t>
            </w:r>
          </w:p>
        </w:tc>
        <w:tc>
          <w:tcPr>
            <w:tcW w:w="1143" w:type="pct"/>
          </w:tcPr>
          <w:p w14:paraId="5129CE4D" w14:textId="77777777" w:rsidR="00E779AD" w:rsidRPr="00CE15CF" w:rsidRDefault="00E779AD" w:rsidP="00CE15CF">
            <w:pPr>
              <w:pStyle w:val="Paralevel2"/>
              <w:spacing w:after="120"/>
            </w:pPr>
            <w:r w:rsidRPr="00CE15CF">
              <w:t>Partially captured under exemptions for manufactured items</w:t>
            </w:r>
          </w:p>
        </w:tc>
        <w:tc>
          <w:tcPr>
            <w:tcW w:w="1707" w:type="pct"/>
          </w:tcPr>
          <w:p w14:paraId="4BDC4666" w14:textId="77777777" w:rsidR="00E779AD" w:rsidRPr="00CE15CF" w:rsidRDefault="00E779AD" w:rsidP="00CE15CF">
            <w:pPr>
              <w:pStyle w:val="Paralevel2"/>
              <w:spacing w:after="120"/>
            </w:pPr>
            <w:r w:rsidRPr="00CE15CF">
              <w:t>- Equipment used to manufacture semiconductors (until 4 July 2022);</w:t>
            </w:r>
          </w:p>
          <w:p w14:paraId="5C859C82" w14:textId="49161D8E" w:rsidR="00E779AD" w:rsidRPr="00CE15CF" w:rsidRDefault="00E779AD" w:rsidP="00CE15CF">
            <w:pPr>
              <w:pStyle w:val="Paralevel2"/>
              <w:spacing w:after="120"/>
            </w:pPr>
            <w:r w:rsidRPr="00CE15CF">
              <w:t>- Photo-lithography processes for semiconductors or in etching processes for compound semiconductors;</w:t>
            </w:r>
          </w:p>
          <w:p w14:paraId="0CD1FED2" w14:textId="08531900" w:rsidR="00E779AD" w:rsidRPr="00CE15CF" w:rsidRDefault="00E779AD" w:rsidP="00CE15CF">
            <w:pPr>
              <w:pStyle w:val="Paralevel2"/>
              <w:spacing w:after="120"/>
            </w:pPr>
            <w:r w:rsidRPr="00CE15CF">
              <w:t>-</w:t>
            </w:r>
            <w:r w:rsidR="00DC16A7" w:rsidRPr="00CE15CF">
              <w:t xml:space="preserve"> </w:t>
            </w:r>
            <w:proofErr w:type="spellStart"/>
            <w:r w:rsidR="00DC16A7" w:rsidRPr="00CE15CF">
              <w:t>S</w:t>
            </w:r>
            <w:r w:rsidRPr="00CE15CF">
              <w:t>semiconductors</w:t>
            </w:r>
            <w:proofErr w:type="spellEnd"/>
            <w:r w:rsidRPr="00CE15CF">
              <w:t xml:space="preserve"> or compound semiconductors.</w:t>
            </w:r>
          </w:p>
        </w:tc>
        <w:tc>
          <w:tcPr>
            <w:tcW w:w="1208" w:type="pct"/>
          </w:tcPr>
          <w:p w14:paraId="6F297EBA" w14:textId="77777777" w:rsidR="00E779AD" w:rsidRPr="00CE15CF" w:rsidRDefault="00E779AD" w:rsidP="00CE15CF">
            <w:pPr>
              <w:pStyle w:val="Paralevel2"/>
              <w:spacing w:after="120"/>
            </w:pPr>
            <w:r w:rsidRPr="00CE15CF">
              <w:t xml:space="preserve">Adhesives, foil or tape in semiconductors until 2016 </w:t>
            </w:r>
          </w:p>
        </w:tc>
      </w:tr>
      <w:tr w:rsidR="001B62B3" w:rsidRPr="00CE15CF" w14:paraId="110E7D3D" w14:textId="77777777" w:rsidTr="00D87E18">
        <w:trPr>
          <w:cantSplit/>
        </w:trPr>
        <w:tc>
          <w:tcPr>
            <w:tcW w:w="942" w:type="pct"/>
          </w:tcPr>
          <w:p w14:paraId="712E22EC" w14:textId="77777777" w:rsidR="00E779AD" w:rsidRPr="00CE15CF" w:rsidRDefault="00E779AD" w:rsidP="00CE15CF">
            <w:pPr>
              <w:pStyle w:val="Paralevel2"/>
              <w:spacing w:after="120"/>
            </w:pPr>
            <w:r w:rsidRPr="00CE15CF">
              <w:t>Exemptions for firefighting</w:t>
            </w:r>
          </w:p>
        </w:tc>
        <w:tc>
          <w:tcPr>
            <w:tcW w:w="1143" w:type="pct"/>
          </w:tcPr>
          <w:p w14:paraId="11FEA761" w14:textId="77777777" w:rsidR="00E779AD" w:rsidRPr="00CE15CF" w:rsidRDefault="00E779AD" w:rsidP="00CE15CF">
            <w:pPr>
              <w:pStyle w:val="Paralevel2"/>
              <w:spacing w:after="120"/>
            </w:pPr>
            <w:r w:rsidRPr="00CE15CF">
              <w:t>Aqueous film-forming foams used in firefighting applications</w:t>
            </w:r>
          </w:p>
        </w:tc>
        <w:tc>
          <w:tcPr>
            <w:tcW w:w="1707" w:type="pct"/>
          </w:tcPr>
          <w:p w14:paraId="71680096" w14:textId="77777777" w:rsidR="00E779AD" w:rsidRPr="00CE15CF" w:rsidRDefault="00E779AD" w:rsidP="00CE15CF">
            <w:pPr>
              <w:pStyle w:val="Paralevel2"/>
              <w:spacing w:after="120"/>
            </w:pPr>
            <w:r w:rsidRPr="00CE15CF">
              <w:t>- Concentrated firefighting foam mixtures that were placed on the market before 4 July 2020 and are to be used, or are used in the production of other firefighting foam mixtures;</w:t>
            </w:r>
          </w:p>
          <w:p w14:paraId="3DEB7E37" w14:textId="7078BF07" w:rsidR="00E779AD" w:rsidRPr="00CE15CF" w:rsidRDefault="00E779AD" w:rsidP="00CE15CF">
            <w:pPr>
              <w:pStyle w:val="Paralevel2"/>
              <w:spacing w:after="120"/>
            </w:pPr>
            <w:r w:rsidRPr="00CE15CF">
              <w:t xml:space="preserve">- Firefighting foam mixtures which were: a) placed on the market before 4 July 2020; or b) produced in accordance with paragraph 4(e), </w:t>
            </w:r>
            <w:proofErr w:type="gramStart"/>
            <w:r w:rsidRPr="00CE15CF">
              <w:t>provided that</w:t>
            </w:r>
            <w:proofErr w:type="gramEnd"/>
            <w:r w:rsidRPr="00CE15CF">
              <w:t>, where they are used for training purposes, emissions to the environment are minimized and effluents collected are safely disposed of.</w:t>
            </w:r>
          </w:p>
        </w:tc>
        <w:tc>
          <w:tcPr>
            <w:tcW w:w="1208" w:type="pct"/>
          </w:tcPr>
          <w:p w14:paraId="0E55EA69" w14:textId="77777777" w:rsidR="00E779AD" w:rsidRPr="00CE15CF" w:rsidRDefault="00E779AD" w:rsidP="00CE15CF">
            <w:pPr>
              <w:pStyle w:val="Paralevel2"/>
              <w:spacing w:after="120"/>
            </w:pPr>
            <w:r w:rsidRPr="00CE15CF">
              <w:t>Not covered by the restriction</w:t>
            </w:r>
          </w:p>
        </w:tc>
      </w:tr>
      <w:tr w:rsidR="001B62B3" w:rsidRPr="00CE15CF" w14:paraId="53B8A8B6" w14:textId="77777777" w:rsidTr="00D87E18">
        <w:trPr>
          <w:cantSplit/>
        </w:trPr>
        <w:tc>
          <w:tcPr>
            <w:tcW w:w="942" w:type="pct"/>
          </w:tcPr>
          <w:p w14:paraId="73E73E63" w14:textId="77777777" w:rsidR="00E779AD" w:rsidRPr="00CE15CF" w:rsidRDefault="00E779AD" w:rsidP="00CE15CF">
            <w:pPr>
              <w:pStyle w:val="Paralevel2"/>
              <w:spacing w:after="120"/>
            </w:pPr>
            <w:r w:rsidRPr="00CE15CF">
              <w:t>Exemptions for medical uses</w:t>
            </w:r>
          </w:p>
        </w:tc>
        <w:tc>
          <w:tcPr>
            <w:tcW w:w="1143" w:type="pct"/>
          </w:tcPr>
          <w:p w14:paraId="095142C5" w14:textId="77777777" w:rsidR="00E779AD" w:rsidRPr="00CE15CF" w:rsidRDefault="00E779AD" w:rsidP="00CE15CF">
            <w:pPr>
              <w:pStyle w:val="Paralevel2"/>
              <w:spacing w:after="120"/>
            </w:pPr>
            <w:r w:rsidRPr="00CE15CF">
              <w:t xml:space="preserve">Partially captured under exemptions for manufactured items </w:t>
            </w:r>
          </w:p>
        </w:tc>
        <w:tc>
          <w:tcPr>
            <w:tcW w:w="1707" w:type="pct"/>
          </w:tcPr>
          <w:p w14:paraId="0D7B3B23" w14:textId="77777777" w:rsidR="00E779AD" w:rsidRPr="00CE15CF" w:rsidRDefault="00E779AD" w:rsidP="00CE15CF">
            <w:pPr>
              <w:pStyle w:val="Paralevel2"/>
              <w:spacing w:after="120"/>
            </w:pPr>
            <w:r w:rsidRPr="00CE15CF">
              <w:t>- Medical devices (until 4 July 2032);</w:t>
            </w:r>
          </w:p>
          <w:p w14:paraId="4B9870B3" w14:textId="77777777" w:rsidR="00E779AD" w:rsidRPr="00CE15CF" w:rsidRDefault="00E779AD" w:rsidP="00CE15CF">
            <w:pPr>
              <w:pStyle w:val="Paralevel2"/>
              <w:spacing w:after="120"/>
            </w:pPr>
            <w:r w:rsidRPr="00CE15CF">
              <w:t>- Production of implantable medical devices within the scope of Directive 93/42/EEC.</w:t>
            </w:r>
          </w:p>
        </w:tc>
        <w:tc>
          <w:tcPr>
            <w:tcW w:w="1208" w:type="pct"/>
          </w:tcPr>
          <w:p w14:paraId="32286BB4" w14:textId="77777777" w:rsidR="00E779AD" w:rsidRPr="00CE15CF" w:rsidRDefault="00E779AD" w:rsidP="00CE15CF">
            <w:pPr>
              <w:pStyle w:val="Paralevel2"/>
              <w:spacing w:after="120"/>
            </w:pPr>
            <w:r w:rsidRPr="00CE15CF">
              <w:t xml:space="preserve">Medical devices are exempted from restrictions </w:t>
            </w:r>
          </w:p>
        </w:tc>
      </w:tr>
      <w:tr w:rsidR="001B62B3" w:rsidRPr="00CE15CF" w14:paraId="7DA0ACDE" w14:textId="77777777" w:rsidTr="00D87E18">
        <w:trPr>
          <w:cantSplit/>
        </w:trPr>
        <w:tc>
          <w:tcPr>
            <w:tcW w:w="942" w:type="pct"/>
          </w:tcPr>
          <w:p w14:paraId="6E2D4387" w14:textId="77777777" w:rsidR="00E779AD" w:rsidRPr="00CE15CF" w:rsidRDefault="00E779AD" w:rsidP="00CE15CF">
            <w:pPr>
              <w:pStyle w:val="Paralevel2"/>
              <w:spacing w:after="120"/>
            </w:pPr>
            <w:r w:rsidRPr="00CE15CF">
              <w:t>Exemptions for textiles</w:t>
            </w:r>
          </w:p>
        </w:tc>
        <w:tc>
          <w:tcPr>
            <w:tcW w:w="1143" w:type="pct"/>
          </w:tcPr>
          <w:p w14:paraId="59848415" w14:textId="77777777" w:rsidR="00E779AD" w:rsidRPr="00CE15CF" w:rsidRDefault="00E779AD" w:rsidP="00CE15CF">
            <w:pPr>
              <w:pStyle w:val="Paralevel2"/>
              <w:spacing w:after="120"/>
            </w:pPr>
            <w:r w:rsidRPr="00CE15CF">
              <w:t xml:space="preserve">Partially captured under exemptions for manufactured items </w:t>
            </w:r>
          </w:p>
        </w:tc>
        <w:tc>
          <w:tcPr>
            <w:tcW w:w="1707" w:type="pct"/>
          </w:tcPr>
          <w:p w14:paraId="4BCC0527" w14:textId="77777777" w:rsidR="00E779AD" w:rsidRPr="00CE15CF" w:rsidRDefault="00E779AD" w:rsidP="00CE15CF">
            <w:pPr>
              <w:pStyle w:val="Paralevel2"/>
              <w:spacing w:after="120"/>
            </w:pPr>
            <w:r w:rsidRPr="00CE15CF">
              <w:t>- Textiles for the protection of workers from risks to their health and safety (until 4 July 2023);</w:t>
            </w:r>
          </w:p>
          <w:p w14:paraId="6CEE75BE" w14:textId="77777777" w:rsidR="00E779AD" w:rsidRPr="00CE15CF" w:rsidRDefault="00E779AD" w:rsidP="00CE15CF">
            <w:pPr>
              <w:pStyle w:val="Paralevel2"/>
              <w:spacing w:after="120"/>
            </w:pPr>
            <w:r w:rsidRPr="00CE15CF">
              <w:t>- Membranes intended for use in medical textiles, filtration in water treatment, production processes and effluent treatment (until 4 July 2023).</w:t>
            </w:r>
          </w:p>
        </w:tc>
        <w:tc>
          <w:tcPr>
            <w:tcW w:w="1208" w:type="pct"/>
          </w:tcPr>
          <w:p w14:paraId="1327EC4B" w14:textId="77777777" w:rsidR="00E779AD" w:rsidRPr="00CE15CF" w:rsidRDefault="00E779AD" w:rsidP="00CE15CF">
            <w:pPr>
              <w:pStyle w:val="Paralevel2"/>
              <w:spacing w:after="120"/>
            </w:pPr>
            <w:r w:rsidRPr="00CE15CF">
              <w:t>Textiles for consumer use are restricted when PFOA concentration is above 1ug/m</w:t>
            </w:r>
            <w:r w:rsidRPr="00CE15CF">
              <w:rPr>
                <w:vertAlign w:val="superscript"/>
              </w:rPr>
              <w:t>2</w:t>
            </w:r>
            <w:r w:rsidRPr="00CE15CF">
              <w:t xml:space="preserve"> for any part of the product. </w:t>
            </w:r>
          </w:p>
        </w:tc>
      </w:tr>
      <w:tr w:rsidR="001B62B3" w:rsidRPr="00CE15CF" w14:paraId="1983FDD5" w14:textId="77777777" w:rsidTr="00D87E18">
        <w:trPr>
          <w:cantSplit/>
        </w:trPr>
        <w:tc>
          <w:tcPr>
            <w:tcW w:w="942" w:type="pct"/>
          </w:tcPr>
          <w:p w14:paraId="1814C69F" w14:textId="77777777" w:rsidR="00E779AD" w:rsidRPr="00CE15CF" w:rsidRDefault="00E779AD" w:rsidP="00CE15CF">
            <w:pPr>
              <w:pStyle w:val="Paralevel2"/>
              <w:spacing w:after="120"/>
            </w:pPr>
            <w:r w:rsidRPr="00CE15CF">
              <w:t xml:space="preserve">Exemptions for inks </w:t>
            </w:r>
          </w:p>
        </w:tc>
        <w:tc>
          <w:tcPr>
            <w:tcW w:w="1143" w:type="pct"/>
          </w:tcPr>
          <w:p w14:paraId="701492E8" w14:textId="77777777" w:rsidR="00E779AD" w:rsidRPr="00CE15CF" w:rsidRDefault="00E779AD" w:rsidP="00CE15CF">
            <w:pPr>
              <w:pStyle w:val="Paralevel2"/>
              <w:spacing w:after="120"/>
            </w:pPr>
            <w:r w:rsidRPr="00CE15CF">
              <w:t>Water-based inks until 31 December 2016</w:t>
            </w:r>
          </w:p>
        </w:tc>
        <w:tc>
          <w:tcPr>
            <w:tcW w:w="1707" w:type="pct"/>
          </w:tcPr>
          <w:p w14:paraId="6054C39E" w14:textId="77777777" w:rsidR="00E779AD" w:rsidRPr="00CE15CF" w:rsidRDefault="00E779AD" w:rsidP="00CE15CF">
            <w:pPr>
              <w:pStyle w:val="Paralevel2"/>
              <w:spacing w:after="120"/>
            </w:pPr>
            <w:r w:rsidRPr="00CE15CF">
              <w:t xml:space="preserve">Latex printing inks (until 4 July 2022) </w:t>
            </w:r>
          </w:p>
        </w:tc>
        <w:tc>
          <w:tcPr>
            <w:tcW w:w="1208" w:type="pct"/>
          </w:tcPr>
          <w:p w14:paraId="2EE16F9F" w14:textId="77777777" w:rsidR="00E779AD" w:rsidRPr="00CE15CF" w:rsidRDefault="00E779AD" w:rsidP="00CE15CF">
            <w:pPr>
              <w:pStyle w:val="Paralevel2"/>
              <w:spacing w:after="120"/>
            </w:pPr>
          </w:p>
        </w:tc>
      </w:tr>
      <w:tr w:rsidR="001B62B3" w:rsidRPr="00CE15CF" w14:paraId="78E5F009" w14:textId="77777777" w:rsidTr="00D87E18">
        <w:trPr>
          <w:cantSplit/>
        </w:trPr>
        <w:tc>
          <w:tcPr>
            <w:tcW w:w="942" w:type="pct"/>
          </w:tcPr>
          <w:p w14:paraId="77AD8A66" w14:textId="77777777" w:rsidR="00E779AD" w:rsidRPr="00CE15CF" w:rsidRDefault="00E779AD" w:rsidP="00CE15CF">
            <w:pPr>
              <w:pStyle w:val="Paralevel2"/>
              <w:spacing w:after="120"/>
            </w:pPr>
            <w:r w:rsidRPr="00CE15CF">
              <w:t xml:space="preserve">Exemptions for </w:t>
            </w:r>
            <w:proofErr w:type="spellStart"/>
            <w:r w:rsidRPr="00CE15CF">
              <w:t>nano</w:t>
            </w:r>
            <w:proofErr w:type="spellEnd"/>
            <w:r w:rsidRPr="00CE15CF">
              <w:t>-coating</w:t>
            </w:r>
          </w:p>
        </w:tc>
        <w:tc>
          <w:tcPr>
            <w:tcW w:w="1143" w:type="pct"/>
          </w:tcPr>
          <w:p w14:paraId="57A369D5" w14:textId="77777777" w:rsidR="00E779AD" w:rsidRPr="00CE15CF" w:rsidRDefault="00E779AD" w:rsidP="00CE15CF">
            <w:pPr>
              <w:pStyle w:val="Paralevel2"/>
              <w:spacing w:after="120"/>
            </w:pPr>
            <w:r w:rsidRPr="00CE15CF">
              <w:t>Partially captured under exemptions for manufactured items</w:t>
            </w:r>
          </w:p>
        </w:tc>
        <w:tc>
          <w:tcPr>
            <w:tcW w:w="1707" w:type="pct"/>
          </w:tcPr>
          <w:p w14:paraId="331FF71B" w14:textId="77777777" w:rsidR="00E779AD" w:rsidRPr="00CE15CF" w:rsidRDefault="00E779AD" w:rsidP="00CE15CF">
            <w:pPr>
              <w:pStyle w:val="Paralevel2"/>
              <w:spacing w:after="120"/>
            </w:pPr>
            <w:r w:rsidRPr="00CE15CF">
              <w:t xml:space="preserve">Plasma </w:t>
            </w:r>
            <w:proofErr w:type="spellStart"/>
            <w:r w:rsidRPr="00CE15CF">
              <w:t>nano</w:t>
            </w:r>
            <w:proofErr w:type="spellEnd"/>
            <w:r w:rsidRPr="00CE15CF">
              <w:t>-coating (until 4 July 2023)</w:t>
            </w:r>
          </w:p>
        </w:tc>
        <w:tc>
          <w:tcPr>
            <w:tcW w:w="1208" w:type="pct"/>
          </w:tcPr>
          <w:p w14:paraId="6C57A1C5" w14:textId="77777777" w:rsidR="00E779AD" w:rsidRPr="00CE15CF" w:rsidRDefault="00E779AD" w:rsidP="00CE15CF">
            <w:pPr>
              <w:pStyle w:val="Paralevel2"/>
              <w:spacing w:after="120"/>
            </w:pPr>
          </w:p>
        </w:tc>
      </w:tr>
      <w:tr w:rsidR="001B62B3" w:rsidRPr="00CE15CF" w14:paraId="714B0258" w14:textId="77777777" w:rsidTr="00D87E18">
        <w:trPr>
          <w:cantSplit/>
        </w:trPr>
        <w:tc>
          <w:tcPr>
            <w:tcW w:w="942" w:type="pct"/>
          </w:tcPr>
          <w:p w14:paraId="283671A5" w14:textId="77777777" w:rsidR="00E779AD" w:rsidRPr="00CE15CF" w:rsidRDefault="00E779AD" w:rsidP="00CE15CF">
            <w:pPr>
              <w:pStyle w:val="Paralevel2"/>
              <w:spacing w:after="120"/>
            </w:pPr>
            <w:r w:rsidRPr="00CE15CF">
              <w:t xml:space="preserve">Exemptions for food packaging </w:t>
            </w:r>
          </w:p>
        </w:tc>
        <w:tc>
          <w:tcPr>
            <w:tcW w:w="1143" w:type="pct"/>
          </w:tcPr>
          <w:p w14:paraId="4BB2A1D4" w14:textId="77777777" w:rsidR="00E779AD" w:rsidRPr="00CE15CF" w:rsidRDefault="00E779AD" w:rsidP="00CE15CF">
            <w:pPr>
              <w:pStyle w:val="Paralevel2"/>
              <w:spacing w:after="120"/>
            </w:pPr>
            <w:r w:rsidRPr="00CE15CF">
              <w:t xml:space="preserve">Partially captured under exemptions for manufactured items </w:t>
            </w:r>
          </w:p>
        </w:tc>
        <w:tc>
          <w:tcPr>
            <w:tcW w:w="1707" w:type="pct"/>
          </w:tcPr>
          <w:p w14:paraId="1EF72885" w14:textId="77777777" w:rsidR="00E779AD" w:rsidRPr="00CE15CF" w:rsidRDefault="00E779AD" w:rsidP="00CE15CF">
            <w:pPr>
              <w:pStyle w:val="Paralevel2"/>
              <w:spacing w:after="120"/>
            </w:pPr>
          </w:p>
        </w:tc>
        <w:tc>
          <w:tcPr>
            <w:tcW w:w="1208" w:type="pct"/>
          </w:tcPr>
          <w:p w14:paraId="0ADA3C61" w14:textId="77777777" w:rsidR="00E779AD" w:rsidRPr="00CE15CF" w:rsidRDefault="00E779AD" w:rsidP="00CE15CF">
            <w:pPr>
              <w:pStyle w:val="Paralevel2"/>
              <w:spacing w:after="120"/>
            </w:pPr>
            <w:r w:rsidRPr="00CE15CF">
              <w:t>Food packaging, food contact materials are exempted from this regulation</w:t>
            </w:r>
          </w:p>
        </w:tc>
      </w:tr>
    </w:tbl>
    <w:p w14:paraId="3694F52C" w14:textId="77777777" w:rsidR="00E779AD" w:rsidRPr="00CE15CF" w:rsidRDefault="00E779AD" w:rsidP="00CE15CF">
      <w:pPr>
        <w:pStyle w:val="Paralevel1"/>
        <w:numPr>
          <w:ilvl w:val="0"/>
          <w:numId w:val="0"/>
        </w:numPr>
        <w:ind w:left="720"/>
      </w:pPr>
    </w:p>
    <w:p w14:paraId="1348C20C" w14:textId="76F2D3B6" w:rsidR="00E779AD" w:rsidRPr="00CE15CF" w:rsidRDefault="00E779AD" w:rsidP="00CE15CF">
      <w:pPr>
        <w:pStyle w:val="Paralevel1"/>
        <w:numPr>
          <w:ilvl w:val="0"/>
          <w:numId w:val="0"/>
        </w:numPr>
      </w:pPr>
      <w:r w:rsidRPr="00CE15CF">
        <w:t xml:space="preserve">The scope of the regulatory actions presented in </w:t>
      </w:r>
      <w:r w:rsidR="00DF1E17" w:rsidRPr="00CE15CF">
        <w:t>the Table above</w:t>
      </w:r>
      <w:r w:rsidRPr="00CE15CF">
        <w:t xml:space="preserve"> differ in scope compared to each other and the scope set out in the </w:t>
      </w:r>
      <w:r w:rsidR="00044BB1" w:rsidRPr="00CE15CF">
        <w:t>RME</w:t>
      </w:r>
      <w:r w:rsidRPr="00CE15CF">
        <w:t xml:space="preserve"> based on the principles of the Stockholm Convention. The </w:t>
      </w:r>
      <w:r w:rsidR="00044BB1" w:rsidRPr="00CE15CF">
        <w:t>RME</w:t>
      </w:r>
      <w:r w:rsidRPr="00CE15CF">
        <w:t xml:space="preserve"> covers degradation to PFOA from long-chain PFASs with more than eight </w:t>
      </w:r>
      <w:proofErr w:type="spellStart"/>
      <w:r w:rsidRPr="00CE15CF">
        <w:t>perfluorinated</w:t>
      </w:r>
      <w:proofErr w:type="spellEnd"/>
      <w:r w:rsidRPr="00CE15CF">
        <w:t xml:space="preserve"> carbon atoms except for those explicitly excluded in the definition of PFOA-related compounds as they do not degrade to PFOA under natural conditions. This goes beyond the EU risk management approach which does not cover the degradation to PFOA from long-chain PFASs. The degradation from long-chain PFASs is also not considered in the Norwegian risk management approach. The Canadian risk management approach also applies to long-chain PFCAs, their salts, and their precursors. However, long-chain PFASs have been included on Norway’s priority list of substances whose release to the environment should be eliminated by 2020, and they are included in the US Stewardship Program (IPEN Comments on 2</w:t>
      </w:r>
      <w:r w:rsidRPr="00CE15CF">
        <w:rPr>
          <w:vertAlign w:val="superscript"/>
        </w:rPr>
        <w:t>nd</w:t>
      </w:r>
      <w:r w:rsidRPr="00CE15CF">
        <w:t xml:space="preserve"> draft RME). </w:t>
      </w:r>
    </w:p>
    <w:p w14:paraId="6F26956D" w14:textId="2377D4BF" w:rsidR="009B0640" w:rsidRPr="00CE15CF" w:rsidRDefault="00E779AD" w:rsidP="00CE15CF">
      <w:pPr>
        <w:pStyle w:val="Paralevel1"/>
        <w:numPr>
          <w:ilvl w:val="0"/>
          <w:numId w:val="0"/>
        </w:numPr>
      </w:pPr>
      <w:r w:rsidRPr="00CE15CF">
        <w:lastRenderedPageBreak/>
        <w:t xml:space="preserve">A general definition of “long-chain PFCAs” (CnF2n+1COOH, n≥7) is provided by the OECD (OECD, 2017). </w:t>
      </w:r>
      <w:proofErr w:type="gramStart"/>
      <w:r w:rsidRPr="00CE15CF">
        <w:t>As a result of</w:t>
      </w:r>
      <w:proofErr w:type="gramEnd"/>
      <w:r w:rsidRPr="00CE15CF">
        <w:t xml:space="preserve"> the existing production processes, fluorotelomer-based substances have been generally manufactured as mixtures of homologues with a range of perfluoroalkyl chain lengths (for examples, see DuPont, 1998), including those that have more than eight </w:t>
      </w:r>
      <w:proofErr w:type="spellStart"/>
      <w:r w:rsidRPr="00CE15CF">
        <w:t>perfluorinated</w:t>
      </w:r>
      <w:proofErr w:type="spellEnd"/>
      <w:r w:rsidRPr="00CE15CF">
        <w:t xml:space="preserve"> carbon atoms</w:t>
      </w:r>
      <w:r w:rsidR="00DC16A7" w:rsidRPr="00CE15CF">
        <w:t>.</w:t>
      </w:r>
      <w:r w:rsidRPr="00CE15CF">
        <w:rPr>
          <w:rStyle w:val="FootnoteReference"/>
        </w:rPr>
        <w:footnoteReference w:id="63"/>
      </w:r>
      <w:r w:rsidRPr="00CE15CF">
        <w:t xml:space="preserve"> Therefore, the information provided in the </w:t>
      </w:r>
      <w:r w:rsidR="00044BB1" w:rsidRPr="00CE15CF">
        <w:t>RME</w:t>
      </w:r>
      <w:r w:rsidRPr="00CE15CF">
        <w:t xml:space="preserve"> covers to a certain extent also those fluorotelomer-based substances with longer chain PFAS (longer than 8:2).</w:t>
      </w:r>
    </w:p>
    <w:p w14:paraId="47297057" w14:textId="13FD47BD" w:rsidR="009B0640" w:rsidRPr="00CE15CF" w:rsidRDefault="009B0640" w:rsidP="00CE15CF">
      <w:pPr>
        <w:pStyle w:val="Paralevel1"/>
        <w:numPr>
          <w:ilvl w:val="0"/>
          <w:numId w:val="0"/>
        </w:numPr>
      </w:pPr>
    </w:p>
    <w:p w14:paraId="76B5CF56" w14:textId="77777777" w:rsidR="009B0640" w:rsidRPr="00CE15CF" w:rsidRDefault="009B0640" w:rsidP="00CE15CF">
      <w:pPr>
        <w:pStyle w:val="Paralevel1"/>
        <w:numPr>
          <w:ilvl w:val="0"/>
          <w:numId w:val="0"/>
        </w:numPr>
        <w:sectPr w:rsidR="009B0640" w:rsidRPr="00CE15CF" w:rsidSect="00A91C77">
          <w:headerReference w:type="even" r:id="rId19"/>
          <w:headerReference w:type="default" r:id="rId20"/>
          <w:headerReference w:type="first" r:id="rId21"/>
          <w:footerReference w:type="first" r:id="rId22"/>
          <w:pgSz w:w="11906" w:h="16838" w:code="9"/>
          <w:pgMar w:top="907" w:right="992" w:bottom="1418" w:left="1418" w:header="539" w:footer="975" w:gutter="0"/>
          <w:cols w:space="720"/>
          <w:titlePg/>
          <w:docGrid w:linePitch="326"/>
        </w:sectPr>
      </w:pPr>
    </w:p>
    <w:p w14:paraId="3D053E48" w14:textId="31AD0068" w:rsidR="009B0640" w:rsidRPr="00CE15CF" w:rsidRDefault="009B0640" w:rsidP="00CE15CF">
      <w:pPr>
        <w:rPr>
          <w:b/>
          <w:sz w:val="28"/>
        </w:rPr>
      </w:pPr>
      <w:r w:rsidRPr="00CE15CF">
        <w:rPr>
          <w:b/>
          <w:sz w:val="28"/>
        </w:rPr>
        <w:lastRenderedPageBreak/>
        <w:t>Appendix II</w:t>
      </w:r>
    </w:p>
    <w:p w14:paraId="0D332DD2" w14:textId="77777777" w:rsidR="009B0640" w:rsidRPr="00CE15CF" w:rsidRDefault="009B0640" w:rsidP="00CE15CF">
      <w:pPr>
        <w:rPr>
          <w:b/>
          <w:sz w:val="28"/>
        </w:rPr>
      </w:pPr>
    </w:p>
    <w:p w14:paraId="7F7186B6" w14:textId="501BD348" w:rsidR="009B0640" w:rsidRPr="00CE15CF" w:rsidRDefault="009B0640" w:rsidP="00CE15CF">
      <w:pPr>
        <w:pStyle w:val="Titletable"/>
        <w:ind w:left="0"/>
        <w:rPr>
          <w:sz w:val="28"/>
          <w:szCs w:val="28"/>
        </w:rPr>
      </w:pPr>
      <w:r w:rsidRPr="00CE15CF">
        <w:rPr>
          <w:sz w:val="28"/>
          <w:szCs w:val="28"/>
        </w:rPr>
        <w:t>Summary of evaluation of uses and conclusions regarding specific exemptions for PFOA, its salts and PFOA-related compounds</w:t>
      </w:r>
    </w:p>
    <w:p w14:paraId="47D3B273" w14:textId="77777777" w:rsidR="009B0640" w:rsidRPr="00CE15CF" w:rsidRDefault="009B0640" w:rsidP="00CE15CF"/>
    <w:p w14:paraId="0767BDFB" w14:textId="5618BA29" w:rsidR="009B0640" w:rsidRPr="00CE15CF" w:rsidRDefault="009B0640" w:rsidP="00CE15CF">
      <w:pPr>
        <w:pStyle w:val="Titletable"/>
        <w:ind w:left="0"/>
      </w:pPr>
      <w:r w:rsidRPr="00CE15CF">
        <w:t>Table 5.</w:t>
      </w:r>
      <w:fldSimple w:instr=" SEQ Table \* ARABIC ">
        <w:r w:rsidR="00AA57F7">
          <w:rPr>
            <w:noProof/>
          </w:rPr>
          <w:t>1</w:t>
        </w:r>
      </w:fldSimple>
      <w:r w:rsidRPr="00CE15CF">
        <w:t xml:space="preserve"> Summary of evaluation of uses and conclusions regarding specific exemptions for PFOA, its salts and PFOA-related compounds</w:t>
      </w:r>
    </w:p>
    <w:tbl>
      <w:tblPr>
        <w:tblStyle w:val="TableGrid"/>
        <w:tblW w:w="5000" w:type="pct"/>
        <w:tblLook w:val="04A0" w:firstRow="1" w:lastRow="0" w:firstColumn="1" w:lastColumn="0" w:noHBand="0" w:noVBand="1"/>
      </w:tblPr>
      <w:tblGrid>
        <w:gridCol w:w="1527"/>
        <w:gridCol w:w="1759"/>
        <w:gridCol w:w="2065"/>
        <w:gridCol w:w="5787"/>
        <w:gridCol w:w="3365"/>
      </w:tblGrid>
      <w:tr w:rsidR="009B0640" w:rsidRPr="00CE15CF" w14:paraId="626B9AA0" w14:textId="77777777" w:rsidTr="009B0640">
        <w:trPr>
          <w:tblHeader/>
        </w:trPr>
        <w:tc>
          <w:tcPr>
            <w:tcW w:w="526" w:type="pct"/>
            <w:shd w:val="clear" w:color="auto" w:fill="D9D9D9" w:themeFill="background1" w:themeFillShade="D9"/>
          </w:tcPr>
          <w:p w14:paraId="31F0098C" w14:textId="77777777" w:rsidR="009B0640" w:rsidRPr="00CE15CF" w:rsidRDefault="009B0640" w:rsidP="00CE15CF">
            <w:pPr>
              <w:pStyle w:val="Paralevel1"/>
              <w:numPr>
                <w:ilvl w:val="0"/>
                <w:numId w:val="0"/>
              </w:numPr>
              <w:rPr>
                <w:b/>
                <w:bCs/>
              </w:rPr>
            </w:pPr>
            <w:r w:rsidRPr="00CE15CF">
              <w:rPr>
                <w:b/>
                <w:bCs/>
              </w:rPr>
              <w:t>Use</w:t>
            </w:r>
          </w:p>
        </w:tc>
        <w:tc>
          <w:tcPr>
            <w:tcW w:w="606" w:type="pct"/>
            <w:shd w:val="clear" w:color="auto" w:fill="D9D9D9" w:themeFill="background1" w:themeFillShade="D9"/>
          </w:tcPr>
          <w:p w14:paraId="60AAFEA6" w14:textId="77777777" w:rsidR="009B0640" w:rsidRPr="00CE15CF" w:rsidRDefault="009B0640" w:rsidP="00CE15CF">
            <w:pPr>
              <w:pStyle w:val="Paralevel1"/>
              <w:numPr>
                <w:ilvl w:val="0"/>
                <w:numId w:val="0"/>
              </w:numPr>
              <w:rPr>
                <w:b/>
                <w:bCs/>
              </w:rPr>
            </w:pPr>
            <w:r w:rsidRPr="00CE15CF">
              <w:rPr>
                <w:b/>
                <w:bCs/>
              </w:rPr>
              <w:t>Requested information</w:t>
            </w:r>
          </w:p>
        </w:tc>
        <w:tc>
          <w:tcPr>
            <w:tcW w:w="712" w:type="pct"/>
            <w:shd w:val="clear" w:color="auto" w:fill="D9D9D9" w:themeFill="background1" w:themeFillShade="D9"/>
          </w:tcPr>
          <w:p w14:paraId="1AF80863" w14:textId="77777777" w:rsidR="009B0640" w:rsidRPr="00CE15CF" w:rsidRDefault="009B0640" w:rsidP="00CE15CF">
            <w:pPr>
              <w:pStyle w:val="Paralevel1"/>
              <w:numPr>
                <w:ilvl w:val="0"/>
                <w:numId w:val="0"/>
              </w:numPr>
              <w:rPr>
                <w:b/>
                <w:bCs/>
              </w:rPr>
            </w:pPr>
            <w:r w:rsidRPr="00CE15CF">
              <w:rPr>
                <w:b/>
                <w:bCs/>
              </w:rPr>
              <w:t>Estimated tonnages for PFOA and PFOA-related compounds per use globally</w:t>
            </w:r>
          </w:p>
        </w:tc>
        <w:tc>
          <w:tcPr>
            <w:tcW w:w="1995" w:type="pct"/>
            <w:shd w:val="clear" w:color="auto" w:fill="D9D9D9" w:themeFill="background1" w:themeFillShade="D9"/>
          </w:tcPr>
          <w:p w14:paraId="38668EE3" w14:textId="77777777" w:rsidR="009B0640" w:rsidRPr="00CE15CF" w:rsidRDefault="009B0640" w:rsidP="00CE15CF">
            <w:pPr>
              <w:pStyle w:val="Paralevel1"/>
              <w:numPr>
                <w:ilvl w:val="0"/>
                <w:numId w:val="0"/>
              </w:numPr>
              <w:rPr>
                <w:b/>
                <w:bCs/>
              </w:rPr>
            </w:pPr>
            <w:r w:rsidRPr="00CE15CF">
              <w:rPr>
                <w:b/>
                <w:bCs/>
              </w:rPr>
              <w:t>Summary of key points</w:t>
            </w:r>
          </w:p>
        </w:tc>
        <w:tc>
          <w:tcPr>
            <w:tcW w:w="1160" w:type="pct"/>
            <w:shd w:val="clear" w:color="auto" w:fill="D9D9D9" w:themeFill="background1" w:themeFillShade="D9"/>
          </w:tcPr>
          <w:p w14:paraId="51847AE6" w14:textId="77777777" w:rsidR="009B0640" w:rsidRPr="00CE15CF" w:rsidRDefault="009B0640" w:rsidP="00CE15CF">
            <w:pPr>
              <w:pStyle w:val="Paralevel1"/>
              <w:numPr>
                <w:ilvl w:val="0"/>
                <w:numId w:val="0"/>
              </w:numPr>
              <w:rPr>
                <w:b/>
                <w:bCs/>
              </w:rPr>
            </w:pPr>
            <w:r w:rsidRPr="00CE15CF">
              <w:rPr>
                <w:b/>
                <w:bCs/>
              </w:rPr>
              <w:t>Conclusion</w:t>
            </w:r>
          </w:p>
        </w:tc>
      </w:tr>
      <w:tr w:rsidR="009B0640" w:rsidRPr="00CE15CF" w14:paraId="5053A15E" w14:textId="77777777" w:rsidTr="009B0640">
        <w:tc>
          <w:tcPr>
            <w:tcW w:w="526" w:type="pct"/>
          </w:tcPr>
          <w:p w14:paraId="5517DA7E" w14:textId="77777777" w:rsidR="009B0640" w:rsidRPr="00CE15CF" w:rsidRDefault="009B0640" w:rsidP="00CE15CF">
            <w:pPr>
              <w:pStyle w:val="Paralevel1"/>
              <w:numPr>
                <w:ilvl w:val="0"/>
                <w:numId w:val="0"/>
              </w:numPr>
            </w:pPr>
            <w:r w:rsidRPr="00CE15CF">
              <w:t>Membranes intended for use in medical textiles, filtration in water treatment, production processes and effluent treatment</w:t>
            </w:r>
          </w:p>
        </w:tc>
        <w:tc>
          <w:tcPr>
            <w:tcW w:w="606" w:type="pct"/>
          </w:tcPr>
          <w:p w14:paraId="0F2602F8" w14:textId="77777777" w:rsidR="009B0640" w:rsidRPr="00CE15CF" w:rsidRDefault="009B0640" w:rsidP="00CE15CF">
            <w:pPr>
              <w:pStyle w:val="Paralevel1"/>
              <w:numPr>
                <w:ilvl w:val="0"/>
                <w:numId w:val="0"/>
              </w:numPr>
            </w:pPr>
            <w:r w:rsidRPr="00CE15CF">
              <w:t>Information on the scope of the applications, used amounts, availability of alternatives and socio-economic aspects</w:t>
            </w:r>
          </w:p>
        </w:tc>
        <w:tc>
          <w:tcPr>
            <w:tcW w:w="712" w:type="pct"/>
          </w:tcPr>
          <w:p w14:paraId="404CACD9" w14:textId="77777777" w:rsidR="009B0640" w:rsidRPr="00CE15CF" w:rsidRDefault="009B0640" w:rsidP="00CE15CF">
            <w:pPr>
              <w:pStyle w:val="Paralevel1"/>
              <w:numPr>
                <w:ilvl w:val="0"/>
                <w:numId w:val="0"/>
              </w:numPr>
            </w:pPr>
            <w:r w:rsidRPr="00CE15CF">
              <w:t>Unknown</w:t>
            </w:r>
          </w:p>
        </w:tc>
        <w:tc>
          <w:tcPr>
            <w:tcW w:w="1995" w:type="pct"/>
          </w:tcPr>
          <w:p w14:paraId="588FE8FB" w14:textId="77777777" w:rsidR="009B0640" w:rsidRPr="00CE15CF" w:rsidRDefault="009B0640" w:rsidP="00CE15CF">
            <w:pPr>
              <w:pStyle w:val="Paralevel1"/>
              <w:numPr>
                <w:ilvl w:val="0"/>
                <w:numId w:val="0"/>
              </w:numPr>
            </w:pPr>
            <w:r w:rsidRPr="00CE15CF">
              <w:t xml:space="preserve">The RME for PFOA highlights the need for further information to justify a possible exemption for these uses. </w:t>
            </w:r>
            <w:proofErr w:type="gramStart"/>
            <w:r w:rsidRPr="00CE15CF">
              <w:t>In particular, the</w:t>
            </w:r>
            <w:proofErr w:type="gramEnd"/>
            <w:r w:rsidRPr="00CE15CF">
              <w:t xml:space="preserve"> Committee requested additional information on the scope of the applications, used amounts, availability of alternatives and socio-economic aspects. </w:t>
            </w:r>
          </w:p>
          <w:p w14:paraId="23E9D175" w14:textId="77777777" w:rsidR="009B0640" w:rsidRPr="00CE15CF" w:rsidRDefault="009B0640" w:rsidP="00CE15CF">
            <w:pPr>
              <w:pStyle w:val="Paralevel1"/>
              <w:numPr>
                <w:ilvl w:val="0"/>
                <w:numId w:val="0"/>
              </w:numPr>
            </w:pPr>
            <w:r w:rsidRPr="00CE15CF">
              <w:t xml:space="preserve">Limited information on the scope of the applications and the availability of alternatives has been submitted. However, alternatives including non-fluorinated alternatives for these uses are in current use. No relevant information has been provided or could be identified on used amounts in relevant applications. </w:t>
            </w:r>
          </w:p>
          <w:p w14:paraId="5C153B09" w14:textId="77777777" w:rsidR="009B0640" w:rsidRPr="00CE15CF" w:rsidRDefault="009B0640" w:rsidP="00CE15CF">
            <w:pPr>
              <w:pStyle w:val="Paralevel1"/>
              <w:numPr>
                <w:ilvl w:val="0"/>
                <w:numId w:val="0"/>
              </w:numPr>
            </w:pPr>
            <w:r w:rsidRPr="00CE15CF">
              <w:t xml:space="preserve">Used amounts in specific applications and related information which would also enable the socio-economic aspects and information on the possible non-availability of alternatives to be further evaluated would be required to justify exemptions. </w:t>
            </w:r>
          </w:p>
          <w:p w14:paraId="3586B7B0" w14:textId="77777777" w:rsidR="009B0640" w:rsidRPr="00CE15CF" w:rsidRDefault="009B0640" w:rsidP="00CE15CF">
            <w:pPr>
              <w:pStyle w:val="Paralevel1"/>
              <w:numPr>
                <w:ilvl w:val="0"/>
                <w:numId w:val="0"/>
              </w:numPr>
            </w:pPr>
            <w:r w:rsidRPr="00CE15CF">
              <w:t xml:space="preserve">In summary, there is a lack of information about specific uses and amounts but indication that alternatives are available for a variety of uses. </w:t>
            </w:r>
          </w:p>
        </w:tc>
        <w:tc>
          <w:tcPr>
            <w:tcW w:w="1160" w:type="pct"/>
          </w:tcPr>
          <w:p w14:paraId="0C41B89A" w14:textId="77777777" w:rsidR="009B0640" w:rsidRPr="00CE15CF" w:rsidRDefault="009B0640" w:rsidP="00CE15CF">
            <w:pPr>
              <w:pStyle w:val="Paralevel1"/>
              <w:numPr>
                <w:ilvl w:val="0"/>
                <w:numId w:val="0"/>
              </w:numPr>
            </w:pPr>
            <w:r w:rsidRPr="00CE15CF">
              <w:t xml:space="preserve">Based on the evaluation of available information an exemption for membranes intended for use in medical textiles, filtration in water treatment, production processes and effluent treatment should not be considered. </w:t>
            </w:r>
          </w:p>
        </w:tc>
      </w:tr>
      <w:tr w:rsidR="009B0640" w:rsidRPr="00CE15CF" w14:paraId="6607E435" w14:textId="77777777" w:rsidTr="009B0640">
        <w:tc>
          <w:tcPr>
            <w:tcW w:w="526" w:type="pct"/>
          </w:tcPr>
          <w:p w14:paraId="3362808B" w14:textId="77777777" w:rsidR="009B0640" w:rsidRPr="00CE15CF" w:rsidRDefault="009B0640" w:rsidP="00CE15CF">
            <w:pPr>
              <w:pStyle w:val="Paralevel1"/>
              <w:numPr>
                <w:ilvl w:val="0"/>
                <w:numId w:val="0"/>
              </w:numPr>
            </w:pPr>
            <w:r w:rsidRPr="00CE15CF">
              <w:t xml:space="preserve">Transported isolated intermediates </w:t>
            </w:r>
            <w:proofErr w:type="gramStart"/>
            <w:r w:rsidRPr="00CE15CF">
              <w:t>in order to</w:t>
            </w:r>
            <w:proofErr w:type="gramEnd"/>
            <w:r w:rsidRPr="00CE15CF">
              <w:t xml:space="preserve"> enable reprocessing in another site </w:t>
            </w:r>
            <w:r w:rsidRPr="00CE15CF">
              <w:lastRenderedPageBreak/>
              <w:t>than the production site</w:t>
            </w:r>
          </w:p>
        </w:tc>
        <w:tc>
          <w:tcPr>
            <w:tcW w:w="606" w:type="pct"/>
          </w:tcPr>
          <w:p w14:paraId="64EA35D3" w14:textId="77777777" w:rsidR="009B0640" w:rsidRPr="00CE15CF" w:rsidRDefault="009B0640" w:rsidP="00CE15CF">
            <w:pPr>
              <w:pStyle w:val="Paralevel1"/>
              <w:numPr>
                <w:ilvl w:val="0"/>
                <w:numId w:val="0"/>
              </w:numPr>
            </w:pPr>
            <w:r w:rsidRPr="00CE15CF">
              <w:lastRenderedPageBreak/>
              <w:t>Information on the quantities used, extent of transport and risks, and use</w:t>
            </w:r>
          </w:p>
        </w:tc>
        <w:tc>
          <w:tcPr>
            <w:tcW w:w="712" w:type="pct"/>
          </w:tcPr>
          <w:p w14:paraId="081FDDFC" w14:textId="77777777" w:rsidR="009B0640" w:rsidRPr="00CE15CF" w:rsidRDefault="009B0640" w:rsidP="00CE15CF">
            <w:pPr>
              <w:pStyle w:val="Paralevel1"/>
              <w:numPr>
                <w:ilvl w:val="0"/>
                <w:numId w:val="0"/>
              </w:numPr>
            </w:pPr>
            <w:r w:rsidRPr="00CE15CF">
              <w:t>50–100 tonnes</w:t>
            </w:r>
          </w:p>
        </w:tc>
        <w:tc>
          <w:tcPr>
            <w:tcW w:w="1995" w:type="pct"/>
          </w:tcPr>
          <w:p w14:paraId="4993C977" w14:textId="77777777" w:rsidR="009B0640" w:rsidRPr="00CE15CF" w:rsidRDefault="009B0640" w:rsidP="00CE15CF">
            <w:pPr>
              <w:pStyle w:val="Paralevel1"/>
              <w:numPr>
                <w:ilvl w:val="0"/>
                <w:numId w:val="0"/>
              </w:numPr>
            </w:pPr>
            <w:r w:rsidRPr="00CE15CF">
              <w:t xml:space="preserve">IPEN and ACAT and the </w:t>
            </w:r>
            <w:proofErr w:type="spellStart"/>
            <w:r w:rsidRPr="00CE15CF">
              <w:t>FluoroCouncil</w:t>
            </w:r>
            <w:proofErr w:type="spellEnd"/>
            <w:r w:rsidRPr="00CE15CF">
              <w:t xml:space="preserve"> provided relevant information in response to the current information request. Both submitters and Norway commented on the first draft. IPEN and ACAT also expressed concerns that an exemption for transported isolated intermediates could “open the door to waste dumping in </w:t>
            </w:r>
            <w:r w:rsidRPr="00CE15CF">
              <w:lastRenderedPageBreak/>
              <w:t>developing and transition countries under the guise of “reprocessing”.”</w:t>
            </w:r>
          </w:p>
          <w:p w14:paraId="45A4A78E" w14:textId="77777777" w:rsidR="009B0640" w:rsidRPr="00CE15CF" w:rsidRDefault="009B0640" w:rsidP="00CE15CF">
            <w:pPr>
              <w:pStyle w:val="Paralevel1"/>
              <w:numPr>
                <w:ilvl w:val="0"/>
                <w:numId w:val="0"/>
              </w:numPr>
            </w:pPr>
            <w:r w:rsidRPr="00CE15CF">
              <w:t xml:space="preserve">The </w:t>
            </w:r>
            <w:proofErr w:type="spellStart"/>
            <w:r w:rsidRPr="00CE15CF">
              <w:t>FluoroCouncil</w:t>
            </w:r>
            <w:proofErr w:type="spellEnd"/>
            <w:r w:rsidRPr="00CE15CF">
              <w:t xml:space="preserve"> requests an exemption on behalf of its member, </w:t>
            </w:r>
            <w:proofErr w:type="spellStart"/>
            <w:r w:rsidRPr="00CE15CF">
              <w:t>Archroma</w:t>
            </w:r>
            <w:proofErr w:type="spellEnd"/>
            <w:r w:rsidRPr="00CE15CF">
              <w:t xml:space="preserve"> for the transport of PFOI, an unintended side fraction in the production of C</w:t>
            </w:r>
            <w:r w:rsidRPr="00CE15CF">
              <w:rPr>
                <w:vertAlign w:val="subscript"/>
              </w:rPr>
              <w:t>6</w:t>
            </w:r>
            <w:r w:rsidRPr="00CE15CF">
              <w:t xml:space="preserve"> fluorotelomers, as a transported isolated intermediate. </w:t>
            </w:r>
          </w:p>
          <w:p w14:paraId="58BCDDCF" w14:textId="77777777" w:rsidR="009B0640" w:rsidRPr="00CE15CF" w:rsidRDefault="009B0640" w:rsidP="00CE15CF">
            <w:pPr>
              <w:pStyle w:val="Paralevel1"/>
              <w:numPr>
                <w:ilvl w:val="0"/>
                <w:numId w:val="0"/>
              </w:numPr>
            </w:pPr>
            <w:proofErr w:type="spellStart"/>
            <w:r w:rsidRPr="00CE15CF">
              <w:t>Archroma</w:t>
            </w:r>
            <w:proofErr w:type="spellEnd"/>
            <w:r w:rsidRPr="00CE15CF">
              <w:t xml:space="preserve"> argues that they cannot reprocess PFOI, a PFOA-related compound, on-site as a closed-system site-limited intermediate. PFOI is currently transported in closed barrels to a facility in South Korea where iodine recovery and reprocessing to TFE and HFP, take place under closed system conditions. </w:t>
            </w:r>
          </w:p>
          <w:p w14:paraId="60962544" w14:textId="77777777" w:rsidR="009B0640" w:rsidRPr="00CE15CF" w:rsidRDefault="009B0640" w:rsidP="00CE15CF">
            <w:pPr>
              <w:pStyle w:val="Paralevel1"/>
              <w:numPr>
                <w:ilvl w:val="0"/>
                <w:numId w:val="0"/>
              </w:numPr>
            </w:pPr>
            <w:proofErr w:type="spellStart"/>
            <w:r w:rsidRPr="00CE15CF">
              <w:t>Archroma</w:t>
            </w:r>
            <w:proofErr w:type="spellEnd"/>
            <w:r w:rsidRPr="00CE15CF">
              <w:t xml:space="preserve"> is developing a method for on-site iodine extraction, a prerequisite for reprocessing PFOI. A transitional exemption for the transport of PFOI as a transported isolated intermediate would be necessary, since the process will not be available on-site before the entry into effect of the Convention’s provisions on PFOA. Moreover, the process leads to the production of 1-H-PFO, that also falls under the definition of a PFOA-related compound (questioned by the </w:t>
            </w:r>
            <w:proofErr w:type="spellStart"/>
            <w:r w:rsidRPr="00CE15CF">
              <w:t>FluoroCouncil</w:t>
            </w:r>
            <w:proofErr w:type="spellEnd"/>
            <w:r w:rsidRPr="00CE15CF">
              <w:t>) and is therefore not a viable solution, if 1-H-PFO is considered a PFOA-related compound.</w:t>
            </w:r>
          </w:p>
          <w:p w14:paraId="7B207E16" w14:textId="77777777" w:rsidR="009B0640" w:rsidRPr="00CE15CF" w:rsidRDefault="009B0640" w:rsidP="00CE15CF">
            <w:pPr>
              <w:pStyle w:val="Paralevel1"/>
              <w:numPr>
                <w:ilvl w:val="0"/>
                <w:numId w:val="0"/>
              </w:numPr>
            </w:pPr>
            <w:proofErr w:type="spellStart"/>
            <w:r w:rsidRPr="00CE15CF">
              <w:t>Archroma</w:t>
            </w:r>
            <w:proofErr w:type="spellEnd"/>
            <w:r w:rsidRPr="00CE15CF">
              <w:t xml:space="preserve"> submitted information about risk management measures during taken to avoid releases and informed that all steps of the process covered by the exemption request apply the best available techniques and are conducted in closed systems with (1) no contact with water and (2) incineration of off-gases. The only exception relates to the loading/unloading of containers used for the transport of the PFOI fraction, where they claim that strictly controlled conditions are in place. </w:t>
            </w:r>
          </w:p>
          <w:p w14:paraId="289210C6" w14:textId="77777777" w:rsidR="009B0640" w:rsidRPr="00CE15CF" w:rsidRDefault="009B0640" w:rsidP="00CE15CF">
            <w:pPr>
              <w:pStyle w:val="Paralevel1"/>
              <w:numPr>
                <w:ilvl w:val="0"/>
                <w:numId w:val="0"/>
              </w:numPr>
            </w:pPr>
            <w:r w:rsidRPr="00CE15CF">
              <w:t xml:space="preserve">IPEN and ACAT (2018) note that the proposal to exempt transport of isolated intermediates at the global level undermines the integrity of </w:t>
            </w:r>
            <w:r w:rsidRPr="00CE15CF">
              <w:lastRenderedPageBreak/>
              <w:t>the Stockholm Convention. The Convention limits generic exemptions relating to intermediates to strictly closed-system site-limited intermediates that are chemically transformed in the manufacture of other chemicals that, taking into consideration the criteria in paragraph 1 of Annex D, do not exhibit the characteristics of POP. IPEN and ACAT (2018) add that PFOI is a PFOA-related compound that is predicted to become an Arctic contaminant, disrupts the endocrine system, and may cause long lasting harmful effects to aquatic life.</w:t>
            </w:r>
          </w:p>
        </w:tc>
        <w:tc>
          <w:tcPr>
            <w:tcW w:w="1160" w:type="pct"/>
          </w:tcPr>
          <w:p w14:paraId="069A3C4C" w14:textId="77777777" w:rsidR="009B0640" w:rsidRPr="00CE15CF" w:rsidRDefault="009B0640" w:rsidP="00CE15CF">
            <w:pPr>
              <w:pStyle w:val="Paralevel1"/>
              <w:numPr>
                <w:ilvl w:val="0"/>
                <w:numId w:val="0"/>
              </w:numPr>
            </w:pPr>
            <w:proofErr w:type="spellStart"/>
            <w:r w:rsidRPr="00CE15CF">
              <w:lastRenderedPageBreak/>
              <w:t>Archroma’s</w:t>
            </w:r>
            <w:proofErr w:type="spellEnd"/>
            <w:r w:rsidRPr="00CE15CF">
              <w:t xml:space="preserve"> proposal requires both an exemption for PFOI transport as an intermediate and the reclassifying of 1-H-PFO as not being a PFOA-related compound. Based on the evaluation of available information a time limited </w:t>
            </w:r>
            <w:r w:rsidRPr="00CE15CF">
              <w:lastRenderedPageBreak/>
              <w:t>exemption could be considered for the use of PFOI (</w:t>
            </w:r>
            <w:proofErr w:type="spellStart"/>
            <w:r w:rsidRPr="00CE15CF">
              <w:t>Perfluorooctane</w:t>
            </w:r>
            <w:proofErr w:type="spellEnd"/>
            <w:r w:rsidRPr="00CE15CF">
              <w:t xml:space="preserve"> iodide) as isolated intermediate </w:t>
            </w:r>
            <w:proofErr w:type="gramStart"/>
            <w:r w:rsidRPr="00CE15CF">
              <w:t>in order to</w:t>
            </w:r>
            <w:proofErr w:type="gramEnd"/>
            <w:r w:rsidRPr="00CE15CF">
              <w:t xml:space="preserve"> enable reprocessing to TFE (tetrafluoroethylene) and HFP (hexafluoropropylene) in another site than the production site. Based on the information provided, the Committee </w:t>
            </w:r>
            <w:proofErr w:type="gramStart"/>
            <w:r w:rsidRPr="00CE15CF">
              <w:t>has to</w:t>
            </w:r>
            <w:proofErr w:type="gramEnd"/>
            <w:r w:rsidRPr="00CE15CF">
              <w:t xml:space="preserve"> decide whether a specific exemption should be given.</w:t>
            </w:r>
          </w:p>
        </w:tc>
      </w:tr>
      <w:tr w:rsidR="009B0640" w:rsidRPr="00CE15CF" w14:paraId="63A0053D" w14:textId="77777777" w:rsidTr="009B0640">
        <w:tc>
          <w:tcPr>
            <w:tcW w:w="526" w:type="pct"/>
          </w:tcPr>
          <w:p w14:paraId="57CAB2B9" w14:textId="77777777" w:rsidR="009B0640" w:rsidRPr="00CE15CF" w:rsidRDefault="009B0640" w:rsidP="00CE15CF">
            <w:pPr>
              <w:pStyle w:val="Paralevel1"/>
              <w:numPr>
                <w:ilvl w:val="0"/>
                <w:numId w:val="0"/>
              </w:numPr>
            </w:pPr>
            <w:r w:rsidRPr="00CE15CF">
              <w:lastRenderedPageBreak/>
              <w:t>Medical devices</w:t>
            </w:r>
          </w:p>
        </w:tc>
        <w:tc>
          <w:tcPr>
            <w:tcW w:w="606" w:type="pct"/>
          </w:tcPr>
          <w:p w14:paraId="16374B83" w14:textId="77777777" w:rsidR="009B0640" w:rsidRPr="00CE15CF" w:rsidRDefault="009B0640" w:rsidP="00CE15CF">
            <w:pPr>
              <w:pStyle w:val="Paralevel1"/>
              <w:numPr>
                <w:ilvl w:val="0"/>
                <w:numId w:val="0"/>
              </w:numPr>
            </w:pPr>
            <w:r w:rsidRPr="00CE15CF">
              <w:t>Information on specific applications/uses and timelines foreseen as needed for potential related exemptions</w:t>
            </w:r>
          </w:p>
        </w:tc>
        <w:tc>
          <w:tcPr>
            <w:tcW w:w="712" w:type="pct"/>
          </w:tcPr>
          <w:p w14:paraId="62588E12" w14:textId="77777777" w:rsidR="009B0640" w:rsidRPr="00CE15CF" w:rsidRDefault="009B0640" w:rsidP="00CE15CF">
            <w:pPr>
              <w:pStyle w:val="Paralevel1"/>
              <w:numPr>
                <w:ilvl w:val="0"/>
                <w:numId w:val="0"/>
              </w:numPr>
            </w:pPr>
            <w:r w:rsidRPr="00CE15CF">
              <w:t>Unknown</w:t>
            </w:r>
          </w:p>
        </w:tc>
        <w:tc>
          <w:tcPr>
            <w:tcW w:w="1995" w:type="pct"/>
          </w:tcPr>
          <w:p w14:paraId="7A4F2C31" w14:textId="77777777" w:rsidR="009B0640" w:rsidRPr="00CE15CF" w:rsidRDefault="009B0640" w:rsidP="00CE15CF">
            <w:pPr>
              <w:pStyle w:val="Paralevel1"/>
              <w:numPr>
                <w:ilvl w:val="0"/>
                <w:numId w:val="0"/>
              </w:numPr>
            </w:pPr>
            <w:proofErr w:type="spellStart"/>
            <w:r w:rsidRPr="00CE15CF">
              <w:t>MedTech</w:t>
            </w:r>
            <w:proofErr w:type="spellEnd"/>
            <w:r w:rsidRPr="00CE15CF">
              <w:t xml:space="preserve"> (2018) and </w:t>
            </w:r>
            <w:proofErr w:type="spellStart"/>
            <w:r w:rsidRPr="00CE15CF">
              <w:t>Euromed</w:t>
            </w:r>
            <w:proofErr w:type="spellEnd"/>
            <w:r w:rsidRPr="00CE15CF">
              <w:t xml:space="preserve"> (2015) commented that gathering information on specific applications was challenging and indicated that PFOA would chiefly be present as a by-product of PTFE manufacture, PFOA has been used as an emulsifier.  </w:t>
            </w:r>
            <w:proofErr w:type="spellStart"/>
            <w:r w:rsidRPr="00CE15CF">
              <w:t>MedTech</w:t>
            </w:r>
            <w:proofErr w:type="spellEnd"/>
            <w:r w:rsidRPr="00CE15CF">
              <w:t xml:space="preserve"> (2018) also provided a summary of generic potential uses.</w:t>
            </w:r>
          </w:p>
          <w:p w14:paraId="4A5F43F8" w14:textId="77777777" w:rsidR="009B0640" w:rsidRPr="00CE15CF" w:rsidRDefault="009B0640" w:rsidP="00CE15CF">
            <w:pPr>
              <w:pStyle w:val="Paralevel1"/>
              <w:numPr>
                <w:ilvl w:val="0"/>
                <w:numId w:val="0"/>
              </w:numPr>
            </w:pPr>
            <w:r w:rsidRPr="00CE15CF">
              <w:t xml:space="preserve">To ease the decision at the COP, IPEN and ACAT (2018) commented that a specific list of applications is needed to help maintain clarity and enforcement of the Convention. </w:t>
            </w:r>
          </w:p>
          <w:p w14:paraId="43BF57C9" w14:textId="77777777" w:rsidR="009B0640" w:rsidRPr="00CE15CF" w:rsidRDefault="009B0640" w:rsidP="00CE15CF">
            <w:pPr>
              <w:pStyle w:val="Paralevel1"/>
              <w:numPr>
                <w:ilvl w:val="0"/>
                <w:numId w:val="0"/>
              </w:numPr>
            </w:pPr>
            <w:r w:rsidRPr="00CE15CF">
              <w:t>ECHA (ECHA, 2015) estimated in use quantities of &lt;1kg in the EU extrapolated to &lt;5kg globally. ECHA (ECHA, 2015). As part of the REACH restriction process an exemption was granted for non-implantable medical devices of 15 years to allow phase-out and development of alternatives.</w:t>
            </w:r>
          </w:p>
          <w:p w14:paraId="1E9799EE" w14:textId="77777777" w:rsidR="009B0640" w:rsidRPr="00CE15CF" w:rsidRDefault="009B0640" w:rsidP="00CE15CF">
            <w:pPr>
              <w:pStyle w:val="Paralevel1"/>
              <w:numPr>
                <w:ilvl w:val="0"/>
                <w:numId w:val="0"/>
              </w:numPr>
            </w:pPr>
            <w:r w:rsidRPr="00CE15CF">
              <w:t xml:space="preserve">The RME noted that PFOA free PTFE options have already been developed, passed stringent regulatory requirements and have been commercialised in some geographies. The ECHA Annex XV restriction report comments that 70% of global PTFE production is now PFOA free under the PFOA product stewardship programme chaired by the US EPA which covers Japan, Europe and the USA. </w:t>
            </w:r>
            <w:proofErr w:type="gramStart"/>
            <w:r w:rsidRPr="00CE15CF">
              <w:t>However</w:t>
            </w:r>
            <w:proofErr w:type="gramEnd"/>
            <w:r w:rsidRPr="00CE15CF">
              <w:t xml:space="preserve"> many medical devices are manufactured outside of these areas (</w:t>
            </w:r>
            <w:proofErr w:type="spellStart"/>
            <w:r w:rsidRPr="00CE15CF">
              <w:t>MedTech</w:t>
            </w:r>
            <w:proofErr w:type="spellEnd"/>
            <w:r w:rsidRPr="00CE15CF">
              <w:t>, 2018).</w:t>
            </w:r>
          </w:p>
        </w:tc>
        <w:tc>
          <w:tcPr>
            <w:tcW w:w="1160" w:type="pct"/>
          </w:tcPr>
          <w:p w14:paraId="38F9061E" w14:textId="77777777" w:rsidR="009B0640" w:rsidRPr="00CE15CF" w:rsidRDefault="009B0640" w:rsidP="00CE15CF">
            <w:pPr>
              <w:pStyle w:val="Paralevel1"/>
              <w:numPr>
                <w:ilvl w:val="0"/>
                <w:numId w:val="0"/>
              </w:numPr>
            </w:pPr>
            <w:r w:rsidRPr="00CE15CF">
              <w:t>Specific lists of applications for medical devices using or containing PFOA have not been identified. Although information on a generic basis has been included.</w:t>
            </w:r>
          </w:p>
          <w:p w14:paraId="446C91C1" w14:textId="77777777" w:rsidR="009B0640" w:rsidRPr="00CE15CF" w:rsidRDefault="009B0640" w:rsidP="00CE15CF">
            <w:pPr>
              <w:pStyle w:val="Paralevel1"/>
              <w:numPr>
                <w:ilvl w:val="0"/>
                <w:numId w:val="0"/>
              </w:numPr>
            </w:pPr>
            <w:r w:rsidRPr="00CE15CF">
              <w:t>Quantities of PFOA still in use and required up to the point of transition are low compared to other uses such as fire-fighting foams, though even small amounts of PFOA will be persistent, can travel long distances from point of release and have the capacity to bioaccumulate.</w:t>
            </w:r>
          </w:p>
          <w:p w14:paraId="14205F53" w14:textId="77777777" w:rsidR="009B0640" w:rsidRPr="00CE15CF" w:rsidRDefault="009B0640" w:rsidP="00CE15CF">
            <w:pPr>
              <w:pStyle w:val="Paralevel1"/>
              <w:numPr>
                <w:ilvl w:val="0"/>
                <w:numId w:val="0"/>
              </w:numPr>
            </w:pPr>
            <w:r w:rsidRPr="00CE15CF">
              <w:t>Alternatives to PFOA based PTFE have been developed and commercialised in at least some geographies.</w:t>
            </w:r>
          </w:p>
          <w:p w14:paraId="44289319" w14:textId="16B51F41" w:rsidR="009B0640" w:rsidRPr="00CE15CF" w:rsidRDefault="009B0640" w:rsidP="003D6476">
            <w:pPr>
              <w:pStyle w:val="Paralevel1"/>
              <w:numPr>
                <w:ilvl w:val="0"/>
                <w:numId w:val="0"/>
              </w:numPr>
            </w:pPr>
            <w:r w:rsidRPr="00CE15CF">
              <w:t xml:space="preserve">Potential issues with stringent medical regulations may also delay the transition processes and this would </w:t>
            </w:r>
            <w:r w:rsidRPr="00CE15CF">
              <w:lastRenderedPageBreak/>
              <w:t>suggest that a time-limited exemption may be appropriate.</w:t>
            </w:r>
          </w:p>
        </w:tc>
      </w:tr>
      <w:tr w:rsidR="009B0640" w:rsidRPr="00CE15CF" w14:paraId="2093B5D0" w14:textId="77777777" w:rsidTr="009B0640">
        <w:tc>
          <w:tcPr>
            <w:tcW w:w="526" w:type="pct"/>
          </w:tcPr>
          <w:p w14:paraId="0CF5E93A" w14:textId="77777777" w:rsidR="009B0640" w:rsidRPr="00CE15CF" w:rsidRDefault="009B0640" w:rsidP="00CE15CF">
            <w:pPr>
              <w:pStyle w:val="Paralevel1"/>
              <w:numPr>
                <w:ilvl w:val="0"/>
                <w:numId w:val="0"/>
              </w:numPr>
            </w:pPr>
            <w:r w:rsidRPr="00CE15CF">
              <w:lastRenderedPageBreak/>
              <w:t>Implantable medical devices</w:t>
            </w:r>
          </w:p>
        </w:tc>
        <w:tc>
          <w:tcPr>
            <w:tcW w:w="606" w:type="pct"/>
          </w:tcPr>
          <w:p w14:paraId="51011768" w14:textId="77777777" w:rsidR="009B0640" w:rsidRPr="00CE15CF" w:rsidRDefault="009B0640" w:rsidP="00CE15CF">
            <w:pPr>
              <w:pStyle w:val="Paralevel1"/>
              <w:numPr>
                <w:ilvl w:val="0"/>
                <w:numId w:val="0"/>
              </w:numPr>
            </w:pPr>
            <w:r w:rsidRPr="00CE15CF">
              <w:t>Information on the quantities used, extent of transport and risks, and use;</w:t>
            </w:r>
          </w:p>
        </w:tc>
        <w:tc>
          <w:tcPr>
            <w:tcW w:w="712" w:type="pct"/>
          </w:tcPr>
          <w:p w14:paraId="31EBD99B" w14:textId="77777777" w:rsidR="009B0640" w:rsidRPr="00CE15CF" w:rsidRDefault="009B0640" w:rsidP="00CE15CF">
            <w:pPr>
              <w:pStyle w:val="Paralevel1"/>
              <w:numPr>
                <w:ilvl w:val="0"/>
                <w:numId w:val="0"/>
              </w:numPr>
            </w:pPr>
            <w:r w:rsidRPr="00CE15CF">
              <w:t>20g for EU extrapolated to 100g globally</w:t>
            </w:r>
          </w:p>
        </w:tc>
        <w:tc>
          <w:tcPr>
            <w:tcW w:w="1995" w:type="pct"/>
          </w:tcPr>
          <w:p w14:paraId="4007ED92" w14:textId="77777777" w:rsidR="009B0640" w:rsidRPr="00CE15CF" w:rsidRDefault="009B0640" w:rsidP="00CE15CF">
            <w:pPr>
              <w:pStyle w:val="Paralevel1"/>
              <w:numPr>
                <w:ilvl w:val="0"/>
                <w:numId w:val="0"/>
              </w:numPr>
            </w:pPr>
            <w:r w:rsidRPr="00CE15CF">
              <w:t>ECHA (ECHA, 2015a) indicates that amounts of PFOA and PFOA-related compounds related to this use are extremely low. –</w:t>
            </w:r>
          </w:p>
          <w:p w14:paraId="0B31C0DA" w14:textId="77777777" w:rsidR="009B0640" w:rsidRPr="00CE15CF" w:rsidRDefault="009B0640" w:rsidP="00CE15CF">
            <w:pPr>
              <w:pStyle w:val="Paralevel1"/>
              <w:numPr>
                <w:ilvl w:val="0"/>
                <w:numId w:val="0"/>
              </w:numPr>
            </w:pPr>
            <w:r w:rsidRPr="00CE15CF">
              <w:t>Further information and data on quantities used, extent of transport and risks, and use of PFOA in implantable medical devices was not provided in response to the request for information.</w:t>
            </w:r>
          </w:p>
          <w:p w14:paraId="0EC01143" w14:textId="77777777" w:rsidR="009B0640" w:rsidRPr="00CE15CF" w:rsidRDefault="009B0640" w:rsidP="00CE15CF">
            <w:pPr>
              <w:pStyle w:val="Paralevel1"/>
              <w:numPr>
                <w:ilvl w:val="0"/>
                <w:numId w:val="0"/>
              </w:numPr>
            </w:pPr>
            <w:r w:rsidRPr="00CE15CF">
              <w:t>Implantable medical devices, such cardiovascular devices catheters and guidewires, can contain PTFE made from PFOA (</w:t>
            </w:r>
            <w:proofErr w:type="spellStart"/>
            <w:r w:rsidRPr="00CE15CF">
              <w:t>MedTech</w:t>
            </w:r>
            <w:proofErr w:type="spellEnd"/>
            <w:r w:rsidRPr="00CE15CF">
              <w:t xml:space="preserve"> 2018). However, PTFE can be made without PFOA and alternatives are reportedly now commercially available, approved by US FDA, and are a feasible and effective alternative to the use of PFOA.</w:t>
            </w:r>
          </w:p>
        </w:tc>
        <w:tc>
          <w:tcPr>
            <w:tcW w:w="1160" w:type="pct"/>
          </w:tcPr>
          <w:p w14:paraId="7962F54D" w14:textId="77777777" w:rsidR="009B0640" w:rsidRPr="00CE15CF" w:rsidRDefault="009B0640" w:rsidP="00CE15CF">
            <w:pPr>
              <w:pStyle w:val="Paralevel1"/>
              <w:numPr>
                <w:ilvl w:val="0"/>
                <w:numId w:val="0"/>
              </w:numPr>
            </w:pPr>
            <w:r w:rsidRPr="00CE15CF">
              <w:t xml:space="preserve">Cost competitive alternatives, such as PFOA free PTFE products have already undergone clinical testing, been approved and have been implemented for use in some specific medical implant devices. However, replacement of PFOA in all types of implantable medical devices is not known to have taken place and clinical testing of any alternatives will be necessary on a case by case basis (taking many years) to establish the feasibility and effectiveness of any alternative prior to being medically approved. </w:t>
            </w:r>
          </w:p>
          <w:p w14:paraId="6469937D" w14:textId="77777777" w:rsidR="009B0640" w:rsidRPr="00CE15CF" w:rsidRDefault="009B0640" w:rsidP="00CE15CF">
            <w:pPr>
              <w:pStyle w:val="Paralevel1"/>
              <w:numPr>
                <w:ilvl w:val="0"/>
                <w:numId w:val="0"/>
              </w:numPr>
            </w:pPr>
            <w:r w:rsidRPr="00CE15CF">
              <w:t>Further detail on specific applications is needed before the Committee should consider an exemption for PFOA and PFOA-related compounds in implantable medical devices including whether a specific exemption could be narrowed to a specific use such as cardiovascular implantable medical devices.</w:t>
            </w:r>
          </w:p>
          <w:p w14:paraId="414C20D0" w14:textId="77777777" w:rsidR="009B0640" w:rsidRPr="00CE15CF" w:rsidRDefault="009B0640" w:rsidP="00CE15CF">
            <w:pPr>
              <w:pStyle w:val="Paralevel1"/>
              <w:numPr>
                <w:ilvl w:val="0"/>
                <w:numId w:val="0"/>
              </w:numPr>
            </w:pPr>
            <w:r w:rsidRPr="00CE15CF">
              <w:t>Possible time-limited exemptions for this use therefore could be considered.</w:t>
            </w:r>
          </w:p>
        </w:tc>
      </w:tr>
      <w:tr w:rsidR="009B0640" w:rsidRPr="00CE15CF" w14:paraId="3E4DCB2B" w14:textId="77777777" w:rsidTr="009B0640">
        <w:tc>
          <w:tcPr>
            <w:tcW w:w="526" w:type="pct"/>
          </w:tcPr>
          <w:p w14:paraId="5DB2B5C4" w14:textId="77777777" w:rsidR="009B0640" w:rsidRPr="00CE15CF" w:rsidRDefault="009B0640" w:rsidP="00CE15CF">
            <w:pPr>
              <w:pStyle w:val="Paralevel1"/>
              <w:numPr>
                <w:ilvl w:val="0"/>
                <w:numId w:val="0"/>
              </w:numPr>
            </w:pPr>
            <w:r w:rsidRPr="00CE15CF">
              <w:lastRenderedPageBreak/>
              <w:t>Photo imaging sector</w:t>
            </w:r>
          </w:p>
        </w:tc>
        <w:tc>
          <w:tcPr>
            <w:tcW w:w="606" w:type="pct"/>
          </w:tcPr>
          <w:p w14:paraId="2BF40BCD" w14:textId="77777777" w:rsidR="009B0640" w:rsidRPr="00CE15CF" w:rsidRDefault="009B0640" w:rsidP="00CE15CF">
            <w:pPr>
              <w:pStyle w:val="Paralevel1"/>
              <w:numPr>
                <w:ilvl w:val="0"/>
                <w:numId w:val="0"/>
              </w:numPr>
            </w:pPr>
            <w:r w:rsidRPr="00CE15CF">
              <w:t>Information relevant for paper and printing sector and use in developing countries;</w:t>
            </w:r>
          </w:p>
        </w:tc>
        <w:tc>
          <w:tcPr>
            <w:tcW w:w="712" w:type="pct"/>
          </w:tcPr>
          <w:p w14:paraId="4C758B04" w14:textId="77777777" w:rsidR="009B0640" w:rsidRPr="00CE15CF" w:rsidRDefault="009B0640" w:rsidP="00CE15CF">
            <w:pPr>
              <w:pStyle w:val="Paralevel1"/>
              <w:numPr>
                <w:ilvl w:val="0"/>
                <w:numId w:val="0"/>
              </w:numPr>
            </w:pPr>
            <w:r w:rsidRPr="00CE15CF">
              <w:t>Unknown</w:t>
            </w:r>
          </w:p>
        </w:tc>
        <w:tc>
          <w:tcPr>
            <w:tcW w:w="1995" w:type="pct"/>
          </w:tcPr>
          <w:p w14:paraId="54630699" w14:textId="77777777" w:rsidR="009B0640" w:rsidRPr="00CE15CF" w:rsidRDefault="009B0640" w:rsidP="00CE15CF">
            <w:pPr>
              <w:pStyle w:val="Paralevel1"/>
              <w:numPr>
                <w:ilvl w:val="0"/>
                <w:numId w:val="0"/>
              </w:numPr>
            </w:pPr>
            <w:r w:rsidRPr="00CE15CF">
              <w:t>I&amp;P Europe (2018) state that non-</w:t>
            </w:r>
            <w:proofErr w:type="spellStart"/>
            <w:r w:rsidRPr="00CE15CF">
              <w:t>perfluorinated</w:t>
            </w:r>
            <w:proofErr w:type="spellEnd"/>
            <w:r w:rsidRPr="00CE15CF">
              <w:t xml:space="preserve"> alternatives have successfully replaced most uses in the imaging and printing industry and the move to digital imaging will replace the need for PFOA. </w:t>
            </w:r>
          </w:p>
          <w:p w14:paraId="7600F5DE" w14:textId="77777777" w:rsidR="009B0640" w:rsidRPr="00CE15CF" w:rsidRDefault="009B0640" w:rsidP="00CE15CF">
            <w:pPr>
              <w:pStyle w:val="Paralevel1"/>
              <w:numPr>
                <w:ilvl w:val="0"/>
                <w:numId w:val="0"/>
              </w:numPr>
            </w:pPr>
            <w:r w:rsidRPr="00CE15CF">
              <w:t xml:space="preserve">PFOA use in photo-imaging has been reduced by more than 95% worldwide since 2000 (I&amp;P Europe) due to reformulation and discontinuation of PFOA-related compounds. </w:t>
            </w:r>
          </w:p>
          <w:p w14:paraId="1DE54122" w14:textId="77777777" w:rsidR="009B0640" w:rsidRPr="00CE15CF" w:rsidRDefault="009B0640" w:rsidP="00CE15CF">
            <w:pPr>
              <w:pStyle w:val="Paralevel1"/>
              <w:numPr>
                <w:ilvl w:val="0"/>
                <w:numId w:val="0"/>
              </w:numPr>
            </w:pPr>
            <w:r w:rsidRPr="00CE15CF">
              <w:t xml:space="preserve">Indeed, digital imaging has been adopted in developing countries in favour of hardcopy printing (IPEN and ACAT, 2018). The IAEA and WHO provided a further example of the transition to digital technologies within developing and transition countries, noting </w:t>
            </w:r>
            <w:proofErr w:type="gramStart"/>
            <w:r w:rsidRPr="00CE15CF">
              <w:t>in particular that</w:t>
            </w:r>
            <w:proofErr w:type="gramEnd"/>
            <w:r w:rsidRPr="00CE15CF">
              <w:t xml:space="preserve"> the rapid adoption of digital technology in healthcare results from “efficiencies inherent in digital capture, storage and display and the competitive cost structures of such systems when compared to alternatives involving film.” Further information on use of PFOA or PFOA-related compounds in other industry sectors was not received in response to the call for information.</w:t>
            </w:r>
          </w:p>
          <w:p w14:paraId="7F007603" w14:textId="77777777" w:rsidR="009B0640" w:rsidRPr="00CE15CF" w:rsidRDefault="009B0640" w:rsidP="00CE15CF">
            <w:pPr>
              <w:pStyle w:val="Paralevel1"/>
              <w:numPr>
                <w:ilvl w:val="0"/>
                <w:numId w:val="0"/>
              </w:numPr>
            </w:pPr>
            <w:r w:rsidRPr="00CE15CF">
              <w:t xml:space="preserve">The emissions from the small number of ongoing uses by the photo-imaging industry have been assessed by </w:t>
            </w:r>
            <w:proofErr w:type="gramStart"/>
            <w:r w:rsidRPr="00CE15CF">
              <w:t>a number of</w:t>
            </w:r>
            <w:proofErr w:type="gramEnd"/>
            <w:r w:rsidRPr="00CE15CF">
              <w:t xml:space="preserve"> competent authorities in the EU, including ECHA, and determined not to pose a relevant risk to the environment or human health (I&amp;P Europe, 2016).  </w:t>
            </w:r>
          </w:p>
        </w:tc>
        <w:tc>
          <w:tcPr>
            <w:tcW w:w="1160" w:type="pct"/>
          </w:tcPr>
          <w:p w14:paraId="4FBC47ED" w14:textId="77777777" w:rsidR="009B0640" w:rsidRPr="00CE15CF" w:rsidRDefault="009B0640" w:rsidP="00CE15CF">
            <w:pPr>
              <w:pStyle w:val="Paralevel1"/>
              <w:numPr>
                <w:ilvl w:val="0"/>
                <w:numId w:val="0"/>
              </w:numPr>
            </w:pPr>
            <w:r w:rsidRPr="00CE15CF">
              <w:t>Based on the existing and rapid transition towards digital imaging, the wide use of digital techniques in developing and transition countries, and the further reduction in use of PFOA in this sector, no exemptions for photographic coatings applied to paper and printing plates should be considered necessary.</w:t>
            </w:r>
          </w:p>
          <w:p w14:paraId="05202C3D" w14:textId="77777777" w:rsidR="009B0640" w:rsidRPr="00CE15CF" w:rsidRDefault="009B0640" w:rsidP="00CE15CF">
            <w:pPr>
              <w:pStyle w:val="Paralevel1"/>
              <w:numPr>
                <w:ilvl w:val="0"/>
                <w:numId w:val="0"/>
              </w:numPr>
            </w:pPr>
          </w:p>
        </w:tc>
      </w:tr>
      <w:tr w:rsidR="009B0640" w:rsidRPr="00CE15CF" w14:paraId="6A28B6CB" w14:textId="77777777" w:rsidTr="009B0640">
        <w:tc>
          <w:tcPr>
            <w:tcW w:w="526" w:type="pct"/>
          </w:tcPr>
          <w:p w14:paraId="49781480" w14:textId="77777777" w:rsidR="009B0640" w:rsidRPr="00CE15CF" w:rsidRDefault="009B0640" w:rsidP="00CE15CF">
            <w:pPr>
              <w:pStyle w:val="Paralevel1"/>
              <w:numPr>
                <w:ilvl w:val="0"/>
                <w:numId w:val="0"/>
              </w:numPr>
            </w:pPr>
            <w:r w:rsidRPr="00CE15CF">
              <w:t>Automotive industry</w:t>
            </w:r>
          </w:p>
        </w:tc>
        <w:tc>
          <w:tcPr>
            <w:tcW w:w="606" w:type="pct"/>
          </w:tcPr>
          <w:p w14:paraId="1EB75136" w14:textId="77777777" w:rsidR="009B0640" w:rsidRPr="00CE15CF" w:rsidRDefault="009B0640" w:rsidP="00CE15CF">
            <w:pPr>
              <w:pStyle w:val="Paralevel1"/>
              <w:numPr>
                <w:ilvl w:val="0"/>
                <w:numId w:val="0"/>
              </w:numPr>
            </w:pPr>
            <w:r w:rsidRPr="00CE15CF">
              <w:t>Information on spare parts</w:t>
            </w:r>
          </w:p>
        </w:tc>
        <w:tc>
          <w:tcPr>
            <w:tcW w:w="712" w:type="pct"/>
          </w:tcPr>
          <w:p w14:paraId="79B34EDE" w14:textId="77777777" w:rsidR="009B0640" w:rsidRPr="00CE15CF" w:rsidDel="00874D79" w:rsidRDefault="009B0640" w:rsidP="00CE15CF">
            <w:pPr>
              <w:pStyle w:val="Paralevel1"/>
              <w:numPr>
                <w:ilvl w:val="0"/>
                <w:numId w:val="0"/>
              </w:numPr>
            </w:pPr>
            <w:r w:rsidRPr="00CE15CF">
              <w:t>Unknown</w:t>
            </w:r>
          </w:p>
        </w:tc>
        <w:tc>
          <w:tcPr>
            <w:tcW w:w="1995" w:type="pct"/>
          </w:tcPr>
          <w:p w14:paraId="6EE59B13" w14:textId="77777777" w:rsidR="009B0640" w:rsidRPr="00CE15CF" w:rsidRDefault="009B0640" w:rsidP="00CE15CF">
            <w:pPr>
              <w:pStyle w:val="Paralevel1"/>
              <w:numPr>
                <w:ilvl w:val="0"/>
                <w:numId w:val="0"/>
              </w:numPr>
            </w:pPr>
            <w:r w:rsidRPr="00CE15CF">
              <w:t xml:space="preserve">The Canadian automotive association, CVMA, requested specific exemptions for automotive service and replacement parts as well as for current production vehicles. The request for exemption is also supported by industry associations ACEA (Europe) and SIAM (India). </w:t>
            </w:r>
            <w:proofErr w:type="gramStart"/>
            <w:r w:rsidRPr="00CE15CF">
              <w:t>According to</w:t>
            </w:r>
            <w:proofErr w:type="gramEnd"/>
            <w:r w:rsidRPr="00CE15CF">
              <w:t xml:space="preserve"> CVMA, the industry has been proactively phasing out PFOA use for some time. However, service and replacement parts might still contain PFOA. </w:t>
            </w:r>
            <w:proofErr w:type="gramStart"/>
            <w:r w:rsidRPr="00CE15CF">
              <w:t>According to</w:t>
            </w:r>
            <w:proofErr w:type="gramEnd"/>
            <w:r w:rsidRPr="00CE15CF">
              <w:t xml:space="preserve"> CVMA, these parts represent a small percentage of PFOA use and will decrease naturally over time as the vehicle fleet turns-over. </w:t>
            </w:r>
            <w:r w:rsidRPr="00CE15CF">
              <w:lastRenderedPageBreak/>
              <w:t>Automotive manufacturers reportedly need to ensure the availability of original equipment and spare parts to satisfy customer demand.</w:t>
            </w:r>
          </w:p>
          <w:p w14:paraId="797B0EA0" w14:textId="77777777" w:rsidR="009B0640" w:rsidRPr="00CE15CF" w:rsidRDefault="009B0640" w:rsidP="00CE15CF">
            <w:pPr>
              <w:pStyle w:val="Paralevel1"/>
              <w:numPr>
                <w:ilvl w:val="0"/>
                <w:numId w:val="0"/>
              </w:numPr>
            </w:pPr>
            <w:r w:rsidRPr="00CE15CF">
              <w:t xml:space="preserve">Further, </w:t>
            </w:r>
            <w:proofErr w:type="gramStart"/>
            <w:r w:rsidRPr="00CE15CF">
              <w:t>according to</w:t>
            </w:r>
            <w:proofErr w:type="gramEnd"/>
            <w:r w:rsidRPr="00CE15CF">
              <w:t xml:space="preserve"> the Canadian automotive industry, a key obstacle in a complete phase-out of PFOA in automotive service and spare parts appears to be the prohibitive costs. However, no information on possible cost implications has been submitted. In addition, the Canadian automotive industry has concerns regarding practical challenges related to numerous CAS numbers of affected substances. This has also been expressed by ACEA and SIAM, stating that a considerable amount of time would be required to collect relevant data. </w:t>
            </w:r>
          </w:p>
          <w:p w14:paraId="00ED1188" w14:textId="77777777" w:rsidR="009B0640" w:rsidRPr="00CE15CF" w:rsidRDefault="009B0640" w:rsidP="00CE15CF">
            <w:pPr>
              <w:pStyle w:val="Paralevel1"/>
              <w:numPr>
                <w:ilvl w:val="0"/>
                <w:numId w:val="0"/>
              </w:numPr>
            </w:pPr>
            <w:r w:rsidRPr="00CE15CF">
              <w:t xml:space="preserve">In contrast to the request for exemption, IPEN and ACAT stipulate that key automotive industry associations have notified company members and suppliers that PFOA will be listed under the Stockholm Convention as well as being regulated in the EU and that these substances should be substituted. The automotive industry also notes that, most suppliers producing relevant articles no longer use PFOA or other long-chained </w:t>
            </w:r>
            <w:proofErr w:type="spellStart"/>
            <w:r w:rsidRPr="00CE15CF">
              <w:t>perfluorinated</w:t>
            </w:r>
            <w:proofErr w:type="spellEnd"/>
            <w:r w:rsidRPr="00CE15CF">
              <w:t xml:space="preserve"> chemicals. In the past PFOA has been used to make fluoropolymers used in automotive applications but several companies have alternative emulsifiers so that PFOA has been eliminated in this class of automotive products. </w:t>
            </w:r>
          </w:p>
          <w:p w14:paraId="21C63632" w14:textId="77777777" w:rsidR="009B0640" w:rsidRPr="00CE15CF" w:rsidRDefault="009B0640" w:rsidP="00CE15CF">
            <w:pPr>
              <w:pStyle w:val="Paralevel1"/>
              <w:numPr>
                <w:ilvl w:val="0"/>
                <w:numId w:val="0"/>
              </w:numPr>
            </w:pPr>
            <w:r w:rsidRPr="00CE15CF">
              <w:t xml:space="preserve">In summary, the Committee requested specification of relevant automotive service and replacement parts as well as sound justification as to why an exemption is required. Limited information has been submitted on specific applications, socio-economic aspects and the availability of alternatives. No conclusive information was submitted so far on the specification of relevant automotive service and replacement parts and on the quantities of relevant substances used in different applications. Further information such as used amounts in different parts is considered necessary to justify a recommendation for an exemption. CVMA indicates in their recent </w:t>
            </w:r>
            <w:r w:rsidRPr="00CE15CF">
              <w:lastRenderedPageBreak/>
              <w:t xml:space="preserve">submission that they are currently working to see if any further information can be provided. </w:t>
            </w:r>
          </w:p>
        </w:tc>
        <w:tc>
          <w:tcPr>
            <w:tcW w:w="1160" w:type="pct"/>
          </w:tcPr>
          <w:p w14:paraId="4C19E0F3" w14:textId="77777777" w:rsidR="009B0640" w:rsidRPr="00CE15CF" w:rsidRDefault="009B0640" w:rsidP="00CE15CF">
            <w:pPr>
              <w:pStyle w:val="Paralevel1"/>
              <w:numPr>
                <w:ilvl w:val="0"/>
                <w:numId w:val="0"/>
              </w:numPr>
            </w:pPr>
            <w:r w:rsidRPr="00CE15CF">
              <w:lastRenderedPageBreak/>
              <w:t xml:space="preserve">Based on the review of updated information a time limited exemption could be considered for automotive service and replacement parts and vehicles. However, additional information should be made available by the automotive industry. </w:t>
            </w:r>
          </w:p>
          <w:p w14:paraId="47037192" w14:textId="50E99519" w:rsidR="009B0640" w:rsidRPr="00CE15CF" w:rsidRDefault="009B0640" w:rsidP="003D6476">
            <w:pPr>
              <w:pStyle w:val="Paralevel1"/>
              <w:numPr>
                <w:ilvl w:val="0"/>
                <w:numId w:val="0"/>
              </w:numPr>
            </w:pPr>
            <w:r w:rsidRPr="00CE15CF">
              <w:t xml:space="preserve">No conclusive information has been provided on the specification of </w:t>
            </w:r>
            <w:r w:rsidRPr="00CE15CF">
              <w:lastRenderedPageBreak/>
              <w:t xml:space="preserve">relevant automotive service and replacement parts (specific parts or categories of parts) and on the quantities of relevant substances used in different applications. Information such as amounts used in different parts is considered necessary to justify a consideration of a recommendation for an exemption. Further information on time for phase-out, estimation of economic impacts, alternatives in place and retrofitting capacity would support further discussions at international level. </w:t>
            </w:r>
          </w:p>
        </w:tc>
      </w:tr>
      <w:tr w:rsidR="009B0640" w:rsidRPr="00CE15CF" w14:paraId="2791C7F3" w14:textId="77777777" w:rsidTr="009B0640">
        <w:tc>
          <w:tcPr>
            <w:tcW w:w="526" w:type="pct"/>
          </w:tcPr>
          <w:p w14:paraId="36F971E6" w14:textId="77777777" w:rsidR="009B0640" w:rsidRPr="00CE15CF" w:rsidRDefault="009B0640" w:rsidP="00CE15CF">
            <w:pPr>
              <w:pStyle w:val="Paralevel1"/>
              <w:numPr>
                <w:ilvl w:val="0"/>
                <w:numId w:val="0"/>
              </w:numPr>
            </w:pPr>
            <w:r w:rsidRPr="00CE15CF">
              <w:lastRenderedPageBreak/>
              <w:t>Fire-fighting foams</w:t>
            </w:r>
          </w:p>
        </w:tc>
        <w:tc>
          <w:tcPr>
            <w:tcW w:w="606" w:type="pct"/>
          </w:tcPr>
          <w:p w14:paraId="1A934A77" w14:textId="77777777" w:rsidR="009B0640" w:rsidRPr="00CE15CF" w:rsidRDefault="009B0640" w:rsidP="00CE15CF">
            <w:pPr>
              <w:pStyle w:val="Paralevel1"/>
              <w:numPr>
                <w:ilvl w:val="0"/>
                <w:numId w:val="0"/>
              </w:numPr>
            </w:pPr>
            <w:r w:rsidRPr="00CE15CF">
              <w:t>Information on chemical composition of mixtures and the volumes of pre-installed amount of fire-fighting foam mixtures</w:t>
            </w:r>
          </w:p>
        </w:tc>
        <w:tc>
          <w:tcPr>
            <w:tcW w:w="712" w:type="pct"/>
          </w:tcPr>
          <w:p w14:paraId="1F9C7CC4" w14:textId="77777777" w:rsidR="009B0640" w:rsidRPr="00CE15CF" w:rsidRDefault="009B0640" w:rsidP="00CE15CF">
            <w:pPr>
              <w:pStyle w:val="Paralevel1"/>
              <w:numPr>
                <w:ilvl w:val="0"/>
                <w:numId w:val="0"/>
              </w:numPr>
            </w:pPr>
            <w:r w:rsidRPr="00CE15CF">
              <w:t>APFO potentially between 10–230 million litres of AFFF concentrate.</w:t>
            </w:r>
          </w:p>
          <w:p w14:paraId="516B3442" w14:textId="77777777" w:rsidR="009B0640" w:rsidRPr="00CE15CF" w:rsidRDefault="009B0640" w:rsidP="00CE15CF">
            <w:pPr>
              <w:pStyle w:val="Paralevel1"/>
              <w:numPr>
                <w:ilvl w:val="0"/>
                <w:numId w:val="0"/>
              </w:numPr>
            </w:pPr>
            <w:r w:rsidRPr="00CE15CF">
              <w:t>PFOA and PFOA-related compounds as by-product in C</w:t>
            </w:r>
            <w:r w:rsidRPr="00CE15CF">
              <w:rPr>
                <w:vertAlign w:val="subscript"/>
              </w:rPr>
              <w:t>6</w:t>
            </w:r>
            <w:r w:rsidRPr="00CE15CF">
              <w:t xml:space="preserve"> assumed as 50–100 tonnes of concentrate for EU.</w:t>
            </w:r>
          </w:p>
          <w:p w14:paraId="18C0A5A4" w14:textId="77777777" w:rsidR="009B0640" w:rsidRPr="00CE15CF" w:rsidRDefault="009B0640" w:rsidP="00CE15CF">
            <w:pPr>
              <w:pStyle w:val="Paralevel1"/>
              <w:numPr>
                <w:ilvl w:val="0"/>
                <w:numId w:val="0"/>
              </w:numPr>
            </w:pPr>
          </w:p>
        </w:tc>
        <w:tc>
          <w:tcPr>
            <w:tcW w:w="1995" w:type="pct"/>
          </w:tcPr>
          <w:p w14:paraId="319F3A01" w14:textId="77777777" w:rsidR="009B0640" w:rsidRPr="00CE15CF" w:rsidRDefault="009B0640" w:rsidP="00CE15CF">
            <w:pPr>
              <w:pStyle w:val="Paralevel1"/>
              <w:numPr>
                <w:ilvl w:val="0"/>
                <w:numId w:val="0"/>
              </w:numPr>
            </w:pPr>
            <w:proofErr w:type="spellStart"/>
            <w:r w:rsidRPr="00CE15CF">
              <w:t>Perfluorinated</w:t>
            </w:r>
            <w:proofErr w:type="spellEnd"/>
            <w:r w:rsidRPr="00CE15CF">
              <w:t xml:space="preserve"> compounds have been used within fire-fighting foams as they prove effective against liquid fuel fires (Class B) (ECHA, 2014a). In the past C</w:t>
            </w:r>
            <w:r w:rsidRPr="00CE15CF">
              <w:rPr>
                <w:vertAlign w:val="subscript"/>
              </w:rPr>
              <w:t>8</w:t>
            </w:r>
            <w:r w:rsidRPr="00CE15CF">
              <w:t xml:space="preserve"> based </w:t>
            </w:r>
            <w:proofErr w:type="spellStart"/>
            <w:r w:rsidRPr="00CE15CF">
              <w:t>perfluorinated</w:t>
            </w:r>
            <w:proofErr w:type="spellEnd"/>
            <w:r w:rsidRPr="00CE15CF">
              <w:t xml:space="preserve"> compounds have been used including PFOS and PFOA. </w:t>
            </w:r>
            <w:proofErr w:type="spellStart"/>
            <w:r w:rsidRPr="00CE15CF">
              <w:t>Seow</w:t>
            </w:r>
            <w:proofErr w:type="spellEnd"/>
            <w:r w:rsidRPr="00CE15CF">
              <w:t xml:space="preserve"> (2013) reported that the ammonium salt of PFOA (APFO) was the main intentional use of PFOA produced through ECF.</w:t>
            </w:r>
          </w:p>
          <w:p w14:paraId="4480FF65" w14:textId="31EA4227" w:rsidR="009B0640" w:rsidRPr="00CE15CF" w:rsidRDefault="009B0640" w:rsidP="00CE15CF">
            <w:pPr>
              <w:pStyle w:val="Paralevel1"/>
              <w:numPr>
                <w:ilvl w:val="0"/>
                <w:numId w:val="0"/>
              </w:numPr>
            </w:pPr>
            <w:r w:rsidRPr="00CE15CF">
              <w:t xml:space="preserve">Only limited information has been identified stockpiles for in-use intentionally added PFOA fire-fighting foams. The FFFC (2011) estimated 3.3 million gallons of PFOS based firefighting concentrates in use for the USA in 2011, which is indicative of PFOA based stocks. Conversely Norway (2007) report on a global inventory for APFO manufactured between 1951–2004, with between 3,700–5,600 tonnes produced. </w:t>
            </w:r>
            <w:proofErr w:type="spellStart"/>
            <w:r w:rsidRPr="00CE15CF">
              <w:t>Prevedouros</w:t>
            </w:r>
            <w:proofErr w:type="spellEnd"/>
            <w:r w:rsidRPr="00CE15CF">
              <w:t xml:space="preserve"> (2006) further comments that the concentration of PFCAs within AFFF foams was between 0.1 and 1% </w:t>
            </w:r>
            <w:proofErr w:type="spellStart"/>
            <w:r w:rsidRPr="00CE15CF">
              <w:t>wt</w:t>
            </w:r>
            <w:proofErr w:type="spellEnd"/>
            <w:r w:rsidRPr="00CE15CF">
              <w:t>/</w:t>
            </w:r>
            <w:proofErr w:type="spellStart"/>
            <w:r w:rsidRPr="00CE15CF">
              <w:t>wt</w:t>
            </w:r>
            <w:proofErr w:type="spellEnd"/>
            <w:r w:rsidRPr="00CE15CF">
              <w:t xml:space="preserve"> of the concentrate. Assuming a worst case that </w:t>
            </w:r>
            <w:proofErr w:type="gramStart"/>
            <w:r w:rsidRPr="00CE15CF">
              <w:t>all of</w:t>
            </w:r>
            <w:proofErr w:type="gramEnd"/>
            <w:r w:rsidRPr="00CE15CF">
              <w:t xml:space="preserve"> the 0.1 – 1% </w:t>
            </w:r>
            <w:proofErr w:type="spellStart"/>
            <w:r w:rsidRPr="00CE15CF">
              <w:t>wt</w:t>
            </w:r>
            <w:proofErr w:type="spellEnd"/>
            <w:r w:rsidRPr="00CE15CF">
              <w:t>/</w:t>
            </w:r>
            <w:proofErr w:type="spellStart"/>
            <w:r w:rsidRPr="00CE15CF">
              <w:t>wt</w:t>
            </w:r>
            <w:proofErr w:type="spellEnd"/>
            <w:r w:rsidRPr="00CE15CF">
              <w:t xml:space="preserve"> was APFO would equate to between 309 and 4,907 million litres of concentrate produced between 1951 and 2004. Based on annual average production and shelf-life of </w:t>
            </w:r>
            <w:r w:rsidR="007F2F4F">
              <w:br/>
            </w:r>
            <w:r w:rsidRPr="00CE15CF">
              <w:t>10 – 25 years, would estimate remaining stockpiles of 60 – 2,402 million litres of concentrate.</w:t>
            </w:r>
          </w:p>
          <w:p w14:paraId="23D2A706" w14:textId="77777777" w:rsidR="009B0640" w:rsidRPr="00CE15CF" w:rsidRDefault="009B0640" w:rsidP="00CE15CF">
            <w:pPr>
              <w:pStyle w:val="Paralevel1"/>
              <w:numPr>
                <w:ilvl w:val="0"/>
                <w:numId w:val="0"/>
              </w:numPr>
            </w:pPr>
            <w:r w:rsidRPr="00CE15CF">
              <w:t>Industry moved away from C</w:t>
            </w:r>
            <w:r w:rsidRPr="00CE15CF">
              <w:rPr>
                <w:vertAlign w:val="subscript"/>
              </w:rPr>
              <w:t>8</w:t>
            </w:r>
            <w:r w:rsidRPr="00CE15CF">
              <w:t xml:space="preserve"> based perfluoro technologies over concerns for health and environment, with preference towards shorter chain C</w:t>
            </w:r>
            <w:r w:rsidRPr="00CE15CF">
              <w:rPr>
                <w:vertAlign w:val="subscript"/>
              </w:rPr>
              <w:t>6</w:t>
            </w:r>
            <w:r w:rsidRPr="00CE15CF">
              <w:t xml:space="preserve"> </w:t>
            </w:r>
            <w:proofErr w:type="spellStart"/>
            <w:r w:rsidRPr="00CE15CF">
              <w:t>perfluorinated</w:t>
            </w:r>
            <w:proofErr w:type="spellEnd"/>
            <w:r w:rsidRPr="00CE15CF">
              <w:t xml:space="preserve"> compounds produced through telomerisation. The Swedish Chemicals Agency (2015) comments that while C</w:t>
            </w:r>
            <w:r w:rsidRPr="00CE15CF">
              <w:rPr>
                <w:vertAlign w:val="subscript"/>
              </w:rPr>
              <w:t>6</w:t>
            </w:r>
            <w:r w:rsidRPr="00CE15CF">
              <w:t xml:space="preserve"> fluorotelomers are not manufactured using PFOA, it can be created as a by-product of the process. At the concluding step around 20% C</w:t>
            </w:r>
            <w:r w:rsidRPr="00CE15CF">
              <w:rPr>
                <w:vertAlign w:val="subscript"/>
              </w:rPr>
              <w:t>8</w:t>
            </w:r>
            <w:r w:rsidRPr="00CE15CF">
              <w:t xml:space="preserve"> can be present in C</w:t>
            </w:r>
            <w:r w:rsidRPr="00CE15CF">
              <w:rPr>
                <w:vertAlign w:val="subscript"/>
              </w:rPr>
              <w:t>6</w:t>
            </w:r>
            <w:r w:rsidRPr="00CE15CF">
              <w:t xml:space="preserve"> mixtures (including PFOA), which then undergoes a clean-up process to reduce C</w:t>
            </w:r>
            <w:r w:rsidRPr="00CE15CF">
              <w:rPr>
                <w:vertAlign w:val="subscript"/>
              </w:rPr>
              <w:t>8</w:t>
            </w:r>
            <w:r w:rsidRPr="00CE15CF">
              <w:t xml:space="preserve"> species down to trace residues. However, studies exist suggesting that the concentration of </w:t>
            </w:r>
            <w:r w:rsidRPr="00CE15CF">
              <w:lastRenderedPageBreak/>
              <w:t>C</w:t>
            </w:r>
            <w:r w:rsidRPr="00CE15CF">
              <w:rPr>
                <w:vertAlign w:val="subscript"/>
              </w:rPr>
              <w:t>8</w:t>
            </w:r>
            <w:r w:rsidRPr="00CE15CF">
              <w:t xml:space="preserve"> within C</w:t>
            </w:r>
            <w:r w:rsidRPr="00CE15CF">
              <w:rPr>
                <w:vertAlign w:val="subscript"/>
              </w:rPr>
              <w:t>6</w:t>
            </w:r>
            <w:r w:rsidRPr="00CE15CF">
              <w:t xml:space="preserve"> products can be much higher than a trace (Swedish Chemicals Agency, 2015; </w:t>
            </w:r>
            <w:proofErr w:type="spellStart"/>
            <w:r w:rsidRPr="00CE15CF">
              <w:t>Seow</w:t>
            </w:r>
            <w:proofErr w:type="spellEnd"/>
            <w:r w:rsidRPr="00CE15CF">
              <w:t xml:space="preserve">, 2013). </w:t>
            </w:r>
            <w:proofErr w:type="spellStart"/>
            <w:r w:rsidRPr="00CE15CF">
              <w:t>Seow</w:t>
            </w:r>
            <w:proofErr w:type="spellEnd"/>
            <w:r w:rsidRPr="00CE15CF">
              <w:t xml:space="preserve"> (2013) further comments that remaining C</w:t>
            </w:r>
            <w:r w:rsidRPr="00CE15CF">
              <w:rPr>
                <w:vertAlign w:val="subscript"/>
              </w:rPr>
              <w:t>8</w:t>
            </w:r>
            <w:r w:rsidRPr="00CE15CF">
              <w:t xml:space="preserve"> perfluoro compounds in C</w:t>
            </w:r>
            <w:r w:rsidRPr="00CE15CF">
              <w:rPr>
                <w:vertAlign w:val="subscript"/>
              </w:rPr>
              <w:t>6</w:t>
            </w:r>
            <w:r w:rsidRPr="00CE15CF">
              <w:t xml:space="preserve"> products can also degrade to PFOA in the environment.</w:t>
            </w:r>
          </w:p>
          <w:p w14:paraId="635E6925" w14:textId="2CBBCD84" w:rsidR="009B0640" w:rsidRPr="00CE15CF" w:rsidRDefault="009B0640" w:rsidP="00CE15CF">
            <w:pPr>
              <w:pStyle w:val="Paralevel1"/>
              <w:numPr>
                <w:ilvl w:val="0"/>
                <w:numId w:val="0"/>
              </w:numPr>
            </w:pPr>
            <w:r w:rsidRPr="00CE15CF">
              <w:t xml:space="preserve">ECHA (ECHA, 2015) estimates 50–100 tonnes of PFOA-related compounds (CAS No: 70969-47-0) were in use in 2014, calculated to be between 1.18 – 23.6 –million US gallons of concentrate (assuming 0.1 – 1% </w:t>
            </w:r>
            <w:proofErr w:type="spellStart"/>
            <w:r w:rsidRPr="00CE15CF">
              <w:t>wt</w:t>
            </w:r>
            <w:proofErr w:type="spellEnd"/>
            <w:r w:rsidRPr="00CE15CF">
              <w:t>/</w:t>
            </w:r>
            <w:proofErr w:type="spellStart"/>
            <w:r w:rsidRPr="00CE15CF">
              <w:t>wt</w:t>
            </w:r>
            <w:proofErr w:type="spellEnd"/>
            <w:r w:rsidRPr="00CE15CF">
              <w:t xml:space="preserve"> active ingredient in concentrates). The FFFC (2018) provided details of best practice for class B </w:t>
            </w:r>
            <w:r w:rsidR="007F2F4F">
              <w:br/>
            </w:r>
            <w:bookmarkStart w:id="215" w:name="_GoBack"/>
            <w:bookmarkEnd w:id="215"/>
            <w:r w:rsidRPr="00CE15CF">
              <w:t>fire-fighting foams including non-fluorinated and AFFF based products which included selective use, containment of runoff and appropriate destruction. The guidance did however note that runoff cannot be contained in all incidents due to variability</w:t>
            </w:r>
          </w:p>
          <w:p w14:paraId="37F493B9" w14:textId="77777777" w:rsidR="009B0640" w:rsidRPr="00CE15CF" w:rsidRDefault="009B0640" w:rsidP="00CE15CF">
            <w:pPr>
              <w:pStyle w:val="Paralevel1"/>
              <w:numPr>
                <w:ilvl w:val="0"/>
                <w:numId w:val="0"/>
              </w:numPr>
            </w:pPr>
            <w:r w:rsidRPr="00CE15CF">
              <w:t>The RME provided details of clean-up costs for contaminated ground water where PFOS based foams had been used. Similar costs can be expected for PFOA based fire-fighting foams. For one example, this amounted to between £3.7–£30 million pounds (Klein, 2013).</w:t>
            </w:r>
          </w:p>
        </w:tc>
        <w:tc>
          <w:tcPr>
            <w:tcW w:w="1160" w:type="pct"/>
          </w:tcPr>
          <w:p w14:paraId="3CD3ED89" w14:textId="77777777" w:rsidR="009B0640" w:rsidRPr="00CE15CF" w:rsidRDefault="009B0640" w:rsidP="00CE15CF">
            <w:pPr>
              <w:pStyle w:val="Paralevel1"/>
              <w:numPr>
                <w:ilvl w:val="0"/>
                <w:numId w:val="0"/>
              </w:numPr>
            </w:pPr>
            <w:r w:rsidRPr="00CE15CF">
              <w:lastRenderedPageBreak/>
              <w:t>Only limited information on potential stockpiles exists which does not cover all geographies. However, based on the data identified the potential stockpiles in use could be significant (10s of millions of US gallons of concentrate, equivalent to hundreds of tonnes of PFOA and PFOA-related compounds).</w:t>
            </w:r>
          </w:p>
          <w:p w14:paraId="294C65A1" w14:textId="77777777" w:rsidR="009B0640" w:rsidRPr="00CE15CF" w:rsidRDefault="009B0640" w:rsidP="00CE15CF">
            <w:pPr>
              <w:pStyle w:val="Paralevel1"/>
              <w:numPr>
                <w:ilvl w:val="0"/>
                <w:numId w:val="0"/>
              </w:numPr>
            </w:pPr>
            <w:r w:rsidRPr="00CE15CF">
              <w:t>Equally costs associated with destruction and replacement could be significant, but are likely to be lower than remediation costs for contaminated sites following environmental release of PFOA.</w:t>
            </w:r>
          </w:p>
          <w:p w14:paraId="72E3A88D" w14:textId="77777777" w:rsidR="009B0640" w:rsidRPr="00CE15CF" w:rsidRDefault="009B0640" w:rsidP="00CE15CF">
            <w:pPr>
              <w:pStyle w:val="Paralevel1"/>
              <w:numPr>
                <w:ilvl w:val="0"/>
                <w:numId w:val="0"/>
              </w:numPr>
            </w:pPr>
            <w:r w:rsidRPr="00CE15CF">
              <w:t>The size of in-use stockpiles of PFOA-based fire-fighting foams may be significant, suggesting an immediate ban could have socio-economic impacts. However, direct release of PFOA and/or PFOA-related compounds into the environment has significant implications.</w:t>
            </w:r>
          </w:p>
          <w:p w14:paraId="22C62BFA" w14:textId="77777777" w:rsidR="009B0640" w:rsidRPr="00CE15CF" w:rsidRDefault="009B0640" w:rsidP="00CE15CF">
            <w:pPr>
              <w:pStyle w:val="Paralevel1"/>
              <w:numPr>
                <w:ilvl w:val="0"/>
                <w:numId w:val="0"/>
              </w:numPr>
            </w:pPr>
            <w:r w:rsidRPr="00CE15CF">
              <w:t>Additionally, PFOA and PFOA-related compounds can be present as by-products in shorter chain (C</w:t>
            </w:r>
            <w:r w:rsidRPr="00CE15CF">
              <w:rPr>
                <w:vertAlign w:val="subscript"/>
              </w:rPr>
              <w:t>6</w:t>
            </w:r>
            <w:r w:rsidRPr="00CE15CF">
              <w:t xml:space="preserve">) telomer products. Concerns have also been raised about the environmental impacts of such shorter chain </w:t>
            </w:r>
            <w:proofErr w:type="spellStart"/>
            <w:r w:rsidRPr="00CE15CF">
              <w:t>perfluorinated</w:t>
            </w:r>
            <w:proofErr w:type="spellEnd"/>
            <w:r w:rsidRPr="00CE15CF">
              <w:t xml:space="preserve"> compounds. Therefore, the Committee </w:t>
            </w:r>
            <w:r w:rsidRPr="00CE15CF">
              <w:lastRenderedPageBreak/>
              <w:t xml:space="preserve">should discuss the viability of non-fluorinated fire-fighting foams to cover all necessary applications and consider a recommendation that covers both PFOA and PFOA-related compounds in new use and existing stockpiles. </w:t>
            </w:r>
          </w:p>
        </w:tc>
      </w:tr>
    </w:tbl>
    <w:p w14:paraId="6C81A145" w14:textId="77777777" w:rsidR="009B0640" w:rsidRPr="00CE15CF" w:rsidRDefault="009B0640" w:rsidP="00CE15CF">
      <w:pPr>
        <w:pStyle w:val="Paralevel1"/>
        <w:numPr>
          <w:ilvl w:val="0"/>
          <w:numId w:val="0"/>
        </w:numPr>
        <w:sectPr w:rsidR="009B0640" w:rsidRPr="00CE15CF" w:rsidSect="009B0640">
          <w:headerReference w:type="first" r:id="rId23"/>
          <w:footerReference w:type="first" r:id="rId24"/>
          <w:pgSz w:w="16838" w:h="11906" w:orient="landscape" w:code="9"/>
          <w:pgMar w:top="1418" w:right="907" w:bottom="992" w:left="1418" w:header="539" w:footer="975" w:gutter="0"/>
          <w:cols w:space="720"/>
          <w:titlePg/>
          <w:docGrid w:linePitch="326"/>
        </w:sectPr>
      </w:pPr>
    </w:p>
    <w:p w14:paraId="657A1374" w14:textId="77777777" w:rsidR="008C33F5" w:rsidRPr="00CE15CF" w:rsidRDefault="004C448B" w:rsidP="00CE15CF">
      <w:pPr>
        <w:pStyle w:val="Normal1"/>
        <w:tabs>
          <w:tab w:val="left" w:pos="624"/>
          <w:tab w:val="left" w:pos="1247"/>
          <w:tab w:val="left" w:pos="1440"/>
        </w:tabs>
        <w:spacing w:after="120"/>
        <w:ind w:left="1247" w:right="57" w:hanging="1247"/>
        <w:rPr>
          <w:b/>
          <w:sz w:val="20"/>
          <w:szCs w:val="20"/>
        </w:rPr>
      </w:pPr>
      <w:r w:rsidRPr="00CE15CF">
        <w:rPr>
          <w:b/>
          <w:sz w:val="28"/>
          <w:szCs w:val="28"/>
        </w:rPr>
        <w:lastRenderedPageBreak/>
        <w:t>References</w:t>
      </w:r>
    </w:p>
    <w:tbl>
      <w:tblPr>
        <w:tblW w:w="8554" w:type="dxa"/>
        <w:tblLook w:val="04A0" w:firstRow="1" w:lastRow="0" w:firstColumn="1" w:lastColumn="0" w:noHBand="0" w:noVBand="1"/>
      </w:tblPr>
      <w:tblGrid>
        <w:gridCol w:w="1451"/>
        <w:gridCol w:w="1101"/>
        <w:gridCol w:w="6002"/>
      </w:tblGrid>
      <w:tr w:rsidR="00E04FC1" w:rsidRPr="00CE15CF" w14:paraId="39AD9270" w14:textId="77777777" w:rsidTr="00FC3DEE">
        <w:trPr>
          <w:trHeight w:val="705"/>
        </w:trPr>
        <w:tc>
          <w:tcPr>
            <w:tcW w:w="1451" w:type="dxa"/>
            <w:tcBorders>
              <w:top w:val="nil"/>
              <w:left w:val="nil"/>
              <w:bottom w:val="nil"/>
              <w:right w:val="nil"/>
            </w:tcBorders>
            <w:shd w:val="clear" w:color="auto" w:fill="auto"/>
            <w:noWrap/>
            <w:vAlign w:val="center"/>
            <w:hideMark/>
          </w:tcPr>
          <w:p w14:paraId="54B07AC7" w14:textId="77777777" w:rsidR="00E04FC1" w:rsidRPr="00CE15CF" w:rsidRDefault="00E04FC1" w:rsidP="00CE15CF">
            <w:pPr>
              <w:rPr>
                <w:sz w:val="20"/>
              </w:rPr>
            </w:pPr>
            <w:r w:rsidRPr="00CE15CF">
              <w:rPr>
                <w:sz w:val="20"/>
              </w:rPr>
              <w:t>ABRAISCA</w:t>
            </w:r>
          </w:p>
        </w:tc>
        <w:tc>
          <w:tcPr>
            <w:tcW w:w="1101" w:type="dxa"/>
            <w:tcBorders>
              <w:top w:val="nil"/>
              <w:left w:val="nil"/>
              <w:bottom w:val="nil"/>
              <w:right w:val="nil"/>
            </w:tcBorders>
            <w:shd w:val="clear" w:color="auto" w:fill="auto"/>
            <w:noWrap/>
            <w:vAlign w:val="center"/>
            <w:hideMark/>
          </w:tcPr>
          <w:p w14:paraId="11630B3F" w14:textId="77777777" w:rsidR="00E04FC1" w:rsidRPr="00CE15CF" w:rsidRDefault="00E04FC1" w:rsidP="00CE15CF">
            <w:pPr>
              <w:rPr>
                <w:sz w:val="20"/>
              </w:rPr>
            </w:pPr>
            <w:r w:rsidRPr="00CE15CF">
              <w:rPr>
                <w:sz w:val="20"/>
              </w:rPr>
              <w:t>2018</w:t>
            </w:r>
          </w:p>
        </w:tc>
        <w:tc>
          <w:tcPr>
            <w:tcW w:w="6002" w:type="dxa"/>
            <w:tcBorders>
              <w:top w:val="nil"/>
              <w:left w:val="nil"/>
              <w:bottom w:val="nil"/>
              <w:right w:val="nil"/>
            </w:tcBorders>
            <w:shd w:val="clear" w:color="auto" w:fill="auto"/>
            <w:vAlign w:val="center"/>
            <w:hideMark/>
          </w:tcPr>
          <w:p w14:paraId="1FB33965" w14:textId="0ABE1244" w:rsidR="00E04FC1" w:rsidRPr="00CE15CF" w:rsidRDefault="00E04FC1" w:rsidP="00CE15CF">
            <w:pPr>
              <w:rPr>
                <w:sz w:val="20"/>
              </w:rPr>
            </w:pPr>
            <w:r w:rsidRPr="00CE15CF">
              <w:rPr>
                <w:sz w:val="20"/>
              </w:rPr>
              <w:t xml:space="preserve">Submission of information specified in Annex F </w:t>
            </w:r>
            <w:r w:rsidR="0064322D" w:rsidRPr="00CE15CF">
              <w:rPr>
                <w:rFonts w:eastAsia="Times New Roman"/>
                <w:sz w:val="20"/>
                <w:szCs w:val="20"/>
                <w:lang w:eastAsia="en-GB"/>
              </w:rPr>
              <w:t>to</w:t>
            </w:r>
            <w:r w:rsidR="0064322D" w:rsidRPr="00CE15CF">
              <w:rPr>
                <w:sz w:val="20"/>
              </w:rPr>
              <w:t xml:space="preserve"> </w:t>
            </w:r>
            <w:r w:rsidRPr="00CE15CF">
              <w:rPr>
                <w:sz w:val="20"/>
              </w:rPr>
              <w:t>the Stockholm Convention pursuant to Article 8 of the Convention.</w:t>
            </w:r>
          </w:p>
        </w:tc>
      </w:tr>
      <w:tr w:rsidR="00333A81" w:rsidRPr="00CE15CF" w14:paraId="71C834FC" w14:textId="77777777" w:rsidTr="00FC3DEE">
        <w:trPr>
          <w:trHeight w:val="720"/>
        </w:trPr>
        <w:tc>
          <w:tcPr>
            <w:tcW w:w="1451" w:type="dxa"/>
            <w:tcBorders>
              <w:top w:val="nil"/>
              <w:left w:val="nil"/>
              <w:bottom w:val="nil"/>
              <w:right w:val="nil"/>
            </w:tcBorders>
            <w:shd w:val="clear" w:color="auto" w:fill="auto"/>
            <w:noWrap/>
            <w:vAlign w:val="center"/>
          </w:tcPr>
          <w:p w14:paraId="68AA8E07" w14:textId="28A592B2" w:rsidR="00333A81" w:rsidRPr="00CE15CF" w:rsidRDefault="00333A81" w:rsidP="00CE15CF">
            <w:pPr>
              <w:rPr>
                <w:sz w:val="20"/>
              </w:rPr>
            </w:pPr>
            <w:r w:rsidRPr="00CE15CF">
              <w:rPr>
                <w:sz w:val="20"/>
              </w:rPr>
              <w:t>Australia</w:t>
            </w:r>
          </w:p>
        </w:tc>
        <w:tc>
          <w:tcPr>
            <w:tcW w:w="1101" w:type="dxa"/>
            <w:tcBorders>
              <w:top w:val="nil"/>
              <w:left w:val="nil"/>
              <w:bottom w:val="nil"/>
              <w:right w:val="nil"/>
            </w:tcBorders>
            <w:shd w:val="clear" w:color="auto" w:fill="auto"/>
            <w:noWrap/>
            <w:vAlign w:val="center"/>
          </w:tcPr>
          <w:p w14:paraId="72179182" w14:textId="72F986E9" w:rsidR="00333A81" w:rsidRPr="00CE15CF" w:rsidRDefault="00333A81" w:rsidP="00CE15CF">
            <w:pPr>
              <w:rPr>
                <w:sz w:val="20"/>
              </w:rPr>
            </w:pPr>
            <w:r w:rsidRPr="00CE15CF">
              <w:rPr>
                <w:sz w:val="20"/>
              </w:rPr>
              <w:t>2018</w:t>
            </w:r>
          </w:p>
        </w:tc>
        <w:tc>
          <w:tcPr>
            <w:tcW w:w="6002" w:type="dxa"/>
            <w:tcBorders>
              <w:top w:val="nil"/>
              <w:left w:val="nil"/>
              <w:bottom w:val="nil"/>
              <w:right w:val="nil"/>
            </w:tcBorders>
            <w:shd w:val="clear" w:color="auto" w:fill="auto"/>
            <w:vAlign w:val="center"/>
          </w:tcPr>
          <w:p w14:paraId="0D3628CF" w14:textId="38CF7466" w:rsidR="00333A81" w:rsidRPr="00CE15CF" w:rsidRDefault="00333A81" w:rsidP="00CE15CF">
            <w:pPr>
              <w:rPr>
                <w:sz w:val="20"/>
              </w:rPr>
            </w:pPr>
            <w:r w:rsidRPr="00CE15CF">
              <w:rPr>
                <w:sz w:val="20"/>
              </w:rPr>
              <w:t xml:space="preserve">Submission of information specified in Annex F </w:t>
            </w:r>
            <w:r w:rsidR="0064322D" w:rsidRPr="00CE15CF">
              <w:rPr>
                <w:rFonts w:eastAsia="Times New Roman"/>
                <w:sz w:val="20"/>
                <w:szCs w:val="20"/>
                <w:lang w:eastAsia="en-GB"/>
              </w:rPr>
              <w:t>to</w:t>
            </w:r>
            <w:r w:rsidR="0064322D" w:rsidRPr="00CE15CF">
              <w:rPr>
                <w:sz w:val="20"/>
              </w:rPr>
              <w:t xml:space="preserve"> </w:t>
            </w:r>
            <w:r w:rsidRPr="00CE15CF">
              <w:rPr>
                <w:sz w:val="20"/>
              </w:rPr>
              <w:t>the Stockholm Convention pursuant to Article 8 of the Convention.</w:t>
            </w:r>
          </w:p>
        </w:tc>
      </w:tr>
      <w:tr w:rsidR="00E04FC1" w:rsidRPr="00CE15CF" w14:paraId="0FD2D499" w14:textId="77777777" w:rsidTr="00FC3DEE">
        <w:trPr>
          <w:trHeight w:val="720"/>
        </w:trPr>
        <w:tc>
          <w:tcPr>
            <w:tcW w:w="1451" w:type="dxa"/>
            <w:tcBorders>
              <w:top w:val="nil"/>
              <w:left w:val="nil"/>
              <w:bottom w:val="nil"/>
              <w:right w:val="nil"/>
            </w:tcBorders>
            <w:shd w:val="clear" w:color="auto" w:fill="auto"/>
            <w:noWrap/>
            <w:vAlign w:val="center"/>
            <w:hideMark/>
          </w:tcPr>
          <w:p w14:paraId="52D795BF" w14:textId="77777777" w:rsidR="00E04FC1" w:rsidRPr="00CE15CF" w:rsidRDefault="00E04FC1" w:rsidP="00CE15CF">
            <w:pPr>
              <w:rPr>
                <w:sz w:val="20"/>
              </w:rPr>
            </w:pPr>
            <w:r w:rsidRPr="00CE15CF">
              <w:rPr>
                <w:sz w:val="20"/>
              </w:rPr>
              <w:t>Belarus</w:t>
            </w:r>
          </w:p>
        </w:tc>
        <w:tc>
          <w:tcPr>
            <w:tcW w:w="1101" w:type="dxa"/>
            <w:tcBorders>
              <w:top w:val="nil"/>
              <w:left w:val="nil"/>
              <w:bottom w:val="nil"/>
              <w:right w:val="nil"/>
            </w:tcBorders>
            <w:shd w:val="clear" w:color="auto" w:fill="auto"/>
            <w:noWrap/>
            <w:vAlign w:val="center"/>
            <w:hideMark/>
          </w:tcPr>
          <w:p w14:paraId="3398B008" w14:textId="77777777" w:rsidR="00E04FC1" w:rsidRPr="00CE15CF" w:rsidRDefault="00E04FC1" w:rsidP="00CE15CF">
            <w:pPr>
              <w:rPr>
                <w:sz w:val="20"/>
              </w:rPr>
            </w:pPr>
            <w:r w:rsidRPr="00CE15CF">
              <w:rPr>
                <w:sz w:val="20"/>
              </w:rPr>
              <w:t>2018</w:t>
            </w:r>
          </w:p>
        </w:tc>
        <w:tc>
          <w:tcPr>
            <w:tcW w:w="6002" w:type="dxa"/>
            <w:tcBorders>
              <w:top w:val="nil"/>
              <w:left w:val="nil"/>
              <w:bottom w:val="nil"/>
              <w:right w:val="nil"/>
            </w:tcBorders>
            <w:shd w:val="clear" w:color="auto" w:fill="auto"/>
            <w:vAlign w:val="center"/>
            <w:hideMark/>
          </w:tcPr>
          <w:p w14:paraId="03A5EF1D" w14:textId="09B141A7" w:rsidR="00E04FC1" w:rsidRPr="00CE15CF" w:rsidRDefault="00E04FC1" w:rsidP="00CE15CF">
            <w:pPr>
              <w:rPr>
                <w:sz w:val="20"/>
              </w:rPr>
            </w:pPr>
            <w:r w:rsidRPr="00CE15CF">
              <w:rPr>
                <w:sz w:val="20"/>
              </w:rPr>
              <w:t xml:space="preserve">Submission of information specified in Annex F </w:t>
            </w:r>
            <w:r w:rsidR="0064322D" w:rsidRPr="00CE15CF">
              <w:rPr>
                <w:rFonts w:eastAsia="Times New Roman"/>
                <w:sz w:val="20"/>
                <w:szCs w:val="20"/>
                <w:lang w:eastAsia="en-GB"/>
              </w:rPr>
              <w:t>to</w:t>
            </w:r>
            <w:r w:rsidR="0064322D" w:rsidRPr="00CE15CF">
              <w:rPr>
                <w:sz w:val="20"/>
              </w:rPr>
              <w:t xml:space="preserve"> </w:t>
            </w:r>
            <w:r w:rsidRPr="00CE15CF">
              <w:rPr>
                <w:sz w:val="20"/>
              </w:rPr>
              <w:t>the Stockholm Convention pursuant to Article 8 of the Convention.</w:t>
            </w:r>
          </w:p>
        </w:tc>
      </w:tr>
      <w:tr w:rsidR="00E04FC1" w:rsidRPr="00CE15CF" w14:paraId="73C1A4DB" w14:textId="77777777" w:rsidTr="00FC3DEE">
        <w:trPr>
          <w:trHeight w:val="735"/>
        </w:trPr>
        <w:tc>
          <w:tcPr>
            <w:tcW w:w="1451" w:type="dxa"/>
            <w:tcBorders>
              <w:top w:val="nil"/>
              <w:left w:val="nil"/>
              <w:bottom w:val="nil"/>
              <w:right w:val="nil"/>
            </w:tcBorders>
            <w:shd w:val="clear" w:color="auto" w:fill="auto"/>
            <w:noWrap/>
            <w:vAlign w:val="center"/>
            <w:hideMark/>
          </w:tcPr>
          <w:p w14:paraId="2632B9BD" w14:textId="77777777" w:rsidR="00E04FC1" w:rsidRPr="00CE15CF" w:rsidRDefault="00E04FC1" w:rsidP="00CE15CF">
            <w:pPr>
              <w:rPr>
                <w:sz w:val="20"/>
              </w:rPr>
            </w:pPr>
            <w:r w:rsidRPr="00CE15CF">
              <w:rPr>
                <w:sz w:val="20"/>
              </w:rPr>
              <w:t>Brazil</w:t>
            </w:r>
          </w:p>
        </w:tc>
        <w:tc>
          <w:tcPr>
            <w:tcW w:w="1101" w:type="dxa"/>
            <w:tcBorders>
              <w:top w:val="nil"/>
              <w:left w:val="nil"/>
              <w:bottom w:val="nil"/>
              <w:right w:val="nil"/>
            </w:tcBorders>
            <w:shd w:val="clear" w:color="auto" w:fill="auto"/>
            <w:noWrap/>
            <w:vAlign w:val="center"/>
            <w:hideMark/>
          </w:tcPr>
          <w:p w14:paraId="030C5E6E" w14:textId="77777777" w:rsidR="00E04FC1" w:rsidRPr="00CE15CF" w:rsidRDefault="00E04FC1" w:rsidP="00CE15CF">
            <w:pPr>
              <w:rPr>
                <w:sz w:val="20"/>
              </w:rPr>
            </w:pPr>
            <w:r w:rsidRPr="00CE15CF">
              <w:rPr>
                <w:sz w:val="20"/>
              </w:rPr>
              <w:t>2018</w:t>
            </w:r>
          </w:p>
        </w:tc>
        <w:tc>
          <w:tcPr>
            <w:tcW w:w="6002" w:type="dxa"/>
            <w:tcBorders>
              <w:top w:val="nil"/>
              <w:left w:val="nil"/>
              <w:bottom w:val="nil"/>
              <w:right w:val="nil"/>
            </w:tcBorders>
            <w:shd w:val="clear" w:color="auto" w:fill="auto"/>
            <w:vAlign w:val="center"/>
            <w:hideMark/>
          </w:tcPr>
          <w:p w14:paraId="0C8F627A" w14:textId="703059EA" w:rsidR="00E04FC1" w:rsidRPr="00CE15CF" w:rsidRDefault="00E04FC1" w:rsidP="00CE15CF">
            <w:pPr>
              <w:rPr>
                <w:sz w:val="20"/>
              </w:rPr>
            </w:pPr>
            <w:r w:rsidRPr="00CE15CF">
              <w:rPr>
                <w:sz w:val="20"/>
              </w:rPr>
              <w:t xml:space="preserve">Submission of information specified in Annex F </w:t>
            </w:r>
            <w:r w:rsidR="0064322D" w:rsidRPr="00CE15CF">
              <w:rPr>
                <w:rFonts w:eastAsia="Times New Roman"/>
                <w:sz w:val="20"/>
                <w:szCs w:val="20"/>
                <w:lang w:eastAsia="en-GB"/>
              </w:rPr>
              <w:t>to</w:t>
            </w:r>
            <w:r w:rsidR="0064322D" w:rsidRPr="00CE15CF">
              <w:rPr>
                <w:sz w:val="20"/>
              </w:rPr>
              <w:t xml:space="preserve"> </w:t>
            </w:r>
            <w:r w:rsidRPr="00CE15CF">
              <w:rPr>
                <w:sz w:val="20"/>
              </w:rPr>
              <w:t>the Stockholm Convention pursuant to Article 8 of the Convention.</w:t>
            </w:r>
          </w:p>
        </w:tc>
      </w:tr>
      <w:tr w:rsidR="00E04FC1" w:rsidRPr="00CE15CF" w14:paraId="4FBAD7DC" w14:textId="77777777" w:rsidTr="00FC3DEE">
        <w:trPr>
          <w:trHeight w:val="735"/>
        </w:trPr>
        <w:tc>
          <w:tcPr>
            <w:tcW w:w="1451" w:type="dxa"/>
            <w:tcBorders>
              <w:top w:val="nil"/>
              <w:left w:val="nil"/>
              <w:bottom w:val="nil"/>
              <w:right w:val="nil"/>
            </w:tcBorders>
            <w:shd w:val="clear" w:color="auto" w:fill="auto"/>
            <w:noWrap/>
            <w:vAlign w:val="center"/>
            <w:hideMark/>
          </w:tcPr>
          <w:p w14:paraId="66DE61C7" w14:textId="77777777" w:rsidR="00E04FC1" w:rsidRPr="00CE15CF" w:rsidRDefault="00E04FC1" w:rsidP="00CE15CF">
            <w:pPr>
              <w:rPr>
                <w:sz w:val="20"/>
              </w:rPr>
            </w:pPr>
            <w:r w:rsidRPr="00CE15CF">
              <w:rPr>
                <w:sz w:val="20"/>
              </w:rPr>
              <w:t xml:space="preserve">Canada </w:t>
            </w:r>
          </w:p>
        </w:tc>
        <w:tc>
          <w:tcPr>
            <w:tcW w:w="1101" w:type="dxa"/>
            <w:tcBorders>
              <w:top w:val="nil"/>
              <w:left w:val="nil"/>
              <w:bottom w:val="nil"/>
              <w:right w:val="nil"/>
            </w:tcBorders>
            <w:shd w:val="clear" w:color="auto" w:fill="auto"/>
            <w:noWrap/>
            <w:vAlign w:val="center"/>
            <w:hideMark/>
          </w:tcPr>
          <w:p w14:paraId="7C5A0680" w14:textId="77777777" w:rsidR="00E04FC1" w:rsidRPr="00CE15CF" w:rsidRDefault="00E04FC1" w:rsidP="00CE15CF">
            <w:pPr>
              <w:rPr>
                <w:sz w:val="20"/>
              </w:rPr>
            </w:pPr>
            <w:r w:rsidRPr="00CE15CF">
              <w:rPr>
                <w:sz w:val="20"/>
              </w:rPr>
              <w:t>2018</w:t>
            </w:r>
          </w:p>
        </w:tc>
        <w:tc>
          <w:tcPr>
            <w:tcW w:w="6002" w:type="dxa"/>
            <w:tcBorders>
              <w:top w:val="nil"/>
              <w:left w:val="nil"/>
              <w:bottom w:val="nil"/>
              <w:right w:val="nil"/>
            </w:tcBorders>
            <w:shd w:val="clear" w:color="auto" w:fill="auto"/>
            <w:vAlign w:val="center"/>
            <w:hideMark/>
          </w:tcPr>
          <w:p w14:paraId="24B85C54" w14:textId="09F65355" w:rsidR="00E04FC1" w:rsidRPr="00CE15CF" w:rsidRDefault="00E04FC1" w:rsidP="00CE15CF">
            <w:pPr>
              <w:rPr>
                <w:sz w:val="20"/>
              </w:rPr>
            </w:pPr>
            <w:r w:rsidRPr="00CE15CF">
              <w:rPr>
                <w:sz w:val="20"/>
              </w:rPr>
              <w:t xml:space="preserve">Submission of information specified in Annex F </w:t>
            </w:r>
            <w:r w:rsidR="0064322D" w:rsidRPr="00CE15CF">
              <w:rPr>
                <w:rFonts w:eastAsia="Times New Roman"/>
                <w:sz w:val="20"/>
                <w:szCs w:val="20"/>
                <w:lang w:eastAsia="en-GB"/>
              </w:rPr>
              <w:t>to</w:t>
            </w:r>
            <w:r w:rsidR="0064322D" w:rsidRPr="00CE15CF">
              <w:rPr>
                <w:sz w:val="20"/>
              </w:rPr>
              <w:t xml:space="preserve"> </w:t>
            </w:r>
            <w:r w:rsidRPr="00CE15CF">
              <w:rPr>
                <w:sz w:val="20"/>
              </w:rPr>
              <w:t>the Stockholm Convention pursuant to Article 8 of the Convention.</w:t>
            </w:r>
          </w:p>
        </w:tc>
      </w:tr>
      <w:tr w:rsidR="00E04FC1" w:rsidRPr="00CE15CF" w14:paraId="19B857DB" w14:textId="77777777" w:rsidTr="00FC3DEE">
        <w:trPr>
          <w:trHeight w:val="900"/>
        </w:trPr>
        <w:tc>
          <w:tcPr>
            <w:tcW w:w="1451" w:type="dxa"/>
            <w:tcBorders>
              <w:top w:val="nil"/>
              <w:left w:val="nil"/>
              <w:bottom w:val="nil"/>
              <w:right w:val="nil"/>
            </w:tcBorders>
            <w:shd w:val="clear" w:color="auto" w:fill="auto"/>
            <w:noWrap/>
            <w:vAlign w:val="center"/>
            <w:hideMark/>
          </w:tcPr>
          <w:p w14:paraId="4DF7E87D" w14:textId="77777777" w:rsidR="00E04FC1" w:rsidRPr="00CE15CF" w:rsidRDefault="00E04FC1" w:rsidP="00CE15CF">
            <w:pPr>
              <w:rPr>
                <w:sz w:val="20"/>
              </w:rPr>
            </w:pPr>
            <w:r w:rsidRPr="00CE15CF">
              <w:rPr>
                <w:sz w:val="20"/>
              </w:rPr>
              <w:t>CVMA</w:t>
            </w:r>
          </w:p>
        </w:tc>
        <w:tc>
          <w:tcPr>
            <w:tcW w:w="1101" w:type="dxa"/>
            <w:tcBorders>
              <w:top w:val="nil"/>
              <w:left w:val="nil"/>
              <w:bottom w:val="nil"/>
              <w:right w:val="nil"/>
            </w:tcBorders>
            <w:shd w:val="clear" w:color="auto" w:fill="auto"/>
            <w:noWrap/>
            <w:vAlign w:val="center"/>
            <w:hideMark/>
          </w:tcPr>
          <w:p w14:paraId="3A9EEDE2" w14:textId="77777777" w:rsidR="00E04FC1" w:rsidRPr="00CE15CF" w:rsidRDefault="00E04FC1" w:rsidP="00CE15CF">
            <w:pPr>
              <w:rPr>
                <w:sz w:val="20"/>
              </w:rPr>
            </w:pPr>
            <w:r w:rsidRPr="00CE15CF">
              <w:rPr>
                <w:sz w:val="20"/>
              </w:rPr>
              <w:t>2018</w:t>
            </w:r>
          </w:p>
        </w:tc>
        <w:tc>
          <w:tcPr>
            <w:tcW w:w="6002" w:type="dxa"/>
            <w:tcBorders>
              <w:top w:val="nil"/>
              <w:left w:val="nil"/>
              <w:bottom w:val="nil"/>
              <w:right w:val="nil"/>
            </w:tcBorders>
            <w:shd w:val="clear" w:color="auto" w:fill="auto"/>
            <w:vAlign w:val="center"/>
            <w:hideMark/>
          </w:tcPr>
          <w:p w14:paraId="7E18D535" w14:textId="49E797F4" w:rsidR="00E04FC1" w:rsidRPr="00CE15CF" w:rsidRDefault="00E04FC1" w:rsidP="00CE15CF">
            <w:pPr>
              <w:rPr>
                <w:sz w:val="20"/>
              </w:rPr>
            </w:pPr>
            <w:r w:rsidRPr="00CE15CF">
              <w:rPr>
                <w:sz w:val="20"/>
              </w:rPr>
              <w:t xml:space="preserve">Submission from Canadian Vehicle Manufacturer's Association of information specified in Annex F </w:t>
            </w:r>
            <w:r w:rsidR="0064322D" w:rsidRPr="00CE15CF">
              <w:rPr>
                <w:rFonts w:eastAsia="Times New Roman"/>
                <w:sz w:val="20"/>
                <w:szCs w:val="20"/>
                <w:lang w:eastAsia="en-GB"/>
              </w:rPr>
              <w:t>to</w:t>
            </w:r>
            <w:r w:rsidR="0064322D" w:rsidRPr="00CE15CF">
              <w:rPr>
                <w:sz w:val="20"/>
              </w:rPr>
              <w:t xml:space="preserve"> </w:t>
            </w:r>
            <w:r w:rsidRPr="00CE15CF">
              <w:rPr>
                <w:sz w:val="20"/>
              </w:rPr>
              <w:t>the Stockholm Convention pursuant to Article 8 of the Convention.</w:t>
            </w:r>
          </w:p>
        </w:tc>
      </w:tr>
      <w:tr w:rsidR="00E04FC1" w:rsidRPr="00CE15CF" w14:paraId="2AA59610" w14:textId="77777777" w:rsidTr="00FC3DEE">
        <w:trPr>
          <w:trHeight w:val="900"/>
        </w:trPr>
        <w:tc>
          <w:tcPr>
            <w:tcW w:w="1451" w:type="dxa"/>
            <w:tcBorders>
              <w:top w:val="nil"/>
              <w:left w:val="nil"/>
              <w:bottom w:val="nil"/>
              <w:right w:val="nil"/>
            </w:tcBorders>
            <w:shd w:val="clear" w:color="auto" w:fill="auto"/>
            <w:noWrap/>
            <w:vAlign w:val="center"/>
            <w:hideMark/>
          </w:tcPr>
          <w:p w14:paraId="500F1AF0" w14:textId="77777777" w:rsidR="00E04FC1" w:rsidRPr="00CE15CF" w:rsidRDefault="00E04FC1" w:rsidP="00CE15CF">
            <w:pPr>
              <w:rPr>
                <w:sz w:val="20"/>
              </w:rPr>
            </w:pPr>
            <w:r w:rsidRPr="00CE15CF">
              <w:rPr>
                <w:sz w:val="20"/>
              </w:rPr>
              <w:t>FFFC</w:t>
            </w:r>
          </w:p>
        </w:tc>
        <w:tc>
          <w:tcPr>
            <w:tcW w:w="1101" w:type="dxa"/>
            <w:tcBorders>
              <w:top w:val="nil"/>
              <w:left w:val="nil"/>
              <w:bottom w:val="nil"/>
              <w:right w:val="nil"/>
            </w:tcBorders>
            <w:shd w:val="clear" w:color="auto" w:fill="auto"/>
            <w:noWrap/>
            <w:vAlign w:val="center"/>
            <w:hideMark/>
          </w:tcPr>
          <w:p w14:paraId="6E8953BC" w14:textId="77777777" w:rsidR="00E04FC1" w:rsidRPr="00CE15CF" w:rsidRDefault="00E04FC1" w:rsidP="00CE15CF">
            <w:pPr>
              <w:rPr>
                <w:sz w:val="20"/>
              </w:rPr>
            </w:pPr>
            <w:r w:rsidRPr="00CE15CF">
              <w:rPr>
                <w:sz w:val="20"/>
              </w:rPr>
              <w:t>2018</w:t>
            </w:r>
          </w:p>
        </w:tc>
        <w:tc>
          <w:tcPr>
            <w:tcW w:w="6002" w:type="dxa"/>
            <w:tcBorders>
              <w:top w:val="nil"/>
              <w:left w:val="nil"/>
              <w:bottom w:val="nil"/>
              <w:right w:val="nil"/>
            </w:tcBorders>
            <w:shd w:val="clear" w:color="auto" w:fill="auto"/>
            <w:vAlign w:val="center"/>
            <w:hideMark/>
          </w:tcPr>
          <w:p w14:paraId="255E3861" w14:textId="54BD4EB2" w:rsidR="00E04FC1" w:rsidRPr="00CE15CF" w:rsidRDefault="00E04FC1" w:rsidP="00CE15CF">
            <w:pPr>
              <w:rPr>
                <w:sz w:val="20"/>
              </w:rPr>
            </w:pPr>
            <w:r w:rsidRPr="00CE15CF">
              <w:rPr>
                <w:sz w:val="20"/>
              </w:rPr>
              <w:t xml:space="preserve">Submission from the Fire-Fighting Foam Coalition of information specified in Annex F </w:t>
            </w:r>
            <w:r w:rsidR="0064322D" w:rsidRPr="00CE15CF">
              <w:rPr>
                <w:rFonts w:eastAsia="Times New Roman"/>
                <w:sz w:val="20"/>
                <w:szCs w:val="20"/>
                <w:lang w:eastAsia="en-GB"/>
              </w:rPr>
              <w:t>to</w:t>
            </w:r>
            <w:r w:rsidR="0064322D" w:rsidRPr="00CE15CF">
              <w:rPr>
                <w:sz w:val="20"/>
              </w:rPr>
              <w:t xml:space="preserve"> </w:t>
            </w:r>
            <w:r w:rsidRPr="00CE15CF">
              <w:rPr>
                <w:sz w:val="20"/>
              </w:rPr>
              <w:t>the Stockholm Convention pursuant to Article 8 of the Convention.</w:t>
            </w:r>
          </w:p>
        </w:tc>
      </w:tr>
      <w:tr w:rsidR="00E04FC1" w:rsidRPr="00CE15CF" w14:paraId="22077DBF" w14:textId="77777777" w:rsidTr="00FC3DEE">
        <w:trPr>
          <w:trHeight w:val="600"/>
        </w:trPr>
        <w:tc>
          <w:tcPr>
            <w:tcW w:w="1451" w:type="dxa"/>
            <w:tcBorders>
              <w:top w:val="nil"/>
              <w:left w:val="nil"/>
              <w:bottom w:val="nil"/>
              <w:right w:val="nil"/>
            </w:tcBorders>
            <w:shd w:val="clear" w:color="auto" w:fill="auto"/>
            <w:noWrap/>
            <w:vAlign w:val="center"/>
            <w:hideMark/>
          </w:tcPr>
          <w:p w14:paraId="2D7ABFD3" w14:textId="77777777" w:rsidR="00E04FC1" w:rsidRPr="00CE15CF" w:rsidRDefault="00E04FC1" w:rsidP="00CE15CF">
            <w:pPr>
              <w:rPr>
                <w:sz w:val="20"/>
              </w:rPr>
            </w:pPr>
            <w:proofErr w:type="spellStart"/>
            <w:r w:rsidRPr="00CE15CF">
              <w:rPr>
                <w:sz w:val="20"/>
              </w:rPr>
              <w:t>FluoroCouncil</w:t>
            </w:r>
            <w:proofErr w:type="spellEnd"/>
          </w:p>
        </w:tc>
        <w:tc>
          <w:tcPr>
            <w:tcW w:w="1101" w:type="dxa"/>
            <w:tcBorders>
              <w:top w:val="nil"/>
              <w:left w:val="nil"/>
              <w:bottom w:val="nil"/>
              <w:right w:val="nil"/>
            </w:tcBorders>
            <w:shd w:val="clear" w:color="auto" w:fill="auto"/>
            <w:noWrap/>
            <w:vAlign w:val="center"/>
            <w:hideMark/>
          </w:tcPr>
          <w:p w14:paraId="591DDD97" w14:textId="6D77B047" w:rsidR="00E04FC1" w:rsidRPr="00CE15CF" w:rsidRDefault="00E04FC1" w:rsidP="00CE15CF">
            <w:pPr>
              <w:rPr>
                <w:sz w:val="20"/>
              </w:rPr>
            </w:pPr>
            <w:r w:rsidRPr="00CE15CF">
              <w:rPr>
                <w:sz w:val="20"/>
              </w:rPr>
              <w:t>2018</w:t>
            </w:r>
            <w:r w:rsidR="00E22DF5" w:rsidRPr="00CE15CF">
              <w:rPr>
                <w:sz w:val="20"/>
              </w:rPr>
              <w:t>a</w:t>
            </w:r>
          </w:p>
        </w:tc>
        <w:tc>
          <w:tcPr>
            <w:tcW w:w="6002" w:type="dxa"/>
            <w:tcBorders>
              <w:top w:val="nil"/>
              <w:left w:val="nil"/>
              <w:bottom w:val="nil"/>
              <w:right w:val="nil"/>
            </w:tcBorders>
            <w:shd w:val="clear" w:color="auto" w:fill="auto"/>
            <w:vAlign w:val="center"/>
            <w:hideMark/>
          </w:tcPr>
          <w:p w14:paraId="69CABED2" w14:textId="7D80E172" w:rsidR="00E04FC1" w:rsidRPr="00CE15CF" w:rsidRDefault="00E04FC1" w:rsidP="00CE15CF">
            <w:pPr>
              <w:rPr>
                <w:sz w:val="20"/>
              </w:rPr>
            </w:pPr>
            <w:r w:rsidRPr="00CE15CF">
              <w:rPr>
                <w:sz w:val="20"/>
              </w:rPr>
              <w:t xml:space="preserve">Submission of information specified in Annex F </w:t>
            </w:r>
            <w:r w:rsidR="0064322D" w:rsidRPr="00CE15CF">
              <w:rPr>
                <w:rFonts w:eastAsia="Times New Roman"/>
                <w:sz w:val="20"/>
                <w:szCs w:val="20"/>
                <w:lang w:eastAsia="en-GB"/>
              </w:rPr>
              <w:t>to</w:t>
            </w:r>
            <w:r w:rsidR="0064322D" w:rsidRPr="00CE15CF">
              <w:rPr>
                <w:sz w:val="20"/>
              </w:rPr>
              <w:t xml:space="preserve"> </w:t>
            </w:r>
            <w:r w:rsidRPr="00CE15CF">
              <w:rPr>
                <w:sz w:val="20"/>
              </w:rPr>
              <w:t>the Stockholm Convention pursuant to Article 8 of the Convention.</w:t>
            </w:r>
          </w:p>
        </w:tc>
      </w:tr>
      <w:tr w:rsidR="00E22DF5" w:rsidRPr="00CE15CF" w14:paraId="3B938343" w14:textId="77777777" w:rsidTr="00E22DF5">
        <w:trPr>
          <w:trHeight w:val="495"/>
        </w:trPr>
        <w:tc>
          <w:tcPr>
            <w:tcW w:w="1451" w:type="dxa"/>
            <w:tcBorders>
              <w:top w:val="nil"/>
              <w:left w:val="nil"/>
              <w:bottom w:val="nil"/>
              <w:right w:val="nil"/>
            </w:tcBorders>
            <w:shd w:val="clear" w:color="auto" w:fill="auto"/>
            <w:noWrap/>
            <w:vAlign w:val="center"/>
          </w:tcPr>
          <w:p w14:paraId="6E49D995" w14:textId="251F629B" w:rsidR="00E22DF5" w:rsidRPr="00CE15CF" w:rsidRDefault="00E22DF5" w:rsidP="00CE15CF">
            <w:pPr>
              <w:rPr>
                <w:sz w:val="20"/>
              </w:rPr>
            </w:pPr>
            <w:proofErr w:type="spellStart"/>
            <w:r w:rsidRPr="00CE15CF">
              <w:rPr>
                <w:sz w:val="20"/>
              </w:rPr>
              <w:t>FluoroCouncil</w:t>
            </w:r>
            <w:proofErr w:type="spellEnd"/>
          </w:p>
        </w:tc>
        <w:tc>
          <w:tcPr>
            <w:tcW w:w="1101" w:type="dxa"/>
            <w:tcBorders>
              <w:top w:val="nil"/>
              <w:left w:val="nil"/>
              <w:bottom w:val="nil"/>
              <w:right w:val="nil"/>
            </w:tcBorders>
            <w:shd w:val="clear" w:color="auto" w:fill="auto"/>
            <w:noWrap/>
            <w:vAlign w:val="center"/>
          </w:tcPr>
          <w:p w14:paraId="222D1FE4" w14:textId="40168FCD" w:rsidR="00E22DF5" w:rsidRPr="00CE15CF" w:rsidRDefault="00E22DF5" w:rsidP="00CE15CF">
            <w:pPr>
              <w:rPr>
                <w:sz w:val="20"/>
              </w:rPr>
            </w:pPr>
            <w:r w:rsidRPr="00CE15CF">
              <w:rPr>
                <w:sz w:val="20"/>
              </w:rPr>
              <w:t>2018b</w:t>
            </w:r>
          </w:p>
        </w:tc>
        <w:tc>
          <w:tcPr>
            <w:tcW w:w="6002" w:type="dxa"/>
            <w:tcBorders>
              <w:top w:val="nil"/>
              <w:left w:val="nil"/>
              <w:bottom w:val="nil"/>
              <w:right w:val="nil"/>
            </w:tcBorders>
            <w:shd w:val="clear" w:color="auto" w:fill="auto"/>
            <w:vAlign w:val="center"/>
          </w:tcPr>
          <w:p w14:paraId="382D43EC" w14:textId="5455CA00" w:rsidR="00E22DF5" w:rsidRPr="00CE15CF" w:rsidRDefault="00E22DF5" w:rsidP="00CE15CF">
            <w:pPr>
              <w:rPr>
                <w:sz w:val="20"/>
              </w:rPr>
            </w:pPr>
            <w:r w:rsidRPr="00CE15CF">
              <w:rPr>
                <w:sz w:val="20"/>
              </w:rPr>
              <w:t>Comment received on PFOA first draft.</w:t>
            </w:r>
          </w:p>
        </w:tc>
      </w:tr>
      <w:tr w:rsidR="00E04FC1" w:rsidRPr="00CE15CF" w14:paraId="08CEDBE1" w14:textId="77777777" w:rsidTr="00FC3DEE">
        <w:trPr>
          <w:trHeight w:val="900"/>
        </w:trPr>
        <w:tc>
          <w:tcPr>
            <w:tcW w:w="1451" w:type="dxa"/>
            <w:tcBorders>
              <w:top w:val="nil"/>
              <w:left w:val="nil"/>
              <w:bottom w:val="nil"/>
              <w:right w:val="nil"/>
            </w:tcBorders>
            <w:shd w:val="clear" w:color="auto" w:fill="auto"/>
            <w:noWrap/>
            <w:vAlign w:val="center"/>
            <w:hideMark/>
          </w:tcPr>
          <w:p w14:paraId="146FBABE" w14:textId="77777777" w:rsidR="00E04FC1" w:rsidRPr="00CE15CF" w:rsidRDefault="00E04FC1" w:rsidP="00CE15CF">
            <w:pPr>
              <w:rPr>
                <w:sz w:val="20"/>
              </w:rPr>
            </w:pPr>
            <w:r w:rsidRPr="00CE15CF">
              <w:rPr>
                <w:sz w:val="20"/>
              </w:rPr>
              <w:t>HCWH</w:t>
            </w:r>
          </w:p>
        </w:tc>
        <w:tc>
          <w:tcPr>
            <w:tcW w:w="1101" w:type="dxa"/>
            <w:tcBorders>
              <w:top w:val="nil"/>
              <w:left w:val="nil"/>
              <w:bottom w:val="nil"/>
              <w:right w:val="nil"/>
            </w:tcBorders>
            <w:shd w:val="clear" w:color="auto" w:fill="auto"/>
            <w:noWrap/>
            <w:vAlign w:val="center"/>
            <w:hideMark/>
          </w:tcPr>
          <w:p w14:paraId="1D5BC0E6" w14:textId="77777777" w:rsidR="00E04FC1" w:rsidRPr="00CE15CF" w:rsidRDefault="00E04FC1" w:rsidP="00CE15CF">
            <w:pPr>
              <w:rPr>
                <w:sz w:val="20"/>
              </w:rPr>
            </w:pPr>
            <w:r w:rsidRPr="00CE15CF">
              <w:rPr>
                <w:sz w:val="20"/>
              </w:rPr>
              <w:t>2018</w:t>
            </w:r>
          </w:p>
        </w:tc>
        <w:tc>
          <w:tcPr>
            <w:tcW w:w="6002" w:type="dxa"/>
            <w:tcBorders>
              <w:top w:val="nil"/>
              <w:left w:val="nil"/>
              <w:bottom w:val="nil"/>
              <w:right w:val="nil"/>
            </w:tcBorders>
            <w:shd w:val="clear" w:color="auto" w:fill="auto"/>
            <w:vAlign w:val="center"/>
            <w:hideMark/>
          </w:tcPr>
          <w:p w14:paraId="64040208" w14:textId="7A3337F1" w:rsidR="00E04FC1" w:rsidRPr="00CE15CF" w:rsidRDefault="00E04FC1" w:rsidP="00CE15CF">
            <w:pPr>
              <w:rPr>
                <w:sz w:val="20"/>
              </w:rPr>
            </w:pPr>
            <w:r w:rsidRPr="00CE15CF">
              <w:rPr>
                <w:sz w:val="20"/>
              </w:rPr>
              <w:t xml:space="preserve">Submission from Healthcare Without Harm of information specified in Annex F </w:t>
            </w:r>
            <w:r w:rsidR="0064322D" w:rsidRPr="00CE15CF">
              <w:rPr>
                <w:rFonts w:eastAsia="Times New Roman"/>
                <w:sz w:val="20"/>
                <w:szCs w:val="20"/>
                <w:lang w:eastAsia="en-GB"/>
              </w:rPr>
              <w:t>to</w:t>
            </w:r>
            <w:r w:rsidR="0064322D" w:rsidRPr="00CE15CF">
              <w:rPr>
                <w:sz w:val="20"/>
              </w:rPr>
              <w:t xml:space="preserve"> </w:t>
            </w:r>
            <w:r w:rsidRPr="00CE15CF">
              <w:rPr>
                <w:sz w:val="20"/>
              </w:rPr>
              <w:t>the Stockholm Convention pursuant to Article 8 of the Convention.</w:t>
            </w:r>
          </w:p>
        </w:tc>
      </w:tr>
      <w:tr w:rsidR="00E04FC1" w:rsidRPr="00CE15CF" w14:paraId="6FA8BEB0" w14:textId="77777777" w:rsidTr="00FC3DEE">
        <w:trPr>
          <w:trHeight w:val="600"/>
        </w:trPr>
        <w:tc>
          <w:tcPr>
            <w:tcW w:w="1451" w:type="dxa"/>
            <w:tcBorders>
              <w:top w:val="nil"/>
              <w:left w:val="nil"/>
              <w:bottom w:val="nil"/>
              <w:right w:val="nil"/>
            </w:tcBorders>
            <w:shd w:val="clear" w:color="auto" w:fill="auto"/>
            <w:noWrap/>
            <w:vAlign w:val="center"/>
            <w:hideMark/>
          </w:tcPr>
          <w:p w14:paraId="02D5FA98" w14:textId="77777777" w:rsidR="00E04FC1" w:rsidRPr="00CE15CF" w:rsidRDefault="00E04FC1" w:rsidP="00CE15CF">
            <w:pPr>
              <w:rPr>
                <w:sz w:val="20"/>
              </w:rPr>
            </w:pPr>
            <w:r w:rsidRPr="00CE15CF">
              <w:rPr>
                <w:sz w:val="20"/>
              </w:rPr>
              <w:t>IPEN and ACAT</w:t>
            </w:r>
          </w:p>
        </w:tc>
        <w:tc>
          <w:tcPr>
            <w:tcW w:w="1101" w:type="dxa"/>
            <w:tcBorders>
              <w:top w:val="nil"/>
              <w:left w:val="nil"/>
              <w:bottom w:val="nil"/>
              <w:right w:val="nil"/>
            </w:tcBorders>
            <w:shd w:val="clear" w:color="auto" w:fill="auto"/>
            <w:noWrap/>
            <w:vAlign w:val="center"/>
            <w:hideMark/>
          </w:tcPr>
          <w:p w14:paraId="65FB4101" w14:textId="77777777" w:rsidR="00E04FC1" w:rsidRPr="00CE15CF" w:rsidRDefault="00E04FC1" w:rsidP="00CE15CF">
            <w:pPr>
              <w:rPr>
                <w:sz w:val="20"/>
              </w:rPr>
            </w:pPr>
            <w:r w:rsidRPr="00CE15CF">
              <w:rPr>
                <w:sz w:val="20"/>
              </w:rPr>
              <w:t>2018</w:t>
            </w:r>
          </w:p>
        </w:tc>
        <w:tc>
          <w:tcPr>
            <w:tcW w:w="6002" w:type="dxa"/>
            <w:tcBorders>
              <w:top w:val="nil"/>
              <w:left w:val="nil"/>
              <w:bottom w:val="nil"/>
              <w:right w:val="nil"/>
            </w:tcBorders>
            <w:shd w:val="clear" w:color="auto" w:fill="auto"/>
            <w:vAlign w:val="center"/>
            <w:hideMark/>
          </w:tcPr>
          <w:p w14:paraId="72F9AE83" w14:textId="19F5FF81" w:rsidR="00E04FC1" w:rsidRPr="00CE15CF" w:rsidRDefault="00E04FC1" w:rsidP="00CE15CF">
            <w:pPr>
              <w:rPr>
                <w:sz w:val="20"/>
              </w:rPr>
            </w:pPr>
            <w:r w:rsidRPr="00CE15CF">
              <w:rPr>
                <w:sz w:val="20"/>
              </w:rPr>
              <w:t xml:space="preserve">Submission of information specified in Annex F </w:t>
            </w:r>
            <w:r w:rsidR="0064322D" w:rsidRPr="00CE15CF">
              <w:rPr>
                <w:rFonts w:eastAsia="Times New Roman"/>
                <w:sz w:val="20"/>
                <w:szCs w:val="20"/>
                <w:lang w:eastAsia="en-GB"/>
              </w:rPr>
              <w:t>to</w:t>
            </w:r>
            <w:r w:rsidR="0064322D" w:rsidRPr="00CE15CF">
              <w:rPr>
                <w:sz w:val="20"/>
              </w:rPr>
              <w:t xml:space="preserve"> </w:t>
            </w:r>
            <w:r w:rsidRPr="00CE15CF">
              <w:rPr>
                <w:sz w:val="20"/>
              </w:rPr>
              <w:t>the Stockholm Convention pursuant to Article 8 of the Convention.</w:t>
            </w:r>
          </w:p>
        </w:tc>
      </w:tr>
      <w:tr w:rsidR="00E04FC1" w:rsidRPr="00CE15CF" w14:paraId="60ABBDB4" w14:textId="77777777" w:rsidTr="00FC3DEE">
        <w:trPr>
          <w:trHeight w:val="600"/>
        </w:trPr>
        <w:tc>
          <w:tcPr>
            <w:tcW w:w="1451" w:type="dxa"/>
            <w:tcBorders>
              <w:top w:val="nil"/>
              <w:left w:val="nil"/>
              <w:bottom w:val="nil"/>
              <w:right w:val="nil"/>
            </w:tcBorders>
            <w:shd w:val="clear" w:color="auto" w:fill="auto"/>
            <w:noWrap/>
            <w:vAlign w:val="center"/>
            <w:hideMark/>
          </w:tcPr>
          <w:p w14:paraId="37A863BE" w14:textId="0D57C185" w:rsidR="00E04FC1" w:rsidRPr="00CE15CF" w:rsidRDefault="00413D59" w:rsidP="00CE15CF">
            <w:pPr>
              <w:rPr>
                <w:sz w:val="20"/>
              </w:rPr>
            </w:pPr>
            <w:proofErr w:type="spellStart"/>
            <w:r w:rsidRPr="00CE15CF">
              <w:rPr>
                <w:rFonts w:eastAsia="Times New Roman"/>
                <w:sz w:val="20"/>
                <w:szCs w:val="20"/>
                <w:lang w:eastAsia="en-GB"/>
              </w:rPr>
              <w:t>MedTech</w:t>
            </w:r>
            <w:proofErr w:type="spellEnd"/>
            <w:r w:rsidR="00E04FC1" w:rsidRPr="00CE15CF">
              <w:rPr>
                <w:sz w:val="20"/>
              </w:rPr>
              <w:t xml:space="preserve"> Europe</w:t>
            </w:r>
          </w:p>
        </w:tc>
        <w:tc>
          <w:tcPr>
            <w:tcW w:w="1101" w:type="dxa"/>
            <w:tcBorders>
              <w:top w:val="nil"/>
              <w:left w:val="nil"/>
              <w:bottom w:val="nil"/>
              <w:right w:val="nil"/>
            </w:tcBorders>
            <w:shd w:val="clear" w:color="auto" w:fill="auto"/>
            <w:noWrap/>
            <w:vAlign w:val="center"/>
            <w:hideMark/>
          </w:tcPr>
          <w:p w14:paraId="520748F6" w14:textId="77777777" w:rsidR="00E04FC1" w:rsidRPr="00CE15CF" w:rsidRDefault="00E04FC1" w:rsidP="00CE15CF">
            <w:pPr>
              <w:rPr>
                <w:sz w:val="20"/>
              </w:rPr>
            </w:pPr>
            <w:r w:rsidRPr="00CE15CF">
              <w:rPr>
                <w:sz w:val="20"/>
              </w:rPr>
              <w:t>2018</w:t>
            </w:r>
          </w:p>
        </w:tc>
        <w:tc>
          <w:tcPr>
            <w:tcW w:w="6002" w:type="dxa"/>
            <w:tcBorders>
              <w:top w:val="nil"/>
              <w:left w:val="nil"/>
              <w:bottom w:val="nil"/>
              <w:right w:val="nil"/>
            </w:tcBorders>
            <w:shd w:val="clear" w:color="auto" w:fill="auto"/>
            <w:vAlign w:val="center"/>
            <w:hideMark/>
          </w:tcPr>
          <w:p w14:paraId="7C86F681" w14:textId="7AA7D3FE" w:rsidR="00E04FC1" w:rsidRPr="00CE15CF" w:rsidRDefault="00E04FC1" w:rsidP="00CE15CF">
            <w:pPr>
              <w:rPr>
                <w:sz w:val="20"/>
              </w:rPr>
            </w:pPr>
            <w:r w:rsidRPr="00CE15CF">
              <w:rPr>
                <w:sz w:val="20"/>
              </w:rPr>
              <w:t xml:space="preserve">Submission of information specified in Annex F </w:t>
            </w:r>
            <w:r w:rsidR="0064322D" w:rsidRPr="00CE15CF">
              <w:rPr>
                <w:rFonts w:eastAsia="Times New Roman"/>
                <w:sz w:val="20"/>
                <w:szCs w:val="20"/>
                <w:lang w:eastAsia="en-GB"/>
              </w:rPr>
              <w:t>to</w:t>
            </w:r>
            <w:r w:rsidR="0064322D" w:rsidRPr="00CE15CF">
              <w:rPr>
                <w:sz w:val="20"/>
              </w:rPr>
              <w:t xml:space="preserve"> </w:t>
            </w:r>
            <w:r w:rsidRPr="00CE15CF">
              <w:rPr>
                <w:sz w:val="20"/>
              </w:rPr>
              <w:t>the Stockholm Convention pursuant to Article 8 of the Convention.</w:t>
            </w:r>
          </w:p>
        </w:tc>
      </w:tr>
      <w:tr w:rsidR="00E04FC1" w:rsidRPr="00CE15CF" w14:paraId="54B11D2D" w14:textId="77777777" w:rsidTr="00FC3DEE">
        <w:trPr>
          <w:trHeight w:val="600"/>
        </w:trPr>
        <w:tc>
          <w:tcPr>
            <w:tcW w:w="1451" w:type="dxa"/>
            <w:tcBorders>
              <w:top w:val="nil"/>
              <w:left w:val="nil"/>
              <w:bottom w:val="nil"/>
              <w:right w:val="nil"/>
            </w:tcBorders>
            <w:shd w:val="clear" w:color="auto" w:fill="auto"/>
            <w:noWrap/>
            <w:vAlign w:val="center"/>
            <w:hideMark/>
          </w:tcPr>
          <w:p w14:paraId="3799928F" w14:textId="77777777" w:rsidR="00E04FC1" w:rsidRPr="00CE15CF" w:rsidRDefault="00E04FC1" w:rsidP="00CE15CF">
            <w:pPr>
              <w:rPr>
                <w:sz w:val="20"/>
              </w:rPr>
            </w:pPr>
            <w:r w:rsidRPr="00CE15CF">
              <w:rPr>
                <w:sz w:val="20"/>
              </w:rPr>
              <w:t>Netherlands</w:t>
            </w:r>
          </w:p>
        </w:tc>
        <w:tc>
          <w:tcPr>
            <w:tcW w:w="1101" w:type="dxa"/>
            <w:tcBorders>
              <w:top w:val="nil"/>
              <w:left w:val="nil"/>
              <w:bottom w:val="nil"/>
              <w:right w:val="nil"/>
            </w:tcBorders>
            <w:shd w:val="clear" w:color="auto" w:fill="auto"/>
            <w:noWrap/>
            <w:vAlign w:val="center"/>
            <w:hideMark/>
          </w:tcPr>
          <w:p w14:paraId="19984E92" w14:textId="5FEACC11" w:rsidR="00E04FC1" w:rsidRPr="00CE15CF" w:rsidRDefault="00E04FC1" w:rsidP="00CE15CF">
            <w:pPr>
              <w:rPr>
                <w:sz w:val="20"/>
              </w:rPr>
            </w:pPr>
            <w:r w:rsidRPr="00CE15CF">
              <w:rPr>
                <w:sz w:val="20"/>
              </w:rPr>
              <w:t>2018</w:t>
            </w:r>
            <w:r w:rsidR="005B78AB" w:rsidRPr="00CE15CF">
              <w:rPr>
                <w:sz w:val="20"/>
              </w:rPr>
              <w:t>a</w:t>
            </w:r>
          </w:p>
        </w:tc>
        <w:tc>
          <w:tcPr>
            <w:tcW w:w="6002" w:type="dxa"/>
            <w:tcBorders>
              <w:top w:val="nil"/>
              <w:left w:val="nil"/>
              <w:bottom w:val="nil"/>
              <w:right w:val="nil"/>
            </w:tcBorders>
            <w:shd w:val="clear" w:color="auto" w:fill="auto"/>
            <w:vAlign w:val="center"/>
            <w:hideMark/>
          </w:tcPr>
          <w:p w14:paraId="030AE99F" w14:textId="137CBED2" w:rsidR="00E04FC1" w:rsidRPr="00CE15CF" w:rsidRDefault="00E04FC1" w:rsidP="00CE15CF">
            <w:pPr>
              <w:rPr>
                <w:sz w:val="20"/>
              </w:rPr>
            </w:pPr>
            <w:r w:rsidRPr="00CE15CF">
              <w:rPr>
                <w:sz w:val="20"/>
              </w:rPr>
              <w:t xml:space="preserve">Submission of information specified in Annex F </w:t>
            </w:r>
            <w:r w:rsidR="0064322D" w:rsidRPr="00CE15CF">
              <w:rPr>
                <w:rFonts w:eastAsia="Times New Roman"/>
                <w:sz w:val="20"/>
                <w:szCs w:val="20"/>
                <w:lang w:eastAsia="en-GB"/>
              </w:rPr>
              <w:t>to</w:t>
            </w:r>
            <w:r w:rsidR="0064322D" w:rsidRPr="00CE15CF">
              <w:rPr>
                <w:sz w:val="20"/>
              </w:rPr>
              <w:t xml:space="preserve"> </w:t>
            </w:r>
            <w:r w:rsidRPr="00CE15CF">
              <w:rPr>
                <w:sz w:val="20"/>
              </w:rPr>
              <w:t>the Stockholm Convention pursuant to Article 8 of the Convention.</w:t>
            </w:r>
          </w:p>
        </w:tc>
      </w:tr>
      <w:tr w:rsidR="005B78AB" w:rsidRPr="00CE15CF" w14:paraId="56F068A1" w14:textId="77777777" w:rsidTr="00FC3DEE">
        <w:trPr>
          <w:trHeight w:val="600"/>
        </w:trPr>
        <w:tc>
          <w:tcPr>
            <w:tcW w:w="1451" w:type="dxa"/>
            <w:tcBorders>
              <w:top w:val="nil"/>
              <w:left w:val="nil"/>
              <w:bottom w:val="nil"/>
              <w:right w:val="nil"/>
            </w:tcBorders>
            <w:shd w:val="clear" w:color="auto" w:fill="auto"/>
            <w:noWrap/>
            <w:vAlign w:val="center"/>
          </w:tcPr>
          <w:p w14:paraId="6B5843D6" w14:textId="4DA39160" w:rsidR="005B78AB" w:rsidRPr="00CE15CF" w:rsidRDefault="005B78AB" w:rsidP="00CE15CF">
            <w:pPr>
              <w:rPr>
                <w:sz w:val="20"/>
              </w:rPr>
            </w:pPr>
            <w:r w:rsidRPr="00CE15CF">
              <w:rPr>
                <w:sz w:val="20"/>
              </w:rPr>
              <w:t>Netherlands</w:t>
            </w:r>
          </w:p>
        </w:tc>
        <w:tc>
          <w:tcPr>
            <w:tcW w:w="1101" w:type="dxa"/>
            <w:tcBorders>
              <w:top w:val="nil"/>
              <w:left w:val="nil"/>
              <w:bottom w:val="nil"/>
              <w:right w:val="nil"/>
            </w:tcBorders>
            <w:shd w:val="clear" w:color="auto" w:fill="auto"/>
            <w:noWrap/>
            <w:vAlign w:val="center"/>
          </w:tcPr>
          <w:p w14:paraId="342F46DA" w14:textId="170CEA9E" w:rsidR="005B78AB" w:rsidRPr="00CE15CF" w:rsidRDefault="005B78AB" w:rsidP="00CE15CF">
            <w:pPr>
              <w:rPr>
                <w:sz w:val="20"/>
              </w:rPr>
            </w:pPr>
            <w:r w:rsidRPr="00CE15CF">
              <w:rPr>
                <w:sz w:val="20"/>
              </w:rPr>
              <w:t>2018b</w:t>
            </w:r>
          </w:p>
        </w:tc>
        <w:tc>
          <w:tcPr>
            <w:tcW w:w="6002" w:type="dxa"/>
            <w:tcBorders>
              <w:top w:val="nil"/>
              <w:left w:val="nil"/>
              <w:bottom w:val="nil"/>
              <w:right w:val="nil"/>
            </w:tcBorders>
            <w:shd w:val="clear" w:color="auto" w:fill="auto"/>
            <w:vAlign w:val="center"/>
          </w:tcPr>
          <w:p w14:paraId="14BDF86F" w14:textId="2DD1D688" w:rsidR="005B78AB" w:rsidRPr="00CE15CF" w:rsidRDefault="005B78AB" w:rsidP="00CE15CF">
            <w:pPr>
              <w:rPr>
                <w:sz w:val="20"/>
              </w:rPr>
            </w:pPr>
            <w:r w:rsidRPr="00CE15CF">
              <w:rPr>
                <w:sz w:val="20"/>
              </w:rPr>
              <w:t>Comment received on PFOA second draft.</w:t>
            </w:r>
          </w:p>
        </w:tc>
      </w:tr>
      <w:tr w:rsidR="00E04FC1" w:rsidRPr="00CE15CF" w14:paraId="760DDAC3" w14:textId="77777777" w:rsidTr="00FC3DEE">
        <w:trPr>
          <w:trHeight w:val="600"/>
        </w:trPr>
        <w:tc>
          <w:tcPr>
            <w:tcW w:w="1451" w:type="dxa"/>
            <w:tcBorders>
              <w:top w:val="nil"/>
              <w:left w:val="nil"/>
              <w:bottom w:val="nil"/>
              <w:right w:val="nil"/>
            </w:tcBorders>
            <w:shd w:val="clear" w:color="auto" w:fill="auto"/>
            <w:noWrap/>
            <w:vAlign w:val="center"/>
            <w:hideMark/>
          </w:tcPr>
          <w:p w14:paraId="29B92BD5" w14:textId="77777777" w:rsidR="00E04FC1" w:rsidRPr="00CE15CF" w:rsidRDefault="00E04FC1" w:rsidP="00CE15CF">
            <w:pPr>
              <w:rPr>
                <w:sz w:val="20"/>
              </w:rPr>
            </w:pPr>
            <w:r w:rsidRPr="00CE15CF">
              <w:rPr>
                <w:sz w:val="20"/>
              </w:rPr>
              <w:t>Sweden</w:t>
            </w:r>
          </w:p>
        </w:tc>
        <w:tc>
          <w:tcPr>
            <w:tcW w:w="1101" w:type="dxa"/>
            <w:tcBorders>
              <w:top w:val="nil"/>
              <w:left w:val="nil"/>
              <w:bottom w:val="nil"/>
              <w:right w:val="nil"/>
            </w:tcBorders>
            <w:shd w:val="clear" w:color="auto" w:fill="auto"/>
            <w:noWrap/>
            <w:vAlign w:val="center"/>
            <w:hideMark/>
          </w:tcPr>
          <w:p w14:paraId="3FD344C0" w14:textId="77777777" w:rsidR="00E04FC1" w:rsidRPr="00CE15CF" w:rsidRDefault="00E04FC1" w:rsidP="00CE15CF">
            <w:pPr>
              <w:rPr>
                <w:sz w:val="20"/>
              </w:rPr>
            </w:pPr>
            <w:r w:rsidRPr="00CE15CF">
              <w:rPr>
                <w:sz w:val="20"/>
              </w:rPr>
              <w:t>2018</w:t>
            </w:r>
          </w:p>
        </w:tc>
        <w:tc>
          <w:tcPr>
            <w:tcW w:w="6002" w:type="dxa"/>
            <w:tcBorders>
              <w:top w:val="nil"/>
              <w:left w:val="nil"/>
              <w:bottom w:val="nil"/>
              <w:right w:val="nil"/>
            </w:tcBorders>
            <w:shd w:val="clear" w:color="auto" w:fill="auto"/>
            <w:vAlign w:val="center"/>
            <w:hideMark/>
          </w:tcPr>
          <w:p w14:paraId="27014056" w14:textId="33B14865" w:rsidR="00E04FC1" w:rsidRPr="00CE15CF" w:rsidRDefault="00E04FC1" w:rsidP="00CE15CF">
            <w:pPr>
              <w:rPr>
                <w:sz w:val="20"/>
              </w:rPr>
            </w:pPr>
            <w:r w:rsidRPr="00CE15CF">
              <w:rPr>
                <w:sz w:val="20"/>
              </w:rPr>
              <w:t xml:space="preserve">Submission of information specified in Annex F </w:t>
            </w:r>
            <w:r w:rsidR="0064322D" w:rsidRPr="00CE15CF">
              <w:rPr>
                <w:rFonts w:eastAsia="Times New Roman"/>
                <w:sz w:val="20"/>
                <w:szCs w:val="20"/>
                <w:lang w:eastAsia="en-GB"/>
              </w:rPr>
              <w:t>to</w:t>
            </w:r>
            <w:r w:rsidR="0064322D" w:rsidRPr="00CE15CF">
              <w:rPr>
                <w:sz w:val="20"/>
              </w:rPr>
              <w:t xml:space="preserve"> </w:t>
            </w:r>
            <w:r w:rsidRPr="00CE15CF">
              <w:rPr>
                <w:sz w:val="20"/>
              </w:rPr>
              <w:t>the Stockholm Convention pursuant to Article 8 of the Convention.</w:t>
            </w:r>
          </w:p>
        </w:tc>
      </w:tr>
      <w:tr w:rsidR="00476C8D" w:rsidRPr="00CE15CF" w14:paraId="1F617AE4" w14:textId="77777777" w:rsidTr="00FC3DEE">
        <w:trPr>
          <w:trHeight w:val="600"/>
        </w:trPr>
        <w:tc>
          <w:tcPr>
            <w:tcW w:w="1451" w:type="dxa"/>
            <w:tcBorders>
              <w:top w:val="nil"/>
              <w:left w:val="nil"/>
              <w:bottom w:val="nil"/>
              <w:right w:val="nil"/>
            </w:tcBorders>
            <w:shd w:val="clear" w:color="auto" w:fill="auto"/>
            <w:noWrap/>
            <w:vAlign w:val="center"/>
          </w:tcPr>
          <w:p w14:paraId="0E0B2B6A" w14:textId="79B43CD0" w:rsidR="00476C8D" w:rsidRPr="00CE15CF" w:rsidRDefault="00476C8D" w:rsidP="00CE15CF">
            <w:pPr>
              <w:rPr>
                <w:sz w:val="20"/>
              </w:rPr>
            </w:pPr>
            <w:r w:rsidRPr="00CE15CF">
              <w:rPr>
                <w:sz w:val="20"/>
              </w:rPr>
              <w:t>Switzerland</w:t>
            </w:r>
          </w:p>
        </w:tc>
        <w:tc>
          <w:tcPr>
            <w:tcW w:w="1101" w:type="dxa"/>
            <w:tcBorders>
              <w:top w:val="nil"/>
              <w:left w:val="nil"/>
              <w:bottom w:val="nil"/>
              <w:right w:val="nil"/>
            </w:tcBorders>
            <w:shd w:val="clear" w:color="auto" w:fill="auto"/>
            <w:noWrap/>
            <w:vAlign w:val="center"/>
          </w:tcPr>
          <w:p w14:paraId="5D8D3223" w14:textId="128DFC6A" w:rsidR="00476C8D" w:rsidRPr="00CE15CF" w:rsidRDefault="00476C8D" w:rsidP="00CE15CF">
            <w:pPr>
              <w:rPr>
                <w:sz w:val="20"/>
              </w:rPr>
            </w:pPr>
            <w:r w:rsidRPr="00CE15CF">
              <w:rPr>
                <w:sz w:val="20"/>
              </w:rPr>
              <w:t>2018</w:t>
            </w:r>
          </w:p>
        </w:tc>
        <w:tc>
          <w:tcPr>
            <w:tcW w:w="6002" w:type="dxa"/>
            <w:tcBorders>
              <w:top w:val="nil"/>
              <w:left w:val="nil"/>
              <w:bottom w:val="nil"/>
              <w:right w:val="nil"/>
            </w:tcBorders>
            <w:shd w:val="clear" w:color="auto" w:fill="auto"/>
            <w:vAlign w:val="center"/>
          </w:tcPr>
          <w:p w14:paraId="0CC93E23" w14:textId="6C1923EE" w:rsidR="00476C8D" w:rsidRPr="00CE15CF" w:rsidRDefault="00476C8D" w:rsidP="00CE15CF">
            <w:pPr>
              <w:rPr>
                <w:sz w:val="20"/>
              </w:rPr>
            </w:pPr>
            <w:r w:rsidRPr="00CE15CF">
              <w:rPr>
                <w:sz w:val="20"/>
              </w:rPr>
              <w:t>Comment received on PFOA second draft.</w:t>
            </w:r>
          </w:p>
        </w:tc>
      </w:tr>
      <w:tr w:rsidR="00E04FC1" w:rsidRPr="00CE15CF" w14:paraId="6BF210D7" w14:textId="77777777" w:rsidTr="00FC3DEE">
        <w:trPr>
          <w:trHeight w:val="600"/>
        </w:trPr>
        <w:tc>
          <w:tcPr>
            <w:tcW w:w="1451" w:type="dxa"/>
            <w:tcBorders>
              <w:top w:val="nil"/>
              <w:left w:val="nil"/>
              <w:bottom w:val="nil"/>
              <w:right w:val="nil"/>
            </w:tcBorders>
            <w:shd w:val="clear" w:color="auto" w:fill="auto"/>
            <w:noWrap/>
            <w:vAlign w:val="center"/>
            <w:hideMark/>
          </w:tcPr>
          <w:p w14:paraId="0C8E5B89" w14:textId="333316D2" w:rsidR="00E04FC1" w:rsidRPr="00CE15CF" w:rsidRDefault="00A57A0F" w:rsidP="00CE15CF">
            <w:pPr>
              <w:rPr>
                <w:sz w:val="20"/>
              </w:rPr>
            </w:pPr>
            <w:r w:rsidRPr="00CE15CF">
              <w:rPr>
                <w:rFonts w:eastAsia="Times New Roman"/>
                <w:sz w:val="20"/>
                <w:szCs w:val="20"/>
                <w:lang w:eastAsia="en-GB"/>
              </w:rPr>
              <w:t>UK</w:t>
            </w:r>
          </w:p>
        </w:tc>
        <w:tc>
          <w:tcPr>
            <w:tcW w:w="1101" w:type="dxa"/>
            <w:tcBorders>
              <w:top w:val="nil"/>
              <w:left w:val="nil"/>
              <w:bottom w:val="nil"/>
              <w:right w:val="nil"/>
            </w:tcBorders>
            <w:shd w:val="clear" w:color="auto" w:fill="auto"/>
            <w:noWrap/>
            <w:vAlign w:val="center"/>
            <w:hideMark/>
          </w:tcPr>
          <w:p w14:paraId="4C5A5170" w14:textId="77777777" w:rsidR="00E04FC1" w:rsidRPr="00CE15CF" w:rsidRDefault="00E04FC1" w:rsidP="00CE15CF">
            <w:pPr>
              <w:rPr>
                <w:sz w:val="20"/>
              </w:rPr>
            </w:pPr>
            <w:r w:rsidRPr="00CE15CF">
              <w:rPr>
                <w:sz w:val="20"/>
              </w:rPr>
              <w:t>2018</w:t>
            </w:r>
          </w:p>
        </w:tc>
        <w:tc>
          <w:tcPr>
            <w:tcW w:w="6002" w:type="dxa"/>
            <w:tcBorders>
              <w:top w:val="nil"/>
              <w:left w:val="nil"/>
              <w:bottom w:val="nil"/>
              <w:right w:val="nil"/>
            </w:tcBorders>
            <w:shd w:val="clear" w:color="auto" w:fill="auto"/>
            <w:vAlign w:val="center"/>
            <w:hideMark/>
          </w:tcPr>
          <w:p w14:paraId="3FF31825" w14:textId="49FF3EBF" w:rsidR="00E04FC1" w:rsidRPr="00CE15CF" w:rsidRDefault="00E04FC1" w:rsidP="00CE15CF">
            <w:pPr>
              <w:rPr>
                <w:sz w:val="20"/>
              </w:rPr>
            </w:pPr>
            <w:r w:rsidRPr="00CE15CF">
              <w:rPr>
                <w:sz w:val="20"/>
              </w:rPr>
              <w:t xml:space="preserve">Submission of information specified in Annex F </w:t>
            </w:r>
            <w:r w:rsidR="0064322D" w:rsidRPr="00CE15CF">
              <w:rPr>
                <w:rFonts w:eastAsia="Times New Roman"/>
                <w:sz w:val="20"/>
                <w:szCs w:val="20"/>
                <w:lang w:eastAsia="en-GB"/>
              </w:rPr>
              <w:t>to</w:t>
            </w:r>
            <w:r w:rsidR="0064322D" w:rsidRPr="00CE15CF">
              <w:rPr>
                <w:sz w:val="20"/>
              </w:rPr>
              <w:t xml:space="preserve"> </w:t>
            </w:r>
            <w:r w:rsidRPr="00CE15CF">
              <w:rPr>
                <w:sz w:val="20"/>
              </w:rPr>
              <w:t>the Stockholm Convention pursuant to Article 8 of the Convention.</w:t>
            </w:r>
          </w:p>
        </w:tc>
      </w:tr>
    </w:tbl>
    <w:p w14:paraId="022732B1" w14:textId="318B768C" w:rsidR="00174749" w:rsidRPr="00CE15CF" w:rsidRDefault="00174749" w:rsidP="00CE15CF">
      <w:pPr>
        <w:tabs>
          <w:tab w:val="left" w:pos="624"/>
          <w:tab w:val="left" w:pos="1247"/>
          <w:tab w:val="left" w:pos="1440"/>
        </w:tabs>
        <w:spacing w:after="120"/>
        <w:ind w:left="1247" w:right="57"/>
        <w:rPr>
          <w:sz w:val="20"/>
          <w:szCs w:val="20"/>
        </w:rPr>
      </w:pPr>
    </w:p>
    <w:p w14:paraId="5172E009" w14:textId="77777777" w:rsidR="003D6476" w:rsidRDefault="003D6476">
      <w:pPr>
        <w:rPr>
          <w:b/>
          <w:sz w:val="20"/>
          <w:szCs w:val="20"/>
        </w:rPr>
      </w:pPr>
      <w:r>
        <w:rPr>
          <w:b/>
          <w:sz w:val="20"/>
          <w:szCs w:val="20"/>
        </w:rPr>
        <w:br w:type="page"/>
      </w:r>
    </w:p>
    <w:p w14:paraId="22E2CD8A" w14:textId="10FCE892" w:rsidR="00FC3DEE" w:rsidRPr="00CE15CF" w:rsidRDefault="00FC3DEE" w:rsidP="00CE15CF">
      <w:pPr>
        <w:spacing w:after="120"/>
        <w:rPr>
          <w:b/>
          <w:sz w:val="20"/>
          <w:szCs w:val="20"/>
        </w:rPr>
      </w:pPr>
      <w:r w:rsidRPr="00CE15CF">
        <w:rPr>
          <w:b/>
          <w:sz w:val="20"/>
          <w:szCs w:val="20"/>
        </w:rPr>
        <w:lastRenderedPageBreak/>
        <w:t>Other References:</w:t>
      </w:r>
    </w:p>
    <w:tbl>
      <w:tblPr>
        <w:tblW w:w="5000" w:type="pct"/>
        <w:tblLayout w:type="fixed"/>
        <w:tblLook w:val="04A0" w:firstRow="1" w:lastRow="0" w:firstColumn="1" w:lastColumn="0" w:noHBand="0" w:noVBand="1"/>
      </w:tblPr>
      <w:tblGrid>
        <w:gridCol w:w="1419"/>
        <w:gridCol w:w="849"/>
        <w:gridCol w:w="7228"/>
      </w:tblGrid>
      <w:tr w:rsidR="0068316F" w:rsidRPr="00CE15CF" w14:paraId="46364193" w14:textId="77777777" w:rsidTr="003D6476">
        <w:trPr>
          <w:trHeight w:val="574"/>
        </w:trPr>
        <w:tc>
          <w:tcPr>
            <w:tcW w:w="747" w:type="pct"/>
            <w:tcBorders>
              <w:top w:val="nil"/>
              <w:left w:val="nil"/>
              <w:bottom w:val="nil"/>
              <w:right w:val="nil"/>
            </w:tcBorders>
            <w:shd w:val="clear" w:color="auto" w:fill="auto"/>
            <w:noWrap/>
            <w:vAlign w:val="center"/>
          </w:tcPr>
          <w:p w14:paraId="3CAB96D8" w14:textId="738FB36F" w:rsidR="0068316F" w:rsidRPr="00CE15CF" w:rsidRDefault="0068316F" w:rsidP="00CE15CF">
            <w:pPr>
              <w:rPr>
                <w:sz w:val="20"/>
              </w:rPr>
            </w:pPr>
            <w:r w:rsidRPr="00CE15CF">
              <w:rPr>
                <w:sz w:val="20"/>
              </w:rPr>
              <w:t>Armitage et al</w:t>
            </w:r>
            <w:r w:rsidR="002140CD" w:rsidRPr="00CE15CF">
              <w:rPr>
                <w:rFonts w:eastAsia="Times New Roman"/>
                <w:sz w:val="20"/>
                <w:szCs w:val="20"/>
                <w:lang w:eastAsia="en-GB"/>
              </w:rPr>
              <w:t>.</w:t>
            </w:r>
          </w:p>
        </w:tc>
        <w:tc>
          <w:tcPr>
            <w:tcW w:w="447" w:type="pct"/>
            <w:tcBorders>
              <w:top w:val="nil"/>
              <w:left w:val="nil"/>
              <w:bottom w:val="nil"/>
              <w:right w:val="nil"/>
            </w:tcBorders>
            <w:shd w:val="clear" w:color="auto" w:fill="auto"/>
            <w:noWrap/>
            <w:vAlign w:val="center"/>
          </w:tcPr>
          <w:p w14:paraId="1DC6B689" w14:textId="502B744D" w:rsidR="0068316F" w:rsidRPr="00CE15CF" w:rsidRDefault="0068316F" w:rsidP="00CE15CF">
            <w:pPr>
              <w:rPr>
                <w:sz w:val="20"/>
              </w:rPr>
            </w:pPr>
            <w:r w:rsidRPr="00CE15CF">
              <w:rPr>
                <w:sz w:val="20"/>
              </w:rPr>
              <w:t>2006</w:t>
            </w:r>
          </w:p>
        </w:tc>
        <w:tc>
          <w:tcPr>
            <w:tcW w:w="3806" w:type="pct"/>
            <w:tcBorders>
              <w:top w:val="nil"/>
              <w:left w:val="nil"/>
              <w:bottom w:val="nil"/>
              <w:right w:val="nil"/>
            </w:tcBorders>
            <w:shd w:val="clear" w:color="auto" w:fill="auto"/>
            <w:vAlign w:val="center"/>
          </w:tcPr>
          <w:p w14:paraId="33153F8F" w14:textId="77777777" w:rsidR="0068316F" w:rsidRPr="00CE15CF" w:rsidRDefault="0068316F" w:rsidP="00CE15CF">
            <w:pPr>
              <w:rPr>
                <w:sz w:val="20"/>
              </w:rPr>
            </w:pPr>
            <w:proofErr w:type="spellStart"/>
            <w:r w:rsidRPr="00CE15CF">
              <w:rPr>
                <w:sz w:val="20"/>
              </w:rPr>
              <w:t>Modeling</w:t>
            </w:r>
            <w:proofErr w:type="spellEnd"/>
            <w:r w:rsidRPr="00CE15CF">
              <w:rPr>
                <w:sz w:val="20"/>
              </w:rPr>
              <w:t xml:space="preserve"> global-scale fate and transport of perfluorooctanoate emitted from direct</w:t>
            </w:r>
          </w:p>
          <w:p w14:paraId="6B5565FB" w14:textId="513413A2" w:rsidR="0068316F" w:rsidRPr="00CE15CF" w:rsidRDefault="0068316F" w:rsidP="00CE15CF">
            <w:pPr>
              <w:rPr>
                <w:sz w:val="20"/>
              </w:rPr>
            </w:pPr>
            <w:r w:rsidRPr="00CE15CF">
              <w:rPr>
                <w:sz w:val="20"/>
              </w:rPr>
              <w:t>sources. Environmental Science &amp; Technology 40 6969-6975</w:t>
            </w:r>
          </w:p>
        </w:tc>
      </w:tr>
      <w:tr w:rsidR="00CB73F4" w:rsidRPr="00CE15CF" w14:paraId="5AC0E950" w14:textId="77777777" w:rsidTr="003D6476">
        <w:trPr>
          <w:trHeight w:val="574"/>
        </w:trPr>
        <w:tc>
          <w:tcPr>
            <w:tcW w:w="747" w:type="pct"/>
            <w:tcBorders>
              <w:top w:val="nil"/>
              <w:left w:val="nil"/>
              <w:bottom w:val="nil"/>
              <w:right w:val="nil"/>
            </w:tcBorders>
            <w:shd w:val="clear" w:color="auto" w:fill="auto"/>
            <w:noWrap/>
            <w:vAlign w:val="center"/>
          </w:tcPr>
          <w:p w14:paraId="72F7F712" w14:textId="35C37E73" w:rsidR="00CB73F4" w:rsidRPr="00CE15CF" w:rsidRDefault="00CB73F4" w:rsidP="00CE15CF">
            <w:pPr>
              <w:rPr>
                <w:rFonts w:eastAsia="Times New Roman"/>
                <w:color w:val="000000"/>
                <w:sz w:val="20"/>
                <w:szCs w:val="20"/>
                <w:lang w:eastAsia="en-GB"/>
              </w:rPr>
            </w:pPr>
            <w:r w:rsidRPr="00CE15CF">
              <w:rPr>
                <w:rFonts w:eastAsia="Times New Roman"/>
                <w:color w:val="000000"/>
                <w:sz w:val="20"/>
                <w:szCs w:val="20"/>
                <w:lang w:eastAsia="en-GB"/>
              </w:rPr>
              <w:t>Australia</w:t>
            </w:r>
          </w:p>
        </w:tc>
        <w:tc>
          <w:tcPr>
            <w:tcW w:w="447" w:type="pct"/>
            <w:tcBorders>
              <w:top w:val="nil"/>
              <w:left w:val="nil"/>
              <w:bottom w:val="nil"/>
              <w:right w:val="nil"/>
            </w:tcBorders>
            <w:shd w:val="clear" w:color="auto" w:fill="auto"/>
            <w:noWrap/>
            <w:vAlign w:val="center"/>
          </w:tcPr>
          <w:p w14:paraId="2DCE613B" w14:textId="27D6DA32" w:rsidR="00CB73F4" w:rsidRPr="00CE15CF" w:rsidRDefault="00CB73F4" w:rsidP="00CE15CF">
            <w:pPr>
              <w:rPr>
                <w:rFonts w:eastAsia="Times New Roman"/>
                <w:color w:val="000000"/>
                <w:sz w:val="20"/>
                <w:szCs w:val="20"/>
                <w:lang w:eastAsia="en-GB"/>
              </w:rPr>
            </w:pPr>
            <w:r w:rsidRPr="00CE15CF">
              <w:rPr>
                <w:rFonts w:eastAsia="Times New Roman"/>
                <w:color w:val="000000"/>
                <w:sz w:val="20"/>
                <w:szCs w:val="20"/>
                <w:lang w:eastAsia="en-GB"/>
              </w:rPr>
              <w:t>2015</w:t>
            </w:r>
          </w:p>
        </w:tc>
        <w:tc>
          <w:tcPr>
            <w:tcW w:w="3806" w:type="pct"/>
            <w:tcBorders>
              <w:top w:val="nil"/>
              <w:left w:val="nil"/>
              <w:bottom w:val="nil"/>
              <w:right w:val="nil"/>
            </w:tcBorders>
            <w:shd w:val="clear" w:color="auto" w:fill="auto"/>
            <w:vAlign w:val="center"/>
          </w:tcPr>
          <w:p w14:paraId="1DF6F702" w14:textId="77777777" w:rsidR="00CB73F4" w:rsidRPr="00CE15CF" w:rsidRDefault="00CB73F4" w:rsidP="00CE15CF">
            <w:pPr>
              <w:rPr>
                <w:rFonts w:eastAsia="Times New Roman"/>
                <w:color w:val="000000"/>
                <w:sz w:val="20"/>
                <w:szCs w:val="20"/>
                <w:lang w:eastAsia="en-GB"/>
              </w:rPr>
            </w:pPr>
            <w:r w:rsidRPr="00CE15CF">
              <w:rPr>
                <w:rFonts w:eastAsia="Times New Roman"/>
                <w:color w:val="000000"/>
                <w:sz w:val="20"/>
                <w:szCs w:val="20"/>
                <w:lang w:eastAsia="en-GB"/>
              </w:rPr>
              <w:t>Contamination of Australian Defence Force facilities and other Commonwealth, state and territory sites in Australia</w:t>
            </w:r>
          </w:p>
          <w:p w14:paraId="6174D94A" w14:textId="266ED787" w:rsidR="00CB73F4" w:rsidRPr="00CE15CF" w:rsidRDefault="00CB73F4" w:rsidP="00CE15CF">
            <w:pPr>
              <w:rPr>
                <w:rFonts w:eastAsia="Times New Roman"/>
                <w:color w:val="000000"/>
                <w:sz w:val="20"/>
                <w:szCs w:val="20"/>
                <w:lang w:eastAsia="en-GB"/>
              </w:rPr>
            </w:pPr>
            <w:r w:rsidRPr="00CE15CF">
              <w:rPr>
                <w:rFonts w:eastAsia="Times New Roman"/>
                <w:color w:val="000000"/>
                <w:sz w:val="20"/>
                <w:szCs w:val="20"/>
                <w:lang w:eastAsia="en-GB"/>
              </w:rPr>
              <w:t>Submission 120 - Attachment 2</w:t>
            </w:r>
          </w:p>
        </w:tc>
      </w:tr>
      <w:tr w:rsidR="00C05F4B" w:rsidRPr="00CE15CF" w14:paraId="1116ECB0" w14:textId="77777777" w:rsidTr="003D6476">
        <w:trPr>
          <w:trHeight w:val="574"/>
        </w:trPr>
        <w:tc>
          <w:tcPr>
            <w:tcW w:w="747" w:type="pct"/>
            <w:tcBorders>
              <w:top w:val="nil"/>
              <w:left w:val="nil"/>
              <w:bottom w:val="nil"/>
              <w:right w:val="nil"/>
            </w:tcBorders>
            <w:shd w:val="clear" w:color="auto" w:fill="auto"/>
            <w:noWrap/>
            <w:vAlign w:val="center"/>
          </w:tcPr>
          <w:p w14:paraId="01218E66" w14:textId="3782C9F2" w:rsidR="00C05F4B" w:rsidRPr="00CE15CF" w:rsidRDefault="00C05F4B" w:rsidP="00CE15CF">
            <w:pPr>
              <w:rPr>
                <w:rFonts w:eastAsia="Times New Roman"/>
                <w:color w:val="000000"/>
                <w:sz w:val="20"/>
                <w:szCs w:val="20"/>
                <w:lang w:eastAsia="en-GB"/>
              </w:rPr>
            </w:pPr>
            <w:r w:rsidRPr="00CE15CF">
              <w:rPr>
                <w:rFonts w:eastAsia="Times New Roman"/>
                <w:color w:val="000000"/>
                <w:sz w:val="20"/>
                <w:szCs w:val="20"/>
                <w:lang w:eastAsia="en-GB"/>
              </w:rPr>
              <w:t>Australia</w:t>
            </w:r>
          </w:p>
        </w:tc>
        <w:tc>
          <w:tcPr>
            <w:tcW w:w="447" w:type="pct"/>
            <w:tcBorders>
              <w:top w:val="nil"/>
              <w:left w:val="nil"/>
              <w:bottom w:val="nil"/>
              <w:right w:val="nil"/>
            </w:tcBorders>
            <w:shd w:val="clear" w:color="auto" w:fill="auto"/>
            <w:noWrap/>
            <w:vAlign w:val="center"/>
          </w:tcPr>
          <w:p w14:paraId="7F607CF3" w14:textId="7074BB5B" w:rsidR="00C05F4B" w:rsidRPr="00CE15CF" w:rsidRDefault="00C05F4B" w:rsidP="00CE15CF">
            <w:pPr>
              <w:rPr>
                <w:rFonts w:eastAsia="Times New Roman"/>
                <w:color w:val="000000"/>
                <w:sz w:val="20"/>
                <w:szCs w:val="20"/>
                <w:lang w:eastAsia="en-GB"/>
              </w:rPr>
            </w:pPr>
            <w:r w:rsidRPr="00CE15CF">
              <w:rPr>
                <w:rFonts w:eastAsia="Times New Roman"/>
                <w:color w:val="000000"/>
                <w:sz w:val="20"/>
                <w:szCs w:val="20"/>
                <w:lang w:eastAsia="en-GB"/>
              </w:rPr>
              <w:t>2016</w:t>
            </w:r>
            <w:r w:rsidR="0021380A" w:rsidRPr="00CE15CF">
              <w:rPr>
                <w:rFonts w:eastAsia="Times New Roman"/>
                <w:color w:val="000000"/>
                <w:sz w:val="20"/>
                <w:szCs w:val="20"/>
                <w:lang w:eastAsia="en-GB"/>
              </w:rPr>
              <w:t>a</w:t>
            </w:r>
          </w:p>
        </w:tc>
        <w:tc>
          <w:tcPr>
            <w:tcW w:w="3806" w:type="pct"/>
            <w:tcBorders>
              <w:top w:val="nil"/>
              <w:left w:val="nil"/>
              <w:bottom w:val="nil"/>
              <w:right w:val="nil"/>
            </w:tcBorders>
            <w:shd w:val="clear" w:color="auto" w:fill="auto"/>
            <w:vAlign w:val="center"/>
          </w:tcPr>
          <w:p w14:paraId="33A66254" w14:textId="0D30D60E" w:rsidR="00C05F4B" w:rsidRPr="00CE15CF" w:rsidRDefault="00C05F4B" w:rsidP="00CE15CF">
            <w:pPr>
              <w:rPr>
                <w:rFonts w:eastAsia="Times New Roman"/>
                <w:color w:val="000000"/>
                <w:sz w:val="20"/>
                <w:szCs w:val="20"/>
                <w:lang w:eastAsia="en-GB"/>
              </w:rPr>
            </w:pPr>
            <w:r w:rsidRPr="00CE15CF">
              <w:rPr>
                <w:rFonts w:eastAsia="Times New Roman"/>
                <w:color w:val="000000"/>
                <w:sz w:val="20"/>
                <w:szCs w:val="20"/>
                <w:lang w:eastAsia="en-GB"/>
              </w:rPr>
              <w:t>Australian Department of Environment and Heritage Protection, 2016 Operational Policy Environmental Management of Firefighting Foam.</w:t>
            </w:r>
          </w:p>
        </w:tc>
      </w:tr>
      <w:tr w:rsidR="006E49F8" w:rsidRPr="00CE15CF" w14:paraId="03622AA2" w14:textId="77777777" w:rsidTr="003D6476">
        <w:trPr>
          <w:trHeight w:val="574"/>
        </w:trPr>
        <w:tc>
          <w:tcPr>
            <w:tcW w:w="747" w:type="pct"/>
            <w:tcBorders>
              <w:top w:val="nil"/>
              <w:left w:val="nil"/>
              <w:bottom w:val="nil"/>
              <w:right w:val="nil"/>
            </w:tcBorders>
            <w:shd w:val="clear" w:color="auto" w:fill="auto"/>
            <w:noWrap/>
            <w:vAlign w:val="center"/>
          </w:tcPr>
          <w:p w14:paraId="0DE3CE2C" w14:textId="58CDE534" w:rsidR="006E49F8" w:rsidRPr="00CE15CF" w:rsidRDefault="0021380A" w:rsidP="00CE15CF">
            <w:pPr>
              <w:rPr>
                <w:sz w:val="20"/>
              </w:rPr>
            </w:pPr>
            <w:r w:rsidRPr="00CE15CF">
              <w:rPr>
                <w:rFonts w:eastAsia="Times New Roman"/>
                <w:color w:val="000000"/>
                <w:sz w:val="20"/>
                <w:szCs w:val="20"/>
                <w:lang w:eastAsia="en-GB"/>
              </w:rPr>
              <w:t>Australia</w:t>
            </w:r>
            <w:r w:rsidR="00476C8D" w:rsidRPr="00CE15CF">
              <w:rPr>
                <w:rFonts w:eastAsia="Times New Roman"/>
                <w:color w:val="000000"/>
                <w:sz w:val="20"/>
                <w:szCs w:val="20"/>
                <w:lang w:eastAsia="en-GB"/>
              </w:rPr>
              <w:t xml:space="preserve"> </w:t>
            </w:r>
            <w:r w:rsidR="006E49F8" w:rsidRPr="00CE15CF">
              <w:rPr>
                <w:rFonts w:eastAsia="Times New Roman"/>
                <w:sz w:val="20"/>
                <w:szCs w:val="20"/>
                <w:lang w:eastAsia="en-GB"/>
              </w:rPr>
              <w:t xml:space="preserve"> </w:t>
            </w:r>
          </w:p>
        </w:tc>
        <w:tc>
          <w:tcPr>
            <w:tcW w:w="447" w:type="pct"/>
            <w:tcBorders>
              <w:top w:val="nil"/>
              <w:left w:val="nil"/>
              <w:bottom w:val="nil"/>
              <w:right w:val="nil"/>
            </w:tcBorders>
            <w:shd w:val="clear" w:color="auto" w:fill="auto"/>
            <w:noWrap/>
            <w:vAlign w:val="center"/>
          </w:tcPr>
          <w:p w14:paraId="776938AF" w14:textId="6DDED308" w:rsidR="006E49F8" w:rsidRPr="00CE15CF" w:rsidRDefault="0021380A" w:rsidP="00CE15CF">
            <w:pPr>
              <w:rPr>
                <w:sz w:val="20"/>
              </w:rPr>
            </w:pPr>
            <w:r w:rsidRPr="00CE15CF">
              <w:rPr>
                <w:rFonts w:eastAsia="Times New Roman"/>
                <w:color w:val="000000"/>
                <w:sz w:val="20"/>
                <w:szCs w:val="20"/>
                <w:lang w:eastAsia="en-GB"/>
              </w:rPr>
              <w:t>2016b</w:t>
            </w:r>
          </w:p>
        </w:tc>
        <w:tc>
          <w:tcPr>
            <w:tcW w:w="3806" w:type="pct"/>
            <w:tcBorders>
              <w:top w:val="nil"/>
              <w:left w:val="nil"/>
              <w:bottom w:val="nil"/>
              <w:right w:val="nil"/>
            </w:tcBorders>
            <w:shd w:val="clear" w:color="auto" w:fill="auto"/>
            <w:vAlign w:val="center"/>
          </w:tcPr>
          <w:p w14:paraId="25FA1BA5" w14:textId="77777777" w:rsidR="0021380A" w:rsidRPr="00CE15CF" w:rsidRDefault="0021380A" w:rsidP="00CE15CF">
            <w:pPr>
              <w:rPr>
                <w:rFonts w:eastAsia="Times New Roman"/>
                <w:color w:val="000000"/>
                <w:sz w:val="20"/>
                <w:szCs w:val="20"/>
                <w:lang w:eastAsia="en-GB"/>
              </w:rPr>
            </w:pPr>
            <w:r w:rsidRPr="00CE15CF">
              <w:rPr>
                <w:rFonts w:eastAsia="Times New Roman"/>
                <w:color w:val="000000"/>
                <w:sz w:val="20"/>
                <w:szCs w:val="20"/>
                <w:lang w:eastAsia="en-GB"/>
              </w:rPr>
              <w:t xml:space="preserve">Letter from the </w:t>
            </w:r>
            <w:proofErr w:type="spellStart"/>
            <w:r w:rsidRPr="00CE15CF">
              <w:rPr>
                <w:rFonts w:eastAsia="Times New Roman"/>
                <w:color w:val="000000"/>
                <w:sz w:val="20"/>
                <w:szCs w:val="20"/>
                <w:lang w:eastAsia="en-GB"/>
              </w:rPr>
              <w:t>Airservices</w:t>
            </w:r>
            <w:proofErr w:type="spellEnd"/>
            <w:r w:rsidRPr="00CE15CF">
              <w:rPr>
                <w:rFonts w:eastAsia="Times New Roman"/>
                <w:color w:val="000000"/>
                <w:sz w:val="20"/>
                <w:szCs w:val="20"/>
                <w:lang w:eastAsia="en-GB"/>
              </w:rPr>
              <w:t xml:space="preserve"> Australia 2016 </w:t>
            </w:r>
          </w:p>
          <w:p w14:paraId="07035B84" w14:textId="77777777" w:rsidR="0021380A" w:rsidRPr="00CE15CF" w:rsidRDefault="0021380A" w:rsidP="00CE15CF">
            <w:pPr>
              <w:rPr>
                <w:rFonts w:eastAsia="Times New Roman"/>
                <w:color w:val="000000"/>
                <w:sz w:val="20"/>
                <w:szCs w:val="20"/>
                <w:lang w:eastAsia="en-GB"/>
              </w:rPr>
            </w:pPr>
            <w:r w:rsidRPr="00CE15CF">
              <w:rPr>
                <w:rFonts w:eastAsia="Times New Roman"/>
                <w:color w:val="000000"/>
                <w:sz w:val="20"/>
                <w:szCs w:val="20"/>
                <w:lang w:eastAsia="en-GB"/>
              </w:rPr>
              <w:t>Contamination of Australian Defence Force facilities and other Commonwealth, state and territory sites in Australia</w:t>
            </w:r>
          </w:p>
          <w:p w14:paraId="26DA90E0" w14:textId="77777777" w:rsidR="0021380A" w:rsidRPr="00CE15CF" w:rsidRDefault="0021380A" w:rsidP="00CE15CF">
            <w:pPr>
              <w:rPr>
                <w:rFonts w:eastAsia="Times New Roman"/>
                <w:color w:val="000000"/>
                <w:sz w:val="20"/>
                <w:szCs w:val="20"/>
                <w:lang w:eastAsia="en-GB"/>
              </w:rPr>
            </w:pPr>
            <w:r w:rsidRPr="00CE15CF">
              <w:rPr>
                <w:rFonts w:eastAsia="Times New Roman"/>
                <w:color w:val="000000"/>
                <w:sz w:val="20"/>
                <w:szCs w:val="20"/>
                <w:lang w:eastAsia="en-GB"/>
              </w:rPr>
              <w:t xml:space="preserve">Submission 120 - Attachment 5 </w:t>
            </w:r>
          </w:p>
          <w:p w14:paraId="1AB09573" w14:textId="40BB80AF" w:rsidR="006E49F8" w:rsidRPr="00CE15CF" w:rsidRDefault="0021380A" w:rsidP="00CE15CF">
            <w:pPr>
              <w:rPr>
                <w:sz w:val="20"/>
              </w:rPr>
            </w:pPr>
            <w:r w:rsidRPr="00CE15CF">
              <w:rPr>
                <w:rFonts w:eastAsia="Times New Roman"/>
                <w:color w:val="000000"/>
                <w:sz w:val="20"/>
                <w:szCs w:val="20"/>
                <w:lang w:eastAsia="en-GB"/>
              </w:rPr>
              <w:t>https://www.aph.gov.au/Parliamentary_Business/Committees/Senate/Foreign_Affairs_Defence_and_Trade/ADF_facilities</w:t>
            </w:r>
          </w:p>
        </w:tc>
      </w:tr>
      <w:tr w:rsidR="00AB075B" w:rsidRPr="00CE15CF" w14:paraId="1A2A9F48" w14:textId="77777777" w:rsidTr="003D6476">
        <w:trPr>
          <w:trHeight w:val="574"/>
        </w:trPr>
        <w:tc>
          <w:tcPr>
            <w:tcW w:w="747" w:type="pct"/>
            <w:tcBorders>
              <w:top w:val="nil"/>
              <w:left w:val="nil"/>
              <w:bottom w:val="nil"/>
              <w:right w:val="nil"/>
            </w:tcBorders>
            <w:shd w:val="clear" w:color="auto" w:fill="auto"/>
            <w:noWrap/>
            <w:vAlign w:val="center"/>
          </w:tcPr>
          <w:p w14:paraId="3885083E" w14:textId="3312B87E" w:rsidR="00AB075B" w:rsidRPr="00CE15CF" w:rsidRDefault="00AB075B" w:rsidP="00CE15CF">
            <w:pPr>
              <w:rPr>
                <w:rFonts w:eastAsia="Times New Roman"/>
                <w:color w:val="000000"/>
                <w:sz w:val="20"/>
                <w:szCs w:val="20"/>
                <w:lang w:eastAsia="en-GB"/>
              </w:rPr>
            </w:pPr>
            <w:proofErr w:type="spellStart"/>
            <w:r w:rsidRPr="00CE15CF">
              <w:rPr>
                <w:rFonts w:eastAsia="Times New Roman"/>
                <w:sz w:val="20"/>
                <w:szCs w:val="20"/>
                <w:lang w:eastAsia="en-GB"/>
              </w:rPr>
              <w:t>Avendano</w:t>
            </w:r>
            <w:proofErr w:type="spellEnd"/>
            <w:r w:rsidRPr="00CE15CF">
              <w:rPr>
                <w:rFonts w:eastAsia="Times New Roman"/>
                <w:sz w:val="20"/>
                <w:szCs w:val="20"/>
                <w:lang w:eastAsia="en-GB"/>
              </w:rPr>
              <w:t xml:space="preserve"> and Liu</w:t>
            </w:r>
          </w:p>
        </w:tc>
        <w:tc>
          <w:tcPr>
            <w:tcW w:w="447" w:type="pct"/>
            <w:tcBorders>
              <w:top w:val="nil"/>
              <w:left w:val="nil"/>
              <w:bottom w:val="nil"/>
              <w:right w:val="nil"/>
            </w:tcBorders>
            <w:shd w:val="clear" w:color="auto" w:fill="auto"/>
            <w:noWrap/>
            <w:vAlign w:val="center"/>
          </w:tcPr>
          <w:p w14:paraId="629A053E" w14:textId="703C7BDC" w:rsidR="00AB075B" w:rsidRPr="00CE15CF" w:rsidRDefault="00AB075B" w:rsidP="00CE15CF">
            <w:pPr>
              <w:rPr>
                <w:rFonts w:eastAsia="Times New Roman"/>
                <w:color w:val="000000"/>
                <w:sz w:val="20"/>
                <w:szCs w:val="20"/>
                <w:lang w:eastAsia="en-GB"/>
              </w:rPr>
            </w:pPr>
            <w:r w:rsidRPr="00CE15CF">
              <w:rPr>
                <w:rFonts w:eastAsia="Times New Roman"/>
                <w:color w:val="000000"/>
                <w:sz w:val="20"/>
                <w:szCs w:val="20"/>
                <w:lang w:eastAsia="en-GB"/>
              </w:rPr>
              <w:t>2015</w:t>
            </w:r>
          </w:p>
        </w:tc>
        <w:tc>
          <w:tcPr>
            <w:tcW w:w="3806" w:type="pct"/>
            <w:tcBorders>
              <w:top w:val="nil"/>
              <w:left w:val="nil"/>
              <w:bottom w:val="nil"/>
              <w:right w:val="nil"/>
            </w:tcBorders>
            <w:shd w:val="clear" w:color="auto" w:fill="auto"/>
            <w:vAlign w:val="center"/>
          </w:tcPr>
          <w:p w14:paraId="49C809BE" w14:textId="53998C15" w:rsidR="00AB075B" w:rsidRPr="00CE15CF" w:rsidRDefault="00AB075B" w:rsidP="00CE15CF">
            <w:pPr>
              <w:rPr>
                <w:rFonts w:eastAsia="Times New Roman"/>
                <w:color w:val="000000"/>
                <w:sz w:val="20"/>
                <w:szCs w:val="20"/>
                <w:lang w:eastAsia="en-GB"/>
              </w:rPr>
            </w:pPr>
            <w:r w:rsidRPr="00CE15CF">
              <w:rPr>
                <w:rFonts w:eastAsia="Times New Roman"/>
                <w:sz w:val="20"/>
                <w:szCs w:val="20"/>
                <w:lang w:eastAsia="en-GB"/>
              </w:rPr>
              <w:t xml:space="preserve">Production of PFOS from aerobic soil biotransformation of two perfluoroalkyl </w:t>
            </w:r>
            <w:proofErr w:type="spellStart"/>
            <w:r w:rsidRPr="00CE15CF">
              <w:rPr>
                <w:rFonts w:eastAsia="Times New Roman"/>
                <w:sz w:val="20"/>
                <w:szCs w:val="20"/>
                <w:lang w:eastAsia="en-GB"/>
              </w:rPr>
              <w:t>sulfonamide</w:t>
            </w:r>
            <w:proofErr w:type="spellEnd"/>
            <w:r w:rsidRPr="00CE15CF">
              <w:rPr>
                <w:rFonts w:eastAsia="Times New Roman"/>
                <w:sz w:val="20"/>
                <w:szCs w:val="20"/>
                <w:lang w:eastAsia="en-GB"/>
              </w:rPr>
              <w:t xml:space="preserve"> derivatives,</w:t>
            </w:r>
            <w:r w:rsidRPr="00CE15CF">
              <w:t xml:space="preserve"> </w:t>
            </w:r>
            <w:r w:rsidRPr="00CE15CF">
              <w:rPr>
                <w:rFonts w:eastAsia="Times New Roman"/>
                <w:sz w:val="20"/>
                <w:szCs w:val="20"/>
                <w:lang w:eastAsia="en-GB"/>
              </w:rPr>
              <w:t>Chemosphere 119:1084-1090</w:t>
            </w:r>
          </w:p>
        </w:tc>
      </w:tr>
      <w:tr w:rsidR="00260FED" w:rsidRPr="00CE15CF" w14:paraId="34F4609C" w14:textId="77777777" w:rsidTr="003D6476">
        <w:trPr>
          <w:trHeight w:val="574"/>
        </w:trPr>
        <w:tc>
          <w:tcPr>
            <w:tcW w:w="747" w:type="pct"/>
            <w:tcBorders>
              <w:top w:val="nil"/>
              <w:left w:val="nil"/>
              <w:bottom w:val="nil"/>
              <w:right w:val="nil"/>
            </w:tcBorders>
            <w:shd w:val="clear" w:color="auto" w:fill="auto"/>
            <w:noWrap/>
            <w:vAlign w:val="center"/>
          </w:tcPr>
          <w:p w14:paraId="17349A9D" w14:textId="724C774F" w:rsidR="00260FED" w:rsidRPr="00CE15CF" w:rsidRDefault="00260FED" w:rsidP="00CE15CF">
            <w:pPr>
              <w:rPr>
                <w:rFonts w:eastAsia="Times New Roman"/>
                <w:color w:val="000000"/>
                <w:sz w:val="20"/>
                <w:szCs w:val="20"/>
                <w:lang w:eastAsia="en-GB"/>
              </w:rPr>
            </w:pPr>
            <w:r w:rsidRPr="00CE15CF">
              <w:rPr>
                <w:rFonts w:eastAsia="Times New Roman"/>
                <w:color w:val="000000"/>
                <w:sz w:val="20"/>
                <w:szCs w:val="20"/>
                <w:lang w:eastAsia="en-GB"/>
              </w:rPr>
              <w:t>Australian Parliament</w:t>
            </w:r>
          </w:p>
        </w:tc>
        <w:tc>
          <w:tcPr>
            <w:tcW w:w="447" w:type="pct"/>
            <w:tcBorders>
              <w:top w:val="nil"/>
              <w:left w:val="nil"/>
              <w:bottom w:val="nil"/>
              <w:right w:val="nil"/>
            </w:tcBorders>
            <w:shd w:val="clear" w:color="auto" w:fill="auto"/>
            <w:noWrap/>
            <w:vAlign w:val="center"/>
          </w:tcPr>
          <w:p w14:paraId="581C30B5" w14:textId="7A8A010A" w:rsidR="00260FED" w:rsidRPr="00CE15CF" w:rsidRDefault="00260FED" w:rsidP="00CE15CF">
            <w:pPr>
              <w:rPr>
                <w:rFonts w:eastAsia="Times New Roman"/>
                <w:color w:val="000000"/>
                <w:sz w:val="20"/>
                <w:szCs w:val="20"/>
                <w:lang w:eastAsia="en-GB"/>
              </w:rPr>
            </w:pPr>
            <w:r w:rsidRPr="00CE15CF">
              <w:rPr>
                <w:rFonts w:eastAsia="Times New Roman"/>
                <w:color w:val="000000"/>
                <w:sz w:val="20"/>
                <w:szCs w:val="20"/>
                <w:lang w:eastAsia="en-GB"/>
              </w:rPr>
              <w:t>2017</w:t>
            </w:r>
          </w:p>
        </w:tc>
        <w:tc>
          <w:tcPr>
            <w:tcW w:w="3806" w:type="pct"/>
            <w:tcBorders>
              <w:top w:val="nil"/>
              <w:left w:val="nil"/>
              <w:bottom w:val="nil"/>
              <w:right w:val="nil"/>
            </w:tcBorders>
            <w:shd w:val="clear" w:color="auto" w:fill="auto"/>
            <w:vAlign w:val="center"/>
          </w:tcPr>
          <w:p w14:paraId="4C856805" w14:textId="3FAB0BC0" w:rsidR="00260FED" w:rsidRPr="00CE15CF" w:rsidRDefault="00260FED" w:rsidP="00CE15CF">
            <w:pPr>
              <w:rPr>
                <w:rFonts w:eastAsia="Times New Roman"/>
                <w:color w:val="000000"/>
                <w:sz w:val="20"/>
                <w:szCs w:val="20"/>
                <w:lang w:eastAsia="en-GB"/>
              </w:rPr>
            </w:pPr>
            <w:r w:rsidRPr="00CE15CF">
              <w:rPr>
                <w:rFonts w:eastAsia="Times New Roman"/>
                <w:color w:val="000000"/>
                <w:sz w:val="20"/>
                <w:szCs w:val="20"/>
                <w:lang w:eastAsia="en-GB"/>
              </w:rPr>
              <w:t xml:space="preserve">Development of Infrastructure, Regional Development and Cities portfolio, </w:t>
            </w:r>
            <w:hyperlink r:id="rId25" w:history="1">
              <w:r w:rsidRPr="00CE15CF">
                <w:rPr>
                  <w:rStyle w:val="Hyperlink"/>
                  <w:rFonts w:eastAsia="Times New Roman"/>
                  <w:sz w:val="20"/>
                  <w:szCs w:val="20"/>
                  <w:lang w:eastAsia="en-GB"/>
                </w:rPr>
                <w:t>https://www.aph.gov.au/~/media/Estimates/rrat/add1718/report/c02.pdf?la=en</w:t>
              </w:r>
            </w:hyperlink>
            <w:r w:rsidRPr="00CE15CF">
              <w:rPr>
                <w:rFonts w:eastAsia="Times New Roman"/>
                <w:color w:val="000000"/>
                <w:sz w:val="20"/>
                <w:szCs w:val="20"/>
                <w:lang w:eastAsia="en-GB"/>
              </w:rPr>
              <w:t xml:space="preserve"> see also Proof Hansard, 26 February 2018, p. 82.</w:t>
            </w:r>
          </w:p>
        </w:tc>
      </w:tr>
      <w:tr w:rsidR="006E49F8" w:rsidRPr="00CE15CF" w14:paraId="34D0736E" w14:textId="77777777" w:rsidTr="003D6476">
        <w:trPr>
          <w:trHeight w:val="574"/>
        </w:trPr>
        <w:tc>
          <w:tcPr>
            <w:tcW w:w="747" w:type="pct"/>
            <w:tcBorders>
              <w:top w:val="nil"/>
              <w:left w:val="nil"/>
              <w:bottom w:val="nil"/>
              <w:right w:val="nil"/>
            </w:tcBorders>
            <w:shd w:val="clear" w:color="auto" w:fill="auto"/>
            <w:noWrap/>
            <w:vAlign w:val="center"/>
          </w:tcPr>
          <w:p w14:paraId="03C3988D" w14:textId="048650E7" w:rsidR="006E49F8" w:rsidRPr="00CE15CF" w:rsidRDefault="00E95B3C" w:rsidP="00CE15CF">
            <w:pPr>
              <w:rPr>
                <w:sz w:val="20"/>
              </w:rPr>
            </w:pPr>
            <w:proofErr w:type="spellStart"/>
            <w:r w:rsidRPr="00CE15CF">
              <w:rPr>
                <w:rFonts w:eastAsia="Times New Roman"/>
                <w:color w:val="000000"/>
                <w:sz w:val="20"/>
                <w:szCs w:val="20"/>
                <w:lang w:eastAsia="en-GB"/>
              </w:rPr>
              <w:t>Barzen-Hanson</w:t>
            </w:r>
            <w:r w:rsidR="006E49F8" w:rsidRPr="00CE15CF">
              <w:rPr>
                <w:rFonts w:eastAsia="Times New Roman"/>
                <w:sz w:val="20"/>
                <w:szCs w:val="20"/>
                <w:lang w:eastAsia="en-GB"/>
              </w:rPr>
              <w:t>Beskin</w:t>
            </w:r>
            <w:proofErr w:type="spellEnd"/>
            <w:r w:rsidR="006E49F8" w:rsidRPr="00CE15CF">
              <w:rPr>
                <w:sz w:val="20"/>
              </w:rPr>
              <w:t xml:space="preserve"> et al</w:t>
            </w:r>
            <w:r w:rsidR="006E49F8" w:rsidRPr="00CE15CF">
              <w:rPr>
                <w:rFonts w:eastAsia="Times New Roman"/>
                <w:sz w:val="20"/>
                <w:szCs w:val="20"/>
                <w:lang w:eastAsia="en-GB"/>
              </w:rPr>
              <w:t xml:space="preserve">. </w:t>
            </w:r>
          </w:p>
        </w:tc>
        <w:tc>
          <w:tcPr>
            <w:tcW w:w="447" w:type="pct"/>
            <w:tcBorders>
              <w:top w:val="nil"/>
              <w:left w:val="nil"/>
              <w:bottom w:val="nil"/>
              <w:right w:val="nil"/>
            </w:tcBorders>
            <w:shd w:val="clear" w:color="auto" w:fill="auto"/>
            <w:noWrap/>
            <w:vAlign w:val="center"/>
          </w:tcPr>
          <w:p w14:paraId="01C003C9" w14:textId="74449F53" w:rsidR="00AB075B" w:rsidRPr="00CE15CF" w:rsidRDefault="00E95B3C" w:rsidP="00CE15CF">
            <w:pPr>
              <w:rPr>
                <w:rFonts w:eastAsia="Times New Roman"/>
                <w:sz w:val="20"/>
                <w:szCs w:val="20"/>
                <w:lang w:eastAsia="en-GB"/>
              </w:rPr>
            </w:pPr>
            <w:r w:rsidRPr="00CE15CF">
              <w:rPr>
                <w:rFonts w:eastAsia="Times New Roman"/>
                <w:color w:val="000000"/>
                <w:sz w:val="20"/>
                <w:szCs w:val="20"/>
                <w:lang w:eastAsia="en-GB"/>
              </w:rPr>
              <w:t>2017</w:t>
            </w:r>
          </w:p>
        </w:tc>
        <w:tc>
          <w:tcPr>
            <w:tcW w:w="3806" w:type="pct"/>
            <w:tcBorders>
              <w:top w:val="nil"/>
              <w:left w:val="nil"/>
              <w:bottom w:val="nil"/>
              <w:right w:val="nil"/>
            </w:tcBorders>
            <w:shd w:val="clear" w:color="auto" w:fill="auto"/>
            <w:vAlign w:val="center"/>
          </w:tcPr>
          <w:p w14:paraId="3E5DF017" w14:textId="420C7BCC" w:rsidR="006E49F8" w:rsidRPr="00CE15CF" w:rsidRDefault="00E95B3C" w:rsidP="00CE15CF">
            <w:pPr>
              <w:rPr>
                <w:sz w:val="20"/>
              </w:rPr>
            </w:pPr>
            <w:r w:rsidRPr="00CE15CF">
              <w:rPr>
                <w:rFonts w:eastAsia="Times New Roman"/>
                <w:color w:val="000000"/>
                <w:sz w:val="20"/>
                <w:szCs w:val="20"/>
                <w:lang w:eastAsia="en-GB"/>
              </w:rPr>
              <w:t xml:space="preserve">Discovery of 40 Classes of Per- and </w:t>
            </w:r>
            <w:proofErr w:type="spellStart"/>
            <w:r w:rsidRPr="00CE15CF">
              <w:rPr>
                <w:rFonts w:eastAsia="Times New Roman"/>
                <w:color w:val="000000"/>
                <w:sz w:val="20"/>
                <w:szCs w:val="20"/>
                <w:lang w:eastAsia="en-GB"/>
              </w:rPr>
              <w:t>Polyfluoralkyl</w:t>
            </w:r>
            <w:proofErr w:type="spellEnd"/>
            <w:r w:rsidRPr="00CE15CF">
              <w:rPr>
                <w:rFonts w:eastAsia="Times New Roman"/>
                <w:color w:val="000000"/>
                <w:sz w:val="20"/>
                <w:szCs w:val="20"/>
                <w:lang w:eastAsia="en-GB"/>
              </w:rPr>
              <w:t xml:space="preserve"> Substances in Historical Aqueous Film-Forming Foams (AFFF) and AFFF-Impacted Groundwater. Environ. Sci. Tech. 51 (4): 2047-2057</w:t>
            </w:r>
          </w:p>
        </w:tc>
      </w:tr>
      <w:tr w:rsidR="00AB075B" w:rsidRPr="00CE15CF" w14:paraId="5B63F268" w14:textId="77777777" w:rsidTr="003D6476">
        <w:trPr>
          <w:trHeight w:val="574"/>
        </w:trPr>
        <w:tc>
          <w:tcPr>
            <w:tcW w:w="747" w:type="pct"/>
            <w:tcBorders>
              <w:top w:val="nil"/>
              <w:left w:val="nil"/>
              <w:bottom w:val="nil"/>
              <w:right w:val="nil"/>
            </w:tcBorders>
            <w:shd w:val="clear" w:color="auto" w:fill="auto"/>
            <w:noWrap/>
            <w:vAlign w:val="center"/>
          </w:tcPr>
          <w:p w14:paraId="5084BCC8" w14:textId="24577712" w:rsidR="00AB075B" w:rsidRPr="00CE15CF" w:rsidRDefault="00AB075B" w:rsidP="00CE15CF">
            <w:pPr>
              <w:rPr>
                <w:rFonts w:eastAsia="Times New Roman"/>
                <w:color w:val="000000"/>
                <w:sz w:val="20"/>
                <w:szCs w:val="20"/>
                <w:lang w:eastAsia="en-GB"/>
              </w:rPr>
            </w:pPr>
            <w:proofErr w:type="spellStart"/>
            <w:r w:rsidRPr="00CE15CF">
              <w:rPr>
                <w:rFonts w:eastAsia="Times New Roman"/>
                <w:color w:val="000000"/>
                <w:sz w:val="20"/>
                <w:szCs w:val="20"/>
                <w:lang w:eastAsia="en-GB"/>
              </w:rPr>
              <w:t>Beskin</w:t>
            </w:r>
            <w:proofErr w:type="spellEnd"/>
            <w:r w:rsidRPr="00CE15CF">
              <w:rPr>
                <w:rFonts w:eastAsia="Times New Roman"/>
                <w:color w:val="000000"/>
                <w:sz w:val="20"/>
                <w:szCs w:val="20"/>
                <w:lang w:eastAsia="en-GB"/>
              </w:rPr>
              <w:t xml:space="preserve"> et al</w:t>
            </w:r>
          </w:p>
        </w:tc>
        <w:tc>
          <w:tcPr>
            <w:tcW w:w="447" w:type="pct"/>
            <w:tcBorders>
              <w:top w:val="nil"/>
              <w:left w:val="nil"/>
              <w:bottom w:val="nil"/>
              <w:right w:val="nil"/>
            </w:tcBorders>
            <w:shd w:val="clear" w:color="auto" w:fill="auto"/>
            <w:noWrap/>
            <w:vAlign w:val="center"/>
          </w:tcPr>
          <w:p w14:paraId="0F4B2E62" w14:textId="4A7FA79C" w:rsidR="00AB075B" w:rsidRPr="00CE15CF" w:rsidRDefault="00AB075B" w:rsidP="00CE15CF">
            <w:pPr>
              <w:rPr>
                <w:rFonts w:eastAsia="Times New Roman"/>
                <w:color w:val="000000"/>
                <w:sz w:val="20"/>
                <w:szCs w:val="20"/>
                <w:lang w:eastAsia="en-GB"/>
              </w:rPr>
            </w:pPr>
            <w:r w:rsidRPr="00CE15CF">
              <w:rPr>
                <w:rFonts w:eastAsia="Times New Roman"/>
                <w:color w:val="000000"/>
                <w:sz w:val="20"/>
                <w:szCs w:val="20"/>
                <w:lang w:eastAsia="en-GB"/>
              </w:rPr>
              <w:t>2009</w:t>
            </w:r>
          </w:p>
        </w:tc>
        <w:tc>
          <w:tcPr>
            <w:tcW w:w="3806" w:type="pct"/>
            <w:tcBorders>
              <w:top w:val="nil"/>
              <w:left w:val="nil"/>
              <w:bottom w:val="nil"/>
              <w:right w:val="nil"/>
            </w:tcBorders>
            <w:shd w:val="clear" w:color="auto" w:fill="auto"/>
            <w:vAlign w:val="center"/>
          </w:tcPr>
          <w:p w14:paraId="523F2464" w14:textId="18B6150C" w:rsidR="00AB075B" w:rsidRPr="00CE15CF" w:rsidRDefault="00AB075B" w:rsidP="00CE15CF">
            <w:pPr>
              <w:rPr>
                <w:rFonts w:eastAsia="Times New Roman"/>
                <w:color w:val="000000"/>
                <w:sz w:val="20"/>
                <w:szCs w:val="20"/>
                <w:lang w:eastAsia="en-GB"/>
              </w:rPr>
            </w:pPr>
            <w:r w:rsidRPr="00CE15CF">
              <w:rPr>
                <w:rFonts w:eastAsia="Times New Roman"/>
                <w:sz w:val="20"/>
                <w:szCs w:val="20"/>
                <w:lang w:eastAsia="en-GB"/>
              </w:rPr>
              <w:t xml:space="preserve">Isomer-Specific Biotransformation Rates of a </w:t>
            </w:r>
            <w:proofErr w:type="spellStart"/>
            <w:r w:rsidRPr="00CE15CF">
              <w:rPr>
                <w:rFonts w:eastAsia="Times New Roman"/>
                <w:sz w:val="20"/>
                <w:szCs w:val="20"/>
                <w:lang w:eastAsia="en-GB"/>
              </w:rPr>
              <w:t>Perfluorooctane</w:t>
            </w:r>
            <w:proofErr w:type="spellEnd"/>
            <w:r w:rsidRPr="00CE15CF">
              <w:rPr>
                <w:rFonts w:eastAsia="Times New Roman"/>
                <w:sz w:val="20"/>
                <w:szCs w:val="20"/>
                <w:lang w:eastAsia="en-GB"/>
              </w:rPr>
              <w:t xml:space="preserve"> Sulfonate (PFOS)-Precursor by Cytochrome P450 Isozymes and Human Liver </w:t>
            </w:r>
            <w:proofErr w:type="spellStart"/>
            <w:r w:rsidRPr="00CE15CF">
              <w:rPr>
                <w:rFonts w:eastAsia="Times New Roman"/>
                <w:sz w:val="20"/>
                <w:szCs w:val="20"/>
                <w:lang w:eastAsia="en-GB"/>
              </w:rPr>
              <w:t>Microsomes</w:t>
            </w:r>
            <w:proofErr w:type="spellEnd"/>
            <w:r w:rsidRPr="00CE15CF">
              <w:rPr>
                <w:rFonts w:eastAsia="Times New Roman"/>
                <w:sz w:val="20"/>
                <w:szCs w:val="20"/>
                <w:lang w:eastAsia="en-GB"/>
              </w:rPr>
              <w:t>, Environ. Sci. Technol., 2009, 43 (22), pp 8566–8572</w:t>
            </w:r>
          </w:p>
        </w:tc>
      </w:tr>
      <w:tr w:rsidR="006039E7" w:rsidRPr="00CE15CF" w14:paraId="6E86BEEE" w14:textId="77777777" w:rsidTr="003D6476">
        <w:trPr>
          <w:trHeight w:val="574"/>
        </w:trPr>
        <w:tc>
          <w:tcPr>
            <w:tcW w:w="747" w:type="pct"/>
            <w:tcBorders>
              <w:top w:val="nil"/>
              <w:left w:val="nil"/>
              <w:bottom w:val="nil"/>
              <w:right w:val="nil"/>
            </w:tcBorders>
            <w:shd w:val="clear" w:color="auto" w:fill="auto"/>
            <w:noWrap/>
            <w:vAlign w:val="center"/>
          </w:tcPr>
          <w:p w14:paraId="7E130A63" w14:textId="42579624" w:rsidR="006039E7" w:rsidRPr="00CE15CF" w:rsidRDefault="006039E7" w:rsidP="00CE15CF">
            <w:pPr>
              <w:rPr>
                <w:rFonts w:eastAsia="Times New Roman"/>
                <w:color w:val="000000"/>
                <w:sz w:val="20"/>
                <w:szCs w:val="20"/>
                <w:lang w:eastAsia="en-GB"/>
              </w:rPr>
            </w:pPr>
            <w:r w:rsidRPr="00CE15CF">
              <w:rPr>
                <w:rFonts w:eastAsia="Times New Roman"/>
                <w:color w:val="000000"/>
                <w:sz w:val="20"/>
                <w:szCs w:val="20"/>
                <w:lang w:eastAsia="en-GB"/>
              </w:rPr>
              <w:t>Brown et al</w:t>
            </w:r>
          </w:p>
        </w:tc>
        <w:tc>
          <w:tcPr>
            <w:tcW w:w="447" w:type="pct"/>
            <w:tcBorders>
              <w:top w:val="nil"/>
              <w:left w:val="nil"/>
              <w:bottom w:val="nil"/>
              <w:right w:val="nil"/>
            </w:tcBorders>
            <w:shd w:val="clear" w:color="auto" w:fill="auto"/>
            <w:noWrap/>
            <w:vAlign w:val="center"/>
          </w:tcPr>
          <w:p w14:paraId="3B82862E" w14:textId="3527A949" w:rsidR="006039E7" w:rsidRPr="00CE15CF" w:rsidRDefault="006039E7" w:rsidP="00CE15CF">
            <w:pPr>
              <w:rPr>
                <w:rFonts w:eastAsia="Times New Roman"/>
                <w:color w:val="000000"/>
                <w:sz w:val="20"/>
                <w:szCs w:val="20"/>
                <w:lang w:eastAsia="en-GB"/>
              </w:rPr>
            </w:pPr>
            <w:r w:rsidRPr="00CE15CF">
              <w:rPr>
                <w:rFonts w:eastAsia="Times New Roman"/>
                <w:color w:val="000000"/>
                <w:sz w:val="20"/>
                <w:szCs w:val="20"/>
                <w:lang w:eastAsia="en-GB"/>
              </w:rPr>
              <w:t>2008</w:t>
            </w:r>
          </w:p>
        </w:tc>
        <w:tc>
          <w:tcPr>
            <w:tcW w:w="3806" w:type="pct"/>
            <w:tcBorders>
              <w:top w:val="nil"/>
              <w:left w:val="nil"/>
              <w:bottom w:val="nil"/>
              <w:right w:val="nil"/>
            </w:tcBorders>
            <w:shd w:val="clear" w:color="auto" w:fill="auto"/>
            <w:vAlign w:val="center"/>
          </w:tcPr>
          <w:p w14:paraId="19626343" w14:textId="16C60109" w:rsidR="006039E7" w:rsidRPr="00CE15CF" w:rsidRDefault="006039E7" w:rsidP="00CE15CF">
            <w:pPr>
              <w:rPr>
                <w:rFonts w:eastAsia="Times New Roman"/>
                <w:sz w:val="20"/>
                <w:szCs w:val="20"/>
                <w:lang w:eastAsia="en-GB"/>
              </w:rPr>
            </w:pPr>
            <w:r w:rsidRPr="00CE15CF">
              <w:rPr>
                <w:sz w:val="20"/>
                <w:szCs w:val="20"/>
              </w:rPr>
              <w:t xml:space="preserve">Screening chemicals for the potential to be persistent organic pollutants: A case study of Arctic contaminants, Environ Sci </w:t>
            </w:r>
            <w:proofErr w:type="spellStart"/>
            <w:r w:rsidRPr="00CE15CF">
              <w:rPr>
                <w:sz w:val="20"/>
                <w:szCs w:val="20"/>
              </w:rPr>
              <w:t>Technol</w:t>
            </w:r>
            <w:proofErr w:type="spellEnd"/>
            <w:r w:rsidRPr="00CE15CF">
              <w:rPr>
                <w:sz w:val="20"/>
                <w:szCs w:val="20"/>
              </w:rPr>
              <w:t xml:space="preserve"> 42:5202-5209</w:t>
            </w:r>
          </w:p>
        </w:tc>
      </w:tr>
      <w:tr w:rsidR="0011666B" w:rsidRPr="00CE15CF" w14:paraId="2586AE0C" w14:textId="77777777" w:rsidTr="003D6476">
        <w:trPr>
          <w:trHeight w:val="80"/>
        </w:trPr>
        <w:tc>
          <w:tcPr>
            <w:tcW w:w="747" w:type="pct"/>
            <w:tcBorders>
              <w:top w:val="nil"/>
              <w:left w:val="nil"/>
              <w:bottom w:val="nil"/>
              <w:right w:val="nil"/>
            </w:tcBorders>
            <w:shd w:val="clear" w:color="auto" w:fill="auto"/>
            <w:noWrap/>
            <w:vAlign w:val="center"/>
          </w:tcPr>
          <w:p w14:paraId="59732365" w14:textId="3ACFD010" w:rsidR="0011666B" w:rsidRPr="00CE15CF" w:rsidRDefault="0011666B" w:rsidP="00CE15CF">
            <w:pPr>
              <w:rPr>
                <w:rFonts w:eastAsia="Times New Roman"/>
                <w:color w:val="000000"/>
                <w:sz w:val="20"/>
                <w:szCs w:val="20"/>
                <w:lang w:eastAsia="en-GB"/>
              </w:rPr>
            </w:pPr>
            <w:r w:rsidRPr="00CE15CF">
              <w:rPr>
                <w:rFonts w:eastAsia="Times New Roman"/>
                <w:color w:val="000000"/>
                <w:sz w:val="20"/>
                <w:szCs w:val="20"/>
                <w:lang w:eastAsia="en-GB"/>
              </w:rPr>
              <w:t>Castro et al</w:t>
            </w:r>
          </w:p>
        </w:tc>
        <w:tc>
          <w:tcPr>
            <w:tcW w:w="447" w:type="pct"/>
            <w:tcBorders>
              <w:top w:val="nil"/>
              <w:left w:val="nil"/>
              <w:bottom w:val="nil"/>
              <w:right w:val="nil"/>
            </w:tcBorders>
            <w:shd w:val="clear" w:color="auto" w:fill="auto"/>
            <w:noWrap/>
            <w:vAlign w:val="center"/>
          </w:tcPr>
          <w:p w14:paraId="3121D21A" w14:textId="516DB726" w:rsidR="0011666B" w:rsidRPr="00CE15CF" w:rsidRDefault="0011666B" w:rsidP="00CE15CF">
            <w:pPr>
              <w:rPr>
                <w:rFonts w:eastAsia="Times New Roman"/>
                <w:color w:val="000000"/>
                <w:sz w:val="20"/>
                <w:szCs w:val="20"/>
                <w:lang w:eastAsia="en-GB"/>
              </w:rPr>
            </w:pPr>
            <w:r w:rsidRPr="00CE15CF">
              <w:rPr>
                <w:rFonts w:eastAsia="Times New Roman"/>
                <w:color w:val="000000"/>
                <w:sz w:val="20"/>
                <w:szCs w:val="20"/>
                <w:lang w:eastAsia="en-GB"/>
              </w:rPr>
              <w:t>2017</w:t>
            </w:r>
          </w:p>
        </w:tc>
        <w:tc>
          <w:tcPr>
            <w:tcW w:w="3806" w:type="pct"/>
            <w:tcBorders>
              <w:top w:val="nil"/>
              <w:left w:val="nil"/>
              <w:bottom w:val="nil"/>
              <w:right w:val="nil"/>
            </w:tcBorders>
            <w:shd w:val="clear" w:color="auto" w:fill="auto"/>
            <w:vAlign w:val="center"/>
          </w:tcPr>
          <w:p w14:paraId="7986054F" w14:textId="4925D962" w:rsidR="0011666B" w:rsidRPr="00CE15CF" w:rsidRDefault="0011666B" w:rsidP="00CE15CF">
            <w:pPr>
              <w:rPr>
                <w:rFonts w:eastAsia="Times New Roman"/>
                <w:color w:val="000000"/>
                <w:sz w:val="20"/>
                <w:szCs w:val="20"/>
                <w:lang w:eastAsia="en-GB"/>
              </w:rPr>
            </w:pPr>
            <w:r w:rsidRPr="00CE15CF">
              <w:rPr>
                <w:rFonts w:eastAsia="Times New Roman"/>
                <w:color w:val="000000"/>
                <w:sz w:val="20"/>
                <w:szCs w:val="20"/>
                <w:lang w:eastAsia="en-GB"/>
              </w:rPr>
              <w:t>“Fuel for thought”, Industrial Fire Journal 2nd Quarter 2017 34-36. https://issuu.com/hemminggroup/docs/ifj_q2_2017</w:t>
            </w:r>
          </w:p>
        </w:tc>
      </w:tr>
      <w:tr w:rsidR="00FC3DEE" w:rsidRPr="00CE15CF" w14:paraId="46B09839" w14:textId="77777777" w:rsidTr="003D6476">
        <w:trPr>
          <w:trHeight w:val="80"/>
        </w:trPr>
        <w:tc>
          <w:tcPr>
            <w:tcW w:w="747" w:type="pct"/>
            <w:tcBorders>
              <w:top w:val="nil"/>
              <w:left w:val="nil"/>
              <w:bottom w:val="nil"/>
              <w:right w:val="nil"/>
            </w:tcBorders>
            <w:shd w:val="clear" w:color="auto" w:fill="auto"/>
            <w:noWrap/>
            <w:vAlign w:val="center"/>
            <w:hideMark/>
          </w:tcPr>
          <w:p w14:paraId="06948360" w14:textId="25690394" w:rsidR="00FC3DEE" w:rsidRPr="00CE15CF" w:rsidRDefault="00FC3DEE" w:rsidP="00CE15CF">
            <w:pPr>
              <w:rPr>
                <w:sz w:val="20"/>
              </w:rPr>
            </w:pPr>
            <w:r w:rsidRPr="00CE15CF">
              <w:rPr>
                <w:sz w:val="20"/>
              </w:rPr>
              <w:t>Chen et al</w:t>
            </w:r>
            <w:r w:rsidR="002140CD" w:rsidRPr="00CE15CF">
              <w:rPr>
                <w:rFonts w:eastAsia="Times New Roman"/>
                <w:sz w:val="20"/>
                <w:szCs w:val="20"/>
                <w:lang w:eastAsia="en-GB"/>
              </w:rPr>
              <w:t>.</w:t>
            </w:r>
          </w:p>
        </w:tc>
        <w:tc>
          <w:tcPr>
            <w:tcW w:w="447" w:type="pct"/>
            <w:tcBorders>
              <w:top w:val="nil"/>
              <w:left w:val="nil"/>
              <w:bottom w:val="nil"/>
              <w:right w:val="nil"/>
            </w:tcBorders>
            <w:shd w:val="clear" w:color="auto" w:fill="auto"/>
            <w:noWrap/>
            <w:vAlign w:val="center"/>
            <w:hideMark/>
          </w:tcPr>
          <w:p w14:paraId="0A80A975" w14:textId="77777777" w:rsidR="00FC3DEE" w:rsidRPr="00CE15CF" w:rsidRDefault="00FC3DEE" w:rsidP="00CE15CF">
            <w:pPr>
              <w:rPr>
                <w:sz w:val="20"/>
              </w:rPr>
            </w:pPr>
            <w:r w:rsidRPr="00CE15CF">
              <w:rPr>
                <w:sz w:val="20"/>
              </w:rPr>
              <w:t>2003</w:t>
            </w:r>
          </w:p>
        </w:tc>
        <w:tc>
          <w:tcPr>
            <w:tcW w:w="3806" w:type="pct"/>
            <w:tcBorders>
              <w:top w:val="nil"/>
              <w:left w:val="nil"/>
              <w:bottom w:val="nil"/>
              <w:right w:val="nil"/>
            </w:tcBorders>
            <w:shd w:val="clear" w:color="auto" w:fill="auto"/>
            <w:vAlign w:val="center"/>
            <w:hideMark/>
          </w:tcPr>
          <w:p w14:paraId="04F1AE19" w14:textId="77777777" w:rsidR="00FC3DEE" w:rsidRPr="00CE15CF" w:rsidRDefault="00FC3DEE" w:rsidP="00CE15CF">
            <w:pPr>
              <w:rPr>
                <w:sz w:val="20"/>
              </w:rPr>
            </w:pPr>
            <w:r w:rsidRPr="00CE15CF">
              <w:rPr>
                <w:sz w:val="20"/>
              </w:rPr>
              <w:t>Rate constants for the gas-phase reaction of CF3CF2CF2CF2CF2CHF2 with OH radicals at 250-430 K. International Journal of Chemical Kinetics, 36(1), pp.26-33</w:t>
            </w:r>
          </w:p>
        </w:tc>
      </w:tr>
      <w:tr w:rsidR="0099314F" w:rsidRPr="00CE15CF" w14:paraId="14A26141" w14:textId="77777777" w:rsidTr="003D6476">
        <w:trPr>
          <w:trHeight w:val="80"/>
        </w:trPr>
        <w:tc>
          <w:tcPr>
            <w:tcW w:w="747" w:type="pct"/>
            <w:tcBorders>
              <w:top w:val="nil"/>
              <w:left w:val="nil"/>
              <w:bottom w:val="nil"/>
              <w:right w:val="nil"/>
            </w:tcBorders>
            <w:shd w:val="clear" w:color="auto" w:fill="auto"/>
            <w:noWrap/>
            <w:vAlign w:val="center"/>
          </w:tcPr>
          <w:p w14:paraId="1335753C" w14:textId="1EAD8371" w:rsidR="0099314F" w:rsidRPr="00CE15CF" w:rsidRDefault="0099314F" w:rsidP="00CE15CF">
            <w:pPr>
              <w:rPr>
                <w:rFonts w:eastAsia="Times New Roman"/>
                <w:sz w:val="20"/>
                <w:szCs w:val="20"/>
                <w:lang w:eastAsia="en-GB"/>
              </w:rPr>
            </w:pPr>
            <w:r w:rsidRPr="00CE15CF">
              <w:rPr>
                <w:rFonts w:eastAsia="Times New Roman"/>
                <w:sz w:val="20"/>
                <w:szCs w:val="20"/>
                <w:lang w:eastAsia="en-GB"/>
              </w:rPr>
              <w:t xml:space="preserve">Chen et al, </w:t>
            </w:r>
          </w:p>
        </w:tc>
        <w:tc>
          <w:tcPr>
            <w:tcW w:w="447" w:type="pct"/>
            <w:tcBorders>
              <w:top w:val="nil"/>
              <w:left w:val="nil"/>
              <w:bottom w:val="nil"/>
              <w:right w:val="nil"/>
            </w:tcBorders>
            <w:shd w:val="clear" w:color="auto" w:fill="auto"/>
            <w:noWrap/>
            <w:vAlign w:val="center"/>
          </w:tcPr>
          <w:p w14:paraId="04DF27B6" w14:textId="5ACEA5EC" w:rsidR="0099314F" w:rsidRPr="00CE15CF" w:rsidRDefault="0099314F" w:rsidP="00CE15CF">
            <w:pPr>
              <w:rPr>
                <w:rFonts w:eastAsia="Times New Roman"/>
                <w:sz w:val="20"/>
                <w:szCs w:val="20"/>
                <w:lang w:eastAsia="en-GB"/>
              </w:rPr>
            </w:pPr>
            <w:r w:rsidRPr="00CE15CF">
              <w:rPr>
                <w:rFonts w:eastAsia="Times New Roman"/>
                <w:sz w:val="20"/>
                <w:szCs w:val="20"/>
                <w:lang w:eastAsia="en-GB"/>
              </w:rPr>
              <w:t>2011</w:t>
            </w:r>
          </w:p>
        </w:tc>
        <w:tc>
          <w:tcPr>
            <w:tcW w:w="3806" w:type="pct"/>
            <w:tcBorders>
              <w:top w:val="nil"/>
              <w:left w:val="nil"/>
              <w:bottom w:val="nil"/>
              <w:right w:val="nil"/>
            </w:tcBorders>
            <w:shd w:val="clear" w:color="auto" w:fill="auto"/>
            <w:vAlign w:val="center"/>
          </w:tcPr>
          <w:p w14:paraId="00032B57" w14:textId="5CD331C4" w:rsidR="0099314F" w:rsidRPr="00CE15CF" w:rsidRDefault="0099314F" w:rsidP="00CE15CF">
            <w:pPr>
              <w:rPr>
                <w:rFonts w:eastAsia="Times New Roman"/>
                <w:sz w:val="20"/>
                <w:szCs w:val="20"/>
                <w:lang w:eastAsia="en-GB"/>
              </w:rPr>
            </w:pPr>
            <w:r w:rsidRPr="00CE15CF">
              <w:rPr>
                <w:rFonts w:eastAsia="Times New Roman"/>
                <w:sz w:val="20"/>
                <w:szCs w:val="20"/>
                <w:lang w:eastAsia="en-GB"/>
              </w:rPr>
              <w:t>Kinetics and mechanism of gas-phase reaction of CF3CF2CF2CF2CF2CF2CF2CF2H with OH radicals in an environmental reaction chamber at 253–328 K, Chemical Physics Letters, 501, 4–6, pp 263-266</w:t>
            </w:r>
          </w:p>
        </w:tc>
      </w:tr>
      <w:tr w:rsidR="00FC3DEE" w:rsidRPr="00CE15CF" w14:paraId="06CAEDE1" w14:textId="77777777" w:rsidTr="003D6476">
        <w:trPr>
          <w:trHeight w:val="734"/>
        </w:trPr>
        <w:tc>
          <w:tcPr>
            <w:tcW w:w="747" w:type="pct"/>
            <w:tcBorders>
              <w:top w:val="nil"/>
              <w:left w:val="nil"/>
              <w:bottom w:val="nil"/>
              <w:right w:val="nil"/>
            </w:tcBorders>
            <w:shd w:val="clear" w:color="auto" w:fill="auto"/>
            <w:noWrap/>
            <w:vAlign w:val="center"/>
            <w:hideMark/>
          </w:tcPr>
          <w:p w14:paraId="7FCCA3CF" w14:textId="77777777" w:rsidR="00FC3DEE" w:rsidRPr="00CE15CF" w:rsidRDefault="00FC3DEE" w:rsidP="00CE15CF">
            <w:pPr>
              <w:rPr>
                <w:sz w:val="20"/>
              </w:rPr>
            </w:pPr>
            <w:r w:rsidRPr="00CE15CF">
              <w:rPr>
                <w:sz w:val="20"/>
              </w:rPr>
              <w:t xml:space="preserve">Cousins </w:t>
            </w:r>
          </w:p>
        </w:tc>
        <w:tc>
          <w:tcPr>
            <w:tcW w:w="447" w:type="pct"/>
            <w:tcBorders>
              <w:top w:val="nil"/>
              <w:left w:val="nil"/>
              <w:bottom w:val="nil"/>
              <w:right w:val="nil"/>
            </w:tcBorders>
            <w:shd w:val="clear" w:color="auto" w:fill="auto"/>
            <w:noWrap/>
            <w:vAlign w:val="center"/>
            <w:hideMark/>
          </w:tcPr>
          <w:p w14:paraId="68B54BFC" w14:textId="77777777" w:rsidR="00FC3DEE" w:rsidRPr="00CE15CF" w:rsidRDefault="00FC3DEE" w:rsidP="00CE15CF">
            <w:pPr>
              <w:rPr>
                <w:sz w:val="20"/>
              </w:rPr>
            </w:pPr>
            <w:r w:rsidRPr="00CE15CF">
              <w:rPr>
                <w:sz w:val="20"/>
              </w:rPr>
              <w:t>2016</w:t>
            </w:r>
          </w:p>
        </w:tc>
        <w:tc>
          <w:tcPr>
            <w:tcW w:w="3806" w:type="pct"/>
            <w:tcBorders>
              <w:top w:val="nil"/>
              <w:left w:val="nil"/>
              <w:bottom w:val="nil"/>
              <w:right w:val="nil"/>
            </w:tcBorders>
            <w:shd w:val="clear" w:color="auto" w:fill="auto"/>
            <w:vAlign w:val="center"/>
            <w:hideMark/>
          </w:tcPr>
          <w:p w14:paraId="0E30F245" w14:textId="6BB55E5B" w:rsidR="00FC3DEE" w:rsidRPr="00CE15CF" w:rsidRDefault="00FC3DEE" w:rsidP="00CE15CF">
            <w:pPr>
              <w:rPr>
                <w:sz w:val="20"/>
              </w:rPr>
            </w:pPr>
            <w:r w:rsidRPr="00CE15CF">
              <w:rPr>
                <w:sz w:val="20"/>
              </w:rPr>
              <w:t xml:space="preserve"> The precautionary principle and chemicals management: the example of perfluoroalkyl acids in groundwater. Environment International 94:331-340. </w:t>
            </w:r>
          </w:p>
        </w:tc>
      </w:tr>
      <w:tr w:rsidR="00FC3DEE" w:rsidRPr="00CE15CF" w14:paraId="655F0156" w14:textId="77777777" w:rsidTr="003D6476">
        <w:trPr>
          <w:trHeight w:val="900"/>
        </w:trPr>
        <w:tc>
          <w:tcPr>
            <w:tcW w:w="747" w:type="pct"/>
            <w:tcBorders>
              <w:top w:val="nil"/>
              <w:left w:val="nil"/>
              <w:bottom w:val="nil"/>
              <w:right w:val="nil"/>
            </w:tcBorders>
            <w:shd w:val="clear" w:color="auto" w:fill="auto"/>
            <w:noWrap/>
            <w:vAlign w:val="center"/>
            <w:hideMark/>
          </w:tcPr>
          <w:p w14:paraId="321475AE" w14:textId="5F6B6B30" w:rsidR="00FC3DEE" w:rsidRPr="00CE15CF" w:rsidRDefault="00FC3DEE" w:rsidP="00CE15CF">
            <w:pPr>
              <w:rPr>
                <w:sz w:val="20"/>
              </w:rPr>
            </w:pPr>
            <w:proofErr w:type="spellStart"/>
            <w:r w:rsidRPr="00CE15CF">
              <w:rPr>
                <w:sz w:val="20"/>
              </w:rPr>
              <w:t>D'eon</w:t>
            </w:r>
            <w:proofErr w:type="spellEnd"/>
            <w:r w:rsidRPr="00CE15CF">
              <w:rPr>
                <w:sz w:val="20"/>
              </w:rPr>
              <w:t xml:space="preserve"> et al</w:t>
            </w:r>
            <w:r w:rsidR="002140CD" w:rsidRPr="00CE15CF">
              <w:rPr>
                <w:rFonts w:eastAsia="Times New Roman"/>
                <w:sz w:val="20"/>
                <w:szCs w:val="20"/>
                <w:lang w:eastAsia="en-GB"/>
              </w:rPr>
              <w:t>.</w:t>
            </w:r>
          </w:p>
        </w:tc>
        <w:tc>
          <w:tcPr>
            <w:tcW w:w="447" w:type="pct"/>
            <w:tcBorders>
              <w:top w:val="nil"/>
              <w:left w:val="nil"/>
              <w:bottom w:val="nil"/>
              <w:right w:val="nil"/>
            </w:tcBorders>
            <w:shd w:val="clear" w:color="auto" w:fill="auto"/>
            <w:noWrap/>
            <w:vAlign w:val="center"/>
            <w:hideMark/>
          </w:tcPr>
          <w:p w14:paraId="55F35CBE" w14:textId="77777777" w:rsidR="00FC3DEE" w:rsidRPr="00CE15CF" w:rsidRDefault="00FC3DEE" w:rsidP="00CE15CF">
            <w:pPr>
              <w:rPr>
                <w:sz w:val="20"/>
              </w:rPr>
            </w:pPr>
            <w:r w:rsidRPr="00CE15CF">
              <w:rPr>
                <w:sz w:val="20"/>
              </w:rPr>
              <w:t>2006</w:t>
            </w:r>
          </w:p>
        </w:tc>
        <w:tc>
          <w:tcPr>
            <w:tcW w:w="3806" w:type="pct"/>
            <w:tcBorders>
              <w:top w:val="nil"/>
              <w:left w:val="nil"/>
              <w:bottom w:val="nil"/>
              <w:right w:val="nil"/>
            </w:tcBorders>
            <w:shd w:val="clear" w:color="auto" w:fill="auto"/>
            <w:vAlign w:val="center"/>
            <w:hideMark/>
          </w:tcPr>
          <w:p w14:paraId="7439B844" w14:textId="77777777" w:rsidR="00FC3DEE" w:rsidRPr="00CE15CF" w:rsidRDefault="00FC3DEE" w:rsidP="00CE15CF">
            <w:pPr>
              <w:rPr>
                <w:sz w:val="20"/>
              </w:rPr>
            </w:pPr>
            <w:r w:rsidRPr="00CE15CF">
              <w:rPr>
                <w:sz w:val="20"/>
              </w:rPr>
              <w:t xml:space="preserve">Atmospheric Chemistry of N-Methyl Perfluoro butane </w:t>
            </w:r>
            <w:proofErr w:type="spellStart"/>
            <w:r w:rsidRPr="00CE15CF">
              <w:rPr>
                <w:sz w:val="20"/>
              </w:rPr>
              <w:t>sulfonamide</w:t>
            </w:r>
            <w:proofErr w:type="spellEnd"/>
            <w:r w:rsidRPr="00CE15CF">
              <w:rPr>
                <w:sz w:val="20"/>
              </w:rPr>
              <w:t xml:space="preserve"> ethanol, C4F9SO2N(CH</w:t>
            </w:r>
            <w:proofErr w:type="gramStart"/>
            <w:r w:rsidRPr="00CE15CF">
              <w:rPr>
                <w:sz w:val="20"/>
              </w:rPr>
              <w:t>3)CH</w:t>
            </w:r>
            <w:proofErr w:type="gramEnd"/>
            <w:r w:rsidRPr="00CE15CF">
              <w:rPr>
                <w:sz w:val="20"/>
              </w:rPr>
              <w:t>2CH2OH: Kinetics and Mechanism of Reaction with OH, Environ. Sci. Technol. 2006, 40, 1862-1868</w:t>
            </w:r>
          </w:p>
        </w:tc>
      </w:tr>
      <w:tr w:rsidR="00FC3DEE" w:rsidRPr="00CE15CF" w14:paraId="59A3943D" w14:textId="77777777" w:rsidTr="003D6476">
        <w:trPr>
          <w:trHeight w:val="525"/>
        </w:trPr>
        <w:tc>
          <w:tcPr>
            <w:tcW w:w="747" w:type="pct"/>
            <w:tcBorders>
              <w:top w:val="nil"/>
              <w:left w:val="nil"/>
              <w:bottom w:val="nil"/>
              <w:right w:val="nil"/>
            </w:tcBorders>
            <w:shd w:val="clear" w:color="auto" w:fill="auto"/>
            <w:noWrap/>
            <w:vAlign w:val="center"/>
            <w:hideMark/>
          </w:tcPr>
          <w:p w14:paraId="08C32B2B" w14:textId="77777777" w:rsidR="00FC3DEE" w:rsidRPr="00CE15CF" w:rsidRDefault="00FC3DEE" w:rsidP="00CE15CF">
            <w:pPr>
              <w:rPr>
                <w:sz w:val="20"/>
              </w:rPr>
            </w:pPr>
            <w:r w:rsidRPr="00CE15CF">
              <w:rPr>
                <w:sz w:val="20"/>
              </w:rPr>
              <w:t>ECHA</w:t>
            </w:r>
          </w:p>
        </w:tc>
        <w:tc>
          <w:tcPr>
            <w:tcW w:w="447" w:type="pct"/>
            <w:tcBorders>
              <w:top w:val="nil"/>
              <w:left w:val="nil"/>
              <w:bottom w:val="nil"/>
              <w:right w:val="nil"/>
            </w:tcBorders>
            <w:shd w:val="clear" w:color="auto" w:fill="auto"/>
            <w:noWrap/>
            <w:vAlign w:val="center"/>
            <w:hideMark/>
          </w:tcPr>
          <w:p w14:paraId="425BCBD1" w14:textId="77777777" w:rsidR="00FC3DEE" w:rsidRPr="00CE15CF" w:rsidRDefault="00FC3DEE" w:rsidP="00CE15CF">
            <w:pPr>
              <w:rPr>
                <w:sz w:val="20"/>
              </w:rPr>
            </w:pPr>
            <w:r w:rsidRPr="00CE15CF">
              <w:rPr>
                <w:sz w:val="20"/>
              </w:rPr>
              <w:t>2014a</w:t>
            </w:r>
          </w:p>
        </w:tc>
        <w:tc>
          <w:tcPr>
            <w:tcW w:w="3806" w:type="pct"/>
            <w:tcBorders>
              <w:top w:val="nil"/>
              <w:left w:val="nil"/>
              <w:bottom w:val="nil"/>
              <w:right w:val="nil"/>
            </w:tcBorders>
            <w:shd w:val="clear" w:color="auto" w:fill="auto"/>
            <w:vAlign w:val="center"/>
            <w:hideMark/>
          </w:tcPr>
          <w:p w14:paraId="56A6D76F" w14:textId="77777777" w:rsidR="00FC3DEE" w:rsidRPr="00CE15CF" w:rsidRDefault="00FC3DEE" w:rsidP="00CE15CF">
            <w:pPr>
              <w:rPr>
                <w:sz w:val="20"/>
              </w:rPr>
            </w:pPr>
            <w:r w:rsidRPr="00CE15CF">
              <w:rPr>
                <w:sz w:val="20"/>
              </w:rPr>
              <w:t>EU ANNEX XV Restriction report on a Proposal for a restriction of PFOA, it salts and PFOA-related compounds under the REACH regulation EC 1907/2006</w:t>
            </w:r>
          </w:p>
        </w:tc>
      </w:tr>
      <w:tr w:rsidR="00FC3DEE" w:rsidRPr="00CE15CF" w14:paraId="08798E57" w14:textId="77777777" w:rsidTr="003D6476">
        <w:trPr>
          <w:trHeight w:val="716"/>
        </w:trPr>
        <w:tc>
          <w:tcPr>
            <w:tcW w:w="747" w:type="pct"/>
            <w:tcBorders>
              <w:top w:val="nil"/>
              <w:left w:val="nil"/>
              <w:bottom w:val="nil"/>
              <w:right w:val="nil"/>
            </w:tcBorders>
            <w:shd w:val="clear" w:color="auto" w:fill="auto"/>
            <w:noWrap/>
            <w:vAlign w:val="center"/>
            <w:hideMark/>
          </w:tcPr>
          <w:p w14:paraId="737ADCF8" w14:textId="77777777" w:rsidR="00FC3DEE" w:rsidRPr="00CE15CF" w:rsidRDefault="00FC3DEE" w:rsidP="00CE15CF">
            <w:pPr>
              <w:rPr>
                <w:sz w:val="20"/>
              </w:rPr>
            </w:pPr>
            <w:r w:rsidRPr="00CE15CF">
              <w:rPr>
                <w:sz w:val="20"/>
              </w:rPr>
              <w:t>ECHA</w:t>
            </w:r>
          </w:p>
        </w:tc>
        <w:tc>
          <w:tcPr>
            <w:tcW w:w="447" w:type="pct"/>
            <w:tcBorders>
              <w:top w:val="nil"/>
              <w:left w:val="nil"/>
              <w:bottom w:val="nil"/>
              <w:right w:val="nil"/>
            </w:tcBorders>
            <w:shd w:val="clear" w:color="auto" w:fill="auto"/>
            <w:noWrap/>
            <w:vAlign w:val="center"/>
            <w:hideMark/>
          </w:tcPr>
          <w:p w14:paraId="4B7C1D1D" w14:textId="77777777" w:rsidR="00FC3DEE" w:rsidRPr="00CE15CF" w:rsidRDefault="00FC3DEE" w:rsidP="00CE15CF">
            <w:pPr>
              <w:rPr>
                <w:sz w:val="20"/>
              </w:rPr>
            </w:pPr>
            <w:r w:rsidRPr="00CE15CF">
              <w:rPr>
                <w:sz w:val="20"/>
              </w:rPr>
              <w:t>2014b</w:t>
            </w:r>
          </w:p>
        </w:tc>
        <w:tc>
          <w:tcPr>
            <w:tcW w:w="3806" w:type="pct"/>
            <w:tcBorders>
              <w:top w:val="nil"/>
              <w:left w:val="nil"/>
              <w:bottom w:val="nil"/>
              <w:right w:val="nil"/>
            </w:tcBorders>
            <w:shd w:val="clear" w:color="auto" w:fill="auto"/>
            <w:vAlign w:val="center"/>
            <w:hideMark/>
          </w:tcPr>
          <w:p w14:paraId="7375C7A9" w14:textId="73F62476" w:rsidR="00FC3DEE" w:rsidRPr="00CE15CF" w:rsidRDefault="00FC3DEE" w:rsidP="00CE15CF">
            <w:pPr>
              <w:rPr>
                <w:sz w:val="20"/>
              </w:rPr>
            </w:pPr>
            <w:r w:rsidRPr="00CE15CF">
              <w:rPr>
                <w:sz w:val="20"/>
              </w:rPr>
              <w:t>Registered substances. Available from: https://echa.europa.eu/ de/information-on-chemicals/registered-substances Cited in Wang et al</w:t>
            </w:r>
            <w:r w:rsidR="002140CD" w:rsidRPr="00CE15CF">
              <w:rPr>
                <w:rFonts w:eastAsia="Times New Roman"/>
                <w:sz w:val="20"/>
                <w:szCs w:val="20"/>
                <w:lang w:eastAsia="en-GB"/>
              </w:rPr>
              <w:t>.</w:t>
            </w:r>
            <w:r w:rsidRPr="00CE15CF">
              <w:rPr>
                <w:rFonts w:eastAsia="Times New Roman"/>
                <w:sz w:val="20"/>
                <w:szCs w:val="20"/>
                <w:lang w:eastAsia="en-GB"/>
              </w:rPr>
              <w:t>,</w:t>
            </w:r>
            <w:r w:rsidRPr="00CE15CF">
              <w:rPr>
                <w:sz w:val="20"/>
              </w:rPr>
              <w:t xml:space="preserve"> 2015</w:t>
            </w:r>
          </w:p>
        </w:tc>
      </w:tr>
      <w:tr w:rsidR="00FC3DEE" w:rsidRPr="00CE15CF" w14:paraId="5A5069F1" w14:textId="77777777" w:rsidTr="003D6476">
        <w:trPr>
          <w:trHeight w:val="74"/>
        </w:trPr>
        <w:tc>
          <w:tcPr>
            <w:tcW w:w="747" w:type="pct"/>
            <w:tcBorders>
              <w:top w:val="nil"/>
              <w:left w:val="nil"/>
              <w:bottom w:val="nil"/>
              <w:right w:val="nil"/>
            </w:tcBorders>
            <w:shd w:val="clear" w:color="auto" w:fill="auto"/>
            <w:noWrap/>
            <w:vAlign w:val="center"/>
            <w:hideMark/>
          </w:tcPr>
          <w:p w14:paraId="3A566178" w14:textId="77777777" w:rsidR="00FC3DEE" w:rsidRPr="00CE15CF" w:rsidRDefault="00FC3DEE" w:rsidP="00CE15CF">
            <w:pPr>
              <w:rPr>
                <w:sz w:val="20"/>
              </w:rPr>
            </w:pPr>
            <w:r w:rsidRPr="00CE15CF">
              <w:rPr>
                <w:sz w:val="20"/>
              </w:rPr>
              <w:t>ECHA</w:t>
            </w:r>
          </w:p>
        </w:tc>
        <w:tc>
          <w:tcPr>
            <w:tcW w:w="447" w:type="pct"/>
            <w:tcBorders>
              <w:top w:val="nil"/>
              <w:left w:val="nil"/>
              <w:bottom w:val="nil"/>
              <w:right w:val="nil"/>
            </w:tcBorders>
            <w:shd w:val="clear" w:color="auto" w:fill="auto"/>
            <w:noWrap/>
            <w:vAlign w:val="center"/>
            <w:hideMark/>
          </w:tcPr>
          <w:p w14:paraId="1EE60579" w14:textId="77777777" w:rsidR="00FC3DEE" w:rsidRPr="00CE15CF" w:rsidRDefault="00FC3DEE" w:rsidP="00CE15CF">
            <w:pPr>
              <w:rPr>
                <w:sz w:val="20"/>
              </w:rPr>
            </w:pPr>
            <w:r w:rsidRPr="00CE15CF">
              <w:rPr>
                <w:sz w:val="20"/>
              </w:rPr>
              <w:t>2015a</w:t>
            </w:r>
          </w:p>
        </w:tc>
        <w:tc>
          <w:tcPr>
            <w:tcW w:w="3806" w:type="pct"/>
            <w:tcBorders>
              <w:top w:val="nil"/>
              <w:left w:val="nil"/>
              <w:bottom w:val="nil"/>
              <w:right w:val="nil"/>
            </w:tcBorders>
            <w:shd w:val="clear" w:color="auto" w:fill="auto"/>
            <w:vAlign w:val="center"/>
            <w:hideMark/>
          </w:tcPr>
          <w:p w14:paraId="796CB45E" w14:textId="44E1BD86" w:rsidR="00FC3DEE" w:rsidRPr="00CE15CF" w:rsidRDefault="00FC3DEE" w:rsidP="00CE15CF">
            <w:pPr>
              <w:rPr>
                <w:sz w:val="20"/>
              </w:rPr>
            </w:pPr>
            <w:r w:rsidRPr="00CE15CF">
              <w:rPr>
                <w:sz w:val="20"/>
              </w:rPr>
              <w:t>RAC and SEAC opinion on Annex XV dossier proposing restrictions on Perfluorooctanoic acid (PFOA), PFOA salts and PFOA-related substances under the REACH regulation EC 1907/2006</w:t>
            </w:r>
          </w:p>
        </w:tc>
      </w:tr>
      <w:tr w:rsidR="00FC3DEE" w:rsidRPr="00CE15CF" w14:paraId="79EA2A5C" w14:textId="77777777" w:rsidTr="003D6476">
        <w:trPr>
          <w:trHeight w:val="1005"/>
        </w:trPr>
        <w:tc>
          <w:tcPr>
            <w:tcW w:w="747" w:type="pct"/>
            <w:tcBorders>
              <w:top w:val="nil"/>
              <w:left w:val="nil"/>
              <w:bottom w:val="nil"/>
              <w:right w:val="nil"/>
            </w:tcBorders>
            <w:shd w:val="clear" w:color="auto" w:fill="auto"/>
            <w:noWrap/>
            <w:vAlign w:val="center"/>
            <w:hideMark/>
          </w:tcPr>
          <w:p w14:paraId="59FD1CB0" w14:textId="77777777" w:rsidR="00FC3DEE" w:rsidRPr="00CE15CF" w:rsidRDefault="00FC3DEE" w:rsidP="00CE15CF">
            <w:pPr>
              <w:rPr>
                <w:sz w:val="20"/>
              </w:rPr>
            </w:pPr>
            <w:r w:rsidRPr="00CE15CF">
              <w:rPr>
                <w:sz w:val="20"/>
              </w:rPr>
              <w:t>ECHA</w:t>
            </w:r>
          </w:p>
        </w:tc>
        <w:tc>
          <w:tcPr>
            <w:tcW w:w="447" w:type="pct"/>
            <w:tcBorders>
              <w:top w:val="nil"/>
              <w:left w:val="nil"/>
              <w:bottom w:val="nil"/>
              <w:right w:val="nil"/>
            </w:tcBorders>
            <w:shd w:val="clear" w:color="auto" w:fill="auto"/>
            <w:noWrap/>
            <w:vAlign w:val="center"/>
            <w:hideMark/>
          </w:tcPr>
          <w:p w14:paraId="5E42797B" w14:textId="77777777" w:rsidR="00FC3DEE" w:rsidRPr="00CE15CF" w:rsidRDefault="00FC3DEE" w:rsidP="00CE15CF">
            <w:pPr>
              <w:rPr>
                <w:sz w:val="20"/>
              </w:rPr>
            </w:pPr>
            <w:r w:rsidRPr="00CE15CF">
              <w:rPr>
                <w:sz w:val="20"/>
              </w:rPr>
              <w:t>2015b</w:t>
            </w:r>
          </w:p>
        </w:tc>
        <w:tc>
          <w:tcPr>
            <w:tcW w:w="3806" w:type="pct"/>
            <w:tcBorders>
              <w:top w:val="nil"/>
              <w:left w:val="nil"/>
              <w:bottom w:val="nil"/>
              <w:right w:val="nil"/>
            </w:tcBorders>
            <w:shd w:val="clear" w:color="auto" w:fill="auto"/>
            <w:vAlign w:val="center"/>
            <w:hideMark/>
          </w:tcPr>
          <w:p w14:paraId="373B52F4" w14:textId="2330A4DC" w:rsidR="00FC3DEE" w:rsidRPr="00CE15CF" w:rsidRDefault="00FC3DEE" w:rsidP="00CE15CF">
            <w:pPr>
              <w:rPr>
                <w:sz w:val="20"/>
              </w:rPr>
            </w:pPr>
            <w:r w:rsidRPr="00CE15CF">
              <w:rPr>
                <w:sz w:val="20"/>
              </w:rPr>
              <w:t>Background document to the RAC and SEAC opinion on Annex XV dossier proposing restrictions on Perfluorooctanoic acid (PFOA), PFOA salts and PFOA-related substances under the REACH regulation EC 1907/2006</w:t>
            </w:r>
          </w:p>
        </w:tc>
      </w:tr>
      <w:tr w:rsidR="00FC3DEE" w:rsidRPr="00CE15CF" w14:paraId="27FB7B32" w14:textId="77777777" w:rsidTr="003D6476">
        <w:trPr>
          <w:trHeight w:val="1417"/>
        </w:trPr>
        <w:tc>
          <w:tcPr>
            <w:tcW w:w="747" w:type="pct"/>
            <w:tcBorders>
              <w:top w:val="nil"/>
              <w:left w:val="nil"/>
              <w:bottom w:val="nil"/>
              <w:right w:val="nil"/>
            </w:tcBorders>
            <w:shd w:val="clear" w:color="auto" w:fill="auto"/>
            <w:noWrap/>
            <w:vAlign w:val="center"/>
            <w:hideMark/>
          </w:tcPr>
          <w:p w14:paraId="276815D1" w14:textId="77777777" w:rsidR="00FC3DEE" w:rsidRPr="00CE15CF" w:rsidRDefault="00FC3DEE" w:rsidP="00CE15CF">
            <w:pPr>
              <w:rPr>
                <w:sz w:val="20"/>
              </w:rPr>
            </w:pPr>
            <w:r w:rsidRPr="00CE15CF">
              <w:rPr>
                <w:sz w:val="20"/>
              </w:rPr>
              <w:t>ECHA</w:t>
            </w:r>
          </w:p>
        </w:tc>
        <w:tc>
          <w:tcPr>
            <w:tcW w:w="447" w:type="pct"/>
            <w:tcBorders>
              <w:top w:val="nil"/>
              <w:left w:val="nil"/>
              <w:bottom w:val="nil"/>
              <w:right w:val="nil"/>
            </w:tcBorders>
            <w:shd w:val="clear" w:color="auto" w:fill="auto"/>
            <w:noWrap/>
            <w:vAlign w:val="center"/>
            <w:hideMark/>
          </w:tcPr>
          <w:p w14:paraId="5F19B948" w14:textId="77777777" w:rsidR="00FC3DEE" w:rsidRPr="00CE15CF" w:rsidRDefault="00FC3DEE" w:rsidP="00CE15CF">
            <w:pPr>
              <w:rPr>
                <w:sz w:val="20"/>
              </w:rPr>
            </w:pPr>
            <w:r w:rsidRPr="00CE15CF">
              <w:rPr>
                <w:sz w:val="20"/>
              </w:rPr>
              <w:t>2015c</w:t>
            </w:r>
          </w:p>
        </w:tc>
        <w:tc>
          <w:tcPr>
            <w:tcW w:w="3806" w:type="pct"/>
            <w:tcBorders>
              <w:top w:val="nil"/>
              <w:left w:val="nil"/>
              <w:bottom w:val="nil"/>
              <w:right w:val="nil"/>
            </w:tcBorders>
            <w:shd w:val="clear" w:color="auto" w:fill="auto"/>
            <w:vAlign w:val="center"/>
            <w:hideMark/>
          </w:tcPr>
          <w:p w14:paraId="78E5EE7F" w14:textId="77777777" w:rsidR="00FC3DEE" w:rsidRPr="00CE15CF" w:rsidRDefault="00FC3DEE" w:rsidP="00CE15CF">
            <w:pPr>
              <w:rPr>
                <w:sz w:val="20"/>
              </w:rPr>
            </w:pPr>
            <w:r w:rsidRPr="00CE15CF">
              <w:rPr>
                <w:sz w:val="20"/>
              </w:rPr>
              <w:t>Committee for Risk Assessment (RAC) Committee for Socio-economic Analysis (SEAC) – Opinion on an Annex XV dossier proposing restrictions on Perfluorooctanoic acid (PFOA), PFOA salts and PFOA-related substances. Compiled version prepared by the ECHA Secretariat of RAC’s opinion (adopted 8 September 2015) and SEAC’s opinion (adopted 4 December 2015). Available from: https://echa.europa.eu/documents/10162/2f0dfce0-3dcf-4398-8d6b-2e59c86446be.</w:t>
            </w:r>
          </w:p>
        </w:tc>
      </w:tr>
      <w:tr w:rsidR="00FC3DEE" w:rsidRPr="00CE15CF" w14:paraId="7FC46F6D" w14:textId="77777777" w:rsidTr="003D6476">
        <w:trPr>
          <w:trHeight w:val="1200"/>
        </w:trPr>
        <w:tc>
          <w:tcPr>
            <w:tcW w:w="747" w:type="pct"/>
            <w:tcBorders>
              <w:top w:val="nil"/>
              <w:left w:val="nil"/>
              <w:bottom w:val="nil"/>
              <w:right w:val="nil"/>
            </w:tcBorders>
            <w:shd w:val="clear" w:color="auto" w:fill="auto"/>
            <w:vAlign w:val="center"/>
            <w:hideMark/>
          </w:tcPr>
          <w:p w14:paraId="75B1E6C8" w14:textId="77777777" w:rsidR="00FC3DEE" w:rsidRPr="00CE15CF" w:rsidRDefault="00FC3DEE" w:rsidP="00CE15CF">
            <w:pPr>
              <w:rPr>
                <w:sz w:val="20"/>
              </w:rPr>
            </w:pPr>
            <w:r w:rsidRPr="00CE15CF">
              <w:rPr>
                <w:sz w:val="20"/>
              </w:rPr>
              <w:lastRenderedPageBreak/>
              <w:t>EFSA</w:t>
            </w:r>
          </w:p>
        </w:tc>
        <w:tc>
          <w:tcPr>
            <w:tcW w:w="447" w:type="pct"/>
            <w:tcBorders>
              <w:top w:val="nil"/>
              <w:left w:val="nil"/>
              <w:bottom w:val="nil"/>
              <w:right w:val="nil"/>
            </w:tcBorders>
            <w:shd w:val="clear" w:color="auto" w:fill="auto"/>
            <w:vAlign w:val="center"/>
            <w:hideMark/>
          </w:tcPr>
          <w:p w14:paraId="44EF7AA5" w14:textId="77777777" w:rsidR="00FC3DEE" w:rsidRPr="00CE15CF" w:rsidRDefault="00FC3DEE" w:rsidP="00CE15CF">
            <w:pPr>
              <w:rPr>
                <w:sz w:val="20"/>
              </w:rPr>
            </w:pPr>
            <w:r w:rsidRPr="00CE15CF">
              <w:rPr>
                <w:sz w:val="20"/>
              </w:rPr>
              <w:t>2011</w:t>
            </w:r>
          </w:p>
        </w:tc>
        <w:tc>
          <w:tcPr>
            <w:tcW w:w="3806" w:type="pct"/>
            <w:tcBorders>
              <w:top w:val="nil"/>
              <w:left w:val="nil"/>
              <w:bottom w:val="nil"/>
              <w:right w:val="nil"/>
            </w:tcBorders>
            <w:shd w:val="clear" w:color="auto" w:fill="auto"/>
            <w:vAlign w:val="center"/>
            <w:hideMark/>
          </w:tcPr>
          <w:p w14:paraId="3240ECAD" w14:textId="1C3143F9" w:rsidR="00FC3DEE" w:rsidRPr="00CE15CF" w:rsidRDefault="00FC3DEE" w:rsidP="00CE15CF">
            <w:pPr>
              <w:rPr>
                <w:sz w:val="20"/>
              </w:rPr>
            </w:pPr>
            <w:r w:rsidRPr="00CE15CF">
              <w:rPr>
                <w:sz w:val="20"/>
              </w:rPr>
              <w:t>EFSA panel on food contact materials. Scientific opinion on the safety evaluation of the substance, 3H-perfluoro-3-[(3-methoxy-</w:t>
            </w:r>
            <w:proofErr w:type="gramStart"/>
            <w:r w:rsidRPr="00CE15CF">
              <w:rPr>
                <w:sz w:val="20"/>
              </w:rPr>
              <w:t>propoxy)propanoic</w:t>
            </w:r>
            <w:proofErr w:type="gramEnd"/>
            <w:r w:rsidRPr="00CE15CF">
              <w:rPr>
                <w:sz w:val="20"/>
              </w:rPr>
              <w:t xml:space="preserve"> acid] </w:t>
            </w:r>
            <w:proofErr w:type="spellStart"/>
            <w:r w:rsidRPr="00CE15CF">
              <w:rPr>
                <w:sz w:val="20"/>
              </w:rPr>
              <w:t>ammoniumsalt</w:t>
            </w:r>
            <w:proofErr w:type="spellEnd"/>
            <w:r w:rsidRPr="00CE15CF">
              <w:rPr>
                <w:sz w:val="20"/>
              </w:rPr>
              <w:t>, CAS No: 958445-44-8, for use in food contact materials. EFSA J. 9 (6), 1–11.</w:t>
            </w:r>
          </w:p>
        </w:tc>
      </w:tr>
      <w:tr w:rsidR="00FC3DEE" w:rsidRPr="00CE15CF" w14:paraId="75260471" w14:textId="77777777" w:rsidTr="003D6476">
        <w:trPr>
          <w:trHeight w:val="363"/>
        </w:trPr>
        <w:tc>
          <w:tcPr>
            <w:tcW w:w="747" w:type="pct"/>
            <w:tcBorders>
              <w:top w:val="nil"/>
              <w:left w:val="nil"/>
              <w:bottom w:val="nil"/>
              <w:right w:val="nil"/>
            </w:tcBorders>
            <w:shd w:val="clear" w:color="auto" w:fill="auto"/>
            <w:noWrap/>
            <w:vAlign w:val="center"/>
            <w:hideMark/>
          </w:tcPr>
          <w:p w14:paraId="2DF3ACD9" w14:textId="77777777" w:rsidR="00FC3DEE" w:rsidRPr="00CE15CF" w:rsidRDefault="00FC3DEE" w:rsidP="00CE15CF">
            <w:pPr>
              <w:rPr>
                <w:sz w:val="20"/>
              </w:rPr>
            </w:pPr>
            <w:proofErr w:type="spellStart"/>
            <w:r w:rsidRPr="00CE15CF">
              <w:rPr>
                <w:sz w:val="20"/>
              </w:rPr>
              <w:t>Euromed</w:t>
            </w:r>
            <w:proofErr w:type="spellEnd"/>
          </w:p>
        </w:tc>
        <w:tc>
          <w:tcPr>
            <w:tcW w:w="447" w:type="pct"/>
            <w:tcBorders>
              <w:top w:val="nil"/>
              <w:left w:val="nil"/>
              <w:bottom w:val="nil"/>
              <w:right w:val="nil"/>
            </w:tcBorders>
            <w:shd w:val="clear" w:color="auto" w:fill="auto"/>
            <w:noWrap/>
            <w:vAlign w:val="center"/>
            <w:hideMark/>
          </w:tcPr>
          <w:p w14:paraId="783ACB3C" w14:textId="77777777" w:rsidR="00FC3DEE" w:rsidRPr="00CE15CF" w:rsidRDefault="00FC3DEE" w:rsidP="00CE15CF">
            <w:pPr>
              <w:rPr>
                <w:sz w:val="20"/>
              </w:rPr>
            </w:pPr>
            <w:r w:rsidRPr="00CE15CF">
              <w:rPr>
                <w:sz w:val="20"/>
              </w:rPr>
              <w:t>2015</w:t>
            </w:r>
          </w:p>
        </w:tc>
        <w:tc>
          <w:tcPr>
            <w:tcW w:w="3806" w:type="pct"/>
            <w:tcBorders>
              <w:top w:val="nil"/>
              <w:left w:val="nil"/>
              <w:bottom w:val="nil"/>
              <w:right w:val="nil"/>
            </w:tcBorders>
            <w:shd w:val="clear" w:color="auto" w:fill="auto"/>
            <w:vAlign w:val="center"/>
            <w:hideMark/>
          </w:tcPr>
          <w:p w14:paraId="0293A4CD" w14:textId="77777777" w:rsidR="00FC3DEE" w:rsidRPr="00CE15CF" w:rsidRDefault="00FC3DEE" w:rsidP="00CE15CF">
            <w:pPr>
              <w:rPr>
                <w:sz w:val="20"/>
              </w:rPr>
            </w:pPr>
            <w:r w:rsidRPr="00CE15CF">
              <w:rPr>
                <w:sz w:val="20"/>
              </w:rPr>
              <w:t>ECHA public consultation on the proposed restriction on the manufacturing, use and placing on the market of Perfluorooctanoic acid (PFOA), its salts and PFOA-related substances. Joint EDMA-</w:t>
            </w:r>
            <w:proofErr w:type="spellStart"/>
            <w:r w:rsidRPr="00CE15CF">
              <w:rPr>
                <w:sz w:val="20"/>
              </w:rPr>
              <w:t>Eucomed</w:t>
            </w:r>
            <w:proofErr w:type="spellEnd"/>
            <w:r w:rsidRPr="00CE15CF">
              <w:rPr>
                <w:sz w:val="20"/>
              </w:rPr>
              <w:t xml:space="preserve"> Input, 17th June 2015.</w:t>
            </w:r>
          </w:p>
        </w:tc>
      </w:tr>
      <w:tr w:rsidR="00CB6638" w:rsidRPr="00CE15CF" w14:paraId="00D384AE" w14:textId="77777777" w:rsidTr="003D6476">
        <w:trPr>
          <w:trHeight w:val="363"/>
        </w:trPr>
        <w:tc>
          <w:tcPr>
            <w:tcW w:w="747" w:type="pct"/>
            <w:tcBorders>
              <w:top w:val="nil"/>
              <w:left w:val="nil"/>
              <w:bottom w:val="nil"/>
              <w:right w:val="nil"/>
            </w:tcBorders>
            <w:shd w:val="clear" w:color="auto" w:fill="auto"/>
            <w:noWrap/>
            <w:vAlign w:val="center"/>
          </w:tcPr>
          <w:p w14:paraId="78540C25" w14:textId="00FD2816" w:rsidR="00CB6638" w:rsidRPr="00CE15CF" w:rsidRDefault="00CB6638" w:rsidP="00CE15CF">
            <w:pPr>
              <w:rPr>
                <w:rFonts w:eastAsia="Times New Roman"/>
                <w:color w:val="000000"/>
                <w:sz w:val="20"/>
                <w:szCs w:val="20"/>
                <w:lang w:eastAsia="en-GB"/>
              </w:rPr>
            </w:pPr>
            <w:proofErr w:type="spellStart"/>
            <w:r w:rsidRPr="00CE15CF">
              <w:rPr>
                <w:rFonts w:eastAsia="Times New Roman"/>
                <w:color w:val="000000"/>
                <w:sz w:val="20"/>
                <w:szCs w:val="20"/>
                <w:lang w:eastAsia="en-GB"/>
              </w:rPr>
              <w:t>Favreau</w:t>
            </w:r>
            <w:proofErr w:type="spellEnd"/>
            <w:r w:rsidRPr="00CE15CF">
              <w:rPr>
                <w:rFonts w:eastAsia="Times New Roman"/>
                <w:color w:val="000000"/>
                <w:sz w:val="20"/>
                <w:szCs w:val="20"/>
                <w:lang w:eastAsia="en-GB"/>
              </w:rPr>
              <w:t xml:space="preserve"> et al</w:t>
            </w:r>
          </w:p>
        </w:tc>
        <w:tc>
          <w:tcPr>
            <w:tcW w:w="447" w:type="pct"/>
            <w:tcBorders>
              <w:top w:val="nil"/>
              <w:left w:val="nil"/>
              <w:bottom w:val="nil"/>
              <w:right w:val="nil"/>
            </w:tcBorders>
            <w:shd w:val="clear" w:color="auto" w:fill="auto"/>
            <w:noWrap/>
            <w:vAlign w:val="center"/>
          </w:tcPr>
          <w:p w14:paraId="4B62EE3D" w14:textId="0AF7775D" w:rsidR="00CB6638" w:rsidRPr="00CE15CF" w:rsidRDefault="00CB6638" w:rsidP="00CE15CF">
            <w:pPr>
              <w:rPr>
                <w:rFonts w:eastAsia="Times New Roman"/>
                <w:color w:val="000000"/>
                <w:sz w:val="20"/>
                <w:szCs w:val="20"/>
                <w:lang w:eastAsia="en-GB"/>
              </w:rPr>
            </w:pPr>
            <w:r w:rsidRPr="00CE15CF">
              <w:rPr>
                <w:rFonts w:eastAsia="Times New Roman"/>
                <w:color w:val="000000"/>
                <w:sz w:val="20"/>
                <w:szCs w:val="20"/>
                <w:lang w:eastAsia="en-GB"/>
              </w:rPr>
              <w:t>2017</w:t>
            </w:r>
          </w:p>
        </w:tc>
        <w:tc>
          <w:tcPr>
            <w:tcW w:w="3806" w:type="pct"/>
            <w:tcBorders>
              <w:top w:val="nil"/>
              <w:left w:val="nil"/>
              <w:bottom w:val="nil"/>
              <w:right w:val="nil"/>
            </w:tcBorders>
            <w:shd w:val="clear" w:color="auto" w:fill="auto"/>
            <w:vAlign w:val="center"/>
          </w:tcPr>
          <w:p w14:paraId="2D5A6B4F" w14:textId="1B733926" w:rsidR="00CB6638" w:rsidRPr="00CE15CF" w:rsidRDefault="00CB6638" w:rsidP="00CE15CF">
            <w:pPr>
              <w:rPr>
                <w:rFonts w:eastAsia="Times New Roman"/>
                <w:color w:val="000000"/>
                <w:sz w:val="20"/>
                <w:szCs w:val="20"/>
                <w:lang w:eastAsia="en-GB"/>
              </w:rPr>
            </w:pPr>
            <w:r w:rsidRPr="00CE15CF">
              <w:rPr>
                <w:rFonts w:eastAsia="Times New Roman"/>
                <w:color w:val="000000"/>
                <w:sz w:val="20"/>
                <w:szCs w:val="20"/>
                <w:lang w:eastAsia="en-GB"/>
              </w:rPr>
              <w:t xml:space="preserve">Multianalyte profiling of per- and </w:t>
            </w:r>
            <w:proofErr w:type="spellStart"/>
            <w:r w:rsidRPr="00CE15CF">
              <w:rPr>
                <w:rFonts w:eastAsia="Times New Roman"/>
                <w:color w:val="000000"/>
                <w:sz w:val="20"/>
                <w:szCs w:val="20"/>
                <w:lang w:eastAsia="en-GB"/>
              </w:rPr>
              <w:t>polyfluoroalkyl</w:t>
            </w:r>
            <w:proofErr w:type="spellEnd"/>
            <w:r w:rsidRPr="00CE15CF">
              <w:rPr>
                <w:rFonts w:eastAsia="Times New Roman"/>
                <w:color w:val="000000"/>
                <w:sz w:val="20"/>
                <w:szCs w:val="20"/>
                <w:lang w:eastAsia="en-GB"/>
              </w:rPr>
              <w:t xml:space="preserve"> substances (PFASs) in liquid commercial products. 'Chemosphere 171, 2017, p. 491–501, </w:t>
            </w:r>
            <w:proofErr w:type="gramStart"/>
            <w:r w:rsidRPr="00CE15CF">
              <w:rPr>
                <w:rFonts w:eastAsia="Times New Roman"/>
                <w:color w:val="000000"/>
                <w:sz w:val="20"/>
                <w:szCs w:val="20"/>
                <w:lang w:eastAsia="en-GB"/>
              </w:rPr>
              <w:t>doi:10.1016/j.chemosphere</w:t>
            </w:r>
            <w:proofErr w:type="gramEnd"/>
            <w:r w:rsidRPr="00CE15CF">
              <w:rPr>
                <w:rFonts w:eastAsia="Times New Roman"/>
                <w:color w:val="000000"/>
                <w:sz w:val="20"/>
                <w:szCs w:val="20"/>
                <w:lang w:eastAsia="en-GB"/>
              </w:rPr>
              <w:t>.2016.11.127.</w:t>
            </w:r>
          </w:p>
        </w:tc>
      </w:tr>
      <w:tr w:rsidR="00FC3DEE" w:rsidRPr="00CE15CF" w14:paraId="089EE98D" w14:textId="77777777" w:rsidTr="003D6476">
        <w:trPr>
          <w:trHeight w:val="900"/>
        </w:trPr>
        <w:tc>
          <w:tcPr>
            <w:tcW w:w="747" w:type="pct"/>
            <w:tcBorders>
              <w:top w:val="nil"/>
              <w:left w:val="nil"/>
              <w:bottom w:val="nil"/>
              <w:right w:val="nil"/>
            </w:tcBorders>
            <w:shd w:val="clear" w:color="auto" w:fill="auto"/>
            <w:noWrap/>
            <w:vAlign w:val="center"/>
            <w:hideMark/>
          </w:tcPr>
          <w:p w14:paraId="4E855731" w14:textId="77777777" w:rsidR="00FC3DEE" w:rsidRPr="00CE15CF" w:rsidRDefault="00FC3DEE" w:rsidP="00CE15CF">
            <w:pPr>
              <w:rPr>
                <w:sz w:val="20"/>
              </w:rPr>
            </w:pPr>
            <w:r w:rsidRPr="00CE15CF">
              <w:rPr>
                <w:sz w:val="20"/>
              </w:rPr>
              <w:t>FFFC</w:t>
            </w:r>
          </w:p>
        </w:tc>
        <w:tc>
          <w:tcPr>
            <w:tcW w:w="447" w:type="pct"/>
            <w:tcBorders>
              <w:top w:val="nil"/>
              <w:left w:val="nil"/>
              <w:bottom w:val="nil"/>
              <w:right w:val="nil"/>
            </w:tcBorders>
            <w:shd w:val="clear" w:color="auto" w:fill="auto"/>
            <w:noWrap/>
            <w:vAlign w:val="center"/>
            <w:hideMark/>
          </w:tcPr>
          <w:p w14:paraId="6C6ED22F" w14:textId="77777777" w:rsidR="00FC3DEE" w:rsidRPr="00CE15CF" w:rsidRDefault="00FC3DEE" w:rsidP="00CE15CF">
            <w:pPr>
              <w:rPr>
                <w:sz w:val="20"/>
              </w:rPr>
            </w:pPr>
            <w:r w:rsidRPr="00CE15CF">
              <w:rPr>
                <w:sz w:val="20"/>
              </w:rPr>
              <w:t>2004</w:t>
            </w:r>
          </w:p>
        </w:tc>
        <w:tc>
          <w:tcPr>
            <w:tcW w:w="3806" w:type="pct"/>
            <w:tcBorders>
              <w:top w:val="nil"/>
              <w:left w:val="nil"/>
              <w:bottom w:val="nil"/>
              <w:right w:val="nil"/>
            </w:tcBorders>
            <w:shd w:val="clear" w:color="auto" w:fill="auto"/>
            <w:vAlign w:val="center"/>
            <w:hideMark/>
          </w:tcPr>
          <w:p w14:paraId="728237AD" w14:textId="77777777" w:rsidR="00FC3DEE" w:rsidRPr="00CE15CF" w:rsidRDefault="00FC3DEE" w:rsidP="00CE15CF">
            <w:pPr>
              <w:rPr>
                <w:sz w:val="20"/>
              </w:rPr>
            </w:pPr>
            <w:r w:rsidRPr="00CE15CF">
              <w:rPr>
                <w:sz w:val="20"/>
              </w:rPr>
              <w:t xml:space="preserve">Estimated Quantities </w:t>
            </w:r>
            <w:proofErr w:type="gramStart"/>
            <w:r w:rsidRPr="00CE15CF">
              <w:rPr>
                <w:sz w:val="20"/>
              </w:rPr>
              <w:t>Of</w:t>
            </w:r>
            <w:proofErr w:type="gramEnd"/>
            <w:r w:rsidRPr="00CE15CF">
              <w:rPr>
                <w:sz w:val="20"/>
              </w:rPr>
              <w:t xml:space="preserve"> Aqueous Film Forming Foam (AFFF) In The United States, Report prepared for the Fire-Fighting Foam Coalition.</w:t>
            </w:r>
          </w:p>
        </w:tc>
      </w:tr>
      <w:tr w:rsidR="00FC3DEE" w:rsidRPr="00CE15CF" w14:paraId="616A1FF8" w14:textId="77777777" w:rsidTr="003D6476">
        <w:trPr>
          <w:trHeight w:val="187"/>
        </w:trPr>
        <w:tc>
          <w:tcPr>
            <w:tcW w:w="747" w:type="pct"/>
            <w:tcBorders>
              <w:top w:val="nil"/>
              <w:left w:val="nil"/>
              <w:bottom w:val="nil"/>
              <w:right w:val="nil"/>
            </w:tcBorders>
            <w:shd w:val="clear" w:color="auto" w:fill="auto"/>
            <w:noWrap/>
            <w:vAlign w:val="center"/>
            <w:hideMark/>
          </w:tcPr>
          <w:p w14:paraId="537289E2" w14:textId="77777777" w:rsidR="00FC3DEE" w:rsidRPr="00CE15CF" w:rsidRDefault="00FC3DEE" w:rsidP="00CE15CF">
            <w:pPr>
              <w:rPr>
                <w:sz w:val="20"/>
              </w:rPr>
            </w:pPr>
            <w:r w:rsidRPr="00CE15CF">
              <w:rPr>
                <w:sz w:val="20"/>
              </w:rPr>
              <w:t>FFFC</w:t>
            </w:r>
          </w:p>
        </w:tc>
        <w:tc>
          <w:tcPr>
            <w:tcW w:w="447" w:type="pct"/>
            <w:tcBorders>
              <w:top w:val="nil"/>
              <w:left w:val="nil"/>
              <w:bottom w:val="nil"/>
              <w:right w:val="nil"/>
            </w:tcBorders>
            <w:shd w:val="clear" w:color="auto" w:fill="auto"/>
            <w:noWrap/>
            <w:vAlign w:val="center"/>
            <w:hideMark/>
          </w:tcPr>
          <w:p w14:paraId="6C207DC3" w14:textId="77777777" w:rsidR="00FC3DEE" w:rsidRPr="00CE15CF" w:rsidRDefault="00FC3DEE" w:rsidP="00CE15CF">
            <w:pPr>
              <w:rPr>
                <w:sz w:val="20"/>
              </w:rPr>
            </w:pPr>
            <w:r w:rsidRPr="00CE15CF">
              <w:rPr>
                <w:sz w:val="20"/>
              </w:rPr>
              <w:t>2011</w:t>
            </w:r>
          </w:p>
        </w:tc>
        <w:tc>
          <w:tcPr>
            <w:tcW w:w="3806" w:type="pct"/>
            <w:tcBorders>
              <w:top w:val="nil"/>
              <w:left w:val="nil"/>
              <w:bottom w:val="nil"/>
              <w:right w:val="nil"/>
            </w:tcBorders>
            <w:shd w:val="clear" w:color="auto" w:fill="auto"/>
            <w:vAlign w:val="center"/>
            <w:hideMark/>
          </w:tcPr>
          <w:p w14:paraId="358599CD" w14:textId="77777777" w:rsidR="00FC3DEE" w:rsidRPr="00CE15CF" w:rsidRDefault="00FC3DEE" w:rsidP="00CE15CF">
            <w:pPr>
              <w:rPr>
                <w:sz w:val="20"/>
              </w:rPr>
            </w:pPr>
            <w:r w:rsidRPr="00CE15CF">
              <w:rPr>
                <w:sz w:val="20"/>
              </w:rPr>
              <w:t xml:space="preserve">2011 update to the 2004 report entitled “Estimated Quantities of Aqueous Film Forming Foam (AFFF) In </w:t>
            </w:r>
            <w:proofErr w:type="gramStart"/>
            <w:r w:rsidRPr="00CE15CF">
              <w:rPr>
                <w:sz w:val="20"/>
              </w:rPr>
              <w:t>The</w:t>
            </w:r>
            <w:proofErr w:type="gramEnd"/>
            <w:r w:rsidRPr="00CE15CF">
              <w:rPr>
                <w:sz w:val="20"/>
              </w:rPr>
              <w:t xml:space="preserve"> United States” Prepared for the Fire-Fighting Foams Coalition</w:t>
            </w:r>
          </w:p>
        </w:tc>
      </w:tr>
      <w:tr w:rsidR="00FC3DEE" w:rsidRPr="00CE15CF" w14:paraId="663D24D9" w14:textId="77777777" w:rsidTr="003D6476">
        <w:trPr>
          <w:trHeight w:val="600"/>
        </w:trPr>
        <w:tc>
          <w:tcPr>
            <w:tcW w:w="747" w:type="pct"/>
            <w:tcBorders>
              <w:top w:val="nil"/>
              <w:left w:val="nil"/>
              <w:bottom w:val="nil"/>
              <w:right w:val="nil"/>
            </w:tcBorders>
            <w:shd w:val="clear" w:color="auto" w:fill="auto"/>
            <w:vAlign w:val="center"/>
            <w:hideMark/>
          </w:tcPr>
          <w:p w14:paraId="3F594669" w14:textId="77777777" w:rsidR="00FC3DEE" w:rsidRPr="00CE15CF" w:rsidRDefault="00FC3DEE" w:rsidP="00CE15CF">
            <w:pPr>
              <w:rPr>
                <w:sz w:val="20"/>
              </w:rPr>
            </w:pPr>
            <w:r w:rsidRPr="00CE15CF">
              <w:rPr>
                <w:sz w:val="20"/>
              </w:rPr>
              <w:t>FFFC</w:t>
            </w:r>
          </w:p>
        </w:tc>
        <w:tc>
          <w:tcPr>
            <w:tcW w:w="447" w:type="pct"/>
            <w:tcBorders>
              <w:top w:val="nil"/>
              <w:left w:val="nil"/>
              <w:bottom w:val="nil"/>
              <w:right w:val="nil"/>
            </w:tcBorders>
            <w:shd w:val="clear" w:color="auto" w:fill="auto"/>
            <w:vAlign w:val="center"/>
            <w:hideMark/>
          </w:tcPr>
          <w:p w14:paraId="5EEEF166" w14:textId="77777777" w:rsidR="00FC3DEE" w:rsidRPr="00CE15CF" w:rsidRDefault="00FC3DEE" w:rsidP="00CE15CF">
            <w:pPr>
              <w:rPr>
                <w:sz w:val="20"/>
              </w:rPr>
            </w:pPr>
            <w:r w:rsidRPr="00CE15CF">
              <w:rPr>
                <w:sz w:val="20"/>
              </w:rPr>
              <w:t>2016</w:t>
            </w:r>
          </w:p>
        </w:tc>
        <w:tc>
          <w:tcPr>
            <w:tcW w:w="3806" w:type="pct"/>
            <w:tcBorders>
              <w:top w:val="nil"/>
              <w:left w:val="nil"/>
              <w:bottom w:val="nil"/>
              <w:right w:val="nil"/>
            </w:tcBorders>
            <w:shd w:val="clear" w:color="auto" w:fill="auto"/>
            <w:vAlign w:val="center"/>
            <w:hideMark/>
          </w:tcPr>
          <w:p w14:paraId="0FAFCC4B" w14:textId="77777777" w:rsidR="00FC3DEE" w:rsidRPr="00CE15CF" w:rsidRDefault="00FC3DEE" w:rsidP="00CE15CF">
            <w:pPr>
              <w:rPr>
                <w:sz w:val="20"/>
              </w:rPr>
            </w:pPr>
            <w:r w:rsidRPr="00CE15CF">
              <w:rPr>
                <w:sz w:val="20"/>
              </w:rPr>
              <w:t>Best Practice Guidance for Use of Class B Firefighting Foams, Guidance document by the Fire-fighting foams coalition</w:t>
            </w:r>
          </w:p>
        </w:tc>
      </w:tr>
      <w:tr w:rsidR="00FC3DEE" w:rsidRPr="00CE15CF" w14:paraId="4A3905B3" w14:textId="77777777" w:rsidTr="003D6476">
        <w:trPr>
          <w:trHeight w:val="600"/>
        </w:trPr>
        <w:tc>
          <w:tcPr>
            <w:tcW w:w="747" w:type="pct"/>
            <w:tcBorders>
              <w:top w:val="nil"/>
              <w:left w:val="nil"/>
              <w:bottom w:val="nil"/>
              <w:right w:val="nil"/>
            </w:tcBorders>
            <w:shd w:val="clear" w:color="auto" w:fill="auto"/>
            <w:noWrap/>
            <w:vAlign w:val="center"/>
            <w:hideMark/>
          </w:tcPr>
          <w:p w14:paraId="52BB7D3C" w14:textId="77777777" w:rsidR="00FC3DEE" w:rsidRPr="00CE15CF" w:rsidRDefault="00FC3DEE" w:rsidP="00CE15CF">
            <w:pPr>
              <w:rPr>
                <w:sz w:val="20"/>
              </w:rPr>
            </w:pPr>
            <w:r w:rsidRPr="00CE15CF">
              <w:rPr>
                <w:sz w:val="20"/>
              </w:rPr>
              <w:t xml:space="preserve">FFFC </w:t>
            </w:r>
          </w:p>
        </w:tc>
        <w:tc>
          <w:tcPr>
            <w:tcW w:w="447" w:type="pct"/>
            <w:tcBorders>
              <w:top w:val="nil"/>
              <w:left w:val="nil"/>
              <w:bottom w:val="nil"/>
              <w:right w:val="nil"/>
            </w:tcBorders>
            <w:shd w:val="clear" w:color="auto" w:fill="auto"/>
            <w:noWrap/>
            <w:vAlign w:val="center"/>
            <w:hideMark/>
          </w:tcPr>
          <w:p w14:paraId="7DC04FEB" w14:textId="290955D7" w:rsidR="00FC3DEE" w:rsidRPr="00CE15CF" w:rsidRDefault="002955DC" w:rsidP="00CE15CF">
            <w:pPr>
              <w:rPr>
                <w:sz w:val="20"/>
              </w:rPr>
            </w:pPr>
            <w:r w:rsidRPr="00CE15CF">
              <w:rPr>
                <w:rFonts w:eastAsia="Times New Roman"/>
                <w:sz w:val="20"/>
                <w:szCs w:val="20"/>
                <w:lang w:eastAsia="en-GB"/>
              </w:rPr>
              <w:t>2018</w:t>
            </w:r>
          </w:p>
        </w:tc>
        <w:tc>
          <w:tcPr>
            <w:tcW w:w="3806" w:type="pct"/>
            <w:tcBorders>
              <w:top w:val="nil"/>
              <w:left w:val="nil"/>
              <w:bottom w:val="nil"/>
              <w:right w:val="nil"/>
            </w:tcBorders>
            <w:shd w:val="clear" w:color="auto" w:fill="auto"/>
            <w:vAlign w:val="center"/>
            <w:hideMark/>
          </w:tcPr>
          <w:p w14:paraId="55C6E481" w14:textId="662EDD4A" w:rsidR="00FC3DEE" w:rsidRPr="00CE15CF" w:rsidRDefault="00FC3DEE" w:rsidP="00CE15CF">
            <w:pPr>
              <w:rPr>
                <w:sz w:val="20"/>
              </w:rPr>
            </w:pPr>
            <w:r w:rsidRPr="00CE15CF">
              <w:rPr>
                <w:sz w:val="20"/>
              </w:rPr>
              <w:t>Submission as part of the call for information in development of the RME</w:t>
            </w:r>
          </w:p>
        </w:tc>
      </w:tr>
      <w:tr w:rsidR="00FC3DEE" w:rsidRPr="00CE15CF" w14:paraId="42979669" w14:textId="77777777" w:rsidTr="003D6476">
        <w:trPr>
          <w:trHeight w:val="853"/>
        </w:trPr>
        <w:tc>
          <w:tcPr>
            <w:tcW w:w="747" w:type="pct"/>
            <w:tcBorders>
              <w:top w:val="nil"/>
              <w:left w:val="nil"/>
              <w:bottom w:val="nil"/>
              <w:right w:val="nil"/>
            </w:tcBorders>
            <w:shd w:val="clear" w:color="auto" w:fill="auto"/>
            <w:noWrap/>
            <w:vAlign w:val="center"/>
            <w:hideMark/>
          </w:tcPr>
          <w:p w14:paraId="089C7FE5" w14:textId="77777777" w:rsidR="00FC3DEE" w:rsidRPr="00CE15CF" w:rsidRDefault="00FC3DEE" w:rsidP="00CE15CF">
            <w:pPr>
              <w:rPr>
                <w:sz w:val="20"/>
              </w:rPr>
            </w:pPr>
            <w:r w:rsidRPr="00CE15CF">
              <w:rPr>
                <w:sz w:val="20"/>
              </w:rPr>
              <w:t>FOEN</w:t>
            </w:r>
          </w:p>
        </w:tc>
        <w:tc>
          <w:tcPr>
            <w:tcW w:w="447" w:type="pct"/>
            <w:tcBorders>
              <w:top w:val="nil"/>
              <w:left w:val="nil"/>
              <w:bottom w:val="nil"/>
              <w:right w:val="nil"/>
            </w:tcBorders>
            <w:shd w:val="clear" w:color="auto" w:fill="auto"/>
            <w:noWrap/>
            <w:vAlign w:val="center"/>
            <w:hideMark/>
          </w:tcPr>
          <w:p w14:paraId="76E31BD3" w14:textId="77777777" w:rsidR="00FC3DEE" w:rsidRPr="00CE15CF" w:rsidRDefault="00FC3DEE" w:rsidP="00CE15CF">
            <w:pPr>
              <w:rPr>
                <w:sz w:val="20"/>
              </w:rPr>
            </w:pPr>
            <w:r w:rsidRPr="00CE15CF">
              <w:rPr>
                <w:sz w:val="20"/>
              </w:rPr>
              <w:t>2017</w:t>
            </w:r>
          </w:p>
        </w:tc>
        <w:tc>
          <w:tcPr>
            <w:tcW w:w="3806" w:type="pct"/>
            <w:tcBorders>
              <w:top w:val="nil"/>
              <w:left w:val="nil"/>
              <w:bottom w:val="nil"/>
              <w:right w:val="nil"/>
            </w:tcBorders>
            <w:shd w:val="clear" w:color="auto" w:fill="auto"/>
            <w:vAlign w:val="center"/>
            <w:hideMark/>
          </w:tcPr>
          <w:p w14:paraId="01AF713B" w14:textId="77777777" w:rsidR="00FC3DEE" w:rsidRPr="00CE15CF" w:rsidRDefault="00FC3DEE" w:rsidP="00CE15CF">
            <w:pPr>
              <w:rPr>
                <w:sz w:val="20"/>
              </w:rPr>
            </w:pPr>
            <w:r w:rsidRPr="00CE15CF">
              <w:rPr>
                <w:sz w:val="20"/>
              </w:rPr>
              <w:t>Additional Information in Relation to the Risk Management Evaluation of PFOA, its Salts, and Related Compounds. Prepared by ETH Zurich on behalf of the Swiss Federal Office for the Environment (FOEN). Available at http://chm.pops.int/TheConvention/POPsReviewCommittee/Meetings/POPRC12/POPRC12Followup/PFOAComments/tabid/5950/Default.aspx</w:t>
            </w:r>
          </w:p>
        </w:tc>
      </w:tr>
      <w:tr w:rsidR="00FC3DEE" w:rsidRPr="00CE15CF" w14:paraId="7FB63BF8" w14:textId="77777777" w:rsidTr="003D6476">
        <w:trPr>
          <w:trHeight w:val="900"/>
        </w:trPr>
        <w:tc>
          <w:tcPr>
            <w:tcW w:w="747" w:type="pct"/>
            <w:tcBorders>
              <w:top w:val="nil"/>
              <w:left w:val="nil"/>
              <w:bottom w:val="nil"/>
              <w:right w:val="nil"/>
            </w:tcBorders>
            <w:shd w:val="clear" w:color="auto" w:fill="auto"/>
            <w:noWrap/>
            <w:vAlign w:val="center"/>
            <w:hideMark/>
          </w:tcPr>
          <w:p w14:paraId="4C7219E8" w14:textId="548B2CEF" w:rsidR="00FC3DEE" w:rsidRPr="00CE15CF" w:rsidRDefault="00FC3DEE" w:rsidP="00CE15CF">
            <w:pPr>
              <w:rPr>
                <w:sz w:val="20"/>
              </w:rPr>
            </w:pPr>
            <w:r w:rsidRPr="00CE15CF">
              <w:rPr>
                <w:sz w:val="20"/>
              </w:rPr>
              <w:t>Gibbs et al</w:t>
            </w:r>
            <w:r w:rsidR="002140CD" w:rsidRPr="00CE15CF">
              <w:rPr>
                <w:rFonts w:eastAsia="Times New Roman"/>
                <w:sz w:val="20"/>
                <w:szCs w:val="20"/>
                <w:lang w:eastAsia="en-GB"/>
              </w:rPr>
              <w:t>.</w:t>
            </w:r>
          </w:p>
        </w:tc>
        <w:tc>
          <w:tcPr>
            <w:tcW w:w="447" w:type="pct"/>
            <w:tcBorders>
              <w:top w:val="nil"/>
              <w:left w:val="nil"/>
              <w:bottom w:val="nil"/>
              <w:right w:val="nil"/>
            </w:tcBorders>
            <w:shd w:val="clear" w:color="auto" w:fill="auto"/>
            <w:noWrap/>
            <w:vAlign w:val="center"/>
            <w:hideMark/>
          </w:tcPr>
          <w:p w14:paraId="5058A901" w14:textId="77777777" w:rsidR="00FC3DEE" w:rsidRPr="00CE15CF" w:rsidRDefault="00FC3DEE" w:rsidP="00CE15CF">
            <w:pPr>
              <w:rPr>
                <w:sz w:val="20"/>
              </w:rPr>
            </w:pPr>
            <w:r w:rsidRPr="00CE15CF">
              <w:rPr>
                <w:sz w:val="20"/>
              </w:rPr>
              <w:t>2001</w:t>
            </w:r>
          </w:p>
        </w:tc>
        <w:tc>
          <w:tcPr>
            <w:tcW w:w="3806" w:type="pct"/>
            <w:tcBorders>
              <w:top w:val="nil"/>
              <w:left w:val="nil"/>
              <w:bottom w:val="nil"/>
              <w:right w:val="nil"/>
            </w:tcBorders>
            <w:shd w:val="clear" w:color="auto" w:fill="auto"/>
            <w:vAlign w:val="center"/>
            <w:hideMark/>
          </w:tcPr>
          <w:p w14:paraId="74586F64" w14:textId="77777777" w:rsidR="00FC3DEE" w:rsidRPr="00CE15CF" w:rsidRDefault="00FC3DEE" w:rsidP="00CE15CF">
            <w:pPr>
              <w:rPr>
                <w:sz w:val="20"/>
              </w:rPr>
            </w:pPr>
            <w:r w:rsidRPr="00CE15CF">
              <w:rPr>
                <w:sz w:val="20"/>
              </w:rPr>
              <w:t xml:space="preserve">PFC emissions from primary aluminium production, International Panel on Climate Change: Good Practice Guidance and Uncertainty Management in National Greenhouse Gas Inventories, </w:t>
            </w:r>
          </w:p>
        </w:tc>
      </w:tr>
      <w:tr w:rsidR="006E49F8" w:rsidRPr="00A86236" w14:paraId="796F3BEA" w14:textId="77777777" w:rsidTr="003D6476">
        <w:trPr>
          <w:trHeight w:val="900"/>
        </w:trPr>
        <w:tc>
          <w:tcPr>
            <w:tcW w:w="747" w:type="pct"/>
            <w:tcBorders>
              <w:top w:val="nil"/>
              <w:left w:val="nil"/>
              <w:bottom w:val="nil"/>
              <w:right w:val="nil"/>
            </w:tcBorders>
            <w:shd w:val="clear" w:color="auto" w:fill="auto"/>
            <w:noWrap/>
            <w:vAlign w:val="center"/>
          </w:tcPr>
          <w:p w14:paraId="6E79878C" w14:textId="79E4AA09" w:rsidR="006E49F8" w:rsidRPr="00CE15CF" w:rsidRDefault="006E49F8" w:rsidP="00CE15CF">
            <w:pPr>
              <w:rPr>
                <w:rFonts w:eastAsia="Times New Roman"/>
                <w:sz w:val="20"/>
                <w:szCs w:val="20"/>
                <w:lang w:eastAsia="en-GB"/>
              </w:rPr>
            </w:pPr>
            <w:proofErr w:type="spellStart"/>
            <w:r w:rsidRPr="00CE15CF">
              <w:rPr>
                <w:rFonts w:eastAsia="Times New Roman"/>
                <w:sz w:val="20"/>
                <w:szCs w:val="20"/>
                <w:lang w:eastAsia="en-GB"/>
              </w:rPr>
              <w:t>Gilljam</w:t>
            </w:r>
            <w:proofErr w:type="spellEnd"/>
            <w:r w:rsidRPr="00CE15CF">
              <w:rPr>
                <w:rFonts w:eastAsia="Times New Roman"/>
                <w:sz w:val="20"/>
                <w:szCs w:val="20"/>
                <w:lang w:eastAsia="en-GB"/>
              </w:rPr>
              <w:t xml:space="preserve"> et al. </w:t>
            </w:r>
          </w:p>
        </w:tc>
        <w:tc>
          <w:tcPr>
            <w:tcW w:w="447" w:type="pct"/>
            <w:tcBorders>
              <w:top w:val="nil"/>
              <w:left w:val="nil"/>
              <w:bottom w:val="nil"/>
              <w:right w:val="nil"/>
            </w:tcBorders>
            <w:shd w:val="clear" w:color="auto" w:fill="auto"/>
            <w:noWrap/>
            <w:vAlign w:val="center"/>
          </w:tcPr>
          <w:p w14:paraId="4751E77E" w14:textId="545C273C" w:rsidR="006E49F8" w:rsidRPr="00CE15CF" w:rsidRDefault="006E49F8" w:rsidP="00CE15CF">
            <w:pPr>
              <w:rPr>
                <w:rFonts w:eastAsia="Times New Roman"/>
                <w:sz w:val="20"/>
                <w:szCs w:val="20"/>
                <w:lang w:eastAsia="en-GB"/>
              </w:rPr>
            </w:pPr>
            <w:r w:rsidRPr="00CE15CF">
              <w:rPr>
                <w:rFonts w:eastAsia="Times New Roman"/>
                <w:sz w:val="20"/>
                <w:szCs w:val="20"/>
                <w:lang w:eastAsia="en-GB"/>
              </w:rPr>
              <w:t>2015</w:t>
            </w:r>
          </w:p>
        </w:tc>
        <w:tc>
          <w:tcPr>
            <w:tcW w:w="3806" w:type="pct"/>
            <w:tcBorders>
              <w:top w:val="nil"/>
              <w:left w:val="nil"/>
              <w:bottom w:val="nil"/>
              <w:right w:val="nil"/>
            </w:tcBorders>
            <w:shd w:val="clear" w:color="auto" w:fill="auto"/>
            <w:vAlign w:val="center"/>
          </w:tcPr>
          <w:p w14:paraId="2C2A9A53" w14:textId="330EE0EF" w:rsidR="006E49F8" w:rsidRPr="00CE15CF" w:rsidRDefault="006E49F8" w:rsidP="00CE15CF">
            <w:pPr>
              <w:rPr>
                <w:rFonts w:eastAsia="Times New Roman"/>
                <w:sz w:val="20"/>
                <w:szCs w:val="20"/>
                <w:lang w:val="fr-CH" w:eastAsia="en-GB"/>
              </w:rPr>
            </w:pPr>
            <w:r w:rsidRPr="00CE15CF">
              <w:rPr>
                <w:rFonts w:eastAsia="Times New Roman"/>
                <w:sz w:val="20"/>
                <w:szCs w:val="20"/>
                <w:lang w:eastAsia="en-GB"/>
              </w:rPr>
              <w:t xml:space="preserve">Is Ongoing </w:t>
            </w:r>
            <w:proofErr w:type="spellStart"/>
            <w:r w:rsidRPr="00CE15CF">
              <w:rPr>
                <w:rFonts w:eastAsia="Times New Roman"/>
                <w:sz w:val="20"/>
                <w:szCs w:val="20"/>
                <w:lang w:eastAsia="en-GB"/>
              </w:rPr>
              <w:t>Sulfluramid</w:t>
            </w:r>
            <w:proofErr w:type="spellEnd"/>
            <w:r w:rsidRPr="00CE15CF">
              <w:rPr>
                <w:rFonts w:eastAsia="Times New Roman"/>
                <w:sz w:val="20"/>
                <w:szCs w:val="20"/>
                <w:lang w:eastAsia="en-GB"/>
              </w:rPr>
              <w:t xml:space="preserve"> Use in South America a Significant Source of </w:t>
            </w:r>
            <w:proofErr w:type="spellStart"/>
            <w:r w:rsidRPr="00CE15CF">
              <w:rPr>
                <w:rFonts w:eastAsia="Times New Roman"/>
                <w:sz w:val="20"/>
                <w:szCs w:val="20"/>
                <w:lang w:eastAsia="en-GB"/>
              </w:rPr>
              <w:t>Perfluorooctanesulfonate</w:t>
            </w:r>
            <w:proofErr w:type="spellEnd"/>
            <w:r w:rsidRPr="00CE15CF">
              <w:rPr>
                <w:rFonts w:eastAsia="Times New Roman"/>
                <w:sz w:val="20"/>
                <w:szCs w:val="20"/>
                <w:lang w:eastAsia="en-GB"/>
              </w:rPr>
              <w:t xml:space="preserve"> (PFOS)? </w:t>
            </w:r>
            <w:r w:rsidRPr="00CE15CF">
              <w:rPr>
                <w:rFonts w:eastAsia="Times New Roman"/>
                <w:sz w:val="20"/>
                <w:szCs w:val="20"/>
                <w:lang w:val="fr-CH" w:eastAsia="en-GB"/>
              </w:rPr>
              <w:t xml:space="preserve">Production Inventories, </w:t>
            </w:r>
            <w:proofErr w:type="spellStart"/>
            <w:r w:rsidRPr="00CE15CF">
              <w:rPr>
                <w:rFonts w:eastAsia="Times New Roman"/>
                <w:sz w:val="20"/>
                <w:szCs w:val="20"/>
                <w:lang w:val="fr-CH" w:eastAsia="en-GB"/>
              </w:rPr>
              <w:t>Environmental</w:t>
            </w:r>
            <w:proofErr w:type="spellEnd"/>
            <w:r w:rsidRPr="00CE15CF">
              <w:rPr>
                <w:rFonts w:eastAsia="Times New Roman"/>
                <w:sz w:val="20"/>
                <w:szCs w:val="20"/>
                <w:lang w:val="fr-CH" w:eastAsia="en-GB"/>
              </w:rPr>
              <w:t xml:space="preserve"> Fate, and Local Occurrence, Environ. </w:t>
            </w:r>
            <w:proofErr w:type="spellStart"/>
            <w:r w:rsidRPr="00CE15CF">
              <w:rPr>
                <w:rFonts w:eastAsia="Times New Roman"/>
                <w:sz w:val="20"/>
                <w:szCs w:val="20"/>
                <w:lang w:val="fr-CH" w:eastAsia="en-GB"/>
              </w:rPr>
              <w:t>Sci</w:t>
            </w:r>
            <w:proofErr w:type="spellEnd"/>
            <w:r w:rsidRPr="00CE15CF">
              <w:rPr>
                <w:rFonts w:eastAsia="Times New Roman"/>
                <w:sz w:val="20"/>
                <w:szCs w:val="20"/>
                <w:lang w:val="fr-CH" w:eastAsia="en-GB"/>
              </w:rPr>
              <w:t xml:space="preserve">. </w:t>
            </w:r>
            <w:proofErr w:type="spellStart"/>
            <w:r w:rsidRPr="00CE15CF">
              <w:rPr>
                <w:rFonts w:eastAsia="Times New Roman"/>
                <w:sz w:val="20"/>
                <w:szCs w:val="20"/>
                <w:lang w:val="fr-CH" w:eastAsia="en-GB"/>
              </w:rPr>
              <w:t>Technol</w:t>
            </w:r>
            <w:proofErr w:type="spellEnd"/>
            <w:r w:rsidRPr="00CE15CF">
              <w:rPr>
                <w:rFonts w:eastAsia="Times New Roman"/>
                <w:sz w:val="20"/>
                <w:szCs w:val="20"/>
                <w:lang w:val="fr-CH" w:eastAsia="en-GB"/>
              </w:rPr>
              <w:t>., 2016, 50 (2), pp 653–659</w:t>
            </w:r>
          </w:p>
        </w:tc>
      </w:tr>
      <w:tr w:rsidR="00FC3DEE" w:rsidRPr="00CE15CF" w14:paraId="660E6BB7" w14:textId="77777777" w:rsidTr="003D6476">
        <w:trPr>
          <w:trHeight w:val="886"/>
        </w:trPr>
        <w:tc>
          <w:tcPr>
            <w:tcW w:w="747" w:type="pct"/>
            <w:tcBorders>
              <w:top w:val="nil"/>
              <w:left w:val="nil"/>
              <w:bottom w:val="nil"/>
              <w:right w:val="nil"/>
            </w:tcBorders>
            <w:shd w:val="clear" w:color="auto" w:fill="auto"/>
            <w:noWrap/>
            <w:vAlign w:val="center"/>
            <w:hideMark/>
          </w:tcPr>
          <w:p w14:paraId="34C94E40" w14:textId="1EA7C48B" w:rsidR="00FC3DEE" w:rsidRPr="00CE15CF" w:rsidRDefault="00FC3DEE" w:rsidP="00CE15CF">
            <w:pPr>
              <w:rPr>
                <w:sz w:val="20"/>
              </w:rPr>
            </w:pPr>
            <w:r w:rsidRPr="00CE15CF">
              <w:rPr>
                <w:sz w:val="20"/>
              </w:rPr>
              <w:t>Gordon</w:t>
            </w:r>
          </w:p>
        </w:tc>
        <w:tc>
          <w:tcPr>
            <w:tcW w:w="447" w:type="pct"/>
            <w:tcBorders>
              <w:top w:val="nil"/>
              <w:left w:val="nil"/>
              <w:bottom w:val="nil"/>
              <w:right w:val="nil"/>
            </w:tcBorders>
            <w:shd w:val="clear" w:color="auto" w:fill="auto"/>
            <w:noWrap/>
            <w:vAlign w:val="center"/>
            <w:hideMark/>
          </w:tcPr>
          <w:p w14:paraId="45643102" w14:textId="77777777" w:rsidR="00FC3DEE" w:rsidRPr="00CE15CF" w:rsidRDefault="00FC3DEE" w:rsidP="00CE15CF">
            <w:pPr>
              <w:rPr>
                <w:sz w:val="20"/>
              </w:rPr>
            </w:pPr>
            <w:r w:rsidRPr="00CE15CF">
              <w:rPr>
                <w:sz w:val="20"/>
              </w:rPr>
              <w:t>2011</w:t>
            </w:r>
          </w:p>
        </w:tc>
        <w:tc>
          <w:tcPr>
            <w:tcW w:w="3806" w:type="pct"/>
            <w:tcBorders>
              <w:top w:val="nil"/>
              <w:left w:val="nil"/>
              <w:bottom w:val="nil"/>
              <w:right w:val="nil"/>
            </w:tcBorders>
            <w:shd w:val="clear" w:color="auto" w:fill="auto"/>
            <w:vAlign w:val="center"/>
            <w:hideMark/>
          </w:tcPr>
          <w:p w14:paraId="2FB8F7FD" w14:textId="4CFC88FF" w:rsidR="0099612C" w:rsidRPr="00CE15CF" w:rsidRDefault="00FC3DEE" w:rsidP="003D6476">
            <w:pPr>
              <w:rPr>
                <w:sz w:val="20"/>
              </w:rPr>
            </w:pPr>
            <w:r w:rsidRPr="00CE15CF">
              <w:rPr>
                <w:sz w:val="20"/>
              </w:rPr>
              <w:t xml:space="preserve">Toxicological evaluation of ammonium 4,8-dioxa-3H-perfluorononanoate, a new emulsifier to replace ammonium perfluorooctanoate in fluoropolymer manufacturing. </w:t>
            </w:r>
            <w:proofErr w:type="spellStart"/>
            <w:r w:rsidRPr="00CE15CF">
              <w:rPr>
                <w:sz w:val="20"/>
              </w:rPr>
              <w:t>RegulToxicolPharmacol</w:t>
            </w:r>
            <w:proofErr w:type="spellEnd"/>
            <w:r w:rsidRPr="00CE15CF">
              <w:rPr>
                <w:sz w:val="20"/>
              </w:rPr>
              <w:t xml:space="preserve"> 59(1): 64-80.</w:t>
            </w:r>
          </w:p>
        </w:tc>
      </w:tr>
      <w:tr w:rsidR="00E621EF" w:rsidRPr="00CE15CF" w14:paraId="20A0B252" w14:textId="77777777" w:rsidTr="003D6476">
        <w:trPr>
          <w:trHeight w:val="525"/>
        </w:trPr>
        <w:tc>
          <w:tcPr>
            <w:tcW w:w="747" w:type="pct"/>
            <w:tcBorders>
              <w:top w:val="nil"/>
              <w:left w:val="nil"/>
              <w:bottom w:val="nil"/>
              <w:right w:val="nil"/>
            </w:tcBorders>
            <w:shd w:val="clear" w:color="auto" w:fill="auto"/>
            <w:noWrap/>
            <w:vAlign w:val="center"/>
          </w:tcPr>
          <w:p w14:paraId="6ADCDA06" w14:textId="279F3BF5" w:rsidR="00E621EF" w:rsidRPr="00CE15CF" w:rsidRDefault="00E621EF" w:rsidP="003D6476">
            <w:pPr>
              <w:rPr>
                <w:sz w:val="20"/>
              </w:rPr>
            </w:pPr>
            <w:r w:rsidRPr="00CE15CF">
              <w:rPr>
                <w:rFonts w:eastAsia="Times New Roman"/>
                <w:color w:val="000000"/>
                <w:sz w:val="20"/>
                <w:szCs w:val="20"/>
                <w:lang w:eastAsia="en-GB"/>
              </w:rPr>
              <w:t>Gupta et al</w:t>
            </w:r>
          </w:p>
        </w:tc>
        <w:tc>
          <w:tcPr>
            <w:tcW w:w="447" w:type="pct"/>
            <w:tcBorders>
              <w:top w:val="nil"/>
              <w:left w:val="nil"/>
              <w:bottom w:val="nil"/>
              <w:right w:val="nil"/>
            </w:tcBorders>
            <w:shd w:val="clear" w:color="auto" w:fill="auto"/>
            <w:noWrap/>
            <w:vAlign w:val="center"/>
          </w:tcPr>
          <w:p w14:paraId="35A4F9E3" w14:textId="674C306E" w:rsidR="00E621EF" w:rsidRPr="00CE15CF" w:rsidRDefault="00E621EF" w:rsidP="003D6476">
            <w:pPr>
              <w:rPr>
                <w:sz w:val="20"/>
              </w:rPr>
            </w:pPr>
            <w:r w:rsidRPr="00CE15CF">
              <w:rPr>
                <w:rFonts w:eastAsia="Times New Roman"/>
                <w:color w:val="000000"/>
                <w:sz w:val="20"/>
                <w:szCs w:val="20"/>
                <w:lang w:eastAsia="en-GB"/>
              </w:rPr>
              <w:t>2016</w:t>
            </w:r>
          </w:p>
        </w:tc>
        <w:tc>
          <w:tcPr>
            <w:tcW w:w="3806" w:type="pct"/>
            <w:tcBorders>
              <w:top w:val="nil"/>
              <w:left w:val="nil"/>
              <w:bottom w:val="nil"/>
              <w:right w:val="nil"/>
            </w:tcBorders>
            <w:shd w:val="clear" w:color="auto" w:fill="auto"/>
            <w:vAlign w:val="center"/>
          </w:tcPr>
          <w:p w14:paraId="15134DE9" w14:textId="3E7F0ECC" w:rsidR="00E621EF" w:rsidRPr="00CE15CF" w:rsidRDefault="00E621EF" w:rsidP="003D6476">
            <w:pPr>
              <w:rPr>
                <w:sz w:val="20"/>
              </w:rPr>
            </w:pPr>
            <w:r w:rsidRPr="00CE15CF">
              <w:rPr>
                <w:rFonts w:eastAsia="Times New Roman"/>
                <w:color w:val="000000"/>
                <w:sz w:val="20"/>
                <w:szCs w:val="20"/>
                <w:lang w:eastAsia="en-GB"/>
              </w:rPr>
              <w:t>In vivo delamination of coronary guidewire polytetrafluoroethylene layer – A dreaded complication.</w:t>
            </w:r>
            <w:r w:rsidRPr="00CE15CF">
              <w:t xml:space="preserve"> </w:t>
            </w:r>
            <w:r w:rsidRPr="00CE15CF">
              <w:rPr>
                <w:rFonts w:eastAsia="Times New Roman"/>
                <w:color w:val="000000"/>
                <w:sz w:val="20"/>
                <w:szCs w:val="20"/>
                <w:lang w:eastAsia="en-GB"/>
              </w:rPr>
              <w:t>Indian Heart J. 2016 Mar-Apr; 68(2): 182–183.</w:t>
            </w:r>
          </w:p>
        </w:tc>
      </w:tr>
      <w:tr w:rsidR="0099612C" w:rsidRPr="00CE15CF" w14:paraId="521D4100" w14:textId="77777777" w:rsidTr="003D6476">
        <w:trPr>
          <w:trHeight w:val="525"/>
        </w:trPr>
        <w:tc>
          <w:tcPr>
            <w:tcW w:w="747" w:type="pct"/>
            <w:tcBorders>
              <w:top w:val="nil"/>
              <w:left w:val="nil"/>
              <w:bottom w:val="nil"/>
              <w:right w:val="nil"/>
            </w:tcBorders>
            <w:shd w:val="clear" w:color="auto" w:fill="auto"/>
            <w:noWrap/>
            <w:vAlign w:val="center"/>
          </w:tcPr>
          <w:p w14:paraId="1E5F171F" w14:textId="2EEC44F6" w:rsidR="00E621EF" w:rsidRPr="00CE15CF" w:rsidRDefault="00E621EF" w:rsidP="00CE15CF">
            <w:pPr>
              <w:rPr>
                <w:rFonts w:eastAsia="Times New Roman"/>
                <w:sz w:val="20"/>
                <w:szCs w:val="20"/>
                <w:lang w:eastAsia="en-GB"/>
              </w:rPr>
            </w:pPr>
          </w:p>
          <w:p w14:paraId="0C67F1E7" w14:textId="3BE6CAF5" w:rsidR="0099612C" w:rsidRPr="00CE15CF" w:rsidRDefault="00432FE3" w:rsidP="00CE15CF">
            <w:pPr>
              <w:rPr>
                <w:sz w:val="20"/>
              </w:rPr>
            </w:pPr>
            <w:proofErr w:type="spellStart"/>
            <w:r w:rsidRPr="00CE15CF">
              <w:rPr>
                <w:rFonts w:eastAsia="Times New Roman"/>
                <w:sz w:val="20"/>
                <w:szCs w:val="20"/>
                <w:lang w:eastAsia="en-GB"/>
              </w:rPr>
              <w:t>Hakkinen</w:t>
            </w:r>
            <w:proofErr w:type="spellEnd"/>
            <w:r w:rsidRPr="00CE15CF">
              <w:rPr>
                <w:rFonts w:eastAsia="Times New Roman"/>
                <w:sz w:val="20"/>
                <w:szCs w:val="20"/>
                <w:lang w:eastAsia="en-GB"/>
              </w:rPr>
              <w:t xml:space="preserve"> JM, </w:t>
            </w:r>
            <w:proofErr w:type="spellStart"/>
            <w:r w:rsidRPr="00CE15CF">
              <w:rPr>
                <w:rFonts w:eastAsia="Times New Roman"/>
                <w:sz w:val="20"/>
                <w:szCs w:val="20"/>
                <w:lang w:eastAsia="en-GB"/>
              </w:rPr>
              <w:t>Posti</w:t>
            </w:r>
            <w:proofErr w:type="spellEnd"/>
            <w:r w:rsidRPr="00CE15CF">
              <w:rPr>
                <w:rFonts w:eastAsia="Times New Roman"/>
                <w:sz w:val="20"/>
                <w:szCs w:val="20"/>
                <w:lang w:eastAsia="en-GB"/>
              </w:rPr>
              <w:t xml:space="preserve"> AI</w:t>
            </w:r>
          </w:p>
        </w:tc>
        <w:tc>
          <w:tcPr>
            <w:tcW w:w="447" w:type="pct"/>
            <w:tcBorders>
              <w:top w:val="nil"/>
              <w:left w:val="nil"/>
              <w:bottom w:val="nil"/>
              <w:right w:val="nil"/>
            </w:tcBorders>
            <w:shd w:val="clear" w:color="auto" w:fill="auto"/>
            <w:noWrap/>
            <w:vAlign w:val="center"/>
          </w:tcPr>
          <w:p w14:paraId="014DCB02" w14:textId="391E6C7B" w:rsidR="00DA208B" w:rsidRPr="00CE15CF" w:rsidRDefault="00DA208B" w:rsidP="00CE15CF">
            <w:pPr>
              <w:rPr>
                <w:rFonts w:eastAsia="Times New Roman"/>
                <w:color w:val="000000"/>
                <w:sz w:val="20"/>
                <w:szCs w:val="20"/>
                <w:lang w:eastAsia="en-GB"/>
              </w:rPr>
            </w:pPr>
          </w:p>
          <w:p w14:paraId="0AB7DBC6" w14:textId="108091B5" w:rsidR="0099612C" w:rsidRPr="00CE15CF" w:rsidRDefault="00432FE3" w:rsidP="00CE15CF">
            <w:pPr>
              <w:rPr>
                <w:sz w:val="20"/>
              </w:rPr>
            </w:pPr>
            <w:r w:rsidRPr="00CE15CF">
              <w:rPr>
                <w:rFonts w:eastAsia="Times New Roman"/>
                <w:sz w:val="20"/>
                <w:szCs w:val="20"/>
                <w:lang w:eastAsia="en-GB"/>
              </w:rPr>
              <w:t>2014</w:t>
            </w:r>
          </w:p>
        </w:tc>
        <w:tc>
          <w:tcPr>
            <w:tcW w:w="3806" w:type="pct"/>
            <w:tcBorders>
              <w:top w:val="nil"/>
              <w:left w:val="nil"/>
              <w:bottom w:val="nil"/>
              <w:right w:val="nil"/>
            </w:tcBorders>
            <w:shd w:val="clear" w:color="auto" w:fill="auto"/>
            <w:vAlign w:val="center"/>
          </w:tcPr>
          <w:p w14:paraId="4A76FEE4" w14:textId="691A7550" w:rsidR="0099612C" w:rsidRPr="00CE15CF" w:rsidRDefault="0099612C" w:rsidP="00CE15CF">
            <w:pPr>
              <w:rPr>
                <w:sz w:val="20"/>
              </w:rPr>
            </w:pPr>
            <w:proofErr w:type="spellStart"/>
            <w:r w:rsidRPr="00CE15CF">
              <w:rPr>
                <w:rFonts w:eastAsia="Times New Roman"/>
                <w:sz w:val="20"/>
                <w:szCs w:val="20"/>
                <w:lang w:eastAsia="en-GB"/>
              </w:rPr>
              <w:t>Hakkinen</w:t>
            </w:r>
            <w:proofErr w:type="spellEnd"/>
            <w:r w:rsidRPr="00CE15CF">
              <w:rPr>
                <w:rFonts w:eastAsia="Times New Roman"/>
                <w:sz w:val="20"/>
                <w:szCs w:val="20"/>
                <w:lang w:eastAsia="en-GB"/>
              </w:rPr>
              <w:t xml:space="preserve"> JM, </w:t>
            </w:r>
            <w:proofErr w:type="spellStart"/>
            <w:r w:rsidRPr="00CE15CF">
              <w:rPr>
                <w:rFonts w:eastAsia="Times New Roman"/>
                <w:sz w:val="20"/>
                <w:szCs w:val="20"/>
                <w:lang w:eastAsia="en-GB"/>
              </w:rPr>
              <w:t>Posti</w:t>
            </w:r>
            <w:proofErr w:type="spellEnd"/>
            <w:r w:rsidRPr="00CE15CF">
              <w:rPr>
                <w:rFonts w:eastAsia="Times New Roman"/>
                <w:sz w:val="20"/>
                <w:szCs w:val="20"/>
                <w:lang w:eastAsia="en-GB"/>
              </w:rPr>
              <w:t xml:space="preserve"> AI (2014) Review of maritime accidents involving chemicals – Special focus on the Baltic Sea, </w:t>
            </w:r>
            <w:proofErr w:type="spellStart"/>
            <w:r w:rsidRPr="00CE15CF">
              <w:rPr>
                <w:rFonts w:eastAsia="Times New Roman"/>
                <w:sz w:val="20"/>
                <w:szCs w:val="20"/>
                <w:lang w:eastAsia="en-GB"/>
              </w:rPr>
              <w:t>TransNav</w:t>
            </w:r>
            <w:proofErr w:type="spellEnd"/>
            <w:r w:rsidRPr="00CE15CF">
              <w:rPr>
                <w:rFonts w:eastAsia="Times New Roman"/>
                <w:sz w:val="20"/>
                <w:szCs w:val="20"/>
                <w:lang w:eastAsia="en-GB"/>
              </w:rPr>
              <w:t xml:space="preserve"> 8:295 - 305</w:t>
            </w:r>
          </w:p>
        </w:tc>
      </w:tr>
      <w:tr w:rsidR="00F947A5" w:rsidRPr="00CE15CF" w14:paraId="242E40F1" w14:textId="77777777" w:rsidTr="003D6476">
        <w:trPr>
          <w:trHeight w:val="1215"/>
        </w:trPr>
        <w:tc>
          <w:tcPr>
            <w:tcW w:w="747" w:type="pct"/>
            <w:tcBorders>
              <w:top w:val="nil"/>
              <w:left w:val="nil"/>
              <w:bottom w:val="nil"/>
              <w:right w:val="nil"/>
            </w:tcBorders>
            <w:shd w:val="clear" w:color="auto" w:fill="auto"/>
            <w:noWrap/>
            <w:vAlign w:val="center"/>
          </w:tcPr>
          <w:p w14:paraId="06F69FB6" w14:textId="58D23DA7" w:rsidR="00F947A5" w:rsidRPr="00CE15CF" w:rsidRDefault="00F947A5" w:rsidP="00CE15CF">
            <w:pPr>
              <w:rPr>
                <w:sz w:val="20"/>
              </w:rPr>
            </w:pPr>
            <w:proofErr w:type="spellStart"/>
            <w:r w:rsidRPr="00CE15CF">
              <w:rPr>
                <w:sz w:val="20"/>
              </w:rPr>
              <w:t>Hetzer</w:t>
            </w:r>
            <w:proofErr w:type="spellEnd"/>
            <w:r w:rsidRPr="00CE15CF">
              <w:rPr>
                <w:sz w:val="20"/>
              </w:rPr>
              <w:t xml:space="preserve"> et al</w:t>
            </w:r>
            <w:r w:rsidR="002140CD" w:rsidRPr="00CE15CF">
              <w:rPr>
                <w:rFonts w:eastAsia="Times New Roman"/>
                <w:sz w:val="20"/>
                <w:szCs w:val="20"/>
                <w:lang w:eastAsia="en-GB"/>
              </w:rPr>
              <w:t>.</w:t>
            </w:r>
          </w:p>
        </w:tc>
        <w:tc>
          <w:tcPr>
            <w:tcW w:w="447" w:type="pct"/>
            <w:tcBorders>
              <w:top w:val="nil"/>
              <w:left w:val="nil"/>
              <w:bottom w:val="nil"/>
              <w:right w:val="nil"/>
            </w:tcBorders>
            <w:shd w:val="clear" w:color="auto" w:fill="auto"/>
            <w:noWrap/>
            <w:vAlign w:val="center"/>
          </w:tcPr>
          <w:p w14:paraId="3E59BED7" w14:textId="0851ABDD" w:rsidR="00F947A5" w:rsidRPr="00CE15CF" w:rsidRDefault="00F947A5" w:rsidP="00CE15CF">
            <w:pPr>
              <w:rPr>
                <w:sz w:val="20"/>
              </w:rPr>
            </w:pPr>
            <w:r w:rsidRPr="00CE15CF">
              <w:rPr>
                <w:sz w:val="20"/>
              </w:rPr>
              <w:t>2014</w:t>
            </w:r>
          </w:p>
        </w:tc>
        <w:tc>
          <w:tcPr>
            <w:tcW w:w="3806" w:type="pct"/>
            <w:tcBorders>
              <w:top w:val="nil"/>
              <w:left w:val="nil"/>
              <w:bottom w:val="nil"/>
              <w:right w:val="nil"/>
            </w:tcBorders>
            <w:shd w:val="clear" w:color="auto" w:fill="auto"/>
            <w:vAlign w:val="center"/>
          </w:tcPr>
          <w:p w14:paraId="2A51D17A" w14:textId="77777777" w:rsidR="00F947A5" w:rsidRPr="00CE15CF" w:rsidRDefault="00F947A5" w:rsidP="00CE15CF">
            <w:pPr>
              <w:rPr>
                <w:sz w:val="20"/>
              </w:rPr>
            </w:pPr>
            <w:r w:rsidRPr="00CE15CF">
              <w:rPr>
                <w:sz w:val="20"/>
              </w:rPr>
              <w:t>Fire testing a new fluorine-free AFFF</w:t>
            </w:r>
          </w:p>
          <w:p w14:paraId="1FDE0199" w14:textId="1E9FE876" w:rsidR="00F947A5" w:rsidRPr="00CE15CF" w:rsidRDefault="00F947A5" w:rsidP="00CE15CF">
            <w:pPr>
              <w:rPr>
                <w:sz w:val="20"/>
              </w:rPr>
            </w:pPr>
            <w:r w:rsidRPr="00CE15CF">
              <w:rPr>
                <w:sz w:val="20"/>
              </w:rPr>
              <w:t>Based on a novel class of environmentally sound high performance siloxane surfactants.</w:t>
            </w:r>
          </w:p>
          <w:p w14:paraId="22F020FA" w14:textId="77777777" w:rsidR="00F947A5" w:rsidRPr="00CE15CF" w:rsidRDefault="00F947A5" w:rsidP="00CE15CF">
            <w:pPr>
              <w:rPr>
                <w:sz w:val="20"/>
              </w:rPr>
            </w:pPr>
            <w:r w:rsidRPr="00CE15CF">
              <w:rPr>
                <w:sz w:val="20"/>
              </w:rPr>
              <w:t>Fire Safety Science-draft Proceedings of the Eleventh International Symposium,</w:t>
            </w:r>
          </w:p>
          <w:p w14:paraId="13FB2104" w14:textId="712DDADA" w:rsidR="00F947A5" w:rsidRPr="00CE15CF" w:rsidRDefault="00F947A5" w:rsidP="00CE15CF">
            <w:pPr>
              <w:rPr>
                <w:sz w:val="20"/>
              </w:rPr>
            </w:pPr>
            <w:r w:rsidRPr="00CE15CF">
              <w:rPr>
                <w:sz w:val="20"/>
              </w:rPr>
              <w:t>Canterbury, New Zealand, pp. 1–10.</w:t>
            </w:r>
          </w:p>
        </w:tc>
      </w:tr>
      <w:tr w:rsidR="004635BD" w:rsidRPr="00CE15CF" w14:paraId="4D46886A" w14:textId="77777777" w:rsidTr="003D6476">
        <w:trPr>
          <w:trHeight w:val="922"/>
        </w:trPr>
        <w:tc>
          <w:tcPr>
            <w:tcW w:w="747" w:type="pct"/>
            <w:tcBorders>
              <w:top w:val="nil"/>
              <w:left w:val="nil"/>
              <w:bottom w:val="nil"/>
              <w:right w:val="nil"/>
            </w:tcBorders>
            <w:shd w:val="clear" w:color="auto" w:fill="auto"/>
            <w:noWrap/>
            <w:vAlign w:val="center"/>
          </w:tcPr>
          <w:p w14:paraId="78C5CD51" w14:textId="25EC326F" w:rsidR="004635BD" w:rsidRPr="00CE15CF" w:rsidRDefault="004635BD" w:rsidP="00CE15CF">
            <w:pPr>
              <w:rPr>
                <w:rFonts w:eastAsia="Times New Roman"/>
                <w:color w:val="000000"/>
                <w:sz w:val="20"/>
                <w:szCs w:val="20"/>
                <w:lang w:eastAsia="en-GB"/>
              </w:rPr>
            </w:pPr>
            <w:r w:rsidRPr="00CE15CF">
              <w:rPr>
                <w:rFonts w:eastAsia="Times New Roman"/>
                <w:color w:val="000000"/>
                <w:sz w:val="20"/>
                <w:szCs w:val="20"/>
                <w:lang w:eastAsia="en-GB"/>
              </w:rPr>
              <w:t>Holmes</w:t>
            </w:r>
          </w:p>
        </w:tc>
        <w:tc>
          <w:tcPr>
            <w:tcW w:w="447" w:type="pct"/>
            <w:tcBorders>
              <w:top w:val="nil"/>
              <w:left w:val="nil"/>
              <w:bottom w:val="nil"/>
              <w:right w:val="nil"/>
            </w:tcBorders>
            <w:shd w:val="clear" w:color="auto" w:fill="auto"/>
            <w:noWrap/>
            <w:vAlign w:val="center"/>
          </w:tcPr>
          <w:p w14:paraId="57628AB8" w14:textId="7157A3B0" w:rsidR="004635BD" w:rsidRPr="00CE15CF" w:rsidRDefault="004635BD" w:rsidP="00CE15CF">
            <w:pPr>
              <w:rPr>
                <w:rFonts w:eastAsia="Times New Roman"/>
                <w:color w:val="000000"/>
                <w:sz w:val="20"/>
                <w:szCs w:val="20"/>
                <w:lang w:eastAsia="en-GB"/>
              </w:rPr>
            </w:pPr>
            <w:r w:rsidRPr="00CE15CF">
              <w:rPr>
                <w:rFonts w:eastAsia="Times New Roman"/>
                <w:color w:val="000000"/>
                <w:sz w:val="20"/>
                <w:szCs w:val="20"/>
                <w:lang w:eastAsia="en-GB"/>
              </w:rPr>
              <w:t>2017</w:t>
            </w:r>
          </w:p>
        </w:tc>
        <w:tc>
          <w:tcPr>
            <w:tcW w:w="3806" w:type="pct"/>
            <w:tcBorders>
              <w:top w:val="nil"/>
              <w:left w:val="nil"/>
              <w:bottom w:val="nil"/>
              <w:right w:val="nil"/>
            </w:tcBorders>
            <w:shd w:val="clear" w:color="auto" w:fill="auto"/>
            <w:vAlign w:val="center"/>
          </w:tcPr>
          <w:p w14:paraId="7A709D11" w14:textId="24494D6F" w:rsidR="004635BD" w:rsidRPr="00CE15CF" w:rsidRDefault="004635BD" w:rsidP="00CE15CF">
            <w:pPr>
              <w:rPr>
                <w:rFonts w:eastAsia="Times New Roman"/>
                <w:color w:val="000000"/>
                <w:sz w:val="20"/>
                <w:szCs w:val="20"/>
                <w:lang w:eastAsia="en-GB"/>
              </w:rPr>
            </w:pPr>
            <w:r w:rsidRPr="00CE15CF">
              <w:rPr>
                <w:rFonts w:eastAsia="Times New Roman"/>
                <w:color w:val="000000"/>
                <w:sz w:val="20"/>
                <w:szCs w:val="20"/>
                <w:lang w:eastAsia="en-GB"/>
              </w:rPr>
              <w:t>Nigel Holmes of Queensland Department of Environment and Heritage Protection speaking at the Foam summit, Budapest Hungary 17/18</w:t>
            </w:r>
            <w:r w:rsidRPr="00CE15CF">
              <w:rPr>
                <w:rFonts w:eastAsia="Times New Roman"/>
                <w:color w:val="000000"/>
                <w:sz w:val="20"/>
                <w:szCs w:val="20"/>
                <w:vertAlign w:val="superscript"/>
                <w:lang w:eastAsia="en-GB"/>
              </w:rPr>
              <w:t>th</w:t>
            </w:r>
            <w:r w:rsidRPr="00CE15CF">
              <w:rPr>
                <w:rFonts w:eastAsia="Times New Roman"/>
                <w:color w:val="000000"/>
                <w:sz w:val="20"/>
                <w:szCs w:val="20"/>
                <w:lang w:eastAsia="en-GB"/>
              </w:rPr>
              <w:t xml:space="preserve"> October 2017. http://www.hemmingfire.com/news/fullstory.php/aid/3027/Solutions_in_foam.html </w:t>
            </w:r>
          </w:p>
        </w:tc>
      </w:tr>
      <w:tr w:rsidR="005446F1" w:rsidRPr="00CE15CF" w14:paraId="7D4D8CD7" w14:textId="77777777" w:rsidTr="003D6476">
        <w:trPr>
          <w:trHeight w:val="1215"/>
        </w:trPr>
        <w:tc>
          <w:tcPr>
            <w:tcW w:w="747" w:type="pct"/>
            <w:tcBorders>
              <w:top w:val="nil"/>
              <w:left w:val="nil"/>
              <w:bottom w:val="nil"/>
              <w:right w:val="nil"/>
            </w:tcBorders>
            <w:shd w:val="clear" w:color="auto" w:fill="auto"/>
            <w:noWrap/>
            <w:vAlign w:val="center"/>
          </w:tcPr>
          <w:p w14:paraId="5D34252F" w14:textId="68045D9A" w:rsidR="005446F1" w:rsidRPr="00CE15CF" w:rsidRDefault="005446F1" w:rsidP="00CE15CF">
            <w:pPr>
              <w:rPr>
                <w:rFonts w:eastAsia="Times New Roman"/>
                <w:color w:val="000000"/>
                <w:sz w:val="20"/>
                <w:szCs w:val="20"/>
                <w:lang w:eastAsia="en-GB"/>
              </w:rPr>
            </w:pPr>
            <w:r w:rsidRPr="00CE15CF">
              <w:rPr>
                <w:rFonts w:eastAsia="Times New Roman"/>
                <w:color w:val="000000"/>
                <w:sz w:val="20"/>
                <w:szCs w:val="20"/>
                <w:lang w:eastAsia="en-GB"/>
              </w:rPr>
              <w:t>IAEA, WHO</w:t>
            </w:r>
          </w:p>
        </w:tc>
        <w:tc>
          <w:tcPr>
            <w:tcW w:w="447" w:type="pct"/>
            <w:tcBorders>
              <w:top w:val="nil"/>
              <w:left w:val="nil"/>
              <w:bottom w:val="nil"/>
              <w:right w:val="nil"/>
            </w:tcBorders>
            <w:shd w:val="clear" w:color="auto" w:fill="auto"/>
            <w:noWrap/>
            <w:vAlign w:val="center"/>
          </w:tcPr>
          <w:p w14:paraId="3483699F" w14:textId="10E8AAAE" w:rsidR="005446F1" w:rsidRPr="00CE15CF" w:rsidRDefault="005446F1" w:rsidP="00CE15CF">
            <w:pPr>
              <w:rPr>
                <w:rFonts w:eastAsia="Times New Roman"/>
                <w:color w:val="000000"/>
                <w:sz w:val="20"/>
                <w:szCs w:val="20"/>
                <w:lang w:eastAsia="en-GB"/>
              </w:rPr>
            </w:pPr>
            <w:r w:rsidRPr="00CE15CF">
              <w:rPr>
                <w:rFonts w:eastAsia="Times New Roman"/>
                <w:color w:val="000000"/>
                <w:sz w:val="20"/>
                <w:szCs w:val="20"/>
                <w:lang w:eastAsia="en-GB"/>
              </w:rPr>
              <w:t>2015</w:t>
            </w:r>
          </w:p>
        </w:tc>
        <w:tc>
          <w:tcPr>
            <w:tcW w:w="3806" w:type="pct"/>
            <w:tcBorders>
              <w:top w:val="nil"/>
              <w:left w:val="nil"/>
              <w:bottom w:val="nil"/>
              <w:right w:val="nil"/>
            </w:tcBorders>
            <w:shd w:val="clear" w:color="auto" w:fill="auto"/>
            <w:vAlign w:val="center"/>
          </w:tcPr>
          <w:p w14:paraId="3077C1AB" w14:textId="777CBC68" w:rsidR="005446F1" w:rsidRPr="00CE15CF" w:rsidRDefault="005446F1" w:rsidP="00CE15CF">
            <w:pPr>
              <w:rPr>
                <w:rFonts w:eastAsia="Times New Roman"/>
                <w:color w:val="000000"/>
                <w:sz w:val="20"/>
                <w:szCs w:val="20"/>
                <w:lang w:eastAsia="en-GB"/>
              </w:rPr>
            </w:pPr>
            <w:r w:rsidRPr="00CE15CF">
              <w:rPr>
                <w:rFonts w:eastAsiaTheme="minorEastAsia"/>
                <w:sz w:val="20"/>
                <w:lang w:eastAsia="ko-KR"/>
              </w:rPr>
              <w:t xml:space="preserve">Worldwide implementation of digital imaging in radiology, IAEA Human health series No. 28, </w:t>
            </w:r>
            <w:hyperlink r:id="rId26" w:history="1">
              <w:r w:rsidRPr="00CE15CF">
                <w:rPr>
                  <w:rStyle w:val="Hyperlink"/>
                  <w:rFonts w:eastAsiaTheme="minorEastAsia"/>
                  <w:sz w:val="20"/>
                  <w:lang w:eastAsia="ko-KR"/>
                </w:rPr>
                <w:t>http://www-pub.iaea.org/MTCD/Publications/PDF/Pub1647web.pdf</w:t>
              </w:r>
            </w:hyperlink>
          </w:p>
        </w:tc>
      </w:tr>
      <w:tr w:rsidR="00FC3DEE" w:rsidRPr="00CE15CF" w14:paraId="6B9359B8" w14:textId="77777777" w:rsidTr="003D6476">
        <w:trPr>
          <w:trHeight w:val="960"/>
        </w:trPr>
        <w:tc>
          <w:tcPr>
            <w:tcW w:w="747" w:type="pct"/>
            <w:tcBorders>
              <w:top w:val="nil"/>
              <w:left w:val="nil"/>
              <w:bottom w:val="nil"/>
              <w:right w:val="nil"/>
            </w:tcBorders>
            <w:shd w:val="clear" w:color="auto" w:fill="auto"/>
            <w:noWrap/>
            <w:vAlign w:val="center"/>
            <w:hideMark/>
          </w:tcPr>
          <w:p w14:paraId="52473E45" w14:textId="77777777" w:rsidR="00FC3DEE" w:rsidRPr="00CE15CF" w:rsidRDefault="00FC3DEE" w:rsidP="00CE15CF">
            <w:pPr>
              <w:rPr>
                <w:sz w:val="20"/>
              </w:rPr>
            </w:pPr>
            <w:r w:rsidRPr="00CE15CF">
              <w:rPr>
                <w:sz w:val="20"/>
              </w:rPr>
              <w:lastRenderedPageBreak/>
              <w:t>I &amp; P Europe</w:t>
            </w:r>
          </w:p>
        </w:tc>
        <w:tc>
          <w:tcPr>
            <w:tcW w:w="447" w:type="pct"/>
            <w:tcBorders>
              <w:top w:val="nil"/>
              <w:left w:val="nil"/>
              <w:bottom w:val="nil"/>
              <w:right w:val="nil"/>
            </w:tcBorders>
            <w:shd w:val="clear" w:color="auto" w:fill="auto"/>
            <w:noWrap/>
            <w:vAlign w:val="center"/>
            <w:hideMark/>
          </w:tcPr>
          <w:p w14:paraId="122CC166" w14:textId="77777777" w:rsidR="00FC3DEE" w:rsidRPr="00CE15CF" w:rsidRDefault="00FC3DEE" w:rsidP="00CE15CF">
            <w:pPr>
              <w:rPr>
                <w:sz w:val="20"/>
              </w:rPr>
            </w:pPr>
            <w:r w:rsidRPr="00CE15CF">
              <w:rPr>
                <w:sz w:val="20"/>
              </w:rPr>
              <w:t>2015</w:t>
            </w:r>
          </w:p>
        </w:tc>
        <w:tc>
          <w:tcPr>
            <w:tcW w:w="3806" w:type="pct"/>
            <w:tcBorders>
              <w:top w:val="nil"/>
              <w:left w:val="nil"/>
              <w:bottom w:val="nil"/>
              <w:right w:val="nil"/>
            </w:tcBorders>
            <w:shd w:val="clear" w:color="auto" w:fill="auto"/>
            <w:vAlign w:val="center"/>
            <w:hideMark/>
          </w:tcPr>
          <w:p w14:paraId="5A0421D9" w14:textId="77777777" w:rsidR="00FC3DEE" w:rsidRPr="00CE15CF" w:rsidRDefault="00FC3DEE" w:rsidP="00CE15CF">
            <w:pPr>
              <w:rPr>
                <w:sz w:val="20"/>
              </w:rPr>
            </w:pPr>
            <w:r w:rsidRPr="00CE15CF">
              <w:rPr>
                <w:sz w:val="20"/>
              </w:rPr>
              <w:t>ECHA public consultation on the proposed restriction on the manufacturing, use and placing on the market of Perfluorooctanoic acid (PFOA), its salts and PFOA-related substances. Imaging and Printing Europe, 2015.</w:t>
            </w:r>
          </w:p>
        </w:tc>
      </w:tr>
      <w:tr w:rsidR="00FC3DEE" w:rsidRPr="00CE15CF" w14:paraId="7CAE7A86" w14:textId="77777777" w:rsidTr="003D6476">
        <w:trPr>
          <w:trHeight w:val="845"/>
        </w:trPr>
        <w:tc>
          <w:tcPr>
            <w:tcW w:w="747" w:type="pct"/>
            <w:tcBorders>
              <w:top w:val="nil"/>
              <w:left w:val="nil"/>
              <w:bottom w:val="nil"/>
              <w:right w:val="nil"/>
            </w:tcBorders>
            <w:shd w:val="clear" w:color="auto" w:fill="auto"/>
            <w:noWrap/>
            <w:vAlign w:val="center"/>
            <w:hideMark/>
          </w:tcPr>
          <w:p w14:paraId="0EE5EA86" w14:textId="77777777" w:rsidR="00FC3DEE" w:rsidRPr="00CE15CF" w:rsidRDefault="00FC3DEE" w:rsidP="00CE15CF">
            <w:pPr>
              <w:rPr>
                <w:sz w:val="20"/>
              </w:rPr>
            </w:pPr>
            <w:r w:rsidRPr="00CE15CF">
              <w:rPr>
                <w:sz w:val="20"/>
              </w:rPr>
              <w:t>I &amp; P Europe</w:t>
            </w:r>
          </w:p>
        </w:tc>
        <w:tc>
          <w:tcPr>
            <w:tcW w:w="447" w:type="pct"/>
            <w:tcBorders>
              <w:top w:val="nil"/>
              <w:left w:val="nil"/>
              <w:bottom w:val="nil"/>
              <w:right w:val="nil"/>
            </w:tcBorders>
            <w:shd w:val="clear" w:color="auto" w:fill="auto"/>
            <w:noWrap/>
            <w:vAlign w:val="center"/>
            <w:hideMark/>
          </w:tcPr>
          <w:p w14:paraId="2562C1C4" w14:textId="77777777" w:rsidR="00FC3DEE" w:rsidRPr="00CE15CF" w:rsidRDefault="00FC3DEE" w:rsidP="00CE15CF">
            <w:pPr>
              <w:rPr>
                <w:sz w:val="20"/>
              </w:rPr>
            </w:pPr>
            <w:r w:rsidRPr="00CE15CF">
              <w:rPr>
                <w:sz w:val="20"/>
              </w:rPr>
              <w:t>2016</w:t>
            </w:r>
          </w:p>
        </w:tc>
        <w:tc>
          <w:tcPr>
            <w:tcW w:w="3806" w:type="pct"/>
            <w:tcBorders>
              <w:top w:val="nil"/>
              <w:left w:val="nil"/>
              <w:bottom w:val="nil"/>
              <w:right w:val="nil"/>
            </w:tcBorders>
            <w:shd w:val="clear" w:color="auto" w:fill="auto"/>
            <w:vAlign w:val="center"/>
            <w:hideMark/>
          </w:tcPr>
          <w:p w14:paraId="58B040B0" w14:textId="77777777" w:rsidR="00FC3DEE" w:rsidRPr="00CE15CF" w:rsidRDefault="00FC3DEE" w:rsidP="00CE15CF">
            <w:pPr>
              <w:rPr>
                <w:sz w:val="20"/>
              </w:rPr>
            </w:pPr>
            <w:r w:rsidRPr="00CE15CF">
              <w:rPr>
                <w:sz w:val="20"/>
              </w:rPr>
              <w:t>Imaging &amp; Printing Association Europe. Annex F form. Submitted 24 November 2016. Available from: http://chm.pops.int/TheConvention/POPsReviewCommittee/Meetings/POPRC12/POPRC12Followup/PFOAInfo/tabid/5453/Default.aspx.</w:t>
            </w:r>
          </w:p>
        </w:tc>
      </w:tr>
      <w:tr w:rsidR="00FC3DEE" w:rsidRPr="00CE15CF" w14:paraId="246D34DB" w14:textId="77777777" w:rsidTr="003D6476">
        <w:trPr>
          <w:trHeight w:val="524"/>
        </w:trPr>
        <w:tc>
          <w:tcPr>
            <w:tcW w:w="747" w:type="pct"/>
            <w:tcBorders>
              <w:top w:val="nil"/>
              <w:left w:val="nil"/>
              <w:bottom w:val="nil"/>
              <w:right w:val="nil"/>
            </w:tcBorders>
            <w:shd w:val="clear" w:color="auto" w:fill="auto"/>
            <w:vAlign w:val="center"/>
            <w:hideMark/>
          </w:tcPr>
          <w:p w14:paraId="4C9F57AC" w14:textId="77777777" w:rsidR="00FC3DEE" w:rsidRPr="00CE15CF" w:rsidRDefault="00FC3DEE" w:rsidP="00CE15CF">
            <w:pPr>
              <w:rPr>
                <w:sz w:val="20"/>
              </w:rPr>
            </w:pPr>
            <w:r w:rsidRPr="00CE15CF">
              <w:rPr>
                <w:sz w:val="20"/>
              </w:rPr>
              <w:t>IPEN</w:t>
            </w:r>
          </w:p>
        </w:tc>
        <w:tc>
          <w:tcPr>
            <w:tcW w:w="447" w:type="pct"/>
            <w:tcBorders>
              <w:top w:val="nil"/>
              <w:left w:val="nil"/>
              <w:bottom w:val="nil"/>
              <w:right w:val="nil"/>
            </w:tcBorders>
            <w:shd w:val="clear" w:color="auto" w:fill="auto"/>
            <w:vAlign w:val="center"/>
            <w:hideMark/>
          </w:tcPr>
          <w:p w14:paraId="17F33808" w14:textId="77777777" w:rsidR="00FC3DEE" w:rsidRPr="00CE15CF" w:rsidRDefault="00FC3DEE" w:rsidP="00CE15CF">
            <w:pPr>
              <w:rPr>
                <w:sz w:val="20"/>
              </w:rPr>
            </w:pPr>
            <w:r w:rsidRPr="00CE15CF">
              <w:rPr>
                <w:sz w:val="20"/>
              </w:rPr>
              <w:t>2016</w:t>
            </w:r>
          </w:p>
        </w:tc>
        <w:tc>
          <w:tcPr>
            <w:tcW w:w="3806" w:type="pct"/>
            <w:tcBorders>
              <w:top w:val="nil"/>
              <w:left w:val="nil"/>
              <w:bottom w:val="nil"/>
              <w:right w:val="nil"/>
            </w:tcBorders>
            <w:shd w:val="clear" w:color="auto" w:fill="auto"/>
            <w:vAlign w:val="center"/>
            <w:hideMark/>
          </w:tcPr>
          <w:p w14:paraId="68B93683" w14:textId="3713725A" w:rsidR="00FC3DEE" w:rsidRPr="00CE15CF" w:rsidRDefault="00FC3DEE" w:rsidP="00CE15CF">
            <w:pPr>
              <w:rPr>
                <w:sz w:val="20"/>
              </w:rPr>
            </w:pPr>
            <w:r w:rsidRPr="00CE15CF">
              <w:rPr>
                <w:sz w:val="20"/>
              </w:rPr>
              <w:t>Submission as part of the call for information in development of the RME</w:t>
            </w:r>
          </w:p>
        </w:tc>
      </w:tr>
      <w:tr w:rsidR="00FC3DEE" w:rsidRPr="00A86236" w14:paraId="71553C8D" w14:textId="77777777" w:rsidTr="003D6476">
        <w:trPr>
          <w:trHeight w:val="1449"/>
        </w:trPr>
        <w:tc>
          <w:tcPr>
            <w:tcW w:w="747" w:type="pct"/>
            <w:tcBorders>
              <w:top w:val="nil"/>
              <w:left w:val="nil"/>
              <w:bottom w:val="nil"/>
              <w:right w:val="nil"/>
            </w:tcBorders>
            <w:shd w:val="clear" w:color="auto" w:fill="auto"/>
            <w:vAlign w:val="center"/>
            <w:hideMark/>
          </w:tcPr>
          <w:p w14:paraId="0C91734E" w14:textId="77777777" w:rsidR="00FC3DEE" w:rsidRPr="00CE15CF" w:rsidRDefault="00FC3DEE" w:rsidP="00CE15CF">
            <w:pPr>
              <w:rPr>
                <w:sz w:val="20"/>
              </w:rPr>
            </w:pPr>
            <w:proofErr w:type="spellStart"/>
            <w:r w:rsidRPr="00CE15CF">
              <w:rPr>
                <w:sz w:val="20"/>
              </w:rPr>
              <w:t>Keutel</w:t>
            </w:r>
            <w:proofErr w:type="spellEnd"/>
            <w:r w:rsidRPr="00CE15CF">
              <w:rPr>
                <w:sz w:val="20"/>
              </w:rPr>
              <w:t xml:space="preserve"> and Koch</w:t>
            </w:r>
          </w:p>
        </w:tc>
        <w:tc>
          <w:tcPr>
            <w:tcW w:w="447" w:type="pct"/>
            <w:tcBorders>
              <w:top w:val="nil"/>
              <w:left w:val="nil"/>
              <w:bottom w:val="nil"/>
              <w:right w:val="nil"/>
            </w:tcBorders>
            <w:shd w:val="clear" w:color="auto" w:fill="auto"/>
            <w:vAlign w:val="center"/>
            <w:hideMark/>
          </w:tcPr>
          <w:p w14:paraId="43011E39" w14:textId="77777777" w:rsidR="00FC3DEE" w:rsidRPr="00CE15CF" w:rsidRDefault="00FC3DEE" w:rsidP="00CE15CF">
            <w:pPr>
              <w:rPr>
                <w:sz w:val="20"/>
              </w:rPr>
            </w:pPr>
            <w:r w:rsidRPr="00CE15CF">
              <w:rPr>
                <w:sz w:val="20"/>
              </w:rPr>
              <w:t>2016</w:t>
            </w:r>
          </w:p>
        </w:tc>
        <w:tc>
          <w:tcPr>
            <w:tcW w:w="3806" w:type="pct"/>
            <w:tcBorders>
              <w:top w:val="nil"/>
              <w:left w:val="nil"/>
              <w:bottom w:val="nil"/>
              <w:right w:val="nil"/>
            </w:tcBorders>
            <w:shd w:val="clear" w:color="auto" w:fill="auto"/>
            <w:vAlign w:val="center"/>
            <w:hideMark/>
          </w:tcPr>
          <w:p w14:paraId="1CF154F7" w14:textId="77777777" w:rsidR="00FC3DEE" w:rsidRPr="00CE15CF" w:rsidRDefault="00FC3DEE" w:rsidP="00CE15CF">
            <w:pPr>
              <w:rPr>
                <w:sz w:val="20"/>
                <w:lang w:val="de-DE"/>
              </w:rPr>
            </w:pPr>
            <w:r w:rsidRPr="00CE15CF">
              <w:rPr>
                <w:sz w:val="20"/>
                <w:lang w:val="de-DE"/>
              </w:rPr>
              <w:t>Untersuchung fluortensidfreier Löschmittel und geeigneter Löschverfahren zur Bekämpfung von Bränden häufig verwendeter polarer (d. h. schaumzerstörender) Flüssigkeiten. Brandschutzforschung der Bundesländer. Forschungsbericht 187 von Karola Keutel und Mario Koch. Available at https://idf.sachsen-anhalt.de/fileadmin/Bibliothek/Politik_und_Verwaltung/MI/IDF/ IBK/Dokumente/Forschung/Fo_Publikationen/imk_ber/bericht_187.pdf</w:t>
            </w:r>
          </w:p>
        </w:tc>
      </w:tr>
      <w:tr w:rsidR="00FC3DEE" w:rsidRPr="00CE15CF" w14:paraId="622DFC7A" w14:textId="77777777" w:rsidTr="003D6476">
        <w:trPr>
          <w:trHeight w:val="1002"/>
        </w:trPr>
        <w:tc>
          <w:tcPr>
            <w:tcW w:w="747" w:type="pct"/>
            <w:tcBorders>
              <w:top w:val="nil"/>
              <w:left w:val="nil"/>
              <w:bottom w:val="nil"/>
              <w:right w:val="nil"/>
            </w:tcBorders>
            <w:shd w:val="clear" w:color="auto" w:fill="auto"/>
            <w:vAlign w:val="center"/>
            <w:hideMark/>
          </w:tcPr>
          <w:p w14:paraId="6E00EF98" w14:textId="77777777" w:rsidR="00FC3DEE" w:rsidRPr="00CE15CF" w:rsidRDefault="00FC3DEE" w:rsidP="00CE15CF">
            <w:pPr>
              <w:rPr>
                <w:sz w:val="20"/>
              </w:rPr>
            </w:pPr>
            <w:r w:rsidRPr="00CE15CF">
              <w:rPr>
                <w:sz w:val="20"/>
              </w:rPr>
              <w:t>Klein</w:t>
            </w:r>
          </w:p>
        </w:tc>
        <w:tc>
          <w:tcPr>
            <w:tcW w:w="447" w:type="pct"/>
            <w:tcBorders>
              <w:top w:val="nil"/>
              <w:left w:val="nil"/>
              <w:bottom w:val="nil"/>
              <w:right w:val="nil"/>
            </w:tcBorders>
            <w:shd w:val="clear" w:color="auto" w:fill="auto"/>
            <w:vAlign w:val="center"/>
            <w:hideMark/>
          </w:tcPr>
          <w:p w14:paraId="34F49C85" w14:textId="77777777" w:rsidR="00FC3DEE" w:rsidRPr="00CE15CF" w:rsidRDefault="00FC3DEE" w:rsidP="00CE15CF">
            <w:pPr>
              <w:rPr>
                <w:sz w:val="20"/>
              </w:rPr>
            </w:pPr>
            <w:r w:rsidRPr="00CE15CF">
              <w:rPr>
                <w:sz w:val="20"/>
              </w:rPr>
              <w:t>2012</w:t>
            </w:r>
          </w:p>
        </w:tc>
        <w:tc>
          <w:tcPr>
            <w:tcW w:w="3806" w:type="pct"/>
            <w:tcBorders>
              <w:top w:val="nil"/>
              <w:left w:val="nil"/>
              <w:bottom w:val="nil"/>
              <w:right w:val="nil"/>
            </w:tcBorders>
            <w:shd w:val="clear" w:color="auto" w:fill="auto"/>
            <w:vAlign w:val="center"/>
            <w:hideMark/>
          </w:tcPr>
          <w:p w14:paraId="27256F5D" w14:textId="59DA02B0" w:rsidR="00FC3DEE" w:rsidRPr="00CE15CF" w:rsidRDefault="00FC3DEE" w:rsidP="00CE15CF">
            <w:pPr>
              <w:rPr>
                <w:sz w:val="20"/>
              </w:rPr>
            </w:pPr>
            <w:r w:rsidRPr="00CE15CF">
              <w:rPr>
                <w:sz w:val="20"/>
              </w:rPr>
              <w:t xml:space="preserve">Comments on the draft technical paper on the identification and assessment on alternatives to the use of </w:t>
            </w:r>
            <w:proofErr w:type="spellStart"/>
            <w:r w:rsidRPr="00CE15CF">
              <w:rPr>
                <w:sz w:val="20"/>
              </w:rPr>
              <w:t>perfluorooctane</w:t>
            </w:r>
            <w:proofErr w:type="spellEnd"/>
            <w:r w:rsidRPr="00CE15CF">
              <w:rPr>
                <w:sz w:val="20"/>
              </w:rPr>
              <w:t xml:space="preserve"> sulfonic </w:t>
            </w:r>
            <w:r w:rsidR="00136B9D" w:rsidRPr="00CE15CF">
              <w:rPr>
                <w:rFonts w:eastAsia="Times New Roman"/>
                <w:sz w:val="20"/>
                <w:szCs w:val="20"/>
                <w:lang w:eastAsia="en-GB"/>
              </w:rPr>
              <w:t xml:space="preserve">acid </w:t>
            </w:r>
            <w:r w:rsidRPr="00CE15CF">
              <w:rPr>
                <w:sz w:val="20"/>
              </w:rPr>
              <w:t>(PFOS) in open applications</w:t>
            </w:r>
            <w:r w:rsidR="00136B9D" w:rsidRPr="00CE15CF">
              <w:rPr>
                <w:rFonts w:eastAsia="Times New Roman"/>
                <w:sz w:val="20"/>
                <w:szCs w:val="20"/>
                <w:lang w:eastAsia="en-GB"/>
              </w:rPr>
              <w:t xml:space="preserve"> submitted as a follow </w:t>
            </w:r>
            <w:r w:rsidR="00136B9D" w:rsidRPr="00CE15CF">
              <w:rPr>
                <w:sz w:val="20"/>
              </w:rPr>
              <w:t>up</w:t>
            </w:r>
            <w:r w:rsidR="00136B9D" w:rsidRPr="00CE15CF">
              <w:rPr>
                <w:rFonts w:eastAsia="Times New Roman"/>
                <w:sz w:val="20"/>
                <w:szCs w:val="20"/>
                <w:lang w:eastAsia="en-GB"/>
              </w:rPr>
              <w:t xml:space="preserve"> to </w:t>
            </w:r>
            <w:r w:rsidRPr="00CE15CF">
              <w:rPr>
                <w:rFonts w:eastAsia="Times New Roman"/>
                <w:sz w:val="20"/>
                <w:szCs w:val="20"/>
                <w:lang w:eastAsia="en-GB"/>
              </w:rPr>
              <w:t>POPRC</w:t>
            </w:r>
            <w:r w:rsidR="00136B9D" w:rsidRPr="00CE15CF">
              <w:rPr>
                <w:rFonts w:eastAsia="Times New Roman"/>
                <w:sz w:val="20"/>
                <w:szCs w:val="20"/>
                <w:lang w:eastAsia="en-GB"/>
              </w:rPr>
              <w:t>-</w:t>
            </w:r>
            <w:r w:rsidRPr="00CE15CF">
              <w:rPr>
                <w:rFonts w:eastAsia="Times New Roman"/>
                <w:sz w:val="20"/>
                <w:szCs w:val="20"/>
                <w:lang w:eastAsia="en-GB"/>
              </w:rPr>
              <w:t>7</w:t>
            </w:r>
            <w:r w:rsidR="00136B9D" w:rsidRPr="00CE15CF">
              <w:rPr>
                <w:rFonts w:eastAsia="Times New Roman"/>
                <w:sz w:val="20"/>
                <w:szCs w:val="20"/>
                <w:lang w:eastAsia="en-GB"/>
              </w:rPr>
              <w:t>.</w:t>
            </w:r>
          </w:p>
        </w:tc>
      </w:tr>
      <w:tr w:rsidR="00FC3DEE" w:rsidRPr="00CE15CF" w14:paraId="1DF52407" w14:textId="77777777" w:rsidTr="003D6476">
        <w:trPr>
          <w:trHeight w:val="353"/>
        </w:trPr>
        <w:tc>
          <w:tcPr>
            <w:tcW w:w="747" w:type="pct"/>
            <w:tcBorders>
              <w:top w:val="nil"/>
              <w:left w:val="nil"/>
              <w:bottom w:val="nil"/>
              <w:right w:val="nil"/>
            </w:tcBorders>
            <w:shd w:val="clear" w:color="auto" w:fill="auto"/>
            <w:vAlign w:val="center"/>
            <w:hideMark/>
          </w:tcPr>
          <w:p w14:paraId="193BCF48" w14:textId="77777777" w:rsidR="00FC3DEE" w:rsidRPr="00CE15CF" w:rsidRDefault="00FC3DEE" w:rsidP="00CE15CF">
            <w:pPr>
              <w:rPr>
                <w:sz w:val="20"/>
              </w:rPr>
            </w:pPr>
            <w:r w:rsidRPr="00CE15CF">
              <w:rPr>
                <w:sz w:val="20"/>
              </w:rPr>
              <w:t>Klein</w:t>
            </w:r>
          </w:p>
        </w:tc>
        <w:tc>
          <w:tcPr>
            <w:tcW w:w="447" w:type="pct"/>
            <w:tcBorders>
              <w:top w:val="nil"/>
              <w:left w:val="nil"/>
              <w:bottom w:val="nil"/>
              <w:right w:val="nil"/>
            </w:tcBorders>
            <w:shd w:val="clear" w:color="auto" w:fill="auto"/>
            <w:vAlign w:val="center"/>
            <w:hideMark/>
          </w:tcPr>
          <w:p w14:paraId="268BB368" w14:textId="77777777" w:rsidR="00FC3DEE" w:rsidRPr="00CE15CF" w:rsidRDefault="00FC3DEE" w:rsidP="00CE15CF">
            <w:pPr>
              <w:rPr>
                <w:sz w:val="20"/>
              </w:rPr>
            </w:pPr>
            <w:r w:rsidRPr="00CE15CF">
              <w:rPr>
                <w:sz w:val="20"/>
              </w:rPr>
              <w:t>2013</w:t>
            </w:r>
          </w:p>
        </w:tc>
        <w:tc>
          <w:tcPr>
            <w:tcW w:w="3806" w:type="pct"/>
            <w:tcBorders>
              <w:top w:val="nil"/>
              <w:left w:val="nil"/>
              <w:bottom w:val="nil"/>
              <w:right w:val="nil"/>
            </w:tcBorders>
            <w:shd w:val="clear" w:color="auto" w:fill="auto"/>
            <w:vAlign w:val="center"/>
            <w:hideMark/>
          </w:tcPr>
          <w:p w14:paraId="586E63BD" w14:textId="27F1B615" w:rsidR="00FC3DEE" w:rsidRPr="00CE15CF" w:rsidRDefault="00FC3DEE" w:rsidP="00CE15CF">
            <w:pPr>
              <w:rPr>
                <w:sz w:val="20"/>
              </w:rPr>
            </w:pPr>
            <w:r w:rsidRPr="00CE15CF">
              <w:rPr>
                <w:sz w:val="20"/>
              </w:rPr>
              <w:t xml:space="preserve">the cost and still counting - </w:t>
            </w:r>
            <w:r w:rsidR="00C34465" w:rsidRPr="00CE15CF">
              <w:rPr>
                <w:sz w:val="20"/>
              </w:rPr>
              <w:t>fire-fighting</w:t>
            </w:r>
            <w:r w:rsidRPr="00CE15CF">
              <w:rPr>
                <w:sz w:val="20"/>
              </w:rPr>
              <w:t xml:space="preserve"> foam, disposal, remediation, and lifetime costs. Industrial Fire Journal.</w:t>
            </w:r>
          </w:p>
        </w:tc>
      </w:tr>
      <w:tr w:rsidR="00FC3DEE" w:rsidRPr="00CE15CF" w14:paraId="1524ADC9" w14:textId="77777777" w:rsidTr="003D6476">
        <w:trPr>
          <w:trHeight w:val="1235"/>
        </w:trPr>
        <w:tc>
          <w:tcPr>
            <w:tcW w:w="747" w:type="pct"/>
            <w:tcBorders>
              <w:top w:val="nil"/>
              <w:left w:val="nil"/>
              <w:bottom w:val="nil"/>
              <w:right w:val="nil"/>
            </w:tcBorders>
            <w:shd w:val="clear" w:color="auto" w:fill="auto"/>
            <w:vAlign w:val="center"/>
            <w:hideMark/>
          </w:tcPr>
          <w:p w14:paraId="6073D644" w14:textId="77777777" w:rsidR="00FC3DEE" w:rsidRPr="00CE15CF" w:rsidRDefault="00FC3DEE" w:rsidP="00CE15CF">
            <w:pPr>
              <w:rPr>
                <w:sz w:val="20"/>
              </w:rPr>
            </w:pPr>
            <w:proofErr w:type="spellStart"/>
            <w:r w:rsidRPr="00CE15CF">
              <w:rPr>
                <w:sz w:val="20"/>
              </w:rPr>
              <w:t>Kleiner</w:t>
            </w:r>
            <w:proofErr w:type="spellEnd"/>
            <w:r w:rsidRPr="00CE15CF">
              <w:rPr>
                <w:sz w:val="20"/>
              </w:rPr>
              <w:t xml:space="preserve"> and </w:t>
            </w:r>
            <w:proofErr w:type="spellStart"/>
            <w:r w:rsidRPr="00CE15CF">
              <w:rPr>
                <w:sz w:val="20"/>
              </w:rPr>
              <w:t>Jho</w:t>
            </w:r>
            <w:proofErr w:type="spellEnd"/>
          </w:p>
        </w:tc>
        <w:tc>
          <w:tcPr>
            <w:tcW w:w="447" w:type="pct"/>
            <w:tcBorders>
              <w:top w:val="nil"/>
              <w:left w:val="nil"/>
              <w:bottom w:val="nil"/>
              <w:right w:val="nil"/>
            </w:tcBorders>
            <w:shd w:val="clear" w:color="auto" w:fill="auto"/>
            <w:vAlign w:val="center"/>
            <w:hideMark/>
          </w:tcPr>
          <w:p w14:paraId="56EFD19B" w14:textId="77777777" w:rsidR="00FC3DEE" w:rsidRPr="00CE15CF" w:rsidRDefault="00FC3DEE" w:rsidP="00CE15CF">
            <w:pPr>
              <w:rPr>
                <w:sz w:val="20"/>
              </w:rPr>
            </w:pPr>
            <w:r w:rsidRPr="00CE15CF">
              <w:rPr>
                <w:sz w:val="20"/>
              </w:rPr>
              <w:t>2009</w:t>
            </w:r>
          </w:p>
        </w:tc>
        <w:tc>
          <w:tcPr>
            <w:tcW w:w="3806" w:type="pct"/>
            <w:tcBorders>
              <w:top w:val="nil"/>
              <w:left w:val="nil"/>
              <w:bottom w:val="nil"/>
              <w:right w:val="nil"/>
            </w:tcBorders>
            <w:shd w:val="clear" w:color="auto" w:fill="auto"/>
            <w:vAlign w:val="center"/>
            <w:hideMark/>
          </w:tcPr>
          <w:p w14:paraId="49491E85" w14:textId="4BE21C3F" w:rsidR="00FC3DEE" w:rsidRPr="00CE15CF" w:rsidRDefault="00FC3DEE" w:rsidP="00CE15CF">
            <w:pPr>
              <w:rPr>
                <w:sz w:val="20"/>
              </w:rPr>
            </w:pPr>
            <w:r w:rsidRPr="00CE15CF">
              <w:rPr>
                <w:sz w:val="20"/>
              </w:rPr>
              <w:t>Recent developments in 6:2 fluorotelomer surfactants and foam stabilizers.4th Reebok Foam Seminar. 6-7 July 2009. Bolton, UK</w:t>
            </w:r>
            <w:r w:rsidRPr="00CE15CF">
              <w:rPr>
                <w:rFonts w:eastAsia="Times New Roman"/>
                <w:sz w:val="20"/>
                <w:szCs w:val="20"/>
                <w:lang w:eastAsia="en-GB"/>
              </w:rPr>
              <w:t>.</w:t>
            </w:r>
            <w:r w:rsidR="00DC16A7" w:rsidRPr="00CE15CF">
              <w:rPr>
                <w:rFonts w:eastAsia="Times New Roman"/>
                <w:sz w:val="20"/>
                <w:szCs w:val="20"/>
                <w:lang w:eastAsia="en-GB"/>
              </w:rPr>
              <w:t xml:space="preserve"> (</w:t>
            </w:r>
            <w:proofErr w:type="spellStart"/>
            <w:r w:rsidRPr="00CE15CF">
              <w:rPr>
                <w:sz w:val="20"/>
              </w:rPr>
              <w:t>Krippner</w:t>
            </w:r>
            <w:proofErr w:type="spellEnd"/>
            <w:r w:rsidRPr="00CE15CF">
              <w:rPr>
                <w:sz w:val="20"/>
              </w:rPr>
              <w:t xml:space="preserve"> et al., 2014</w:t>
            </w:r>
            <w:r w:rsidR="00DC16A7" w:rsidRPr="00CE15CF">
              <w:rPr>
                <w:rFonts w:eastAsia="Times New Roman"/>
                <w:sz w:val="20"/>
                <w:szCs w:val="20"/>
                <w:lang w:eastAsia="en-GB"/>
              </w:rPr>
              <w:t>)</w:t>
            </w:r>
            <w:r w:rsidRPr="00CE15CF">
              <w:rPr>
                <w:sz w:val="20"/>
              </w:rPr>
              <w:t xml:space="preserve"> </w:t>
            </w:r>
            <w:proofErr w:type="spellStart"/>
            <w:r w:rsidRPr="00CE15CF">
              <w:rPr>
                <w:sz w:val="20"/>
              </w:rPr>
              <w:t>Krippner</w:t>
            </w:r>
            <w:proofErr w:type="spellEnd"/>
            <w:r w:rsidRPr="00CE15CF">
              <w:rPr>
                <w:sz w:val="20"/>
              </w:rPr>
              <w:t xml:space="preserve"> J, </w:t>
            </w:r>
            <w:proofErr w:type="spellStart"/>
            <w:r w:rsidRPr="00CE15CF">
              <w:rPr>
                <w:sz w:val="20"/>
              </w:rPr>
              <w:t>Brunn</w:t>
            </w:r>
            <w:proofErr w:type="spellEnd"/>
            <w:r w:rsidRPr="00CE15CF">
              <w:rPr>
                <w:sz w:val="20"/>
              </w:rPr>
              <w:t xml:space="preserve"> H, Falk S, </w:t>
            </w:r>
            <w:proofErr w:type="spellStart"/>
            <w:r w:rsidRPr="00CE15CF">
              <w:rPr>
                <w:sz w:val="20"/>
              </w:rPr>
              <w:t>Georgii</w:t>
            </w:r>
            <w:proofErr w:type="spellEnd"/>
            <w:r w:rsidRPr="00CE15CF">
              <w:rPr>
                <w:sz w:val="20"/>
              </w:rPr>
              <w:t xml:space="preserve"> S, Schubert S, Stahl T (2014) Effects of chain length and pH on the uptake and distribution of perfluoroalkyl substances in maize (</w:t>
            </w:r>
            <w:proofErr w:type="spellStart"/>
            <w:r w:rsidRPr="00CE15CF">
              <w:rPr>
                <w:sz w:val="20"/>
              </w:rPr>
              <w:t>Zea</w:t>
            </w:r>
            <w:proofErr w:type="spellEnd"/>
            <w:r w:rsidRPr="00CE15CF">
              <w:rPr>
                <w:sz w:val="20"/>
              </w:rPr>
              <w:t xml:space="preserve"> mays), Chemosphere 94:85-90</w:t>
            </w:r>
          </w:p>
        </w:tc>
      </w:tr>
      <w:tr w:rsidR="00E01164" w:rsidRPr="00CE15CF" w14:paraId="6079701F" w14:textId="77777777" w:rsidTr="003D6476">
        <w:trPr>
          <w:trHeight w:val="607"/>
        </w:trPr>
        <w:tc>
          <w:tcPr>
            <w:tcW w:w="747" w:type="pct"/>
            <w:tcBorders>
              <w:top w:val="nil"/>
              <w:left w:val="nil"/>
              <w:bottom w:val="nil"/>
              <w:right w:val="nil"/>
            </w:tcBorders>
            <w:shd w:val="clear" w:color="auto" w:fill="auto"/>
            <w:vAlign w:val="center"/>
          </w:tcPr>
          <w:p w14:paraId="323CDAEC" w14:textId="4B6795FB" w:rsidR="00E01164" w:rsidRPr="00CE15CF" w:rsidRDefault="00E01164" w:rsidP="00CE15CF">
            <w:pPr>
              <w:rPr>
                <w:sz w:val="20"/>
              </w:rPr>
            </w:pPr>
            <w:r w:rsidRPr="00CE15CF">
              <w:rPr>
                <w:sz w:val="20"/>
              </w:rPr>
              <w:t>Land et al</w:t>
            </w:r>
            <w:r w:rsidR="002140CD" w:rsidRPr="00CE15CF">
              <w:rPr>
                <w:rFonts w:eastAsia="Times New Roman"/>
                <w:sz w:val="20"/>
                <w:szCs w:val="20"/>
                <w:lang w:eastAsia="en-GB"/>
              </w:rPr>
              <w:t>.</w:t>
            </w:r>
          </w:p>
        </w:tc>
        <w:tc>
          <w:tcPr>
            <w:tcW w:w="447" w:type="pct"/>
            <w:tcBorders>
              <w:top w:val="nil"/>
              <w:left w:val="nil"/>
              <w:bottom w:val="nil"/>
              <w:right w:val="nil"/>
            </w:tcBorders>
            <w:shd w:val="clear" w:color="auto" w:fill="auto"/>
            <w:vAlign w:val="center"/>
          </w:tcPr>
          <w:p w14:paraId="63A7708A" w14:textId="03C9E208" w:rsidR="00E01164" w:rsidRPr="00CE15CF" w:rsidRDefault="00E01164" w:rsidP="00CE15CF">
            <w:pPr>
              <w:rPr>
                <w:sz w:val="20"/>
              </w:rPr>
            </w:pPr>
            <w:r w:rsidRPr="00CE15CF">
              <w:rPr>
                <w:sz w:val="20"/>
              </w:rPr>
              <w:t>2018</w:t>
            </w:r>
          </w:p>
        </w:tc>
        <w:tc>
          <w:tcPr>
            <w:tcW w:w="3806" w:type="pct"/>
            <w:tcBorders>
              <w:top w:val="nil"/>
              <w:left w:val="nil"/>
              <w:bottom w:val="nil"/>
              <w:right w:val="nil"/>
            </w:tcBorders>
            <w:shd w:val="clear" w:color="auto" w:fill="auto"/>
            <w:vAlign w:val="center"/>
          </w:tcPr>
          <w:p w14:paraId="2995520C" w14:textId="0241701D" w:rsidR="00E01164" w:rsidRPr="00CE15CF" w:rsidRDefault="00E01164" w:rsidP="00CE15CF">
            <w:pPr>
              <w:rPr>
                <w:sz w:val="20"/>
              </w:rPr>
            </w:pPr>
            <w:r w:rsidRPr="00CE15CF">
              <w:rPr>
                <w:sz w:val="20"/>
              </w:rPr>
              <w:t xml:space="preserve">Temporal trends of perfluoroalkyl acids in humans and in the environment, </w:t>
            </w:r>
            <w:proofErr w:type="spellStart"/>
            <w:r w:rsidRPr="00CE15CF">
              <w:rPr>
                <w:sz w:val="20"/>
              </w:rPr>
              <w:t>EviEM</w:t>
            </w:r>
            <w:proofErr w:type="spellEnd"/>
            <w:r w:rsidRPr="00CE15CF">
              <w:rPr>
                <w:sz w:val="20"/>
              </w:rPr>
              <w:t>, 2018 systematic review 5</w:t>
            </w:r>
          </w:p>
        </w:tc>
      </w:tr>
      <w:tr w:rsidR="00E76227" w:rsidRPr="00CE15CF" w14:paraId="05B217B6" w14:textId="77777777" w:rsidTr="003D6476">
        <w:trPr>
          <w:trHeight w:val="862"/>
        </w:trPr>
        <w:tc>
          <w:tcPr>
            <w:tcW w:w="747" w:type="pct"/>
            <w:tcBorders>
              <w:top w:val="nil"/>
              <w:left w:val="nil"/>
              <w:bottom w:val="nil"/>
              <w:right w:val="nil"/>
            </w:tcBorders>
            <w:shd w:val="clear" w:color="auto" w:fill="auto"/>
            <w:vAlign w:val="center"/>
          </w:tcPr>
          <w:p w14:paraId="39941CA8" w14:textId="006E7D20" w:rsidR="00E76227" w:rsidRPr="00CE15CF" w:rsidRDefault="006925A8" w:rsidP="00CE15CF">
            <w:pPr>
              <w:rPr>
                <w:sz w:val="20"/>
              </w:rPr>
            </w:pPr>
            <w:r w:rsidRPr="00CE15CF">
              <w:rPr>
                <w:rFonts w:eastAsia="Times New Roman"/>
                <w:color w:val="000000"/>
                <w:sz w:val="20"/>
                <w:szCs w:val="20"/>
                <w:lang w:eastAsia="en-GB"/>
              </w:rPr>
              <w:t xml:space="preserve">Lerner </w:t>
            </w:r>
            <w:proofErr w:type="spellStart"/>
            <w:r w:rsidR="006E49F8" w:rsidRPr="00CE15CF">
              <w:rPr>
                <w:rFonts w:eastAsia="Times New Roman"/>
                <w:sz w:val="20"/>
                <w:szCs w:val="20"/>
                <w:lang w:eastAsia="en-GB"/>
              </w:rPr>
              <w:t>Lehmler</w:t>
            </w:r>
            <w:proofErr w:type="spellEnd"/>
            <w:r w:rsidR="006E49F8" w:rsidRPr="00CE15CF">
              <w:rPr>
                <w:rFonts w:eastAsia="Times New Roman"/>
                <w:sz w:val="20"/>
                <w:szCs w:val="20"/>
                <w:lang w:eastAsia="en-GB"/>
              </w:rPr>
              <w:t xml:space="preserve"> et al. </w:t>
            </w:r>
          </w:p>
        </w:tc>
        <w:tc>
          <w:tcPr>
            <w:tcW w:w="447" w:type="pct"/>
            <w:tcBorders>
              <w:top w:val="nil"/>
              <w:left w:val="nil"/>
              <w:bottom w:val="nil"/>
              <w:right w:val="nil"/>
            </w:tcBorders>
            <w:shd w:val="clear" w:color="auto" w:fill="auto"/>
            <w:vAlign w:val="center"/>
          </w:tcPr>
          <w:p w14:paraId="021C234A" w14:textId="2CAA30C2" w:rsidR="00E76227" w:rsidRPr="00CE15CF" w:rsidRDefault="006925A8" w:rsidP="00CE15CF">
            <w:pPr>
              <w:rPr>
                <w:sz w:val="20"/>
              </w:rPr>
            </w:pPr>
            <w:r w:rsidRPr="00CE15CF">
              <w:rPr>
                <w:rFonts w:eastAsia="Times New Roman"/>
                <w:color w:val="000000"/>
                <w:sz w:val="20"/>
                <w:szCs w:val="20"/>
                <w:lang w:eastAsia="en-GB"/>
              </w:rPr>
              <w:t>2018</w:t>
            </w:r>
            <w:r w:rsidR="006E49F8" w:rsidRPr="00CE15CF">
              <w:rPr>
                <w:rFonts w:eastAsia="Times New Roman"/>
                <w:sz w:val="20"/>
                <w:szCs w:val="20"/>
                <w:lang w:eastAsia="en-GB"/>
              </w:rPr>
              <w:t>2007</w:t>
            </w:r>
          </w:p>
        </w:tc>
        <w:tc>
          <w:tcPr>
            <w:tcW w:w="3806" w:type="pct"/>
            <w:tcBorders>
              <w:top w:val="nil"/>
              <w:left w:val="nil"/>
              <w:bottom w:val="nil"/>
              <w:right w:val="nil"/>
            </w:tcBorders>
            <w:shd w:val="clear" w:color="auto" w:fill="auto"/>
            <w:vAlign w:val="center"/>
          </w:tcPr>
          <w:p w14:paraId="0C828196" w14:textId="7735D30B" w:rsidR="00E76227" w:rsidRPr="00CE15CF" w:rsidRDefault="006925A8" w:rsidP="00CE15CF">
            <w:pPr>
              <w:rPr>
                <w:sz w:val="20"/>
              </w:rPr>
            </w:pPr>
            <w:r w:rsidRPr="00CE15CF">
              <w:rPr>
                <w:rFonts w:eastAsia="Times New Roman"/>
                <w:color w:val="000000"/>
                <w:sz w:val="20"/>
                <w:szCs w:val="20"/>
                <w:lang w:eastAsia="en-GB"/>
              </w:rPr>
              <w:t>“The US military is spending millions to replace toxic firefighting foam with toxic firefighting foam’, Article from The Intercept, 10</w:t>
            </w:r>
            <w:r w:rsidRPr="00CE15CF">
              <w:rPr>
                <w:rFonts w:eastAsia="Times New Roman"/>
                <w:color w:val="000000"/>
                <w:sz w:val="20"/>
                <w:szCs w:val="20"/>
                <w:vertAlign w:val="superscript"/>
                <w:lang w:eastAsia="en-GB"/>
              </w:rPr>
              <w:t>th</w:t>
            </w:r>
            <w:r w:rsidRPr="00CE15CF">
              <w:rPr>
                <w:rFonts w:eastAsia="Times New Roman"/>
                <w:color w:val="000000"/>
                <w:sz w:val="20"/>
                <w:szCs w:val="20"/>
                <w:lang w:eastAsia="en-GB"/>
              </w:rPr>
              <w:t xml:space="preserve"> February 2018 https://theintercept.com/2018/02/10/firefighting-foam-afff-pfos-pfoa-epa/</w:t>
            </w:r>
            <w:r w:rsidR="00E76227" w:rsidRPr="00CE15CF">
              <w:rPr>
                <w:rFonts w:eastAsia="Times New Roman"/>
                <w:sz w:val="20"/>
                <w:szCs w:val="20"/>
                <w:lang w:eastAsia="en-GB"/>
              </w:rPr>
              <w:t xml:space="preserve">Synthesis of environmentally relevant </w:t>
            </w:r>
            <w:proofErr w:type="spellStart"/>
            <w:r w:rsidR="00E76227" w:rsidRPr="00CE15CF">
              <w:rPr>
                <w:rFonts w:eastAsia="Times New Roman"/>
                <w:sz w:val="20"/>
                <w:szCs w:val="20"/>
                <w:lang w:eastAsia="en-GB"/>
              </w:rPr>
              <w:t>perfluorinated</w:t>
            </w:r>
            <w:proofErr w:type="spellEnd"/>
            <w:r w:rsidR="00E76227" w:rsidRPr="00CE15CF">
              <w:rPr>
                <w:rFonts w:eastAsia="Times New Roman"/>
                <w:sz w:val="20"/>
                <w:szCs w:val="20"/>
                <w:lang w:eastAsia="en-GB"/>
              </w:rPr>
              <w:t xml:space="preserve"> sulphonamides, J Fluor </w:t>
            </w:r>
            <w:proofErr w:type="spellStart"/>
            <w:r w:rsidR="00E76227" w:rsidRPr="00CE15CF">
              <w:rPr>
                <w:rFonts w:eastAsia="Times New Roman"/>
                <w:sz w:val="20"/>
                <w:szCs w:val="20"/>
                <w:lang w:eastAsia="en-GB"/>
              </w:rPr>
              <w:t>Chem</w:t>
            </w:r>
            <w:proofErr w:type="spellEnd"/>
            <w:r w:rsidR="00E76227" w:rsidRPr="00CE15CF">
              <w:rPr>
                <w:rFonts w:eastAsia="Times New Roman"/>
                <w:sz w:val="20"/>
                <w:szCs w:val="20"/>
                <w:lang w:eastAsia="en-GB"/>
              </w:rPr>
              <w:t xml:space="preserve"> 128: 595-607</w:t>
            </w:r>
          </w:p>
        </w:tc>
      </w:tr>
      <w:tr w:rsidR="00FC3DEE" w:rsidRPr="00CE15CF" w14:paraId="1D346083" w14:textId="77777777" w:rsidTr="003D6476">
        <w:trPr>
          <w:trHeight w:val="288"/>
        </w:trPr>
        <w:tc>
          <w:tcPr>
            <w:tcW w:w="747" w:type="pct"/>
            <w:tcBorders>
              <w:top w:val="nil"/>
              <w:left w:val="nil"/>
              <w:bottom w:val="nil"/>
              <w:right w:val="nil"/>
            </w:tcBorders>
            <w:shd w:val="clear" w:color="auto" w:fill="auto"/>
            <w:noWrap/>
            <w:vAlign w:val="center"/>
            <w:hideMark/>
          </w:tcPr>
          <w:p w14:paraId="3B2BA6DA" w14:textId="3FA0F530" w:rsidR="00FC3DEE" w:rsidRPr="00CE15CF" w:rsidRDefault="00FC3DEE" w:rsidP="00CE15CF">
            <w:pPr>
              <w:rPr>
                <w:sz w:val="20"/>
              </w:rPr>
            </w:pPr>
            <w:r w:rsidRPr="00CE15CF">
              <w:rPr>
                <w:sz w:val="20"/>
              </w:rPr>
              <w:t>Liu et al</w:t>
            </w:r>
            <w:r w:rsidR="002140CD" w:rsidRPr="00CE15CF">
              <w:rPr>
                <w:rFonts w:eastAsia="Times New Roman"/>
                <w:sz w:val="20"/>
                <w:szCs w:val="20"/>
                <w:lang w:eastAsia="en-GB"/>
              </w:rPr>
              <w:t>.</w:t>
            </w:r>
          </w:p>
        </w:tc>
        <w:tc>
          <w:tcPr>
            <w:tcW w:w="447" w:type="pct"/>
            <w:tcBorders>
              <w:top w:val="nil"/>
              <w:left w:val="nil"/>
              <w:bottom w:val="nil"/>
              <w:right w:val="nil"/>
            </w:tcBorders>
            <w:shd w:val="clear" w:color="auto" w:fill="auto"/>
            <w:noWrap/>
            <w:vAlign w:val="center"/>
            <w:hideMark/>
          </w:tcPr>
          <w:p w14:paraId="14ACC0D4" w14:textId="77777777" w:rsidR="00FC3DEE" w:rsidRPr="00CE15CF" w:rsidRDefault="00FC3DEE" w:rsidP="00CE15CF">
            <w:pPr>
              <w:rPr>
                <w:sz w:val="20"/>
              </w:rPr>
            </w:pPr>
            <w:r w:rsidRPr="00CE15CF">
              <w:rPr>
                <w:sz w:val="20"/>
              </w:rPr>
              <w:t>2017</w:t>
            </w:r>
          </w:p>
        </w:tc>
        <w:tc>
          <w:tcPr>
            <w:tcW w:w="3806" w:type="pct"/>
            <w:tcBorders>
              <w:top w:val="nil"/>
              <w:left w:val="nil"/>
              <w:bottom w:val="nil"/>
              <w:right w:val="nil"/>
            </w:tcBorders>
            <w:shd w:val="clear" w:color="auto" w:fill="auto"/>
            <w:vAlign w:val="center"/>
            <w:hideMark/>
          </w:tcPr>
          <w:p w14:paraId="426E515E" w14:textId="77777777" w:rsidR="00FC3DEE" w:rsidRPr="00CE15CF" w:rsidRDefault="00FC3DEE" w:rsidP="00CE15CF">
            <w:pPr>
              <w:rPr>
                <w:sz w:val="20"/>
              </w:rPr>
            </w:pPr>
            <w:r w:rsidRPr="00CE15CF">
              <w:rPr>
                <w:sz w:val="20"/>
              </w:rPr>
              <w:t>Pollution pathways and release estimation of perfluoro octane sulfonate (PFOS) and perfluoro octanoic acid (PFOA) in central and eastern China, Sci. Total Environ. 2017, 580, 1247-1256</w:t>
            </w:r>
          </w:p>
        </w:tc>
      </w:tr>
      <w:tr w:rsidR="00FC3DEE" w:rsidRPr="00CE15CF" w14:paraId="17258EAB" w14:textId="77777777" w:rsidTr="003D6476">
        <w:trPr>
          <w:trHeight w:val="866"/>
        </w:trPr>
        <w:tc>
          <w:tcPr>
            <w:tcW w:w="747" w:type="pct"/>
            <w:tcBorders>
              <w:top w:val="nil"/>
              <w:left w:val="nil"/>
              <w:bottom w:val="nil"/>
              <w:right w:val="nil"/>
            </w:tcBorders>
            <w:shd w:val="clear" w:color="auto" w:fill="auto"/>
            <w:noWrap/>
            <w:vAlign w:val="center"/>
            <w:hideMark/>
          </w:tcPr>
          <w:p w14:paraId="7D674180" w14:textId="36299A11" w:rsidR="00FC3DEE" w:rsidRPr="00CE15CF" w:rsidRDefault="00FC3DEE" w:rsidP="00CE15CF">
            <w:pPr>
              <w:rPr>
                <w:sz w:val="20"/>
              </w:rPr>
            </w:pPr>
            <w:r w:rsidRPr="00CE15CF">
              <w:rPr>
                <w:sz w:val="20"/>
              </w:rPr>
              <w:t>Martin et al</w:t>
            </w:r>
            <w:r w:rsidR="002140CD" w:rsidRPr="00CE15CF">
              <w:rPr>
                <w:rFonts w:eastAsia="Times New Roman"/>
                <w:sz w:val="20"/>
                <w:szCs w:val="20"/>
                <w:lang w:eastAsia="en-GB"/>
              </w:rPr>
              <w:t>.</w:t>
            </w:r>
          </w:p>
        </w:tc>
        <w:tc>
          <w:tcPr>
            <w:tcW w:w="447" w:type="pct"/>
            <w:tcBorders>
              <w:top w:val="nil"/>
              <w:left w:val="nil"/>
              <w:bottom w:val="nil"/>
              <w:right w:val="nil"/>
            </w:tcBorders>
            <w:shd w:val="clear" w:color="auto" w:fill="auto"/>
            <w:noWrap/>
            <w:vAlign w:val="center"/>
            <w:hideMark/>
          </w:tcPr>
          <w:p w14:paraId="7D48C960" w14:textId="77777777" w:rsidR="00FC3DEE" w:rsidRPr="00CE15CF" w:rsidRDefault="00FC3DEE" w:rsidP="00CE15CF">
            <w:pPr>
              <w:rPr>
                <w:sz w:val="20"/>
              </w:rPr>
            </w:pPr>
            <w:r w:rsidRPr="00CE15CF">
              <w:rPr>
                <w:sz w:val="20"/>
              </w:rPr>
              <w:t>2006</w:t>
            </w:r>
          </w:p>
        </w:tc>
        <w:tc>
          <w:tcPr>
            <w:tcW w:w="3806" w:type="pct"/>
            <w:tcBorders>
              <w:top w:val="nil"/>
              <w:left w:val="nil"/>
              <w:bottom w:val="nil"/>
              <w:right w:val="nil"/>
            </w:tcBorders>
            <w:shd w:val="clear" w:color="auto" w:fill="auto"/>
            <w:vAlign w:val="center"/>
            <w:hideMark/>
          </w:tcPr>
          <w:p w14:paraId="6C626E12" w14:textId="77777777" w:rsidR="00FC3DEE" w:rsidRPr="00CE15CF" w:rsidRDefault="00FC3DEE" w:rsidP="00CE15CF">
            <w:pPr>
              <w:rPr>
                <w:sz w:val="20"/>
              </w:rPr>
            </w:pPr>
            <w:r w:rsidRPr="00CE15CF">
              <w:rPr>
                <w:sz w:val="20"/>
              </w:rPr>
              <w:t xml:space="preserve">Atmospheric Chemistry of Perfluoro alkane </w:t>
            </w:r>
            <w:proofErr w:type="spellStart"/>
            <w:r w:rsidRPr="00CE15CF">
              <w:rPr>
                <w:sz w:val="20"/>
              </w:rPr>
              <w:t>sulfonamides</w:t>
            </w:r>
            <w:proofErr w:type="spellEnd"/>
            <w:r w:rsidRPr="00CE15CF">
              <w:rPr>
                <w:sz w:val="20"/>
              </w:rPr>
              <w:t xml:space="preserve">: Kinetic and Product Studies of the OH Radical and Cl Atom Initiated Oxidation of N-Ethyl-perfluoro butane </w:t>
            </w:r>
            <w:proofErr w:type="spellStart"/>
            <w:r w:rsidRPr="00CE15CF">
              <w:rPr>
                <w:sz w:val="20"/>
              </w:rPr>
              <w:t>sulfonamide</w:t>
            </w:r>
            <w:proofErr w:type="spellEnd"/>
            <w:r w:rsidRPr="00CE15CF">
              <w:rPr>
                <w:sz w:val="20"/>
              </w:rPr>
              <w:t>, Environ. Sci. Technol.2006, 40, 864-872</w:t>
            </w:r>
          </w:p>
        </w:tc>
      </w:tr>
      <w:tr w:rsidR="00FC3DEE" w:rsidRPr="00CE15CF" w14:paraId="745F0F9B" w14:textId="77777777" w:rsidTr="003D6476">
        <w:trPr>
          <w:trHeight w:val="600"/>
        </w:trPr>
        <w:tc>
          <w:tcPr>
            <w:tcW w:w="747" w:type="pct"/>
            <w:tcBorders>
              <w:top w:val="nil"/>
              <w:left w:val="nil"/>
              <w:bottom w:val="nil"/>
              <w:right w:val="nil"/>
            </w:tcBorders>
            <w:shd w:val="clear" w:color="auto" w:fill="auto"/>
            <w:noWrap/>
            <w:vAlign w:val="center"/>
            <w:hideMark/>
          </w:tcPr>
          <w:p w14:paraId="16DEFFC7" w14:textId="77777777" w:rsidR="00FC3DEE" w:rsidRPr="00CE15CF" w:rsidRDefault="00FC3DEE" w:rsidP="00CE15CF">
            <w:pPr>
              <w:rPr>
                <w:sz w:val="20"/>
              </w:rPr>
            </w:pPr>
            <w:proofErr w:type="spellStart"/>
            <w:r w:rsidRPr="00CE15CF">
              <w:rPr>
                <w:sz w:val="20"/>
              </w:rPr>
              <w:t>Michiels</w:t>
            </w:r>
            <w:proofErr w:type="spellEnd"/>
          </w:p>
        </w:tc>
        <w:tc>
          <w:tcPr>
            <w:tcW w:w="447" w:type="pct"/>
            <w:tcBorders>
              <w:top w:val="nil"/>
              <w:left w:val="nil"/>
              <w:bottom w:val="nil"/>
              <w:right w:val="nil"/>
            </w:tcBorders>
            <w:shd w:val="clear" w:color="auto" w:fill="auto"/>
            <w:noWrap/>
            <w:vAlign w:val="center"/>
            <w:hideMark/>
          </w:tcPr>
          <w:p w14:paraId="04073DFA" w14:textId="77777777" w:rsidR="00FC3DEE" w:rsidRPr="00CE15CF" w:rsidRDefault="00FC3DEE" w:rsidP="00CE15CF">
            <w:pPr>
              <w:rPr>
                <w:sz w:val="20"/>
              </w:rPr>
            </w:pPr>
            <w:r w:rsidRPr="00CE15CF">
              <w:rPr>
                <w:sz w:val="20"/>
              </w:rPr>
              <w:t>2018</w:t>
            </w:r>
          </w:p>
        </w:tc>
        <w:tc>
          <w:tcPr>
            <w:tcW w:w="3806" w:type="pct"/>
            <w:tcBorders>
              <w:top w:val="nil"/>
              <w:left w:val="nil"/>
              <w:bottom w:val="nil"/>
              <w:right w:val="nil"/>
            </w:tcBorders>
            <w:shd w:val="clear" w:color="auto" w:fill="auto"/>
            <w:vAlign w:val="center"/>
            <w:hideMark/>
          </w:tcPr>
          <w:p w14:paraId="24E15AA4" w14:textId="27469CB2" w:rsidR="00FC3DEE" w:rsidRPr="00CE15CF" w:rsidRDefault="00FC3DEE" w:rsidP="00CE15CF">
            <w:pPr>
              <w:rPr>
                <w:sz w:val="20"/>
              </w:rPr>
            </w:pPr>
            <w:r w:rsidRPr="00CE15CF">
              <w:rPr>
                <w:sz w:val="20"/>
              </w:rPr>
              <w:t xml:space="preserve">Personal communication during development of </w:t>
            </w:r>
            <w:r w:rsidR="00A72BD3" w:rsidRPr="00CE15CF">
              <w:rPr>
                <w:rFonts w:eastAsia="Times New Roman"/>
                <w:sz w:val="20"/>
                <w:szCs w:val="20"/>
                <w:lang w:eastAsia="en-GB"/>
              </w:rPr>
              <w:t>the current document</w:t>
            </w:r>
            <w:r w:rsidR="00A72BD3" w:rsidRPr="00CE15CF">
              <w:rPr>
                <w:sz w:val="20"/>
              </w:rPr>
              <w:t xml:space="preserve"> </w:t>
            </w:r>
            <w:r w:rsidRPr="00CE15CF">
              <w:rPr>
                <w:sz w:val="20"/>
              </w:rPr>
              <w:t xml:space="preserve">with Eddy </w:t>
            </w:r>
            <w:proofErr w:type="spellStart"/>
            <w:r w:rsidRPr="00CE15CF">
              <w:rPr>
                <w:sz w:val="20"/>
              </w:rPr>
              <w:t>Michiels</w:t>
            </w:r>
            <w:proofErr w:type="spellEnd"/>
            <w:r w:rsidRPr="00CE15CF">
              <w:rPr>
                <w:sz w:val="20"/>
              </w:rPr>
              <w:t xml:space="preserve"> at I&amp;P Europe.</w:t>
            </w:r>
          </w:p>
        </w:tc>
      </w:tr>
      <w:tr w:rsidR="00FC3DEE" w:rsidRPr="00CE15CF" w14:paraId="0A38C8F6" w14:textId="77777777" w:rsidTr="003D6476">
        <w:trPr>
          <w:trHeight w:val="830"/>
        </w:trPr>
        <w:tc>
          <w:tcPr>
            <w:tcW w:w="747" w:type="pct"/>
            <w:tcBorders>
              <w:top w:val="nil"/>
              <w:left w:val="nil"/>
              <w:bottom w:val="nil"/>
              <w:right w:val="nil"/>
            </w:tcBorders>
            <w:shd w:val="clear" w:color="auto" w:fill="auto"/>
            <w:vAlign w:val="center"/>
            <w:hideMark/>
          </w:tcPr>
          <w:p w14:paraId="7DE698D4" w14:textId="77777777" w:rsidR="00FC3DEE" w:rsidRPr="00CE15CF" w:rsidRDefault="00FC3DEE" w:rsidP="00CE15CF">
            <w:pPr>
              <w:rPr>
                <w:sz w:val="20"/>
              </w:rPr>
            </w:pPr>
            <w:r w:rsidRPr="00CE15CF">
              <w:rPr>
                <w:sz w:val="20"/>
              </w:rPr>
              <w:t>Mil Tech</w:t>
            </w:r>
          </w:p>
        </w:tc>
        <w:tc>
          <w:tcPr>
            <w:tcW w:w="447" w:type="pct"/>
            <w:tcBorders>
              <w:top w:val="nil"/>
              <w:left w:val="nil"/>
              <w:bottom w:val="nil"/>
              <w:right w:val="nil"/>
            </w:tcBorders>
            <w:shd w:val="clear" w:color="auto" w:fill="auto"/>
            <w:vAlign w:val="center"/>
            <w:hideMark/>
          </w:tcPr>
          <w:p w14:paraId="1281F009" w14:textId="77777777" w:rsidR="00FC3DEE" w:rsidRPr="00CE15CF" w:rsidRDefault="00FC3DEE" w:rsidP="00CE15CF">
            <w:pPr>
              <w:rPr>
                <w:sz w:val="20"/>
              </w:rPr>
            </w:pPr>
            <w:r w:rsidRPr="00CE15CF">
              <w:rPr>
                <w:sz w:val="20"/>
              </w:rPr>
              <w:t>2017</w:t>
            </w:r>
          </w:p>
        </w:tc>
        <w:tc>
          <w:tcPr>
            <w:tcW w:w="3806" w:type="pct"/>
            <w:tcBorders>
              <w:top w:val="nil"/>
              <w:left w:val="nil"/>
              <w:bottom w:val="nil"/>
              <w:right w:val="nil"/>
            </w:tcBorders>
            <w:shd w:val="clear" w:color="auto" w:fill="auto"/>
            <w:vAlign w:val="center"/>
            <w:hideMark/>
          </w:tcPr>
          <w:p w14:paraId="1DE235DB" w14:textId="77777777" w:rsidR="00FC3DEE" w:rsidRPr="00CE15CF" w:rsidRDefault="00FC3DEE" w:rsidP="00CE15CF">
            <w:pPr>
              <w:rPr>
                <w:sz w:val="20"/>
              </w:rPr>
            </w:pPr>
            <w:r w:rsidRPr="00CE15CF">
              <w:rPr>
                <w:sz w:val="20"/>
              </w:rPr>
              <w:t xml:space="preserve">Performance specification, fire extinguishing agent, aqueous film forming foam (AFFF) liquid concentrate for fresh and sea water. MIL-PRF-24385F(SH) w/AMENDMENT. Available from:   http://quicksearch.dla.mil/qsSearch.aspx </w:t>
            </w:r>
          </w:p>
        </w:tc>
      </w:tr>
      <w:tr w:rsidR="00FC3DEE" w:rsidRPr="00CE15CF" w14:paraId="707C6A6F" w14:textId="77777777" w:rsidTr="003D6476">
        <w:trPr>
          <w:trHeight w:val="700"/>
        </w:trPr>
        <w:tc>
          <w:tcPr>
            <w:tcW w:w="747" w:type="pct"/>
            <w:tcBorders>
              <w:top w:val="nil"/>
              <w:left w:val="nil"/>
              <w:bottom w:val="nil"/>
              <w:right w:val="nil"/>
            </w:tcBorders>
            <w:shd w:val="clear" w:color="auto" w:fill="auto"/>
            <w:noWrap/>
            <w:vAlign w:val="center"/>
            <w:hideMark/>
          </w:tcPr>
          <w:p w14:paraId="3F8233E6" w14:textId="77777777" w:rsidR="00FC3DEE" w:rsidRPr="00CE15CF" w:rsidRDefault="00FC3DEE" w:rsidP="00CE15CF">
            <w:pPr>
              <w:rPr>
                <w:sz w:val="20"/>
              </w:rPr>
            </w:pPr>
            <w:r w:rsidRPr="00CE15CF">
              <w:rPr>
                <w:sz w:val="20"/>
              </w:rPr>
              <w:t>Military.com</w:t>
            </w:r>
          </w:p>
        </w:tc>
        <w:tc>
          <w:tcPr>
            <w:tcW w:w="447" w:type="pct"/>
            <w:tcBorders>
              <w:top w:val="nil"/>
              <w:left w:val="nil"/>
              <w:bottom w:val="nil"/>
              <w:right w:val="nil"/>
            </w:tcBorders>
            <w:shd w:val="clear" w:color="auto" w:fill="auto"/>
            <w:noWrap/>
            <w:vAlign w:val="center"/>
            <w:hideMark/>
          </w:tcPr>
          <w:p w14:paraId="010DD0AE" w14:textId="77777777" w:rsidR="00FC3DEE" w:rsidRPr="00CE15CF" w:rsidRDefault="00FC3DEE" w:rsidP="00CE15CF">
            <w:pPr>
              <w:rPr>
                <w:sz w:val="20"/>
              </w:rPr>
            </w:pPr>
            <w:r w:rsidRPr="00CE15CF">
              <w:rPr>
                <w:sz w:val="20"/>
              </w:rPr>
              <w:t>2017</w:t>
            </w:r>
          </w:p>
        </w:tc>
        <w:tc>
          <w:tcPr>
            <w:tcW w:w="3806" w:type="pct"/>
            <w:tcBorders>
              <w:top w:val="nil"/>
              <w:left w:val="nil"/>
              <w:bottom w:val="nil"/>
              <w:right w:val="nil"/>
            </w:tcBorders>
            <w:shd w:val="clear" w:color="auto" w:fill="auto"/>
            <w:vAlign w:val="center"/>
            <w:hideMark/>
          </w:tcPr>
          <w:p w14:paraId="0A0B59B0" w14:textId="77777777" w:rsidR="00FC3DEE" w:rsidRPr="00CE15CF" w:rsidRDefault="00AA57F7" w:rsidP="00CE15CF">
            <w:pPr>
              <w:rPr>
                <w:sz w:val="20"/>
                <w:u w:val="single"/>
              </w:rPr>
            </w:pPr>
            <w:hyperlink r:id="rId27" w:history="1">
              <w:r w:rsidR="00FC3DEE" w:rsidRPr="00CE15CF">
                <w:rPr>
                  <w:sz w:val="20"/>
                  <w:u w:val="single"/>
                </w:rPr>
                <w:t xml:space="preserve">https://www.military.com/daily-news/2017/09/07/cleanup-bill-firefighting-chemicals-bases-could-cost-2-billion.html </w:t>
              </w:r>
            </w:hyperlink>
          </w:p>
        </w:tc>
      </w:tr>
      <w:tr w:rsidR="00FC3DEE" w:rsidRPr="00CE15CF" w14:paraId="48CD8008" w14:textId="77777777" w:rsidTr="003D6476">
        <w:trPr>
          <w:trHeight w:val="1419"/>
        </w:trPr>
        <w:tc>
          <w:tcPr>
            <w:tcW w:w="747" w:type="pct"/>
            <w:tcBorders>
              <w:top w:val="nil"/>
              <w:left w:val="nil"/>
              <w:bottom w:val="nil"/>
              <w:right w:val="nil"/>
            </w:tcBorders>
            <w:shd w:val="clear" w:color="auto" w:fill="auto"/>
            <w:noWrap/>
            <w:vAlign w:val="center"/>
            <w:hideMark/>
          </w:tcPr>
          <w:p w14:paraId="700C2430" w14:textId="77777777" w:rsidR="00FC3DEE" w:rsidRPr="00CE15CF" w:rsidRDefault="00FC3DEE" w:rsidP="00CE15CF">
            <w:pPr>
              <w:rPr>
                <w:sz w:val="20"/>
              </w:rPr>
            </w:pPr>
            <w:r w:rsidRPr="00CE15CF">
              <w:rPr>
                <w:sz w:val="20"/>
              </w:rPr>
              <w:t>Nesbitt</w:t>
            </w:r>
          </w:p>
        </w:tc>
        <w:tc>
          <w:tcPr>
            <w:tcW w:w="447" w:type="pct"/>
            <w:tcBorders>
              <w:top w:val="nil"/>
              <w:left w:val="nil"/>
              <w:bottom w:val="nil"/>
              <w:right w:val="nil"/>
            </w:tcBorders>
            <w:shd w:val="clear" w:color="auto" w:fill="auto"/>
            <w:noWrap/>
            <w:vAlign w:val="center"/>
            <w:hideMark/>
          </w:tcPr>
          <w:p w14:paraId="1CD53169" w14:textId="77777777" w:rsidR="00FC3DEE" w:rsidRPr="00CE15CF" w:rsidRDefault="00FC3DEE" w:rsidP="00CE15CF">
            <w:pPr>
              <w:rPr>
                <w:sz w:val="20"/>
              </w:rPr>
            </w:pPr>
            <w:r w:rsidRPr="00CE15CF">
              <w:rPr>
                <w:sz w:val="20"/>
              </w:rPr>
              <w:t>2017</w:t>
            </w:r>
          </w:p>
        </w:tc>
        <w:tc>
          <w:tcPr>
            <w:tcW w:w="3806" w:type="pct"/>
            <w:tcBorders>
              <w:top w:val="nil"/>
              <w:left w:val="nil"/>
              <w:bottom w:val="nil"/>
              <w:right w:val="nil"/>
            </w:tcBorders>
            <w:shd w:val="clear" w:color="auto" w:fill="auto"/>
            <w:vAlign w:val="center"/>
            <w:hideMark/>
          </w:tcPr>
          <w:p w14:paraId="0313A70A" w14:textId="5AF61248" w:rsidR="00B86965" w:rsidRPr="00CE15CF" w:rsidRDefault="00FC3DEE" w:rsidP="00CE15CF">
            <w:pPr>
              <w:rPr>
                <w:rFonts w:eastAsia="Times New Roman"/>
                <w:sz w:val="20"/>
                <w:szCs w:val="20"/>
                <w:lang w:eastAsia="en-GB"/>
              </w:rPr>
            </w:pPr>
            <w:r w:rsidRPr="00CE15CF">
              <w:rPr>
                <w:sz w:val="20"/>
              </w:rPr>
              <w:t>PTFE Guidewire Application Process Eliminates Delamination’, Article for Medical Products Outsourcing.</w:t>
            </w:r>
          </w:p>
          <w:p w14:paraId="39D5593E" w14:textId="1B9A21E9" w:rsidR="00FC3DEE" w:rsidRPr="00CE15CF" w:rsidRDefault="00FC3DEE" w:rsidP="00CE15CF">
            <w:pPr>
              <w:rPr>
                <w:sz w:val="20"/>
              </w:rPr>
            </w:pPr>
            <w:r w:rsidRPr="00CE15CF">
              <w:rPr>
                <w:sz w:val="20"/>
              </w:rPr>
              <w:t>https://www.mpo-mag.com/contents/view_online-exclusives/2017-12-06/ptfe-guidewire-application-process-eliminates-delamination/</w:t>
            </w:r>
          </w:p>
        </w:tc>
      </w:tr>
      <w:tr w:rsidR="00002BF3" w:rsidRPr="00CE15CF" w14:paraId="44F912FD" w14:textId="77777777" w:rsidTr="003D6476">
        <w:trPr>
          <w:trHeight w:val="995"/>
        </w:trPr>
        <w:tc>
          <w:tcPr>
            <w:tcW w:w="747" w:type="pct"/>
            <w:tcBorders>
              <w:top w:val="nil"/>
              <w:left w:val="nil"/>
              <w:bottom w:val="nil"/>
              <w:right w:val="nil"/>
            </w:tcBorders>
            <w:shd w:val="clear" w:color="auto" w:fill="auto"/>
            <w:noWrap/>
            <w:vAlign w:val="center"/>
          </w:tcPr>
          <w:p w14:paraId="0C1E1B82" w14:textId="12103F65" w:rsidR="00002BF3" w:rsidRPr="00CE15CF" w:rsidRDefault="00002BF3" w:rsidP="00CE15CF">
            <w:pPr>
              <w:rPr>
                <w:rFonts w:eastAsia="Times New Roman"/>
                <w:sz w:val="20"/>
                <w:szCs w:val="20"/>
                <w:lang w:eastAsia="en-GB"/>
              </w:rPr>
            </w:pPr>
            <w:r w:rsidRPr="00CE15CF">
              <w:rPr>
                <w:rFonts w:eastAsia="Times New Roman"/>
                <w:sz w:val="20"/>
                <w:szCs w:val="20"/>
                <w:lang w:eastAsia="en-GB"/>
              </w:rPr>
              <w:t>NICNAS</w:t>
            </w:r>
          </w:p>
        </w:tc>
        <w:tc>
          <w:tcPr>
            <w:tcW w:w="447" w:type="pct"/>
            <w:tcBorders>
              <w:top w:val="nil"/>
              <w:left w:val="nil"/>
              <w:bottom w:val="nil"/>
              <w:right w:val="nil"/>
            </w:tcBorders>
            <w:shd w:val="clear" w:color="auto" w:fill="auto"/>
            <w:noWrap/>
            <w:vAlign w:val="center"/>
          </w:tcPr>
          <w:p w14:paraId="7A1213E1" w14:textId="47059DEE" w:rsidR="00002BF3" w:rsidRPr="003D6476" w:rsidRDefault="00002BF3" w:rsidP="00CE15CF">
            <w:pPr>
              <w:rPr>
                <w:rFonts w:eastAsia="Times New Roman"/>
                <w:sz w:val="18"/>
                <w:szCs w:val="18"/>
                <w:lang w:eastAsia="en-GB"/>
              </w:rPr>
            </w:pPr>
            <w:r w:rsidRPr="003D6476">
              <w:rPr>
                <w:rFonts w:eastAsia="Times New Roman"/>
                <w:sz w:val="18"/>
                <w:szCs w:val="18"/>
                <w:lang w:eastAsia="en-GB"/>
              </w:rPr>
              <w:t>undated</w:t>
            </w:r>
          </w:p>
        </w:tc>
        <w:tc>
          <w:tcPr>
            <w:tcW w:w="3806" w:type="pct"/>
            <w:tcBorders>
              <w:top w:val="nil"/>
              <w:left w:val="nil"/>
              <w:bottom w:val="nil"/>
              <w:right w:val="nil"/>
            </w:tcBorders>
            <w:shd w:val="clear" w:color="auto" w:fill="auto"/>
            <w:vAlign w:val="center"/>
          </w:tcPr>
          <w:p w14:paraId="22918DC9" w14:textId="4D450694" w:rsidR="00002BF3" w:rsidRPr="00CE15CF" w:rsidRDefault="00002BF3" w:rsidP="00CE15CF">
            <w:pPr>
              <w:rPr>
                <w:rFonts w:eastAsia="Times New Roman"/>
                <w:sz w:val="20"/>
                <w:szCs w:val="20"/>
                <w:lang w:eastAsia="en-GB"/>
              </w:rPr>
            </w:pPr>
            <w:r w:rsidRPr="00CE15CF">
              <w:rPr>
                <w:rFonts w:eastAsia="Times New Roman"/>
                <w:sz w:val="20"/>
                <w:szCs w:val="20"/>
                <w:lang w:eastAsia="en-GB"/>
              </w:rPr>
              <w:t>IMAP Environment Tier II Assessment for Indirect Precursors to Perfluorooctanoic Acid (PFOA). National Industrial Chemicals Notification and Assessment Scheme, Sydney, Australia.</w:t>
            </w:r>
          </w:p>
        </w:tc>
      </w:tr>
      <w:tr w:rsidR="00F947A5" w:rsidRPr="00CE15CF" w14:paraId="12D3F9ED" w14:textId="77777777" w:rsidTr="003D6476">
        <w:trPr>
          <w:trHeight w:val="864"/>
        </w:trPr>
        <w:tc>
          <w:tcPr>
            <w:tcW w:w="747" w:type="pct"/>
            <w:tcBorders>
              <w:top w:val="nil"/>
              <w:left w:val="nil"/>
              <w:bottom w:val="nil"/>
              <w:right w:val="nil"/>
            </w:tcBorders>
            <w:shd w:val="clear" w:color="auto" w:fill="auto"/>
            <w:noWrap/>
            <w:vAlign w:val="center"/>
          </w:tcPr>
          <w:p w14:paraId="44E90F93" w14:textId="6927AED2" w:rsidR="00F947A5" w:rsidRPr="00CE15CF" w:rsidRDefault="00F947A5" w:rsidP="00CE15CF">
            <w:pPr>
              <w:rPr>
                <w:sz w:val="20"/>
              </w:rPr>
            </w:pPr>
            <w:proofErr w:type="spellStart"/>
            <w:r w:rsidRPr="00CE15CF">
              <w:rPr>
                <w:sz w:val="20"/>
              </w:rPr>
              <w:lastRenderedPageBreak/>
              <w:t>Norstrom</w:t>
            </w:r>
            <w:proofErr w:type="spellEnd"/>
          </w:p>
        </w:tc>
        <w:tc>
          <w:tcPr>
            <w:tcW w:w="447" w:type="pct"/>
            <w:tcBorders>
              <w:top w:val="nil"/>
              <w:left w:val="nil"/>
              <w:bottom w:val="nil"/>
              <w:right w:val="nil"/>
            </w:tcBorders>
            <w:shd w:val="clear" w:color="auto" w:fill="auto"/>
            <w:noWrap/>
            <w:vAlign w:val="center"/>
          </w:tcPr>
          <w:p w14:paraId="3C0747A7" w14:textId="326A9132" w:rsidR="00F947A5" w:rsidRPr="00CE15CF" w:rsidRDefault="00F947A5" w:rsidP="00CE15CF">
            <w:pPr>
              <w:rPr>
                <w:sz w:val="20"/>
              </w:rPr>
            </w:pPr>
            <w:r w:rsidRPr="00CE15CF">
              <w:rPr>
                <w:sz w:val="20"/>
              </w:rPr>
              <w:t>2011</w:t>
            </w:r>
          </w:p>
        </w:tc>
        <w:tc>
          <w:tcPr>
            <w:tcW w:w="3806" w:type="pct"/>
            <w:tcBorders>
              <w:top w:val="nil"/>
              <w:left w:val="nil"/>
              <w:bottom w:val="nil"/>
              <w:right w:val="nil"/>
            </w:tcBorders>
            <w:shd w:val="clear" w:color="auto" w:fill="auto"/>
            <w:vAlign w:val="center"/>
          </w:tcPr>
          <w:p w14:paraId="7E54B5EB" w14:textId="1BEA2093" w:rsidR="00F947A5" w:rsidRPr="00CE15CF" w:rsidRDefault="00F947A5" w:rsidP="00CE15CF">
            <w:pPr>
              <w:rPr>
                <w:sz w:val="20"/>
              </w:rPr>
            </w:pPr>
            <w:r w:rsidRPr="00CE15CF">
              <w:rPr>
                <w:sz w:val="20"/>
                <w:lang w:val="sv-SE"/>
              </w:rPr>
              <w:t xml:space="preserve">Årsrapport för projektet RE-PATH. </w:t>
            </w:r>
            <w:r w:rsidRPr="00CE15CF">
              <w:rPr>
                <w:sz w:val="20"/>
              </w:rPr>
              <w:t>IVL rapport B2060, 2011 (in Swedish). Available at: http://repath.ivl.se/download/18.488d9cec137bbdebf94800056018/1350483917062/</w:t>
            </w:r>
            <w:r w:rsidR="003D6476">
              <w:rPr>
                <w:sz w:val="20"/>
              </w:rPr>
              <w:br/>
            </w:r>
            <w:r w:rsidRPr="00CE15CF">
              <w:rPr>
                <w:sz w:val="20"/>
              </w:rPr>
              <w:t>B2060.pdf.</w:t>
            </w:r>
          </w:p>
        </w:tc>
      </w:tr>
      <w:tr w:rsidR="008F7788" w:rsidRPr="00CE15CF" w14:paraId="538D2459" w14:textId="77777777" w:rsidTr="003D6476">
        <w:trPr>
          <w:trHeight w:val="864"/>
        </w:trPr>
        <w:tc>
          <w:tcPr>
            <w:tcW w:w="747" w:type="pct"/>
            <w:tcBorders>
              <w:top w:val="nil"/>
              <w:left w:val="nil"/>
              <w:bottom w:val="nil"/>
              <w:right w:val="nil"/>
            </w:tcBorders>
            <w:shd w:val="clear" w:color="auto" w:fill="auto"/>
            <w:noWrap/>
            <w:vAlign w:val="center"/>
          </w:tcPr>
          <w:p w14:paraId="275CDB53" w14:textId="68B8510E" w:rsidR="008F7788" w:rsidRPr="00CE15CF" w:rsidRDefault="008F7788" w:rsidP="00CE15CF">
            <w:pPr>
              <w:rPr>
                <w:rFonts w:eastAsia="Times New Roman"/>
                <w:color w:val="000000"/>
                <w:sz w:val="20"/>
                <w:szCs w:val="20"/>
                <w:lang w:eastAsia="en-GB"/>
              </w:rPr>
            </w:pPr>
            <w:r w:rsidRPr="00CE15CF">
              <w:rPr>
                <w:rFonts w:eastAsia="Times New Roman"/>
                <w:color w:val="000000"/>
                <w:sz w:val="20"/>
                <w:szCs w:val="20"/>
                <w:lang w:eastAsia="en-GB"/>
              </w:rPr>
              <w:t>Nordstrom et al</w:t>
            </w:r>
          </w:p>
        </w:tc>
        <w:tc>
          <w:tcPr>
            <w:tcW w:w="447" w:type="pct"/>
            <w:tcBorders>
              <w:top w:val="nil"/>
              <w:left w:val="nil"/>
              <w:bottom w:val="nil"/>
              <w:right w:val="nil"/>
            </w:tcBorders>
            <w:shd w:val="clear" w:color="auto" w:fill="auto"/>
            <w:noWrap/>
            <w:vAlign w:val="center"/>
          </w:tcPr>
          <w:p w14:paraId="3056D638" w14:textId="020A876B" w:rsidR="008F7788" w:rsidRPr="00CE15CF" w:rsidRDefault="008F7788" w:rsidP="00CE15CF">
            <w:pPr>
              <w:rPr>
                <w:rFonts w:eastAsia="Times New Roman"/>
                <w:color w:val="000000"/>
                <w:sz w:val="20"/>
                <w:szCs w:val="20"/>
                <w:lang w:eastAsia="en-GB"/>
              </w:rPr>
            </w:pPr>
            <w:r w:rsidRPr="00C10619">
              <w:rPr>
                <w:sz w:val="20"/>
              </w:rPr>
              <w:t>2015</w:t>
            </w:r>
          </w:p>
        </w:tc>
        <w:tc>
          <w:tcPr>
            <w:tcW w:w="3806" w:type="pct"/>
            <w:tcBorders>
              <w:top w:val="nil"/>
              <w:left w:val="nil"/>
              <w:bottom w:val="nil"/>
              <w:right w:val="nil"/>
            </w:tcBorders>
            <w:shd w:val="clear" w:color="auto" w:fill="auto"/>
            <w:vAlign w:val="center"/>
          </w:tcPr>
          <w:p w14:paraId="0E64FEBC" w14:textId="339C9CDC" w:rsidR="008F7788" w:rsidRPr="00CE15CF" w:rsidRDefault="00BF04AE" w:rsidP="00CE15CF">
            <w:pPr>
              <w:rPr>
                <w:rFonts w:eastAsia="Times New Roman"/>
                <w:color w:val="000000"/>
                <w:sz w:val="20"/>
                <w:szCs w:val="20"/>
                <w:lang w:val="sv-SE" w:eastAsia="en-GB"/>
              </w:rPr>
            </w:pPr>
            <w:r>
              <w:rPr>
                <w:rFonts w:eastAsia="Times New Roman"/>
                <w:color w:val="000000"/>
                <w:sz w:val="20"/>
                <w:szCs w:val="20"/>
                <w:lang w:val="sv-SE" w:eastAsia="en-GB"/>
              </w:rPr>
              <w:t xml:space="preserve"> </w:t>
            </w:r>
            <w:r w:rsidR="008F7788" w:rsidRPr="00CE15CF">
              <w:rPr>
                <w:rFonts w:eastAsia="Times New Roman"/>
                <w:color w:val="000000"/>
                <w:sz w:val="20"/>
                <w:szCs w:val="20"/>
                <w:lang w:val="sv-SE" w:eastAsia="en-GB"/>
              </w:rPr>
              <w:t>http://repath.ivl.se/download/18.343dc99d14e8bb0f58b557e/1443615397431/</w:t>
            </w:r>
            <w:r w:rsidR="003D6476">
              <w:rPr>
                <w:rFonts w:eastAsia="Times New Roman"/>
                <w:color w:val="000000"/>
                <w:sz w:val="20"/>
                <w:szCs w:val="20"/>
                <w:lang w:val="sv-SE" w:eastAsia="en-GB"/>
              </w:rPr>
              <w:br/>
            </w:r>
            <w:r w:rsidR="008F7788" w:rsidRPr="00CE15CF">
              <w:rPr>
                <w:rFonts w:eastAsia="Times New Roman"/>
                <w:color w:val="000000"/>
                <w:sz w:val="20"/>
                <w:szCs w:val="20"/>
                <w:lang w:val="sv-SE" w:eastAsia="en-GB"/>
              </w:rPr>
              <w:t xml:space="preserve">B2232_RE-PATH%20FINAL_20150923.pdf).  </w:t>
            </w:r>
          </w:p>
        </w:tc>
      </w:tr>
      <w:tr w:rsidR="003A429A" w:rsidRPr="00CE15CF" w14:paraId="025FBF4D" w14:textId="77777777" w:rsidTr="003D6476">
        <w:trPr>
          <w:trHeight w:val="430"/>
        </w:trPr>
        <w:tc>
          <w:tcPr>
            <w:tcW w:w="747" w:type="pct"/>
            <w:tcBorders>
              <w:top w:val="nil"/>
              <w:left w:val="nil"/>
              <w:bottom w:val="nil"/>
              <w:right w:val="nil"/>
            </w:tcBorders>
            <w:shd w:val="clear" w:color="auto" w:fill="auto"/>
            <w:noWrap/>
            <w:vAlign w:val="center"/>
          </w:tcPr>
          <w:p w14:paraId="1A97AF64" w14:textId="2E3A912A" w:rsidR="003A429A" w:rsidRPr="00CE15CF" w:rsidRDefault="003A429A" w:rsidP="00CE15CF">
            <w:pPr>
              <w:rPr>
                <w:sz w:val="20"/>
              </w:rPr>
            </w:pPr>
            <w:r w:rsidRPr="00CE15CF">
              <w:rPr>
                <w:sz w:val="20"/>
              </w:rPr>
              <w:t>Norway</w:t>
            </w:r>
          </w:p>
        </w:tc>
        <w:tc>
          <w:tcPr>
            <w:tcW w:w="447" w:type="pct"/>
            <w:tcBorders>
              <w:top w:val="nil"/>
              <w:left w:val="nil"/>
              <w:bottom w:val="nil"/>
              <w:right w:val="nil"/>
            </w:tcBorders>
            <w:shd w:val="clear" w:color="auto" w:fill="auto"/>
            <w:noWrap/>
            <w:vAlign w:val="center"/>
          </w:tcPr>
          <w:p w14:paraId="4830516A" w14:textId="17DFD355" w:rsidR="003A429A" w:rsidRPr="00CE15CF" w:rsidRDefault="003A429A" w:rsidP="00CE15CF">
            <w:pPr>
              <w:rPr>
                <w:sz w:val="20"/>
              </w:rPr>
            </w:pPr>
            <w:r w:rsidRPr="00CE15CF">
              <w:rPr>
                <w:sz w:val="20"/>
              </w:rPr>
              <w:t>2007</w:t>
            </w:r>
          </w:p>
        </w:tc>
        <w:tc>
          <w:tcPr>
            <w:tcW w:w="3806" w:type="pct"/>
            <w:tcBorders>
              <w:top w:val="nil"/>
              <w:left w:val="nil"/>
              <w:bottom w:val="nil"/>
              <w:right w:val="nil"/>
            </w:tcBorders>
            <w:shd w:val="clear" w:color="auto" w:fill="auto"/>
            <w:vAlign w:val="center"/>
          </w:tcPr>
          <w:p w14:paraId="00B0314B" w14:textId="1946CC83" w:rsidR="003A429A" w:rsidRPr="00CE15CF" w:rsidRDefault="003A429A" w:rsidP="00CE15CF">
            <w:pPr>
              <w:rPr>
                <w:sz w:val="20"/>
              </w:rPr>
            </w:pPr>
            <w:r w:rsidRPr="00CE15CF">
              <w:rPr>
                <w:sz w:val="20"/>
              </w:rPr>
              <w:t xml:space="preserve">PFOA in Norway, survey of national sources. </w:t>
            </w:r>
            <w:r w:rsidRPr="00CE15CF">
              <w:rPr>
                <w:sz w:val="20"/>
                <w:szCs w:val="20"/>
                <w:lang w:eastAsia="en-GB"/>
              </w:rPr>
              <w:t>TA-2354/2007</w:t>
            </w:r>
          </w:p>
        </w:tc>
      </w:tr>
      <w:tr w:rsidR="00FC3DEE" w:rsidRPr="00CE15CF" w14:paraId="1BF3AE77" w14:textId="77777777" w:rsidTr="003D6476">
        <w:trPr>
          <w:trHeight w:val="428"/>
        </w:trPr>
        <w:tc>
          <w:tcPr>
            <w:tcW w:w="747" w:type="pct"/>
            <w:tcBorders>
              <w:top w:val="nil"/>
              <w:left w:val="nil"/>
              <w:bottom w:val="nil"/>
              <w:right w:val="nil"/>
            </w:tcBorders>
            <w:shd w:val="clear" w:color="auto" w:fill="auto"/>
            <w:vAlign w:val="center"/>
            <w:hideMark/>
          </w:tcPr>
          <w:p w14:paraId="0EB58AF3" w14:textId="77777777" w:rsidR="00FC3DEE" w:rsidRPr="00CE15CF" w:rsidRDefault="00FC3DEE" w:rsidP="00CE15CF">
            <w:pPr>
              <w:rPr>
                <w:sz w:val="20"/>
              </w:rPr>
            </w:pPr>
            <w:r w:rsidRPr="00CE15CF">
              <w:rPr>
                <w:sz w:val="20"/>
              </w:rPr>
              <w:t>NRL</w:t>
            </w:r>
          </w:p>
        </w:tc>
        <w:tc>
          <w:tcPr>
            <w:tcW w:w="447" w:type="pct"/>
            <w:tcBorders>
              <w:top w:val="nil"/>
              <w:left w:val="nil"/>
              <w:bottom w:val="nil"/>
              <w:right w:val="nil"/>
            </w:tcBorders>
            <w:shd w:val="clear" w:color="auto" w:fill="auto"/>
            <w:vAlign w:val="center"/>
            <w:hideMark/>
          </w:tcPr>
          <w:p w14:paraId="65A05029" w14:textId="77777777" w:rsidR="00FC3DEE" w:rsidRPr="00CE15CF" w:rsidRDefault="00FC3DEE" w:rsidP="00CE15CF">
            <w:pPr>
              <w:rPr>
                <w:sz w:val="20"/>
              </w:rPr>
            </w:pPr>
            <w:r w:rsidRPr="00CE15CF">
              <w:rPr>
                <w:sz w:val="20"/>
              </w:rPr>
              <w:t>2016</w:t>
            </w:r>
          </w:p>
        </w:tc>
        <w:tc>
          <w:tcPr>
            <w:tcW w:w="3806" w:type="pct"/>
            <w:tcBorders>
              <w:top w:val="nil"/>
              <w:left w:val="nil"/>
              <w:bottom w:val="nil"/>
              <w:right w:val="nil"/>
            </w:tcBorders>
            <w:shd w:val="clear" w:color="auto" w:fill="auto"/>
            <w:vAlign w:val="center"/>
            <w:hideMark/>
          </w:tcPr>
          <w:p w14:paraId="52302476" w14:textId="7D64942C" w:rsidR="00FC3DEE" w:rsidRPr="00CE15CF" w:rsidRDefault="00FC3DEE" w:rsidP="00CE15CF">
            <w:pPr>
              <w:rPr>
                <w:sz w:val="20"/>
              </w:rPr>
            </w:pPr>
            <w:r w:rsidRPr="00CE15CF">
              <w:rPr>
                <w:sz w:val="20"/>
              </w:rPr>
              <w:t xml:space="preserve">Evaluating the Difference in Foam Degradation between Fluorinated and Fluorine-free Foams for Improved Pool Fire Suppression. Katherine </w:t>
            </w:r>
            <w:proofErr w:type="spellStart"/>
            <w:r w:rsidRPr="00CE15CF">
              <w:rPr>
                <w:sz w:val="20"/>
              </w:rPr>
              <w:t>Hinnant</w:t>
            </w:r>
            <w:proofErr w:type="spellEnd"/>
            <w:r w:rsidRPr="00CE15CF">
              <w:rPr>
                <w:sz w:val="20"/>
              </w:rPr>
              <w:t xml:space="preserve">, </w:t>
            </w:r>
            <w:proofErr w:type="spellStart"/>
            <w:r w:rsidRPr="00CE15CF">
              <w:rPr>
                <w:sz w:val="20"/>
              </w:rPr>
              <w:t>RamagopalAnanth</w:t>
            </w:r>
            <w:proofErr w:type="spellEnd"/>
            <w:r w:rsidRPr="00CE15CF">
              <w:rPr>
                <w:sz w:val="20"/>
              </w:rPr>
              <w:t>, Michael Conroy, Bradley Williams. Naval Research Laboratory. Presented at the 2016 ACS Symposium</w:t>
            </w:r>
            <w:r w:rsidRPr="00CE15CF">
              <w:rPr>
                <w:rFonts w:eastAsia="Times New Roman"/>
                <w:sz w:val="20"/>
                <w:szCs w:val="20"/>
                <w:lang w:eastAsia="en-GB"/>
              </w:rPr>
              <w:t>.</w:t>
            </w:r>
            <w:r w:rsidR="00DC16A7" w:rsidRPr="00CE15CF">
              <w:rPr>
                <w:rFonts w:eastAsia="Times New Roman"/>
                <w:sz w:val="20"/>
                <w:szCs w:val="20"/>
                <w:lang w:eastAsia="en-GB"/>
              </w:rPr>
              <w:t xml:space="preserve"> (</w:t>
            </w:r>
            <w:r w:rsidRPr="00CE15CF">
              <w:rPr>
                <w:sz w:val="20"/>
              </w:rPr>
              <w:t>Oda et al., 2007</w:t>
            </w:r>
            <w:r w:rsidR="00DC16A7" w:rsidRPr="00CE15CF">
              <w:rPr>
                <w:rFonts w:eastAsia="Times New Roman"/>
                <w:sz w:val="20"/>
                <w:szCs w:val="20"/>
                <w:lang w:eastAsia="en-GB"/>
              </w:rPr>
              <w:t>)</w:t>
            </w:r>
            <w:r w:rsidRPr="00CE15CF">
              <w:rPr>
                <w:sz w:val="20"/>
              </w:rPr>
              <w:t xml:space="preserve"> Negative results of </w:t>
            </w:r>
            <w:proofErr w:type="spellStart"/>
            <w:r w:rsidRPr="00CE15CF">
              <w:rPr>
                <w:sz w:val="20"/>
              </w:rPr>
              <w:t>umu</w:t>
            </w:r>
            <w:proofErr w:type="spellEnd"/>
            <w:r w:rsidRPr="00CE15CF">
              <w:rPr>
                <w:sz w:val="20"/>
              </w:rPr>
              <w:t xml:space="preserve"> genotoxicity test of fluorotelomer alcohols and </w:t>
            </w:r>
            <w:proofErr w:type="spellStart"/>
            <w:r w:rsidRPr="00CE15CF">
              <w:rPr>
                <w:sz w:val="20"/>
              </w:rPr>
              <w:t>perfluorinated</w:t>
            </w:r>
            <w:proofErr w:type="spellEnd"/>
            <w:r w:rsidRPr="00CE15CF">
              <w:rPr>
                <w:sz w:val="20"/>
              </w:rPr>
              <w:t xml:space="preserve"> alkyl acids. Environ Health </w:t>
            </w:r>
            <w:proofErr w:type="spellStart"/>
            <w:r w:rsidRPr="00CE15CF">
              <w:rPr>
                <w:sz w:val="20"/>
              </w:rPr>
              <w:t>Perspect</w:t>
            </w:r>
            <w:proofErr w:type="spellEnd"/>
            <w:r w:rsidRPr="00CE15CF">
              <w:rPr>
                <w:sz w:val="20"/>
              </w:rPr>
              <w:t xml:space="preserve"> 12:217-9.</w:t>
            </w:r>
          </w:p>
        </w:tc>
      </w:tr>
      <w:tr w:rsidR="006E49F8" w:rsidRPr="00CE15CF" w14:paraId="2F09F866" w14:textId="77777777" w:rsidTr="003D6476">
        <w:trPr>
          <w:trHeight w:val="428"/>
        </w:trPr>
        <w:tc>
          <w:tcPr>
            <w:tcW w:w="747" w:type="pct"/>
            <w:tcBorders>
              <w:top w:val="nil"/>
              <w:left w:val="nil"/>
              <w:bottom w:val="nil"/>
              <w:right w:val="nil"/>
            </w:tcBorders>
            <w:shd w:val="clear" w:color="auto" w:fill="auto"/>
            <w:vAlign w:val="center"/>
          </w:tcPr>
          <w:p w14:paraId="01F4B36D" w14:textId="6325DF0F" w:rsidR="006E49F8" w:rsidRPr="00CE15CF" w:rsidRDefault="006E49F8" w:rsidP="00CE15CF">
            <w:pPr>
              <w:rPr>
                <w:rFonts w:eastAsia="Times New Roman"/>
                <w:sz w:val="20"/>
                <w:szCs w:val="20"/>
                <w:lang w:eastAsia="en-GB"/>
              </w:rPr>
            </w:pPr>
            <w:r w:rsidRPr="00CE15CF">
              <w:rPr>
                <w:rFonts w:eastAsia="Times New Roman"/>
                <w:sz w:val="20"/>
                <w:szCs w:val="20"/>
                <w:lang w:eastAsia="en-GB"/>
              </w:rPr>
              <w:t>Nguyen et al.</w:t>
            </w:r>
          </w:p>
        </w:tc>
        <w:tc>
          <w:tcPr>
            <w:tcW w:w="447" w:type="pct"/>
            <w:tcBorders>
              <w:top w:val="nil"/>
              <w:left w:val="nil"/>
              <w:bottom w:val="nil"/>
              <w:right w:val="nil"/>
            </w:tcBorders>
            <w:shd w:val="clear" w:color="auto" w:fill="auto"/>
            <w:vAlign w:val="center"/>
          </w:tcPr>
          <w:p w14:paraId="23941CD1" w14:textId="250106BD" w:rsidR="006E49F8" w:rsidRPr="00CE15CF" w:rsidRDefault="006E49F8" w:rsidP="00CE15CF">
            <w:pPr>
              <w:rPr>
                <w:rFonts w:eastAsia="Times New Roman"/>
                <w:sz w:val="20"/>
                <w:szCs w:val="20"/>
                <w:lang w:eastAsia="en-GB"/>
              </w:rPr>
            </w:pPr>
            <w:r w:rsidRPr="00CE15CF">
              <w:rPr>
                <w:rFonts w:eastAsia="Times New Roman"/>
                <w:sz w:val="20"/>
                <w:szCs w:val="20"/>
                <w:lang w:eastAsia="en-GB"/>
              </w:rPr>
              <w:t>2013</w:t>
            </w:r>
          </w:p>
        </w:tc>
        <w:tc>
          <w:tcPr>
            <w:tcW w:w="3806" w:type="pct"/>
            <w:tcBorders>
              <w:top w:val="nil"/>
              <w:left w:val="nil"/>
              <w:bottom w:val="nil"/>
              <w:right w:val="nil"/>
            </w:tcBorders>
            <w:shd w:val="clear" w:color="auto" w:fill="auto"/>
            <w:vAlign w:val="center"/>
          </w:tcPr>
          <w:p w14:paraId="042232F8" w14:textId="49BE4FA3" w:rsidR="006E49F8" w:rsidRPr="00CE15CF" w:rsidRDefault="00B460B8" w:rsidP="00CE15CF">
            <w:pPr>
              <w:rPr>
                <w:rFonts w:eastAsia="Times New Roman"/>
                <w:sz w:val="20"/>
                <w:szCs w:val="20"/>
                <w:lang w:eastAsia="en-GB"/>
              </w:rPr>
            </w:pPr>
            <w:r w:rsidRPr="00CE15CF">
              <w:rPr>
                <w:rFonts w:eastAsia="Times New Roman"/>
                <w:sz w:val="20"/>
                <w:szCs w:val="20"/>
                <w:lang w:eastAsia="en-GB"/>
              </w:rPr>
              <w:t xml:space="preserve">Rate laws and kinetic </w:t>
            </w:r>
            <w:proofErr w:type="spellStart"/>
            <w:r w:rsidRPr="00CE15CF">
              <w:rPr>
                <w:rFonts w:eastAsia="Times New Roman"/>
                <w:sz w:val="20"/>
                <w:szCs w:val="20"/>
                <w:lang w:eastAsia="en-GB"/>
              </w:rPr>
              <w:t>modeling</w:t>
            </w:r>
            <w:proofErr w:type="spellEnd"/>
            <w:r w:rsidRPr="00CE15CF">
              <w:rPr>
                <w:rFonts w:eastAsia="Times New Roman"/>
                <w:sz w:val="20"/>
                <w:szCs w:val="20"/>
                <w:lang w:eastAsia="en-GB"/>
              </w:rPr>
              <w:t xml:space="preserve"> of N-ethyl </w:t>
            </w:r>
            <w:proofErr w:type="spellStart"/>
            <w:r w:rsidRPr="00CE15CF">
              <w:rPr>
                <w:rFonts w:eastAsia="Times New Roman"/>
                <w:sz w:val="20"/>
                <w:szCs w:val="20"/>
                <w:lang w:eastAsia="en-GB"/>
              </w:rPr>
              <w:t>perfluorooctane</w:t>
            </w:r>
            <w:proofErr w:type="spellEnd"/>
            <w:r w:rsidRPr="00CE15CF">
              <w:rPr>
                <w:rFonts w:eastAsia="Times New Roman"/>
                <w:sz w:val="20"/>
                <w:szCs w:val="20"/>
                <w:lang w:eastAsia="en-GB"/>
              </w:rPr>
              <w:t xml:space="preserve"> </w:t>
            </w:r>
            <w:proofErr w:type="spellStart"/>
            <w:r w:rsidRPr="00CE15CF">
              <w:rPr>
                <w:rFonts w:eastAsia="Times New Roman"/>
                <w:sz w:val="20"/>
                <w:szCs w:val="20"/>
                <w:lang w:eastAsia="en-GB"/>
              </w:rPr>
              <w:t>sulfonamidoethanol</w:t>
            </w:r>
            <w:proofErr w:type="spellEnd"/>
            <w:r w:rsidRPr="00CE15CF">
              <w:rPr>
                <w:rFonts w:eastAsia="Times New Roman"/>
                <w:sz w:val="20"/>
                <w:szCs w:val="20"/>
                <w:lang w:eastAsia="en-GB"/>
              </w:rPr>
              <w:t xml:space="preserve"> </w:t>
            </w:r>
            <w:r w:rsidR="003D6476">
              <w:rPr>
                <w:rFonts w:eastAsia="Times New Roman"/>
                <w:sz w:val="20"/>
                <w:szCs w:val="20"/>
                <w:lang w:eastAsia="en-GB"/>
              </w:rPr>
              <w:br/>
            </w:r>
            <w:r w:rsidRPr="00CE15CF">
              <w:rPr>
                <w:rFonts w:eastAsia="Times New Roman"/>
                <w:sz w:val="20"/>
                <w:szCs w:val="20"/>
                <w:lang w:eastAsia="en-GB"/>
              </w:rPr>
              <w:t>(N-</w:t>
            </w:r>
            <w:proofErr w:type="spellStart"/>
            <w:r w:rsidRPr="00CE15CF">
              <w:rPr>
                <w:rFonts w:eastAsia="Times New Roman"/>
                <w:sz w:val="20"/>
                <w:szCs w:val="20"/>
                <w:lang w:eastAsia="en-GB"/>
              </w:rPr>
              <w:t>EtFOSE</w:t>
            </w:r>
            <w:proofErr w:type="spellEnd"/>
            <w:r w:rsidRPr="00CE15CF">
              <w:rPr>
                <w:rFonts w:eastAsia="Times New Roman"/>
                <w:sz w:val="20"/>
                <w:szCs w:val="20"/>
                <w:lang w:eastAsia="en-GB"/>
              </w:rPr>
              <w:t>) transformation by hydroxyl radical in aqueous solution, Water Res. 2013 May 1;47(7):2241-50</w:t>
            </w:r>
          </w:p>
        </w:tc>
      </w:tr>
      <w:tr w:rsidR="00FC3DEE" w:rsidRPr="00CE15CF" w14:paraId="025133AA" w14:textId="77777777" w:rsidTr="003D6476">
        <w:trPr>
          <w:trHeight w:val="1200"/>
        </w:trPr>
        <w:tc>
          <w:tcPr>
            <w:tcW w:w="747" w:type="pct"/>
            <w:tcBorders>
              <w:top w:val="nil"/>
              <w:left w:val="nil"/>
              <w:bottom w:val="nil"/>
              <w:right w:val="nil"/>
            </w:tcBorders>
            <w:shd w:val="clear" w:color="auto" w:fill="auto"/>
            <w:noWrap/>
            <w:vAlign w:val="center"/>
            <w:hideMark/>
          </w:tcPr>
          <w:p w14:paraId="6E78DEC6" w14:textId="31D42039" w:rsidR="00FC3DEE" w:rsidRPr="00CE15CF" w:rsidRDefault="00FC3DEE" w:rsidP="00CE15CF">
            <w:pPr>
              <w:rPr>
                <w:sz w:val="20"/>
              </w:rPr>
            </w:pPr>
            <w:proofErr w:type="spellStart"/>
            <w:r w:rsidRPr="00CE15CF">
              <w:rPr>
                <w:sz w:val="20"/>
              </w:rPr>
              <w:t>Plumlee</w:t>
            </w:r>
            <w:proofErr w:type="spellEnd"/>
            <w:r w:rsidRPr="00CE15CF">
              <w:rPr>
                <w:sz w:val="20"/>
              </w:rPr>
              <w:t xml:space="preserve"> et al</w:t>
            </w:r>
            <w:r w:rsidR="002140CD" w:rsidRPr="00CE15CF">
              <w:rPr>
                <w:rFonts w:eastAsia="Times New Roman"/>
                <w:sz w:val="20"/>
                <w:szCs w:val="20"/>
                <w:lang w:eastAsia="en-GB"/>
              </w:rPr>
              <w:t>.</w:t>
            </w:r>
          </w:p>
        </w:tc>
        <w:tc>
          <w:tcPr>
            <w:tcW w:w="447" w:type="pct"/>
            <w:tcBorders>
              <w:top w:val="nil"/>
              <w:left w:val="nil"/>
              <w:bottom w:val="nil"/>
              <w:right w:val="nil"/>
            </w:tcBorders>
            <w:shd w:val="clear" w:color="auto" w:fill="auto"/>
            <w:noWrap/>
            <w:vAlign w:val="center"/>
            <w:hideMark/>
          </w:tcPr>
          <w:p w14:paraId="2E074013" w14:textId="77777777" w:rsidR="00FC3DEE" w:rsidRPr="00CE15CF" w:rsidRDefault="00FC3DEE" w:rsidP="00CE15CF">
            <w:pPr>
              <w:rPr>
                <w:sz w:val="20"/>
              </w:rPr>
            </w:pPr>
            <w:r w:rsidRPr="00CE15CF">
              <w:rPr>
                <w:sz w:val="20"/>
              </w:rPr>
              <w:t>2009</w:t>
            </w:r>
          </w:p>
        </w:tc>
        <w:tc>
          <w:tcPr>
            <w:tcW w:w="3806" w:type="pct"/>
            <w:tcBorders>
              <w:top w:val="nil"/>
              <w:left w:val="nil"/>
              <w:bottom w:val="nil"/>
              <w:right w:val="nil"/>
            </w:tcBorders>
            <w:shd w:val="clear" w:color="auto" w:fill="auto"/>
            <w:vAlign w:val="center"/>
            <w:hideMark/>
          </w:tcPr>
          <w:p w14:paraId="6731F357" w14:textId="02041A32" w:rsidR="00FC3DEE" w:rsidRPr="00CE15CF" w:rsidRDefault="00FC3DEE" w:rsidP="00CE15CF">
            <w:pPr>
              <w:rPr>
                <w:sz w:val="20"/>
              </w:rPr>
            </w:pPr>
            <w:r w:rsidRPr="00CE15CF">
              <w:rPr>
                <w:sz w:val="20"/>
              </w:rPr>
              <w:t xml:space="preserve">Indirect Photolysis of Perfluoro chemicals: Hydroxyl Radical-Initiated Oxidation of </w:t>
            </w:r>
            <w:r w:rsidR="003D6476">
              <w:rPr>
                <w:sz w:val="20"/>
              </w:rPr>
              <w:br/>
            </w:r>
            <w:r w:rsidRPr="00CE15CF">
              <w:rPr>
                <w:sz w:val="20"/>
              </w:rPr>
              <w:t xml:space="preserve">N-Ethyl Perfluoro octane </w:t>
            </w:r>
            <w:proofErr w:type="spellStart"/>
            <w:r w:rsidRPr="00CE15CF">
              <w:rPr>
                <w:sz w:val="20"/>
              </w:rPr>
              <w:t>Sulfonamide</w:t>
            </w:r>
            <w:proofErr w:type="spellEnd"/>
            <w:r w:rsidRPr="00CE15CF">
              <w:rPr>
                <w:sz w:val="20"/>
              </w:rPr>
              <w:t xml:space="preserve"> Acetate (N-</w:t>
            </w:r>
            <w:proofErr w:type="spellStart"/>
            <w:r w:rsidRPr="00CE15CF">
              <w:rPr>
                <w:sz w:val="20"/>
              </w:rPr>
              <w:t>EtFOSAA</w:t>
            </w:r>
            <w:proofErr w:type="spellEnd"/>
            <w:r w:rsidRPr="00CE15CF">
              <w:rPr>
                <w:sz w:val="20"/>
              </w:rPr>
              <w:t xml:space="preserve">) and Other Perfluoro alkane </w:t>
            </w:r>
            <w:proofErr w:type="spellStart"/>
            <w:r w:rsidRPr="00CE15CF">
              <w:rPr>
                <w:sz w:val="20"/>
              </w:rPr>
              <w:t>sulfonamides</w:t>
            </w:r>
            <w:proofErr w:type="spellEnd"/>
            <w:r w:rsidRPr="00CE15CF">
              <w:rPr>
                <w:sz w:val="20"/>
              </w:rPr>
              <w:t>, Environ. Sci. Technol.2009, 43, 3662–3668</w:t>
            </w:r>
          </w:p>
        </w:tc>
      </w:tr>
      <w:tr w:rsidR="00FC3DEE" w:rsidRPr="00CE15CF" w14:paraId="16A58FE8" w14:textId="77777777" w:rsidTr="003D6476">
        <w:trPr>
          <w:trHeight w:val="465"/>
        </w:trPr>
        <w:tc>
          <w:tcPr>
            <w:tcW w:w="747" w:type="pct"/>
            <w:tcBorders>
              <w:top w:val="nil"/>
              <w:left w:val="nil"/>
              <w:bottom w:val="nil"/>
              <w:right w:val="nil"/>
            </w:tcBorders>
            <w:shd w:val="clear" w:color="auto" w:fill="auto"/>
            <w:vAlign w:val="center"/>
            <w:hideMark/>
          </w:tcPr>
          <w:p w14:paraId="0037B92F" w14:textId="15CC6EA9" w:rsidR="00FC3DEE" w:rsidRPr="00CE15CF" w:rsidRDefault="00FC3DEE" w:rsidP="00CE15CF">
            <w:pPr>
              <w:rPr>
                <w:sz w:val="20"/>
              </w:rPr>
            </w:pPr>
            <w:proofErr w:type="spellStart"/>
            <w:r w:rsidRPr="00CE15CF">
              <w:rPr>
                <w:sz w:val="20"/>
              </w:rPr>
              <w:t>Poulsen</w:t>
            </w:r>
            <w:proofErr w:type="spellEnd"/>
            <w:r w:rsidRPr="00CE15CF">
              <w:rPr>
                <w:sz w:val="20"/>
              </w:rPr>
              <w:t xml:space="preserve"> et al</w:t>
            </w:r>
            <w:r w:rsidR="002140CD" w:rsidRPr="00CE15CF">
              <w:rPr>
                <w:rFonts w:eastAsia="Times New Roman"/>
                <w:sz w:val="20"/>
                <w:szCs w:val="20"/>
                <w:lang w:eastAsia="en-GB"/>
              </w:rPr>
              <w:t>.</w:t>
            </w:r>
          </w:p>
        </w:tc>
        <w:tc>
          <w:tcPr>
            <w:tcW w:w="447" w:type="pct"/>
            <w:tcBorders>
              <w:top w:val="nil"/>
              <w:left w:val="nil"/>
              <w:bottom w:val="nil"/>
              <w:right w:val="nil"/>
            </w:tcBorders>
            <w:shd w:val="clear" w:color="auto" w:fill="auto"/>
            <w:vAlign w:val="center"/>
            <w:hideMark/>
          </w:tcPr>
          <w:p w14:paraId="74C7EAEF" w14:textId="77777777" w:rsidR="00FC3DEE" w:rsidRPr="00CE15CF" w:rsidRDefault="00FC3DEE" w:rsidP="00CE15CF">
            <w:pPr>
              <w:rPr>
                <w:sz w:val="20"/>
              </w:rPr>
            </w:pPr>
            <w:r w:rsidRPr="00CE15CF">
              <w:rPr>
                <w:sz w:val="20"/>
              </w:rPr>
              <w:t>2005</w:t>
            </w:r>
          </w:p>
        </w:tc>
        <w:tc>
          <w:tcPr>
            <w:tcW w:w="3806" w:type="pct"/>
            <w:tcBorders>
              <w:top w:val="nil"/>
              <w:left w:val="nil"/>
              <w:bottom w:val="nil"/>
              <w:right w:val="nil"/>
            </w:tcBorders>
            <w:shd w:val="clear" w:color="auto" w:fill="auto"/>
            <w:vAlign w:val="center"/>
            <w:hideMark/>
          </w:tcPr>
          <w:p w14:paraId="348CBFC4" w14:textId="16CD1295" w:rsidR="00FC3DEE" w:rsidRPr="00CE15CF" w:rsidRDefault="00FC3DEE" w:rsidP="00CE15CF">
            <w:pPr>
              <w:rPr>
                <w:sz w:val="20"/>
              </w:rPr>
            </w:pPr>
            <w:r w:rsidRPr="00CE15CF">
              <w:rPr>
                <w:sz w:val="20"/>
              </w:rPr>
              <w:t xml:space="preserve">Danish Ministry of </w:t>
            </w:r>
            <w:proofErr w:type="spellStart"/>
            <w:r w:rsidRPr="00CE15CF">
              <w:rPr>
                <w:sz w:val="20"/>
              </w:rPr>
              <w:t>Environment.More</w:t>
            </w:r>
            <w:proofErr w:type="spellEnd"/>
            <w:r w:rsidRPr="00CE15CF">
              <w:rPr>
                <w:sz w:val="20"/>
              </w:rPr>
              <w:t xml:space="preserve"> environmentally friendly alternatives to </w:t>
            </w:r>
            <w:r w:rsidR="003D6476">
              <w:rPr>
                <w:sz w:val="20"/>
              </w:rPr>
              <w:br/>
            </w:r>
            <w:r w:rsidRPr="00CE15CF">
              <w:rPr>
                <w:sz w:val="20"/>
              </w:rPr>
              <w:t>PFOS-compounds and PFOA. Available from: http://www2.mst.dk/common/Udgivramme/Frame.asp?http://www2.mst.dk/udgiv/</w:t>
            </w:r>
            <w:r w:rsidR="003D6476">
              <w:rPr>
                <w:sz w:val="20"/>
              </w:rPr>
              <w:br/>
            </w:r>
            <w:r w:rsidRPr="00CE15CF">
              <w:rPr>
                <w:sz w:val="20"/>
              </w:rPr>
              <w:t>Publications/ 2005/87-7614-668-5/html/default_eng.htm</w:t>
            </w:r>
          </w:p>
        </w:tc>
      </w:tr>
      <w:tr w:rsidR="00773146" w:rsidRPr="00CE15CF" w14:paraId="3C5D369D" w14:textId="77777777" w:rsidTr="003D6476">
        <w:trPr>
          <w:trHeight w:val="706"/>
        </w:trPr>
        <w:tc>
          <w:tcPr>
            <w:tcW w:w="747" w:type="pct"/>
            <w:tcBorders>
              <w:top w:val="nil"/>
              <w:left w:val="nil"/>
              <w:bottom w:val="nil"/>
              <w:right w:val="nil"/>
            </w:tcBorders>
            <w:shd w:val="clear" w:color="auto" w:fill="auto"/>
            <w:vAlign w:val="center"/>
          </w:tcPr>
          <w:p w14:paraId="358E1250" w14:textId="3B754CE4" w:rsidR="00773146" w:rsidRPr="00CE15CF" w:rsidRDefault="00773146" w:rsidP="00CE15CF">
            <w:pPr>
              <w:rPr>
                <w:sz w:val="20"/>
              </w:rPr>
            </w:pPr>
            <w:proofErr w:type="spellStart"/>
            <w:r w:rsidRPr="00CE15CF">
              <w:rPr>
                <w:sz w:val="20"/>
              </w:rPr>
              <w:t>Prevedouros</w:t>
            </w:r>
            <w:proofErr w:type="spellEnd"/>
            <w:r w:rsidRPr="00CE15CF">
              <w:rPr>
                <w:sz w:val="20"/>
              </w:rPr>
              <w:t xml:space="preserve"> et al</w:t>
            </w:r>
            <w:r w:rsidR="002140CD" w:rsidRPr="00CE15CF">
              <w:rPr>
                <w:rFonts w:eastAsia="Times New Roman"/>
                <w:sz w:val="20"/>
                <w:szCs w:val="20"/>
                <w:lang w:eastAsia="en-GB"/>
              </w:rPr>
              <w:t>.</w:t>
            </w:r>
          </w:p>
        </w:tc>
        <w:tc>
          <w:tcPr>
            <w:tcW w:w="447" w:type="pct"/>
            <w:tcBorders>
              <w:top w:val="nil"/>
              <w:left w:val="nil"/>
              <w:bottom w:val="nil"/>
              <w:right w:val="nil"/>
            </w:tcBorders>
            <w:shd w:val="clear" w:color="auto" w:fill="auto"/>
            <w:vAlign w:val="center"/>
          </w:tcPr>
          <w:p w14:paraId="26614F85" w14:textId="6F7ABB5A" w:rsidR="00773146" w:rsidRPr="00CE15CF" w:rsidRDefault="00773146" w:rsidP="00CE15CF">
            <w:pPr>
              <w:rPr>
                <w:sz w:val="20"/>
              </w:rPr>
            </w:pPr>
            <w:r w:rsidRPr="00CE15CF">
              <w:rPr>
                <w:sz w:val="20"/>
              </w:rPr>
              <w:t>2006</w:t>
            </w:r>
          </w:p>
        </w:tc>
        <w:tc>
          <w:tcPr>
            <w:tcW w:w="3806" w:type="pct"/>
            <w:tcBorders>
              <w:top w:val="nil"/>
              <w:left w:val="nil"/>
              <w:bottom w:val="nil"/>
              <w:right w:val="nil"/>
            </w:tcBorders>
            <w:shd w:val="clear" w:color="auto" w:fill="auto"/>
            <w:vAlign w:val="center"/>
          </w:tcPr>
          <w:p w14:paraId="7E346D97" w14:textId="69F628ED" w:rsidR="00773146" w:rsidRPr="00CE15CF" w:rsidRDefault="00773146" w:rsidP="00CE15CF">
            <w:pPr>
              <w:rPr>
                <w:sz w:val="20"/>
              </w:rPr>
            </w:pPr>
            <w:r w:rsidRPr="00CE15CF">
              <w:rPr>
                <w:sz w:val="20"/>
              </w:rPr>
              <w:t xml:space="preserve">Sources, fate and transport of </w:t>
            </w:r>
            <w:proofErr w:type="spellStart"/>
            <w:r w:rsidRPr="00CE15CF">
              <w:rPr>
                <w:sz w:val="20"/>
              </w:rPr>
              <w:t>perfluorocarboxylates</w:t>
            </w:r>
            <w:proofErr w:type="spellEnd"/>
            <w:r w:rsidRPr="00CE15CF">
              <w:rPr>
                <w:sz w:val="20"/>
              </w:rPr>
              <w:t>. Environmental Science &amp; Technology 40 32-44.</w:t>
            </w:r>
          </w:p>
        </w:tc>
      </w:tr>
      <w:tr w:rsidR="00FC386D" w:rsidRPr="00CE15CF" w14:paraId="63EBC2D2" w14:textId="77777777" w:rsidTr="003D6476">
        <w:trPr>
          <w:trHeight w:val="706"/>
        </w:trPr>
        <w:tc>
          <w:tcPr>
            <w:tcW w:w="747" w:type="pct"/>
            <w:tcBorders>
              <w:top w:val="nil"/>
              <w:left w:val="nil"/>
              <w:bottom w:val="nil"/>
              <w:right w:val="nil"/>
            </w:tcBorders>
            <w:shd w:val="clear" w:color="auto" w:fill="auto"/>
            <w:vAlign w:val="center"/>
          </w:tcPr>
          <w:p w14:paraId="01AD61AA" w14:textId="533054D4" w:rsidR="00FC386D" w:rsidRPr="00CE15CF" w:rsidRDefault="00FC386D" w:rsidP="00CE15CF">
            <w:pPr>
              <w:rPr>
                <w:rFonts w:eastAsia="Times New Roman"/>
                <w:sz w:val="20"/>
                <w:szCs w:val="20"/>
                <w:lang w:eastAsia="en-GB"/>
              </w:rPr>
            </w:pPr>
            <w:r w:rsidRPr="00CE15CF">
              <w:rPr>
                <w:rFonts w:eastAsia="Times New Roman"/>
                <w:sz w:val="20"/>
                <w:szCs w:val="20"/>
                <w:lang w:eastAsia="en-GB"/>
              </w:rPr>
              <w:t>OECD</w:t>
            </w:r>
          </w:p>
        </w:tc>
        <w:tc>
          <w:tcPr>
            <w:tcW w:w="447" w:type="pct"/>
            <w:tcBorders>
              <w:top w:val="nil"/>
              <w:left w:val="nil"/>
              <w:bottom w:val="nil"/>
              <w:right w:val="nil"/>
            </w:tcBorders>
            <w:shd w:val="clear" w:color="auto" w:fill="auto"/>
            <w:vAlign w:val="center"/>
          </w:tcPr>
          <w:p w14:paraId="73887ACA" w14:textId="2B4BE24A" w:rsidR="00FC386D" w:rsidRPr="00CE15CF" w:rsidRDefault="00FC386D" w:rsidP="00CE15CF">
            <w:pPr>
              <w:rPr>
                <w:rFonts w:eastAsia="Times New Roman"/>
                <w:sz w:val="20"/>
                <w:szCs w:val="20"/>
                <w:lang w:eastAsia="en-GB"/>
              </w:rPr>
            </w:pPr>
            <w:r w:rsidRPr="00CE15CF">
              <w:rPr>
                <w:rFonts w:eastAsia="Times New Roman"/>
                <w:sz w:val="20"/>
                <w:szCs w:val="20"/>
                <w:lang w:eastAsia="en-GB"/>
              </w:rPr>
              <w:t>2018</w:t>
            </w:r>
          </w:p>
        </w:tc>
        <w:tc>
          <w:tcPr>
            <w:tcW w:w="3806" w:type="pct"/>
            <w:tcBorders>
              <w:top w:val="nil"/>
              <w:left w:val="nil"/>
              <w:bottom w:val="nil"/>
              <w:right w:val="nil"/>
            </w:tcBorders>
            <w:shd w:val="clear" w:color="auto" w:fill="auto"/>
            <w:vAlign w:val="center"/>
          </w:tcPr>
          <w:p w14:paraId="55DB94E4" w14:textId="38F94F37" w:rsidR="00FC386D" w:rsidRPr="00CE15CF" w:rsidRDefault="00FC386D" w:rsidP="00CE15CF">
            <w:pPr>
              <w:rPr>
                <w:rFonts w:eastAsia="Times New Roman"/>
                <w:sz w:val="20"/>
                <w:szCs w:val="20"/>
                <w:lang w:eastAsia="en-GB"/>
              </w:rPr>
            </w:pPr>
            <w:r w:rsidRPr="00CE15CF">
              <w:rPr>
                <w:rFonts w:eastAsia="Times New Roman"/>
                <w:sz w:val="20"/>
                <w:szCs w:val="20"/>
                <w:lang w:eastAsia="en-GB"/>
              </w:rPr>
              <w:t xml:space="preserve"> New Comprehensive Global Database of Per- and </w:t>
            </w:r>
            <w:proofErr w:type="spellStart"/>
            <w:r w:rsidRPr="00CE15CF">
              <w:rPr>
                <w:rFonts w:eastAsia="Times New Roman"/>
                <w:sz w:val="20"/>
                <w:szCs w:val="20"/>
                <w:lang w:eastAsia="en-GB"/>
              </w:rPr>
              <w:t>Polyfluoroalkyl</w:t>
            </w:r>
            <w:proofErr w:type="spellEnd"/>
            <w:r w:rsidRPr="00CE15CF">
              <w:rPr>
                <w:rFonts w:eastAsia="Times New Roman"/>
                <w:sz w:val="20"/>
                <w:szCs w:val="20"/>
                <w:lang w:eastAsia="en-GB"/>
              </w:rPr>
              <w:t xml:space="preserve"> Substances (PFASs).</w:t>
            </w:r>
          </w:p>
        </w:tc>
      </w:tr>
      <w:tr w:rsidR="00FC3DEE" w:rsidRPr="00CE15CF" w14:paraId="1C68D6E7" w14:textId="77777777" w:rsidTr="003D6476">
        <w:trPr>
          <w:trHeight w:val="600"/>
        </w:trPr>
        <w:tc>
          <w:tcPr>
            <w:tcW w:w="747" w:type="pct"/>
            <w:tcBorders>
              <w:top w:val="nil"/>
              <w:left w:val="nil"/>
              <w:bottom w:val="nil"/>
              <w:right w:val="nil"/>
            </w:tcBorders>
            <w:shd w:val="clear" w:color="auto" w:fill="auto"/>
            <w:vAlign w:val="center"/>
            <w:hideMark/>
          </w:tcPr>
          <w:p w14:paraId="688E789E" w14:textId="77777777" w:rsidR="00FC3DEE" w:rsidRPr="00CE15CF" w:rsidRDefault="00FC3DEE" w:rsidP="00CE15CF">
            <w:pPr>
              <w:rPr>
                <w:sz w:val="20"/>
              </w:rPr>
            </w:pPr>
            <w:r w:rsidRPr="00CE15CF">
              <w:rPr>
                <w:sz w:val="20"/>
              </w:rPr>
              <w:t xml:space="preserve">Queensland </w:t>
            </w:r>
            <w:proofErr w:type="spellStart"/>
            <w:r w:rsidRPr="00CE15CF">
              <w:rPr>
                <w:sz w:val="20"/>
              </w:rPr>
              <w:t>Gov</w:t>
            </w:r>
            <w:proofErr w:type="spellEnd"/>
          </w:p>
        </w:tc>
        <w:tc>
          <w:tcPr>
            <w:tcW w:w="447" w:type="pct"/>
            <w:tcBorders>
              <w:top w:val="nil"/>
              <w:left w:val="nil"/>
              <w:bottom w:val="nil"/>
              <w:right w:val="nil"/>
            </w:tcBorders>
            <w:shd w:val="clear" w:color="auto" w:fill="auto"/>
            <w:vAlign w:val="center"/>
            <w:hideMark/>
          </w:tcPr>
          <w:p w14:paraId="3CB62E39" w14:textId="77777777" w:rsidR="00FC3DEE" w:rsidRPr="00CE15CF" w:rsidRDefault="00FC3DEE" w:rsidP="00CE15CF">
            <w:pPr>
              <w:rPr>
                <w:sz w:val="20"/>
              </w:rPr>
            </w:pPr>
            <w:r w:rsidRPr="00CE15CF">
              <w:rPr>
                <w:sz w:val="20"/>
              </w:rPr>
              <w:t>2016a</w:t>
            </w:r>
          </w:p>
        </w:tc>
        <w:tc>
          <w:tcPr>
            <w:tcW w:w="3806" w:type="pct"/>
            <w:tcBorders>
              <w:top w:val="nil"/>
              <w:left w:val="nil"/>
              <w:bottom w:val="nil"/>
              <w:right w:val="nil"/>
            </w:tcBorders>
            <w:shd w:val="clear" w:color="auto" w:fill="auto"/>
            <w:vAlign w:val="center"/>
            <w:hideMark/>
          </w:tcPr>
          <w:p w14:paraId="34181EF8" w14:textId="77777777" w:rsidR="00FC3DEE" w:rsidRPr="00CE15CF" w:rsidRDefault="00FC3DEE" w:rsidP="00CE15CF">
            <w:pPr>
              <w:rPr>
                <w:sz w:val="20"/>
              </w:rPr>
            </w:pPr>
            <w:r w:rsidRPr="00CE15CF">
              <w:rPr>
                <w:sz w:val="20"/>
              </w:rPr>
              <w:t>Environmental Management of Firefighting Foam Policy. 7 July 2016</w:t>
            </w:r>
          </w:p>
        </w:tc>
      </w:tr>
      <w:tr w:rsidR="00FC3DEE" w:rsidRPr="00CE15CF" w14:paraId="11E7A3F8" w14:textId="77777777" w:rsidTr="003D6476">
        <w:trPr>
          <w:trHeight w:val="785"/>
        </w:trPr>
        <w:tc>
          <w:tcPr>
            <w:tcW w:w="747" w:type="pct"/>
            <w:tcBorders>
              <w:top w:val="nil"/>
              <w:left w:val="nil"/>
              <w:bottom w:val="nil"/>
              <w:right w:val="nil"/>
            </w:tcBorders>
            <w:shd w:val="clear" w:color="auto" w:fill="auto"/>
            <w:vAlign w:val="center"/>
            <w:hideMark/>
          </w:tcPr>
          <w:p w14:paraId="7D092857" w14:textId="77777777" w:rsidR="00FC3DEE" w:rsidRPr="00CE15CF" w:rsidRDefault="00FC3DEE" w:rsidP="00CE15CF">
            <w:pPr>
              <w:rPr>
                <w:sz w:val="20"/>
              </w:rPr>
            </w:pPr>
            <w:r w:rsidRPr="00CE15CF">
              <w:rPr>
                <w:sz w:val="20"/>
              </w:rPr>
              <w:t xml:space="preserve">Queensland </w:t>
            </w:r>
            <w:proofErr w:type="spellStart"/>
            <w:r w:rsidRPr="00CE15CF">
              <w:rPr>
                <w:sz w:val="20"/>
              </w:rPr>
              <w:t>Gov</w:t>
            </w:r>
            <w:proofErr w:type="spellEnd"/>
          </w:p>
        </w:tc>
        <w:tc>
          <w:tcPr>
            <w:tcW w:w="447" w:type="pct"/>
            <w:tcBorders>
              <w:top w:val="nil"/>
              <w:left w:val="nil"/>
              <w:bottom w:val="nil"/>
              <w:right w:val="nil"/>
            </w:tcBorders>
            <w:shd w:val="clear" w:color="auto" w:fill="auto"/>
            <w:vAlign w:val="center"/>
            <w:hideMark/>
          </w:tcPr>
          <w:p w14:paraId="635D9C4C" w14:textId="77777777" w:rsidR="00FC3DEE" w:rsidRPr="00CE15CF" w:rsidRDefault="00FC3DEE" w:rsidP="00CE15CF">
            <w:pPr>
              <w:rPr>
                <w:sz w:val="20"/>
              </w:rPr>
            </w:pPr>
            <w:r w:rsidRPr="00CE15CF">
              <w:rPr>
                <w:sz w:val="20"/>
              </w:rPr>
              <w:t>2016b</w:t>
            </w:r>
          </w:p>
        </w:tc>
        <w:tc>
          <w:tcPr>
            <w:tcW w:w="3806" w:type="pct"/>
            <w:tcBorders>
              <w:top w:val="nil"/>
              <w:left w:val="nil"/>
              <w:bottom w:val="nil"/>
              <w:right w:val="nil"/>
            </w:tcBorders>
            <w:shd w:val="clear" w:color="auto" w:fill="auto"/>
            <w:vAlign w:val="center"/>
            <w:hideMark/>
          </w:tcPr>
          <w:p w14:paraId="1941F1D8" w14:textId="2D98F27E" w:rsidR="00FC3DEE" w:rsidRPr="00CE15CF" w:rsidRDefault="00FC3DEE" w:rsidP="00CE15CF">
            <w:pPr>
              <w:rPr>
                <w:sz w:val="20"/>
              </w:rPr>
            </w:pPr>
            <w:r w:rsidRPr="00CE15CF">
              <w:rPr>
                <w:sz w:val="20"/>
              </w:rPr>
              <w:t>Environmental Management of Firefighting Foam Policy. Explanatory Notes, Revision 2. State of Queensland. Revision 2.2</w:t>
            </w:r>
            <w:r w:rsidRPr="00CE15CF">
              <w:rPr>
                <w:rFonts w:eastAsia="Times New Roman"/>
                <w:sz w:val="20"/>
                <w:szCs w:val="20"/>
                <w:lang w:eastAsia="en-GB"/>
              </w:rPr>
              <w:t>–</w:t>
            </w:r>
            <w:r w:rsidRPr="00CE15CF">
              <w:rPr>
                <w:sz w:val="20"/>
              </w:rPr>
              <w:t>July 2016. Available at http://www.ehp.qld.gov.au/assets/documents/regulation/firefighting-foam-policy-notes.pd</w:t>
            </w:r>
          </w:p>
        </w:tc>
      </w:tr>
      <w:tr w:rsidR="00FC3DEE" w:rsidRPr="00CE15CF" w14:paraId="32B8CDFE" w14:textId="77777777" w:rsidTr="003D6476">
        <w:trPr>
          <w:trHeight w:val="300"/>
        </w:trPr>
        <w:tc>
          <w:tcPr>
            <w:tcW w:w="747" w:type="pct"/>
            <w:tcBorders>
              <w:top w:val="nil"/>
              <w:left w:val="nil"/>
              <w:bottom w:val="nil"/>
              <w:right w:val="nil"/>
            </w:tcBorders>
            <w:shd w:val="clear" w:color="auto" w:fill="auto"/>
            <w:noWrap/>
            <w:vAlign w:val="center"/>
            <w:hideMark/>
          </w:tcPr>
          <w:p w14:paraId="7E8A12EB" w14:textId="77777777" w:rsidR="00FC3DEE" w:rsidRPr="00CE15CF" w:rsidRDefault="00FC3DEE" w:rsidP="00CE15CF">
            <w:pPr>
              <w:rPr>
                <w:sz w:val="20"/>
              </w:rPr>
            </w:pPr>
            <w:r w:rsidRPr="00CE15CF">
              <w:rPr>
                <w:sz w:val="20"/>
              </w:rPr>
              <w:t>Rudolf Group</w:t>
            </w:r>
          </w:p>
        </w:tc>
        <w:tc>
          <w:tcPr>
            <w:tcW w:w="447" w:type="pct"/>
            <w:tcBorders>
              <w:top w:val="nil"/>
              <w:left w:val="nil"/>
              <w:bottom w:val="nil"/>
              <w:right w:val="nil"/>
            </w:tcBorders>
            <w:shd w:val="clear" w:color="auto" w:fill="auto"/>
            <w:noWrap/>
            <w:vAlign w:val="center"/>
            <w:hideMark/>
          </w:tcPr>
          <w:p w14:paraId="1204B98F" w14:textId="77777777" w:rsidR="00FC3DEE" w:rsidRPr="00CE15CF" w:rsidRDefault="00FC3DEE" w:rsidP="00CE15CF">
            <w:pPr>
              <w:rPr>
                <w:sz w:val="20"/>
              </w:rPr>
            </w:pPr>
            <w:r w:rsidRPr="00CE15CF">
              <w:rPr>
                <w:sz w:val="20"/>
              </w:rPr>
              <w:t>2018</w:t>
            </w:r>
          </w:p>
        </w:tc>
        <w:tc>
          <w:tcPr>
            <w:tcW w:w="3806" w:type="pct"/>
            <w:tcBorders>
              <w:top w:val="nil"/>
              <w:left w:val="nil"/>
              <w:bottom w:val="nil"/>
              <w:right w:val="nil"/>
            </w:tcBorders>
            <w:shd w:val="clear" w:color="auto" w:fill="auto"/>
            <w:vAlign w:val="center"/>
            <w:hideMark/>
          </w:tcPr>
          <w:p w14:paraId="5A4F63E9" w14:textId="77777777" w:rsidR="00FC3DEE" w:rsidRPr="00CE15CF" w:rsidRDefault="00AA57F7" w:rsidP="00CE15CF">
            <w:pPr>
              <w:rPr>
                <w:sz w:val="20"/>
                <w:u w:val="single"/>
              </w:rPr>
            </w:pPr>
            <w:hyperlink r:id="rId28" w:history="1">
              <w:r w:rsidR="00FC3DEE" w:rsidRPr="00CE15CF">
                <w:rPr>
                  <w:sz w:val="20"/>
                  <w:u w:val="single"/>
                </w:rPr>
                <w:t>http://www.rudolf.de/en/</w:t>
              </w:r>
            </w:hyperlink>
          </w:p>
        </w:tc>
      </w:tr>
      <w:tr w:rsidR="00FC3DEE" w:rsidRPr="00CE15CF" w14:paraId="0F440F14" w14:textId="77777777" w:rsidTr="003D6476">
        <w:trPr>
          <w:trHeight w:val="74"/>
        </w:trPr>
        <w:tc>
          <w:tcPr>
            <w:tcW w:w="747" w:type="pct"/>
            <w:tcBorders>
              <w:top w:val="nil"/>
              <w:left w:val="nil"/>
              <w:bottom w:val="nil"/>
              <w:right w:val="nil"/>
            </w:tcBorders>
            <w:shd w:val="clear" w:color="auto" w:fill="auto"/>
            <w:noWrap/>
            <w:vAlign w:val="center"/>
            <w:hideMark/>
          </w:tcPr>
          <w:p w14:paraId="76C355C6" w14:textId="77777777" w:rsidR="00FC3DEE" w:rsidRPr="00CE15CF" w:rsidRDefault="00FC3DEE" w:rsidP="00CE15CF">
            <w:pPr>
              <w:rPr>
                <w:sz w:val="20"/>
              </w:rPr>
            </w:pPr>
            <w:proofErr w:type="spellStart"/>
            <w:r w:rsidRPr="00CE15CF">
              <w:rPr>
                <w:sz w:val="20"/>
              </w:rPr>
              <w:t>Seow</w:t>
            </w:r>
            <w:proofErr w:type="spellEnd"/>
          </w:p>
        </w:tc>
        <w:tc>
          <w:tcPr>
            <w:tcW w:w="447" w:type="pct"/>
            <w:tcBorders>
              <w:top w:val="nil"/>
              <w:left w:val="nil"/>
              <w:bottom w:val="nil"/>
              <w:right w:val="nil"/>
            </w:tcBorders>
            <w:shd w:val="clear" w:color="auto" w:fill="auto"/>
            <w:noWrap/>
            <w:vAlign w:val="center"/>
            <w:hideMark/>
          </w:tcPr>
          <w:p w14:paraId="3EBE783A" w14:textId="77777777" w:rsidR="00FC3DEE" w:rsidRPr="00CE15CF" w:rsidRDefault="00FC3DEE" w:rsidP="00CE15CF">
            <w:pPr>
              <w:rPr>
                <w:sz w:val="20"/>
              </w:rPr>
            </w:pPr>
            <w:r w:rsidRPr="00CE15CF">
              <w:rPr>
                <w:sz w:val="20"/>
              </w:rPr>
              <w:t>2013</w:t>
            </w:r>
          </w:p>
        </w:tc>
        <w:tc>
          <w:tcPr>
            <w:tcW w:w="3806" w:type="pct"/>
            <w:tcBorders>
              <w:top w:val="nil"/>
              <w:left w:val="nil"/>
              <w:bottom w:val="nil"/>
              <w:right w:val="nil"/>
            </w:tcBorders>
            <w:shd w:val="clear" w:color="auto" w:fill="auto"/>
            <w:vAlign w:val="center"/>
            <w:hideMark/>
          </w:tcPr>
          <w:p w14:paraId="2C17271B" w14:textId="7EE30231" w:rsidR="00FC3DEE" w:rsidRPr="00CE15CF" w:rsidRDefault="00C34465" w:rsidP="00CE15CF">
            <w:pPr>
              <w:rPr>
                <w:sz w:val="20"/>
              </w:rPr>
            </w:pPr>
            <w:r w:rsidRPr="00CE15CF">
              <w:rPr>
                <w:sz w:val="20"/>
              </w:rPr>
              <w:t>Fire-fighting</w:t>
            </w:r>
            <w:r w:rsidR="00FC3DEE" w:rsidRPr="00CE15CF">
              <w:rPr>
                <w:sz w:val="20"/>
              </w:rPr>
              <w:t xml:space="preserve"> foams with perfluorochemicals - a review, report by Dr </w:t>
            </w:r>
            <w:proofErr w:type="spellStart"/>
            <w:r w:rsidR="00FC3DEE" w:rsidRPr="00CE15CF">
              <w:rPr>
                <w:sz w:val="20"/>
              </w:rPr>
              <w:t>Seow</w:t>
            </w:r>
            <w:proofErr w:type="spellEnd"/>
            <w:r w:rsidR="00FC3DEE" w:rsidRPr="00CE15CF">
              <w:rPr>
                <w:sz w:val="20"/>
              </w:rPr>
              <w:t xml:space="preserve"> on behalf of the Australian NICNAS</w:t>
            </w:r>
          </w:p>
        </w:tc>
      </w:tr>
      <w:tr w:rsidR="00946D15" w:rsidRPr="00CE15CF" w14:paraId="7839A571" w14:textId="77777777" w:rsidTr="003D6476">
        <w:trPr>
          <w:trHeight w:val="74"/>
        </w:trPr>
        <w:tc>
          <w:tcPr>
            <w:tcW w:w="747" w:type="pct"/>
            <w:tcBorders>
              <w:top w:val="nil"/>
              <w:left w:val="nil"/>
              <w:bottom w:val="nil"/>
              <w:right w:val="nil"/>
            </w:tcBorders>
            <w:shd w:val="clear" w:color="auto" w:fill="auto"/>
            <w:noWrap/>
            <w:vAlign w:val="center"/>
          </w:tcPr>
          <w:p w14:paraId="4D6DA799" w14:textId="568CE439" w:rsidR="00946D15" w:rsidRPr="00CE15CF" w:rsidRDefault="00946D15" w:rsidP="00CE15CF">
            <w:pPr>
              <w:rPr>
                <w:sz w:val="20"/>
              </w:rPr>
            </w:pPr>
            <w:r w:rsidRPr="00CE15CF">
              <w:rPr>
                <w:sz w:val="20"/>
              </w:rPr>
              <w:t>Solberg</w:t>
            </w:r>
          </w:p>
        </w:tc>
        <w:tc>
          <w:tcPr>
            <w:tcW w:w="447" w:type="pct"/>
            <w:tcBorders>
              <w:top w:val="nil"/>
              <w:left w:val="nil"/>
              <w:bottom w:val="nil"/>
              <w:right w:val="nil"/>
            </w:tcBorders>
            <w:shd w:val="clear" w:color="auto" w:fill="auto"/>
            <w:noWrap/>
            <w:vAlign w:val="center"/>
          </w:tcPr>
          <w:p w14:paraId="02C38049" w14:textId="761C486E" w:rsidR="00946D15" w:rsidRPr="00CE15CF" w:rsidRDefault="00946D15" w:rsidP="00CE15CF">
            <w:pPr>
              <w:rPr>
                <w:sz w:val="20"/>
              </w:rPr>
            </w:pPr>
            <w:r w:rsidRPr="00CE15CF">
              <w:rPr>
                <w:sz w:val="20"/>
              </w:rPr>
              <w:t>2012</w:t>
            </w:r>
          </w:p>
        </w:tc>
        <w:tc>
          <w:tcPr>
            <w:tcW w:w="3806" w:type="pct"/>
            <w:tcBorders>
              <w:top w:val="nil"/>
              <w:left w:val="nil"/>
              <w:bottom w:val="nil"/>
              <w:right w:val="nil"/>
            </w:tcBorders>
            <w:shd w:val="clear" w:color="auto" w:fill="auto"/>
            <w:vAlign w:val="center"/>
          </w:tcPr>
          <w:p w14:paraId="211D32FC" w14:textId="718F47C2" w:rsidR="00946D15" w:rsidRPr="00CE15CF" w:rsidDel="00C34465" w:rsidRDefault="00946D15" w:rsidP="00CE15CF">
            <w:pPr>
              <w:rPr>
                <w:sz w:val="20"/>
              </w:rPr>
            </w:pPr>
            <w:r w:rsidRPr="00CE15CF">
              <w:rPr>
                <w:sz w:val="20"/>
              </w:rPr>
              <w:t>Technical reference guide for Re-Healing foam concentrate, white paper. https://www.solbergfoam.com/getattachment/6bbe9647-ebde-4504-8435-0af020278afb/WP-RE-HEALING-Tech-Guide-F-2012005.aspx</w:t>
            </w:r>
          </w:p>
        </w:tc>
      </w:tr>
      <w:tr w:rsidR="00FC3DEE" w:rsidRPr="00CE15CF" w14:paraId="66270578" w14:textId="77777777" w:rsidTr="003D6476">
        <w:trPr>
          <w:trHeight w:val="1500"/>
        </w:trPr>
        <w:tc>
          <w:tcPr>
            <w:tcW w:w="747" w:type="pct"/>
            <w:tcBorders>
              <w:top w:val="nil"/>
              <w:left w:val="nil"/>
              <w:bottom w:val="nil"/>
              <w:right w:val="nil"/>
            </w:tcBorders>
            <w:shd w:val="clear" w:color="auto" w:fill="auto"/>
            <w:noWrap/>
            <w:vAlign w:val="center"/>
            <w:hideMark/>
          </w:tcPr>
          <w:p w14:paraId="410324B1" w14:textId="77777777" w:rsidR="00FC3DEE" w:rsidRPr="00CE15CF" w:rsidRDefault="00FC3DEE" w:rsidP="00CE15CF">
            <w:pPr>
              <w:rPr>
                <w:sz w:val="20"/>
              </w:rPr>
            </w:pPr>
            <w:proofErr w:type="spellStart"/>
            <w:r w:rsidRPr="00CE15CF">
              <w:rPr>
                <w:sz w:val="20"/>
              </w:rPr>
              <w:t>Sontake</w:t>
            </w:r>
            <w:proofErr w:type="spellEnd"/>
            <w:r w:rsidRPr="00CE15CF">
              <w:rPr>
                <w:sz w:val="20"/>
              </w:rPr>
              <w:t xml:space="preserve"> and </w:t>
            </w:r>
            <w:proofErr w:type="spellStart"/>
            <w:r w:rsidRPr="00CE15CF">
              <w:rPr>
                <w:sz w:val="20"/>
              </w:rPr>
              <w:t>Wagh</w:t>
            </w:r>
            <w:proofErr w:type="spellEnd"/>
          </w:p>
        </w:tc>
        <w:tc>
          <w:tcPr>
            <w:tcW w:w="447" w:type="pct"/>
            <w:tcBorders>
              <w:top w:val="nil"/>
              <w:left w:val="nil"/>
              <w:bottom w:val="nil"/>
              <w:right w:val="nil"/>
            </w:tcBorders>
            <w:shd w:val="clear" w:color="auto" w:fill="auto"/>
            <w:noWrap/>
            <w:vAlign w:val="center"/>
            <w:hideMark/>
          </w:tcPr>
          <w:p w14:paraId="30A37D82" w14:textId="77777777" w:rsidR="00FC3DEE" w:rsidRPr="00CE15CF" w:rsidRDefault="00FC3DEE" w:rsidP="00CE15CF">
            <w:pPr>
              <w:rPr>
                <w:sz w:val="20"/>
              </w:rPr>
            </w:pPr>
            <w:r w:rsidRPr="00CE15CF">
              <w:rPr>
                <w:sz w:val="20"/>
              </w:rPr>
              <w:t>2014</w:t>
            </w:r>
          </w:p>
        </w:tc>
        <w:tc>
          <w:tcPr>
            <w:tcW w:w="3806" w:type="pct"/>
            <w:tcBorders>
              <w:top w:val="nil"/>
              <w:left w:val="nil"/>
              <w:bottom w:val="nil"/>
              <w:right w:val="nil"/>
            </w:tcBorders>
            <w:shd w:val="clear" w:color="auto" w:fill="auto"/>
            <w:vAlign w:val="center"/>
            <w:hideMark/>
          </w:tcPr>
          <w:p w14:paraId="0B12AA96" w14:textId="4A8DE11E" w:rsidR="00FC3DEE" w:rsidRPr="00CE15CF" w:rsidRDefault="00FC3DEE" w:rsidP="00CE15CF">
            <w:pPr>
              <w:rPr>
                <w:sz w:val="20"/>
              </w:rPr>
            </w:pPr>
            <w:r w:rsidRPr="00CE15CF">
              <w:rPr>
                <w:sz w:val="20"/>
              </w:rPr>
              <w:t xml:space="preserve">The Phase-out of </w:t>
            </w:r>
            <w:proofErr w:type="spellStart"/>
            <w:r w:rsidRPr="00CE15CF">
              <w:rPr>
                <w:sz w:val="20"/>
              </w:rPr>
              <w:t>Perfluorooctane</w:t>
            </w:r>
            <w:proofErr w:type="spellEnd"/>
            <w:r w:rsidRPr="00CE15CF">
              <w:rPr>
                <w:sz w:val="20"/>
              </w:rPr>
              <w:t xml:space="preserve"> Sulfonate (PFOS) and the</w:t>
            </w:r>
            <w:r w:rsidR="00B86965" w:rsidRPr="00CE15CF">
              <w:rPr>
                <w:rFonts w:eastAsia="Times New Roman"/>
                <w:sz w:val="20"/>
                <w:szCs w:val="20"/>
                <w:lang w:eastAsia="en-GB"/>
              </w:rPr>
              <w:t xml:space="preserve"> </w:t>
            </w:r>
            <w:r w:rsidRPr="00CE15CF">
              <w:rPr>
                <w:sz w:val="20"/>
              </w:rPr>
              <w:t xml:space="preserve">Global Future of Aqueous Film Forming Foam (AFFF), Innovations in </w:t>
            </w:r>
            <w:r w:rsidR="00C34465" w:rsidRPr="00CE15CF">
              <w:rPr>
                <w:sz w:val="20"/>
              </w:rPr>
              <w:t>Fire-fighting</w:t>
            </w:r>
            <w:r w:rsidRPr="00CE15CF">
              <w:rPr>
                <w:sz w:val="20"/>
              </w:rPr>
              <w:t xml:space="preserve"> Foam.</w:t>
            </w:r>
            <w:r w:rsidR="00B86965" w:rsidRPr="00CE15CF">
              <w:rPr>
                <w:rFonts w:eastAsia="Times New Roman"/>
                <w:sz w:val="20"/>
                <w:szCs w:val="20"/>
                <w:lang w:eastAsia="en-GB"/>
              </w:rPr>
              <w:t xml:space="preserve"> </w:t>
            </w:r>
            <w:r w:rsidRPr="00CE15CF">
              <w:rPr>
                <w:sz w:val="20"/>
              </w:rPr>
              <w:t>Chemical Engineering and Science 2, 11</w:t>
            </w:r>
            <w:r w:rsidR="00DC16A7" w:rsidRPr="00CE15CF">
              <w:t>–</w:t>
            </w:r>
            <w:r w:rsidRPr="00CE15CF">
              <w:rPr>
                <w:sz w:val="20"/>
              </w:rPr>
              <w:t>14.</w:t>
            </w:r>
          </w:p>
        </w:tc>
      </w:tr>
      <w:tr w:rsidR="00FC3DEE" w:rsidRPr="00CE15CF" w14:paraId="59FC8A12" w14:textId="77777777" w:rsidTr="003D6476">
        <w:trPr>
          <w:trHeight w:val="74"/>
        </w:trPr>
        <w:tc>
          <w:tcPr>
            <w:tcW w:w="747" w:type="pct"/>
            <w:tcBorders>
              <w:top w:val="nil"/>
              <w:left w:val="nil"/>
              <w:bottom w:val="nil"/>
              <w:right w:val="nil"/>
            </w:tcBorders>
            <w:shd w:val="clear" w:color="auto" w:fill="auto"/>
            <w:noWrap/>
            <w:vAlign w:val="center"/>
            <w:hideMark/>
          </w:tcPr>
          <w:p w14:paraId="0209C9A7" w14:textId="77777777" w:rsidR="00FC3DEE" w:rsidRPr="00CE15CF" w:rsidRDefault="00FC3DEE" w:rsidP="00CE15CF">
            <w:pPr>
              <w:rPr>
                <w:sz w:val="20"/>
              </w:rPr>
            </w:pPr>
            <w:r w:rsidRPr="00CE15CF">
              <w:rPr>
                <w:sz w:val="20"/>
              </w:rPr>
              <w:t>SSG</w:t>
            </w:r>
          </w:p>
        </w:tc>
        <w:tc>
          <w:tcPr>
            <w:tcW w:w="447" w:type="pct"/>
            <w:tcBorders>
              <w:top w:val="nil"/>
              <w:left w:val="nil"/>
              <w:bottom w:val="nil"/>
              <w:right w:val="nil"/>
            </w:tcBorders>
            <w:shd w:val="clear" w:color="auto" w:fill="auto"/>
            <w:noWrap/>
            <w:vAlign w:val="center"/>
            <w:hideMark/>
          </w:tcPr>
          <w:p w14:paraId="4C89C536" w14:textId="77777777" w:rsidR="00FC3DEE" w:rsidRPr="00CE15CF" w:rsidRDefault="00FC3DEE" w:rsidP="00CE15CF">
            <w:pPr>
              <w:rPr>
                <w:sz w:val="20"/>
              </w:rPr>
            </w:pPr>
            <w:r w:rsidRPr="00CE15CF">
              <w:rPr>
                <w:sz w:val="20"/>
              </w:rPr>
              <w:t>2017</w:t>
            </w:r>
          </w:p>
        </w:tc>
        <w:tc>
          <w:tcPr>
            <w:tcW w:w="3806" w:type="pct"/>
            <w:tcBorders>
              <w:top w:val="nil"/>
              <w:left w:val="nil"/>
              <w:bottom w:val="nil"/>
              <w:right w:val="nil"/>
            </w:tcBorders>
            <w:shd w:val="clear" w:color="auto" w:fill="auto"/>
            <w:vAlign w:val="center"/>
            <w:hideMark/>
          </w:tcPr>
          <w:p w14:paraId="5C5F95A4" w14:textId="400219EF" w:rsidR="00FC3DEE" w:rsidRPr="00CE15CF" w:rsidRDefault="00FC3DEE" w:rsidP="00CE15CF">
            <w:pPr>
              <w:rPr>
                <w:sz w:val="20"/>
              </w:rPr>
            </w:pPr>
            <w:r w:rsidRPr="00CE15CF">
              <w:rPr>
                <w:sz w:val="20"/>
              </w:rPr>
              <w:t xml:space="preserve">Perfecting PFOA-free PTFE </w:t>
            </w:r>
            <w:r w:rsidRPr="00CE15CF">
              <w:rPr>
                <w:rFonts w:eastAsia="Times New Roman"/>
                <w:sz w:val="20"/>
                <w:szCs w:val="20"/>
                <w:lang w:eastAsia="en-GB"/>
              </w:rPr>
              <w:t>Coating</w:t>
            </w:r>
            <w:r w:rsidRPr="00CE15CF">
              <w:rPr>
                <w:sz w:val="20"/>
              </w:rPr>
              <w:t xml:space="preserve"> Adhesion on Stainless Guidewires, Industry paper produced by Surface Solutions Group Inc.</w:t>
            </w:r>
          </w:p>
        </w:tc>
      </w:tr>
      <w:tr w:rsidR="00FC3DEE" w:rsidRPr="00CE15CF" w14:paraId="3F40D5A7" w14:textId="77777777" w:rsidTr="003D6476">
        <w:trPr>
          <w:trHeight w:val="215"/>
        </w:trPr>
        <w:tc>
          <w:tcPr>
            <w:tcW w:w="747" w:type="pct"/>
            <w:tcBorders>
              <w:top w:val="nil"/>
              <w:left w:val="nil"/>
              <w:bottom w:val="nil"/>
              <w:right w:val="nil"/>
            </w:tcBorders>
            <w:shd w:val="clear" w:color="auto" w:fill="auto"/>
            <w:vAlign w:val="center"/>
            <w:hideMark/>
          </w:tcPr>
          <w:p w14:paraId="4849B80B" w14:textId="77777777" w:rsidR="00FC3DEE" w:rsidRPr="00CE15CF" w:rsidRDefault="00FC3DEE" w:rsidP="00CE15CF">
            <w:pPr>
              <w:rPr>
                <w:sz w:val="20"/>
              </w:rPr>
            </w:pPr>
            <w:r w:rsidRPr="00CE15CF">
              <w:rPr>
                <w:sz w:val="20"/>
              </w:rPr>
              <w:t>Swedish Chemicals Agency</w:t>
            </w:r>
          </w:p>
        </w:tc>
        <w:tc>
          <w:tcPr>
            <w:tcW w:w="447" w:type="pct"/>
            <w:tcBorders>
              <w:top w:val="nil"/>
              <w:left w:val="nil"/>
              <w:bottom w:val="nil"/>
              <w:right w:val="nil"/>
            </w:tcBorders>
            <w:shd w:val="clear" w:color="auto" w:fill="auto"/>
            <w:vAlign w:val="center"/>
            <w:hideMark/>
          </w:tcPr>
          <w:p w14:paraId="4F26603A" w14:textId="77777777" w:rsidR="00FC3DEE" w:rsidRPr="00CE15CF" w:rsidRDefault="00FC3DEE" w:rsidP="00CE15CF">
            <w:pPr>
              <w:rPr>
                <w:sz w:val="20"/>
              </w:rPr>
            </w:pPr>
            <w:r w:rsidRPr="00CE15CF">
              <w:rPr>
                <w:sz w:val="20"/>
              </w:rPr>
              <w:t>2015</w:t>
            </w:r>
          </w:p>
        </w:tc>
        <w:tc>
          <w:tcPr>
            <w:tcW w:w="3806" w:type="pct"/>
            <w:tcBorders>
              <w:top w:val="nil"/>
              <w:left w:val="nil"/>
              <w:bottom w:val="nil"/>
              <w:right w:val="nil"/>
            </w:tcBorders>
            <w:shd w:val="clear" w:color="auto" w:fill="auto"/>
            <w:vAlign w:val="center"/>
            <w:hideMark/>
          </w:tcPr>
          <w:p w14:paraId="0E466FEF" w14:textId="77777777" w:rsidR="00FC3DEE" w:rsidRPr="00CE15CF" w:rsidRDefault="00FC3DEE" w:rsidP="00CE15CF">
            <w:pPr>
              <w:rPr>
                <w:sz w:val="20"/>
              </w:rPr>
            </w:pPr>
            <w:r w:rsidRPr="00CE15CF">
              <w:rPr>
                <w:sz w:val="20"/>
              </w:rPr>
              <w:t>Occurrence and use of highly fluorinated substances and alternatives. 2015</w:t>
            </w:r>
          </w:p>
        </w:tc>
      </w:tr>
      <w:tr w:rsidR="00FC3DEE" w:rsidRPr="00CE15CF" w14:paraId="11318D72" w14:textId="77777777" w:rsidTr="003D6476">
        <w:trPr>
          <w:trHeight w:val="900"/>
        </w:trPr>
        <w:tc>
          <w:tcPr>
            <w:tcW w:w="747" w:type="pct"/>
            <w:tcBorders>
              <w:top w:val="nil"/>
              <w:left w:val="nil"/>
              <w:bottom w:val="nil"/>
              <w:right w:val="nil"/>
            </w:tcBorders>
            <w:shd w:val="clear" w:color="auto" w:fill="auto"/>
            <w:noWrap/>
            <w:vAlign w:val="center"/>
            <w:hideMark/>
          </w:tcPr>
          <w:p w14:paraId="3551397E" w14:textId="77777777" w:rsidR="00FC3DEE" w:rsidRPr="00CE15CF" w:rsidRDefault="00FC3DEE" w:rsidP="00CE15CF">
            <w:pPr>
              <w:rPr>
                <w:sz w:val="20"/>
              </w:rPr>
            </w:pPr>
            <w:r w:rsidRPr="00CE15CF">
              <w:rPr>
                <w:sz w:val="20"/>
              </w:rPr>
              <w:t>The Intercept</w:t>
            </w:r>
          </w:p>
        </w:tc>
        <w:tc>
          <w:tcPr>
            <w:tcW w:w="447" w:type="pct"/>
            <w:tcBorders>
              <w:top w:val="nil"/>
              <w:left w:val="nil"/>
              <w:bottom w:val="nil"/>
              <w:right w:val="nil"/>
            </w:tcBorders>
            <w:shd w:val="clear" w:color="auto" w:fill="auto"/>
            <w:noWrap/>
            <w:vAlign w:val="center"/>
            <w:hideMark/>
          </w:tcPr>
          <w:p w14:paraId="081757BD" w14:textId="77777777" w:rsidR="00FC3DEE" w:rsidRPr="00CE15CF" w:rsidRDefault="00FC3DEE" w:rsidP="00CE15CF">
            <w:pPr>
              <w:rPr>
                <w:sz w:val="20"/>
              </w:rPr>
            </w:pPr>
            <w:r w:rsidRPr="00CE15CF">
              <w:rPr>
                <w:sz w:val="20"/>
              </w:rPr>
              <w:t>2016</w:t>
            </w:r>
          </w:p>
        </w:tc>
        <w:tc>
          <w:tcPr>
            <w:tcW w:w="3806" w:type="pct"/>
            <w:tcBorders>
              <w:top w:val="nil"/>
              <w:left w:val="nil"/>
              <w:bottom w:val="nil"/>
              <w:right w:val="nil"/>
            </w:tcBorders>
            <w:shd w:val="clear" w:color="auto" w:fill="auto"/>
            <w:vAlign w:val="center"/>
            <w:hideMark/>
          </w:tcPr>
          <w:p w14:paraId="028DB3A6" w14:textId="77777777" w:rsidR="00FC3DEE" w:rsidRPr="00CE15CF" w:rsidRDefault="00FC3DEE" w:rsidP="00CE15CF">
            <w:pPr>
              <w:rPr>
                <w:sz w:val="20"/>
              </w:rPr>
            </w:pPr>
            <w:r w:rsidRPr="00CE15CF">
              <w:rPr>
                <w:sz w:val="20"/>
              </w:rPr>
              <w:t>Available from: https://theintercept.com/2016/03/03/how-dupont-concealed-the-dangers-of-the-new-teflon-toxin/. (Online access: 2 March 2017).</w:t>
            </w:r>
          </w:p>
        </w:tc>
      </w:tr>
      <w:tr w:rsidR="00FC3DEE" w:rsidRPr="00CE15CF" w14:paraId="3EB560BB" w14:textId="77777777" w:rsidTr="003D6476">
        <w:trPr>
          <w:trHeight w:val="606"/>
        </w:trPr>
        <w:tc>
          <w:tcPr>
            <w:tcW w:w="747" w:type="pct"/>
            <w:tcBorders>
              <w:top w:val="nil"/>
              <w:left w:val="nil"/>
              <w:bottom w:val="nil"/>
              <w:right w:val="nil"/>
            </w:tcBorders>
            <w:shd w:val="clear" w:color="auto" w:fill="auto"/>
            <w:vAlign w:val="center"/>
            <w:hideMark/>
          </w:tcPr>
          <w:p w14:paraId="350C135A" w14:textId="77777777" w:rsidR="00FC3DEE" w:rsidRPr="00CE15CF" w:rsidRDefault="00FC3DEE" w:rsidP="00CE15CF">
            <w:pPr>
              <w:rPr>
                <w:sz w:val="20"/>
              </w:rPr>
            </w:pPr>
            <w:r w:rsidRPr="00CE15CF">
              <w:rPr>
                <w:sz w:val="20"/>
              </w:rPr>
              <w:lastRenderedPageBreak/>
              <w:t>UNEP</w:t>
            </w:r>
          </w:p>
        </w:tc>
        <w:tc>
          <w:tcPr>
            <w:tcW w:w="447" w:type="pct"/>
            <w:tcBorders>
              <w:top w:val="nil"/>
              <w:left w:val="nil"/>
              <w:bottom w:val="nil"/>
              <w:right w:val="nil"/>
            </w:tcBorders>
            <w:shd w:val="clear" w:color="auto" w:fill="auto"/>
            <w:vAlign w:val="center"/>
            <w:hideMark/>
          </w:tcPr>
          <w:p w14:paraId="2B4F325F" w14:textId="77777777" w:rsidR="00FC3DEE" w:rsidRPr="00CE15CF" w:rsidRDefault="00FC3DEE" w:rsidP="00CE15CF">
            <w:pPr>
              <w:rPr>
                <w:sz w:val="20"/>
              </w:rPr>
            </w:pPr>
            <w:r w:rsidRPr="00CE15CF">
              <w:rPr>
                <w:sz w:val="20"/>
              </w:rPr>
              <w:t>2017</w:t>
            </w:r>
          </w:p>
        </w:tc>
        <w:tc>
          <w:tcPr>
            <w:tcW w:w="3806" w:type="pct"/>
            <w:tcBorders>
              <w:top w:val="nil"/>
              <w:left w:val="nil"/>
              <w:bottom w:val="nil"/>
              <w:right w:val="nil"/>
            </w:tcBorders>
            <w:shd w:val="clear" w:color="auto" w:fill="auto"/>
            <w:vAlign w:val="center"/>
            <w:hideMark/>
          </w:tcPr>
          <w:p w14:paraId="184C35B7" w14:textId="77777777" w:rsidR="00FC3DEE" w:rsidRPr="00CE15CF" w:rsidRDefault="00FC3DEE" w:rsidP="00CE15CF">
            <w:pPr>
              <w:rPr>
                <w:sz w:val="20"/>
              </w:rPr>
            </w:pPr>
            <w:r w:rsidRPr="00CE15CF">
              <w:rPr>
                <w:sz w:val="20"/>
              </w:rPr>
              <w:t xml:space="preserve">Guidance on best available techniques and best environmental practices for the use of </w:t>
            </w:r>
            <w:proofErr w:type="spellStart"/>
            <w:r w:rsidRPr="00CE15CF">
              <w:rPr>
                <w:sz w:val="20"/>
              </w:rPr>
              <w:t>perfluorooctane</w:t>
            </w:r>
            <w:proofErr w:type="spellEnd"/>
            <w:r w:rsidRPr="00CE15CF">
              <w:rPr>
                <w:sz w:val="20"/>
              </w:rPr>
              <w:t xml:space="preserve"> sulfonic acid (PFOS) and related chemicals listed under the Stockholm Convention on Persistent Organic Pollutants. Available from: http://chm.pops.int/Implementation/NIPs/Guidance/GuidanceonBATBEPfortheuseofPFOS/tabid/ 3170/Default.aspx.</w:t>
            </w:r>
          </w:p>
        </w:tc>
      </w:tr>
      <w:tr w:rsidR="00FC3DEE" w:rsidRPr="00CE15CF" w14:paraId="49A8839C" w14:textId="77777777" w:rsidTr="003D6476">
        <w:trPr>
          <w:trHeight w:val="1445"/>
        </w:trPr>
        <w:tc>
          <w:tcPr>
            <w:tcW w:w="747" w:type="pct"/>
            <w:tcBorders>
              <w:top w:val="nil"/>
              <w:left w:val="nil"/>
              <w:bottom w:val="nil"/>
              <w:right w:val="nil"/>
            </w:tcBorders>
            <w:shd w:val="clear" w:color="auto" w:fill="auto"/>
            <w:vAlign w:val="center"/>
            <w:hideMark/>
          </w:tcPr>
          <w:p w14:paraId="4F4CC910" w14:textId="77777777" w:rsidR="00FC3DEE" w:rsidRPr="00CE15CF" w:rsidRDefault="00FC3DEE" w:rsidP="00CE15CF">
            <w:pPr>
              <w:rPr>
                <w:sz w:val="20"/>
              </w:rPr>
            </w:pPr>
            <w:r w:rsidRPr="00CE15CF">
              <w:rPr>
                <w:sz w:val="20"/>
              </w:rPr>
              <w:t xml:space="preserve">Van der </w:t>
            </w:r>
            <w:proofErr w:type="spellStart"/>
            <w:r w:rsidRPr="00CE15CF">
              <w:rPr>
                <w:sz w:val="20"/>
              </w:rPr>
              <w:t>Putte</w:t>
            </w:r>
            <w:proofErr w:type="spellEnd"/>
          </w:p>
        </w:tc>
        <w:tc>
          <w:tcPr>
            <w:tcW w:w="447" w:type="pct"/>
            <w:tcBorders>
              <w:top w:val="nil"/>
              <w:left w:val="nil"/>
              <w:bottom w:val="nil"/>
              <w:right w:val="nil"/>
            </w:tcBorders>
            <w:shd w:val="clear" w:color="auto" w:fill="auto"/>
            <w:vAlign w:val="center"/>
            <w:hideMark/>
          </w:tcPr>
          <w:p w14:paraId="4FCA5091" w14:textId="77777777" w:rsidR="00FC3DEE" w:rsidRPr="00CE15CF" w:rsidRDefault="00FC3DEE" w:rsidP="00CE15CF">
            <w:pPr>
              <w:rPr>
                <w:sz w:val="20"/>
              </w:rPr>
            </w:pPr>
            <w:r w:rsidRPr="00CE15CF">
              <w:rPr>
                <w:sz w:val="20"/>
              </w:rPr>
              <w:t>2010</w:t>
            </w:r>
          </w:p>
        </w:tc>
        <w:tc>
          <w:tcPr>
            <w:tcW w:w="3806" w:type="pct"/>
            <w:tcBorders>
              <w:top w:val="nil"/>
              <w:left w:val="nil"/>
              <w:bottom w:val="nil"/>
              <w:right w:val="nil"/>
            </w:tcBorders>
            <w:shd w:val="clear" w:color="auto" w:fill="auto"/>
            <w:vAlign w:val="center"/>
            <w:hideMark/>
          </w:tcPr>
          <w:p w14:paraId="1F8197C8" w14:textId="77777777" w:rsidR="00FC3DEE" w:rsidRPr="00CE15CF" w:rsidRDefault="00FC3DEE" w:rsidP="00CE15CF">
            <w:pPr>
              <w:rPr>
                <w:sz w:val="20"/>
              </w:rPr>
            </w:pPr>
            <w:r w:rsidRPr="00CE15CF">
              <w:rPr>
                <w:sz w:val="20"/>
              </w:rPr>
              <w:t xml:space="preserve">Analysis of the risk </w:t>
            </w:r>
            <w:proofErr w:type="spellStart"/>
            <w:r w:rsidRPr="00CE15CF">
              <w:rPr>
                <w:sz w:val="20"/>
              </w:rPr>
              <w:t>arisng</w:t>
            </w:r>
            <w:proofErr w:type="spellEnd"/>
            <w:r w:rsidRPr="00CE15CF">
              <w:rPr>
                <w:sz w:val="20"/>
              </w:rPr>
              <w:t xml:space="preserve"> from the industrial use of Perfluorooctanoic Acid (PFOA) and Ammonium Perfluorooctanoate (AFPO) and from their use in consumer articles. Evaluation of the risk reduction measures for potential restrictions on the manufacture, placing on the market and use of PFOA and APFO. European </w:t>
            </w:r>
            <w:proofErr w:type="spellStart"/>
            <w:r w:rsidRPr="00CE15CF">
              <w:rPr>
                <w:sz w:val="20"/>
              </w:rPr>
              <w:t>Commission.DG</w:t>
            </w:r>
            <w:proofErr w:type="spellEnd"/>
            <w:r w:rsidRPr="00CE15CF">
              <w:rPr>
                <w:sz w:val="20"/>
              </w:rPr>
              <w:t xml:space="preserve"> Enterprise and Industry. Report TOX</w:t>
            </w:r>
            <w:proofErr w:type="gramStart"/>
            <w:r w:rsidRPr="00CE15CF">
              <w:rPr>
                <w:sz w:val="20"/>
              </w:rPr>
              <w:t>08.7049.FR</w:t>
            </w:r>
            <w:proofErr w:type="gramEnd"/>
            <w:r w:rsidRPr="00CE15CF">
              <w:rPr>
                <w:sz w:val="20"/>
              </w:rPr>
              <w:t>03.</w:t>
            </w:r>
          </w:p>
        </w:tc>
      </w:tr>
      <w:tr w:rsidR="00383C5C" w:rsidRPr="00CE15CF" w14:paraId="06048C36" w14:textId="77777777" w:rsidTr="003D6476">
        <w:trPr>
          <w:trHeight w:val="900"/>
        </w:trPr>
        <w:tc>
          <w:tcPr>
            <w:tcW w:w="747" w:type="pct"/>
            <w:tcBorders>
              <w:top w:val="nil"/>
              <w:left w:val="nil"/>
              <w:bottom w:val="nil"/>
              <w:right w:val="nil"/>
            </w:tcBorders>
            <w:shd w:val="clear" w:color="auto" w:fill="auto"/>
            <w:vAlign w:val="center"/>
          </w:tcPr>
          <w:p w14:paraId="5E9C32A2" w14:textId="63FCD1B0" w:rsidR="00383C5C" w:rsidRPr="00CE15CF" w:rsidRDefault="00383C5C" w:rsidP="00CE15CF">
            <w:pPr>
              <w:rPr>
                <w:rFonts w:eastAsia="Times New Roman"/>
                <w:sz w:val="20"/>
                <w:szCs w:val="20"/>
                <w:lang w:eastAsia="en-GB"/>
              </w:rPr>
            </w:pPr>
            <w:r w:rsidRPr="00CE15CF">
              <w:rPr>
                <w:rFonts w:eastAsia="Times New Roman"/>
                <w:sz w:val="20"/>
                <w:szCs w:val="20"/>
                <w:lang w:eastAsia="en-GB"/>
              </w:rPr>
              <w:t xml:space="preserve">Wang et al.  </w:t>
            </w:r>
          </w:p>
        </w:tc>
        <w:tc>
          <w:tcPr>
            <w:tcW w:w="447" w:type="pct"/>
            <w:tcBorders>
              <w:top w:val="nil"/>
              <w:left w:val="nil"/>
              <w:bottom w:val="nil"/>
              <w:right w:val="nil"/>
            </w:tcBorders>
            <w:shd w:val="clear" w:color="auto" w:fill="auto"/>
            <w:vAlign w:val="center"/>
          </w:tcPr>
          <w:p w14:paraId="294F509D" w14:textId="7578539B" w:rsidR="00383C5C" w:rsidRPr="00CE15CF" w:rsidRDefault="00383C5C" w:rsidP="00CE15CF">
            <w:pPr>
              <w:rPr>
                <w:rFonts w:eastAsia="Times New Roman"/>
                <w:sz w:val="20"/>
                <w:szCs w:val="20"/>
                <w:lang w:eastAsia="en-GB"/>
              </w:rPr>
            </w:pPr>
            <w:r w:rsidRPr="00CE15CF">
              <w:rPr>
                <w:rFonts w:eastAsia="Times New Roman"/>
                <w:sz w:val="20"/>
                <w:szCs w:val="20"/>
                <w:lang w:eastAsia="en-GB"/>
              </w:rPr>
              <w:t>2011</w:t>
            </w:r>
          </w:p>
        </w:tc>
        <w:tc>
          <w:tcPr>
            <w:tcW w:w="3806" w:type="pct"/>
            <w:tcBorders>
              <w:top w:val="nil"/>
              <w:left w:val="nil"/>
              <w:bottom w:val="nil"/>
              <w:right w:val="nil"/>
            </w:tcBorders>
            <w:shd w:val="clear" w:color="auto" w:fill="auto"/>
            <w:vAlign w:val="center"/>
          </w:tcPr>
          <w:p w14:paraId="18F6C8FC" w14:textId="77777777" w:rsidR="00383C5C" w:rsidRPr="00CE15CF" w:rsidRDefault="00383C5C" w:rsidP="00CE15CF">
            <w:pPr>
              <w:rPr>
                <w:rFonts w:eastAsia="Times New Roman"/>
                <w:sz w:val="20"/>
                <w:szCs w:val="20"/>
                <w:lang w:eastAsia="en-GB"/>
              </w:rPr>
            </w:pPr>
            <w:proofErr w:type="spellStart"/>
            <w:r w:rsidRPr="00CE15CF">
              <w:rPr>
                <w:rFonts w:eastAsia="Times New Roman"/>
                <w:sz w:val="20"/>
                <w:szCs w:val="20"/>
                <w:lang w:eastAsia="en-GB"/>
              </w:rPr>
              <w:t>Estrogen</w:t>
            </w:r>
            <w:proofErr w:type="spellEnd"/>
            <w:r w:rsidRPr="00CE15CF">
              <w:rPr>
                <w:rFonts w:ascii="Cambria Math" w:eastAsia="Times New Roman" w:hAnsi="Cambria Math" w:cs="Cambria Math"/>
                <w:sz w:val="20"/>
                <w:szCs w:val="20"/>
                <w:lang w:eastAsia="en-GB"/>
              </w:rPr>
              <w:t>‐</w:t>
            </w:r>
            <w:r w:rsidRPr="00CE15CF">
              <w:rPr>
                <w:rFonts w:eastAsia="Times New Roman"/>
                <w:sz w:val="20"/>
                <w:szCs w:val="20"/>
                <w:lang w:eastAsia="en-GB"/>
              </w:rPr>
              <w:t>like response of perfluorooctyl iodide in male medaka (</w:t>
            </w:r>
            <w:proofErr w:type="spellStart"/>
            <w:r w:rsidRPr="00CE15CF">
              <w:rPr>
                <w:rFonts w:eastAsia="Times New Roman"/>
                <w:sz w:val="20"/>
                <w:szCs w:val="20"/>
                <w:lang w:eastAsia="en-GB"/>
              </w:rPr>
              <w:t>Oryzias</w:t>
            </w:r>
            <w:proofErr w:type="spellEnd"/>
            <w:r w:rsidRPr="00CE15CF">
              <w:rPr>
                <w:rFonts w:eastAsia="Times New Roman"/>
                <w:sz w:val="20"/>
                <w:szCs w:val="20"/>
                <w:lang w:eastAsia="en-GB"/>
              </w:rPr>
              <w:t xml:space="preserve"> </w:t>
            </w:r>
            <w:proofErr w:type="spellStart"/>
            <w:r w:rsidRPr="00CE15CF">
              <w:rPr>
                <w:rFonts w:eastAsia="Times New Roman"/>
                <w:sz w:val="20"/>
                <w:szCs w:val="20"/>
                <w:lang w:eastAsia="en-GB"/>
              </w:rPr>
              <w:t>latipes</w:t>
            </w:r>
            <w:proofErr w:type="spellEnd"/>
            <w:r w:rsidRPr="00CE15CF">
              <w:rPr>
                <w:rFonts w:eastAsia="Times New Roman"/>
                <w:sz w:val="20"/>
                <w:szCs w:val="20"/>
                <w:lang w:eastAsia="en-GB"/>
              </w:rPr>
              <w:t>) based on hepatic vitellogenin induction, Wiley</w:t>
            </w:r>
          </w:p>
          <w:p w14:paraId="62D44FC1" w14:textId="4E8925C4" w:rsidR="00383C5C" w:rsidRPr="00CE15CF" w:rsidRDefault="00383C5C" w:rsidP="00CE15CF">
            <w:pPr>
              <w:rPr>
                <w:rFonts w:eastAsia="Times New Roman"/>
                <w:sz w:val="20"/>
                <w:szCs w:val="20"/>
                <w:lang w:eastAsia="en-GB"/>
              </w:rPr>
            </w:pPr>
            <w:r w:rsidRPr="00CE15CF">
              <w:rPr>
                <w:rFonts w:eastAsia="Times New Roman"/>
                <w:sz w:val="20"/>
                <w:szCs w:val="20"/>
                <w:lang w:eastAsia="en-GB"/>
              </w:rPr>
              <w:t xml:space="preserve">Periodicals, Inc. Environ </w:t>
            </w:r>
            <w:proofErr w:type="spellStart"/>
            <w:r w:rsidRPr="00CE15CF">
              <w:rPr>
                <w:rFonts w:eastAsia="Times New Roman"/>
                <w:sz w:val="20"/>
                <w:szCs w:val="20"/>
                <w:lang w:eastAsia="en-GB"/>
              </w:rPr>
              <w:t>Toxicol</w:t>
            </w:r>
            <w:proofErr w:type="spellEnd"/>
          </w:p>
        </w:tc>
      </w:tr>
      <w:tr w:rsidR="00FC3DEE" w:rsidRPr="00CE15CF" w14:paraId="7F01C51C" w14:textId="77777777" w:rsidTr="003D6476">
        <w:trPr>
          <w:trHeight w:val="900"/>
        </w:trPr>
        <w:tc>
          <w:tcPr>
            <w:tcW w:w="747" w:type="pct"/>
            <w:tcBorders>
              <w:top w:val="nil"/>
              <w:left w:val="nil"/>
              <w:bottom w:val="nil"/>
              <w:right w:val="nil"/>
            </w:tcBorders>
            <w:shd w:val="clear" w:color="auto" w:fill="auto"/>
            <w:vAlign w:val="center"/>
            <w:hideMark/>
          </w:tcPr>
          <w:p w14:paraId="60CDDB1A" w14:textId="11A42453" w:rsidR="00FC3DEE" w:rsidRPr="00CE15CF" w:rsidRDefault="00FC3DEE" w:rsidP="00CE15CF">
            <w:pPr>
              <w:rPr>
                <w:sz w:val="20"/>
              </w:rPr>
            </w:pPr>
            <w:r w:rsidRPr="00CE15CF">
              <w:rPr>
                <w:sz w:val="20"/>
              </w:rPr>
              <w:t>Wang et al</w:t>
            </w:r>
            <w:r w:rsidR="002140CD" w:rsidRPr="00CE15CF">
              <w:rPr>
                <w:rFonts w:eastAsia="Times New Roman"/>
                <w:sz w:val="20"/>
                <w:szCs w:val="20"/>
                <w:lang w:eastAsia="en-GB"/>
              </w:rPr>
              <w:t>.</w:t>
            </w:r>
          </w:p>
        </w:tc>
        <w:tc>
          <w:tcPr>
            <w:tcW w:w="447" w:type="pct"/>
            <w:tcBorders>
              <w:top w:val="nil"/>
              <w:left w:val="nil"/>
              <w:bottom w:val="nil"/>
              <w:right w:val="nil"/>
            </w:tcBorders>
            <w:shd w:val="clear" w:color="auto" w:fill="auto"/>
            <w:vAlign w:val="center"/>
            <w:hideMark/>
          </w:tcPr>
          <w:p w14:paraId="545B4FB5" w14:textId="77777777" w:rsidR="00FC3DEE" w:rsidRPr="00CE15CF" w:rsidRDefault="00FC3DEE" w:rsidP="00CE15CF">
            <w:pPr>
              <w:rPr>
                <w:sz w:val="20"/>
              </w:rPr>
            </w:pPr>
            <w:r w:rsidRPr="00CE15CF">
              <w:rPr>
                <w:sz w:val="20"/>
              </w:rPr>
              <w:t>2013</w:t>
            </w:r>
          </w:p>
        </w:tc>
        <w:tc>
          <w:tcPr>
            <w:tcW w:w="3806" w:type="pct"/>
            <w:tcBorders>
              <w:top w:val="nil"/>
              <w:left w:val="nil"/>
              <w:bottom w:val="nil"/>
              <w:right w:val="nil"/>
            </w:tcBorders>
            <w:shd w:val="clear" w:color="auto" w:fill="auto"/>
            <w:vAlign w:val="center"/>
            <w:hideMark/>
          </w:tcPr>
          <w:p w14:paraId="4E0DB5BC" w14:textId="77777777" w:rsidR="00FC3DEE" w:rsidRPr="00CE15CF" w:rsidRDefault="00FC3DEE" w:rsidP="00CE15CF">
            <w:pPr>
              <w:rPr>
                <w:sz w:val="20"/>
              </w:rPr>
            </w:pPr>
            <w:r w:rsidRPr="00CE15CF">
              <w:rPr>
                <w:sz w:val="20"/>
              </w:rPr>
              <w:t xml:space="preserve">Fluorinated alternatives to long-chain perfluoroalkyl carboxylic acids (PFCAs), </w:t>
            </w:r>
            <w:proofErr w:type="spellStart"/>
            <w:r w:rsidRPr="00CE15CF">
              <w:rPr>
                <w:sz w:val="20"/>
              </w:rPr>
              <w:t>perfluoroalkane</w:t>
            </w:r>
            <w:proofErr w:type="spellEnd"/>
            <w:r w:rsidRPr="00CE15CF">
              <w:rPr>
                <w:sz w:val="20"/>
              </w:rPr>
              <w:t xml:space="preserve"> sulfonic acids (PFSAs) and their potential precursors. Environ </w:t>
            </w:r>
            <w:proofErr w:type="spellStart"/>
            <w:r w:rsidRPr="00CE15CF">
              <w:rPr>
                <w:sz w:val="20"/>
              </w:rPr>
              <w:t>Int</w:t>
            </w:r>
            <w:proofErr w:type="spellEnd"/>
            <w:r w:rsidRPr="00CE15CF">
              <w:rPr>
                <w:sz w:val="20"/>
              </w:rPr>
              <w:t xml:space="preserve"> 60: 242-8</w:t>
            </w:r>
          </w:p>
        </w:tc>
      </w:tr>
      <w:tr w:rsidR="00FC3DEE" w:rsidRPr="00CE15CF" w14:paraId="0116C148" w14:textId="77777777" w:rsidTr="003D6476">
        <w:trPr>
          <w:trHeight w:val="74"/>
        </w:trPr>
        <w:tc>
          <w:tcPr>
            <w:tcW w:w="747" w:type="pct"/>
            <w:tcBorders>
              <w:top w:val="nil"/>
              <w:left w:val="nil"/>
              <w:bottom w:val="nil"/>
              <w:right w:val="nil"/>
            </w:tcBorders>
            <w:shd w:val="clear" w:color="auto" w:fill="auto"/>
            <w:noWrap/>
            <w:vAlign w:val="center"/>
            <w:hideMark/>
          </w:tcPr>
          <w:p w14:paraId="01F3BEE2" w14:textId="173A8302" w:rsidR="00FC3DEE" w:rsidRPr="00CE15CF" w:rsidRDefault="00FC3DEE" w:rsidP="00CE15CF">
            <w:pPr>
              <w:rPr>
                <w:sz w:val="20"/>
              </w:rPr>
            </w:pPr>
            <w:r w:rsidRPr="00CE15CF">
              <w:rPr>
                <w:sz w:val="20"/>
              </w:rPr>
              <w:t>Wang et al</w:t>
            </w:r>
            <w:r w:rsidR="002140CD" w:rsidRPr="00CE15CF">
              <w:rPr>
                <w:rFonts w:eastAsia="Times New Roman"/>
                <w:sz w:val="20"/>
                <w:szCs w:val="20"/>
                <w:lang w:eastAsia="en-GB"/>
              </w:rPr>
              <w:t>.</w:t>
            </w:r>
          </w:p>
        </w:tc>
        <w:tc>
          <w:tcPr>
            <w:tcW w:w="447" w:type="pct"/>
            <w:tcBorders>
              <w:top w:val="nil"/>
              <w:left w:val="nil"/>
              <w:bottom w:val="nil"/>
              <w:right w:val="nil"/>
            </w:tcBorders>
            <w:shd w:val="clear" w:color="auto" w:fill="auto"/>
            <w:noWrap/>
            <w:vAlign w:val="center"/>
            <w:hideMark/>
          </w:tcPr>
          <w:p w14:paraId="7EEE9361" w14:textId="77777777" w:rsidR="00FC3DEE" w:rsidRPr="00CE15CF" w:rsidRDefault="00FC3DEE" w:rsidP="00CE15CF">
            <w:pPr>
              <w:rPr>
                <w:sz w:val="20"/>
              </w:rPr>
            </w:pPr>
            <w:r w:rsidRPr="00CE15CF">
              <w:rPr>
                <w:sz w:val="20"/>
              </w:rPr>
              <w:t>2014</w:t>
            </w:r>
          </w:p>
        </w:tc>
        <w:tc>
          <w:tcPr>
            <w:tcW w:w="3806" w:type="pct"/>
            <w:tcBorders>
              <w:top w:val="nil"/>
              <w:left w:val="nil"/>
              <w:bottom w:val="nil"/>
              <w:right w:val="nil"/>
            </w:tcBorders>
            <w:shd w:val="clear" w:color="auto" w:fill="auto"/>
            <w:vAlign w:val="center"/>
            <w:hideMark/>
          </w:tcPr>
          <w:p w14:paraId="2198E1AF" w14:textId="77777777" w:rsidR="00FC3DEE" w:rsidRPr="00CE15CF" w:rsidRDefault="00FC3DEE" w:rsidP="00CE15CF">
            <w:pPr>
              <w:rPr>
                <w:sz w:val="20"/>
              </w:rPr>
            </w:pPr>
            <w:r w:rsidRPr="00CE15CF">
              <w:rPr>
                <w:sz w:val="20"/>
              </w:rPr>
              <w:t>Global emission inventories for C</w:t>
            </w:r>
            <w:r w:rsidRPr="00CE15CF">
              <w:rPr>
                <w:sz w:val="20"/>
                <w:vertAlign w:val="subscript"/>
              </w:rPr>
              <w:t>4</w:t>
            </w:r>
            <w:r w:rsidRPr="00CE15CF">
              <w:rPr>
                <w:sz w:val="20"/>
              </w:rPr>
              <w:t>–C</w:t>
            </w:r>
            <w:r w:rsidRPr="00CE15CF">
              <w:rPr>
                <w:sz w:val="20"/>
                <w:vertAlign w:val="subscript"/>
              </w:rPr>
              <w:t>14</w:t>
            </w:r>
            <w:r w:rsidRPr="00CE15CF">
              <w:rPr>
                <w:sz w:val="20"/>
              </w:rPr>
              <w:t xml:space="preserve"> perfluoroalkyl carboxylic acid (PFCA) homologues from 1951 to 2030, Part I: production and emissions from quantifiable sources, Environment International 70 (2014) pp62–75</w:t>
            </w:r>
          </w:p>
        </w:tc>
      </w:tr>
      <w:tr w:rsidR="00FC3DEE" w:rsidRPr="00CE15CF" w14:paraId="2ADCF6EA" w14:textId="77777777" w:rsidTr="003D6476">
        <w:trPr>
          <w:trHeight w:val="711"/>
        </w:trPr>
        <w:tc>
          <w:tcPr>
            <w:tcW w:w="747" w:type="pct"/>
            <w:tcBorders>
              <w:top w:val="nil"/>
              <w:left w:val="nil"/>
              <w:bottom w:val="nil"/>
              <w:right w:val="nil"/>
            </w:tcBorders>
            <w:shd w:val="clear" w:color="auto" w:fill="auto"/>
            <w:noWrap/>
            <w:vAlign w:val="center"/>
            <w:hideMark/>
          </w:tcPr>
          <w:p w14:paraId="61019E4D" w14:textId="0D7364DA" w:rsidR="00FC3DEE" w:rsidRPr="00CE15CF" w:rsidRDefault="00FC3DEE" w:rsidP="00CE15CF">
            <w:pPr>
              <w:rPr>
                <w:sz w:val="20"/>
              </w:rPr>
            </w:pPr>
            <w:r w:rsidRPr="00CE15CF">
              <w:rPr>
                <w:sz w:val="20"/>
              </w:rPr>
              <w:t>Wang et al</w:t>
            </w:r>
            <w:r w:rsidR="002140CD" w:rsidRPr="00CE15CF">
              <w:rPr>
                <w:rFonts w:eastAsia="Times New Roman"/>
                <w:sz w:val="20"/>
                <w:szCs w:val="20"/>
                <w:lang w:eastAsia="en-GB"/>
              </w:rPr>
              <w:t>.</w:t>
            </w:r>
          </w:p>
        </w:tc>
        <w:tc>
          <w:tcPr>
            <w:tcW w:w="447" w:type="pct"/>
            <w:tcBorders>
              <w:top w:val="nil"/>
              <w:left w:val="nil"/>
              <w:bottom w:val="nil"/>
              <w:right w:val="nil"/>
            </w:tcBorders>
            <w:shd w:val="clear" w:color="auto" w:fill="auto"/>
            <w:noWrap/>
            <w:vAlign w:val="center"/>
            <w:hideMark/>
          </w:tcPr>
          <w:p w14:paraId="1622E431" w14:textId="77777777" w:rsidR="00FC3DEE" w:rsidRPr="00CE15CF" w:rsidRDefault="00FC3DEE" w:rsidP="00CE15CF">
            <w:pPr>
              <w:rPr>
                <w:sz w:val="20"/>
              </w:rPr>
            </w:pPr>
            <w:r w:rsidRPr="00CE15CF">
              <w:rPr>
                <w:sz w:val="20"/>
              </w:rPr>
              <w:t>2015</w:t>
            </w:r>
          </w:p>
        </w:tc>
        <w:tc>
          <w:tcPr>
            <w:tcW w:w="3806" w:type="pct"/>
            <w:tcBorders>
              <w:top w:val="nil"/>
              <w:left w:val="nil"/>
              <w:bottom w:val="nil"/>
              <w:right w:val="nil"/>
            </w:tcBorders>
            <w:shd w:val="clear" w:color="auto" w:fill="auto"/>
            <w:vAlign w:val="center"/>
            <w:hideMark/>
          </w:tcPr>
          <w:p w14:paraId="5398E02D" w14:textId="77777777" w:rsidR="00FC3DEE" w:rsidRPr="00CE15CF" w:rsidRDefault="00FC3DEE" w:rsidP="00CE15CF">
            <w:pPr>
              <w:rPr>
                <w:sz w:val="20"/>
              </w:rPr>
            </w:pPr>
            <w:r w:rsidRPr="00CE15CF">
              <w:rPr>
                <w:sz w:val="20"/>
              </w:rPr>
              <w:t>Hazard assessment of fluorinated alternatives to long-chain perfluoroalkyl acids and their precursors: Status quo, ongoing challenges and possible solutions. Environment International 75:172-179</w:t>
            </w:r>
          </w:p>
        </w:tc>
      </w:tr>
      <w:tr w:rsidR="00383C5C" w:rsidRPr="00CE15CF" w14:paraId="71E81F14" w14:textId="77777777" w:rsidTr="003D6476">
        <w:trPr>
          <w:trHeight w:val="711"/>
        </w:trPr>
        <w:tc>
          <w:tcPr>
            <w:tcW w:w="747" w:type="pct"/>
            <w:tcBorders>
              <w:top w:val="nil"/>
              <w:left w:val="nil"/>
              <w:bottom w:val="nil"/>
              <w:right w:val="nil"/>
            </w:tcBorders>
            <w:shd w:val="clear" w:color="auto" w:fill="auto"/>
            <w:noWrap/>
            <w:vAlign w:val="center"/>
          </w:tcPr>
          <w:p w14:paraId="3775B45C" w14:textId="4C4CE347" w:rsidR="00383C5C" w:rsidRPr="00CE15CF" w:rsidRDefault="00383C5C" w:rsidP="00CE15CF">
            <w:pPr>
              <w:rPr>
                <w:rFonts w:eastAsia="Times New Roman"/>
                <w:sz w:val="20"/>
                <w:szCs w:val="20"/>
                <w:lang w:eastAsia="en-GB"/>
              </w:rPr>
            </w:pPr>
            <w:r w:rsidRPr="00CE15CF">
              <w:rPr>
                <w:rFonts w:eastAsia="Times New Roman"/>
                <w:sz w:val="20"/>
                <w:szCs w:val="20"/>
                <w:lang w:eastAsia="en-GB"/>
              </w:rPr>
              <w:t>Wang et al.</w:t>
            </w:r>
          </w:p>
        </w:tc>
        <w:tc>
          <w:tcPr>
            <w:tcW w:w="447" w:type="pct"/>
            <w:tcBorders>
              <w:top w:val="nil"/>
              <w:left w:val="nil"/>
              <w:bottom w:val="nil"/>
              <w:right w:val="nil"/>
            </w:tcBorders>
            <w:shd w:val="clear" w:color="auto" w:fill="auto"/>
            <w:noWrap/>
            <w:vAlign w:val="center"/>
          </w:tcPr>
          <w:p w14:paraId="3994FB33" w14:textId="0785443F" w:rsidR="00383C5C" w:rsidRPr="00CE15CF" w:rsidRDefault="00F152AC" w:rsidP="00CE15CF">
            <w:pPr>
              <w:rPr>
                <w:rFonts w:eastAsia="Times New Roman"/>
                <w:sz w:val="20"/>
                <w:szCs w:val="20"/>
                <w:lang w:eastAsia="en-GB"/>
              </w:rPr>
            </w:pPr>
            <w:r w:rsidRPr="00CE15CF">
              <w:rPr>
                <w:rFonts w:eastAsia="Times New Roman"/>
                <w:sz w:val="20"/>
                <w:szCs w:val="20"/>
                <w:lang w:eastAsia="en-GB"/>
              </w:rPr>
              <w:t>2015</w:t>
            </w:r>
          </w:p>
        </w:tc>
        <w:tc>
          <w:tcPr>
            <w:tcW w:w="3806" w:type="pct"/>
            <w:tcBorders>
              <w:top w:val="nil"/>
              <w:left w:val="nil"/>
              <w:bottom w:val="nil"/>
              <w:right w:val="nil"/>
            </w:tcBorders>
            <w:shd w:val="clear" w:color="auto" w:fill="auto"/>
            <w:vAlign w:val="center"/>
          </w:tcPr>
          <w:p w14:paraId="23759BD6" w14:textId="35A55B03" w:rsidR="00383C5C" w:rsidRPr="00CE15CF" w:rsidRDefault="00383C5C" w:rsidP="00CE15CF">
            <w:pPr>
              <w:rPr>
                <w:rFonts w:eastAsia="Times New Roman"/>
                <w:sz w:val="20"/>
                <w:szCs w:val="20"/>
                <w:lang w:eastAsia="en-GB"/>
              </w:rPr>
            </w:pPr>
            <w:r w:rsidRPr="00CE15CF">
              <w:rPr>
                <w:rFonts w:eastAsia="Times New Roman"/>
                <w:sz w:val="20"/>
                <w:szCs w:val="20"/>
                <w:lang w:eastAsia="en-GB"/>
              </w:rPr>
              <w:t xml:space="preserve">Perfluorooctyl Iodide Stimulates Steroidogenesis in H295R Cells via a Cyclic Adenosine Monophosphate </w:t>
            </w:r>
            <w:proofErr w:type="spellStart"/>
            <w:r w:rsidRPr="00CE15CF">
              <w:rPr>
                <w:rFonts w:eastAsia="Times New Roman"/>
                <w:sz w:val="20"/>
                <w:szCs w:val="20"/>
                <w:lang w:eastAsia="en-GB"/>
              </w:rPr>
              <w:t>Signaling</w:t>
            </w:r>
            <w:proofErr w:type="spellEnd"/>
            <w:r w:rsidRPr="00CE15CF">
              <w:rPr>
                <w:rFonts w:eastAsia="Times New Roman"/>
                <w:sz w:val="20"/>
                <w:szCs w:val="20"/>
                <w:lang w:eastAsia="en-GB"/>
              </w:rPr>
              <w:t xml:space="preserve"> Pathway, Chem. Res. </w:t>
            </w:r>
            <w:proofErr w:type="spellStart"/>
            <w:r w:rsidRPr="00CE15CF">
              <w:rPr>
                <w:rFonts w:eastAsia="Times New Roman"/>
                <w:sz w:val="20"/>
                <w:szCs w:val="20"/>
                <w:lang w:eastAsia="en-GB"/>
              </w:rPr>
              <w:t>Toxi</w:t>
            </w:r>
            <w:r w:rsidR="00F152AC" w:rsidRPr="00CE15CF">
              <w:rPr>
                <w:rFonts w:eastAsia="Times New Roman"/>
                <w:sz w:val="20"/>
                <w:szCs w:val="20"/>
                <w:lang w:eastAsia="en-GB"/>
              </w:rPr>
              <w:t>col</w:t>
            </w:r>
            <w:proofErr w:type="spellEnd"/>
            <w:r w:rsidR="00F152AC" w:rsidRPr="00CE15CF">
              <w:rPr>
                <w:rFonts w:eastAsia="Times New Roman"/>
                <w:sz w:val="20"/>
                <w:szCs w:val="20"/>
                <w:lang w:eastAsia="en-GB"/>
              </w:rPr>
              <w:t>., 2015, 28 (5), pp</w:t>
            </w:r>
            <w:r w:rsidR="003D6476">
              <w:rPr>
                <w:rFonts w:eastAsia="Times New Roman"/>
                <w:sz w:val="20"/>
                <w:szCs w:val="20"/>
                <w:lang w:eastAsia="en-GB"/>
              </w:rPr>
              <w:t> </w:t>
            </w:r>
            <w:r w:rsidR="00F152AC" w:rsidRPr="00CE15CF">
              <w:rPr>
                <w:rFonts w:eastAsia="Times New Roman"/>
                <w:sz w:val="20"/>
                <w:szCs w:val="20"/>
                <w:lang w:eastAsia="en-GB"/>
              </w:rPr>
              <w:t>848–854</w:t>
            </w:r>
          </w:p>
        </w:tc>
      </w:tr>
      <w:tr w:rsidR="00FC3DEE" w:rsidRPr="00CE15CF" w14:paraId="33E7F09D" w14:textId="77777777" w:rsidTr="003D6476">
        <w:trPr>
          <w:trHeight w:val="300"/>
        </w:trPr>
        <w:tc>
          <w:tcPr>
            <w:tcW w:w="747" w:type="pct"/>
            <w:tcBorders>
              <w:top w:val="nil"/>
              <w:left w:val="nil"/>
              <w:bottom w:val="nil"/>
              <w:right w:val="nil"/>
            </w:tcBorders>
            <w:shd w:val="clear" w:color="auto" w:fill="auto"/>
            <w:noWrap/>
            <w:vAlign w:val="center"/>
            <w:hideMark/>
          </w:tcPr>
          <w:p w14:paraId="79F93D4E" w14:textId="3EE2F243" w:rsidR="00FC3DEE" w:rsidRPr="00CE15CF" w:rsidRDefault="00FC3DEE" w:rsidP="00CE15CF">
            <w:pPr>
              <w:rPr>
                <w:sz w:val="20"/>
              </w:rPr>
            </w:pPr>
            <w:r w:rsidRPr="00CE15CF">
              <w:rPr>
                <w:sz w:val="20"/>
              </w:rPr>
              <w:t>Williams et al</w:t>
            </w:r>
            <w:r w:rsidR="002140CD" w:rsidRPr="00CE15CF">
              <w:rPr>
                <w:rFonts w:eastAsia="Times New Roman"/>
                <w:sz w:val="20"/>
                <w:szCs w:val="20"/>
                <w:lang w:eastAsia="en-GB"/>
              </w:rPr>
              <w:t>.</w:t>
            </w:r>
          </w:p>
        </w:tc>
        <w:tc>
          <w:tcPr>
            <w:tcW w:w="447" w:type="pct"/>
            <w:tcBorders>
              <w:top w:val="nil"/>
              <w:left w:val="nil"/>
              <w:bottom w:val="nil"/>
              <w:right w:val="nil"/>
            </w:tcBorders>
            <w:shd w:val="clear" w:color="auto" w:fill="auto"/>
            <w:noWrap/>
            <w:vAlign w:val="center"/>
            <w:hideMark/>
          </w:tcPr>
          <w:p w14:paraId="69B1D26B" w14:textId="77777777" w:rsidR="00FC3DEE" w:rsidRPr="00CE15CF" w:rsidRDefault="00FC3DEE" w:rsidP="00CE15CF">
            <w:pPr>
              <w:rPr>
                <w:sz w:val="20"/>
              </w:rPr>
            </w:pPr>
            <w:r w:rsidRPr="00CE15CF">
              <w:rPr>
                <w:sz w:val="20"/>
              </w:rPr>
              <w:t>2011</w:t>
            </w:r>
          </w:p>
        </w:tc>
        <w:tc>
          <w:tcPr>
            <w:tcW w:w="3806" w:type="pct"/>
            <w:tcBorders>
              <w:top w:val="nil"/>
              <w:left w:val="nil"/>
              <w:bottom w:val="nil"/>
              <w:right w:val="nil"/>
            </w:tcBorders>
            <w:shd w:val="clear" w:color="auto" w:fill="auto"/>
            <w:noWrap/>
            <w:vAlign w:val="center"/>
            <w:hideMark/>
          </w:tcPr>
          <w:p w14:paraId="65E24117" w14:textId="77777777" w:rsidR="00FC3DEE" w:rsidRPr="00CE15CF" w:rsidRDefault="00FC3DEE" w:rsidP="00CE15CF">
            <w:pPr>
              <w:rPr>
                <w:sz w:val="20"/>
              </w:rPr>
            </w:pPr>
            <w:r w:rsidRPr="00CE15CF">
              <w:rPr>
                <w:sz w:val="20"/>
              </w:rPr>
              <w:t xml:space="preserve">Extinguishment and </w:t>
            </w:r>
            <w:proofErr w:type="spellStart"/>
            <w:r w:rsidRPr="00CE15CF">
              <w:rPr>
                <w:sz w:val="20"/>
              </w:rPr>
              <w:t>Burnback</w:t>
            </w:r>
            <w:proofErr w:type="spellEnd"/>
            <w:r w:rsidRPr="00CE15CF">
              <w:rPr>
                <w:sz w:val="20"/>
              </w:rPr>
              <w:t xml:space="preserve"> Tests of Fluorinated and Fluorine-free</w:t>
            </w:r>
          </w:p>
        </w:tc>
      </w:tr>
      <w:tr w:rsidR="00FC3DEE" w:rsidRPr="00CE15CF" w14:paraId="4EF0180C" w14:textId="77777777" w:rsidTr="003D6476">
        <w:trPr>
          <w:trHeight w:val="74"/>
        </w:trPr>
        <w:tc>
          <w:tcPr>
            <w:tcW w:w="747" w:type="pct"/>
            <w:tcBorders>
              <w:top w:val="nil"/>
              <w:left w:val="nil"/>
              <w:bottom w:val="nil"/>
              <w:right w:val="nil"/>
            </w:tcBorders>
            <w:shd w:val="clear" w:color="auto" w:fill="auto"/>
            <w:vAlign w:val="center"/>
            <w:hideMark/>
          </w:tcPr>
          <w:p w14:paraId="64068808" w14:textId="77777777" w:rsidR="00FC3DEE" w:rsidRPr="00CE15CF" w:rsidRDefault="00FC3DEE" w:rsidP="00CE15CF">
            <w:pPr>
              <w:rPr>
                <w:sz w:val="20"/>
              </w:rPr>
            </w:pPr>
            <w:r w:rsidRPr="00CE15CF">
              <w:rPr>
                <w:sz w:val="20"/>
              </w:rPr>
              <w:t>Wilson</w:t>
            </w:r>
          </w:p>
        </w:tc>
        <w:tc>
          <w:tcPr>
            <w:tcW w:w="447" w:type="pct"/>
            <w:tcBorders>
              <w:top w:val="nil"/>
              <w:left w:val="nil"/>
              <w:bottom w:val="nil"/>
              <w:right w:val="nil"/>
            </w:tcBorders>
            <w:shd w:val="clear" w:color="auto" w:fill="auto"/>
            <w:vAlign w:val="center"/>
            <w:hideMark/>
          </w:tcPr>
          <w:p w14:paraId="699D824E" w14:textId="77777777" w:rsidR="00FC3DEE" w:rsidRPr="00CE15CF" w:rsidRDefault="00FC3DEE" w:rsidP="00CE15CF">
            <w:pPr>
              <w:rPr>
                <w:sz w:val="20"/>
              </w:rPr>
            </w:pPr>
            <w:r w:rsidRPr="00CE15CF">
              <w:rPr>
                <w:sz w:val="20"/>
              </w:rPr>
              <w:t>2016</w:t>
            </w:r>
          </w:p>
        </w:tc>
        <w:tc>
          <w:tcPr>
            <w:tcW w:w="3806" w:type="pct"/>
            <w:tcBorders>
              <w:top w:val="nil"/>
              <w:left w:val="nil"/>
              <w:bottom w:val="nil"/>
              <w:right w:val="nil"/>
            </w:tcBorders>
            <w:shd w:val="clear" w:color="auto" w:fill="auto"/>
            <w:vAlign w:val="center"/>
            <w:hideMark/>
          </w:tcPr>
          <w:p w14:paraId="5A9CDDA6" w14:textId="2BA9BE17" w:rsidR="00FC3DEE" w:rsidRPr="00CE15CF" w:rsidRDefault="00FC3DEE" w:rsidP="00CE15CF">
            <w:pPr>
              <w:rPr>
                <w:sz w:val="20"/>
              </w:rPr>
            </w:pPr>
            <w:r w:rsidRPr="00CE15CF">
              <w:rPr>
                <w:sz w:val="20"/>
              </w:rPr>
              <w:t>Can F3 agents take the fire security heat</w:t>
            </w:r>
            <w:r w:rsidRPr="00CE15CF">
              <w:rPr>
                <w:rFonts w:eastAsia="Times New Roman"/>
                <w:sz w:val="20"/>
                <w:szCs w:val="20"/>
                <w:lang w:eastAsia="en-GB"/>
              </w:rPr>
              <w:t>?</w:t>
            </w:r>
            <w:r w:rsidRPr="00CE15CF">
              <w:rPr>
                <w:sz w:val="20"/>
              </w:rPr>
              <w:t xml:space="preserve"> Mike Wilson. International Airport Review 20(6).</w:t>
            </w:r>
          </w:p>
        </w:tc>
      </w:tr>
      <w:tr w:rsidR="00FC3DEE" w:rsidRPr="00CE15CF" w14:paraId="4BF57ADB" w14:textId="77777777" w:rsidTr="003D6476">
        <w:trPr>
          <w:trHeight w:val="1200"/>
        </w:trPr>
        <w:tc>
          <w:tcPr>
            <w:tcW w:w="747" w:type="pct"/>
            <w:tcBorders>
              <w:top w:val="nil"/>
              <w:left w:val="nil"/>
              <w:bottom w:val="nil"/>
              <w:right w:val="nil"/>
            </w:tcBorders>
            <w:shd w:val="clear" w:color="auto" w:fill="auto"/>
            <w:noWrap/>
            <w:vAlign w:val="center"/>
            <w:hideMark/>
          </w:tcPr>
          <w:p w14:paraId="6BD77007" w14:textId="26CE6579" w:rsidR="00FC3DEE" w:rsidRPr="00CE15CF" w:rsidRDefault="00FC3DEE" w:rsidP="00CE15CF">
            <w:pPr>
              <w:rPr>
                <w:sz w:val="20"/>
              </w:rPr>
            </w:pPr>
            <w:r w:rsidRPr="00CE15CF">
              <w:rPr>
                <w:sz w:val="20"/>
              </w:rPr>
              <w:t>Young et al</w:t>
            </w:r>
            <w:r w:rsidR="002140CD" w:rsidRPr="00CE15CF">
              <w:rPr>
                <w:rFonts w:eastAsia="Times New Roman"/>
                <w:sz w:val="20"/>
                <w:szCs w:val="20"/>
                <w:lang w:eastAsia="en-GB"/>
              </w:rPr>
              <w:t>.</w:t>
            </w:r>
          </w:p>
        </w:tc>
        <w:tc>
          <w:tcPr>
            <w:tcW w:w="447" w:type="pct"/>
            <w:tcBorders>
              <w:top w:val="nil"/>
              <w:left w:val="nil"/>
              <w:bottom w:val="nil"/>
              <w:right w:val="nil"/>
            </w:tcBorders>
            <w:shd w:val="clear" w:color="auto" w:fill="auto"/>
            <w:noWrap/>
            <w:vAlign w:val="center"/>
            <w:hideMark/>
          </w:tcPr>
          <w:p w14:paraId="42F1BD6B" w14:textId="77777777" w:rsidR="00FC3DEE" w:rsidRPr="00CE15CF" w:rsidRDefault="00FC3DEE" w:rsidP="00CE15CF">
            <w:pPr>
              <w:rPr>
                <w:sz w:val="20"/>
              </w:rPr>
            </w:pPr>
            <w:r w:rsidRPr="00CE15CF">
              <w:rPr>
                <w:sz w:val="20"/>
              </w:rPr>
              <w:t>2009</w:t>
            </w:r>
          </w:p>
        </w:tc>
        <w:tc>
          <w:tcPr>
            <w:tcW w:w="3806" w:type="pct"/>
            <w:tcBorders>
              <w:top w:val="nil"/>
              <w:left w:val="nil"/>
              <w:bottom w:val="nil"/>
              <w:right w:val="nil"/>
            </w:tcBorders>
            <w:shd w:val="clear" w:color="auto" w:fill="auto"/>
            <w:vAlign w:val="center"/>
            <w:hideMark/>
          </w:tcPr>
          <w:p w14:paraId="4EFC9BE5" w14:textId="29EE5126" w:rsidR="00FC3DEE" w:rsidRPr="00CE15CF" w:rsidRDefault="00FC3DEE" w:rsidP="00CE15CF">
            <w:pPr>
              <w:rPr>
                <w:sz w:val="20"/>
              </w:rPr>
            </w:pPr>
            <w:r w:rsidRPr="00CE15CF">
              <w:rPr>
                <w:sz w:val="20"/>
              </w:rPr>
              <w:t xml:space="preserve">Atmospheric chemistry of CF3CF2H and CF3CF2CF2CF2H: Kinetics and products of gas-phase reactions with Cl atoms and OH radicals, infrared spectra, and formation of </w:t>
            </w:r>
            <w:proofErr w:type="spellStart"/>
            <w:r w:rsidRPr="00CE15CF">
              <w:rPr>
                <w:sz w:val="20"/>
              </w:rPr>
              <w:t>perfluorocarboxylic</w:t>
            </w:r>
            <w:proofErr w:type="spellEnd"/>
            <w:r w:rsidRPr="00CE15CF">
              <w:rPr>
                <w:sz w:val="20"/>
              </w:rPr>
              <w:t xml:space="preserve"> acids. Chemical Physics Letters, 473(4-6), pp.251</w:t>
            </w:r>
            <w:r w:rsidR="00DC16A7" w:rsidRPr="00CE15CF">
              <w:t>–</w:t>
            </w:r>
            <w:r w:rsidRPr="00CE15CF">
              <w:rPr>
                <w:sz w:val="20"/>
              </w:rPr>
              <w:t>256.</w:t>
            </w:r>
          </w:p>
        </w:tc>
      </w:tr>
      <w:tr w:rsidR="00432FE3" w:rsidRPr="001B62B3" w14:paraId="7C2FB03D" w14:textId="77777777" w:rsidTr="003D6476">
        <w:trPr>
          <w:trHeight w:val="1200"/>
        </w:trPr>
        <w:tc>
          <w:tcPr>
            <w:tcW w:w="747" w:type="pct"/>
            <w:tcBorders>
              <w:top w:val="nil"/>
              <w:left w:val="nil"/>
              <w:bottom w:val="nil"/>
              <w:right w:val="nil"/>
            </w:tcBorders>
            <w:shd w:val="clear" w:color="auto" w:fill="auto"/>
            <w:noWrap/>
            <w:vAlign w:val="center"/>
          </w:tcPr>
          <w:p w14:paraId="746348F4" w14:textId="0E3217AA" w:rsidR="00432FE3" w:rsidRPr="00CE15CF" w:rsidRDefault="00432FE3" w:rsidP="00CE15CF">
            <w:pPr>
              <w:rPr>
                <w:rFonts w:eastAsia="Times New Roman"/>
                <w:sz w:val="20"/>
                <w:szCs w:val="20"/>
                <w:lang w:eastAsia="en-GB"/>
              </w:rPr>
            </w:pPr>
            <w:proofErr w:type="spellStart"/>
            <w:r w:rsidRPr="00CE15CF">
              <w:rPr>
                <w:sz w:val="20"/>
                <w:szCs w:val="20"/>
              </w:rPr>
              <w:t>Zabaleta</w:t>
            </w:r>
            <w:proofErr w:type="spellEnd"/>
            <w:r w:rsidRPr="00CE15CF">
              <w:rPr>
                <w:sz w:val="20"/>
                <w:szCs w:val="20"/>
              </w:rPr>
              <w:t xml:space="preserve"> et al.</w:t>
            </w:r>
          </w:p>
        </w:tc>
        <w:tc>
          <w:tcPr>
            <w:tcW w:w="447" w:type="pct"/>
            <w:tcBorders>
              <w:top w:val="nil"/>
              <w:left w:val="nil"/>
              <w:bottom w:val="nil"/>
              <w:right w:val="nil"/>
            </w:tcBorders>
            <w:shd w:val="clear" w:color="auto" w:fill="auto"/>
            <w:noWrap/>
            <w:vAlign w:val="center"/>
          </w:tcPr>
          <w:p w14:paraId="1FF2B4CD" w14:textId="7E92FDBA" w:rsidR="00432FE3" w:rsidRPr="00CE15CF" w:rsidRDefault="00432FE3" w:rsidP="00CE15CF">
            <w:pPr>
              <w:rPr>
                <w:rFonts w:eastAsia="Times New Roman"/>
                <w:sz w:val="20"/>
                <w:szCs w:val="20"/>
                <w:lang w:eastAsia="en-GB"/>
              </w:rPr>
            </w:pPr>
            <w:r w:rsidRPr="00CE15CF">
              <w:rPr>
                <w:sz w:val="20"/>
                <w:szCs w:val="20"/>
              </w:rPr>
              <w:t xml:space="preserve">2018 </w:t>
            </w:r>
          </w:p>
        </w:tc>
        <w:tc>
          <w:tcPr>
            <w:tcW w:w="3806" w:type="pct"/>
            <w:tcBorders>
              <w:top w:val="nil"/>
              <w:left w:val="nil"/>
              <w:bottom w:val="nil"/>
              <w:right w:val="nil"/>
            </w:tcBorders>
            <w:shd w:val="clear" w:color="auto" w:fill="auto"/>
            <w:vAlign w:val="center"/>
          </w:tcPr>
          <w:p w14:paraId="6D086724" w14:textId="77777777" w:rsidR="00432FE3" w:rsidRPr="00CE15CF" w:rsidRDefault="00432FE3" w:rsidP="00CE15CF">
            <w:pPr>
              <w:tabs>
                <w:tab w:val="left" w:pos="7987"/>
              </w:tabs>
              <w:rPr>
                <w:sz w:val="20"/>
                <w:szCs w:val="20"/>
              </w:rPr>
            </w:pPr>
            <w:r w:rsidRPr="00CE15CF">
              <w:rPr>
                <w:sz w:val="20"/>
                <w:szCs w:val="20"/>
              </w:rPr>
              <w:t xml:space="preserve">Biodegradation and Uptake of the Pesticide </w:t>
            </w:r>
            <w:proofErr w:type="spellStart"/>
            <w:r w:rsidRPr="00CE15CF">
              <w:rPr>
                <w:sz w:val="20"/>
                <w:szCs w:val="20"/>
              </w:rPr>
              <w:t>Sulfluramid</w:t>
            </w:r>
            <w:proofErr w:type="spellEnd"/>
            <w:r w:rsidRPr="00CE15CF">
              <w:rPr>
                <w:sz w:val="20"/>
                <w:szCs w:val="20"/>
              </w:rPr>
              <w:t xml:space="preserve"> in a Soil–Carrot </w:t>
            </w:r>
            <w:proofErr w:type="spellStart"/>
            <w:r w:rsidRPr="00CE15CF">
              <w:rPr>
                <w:sz w:val="20"/>
                <w:szCs w:val="20"/>
              </w:rPr>
              <w:t>Mesocosm</w:t>
            </w:r>
            <w:proofErr w:type="spellEnd"/>
            <w:r w:rsidRPr="00CE15CF">
              <w:rPr>
                <w:sz w:val="20"/>
                <w:szCs w:val="20"/>
              </w:rPr>
              <w:t>, Environmental Science &amp; Technology 2018 52 (5), 2603-2611</w:t>
            </w:r>
          </w:p>
          <w:p w14:paraId="3D0ECF33" w14:textId="7669CBA2" w:rsidR="00432FE3" w:rsidRPr="001B62B3" w:rsidRDefault="00432FE3" w:rsidP="00CE15CF">
            <w:pPr>
              <w:rPr>
                <w:rFonts w:eastAsia="Times New Roman"/>
                <w:sz w:val="20"/>
                <w:szCs w:val="20"/>
                <w:lang w:eastAsia="en-GB"/>
              </w:rPr>
            </w:pPr>
            <w:r w:rsidRPr="00CE15CF">
              <w:rPr>
                <w:sz w:val="20"/>
                <w:szCs w:val="20"/>
              </w:rPr>
              <w:t>DOI: 10.1021/acs.est.7b03876</w:t>
            </w:r>
          </w:p>
        </w:tc>
      </w:tr>
    </w:tbl>
    <w:p w14:paraId="5179993A" w14:textId="77777777" w:rsidR="003D6476" w:rsidRDefault="003D6476" w:rsidP="003D6476">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3D6476" w14:paraId="2D279367" w14:textId="77777777" w:rsidTr="00A850EB">
        <w:tc>
          <w:tcPr>
            <w:tcW w:w="1897" w:type="dxa"/>
          </w:tcPr>
          <w:p w14:paraId="40F81425" w14:textId="77777777" w:rsidR="003D6476" w:rsidRDefault="003D6476" w:rsidP="00A850EB">
            <w:pPr>
              <w:pStyle w:val="Normal-pool"/>
              <w:spacing w:before="520"/>
            </w:pPr>
          </w:p>
        </w:tc>
        <w:tc>
          <w:tcPr>
            <w:tcW w:w="1897" w:type="dxa"/>
          </w:tcPr>
          <w:p w14:paraId="0829B3A0" w14:textId="77777777" w:rsidR="003D6476" w:rsidRDefault="003D6476" w:rsidP="00A850EB">
            <w:pPr>
              <w:pStyle w:val="Normal-pool"/>
              <w:spacing w:before="520"/>
            </w:pPr>
          </w:p>
        </w:tc>
        <w:tc>
          <w:tcPr>
            <w:tcW w:w="1897" w:type="dxa"/>
            <w:tcBorders>
              <w:bottom w:val="single" w:sz="4" w:space="0" w:color="auto"/>
            </w:tcBorders>
          </w:tcPr>
          <w:p w14:paraId="42DCAEFB" w14:textId="77777777" w:rsidR="003D6476" w:rsidRDefault="003D6476" w:rsidP="00A850EB">
            <w:pPr>
              <w:pStyle w:val="Normal-pool"/>
              <w:spacing w:before="520"/>
            </w:pPr>
          </w:p>
        </w:tc>
        <w:tc>
          <w:tcPr>
            <w:tcW w:w="1897" w:type="dxa"/>
          </w:tcPr>
          <w:p w14:paraId="2731B352" w14:textId="77777777" w:rsidR="003D6476" w:rsidRDefault="003D6476" w:rsidP="00A850EB">
            <w:pPr>
              <w:pStyle w:val="Normal-pool"/>
              <w:spacing w:before="520"/>
            </w:pPr>
          </w:p>
        </w:tc>
        <w:tc>
          <w:tcPr>
            <w:tcW w:w="1898" w:type="dxa"/>
          </w:tcPr>
          <w:p w14:paraId="38B905FD" w14:textId="77777777" w:rsidR="003D6476" w:rsidRDefault="003D6476" w:rsidP="00A850EB">
            <w:pPr>
              <w:pStyle w:val="Normal-pool"/>
              <w:spacing w:before="520"/>
            </w:pPr>
          </w:p>
        </w:tc>
      </w:tr>
    </w:tbl>
    <w:p w14:paraId="624E9DBF" w14:textId="77777777" w:rsidR="003D6476" w:rsidRDefault="003D6476" w:rsidP="003D6476">
      <w:pPr>
        <w:pStyle w:val="Normal-pool"/>
      </w:pPr>
    </w:p>
    <w:sectPr w:rsidR="003D6476" w:rsidSect="00A91C77">
      <w:pgSz w:w="11906" w:h="16838" w:code="9"/>
      <w:pgMar w:top="907" w:right="992" w:bottom="1418" w:left="1418" w:header="539" w:footer="9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B36FE" w14:textId="77777777" w:rsidR="00370BD5" w:rsidRDefault="00370BD5" w:rsidP="00AC4CE6">
      <w:r>
        <w:separator/>
      </w:r>
    </w:p>
  </w:endnote>
  <w:endnote w:type="continuationSeparator" w:id="0">
    <w:p w14:paraId="6281607D" w14:textId="77777777" w:rsidR="00370BD5" w:rsidRDefault="00370BD5" w:rsidP="00AC4CE6">
      <w:r>
        <w:continuationSeparator/>
      </w:r>
    </w:p>
  </w:endnote>
  <w:endnote w:type="continuationNotice" w:id="1">
    <w:p w14:paraId="22B177F3" w14:textId="77777777" w:rsidR="00370BD5" w:rsidRDefault="00370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lvetica 45">
    <w:altName w:val="Times New Roman"/>
    <w:charset w:val="00"/>
    <w:family w:val="auto"/>
    <w:pitch w:val="variable"/>
    <w:sig w:usb0="00000001"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DF6A" w14:textId="34221851" w:rsidR="00370BD5" w:rsidRPr="004D2782" w:rsidRDefault="00370BD5" w:rsidP="004D2782">
    <w:pPr>
      <w:pStyle w:val="Footer"/>
      <w:ind w:right="360"/>
      <w:jc w:val="left"/>
      <w:rPr>
        <w:rFonts w:ascii="Times New Roman" w:hAnsi="Times New Roman" w:cs="Times New Roman"/>
        <w:b/>
        <w:sz w:val="18"/>
        <w:szCs w:val="18"/>
      </w:rPr>
    </w:pPr>
    <w:r w:rsidRPr="004D2782">
      <w:rPr>
        <w:rStyle w:val="PageNumber"/>
        <w:rFonts w:ascii="Times New Roman" w:hAnsi="Times New Roman"/>
        <w:b/>
        <w:sz w:val="18"/>
        <w:szCs w:val="18"/>
      </w:rPr>
      <w:fldChar w:fldCharType="begin"/>
    </w:r>
    <w:r w:rsidRPr="004D2782">
      <w:rPr>
        <w:rStyle w:val="PageNumber"/>
        <w:rFonts w:ascii="Times New Roman" w:hAnsi="Times New Roman"/>
        <w:b/>
        <w:sz w:val="18"/>
        <w:szCs w:val="18"/>
      </w:rPr>
      <w:instrText xml:space="preserve"> PAGE </w:instrText>
    </w:r>
    <w:r w:rsidRPr="004D2782">
      <w:rPr>
        <w:rStyle w:val="PageNumber"/>
        <w:rFonts w:ascii="Times New Roman" w:hAnsi="Times New Roman"/>
        <w:b/>
        <w:sz w:val="18"/>
        <w:szCs w:val="18"/>
      </w:rPr>
      <w:fldChar w:fldCharType="separate"/>
    </w:r>
    <w:r w:rsidR="00AA57F7">
      <w:rPr>
        <w:rStyle w:val="PageNumber"/>
        <w:rFonts w:ascii="Times New Roman" w:hAnsi="Times New Roman"/>
        <w:b/>
        <w:noProof/>
        <w:sz w:val="18"/>
        <w:szCs w:val="18"/>
      </w:rPr>
      <w:t>60</w:t>
    </w:r>
    <w:r w:rsidRPr="004D2782">
      <w:rPr>
        <w:rStyle w:val="PageNumber"/>
        <w:rFonts w:ascii="Times New Roman" w:hAnsi="Times New Roman"/>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554905"/>
      <w:docPartObj>
        <w:docPartGallery w:val="Page Numbers (Bottom of Page)"/>
        <w:docPartUnique/>
      </w:docPartObj>
    </w:sdtPr>
    <w:sdtEndPr>
      <w:rPr>
        <w:rFonts w:ascii="Times New Roman" w:hAnsi="Times New Roman" w:cs="Times New Roman"/>
        <w:b/>
        <w:noProof/>
        <w:sz w:val="18"/>
        <w:szCs w:val="18"/>
      </w:rPr>
    </w:sdtEndPr>
    <w:sdtContent>
      <w:p w14:paraId="05BBF4D7" w14:textId="297B174B" w:rsidR="00370BD5" w:rsidRPr="00F0713C" w:rsidRDefault="00370BD5" w:rsidP="00F0713C">
        <w:pPr>
          <w:pStyle w:val="Footer"/>
          <w:jc w:val="right"/>
          <w:rPr>
            <w:rFonts w:ascii="Times New Roman" w:hAnsi="Times New Roman" w:cs="Times New Roman"/>
            <w:b/>
            <w:sz w:val="18"/>
            <w:szCs w:val="18"/>
          </w:rPr>
        </w:pPr>
        <w:r w:rsidRPr="00F0713C">
          <w:rPr>
            <w:rFonts w:ascii="Times New Roman" w:hAnsi="Times New Roman" w:cs="Times New Roman"/>
            <w:b/>
            <w:sz w:val="18"/>
            <w:szCs w:val="18"/>
          </w:rPr>
          <w:fldChar w:fldCharType="begin"/>
        </w:r>
        <w:r w:rsidRPr="00F0713C">
          <w:rPr>
            <w:rFonts w:ascii="Times New Roman" w:hAnsi="Times New Roman" w:cs="Times New Roman"/>
            <w:b/>
            <w:sz w:val="18"/>
            <w:szCs w:val="18"/>
          </w:rPr>
          <w:instrText xml:space="preserve"> PAGE   \* MERGEFORMAT </w:instrText>
        </w:r>
        <w:r w:rsidRPr="00F0713C">
          <w:rPr>
            <w:rFonts w:ascii="Times New Roman" w:hAnsi="Times New Roman" w:cs="Times New Roman"/>
            <w:b/>
            <w:sz w:val="18"/>
            <w:szCs w:val="18"/>
          </w:rPr>
          <w:fldChar w:fldCharType="separate"/>
        </w:r>
        <w:r w:rsidR="00AA57F7">
          <w:rPr>
            <w:rFonts w:ascii="Times New Roman" w:hAnsi="Times New Roman" w:cs="Times New Roman"/>
            <w:b/>
            <w:noProof/>
            <w:sz w:val="18"/>
            <w:szCs w:val="18"/>
          </w:rPr>
          <w:t>61</w:t>
        </w:r>
        <w:r w:rsidRPr="00F0713C">
          <w:rPr>
            <w:rFonts w:ascii="Times New Roman" w:hAnsi="Times New Roman" w:cs="Times New Roman"/>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9CD1A" w14:textId="736C90CA" w:rsidR="00370BD5" w:rsidRPr="00C268AF" w:rsidRDefault="00370BD5" w:rsidP="00C268AF">
    <w:pPr>
      <w:pStyle w:val="Normal-pool"/>
    </w:pPr>
    <w:r w:rsidRPr="007B4201">
      <w:t>K1801102</w:t>
    </w:r>
    <w:r w:rsidRPr="007B4201">
      <w:tab/>
    </w:r>
    <w:r w:rsidR="009A0B18">
      <w:t>20</w:t>
    </w:r>
    <w:r>
      <w:t>07</w:t>
    </w:r>
    <w:r w:rsidRPr="007B4201">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236952"/>
      <w:docPartObj>
        <w:docPartGallery w:val="Page Numbers (Bottom of Page)"/>
        <w:docPartUnique/>
      </w:docPartObj>
    </w:sdtPr>
    <w:sdtEndPr>
      <w:rPr>
        <w:rFonts w:ascii="Times New Roman" w:hAnsi="Times New Roman" w:cs="Times New Roman"/>
        <w:b/>
        <w:noProof/>
        <w:sz w:val="18"/>
        <w:szCs w:val="18"/>
      </w:rPr>
    </w:sdtEndPr>
    <w:sdtContent>
      <w:p w14:paraId="1A202582" w14:textId="18A20907" w:rsidR="00370BD5" w:rsidRPr="00606685" w:rsidRDefault="00370BD5" w:rsidP="004B4655">
        <w:pPr>
          <w:pStyle w:val="Footer"/>
          <w:jc w:val="left"/>
          <w:rPr>
            <w:rFonts w:ascii="Times New Roman" w:hAnsi="Times New Roman" w:cs="Times New Roman"/>
            <w:b/>
            <w:sz w:val="18"/>
            <w:szCs w:val="18"/>
          </w:rPr>
        </w:pPr>
        <w:r w:rsidRPr="00606685">
          <w:rPr>
            <w:rFonts w:ascii="Times New Roman" w:hAnsi="Times New Roman" w:cs="Times New Roman"/>
            <w:b/>
            <w:sz w:val="18"/>
            <w:szCs w:val="18"/>
          </w:rPr>
          <w:fldChar w:fldCharType="begin"/>
        </w:r>
        <w:r w:rsidRPr="00606685">
          <w:rPr>
            <w:rFonts w:ascii="Times New Roman" w:hAnsi="Times New Roman" w:cs="Times New Roman"/>
            <w:b/>
            <w:sz w:val="18"/>
            <w:szCs w:val="18"/>
          </w:rPr>
          <w:instrText xml:space="preserve"> PAGE   \* MERGEFORMAT </w:instrText>
        </w:r>
        <w:r w:rsidRPr="00606685">
          <w:rPr>
            <w:rFonts w:ascii="Times New Roman" w:hAnsi="Times New Roman" w:cs="Times New Roman"/>
            <w:b/>
            <w:sz w:val="18"/>
            <w:szCs w:val="18"/>
          </w:rPr>
          <w:fldChar w:fldCharType="separate"/>
        </w:r>
        <w:r w:rsidR="00AA57F7">
          <w:rPr>
            <w:rFonts w:ascii="Times New Roman" w:hAnsi="Times New Roman" w:cs="Times New Roman"/>
            <w:b/>
            <w:noProof/>
            <w:sz w:val="18"/>
            <w:szCs w:val="18"/>
          </w:rPr>
          <w:t>4</w:t>
        </w:r>
        <w:r w:rsidRPr="00606685">
          <w:rPr>
            <w:rFonts w:ascii="Times New Roman" w:hAnsi="Times New Roman" w:cs="Times New Roman"/>
            <w:b/>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562512"/>
      <w:docPartObj>
        <w:docPartGallery w:val="Page Numbers (Bottom of Page)"/>
        <w:docPartUnique/>
      </w:docPartObj>
    </w:sdtPr>
    <w:sdtEndPr>
      <w:rPr>
        <w:rFonts w:ascii="Times New Roman" w:hAnsi="Times New Roman" w:cs="Times New Roman"/>
        <w:b/>
        <w:noProof/>
        <w:sz w:val="18"/>
        <w:szCs w:val="18"/>
      </w:rPr>
    </w:sdtEndPr>
    <w:sdtContent>
      <w:p w14:paraId="4F4F4D4D" w14:textId="25E6CB01" w:rsidR="00370BD5" w:rsidRPr="00606685" w:rsidRDefault="00370BD5" w:rsidP="00A86236">
        <w:pPr>
          <w:pStyle w:val="Footer"/>
          <w:jc w:val="right"/>
          <w:rPr>
            <w:rFonts w:ascii="Times New Roman" w:hAnsi="Times New Roman" w:cs="Times New Roman"/>
            <w:b/>
            <w:sz w:val="18"/>
            <w:szCs w:val="18"/>
          </w:rPr>
        </w:pPr>
        <w:r w:rsidRPr="00606685">
          <w:rPr>
            <w:rFonts w:ascii="Times New Roman" w:hAnsi="Times New Roman" w:cs="Times New Roman"/>
            <w:b/>
            <w:sz w:val="18"/>
            <w:szCs w:val="18"/>
          </w:rPr>
          <w:fldChar w:fldCharType="begin"/>
        </w:r>
        <w:r w:rsidRPr="00606685">
          <w:rPr>
            <w:rFonts w:ascii="Times New Roman" w:hAnsi="Times New Roman" w:cs="Times New Roman"/>
            <w:b/>
            <w:sz w:val="18"/>
            <w:szCs w:val="18"/>
          </w:rPr>
          <w:instrText xml:space="preserve"> PAGE   \* MERGEFORMAT </w:instrText>
        </w:r>
        <w:r w:rsidRPr="00606685">
          <w:rPr>
            <w:rFonts w:ascii="Times New Roman" w:hAnsi="Times New Roman" w:cs="Times New Roman"/>
            <w:b/>
            <w:sz w:val="18"/>
            <w:szCs w:val="18"/>
          </w:rPr>
          <w:fldChar w:fldCharType="separate"/>
        </w:r>
        <w:r w:rsidR="00AA57F7">
          <w:rPr>
            <w:rFonts w:ascii="Times New Roman" w:hAnsi="Times New Roman" w:cs="Times New Roman"/>
            <w:b/>
            <w:noProof/>
            <w:sz w:val="18"/>
            <w:szCs w:val="18"/>
          </w:rPr>
          <w:t>57</w:t>
        </w:r>
        <w:r w:rsidRPr="00606685">
          <w:rPr>
            <w:rFonts w:ascii="Times New Roman" w:hAnsi="Times New Roman" w:cs="Times New Roman"/>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CE932" w14:textId="77777777" w:rsidR="00370BD5" w:rsidRPr="00F0713C" w:rsidRDefault="00370BD5" w:rsidP="00F0713C">
      <w:pPr>
        <w:spacing w:after="120"/>
        <w:ind w:left="624"/>
        <w:rPr>
          <w:sz w:val="20"/>
          <w:szCs w:val="20"/>
        </w:rPr>
      </w:pPr>
      <w:r w:rsidRPr="00F0713C">
        <w:rPr>
          <w:sz w:val="20"/>
          <w:szCs w:val="20"/>
        </w:rPr>
        <w:separator/>
      </w:r>
    </w:p>
  </w:footnote>
  <w:footnote w:type="continuationSeparator" w:id="0">
    <w:p w14:paraId="586D9D9D" w14:textId="77777777" w:rsidR="00370BD5" w:rsidRDefault="00370BD5" w:rsidP="00AC4CE6">
      <w:r>
        <w:continuationSeparator/>
      </w:r>
    </w:p>
  </w:footnote>
  <w:footnote w:type="continuationNotice" w:id="1">
    <w:p w14:paraId="5FCEB7CF" w14:textId="77777777" w:rsidR="00370BD5" w:rsidRDefault="00370BD5"/>
  </w:footnote>
  <w:footnote w:id="2">
    <w:p w14:paraId="37A99197" w14:textId="77777777" w:rsidR="00370BD5" w:rsidRPr="00C268AF" w:rsidRDefault="00370BD5" w:rsidP="00C268AF">
      <w:pPr>
        <w:pStyle w:val="FootnoteText"/>
        <w:tabs>
          <w:tab w:val="left" w:pos="624"/>
        </w:tabs>
        <w:snapToGrid w:val="0"/>
        <w:spacing w:before="20" w:after="40" w:line="240" w:lineRule="auto"/>
        <w:ind w:left="1238"/>
        <w:jc w:val="left"/>
        <w:rPr>
          <w:rStyle w:val="FootnoteReference"/>
          <w:rFonts w:asciiTheme="majorBidi" w:hAnsiTheme="majorBidi" w:cstheme="majorBidi"/>
          <w:sz w:val="18"/>
          <w:szCs w:val="18"/>
          <w:vertAlign w:val="baseline"/>
          <w:lang w:val="en-US"/>
        </w:rPr>
      </w:pPr>
      <w:r w:rsidRPr="00370BD5">
        <w:rPr>
          <w:rStyle w:val="FootnoteReference"/>
          <w:rFonts w:asciiTheme="majorBidi" w:hAnsiTheme="majorBidi" w:cstheme="majorBidi"/>
          <w:sz w:val="18"/>
          <w:szCs w:val="18"/>
          <w:vertAlign w:val="baseline"/>
          <w:lang w:val="en-US"/>
        </w:rPr>
        <w:t>*</w:t>
      </w:r>
      <w:r w:rsidRPr="00370BD5">
        <w:rPr>
          <w:rFonts w:asciiTheme="majorBidi" w:hAnsiTheme="majorBidi" w:cstheme="majorBidi"/>
          <w:sz w:val="18"/>
          <w:szCs w:val="18"/>
          <w:lang w:val="en-US"/>
        </w:rPr>
        <w:t xml:space="preserve"> </w:t>
      </w:r>
      <w:r w:rsidRPr="00C268AF">
        <w:rPr>
          <w:rStyle w:val="FootnoteReference"/>
          <w:rFonts w:asciiTheme="majorBidi" w:hAnsiTheme="majorBidi" w:cstheme="majorBidi"/>
          <w:sz w:val="18"/>
          <w:szCs w:val="18"/>
          <w:vertAlign w:val="baseline"/>
          <w:lang w:val="en-US"/>
        </w:rPr>
        <w:t>UNEP/POPS/POPRC.</w:t>
      </w:r>
      <w:r w:rsidRPr="00C268AF">
        <w:rPr>
          <w:rFonts w:asciiTheme="majorBidi" w:hAnsiTheme="majorBidi" w:cstheme="majorBidi"/>
          <w:sz w:val="18"/>
          <w:szCs w:val="18"/>
          <w:lang w:val="en-US"/>
        </w:rPr>
        <w:t>14</w:t>
      </w:r>
      <w:r w:rsidRPr="00C268AF">
        <w:rPr>
          <w:rStyle w:val="FootnoteReference"/>
          <w:rFonts w:asciiTheme="majorBidi" w:hAnsiTheme="majorBidi" w:cstheme="majorBidi"/>
          <w:sz w:val="18"/>
          <w:szCs w:val="18"/>
          <w:vertAlign w:val="baseline"/>
          <w:lang w:val="en-US"/>
        </w:rPr>
        <w:t>/1.</w:t>
      </w:r>
    </w:p>
  </w:footnote>
  <w:footnote w:id="3">
    <w:p w14:paraId="4C4B80DF" w14:textId="77777777" w:rsidR="00370BD5" w:rsidRPr="00C268AF" w:rsidRDefault="00370BD5" w:rsidP="00C268AF">
      <w:pPr>
        <w:pStyle w:val="FootnoteText"/>
        <w:snapToGrid w:val="0"/>
        <w:spacing w:before="20" w:after="40" w:line="240" w:lineRule="auto"/>
        <w:ind w:left="1238"/>
        <w:rPr>
          <w:rFonts w:asciiTheme="majorBidi" w:hAnsiTheme="majorBidi" w:cstheme="majorBidi"/>
          <w:sz w:val="18"/>
          <w:szCs w:val="18"/>
          <w:lang w:val="en-US"/>
        </w:rPr>
      </w:pPr>
      <w:r w:rsidRPr="00C268AF">
        <w:rPr>
          <w:rStyle w:val="FootnoteReference"/>
          <w:rFonts w:asciiTheme="majorBidi" w:hAnsiTheme="majorBidi" w:cstheme="majorBidi"/>
          <w:sz w:val="18"/>
          <w:szCs w:val="18"/>
        </w:rPr>
        <w:footnoteRef/>
      </w:r>
      <w:r w:rsidRPr="00C268AF">
        <w:rPr>
          <w:rFonts w:asciiTheme="majorBidi" w:hAnsiTheme="majorBidi" w:cstheme="majorBidi"/>
          <w:sz w:val="18"/>
          <w:szCs w:val="18"/>
        </w:rPr>
        <w:t xml:space="preserve"> http://chm.pops.int/tabid/6174/Default.aspx.</w:t>
      </w:r>
    </w:p>
  </w:footnote>
  <w:footnote w:id="4">
    <w:p w14:paraId="49E13B87" w14:textId="256FE943" w:rsidR="00370BD5" w:rsidRPr="00FA352E" w:rsidRDefault="00370BD5" w:rsidP="00FA352E">
      <w:pPr>
        <w:pStyle w:val="FootnoteText"/>
        <w:snapToGrid w:val="0"/>
        <w:spacing w:before="20" w:after="40" w:line="240" w:lineRule="auto"/>
        <w:ind w:left="1238"/>
        <w:rPr>
          <w:rFonts w:ascii="Times New Roman" w:hAnsi="Times New Roman"/>
          <w:sz w:val="18"/>
          <w:szCs w:val="18"/>
        </w:rPr>
      </w:pPr>
      <w:r w:rsidRPr="00FA352E">
        <w:rPr>
          <w:rStyle w:val="FootnoteReference"/>
          <w:rFonts w:asciiTheme="majorBidi" w:hAnsiTheme="majorBidi" w:cstheme="majorBidi"/>
          <w:sz w:val="18"/>
          <w:szCs w:val="18"/>
        </w:rPr>
        <w:footnoteRef/>
      </w:r>
      <w:r w:rsidRPr="00FA352E">
        <w:rPr>
          <w:rStyle w:val="FootnoteReference"/>
          <w:rFonts w:asciiTheme="majorBidi" w:hAnsiTheme="majorBidi" w:cstheme="majorBidi"/>
          <w:sz w:val="18"/>
          <w:szCs w:val="18"/>
        </w:rPr>
        <w:t xml:space="preserve">  </w:t>
      </w:r>
      <w:r w:rsidRPr="00FA352E">
        <w:rPr>
          <w:rFonts w:ascii="Times New Roman" w:hAnsi="Times New Roman"/>
          <w:sz w:val="18"/>
          <w:szCs w:val="18"/>
        </w:rPr>
        <w:t>See UNEP/POPRC/POPRC.13/7/Add.2.</w:t>
      </w:r>
    </w:p>
  </w:footnote>
  <w:footnote w:id="5">
    <w:p w14:paraId="4C5EFFBF" w14:textId="1C47F60F" w:rsidR="00370BD5" w:rsidRPr="008C666F" w:rsidRDefault="00370BD5" w:rsidP="00370BD5">
      <w:pPr>
        <w:pStyle w:val="FootnoteText"/>
        <w:spacing w:before="20" w:after="40" w:line="240" w:lineRule="auto"/>
        <w:ind w:left="1247"/>
        <w:jc w:val="left"/>
        <w:rPr>
          <w:rFonts w:asciiTheme="majorBidi" w:hAnsiTheme="majorBidi" w:cstheme="majorBidi"/>
          <w:sz w:val="18"/>
          <w:szCs w:val="18"/>
        </w:rPr>
      </w:pPr>
      <w:r w:rsidRPr="000D7872">
        <w:rPr>
          <w:rStyle w:val="FootnoteReference"/>
          <w:rFonts w:asciiTheme="majorBidi" w:hAnsiTheme="majorBidi" w:cstheme="majorBidi"/>
          <w:sz w:val="18"/>
          <w:szCs w:val="18"/>
        </w:rPr>
        <w:t>1</w:t>
      </w:r>
      <w:r w:rsidRPr="000D7872">
        <w:rPr>
          <w:rFonts w:asciiTheme="majorBidi" w:hAnsiTheme="majorBidi" w:cstheme="majorBidi"/>
          <w:sz w:val="18"/>
          <w:szCs w:val="18"/>
        </w:rPr>
        <w:t xml:space="preserve"> </w:t>
      </w:r>
      <w:r w:rsidRPr="008C666F">
        <w:rPr>
          <w:rFonts w:asciiTheme="majorBidi" w:hAnsiTheme="majorBidi" w:cstheme="majorBidi"/>
          <w:sz w:val="18"/>
          <w:szCs w:val="18"/>
        </w:rPr>
        <w:t>UNEP/POPS/POPRC.13/7/Add.2.</w:t>
      </w:r>
    </w:p>
  </w:footnote>
  <w:footnote w:id="6">
    <w:p w14:paraId="24E3D5BD" w14:textId="16A74BAE" w:rsidR="00370BD5" w:rsidRPr="00370BD5" w:rsidRDefault="00370BD5" w:rsidP="00370BD5">
      <w:pPr>
        <w:pStyle w:val="FootnoteText"/>
        <w:spacing w:before="20" w:after="40" w:line="240" w:lineRule="auto"/>
        <w:ind w:left="1247"/>
        <w:jc w:val="left"/>
        <w:rPr>
          <w:rFonts w:ascii="Times New Roman" w:hAnsi="Times New Roman"/>
          <w:sz w:val="18"/>
          <w:szCs w:val="18"/>
          <w:lang w:val="en-US"/>
        </w:rPr>
      </w:pPr>
      <w:r w:rsidRPr="00370BD5">
        <w:rPr>
          <w:rStyle w:val="FootnoteReference"/>
          <w:rFonts w:asciiTheme="majorBidi" w:hAnsiTheme="majorBidi" w:cstheme="majorBidi"/>
          <w:sz w:val="18"/>
          <w:szCs w:val="18"/>
        </w:rPr>
        <w:t>2</w:t>
      </w:r>
      <w:r w:rsidRPr="00370BD5">
        <w:rPr>
          <w:rFonts w:ascii="Times New Roman" w:hAnsi="Times New Roman"/>
          <w:sz w:val="18"/>
          <w:szCs w:val="18"/>
        </w:rPr>
        <w:t xml:space="preserve"> </w:t>
      </w:r>
      <w:r w:rsidRPr="00370BD5">
        <w:rPr>
          <w:rFonts w:ascii="Times New Roman" w:hAnsi="Times New Roman"/>
          <w:sz w:val="18"/>
          <w:szCs w:val="18"/>
          <w:lang w:val="en-US"/>
        </w:rPr>
        <w:t xml:space="preserve">PFOA-related compounds are differently defined </w:t>
      </w:r>
      <w:proofErr w:type="gramStart"/>
      <w:r w:rsidRPr="00370BD5">
        <w:rPr>
          <w:rFonts w:ascii="Times New Roman" w:hAnsi="Times New Roman"/>
          <w:sz w:val="18"/>
          <w:szCs w:val="18"/>
          <w:lang w:val="en-US"/>
        </w:rPr>
        <w:t>according to</w:t>
      </w:r>
      <w:proofErr w:type="gramEnd"/>
      <w:r w:rsidRPr="00370BD5">
        <w:rPr>
          <w:rFonts w:ascii="Times New Roman" w:hAnsi="Times New Roman"/>
          <w:sz w:val="18"/>
          <w:szCs w:val="18"/>
          <w:lang w:val="en-US"/>
        </w:rPr>
        <w:t xml:space="preserve"> the chemical scope in different approaches. In this document, the term “PFOA-related compounds” is used as defined in section 1.1. If quoted from other information sources the original wording of analogue terms, such as “PFOA-related substances” (e.g. used in ECHA 2015a), is maintained.</w:t>
      </w:r>
    </w:p>
  </w:footnote>
  <w:footnote w:id="7">
    <w:p w14:paraId="0210DF2A" w14:textId="672C82B0" w:rsidR="00370BD5" w:rsidRPr="00262BD0" w:rsidRDefault="00370BD5" w:rsidP="00370BD5">
      <w:pPr>
        <w:pStyle w:val="FootnoteText"/>
        <w:spacing w:before="20" w:after="40" w:line="240" w:lineRule="auto"/>
        <w:ind w:left="1247"/>
        <w:rPr>
          <w:rFonts w:ascii="Times New Roman" w:hAnsi="Times New Roman"/>
          <w:sz w:val="18"/>
          <w:szCs w:val="18"/>
        </w:rPr>
      </w:pPr>
      <w:r w:rsidRPr="00262BD0">
        <w:rPr>
          <w:rStyle w:val="FootnoteReference"/>
          <w:rFonts w:ascii="Times New Roman" w:hAnsi="Times New Roman"/>
          <w:sz w:val="18"/>
          <w:szCs w:val="18"/>
        </w:rPr>
        <w:footnoteRef/>
      </w:r>
      <w:r w:rsidRPr="00262BD0">
        <w:rPr>
          <w:rFonts w:ascii="Times New Roman" w:hAnsi="Times New Roman"/>
          <w:sz w:val="18"/>
          <w:szCs w:val="18"/>
        </w:rPr>
        <w:t xml:space="preserve"> PFOA can used as an emulsifier in the manufacture of PTFE</w:t>
      </w:r>
      <w:r>
        <w:rPr>
          <w:rFonts w:ascii="Times New Roman" w:hAnsi="Times New Roman"/>
          <w:sz w:val="18"/>
          <w:szCs w:val="18"/>
        </w:rPr>
        <w:t>,</w:t>
      </w:r>
      <w:r w:rsidRPr="00262BD0">
        <w:rPr>
          <w:rFonts w:ascii="Times New Roman" w:hAnsi="Times New Roman"/>
          <w:sz w:val="18"/>
          <w:szCs w:val="18"/>
        </w:rPr>
        <w:t xml:space="preserve"> and </w:t>
      </w:r>
      <w:r>
        <w:rPr>
          <w:rFonts w:ascii="Times New Roman" w:hAnsi="Times New Roman"/>
          <w:sz w:val="18"/>
          <w:szCs w:val="18"/>
        </w:rPr>
        <w:t xml:space="preserve">would </w:t>
      </w:r>
      <w:r w:rsidRPr="00262BD0">
        <w:rPr>
          <w:rFonts w:ascii="Times New Roman" w:hAnsi="Times New Roman"/>
          <w:sz w:val="18"/>
          <w:szCs w:val="18"/>
        </w:rPr>
        <w:t>be present as a by-product of the finished product</w:t>
      </w:r>
      <w:r>
        <w:rPr>
          <w:rFonts w:ascii="Times New Roman" w:hAnsi="Times New Roman"/>
          <w:sz w:val="18"/>
          <w:szCs w:val="18"/>
        </w:rPr>
        <w:t>.</w:t>
      </w:r>
    </w:p>
  </w:footnote>
  <w:footnote w:id="8">
    <w:p w14:paraId="69217465" w14:textId="0B74BE0A" w:rsidR="00370BD5" w:rsidRPr="00E5527F" w:rsidRDefault="00370BD5" w:rsidP="00370BD5">
      <w:pPr>
        <w:pStyle w:val="FootnoteText"/>
        <w:spacing w:before="20" w:after="40" w:line="240" w:lineRule="auto"/>
        <w:ind w:left="1247"/>
        <w:rPr>
          <w:rFonts w:ascii="Times New Roman" w:hAnsi="Times New Roman"/>
          <w:sz w:val="18"/>
          <w:szCs w:val="18"/>
        </w:rPr>
      </w:pPr>
      <w:r w:rsidRPr="00E5527F">
        <w:rPr>
          <w:rStyle w:val="FootnoteReference"/>
          <w:rFonts w:ascii="Times New Roman" w:hAnsi="Times New Roman"/>
          <w:sz w:val="18"/>
          <w:szCs w:val="18"/>
        </w:rPr>
        <w:footnoteRef/>
      </w:r>
      <w:r w:rsidRPr="00E5527F">
        <w:rPr>
          <w:rFonts w:ascii="Times New Roman" w:hAnsi="Times New Roman"/>
          <w:sz w:val="18"/>
          <w:szCs w:val="18"/>
        </w:rPr>
        <w:t xml:space="preserve"> Note th</w:t>
      </w:r>
      <w:r w:rsidRPr="003C196A">
        <w:rPr>
          <w:rFonts w:ascii="Times New Roman" w:hAnsi="Times New Roman"/>
          <w:sz w:val="18"/>
          <w:szCs w:val="18"/>
        </w:rPr>
        <w:t>at Perfluorohexane</w:t>
      </w:r>
      <w:r>
        <w:rPr>
          <w:rFonts w:ascii="Times New Roman" w:hAnsi="Times New Roman"/>
          <w:sz w:val="18"/>
          <w:szCs w:val="18"/>
        </w:rPr>
        <w:t>-1-sulphonic acid</w:t>
      </w:r>
      <w:r w:rsidRPr="003C196A">
        <w:rPr>
          <w:rFonts w:ascii="Times New Roman" w:hAnsi="Times New Roman"/>
          <w:sz w:val="18"/>
          <w:szCs w:val="18"/>
        </w:rPr>
        <w:t xml:space="preserve"> (CAS No:</w:t>
      </w:r>
      <w:r>
        <w:rPr>
          <w:rFonts w:ascii="Times New Roman" w:hAnsi="Times New Roman"/>
          <w:sz w:val="18"/>
          <w:szCs w:val="18"/>
        </w:rPr>
        <w:t xml:space="preserve"> </w:t>
      </w:r>
      <w:r w:rsidRPr="00E5527F">
        <w:rPr>
          <w:rFonts w:ascii="Times New Roman" w:hAnsi="Times New Roman"/>
          <w:sz w:val="18"/>
          <w:szCs w:val="18"/>
        </w:rPr>
        <w:t>355-46-4) (</w:t>
      </w:r>
      <w:proofErr w:type="spellStart"/>
      <w:r w:rsidRPr="00E5527F">
        <w:rPr>
          <w:rFonts w:ascii="Times New Roman" w:hAnsi="Times New Roman"/>
          <w:sz w:val="18"/>
          <w:szCs w:val="18"/>
        </w:rPr>
        <w:t>PFHxS</w:t>
      </w:r>
      <w:proofErr w:type="spellEnd"/>
      <w:r w:rsidRPr="00E5527F">
        <w:rPr>
          <w:rFonts w:ascii="Times New Roman" w:hAnsi="Times New Roman"/>
          <w:sz w:val="18"/>
          <w:szCs w:val="18"/>
        </w:rPr>
        <w:t>))</w:t>
      </w:r>
      <w:r>
        <w:rPr>
          <w:rFonts w:ascii="Times New Roman" w:hAnsi="Times New Roman"/>
          <w:sz w:val="18"/>
          <w:szCs w:val="18"/>
        </w:rPr>
        <w:t xml:space="preserve">, its salts and </w:t>
      </w:r>
      <w:proofErr w:type="spellStart"/>
      <w:r>
        <w:rPr>
          <w:rFonts w:ascii="Times New Roman" w:hAnsi="Times New Roman"/>
          <w:sz w:val="18"/>
          <w:szCs w:val="18"/>
        </w:rPr>
        <w:t>PFHxS</w:t>
      </w:r>
      <w:proofErr w:type="spellEnd"/>
      <w:r>
        <w:rPr>
          <w:rFonts w:ascii="Times New Roman" w:hAnsi="Times New Roman"/>
          <w:sz w:val="18"/>
          <w:szCs w:val="18"/>
        </w:rPr>
        <w:t>-related compounds</w:t>
      </w:r>
      <w:r w:rsidRPr="00E5527F">
        <w:rPr>
          <w:rFonts w:ascii="Times New Roman" w:hAnsi="Times New Roman"/>
          <w:sz w:val="18"/>
          <w:szCs w:val="18"/>
        </w:rPr>
        <w:t xml:space="preserve"> ha</w:t>
      </w:r>
      <w:r>
        <w:rPr>
          <w:rFonts w:ascii="Times New Roman" w:hAnsi="Times New Roman"/>
          <w:sz w:val="18"/>
          <w:szCs w:val="18"/>
        </w:rPr>
        <w:t>ve</w:t>
      </w:r>
      <w:r w:rsidRPr="00E5527F">
        <w:rPr>
          <w:rFonts w:ascii="Times New Roman" w:hAnsi="Times New Roman"/>
          <w:sz w:val="18"/>
          <w:szCs w:val="18"/>
        </w:rPr>
        <w:t xml:space="preserve"> been nominated as</w:t>
      </w:r>
      <w:r>
        <w:rPr>
          <w:rFonts w:ascii="Times New Roman" w:hAnsi="Times New Roman"/>
          <w:sz w:val="18"/>
          <w:szCs w:val="18"/>
        </w:rPr>
        <w:t xml:space="preserve"> </w:t>
      </w:r>
      <w:r w:rsidRPr="00E5527F">
        <w:rPr>
          <w:rFonts w:ascii="Times New Roman" w:hAnsi="Times New Roman"/>
          <w:sz w:val="18"/>
          <w:szCs w:val="18"/>
        </w:rPr>
        <w:t>a POP</w:t>
      </w:r>
      <w:r>
        <w:rPr>
          <w:rFonts w:ascii="Times New Roman" w:hAnsi="Times New Roman"/>
          <w:sz w:val="18"/>
          <w:szCs w:val="18"/>
        </w:rPr>
        <w:t>s</w:t>
      </w:r>
      <w:r w:rsidRPr="00E5527F">
        <w:rPr>
          <w:rFonts w:ascii="Times New Roman" w:hAnsi="Times New Roman"/>
          <w:sz w:val="18"/>
          <w:szCs w:val="18"/>
        </w:rPr>
        <w:t xml:space="preserve"> and </w:t>
      </w:r>
      <w:r>
        <w:rPr>
          <w:rFonts w:ascii="Times New Roman" w:hAnsi="Times New Roman"/>
          <w:sz w:val="18"/>
          <w:szCs w:val="18"/>
        </w:rPr>
        <w:t>are</w:t>
      </w:r>
      <w:r w:rsidRPr="00E5527F">
        <w:rPr>
          <w:rFonts w:ascii="Times New Roman" w:hAnsi="Times New Roman"/>
          <w:sz w:val="18"/>
          <w:szCs w:val="18"/>
        </w:rPr>
        <w:t xml:space="preserve"> currently under review by the </w:t>
      </w:r>
      <w:r>
        <w:rPr>
          <w:rFonts w:ascii="Times New Roman" w:hAnsi="Times New Roman"/>
          <w:sz w:val="18"/>
          <w:szCs w:val="18"/>
        </w:rPr>
        <w:t>Committee</w:t>
      </w:r>
      <w:r w:rsidRPr="00E5527F">
        <w:rPr>
          <w:rFonts w:ascii="Times New Roman" w:hAnsi="Times New Roman"/>
          <w:sz w:val="18"/>
          <w:szCs w:val="18"/>
        </w:rPr>
        <w:t>.</w:t>
      </w:r>
    </w:p>
  </w:footnote>
  <w:footnote w:id="9">
    <w:p w14:paraId="5FDD6D5F" w14:textId="32846971" w:rsidR="00370BD5" w:rsidRPr="002D2322" w:rsidRDefault="00370BD5" w:rsidP="00370BD5">
      <w:pPr>
        <w:pStyle w:val="FootnoteText"/>
        <w:spacing w:before="20" w:after="40" w:line="240" w:lineRule="auto"/>
        <w:ind w:left="1247"/>
        <w:rPr>
          <w:rFonts w:asciiTheme="majorBidi" w:eastAsiaTheme="minorEastAsia" w:hAnsiTheme="majorBidi" w:cstheme="majorBidi"/>
          <w:sz w:val="18"/>
          <w:szCs w:val="18"/>
          <w:lang w:eastAsia="ja-JP"/>
        </w:rPr>
      </w:pPr>
      <w:r w:rsidRPr="002D2322">
        <w:rPr>
          <w:rStyle w:val="FootnoteReference"/>
          <w:rFonts w:asciiTheme="majorBidi" w:hAnsiTheme="majorBidi" w:cstheme="majorBidi"/>
          <w:sz w:val="18"/>
          <w:szCs w:val="18"/>
        </w:rPr>
        <w:footnoteRef/>
      </w:r>
      <w:r w:rsidRPr="002D2322">
        <w:rPr>
          <w:rFonts w:asciiTheme="majorBidi" w:hAnsiTheme="majorBidi" w:cstheme="majorBidi"/>
          <w:sz w:val="18"/>
          <w:szCs w:val="18"/>
        </w:rPr>
        <w:t xml:space="preserve"> UNEP/POPS/POPRC.13/7/Add.2.</w:t>
      </w:r>
    </w:p>
  </w:footnote>
  <w:footnote w:id="10">
    <w:p w14:paraId="016E64A5" w14:textId="77777777" w:rsidR="00370BD5" w:rsidRPr="007F38AE" w:rsidRDefault="00370BD5" w:rsidP="00370BD5">
      <w:pPr>
        <w:pStyle w:val="FootnoteText"/>
        <w:spacing w:before="20" w:after="40" w:line="240" w:lineRule="auto"/>
        <w:ind w:left="1247"/>
        <w:jc w:val="left"/>
        <w:rPr>
          <w:rFonts w:ascii="Times New Roman" w:hAnsi="Times New Roman"/>
          <w:sz w:val="18"/>
          <w:szCs w:val="18"/>
          <w:lang w:val="en-US"/>
        </w:rPr>
      </w:pPr>
      <w:r w:rsidRPr="007F38AE">
        <w:rPr>
          <w:rStyle w:val="FootnoteReference"/>
          <w:rFonts w:ascii="Times New Roman" w:hAnsi="Times New Roman"/>
          <w:sz w:val="18"/>
          <w:szCs w:val="18"/>
        </w:rPr>
        <w:footnoteRef/>
      </w:r>
      <w:r w:rsidRPr="00C42B43">
        <w:rPr>
          <w:rFonts w:ascii="Times New Roman" w:hAnsi="Times New Roman"/>
          <w:sz w:val="18"/>
          <w:lang w:val="en-US"/>
        </w:rPr>
        <w:t xml:space="preserve"> </w:t>
      </w:r>
      <w:r w:rsidRPr="007F38AE">
        <w:rPr>
          <w:rFonts w:ascii="Times New Roman" w:hAnsi="Times New Roman"/>
          <w:sz w:val="18"/>
          <w:szCs w:val="18"/>
          <w:lang w:val="en-US"/>
        </w:rPr>
        <w:t xml:space="preserve">DuPont, 1998. Technical information: </w:t>
      </w:r>
      <w:proofErr w:type="spellStart"/>
      <w:r w:rsidRPr="007F38AE">
        <w:rPr>
          <w:rFonts w:ascii="Times New Roman" w:hAnsi="Times New Roman"/>
          <w:sz w:val="18"/>
          <w:szCs w:val="18"/>
          <w:lang w:val="en-US"/>
        </w:rPr>
        <w:t>Zonyl</w:t>
      </w:r>
      <w:proofErr w:type="spellEnd"/>
      <w:r w:rsidRPr="007F38AE">
        <w:rPr>
          <w:rFonts w:ascii="Times New Roman" w:hAnsi="Times New Roman"/>
          <w:sz w:val="18"/>
          <w:szCs w:val="18"/>
          <w:lang w:val="en-US"/>
        </w:rPr>
        <w:t xml:space="preserve"> fluorochemical intermediates.</w:t>
      </w:r>
    </w:p>
  </w:footnote>
  <w:footnote w:id="11">
    <w:p w14:paraId="0317C83D" w14:textId="77777777" w:rsidR="00370BD5" w:rsidRPr="007F38AE" w:rsidRDefault="00370BD5" w:rsidP="00370BD5">
      <w:pPr>
        <w:pStyle w:val="FootnoteText"/>
        <w:spacing w:before="20" w:after="40" w:line="240" w:lineRule="auto"/>
        <w:ind w:left="1247"/>
        <w:jc w:val="left"/>
        <w:rPr>
          <w:rFonts w:ascii="Times New Roman" w:hAnsi="Times New Roman"/>
          <w:sz w:val="18"/>
          <w:szCs w:val="18"/>
          <w:lang w:val="en-US"/>
        </w:rPr>
      </w:pPr>
      <w:r w:rsidRPr="007F38AE">
        <w:rPr>
          <w:rFonts w:ascii="Times New Roman" w:hAnsi="Times New Roman"/>
          <w:sz w:val="18"/>
          <w:szCs w:val="18"/>
          <w:vertAlign w:val="superscript"/>
          <w:lang w:val="en-US"/>
        </w:rPr>
        <w:footnoteRef/>
      </w:r>
      <w:r w:rsidRPr="007F38AE">
        <w:rPr>
          <w:rFonts w:ascii="Times New Roman" w:hAnsi="Times New Roman"/>
          <w:sz w:val="18"/>
          <w:szCs w:val="18"/>
          <w:lang w:val="en-US"/>
        </w:rPr>
        <w:t xml:space="preserve"> Fluoropolymers have a carbon-only polymer backbone with F directly attached to backbone C atoms.</w:t>
      </w:r>
    </w:p>
  </w:footnote>
  <w:footnote w:id="12">
    <w:p w14:paraId="42698BC7" w14:textId="77777777" w:rsidR="00370BD5" w:rsidRPr="007F38AE" w:rsidRDefault="00370BD5" w:rsidP="00370BD5">
      <w:pPr>
        <w:pStyle w:val="FootnoteText"/>
        <w:spacing w:before="20" w:after="40" w:line="240" w:lineRule="auto"/>
        <w:ind w:left="1247"/>
        <w:jc w:val="left"/>
        <w:rPr>
          <w:rFonts w:ascii="Times New Roman" w:hAnsi="Times New Roman"/>
          <w:sz w:val="18"/>
          <w:szCs w:val="18"/>
        </w:rPr>
      </w:pPr>
      <w:r w:rsidRPr="007F38AE">
        <w:rPr>
          <w:rStyle w:val="FootnoteReference"/>
          <w:rFonts w:ascii="Times New Roman" w:hAnsi="Times New Roman"/>
          <w:sz w:val="18"/>
          <w:szCs w:val="18"/>
        </w:rPr>
        <w:footnoteRef/>
      </w:r>
      <w:r w:rsidRPr="00C42B43">
        <w:rPr>
          <w:rFonts w:ascii="Times New Roman" w:hAnsi="Times New Roman"/>
          <w:sz w:val="18"/>
          <w:lang w:val="en-US"/>
        </w:rPr>
        <w:t xml:space="preserve"> </w:t>
      </w:r>
      <w:r w:rsidRPr="007F38AE">
        <w:rPr>
          <w:rFonts w:ascii="Times New Roman" w:hAnsi="Times New Roman"/>
          <w:sz w:val="18"/>
          <w:szCs w:val="18"/>
          <w:lang w:val="en-US"/>
        </w:rPr>
        <w:t>Such as PTFE (polytetrafluoroethylene), FEP (fluorinated ethylene propylene polymer) and PFA (</w:t>
      </w:r>
      <w:proofErr w:type="spellStart"/>
      <w:r w:rsidRPr="007F38AE">
        <w:rPr>
          <w:rFonts w:ascii="Times New Roman" w:hAnsi="Times New Roman"/>
          <w:sz w:val="18"/>
          <w:szCs w:val="18"/>
          <w:lang w:val="en-US"/>
        </w:rPr>
        <w:t>perfluoroalkoxy</w:t>
      </w:r>
      <w:proofErr w:type="spellEnd"/>
      <w:r w:rsidRPr="007F38AE">
        <w:rPr>
          <w:rFonts w:ascii="Times New Roman" w:hAnsi="Times New Roman"/>
          <w:sz w:val="18"/>
          <w:szCs w:val="18"/>
          <w:lang w:val="en-US"/>
        </w:rPr>
        <w:t xml:space="preserve"> polymer).</w:t>
      </w:r>
    </w:p>
  </w:footnote>
  <w:footnote w:id="13">
    <w:p w14:paraId="437E9320" w14:textId="3AEAE70D" w:rsidR="00370BD5" w:rsidRPr="00041869" w:rsidRDefault="00370BD5" w:rsidP="00370BD5">
      <w:pPr>
        <w:pStyle w:val="FootnoteText"/>
        <w:spacing w:before="20" w:after="40" w:line="240" w:lineRule="auto"/>
        <w:ind w:left="1247"/>
        <w:jc w:val="left"/>
        <w:rPr>
          <w:rFonts w:ascii="Times New Roman" w:hAnsi="Times New Roman"/>
          <w:sz w:val="18"/>
          <w:szCs w:val="18"/>
        </w:rPr>
      </w:pPr>
      <w:r w:rsidRPr="00041869">
        <w:rPr>
          <w:rStyle w:val="FootnoteReference"/>
          <w:rFonts w:ascii="Times New Roman" w:hAnsi="Times New Roman"/>
          <w:sz w:val="18"/>
          <w:szCs w:val="18"/>
        </w:rPr>
        <w:footnoteRef/>
      </w:r>
      <w:r w:rsidRPr="00041869">
        <w:rPr>
          <w:rFonts w:ascii="Times New Roman" w:hAnsi="Times New Roman"/>
          <w:sz w:val="18"/>
          <w:szCs w:val="18"/>
        </w:rPr>
        <w:t xml:space="preserve"> See register of acceptable purposes available at </w:t>
      </w:r>
      <w:hyperlink r:id="rId1" w:history="1">
        <w:r w:rsidRPr="00041869">
          <w:rPr>
            <w:rStyle w:val="Hyperlink"/>
            <w:rFonts w:ascii="Times New Roman" w:hAnsi="Times New Roman"/>
            <w:sz w:val="18"/>
            <w:szCs w:val="18"/>
          </w:rPr>
          <w:t>http://chm.pops.int/Implementation/Exemptions/AcceptablePurposes/AcceptablePurposesPFOSandPFOSF/tabid/794/Default.aspx</w:t>
        </w:r>
      </w:hyperlink>
      <w:r>
        <w:rPr>
          <w:rStyle w:val="Hyperlink"/>
          <w:rFonts w:ascii="Times New Roman" w:hAnsi="Times New Roman"/>
          <w:sz w:val="18"/>
          <w:szCs w:val="18"/>
        </w:rPr>
        <w:t>.</w:t>
      </w:r>
      <w:r w:rsidRPr="00041869">
        <w:rPr>
          <w:rFonts w:ascii="Times New Roman" w:hAnsi="Times New Roman"/>
          <w:sz w:val="18"/>
          <w:szCs w:val="18"/>
        </w:rPr>
        <w:t xml:space="preserve"> </w:t>
      </w:r>
    </w:p>
  </w:footnote>
  <w:footnote w:id="14">
    <w:p w14:paraId="18404920" w14:textId="3202C1B5" w:rsidR="00370BD5" w:rsidRPr="00370BD5" w:rsidRDefault="00370BD5" w:rsidP="00370BD5">
      <w:pPr>
        <w:pStyle w:val="FootnoteText"/>
        <w:snapToGrid w:val="0"/>
        <w:spacing w:before="20" w:after="40" w:line="240" w:lineRule="auto"/>
        <w:ind w:left="1247"/>
        <w:rPr>
          <w:rFonts w:asciiTheme="majorBidi" w:hAnsiTheme="majorBidi"/>
          <w:sz w:val="18"/>
        </w:rPr>
      </w:pPr>
      <w:r w:rsidRPr="00370BD5">
        <w:rPr>
          <w:rStyle w:val="FootnoteReference"/>
          <w:rFonts w:asciiTheme="majorBidi" w:hAnsiTheme="majorBidi"/>
          <w:sz w:val="18"/>
        </w:rPr>
        <w:footnoteRef/>
      </w:r>
      <w:r w:rsidRPr="00370BD5">
        <w:rPr>
          <w:rFonts w:asciiTheme="majorBidi" w:hAnsiTheme="majorBidi"/>
          <w:sz w:val="18"/>
        </w:rPr>
        <w:t xml:space="preserve"> </w:t>
      </w:r>
      <w:r w:rsidRPr="00370BD5">
        <w:rPr>
          <w:rStyle w:val="Hyperlink"/>
          <w:rFonts w:asciiTheme="majorBidi" w:hAnsiTheme="majorBidi"/>
          <w:color w:val="auto"/>
          <w:sz w:val="18"/>
          <w:u w:val="none"/>
        </w:rPr>
        <w:t>Luo, Y.R 2007 Comprehensive Handbook of Chemical Bond Energies, CRC Press, Boca Raton, FL, USA.</w:t>
      </w:r>
    </w:p>
  </w:footnote>
  <w:footnote w:id="15">
    <w:p w14:paraId="74EF92C7" w14:textId="4674FDA6" w:rsidR="00370BD5" w:rsidRPr="00370BD5" w:rsidRDefault="00370BD5" w:rsidP="00370BD5">
      <w:pPr>
        <w:pStyle w:val="FootnoteText"/>
        <w:snapToGrid w:val="0"/>
        <w:spacing w:before="20" w:after="40" w:line="240" w:lineRule="auto"/>
        <w:ind w:left="1247"/>
        <w:rPr>
          <w:rStyle w:val="Hyperlink"/>
          <w:rFonts w:asciiTheme="majorBidi" w:hAnsiTheme="majorBidi"/>
          <w:color w:val="auto"/>
          <w:sz w:val="18"/>
        </w:rPr>
      </w:pPr>
      <w:r w:rsidRPr="00370BD5">
        <w:rPr>
          <w:rStyle w:val="FootnoteReference"/>
          <w:rFonts w:asciiTheme="majorBidi" w:hAnsiTheme="majorBidi"/>
          <w:sz w:val="18"/>
        </w:rPr>
        <w:footnoteRef/>
      </w:r>
      <w:r w:rsidRPr="00370BD5">
        <w:rPr>
          <w:rFonts w:asciiTheme="majorBidi" w:hAnsiTheme="majorBidi"/>
          <w:sz w:val="18"/>
        </w:rPr>
        <w:t xml:space="preserve"> </w:t>
      </w:r>
      <w:r w:rsidRPr="00370BD5">
        <w:rPr>
          <w:rStyle w:val="Hyperlink"/>
          <w:rFonts w:asciiTheme="majorBidi" w:hAnsiTheme="majorBidi"/>
          <w:color w:val="auto"/>
          <w:sz w:val="18"/>
          <w:u w:val="none"/>
        </w:rPr>
        <w:t xml:space="preserve">Chen, L., </w:t>
      </w:r>
      <w:proofErr w:type="spellStart"/>
      <w:r w:rsidRPr="00370BD5">
        <w:rPr>
          <w:rStyle w:val="Hyperlink"/>
          <w:rFonts w:asciiTheme="majorBidi" w:hAnsiTheme="majorBidi"/>
          <w:color w:val="auto"/>
          <w:sz w:val="18"/>
          <w:u w:val="none"/>
        </w:rPr>
        <w:t>Uchimaru</w:t>
      </w:r>
      <w:proofErr w:type="spellEnd"/>
      <w:r w:rsidRPr="00370BD5">
        <w:rPr>
          <w:rStyle w:val="Hyperlink"/>
          <w:rFonts w:asciiTheme="majorBidi" w:hAnsiTheme="majorBidi"/>
          <w:color w:val="auto"/>
          <w:sz w:val="18"/>
          <w:u w:val="none"/>
        </w:rPr>
        <w:t xml:space="preserve">, T., </w:t>
      </w:r>
      <w:proofErr w:type="spellStart"/>
      <w:r w:rsidRPr="00370BD5">
        <w:rPr>
          <w:rStyle w:val="Hyperlink"/>
          <w:rFonts w:asciiTheme="majorBidi" w:hAnsiTheme="majorBidi"/>
          <w:color w:val="auto"/>
          <w:sz w:val="18"/>
          <w:u w:val="none"/>
        </w:rPr>
        <w:t>Kutsuna</w:t>
      </w:r>
      <w:proofErr w:type="spellEnd"/>
      <w:r w:rsidRPr="00370BD5">
        <w:rPr>
          <w:rStyle w:val="Hyperlink"/>
          <w:rFonts w:asciiTheme="majorBidi" w:hAnsiTheme="majorBidi"/>
          <w:color w:val="auto"/>
          <w:sz w:val="18"/>
          <w:u w:val="none"/>
        </w:rPr>
        <w:t xml:space="preserve">, S., </w:t>
      </w:r>
      <w:proofErr w:type="spellStart"/>
      <w:r w:rsidRPr="00370BD5">
        <w:rPr>
          <w:rStyle w:val="Hyperlink"/>
          <w:rFonts w:asciiTheme="majorBidi" w:hAnsiTheme="majorBidi"/>
          <w:color w:val="auto"/>
          <w:sz w:val="18"/>
          <w:u w:val="none"/>
        </w:rPr>
        <w:t>Tokuhashi</w:t>
      </w:r>
      <w:proofErr w:type="spellEnd"/>
      <w:r w:rsidRPr="00370BD5">
        <w:rPr>
          <w:rStyle w:val="Hyperlink"/>
          <w:rFonts w:asciiTheme="majorBidi" w:hAnsiTheme="majorBidi"/>
          <w:color w:val="auto"/>
          <w:sz w:val="18"/>
          <w:u w:val="none"/>
        </w:rPr>
        <w:t>, K., Sekiya, A. and Okamoto, H. (2011). Kinetics and mechanism of gas-phase reaction of CF3CF2CF2CF2CF2CF2CF2CF2H with OH radicals in an environmental reaction chamber at 253–328K. Chemical Physics Letters, 501(4-6), pp.263-266.</w:t>
      </w:r>
    </w:p>
  </w:footnote>
  <w:footnote w:id="16">
    <w:p w14:paraId="11CA4254" w14:textId="0A6A95BC" w:rsidR="00370BD5" w:rsidRPr="00370BD5" w:rsidRDefault="00370BD5" w:rsidP="00370BD5">
      <w:pPr>
        <w:pStyle w:val="FootnoteText"/>
        <w:snapToGrid w:val="0"/>
        <w:spacing w:before="20" w:after="40" w:line="240" w:lineRule="auto"/>
        <w:ind w:left="1247"/>
        <w:jc w:val="left"/>
        <w:rPr>
          <w:rFonts w:ascii="Times New Roman" w:hAnsi="Times New Roman"/>
          <w:sz w:val="18"/>
          <w:szCs w:val="18"/>
        </w:rPr>
      </w:pPr>
      <w:r w:rsidRPr="00370BD5">
        <w:rPr>
          <w:rStyle w:val="FootnoteReference"/>
          <w:rFonts w:ascii="Times New Roman" w:hAnsi="Times New Roman"/>
          <w:sz w:val="18"/>
          <w:szCs w:val="18"/>
        </w:rPr>
        <w:footnoteRef/>
      </w:r>
      <w:r w:rsidRPr="00370BD5">
        <w:rPr>
          <w:rFonts w:ascii="Times New Roman" w:hAnsi="Times New Roman"/>
          <w:sz w:val="18"/>
          <w:szCs w:val="18"/>
        </w:rPr>
        <w:t xml:space="preserve"> www.harlingen.nl/recloket </w:t>
      </w:r>
      <w:r w:rsidRPr="00370BD5">
        <w:rPr>
          <w:rStyle w:val="FootnoteReference"/>
          <w:rFonts w:ascii="Times New Roman" w:hAnsi="Times New Roman"/>
          <w:sz w:val="18"/>
          <w:szCs w:val="18"/>
          <w:vertAlign w:val="baseline"/>
        </w:rPr>
        <w:t>and</w:t>
      </w:r>
      <w:r w:rsidRPr="00370BD5">
        <w:rPr>
          <w:rFonts w:ascii="Times New Roman" w:hAnsi="Times New Roman"/>
          <w:sz w:val="18"/>
          <w:szCs w:val="18"/>
        </w:rPr>
        <w:t xml:space="preserve"> https://www.harlingen.nl/recloket/monitoring-in-de-schoorsteen_42638//.</w:t>
      </w:r>
    </w:p>
  </w:footnote>
  <w:footnote w:id="17">
    <w:p w14:paraId="4B066696" w14:textId="2ECE1CE3" w:rsidR="00370BD5" w:rsidRPr="00370BD5" w:rsidRDefault="00370BD5" w:rsidP="00370BD5">
      <w:pPr>
        <w:pStyle w:val="FootnoteText"/>
        <w:snapToGrid w:val="0"/>
        <w:spacing w:before="20" w:after="40" w:line="240" w:lineRule="auto"/>
        <w:ind w:left="1247"/>
        <w:jc w:val="left"/>
        <w:rPr>
          <w:rStyle w:val="FootnoteReference"/>
          <w:rFonts w:ascii="Times New Roman" w:eastAsia="Calibri" w:hAnsi="Times New Roman"/>
          <w:snapToGrid/>
          <w:sz w:val="18"/>
          <w:szCs w:val="18"/>
        </w:rPr>
      </w:pPr>
      <w:r w:rsidRPr="00370BD5">
        <w:rPr>
          <w:rStyle w:val="FootnoteReference"/>
          <w:rFonts w:ascii="Times New Roman" w:hAnsi="Times New Roman"/>
          <w:sz w:val="18"/>
          <w:szCs w:val="18"/>
        </w:rPr>
        <w:footnoteRef/>
      </w:r>
      <w:r w:rsidRPr="00370BD5">
        <w:rPr>
          <w:rStyle w:val="FootnoteReference"/>
          <w:rFonts w:ascii="Times New Roman" w:hAnsi="Times New Roman"/>
          <w:sz w:val="18"/>
          <w:szCs w:val="18"/>
        </w:rPr>
        <w:t xml:space="preserve"> </w:t>
      </w:r>
      <w:r w:rsidRPr="00370BD5">
        <w:rPr>
          <w:rFonts w:ascii="Times New Roman" w:hAnsi="Times New Roman"/>
          <w:sz w:val="18"/>
          <w:szCs w:val="18"/>
        </w:rPr>
        <w:t xml:space="preserve">Ellis et al. (2001): Ellis, D.A., et al.: </w:t>
      </w:r>
      <w:proofErr w:type="spellStart"/>
      <w:r w:rsidRPr="00370BD5">
        <w:rPr>
          <w:rFonts w:ascii="Times New Roman" w:hAnsi="Times New Roman"/>
          <w:sz w:val="18"/>
          <w:szCs w:val="18"/>
        </w:rPr>
        <w:t>Thermolysis</w:t>
      </w:r>
      <w:proofErr w:type="spellEnd"/>
      <w:r w:rsidRPr="00370BD5">
        <w:rPr>
          <w:rFonts w:ascii="Times New Roman" w:hAnsi="Times New Roman"/>
          <w:sz w:val="18"/>
          <w:szCs w:val="18"/>
        </w:rPr>
        <w:t xml:space="preserve"> of fluoropolymers as a potential source of halogenated organic acids in the environment. “Nature Vol. 142, 19 July 2001, www.nature.com (2001)).</w:t>
      </w:r>
      <w:r w:rsidRPr="00370BD5">
        <w:rPr>
          <w:rStyle w:val="FootnoteReference"/>
          <w:rFonts w:ascii="Times New Roman" w:hAnsi="Times New Roman"/>
          <w:sz w:val="18"/>
          <w:szCs w:val="18"/>
        </w:rPr>
        <w:t xml:space="preserve"> </w:t>
      </w:r>
    </w:p>
  </w:footnote>
  <w:footnote w:id="18">
    <w:p w14:paraId="3D6CB130" w14:textId="211704FC" w:rsidR="00370BD5" w:rsidRPr="00370BD5" w:rsidRDefault="00370BD5" w:rsidP="00370BD5">
      <w:pPr>
        <w:pStyle w:val="FootnoteText"/>
        <w:snapToGrid w:val="0"/>
        <w:spacing w:before="20" w:after="40" w:line="240" w:lineRule="auto"/>
        <w:ind w:left="1247"/>
        <w:jc w:val="left"/>
        <w:rPr>
          <w:rFonts w:ascii="Times New Roman" w:hAnsi="Times New Roman"/>
          <w:sz w:val="18"/>
          <w:szCs w:val="18"/>
        </w:rPr>
      </w:pPr>
      <w:r w:rsidRPr="00370BD5">
        <w:rPr>
          <w:rStyle w:val="FootnoteReference"/>
          <w:rFonts w:ascii="Times New Roman" w:hAnsi="Times New Roman"/>
          <w:sz w:val="18"/>
          <w:szCs w:val="18"/>
        </w:rPr>
        <w:footnoteRef/>
      </w:r>
      <w:r w:rsidRPr="00370BD5">
        <w:rPr>
          <w:rFonts w:ascii="Times New Roman" w:hAnsi="Times New Roman"/>
          <w:sz w:val="18"/>
          <w:szCs w:val="18"/>
        </w:rPr>
        <w:t xml:space="preserve"> </w:t>
      </w:r>
      <w:hyperlink r:id="rId2" w:history="1">
        <w:r w:rsidRPr="00370BD5">
          <w:rPr>
            <w:rFonts w:ascii="Times New Roman" w:hAnsi="Times New Roman"/>
            <w:sz w:val="18"/>
            <w:szCs w:val="18"/>
          </w:rPr>
          <w:t>http://www.europarl.europa.eu/RegData/etudes/etudes/join/2008/393524/IPOL-ENVI_ET(2008)393524_EN.pdf</w:t>
        </w:r>
      </w:hyperlink>
      <w:r w:rsidRPr="00370BD5">
        <w:rPr>
          <w:rFonts w:ascii="Times New Roman" w:hAnsi="Times New Roman"/>
          <w:sz w:val="18"/>
          <w:szCs w:val="18"/>
        </w:rPr>
        <w:t>.</w:t>
      </w:r>
    </w:p>
  </w:footnote>
  <w:footnote w:id="19">
    <w:p w14:paraId="0DD646BF" w14:textId="50542259" w:rsidR="00370BD5" w:rsidRPr="00370BD5" w:rsidRDefault="00370BD5" w:rsidP="00370BD5">
      <w:pPr>
        <w:pStyle w:val="FootnoteText"/>
        <w:snapToGrid w:val="0"/>
        <w:spacing w:before="20" w:after="40" w:line="240" w:lineRule="auto"/>
        <w:ind w:left="1247"/>
        <w:rPr>
          <w:rFonts w:ascii="Times New Roman" w:hAnsi="Times New Roman"/>
          <w:sz w:val="18"/>
          <w:szCs w:val="18"/>
        </w:rPr>
      </w:pPr>
      <w:r w:rsidRPr="00370BD5">
        <w:rPr>
          <w:rStyle w:val="FootnoteReference"/>
          <w:rFonts w:ascii="Times New Roman" w:hAnsi="Times New Roman"/>
          <w:sz w:val="18"/>
          <w:szCs w:val="18"/>
        </w:rPr>
        <w:footnoteRef/>
      </w:r>
      <w:r w:rsidRPr="00370BD5">
        <w:rPr>
          <w:rFonts w:ascii="Times New Roman" w:hAnsi="Times New Roman"/>
          <w:sz w:val="18"/>
          <w:szCs w:val="18"/>
        </w:rPr>
        <w:t xml:space="preserve"> </w:t>
      </w:r>
      <w:hyperlink r:id="rId3" w:history="1">
        <w:r w:rsidRPr="00370BD5">
          <w:rPr>
            <w:rFonts w:ascii="Times New Roman" w:hAnsi="Times New Roman"/>
            <w:sz w:val="18"/>
            <w:szCs w:val="18"/>
          </w:rPr>
          <w:t>http://www.world-aluminium.org/statistics/perfluorocarbon-pfc-emissions/</w:t>
        </w:r>
      </w:hyperlink>
      <w:r w:rsidRPr="00370BD5">
        <w:rPr>
          <w:rFonts w:ascii="Times New Roman" w:hAnsi="Times New Roman"/>
          <w:sz w:val="18"/>
          <w:szCs w:val="18"/>
        </w:rPr>
        <w:t xml:space="preserve">. </w:t>
      </w:r>
    </w:p>
  </w:footnote>
  <w:footnote w:id="20">
    <w:p w14:paraId="2DD1FF69" w14:textId="030688DB" w:rsidR="00370BD5" w:rsidRPr="00431839" w:rsidRDefault="00370BD5" w:rsidP="00370BD5">
      <w:pPr>
        <w:pStyle w:val="FootnoteText"/>
        <w:spacing w:before="20" w:after="40" w:line="240" w:lineRule="auto"/>
        <w:ind w:left="1247"/>
        <w:jc w:val="left"/>
        <w:rPr>
          <w:rFonts w:ascii="Times New Roman" w:hAnsi="Times New Roman"/>
          <w:sz w:val="18"/>
          <w:szCs w:val="18"/>
        </w:rPr>
      </w:pPr>
      <w:r w:rsidRPr="00431839">
        <w:rPr>
          <w:rStyle w:val="FootnoteReference"/>
          <w:rFonts w:ascii="Times New Roman" w:hAnsi="Times New Roman"/>
          <w:sz w:val="18"/>
          <w:szCs w:val="18"/>
        </w:rPr>
        <w:footnoteRef/>
      </w:r>
      <w:r w:rsidRPr="00431839">
        <w:rPr>
          <w:rFonts w:ascii="Times New Roman" w:hAnsi="Times New Roman"/>
          <w:sz w:val="18"/>
          <w:szCs w:val="18"/>
        </w:rPr>
        <w:t xml:space="preserve"> </w:t>
      </w:r>
      <w:proofErr w:type="gramStart"/>
      <w:r w:rsidRPr="00431839">
        <w:rPr>
          <w:rFonts w:ascii="Times New Roman" w:hAnsi="Times New Roman"/>
          <w:sz w:val="18"/>
          <w:szCs w:val="18"/>
        </w:rPr>
        <w:t>A number of</w:t>
      </w:r>
      <w:proofErr w:type="gramEnd"/>
      <w:r w:rsidRPr="00431839">
        <w:rPr>
          <w:rFonts w:ascii="Times New Roman" w:hAnsi="Times New Roman"/>
          <w:sz w:val="18"/>
          <w:szCs w:val="18"/>
        </w:rPr>
        <w:t xml:space="preserve"> the uses covered have applications in healthcare. The RME disaggregates healthcare uses based on different applications, for example membranes covers all uses of PFOA within membranes, some of which will include medical applications. To maintain this distinction uses relating to healthcare can be found under the following headings by application, section 4.2 for membranes, section 4.6 for photo-imaging, section 4.5 for implantable medical devices and section 4.4 for all other medical devices.</w:t>
      </w:r>
    </w:p>
  </w:footnote>
  <w:footnote w:id="21">
    <w:p w14:paraId="21949267" w14:textId="77777777" w:rsidR="00370BD5" w:rsidRPr="00370BD5" w:rsidRDefault="00370BD5" w:rsidP="00370BD5">
      <w:pPr>
        <w:pStyle w:val="FootnoteText"/>
        <w:tabs>
          <w:tab w:val="left" w:pos="270"/>
        </w:tabs>
        <w:snapToGrid w:val="0"/>
        <w:spacing w:before="20" w:after="40" w:line="240" w:lineRule="auto"/>
        <w:ind w:left="1247"/>
        <w:jc w:val="left"/>
        <w:rPr>
          <w:rFonts w:ascii="Times New Roman" w:eastAsiaTheme="minorEastAsia" w:hAnsi="Times New Roman"/>
          <w:sz w:val="18"/>
          <w:szCs w:val="18"/>
          <w:lang w:eastAsia="ko-KR"/>
        </w:rPr>
      </w:pPr>
      <w:r w:rsidRPr="00370BD5">
        <w:rPr>
          <w:rStyle w:val="FootnoteReference"/>
          <w:rFonts w:ascii="Times New Roman" w:hAnsi="Times New Roman"/>
          <w:sz w:val="18"/>
          <w:szCs w:val="18"/>
        </w:rPr>
        <w:footnoteRef/>
      </w:r>
      <w:r w:rsidRPr="00370BD5">
        <w:rPr>
          <w:rFonts w:ascii="Times New Roman" w:hAnsi="Times New Roman"/>
          <w:sz w:val="18"/>
          <w:szCs w:val="18"/>
        </w:rPr>
        <w:t xml:space="preserve"> </w:t>
      </w:r>
      <w:hyperlink r:id="rId4" w:history="1">
        <w:r w:rsidRPr="00370BD5">
          <w:rPr>
            <w:rStyle w:val="Hyperlink"/>
            <w:rFonts w:ascii="Times New Roman" w:hAnsi="Times New Roman"/>
            <w:sz w:val="18"/>
            <w:szCs w:val="18"/>
          </w:rPr>
          <w:t>http://multimedia.3m.com/mws/mediawebserver?mwsId=SSSSSu9n_zu8l00xm8mBl8t94v70k17zHvu9lxtD7xt1evSSSSSS-</w:t>
        </w:r>
      </w:hyperlink>
      <w:r w:rsidRPr="00370BD5">
        <w:rPr>
          <w:rFonts w:ascii="Times New Roman" w:hAnsi="Times New Roman"/>
          <w:sz w:val="18"/>
          <w:szCs w:val="18"/>
        </w:rPr>
        <w:t xml:space="preserve"> </w:t>
      </w:r>
    </w:p>
  </w:footnote>
  <w:footnote w:id="22">
    <w:p w14:paraId="5BC14ACA" w14:textId="26669C47" w:rsidR="00370BD5" w:rsidRPr="00370BD5" w:rsidRDefault="00370BD5" w:rsidP="00370BD5">
      <w:pPr>
        <w:pStyle w:val="FootnoteText"/>
        <w:tabs>
          <w:tab w:val="left" w:pos="270"/>
        </w:tabs>
        <w:snapToGrid w:val="0"/>
        <w:spacing w:before="20" w:after="40" w:line="240" w:lineRule="auto"/>
        <w:ind w:left="1247"/>
        <w:jc w:val="left"/>
        <w:rPr>
          <w:rFonts w:ascii="Times New Roman" w:eastAsiaTheme="minorEastAsia" w:hAnsi="Times New Roman"/>
          <w:sz w:val="18"/>
          <w:szCs w:val="18"/>
          <w:lang w:eastAsia="ko-KR"/>
        </w:rPr>
      </w:pPr>
      <w:r w:rsidRPr="00370BD5">
        <w:rPr>
          <w:rStyle w:val="FootnoteReference"/>
          <w:rFonts w:ascii="Times New Roman" w:hAnsi="Times New Roman"/>
          <w:sz w:val="18"/>
          <w:szCs w:val="18"/>
        </w:rPr>
        <w:footnoteRef/>
      </w:r>
      <w:r w:rsidRPr="00370BD5">
        <w:rPr>
          <w:rFonts w:ascii="Times New Roman" w:hAnsi="Times New Roman"/>
          <w:sz w:val="18"/>
          <w:szCs w:val="18"/>
        </w:rPr>
        <w:t xml:space="preserve"> </w:t>
      </w:r>
      <w:hyperlink r:id="rId5" w:history="1">
        <w:r w:rsidRPr="00370BD5">
          <w:rPr>
            <w:rStyle w:val="Hyperlink"/>
            <w:rFonts w:ascii="Times New Roman" w:hAnsi="Times New Roman"/>
            <w:sz w:val="18"/>
            <w:szCs w:val="18"/>
          </w:rPr>
          <w:t>https://www.daikinchem.de/products-and-performance/water-oil-repellency</w:t>
        </w:r>
      </w:hyperlink>
      <w:r w:rsidRPr="00370BD5">
        <w:rPr>
          <w:rStyle w:val="Hyperlink"/>
          <w:rFonts w:ascii="Times New Roman" w:hAnsi="Times New Roman"/>
          <w:sz w:val="18"/>
          <w:szCs w:val="18"/>
        </w:rPr>
        <w:t>.</w:t>
      </w:r>
      <w:r w:rsidRPr="00370BD5">
        <w:rPr>
          <w:rFonts w:ascii="Times New Roman" w:hAnsi="Times New Roman"/>
          <w:sz w:val="18"/>
          <w:szCs w:val="18"/>
        </w:rPr>
        <w:t xml:space="preserve"> </w:t>
      </w:r>
    </w:p>
  </w:footnote>
  <w:footnote w:id="23">
    <w:p w14:paraId="215F0B44" w14:textId="48F8D73C" w:rsidR="00370BD5" w:rsidRPr="00370BD5" w:rsidRDefault="00370BD5" w:rsidP="00370BD5">
      <w:pPr>
        <w:pStyle w:val="FootnoteText"/>
        <w:tabs>
          <w:tab w:val="left" w:pos="270"/>
        </w:tabs>
        <w:snapToGrid w:val="0"/>
        <w:spacing w:before="20" w:after="40" w:line="240" w:lineRule="auto"/>
        <w:ind w:left="1247"/>
        <w:jc w:val="left"/>
        <w:rPr>
          <w:rFonts w:ascii="Times New Roman" w:eastAsiaTheme="minorEastAsia" w:hAnsi="Times New Roman"/>
          <w:sz w:val="18"/>
          <w:szCs w:val="18"/>
          <w:lang w:eastAsia="ko-KR"/>
        </w:rPr>
      </w:pPr>
      <w:r w:rsidRPr="00370BD5">
        <w:rPr>
          <w:rStyle w:val="FootnoteReference"/>
          <w:rFonts w:ascii="Times New Roman" w:hAnsi="Times New Roman"/>
          <w:sz w:val="18"/>
          <w:szCs w:val="18"/>
        </w:rPr>
        <w:footnoteRef/>
      </w:r>
      <w:r w:rsidRPr="00370BD5">
        <w:rPr>
          <w:rFonts w:ascii="Times New Roman" w:hAnsi="Times New Roman"/>
          <w:sz w:val="18"/>
          <w:szCs w:val="18"/>
        </w:rPr>
        <w:t xml:space="preserve"> </w:t>
      </w:r>
      <w:hyperlink r:id="rId6" w:history="1">
        <w:r w:rsidRPr="00370BD5">
          <w:rPr>
            <w:rStyle w:val="Hyperlink"/>
            <w:rFonts w:ascii="Times New Roman" w:hAnsi="Times New Roman"/>
            <w:sz w:val="18"/>
            <w:szCs w:val="18"/>
          </w:rPr>
          <w:t>https://products.halyardhealth.com/surgical-solutions/surgical-gowns/breathable-high-performance-gowns/halyard-microcool-breathable-high-performance-surgical-gown-with-secure-fit-technology.html</w:t>
        </w:r>
      </w:hyperlink>
      <w:r w:rsidRPr="00370BD5">
        <w:rPr>
          <w:rFonts w:ascii="Times New Roman" w:hAnsi="Times New Roman"/>
          <w:sz w:val="18"/>
          <w:szCs w:val="18"/>
        </w:rPr>
        <w:t xml:space="preserve"> .</w:t>
      </w:r>
    </w:p>
  </w:footnote>
  <w:footnote w:id="24">
    <w:p w14:paraId="563FE80C" w14:textId="7D2DAC15" w:rsidR="00370BD5" w:rsidRPr="00370BD5" w:rsidRDefault="00370BD5" w:rsidP="00370BD5">
      <w:pPr>
        <w:pStyle w:val="FootnoteText"/>
        <w:tabs>
          <w:tab w:val="left" w:pos="270"/>
        </w:tabs>
        <w:snapToGrid w:val="0"/>
        <w:spacing w:before="20" w:after="40" w:line="240" w:lineRule="auto"/>
        <w:ind w:left="1247"/>
        <w:jc w:val="left"/>
        <w:rPr>
          <w:rFonts w:ascii="Times New Roman" w:eastAsiaTheme="minorEastAsia" w:hAnsi="Times New Roman"/>
          <w:sz w:val="18"/>
          <w:szCs w:val="18"/>
          <w:lang w:eastAsia="ko-KR"/>
        </w:rPr>
      </w:pPr>
      <w:r w:rsidRPr="00370BD5">
        <w:rPr>
          <w:rStyle w:val="FootnoteReference"/>
          <w:rFonts w:ascii="Times New Roman" w:hAnsi="Times New Roman"/>
          <w:sz w:val="18"/>
          <w:szCs w:val="18"/>
        </w:rPr>
        <w:footnoteRef/>
      </w:r>
      <w:r w:rsidRPr="00370BD5">
        <w:rPr>
          <w:rFonts w:ascii="Times New Roman" w:hAnsi="Times New Roman"/>
          <w:sz w:val="18"/>
          <w:szCs w:val="18"/>
        </w:rPr>
        <w:t xml:space="preserve"> </w:t>
      </w:r>
      <w:hyperlink r:id="rId7" w:history="1">
        <w:r w:rsidRPr="00370BD5">
          <w:rPr>
            <w:rStyle w:val="Hyperlink"/>
            <w:rFonts w:ascii="Times New Roman" w:hAnsi="Times New Roman"/>
            <w:sz w:val="18"/>
            <w:szCs w:val="18"/>
          </w:rPr>
          <w:t>https://www.agcchem.com/news/2016/june-1-2016-asahiguard-ag-e600-repellent-provides-sustainable-solution-for-nonwoven-medical-textiles</w:t>
        </w:r>
      </w:hyperlink>
      <w:r w:rsidRPr="00370BD5">
        <w:rPr>
          <w:rStyle w:val="Hyperlink"/>
          <w:rFonts w:ascii="Times New Roman" w:hAnsi="Times New Roman"/>
          <w:sz w:val="18"/>
          <w:szCs w:val="18"/>
        </w:rPr>
        <w:t>.</w:t>
      </w:r>
      <w:r w:rsidRPr="00370BD5">
        <w:rPr>
          <w:rFonts w:ascii="Times New Roman" w:hAnsi="Times New Roman"/>
          <w:sz w:val="18"/>
          <w:szCs w:val="18"/>
        </w:rPr>
        <w:t xml:space="preserve"> </w:t>
      </w:r>
    </w:p>
  </w:footnote>
  <w:footnote w:id="25">
    <w:p w14:paraId="6CB604F9" w14:textId="77777777" w:rsidR="00370BD5" w:rsidRPr="00370BD5" w:rsidRDefault="00370BD5" w:rsidP="00370BD5">
      <w:pPr>
        <w:pStyle w:val="FootnoteText"/>
        <w:tabs>
          <w:tab w:val="left" w:pos="180"/>
        </w:tabs>
        <w:snapToGrid w:val="0"/>
        <w:spacing w:before="20" w:after="40" w:line="240" w:lineRule="auto"/>
        <w:ind w:left="1247"/>
        <w:jc w:val="left"/>
        <w:rPr>
          <w:rFonts w:ascii="Times New Roman" w:hAnsi="Times New Roman"/>
          <w:sz w:val="18"/>
          <w:szCs w:val="18"/>
        </w:rPr>
      </w:pPr>
      <w:r w:rsidRPr="00370BD5">
        <w:rPr>
          <w:rStyle w:val="FootnoteReference"/>
          <w:rFonts w:ascii="Times New Roman" w:hAnsi="Times New Roman"/>
          <w:sz w:val="18"/>
          <w:szCs w:val="18"/>
        </w:rPr>
        <w:footnoteRef/>
      </w:r>
      <w:r w:rsidRPr="00370BD5">
        <w:rPr>
          <w:rFonts w:ascii="Times New Roman" w:hAnsi="Times New Roman"/>
          <w:sz w:val="18"/>
          <w:szCs w:val="18"/>
        </w:rPr>
        <w:t xml:space="preserve"> </w:t>
      </w:r>
      <w:hyperlink r:id="rId8" w:history="1">
        <w:r w:rsidRPr="00370BD5">
          <w:rPr>
            <w:rStyle w:val="Hyperlink"/>
            <w:rFonts w:ascii="Times New Roman" w:hAnsi="Times New Roman"/>
            <w:sz w:val="18"/>
            <w:szCs w:val="18"/>
          </w:rPr>
          <w:t>http://synderfiltration.com/</w:t>
        </w:r>
      </w:hyperlink>
      <w:r w:rsidRPr="00370BD5">
        <w:rPr>
          <w:rFonts w:ascii="Times New Roman" w:hAnsi="Times New Roman"/>
          <w:sz w:val="18"/>
          <w:szCs w:val="18"/>
        </w:rPr>
        <w:t xml:space="preserve"> and personal communication with Kevin Donohue, Global Sales Manager, </w:t>
      </w:r>
      <w:proofErr w:type="spellStart"/>
      <w:r w:rsidRPr="00370BD5">
        <w:rPr>
          <w:rFonts w:ascii="Times New Roman" w:hAnsi="Times New Roman"/>
          <w:sz w:val="18"/>
          <w:szCs w:val="18"/>
        </w:rPr>
        <w:t>Syndar</w:t>
      </w:r>
      <w:proofErr w:type="spellEnd"/>
      <w:r w:rsidRPr="00370BD5">
        <w:rPr>
          <w:rFonts w:ascii="Times New Roman" w:hAnsi="Times New Roman"/>
          <w:sz w:val="18"/>
          <w:szCs w:val="18"/>
        </w:rPr>
        <w:t xml:space="preserve"> Filtration 9 January 2017.</w:t>
      </w:r>
    </w:p>
  </w:footnote>
  <w:footnote w:id="26">
    <w:p w14:paraId="0C1B3E40" w14:textId="77777777" w:rsidR="00370BD5" w:rsidRPr="00370BD5" w:rsidRDefault="00370BD5" w:rsidP="00370BD5">
      <w:pPr>
        <w:pStyle w:val="FootnoteText"/>
        <w:tabs>
          <w:tab w:val="left" w:pos="180"/>
        </w:tabs>
        <w:snapToGrid w:val="0"/>
        <w:spacing w:before="20" w:after="40" w:line="240" w:lineRule="auto"/>
        <w:ind w:left="1247"/>
        <w:rPr>
          <w:rFonts w:ascii="Times New Roman" w:hAnsi="Times New Roman"/>
          <w:sz w:val="18"/>
          <w:szCs w:val="18"/>
          <w:lang w:val="fr-FR"/>
        </w:rPr>
      </w:pPr>
      <w:r w:rsidRPr="00370BD5">
        <w:rPr>
          <w:rStyle w:val="FootnoteReference"/>
          <w:rFonts w:ascii="Times New Roman" w:hAnsi="Times New Roman"/>
          <w:sz w:val="18"/>
          <w:szCs w:val="18"/>
        </w:rPr>
        <w:footnoteRef/>
      </w:r>
      <w:r w:rsidRPr="00370BD5">
        <w:rPr>
          <w:rFonts w:ascii="Times New Roman" w:hAnsi="Times New Roman"/>
          <w:sz w:val="18"/>
          <w:szCs w:val="18"/>
          <w:lang w:val="nl-NL"/>
        </w:rPr>
        <w:t xml:space="preserve"> </w:t>
      </w:r>
      <w:r w:rsidRPr="00370BD5">
        <w:rPr>
          <w:rFonts w:ascii="Times New Roman" w:hAnsi="Times New Roman"/>
          <w:sz w:val="18"/>
          <w:szCs w:val="18"/>
          <w:lang w:val="nl-NL"/>
        </w:rPr>
        <w:t xml:space="preserve">Wong, T-S et al. 2011. </w:t>
      </w:r>
      <w:r w:rsidRPr="00370BD5">
        <w:rPr>
          <w:rFonts w:ascii="Times New Roman" w:hAnsi="Times New Roman"/>
          <w:sz w:val="18"/>
          <w:szCs w:val="18"/>
        </w:rPr>
        <w:t xml:space="preserve">Bioinspired self-repairing slippery surfaces with pressure-stable </w:t>
      </w:r>
      <w:proofErr w:type="spellStart"/>
      <w:r w:rsidRPr="00370BD5">
        <w:rPr>
          <w:rFonts w:ascii="Times New Roman" w:hAnsi="Times New Roman"/>
          <w:sz w:val="18"/>
          <w:szCs w:val="18"/>
        </w:rPr>
        <w:t>omniphobicity</w:t>
      </w:r>
      <w:proofErr w:type="spellEnd"/>
      <w:r w:rsidRPr="00370BD5">
        <w:rPr>
          <w:rFonts w:ascii="Times New Roman" w:hAnsi="Times New Roman"/>
          <w:sz w:val="18"/>
          <w:szCs w:val="18"/>
        </w:rPr>
        <w:t xml:space="preserve">. </w:t>
      </w:r>
      <w:r w:rsidRPr="00370BD5">
        <w:rPr>
          <w:rFonts w:ascii="Times New Roman" w:hAnsi="Times New Roman"/>
          <w:sz w:val="18"/>
          <w:szCs w:val="18"/>
          <w:lang w:val="fr-FR"/>
        </w:rPr>
        <w:t xml:space="preserve">Nature </w:t>
      </w:r>
      <w:proofErr w:type="gramStart"/>
      <w:r w:rsidRPr="00370BD5">
        <w:rPr>
          <w:rFonts w:ascii="Times New Roman" w:hAnsi="Times New Roman"/>
          <w:sz w:val="18"/>
          <w:szCs w:val="18"/>
          <w:lang w:val="fr-FR"/>
        </w:rPr>
        <w:t>477:</w:t>
      </w:r>
      <w:proofErr w:type="gramEnd"/>
      <w:r w:rsidRPr="00370BD5">
        <w:rPr>
          <w:rFonts w:ascii="Times New Roman" w:hAnsi="Times New Roman"/>
          <w:sz w:val="18"/>
          <w:szCs w:val="18"/>
          <w:lang w:val="fr-FR"/>
        </w:rPr>
        <w:t xml:space="preserve">443-447. </w:t>
      </w:r>
    </w:p>
  </w:footnote>
  <w:footnote w:id="27">
    <w:p w14:paraId="2603E86A" w14:textId="77777777" w:rsidR="00370BD5" w:rsidRPr="00370BD5" w:rsidRDefault="00370BD5" w:rsidP="00370BD5">
      <w:pPr>
        <w:pStyle w:val="FootnoteText"/>
        <w:tabs>
          <w:tab w:val="left" w:pos="180"/>
        </w:tabs>
        <w:snapToGrid w:val="0"/>
        <w:spacing w:before="20" w:after="40" w:line="240" w:lineRule="auto"/>
        <w:ind w:left="1247"/>
        <w:rPr>
          <w:rFonts w:ascii="Times New Roman" w:eastAsiaTheme="minorEastAsia" w:hAnsi="Times New Roman"/>
          <w:sz w:val="18"/>
          <w:szCs w:val="18"/>
          <w:lang w:val="fr-FR"/>
        </w:rPr>
      </w:pPr>
      <w:r w:rsidRPr="00370BD5">
        <w:rPr>
          <w:rStyle w:val="FootnoteReference"/>
          <w:rFonts w:ascii="Times New Roman" w:hAnsi="Times New Roman"/>
          <w:sz w:val="18"/>
          <w:szCs w:val="18"/>
        </w:rPr>
        <w:footnoteRef/>
      </w:r>
      <w:r w:rsidRPr="00370BD5">
        <w:rPr>
          <w:rFonts w:ascii="Times New Roman" w:hAnsi="Times New Roman"/>
          <w:sz w:val="18"/>
          <w:szCs w:val="18"/>
          <w:lang w:val="fr-FR"/>
        </w:rPr>
        <w:t xml:space="preserve"> </w:t>
      </w:r>
      <w:hyperlink r:id="rId9" w:history="1">
        <w:r w:rsidRPr="00370BD5">
          <w:rPr>
            <w:rStyle w:val="Hyperlink"/>
            <w:rFonts w:ascii="Times New Roman" w:hAnsi="Times New Roman"/>
            <w:sz w:val="18"/>
            <w:szCs w:val="18"/>
            <w:lang w:val="fr-FR"/>
          </w:rPr>
          <w:t>http://multimedia.3m.com/mws/mediawebserver?mwsId=SSSSSu9n_zu8l00xm8mBl8t94v70k17zHvu9lxtD7xt1evSSSSSS-</w:t>
        </w:r>
      </w:hyperlink>
      <w:r w:rsidRPr="00370BD5">
        <w:rPr>
          <w:rFonts w:ascii="Times New Roman" w:hAnsi="Times New Roman"/>
          <w:sz w:val="18"/>
          <w:szCs w:val="18"/>
          <w:lang w:val="fr-FR"/>
        </w:rPr>
        <w:t xml:space="preserve"> </w:t>
      </w:r>
    </w:p>
  </w:footnote>
  <w:footnote w:id="28">
    <w:p w14:paraId="7EF7F489" w14:textId="6C9D6863" w:rsidR="00370BD5" w:rsidRPr="00370BD5" w:rsidRDefault="00370BD5" w:rsidP="00370BD5">
      <w:pPr>
        <w:pStyle w:val="FootnoteText"/>
        <w:tabs>
          <w:tab w:val="left" w:pos="180"/>
        </w:tabs>
        <w:snapToGrid w:val="0"/>
        <w:spacing w:before="20" w:after="40" w:line="240" w:lineRule="auto"/>
        <w:ind w:left="1247"/>
        <w:rPr>
          <w:rFonts w:ascii="Times New Roman" w:eastAsiaTheme="minorEastAsia" w:hAnsi="Times New Roman"/>
          <w:sz w:val="18"/>
          <w:szCs w:val="18"/>
          <w:lang w:val="fr-FR"/>
        </w:rPr>
      </w:pPr>
      <w:r w:rsidRPr="00370BD5">
        <w:rPr>
          <w:rStyle w:val="FootnoteReference"/>
          <w:rFonts w:ascii="Times New Roman" w:hAnsi="Times New Roman"/>
          <w:sz w:val="18"/>
          <w:szCs w:val="18"/>
        </w:rPr>
        <w:footnoteRef/>
      </w:r>
      <w:r w:rsidRPr="00370BD5">
        <w:rPr>
          <w:rFonts w:ascii="Times New Roman" w:hAnsi="Times New Roman"/>
          <w:sz w:val="18"/>
          <w:szCs w:val="18"/>
          <w:lang w:val="fr-FR"/>
        </w:rPr>
        <w:t xml:space="preserve"> </w:t>
      </w:r>
      <w:hyperlink r:id="rId10" w:history="1">
        <w:r w:rsidRPr="00370BD5">
          <w:rPr>
            <w:rStyle w:val="Hyperlink"/>
            <w:rFonts w:ascii="Times New Roman" w:hAnsi="Times New Roman"/>
            <w:sz w:val="18"/>
            <w:szCs w:val="18"/>
            <w:lang w:val="fr-FR"/>
          </w:rPr>
          <w:t>https://www.daikinchem.de/products-and-performance/water-oil-repellency</w:t>
        </w:r>
      </w:hyperlink>
      <w:r w:rsidRPr="00370BD5">
        <w:rPr>
          <w:rStyle w:val="Hyperlink"/>
          <w:rFonts w:ascii="Times New Roman" w:hAnsi="Times New Roman"/>
          <w:sz w:val="18"/>
          <w:szCs w:val="18"/>
          <w:lang w:val="fr-FR"/>
        </w:rPr>
        <w:t>.</w:t>
      </w:r>
      <w:r w:rsidRPr="00370BD5">
        <w:rPr>
          <w:rFonts w:ascii="Times New Roman" w:hAnsi="Times New Roman"/>
          <w:sz w:val="18"/>
          <w:szCs w:val="18"/>
          <w:lang w:val="fr-FR"/>
        </w:rPr>
        <w:t xml:space="preserve"> </w:t>
      </w:r>
    </w:p>
  </w:footnote>
  <w:footnote w:id="29">
    <w:p w14:paraId="096D174C" w14:textId="7295933B" w:rsidR="00370BD5" w:rsidRPr="00370BD5" w:rsidRDefault="00370BD5" w:rsidP="00370BD5">
      <w:pPr>
        <w:pStyle w:val="FootnoteText"/>
        <w:tabs>
          <w:tab w:val="left" w:pos="180"/>
        </w:tabs>
        <w:snapToGrid w:val="0"/>
        <w:spacing w:before="20" w:after="40" w:line="240" w:lineRule="auto"/>
        <w:ind w:left="1247"/>
        <w:jc w:val="left"/>
        <w:rPr>
          <w:rFonts w:ascii="Times New Roman" w:eastAsiaTheme="minorEastAsia" w:hAnsi="Times New Roman"/>
          <w:sz w:val="18"/>
          <w:szCs w:val="18"/>
          <w:lang w:val="fr-FR"/>
        </w:rPr>
      </w:pPr>
      <w:r w:rsidRPr="00370BD5">
        <w:rPr>
          <w:rStyle w:val="FootnoteReference"/>
          <w:rFonts w:ascii="Times New Roman" w:hAnsi="Times New Roman"/>
          <w:sz w:val="18"/>
          <w:szCs w:val="18"/>
        </w:rPr>
        <w:footnoteRef/>
      </w:r>
      <w:r w:rsidRPr="00370BD5">
        <w:rPr>
          <w:rFonts w:ascii="Times New Roman" w:hAnsi="Times New Roman"/>
          <w:sz w:val="18"/>
          <w:szCs w:val="18"/>
          <w:lang w:val="fr-FR"/>
        </w:rPr>
        <w:t xml:space="preserve"> </w:t>
      </w:r>
      <w:hyperlink r:id="rId11" w:history="1">
        <w:r w:rsidRPr="00370BD5">
          <w:rPr>
            <w:rStyle w:val="Hyperlink"/>
            <w:rFonts w:ascii="Times New Roman" w:hAnsi="Times New Roman"/>
            <w:sz w:val="18"/>
            <w:szCs w:val="18"/>
            <w:lang w:val="fr-FR"/>
          </w:rPr>
          <w:t>https://products.halyardhealth.com/surgical-solutions/surgical-gowns/breathable-high-performance-gowns/halyard-microcool-breathable-high-performance-surgical-gown-with-secure-fit-technology.html</w:t>
        </w:r>
      </w:hyperlink>
      <w:r w:rsidRPr="00370BD5">
        <w:rPr>
          <w:rStyle w:val="Hyperlink"/>
          <w:rFonts w:ascii="Times New Roman" w:hAnsi="Times New Roman"/>
          <w:sz w:val="18"/>
          <w:szCs w:val="18"/>
          <w:lang w:val="fr-FR"/>
        </w:rPr>
        <w:t>.</w:t>
      </w:r>
      <w:r w:rsidRPr="00370BD5">
        <w:rPr>
          <w:rFonts w:ascii="Times New Roman" w:hAnsi="Times New Roman"/>
          <w:sz w:val="18"/>
          <w:szCs w:val="18"/>
          <w:lang w:val="fr-FR"/>
        </w:rPr>
        <w:t xml:space="preserve"> </w:t>
      </w:r>
    </w:p>
  </w:footnote>
  <w:footnote w:id="30">
    <w:p w14:paraId="392364E6" w14:textId="379DA74E" w:rsidR="00370BD5" w:rsidRPr="00370BD5" w:rsidRDefault="00370BD5" w:rsidP="00370BD5">
      <w:pPr>
        <w:pStyle w:val="FootnoteText"/>
        <w:tabs>
          <w:tab w:val="left" w:pos="180"/>
        </w:tabs>
        <w:snapToGrid w:val="0"/>
        <w:spacing w:before="20" w:after="40" w:line="240" w:lineRule="auto"/>
        <w:ind w:left="1247"/>
        <w:jc w:val="left"/>
        <w:rPr>
          <w:rFonts w:ascii="Times New Roman" w:eastAsiaTheme="minorEastAsia" w:hAnsi="Times New Roman"/>
          <w:sz w:val="18"/>
          <w:szCs w:val="18"/>
          <w:lang w:val="fr-FR" w:eastAsia="ko-KR"/>
        </w:rPr>
      </w:pPr>
      <w:r w:rsidRPr="00370BD5">
        <w:rPr>
          <w:rStyle w:val="FootnoteReference"/>
          <w:rFonts w:ascii="Times New Roman" w:hAnsi="Times New Roman"/>
          <w:sz w:val="18"/>
          <w:szCs w:val="18"/>
        </w:rPr>
        <w:footnoteRef/>
      </w:r>
      <w:r w:rsidRPr="00370BD5">
        <w:rPr>
          <w:rFonts w:ascii="Times New Roman" w:hAnsi="Times New Roman"/>
          <w:sz w:val="18"/>
          <w:szCs w:val="18"/>
          <w:lang w:val="fr-FR"/>
        </w:rPr>
        <w:t xml:space="preserve"> </w:t>
      </w:r>
      <w:hyperlink r:id="rId12" w:history="1">
        <w:r w:rsidRPr="00370BD5">
          <w:rPr>
            <w:rStyle w:val="Hyperlink"/>
            <w:rFonts w:ascii="Times New Roman" w:hAnsi="Times New Roman"/>
            <w:sz w:val="18"/>
            <w:szCs w:val="18"/>
            <w:lang w:val="fr-FR"/>
          </w:rPr>
          <w:t>https://www.agcchem.com/news/2016/june-1-2016-asahiguard-ag-e600-repellent-provides-sustainable-solution-for-nonwoven-medical-textiles</w:t>
        </w:r>
      </w:hyperlink>
      <w:r w:rsidRPr="00370BD5">
        <w:rPr>
          <w:rStyle w:val="Hyperlink"/>
          <w:rFonts w:ascii="Times New Roman" w:hAnsi="Times New Roman"/>
          <w:sz w:val="18"/>
          <w:szCs w:val="18"/>
          <w:lang w:val="fr-FR"/>
        </w:rPr>
        <w:t>.</w:t>
      </w:r>
      <w:r w:rsidRPr="00370BD5">
        <w:rPr>
          <w:rFonts w:ascii="Times New Roman" w:hAnsi="Times New Roman"/>
          <w:sz w:val="18"/>
          <w:szCs w:val="18"/>
          <w:lang w:val="fr-FR"/>
        </w:rPr>
        <w:t xml:space="preserve"> </w:t>
      </w:r>
    </w:p>
  </w:footnote>
  <w:footnote w:id="31">
    <w:p w14:paraId="3D9298C2" w14:textId="5EE84DA7" w:rsidR="00370BD5" w:rsidRPr="00E56658" w:rsidRDefault="00370BD5" w:rsidP="00370BD5">
      <w:pPr>
        <w:pStyle w:val="FootnoteText"/>
        <w:spacing w:before="20" w:after="40" w:line="240" w:lineRule="auto"/>
        <w:ind w:left="1247"/>
        <w:jc w:val="left"/>
        <w:rPr>
          <w:rFonts w:ascii="Times New Roman" w:eastAsiaTheme="minorEastAsia" w:hAnsi="Times New Roman"/>
          <w:sz w:val="18"/>
          <w:szCs w:val="18"/>
          <w:lang w:eastAsia="ko-KR"/>
        </w:rPr>
      </w:pPr>
      <w:r w:rsidRPr="00E56658">
        <w:rPr>
          <w:rStyle w:val="FootnoteReference"/>
          <w:rFonts w:ascii="Times New Roman" w:hAnsi="Times New Roman"/>
          <w:sz w:val="18"/>
          <w:szCs w:val="18"/>
        </w:rPr>
        <w:footnoteRef/>
      </w:r>
      <w:r w:rsidRPr="00E56658">
        <w:rPr>
          <w:rFonts w:ascii="Times New Roman" w:hAnsi="Times New Roman"/>
          <w:sz w:val="18"/>
          <w:szCs w:val="18"/>
        </w:rPr>
        <w:t xml:space="preserve"> Note (iii) of Part I of Annexes A and B to the Stockholm Convention</w:t>
      </w:r>
      <w:r>
        <w:rPr>
          <w:rFonts w:ascii="Times New Roman" w:hAnsi="Times New Roman"/>
          <w:sz w:val="18"/>
          <w:szCs w:val="18"/>
        </w:rPr>
        <w:t>.</w:t>
      </w:r>
    </w:p>
  </w:footnote>
  <w:footnote w:id="32">
    <w:p w14:paraId="2C32F8D4" w14:textId="77AA8C2A" w:rsidR="00370BD5" w:rsidRPr="00EF7EA5" w:rsidRDefault="00370BD5" w:rsidP="00370BD5">
      <w:pPr>
        <w:pStyle w:val="FootnoteText"/>
        <w:spacing w:before="20" w:after="40" w:line="240" w:lineRule="auto"/>
        <w:ind w:left="1247"/>
        <w:jc w:val="left"/>
        <w:rPr>
          <w:rFonts w:ascii="Times New Roman" w:hAnsi="Times New Roman"/>
          <w:sz w:val="18"/>
          <w:szCs w:val="18"/>
        </w:rPr>
      </w:pPr>
      <w:r w:rsidRPr="00EF7EA5">
        <w:rPr>
          <w:rStyle w:val="FootnoteReference"/>
          <w:rFonts w:ascii="Times New Roman" w:hAnsi="Times New Roman"/>
          <w:sz w:val="18"/>
          <w:szCs w:val="18"/>
        </w:rPr>
        <w:footnoteRef/>
      </w:r>
      <w:r w:rsidRPr="00EF7EA5">
        <w:rPr>
          <w:rFonts w:ascii="Times New Roman" w:hAnsi="Times New Roman"/>
          <w:sz w:val="18"/>
          <w:szCs w:val="18"/>
        </w:rPr>
        <w:t xml:space="preserve"> EU regulation EC 1906/2006 on the Registration, Evaluation, Authorisation and restriction of Chemicals</w:t>
      </w:r>
      <w:r>
        <w:rPr>
          <w:rFonts w:ascii="Times New Roman" w:hAnsi="Times New Roman"/>
          <w:sz w:val="18"/>
          <w:szCs w:val="18"/>
        </w:rPr>
        <w:t>.</w:t>
      </w:r>
    </w:p>
  </w:footnote>
  <w:footnote w:id="33">
    <w:p w14:paraId="77DBEE50" w14:textId="47D5436B" w:rsidR="00370BD5" w:rsidRPr="00370BD5" w:rsidRDefault="00370BD5" w:rsidP="00370BD5">
      <w:pPr>
        <w:pStyle w:val="FootnoteText"/>
        <w:spacing w:before="20" w:after="40" w:line="240" w:lineRule="auto"/>
        <w:ind w:left="1247"/>
        <w:jc w:val="left"/>
        <w:rPr>
          <w:rFonts w:ascii="Times New Roman" w:hAnsi="Times New Roman"/>
          <w:sz w:val="18"/>
          <w:szCs w:val="18"/>
        </w:rPr>
      </w:pPr>
      <w:r w:rsidRPr="00370BD5">
        <w:rPr>
          <w:rStyle w:val="FootnoteReference"/>
          <w:rFonts w:ascii="Times New Roman" w:hAnsi="Times New Roman"/>
          <w:sz w:val="18"/>
          <w:szCs w:val="18"/>
        </w:rPr>
        <w:footnoteRef/>
      </w:r>
      <w:r w:rsidRPr="00370BD5">
        <w:rPr>
          <w:rFonts w:ascii="Times New Roman" w:hAnsi="Times New Roman"/>
          <w:sz w:val="18"/>
          <w:szCs w:val="18"/>
        </w:rPr>
        <w:t xml:space="preserve"> Polymeric Fluorotelomer-based Products are also known as “side-chain fluorinated polymers.” These products consist of hydrocarbon backbones with </w:t>
      </w:r>
      <w:proofErr w:type="spellStart"/>
      <w:r w:rsidRPr="00370BD5">
        <w:rPr>
          <w:rFonts w:ascii="Times New Roman" w:hAnsi="Times New Roman"/>
          <w:sz w:val="18"/>
          <w:szCs w:val="18"/>
        </w:rPr>
        <w:t>polyfluoroalkyl</w:t>
      </w:r>
      <w:proofErr w:type="spellEnd"/>
      <w:r w:rsidRPr="00370BD5">
        <w:rPr>
          <w:rFonts w:ascii="Times New Roman" w:hAnsi="Times New Roman"/>
          <w:sz w:val="18"/>
          <w:szCs w:val="18"/>
        </w:rPr>
        <w:t xml:space="preserve"> side chains that stick out like teeth on a comb. These polymers are used to treat textiles, carpets, nonwovens and paper to provide water, soil, oil and stain resistance. </w:t>
      </w:r>
      <w:hyperlink r:id="rId13" w:history="1">
        <w:r w:rsidRPr="00370BD5">
          <w:rPr>
            <w:rStyle w:val="Hyperlink"/>
            <w:rFonts w:ascii="Times New Roman" w:hAnsi="Times New Roman"/>
            <w:sz w:val="18"/>
            <w:szCs w:val="18"/>
          </w:rPr>
          <w:t>https://fluorocouncil.com/fluorotechnology/terminology/</w:t>
        </w:r>
      </w:hyperlink>
      <w:r w:rsidRPr="00370BD5">
        <w:rPr>
          <w:rStyle w:val="Hyperlink"/>
          <w:rFonts w:ascii="Times New Roman" w:hAnsi="Times New Roman"/>
          <w:sz w:val="18"/>
          <w:szCs w:val="18"/>
        </w:rPr>
        <w:t>.</w:t>
      </w:r>
    </w:p>
  </w:footnote>
  <w:footnote w:id="34">
    <w:p w14:paraId="6011F447" w14:textId="3EF4CEB1" w:rsidR="00370BD5" w:rsidRPr="00AE1976" w:rsidRDefault="00370BD5" w:rsidP="00370BD5">
      <w:pPr>
        <w:pStyle w:val="FootnoteText"/>
        <w:spacing w:before="20" w:after="40" w:line="240" w:lineRule="auto"/>
        <w:ind w:left="1247"/>
        <w:jc w:val="left"/>
        <w:rPr>
          <w:rFonts w:ascii="Times New Roman" w:hAnsi="Times New Roman"/>
          <w:sz w:val="18"/>
          <w:szCs w:val="18"/>
        </w:rPr>
      </w:pPr>
      <w:r w:rsidRPr="00AE1976">
        <w:rPr>
          <w:rStyle w:val="FootnoteReference"/>
          <w:rFonts w:ascii="Times New Roman" w:hAnsi="Times New Roman"/>
          <w:sz w:val="18"/>
          <w:szCs w:val="18"/>
        </w:rPr>
        <w:footnoteRef/>
      </w:r>
      <w:r w:rsidRPr="00AE1976">
        <w:rPr>
          <w:rFonts w:ascii="Times New Roman" w:hAnsi="Times New Roman"/>
          <w:sz w:val="18"/>
          <w:szCs w:val="18"/>
        </w:rPr>
        <w:t xml:space="preserve"> https://www.epa.gov/assessing-and-managing-chemicals-under-tsca/risk-management-and-polyfluoroalkyl-substances-pfass#tab-3.</w:t>
      </w:r>
    </w:p>
  </w:footnote>
  <w:footnote w:id="35">
    <w:p w14:paraId="00E79CD1" w14:textId="5B1F5FEE" w:rsidR="00370BD5" w:rsidRPr="00D87E18" w:rsidRDefault="00370BD5" w:rsidP="00370BD5">
      <w:pPr>
        <w:pStyle w:val="FootnoteText"/>
        <w:spacing w:before="20" w:after="40" w:line="240" w:lineRule="auto"/>
        <w:ind w:left="1247"/>
        <w:jc w:val="left"/>
        <w:rPr>
          <w:rFonts w:ascii="Times New Roman" w:hAnsi="Times New Roman"/>
          <w:sz w:val="18"/>
          <w:lang w:val="en-US"/>
        </w:rPr>
      </w:pPr>
      <w:r w:rsidRPr="001F7967">
        <w:rPr>
          <w:rStyle w:val="FootnoteReference"/>
          <w:rFonts w:ascii="Times New Roman" w:hAnsi="Times New Roman"/>
          <w:sz w:val="18"/>
          <w:szCs w:val="18"/>
        </w:rPr>
        <w:footnoteRef/>
      </w:r>
      <w:r w:rsidRPr="00D87E18">
        <w:rPr>
          <w:rFonts w:ascii="Times New Roman" w:hAnsi="Times New Roman"/>
          <w:sz w:val="18"/>
          <w:lang w:val="en-US"/>
        </w:rPr>
        <w:t xml:space="preserve"> IUPAC name: Ammonium 2,3,3,3-tetrafluoro-2-(</w:t>
      </w:r>
      <w:proofErr w:type="spellStart"/>
      <w:r w:rsidRPr="00D87E18">
        <w:rPr>
          <w:rFonts w:ascii="Times New Roman" w:hAnsi="Times New Roman"/>
          <w:sz w:val="18"/>
          <w:lang w:val="en-US"/>
        </w:rPr>
        <w:t>heptafluoropropoxy</w:t>
      </w:r>
      <w:proofErr w:type="spellEnd"/>
      <w:r w:rsidRPr="00D87E18">
        <w:rPr>
          <w:rFonts w:ascii="Times New Roman" w:hAnsi="Times New Roman"/>
          <w:sz w:val="18"/>
          <w:lang w:val="en-US"/>
        </w:rPr>
        <w:t xml:space="preserve">)-propanoate; CAS No: 62037-80-3.  </w:t>
      </w:r>
    </w:p>
  </w:footnote>
  <w:footnote w:id="36">
    <w:p w14:paraId="0461FF06" w14:textId="34370C07" w:rsidR="00370BD5" w:rsidRPr="00370BD5" w:rsidRDefault="00370BD5" w:rsidP="00370BD5">
      <w:pPr>
        <w:pStyle w:val="FootnoteText"/>
        <w:snapToGrid w:val="0"/>
        <w:spacing w:before="20" w:after="40" w:line="240" w:lineRule="auto"/>
        <w:ind w:left="1247"/>
        <w:rPr>
          <w:rFonts w:ascii="Times New Roman" w:eastAsiaTheme="minorEastAsia" w:hAnsi="Times New Roman"/>
          <w:sz w:val="18"/>
          <w:szCs w:val="18"/>
          <w:lang w:val="en-US"/>
        </w:rPr>
      </w:pPr>
      <w:r w:rsidRPr="00370BD5">
        <w:rPr>
          <w:rStyle w:val="FootnoteReference"/>
          <w:rFonts w:ascii="Times New Roman" w:hAnsi="Times New Roman"/>
          <w:sz w:val="18"/>
          <w:szCs w:val="18"/>
        </w:rPr>
        <w:footnoteRef/>
      </w:r>
      <w:r w:rsidRPr="00370BD5">
        <w:rPr>
          <w:rFonts w:ascii="Times New Roman" w:hAnsi="Times New Roman"/>
          <w:sz w:val="18"/>
          <w:szCs w:val="18"/>
          <w:lang w:val="en-US"/>
        </w:rPr>
        <w:t xml:space="preserve"> </w:t>
      </w:r>
      <w:hyperlink r:id="rId14" w:history="1">
        <w:r w:rsidRPr="00370BD5">
          <w:rPr>
            <w:rStyle w:val="Hyperlink"/>
            <w:rFonts w:ascii="Times New Roman" w:hAnsi="Times New Roman"/>
            <w:sz w:val="18"/>
            <w:szCs w:val="18"/>
            <w:lang w:val="en-US"/>
          </w:rPr>
          <w:t>http://www.surfacesolutionsgroup.com/site/files/785/69121/273265/759549/no-pfoa-ptfe-coatings-guidewires-brochure.pdf</w:t>
        </w:r>
      </w:hyperlink>
      <w:r w:rsidRPr="00370BD5">
        <w:rPr>
          <w:rFonts w:ascii="Times New Roman" w:hAnsi="Times New Roman"/>
          <w:sz w:val="18"/>
          <w:szCs w:val="18"/>
          <w:lang w:val="en-US"/>
        </w:rPr>
        <w:t>.</w:t>
      </w:r>
    </w:p>
  </w:footnote>
  <w:footnote w:id="37">
    <w:p w14:paraId="3E8139CF" w14:textId="3926C3E9" w:rsidR="00370BD5" w:rsidRPr="00370BD5" w:rsidRDefault="00370BD5" w:rsidP="00370BD5">
      <w:pPr>
        <w:pStyle w:val="FootnoteText"/>
        <w:snapToGrid w:val="0"/>
        <w:spacing w:before="20" w:after="40" w:line="240" w:lineRule="auto"/>
        <w:ind w:left="1247"/>
        <w:rPr>
          <w:rFonts w:ascii="Times New Roman" w:eastAsiaTheme="minorEastAsia" w:hAnsi="Times New Roman"/>
          <w:sz w:val="18"/>
          <w:szCs w:val="18"/>
        </w:rPr>
      </w:pPr>
      <w:r w:rsidRPr="00370BD5">
        <w:rPr>
          <w:rStyle w:val="FootnoteReference"/>
          <w:rFonts w:ascii="Times New Roman" w:hAnsi="Times New Roman"/>
          <w:sz w:val="18"/>
          <w:szCs w:val="18"/>
        </w:rPr>
        <w:footnoteRef/>
      </w:r>
      <w:r w:rsidRPr="00370BD5">
        <w:rPr>
          <w:rFonts w:ascii="Times New Roman" w:hAnsi="Times New Roman"/>
          <w:sz w:val="18"/>
          <w:szCs w:val="18"/>
        </w:rPr>
        <w:t xml:space="preserve"> </w:t>
      </w:r>
      <w:hyperlink r:id="rId15" w:history="1">
        <w:r w:rsidRPr="00370BD5">
          <w:rPr>
            <w:rStyle w:val="Hyperlink"/>
            <w:rFonts w:ascii="Times New Roman" w:hAnsi="Times New Roman"/>
            <w:sz w:val="18"/>
            <w:szCs w:val="18"/>
          </w:rPr>
          <w:t>https://meritoem.com/composite-reinforced-coatings-the-future-of-medical-device-coatings/</w:t>
        </w:r>
      </w:hyperlink>
      <w:r w:rsidRPr="00370BD5">
        <w:rPr>
          <w:rStyle w:val="Hyperlink"/>
          <w:rFonts w:ascii="Times New Roman" w:hAnsi="Times New Roman"/>
          <w:sz w:val="18"/>
          <w:szCs w:val="18"/>
        </w:rPr>
        <w:t>.</w:t>
      </w:r>
      <w:r w:rsidRPr="00370BD5">
        <w:rPr>
          <w:rFonts w:ascii="Times New Roman" w:hAnsi="Times New Roman"/>
          <w:sz w:val="18"/>
          <w:szCs w:val="18"/>
        </w:rPr>
        <w:t xml:space="preserve"> </w:t>
      </w:r>
    </w:p>
  </w:footnote>
  <w:footnote w:id="38">
    <w:p w14:paraId="7E938F9D" w14:textId="1F19AAA0" w:rsidR="00370BD5" w:rsidRPr="00370BD5" w:rsidRDefault="00370BD5" w:rsidP="00370BD5">
      <w:pPr>
        <w:pStyle w:val="FootnoteText"/>
        <w:snapToGrid w:val="0"/>
        <w:spacing w:before="20" w:after="40" w:line="240" w:lineRule="auto"/>
        <w:ind w:left="1247"/>
        <w:rPr>
          <w:rFonts w:ascii="Times New Roman" w:eastAsiaTheme="minorEastAsia" w:hAnsi="Times New Roman"/>
          <w:sz w:val="18"/>
          <w:szCs w:val="18"/>
        </w:rPr>
      </w:pPr>
      <w:r w:rsidRPr="00370BD5">
        <w:rPr>
          <w:rStyle w:val="FootnoteReference"/>
          <w:rFonts w:ascii="Times New Roman" w:hAnsi="Times New Roman"/>
          <w:sz w:val="18"/>
          <w:szCs w:val="18"/>
        </w:rPr>
        <w:footnoteRef/>
      </w:r>
      <w:r w:rsidRPr="00370BD5">
        <w:rPr>
          <w:rFonts w:ascii="Times New Roman" w:hAnsi="Times New Roman"/>
          <w:sz w:val="18"/>
          <w:szCs w:val="18"/>
        </w:rPr>
        <w:t xml:space="preserve"> </w:t>
      </w:r>
      <w:hyperlink r:id="rId16" w:history="1">
        <w:r w:rsidRPr="00370BD5">
          <w:rPr>
            <w:rStyle w:val="Hyperlink"/>
            <w:rFonts w:ascii="Times New Roman" w:hAnsi="Times New Roman"/>
            <w:sz w:val="18"/>
            <w:szCs w:val="18"/>
          </w:rPr>
          <w:t>http://store.tegramedical.com/zero-pfoa-green-ptfe-wire/</w:t>
        </w:r>
      </w:hyperlink>
      <w:r w:rsidRPr="00370BD5">
        <w:rPr>
          <w:rStyle w:val="Hyperlink"/>
          <w:rFonts w:ascii="Times New Roman" w:hAnsi="Times New Roman"/>
          <w:sz w:val="18"/>
          <w:szCs w:val="18"/>
        </w:rPr>
        <w:t>.</w:t>
      </w:r>
      <w:r w:rsidRPr="00370BD5">
        <w:rPr>
          <w:rFonts w:ascii="Times New Roman" w:hAnsi="Times New Roman"/>
          <w:sz w:val="18"/>
          <w:szCs w:val="18"/>
        </w:rPr>
        <w:t xml:space="preserve"> </w:t>
      </w:r>
    </w:p>
  </w:footnote>
  <w:footnote w:id="39">
    <w:p w14:paraId="673AC340" w14:textId="3A5D4550" w:rsidR="00370BD5" w:rsidRPr="00370BD5" w:rsidRDefault="00370BD5" w:rsidP="00370BD5">
      <w:pPr>
        <w:pStyle w:val="FootnoteText"/>
        <w:snapToGrid w:val="0"/>
        <w:spacing w:before="20" w:after="40" w:line="240" w:lineRule="auto"/>
        <w:ind w:left="1247"/>
        <w:rPr>
          <w:rFonts w:ascii="Times New Roman" w:eastAsiaTheme="minorEastAsia" w:hAnsi="Times New Roman"/>
          <w:sz w:val="18"/>
          <w:szCs w:val="18"/>
          <w:lang w:eastAsia="ko-KR"/>
        </w:rPr>
      </w:pPr>
      <w:r w:rsidRPr="00370BD5">
        <w:rPr>
          <w:rStyle w:val="FootnoteReference"/>
          <w:rFonts w:ascii="Times New Roman" w:hAnsi="Times New Roman"/>
          <w:sz w:val="18"/>
          <w:szCs w:val="18"/>
        </w:rPr>
        <w:footnoteRef/>
      </w:r>
      <w:r w:rsidRPr="00370BD5">
        <w:rPr>
          <w:rFonts w:ascii="Times New Roman" w:hAnsi="Times New Roman"/>
          <w:sz w:val="18"/>
          <w:szCs w:val="18"/>
        </w:rPr>
        <w:t xml:space="preserve"> </w:t>
      </w:r>
      <w:hyperlink r:id="rId17" w:history="1">
        <w:r w:rsidRPr="00370BD5">
          <w:rPr>
            <w:rStyle w:val="Hyperlink"/>
            <w:rFonts w:ascii="Times New Roman" w:hAnsi="Times New Roman"/>
            <w:sz w:val="18"/>
            <w:szCs w:val="18"/>
          </w:rPr>
          <w:t>https://wytech.com/wire-components/</w:t>
        </w:r>
      </w:hyperlink>
      <w:r w:rsidRPr="00370BD5">
        <w:rPr>
          <w:rStyle w:val="Hyperlink"/>
          <w:rFonts w:ascii="Times New Roman" w:hAnsi="Times New Roman"/>
          <w:sz w:val="18"/>
          <w:szCs w:val="18"/>
        </w:rPr>
        <w:t>.</w:t>
      </w:r>
      <w:r w:rsidRPr="00370BD5">
        <w:rPr>
          <w:rFonts w:ascii="Times New Roman" w:hAnsi="Times New Roman"/>
          <w:sz w:val="18"/>
          <w:szCs w:val="18"/>
        </w:rPr>
        <w:t xml:space="preserve"> </w:t>
      </w:r>
    </w:p>
  </w:footnote>
  <w:footnote w:id="40">
    <w:p w14:paraId="2110EDE4" w14:textId="4D64D44C" w:rsidR="00370BD5" w:rsidRPr="00265F8A" w:rsidRDefault="00370BD5" w:rsidP="00370BD5">
      <w:pPr>
        <w:pStyle w:val="FootnoteText"/>
        <w:spacing w:before="20" w:after="40" w:line="240" w:lineRule="auto"/>
        <w:ind w:left="1247"/>
        <w:rPr>
          <w:rFonts w:ascii="Times New Roman" w:hAnsi="Times New Roman"/>
          <w:sz w:val="18"/>
          <w:szCs w:val="18"/>
        </w:rPr>
      </w:pPr>
      <w:r w:rsidRPr="00370BD5">
        <w:rPr>
          <w:rStyle w:val="FootnoteReference"/>
          <w:rFonts w:ascii="Times New Roman" w:hAnsi="Times New Roman"/>
          <w:sz w:val="18"/>
          <w:szCs w:val="18"/>
        </w:rPr>
        <w:footnoteRef/>
      </w:r>
      <w:r w:rsidRPr="00370BD5">
        <w:rPr>
          <w:rFonts w:ascii="Times New Roman" w:hAnsi="Times New Roman"/>
          <w:sz w:val="18"/>
          <w:szCs w:val="18"/>
        </w:rPr>
        <w:t xml:space="preserve"> Nesbitt, 2017 comments that in October 2016 Medtronic a major supplier of guidewires used in medical implants had to recall</w:t>
      </w:r>
      <w:r w:rsidRPr="00265F8A">
        <w:rPr>
          <w:rFonts w:ascii="Times New Roman" w:hAnsi="Times New Roman"/>
          <w:sz w:val="18"/>
          <w:szCs w:val="18"/>
        </w:rPr>
        <w:t xml:space="preserve"> 84,000 units after problems. Nesbitt notes that Medtronic was not the only supplier that needed to issue a recall</w:t>
      </w:r>
      <w:r>
        <w:rPr>
          <w:rFonts w:ascii="Times New Roman" w:hAnsi="Times New Roman"/>
          <w:sz w:val="18"/>
          <w:szCs w:val="18"/>
        </w:rPr>
        <w:t xml:space="preserve"> as part of the US FDA recall</w:t>
      </w:r>
      <w:r w:rsidRPr="00265F8A">
        <w:rPr>
          <w:rFonts w:ascii="Times New Roman" w:hAnsi="Times New Roman"/>
          <w:sz w:val="18"/>
          <w:szCs w:val="18"/>
        </w:rPr>
        <w:t>.</w:t>
      </w:r>
    </w:p>
  </w:footnote>
  <w:footnote w:id="41">
    <w:p w14:paraId="09CF4E88" w14:textId="77777777" w:rsidR="00370BD5" w:rsidRPr="00150A45" w:rsidRDefault="00370BD5" w:rsidP="00370BD5">
      <w:pPr>
        <w:pStyle w:val="FootnoteText"/>
        <w:snapToGrid w:val="0"/>
        <w:spacing w:before="20" w:after="40" w:line="240" w:lineRule="auto"/>
        <w:ind w:left="1247"/>
        <w:jc w:val="left"/>
        <w:rPr>
          <w:rFonts w:ascii="Times New Roman" w:hAnsi="Times New Roman"/>
          <w:sz w:val="18"/>
          <w:szCs w:val="18"/>
        </w:rPr>
      </w:pPr>
      <w:r w:rsidRPr="00150A45">
        <w:rPr>
          <w:rStyle w:val="FootnoteReference"/>
          <w:rFonts w:ascii="Times New Roman" w:hAnsi="Times New Roman"/>
          <w:sz w:val="18"/>
          <w:szCs w:val="18"/>
        </w:rPr>
        <w:footnoteRef/>
      </w:r>
      <w:r w:rsidRPr="00150A45">
        <w:rPr>
          <w:rFonts w:ascii="Times New Roman" w:hAnsi="Times New Roman"/>
          <w:sz w:val="18"/>
          <w:szCs w:val="18"/>
        </w:rPr>
        <w:t xml:space="preserve"> Note, that the use of PFOA for film is already covered by an exemption stated in the RME. The addendum covers the use for printing on paper and plates. The example is however included to evidence the transition towards digital technologies.</w:t>
      </w:r>
    </w:p>
  </w:footnote>
  <w:footnote w:id="42">
    <w:p w14:paraId="6E3FD995" w14:textId="1A7FBD20" w:rsidR="00370BD5" w:rsidRPr="00150A45" w:rsidRDefault="00370BD5" w:rsidP="00370BD5">
      <w:pPr>
        <w:pStyle w:val="FootnoteText"/>
        <w:snapToGrid w:val="0"/>
        <w:spacing w:before="20" w:after="40" w:line="240" w:lineRule="auto"/>
        <w:ind w:left="1247"/>
        <w:jc w:val="left"/>
        <w:rPr>
          <w:rFonts w:ascii="Times New Roman" w:hAnsi="Times New Roman"/>
          <w:sz w:val="18"/>
          <w:szCs w:val="18"/>
        </w:rPr>
      </w:pPr>
      <w:r w:rsidRPr="00150A45">
        <w:rPr>
          <w:rStyle w:val="FootnoteReference"/>
          <w:rFonts w:ascii="Times New Roman" w:hAnsi="Times New Roman"/>
          <w:sz w:val="18"/>
          <w:szCs w:val="18"/>
        </w:rPr>
        <w:footnoteRef/>
      </w:r>
      <w:r w:rsidRPr="00150A45">
        <w:rPr>
          <w:rFonts w:ascii="Times New Roman" w:hAnsi="Times New Roman"/>
          <w:sz w:val="18"/>
          <w:szCs w:val="18"/>
        </w:rPr>
        <w:t xml:space="preserve"> Note, that the use of PFOA for film is already covered by an exemption stated in the RME. The </w:t>
      </w:r>
      <w:r>
        <w:rPr>
          <w:rFonts w:ascii="Times New Roman" w:hAnsi="Times New Roman"/>
          <w:sz w:val="18"/>
          <w:szCs w:val="18"/>
        </w:rPr>
        <w:t>current document</w:t>
      </w:r>
      <w:r w:rsidRPr="00150A45">
        <w:rPr>
          <w:rFonts w:ascii="Times New Roman" w:hAnsi="Times New Roman"/>
          <w:sz w:val="18"/>
          <w:szCs w:val="18"/>
        </w:rPr>
        <w:t xml:space="preserve"> covers the use for printing on paper and plates. The example is however included to evidence the transition towards digital technologies.</w:t>
      </w:r>
    </w:p>
  </w:footnote>
  <w:footnote w:id="43">
    <w:p w14:paraId="1D4E1CEB" w14:textId="393BD0AE" w:rsidR="00370BD5" w:rsidRPr="00370BD5" w:rsidRDefault="00370BD5" w:rsidP="00370BD5">
      <w:pPr>
        <w:pStyle w:val="FootnoteText"/>
        <w:snapToGrid w:val="0"/>
        <w:spacing w:before="20" w:after="40" w:line="240" w:lineRule="auto"/>
        <w:ind w:left="1247"/>
        <w:rPr>
          <w:rFonts w:ascii="Times New Roman" w:eastAsiaTheme="minorEastAsia" w:hAnsi="Times New Roman"/>
          <w:sz w:val="18"/>
          <w:szCs w:val="18"/>
          <w:lang w:eastAsia="ko-KR"/>
        </w:rPr>
      </w:pPr>
      <w:r w:rsidRPr="00370BD5">
        <w:rPr>
          <w:rStyle w:val="FootnoteReference"/>
          <w:rFonts w:ascii="Times New Roman" w:hAnsi="Times New Roman"/>
          <w:sz w:val="18"/>
          <w:szCs w:val="18"/>
        </w:rPr>
        <w:footnoteRef/>
      </w:r>
      <w:r w:rsidRPr="00370BD5">
        <w:rPr>
          <w:rFonts w:ascii="Times New Roman" w:hAnsi="Times New Roman"/>
          <w:sz w:val="18"/>
          <w:szCs w:val="18"/>
        </w:rPr>
        <w:t xml:space="preserve"> </w:t>
      </w:r>
      <w:hyperlink r:id="rId18" w:history="1">
        <w:r w:rsidRPr="00370BD5">
          <w:rPr>
            <w:rStyle w:val="Hyperlink"/>
            <w:rFonts w:ascii="Times New Roman" w:hAnsi="Times New Roman"/>
            <w:sz w:val="18"/>
            <w:szCs w:val="18"/>
          </w:rPr>
          <w:t>http://www.acea.be/uploads/publications/20160704_INFORMATION_LETTER_TO_SUPPLIERS_ON_PFOA.pdf</w:t>
        </w:r>
      </w:hyperlink>
      <w:r w:rsidRPr="00370BD5">
        <w:rPr>
          <w:rStyle w:val="Hyperlink"/>
          <w:rFonts w:ascii="Times New Roman" w:hAnsi="Times New Roman"/>
          <w:sz w:val="18"/>
          <w:szCs w:val="18"/>
        </w:rPr>
        <w:t>.</w:t>
      </w:r>
      <w:r w:rsidRPr="00370BD5">
        <w:rPr>
          <w:rFonts w:ascii="Times New Roman" w:hAnsi="Times New Roman"/>
          <w:sz w:val="18"/>
          <w:szCs w:val="18"/>
        </w:rPr>
        <w:t xml:space="preserve"> </w:t>
      </w:r>
    </w:p>
  </w:footnote>
  <w:footnote w:id="44">
    <w:p w14:paraId="28ECB908" w14:textId="16FAB478" w:rsidR="00370BD5" w:rsidRPr="00370BD5" w:rsidRDefault="00370BD5" w:rsidP="00370BD5">
      <w:pPr>
        <w:pStyle w:val="FootnoteText"/>
        <w:snapToGrid w:val="0"/>
        <w:spacing w:before="20" w:after="40" w:line="240" w:lineRule="auto"/>
        <w:ind w:left="1247"/>
        <w:rPr>
          <w:rFonts w:ascii="Times New Roman" w:eastAsiaTheme="minorEastAsia" w:hAnsi="Times New Roman"/>
          <w:sz w:val="18"/>
          <w:szCs w:val="18"/>
          <w:lang w:eastAsia="ko-KR"/>
        </w:rPr>
      </w:pPr>
      <w:r w:rsidRPr="00370BD5">
        <w:rPr>
          <w:rStyle w:val="FootnoteReference"/>
          <w:rFonts w:ascii="Times New Roman" w:hAnsi="Times New Roman"/>
          <w:sz w:val="18"/>
          <w:szCs w:val="18"/>
        </w:rPr>
        <w:footnoteRef/>
      </w:r>
      <w:r w:rsidRPr="00370BD5">
        <w:rPr>
          <w:rFonts w:ascii="Times New Roman" w:hAnsi="Times New Roman"/>
          <w:sz w:val="18"/>
          <w:szCs w:val="18"/>
        </w:rPr>
        <w:t xml:space="preserve"> </w:t>
      </w:r>
      <w:hyperlink r:id="rId19" w:history="1">
        <w:r w:rsidRPr="00370BD5">
          <w:rPr>
            <w:rStyle w:val="Hyperlink"/>
            <w:rFonts w:ascii="Times New Roman" w:hAnsi="Times New Roman"/>
            <w:sz w:val="18"/>
            <w:szCs w:val="18"/>
          </w:rPr>
          <w:t>http://atozplastics.com/upload/literature/Fluoropolymers-application-automotive-fuel-engine-systems.asp</w:t>
        </w:r>
      </w:hyperlink>
      <w:r w:rsidRPr="00370BD5">
        <w:rPr>
          <w:rStyle w:val="Hyperlink"/>
          <w:rFonts w:ascii="Times New Roman" w:hAnsi="Times New Roman"/>
          <w:sz w:val="18"/>
          <w:szCs w:val="18"/>
        </w:rPr>
        <w:t>.</w:t>
      </w:r>
      <w:r w:rsidRPr="00370BD5">
        <w:rPr>
          <w:rFonts w:ascii="Times New Roman" w:hAnsi="Times New Roman"/>
          <w:sz w:val="18"/>
          <w:szCs w:val="18"/>
        </w:rPr>
        <w:t xml:space="preserve"> </w:t>
      </w:r>
    </w:p>
  </w:footnote>
  <w:footnote w:id="45">
    <w:p w14:paraId="169834B7" w14:textId="0E995DDE" w:rsidR="00370BD5" w:rsidRPr="002D2322" w:rsidRDefault="00370BD5" w:rsidP="00370BD5">
      <w:pPr>
        <w:pStyle w:val="FootnoteText"/>
        <w:spacing w:before="20" w:after="40" w:line="240" w:lineRule="auto"/>
        <w:ind w:left="1247"/>
        <w:jc w:val="left"/>
        <w:rPr>
          <w:rFonts w:asciiTheme="majorBidi" w:eastAsiaTheme="minorEastAsia" w:hAnsiTheme="majorBidi" w:cstheme="majorBidi"/>
          <w:sz w:val="18"/>
          <w:szCs w:val="18"/>
          <w:lang w:eastAsia="ja-JP"/>
        </w:rPr>
      </w:pPr>
      <w:r w:rsidRPr="002D2322">
        <w:rPr>
          <w:rStyle w:val="FootnoteReference"/>
          <w:rFonts w:asciiTheme="majorBidi" w:hAnsiTheme="majorBidi" w:cstheme="majorBidi"/>
          <w:sz w:val="18"/>
          <w:szCs w:val="18"/>
        </w:rPr>
        <w:footnoteRef/>
      </w:r>
      <w:r w:rsidRPr="002D2322">
        <w:rPr>
          <w:rFonts w:asciiTheme="majorBidi" w:hAnsiTheme="majorBidi" w:cstheme="majorBidi"/>
          <w:sz w:val="18"/>
          <w:szCs w:val="18"/>
        </w:rPr>
        <w:t xml:space="preserve"> UNEP/POPS/POPRC.13/7/Add.2.</w:t>
      </w:r>
    </w:p>
  </w:footnote>
  <w:footnote w:id="46">
    <w:p w14:paraId="0BC782F1" w14:textId="6EC93AED" w:rsidR="00370BD5" w:rsidRPr="00B17F8E" w:rsidRDefault="00370BD5" w:rsidP="00370BD5">
      <w:pPr>
        <w:pStyle w:val="FootnoteText"/>
        <w:spacing w:before="20" w:after="40" w:line="240" w:lineRule="auto"/>
        <w:ind w:left="1247"/>
        <w:jc w:val="left"/>
        <w:rPr>
          <w:rFonts w:ascii="Times New Roman" w:hAnsi="Times New Roman"/>
          <w:sz w:val="18"/>
          <w:szCs w:val="18"/>
        </w:rPr>
      </w:pPr>
      <w:r w:rsidRPr="00B17F8E">
        <w:rPr>
          <w:rStyle w:val="FootnoteReference"/>
          <w:rFonts w:ascii="Times New Roman" w:hAnsi="Times New Roman"/>
          <w:sz w:val="18"/>
          <w:szCs w:val="18"/>
        </w:rPr>
        <w:footnoteRef/>
      </w:r>
      <w:r w:rsidRPr="00B17F8E">
        <w:rPr>
          <w:rFonts w:ascii="Times New Roman" w:hAnsi="Times New Roman"/>
          <w:sz w:val="18"/>
          <w:szCs w:val="18"/>
        </w:rPr>
        <w:t xml:space="preserve"> http://www.chemguard.com/pdf/TFPP%20C8%20to%20C6%20Transition%20Bulletin.pdf</w:t>
      </w:r>
      <w:r>
        <w:rPr>
          <w:rFonts w:ascii="Times New Roman" w:hAnsi="Times New Roman"/>
          <w:sz w:val="18"/>
          <w:szCs w:val="18"/>
        </w:rPr>
        <w:t>.</w:t>
      </w:r>
    </w:p>
  </w:footnote>
  <w:footnote w:id="47">
    <w:p w14:paraId="29976BD4" w14:textId="1D94FB06" w:rsidR="00370BD5" w:rsidRPr="00B17F8E" w:rsidRDefault="00370BD5" w:rsidP="00370BD5">
      <w:pPr>
        <w:pStyle w:val="FootnoteText"/>
        <w:spacing w:before="20" w:after="40" w:line="240" w:lineRule="auto"/>
        <w:ind w:left="1247"/>
        <w:jc w:val="left"/>
        <w:rPr>
          <w:rFonts w:ascii="Times New Roman" w:hAnsi="Times New Roman"/>
          <w:sz w:val="18"/>
          <w:szCs w:val="18"/>
        </w:rPr>
      </w:pPr>
      <w:r w:rsidRPr="00B17F8E">
        <w:rPr>
          <w:rStyle w:val="FootnoteReference"/>
          <w:rFonts w:ascii="Times New Roman" w:hAnsi="Times New Roman"/>
          <w:sz w:val="18"/>
          <w:szCs w:val="18"/>
        </w:rPr>
        <w:footnoteRef/>
      </w:r>
      <w:r w:rsidRPr="00B17F8E">
        <w:rPr>
          <w:rFonts w:ascii="Times New Roman" w:hAnsi="Times New Roman"/>
          <w:sz w:val="18"/>
          <w:szCs w:val="18"/>
        </w:rPr>
        <w:t xml:space="preserve"> https://www.solbergfoam.com/Technical-Documentation/Foam-Concentrate-Data-Sheets/</w:t>
      </w:r>
      <w:r>
        <w:rPr>
          <w:rFonts w:ascii="Times New Roman" w:hAnsi="Times New Roman"/>
          <w:sz w:val="18"/>
          <w:szCs w:val="18"/>
        </w:rPr>
        <w:br/>
      </w:r>
      <w:r w:rsidRPr="00B17F8E">
        <w:rPr>
          <w:rFonts w:ascii="Times New Roman" w:hAnsi="Times New Roman"/>
          <w:sz w:val="18"/>
          <w:szCs w:val="18"/>
        </w:rPr>
        <w:t>Arctic-Foam/Brochures/Transition-C8-C6-Foam-Spotlight_F-2017004.aspx</w:t>
      </w:r>
      <w:r>
        <w:rPr>
          <w:rFonts w:ascii="Times New Roman" w:hAnsi="Times New Roman"/>
          <w:sz w:val="18"/>
          <w:szCs w:val="18"/>
        </w:rPr>
        <w:t>.</w:t>
      </w:r>
    </w:p>
  </w:footnote>
  <w:footnote w:id="48">
    <w:p w14:paraId="037249C1" w14:textId="0F72453C" w:rsidR="00370BD5" w:rsidRPr="001854E9" w:rsidRDefault="00370BD5" w:rsidP="00370BD5">
      <w:pPr>
        <w:pStyle w:val="FootnoteText"/>
        <w:spacing w:before="20" w:after="40" w:line="240" w:lineRule="auto"/>
        <w:ind w:left="1247"/>
        <w:jc w:val="left"/>
        <w:rPr>
          <w:rFonts w:ascii="Times New Roman" w:hAnsi="Times New Roman"/>
          <w:sz w:val="18"/>
          <w:szCs w:val="18"/>
        </w:rPr>
      </w:pPr>
      <w:r w:rsidRPr="000D2848">
        <w:rPr>
          <w:rStyle w:val="FootnoteReference"/>
          <w:rFonts w:ascii="Times New Roman" w:hAnsi="Times New Roman"/>
          <w:sz w:val="18"/>
          <w:szCs w:val="18"/>
        </w:rPr>
        <w:footnoteRef/>
      </w:r>
      <w:r w:rsidRPr="000D2848">
        <w:rPr>
          <w:rFonts w:ascii="Times New Roman" w:hAnsi="Times New Roman"/>
          <w:sz w:val="18"/>
          <w:szCs w:val="18"/>
        </w:rPr>
        <w:t xml:space="preserve"> Under the EU REACH regulation PFOA based fire-fighting foams </w:t>
      </w:r>
      <w:r>
        <w:rPr>
          <w:rFonts w:ascii="Times New Roman" w:hAnsi="Times New Roman"/>
          <w:sz w:val="18"/>
          <w:szCs w:val="18"/>
        </w:rPr>
        <w:t xml:space="preserve">mixtures </w:t>
      </w:r>
      <w:r w:rsidRPr="000D2848">
        <w:rPr>
          <w:rFonts w:ascii="Times New Roman" w:hAnsi="Times New Roman"/>
          <w:sz w:val="18"/>
          <w:szCs w:val="18"/>
        </w:rPr>
        <w:t>placed on the market by or before the 4</w:t>
      </w:r>
      <w:r w:rsidRPr="000D2848">
        <w:rPr>
          <w:rFonts w:ascii="Times New Roman" w:hAnsi="Times New Roman"/>
          <w:sz w:val="18"/>
          <w:szCs w:val="18"/>
          <w:vertAlign w:val="superscript"/>
        </w:rPr>
        <w:t>th</w:t>
      </w:r>
      <w:r w:rsidRPr="000D2848">
        <w:rPr>
          <w:rFonts w:ascii="Times New Roman" w:hAnsi="Times New Roman"/>
          <w:sz w:val="18"/>
          <w:szCs w:val="18"/>
        </w:rPr>
        <w:t xml:space="preserve"> July 2020 would be </w:t>
      </w:r>
      <w:r w:rsidRPr="001854E9">
        <w:rPr>
          <w:rFonts w:ascii="Times New Roman" w:hAnsi="Times New Roman"/>
          <w:sz w:val="18"/>
          <w:szCs w:val="18"/>
        </w:rPr>
        <w:t xml:space="preserve">permitted for use. </w:t>
      </w:r>
      <w:proofErr w:type="gramStart"/>
      <w:r w:rsidRPr="00675A2E">
        <w:rPr>
          <w:rFonts w:ascii="Times New Roman" w:hAnsi="Times New Roman"/>
          <w:sz w:val="18"/>
          <w:szCs w:val="18"/>
        </w:rPr>
        <w:t>Also</w:t>
      </w:r>
      <w:proofErr w:type="gramEnd"/>
      <w:r w:rsidRPr="00675A2E">
        <w:rPr>
          <w:rFonts w:ascii="Times New Roman" w:hAnsi="Times New Roman"/>
          <w:sz w:val="18"/>
          <w:szCs w:val="18"/>
        </w:rPr>
        <w:t xml:space="preserve"> concentrated fire-fighting foams mixtures placed on the market</w:t>
      </w:r>
      <w:r>
        <w:rPr>
          <w:rFonts w:ascii="Times New Roman" w:hAnsi="Times New Roman"/>
          <w:sz w:val="18"/>
          <w:szCs w:val="18"/>
        </w:rPr>
        <w:t xml:space="preserve"> before 4 July 2020 to be used or used to produce other fire-fighting foams mixtures are exempted.</w:t>
      </w:r>
    </w:p>
  </w:footnote>
  <w:footnote w:id="49">
    <w:p w14:paraId="5284300D" w14:textId="6166D20D" w:rsidR="00370BD5" w:rsidRPr="00370BD5" w:rsidRDefault="00370BD5" w:rsidP="00370BD5">
      <w:pPr>
        <w:pStyle w:val="FootnoteText"/>
        <w:spacing w:before="20" w:after="40" w:line="240" w:lineRule="auto"/>
        <w:ind w:left="1247"/>
        <w:jc w:val="left"/>
        <w:rPr>
          <w:rFonts w:ascii="Times New Roman" w:hAnsi="Times New Roman"/>
          <w:sz w:val="18"/>
          <w:szCs w:val="18"/>
        </w:rPr>
      </w:pPr>
      <w:r w:rsidRPr="00370BD5">
        <w:rPr>
          <w:rStyle w:val="FootnoteReference"/>
          <w:rFonts w:ascii="Times New Roman" w:hAnsi="Times New Roman"/>
          <w:sz w:val="18"/>
          <w:szCs w:val="18"/>
        </w:rPr>
        <w:footnoteRef/>
      </w:r>
      <w:r w:rsidRPr="00370BD5">
        <w:rPr>
          <w:rFonts w:ascii="Times New Roman" w:hAnsi="Times New Roman"/>
          <w:sz w:val="18"/>
          <w:szCs w:val="18"/>
        </w:rPr>
        <w:t xml:space="preserve"> Under EC 757/2010, fire-fighting foams containing PFOS placed on the market within the EU before 27</w:t>
      </w:r>
      <w:r>
        <w:rPr>
          <w:rFonts w:ascii="Times New Roman" w:hAnsi="Times New Roman"/>
          <w:sz w:val="18"/>
          <w:szCs w:val="18"/>
        </w:rPr>
        <w:t> </w:t>
      </w:r>
      <w:r w:rsidRPr="00370BD5">
        <w:rPr>
          <w:rFonts w:ascii="Times New Roman" w:hAnsi="Times New Roman"/>
          <w:sz w:val="18"/>
          <w:szCs w:val="18"/>
        </w:rPr>
        <w:t xml:space="preserve">December 2006 </w:t>
      </w:r>
      <w:proofErr w:type="gramStart"/>
      <w:r w:rsidRPr="00370BD5">
        <w:rPr>
          <w:rFonts w:ascii="Times New Roman" w:hAnsi="Times New Roman"/>
          <w:sz w:val="18"/>
          <w:szCs w:val="18"/>
        </w:rPr>
        <w:t>were allowed to</w:t>
      </w:r>
      <w:proofErr w:type="gramEnd"/>
      <w:r w:rsidRPr="00370BD5">
        <w:rPr>
          <w:rFonts w:ascii="Times New Roman" w:hAnsi="Times New Roman"/>
          <w:sz w:val="18"/>
          <w:szCs w:val="18"/>
        </w:rPr>
        <w:t xml:space="preserve"> be used until 27 June 2011. </w:t>
      </w:r>
    </w:p>
  </w:footnote>
  <w:footnote w:id="50">
    <w:p w14:paraId="6C4E0AEC" w14:textId="28C40300" w:rsidR="00370BD5" w:rsidRPr="00370BD5" w:rsidRDefault="00370BD5" w:rsidP="00370BD5">
      <w:pPr>
        <w:pStyle w:val="FootnoteText"/>
        <w:spacing w:before="20" w:after="40" w:line="240" w:lineRule="auto"/>
        <w:ind w:left="1247"/>
        <w:jc w:val="left"/>
        <w:rPr>
          <w:rFonts w:ascii="Times New Roman" w:hAnsi="Times New Roman"/>
          <w:sz w:val="18"/>
          <w:szCs w:val="18"/>
        </w:rPr>
      </w:pPr>
      <w:r w:rsidRPr="00370BD5">
        <w:rPr>
          <w:rStyle w:val="FootnoteReference"/>
          <w:rFonts w:ascii="Times New Roman" w:hAnsi="Times New Roman"/>
          <w:sz w:val="18"/>
          <w:szCs w:val="18"/>
        </w:rPr>
        <w:footnoteRef/>
      </w:r>
      <w:r w:rsidRPr="00370BD5">
        <w:rPr>
          <w:rFonts w:ascii="Times New Roman" w:hAnsi="Times New Roman"/>
          <w:sz w:val="18"/>
          <w:szCs w:val="18"/>
        </w:rPr>
        <w:t xml:space="preserve"> Please note that under para 6 of decision POPRC-13/2: that, a request to the Secretariat has been made to prepare a document on note (ii) of part I of Annex A to the Convention and scope of the reference to stockpiles within Article 6 of the Convention and make it available to the Committee for consideration at its fourteenth meeting. This is intended to clarify the Convention scope for goods already placed to market.</w:t>
      </w:r>
    </w:p>
  </w:footnote>
  <w:footnote w:id="51">
    <w:p w14:paraId="5F110D41" w14:textId="3ED54109" w:rsidR="00370BD5" w:rsidRPr="00370BD5" w:rsidRDefault="00370BD5" w:rsidP="00370BD5">
      <w:pPr>
        <w:pStyle w:val="FootnoteText"/>
        <w:spacing w:before="20" w:after="40" w:line="240" w:lineRule="auto"/>
        <w:ind w:left="1247"/>
        <w:jc w:val="left"/>
        <w:rPr>
          <w:rFonts w:ascii="Times New Roman" w:hAnsi="Times New Roman"/>
          <w:sz w:val="18"/>
          <w:szCs w:val="18"/>
        </w:rPr>
      </w:pPr>
      <w:r w:rsidRPr="00370BD5">
        <w:rPr>
          <w:rStyle w:val="FootnoteReference"/>
          <w:rFonts w:ascii="Times New Roman" w:hAnsi="Times New Roman"/>
          <w:sz w:val="18"/>
          <w:szCs w:val="18"/>
        </w:rPr>
        <w:footnoteRef/>
      </w:r>
      <w:r w:rsidRPr="00370BD5">
        <w:rPr>
          <w:rFonts w:ascii="Times New Roman" w:hAnsi="Times New Roman"/>
          <w:sz w:val="18"/>
          <w:szCs w:val="18"/>
        </w:rPr>
        <w:t xml:space="preserve"> The global estimates for APFO manufacture (between 1951-2004) was 3,600 – –5,700 tonnes of APFO, equivalent to 3,600,000 - 5,700,000 </w:t>
      </w:r>
      <w:proofErr w:type="spellStart"/>
      <w:r w:rsidRPr="00370BD5">
        <w:rPr>
          <w:rFonts w:ascii="Times New Roman" w:hAnsi="Times New Roman"/>
          <w:sz w:val="18"/>
          <w:szCs w:val="18"/>
        </w:rPr>
        <w:t>kgs</w:t>
      </w:r>
      <w:proofErr w:type="spellEnd"/>
      <w:r w:rsidRPr="00370BD5">
        <w:rPr>
          <w:rFonts w:ascii="Times New Roman" w:hAnsi="Times New Roman"/>
          <w:sz w:val="18"/>
          <w:szCs w:val="18"/>
        </w:rPr>
        <w:t>. Specific gravity of APFO is 1.163 g/cm (</w:t>
      </w:r>
      <w:hyperlink r:id="rId20" w:history="1">
        <w:r w:rsidRPr="00370BD5">
          <w:rPr>
            <w:rStyle w:val="Hyperlink"/>
            <w:rFonts w:ascii="Times New Roman" w:hAnsi="Times New Roman"/>
            <w:sz w:val="18"/>
            <w:szCs w:val="18"/>
          </w:rPr>
          <w:t>http://www.chemicalbook.com/ChemicalProductProperty_EN_CB7258194.htm</w:t>
        </w:r>
      </w:hyperlink>
      <w:r w:rsidRPr="00370BD5">
        <w:rPr>
          <w:rFonts w:ascii="Times New Roman" w:hAnsi="Times New Roman"/>
          <w:sz w:val="18"/>
          <w:szCs w:val="18"/>
        </w:rPr>
        <w:t xml:space="preserve">) 3,600,000 kg / 1.163 specific gravity = 3,095,442 litres. 5,700,000 kg / 1.163 specific gravity = 4,901,117 litres. PFOS and APFO compounds are present at concentrations between 0.1 – 1–% </w:t>
      </w:r>
      <w:proofErr w:type="spellStart"/>
      <w:r w:rsidRPr="00370BD5">
        <w:rPr>
          <w:rFonts w:ascii="Times New Roman" w:hAnsi="Times New Roman"/>
          <w:sz w:val="18"/>
          <w:szCs w:val="18"/>
        </w:rPr>
        <w:t>wt</w:t>
      </w:r>
      <w:proofErr w:type="spellEnd"/>
      <w:r w:rsidRPr="00370BD5">
        <w:rPr>
          <w:rFonts w:ascii="Times New Roman" w:hAnsi="Times New Roman"/>
          <w:sz w:val="18"/>
          <w:szCs w:val="18"/>
        </w:rPr>
        <w:t>/</w:t>
      </w:r>
      <w:proofErr w:type="spellStart"/>
      <w:r w:rsidRPr="00370BD5">
        <w:rPr>
          <w:rFonts w:ascii="Times New Roman" w:hAnsi="Times New Roman"/>
          <w:sz w:val="18"/>
          <w:szCs w:val="18"/>
        </w:rPr>
        <w:t>wt</w:t>
      </w:r>
      <w:proofErr w:type="spellEnd"/>
      <w:r w:rsidRPr="00370BD5">
        <w:rPr>
          <w:rFonts w:ascii="Times New Roman" w:hAnsi="Times New Roman"/>
          <w:sz w:val="18"/>
          <w:szCs w:val="18"/>
        </w:rPr>
        <w:t xml:space="preserve"> in fire-fighting concentrates. Lowest estimate 309,544,2823,095, litres of APFO as 0.1</w:t>
      </w:r>
      <w:proofErr w:type="gramStart"/>
      <w:r w:rsidRPr="00370BD5">
        <w:rPr>
          <w:rFonts w:ascii="Times New Roman" w:hAnsi="Times New Roman"/>
          <w:sz w:val="18"/>
          <w:szCs w:val="18"/>
        </w:rPr>
        <w:t>%  Highest</w:t>
      </w:r>
      <w:proofErr w:type="gramEnd"/>
      <w:r w:rsidRPr="00370BD5">
        <w:rPr>
          <w:rFonts w:ascii="Times New Roman" w:hAnsi="Times New Roman"/>
          <w:sz w:val="18"/>
          <w:szCs w:val="18"/>
        </w:rPr>
        <w:t xml:space="preserve"> estimate 4,901,117,799 litres of APFO as 1% </w:t>
      </w:r>
      <w:proofErr w:type="spellStart"/>
      <w:r w:rsidRPr="00370BD5">
        <w:rPr>
          <w:rFonts w:ascii="Times New Roman" w:hAnsi="Times New Roman"/>
          <w:sz w:val="18"/>
          <w:szCs w:val="18"/>
        </w:rPr>
        <w:t>wt</w:t>
      </w:r>
      <w:proofErr w:type="spellEnd"/>
      <w:r w:rsidRPr="00370BD5">
        <w:rPr>
          <w:rFonts w:ascii="Times New Roman" w:hAnsi="Times New Roman"/>
          <w:sz w:val="18"/>
          <w:szCs w:val="18"/>
        </w:rPr>
        <w:t>/wt.</w:t>
      </w:r>
    </w:p>
  </w:footnote>
  <w:footnote w:id="52">
    <w:p w14:paraId="16C32C51" w14:textId="77777777" w:rsidR="00370BD5" w:rsidRPr="00370BD5" w:rsidRDefault="00370BD5" w:rsidP="00370BD5">
      <w:pPr>
        <w:pStyle w:val="FootnoteText"/>
        <w:spacing w:before="20" w:after="40" w:line="240" w:lineRule="auto"/>
        <w:ind w:left="1247"/>
        <w:jc w:val="left"/>
        <w:rPr>
          <w:rFonts w:ascii="Times New Roman" w:hAnsi="Times New Roman"/>
          <w:sz w:val="18"/>
          <w:szCs w:val="18"/>
        </w:rPr>
      </w:pPr>
      <w:r w:rsidRPr="00370BD5">
        <w:rPr>
          <w:rStyle w:val="FootnoteReference"/>
          <w:rFonts w:ascii="Times New Roman" w:hAnsi="Times New Roman"/>
          <w:sz w:val="18"/>
          <w:szCs w:val="18"/>
        </w:rPr>
        <w:footnoteRef/>
      </w:r>
      <w:r w:rsidRPr="00370BD5">
        <w:rPr>
          <w:rFonts w:ascii="Times New Roman" w:hAnsi="Times New Roman"/>
          <w:sz w:val="18"/>
          <w:szCs w:val="18"/>
        </w:rPr>
        <w:t xml:space="preserve"> The EU proposal for restriction estimates 50 – –100 tonnes of PFOA-related compounds, equivalent to 50,000 – –100,000 </w:t>
      </w:r>
      <w:proofErr w:type="spellStart"/>
      <w:r w:rsidRPr="00370BD5">
        <w:rPr>
          <w:rFonts w:ascii="Times New Roman" w:hAnsi="Times New Roman"/>
          <w:sz w:val="18"/>
          <w:szCs w:val="18"/>
        </w:rPr>
        <w:t>kgs</w:t>
      </w:r>
      <w:proofErr w:type="spellEnd"/>
      <w:r w:rsidRPr="00370BD5">
        <w:rPr>
          <w:rFonts w:ascii="Times New Roman" w:hAnsi="Times New Roman"/>
          <w:sz w:val="18"/>
          <w:szCs w:val="18"/>
        </w:rPr>
        <w:t>. Specific gravity of C8-C20-ω-perfluoro telomer thiols with acrylamide is 1.12 g/cm (</w:t>
      </w:r>
      <w:hyperlink r:id="rId21" w:history="1">
        <w:r w:rsidRPr="00370BD5">
          <w:rPr>
            <w:rStyle w:val="Hyperlink"/>
            <w:rFonts w:ascii="Times New Roman" w:hAnsi="Times New Roman"/>
            <w:sz w:val="18"/>
            <w:szCs w:val="18"/>
          </w:rPr>
          <w:t>http://www.interstateproducts.com/fire_fighting/home/FS%20MSDS/FS-818-11.pdf</w:t>
        </w:r>
      </w:hyperlink>
      <w:r w:rsidRPr="00370BD5">
        <w:rPr>
          <w:rFonts w:ascii="Times New Roman" w:hAnsi="Times New Roman"/>
          <w:sz w:val="18"/>
          <w:szCs w:val="18"/>
        </w:rPr>
        <w:t xml:space="preserve">) 50,000 kg / 1.12 specific gravity = 44,640 litres. 100,000 kg / 1.12 specific gravity = 89,300 litres. One US gallon is equivalent to 3.785 litres. 44,640 litres / 3.785 litres per gallon = 11,800 gallons of PFOA-related. 89,300 litres / 3.785 gallons per litre = 23,600 US gallons. </w:t>
      </w:r>
    </w:p>
    <w:p w14:paraId="20379A15" w14:textId="39D78828" w:rsidR="00370BD5" w:rsidRPr="00370BD5" w:rsidRDefault="00370BD5" w:rsidP="00370BD5">
      <w:pPr>
        <w:pStyle w:val="FootnoteText"/>
        <w:spacing w:before="20" w:after="40" w:line="240" w:lineRule="auto"/>
        <w:ind w:left="1247"/>
        <w:jc w:val="left"/>
        <w:rPr>
          <w:rFonts w:ascii="Times New Roman" w:hAnsi="Times New Roman"/>
          <w:sz w:val="18"/>
          <w:szCs w:val="18"/>
        </w:rPr>
      </w:pPr>
      <w:proofErr w:type="gramStart"/>
      <w:r w:rsidRPr="00370BD5">
        <w:rPr>
          <w:rFonts w:ascii="Times New Roman" w:hAnsi="Times New Roman"/>
          <w:sz w:val="18"/>
          <w:szCs w:val="18"/>
        </w:rPr>
        <w:t>Assuming that</w:t>
      </w:r>
      <w:proofErr w:type="gramEnd"/>
      <w:r w:rsidRPr="00370BD5">
        <w:rPr>
          <w:rFonts w:ascii="Times New Roman" w:hAnsi="Times New Roman"/>
          <w:sz w:val="18"/>
          <w:szCs w:val="18"/>
        </w:rPr>
        <w:t xml:space="preserve"> PFOA and PFOA-related compounds are used at between 0.1 – 1–% </w:t>
      </w:r>
      <w:proofErr w:type="spellStart"/>
      <w:r w:rsidRPr="00370BD5">
        <w:rPr>
          <w:rFonts w:ascii="Times New Roman" w:hAnsi="Times New Roman"/>
          <w:sz w:val="18"/>
          <w:szCs w:val="18"/>
        </w:rPr>
        <w:t>wt</w:t>
      </w:r>
      <w:proofErr w:type="spellEnd"/>
      <w:r w:rsidRPr="00370BD5">
        <w:rPr>
          <w:rFonts w:ascii="Times New Roman" w:hAnsi="Times New Roman"/>
          <w:sz w:val="18"/>
          <w:szCs w:val="18"/>
        </w:rPr>
        <w:t>/</w:t>
      </w:r>
      <w:proofErr w:type="spellStart"/>
      <w:r w:rsidRPr="00370BD5">
        <w:rPr>
          <w:rFonts w:ascii="Times New Roman" w:hAnsi="Times New Roman"/>
          <w:sz w:val="18"/>
          <w:szCs w:val="18"/>
        </w:rPr>
        <w:t>wt</w:t>
      </w:r>
      <w:proofErr w:type="spellEnd"/>
      <w:r w:rsidRPr="00370BD5">
        <w:rPr>
          <w:rFonts w:ascii="Times New Roman" w:hAnsi="Times New Roman"/>
          <w:sz w:val="18"/>
          <w:szCs w:val="18"/>
        </w:rPr>
        <w:t xml:space="preserve"> in fire-fighting concentrates. 11,890 gallons of PFOA-related = 1.18 – 11.79–1 million US gallons of concentrate. 23,600 US gallons of PFOA-related = 2.36 – 23.59–2 million US gallons of concentrate.</w:t>
      </w:r>
    </w:p>
  </w:footnote>
  <w:footnote w:id="53">
    <w:p w14:paraId="285D6AAD" w14:textId="162CBD9B" w:rsidR="00370BD5" w:rsidRPr="000D2848" w:rsidRDefault="00370BD5" w:rsidP="003D6476">
      <w:pPr>
        <w:pStyle w:val="FootnoteText"/>
        <w:spacing w:before="20" w:after="40" w:line="240" w:lineRule="auto"/>
        <w:ind w:left="1247"/>
        <w:jc w:val="left"/>
        <w:rPr>
          <w:rFonts w:ascii="Times New Roman" w:hAnsi="Times New Roman"/>
          <w:sz w:val="18"/>
          <w:szCs w:val="18"/>
        </w:rPr>
      </w:pPr>
      <w:r w:rsidRPr="000D2848">
        <w:rPr>
          <w:rStyle w:val="FootnoteReference"/>
          <w:rFonts w:ascii="Times New Roman" w:hAnsi="Times New Roman"/>
          <w:sz w:val="18"/>
          <w:szCs w:val="18"/>
        </w:rPr>
        <w:footnoteRef/>
      </w:r>
      <w:r w:rsidRPr="000D2848">
        <w:rPr>
          <w:rFonts w:ascii="Times New Roman" w:hAnsi="Times New Roman"/>
          <w:sz w:val="18"/>
          <w:szCs w:val="18"/>
        </w:rPr>
        <w:t xml:space="preserve"> Internationally fires are </w:t>
      </w:r>
      <w:proofErr w:type="gramStart"/>
      <w:r w:rsidRPr="000D2848">
        <w:rPr>
          <w:rFonts w:ascii="Times New Roman" w:hAnsi="Times New Roman"/>
          <w:sz w:val="18"/>
          <w:szCs w:val="18"/>
        </w:rPr>
        <w:t>classified into groups</w:t>
      </w:r>
      <w:proofErr w:type="gramEnd"/>
      <w:r w:rsidRPr="000D2848">
        <w:rPr>
          <w:rFonts w:ascii="Times New Roman" w:hAnsi="Times New Roman"/>
          <w:sz w:val="18"/>
          <w:szCs w:val="18"/>
        </w:rPr>
        <w:t xml:space="preserve"> based on the nature of the fire. This in turn defines what kind of fire-fighting media is most appropriate to be used. Class B fires relate to flammable liquids, where fire-fighting foams may be needed to suppress the fire (e.g. oil based fires). http://surreyfire.co.uk/types-of-fire-extinguisher/</w:t>
      </w:r>
      <w:r>
        <w:rPr>
          <w:rFonts w:ascii="Times New Roman" w:hAnsi="Times New Roman"/>
          <w:sz w:val="18"/>
          <w:szCs w:val="18"/>
        </w:rPr>
        <w:t>.</w:t>
      </w:r>
    </w:p>
  </w:footnote>
  <w:footnote w:id="54">
    <w:p w14:paraId="22D236EE" w14:textId="77777777" w:rsidR="00370BD5" w:rsidRPr="000D2848" w:rsidRDefault="00370BD5" w:rsidP="003D6476">
      <w:pPr>
        <w:pStyle w:val="FootnoteText"/>
        <w:spacing w:before="20" w:after="40" w:line="240" w:lineRule="auto"/>
        <w:ind w:left="1247"/>
        <w:jc w:val="left"/>
        <w:rPr>
          <w:rFonts w:ascii="Times New Roman" w:hAnsi="Times New Roman"/>
          <w:sz w:val="18"/>
          <w:szCs w:val="18"/>
        </w:rPr>
      </w:pPr>
      <w:r w:rsidRPr="000D2848">
        <w:rPr>
          <w:rStyle w:val="FootnoteReference"/>
          <w:rFonts w:ascii="Times New Roman" w:hAnsi="Times New Roman"/>
          <w:sz w:val="18"/>
          <w:szCs w:val="18"/>
        </w:rPr>
        <w:footnoteRef/>
      </w:r>
      <w:r w:rsidRPr="000D2848">
        <w:rPr>
          <w:rFonts w:ascii="Times New Roman" w:hAnsi="Times New Roman"/>
          <w:sz w:val="18"/>
          <w:szCs w:val="18"/>
        </w:rPr>
        <w:t xml:space="preserve"> BREF, 2010, comments on the general operating conditions within European cement kilns with temperatures up to 2000 degrees Celsius. Materials within sintering zone reach temperatures of 1450 degrees Celsius and retention times of not less than eight seconds.</w:t>
      </w:r>
    </w:p>
  </w:footnote>
  <w:footnote w:id="55">
    <w:p w14:paraId="3B3676DB" w14:textId="1AC18372" w:rsidR="00370BD5" w:rsidRPr="003D6476" w:rsidRDefault="00370BD5" w:rsidP="003D6476">
      <w:pPr>
        <w:pStyle w:val="FootnoteText"/>
        <w:snapToGrid w:val="0"/>
        <w:spacing w:before="20" w:after="40" w:line="240" w:lineRule="auto"/>
        <w:ind w:left="1247"/>
        <w:jc w:val="left"/>
        <w:rPr>
          <w:rFonts w:ascii="Times New Roman" w:hAnsi="Times New Roman"/>
          <w:sz w:val="18"/>
          <w:szCs w:val="18"/>
        </w:rPr>
      </w:pPr>
      <w:r w:rsidRPr="003D6476">
        <w:rPr>
          <w:rStyle w:val="FootnoteReference"/>
          <w:rFonts w:ascii="Times New Roman" w:hAnsi="Times New Roman"/>
          <w:sz w:val="18"/>
          <w:szCs w:val="18"/>
        </w:rPr>
        <w:footnoteRef/>
      </w:r>
      <w:r w:rsidRPr="003D6476">
        <w:rPr>
          <w:rFonts w:ascii="Times New Roman" w:hAnsi="Times New Roman"/>
          <w:sz w:val="18"/>
          <w:szCs w:val="18"/>
        </w:rPr>
        <w:t xml:space="preserve"> </w:t>
      </w:r>
      <w:hyperlink r:id="rId22" w:history="1">
        <w:r w:rsidRPr="003D6476">
          <w:rPr>
            <w:rStyle w:val="Hyperlink"/>
            <w:rFonts w:ascii="Times New Roman" w:hAnsi="Times New Roman"/>
            <w:sz w:val="18"/>
            <w:szCs w:val="18"/>
          </w:rPr>
          <w:t>http://www.solbergfoam.com/getattachment/28194868-f365-4da5-ba40-860f1a3bd9eb/Presidential-Award-Bestowed-on-Solberg.aspx</w:t>
        </w:r>
      </w:hyperlink>
      <w:r w:rsidRPr="003D6476">
        <w:rPr>
          <w:rStyle w:val="Hyperlink"/>
          <w:rFonts w:ascii="Times New Roman" w:hAnsi="Times New Roman"/>
          <w:sz w:val="18"/>
          <w:szCs w:val="18"/>
        </w:rPr>
        <w:t>.</w:t>
      </w:r>
    </w:p>
  </w:footnote>
  <w:footnote w:id="56">
    <w:p w14:paraId="015AB371" w14:textId="68F1B7B2" w:rsidR="00370BD5" w:rsidRPr="003D6476" w:rsidRDefault="00370BD5" w:rsidP="003D6476">
      <w:pPr>
        <w:pStyle w:val="FootnoteText"/>
        <w:snapToGrid w:val="0"/>
        <w:spacing w:before="20" w:after="40" w:line="240" w:lineRule="auto"/>
        <w:ind w:left="1247"/>
        <w:rPr>
          <w:rFonts w:ascii="Times New Roman" w:hAnsi="Times New Roman"/>
          <w:sz w:val="18"/>
          <w:szCs w:val="18"/>
        </w:rPr>
      </w:pPr>
      <w:r w:rsidRPr="003D6476">
        <w:rPr>
          <w:rStyle w:val="FootnoteReference"/>
          <w:rFonts w:ascii="Times New Roman" w:hAnsi="Times New Roman"/>
          <w:sz w:val="18"/>
          <w:szCs w:val="18"/>
        </w:rPr>
        <w:footnoteRef/>
      </w:r>
      <w:r w:rsidRPr="003D6476">
        <w:rPr>
          <w:rFonts w:ascii="Times New Roman" w:hAnsi="Times New Roman"/>
          <w:sz w:val="18"/>
          <w:szCs w:val="18"/>
        </w:rPr>
        <w:t xml:space="preserve"> Noting that 260 airports and aerodromes exist across Australia in total (Australia 2015).</w:t>
      </w:r>
    </w:p>
  </w:footnote>
  <w:footnote w:id="57">
    <w:p w14:paraId="436A247C" w14:textId="4CDE7D32" w:rsidR="00370BD5" w:rsidRPr="003D6476" w:rsidRDefault="00370BD5" w:rsidP="003D6476">
      <w:pPr>
        <w:pStyle w:val="FootnoteText"/>
        <w:snapToGrid w:val="0"/>
        <w:spacing w:before="20" w:after="40" w:line="240" w:lineRule="auto"/>
        <w:ind w:left="1247"/>
        <w:jc w:val="left"/>
        <w:rPr>
          <w:rFonts w:ascii="Times New Roman" w:hAnsi="Times New Roman"/>
          <w:sz w:val="18"/>
          <w:szCs w:val="18"/>
        </w:rPr>
      </w:pPr>
      <w:r w:rsidRPr="003D6476">
        <w:rPr>
          <w:rStyle w:val="FootnoteReference"/>
          <w:rFonts w:ascii="Times New Roman" w:hAnsi="Times New Roman"/>
          <w:sz w:val="18"/>
          <w:szCs w:val="18"/>
        </w:rPr>
        <w:footnoteRef/>
      </w:r>
      <w:r w:rsidRPr="003D6476">
        <w:rPr>
          <w:rFonts w:ascii="Times New Roman" w:hAnsi="Times New Roman"/>
          <w:sz w:val="18"/>
          <w:szCs w:val="18"/>
        </w:rPr>
        <w:t xml:space="preserve"> http://www.solbergfoam.com.</w:t>
      </w:r>
    </w:p>
  </w:footnote>
  <w:footnote w:id="58">
    <w:p w14:paraId="710472AC" w14:textId="50092C27" w:rsidR="00370BD5" w:rsidRPr="003D6476" w:rsidRDefault="00370BD5" w:rsidP="003D6476">
      <w:pPr>
        <w:pStyle w:val="FootnoteText"/>
        <w:snapToGrid w:val="0"/>
        <w:spacing w:before="20" w:after="40" w:line="240" w:lineRule="auto"/>
        <w:ind w:left="1247"/>
        <w:jc w:val="left"/>
        <w:rPr>
          <w:rFonts w:ascii="Times New Roman" w:hAnsi="Times New Roman"/>
          <w:sz w:val="18"/>
          <w:szCs w:val="18"/>
        </w:rPr>
      </w:pPr>
      <w:r w:rsidRPr="003D6476">
        <w:rPr>
          <w:rStyle w:val="FootnoteReference"/>
          <w:rFonts w:ascii="Times New Roman" w:hAnsi="Times New Roman"/>
          <w:sz w:val="18"/>
          <w:szCs w:val="18"/>
        </w:rPr>
        <w:footnoteRef/>
      </w:r>
      <w:r w:rsidRPr="003D6476">
        <w:rPr>
          <w:rFonts w:ascii="Times New Roman" w:hAnsi="Times New Roman"/>
          <w:sz w:val="18"/>
          <w:szCs w:val="18"/>
        </w:rPr>
        <w:t xml:space="preserve"> https://www.solbergfoam.com/getattachment/b706ff4d-1f47-4030-bd7d-cc8762d3bfed/</w:t>
      </w:r>
      <w:r w:rsidR="003D6476">
        <w:rPr>
          <w:rFonts w:ascii="Times New Roman" w:hAnsi="Times New Roman"/>
          <w:sz w:val="18"/>
          <w:szCs w:val="18"/>
        </w:rPr>
        <w:br/>
      </w:r>
      <w:r w:rsidRPr="003D6476">
        <w:rPr>
          <w:rFonts w:ascii="Times New Roman" w:hAnsi="Times New Roman"/>
          <w:sz w:val="18"/>
          <w:szCs w:val="18"/>
        </w:rPr>
        <w:t>CAFS-FFF-In-ARFF.aspx</w:t>
      </w:r>
    </w:p>
  </w:footnote>
  <w:footnote w:id="59">
    <w:p w14:paraId="4BA85744" w14:textId="0D381FA1" w:rsidR="00370BD5" w:rsidRPr="003D6476" w:rsidRDefault="00370BD5" w:rsidP="003D6476">
      <w:pPr>
        <w:pStyle w:val="FootnoteText"/>
        <w:spacing w:before="20" w:after="40" w:line="240" w:lineRule="auto"/>
        <w:ind w:left="1247"/>
        <w:jc w:val="left"/>
        <w:rPr>
          <w:rFonts w:ascii="Times New Roman" w:hAnsi="Times New Roman"/>
        </w:rPr>
      </w:pPr>
      <w:r w:rsidRPr="003D6476">
        <w:rPr>
          <w:rStyle w:val="FootnoteReference"/>
          <w:rFonts w:ascii="Times New Roman" w:hAnsi="Times New Roman"/>
          <w:sz w:val="18"/>
          <w:szCs w:val="18"/>
        </w:rPr>
        <w:footnoteRef/>
      </w:r>
      <w:r w:rsidRPr="003D6476">
        <w:rPr>
          <w:rFonts w:ascii="Times New Roman" w:hAnsi="Times New Roman"/>
          <w:sz w:val="18"/>
          <w:szCs w:val="18"/>
        </w:rPr>
        <w:t xml:space="preserve"> https://www.solbergfoam.com/getattachment/b706ff4d-1f47-4030-bd7d-cc8762d3bfed/</w:t>
      </w:r>
      <w:r w:rsidR="003D6476">
        <w:rPr>
          <w:rFonts w:ascii="Times New Roman" w:hAnsi="Times New Roman"/>
          <w:sz w:val="18"/>
          <w:szCs w:val="18"/>
        </w:rPr>
        <w:br/>
      </w:r>
      <w:r w:rsidRPr="003D6476">
        <w:rPr>
          <w:rFonts w:ascii="Times New Roman" w:hAnsi="Times New Roman"/>
          <w:sz w:val="18"/>
          <w:szCs w:val="18"/>
        </w:rPr>
        <w:t>CAFS-FFF-In-ARFF.aspx.</w:t>
      </w:r>
    </w:p>
  </w:footnote>
  <w:footnote w:id="60">
    <w:p w14:paraId="4DE7CA3D" w14:textId="38EB1C6D" w:rsidR="00370BD5" w:rsidRPr="003D6476" w:rsidRDefault="00370BD5" w:rsidP="003D6476">
      <w:pPr>
        <w:pStyle w:val="FootnoteText"/>
        <w:spacing w:before="20" w:after="40" w:line="240" w:lineRule="auto"/>
        <w:ind w:left="1247"/>
        <w:jc w:val="left"/>
        <w:rPr>
          <w:rFonts w:ascii="Times New Roman" w:hAnsi="Times New Roman"/>
          <w:sz w:val="18"/>
          <w:szCs w:val="18"/>
        </w:rPr>
      </w:pPr>
      <w:r w:rsidRPr="003D6476">
        <w:rPr>
          <w:rStyle w:val="FootnoteReference"/>
          <w:rFonts w:ascii="Times New Roman" w:hAnsi="Times New Roman"/>
          <w:sz w:val="18"/>
          <w:szCs w:val="18"/>
        </w:rPr>
        <w:footnoteRef/>
      </w:r>
      <w:r w:rsidRPr="003D6476">
        <w:rPr>
          <w:rFonts w:ascii="Times New Roman" w:hAnsi="Times New Roman"/>
          <w:sz w:val="18"/>
          <w:szCs w:val="18"/>
        </w:rPr>
        <w:t xml:space="preserve"> </w:t>
      </w:r>
      <w:hyperlink r:id="rId23" w:history="1">
        <w:r w:rsidRPr="003D6476">
          <w:rPr>
            <w:rStyle w:val="Hyperlink"/>
            <w:rFonts w:ascii="Times New Roman" w:hAnsi="Times New Roman"/>
            <w:sz w:val="18"/>
            <w:szCs w:val="18"/>
          </w:rPr>
          <w:t>https://toxicfreefuture.org/new-law-protects-drinking-water-firefighters-toxic-perfluorinated-chemicals/</w:t>
        </w:r>
      </w:hyperlink>
      <w:r w:rsidRPr="003D6476">
        <w:rPr>
          <w:rStyle w:val="Hyperlink"/>
          <w:rFonts w:ascii="Times New Roman" w:hAnsi="Times New Roman"/>
          <w:sz w:val="18"/>
          <w:szCs w:val="18"/>
        </w:rPr>
        <w:t>.</w:t>
      </w:r>
    </w:p>
  </w:footnote>
  <w:footnote w:id="61">
    <w:p w14:paraId="2AE492D3" w14:textId="4F212322" w:rsidR="00370BD5" w:rsidRPr="003D6476" w:rsidRDefault="00370BD5" w:rsidP="003D6476">
      <w:pPr>
        <w:pStyle w:val="FootnoteText"/>
        <w:spacing w:before="20" w:after="40" w:line="240" w:lineRule="auto"/>
        <w:ind w:left="1247"/>
        <w:jc w:val="left"/>
        <w:rPr>
          <w:rFonts w:ascii="Times New Roman" w:hAnsi="Times New Roman"/>
          <w:sz w:val="18"/>
          <w:szCs w:val="18"/>
        </w:rPr>
      </w:pPr>
      <w:r w:rsidRPr="003D6476">
        <w:rPr>
          <w:rStyle w:val="FootnoteReference"/>
          <w:rFonts w:ascii="Times New Roman" w:hAnsi="Times New Roman"/>
          <w:sz w:val="18"/>
          <w:szCs w:val="18"/>
        </w:rPr>
        <w:footnoteRef/>
      </w:r>
      <w:r w:rsidRPr="003D6476">
        <w:rPr>
          <w:rFonts w:ascii="Times New Roman" w:hAnsi="Times New Roman"/>
          <w:sz w:val="18"/>
          <w:szCs w:val="18"/>
        </w:rPr>
        <w:t xml:space="preserve"> https://www.theguardian.com/australia-news/2017/oct/18/toxic-firefighting-chemicals-the-most-seminal-public-health-challenge.</w:t>
      </w:r>
    </w:p>
  </w:footnote>
  <w:footnote w:id="62">
    <w:p w14:paraId="1F760A08" w14:textId="48E6B143" w:rsidR="00370BD5" w:rsidRPr="002D2322" w:rsidRDefault="00370BD5" w:rsidP="003D6476">
      <w:pPr>
        <w:pStyle w:val="FootnoteText"/>
        <w:spacing w:before="20" w:after="40" w:line="240" w:lineRule="auto"/>
        <w:ind w:left="1247"/>
        <w:jc w:val="left"/>
        <w:rPr>
          <w:rFonts w:asciiTheme="majorBidi" w:eastAsiaTheme="minorEastAsia" w:hAnsiTheme="majorBidi" w:cstheme="majorBidi"/>
          <w:sz w:val="18"/>
          <w:szCs w:val="18"/>
          <w:lang w:eastAsia="ja-JP"/>
        </w:rPr>
      </w:pPr>
      <w:r w:rsidRPr="002D2322">
        <w:rPr>
          <w:rStyle w:val="FootnoteReference"/>
          <w:rFonts w:asciiTheme="majorBidi" w:hAnsiTheme="majorBidi" w:cstheme="majorBidi"/>
          <w:sz w:val="18"/>
          <w:szCs w:val="18"/>
        </w:rPr>
        <w:footnoteRef/>
      </w:r>
      <w:r w:rsidRPr="002D2322">
        <w:rPr>
          <w:rFonts w:asciiTheme="majorBidi" w:hAnsiTheme="majorBidi" w:cstheme="majorBidi"/>
          <w:sz w:val="18"/>
          <w:szCs w:val="18"/>
        </w:rPr>
        <w:t xml:space="preserve"> UNEP/POPS/POPRC.13/7/Add.2.</w:t>
      </w:r>
    </w:p>
  </w:footnote>
  <w:footnote w:id="63">
    <w:p w14:paraId="1291857D" w14:textId="77777777" w:rsidR="00370BD5" w:rsidRPr="00045400" w:rsidRDefault="00370BD5" w:rsidP="003D6476">
      <w:pPr>
        <w:pStyle w:val="FootnoteText"/>
        <w:spacing w:before="20" w:after="40" w:line="240" w:lineRule="auto"/>
        <w:ind w:left="1247"/>
        <w:jc w:val="left"/>
        <w:rPr>
          <w:rFonts w:ascii="Times New Roman" w:hAnsi="Times New Roman"/>
          <w:sz w:val="18"/>
          <w:szCs w:val="18"/>
        </w:rPr>
      </w:pPr>
      <w:r w:rsidRPr="00045400">
        <w:rPr>
          <w:rStyle w:val="FootnoteReference"/>
          <w:rFonts w:ascii="Times New Roman" w:hAnsi="Times New Roman"/>
          <w:sz w:val="18"/>
          <w:szCs w:val="18"/>
        </w:rPr>
        <w:footnoteRef/>
      </w:r>
      <w:r>
        <w:rPr>
          <w:rFonts w:ascii="Times New Roman" w:hAnsi="Times New Roman"/>
          <w:sz w:val="18"/>
          <w:szCs w:val="18"/>
          <w:lang w:eastAsia="en-US"/>
        </w:rPr>
        <w:t xml:space="preserve"> C</w:t>
      </w:r>
      <w:r w:rsidRPr="00045400">
        <w:rPr>
          <w:rFonts w:ascii="Times New Roman" w:hAnsi="Times New Roman"/>
          <w:sz w:val="18"/>
          <w:szCs w:val="18"/>
          <w:lang w:eastAsia="en-US"/>
        </w:rPr>
        <w:t xml:space="preserve">ommercial products containing primarily &gt;99% of one individual homologue may exist; </w:t>
      </w:r>
      <w:r>
        <w:rPr>
          <w:rFonts w:ascii="Times New Roman" w:hAnsi="Times New Roman"/>
          <w:sz w:val="18"/>
          <w:szCs w:val="18"/>
          <w:lang w:eastAsia="en-US"/>
        </w:rPr>
        <w:t>this</w:t>
      </w:r>
      <w:r w:rsidRPr="00045400">
        <w:rPr>
          <w:rFonts w:ascii="Times New Roman" w:hAnsi="Times New Roman"/>
          <w:sz w:val="18"/>
          <w:szCs w:val="18"/>
          <w:lang w:eastAsia="en-US"/>
        </w:rPr>
        <w:t xml:space="preserve"> requires additional purification processes</w:t>
      </w:r>
      <w:r>
        <w:rPr>
          <w:rFonts w:ascii="Times New Roman" w:hAnsi="Times New Roman"/>
          <w:sz w:val="18"/>
          <w:szCs w:val="18"/>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A3A23" w14:textId="2681D931" w:rsidR="00370BD5" w:rsidRPr="00761D39" w:rsidRDefault="00370BD5" w:rsidP="00761D39">
    <w:pPr>
      <w:pStyle w:val="Header"/>
      <w:pBdr>
        <w:bottom w:val="single" w:sz="6" w:space="1" w:color="auto"/>
      </w:pBdr>
      <w:rPr>
        <w:b/>
        <w:sz w:val="18"/>
        <w:szCs w:val="18"/>
      </w:rPr>
    </w:pPr>
    <w:r w:rsidRPr="00144BD7">
      <w:rPr>
        <w:b/>
        <w:sz w:val="18"/>
        <w:szCs w:val="18"/>
      </w:rPr>
      <w:t>UNEP/POPS/POPRC.</w:t>
    </w:r>
    <w:r>
      <w:rPr>
        <w:b/>
        <w:sz w:val="18"/>
        <w:szCs w:val="18"/>
      </w:rPr>
      <w:t>14/3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36EDB" w14:textId="5E75F541" w:rsidR="00370BD5" w:rsidRPr="00761D39" w:rsidRDefault="00370BD5" w:rsidP="00761D39">
    <w:pPr>
      <w:pStyle w:val="Header"/>
      <w:pBdr>
        <w:bottom w:val="single" w:sz="6" w:space="1" w:color="auto"/>
      </w:pBdr>
      <w:jc w:val="right"/>
      <w:rPr>
        <w:b/>
        <w:sz w:val="18"/>
        <w:szCs w:val="18"/>
      </w:rPr>
    </w:pPr>
    <w:r>
      <w:rPr>
        <w:b/>
        <w:sz w:val="18"/>
        <w:szCs w:val="18"/>
      </w:rPr>
      <w:t>UNEP/POPS/POPRC.14/3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22081" w14:textId="5BF2E101" w:rsidR="00370BD5" w:rsidRPr="00606685" w:rsidRDefault="00370BD5" w:rsidP="001B62B3">
    <w:pPr>
      <w:pStyle w:val="Header"/>
      <w:pBdr>
        <w:bottom w:val="single" w:sz="6" w:space="1" w:color="auto"/>
      </w:pBdr>
      <w:rPr>
        <w:b/>
        <w:sz w:val="18"/>
        <w:szCs w:val="18"/>
      </w:rPr>
    </w:pPr>
    <w:r>
      <w:rPr>
        <w:b/>
        <w:sz w:val="18"/>
        <w:szCs w:val="18"/>
      </w:rPr>
      <w:t>UNEP/POPS/POPRC.14/3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E919" w14:textId="0FAECDD7" w:rsidR="00370BD5" w:rsidRPr="00606685" w:rsidRDefault="00370BD5" w:rsidP="00606685">
    <w:pPr>
      <w:pStyle w:val="Header"/>
      <w:pBdr>
        <w:bottom w:val="single" w:sz="6" w:space="1" w:color="auto"/>
      </w:pBdr>
      <w:jc w:val="right"/>
      <w:rPr>
        <w:b/>
        <w:sz w:val="18"/>
        <w:szCs w:val="18"/>
      </w:rPr>
    </w:pPr>
    <w:r>
      <w:rPr>
        <w:b/>
        <w:sz w:val="18"/>
        <w:szCs w:val="18"/>
      </w:rPr>
      <w:t>UNEP/POPS/POPRC.14/3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41AD" w14:textId="6E4EB140" w:rsidR="00370BD5" w:rsidRPr="00294E93" w:rsidRDefault="00370BD5" w:rsidP="004B4655">
    <w:pPr>
      <w:pStyle w:val="Header"/>
      <w:pBdr>
        <w:bottom w:val="single" w:sz="6" w:space="1" w:color="auto"/>
      </w:pBdr>
      <w:rPr>
        <w:b/>
        <w:sz w:val="18"/>
        <w:szCs w:val="18"/>
      </w:rPr>
    </w:pPr>
    <w:r>
      <w:rPr>
        <w:b/>
        <w:sz w:val="18"/>
        <w:szCs w:val="18"/>
      </w:rPr>
      <w:t>UNEP/POPS/POPRC.14/3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31D01" w14:textId="401B68DA" w:rsidR="00370BD5" w:rsidRPr="00294E93" w:rsidRDefault="00370BD5" w:rsidP="00A86236">
    <w:pPr>
      <w:pStyle w:val="Header"/>
      <w:pBdr>
        <w:bottom w:val="single" w:sz="6" w:space="1" w:color="auto"/>
      </w:pBdr>
      <w:jc w:val="right"/>
      <w:rPr>
        <w:b/>
        <w:sz w:val="18"/>
        <w:szCs w:val="18"/>
      </w:rPr>
    </w:pPr>
    <w:r>
      <w:rPr>
        <w:b/>
        <w:sz w:val="18"/>
        <w:szCs w:val="18"/>
      </w:rPr>
      <w:t>UNEP/POPS/POPRC.14/3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80C3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14C9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12C0F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966F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3DC44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E293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B499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36EB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182A711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421389"/>
    <w:multiLevelType w:val="hybridMultilevel"/>
    <w:tmpl w:val="706A1276"/>
    <w:lvl w:ilvl="0" w:tplc="B3228EA8">
      <w:start w:val="1"/>
      <w:numFmt w:val="bullet"/>
      <w:pStyle w:val="ListParagraph10p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85C5064"/>
    <w:multiLevelType w:val="hybridMultilevel"/>
    <w:tmpl w:val="D7AA4EAC"/>
    <w:lvl w:ilvl="0" w:tplc="0C070011">
      <w:start w:val="1"/>
      <w:numFmt w:val="decimal"/>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1" w15:restartNumberingAfterBreak="0">
    <w:nsid w:val="0FBB1EBF"/>
    <w:multiLevelType w:val="multilevel"/>
    <w:tmpl w:val="03A42E4C"/>
    <w:lvl w:ilvl="0">
      <w:start w:val="1"/>
      <w:numFmt w:val="decimal"/>
      <w:pStyle w:val="Heading1"/>
      <w:lvlText w:val="%1"/>
      <w:lvlJc w:val="left"/>
      <w:pPr>
        <w:tabs>
          <w:tab w:val="num" w:pos="432"/>
        </w:tabs>
        <w:ind w:left="432" w:hanging="432"/>
      </w:pPr>
      <w:rPr>
        <w:rFonts w:ascii="Times New Roman" w:hAnsi="Times New Roman" w:cs="Times New Roman" w:hint="default"/>
        <w:b/>
        <w:i w:val="0"/>
      </w:rPr>
    </w:lvl>
    <w:lvl w:ilvl="1">
      <w:start w:val="1"/>
      <w:numFmt w:val="decimal"/>
      <w:pStyle w:val="Heading2"/>
      <w:lvlText w:val="%1.%2"/>
      <w:lvlJc w:val="left"/>
      <w:pPr>
        <w:tabs>
          <w:tab w:val="num" w:pos="3837"/>
        </w:tabs>
        <w:ind w:left="3837" w:hanging="576"/>
      </w:pPr>
      <w:rPr>
        <w:rFonts w:ascii="Times New Roman" w:hAnsi="Times New Roman" w:cs="Times New Roman" w:hint="default"/>
        <w:i w:val="0"/>
      </w:rPr>
    </w:lvl>
    <w:lvl w:ilvl="2">
      <w:start w:val="1"/>
      <w:numFmt w:val="decimal"/>
      <w:pStyle w:val="Heading3"/>
      <w:lvlText w:val="%1.%2.%3"/>
      <w:lvlJc w:val="left"/>
      <w:pPr>
        <w:tabs>
          <w:tab w:val="num" w:pos="1135"/>
        </w:tabs>
        <w:ind w:left="1135" w:hanging="851"/>
      </w:pPr>
      <w:rPr>
        <w:rFonts w:ascii="Times New Roman" w:hAnsi="Times New Roman" w:cs="Times New Roman" w:hint="default"/>
        <w:b/>
        <w:i w:val="0"/>
      </w:rPr>
    </w:lvl>
    <w:lvl w:ilvl="3">
      <w:start w:val="1"/>
      <w:numFmt w:val="decimal"/>
      <w:pStyle w:val="Heading4"/>
      <w:lvlText w:val="%1.%2.%3.%4"/>
      <w:lvlJc w:val="left"/>
      <w:pPr>
        <w:tabs>
          <w:tab w:val="num" w:pos="851"/>
        </w:tabs>
        <w:ind w:left="851" w:hanging="851"/>
      </w:pPr>
      <w:rPr>
        <w:rFonts w:ascii="Times New Roman" w:hAnsi="Times New Roman" w:cs="Times New Roman" w:hint="default"/>
        <w:b/>
        <w:i/>
        <w:sz w:val="22"/>
        <w:szCs w:val="22"/>
        <w:u w:val="none"/>
      </w:rPr>
    </w:lvl>
    <w:lvl w:ilvl="4">
      <w:start w:val="1"/>
      <w:numFmt w:val="decimal"/>
      <w:pStyle w:val="Heading5"/>
      <w:lvlText w:val="%1.%2.%3.%4.%5"/>
      <w:lvlJc w:val="left"/>
      <w:pPr>
        <w:tabs>
          <w:tab w:val="num" w:pos="1434"/>
        </w:tabs>
        <w:ind w:left="1434"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15:restartNumberingAfterBreak="0">
    <w:nsid w:val="13862EB7"/>
    <w:multiLevelType w:val="multilevel"/>
    <w:tmpl w:val="42006F74"/>
    <w:lvl w:ilvl="0">
      <w:start w:val="1"/>
      <w:numFmt w:val="decimal"/>
      <w:pStyle w:val="Paralevel1"/>
      <w:lvlText w:val="%1."/>
      <w:lvlJc w:val="left"/>
      <w:pPr>
        <w:ind w:left="3338" w:hanging="360"/>
      </w:pPr>
      <w:rPr>
        <w:rFonts w:hint="default"/>
        <w:b w:val="0"/>
        <w:i w:val="0"/>
        <w:sz w:val="20"/>
        <w:szCs w:val="20"/>
        <w:lang w:val="en-GB"/>
      </w:r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23CF7ACE"/>
    <w:multiLevelType w:val="hybridMultilevel"/>
    <w:tmpl w:val="1BC22B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66E79F2"/>
    <w:multiLevelType w:val="multilevel"/>
    <w:tmpl w:val="1882B3D8"/>
    <w:lvl w:ilvl="0">
      <w:start w:val="1"/>
      <w:numFmt w:val="decimal"/>
      <w:lvlText w:val="%1."/>
      <w:lvlJc w:val="left"/>
      <w:pPr>
        <w:ind w:left="3338" w:hanging="360"/>
      </w:pPr>
      <w:rPr>
        <w:rFonts w:hint="default"/>
        <w:b w:val="0"/>
        <w:i w:val="0"/>
        <w:sz w:val="20"/>
        <w:szCs w:val="20"/>
        <w:lang w:val="en-GB"/>
      </w:rPr>
    </w:lvl>
    <w:lvl w:ilvl="1">
      <w:start w:val="1"/>
      <w:numFmt w:val="lowerLetter"/>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314E394F"/>
    <w:multiLevelType w:val="hybridMultilevel"/>
    <w:tmpl w:val="B45EF23C"/>
    <w:lvl w:ilvl="0" w:tplc="57D88FCC">
      <w:start w:val="1"/>
      <w:numFmt w:val="low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6" w15:restartNumberingAfterBreak="0">
    <w:nsid w:val="39634FAB"/>
    <w:multiLevelType w:val="hybridMultilevel"/>
    <w:tmpl w:val="0DE8D6A8"/>
    <w:lvl w:ilvl="0" w:tplc="57D88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F347C"/>
    <w:multiLevelType w:val="hybridMultilevel"/>
    <w:tmpl w:val="84A8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B6E9D"/>
    <w:multiLevelType w:val="hybridMultilevel"/>
    <w:tmpl w:val="95AC8070"/>
    <w:lvl w:ilvl="0" w:tplc="D81AF05C">
      <w:start w:val="1"/>
      <w:numFmt w:val="lowerLetter"/>
      <w:lvlText w:val="(%1)"/>
      <w:lvlJc w:val="left"/>
      <w:pPr>
        <w:tabs>
          <w:tab w:val="num" w:pos="644"/>
        </w:tabs>
        <w:ind w:left="644" w:firstLine="0"/>
      </w:pPr>
      <w:rPr>
        <w:rFonts w:hint="eastAsia"/>
        <w:b w:val="0"/>
        <w:sz w:val="20"/>
        <w:szCs w:val="20"/>
      </w:rPr>
    </w:lvl>
    <w:lvl w:ilvl="1" w:tplc="54965FAC" w:tentative="1">
      <w:start w:val="1"/>
      <w:numFmt w:val="lowerLetter"/>
      <w:lvlText w:val="%2."/>
      <w:lvlJc w:val="left"/>
      <w:pPr>
        <w:tabs>
          <w:tab w:val="num" w:pos="1724"/>
        </w:tabs>
        <w:ind w:left="1724" w:hanging="360"/>
      </w:pPr>
    </w:lvl>
    <w:lvl w:ilvl="2" w:tplc="D0BEAA72" w:tentative="1">
      <w:start w:val="1"/>
      <w:numFmt w:val="lowerRoman"/>
      <w:lvlText w:val="%3."/>
      <w:lvlJc w:val="right"/>
      <w:pPr>
        <w:tabs>
          <w:tab w:val="num" w:pos="2444"/>
        </w:tabs>
        <w:ind w:left="2444" w:hanging="180"/>
      </w:pPr>
    </w:lvl>
    <w:lvl w:ilvl="3" w:tplc="55306F1E" w:tentative="1">
      <w:start w:val="1"/>
      <w:numFmt w:val="decimal"/>
      <w:lvlText w:val="%4."/>
      <w:lvlJc w:val="left"/>
      <w:pPr>
        <w:tabs>
          <w:tab w:val="num" w:pos="3164"/>
        </w:tabs>
        <w:ind w:left="3164" w:hanging="360"/>
      </w:pPr>
    </w:lvl>
    <w:lvl w:ilvl="4" w:tplc="352E9F70" w:tentative="1">
      <w:start w:val="1"/>
      <w:numFmt w:val="lowerLetter"/>
      <w:lvlText w:val="%5."/>
      <w:lvlJc w:val="left"/>
      <w:pPr>
        <w:tabs>
          <w:tab w:val="num" w:pos="3884"/>
        </w:tabs>
        <w:ind w:left="3884" w:hanging="360"/>
      </w:pPr>
    </w:lvl>
    <w:lvl w:ilvl="5" w:tplc="379831A6" w:tentative="1">
      <w:start w:val="1"/>
      <w:numFmt w:val="lowerRoman"/>
      <w:lvlText w:val="%6."/>
      <w:lvlJc w:val="right"/>
      <w:pPr>
        <w:tabs>
          <w:tab w:val="num" w:pos="4604"/>
        </w:tabs>
        <w:ind w:left="4604" w:hanging="180"/>
      </w:pPr>
    </w:lvl>
    <w:lvl w:ilvl="6" w:tplc="16680C02" w:tentative="1">
      <w:start w:val="1"/>
      <w:numFmt w:val="decimal"/>
      <w:lvlText w:val="%7."/>
      <w:lvlJc w:val="left"/>
      <w:pPr>
        <w:tabs>
          <w:tab w:val="num" w:pos="5324"/>
        </w:tabs>
        <w:ind w:left="5324" w:hanging="360"/>
      </w:pPr>
    </w:lvl>
    <w:lvl w:ilvl="7" w:tplc="EE64F068" w:tentative="1">
      <w:start w:val="1"/>
      <w:numFmt w:val="lowerLetter"/>
      <w:lvlText w:val="%8."/>
      <w:lvlJc w:val="left"/>
      <w:pPr>
        <w:tabs>
          <w:tab w:val="num" w:pos="6044"/>
        </w:tabs>
        <w:ind w:left="6044" w:hanging="360"/>
      </w:pPr>
    </w:lvl>
    <w:lvl w:ilvl="8" w:tplc="9066164C" w:tentative="1">
      <w:start w:val="1"/>
      <w:numFmt w:val="lowerRoman"/>
      <w:lvlText w:val="%9."/>
      <w:lvlJc w:val="right"/>
      <w:pPr>
        <w:tabs>
          <w:tab w:val="num" w:pos="6764"/>
        </w:tabs>
        <w:ind w:left="6764" w:hanging="180"/>
      </w:pPr>
    </w:lvl>
  </w:abstractNum>
  <w:abstractNum w:abstractNumId="19" w15:restartNumberingAfterBreak="0">
    <w:nsid w:val="3CE14D94"/>
    <w:multiLevelType w:val="hybridMultilevel"/>
    <w:tmpl w:val="D5FCE3D6"/>
    <w:lvl w:ilvl="0" w:tplc="57D88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35693"/>
    <w:multiLevelType w:val="multilevel"/>
    <w:tmpl w:val="29FC196C"/>
    <w:numStyleLink w:val="Normallist"/>
  </w:abstractNum>
  <w:abstractNum w:abstractNumId="21" w15:restartNumberingAfterBreak="0">
    <w:nsid w:val="52A66A9D"/>
    <w:multiLevelType w:val="multilevel"/>
    <w:tmpl w:val="29FC196C"/>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2" w15:restartNumberingAfterBreak="0">
    <w:nsid w:val="599B5150"/>
    <w:multiLevelType w:val="hybridMultilevel"/>
    <w:tmpl w:val="55B8096C"/>
    <w:lvl w:ilvl="0" w:tplc="A0D4558C">
      <w:start w:val="1"/>
      <w:numFmt w:val="low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5A787877"/>
    <w:multiLevelType w:val="hybridMultilevel"/>
    <w:tmpl w:val="64A206E4"/>
    <w:lvl w:ilvl="0" w:tplc="FD58B27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DA961CD"/>
    <w:multiLevelType w:val="hybridMultilevel"/>
    <w:tmpl w:val="87FC4DE8"/>
    <w:lvl w:ilvl="0" w:tplc="34B80620">
      <w:start w:val="1"/>
      <w:numFmt w:val="lowerLetter"/>
      <w:lvlText w:val="(%1)"/>
      <w:lvlJc w:val="left"/>
      <w:pPr>
        <w:tabs>
          <w:tab w:val="num" w:pos="644"/>
        </w:tabs>
        <w:ind w:left="644" w:firstLine="0"/>
      </w:pPr>
      <w:rPr>
        <w:rFonts w:ascii="Times New Roman" w:eastAsia="Times New Roman" w:hAnsi="Times New Roman" w:cs="Times New Roman" w:hint="eastAsia"/>
        <w:b w:val="0"/>
        <w:sz w:val="20"/>
        <w:szCs w:val="20"/>
      </w:rPr>
    </w:lvl>
    <w:lvl w:ilvl="1" w:tplc="54965FAC" w:tentative="1">
      <w:start w:val="1"/>
      <w:numFmt w:val="lowerLetter"/>
      <w:lvlText w:val="%2."/>
      <w:lvlJc w:val="left"/>
      <w:pPr>
        <w:tabs>
          <w:tab w:val="num" w:pos="1724"/>
        </w:tabs>
        <w:ind w:left="1724" w:hanging="360"/>
      </w:pPr>
    </w:lvl>
    <w:lvl w:ilvl="2" w:tplc="D0BEAA72" w:tentative="1">
      <w:start w:val="1"/>
      <w:numFmt w:val="lowerRoman"/>
      <w:lvlText w:val="%3."/>
      <w:lvlJc w:val="right"/>
      <w:pPr>
        <w:tabs>
          <w:tab w:val="num" w:pos="2444"/>
        </w:tabs>
        <w:ind w:left="2444" w:hanging="180"/>
      </w:pPr>
    </w:lvl>
    <w:lvl w:ilvl="3" w:tplc="55306F1E" w:tentative="1">
      <w:start w:val="1"/>
      <w:numFmt w:val="decimal"/>
      <w:lvlText w:val="%4."/>
      <w:lvlJc w:val="left"/>
      <w:pPr>
        <w:tabs>
          <w:tab w:val="num" w:pos="3164"/>
        </w:tabs>
        <w:ind w:left="3164" w:hanging="360"/>
      </w:pPr>
    </w:lvl>
    <w:lvl w:ilvl="4" w:tplc="352E9F70" w:tentative="1">
      <w:start w:val="1"/>
      <w:numFmt w:val="lowerLetter"/>
      <w:lvlText w:val="%5."/>
      <w:lvlJc w:val="left"/>
      <w:pPr>
        <w:tabs>
          <w:tab w:val="num" w:pos="3884"/>
        </w:tabs>
        <w:ind w:left="3884" w:hanging="360"/>
      </w:pPr>
    </w:lvl>
    <w:lvl w:ilvl="5" w:tplc="379831A6" w:tentative="1">
      <w:start w:val="1"/>
      <w:numFmt w:val="lowerRoman"/>
      <w:lvlText w:val="%6."/>
      <w:lvlJc w:val="right"/>
      <w:pPr>
        <w:tabs>
          <w:tab w:val="num" w:pos="4604"/>
        </w:tabs>
        <w:ind w:left="4604" w:hanging="180"/>
      </w:pPr>
    </w:lvl>
    <w:lvl w:ilvl="6" w:tplc="16680C02" w:tentative="1">
      <w:start w:val="1"/>
      <w:numFmt w:val="decimal"/>
      <w:lvlText w:val="%7."/>
      <w:lvlJc w:val="left"/>
      <w:pPr>
        <w:tabs>
          <w:tab w:val="num" w:pos="5324"/>
        </w:tabs>
        <w:ind w:left="5324" w:hanging="360"/>
      </w:pPr>
    </w:lvl>
    <w:lvl w:ilvl="7" w:tplc="EE64F068" w:tentative="1">
      <w:start w:val="1"/>
      <w:numFmt w:val="lowerLetter"/>
      <w:lvlText w:val="%8."/>
      <w:lvlJc w:val="left"/>
      <w:pPr>
        <w:tabs>
          <w:tab w:val="num" w:pos="6044"/>
        </w:tabs>
        <w:ind w:left="6044" w:hanging="360"/>
      </w:pPr>
    </w:lvl>
    <w:lvl w:ilvl="8" w:tplc="9066164C" w:tentative="1">
      <w:start w:val="1"/>
      <w:numFmt w:val="lowerRoman"/>
      <w:lvlText w:val="%9."/>
      <w:lvlJc w:val="right"/>
      <w:pPr>
        <w:tabs>
          <w:tab w:val="num" w:pos="6764"/>
        </w:tabs>
        <w:ind w:left="6764" w:hanging="180"/>
      </w:pPr>
    </w:lvl>
  </w:abstractNum>
  <w:abstractNum w:abstractNumId="25" w15:restartNumberingAfterBreak="0">
    <w:nsid w:val="5F574A35"/>
    <w:multiLevelType w:val="multilevel"/>
    <w:tmpl w:val="28300B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Styleberschrift4alexTimesNewRoman"/>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291BF8"/>
    <w:multiLevelType w:val="multilevel"/>
    <w:tmpl w:val="6366955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97"/>
        </w:tabs>
        <w:ind w:left="297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7" w15:restartNumberingAfterBreak="0">
    <w:nsid w:val="641A79E5"/>
    <w:multiLevelType w:val="hybridMultilevel"/>
    <w:tmpl w:val="2B2CA310"/>
    <w:lvl w:ilvl="0" w:tplc="57D88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133FF"/>
    <w:multiLevelType w:val="multilevel"/>
    <w:tmpl w:val="0F244A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345716C"/>
    <w:multiLevelType w:val="hybridMultilevel"/>
    <w:tmpl w:val="258CE078"/>
    <w:lvl w:ilvl="0" w:tplc="0C070011">
      <w:start w:val="1"/>
      <w:numFmt w:val="decimal"/>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0" w15:restartNumberingAfterBreak="0">
    <w:nsid w:val="739564AD"/>
    <w:multiLevelType w:val="hybridMultilevel"/>
    <w:tmpl w:val="184A0C6A"/>
    <w:lvl w:ilvl="0" w:tplc="1B284810">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055D89"/>
    <w:multiLevelType w:val="singleLevel"/>
    <w:tmpl w:val="EE5AA6D6"/>
    <w:lvl w:ilvl="0">
      <w:start w:val="1"/>
      <w:numFmt w:val="decimal"/>
      <w:pStyle w:val="Level1"/>
      <w:lvlText w:val="%1."/>
      <w:lvlJc w:val="left"/>
      <w:pPr>
        <w:tabs>
          <w:tab w:val="num" w:pos="720"/>
        </w:tabs>
        <w:ind w:left="720" w:hanging="720"/>
      </w:pPr>
      <w:rPr>
        <w:rFonts w:cs="Times New Roman" w:hint="default"/>
      </w:rPr>
    </w:lvl>
  </w:abstractNum>
  <w:num w:numId="1">
    <w:abstractNumId w:val="11"/>
  </w:num>
  <w:num w:numId="2">
    <w:abstractNumId w:val="31"/>
  </w:num>
  <w:num w:numId="3">
    <w:abstractNumId w:val="9"/>
  </w:num>
  <w:num w:numId="4">
    <w:abstractNumId w:val="12"/>
  </w:num>
  <w:num w:numId="5">
    <w:abstractNumId w:val="21"/>
  </w:num>
  <w:num w:numId="6">
    <w:abstractNumId w:val="20"/>
    <w:lvlOverride w:ilvl="0">
      <w:lvl w:ilvl="0">
        <w:numFmt w:val="decimal"/>
        <w:pStyle w:val="Normalnumber"/>
        <w:lvlText w:val=""/>
        <w:lvlJc w:val="left"/>
      </w:lvl>
    </w:lvlOverride>
    <w:lvlOverride w:ilvl="1">
      <w:lvl w:ilvl="1">
        <w:start w:val="1"/>
        <w:numFmt w:val="lowerLetter"/>
        <w:lvlText w:val="(%2)"/>
        <w:lvlJc w:val="left"/>
        <w:pPr>
          <w:tabs>
            <w:tab w:val="num" w:pos="1251"/>
          </w:tabs>
          <w:ind w:left="1931" w:firstLine="567"/>
        </w:pPr>
        <w:rPr>
          <w:rFonts w:hint="default"/>
        </w:rPr>
      </w:lvl>
    </w:lvlOverride>
  </w:num>
  <w:num w:numId="7">
    <w:abstractNumId w:val="22"/>
  </w:num>
  <w:num w:numId="8">
    <w:abstractNumId w:val="25"/>
  </w:num>
  <w:num w:numId="9">
    <w:abstractNumId w:val="18"/>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3"/>
  </w:num>
  <w:num w:numId="20">
    <w:abstractNumId w:val="17"/>
  </w:num>
  <w:num w:numId="21">
    <w:abstractNumId w:val="24"/>
  </w:num>
  <w:num w:numId="22">
    <w:abstractNumId w:val="18"/>
    <w:lvlOverride w:ilvl="0">
      <w:startOverride w:val="1"/>
    </w:lvlOverride>
  </w:num>
  <w:num w:numId="23">
    <w:abstractNumId w:val="23"/>
  </w:num>
  <w:num w:numId="24">
    <w:abstractNumId w:val="28"/>
  </w:num>
  <w:num w:numId="25">
    <w:abstractNumId w:val="18"/>
    <w:lvlOverride w:ilvl="0">
      <w:startOverride w:val="1"/>
    </w:lvlOverride>
  </w:num>
  <w:num w:numId="26">
    <w:abstractNumId w:val="15"/>
  </w:num>
  <w:num w:numId="27">
    <w:abstractNumId w:val="27"/>
  </w:num>
  <w:num w:numId="28">
    <w:abstractNumId w:val="16"/>
  </w:num>
  <w:num w:numId="29">
    <w:abstractNumId w:val="19"/>
  </w:num>
  <w:num w:numId="3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1"/>
  </w:num>
  <w:num w:numId="34">
    <w:abstractNumId w:val="14"/>
  </w:num>
  <w:num w:numId="35">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19"/>
  <w:hyphenationZone w:val="425"/>
  <w:evenAndOddHeaders/>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0sDAytTA1NDE1MTNU0lEKTi0uzszPAykwqgUA81/t+SwAAAA="/>
  </w:docVars>
  <w:rsids>
    <w:rsidRoot w:val="00AC4CE6"/>
    <w:rsid w:val="000002F1"/>
    <w:rsid w:val="00000529"/>
    <w:rsid w:val="000006D7"/>
    <w:rsid w:val="00000AFB"/>
    <w:rsid w:val="00000C1E"/>
    <w:rsid w:val="00000EB3"/>
    <w:rsid w:val="000014EE"/>
    <w:rsid w:val="0000165E"/>
    <w:rsid w:val="000019D4"/>
    <w:rsid w:val="00001C3F"/>
    <w:rsid w:val="00001E9A"/>
    <w:rsid w:val="000020A1"/>
    <w:rsid w:val="000029AF"/>
    <w:rsid w:val="00002BF3"/>
    <w:rsid w:val="00002CF6"/>
    <w:rsid w:val="00002D64"/>
    <w:rsid w:val="000038DF"/>
    <w:rsid w:val="00003BC3"/>
    <w:rsid w:val="00003CE8"/>
    <w:rsid w:val="00003E88"/>
    <w:rsid w:val="00004429"/>
    <w:rsid w:val="00004468"/>
    <w:rsid w:val="00004926"/>
    <w:rsid w:val="0000513D"/>
    <w:rsid w:val="00005508"/>
    <w:rsid w:val="000055F3"/>
    <w:rsid w:val="00006014"/>
    <w:rsid w:val="00006042"/>
    <w:rsid w:val="000060CD"/>
    <w:rsid w:val="00006218"/>
    <w:rsid w:val="00006A88"/>
    <w:rsid w:val="00006DF3"/>
    <w:rsid w:val="00006FD7"/>
    <w:rsid w:val="0000750D"/>
    <w:rsid w:val="000075C5"/>
    <w:rsid w:val="00007B08"/>
    <w:rsid w:val="00007C3F"/>
    <w:rsid w:val="00007E52"/>
    <w:rsid w:val="0001001A"/>
    <w:rsid w:val="0001011D"/>
    <w:rsid w:val="00010483"/>
    <w:rsid w:val="0001055B"/>
    <w:rsid w:val="000105A1"/>
    <w:rsid w:val="00010A5C"/>
    <w:rsid w:val="00011081"/>
    <w:rsid w:val="00011082"/>
    <w:rsid w:val="000115A4"/>
    <w:rsid w:val="0001205D"/>
    <w:rsid w:val="000121BC"/>
    <w:rsid w:val="00012532"/>
    <w:rsid w:val="00012868"/>
    <w:rsid w:val="00012970"/>
    <w:rsid w:val="00012B84"/>
    <w:rsid w:val="00012EE6"/>
    <w:rsid w:val="00013592"/>
    <w:rsid w:val="000137DF"/>
    <w:rsid w:val="00013881"/>
    <w:rsid w:val="00013A67"/>
    <w:rsid w:val="00013AE9"/>
    <w:rsid w:val="00013D0A"/>
    <w:rsid w:val="0001425D"/>
    <w:rsid w:val="00014560"/>
    <w:rsid w:val="000146D0"/>
    <w:rsid w:val="000149E6"/>
    <w:rsid w:val="00014D2C"/>
    <w:rsid w:val="0001510B"/>
    <w:rsid w:val="00015485"/>
    <w:rsid w:val="000158AF"/>
    <w:rsid w:val="00016388"/>
    <w:rsid w:val="00016EB6"/>
    <w:rsid w:val="000170CE"/>
    <w:rsid w:val="0001771C"/>
    <w:rsid w:val="00017941"/>
    <w:rsid w:val="00017AEF"/>
    <w:rsid w:val="00017CE8"/>
    <w:rsid w:val="00017EA2"/>
    <w:rsid w:val="00020096"/>
    <w:rsid w:val="0002014B"/>
    <w:rsid w:val="00020268"/>
    <w:rsid w:val="00020291"/>
    <w:rsid w:val="0002056C"/>
    <w:rsid w:val="00020D96"/>
    <w:rsid w:val="00020EDF"/>
    <w:rsid w:val="00021530"/>
    <w:rsid w:val="000222D3"/>
    <w:rsid w:val="00022408"/>
    <w:rsid w:val="00022726"/>
    <w:rsid w:val="0002312A"/>
    <w:rsid w:val="00023165"/>
    <w:rsid w:val="00023667"/>
    <w:rsid w:val="000236CF"/>
    <w:rsid w:val="00023AFC"/>
    <w:rsid w:val="00023D31"/>
    <w:rsid w:val="00023FAB"/>
    <w:rsid w:val="00024217"/>
    <w:rsid w:val="000247B0"/>
    <w:rsid w:val="00024A35"/>
    <w:rsid w:val="000252E0"/>
    <w:rsid w:val="0002538F"/>
    <w:rsid w:val="00025747"/>
    <w:rsid w:val="00025821"/>
    <w:rsid w:val="000258DB"/>
    <w:rsid w:val="00025984"/>
    <w:rsid w:val="000261CF"/>
    <w:rsid w:val="000267CF"/>
    <w:rsid w:val="00026997"/>
    <w:rsid w:val="00026C5D"/>
    <w:rsid w:val="00026CD0"/>
    <w:rsid w:val="00027564"/>
    <w:rsid w:val="00027931"/>
    <w:rsid w:val="00027D20"/>
    <w:rsid w:val="0003044B"/>
    <w:rsid w:val="00030496"/>
    <w:rsid w:val="000307AA"/>
    <w:rsid w:val="00031168"/>
    <w:rsid w:val="000316D8"/>
    <w:rsid w:val="00031B48"/>
    <w:rsid w:val="00031F01"/>
    <w:rsid w:val="000325FD"/>
    <w:rsid w:val="00033321"/>
    <w:rsid w:val="00033E0B"/>
    <w:rsid w:val="000341B1"/>
    <w:rsid w:val="00034CB6"/>
    <w:rsid w:val="000357B6"/>
    <w:rsid w:val="00035B43"/>
    <w:rsid w:val="00035DF0"/>
    <w:rsid w:val="00035EDE"/>
    <w:rsid w:val="0003700E"/>
    <w:rsid w:val="000377F1"/>
    <w:rsid w:val="000378FE"/>
    <w:rsid w:val="00037DDE"/>
    <w:rsid w:val="0004002F"/>
    <w:rsid w:val="000401A3"/>
    <w:rsid w:val="000403E8"/>
    <w:rsid w:val="00040670"/>
    <w:rsid w:val="0004112C"/>
    <w:rsid w:val="00041869"/>
    <w:rsid w:val="00041A13"/>
    <w:rsid w:val="00041C14"/>
    <w:rsid w:val="0004251A"/>
    <w:rsid w:val="00042603"/>
    <w:rsid w:val="00042984"/>
    <w:rsid w:val="000429D3"/>
    <w:rsid w:val="00043190"/>
    <w:rsid w:val="00043EC0"/>
    <w:rsid w:val="0004419C"/>
    <w:rsid w:val="000447E4"/>
    <w:rsid w:val="0004490C"/>
    <w:rsid w:val="00044BB1"/>
    <w:rsid w:val="00044E54"/>
    <w:rsid w:val="00045400"/>
    <w:rsid w:val="00046095"/>
    <w:rsid w:val="00046A5A"/>
    <w:rsid w:val="00046E83"/>
    <w:rsid w:val="000501C5"/>
    <w:rsid w:val="00050674"/>
    <w:rsid w:val="00050722"/>
    <w:rsid w:val="000509B4"/>
    <w:rsid w:val="00050BB3"/>
    <w:rsid w:val="00050EBE"/>
    <w:rsid w:val="00051066"/>
    <w:rsid w:val="000510B8"/>
    <w:rsid w:val="00051BD5"/>
    <w:rsid w:val="00051EA9"/>
    <w:rsid w:val="0005200D"/>
    <w:rsid w:val="0005233D"/>
    <w:rsid w:val="00052431"/>
    <w:rsid w:val="00052B5A"/>
    <w:rsid w:val="00053422"/>
    <w:rsid w:val="000538DD"/>
    <w:rsid w:val="00053D6E"/>
    <w:rsid w:val="00053E45"/>
    <w:rsid w:val="000545ED"/>
    <w:rsid w:val="00054B46"/>
    <w:rsid w:val="0005566E"/>
    <w:rsid w:val="000559F1"/>
    <w:rsid w:val="000562DE"/>
    <w:rsid w:val="000565E8"/>
    <w:rsid w:val="0005663D"/>
    <w:rsid w:val="000566D0"/>
    <w:rsid w:val="000568DA"/>
    <w:rsid w:val="00056BE4"/>
    <w:rsid w:val="0006017B"/>
    <w:rsid w:val="0006035A"/>
    <w:rsid w:val="000604D4"/>
    <w:rsid w:val="0006099C"/>
    <w:rsid w:val="000609AE"/>
    <w:rsid w:val="00060A87"/>
    <w:rsid w:val="00060E64"/>
    <w:rsid w:val="0006176C"/>
    <w:rsid w:val="000623E4"/>
    <w:rsid w:val="000624F5"/>
    <w:rsid w:val="00062FD6"/>
    <w:rsid w:val="0006307F"/>
    <w:rsid w:val="000633D5"/>
    <w:rsid w:val="0006346B"/>
    <w:rsid w:val="00063CB1"/>
    <w:rsid w:val="00063E0A"/>
    <w:rsid w:val="0006424A"/>
    <w:rsid w:val="00064556"/>
    <w:rsid w:val="00064A9F"/>
    <w:rsid w:val="00064DC7"/>
    <w:rsid w:val="00064F20"/>
    <w:rsid w:val="00065B4E"/>
    <w:rsid w:val="00065CC7"/>
    <w:rsid w:val="000667E2"/>
    <w:rsid w:val="000667E4"/>
    <w:rsid w:val="00066AE9"/>
    <w:rsid w:val="00066BD5"/>
    <w:rsid w:val="0006740C"/>
    <w:rsid w:val="00067451"/>
    <w:rsid w:val="0007022B"/>
    <w:rsid w:val="00071303"/>
    <w:rsid w:val="000714AC"/>
    <w:rsid w:val="000715CE"/>
    <w:rsid w:val="00071735"/>
    <w:rsid w:val="00071886"/>
    <w:rsid w:val="00071AEF"/>
    <w:rsid w:val="00072207"/>
    <w:rsid w:val="0007233F"/>
    <w:rsid w:val="00072762"/>
    <w:rsid w:val="00072A73"/>
    <w:rsid w:val="00072ABD"/>
    <w:rsid w:val="0007302B"/>
    <w:rsid w:val="00073133"/>
    <w:rsid w:val="00073478"/>
    <w:rsid w:val="0007385C"/>
    <w:rsid w:val="00073EB0"/>
    <w:rsid w:val="000742BC"/>
    <w:rsid w:val="00074F43"/>
    <w:rsid w:val="0007539A"/>
    <w:rsid w:val="000754FD"/>
    <w:rsid w:val="00075506"/>
    <w:rsid w:val="00075572"/>
    <w:rsid w:val="000758B8"/>
    <w:rsid w:val="00076136"/>
    <w:rsid w:val="000761B6"/>
    <w:rsid w:val="0007647B"/>
    <w:rsid w:val="00076C47"/>
    <w:rsid w:val="00076F18"/>
    <w:rsid w:val="00076FD1"/>
    <w:rsid w:val="000770E2"/>
    <w:rsid w:val="0007719E"/>
    <w:rsid w:val="00077211"/>
    <w:rsid w:val="00080211"/>
    <w:rsid w:val="00080B82"/>
    <w:rsid w:val="000810FA"/>
    <w:rsid w:val="00081286"/>
    <w:rsid w:val="00081C25"/>
    <w:rsid w:val="00082550"/>
    <w:rsid w:val="00082692"/>
    <w:rsid w:val="000826FE"/>
    <w:rsid w:val="00082A0C"/>
    <w:rsid w:val="00082FE0"/>
    <w:rsid w:val="00083D0E"/>
    <w:rsid w:val="00083E3E"/>
    <w:rsid w:val="00083EB1"/>
    <w:rsid w:val="000840AD"/>
    <w:rsid w:val="0008429B"/>
    <w:rsid w:val="0008431D"/>
    <w:rsid w:val="00084368"/>
    <w:rsid w:val="000846B5"/>
    <w:rsid w:val="000846EE"/>
    <w:rsid w:val="0008483B"/>
    <w:rsid w:val="00084AD4"/>
    <w:rsid w:val="0008504D"/>
    <w:rsid w:val="000851BE"/>
    <w:rsid w:val="000853FA"/>
    <w:rsid w:val="0008542A"/>
    <w:rsid w:val="0008589F"/>
    <w:rsid w:val="00085AB7"/>
    <w:rsid w:val="00085E3F"/>
    <w:rsid w:val="0008623E"/>
    <w:rsid w:val="000866B3"/>
    <w:rsid w:val="00087519"/>
    <w:rsid w:val="000876D8"/>
    <w:rsid w:val="00087C2F"/>
    <w:rsid w:val="000903DC"/>
    <w:rsid w:val="00090C90"/>
    <w:rsid w:val="00090D29"/>
    <w:rsid w:val="00090DAF"/>
    <w:rsid w:val="000910D8"/>
    <w:rsid w:val="000914C0"/>
    <w:rsid w:val="000914C2"/>
    <w:rsid w:val="00091523"/>
    <w:rsid w:val="000917BE"/>
    <w:rsid w:val="00091CA7"/>
    <w:rsid w:val="00092148"/>
    <w:rsid w:val="00092204"/>
    <w:rsid w:val="0009233F"/>
    <w:rsid w:val="000923AE"/>
    <w:rsid w:val="000923FC"/>
    <w:rsid w:val="00092D90"/>
    <w:rsid w:val="00092DD2"/>
    <w:rsid w:val="0009301D"/>
    <w:rsid w:val="00093022"/>
    <w:rsid w:val="00093C87"/>
    <w:rsid w:val="00093DED"/>
    <w:rsid w:val="00094688"/>
    <w:rsid w:val="00094EF2"/>
    <w:rsid w:val="00095303"/>
    <w:rsid w:val="000958BA"/>
    <w:rsid w:val="00095DA9"/>
    <w:rsid w:val="0009640C"/>
    <w:rsid w:val="00096F70"/>
    <w:rsid w:val="00097573"/>
    <w:rsid w:val="000975D8"/>
    <w:rsid w:val="000977F9"/>
    <w:rsid w:val="000A026D"/>
    <w:rsid w:val="000A0E14"/>
    <w:rsid w:val="000A1155"/>
    <w:rsid w:val="000A135E"/>
    <w:rsid w:val="000A1AC2"/>
    <w:rsid w:val="000A203E"/>
    <w:rsid w:val="000A22F0"/>
    <w:rsid w:val="000A2361"/>
    <w:rsid w:val="000A2635"/>
    <w:rsid w:val="000A2CDF"/>
    <w:rsid w:val="000A2F52"/>
    <w:rsid w:val="000A3520"/>
    <w:rsid w:val="000A36A8"/>
    <w:rsid w:val="000A3A53"/>
    <w:rsid w:val="000A3A98"/>
    <w:rsid w:val="000A3B25"/>
    <w:rsid w:val="000A3FA2"/>
    <w:rsid w:val="000A4400"/>
    <w:rsid w:val="000A4555"/>
    <w:rsid w:val="000A4560"/>
    <w:rsid w:val="000A47A7"/>
    <w:rsid w:val="000A4ADF"/>
    <w:rsid w:val="000A4B64"/>
    <w:rsid w:val="000A5041"/>
    <w:rsid w:val="000A530C"/>
    <w:rsid w:val="000A54C3"/>
    <w:rsid w:val="000A5646"/>
    <w:rsid w:val="000A566D"/>
    <w:rsid w:val="000A5DB3"/>
    <w:rsid w:val="000A62BD"/>
    <w:rsid w:val="000A64F6"/>
    <w:rsid w:val="000A66FF"/>
    <w:rsid w:val="000A68E4"/>
    <w:rsid w:val="000A6920"/>
    <w:rsid w:val="000A6C88"/>
    <w:rsid w:val="000A772E"/>
    <w:rsid w:val="000A7856"/>
    <w:rsid w:val="000A79BA"/>
    <w:rsid w:val="000A7E0C"/>
    <w:rsid w:val="000B01FE"/>
    <w:rsid w:val="000B0328"/>
    <w:rsid w:val="000B0871"/>
    <w:rsid w:val="000B095B"/>
    <w:rsid w:val="000B0C05"/>
    <w:rsid w:val="000B0C63"/>
    <w:rsid w:val="000B11B1"/>
    <w:rsid w:val="000B1311"/>
    <w:rsid w:val="000B17F3"/>
    <w:rsid w:val="000B1A32"/>
    <w:rsid w:val="000B1EB5"/>
    <w:rsid w:val="000B2126"/>
    <w:rsid w:val="000B284D"/>
    <w:rsid w:val="000B2D29"/>
    <w:rsid w:val="000B31CA"/>
    <w:rsid w:val="000B324E"/>
    <w:rsid w:val="000B357C"/>
    <w:rsid w:val="000B3770"/>
    <w:rsid w:val="000B3AEE"/>
    <w:rsid w:val="000B3B46"/>
    <w:rsid w:val="000B3C8D"/>
    <w:rsid w:val="000B4B36"/>
    <w:rsid w:val="000B4D6D"/>
    <w:rsid w:val="000B5796"/>
    <w:rsid w:val="000B5D2E"/>
    <w:rsid w:val="000B5FBA"/>
    <w:rsid w:val="000B6183"/>
    <w:rsid w:val="000B681E"/>
    <w:rsid w:val="000B6DA8"/>
    <w:rsid w:val="000B6F0A"/>
    <w:rsid w:val="000B750E"/>
    <w:rsid w:val="000B7FE2"/>
    <w:rsid w:val="000C0636"/>
    <w:rsid w:val="000C0949"/>
    <w:rsid w:val="000C0D8C"/>
    <w:rsid w:val="000C0DEB"/>
    <w:rsid w:val="000C14DF"/>
    <w:rsid w:val="000C170C"/>
    <w:rsid w:val="000C1EEF"/>
    <w:rsid w:val="000C2034"/>
    <w:rsid w:val="000C21F0"/>
    <w:rsid w:val="000C226B"/>
    <w:rsid w:val="000C245A"/>
    <w:rsid w:val="000C2F22"/>
    <w:rsid w:val="000C3268"/>
    <w:rsid w:val="000C32E5"/>
    <w:rsid w:val="000C354B"/>
    <w:rsid w:val="000C39D9"/>
    <w:rsid w:val="000C3ACE"/>
    <w:rsid w:val="000C3B1C"/>
    <w:rsid w:val="000C3B51"/>
    <w:rsid w:val="000C4068"/>
    <w:rsid w:val="000C42BF"/>
    <w:rsid w:val="000C4873"/>
    <w:rsid w:val="000C4EA1"/>
    <w:rsid w:val="000C4F8E"/>
    <w:rsid w:val="000C519A"/>
    <w:rsid w:val="000C56CD"/>
    <w:rsid w:val="000C5937"/>
    <w:rsid w:val="000C5C6B"/>
    <w:rsid w:val="000C5D15"/>
    <w:rsid w:val="000C60E4"/>
    <w:rsid w:val="000C6A16"/>
    <w:rsid w:val="000C6CD3"/>
    <w:rsid w:val="000C6EBA"/>
    <w:rsid w:val="000C7382"/>
    <w:rsid w:val="000C771D"/>
    <w:rsid w:val="000C7D7E"/>
    <w:rsid w:val="000C7F3C"/>
    <w:rsid w:val="000D027B"/>
    <w:rsid w:val="000D0A75"/>
    <w:rsid w:val="000D12C7"/>
    <w:rsid w:val="000D1511"/>
    <w:rsid w:val="000D1744"/>
    <w:rsid w:val="000D1BE6"/>
    <w:rsid w:val="000D2848"/>
    <w:rsid w:val="000D2BCA"/>
    <w:rsid w:val="000D2EFB"/>
    <w:rsid w:val="000D33C0"/>
    <w:rsid w:val="000D345A"/>
    <w:rsid w:val="000D36D3"/>
    <w:rsid w:val="000D3C2D"/>
    <w:rsid w:val="000D3C58"/>
    <w:rsid w:val="000D3FB6"/>
    <w:rsid w:val="000D4400"/>
    <w:rsid w:val="000D4519"/>
    <w:rsid w:val="000D4A8C"/>
    <w:rsid w:val="000D4AC7"/>
    <w:rsid w:val="000D500A"/>
    <w:rsid w:val="000D5319"/>
    <w:rsid w:val="000D53D7"/>
    <w:rsid w:val="000D53E1"/>
    <w:rsid w:val="000D57B2"/>
    <w:rsid w:val="000D5B3A"/>
    <w:rsid w:val="000D63EF"/>
    <w:rsid w:val="000D65BB"/>
    <w:rsid w:val="000D6770"/>
    <w:rsid w:val="000D6855"/>
    <w:rsid w:val="000D7178"/>
    <w:rsid w:val="000D7872"/>
    <w:rsid w:val="000D79A3"/>
    <w:rsid w:val="000D7DE1"/>
    <w:rsid w:val="000D7E7E"/>
    <w:rsid w:val="000D7E81"/>
    <w:rsid w:val="000D7E91"/>
    <w:rsid w:val="000D7FC7"/>
    <w:rsid w:val="000E0BFD"/>
    <w:rsid w:val="000E0DAD"/>
    <w:rsid w:val="000E1507"/>
    <w:rsid w:val="000E1548"/>
    <w:rsid w:val="000E182D"/>
    <w:rsid w:val="000E18B6"/>
    <w:rsid w:val="000E306F"/>
    <w:rsid w:val="000E323C"/>
    <w:rsid w:val="000E3897"/>
    <w:rsid w:val="000E3903"/>
    <w:rsid w:val="000E3E96"/>
    <w:rsid w:val="000E3FB9"/>
    <w:rsid w:val="000E3FBF"/>
    <w:rsid w:val="000E414E"/>
    <w:rsid w:val="000E4272"/>
    <w:rsid w:val="000E42C1"/>
    <w:rsid w:val="000E46CD"/>
    <w:rsid w:val="000E46E1"/>
    <w:rsid w:val="000E47E2"/>
    <w:rsid w:val="000E49F8"/>
    <w:rsid w:val="000E50BE"/>
    <w:rsid w:val="000E531B"/>
    <w:rsid w:val="000E569F"/>
    <w:rsid w:val="000E5BB5"/>
    <w:rsid w:val="000E6398"/>
    <w:rsid w:val="000E660E"/>
    <w:rsid w:val="000E699E"/>
    <w:rsid w:val="000E6BAB"/>
    <w:rsid w:val="000E6DA6"/>
    <w:rsid w:val="000E6E31"/>
    <w:rsid w:val="000E70D2"/>
    <w:rsid w:val="000E71CC"/>
    <w:rsid w:val="000E72D9"/>
    <w:rsid w:val="000E7558"/>
    <w:rsid w:val="000E7730"/>
    <w:rsid w:val="000E7842"/>
    <w:rsid w:val="000E7AF3"/>
    <w:rsid w:val="000E7F47"/>
    <w:rsid w:val="000F008D"/>
    <w:rsid w:val="000F02F4"/>
    <w:rsid w:val="000F0E24"/>
    <w:rsid w:val="000F1288"/>
    <w:rsid w:val="000F1650"/>
    <w:rsid w:val="000F22F2"/>
    <w:rsid w:val="000F2481"/>
    <w:rsid w:val="000F25F0"/>
    <w:rsid w:val="000F2753"/>
    <w:rsid w:val="000F2AE1"/>
    <w:rsid w:val="000F2EC8"/>
    <w:rsid w:val="000F306A"/>
    <w:rsid w:val="000F3638"/>
    <w:rsid w:val="000F44BD"/>
    <w:rsid w:val="000F483E"/>
    <w:rsid w:val="000F5708"/>
    <w:rsid w:val="000F576B"/>
    <w:rsid w:val="000F57A4"/>
    <w:rsid w:val="000F5CD4"/>
    <w:rsid w:val="000F5D77"/>
    <w:rsid w:val="000F64A7"/>
    <w:rsid w:val="000F64DF"/>
    <w:rsid w:val="000F6DCB"/>
    <w:rsid w:val="000F70D5"/>
    <w:rsid w:val="000F7192"/>
    <w:rsid w:val="000F733D"/>
    <w:rsid w:val="000F77FD"/>
    <w:rsid w:val="000F783E"/>
    <w:rsid w:val="000F78C9"/>
    <w:rsid w:val="00100186"/>
    <w:rsid w:val="001001F4"/>
    <w:rsid w:val="001002A3"/>
    <w:rsid w:val="00100387"/>
    <w:rsid w:val="00100404"/>
    <w:rsid w:val="00100568"/>
    <w:rsid w:val="00100791"/>
    <w:rsid w:val="00101353"/>
    <w:rsid w:val="001020CF"/>
    <w:rsid w:val="001022B3"/>
    <w:rsid w:val="001029A7"/>
    <w:rsid w:val="00102FAA"/>
    <w:rsid w:val="001032DF"/>
    <w:rsid w:val="001034F3"/>
    <w:rsid w:val="00103739"/>
    <w:rsid w:val="00103867"/>
    <w:rsid w:val="00104382"/>
    <w:rsid w:val="001046A0"/>
    <w:rsid w:val="00104E1A"/>
    <w:rsid w:val="0010505E"/>
    <w:rsid w:val="00105260"/>
    <w:rsid w:val="00105282"/>
    <w:rsid w:val="001055FD"/>
    <w:rsid w:val="00105754"/>
    <w:rsid w:val="001058B5"/>
    <w:rsid w:val="00105AAE"/>
    <w:rsid w:val="00106A3C"/>
    <w:rsid w:val="00106B50"/>
    <w:rsid w:val="0010718A"/>
    <w:rsid w:val="0010730D"/>
    <w:rsid w:val="0010751A"/>
    <w:rsid w:val="00107590"/>
    <w:rsid w:val="0010762A"/>
    <w:rsid w:val="0010778E"/>
    <w:rsid w:val="001077A0"/>
    <w:rsid w:val="00107BAA"/>
    <w:rsid w:val="00107D67"/>
    <w:rsid w:val="00107E39"/>
    <w:rsid w:val="00110199"/>
    <w:rsid w:val="001103B2"/>
    <w:rsid w:val="0011049E"/>
    <w:rsid w:val="00110517"/>
    <w:rsid w:val="001106AA"/>
    <w:rsid w:val="0011107B"/>
    <w:rsid w:val="001115CE"/>
    <w:rsid w:val="001117BA"/>
    <w:rsid w:val="00111C19"/>
    <w:rsid w:val="00111D50"/>
    <w:rsid w:val="0011222E"/>
    <w:rsid w:val="00112CF6"/>
    <w:rsid w:val="00113151"/>
    <w:rsid w:val="001139D0"/>
    <w:rsid w:val="00113F3C"/>
    <w:rsid w:val="0011449E"/>
    <w:rsid w:val="00114608"/>
    <w:rsid w:val="001149E9"/>
    <w:rsid w:val="001149F7"/>
    <w:rsid w:val="00114C3C"/>
    <w:rsid w:val="00114F9A"/>
    <w:rsid w:val="001155DC"/>
    <w:rsid w:val="0011577F"/>
    <w:rsid w:val="0011666B"/>
    <w:rsid w:val="00116F75"/>
    <w:rsid w:val="001174A3"/>
    <w:rsid w:val="0011764D"/>
    <w:rsid w:val="00117CD0"/>
    <w:rsid w:val="001202E3"/>
    <w:rsid w:val="00120449"/>
    <w:rsid w:val="00120B84"/>
    <w:rsid w:val="00120E9C"/>
    <w:rsid w:val="0012155B"/>
    <w:rsid w:val="0012180A"/>
    <w:rsid w:val="001218D1"/>
    <w:rsid w:val="00121D15"/>
    <w:rsid w:val="00122572"/>
    <w:rsid w:val="00122C79"/>
    <w:rsid w:val="00122FA9"/>
    <w:rsid w:val="00123387"/>
    <w:rsid w:val="0012369C"/>
    <w:rsid w:val="00123FEA"/>
    <w:rsid w:val="001244C0"/>
    <w:rsid w:val="0012504C"/>
    <w:rsid w:val="0012518E"/>
    <w:rsid w:val="00125397"/>
    <w:rsid w:val="001257A2"/>
    <w:rsid w:val="001257C2"/>
    <w:rsid w:val="00125A6F"/>
    <w:rsid w:val="00125F00"/>
    <w:rsid w:val="00125F1B"/>
    <w:rsid w:val="0012626F"/>
    <w:rsid w:val="001265B9"/>
    <w:rsid w:val="001269A0"/>
    <w:rsid w:val="00126BDD"/>
    <w:rsid w:val="00126D98"/>
    <w:rsid w:val="0012715A"/>
    <w:rsid w:val="0012793E"/>
    <w:rsid w:val="00127DF3"/>
    <w:rsid w:val="00127F3B"/>
    <w:rsid w:val="001304E5"/>
    <w:rsid w:val="0013059D"/>
    <w:rsid w:val="00130676"/>
    <w:rsid w:val="0013080C"/>
    <w:rsid w:val="00130D21"/>
    <w:rsid w:val="00130DA7"/>
    <w:rsid w:val="00130DFF"/>
    <w:rsid w:val="00131431"/>
    <w:rsid w:val="00131932"/>
    <w:rsid w:val="00131B7B"/>
    <w:rsid w:val="00131BC2"/>
    <w:rsid w:val="00131C32"/>
    <w:rsid w:val="0013263D"/>
    <w:rsid w:val="00132660"/>
    <w:rsid w:val="00132978"/>
    <w:rsid w:val="00132BC5"/>
    <w:rsid w:val="00132EB8"/>
    <w:rsid w:val="00133CA1"/>
    <w:rsid w:val="00133D37"/>
    <w:rsid w:val="00133E39"/>
    <w:rsid w:val="00133E89"/>
    <w:rsid w:val="00133FA7"/>
    <w:rsid w:val="001344DF"/>
    <w:rsid w:val="00134C2B"/>
    <w:rsid w:val="00135AC6"/>
    <w:rsid w:val="00135BB1"/>
    <w:rsid w:val="00135CB1"/>
    <w:rsid w:val="0013632D"/>
    <w:rsid w:val="00136A1B"/>
    <w:rsid w:val="00136B9D"/>
    <w:rsid w:val="0013714A"/>
    <w:rsid w:val="0013726D"/>
    <w:rsid w:val="00137A07"/>
    <w:rsid w:val="00137D75"/>
    <w:rsid w:val="00137F5D"/>
    <w:rsid w:val="001408FA"/>
    <w:rsid w:val="00140EE2"/>
    <w:rsid w:val="00141366"/>
    <w:rsid w:val="001416FA"/>
    <w:rsid w:val="00141A55"/>
    <w:rsid w:val="00141EA4"/>
    <w:rsid w:val="001420A8"/>
    <w:rsid w:val="0014216B"/>
    <w:rsid w:val="00142465"/>
    <w:rsid w:val="00142C3F"/>
    <w:rsid w:val="00142CAF"/>
    <w:rsid w:val="00142E96"/>
    <w:rsid w:val="001431BA"/>
    <w:rsid w:val="001431C8"/>
    <w:rsid w:val="001431CA"/>
    <w:rsid w:val="001435B9"/>
    <w:rsid w:val="001437B5"/>
    <w:rsid w:val="00143C74"/>
    <w:rsid w:val="001442A4"/>
    <w:rsid w:val="00144A93"/>
    <w:rsid w:val="00144BD7"/>
    <w:rsid w:val="00144CD5"/>
    <w:rsid w:val="001453DA"/>
    <w:rsid w:val="00145A0F"/>
    <w:rsid w:val="00145F80"/>
    <w:rsid w:val="00146016"/>
    <w:rsid w:val="00146048"/>
    <w:rsid w:val="00146455"/>
    <w:rsid w:val="0014654B"/>
    <w:rsid w:val="001466ED"/>
    <w:rsid w:val="00146AEF"/>
    <w:rsid w:val="00147771"/>
    <w:rsid w:val="00147998"/>
    <w:rsid w:val="00147CFA"/>
    <w:rsid w:val="00147CFC"/>
    <w:rsid w:val="00150300"/>
    <w:rsid w:val="00150370"/>
    <w:rsid w:val="0015072D"/>
    <w:rsid w:val="00150A45"/>
    <w:rsid w:val="00150C49"/>
    <w:rsid w:val="00150F62"/>
    <w:rsid w:val="0015129B"/>
    <w:rsid w:val="0015139B"/>
    <w:rsid w:val="0015142C"/>
    <w:rsid w:val="00151435"/>
    <w:rsid w:val="001517FF"/>
    <w:rsid w:val="00152078"/>
    <w:rsid w:val="00152EB0"/>
    <w:rsid w:val="00152F2F"/>
    <w:rsid w:val="001532D4"/>
    <w:rsid w:val="0015362F"/>
    <w:rsid w:val="00153856"/>
    <w:rsid w:val="001539D6"/>
    <w:rsid w:val="00154023"/>
    <w:rsid w:val="0015431B"/>
    <w:rsid w:val="001544D0"/>
    <w:rsid w:val="00154850"/>
    <w:rsid w:val="00155568"/>
    <w:rsid w:val="0015629E"/>
    <w:rsid w:val="001567A6"/>
    <w:rsid w:val="00156907"/>
    <w:rsid w:val="00156E8B"/>
    <w:rsid w:val="00156F3F"/>
    <w:rsid w:val="00157490"/>
    <w:rsid w:val="00157769"/>
    <w:rsid w:val="00157AD2"/>
    <w:rsid w:val="00157CD5"/>
    <w:rsid w:val="00157CE6"/>
    <w:rsid w:val="00157E69"/>
    <w:rsid w:val="00160CAE"/>
    <w:rsid w:val="00161122"/>
    <w:rsid w:val="001615A9"/>
    <w:rsid w:val="0016162F"/>
    <w:rsid w:val="00161702"/>
    <w:rsid w:val="00161A76"/>
    <w:rsid w:val="00161DDF"/>
    <w:rsid w:val="00162BB6"/>
    <w:rsid w:val="00162DB0"/>
    <w:rsid w:val="00163004"/>
    <w:rsid w:val="00163007"/>
    <w:rsid w:val="001635E2"/>
    <w:rsid w:val="00163CB8"/>
    <w:rsid w:val="00163D1C"/>
    <w:rsid w:val="0016412A"/>
    <w:rsid w:val="00164167"/>
    <w:rsid w:val="0016580F"/>
    <w:rsid w:val="00165CB7"/>
    <w:rsid w:val="00165E1D"/>
    <w:rsid w:val="001663F9"/>
    <w:rsid w:val="0016640F"/>
    <w:rsid w:val="00166A3D"/>
    <w:rsid w:val="00166D13"/>
    <w:rsid w:val="00166DD5"/>
    <w:rsid w:val="00167444"/>
    <w:rsid w:val="0016755A"/>
    <w:rsid w:val="00170047"/>
    <w:rsid w:val="00170101"/>
    <w:rsid w:val="001703A5"/>
    <w:rsid w:val="00170871"/>
    <w:rsid w:val="00170902"/>
    <w:rsid w:val="00170BA5"/>
    <w:rsid w:val="00170C93"/>
    <w:rsid w:val="0017123E"/>
    <w:rsid w:val="001712E8"/>
    <w:rsid w:val="00171319"/>
    <w:rsid w:val="00171814"/>
    <w:rsid w:val="00171B33"/>
    <w:rsid w:val="00171C69"/>
    <w:rsid w:val="00171E86"/>
    <w:rsid w:val="00172070"/>
    <w:rsid w:val="00172724"/>
    <w:rsid w:val="00173342"/>
    <w:rsid w:val="0017338F"/>
    <w:rsid w:val="0017371A"/>
    <w:rsid w:val="001738B9"/>
    <w:rsid w:val="00173B90"/>
    <w:rsid w:val="00173C3A"/>
    <w:rsid w:val="00173EEB"/>
    <w:rsid w:val="0017408B"/>
    <w:rsid w:val="001743D8"/>
    <w:rsid w:val="00174749"/>
    <w:rsid w:val="00174C21"/>
    <w:rsid w:val="00174EE0"/>
    <w:rsid w:val="0017540A"/>
    <w:rsid w:val="00175BCA"/>
    <w:rsid w:val="00175F92"/>
    <w:rsid w:val="00176058"/>
    <w:rsid w:val="001761DB"/>
    <w:rsid w:val="00176D2D"/>
    <w:rsid w:val="00176E5C"/>
    <w:rsid w:val="00177387"/>
    <w:rsid w:val="001777BF"/>
    <w:rsid w:val="00177D5D"/>
    <w:rsid w:val="00180049"/>
    <w:rsid w:val="00180618"/>
    <w:rsid w:val="00180731"/>
    <w:rsid w:val="00180747"/>
    <w:rsid w:val="001809CC"/>
    <w:rsid w:val="00180BDF"/>
    <w:rsid w:val="00180FEC"/>
    <w:rsid w:val="0018114B"/>
    <w:rsid w:val="001814A3"/>
    <w:rsid w:val="001814AF"/>
    <w:rsid w:val="001817AE"/>
    <w:rsid w:val="00181B0B"/>
    <w:rsid w:val="00181EC8"/>
    <w:rsid w:val="00182074"/>
    <w:rsid w:val="00182113"/>
    <w:rsid w:val="001823F0"/>
    <w:rsid w:val="00182DA6"/>
    <w:rsid w:val="00183013"/>
    <w:rsid w:val="00183402"/>
    <w:rsid w:val="00183482"/>
    <w:rsid w:val="001835FF"/>
    <w:rsid w:val="00183B56"/>
    <w:rsid w:val="001841C8"/>
    <w:rsid w:val="00184349"/>
    <w:rsid w:val="00184372"/>
    <w:rsid w:val="00184826"/>
    <w:rsid w:val="0018498F"/>
    <w:rsid w:val="00184DF3"/>
    <w:rsid w:val="00185032"/>
    <w:rsid w:val="001854E9"/>
    <w:rsid w:val="001855A1"/>
    <w:rsid w:val="001857C0"/>
    <w:rsid w:val="00185F54"/>
    <w:rsid w:val="001864BA"/>
    <w:rsid w:val="001865CB"/>
    <w:rsid w:val="00186905"/>
    <w:rsid w:val="00187A05"/>
    <w:rsid w:val="00187EC5"/>
    <w:rsid w:val="00187EC6"/>
    <w:rsid w:val="0019047E"/>
    <w:rsid w:val="00190A49"/>
    <w:rsid w:val="00190B05"/>
    <w:rsid w:val="00190F56"/>
    <w:rsid w:val="001915F2"/>
    <w:rsid w:val="001918EA"/>
    <w:rsid w:val="001919D9"/>
    <w:rsid w:val="001929D6"/>
    <w:rsid w:val="001934B5"/>
    <w:rsid w:val="00193D80"/>
    <w:rsid w:val="00194043"/>
    <w:rsid w:val="00194066"/>
    <w:rsid w:val="0019465E"/>
    <w:rsid w:val="00194682"/>
    <w:rsid w:val="00194691"/>
    <w:rsid w:val="001947FD"/>
    <w:rsid w:val="00194893"/>
    <w:rsid w:val="0019499F"/>
    <w:rsid w:val="00194DDC"/>
    <w:rsid w:val="00194E63"/>
    <w:rsid w:val="00194F53"/>
    <w:rsid w:val="001954FA"/>
    <w:rsid w:val="00196046"/>
    <w:rsid w:val="00196049"/>
    <w:rsid w:val="0019633C"/>
    <w:rsid w:val="00196935"/>
    <w:rsid w:val="00196A8A"/>
    <w:rsid w:val="00196E44"/>
    <w:rsid w:val="00197081"/>
    <w:rsid w:val="00197785"/>
    <w:rsid w:val="001A071B"/>
    <w:rsid w:val="001A0DB7"/>
    <w:rsid w:val="001A1134"/>
    <w:rsid w:val="001A13D1"/>
    <w:rsid w:val="001A1C2A"/>
    <w:rsid w:val="001A23E3"/>
    <w:rsid w:val="001A253B"/>
    <w:rsid w:val="001A2B38"/>
    <w:rsid w:val="001A2C1A"/>
    <w:rsid w:val="001A2F21"/>
    <w:rsid w:val="001A3CBD"/>
    <w:rsid w:val="001A429A"/>
    <w:rsid w:val="001A4DC0"/>
    <w:rsid w:val="001A598F"/>
    <w:rsid w:val="001A5CD1"/>
    <w:rsid w:val="001A5F92"/>
    <w:rsid w:val="001A69F1"/>
    <w:rsid w:val="001A7109"/>
    <w:rsid w:val="001A723F"/>
    <w:rsid w:val="001A72E5"/>
    <w:rsid w:val="001A756E"/>
    <w:rsid w:val="001A75FE"/>
    <w:rsid w:val="001A7A77"/>
    <w:rsid w:val="001A7EE9"/>
    <w:rsid w:val="001B108C"/>
    <w:rsid w:val="001B16BD"/>
    <w:rsid w:val="001B2012"/>
    <w:rsid w:val="001B2F7C"/>
    <w:rsid w:val="001B2FBE"/>
    <w:rsid w:val="001B307A"/>
    <w:rsid w:val="001B3662"/>
    <w:rsid w:val="001B3C0A"/>
    <w:rsid w:val="001B4436"/>
    <w:rsid w:val="001B4F75"/>
    <w:rsid w:val="001B5690"/>
    <w:rsid w:val="001B5C88"/>
    <w:rsid w:val="001B5F67"/>
    <w:rsid w:val="001B62B3"/>
    <w:rsid w:val="001B67C5"/>
    <w:rsid w:val="001B6BBF"/>
    <w:rsid w:val="001B7246"/>
    <w:rsid w:val="001B7C2C"/>
    <w:rsid w:val="001C03BE"/>
    <w:rsid w:val="001C0462"/>
    <w:rsid w:val="001C0845"/>
    <w:rsid w:val="001C0C4E"/>
    <w:rsid w:val="001C0D1B"/>
    <w:rsid w:val="001C10CA"/>
    <w:rsid w:val="001C1281"/>
    <w:rsid w:val="001C17C1"/>
    <w:rsid w:val="001C1F06"/>
    <w:rsid w:val="001C23B7"/>
    <w:rsid w:val="001C27F5"/>
    <w:rsid w:val="001C2F73"/>
    <w:rsid w:val="001C2FB9"/>
    <w:rsid w:val="001C3028"/>
    <w:rsid w:val="001C33AF"/>
    <w:rsid w:val="001C372D"/>
    <w:rsid w:val="001C3C9D"/>
    <w:rsid w:val="001C46ED"/>
    <w:rsid w:val="001C4F62"/>
    <w:rsid w:val="001C5241"/>
    <w:rsid w:val="001C53DC"/>
    <w:rsid w:val="001C5592"/>
    <w:rsid w:val="001C58B4"/>
    <w:rsid w:val="001C59B4"/>
    <w:rsid w:val="001C59CF"/>
    <w:rsid w:val="001C5DBD"/>
    <w:rsid w:val="001C5DD7"/>
    <w:rsid w:val="001C64F8"/>
    <w:rsid w:val="001C6625"/>
    <w:rsid w:val="001C6BA2"/>
    <w:rsid w:val="001C754F"/>
    <w:rsid w:val="001C7EF5"/>
    <w:rsid w:val="001D06FF"/>
    <w:rsid w:val="001D09A5"/>
    <w:rsid w:val="001D0C04"/>
    <w:rsid w:val="001D0C1A"/>
    <w:rsid w:val="001D1097"/>
    <w:rsid w:val="001D12AE"/>
    <w:rsid w:val="001D13A1"/>
    <w:rsid w:val="001D13A5"/>
    <w:rsid w:val="001D1525"/>
    <w:rsid w:val="001D1585"/>
    <w:rsid w:val="001D198B"/>
    <w:rsid w:val="001D213B"/>
    <w:rsid w:val="001D234C"/>
    <w:rsid w:val="001D2A1A"/>
    <w:rsid w:val="001D2CD9"/>
    <w:rsid w:val="001D2E0C"/>
    <w:rsid w:val="001D2E6F"/>
    <w:rsid w:val="001D3612"/>
    <w:rsid w:val="001D3874"/>
    <w:rsid w:val="001D3B93"/>
    <w:rsid w:val="001D3E5C"/>
    <w:rsid w:val="001D3FAB"/>
    <w:rsid w:val="001D4475"/>
    <w:rsid w:val="001D56E5"/>
    <w:rsid w:val="001D5A5E"/>
    <w:rsid w:val="001D5C1C"/>
    <w:rsid w:val="001D61D4"/>
    <w:rsid w:val="001D6390"/>
    <w:rsid w:val="001D6633"/>
    <w:rsid w:val="001D66B6"/>
    <w:rsid w:val="001D6A57"/>
    <w:rsid w:val="001D6AA6"/>
    <w:rsid w:val="001D6E76"/>
    <w:rsid w:val="001D6EAF"/>
    <w:rsid w:val="001D747E"/>
    <w:rsid w:val="001D7560"/>
    <w:rsid w:val="001D7580"/>
    <w:rsid w:val="001D7E75"/>
    <w:rsid w:val="001E160F"/>
    <w:rsid w:val="001E1CDE"/>
    <w:rsid w:val="001E22A6"/>
    <w:rsid w:val="001E241B"/>
    <w:rsid w:val="001E27D7"/>
    <w:rsid w:val="001E29D8"/>
    <w:rsid w:val="001E3E26"/>
    <w:rsid w:val="001E3E86"/>
    <w:rsid w:val="001E4582"/>
    <w:rsid w:val="001E4FCE"/>
    <w:rsid w:val="001E504A"/>
    <w:rsid w:val="001E56D2"/>
    <w:rsid w:val="001E5750"/>
    <w:rsid w:val="001E5D18"/>
    <w:rsid w:val="001E5F49"/>
    <w:rsid w:val="001E6021"/>
    <w:rsid w:val="001E6182"/>
    <w:rsid w:val="001E6564"/>
    <w:rsid w:val="001E6576"/>
    <w:rsid w:val="001E6F8B"/>
    <w:rsid w:val="001E72A8"/>
    <w:rsid w:val="001E787C"/>
    <w:rsid w:val="001E7D56"/>
    <w:rsid w:val="001F048D"/>
    <w:rsid w:val="001F182D"/>
    <w:rsid w:val="001F1C2C"/>
    <w:rsid w:val="001F1FD2"/>
    <w:rsid w:val="001F208B"/>
    <w:rsid w:val="001F22E2"/>
    <w:rsid w:val="001F2414"/>
    <w:rsid w:val="001F2D4E"/>
    <w:rsid w:val="001F2DCF"/>
    <w:rsid w:val="001F35B1"/>
    <w:rsid w:val="001F3816"/>
    <w:rsid w:val="001F38C2"/>
    <w:rsid w:val="001F38E8"/>
    <w:rsid w:val="001F39FD"/>
    <w:rsid w:val="001F3ED8"/>
    <w:rsid w:val="001F4C42"/>
    <w:rsid w:val="001F4C8D"/>
    <w:rsid w:val="001F4CBC"/>
    <w:rsid w:val="001F501D"/>
    <w:rsid w:val="001F55E6"/>
    <w:rsid w:val="001F56BE"/>
    <w:rsid w:val="001F5C56"/>
    <w:rsid w:val="001F5EB1"/>
    <w:rsid w:val="001F6065"/>
    <w:rsid w:val="001F6B24"/>
    <w:rsid w:val="001F6C82"/>
    <w:rsid w:val="001F72E0"/>
    <w:rsid w:val="001F75DE"/>
    <w:rsid w:val="001F772A"/>
    <w:rsid w:val="001F7967"/>
    <w:rsid w:val="001F7C50"/>
    <w:rsid w:val="001F7DBB"/>
    <w:rsid w:val="00200322"/>
    <w:rsid w:val="00200908"/>
    <w:rsid w:val="00200D58"/>
    <w:rsid w:val="00200D9D"/>
    <w:rsid w:val="00201012"/>
    <w:rsid w:val="00201200"/>
    <w:rsid w:val="002013BE"/>
    <w:rsid w:val="00201749"/>
    <w:rsid w:val="00201926"/>
    <w:rsid w:val="002023B6"/>
    <w:rsid w:val="00202ADC"/>
    <w:rsid w:val="00202CA8"/>
    <w:rsid w:val="0020331B"/>
    <w:rsid w:val="0020474B"/>
    <w:rsid w:val="002047E2"/>
    <w:rsid w:val="00204BDB"/>
    <w:rsid w:val="00204CD9"/>
    <w:rsid w:val="00204F84"/>
    <w:rsid w:val="0020527D"/>
    <w:rsid w:val="00205312"/>
    <w:rsid w:val="0020565D"/>
    <w:rsid w:val="00205D9F"/>
    <w:rsid w:val="002063A4"/>
    <w:rsid w:val="00207417"/>
    <w:rsid w:val="00207D09"/>
    <w:rsid w:val="00207D9F"/>
    <w:rsid w:val="002103E1"/>
    <w:rsid w:val="00210422"/>
    <w:rsid w:val="00210A07"/>
    <w:rsid w:val="00210CFC"/>
    <w:rsid w:val="00210E75"/>
    <w:rsid w:val="0021145B"/>
    <w:rsid w:val="00211DA9"/>
    <w:rsid w:val="002124BC"/>
    <w:rsid w:val="00212766"/>
    <w:rsid w:val="00212CEB"/>
    <w:rsid w:val="00213380"/>
    <w:rsid w:val="0021380A"/>
    <w:rsid w:val="00213BE9"/>
    <w:rsid w:val="00213E92"/>
    <w:rsid w:val="002140CD"/>
    <w:rsid w:val="00214263"/>
    <w:rsid w:val="002143B4"/>
    <w:rsid w:val="00214924"/>
    <w:rsid w:val="00214A08"/>
    <w:rsid w:val="0021569E"/>
    <w:rsid w:val="002156CB"/>
    <w:rsid w:val="00215871"/>
    <w:rsid w:val="002161AF"/>
    <w:rsid w:val="002161F4"/>
    <w:rsid w:val="0021648D"/>
    <w:rsid w:val="0021670A"/>
    <w:rsid w:val="00216C15"/>
    <w:rsid w:val="00216D2D"/>
    <w:rsid w:val="0021705C"/>
    <w:rsid w:val="00217603"/>
    <w:rsid w:val="002205A1"/>
    <w:rsid w:val="00220C90"/>
    <w:rsid w:val="002211CE"/>
    <w:rsid w:val="00221EC4"/>
    <w:rsid w:val="00222208"/>
    <w:rsid w:val="002225D2"/>
    <w:rsid w:val="00222851"/>
    <w:rsid w:val="00222FD5"/>
    <w:rsid w:val="00223145"/>
    <w:rsid w:val="00223971"/>
    <w:rsid w:val="00223E56"/>
    <w:rsid w:val="00223F1D"/>
    <w:rsid w:val="00224421"/>
    <w:rsid w:val="00224502"/>
    <w:rsid w:val="0022532C"/>
    <w:rsid w:val="002253C7"/>
    <w:rsid w:val="002254F9"/>
    <w:rsid w:val="00225525"/>
    <w:rsid w:val="002257BE"/>
    <w:rsid w:val="00225810"/>
    <w:rsid w:val="00225A6F"/>
    <w:rsid w:val="00225A74"/>
    <w:rsid w:val="00226F89"/>
    <w:rsid w:val="00227160"/>
    <w:rsid w:val="00227267"/>
    <w:rsid w:val="002272ED"/>
    <w:rsid w:val="002308B5"/>
    <w:rsid w:val="00230C1E"/>
    <w:rsid w:val="002311C7"/>
    <w:rsid w:val="00231407"/>
    <w:rsid w:val="0023149A"/>
    <w:rsid w:val="002314BC"/>
    <w:rsid w:val="00231874"/>
    <w:rsid w:val="00231C75"/>
    <w:rsid w:val="00231F4E"/>
    <w:rsid w:val="002324EE"/>
    <w:rsid w:val="00232AAC"/>
    <w:rsid w:val="0023313C"/>
    <w:rsid w:val="002332B9"/>
    <w:rsid w:val="00233CEF"/>
    <w:rsid w:val="00233F8C"/>
    <w:rsid w:val="002343E7"/>
    <w:rsid w:val="00234722"/>
    <w:rsid w:val="00234C57"/>
    <w:rsid w:val="00234E66"/>
    <w:rsid w:val="002351BD"/>
    <w:rsid w:val="002352F3"/>
    <w:rsid w:val="00235C3F"/>
    <w:rsid w:val="00235F44"/>
    <w:rsid w:val="002360F1"/>
    <w:rsid w:val="0023703C"/>
    <w:rsid w:val="002371AE"/>
    <w:rsid w:val="00237541"/>
    <w:rsid w:val="002375A0"/>
    <w:rsid w:val="00237E3F"/>
    <w:rsid w:val="00240302"/>
    <w:rsid w:val="002403F0"/>
    <w:rsid w:val="00240699"/>
    <w:rsid w:val="00240767"/>
    <w:rsid w:val="002407A8"/>
    <w:rsid w:val="00240C60"/>
    <w:rsid w:val="00240D02"/>
    <w:rsid w:val="002412C5"/>
    <w:rsid w:val="00241814"/>
    <w:rsid w:val="00241C97"/>
    <w:rsid w:val="00241FA1"/>
    <w:rsid w:val="00242777"/>
    <w:rsid w:val="002431A8"/>
    <w:rsid w:val="00243A56"/>
    <w:rsid w:val="00244023"/>
    <w:rsid w:val="002446BB"/>
    <w:rsid w:val="002447A4"/>
    <w:rsid w:val="00244B7C"/>
    <w:rsid w:val="0024505D"/>
    <w:rsid w:val="00245078"/>
    <w:rsid w:val="0024524C"/>
    <w:rsid w:val="002453A0"/>
    <w:rsid w:val="002453CC"/>
    <w:rsid w:val="002458D1"/>
    <w:rsid w:val="00245AE2"/>
    <w:rsid w:val="002460F0"/>
    <w:rsid w:val="00246817"/>
    <w:rsid w:val="00246A38"/>
    <w:rsid w:val="002472B2"/>
    <w:rsid w:val="00247707"/>
    <w:rsid w:val="002504DC"/>
    <w:rsid w:val="00250533"/>
    <w:rsid w:val="00250D59"/>
    <w:rsid w:val="0025120B"/>
    <w:rsid w:val="00251265"/>
    <w:rsid w:val="0025148A"/>
    <w:rsid w:val="002515EE"/>
    <w:rsid w:val="00251863"/>
    <w:rsid w:val="00251A3C"/>
    <w:rsid w:val="00251B5B"/>
    <w:rsid w:val="00251CD0"/>
    <w:rsid w:val="00251F90"/>
    <w:rsid w:val="00252250"/>
    <w:rsid w:val="00252278"/>
    <w:rsid w:val="002534FC"/>
    <w:rsid w:val="00253669"/>
    <w:rsid w:val="00253687"/>
    <w:rsid w:val="00253AF9"/>
    <w:rsid w:val="00254301"/>
    <w:rsid w:val="00254368"/>
    <w:rsid w:val="002548C9"/>
    <w:rsid w:val="0025491D"/>
    <w:rsid w:val="00254EEA"/>
    <w:rsid w:val="0025507C"/>
    <w:rsid w:val="00255190"/>
    <w:rsid w:val="00255702"/>
    <w:rsid w:val="002557FD"/>
    <w:rsid w:val="00255CCA"/>
    <w:rsid w:val="002560E4"/>
    <w:rsid w:val="00256D08"/>
    <w:rsid w:val="002570D6"/>
    <w:rsid w:val="002570FB"/>
    <w:rsid w:val="00257184"/>
    <w:rsid w:val="00257FEA"/>
    <w:rsid w:val="00260043"/>
    <w:rsid w:val="0026010A"/>
    <w:rsid w:val="002603C1"/>
    <w:rsid w:val="00260544"/>
    <w:rsid w:val="00260AF9"/>
    <w:rsid w:val="00260CF7"/>
    <w:rsid w:val="00260FED"/>
    <w:rsid w:val="00261AE3"/>
    <w:rsid w:val="00261F6A"/>
    <w:rsid w:val="0026233E"/>
    <w:rsid w:val="00262577"/>
    <w:rsid w:val="00262994"/>
    <w:rsid w:val="00262BD0"/>
    <w:rsid w:val="002635E6"/>
    <w:rsid w:val="002636D0"/>
    <w:rsid w:val="00263757"/>
    <w:rsid w:val="00263EB7"/>
    <w:rsid w:val="00263FF0"/>
    <w:rsid w:val="00264568"/>
    <w:rsid w:val="0026578C"/>
    <w:rsid w:val="002659CA"/>
    <w:rsid w:val="00265B71"/>
    <w:rsid w:val="00265C5B"/>
    <w:rsid w:val="00265F8A"/>
    <w:rsid w:val="00266099"/>
    <w:rsid w:val="002660DF"/>
    <w:rsid w:val="00266CDF"/>
    <w:rsid w:val="00266E0D"/>
    <w:rsid w:val="00266FD3"/>
    <w:rsid w:val="002671A7"/>
    <w:rsid w:val="002671B3"/>
    <w:rsid w:val="0026720B"/>
    <w:rsid w:val="0026736F"/>
    <w:rsid w:val="00267963"/>
    <w:rsid w:val="00267E79"/>
    <w:rsid w:val="00270404"/>
    <w:rsid w:val="00270582"/>
    <w:rsid w:val="0027229F"/>
    <w:rsid w:val="00272559"/>
    <w:rsid w:val="00272818"/>
    <w:rsid w:val="00272A5B"/>
    <w:rsid w:val="00272FB6"/>
    <w:rsid w:val="00273442"/>
    <w:rsid w:val="002736C9"/>
    <w:rsid w:val="0027373C"/>
    <w:rsid w:val="00273892"/>
    <w:rsid w:val="00273C43"/>
    <w:rsid w:val="002745F6"/>
    <w:rsid w:val="00274A08"/>
    <w:rsid w:val="00274A56"/>
    <w:rsid w:val="002752B2"/>
    <w:rsid w:val="0027532E"/>
    <w:rsid w:val="002753C9"/>
    <w:rsid w:val="0027585F"/>
    <w:rsid w:val="00275921"/>
    <w:rsid w:val="00276384"/>
    <w:rsid w:val="00276F99"/>
    <w:rsid w:val="002775CA"/>
    <w:rsid w:val="002775F4"/>
    <w:rsid w:val="00277660"/>
    <w:rsid w:val="00277D6E"/>
    <w:rsid w:val="00277DD2"/>
    <w:rsid w:val="00277E5F"/>
    <w:rsid w:val="00277F60"/>
    <w:rsid w:val="002803B4"/>
    <w:rsid w:val="00280AF4"/>
    <w:rsid w:val="002810D2"/>
    <w:rsid w:val="002814C7"/>
    <w:rsid w:val="00281AEB"/>
    <w:rsid w:val="002820DC"/>
    <w:rsid w:val="002824F0"/>
    <w:rsid w:val="00282A37"/>
    <w:rsid w:val="002832BC"/>
    <w:rsid w:val="00283CD0"/>
    <w:rsid w:val="00283D08"/>
    <w:rsid w:val="002844CD"/>
    <w:rsid w:val="00284929"/>
    <w:rsid w:val="00285749"/>
    <w:rsid w:val="0028596B"/>
    <w:rsid w:val="00285BB4"/>
    <w:rsid w:val="00285F1E"/>
    <w:rsid w:val="00286740"/>
    <w:rsid w:val="00286B96"/>
    <w:rsid w:val="00286CA8"/>
    <w:rsid w:val="002875C0"/>
    <w:rsid w:val="0029010E"/>
    <w:rsid w:val="00290B9A"/>
    <w:rsid w:val="00290CD5"/>
    <w:rsid w:val="00291052"/>
    <w:rsid w:val="00291E6D"/>
    <w:rsid w:val="002921AF"/>
    <w:rsid w:val="002923F3"/>
    <w:rsid w:val="00292653"/>
    <w:rsid w:val="00292770"/>
    <w:rsid w:val="00292822"/>
    <w:rsid w:val="0029286C"/>
    <w:rsid w:val="002929D8"/>
    <w:rsid w:val="00292BC4"/>
    <w:rsid w:val="00292F52"/>
    <w:rsid w:val="00292FC1"/>
    <w:rsid w:val="00293250"/>
    <w:rsid w:val="00293920"/>
    <w:rsid w:val="00293C67"/>
    <w:rsid w:val="00293FEE"/>
    <w:rsid w:val="00294430"/>
    <w:rsid w:val="002946F4"/>
    <w:rsid w:val="002948A0"/>
    <w:rsid w:val="00294E93"/>
    <w:rsid w:val="00294FAF"/>
    <w:rsid w:val="00295382"/>
    <w:rsid w:val="002955AA"/>
    <w:rsid w:val="002955DC"/>
    <w:rsid w:val="00296926"/>
    <w:rsid w:val="00296C5A"/>
    <w:rsid w:val="00296CC8"/>
    <w:rsid w:val="00296CE8"/>
    <w:rsid w:val="002A01D1"/>
    <w:rsid w:val="002A0387"/>
    <w:rsid w:val="002A0D3D"/>
    <w:rsid w:val="002A1349"/>
    <w:rsid w:val="002A1475"/>
    <w:rsid w:val="002A1577"/>
    <w:rsid w:val="002A172B"/>
    <w:rsid w:val="002A1D08"/>
    <w:rsid w:val="002A231E"/>
    <w:rsid w:val="002A237D"/>
    <w:rsid w:val="002A29F8"/>
    <w:rsid w:val="002A2C1E"/>
    <w:rsid w:val="002A343F"/>
    <w:rsid w:val="002A3B5F"/>
    <w:rsid w:val="002A4800"/>
    <w:rsid w:val="002A492F"/>
    <w:rsid w:val="002A4C53"/>
    <w:rsid w:val="002A4C9F"/>
    <w:rsid w:val="002A5072"/>
    <w:rsid w:val="002A5094"/>
    <w:rsid w:val="002A5194"/>
    <w:rsid w:val="002A57E3"/>
    <w:rsid w:val="002A5CEF"/>
    <w:rsid w:val="002A5D2B"/>
    <w:rsid w:val="002A5DFA"/>
    <w:rsid w:val="002A5ED3"/>
    <w:rsid w:val="002A6B6E"/>
    <w:rsid w:val="002A6D42"/>
    <w:rsid w:val="002A7273"/>
    <w:rsid w:val="002A73D6"/>
    <w:rsid w:val="002A7683"/>
    <w:rsid w:val="002A7C82"/>
    <w:rsid w:val="002B031B"/>
    <w:rsid w:val="002B05A3"/>
    <w:rsid w:val="002B0756"/>
    <w:rsid w:val="002B1187"/>
    <w:rsid w:val="002B12D0"/>
    <w:rsid w:val="002B145E"/>
    <w:rsid w:val="002B14DB"/>
    <w:rsid w:val="002B151C"/>
    <w:rsid w:val="002B2633"/>
    <w:rsid w:val="002B2CBA"/>
    <w:rsid w:val="002B3083"/>
    <w:rsid w:val="002B30E2"/>
    <w:rsid w:val="002B327E"/>
    <w:rsid w:val="002B33D8"/>
    <w:rsid w:val="002B342A"/>
    <w:rsid w:val="002B34F5"/>
    <w:rsid w:val="002B36CE"/>
    <w:rsid w:val="002B3CDA"/>
    <w:rsid w:val="002B3E45"/>
    <w:rsid w:val="002B3F60"/>
    <w:rsid w:val="002B4107"/>
    <w:rsid w:val="002B44BC"/>
    <w:rsid w:val="002B5053"/>
    <w:rsid w:val="002B52BC"/>
    <w:rsid w:val="002B5B98"/>
    <w:rsid w:val="002B5C61"/>
    <w:rsid w:val="002B5C86"/>
    <w:rsid w:val="002B6642"/>
    <w:rsid w:val="002B6751"/>
    <w:rsid w:val="002B68C6"/>
    <w:rsid w:val="002B6A53"/>
    <w:rsid w:val="002B6CC0"/>
    <w:rsid w:val="002B6F25"/>
    <w:rsid w:val="002B7567"/>
    <w:rsid w:val="002B75C8"/>
    <w:rsid w:val="002B75D4"/>
    <w:rsid w:val="002B7DA0"/>
    <w:rsid w:val="002C0246"/>
    <w:rsid w:val="002C03CC"/>
    <w:rsid w:val="002C0557"/>
    <w:rsid w:val="002C09E3"/>
    <w:rsid w:val="002C0A05"/>
    <w:rsid w:val="002C0BDC"/>
    <w:rsid w:val="002C0D3A"/>
    <w:rsid w:val="002C145D"/>
    <w:rsid w:val="002C1549"/>
    <w:rsid w:val="002C1709"/>
    <w:rsid w:val="002C194E"/>
    <w:rsid w:val="002C209A"/>
    <w:rsid w:val="002C2229"/>
    <w:rsid w:val="002C2C3E"/>
    <w:rsid w:val="002C2D44"/>
    <w:rsid w:val="002C396A"/>
    <w:rsid w:val="002C44FA"/>
    <w:rsid w:val="002C4653"/>
    <w:rsid w:val="002C48C6"/>
    <w:rsid w:val="002C533E"/>
    <w:rsid w:val="002C5506"/>
    <w:rsid w:val="002C5746"/>
    <w:rsid w:val="002C5AD8"/>
    <w:rsid w:val="002C5E1D"/>
    <w:rsid w:val="002C5E3B"/>
    <w:rsid w:val="002C5E5E"/>
    <w:rsid w:val="002C657E"/>
    <w:rsid w:val="002C69C4"/>
    <w:rsid w:val="002C70E8"/>
    <w:rsid w:val="002D0003"/>
    <w:rsid w:val="002D00B8"/>
    <w:rsid w:val="002D027F"/>
    <w:rsid w:val="002D04E6"/>
    <w:rsid w:val="002D054B"/>
    <w:rsid w:val="002D073E"/>
    <w:rsid w:val="002D0E18"/>
    <w:rsid w:val="002D0E62"/>
    <w:rsid w:val="002D1047"/>
    <w:rsid w:val="002D12AD"/>
    <w:rsid w:val="002D1656"/>
    <w:rsid w:val="002D16CF"/>
    <w:rsid w:val="002D1849"/>
    <w:rsid w:val="002D230D"/>
    <w:rsid w:val="002D2322"/>
    <w:rsid w:val="002D2423"/>
    <w:rsid w:val="002D252F"/>
    <w:rsid w:val="002D317D"/>
    <w:rsid w:val="002D41C2"/>
    <w:rsid w:val="002D446C"/>
    <w:rsid w:val="002D45D1"/>
    <w:rsid w:val="002D4832"/>
    <w:rsid w:val="002D49C6"/>
    <w:rsid w:val="002D4FB0"/>
    <w:rsid w:val="002D4FC0"/>
    <w:rsid w:val="002D582B"/>
    <w:rsid w:val="002D5840"/>
    <w:rsid w:val="002D5D50"/>
    <w:rsid w:val="002D6100"/>
    <w:rsid w:val="002D62AC"/>
    <w:rsid w:val="002D65FE"/>
    <w:rsid w:val="002D680C"/>
    <w:rsid w:val="002D6977"/>
    <w:rsid w:val="002D6BF9"/>
    <w:rsid w:val="002D73E2"/>
    <w:rsid w:val="002D7792"/>
    <w:rsid w:val="002D7B35"/>
    <w:rsid w:val="002D7B60"/>
    <w:rsid w:val="002D7F2B"/>
    <w:rsid w:val="002E0188"/>
    <w:rsid w:val="002E0409"/>
    <w:rsid w:val="002E0DA8"/>
    <w:rsid w:val="002E17A0"/>
    <w:rsid w:val="002E1A32"/>
    <w:rsid w:val="002E1BFF"/>
    <w:rsid w:val="002E1FC7"/>
    <w:rsid w:val="002E2107"/>
    <w:rsid w:val="002E2438"/>
    <w:rsid w:val="002E2D79"/>
    <w:rsid w:val="002E2F67"/>
    <w:rsid w:val="002E3D8C"/>
    <w:rsid w:val="002E4392"/>
    <w:rsid w:val="002E45C7"/>
    <w:rsid w:val="002E4896"/>
    <w:rsid w:val="002E4A8E"/>
    <w:rsid w:val="002E56F7"/>
    <w:rsid w:val="002E57CA"/>
    <w:rsid w:val="002E5AEF"/>
    <w:rsid w:val="002E5DE0"/>
    <w:rsid w:val="002E61E5"/>
    <w:rsid w:val="002E6955"/>
    <w:rsid w:val="002E7180"/>
    <w:rsid w:val="002E7756"/>
    <w:rsid w:val="002E7970"/>
    <w:rsid w:val="002E7CDB"/>
    <w:rsid w:val="002F0080"/>
    <w:rsid w:val="002F0351"/>
    <w:rsid w:val="002F04CC"/>
    <w:rsid w:val="002F061B"/>
    <w:rsid w:val="002F0AE5"/>
    <w:rsid w:val="002F0C0D"/>
    <w:rsid w:val="002F1232"/>
    <w:rsid w:val="002F1256"/>
    <w:rsid w:val="002F12A0"/>
    <w:rsid w:val="002F17AC"/>
    <w:rsid w:val="002F1865"/>
    <w:rsid w:val="002F1CB7"/>
    <w:rsid w:val="002F257E"/>
    <w:rsid w:val="002F2BEB"/>
    <w:rsid w:val="002F335D"/>
    <w:rsid w:val="002F38FF"/>
    <w:rsid w:val="002F4761"/>
    <w:rsid w:val="002F49F9"/>
    <w:rsid w:val="002F4B3B"/>
    <w:rsid w:val="002F4C3C"/>
    <w:rsid w:val="002F5304"/>
    <w:rsid w:val="002F5CD5"/>
    <w:rsid w:val="002F5D09"/>
    <w:rsid w:val="002F629D"/>
    <w:rsid w:val="002F6396"/>
    <w:rsid w:val="002F6D21"/>
    <w:rsid w:val="002F7960"/>
    <w:rsid w:val="00300127"/>
    <w:rsid w:val="003009D3"/>
    <w:rsid w:val="00300F9B"/>
    <w:rsid w:val="0030104B"/>
    <w:rsid w:val="00301365"/>
    <w:rsid w:val="003013B2"/>
    <w:rsid w:val="0030174D"/>
    <w:rsid w:val="00301825"/>
    <w:rsid w:val="00301926"/>
    <w:rsid w:val="00301A40"/>
    <w:rsid w:val="00301EE5"/>
    <w:rsid w:val="0030215A"/>
    <w:rsid w:val="003021AD"/>
    <w:rsid w:val="00302337"/>
    <w:rsid w:val="00302463"/>
    <w:rsid w:val="003025A4"/>
    <w:rsid w:val="003027A8"/>
    <w:rsid w:val="00302EEE"/>
    <w:rsid w:val="00303226"/>
    <w:rsid w:val="003037FC"/>
    <w:rsid w:val="00303874"/>
    <w:rsid w:val="00303965"/>
    <w:rsid w:val="00303C06"/>
    <w:rsid w:val="00303C2F"/>
    <w:rsid w:val="00303FC5"/>
    <w:rsid w:val="00304E99"/>
    <w:rsid w:val="00304F0F"/>
    <w:rsid w:val="00304FC3"/>
    <w:rsid w:val="00305B47"/>
    <w:rsid w:val="003061B5"/>
    <w:rsid w:val="00306ABA"/>
    <w:rsid w:val="00306CC5"/>
    <w:rsid w:val="00306E82"/>
    <w:rsid w:val="003073E5"/>
    <w:rsid w:val="00310707"/>
    <w:rsid w:val="0031070B"/>
    <w:rsid w:val="003107D7"/>
    <w:rsid w:val="00311666"/>
    <w:rsid w:val="00311B8A"/>
    <w:rsid w:val="00311CCC"/>
    <w:rsid w:val="0031244D"/>
    <w:rsid w:val="00312896"/>
    <w:rsid w:val="00312AEE"/>
    <w:rsid w:val="00312FA8"/>
    <w:rsid w:val="003131A6"/>
    <w:rsid w:val="00313CAC"/>
    <w:rsid w:val="0031413F"/>
    <w:rsid w:val="003143F6"/>
    <w:rsid w:val="00314466"/>
    <w:rsid w:val="00314FF5"/>
    <w:rsid w:val="00315265"/>
    <w:rsid w:val="003153BB"/>
    <w:rsid w:val="00315820"/>
    <w:rsid w:val="00316613"/>
    <w:rsid w:val="00316662"/>
    <w:rsid w:val="003166D8"/>
    <w:rsid w:val="0031671F"/>
    <w:rsid w:val="00317352"/>
    <w:rsid w:val="00317353"/>
    <w:rsid w:val="00317453"/>
    <w:rsid w:val="00317695"/>
    <w:rsid w:val="0031786D"/>
    <w:rsid w:val="00317A71"/>
    <w:rsid w:val="00317AB6"/>
    <w:rsid w:val="00317C36"/>
    <w:rsid w:val="00320958"/>
    <w:rsid w:val="00320DEC"/>
    <w:rsid w:val="00321769"/>
    <w:rsid w:val="003217A3"/>
    <w:rsid w:val="003217E7"/>
    <w:rsid w:val="0032264D"/>
    <w:rsid w:val="00323070"/>
    <w:rsid w:val="00323679"/>
    <w:rsid w:val="0032462C"/>
    <w:rsid w:val="00324A51"/>
    <w:rsid w:val="0032509B"/>
    <w:rsid w:val="003256C4"/>
    <w:rsid w:val="00325793"/>
    <w:rsid w:val="0032581D"/>
    <w:rsid w:val="00325E52"/>
    <w:rsid w:val="003263ED"/>
    <w:rsid w:val="00326C47"/>
    <w:rsid w:val="003276F2"/>
    <w:rsid w:val="0032790E"/>
    <w:rsid w:val="00327C65"/>
    <w:rsid w:val="00327C7F"/>
    <w:rsid w:val="00330C42"/>
    <w:rsid w:val="00330FB1"/>
    <w:rsid w:val="00331009"/>
    <w:rsid w:val="00331830"/>
    <w:rsid w:val="00331DE8"/>
    <w:rsid w:val="00332EF7"/>
    <w:rsid w:val="00333279"/>
    <w:rsid w:val="003335B6"/>
    <w:rsid w:val="0033366A"/>
    <w:rsid w:val="00333A81"/>
    <w:rsid w:val="00333E57"/>
    <w:rsid w:val="00334C30"/>
    <w:rsid w:val="00336112"/>
    <w:rsid w:val="0033707D"/>
    <w:rsid w:val="00337826"/>
    <w:rsid w:val="003378B0"/>
    <w:rsid w:val="00337C69"/>
    <w:rsid w:val="00337D7D"/>
    <w:rsid w:val="003402AA"/>
    <w:rsid w:val="00340325"/>
    <w:rsid w:val="0034057D"/>
    <w:rsid w:val="003412B7"/>
    <w:rsid w:val="00341491"/>
    <w:rsid w:val="003415E3"/>
    <w:rsid w:val="00341891"/>
    <w:rsid w:val="00341A77"/>
    <w:rsid w:val="00341BDC"/>
    <w:rsid w:val="00342163"/>
    <w:rsid w:val="0034259F"/>
    <w:rsid w:val="003425A3"/>
    <w:rsid w:val="003426F1"/>
    <w:rsid w:val="003428C6"/>
    <w:rsid w:val="003428CE"/>
    <w:rsid w:val="00343232"/>
    <w:rsid w:val="0034335D"/>
    <w:rsid w:val="0034340E"/>
    <w:rsid w:val="00343630"/>
    <w:rsid w:val="00343757"/>
    <w:rsid w:val="00343A0E"/>
    <w:rsid w:val="003449ED"/>
    <w:rsid w:val="00344B20"/>
    <w:rsid w:val="00344FDE"/>
    <w:rsid w:val="00344FEA"/>
    <w:rsid w:val="003451AA"/>
    <w:rsid w:val="003453C6"/>
    <w:rsid w:val="003455F0"/>
    <w:rsid w:val="003456ED"/>
    <w:rsid w:val="00345BF1"/>
    <w:rsid w:val="003461E8"/>
    <w:rsid w:val="003462AA"/>
    <w:rsid w:val="003463FF"/>
    <w:rsid w:val="0034652C"/>
    <w:rsid w:val="0034673D"/>
    <w:rsid w:val="00346FA9"/>
    <w:rsid w:val="0034718F"/>
    <w:rsid w:val="0034740C"/>
    <w:rsid w:val="003474A8"/>
    <w:rsid w:val="003475F7"/>
    <w:rsid w:val="00347DA4"/>
    <w:rsid w:val="003503C3"/>
    <w:rsid w:val="00350676"/>
    <w:rsid w:val="0035075D"/>
    <w:rsid w:val="00350838"/>
    <w:rsid w:val="00350884"/>
    <w:rsid w:val="003508B0"/>
    <w:rsid w:val="00350DDE"/>
    <w:rsid w:val="003518DD"/>
    <w:rsid w:val="00351AE7"/>
    <w:rsid w:val="00351CA7"/>
    <w:rsid w:val="00351E1D"/>
    <w:rsid w:val="00352756"/>
    <w:rsid w:val="00352C7C"/>
    <w:rsid w:val="00352E11"/>
    <w:rsid w:val="003531B6"/>
    <w:rsid w:val="00353527"/>
    <w:rsid w:val="003535D6"/>
    <w:rsid w:val="00353A01"/>
    <w:rsid w:val="00353E0C"/>
    <w:rsid w:val="00353F02"/>
    <w:rsid w:val="00353F9A"/>
    <w:rsid w:val="00353FAE"/>
    <w:rsid w:val="003543A1"/>
    <w:rsid w:val="00354503"/>
    <w:rsid w:val="00354D66"/>
    <w:rsid w:val="00354DB2"/>
    <w:rsid w:val="00354E23"/>
    <w:rsid w:val="003552A4"/>
    <w:rsid w:val="003555EB"/>
    <w:rsid w:val="00355BA7"/>
    <w:rsid w:val="00355EA9"/>
    <w:rsid w:val="003560FC"/>
    <w:rsid w:val="00356268"/>
    <w:rsid w:val="00356490"/>
    <w:rsid w:val="0035674F"/>
    <w:rsid w:val="003567AD"/>
    <w:rsid w:val="003571C8"/>
    <w:rsid w:val="00357670"/>
    <w:rsid w:val="003578E8"/>
    <w:rsid w:val="00357A45"/>
    <w:rsid w:val="003601B8"/>
    <w:rsid w:val="00360345"/>
    <w:rsid w:val="00360688"/>
    <w:rsid w:val="00360764"/>
    <w:rsid w:val="00361181"/>
    <w:rsid w:val="00361592"/>
    <w:rsid w:val="00361E72"/>
    <w:rsid w:val="00361F25"/>
    <w:rsid w:val="003621D5"/>
    <w:rsid w:val="003623F7"/>
    <w:rsid w:val="003629FC"/>
    <w:rsid w:val="00362DFF"/>
    <w:rsid w:val="00362F5B"/>
    <w:rsid w:val="0036320C"/>
    <w:rsid w:val="00363639"/>
    <w:rsid w:val="00363651"/>
    <w:rsid w:val="003637FC"/>
    <w:rsid w:val="00363948"/>
    <w:rsid w:val="00363B2C"/>
    <w:rsid w:val="00363CF9"/>
    <w:rsid w:val="00363FA2"/>
    <w:rsid w:val="003645F7"/>
    <w:rsid w:val="00364DA0"/>
    <w:rsid w:val="00365297"/>
    <w:rsid w:val="00365387"/>
    <w:rsid w:val="0036545D"/>
    <w:rsid w:val="003658CD"/>
    <w:rsid w:val="00365DC6"/>
    <w:rsid w:val="003665D5"/>
    <w:rsid w:val="0036675A"/>
    <w:rsid w:val="00366F16"/>
    <w:rsid w:val="003670DC"/>
    <w:rsid w:val="003674EE"/>
    <w:rsid w:val="00367592"/>
    <w:rsid w:val="00367A0C"/>
    <w:rsid w:val="00370BA8"/>
    <w:rsid w:val="00370BD5"/>
    <w:rsid w:val="00370C4A"/>
    <w:rsid w:val="00370CA1"/>
    <w:rsid w:val="00370CE2"/>
    <w:rsid w:val="0037150A"/>
    <w:rsid w:val="00371D66"/>
    <w:rsid w:val="00371DE1"/>
    <w:rsid w:val="003725AE"/>
    <w:rsid w:val="003725B0"/>
    <w:rsid w:val="00372F11"/>
    <w:rsid w:val="0037352D"/>
    <w:rsid w:val="0037374F"/>
    <w:rsid w:val="00373CB4"/>
    <w:rsid w:val="00373D6F"/>
    <w:rsid w:val="00373EEF"/>
    <w:rsid w:val="0037428F"/>
    <w:rsid w:val="00374412"/>
    <w:rsid w:val="0037497C"/>
    <w:rsid w:val="00374A03"/>
    <w:rsid w:val="00374BB4"/>
    <w:rsid w:val="00374EBC"/>
    <w:rsid w:val="00375020"/>
    <w:rsid w:val="00375414"/>
    <w:rsid w:val="00375565"/>
    <w:rsid w:val="00376077"/>
    <w:rsid w:val="00376135"/>
    <w:rsid w:val="00376AFD"/>
    <w:rsid w:val="00376DFB"/>
    <w:rsid w:val="00376EEE"/>
    <w:rsid w:val="00377623"/>
    <w:rsid w:val="003778AC"/>
    <w:rsid w:val="00377BE3"/>
    <w:rsid w:val="00377D4E"/>
    <w:rsid w:val="00380013"/>
    <w:rsid w:val="00380326"/>
    <w:rsid w:val="00380952"/>
    <w:rsid w:val="00380965"/>
    <w:rsid w:val="00380C57"/>
    <w:rsid w:val="00380D9A"/>
    <w:rsid w:val="0038151C"/>
    <w:rsid w:val="00381734"/>
    <w:rsid w:val="00381DA8"/>
    <w:rsid w:val="00382008"/>
    <w:rsid w:val="0038212A"/>
    <w:rsid w:val="00382554"/>
    <w:rsid w:val="00382695"/>
    <w:rsid w:val="00383C5C"/>
    <w:rsid w:val="00384414"/>
    <w:rsid w:val="003844A4"/>
    <w:rsid w:val="00384710"/>
    <w:rsid w:val="00384A7C"/>
    <w:rsid w:val="00384BA4"/>
    <w:rsid w:val="0038555D"/>
    <w:rsid w:val="003858AB"/>
    <w:rsid w:val="00385D0E"/>
    <w:rsid w:val="0038600F"/>
    <w:rsid w:val="003861DF"/>
    <w:rsid w:val="00386C71"/>
    <w:rsid w:val="00387848"/>
    <w:rsid w:val="003879E1"/>
    <w:rsid w:val="00387DFC"/>
    <w:rsid w:val="00387E6A"/>
    <w:rsid w:val="00390019"/>
    <w:rsid w:val="0039062B"/>
    <w:rsid w:val="00390C6A"/>
    <w:rsid w:val="00390CCC"/>
    <w:rsid w:val="00391729"/>
    <w:rsid w:val="00391AB2"/>
    <w:rsid w:val="00392179"/>
    <w:rsid w:val="0039260F"/>
    <w:rsid w:val="003926C1"/>
    <w:rsid w:val="00393340"/>
    <w:rsid w:val="003933DC"/>
    <w:rsid w:val="00393407"/>
    <w:rsid w:val="003937E6"/>
    <w:rsid w:val="00393FA4"/>
    <w:rsid w:val="0039467B"/>
    <w:rsid w:val="00394B9A"/>
    <w:rsid w:val="00395006"/>
    <w:rsid w:val="00395050"/>
    <w:rsid w:val="003951F0"/>
    <w:rsid w:val="003953A0"/>
    <w:rsid w:val="003955D8"/>
    <w:rsid w:val="0039560D"/>
    <w:rsid w:val="003956F2"/>
    <w:rsid w:val="00395A47"/>
    <w:rsid w:val="00396257"/>
    <w:rsid w:val="003966F6"/>
    <w:rsid w:val="00396DD2"/>
    <w:rsid w:val="0039724E"/>
    <w:rsid w:val="003975B6"/>
    <w:rsid w:val="00397652"/>
    <w:rsid w:val="0039787C"/>
    <w:rsid w:val="00397EB8"/>
    <w:rsid w:val="003A022A"/>
    <w:rsid w:val="003A0D1D"/>
    <w:rsid w:val="003A11DA"/>
    <w:rsid w:val="003A1963"/>
    <w:rsid w:val="003A20CD"/>
    <w:rsid w:val="003A2193"/>
    <w:rsid w:val="003A2960"/>
    <w:rsid w:val="003A2EB1"/>
    <w:rsid w:val="003A3055"/>
    <w:rsid w:val="003A3219"/>
    <w:rsid w:val="003A3341"/>
    <w:rsid w:val="003A3371"/>
    <w:rsid w:val="003A3579"/>
    <w:rsid w:val="003A384F"/>
    <w:rsid w:val="003A410B"/>
    <w:rsid w:val="003A429A"/>
    <w:rsid w:val="003A4A9D"/>
    <w:rsid w:val="003A4ADA"/>
    <w:rsid w:val="003A4FD0"/>
    <w:rsid w:val="003A54C8"/>
    <w:rsid w:val="003A5BA2"/>
    <w:rsid w:val="003A5DC3"/>
    <w:rsid w:val="003A5EB3"/>
    <w:rsid w:val="003A5EE6"/>
    <w:rsid w:val="003A61E6"/>
    <w:rsid w:val="003A6563"/>
    <w:rsid w:val="003A67B5"/>
    <w:rsid w:val="003A6980"/>
    <w:rsid w:val="003A69D1"/>
    <w:rsid w:val="003A69EC"/>
    <w:rsid w:val="003A70A3"/>
    <w:rsid w:val="003A7E28"/>
    <w:rsid w:val="003B01C7"/>
    <w:rsid w:val="003B057D"/>
    <w:rsid w:val="003B1054"/>
    <w:rsid w:val="003B1545"/>
    <w:rsid w:val="003B1BC5"/>
    <w:rsid w:val="003B2117"/>
    <w:rsid w:val="003B22F7"/>
    <w:rsid w:val="003B2582"/>
    <w:rsid w:val="003B335F"/>
    <w:rsid w:val="003B33FC"/>
    <w:rsid w:val="003B35DB"/>
    <w:rsid w:val="003B3CCB"/>
    <w:rsid w:val="003B3FD8"/>
    <w:rsid w:val="003B3FE2"/>
    <w:rsid w:val="003B4102"/>
    <w:rsid w:val="003B4437"/>
    <w:rsid w:val="003B472A"/>
    <w:rsid w:val="003B4758"/>
    <w:rsid w:val="003B481F"/>
    <w:rsid w:val="003B4B13"/>
    <w:rsid w:val="003B500C"/>
    <w:rsid w:val="003B504C"/>
    <w:rsid w:val="003B51CA"/>
    <w:rsid w:val="003B5969"/>
    <w:rsid w:val="003B5CB5"/>
    <w:rsid w:val="003B618E"/>
    <w:rsid w:val="003B657E"/>
    <w:rsid w:val="003B6927"/>
    <w:rsid w:val="003B6BA3"/>
    <w:rsid w:val="003B6D9F"/>
    <w:rsid w:val="003B7DCB"/>
    <w:rsid w:val="003C008D"/>
    <w:rsid w:val="003C02C3"/>
    <w:rsid w:val="003C044A"/>
    <w:rsid w:val="003C05BF"/>
    <w:rsid w:val="003C0B68"/>
    <w:rsid w:val="003C0C0C"/>
    <w:rsid w:val="003C1048"/>
    <w:rsid w:val="003C107C"/>
    <w:rsid w:val="003C16D9"/>
    <w:rsid w:val="003C193C"/>
    <w:rsid w:val="003C1948"/>
    <w:rsid w:val="003C196A"/>
    <w:rsid w:val="003C1A78"/>
    <w:rsid w:val="003C2265"/>
    <w:rsid w:val="003C28DF"/>
    <w:rsid w:val="003C3098"/>
    <w:rsid w:val="003C33BC"/>
    <w:rsid w:val="003C35EE"/>
    <w:rsid w:val="003C38C9"/>
    <w:rsid w:val="003C39D9"/>
    <w:rsid w:val="003C3AE6"/>
    <w:rsid w:val="003C3BB7"/>
    <w:rsid w:val="003C409D"/>
    <w:rsid w:val="003C45FA"/>
    <w:rsid w:val="003C4C12"/>
    <w:rsid w:val="003C4DD1"/>
    <w:rsid w:val="003C4F0C"/>
    <w:rsid w:val="003C4F48"/>
    <w:rsid w:val="003C52AF"/>
    <w:rsid w:val="003C55EA"/>
    <w:rsid w:val="003C5750"/>
    <w:rsid w:val="003C57BA"/>
    <w:rsid w:val="003C587C"/>
    <w:rsid w:val="003C6441"/>
    <w:rsid w:val="003C64A5"/>
    <w:rsid w:val="003C6588"/>
    <w:rsid w:val="003C6ADE"/>
    <w:rsid w:val="003C6B45"/>
    <w:rsid w:val="003C6E7D"/>
    <w:rsid w:val="003C6F28"/>
    <w:rsid w:val="003C7876"/>
    <w:rsid w:val="003C7A32"/>
    <w:rsid w:val="003C7D93"/>
    <w:rsid w:val="003D062C"/>
    <w:rsid w:val="003D0F29"/>
    <w:rsid w:val="003D1024"/>
    <w:rsid w:val="003D19B9"/>
    <w:rsid w:val="003D1AD6"/>
    <w:rsid w:val="003D1B27"/>
    <w:rsid w:val="003D20A2"/>
    <w:rsid w:val="003D2AD5"/>
    <w:rsid w:val="003D2ECD"/>
    <w:rsid w:val="003D2EE5"/>
    <w:rsid w:val="003D37F3"/>
    <w:rsid w:val="003D3888"/>
    <w:rsid w:val="003D3B3E"/>
    <w:rsid w:val="003D4037"/>
    <w:rsid w:val="003D4648"/>
    <w:rsid w:val="003D4E19"/>
    <w:rsid w:val="003D5777"/>
    <w:rsid w:val="003D6107"/>
    <w:rsid w:val="003D62D7"/>
    <w:rsid w:val="003D6476"/>
    <w:rsid w:val="003D65E7"/>
    <w:rsid w:val="003D682D"/>
    <w:rsid w:val="003D6908"/>
    <w:rsid w:val="003D6A1B"/>
    <w:rsid w:val="003D6BC7"/>
    <w:rsid w:val="003D6F28"/>
    <w:rsid w:val="003D7235"/>
    <w:rsid w:val="003D7388"/>
    <w:rsid w:val="003D755F"/>
    <w:rsid w:val="003D788D"/>
    <w:rsid w:val="003D7C78"/>
    <w:rsid w:val="003D7F77"/>
    <w:rsid w:val="003E0238"/>
    <w:rsid w:val="003E0882"/>
    <w:rsid w:val="003E0902"/>
    <w:rsid w:val="003E09D8"/>
    <w:rsid w:val="003E0CBF"/>
    <w:rsid w:val="003E10BD"/>
    <w:rsid w:val="003E11B1"/>
    <w:rsid w:val="003E12D0"/>
    <w:rsid w:val="003E199B"/>
    <w:rsid w:val="003E1C73"/>
    <w:rsid w:val="003E236D"/>
    <w:rsid w:val="003E2625"/>
    <w:rsid w:val="003E2846"/>
    <w:rsid w:val="003E2A6E"/>
    <w:rsid w:val="003E2DED"/>
    <w:rsid w:val="003E38F0"/>
    <w:rsid w:val="003E3E2A"/>
    <w:rsid w:val="003E4543"/>
    <w:rsid w:val="003E4AE2"/>
    <w:rsid w:val="003E55C8"/>
    <w:rsid w:val="003E597F"/>
    <w:rsid w:val="003E5B01"/>
    <w:rsid w:val="003E5D03"/>
    <w:rsid w:val="003E5DE5"/>
    <w:rsid w:val="003F005D"/>
    <w:rsid w:val="003F0094"/>
    <w:rsid w:val="003F0274"/>
    <w:rsid w:val="003F08BA"/>
    <w:rsid w:val="003F0D55"/>
    <w:rsid w:val="003F0E85"/>
    <w:rsid w:val="003F15CA"/>
    <w:rsid w:val="003F1986"/>
    <w:rsid w:val="003F1E11"/>
    <w:rsid w:val="003F245E"/>
    <w:rsid w:val="003F37C2"/>
    <w:rsid w:val="003F39D5"/>
    <w:rsid w:val="003F3FC9"/>
    <w:rsid w:val="003F4031"/>
    <w:rsid w:val="003F4754"/>
    <w:rsid w:val="003F4EDB"/>
    <w:rsid w:val="003F58BE"/>
    <w:rsid w:val="003F5A21"/>
    <w:rsid w:val="003F5A80"/>
    <w:rsid w:val="003F5AD4"/>
    <w:rsid w:val="003F5C6D"/>
    <w:rsid w:val="003F62B1"/>
    <w:rsid w:val="003F6384"/>
    <w:rsid w:val="003F67EA"/>
    <w:rsid w:val="003F69F7"/>
    <w:rsid w:val="003F706F"/>
    <w:rsid w:val="003F73FF"/>
    <w:rsid w:val="00400169"/>
    <w:rsid w:val="004002FB"/>
    <w:rsid w:val="0040046F"/>
    <w:rsid w:val="00400855"/>
    <w:rsid w:val="00400C58"/>
    <w:rsid w:val="00400FBB"/>
    <w:rsid w:val="00401A91"/>
    <w:rsid w:val="00402135"/>
    <w:rsid w:val="00402B40"/>
    <w:rsid w:val="004032F3"/>
    <w:rsid w:val="004033F4"/>
    <w:rsid w:val="004034E4"/>
    <w:rsid w:val="004036C2"/>
    <w:rsid w:val="00403A9A"/>
    <w:rsid w:val="00403B76"/>
    <w:rsid w:val="00403EEC"/>
    <w:rsid w:val="004040E7"/>
    <w:rsid w:val="0040458A"/>
    <w:rsid w:val="004046AE"/>
    <w:rsid w:val="00404BBD"/>
    <w:rsid w:val="0040504E"/>
    <w:rsid w:val="0040517E"/>
    <w:rsid w:val="0040551E"/>
    <w:rsid w:val="004056D0"/>
    <w:rsid w:val="0040586B"/>
    <w:rsid w:val="00405913"/>
    <w:rsid w:val="004059D3"/>
    <w:rsid w:val="00405EF9"/>
    <w:rsid w:val="00406655"/>
    <w:rsid w:val="00406B68"/>
    <w:rsid w:val="00406DFF"/>
    <w:rsid w:val="004071BF"/>
    <w:rsid w:val="004076BB"/>
    <w:rsid w:val="00407D20"/>
    <w:rsid w:val="004102BA"/>
    <w:rsid w:val="00410376"/>
    <w:rsid w:val="004107F4"/>
    <w:rsid w:val="00410824"/>
    <w:rsid w:val="00410C55"/>
    <w:rsid w:val="00410F78"/>
    <w:rsid w:val="004111F2"/>
    <w:rsid w:val="00411386"/>
    <w:rsid w:val="004114F7"/>
    <w:rsid w:val="00411757"/>
    <w:rsid w:val="00411D0C"/>
    <w:rsid w:val="00411F0E"/>
    <w:rsid w:val="0041209D"/>
    <w:rsid w:val="00412527"/>
    <w:rsid w:val="004127F3"/>
    <w:rsid w:val="004128F9"/>
    <w:rsid w:val="00412A58"/>
    <w:rsid w:val="00412B8C"/>
    <w:rsid w:val="004138F2"/>
    <w:rsid w:val="00413D59"/>
    <w:rsid w:val="00413F9E"/>
    <w:rsid w:val="00414EA1"/>
    <w:rsid w:val="00414F2D"/>
    <w:rsid w:val="00414F5C"/>
    <w:rsid w:val="00414FCD"/>
    <w:rsid w:val="0041515B"/>
    <w:rsid w:val="004158D8"/>
    <w:rsid w:val="00415EA3"/>
    <w:rsid w:val="004161AA"/>
    <w:rsid w:val="00416573"/>
    <w:rsid w:val="004166F6"/>
    <w:rsid w:val="004167FB"/>
    <w:rsid w:val="00416804"/>
    <w:rsid w:val="00416B96"/>
    <w:rsid w:val="00416E4D"/>
    <w:rsid w:val="00416EE6"/>
    <w:rsid w:val="00417009"/>
    <w:rsid w:val="00417725"/>
    <w:rsid w:val="00417959"/>
    <w:rsid w:val="00417CA6"/>
    <w:rsid w:val="00420365"/>
    <w:rsid w:val="004205AB"/>
    <w:rsid w:val="004206F4"/>
    <w:rsid w:val="004207E2"/>
    <w:rsid w:val="00420E33"/>
    <w:rsid w:val="00421D07"/>
    <w:rsid w:val="004221C8"/>
    <w:rsid w:val="004226AA"/>
    <w:rsid w:val="0042285F"/>
    <w:rsid w:val="004228D9"/>
    <w:rsid w:val="00422984"/>
    <w:rsid w:val="004237FF"/>
    <w:rsid w:val="00423A0F"/>
    <w:rsid w:val="00423B57"/>
    <w:rsid w:val="00423CC9"/>
    <w:rsid w:val="00423E92"/>
    <w:rsid w:val="004244DB"/>
    <w:rsid w:val="004248C8"/>
    <w:rsid w:val="00424B1A"/>
    <w:rsid w:val="00425257"/>
    <w:rsid w:val="0042528C"/>
    <w:rsid w:val="00425BCA"/>
    <w:rsid w:val="00426727"/>
    <w:rsid w:val="00426AF7"/>
    <w:rsid w:val="00426BDF"/>
    <w:rsid w:val="00427752"/>
    <w:rsid w:val="0042798D"/>
    <w:rsid w:val="00430053"/>
    <w:rsid w:val="00430234"/>
    <w:rsid w:val="00430912"/>
    <w:rsid w:val="00430A11"/>
    <w:rsid w:val="00430A4D"/>
    <w:rsid w:val="00430AE5"/>
    <w:rsid w:val="00430EA8"/>
    <w:rsid w:val="0043170A"/>
    <w:rsid w:val="0043171C"/>
    <w:rsid w:val="0043175F"/>
    <w:rsid w:val="00431839"/>
    <w:rsid w:val="0043194D"/>
    <w:rsid w:val="00431C20"/>
    <w:rsid w:val="00431C58"/>
    <w:rsid w:val="00432225"/>
    <w:rsid w:val="00432371"/>
    <w:rsid w:val="00432570"/>
    <w:rsid w:val="0043295E"/>
    <w:rsid w:val="00432C7D"/>
    <w:rsid w:val="00432FE3"/>
    <w:rsid w:val="00433208"/>
    <w:rsid w:val="00433421"/>
    <w:rsid w:val="00433570"/>
    <w:rsid w:val="004335CA"/>
    <w:rsid w:val="004336E2"/>
    <w:rsid w:val="00433865"/>
    <w:rsid w:val="00433E24"/>
    <w:rsid w:val="00434189"/>
    <w:rsid w:val="00434500"/>
    <w:rsid w:val="00434746"/>
    <w:rsid w:val="00434944"/>
    <w:rsid w:val="00434C49"/>
    <w:rsid w:val="00434D19"/>
    <w:rsid w:val="00435378"/>
    <w:rsid w:val="0043538A"/>
    <w:rsid w:val="004357B3"/>
    <w:rsid w:val="00435B51"/>
    <w:rsid w:val="004362D4"/>
    <w:rsid w:val="0043659D"/>
    <w:rsid w:val="00436FA7"/>
    <w:rsid w:val="00437285"/>
    <w:rsid w:val="0043796D"/>
    <w:rsid w:val="00437F26"/>
    <w:rsid w:val="004407E7"/>
    <w:rsid w:val="00440A7B"/>
    <w:rsid w:val="004412DE"/>
    <w:rsid w:val="004412FB"/>
    <w:rsid w:val="00441428"/>
    <w:rsid w:val="004414F2"/>
    <w:rsid w:val="0044268D"/>
    <w:rsid w:val="00442F4E"/>
    <w:rsid w:val="00443258"/>
    <w:rsid w:val="0044347E"/>
    <w:rsid w:val="0044369B"/>
    <w:rsid w:val="00443F3F"/>
    <w:rsid w:val="00444010"/>
    <w:rsid w:val="004445AC"/>
    <w:rsid w:val="0044480B"/>
    <w:rsid w:val="00444D06"/>
    <w:rsid w:val="0044573F"/>
    <w:rsid w:val="00445EA4"/>
    <w:rsid w:val="00446518"/>
    <w:rsid w:val="00446522"/>
    <w:rsid w:val="00446EE8"/>
    <w:rsid w:val="004473EE"/>
    <w:rsid w:val="00447660"/>
    <w:rsid w:val="00450289"/>
    <w:rsid w:val="00450421"/>
    <w:rsid w:val="00450448"/>
    <w:rsid w:val="00450FE3"/>
    <w:rsid w:val="00451F93"/>
    <w:rsid w:val="0045212E"/>
    <w:rsid w:val="00452204"/>
    <w:rsid w:val="00452296"/>
    <w:rsid w:val="00453451"/>
    <w:rsid w:val="004539B0"/>
    <w:rsid w:val="00454165"/>
    <w:rsid w:val="00454769"/>
    <w:rsid w:val="004552EF"/>
    <w:rsid w:val="00455984"/>
    <w:rsid w:val="00456199"/>
    <w:rsid w:val="00456383"/>
    <w:rsid w:val="0045768A"/>
    <w:rsid w:val="00457966"/>
    <w:rsid w:val="00457998"/>
    <w:rsid w:val="00457E35"/>
    <w:rsid w:val="00457EDE"/>
    <w:rsid w:val="00457F10"/>
    <w:rsid w:val="00460049"/>
    <w:rsid w:val="004602D4"/>
    <w:rsid w:val="004602EF"/>
    <w:rsid w:val="00460629"/>
    <w:rsid w:val="00460C65"/>
    <w:rsid w:val="004613F9"/>
    <w:rsid w:val="00462213"/>
    <w:rsid w:val="00462419"/>
    <w:rsid w:val="004626A4"/>
    <w:rsid w:val="004635BD"/>
    <w:rsid w:val="004636C8"/>
    <w:rsid w:val="004637AA"/>
    <w:rsid w:val="0046419B"/>
    <w:rsid w:val="0046424E"/>
    <w:rsid w:val="004646B3"/>
    <w:rsid w:val="0046496D"/>
    <w:rsid w:val="00464A56"/>
    <w:rsid w:val="00464C2E"/>
    <w:rsid w:val="00464F6A"/>
    <w:rsid w:val="00465189"/>
    <w:rsid w:val="004651C1"/>
    <w:rsid w:val="00465468"/>
    <w:rsid w:val="00465A05"/>
    <w:rsid w:val="00465BA1"/>
    <w:rsid w:val="0046613E"/>
    <w:rsid w:val="0046624D"/>
    <w:rsid w:val="00466991"/>
    <w:rsid w:val="00466E55"/>
    <w:rsid w:val="004673F4"/>
    <w:rsid w:val="0046767D"/>
    <w:rsid w:val="004679CB"/>
    <w:rsid w:val="00467CBB"/>
    <w:rsid w:val="00467DA8"/>
    <w:rsid w:val="00467FCA"/>
    <w:rsid w:val="004702DA"/>
    <w:rsid w:val="0047064C"/>
    <w:rsid w:val="00470807"/>
    <w:rsid w:val="00470816"/>
    <w:rsid w:val="00470C23"/>
    <w:rsid w:val="00470C4F"/>
    <w:rsid w:val="004710F3"/>
    <w:rsid w:val="004711EB"/>
    <w:rsid w:val="0047125F"/>
    <w:rsid w:val="00471A8F"/>
    <w:rsid w:val="00472412"/>
    <w:rsid w:val="0047257D"/>
    <w:rsid w:val="004725EA"/>
    <w:rsid w:val="00472716"/>
    <w:rsid w:val="00472795"/>
    <w:rsid w:val="00472986"/>
    <w:rsid w:val="00472CEA"/>
    <w:rsid w:val="0047364E"/>
    <w:rsid w:val="00473DAD"/>
    <w:rsid w:val="00473E5D"/>
    <w:rsid w:val="00473E63"/>
    <w:rsid w:val="00474084"/>
    <w:rsid w:val="004743CA"/>
    <w:rsid w:val="00474DA1"/>
    <w:rsid w:val="00475735"/>
    <w:rsid w:val="00475879"/>
    <w:rsid w:val="00475951"/>
    <w:rsid w:val="004759C8"/>
    <w:rsid w:val="00475E4D"/>
    <w:rsid w:val="00475F5A"/>
    <w:rsid w:val="00476071"/>
    <w:rsid w:val="00476C8D"/>
    <w:rsid w:val="00477063"/>
    <w:rsid w:val="004771CE"/>
    <w:rsid w:val="00477AEA"/>
    <w:rsid w:val="00477BE0"/>
    <w:rsid w:val="00480478"/>
    <w:rsid w:val="0048051A"/>
    <w:rsid w:val="00480533"/>
    <w:rsid w:val="004805A8"/>
    <w:rsid w:val="004806F2"/>
    <w:rsid w:val="00480954"/>
    <w:rsid w:val="00480BCC"/>
    <w:rsid w:val="00481233"/>
    <w:rsid w:val="00481760"/>
    <w:rsid w:val="00481DB8"/>
    <w:rsid w:val="004825FB"/>
    <w:rsid w:val="00482B54"/>
    <w:rsid w:val="00482CA2"/>
    <w:rsid w:val="004832A8"/>
    <w:rsid w:val="004833D0"/>
    <w:rsid w:val="004840B7"/>
    <w:rsid w:val="00485106"/>
    <w:rsid w:val="00485729"/>
    <w:rsid w:val="00485797"/>
    <w:rsid w:val="004858FC"/>
    <w:rsid w:val="0048593E"/>
    <w:rsid w:val="00485CB1"/>
    <w:rsid w:val="004867AF"/>
    <w:rsid w:val="00486897"/>
    <w:rsid w:val="00486B13"/>
    <w:rsid w:val="00486B59"/>
    <w:rsid w:val="00486C2D"/>
    <w:rsid w:val="004877EE"/>
    <w:rsid w:val="004879B4"/>
    <w:rsid w:val="00487A3C"/>
    <w:rsid w:val="00487E95"/>
    <w:rsid w:val="00490044"/>
    <w:rsid w:val="00490A9B"/>
    <w:rsid w:val="00490D02"/>
    <w:rsid w:val="00490EAF"/>
    <w:rsid w:val="00490EC2"/>
    <w:rsid w:val="0049141C"/>
    <w:rsid w:val="00491514"/>
    <w:rsid w:val="00491919"/>
    <w:rsid w:val="00491E0B"/>
    <w:rsid w:val="00491F12"/>
    <w:rsid w:val="00491F45"/>
    <w:rsid w:val="00491F56"/>
    <w:rsid w:val="004920EF"/>
    <w:rsid w:val="00492398"/>
    <w:rsid w:val="0049269F"/>
    <w:rsid w:val="00492C50"/>
    <w:rsid w:val="0049315A"/>
    <w:rsid w:val="004935DB"/>
    <w:rsid w:val="00493632"/>
    <w:rsid w:val="00493D22"/>
    <w:rsid w:val="00493DB4"/>
    <w:rsid w:val="00494679"/>
    <w:rsid w:val="00494A2B"/>
    <w:rsid w:val="0049534D"/>
    <w:rsid w:val="0049537B"/>
    <w:rsid w:val="0049568D"/>
    <w:rsid w:val="00495843"/>
    <w:rsid w:val="00495EBA"/>
    <w:rsid w:val="00496591"/>
    <w:rsid w:val="00496706"/>
    <w:rsid w:val="00497064"/>
    <w:rsid w:val="0049728B"/>
    <w:rsid w:val="00497528"/>
    <w:rsid w:val="00497A4A"/>
    <w:rsid w:val="00497E49"/>
    <w:rsid w:val="004A04DF"/>
    <w:rsid w:val="004A0635"/>
    <w:rsid w:val="004A0B73"/>
    <w:rsid w:val="004A0DFE"/>
    <w:rsid w:val="004A104B"/>
    <w:rsid w:val="004A123D"/>
    <w:rsid w:val="004A13AA"/>
    <w:rsid w:val="004A174C"/>
    <w:rsid w:val="004A18E5"/>
    <w:rsid w:val="004A1D25"/>
    <w:rsid w:val="004A1FFB"/>
    <w:rsid w:val="004A2595"/>
    <w:rsid w:val="004A29CA"/>
    <w:rsid w:val="004A2A6D"/>
    <w:rsid w:val="004A2C82"/>
    <w:rsid w:val="004A3110"/>
    <w:rsid w:val="004A34FF"/>
    <w:rsid w:val="004A3974"/>
    <w:rsid w:val="004A3AC2"/>
    <w:rsid w:val="004A3ACC"/>
    <w:rsid w:val="004A3DB8"/>
    <w:rsid w:val="004A4290"/>
    <w:rsid w:val="004A45E7"/>
    <w:rsid w:val="004A480C"/>
    <w:rsid w:val="004A4933"/>
    <w:rsid w:val="004A4C15"/>
    <w:rsid w:val="004A5483"/>
    <w:rsid w:val="004A5548"/>
    <w:rsid w:val="004A588E"/>
    <w:rsid w:val="004A5A10"/>
    <w:rsid w:val="004A5C10"/>
    <w:rsid w:val="004A61EE"/>
    <w:rsid w:val="004A6763"/>
    <w:rsid w:val="004A696C"/>
    <w:rsid w:val="004A6A1F"/>
    <w:rsid w:val="004A6E6F"/>
    <w:rsid w:val="004B0700"/>
    <w:rsid w:val="004B0CC0"/>
    <w:rsid w:val="004B0E16"/>
    <w:rsid w:val="004B1676"/>
    <w:rsid w:val="004B168F"/>
    <w:rsid w:val="004B170B"/>
    <w:rsid w:val="004B1FFE"/>
    <w:rsid w:val="004B229E"/>
    <w:rsid w:val="004B22CB"/>
    <w:rsid w:val="004B24A8"/>
    <w:rsid w:val="004B2717"/>
    <w:rsid w:val="004B28DA"/>
    <w:rsid w:val="004B28F3"/>
    <w:rsid w:val="004B2C62"/>
    <w:rsid w:val="004B3541"/>
    <w:rsid w:val="004B4655"/>
    <w:rsid w:val="004B4C44"/>
    <w:rsid w:val="004B4D20"/>
    <w:rsid w:val="004B4F55"/>
    <w:rsid w:val="004B50EC"/>
    <w:rsid w:val="004B56C1"/>
    <w:rsid w:val="004B5D0E"/>
    <w:rsid w:val="004B5D3F"/>
    <w:rsid w:val="004B5FDD"/>
    <w:rsid w:val="004B68D8"/>
    <w:rsid w:val="004B70E3"/>
    <w:rsid w:val="004B732B"/>
    <w:rsid w:val="004B7403"/>
    <w:rsid w:val="004B7753"/>
    <w:rsid w:val="004B7791"/>
    <w:rsid w:val="004B7A24"/>
    <w:rsid w:val="004B7B1D"/>
    <w:rsid w:val="004C000B"/>
    <w:rsid w:val="004C00A4"/>
    <w:rsid w:val="004C00B4"/>
    <w:rsid w:val="004C0803"/>
    <w:rsid w:val="004C09C1"/>
    <w:rsid w:val="004C0F78"/>
    <w:rsid w:val="004C16D9"/>
    <w:rsid w:val="004C1865"/>
    <w:rsid w:val="004C22ED"/>
    <w:rsid w:val="004C25A3"/>
    <w:rsid w:val="004C29F3"/>
    <w:rsid w:val="004C2B57"/>
    <w:rsid w:val="004C2FE5"/>
    <w:rsid w:val="004C328B"/>
    <w:rsid w:val="004C32BD"/>
    <w:rsid w:val="004C33C5"/>
    <w:rsid w:val="004C3465"/>
    <w:rsid w:val="004C3725"/>
    <w:rsid w:val="004C4105"/>
    <w:rsid w:val="004C448B"/>
    <w:rsid w:val="004C5128"/>
    <w:rsid w:val="004C5183"/>
    <w:rsid w:val="004C53B9"/>
    <w:rsid w:val="004C58AD"/>
    <w:rsid w:val="004C59B6"/>
    <w:rsid w:val="004C5C96"/>
    <w:rsid w:val="004C5DD4"/>
    <w:rsid w:val="004C6471"/>
    <w:rsid w:val="004C6475"/>
    <w:rsid w:val="004C6710"/>
    <w:rsid w:val="004C6C31"/>
    <w:rsid w:val="004C6FFE"/>
    <w:rsid w:val="004C7D74"/>
    <w:rsid w:val="004C7F24"/>
    <w:rsid w:val="004D0207"/>
    <w:rsid w:val="004D04B6"/>
    <w:rsid w:val="004D06A4"/>
    <w:rsid w:val="004D083E"/>
    <w:rsid w:val="004D0C0C"/>
    <w:rsid w:val="004D0CC5"/>
    <w:rsid w:val="004D1F57"/>
    <w:rsid w:val="004D2484"/>
    <w:rsid w:val="004D25FA"/>
    <w:rsid w:val="004D2782"/>
    <w:rsid w:val="004D2A2C"/>
    <w:rsid w:val="004D2C9C"/>
    <w:rsid w:val="004D2E0F"/>
    <w:rsid w:val="004D3870"/>
    <w:rsid w:val="004D3A52"/>
    <w:rsid w:val="004D3F4B"/>
    <w:rsid w:val="004D4949"/>
    <w:rsid w:val="004D4F33"/>
    <w:rsid w:val="004D4F4B"/>
    <w:rsid w:val="004D518F"/>
    <w:rsid w:val="004D578B"/>
    <w:rsid w:val="004D5B0D"/>
    <w:rsid w:val="004D629F"/>
    <w:rsid w:val="004D6B19"/>
    <w:rsid w:val="004D72D4"/>
    <w:rsid w:val="004D7640"/>
    <w:rsid w:val="004D77DF"/>
    <w:rsid w:val="004D782E"/>
    <w:rsid w:val="004D7889"/>
    <w:rsid w:val="004D7AFA"/>
    <w:rsid w:val="004D7CDD"/>
    <w:rsid w:val="004D7E58"/>
    <w:rsid w:val="004E05BF"/>
    <w:rsid w:val="004E0DF1"/>
    <w:rsid w:val="004E173A"/>
    <w:rsid w:val="004E1BE8"/>
    <w:rsid w:val="004E1CF0"/>
    <w:rsid w:val="004E1E81"/>
    <w:rsid w:val="004E2A73"/>
    <w:rsid w:val="004E2D2B"/>
    <w:rsid w:val="004E2E7B"/>
    <w:rsid w:val="004E3691"/>
    <w:rsid w:val="004E3AE8"/>
    <w:rsid w:val="004E40D1"/>
    <w:rsid w:val="004E4280"/>
    <w:rsid w:val="004E479F"/>
    <w:rsid w:val="004E49A7"/>
    <w:rsid w:val="004E4EE2"/>
    <w:rsid w:val="004E58A2"/>
    <w:rsid w:val="004E59C2"/>
    <w:rsid w:val="004E5A15"/>
    <w:rsid w:val="004E5D92"/>
    <w:rsid w:val="004E644B"/>
    <w:rsid w:val="004E6551"/>
    <w:rsid w:val="004E66D1"/>
    <w:rsid w:val="004E69BC"/>
    <w:rsid w:val="004E6D80"/>
    <w:rsid w:val="004E7259"/>
    <w:rsid w:val="004E7AE6"/>
    <w:rsid w:val="004F0011"/>
    <w:rsid w:val="004F09FB"/>
    <w:rsid w:val="004F0B9B"/>
    <w:rsid w:val="004F11F4"/>
    <w:rsid w:val="004F16CD"/>
    <w:rsid w:val="004F1A81"/>
    <w:rsid w:val="004F1BAE"/>
    <w:rsid w:val="004F1DB9"/>
    <w:rsid w:val="004F1E38"/>
    <w:rsid w:val="004F2032"/>
    <w:rsid w:val="004F208E"/>
    <w:rsid w:val="004F253E"/>
    <w:rsid w:val="004F2840"/>
    <w:rsid w:val="004F28BE"/>
    <w:rsid w:val="004F334F"/>
    <w:rsid w:val="004F34A7"/>
    <w:rsid w:val="004F36E2"/>
    <w:rsid w:val="004F3945"/>
    <w:rsid w:val="004F3C31"/>
    <w:rsid w:val="004F3CD4"/>
    <w:rsid w:val="004F3D3D"/>
    <w:rsid w:val="004F42FB"/>
    <w:rsid w:val="004F57D0"/>
    <w:rsid w:val="004F5B94"/>
    <w:rsid w:val="004F661F"/>
    <w:rsid w:val="004F67CA"/>
    <w:rsid w:val="004F6A49"/>
    <w:rsid w:val="004F6C24"/>
    <w:rsid w:val="004F6EE2"/>
    <w:rsid w:val="004F6FFC"/>
    <w:rsid w:val="004F7DDA"/>
    <w:rsid w:val="004F7F47"/>
    <w:rsid w:val="00500706"/>
    <w:rsid w:val="00500A4F"/>
    <w:rsid w:val="00500FFA"/>
    <w:rsid w:val="00501001"/>
    <w:rsid w:val="00501685"/>
    <w:rsid w:val="00501690"/>
    <w:rsid w:val="00501964"/>
    <w:rsid w:val="00501B06"/>
    <w:rsid w:val="00501BFD"/>
    <w:rsid w:val="0050244E"/>
    <w:rsid w:val="005025DC"/>
    <w:rsid w:val="005028BF"/>
    <w:rsid w:val="005028C0"/>
    <w:rsid w:val="005035DB"/>
    <w:rsid w:val="00503C52"/>
    <w:rsid w:val="00503C9B"/>
    <w:rsid w:val="0050461B"/>
    <w:rsid w:val="00504B1A"/>
    <w:rsid w:val="00504B39"/>
    <w:rsid w:val="00504BD2"/>
    <w:rsid w:val="005058B7"/>
    <w:rsid w:val="005060B7"/>
    <w:rsid w:val="0050611F"/>
    <w:rsid w:val="00506520"/>
    <w:rsid w:val="00506D09"/>
    <w:rsid w:val="005074C9"/>
    <w:rsid w:val="00510B22"/>
    <w:rsid w:val="00511227"/>
    <w:rsid w:val="00511C42"/>
    <w:rsid w:val="005122F7"/>
    <w:rsid w:val="00512489"/>
    <w:rsid w:val="00512708"/>
    <w:rsid w:val="00512ED5"/>
    <w:rsid w:val="00513061"/>
    <w:rsid w:val="00513086"/>
    <w:rsid w:val="005132CB"/>
    <w:rsid w:val="005133C1"/>
    <w:rsid w:val="0051368F"/>
    <w:rsid w:val="005136D4"/>
    <w:rsid w:val="005137BE"/>
    <w:rsid w:val="00513ECC"/>
    <w:rsid w:val="00513F37"/>
    <w:rsid w:val="00514224"/>
    <w:rsid w:val="00514229"/>
    <w:rsid w:val="00514890"/>
    <w:rsid w:val="00514F08"/>
    <w:rsid w:val="00514FE6"/>
    <w:rsid w:val="0051528E"/>
    <w:rsid w:val="0051536F"/>
    <w:rsid w:val="005154BB"/>
    <w:rsid w:val="00516051"/>
    <w:rsid w:val="00516748"/>
    <w:rsid w:val="00516BD7"/>
    <w:rsid w:val="00516F20"/>
    <w:rsid w:val="00517DC3"/>
    <w:rsid w:val="0052070E"/>
    <w:rsid w:val="00520D20"/>
    <w:rsid w:val="00520E4F"/>
    <w:rsid w:val="00521677"/>
    <w:rsid w:val="005218D9"/>
    <w:rsid w:val="00521976"/>
    <w:rsid w:val="00521BDD"/>
    <w:rsid w:val="00522860"/>
    <w:rsid w:val="00522C1A"/>
    <w:rsid w:val="00523136"/>
    <w:rsid w:val="0052326F"/>
    <w:rsid w:val="0052422A"/>
    <w:rsid w:val="0052437E"/>
    <w:rsid w:val="005246B0"/>
    <w:rsid w:val="005248B1"/>
    <w:rsid w:val="00524C00"/>
    <w:rsid w:val="00524C21"/>
    <w:rsid w:val="00524C42"/>
    <w:rsid w:val="00525534"/>
    <w:rsid w:val="0052557D"/>
    <w:rsid w:val="005259AE"/>
    <w:rsid w:val="00525FA5"/>
    <w:rsid w:val="00526EDE"/>
    <w:rsid w:val="005270B7"/>
    <w:rsid w:val="005272CE"/>
    <w:rsid w:val="005272F1"/>
    <w:rsid w:val="005274C9"/>
    <w:rsid w:val="0052772A"/>
    <w:rsid w:val="00527D26"/>
    <w:rsid w:val="00530BE9"/>
    <w:rsid w:val="00530E05"/>
    <w:rsid w:val="00530F4B"/>
    <w:rsid w:val="005314DE"/>
    <w:rsid w:val="005317B6"/>
    <w:rsid w:val="00531947"/>
    <w:rsid w:val="00531957"/>
    <w:rsid w:val="00532347"/>
    <w:rsid w:val="00532816"/>
    <w:rsid w:val="00532B43"/>
    <w:rsid w:val="00532C95"/>
    <w:rsid w:val="00532E06"/>
    <w:rsid w:val="00532E6D"/>
    <w:rsid w:val="00532EFE"/>
    <w:rsid w:val="00533913"/>
    <w:rsid w:val="00533E88"/>
    <w:rsid w:val="00533F23"/>
    <w:rsid w:val="00534651"/>
    <w:rsid w:val="00535334"/>
    <w:rsid w:val="005355AB"/>
    <w:rsid w:val="00535630"/>
    <w:rsid w:val="005356D8"/>
    <w:rsid w:val="005359D2"/>
    <w:rsid w:val="00535B0A"/>
    <w:rsid w:val="005360CB"/>
    <w:rsid w:val="00536186"/>
    <w:rsid w:val="0053655E"/>
    <w:rsid w:val="005365A0"/>
    <w:rsid w:val="00536729"/>
    <w:rsid w:val="00536745"/>
    <w:rsid w:val="00536817"/>
    <w:rsid w:val="00536BCA"/>
    <w:rsid w:val="00536D05"/>
    <w:rsid w:val="00536D34"/>
    <w:rsid w:val="00537B8B"/>
    <w:rsid w:val="00537CF2"/>
    <w:rsid w:val="00537CFD"/>
    <w:rsid w:val="00540690"/>
    <w:rsid w:val="005411A2"/>
    <w:rsid w:val="00541266"/>
    <w:rsid w:val="005429CD"/>
    <w:rsid w:val="00542F8D"/>
    <w:rsid w:val="005431EB"/>
    <w:rsid w:val="0054358F"/>
    <w:rsid w:val="005438FC"/>
    <w:rsid w:val="00543B02"/>
    <w:rsid w:val="00543C72"/>
    <w:rsid w:val="00544560"/>
    <w:rsid w:val="005446F1"/>
    <w:rsid w:val="005452EF"/>
    <w:rsid w:val="00545559"/>
    <w:rsid w:val="005455D5"/>
    <w:rsid w:val="00545601"/>
    <w:rsid w:val="00545B97"/>
    <w:rsid w:val="0054608B"/>
    <w:rsid w:val="00546498"/>
    <w:rsid w:val="00546E34"/>
    <w:rsid w:val="00547110"/>
    <w:rsid w:val="005472E8"/>
    <w:rsid w:val="005475BF"/>
    <w:rsid w:val="00547689"/>
    <w:rsid w:val="00547836"/>
    <w:rsid w:val="00547928"/>
    <w:rsid w:val="00547E2A"/>
    <w:rsid w:val="00547E32"/>
    <w:rsid w:val="005501F0"/>
    <w:rsid w:val="00550A37"/>
    <w:rsid w:val="00550A9F"/>
    <w:rsid w:val="00550D00"/>
    <w:rsid w:val="005523A1"/>
    <w:rsid w:val="005525F7"/>
    <w:rsid w:val="0055286C"/>
    <w:rsid w:val="00553093"/>
    <w:rsid w:val="00553193"/>
    <w:rsid w:val="005531DE"/>
    <w:rsid w:val="005536DC"/>
    <w:rsid w:val="005538C6"/>
    <w:rsid w:val="00553AE0"/>
    <w:rsid w:val="00553C08"/>
    <w:rsid w:val="00553F84"/>
    <w:rsid w:val="00554798"/>
    <w:rsid w:val="00554CF1"/>
    <w:rsid w:val="00554D81"/>
    <w:rsid w:val="0055540A"/>
    <w:rsid w:val="00555670"/>
    <w:rsid w:val="005558E7"/>
    <w:rsid w:val="00555D66"/>
    <w:rsid w:val="0055600F"/>
    <w:rsid w:val="005568F6"/>
    <w:rsid w:val="00557455"/>
    <w:rsid w:val="00557B84"/>
    <w:rsid w:val="00557C37"/>
    <w:rsid w:val="00560667"/>
    <w:rsid w:val="00560E23"/>
    <w:rsid w:val="00561183"/>
    <w:rsid w:val="00561319"/>
    <w:rsid w:val="005615C8"/>
    <w:rsid w:val="00561991"/>
    <w:rsid w:val="00561AA4"/>
    <w:rsid w:val="00561BB3"/>
    <w:rsid w:val="0056276B"/>
    <w:rsid w:val="00562A88"/>
    <w:rsid w:val="00562ABA"/>
    <w:rsid w:val="00563216"/>
    <w:rsid w:val="00563271"/>
    <w:rsid w:val="00563821"/>
    <w:rsid w:val="00563BC2"/>
    <w:rsid w:val="00563D22"/>
    <w:rsid w:val="00564162"/>
    <w:rsid w:val="00564190"/>
    <w:rsid w:val="00564559"/>
    <w:rsid w:val="0056465F"/>
    <w:rsid w:val="00564ACF"/>
    <w:rsid w:val="00564BA7"/>
    <w:rsid w:val="00564EEF"/>
    <w:rsid w:val="0056527D"/>
    <w:rsid w:val="0056540C"/>
    <w:rsid w:val="005654F2"/>
    <w:rsid w:val="005655CC"/>
    <w:rsid w:val="005655F9"/>
    <w:rsid w:val="00565724"/>
    <w:rsid w:val="00565725"/>
    <w:rsid w:val="005658A4"/>
    <w:rsid w:val="00565926"/>
    <w:rsid w:val="00565E1E"/>
    <w:rsid w:val="0056659D"/>
    <w:rsid w:val="00566AF7"/>
    <w:rsid w:val="0056755D"/>
    <w:rsid w:val="00567982"/>
    <w:rsid w:val="00567F99"/>
    <w:rsid w:val="00570D77"/>
    <w:rsid w:val="00570E2A"/>
    <w:rsid w:val="00570FE5"/>
    <w:rsid w:val="0057280B"/>
    <w:rsid w:val="00572856"/>
    <w:rsid w:val="0057315F"/>
    <w:rsid w:val="00573351"/>
    <w:rsid w:val="00573599"/>
    <w:rsid w:val="00573C75"/>
    <w:rsid w:val="00573E9F"/>
    <w:rsid w:val="00574354"/>
    <w:rsid w:val="00574493"/>
    <w:rsid w:val="005744D4"/>
    <w:rsid w:val="00574F38"/>
    <w:rsid w:val="00575355"/>
    <w:rsid w:val="005756D1"/>
    <w:rsid w:val="00575B10"/>
    <w:rsid w:val="00575F5A"/>
    <w:rsid w:val="00576508"/>
    <w:rsid w:val="00576930"/>
    <w:rsid w:val="00576E08"/>
    <w:rsid w:val="005774D2"/>
    <w:rsid w:val="005779B3"/>
    <w:rsid w:val="00577AA5"/>
    <w:rsid w:val="00577E2B"/>
    <w:rsid w:val="00577FAF"/>
    <w:rsid w:val="005805EA"/>
    <w:rsid w:val="00580BC1"/>
    <w:rsid w:val="00580FC8"/>
    <w:rsid w:val="005816A5"/>
    <w:rsid w:val="00581B48"/>
    <w:rsid w:val="00581F31"/>
    <w:rsid w:val="00581FF2"/>
    <w:rsid w:val="0058218F"/>
    <w:rsid w:val="005825DD"/>
    <w:rsid w:val="005826F4"/>
    <w:rsid w:val="00582AE1"/>
    <w:rsid w:val="0058349E"/>
    <w:rsid w:val="005835F5"/>
    <w:rsid w:val="00583737"/>
    <w:rsid w:val="00584082"/>
    <w:rsid w:val="00584182"/>
    <w:rsid w:val="005841B6"/>
    <w:rsid w:val="0058437C"/>
    <w:rsid w:val="005846F9"/>
    <w:rsid w:val="005847A9"/>
    <w:rsid w:val="00584C5F"/>
    <w:rsid w:val="0058528E"/>
    <w:rsid w:val="005861BF"/>
    <w:rsid w:val="005865B9"/>
    <w:rsid w:val="00586B72"/>
    <w:rsid w:val="00586D13"/>
    <w:rsid w:val="00586D90"/>
    <w:rsid w:val="00586D9B"/>
    <w:rsid w:val="0058732E"/>
    <w:rsid w:val="005875D7"/>
    <w:rsid w:val="00587C92"/>
    <w:rsid w:val="0059031D"/>
    <w:rsid w:val="0059046A"/>
    <w:rsid w:val="005906AB"/>
    <w:rsid w:val="00591894"/>
    <w:rsid w:val="00592290"/>
    <w:rsid w:val="005925F5"/>
    <w:rsid w:val="00592C63"/>
    <w:rsid w:val="00592CCB"/>
    <w:rsid w:val="005935A4"/>
    <w:rsid w:val="00594126"/>
    <w:rsid w:val="00594334"/>
    <w:rsid w:val="00594D46"/>
    <w:rsid w:val="00594EF1"/>
    <w:rsid w:val="00595691"/>
    <w:rsid w:val="005958D2"/>
    <w:rsid w:val="00595B59"/>
    <w:rsid w:val="00595D4D"/>
    <w:rsid w:val="00596045"/>
    <w:rsid w:val="005967EB"/>
    <w:rsid w:val="00597A60"/>
    <w:rsid w:val="00597AE5"/>
    <w:rsid w:val="00597D0E"/>
    <w:rsid w:val="00597D1F"/>
    <w:rsid w:val="00597F61"/>
    <w:rsid w:val="005A05AD"/>
    <w:rsid w:val="005A063B"/>
    <w:rsid w:val="005A0752"/>
    <w:rsid w:val="005A1DE2"/>
    <w:rsid w:val="005A1FDF"/>
    <w:rsid w:val="005A2870"/>
    <w:rsid w:val="005A2F06"/>
    <w:rsid w:val="005A3358"/>
    <w:rsid w:val="005A376A"/>
    <w:rsid w:val="005A3BB6"/>
    <w:rsid w:val="005A3C12"/>
    <w:rsid w:val="005A3FEB"/>
    <w:rsid w:val="005A44EB"/>
    <w:rsid w:val="005A514E"/>
    <w:rsid w:val="005A5296"/>
    <w:rsid w:val="005A5BDF"/>
    <w:rsid w:val="005A5F67"/>
    <w:rsid w:val="005A6128"/>
    <w:rsid w:val="005A6E4F"/>
    <w:rsid w:val="005A6F84"/>
    <w:rsid w:val="005A72A6"/>
    <w:rsid w:val="005A777E"/>
    <w:rsid w:val="005A7CD6"/>
    <w:rsid w:val="005B0494"/>
    <w:rsid w:val="005B05D6"/>
    <w:rsid w:val="005B0B8C"/>
    <w:rsid w:val="005B0ECE"/>
    <w:rsid w:val="005B1665"/>
    <w:rsid w:val="005B186A"/>
    <w:rsid w:val="005B1902"/>
    <w:rsid w:val="005B1DD4"/>
    <w:rsid w:val="005B274E"/>
    <w:rsid w:val="005B2B2F"/>
    <w:rsid w:val="005B2DB4"/>
    <w:rsid w:val="005B3904"/>
    <w:rsid w:val="005B3FA8"/>
    <w:rsid w:val="005B41D5"/>
    <w:rsid w:val="005B43A3"/>
    <w:rsid w:val="005B45C1"/>
    <w:rsid w:val="005B471E"/>
    <w:rsid w:val="005B501B"/>
    <w:rsid w:val="005B531E"/>
    <w:rsid w:val="005B54F1"/>
    <w:rsid w:val="005B59E3"/>
    <w:rsid w:val="005B6379"/>
    <w:rsid w:val="005B6485"/>
    <w:rsid w:val="005B6EF1"/>
    <w:rsid w:val="005B780F"/>
    <w:rsid w:val="005B78AB"/>
    <w:rsid w:val="005B7E1D"/>
    <w:rsid w:val="005C012B"/>
    <w:rsid w:val="005C04C4"/>
    <w:rsid w:val="005C05BB"/>
    <w:rsid w:val="005C0739"/>
    <w:rsid w:val="005C1049"/>
    <w:rsid w:val="005C15E7"/>
    <w:rsid w:val="005C170E"/>
    <w:rsid w:val="005C17F0"/>
    <w:rsid w:val="005C1A4B"/>
    <w:rsid w:val="005C209F"/>
    <w:rsid w:val="005C22A6"/>
    <w:rsid w:val="005C2A3E"/>
    <w:rsid w:val="005C2C0B"/>
    <w:rsid w:val="005C3C4C"/>
    <w:rsid w:val="005C4326"/>
    <w:rsid w:val="005C43B8"/>
    <w:rsid w:val="005C5BED"/>
    <w:rsid w:val="005C5C84"/>
    <w:rsid w:val="005C6205"/>
    <w:rsid w:val="005C6596"/>
    <w:rsid w:val="005C67C8"/>
    <w:rsid w:val="005C6A22"/>
    <w:rsid w:val="005C6B6A"/>
    <w:rsid w:val="005C7010"/>
    <w:rsid w:val="005C71A0"/>
    <w:rsid w:val="005C7DC4"/>
    <w:rsid w:val="005C7E26"/>
    <w:rsid w:val="005D0249"/>
    <w:rsid w:val="005D0AAA"/>
    <w:rsid w:val="005D0E23"/>
    <w:rsid w:val="005D0F62"/>
    <w:rsid w:val="005D0FD4"/>
    <w:rsid w:val="005D23DC"/>
    <w:rsid w:val="005D253F"/>
    <w:rsid w:val="005D26D4"/>
    <w:rsid w:val="005D27F4"/>
    <w:rsid w:val="005D3A04"/>
    <w:rsid w:val="005D3C3D"/>
    <w:rsid w:val="005D421A"/>
    <w:rsid w:val="005D4697"/>
    <w:rsid w:val="005D46AF"/>
    <w:rsid w:val="005D4912"/>
    <w:rsid w:val="005D4A3A"/>
    <w:rsid w:val="005D51D2"/>
    <w:rsid w:val="005D5583"/>
    <w:rsid w:val="005D55A1"/>
    <w:rsid w:val="005D5916"/>
    <w:rsid w:val="005D6552"/>
    <w:rsid w:val="005D67D5"/>
    <w:rsid w:val="005D69F3"/>
    <w:rsid w:val="005D6CBB"/>
    <w:rsid w:val="005D6FBC"/>
    <w:rsid w:val="005D73BC"/>
    <w:rsid w:val="005D79C5"/>
    <w:rsid w:val="005D7BA8"/>
    <w:rsid w:val="005D7BDE"/>
    <w:rsid w:val="005E0132"/>
    <w:rsid w:val="005E013F"/>
    <w:rsid w:val="005E0159"/>
    <w:rsid w:val="005E0407"/>
    <w:rsid w:val="005E0CEF"/>
    <w:rsid w:val="005E0E61"/>
    <w:rsid w:val="005E107F"/>
    <w:rsid w:val="005E14A1"/>
    <w:rsid w:val="005E150F"/>
    <w:rsid w:val="005E16CC"/>
    <w:rsid w:val="005E195F"/>
    <w:rsid w:val="005E1F3A"/>
    <w:rsid w:val="005E1FD5"/>
    <w:rsid w:val="005E207D"/>
    <w:rsid w:val="005E217B"/>
    <w:rsid w:val="005E27C4"/>
    <w:rsid w:val="005E39A6"/>
    <w:rsid w:val="005E3BAB"/>
    <w:rsid w:val="005E4353"/>
    <w:rsid w:val="005E4A7A"/>
    <w:rsid w:val="005E4BCF"/>
    <w:rsid w:val="005E52C8"/>
    <w:rsid w:val="005E55BC"/>
    <w:rsid w:val="005E58B2"/>
    <w:rsid w:val="005E5B7F"/>
    <w:rsid w:val="005E5E36"/>
    <w:rsid w:val="005E5F70"/>
    <w:rsid w:val="005E65FE"/>
    <w:rsid w:val="005E6895"/>
    <w:rsid w:val="005E7B34"/>
    <w:rsid w:val="005E7EED"/>
    <w:rsid w:val="005F03EF"/>
    <w:rsid w:val="005F0418"/>
    <w:rsid w:val="005F0912"/>
    <w:rsid w:val="005F0A1E"/>
    <w:rsid w:val="005F0CDE"/>
    <w:rsid w:val="005F0E89"/>
    <w:rsid w:val="005F100C"/>
    <w:rsid w:val="005F177D"/>
    <w:rsid w:val="005F1D9E"/>
    <w:rsid w:val="005F2202"/>
    <w:rsid w:val="005F2320"/>
    <w:rsid w:val="005F23B5"/>
    <w:rsid w:val="005F2ADE"/>
    <w:rsid w:val="005F2E5C"/>
    <w:rsid w:val="005F3BC3"/>
    <w:rsid w:val="005F51EE"/>
    <w:rsid w:val="005F581A"/>
    <w:rsid w:val="005F5C7F"/>
    <w:rsid w:val="005F5E7F"/>
    <w:rsid w:val="005F61CD"/>
    <w:rsid w:val="005F64B0"/>
    <w:rsid w:val="005F64DA"/>
    <w:rsid w:val="00600364"/>
    <w:rsid w:val="00600ABC"/>
    <w:rsid w:val="00600B96"/>
    <w:rsid w:val="00601090"/>
    <w:rsid w:val="00601245"/>
    <w:rsid w:val="006013DE"/>
    <w:rsid w:val="006015C5"/>
    <w:rsid w:val="006015FB"/>
    <w:rsid w:val="00601CCC"/>
    <w:rsid w:val="006039E7"/>
    <w:rsid w:val="00603B7C"/>
    <w:rsid w:val="00603D4E"/>
    <w:rsid w:val="00603EA5"/>
    <w:rsid w:val="0060471D"/>
    <w:rsid w:val="006047C9"/>
    <w:rsid w:val="00604846"/>
    <w:rsid w:val="00604C41"/>
    <w:rsid w:val="0060525A"/>
    <w:rsid w:val="00606000"/>
    <w:rsid w:val="0060657C"/>
    <w:rsid w:val="00606685"/>
    <w:rsid w:val="00606F88"/>
    <w:rsid w:val="006071D5"/>
    <w:rsid w:val="006078D0"/>
    <w:rsid w:val="0060797F"/>
    <w:rsid w:val="00607CEC"/>
    <w:rsid w:val="00607FC1"/>
    <w:rsid w:val="00610157"/>
    <w:rsid w:val="006101CF"/>
    <w:rsid w:val="006103F7"/>
    <w:rsid w:val="006105B3"/>
    <w:rsid w:val="006105DC"/>
    <w:rsid w:val="006107AF"/>
    <w:rsid w:val="00610836"/>
    <w:rsid w:val="00610BE7"/>
    <w:rsid w:val="00610DF6"/>
    <w:rsid w:val="006114F5"/>
    <w:rsid w:val="00611558"/>
    <w:rsid w:val="0061197F"/>
    <w:rsid w:val="006119F4"/>
    <w:rsid w:val="00611F3B"/>
    <w:rsid w:val="00611F4A"/>
    <w:rsid w:val="0061257C"/>
    <w:rsid w:val="00612770"/>
    <w:rsid w:val="00612EEC"/>
    <w:rsid w:val="00612FE2"/>
    <w:rsid w:val="006134E5"/>
    <w:rsid w:val="00613769"/>
    <w:rsid w:val="00614546"/>
    <w:rsid w:val="0061466C"/>
    <w:rsid w:val="00614722"/>
    <w:rsid w:val="006147C7"/>
    <w:rsid w:val="00614AA3"/>
    <w:rsid w:val="006151B0"/>
    <w:rsid w:val="00615487"/>
    <w:rsid w:val="006154B3"/>
    <w:rsid w:val="0061562E"/>
    <w:rsid w:val="00615CAF"/>
    <w:rsid w:val="00616181"/>
    <w:rsid w:val="006161B5"/>
    <w:rsid w:val="00616500"/>
    <w:rsid w:val="00616655"/>
    <w:rsid w:val="00616748"/>
    <w:rsid w:val="006171F6"/>
    <w:rsid w:val="00617421"/>
    <w:rsid w:val="0061743E"/>
    <w:rsid w:val="006174AC"/>
    <w:rsid w:val="006179CA"/>
    <w:rsid w:val="00617DE6"/>
    <w:rsid w:val="00617F2C"/>
    <w:rsid w:val="006213CC"/>
    <w:rsid w:val="00621D7E"/>
    <w:rsid w:val="00621FD7"/>
    <w:rsid w:val="0062205D"/>
    <w:rsid w:val="00622B69"/>
    <w:rsid w:val="0062308D"/>
    <w:rsid w:val="006233B4"/>
    <w:rsid w:val="0062372C"/>
    <w:rsid w:val="00623CAB"/>
    <w:rsid w:val="00624205"/>
    <w:rsid w:val="00624A7B"/>
    <w:rsid w:val="00624CA0"/>
    <w:rsid w:val="00625246"/>
    <w:rsid w:val="006252BD"/>
    <w:rsid w:val="00625870"/>
    <w:rsid w:val="006258EB"/>
    <w:rsid w:val="00625F82"/>
    <w:rsid w:val="0062610F"/>
    <w:rsid w:val="0062651D"/>
    <w:rsid w:val="0062660A"/>
    <w:rsid w:val="006266A1"/>
    <w:rsid w:val="00626A28"/>
    <w:rsid w:val="00626CFC"/>
    <w:rsid w:val="006279BF"/>
    <w:rsid w:val="00627E54"/>
    <w:rsid w:val="00627F7D"/>
    <w:rsid w:val="006303B4"/>
    <w:rsid w:val="00630801"/>
    <w:rsid w:val="006308D4"/>
    <w:rsid w:val="00630A87"/>
    <w:rsid w:val="00630AA1"/>
    <w:rsid w:val="006312EF"/>
    <w:rsid w:val="0063145D"/>
    <w:rsid w:val="00631464"/>
    <w:rsid w:val="0063182D"/>
    <w:rsid w:val="00631990"/>
    <w:rsid w:val="00631F01"/>
    <w:rsid w:val="006323BC"/>
    <w:rsid w:val="00632F42"/>
    <w:rsid w:val="00633183"/>
    <w:rsid w:val="00633513"/>
    <w:rsid w:val="00633549"/>
    <w:rsid w:val="006336A0"/>
    <w:rsid w:val="0063379D"/>
    <w:rsid w:val="006338B2"/>
    <w:rsid w:val="00633AE9"/>
    <w:rsid w:val="00634145"/>
    <w:rsid w:val="0063449D"/>
    <w:rsid w:val="006344FE"/>
    <w:rsid w:val="006345D3"/>
    <w:rsid w:val="0063462D"/>
    <w:rsid w:val="00635575"/>
    <w:rsid w:val="006359F7"/>
    <w:rsid w:val="00635AD4"/>
    <w:rsid w:val="00635DAE"/>
    <w:rsid w:val="006361F4"/>
    <w:rsid w:val="00636218"/>
    <w:rsid w:val="00636855"/>
    <w:rsid w:val="00636A44"/>
    <w:rsid w:val="00636E7A"/>
    <w:rsid w:val="006370CF"/>
    <w:rsid w:val="00637432"/>
    <w:rsid w:val="006400A7"/>
    <w:rsid w:val="00640476"/>
    <w:rsid w:val="0064080F"/>
    <w:rsid w:val="00640DB0"/>
    <w:rsid w:val="00641040"/>
    <w:rsid w:val="00641703"/>
    <w:rsid w:val="006417B1"/>
    <w:rsid w:val="00641B57"/>
    <w:rsid w:val="00642028"/>
    <w:rsid w:val="006426E5"/>
    <w:rsid w:val="006431A6"/>
    <w:rsid w:val="0064322D"/>
    <w:rsid w:val="0064330A"/>
    <w:rsid w:val="0064352C"/>
    <w:rsid w:val="00643E7A"/>
    <w:rsid w:val="006446E3"/>
    <w:rsid w:val="00644B8B"/>
    <w:rsid w:val="00644E35"/>
    <w:rsid w:val="00644FE7"/>
    <w:rsid w:val="0064539D"/>
    <w:rsid w:val="006455F1"/>
    <w:rsid w:val="0064573E"/>
    <w:rsid w:val="00645E40"/>
    <w:rsid w:val="0064613B"/>
    <w:rsid w:val="006462EE"/>
    <w:rsid w:val="0064653C"/>
    <w:rsid w:val="00646621"/>
    <w:rsid w:val="006466D2"/>
    <w:rsid w:val="0064695D"/>
    <w:rsid w:val="00646A23"/>
    <w:rsid w:val="00646A26"/>
    <w:rsid w:val="00646E3C"/>
    <w:rsid w:val="00647305"/>
    <w:rsid w:val="00647792"/>
    <w:rsid w:val="00647CB1"/>
    <w:rsid w:val="00647CDF"/>
    <w:rsid w:val="006501AD"/>
    <w:rsid w:val="006507E8"/>
    <w:rsid w:val="00650C73"/>
    <w:rsid w:val="00651233"/>
    <w:rsid w:val="00651835"/>
    <w:rsid w:val="00651BFA"/>
    <w:rsid w:val="00651E54"/>
    <w:rsid w:val="00651F5F"/>
    <w:rsid w:val="00652017"/>
    <w:rsid w:val="00652125"/>
    <w:rsid w:val="006525CC"/>
    <w:rsid w:val="006535E7"/>
    <w:rsid w:val="006536CE"/>
    <w:rsid w:val="00653724"/>
    <w:rsid w:val="00653731"/>
    <w:rsid w:val="00653807"/>
    <w:rsid w:val="0065418B"/>
    <w:rsid w:val="00654329"/>
    <w:rsid w:val="006551ED"/>
    <w:rsid w:val="00655A0D"/>
    <w:rsid w:val="00655C09"/>
    <w:rsid w:val="0065621B"/>
    <w:rsid w:val="00656272"/>
    <w:rsid w:val="0065676E"/>
    <w:rsid w:val="006567DA"/>
    <w:rsid w:val="006568AA"/>
    <w:rsid w:val="00657014"/>
    <w:rsid w:val="0065750B"/>
    <w:rsid w:val="006577AC"/>
    <w:rsid w:val="00660214"/>
    <w:rsid w:val="006603AB"/>
    <w:rsid w:val="00660448"/>
    <w:rsid w:val="00660BCB"/>
    <w:rsid w:val="00660EEA"/>
    <w:rsid w:val="00661017"/>
    <w:rsid w:val="006612E5"/>
    <w:rsid w:val="006618BF"/>
    <w:rsid w:val="006623AA"/>
    <w:rsid w:val="0066298D"/>
    <w:rsid w:val="00662AFE"/>
    <w:rsid w:val="00662B66"/>
    <w:rsid w:val="00662F8B"/>
    <w:rsid w:val="0066302D"/>
    <w:rsid w:val="0066318D"/>
    <w:rsid w:val="00663247"/>
    <w:rsid w:val="00663863"/>
    <w:rsid w:val="00663B3C"/>
    <w:rsid w:val="00663F9C"/>
    <w:rsid w:val="00663FBA"/>
    <w:rsid w:val="00664464"/>
    <w:rsid w:val="006644C2"/>
    <w:rsid w:val="00664901"/>
    <w:rsid w:val="00664936"/>
    <w:rsid w:val="0066539C"/>
    <w:rsid w:val="00666805"/>
    <w:rsid w:val="006669B7"/>
    <w:rsid w:val="00667427"/>
    <w:rsid w:val="00667498"/>
    <w:rsid w:val="006674A1"/>
    <w:rsid w:val="0066751E"/>
    <w:rsid w:val="0066790A"/>
    <w:rsid w:val="00667B7C"/>
    <w:rsid w:val="00667D67"/>
    <w:rsid w:val="00670308"/>
    <w:rsid w:val="00670FDC"/>
    <w:rsid w:val="00671183"/>
    <w:rsid w:val="0067133B"/>
    <w:rsid w:val="00671360"/>
    <w:rsid w:val="006718BE"/>
    <w:rsid w:val="006718E9"/>
    <w:rsid w:val="00671ABE"/>
    <w:rsid w:val="00671B29"/>
    <w:rsid w:val="00671DE1"/>
    <w:rsid w:val="00671FF5"/>
    <w:rsid w:val="0067206B"/>
    <w:rsid w:val="006725C5"/>
    <w:rsid w:val="00672993"/>
    <w:rsid w:val="00672F8D"/>
    <w:rsid w:val="00673192"/>
    <w:rsid w:val="00673207"/>
    <w:rsid w:val="00673255"/>
    <w:rsid w:val="006736B0"/>
    <w:rsid w:val="0067372C"/>
    <w:rsid w:val="00673861"/>
    <w:rsid w:val="006740A4"/>
    <w:rsid w:val="00674808"/>
    <w:rsid w:val="00674DE2"/>
    <w:rsid w:val="00675546"/>
    <w:rsid w:val="00675581"/>
    <w:rsid w:val="00675926"/>
    <w:rsid w:val="00675946"/>
    <w:rsid w:val="00675A2E"/>
    <w:rsid w:val="00676460"/>
    <w:rsid w:val="00676B63"/>
    <w:rsid w:val="00676E10"/>
    <w:rsid w:val="00677957"/>
    <w:rsid w:val="00677A8E"/>
    <w:rsid w:val="0068087F"/>
    <w:rsid w:val="00680974"/>
    <w:rsid w:val="00680BF4"/>
    <w:rsid w:val="006814BD"/>
    <w:rsid w:val="00681ACC"/>
    <w:rsid w:val="00682360"/>
    <w:rsid w:val="0068299F"/>
    <w:rsid w:val="00682BE5"/>
    <w:rsid w:val="006830E4"/>
    <w:rsid w:val="0068316F"/>
    <w:rsid w:val="0068348D"/>
    <w:rsid w:val="00683651"/>
    <w:rsid w:val="0068365C"/>
    <w:rsid w:val="006841D4"/>
    <w:rsid w:val="0068433A"/>
    <w:rsid w:val="006845B2"/>
    <w:rsid w:val="00684BB8"/>
    <w:rsid w:val="00684BFD"/>
    <w:rsid w:val="00684FBB"/>
    <w:rsid w:val="006857AD"/>
    <w:rsid w:val="00685992"/>
    <w:rsid w:val="00686053"/>
    <w:rsid w:val="0068650C"/>
    <w:rsid w:val="0068679B"/>
    <w:rsid w:val="00686B52"/>
    <w:rsid w:val="00687038"/>
    <w:rsid w:val="00687566"/>
    <w:rsid w:val="00687575"/>
    <w:rsid w:val="006876F2"/>
    <w:rsid w:val="00687945"/>
    <w:rsid w:val="00687E87"/>
    <w:rsid w:val="006902EE"/>
    <w:rsid w:val="00690671"/>
    <w:rsid w:val="00691464"/>
    <w:rsid w:val="00691475"/>
    <w:rsid w:val="006925A8"/>
    <w:rsid w:val="00692B46"/>
    <w:rsid w:val="00692DE8"/>
    <w:rsid w:val="00692E2A"/>
    <w:rsid w:val="00692FE5"/>
    <w:rsid w:val="006933A9"/>
    <w:rsid w:val="00693C79"/>
    <w:rsid w:val="00693F90"/>
    <w:rsid w:val="00694039"/>
    <w:rsid w:val="00694483"/>
    <w:rsid w:val="00694608"/>
    <w:rsid w:val="00694B80"/>
    <w:rsid w:val="00694EBA"/>
    <w:rsid w:val="00695565"/>
    <w:rsid w:val="00695A04"/>
    <w:rsid w:val="00695D8F"/>
    <w:rsid w:val="00696027"/>
    <w:rsid w:val="006966F5"/>
    <w:rsid w:val="00697022"/>
    <w:rsid w:val="006A0060"/>
    <w:rsid w:val="006A0512"/>
    <w:rsid w:val="006A05BD"/>
    <w:rsid w:val="006A0AD5"/>
    <w:rsid w:val="006A0C36"/>
    <w:rsid w:val="006A162B"/>
    <w:rsid w:val="006A17DD"/>
    <w:rsid w:val="006A19F5"/>
    <w:rsid w:val="006A1E1D"/>
    <w:rsid w:val="006A25A3"/>
    <w:rsid w:val="006A261B"/>
    <w:rsid w:val="006A2746"/>
    <w:rsid w:val="006A30F6"/>
    <w:rsid w:val="006A4B4A"/>
    <w:rsid w:val="006A5707"/>
    <w:rsid w:val="006A6065"/>
    <w:rsid w:val="006A6AE0"/>
    <w:rsid w:val="006A6BA9"/>
    <w:rsid w:val="006A6FAF"/>
    <w:rsid w:val="006A72E2"/>
    <w:rsid w:val="006A76F2"/>
    <w:rsid w:val="006A7B73"/>
    <w:rsid w:val="006B0318"/>
    <w:rsid w:val="006B14EE"/>
    <w:rsid w:val="006B17B7"/>
    <w:rsid w:val="006B1DF1"/>
    <w:rsid w:val="006B2450"/>
    <w:rsid w:val="006B3237"/>
    <w:rsid w:val="006B397E"/>
    <w:rsid w:val="006B39FF"/>
    <w:rsid w:val="006B3FA6"/>
    <w:rsid w:val="006B44FF"/>
    <w:rsid w:val="006B4564"/>
    <w:rsid w:val="006B496D"/>
    <w:rsid w:val="006B6118"/>
    <w:rsid w:val="006B708E"/>
    <w:rsid w:val="006B709F"/>
    <w:rsid w:val="006B78E3"/>
    <w:rsid w:val="006C034B"/>
    <w:rsid w:val="006C0E2B"/>
    <w:rsid w:val="006C0FD5"/>
    <w:rsid w:val="006C137C"/>
    <w:rsid w:val="006C17DF"/>
    <w:rsid w:val="006C1ACF"/>
    <w:rsid w:val="006C2127"/>
    <w:rsid w:val="006C21BB"/>
    <w:rsid w:val="006C22C8"/>
    <w:rsid w:val="006C23E8"/>
    <w:rsid w:val="006C243D"/>
    <w:rsid w:val="006C2C6A"/>
    <w:rsid w:val="006C2E04"/>
    <w:rsid w:val="006C2EC0"/>
    <w:rsid w:val="006C2FDA"/>
    <w:rsid w:val="006C3A66"/>
    <w:rsid w:val="006C3EBC"/>
    <w:rsid w:val="006C44BC"/>
    <w:rsid w:val="006C4629"/>
    <w:rsid w:val="006C4690"/>
    <w:rsid w:val="006C473E"/>
    <w:rsid w:val="006C496B"/>
    <w:rsid w:val="006C4AD4"/>
    <w:rsid w:val="006C4D1E"/>
    <w:rsid w:val="006C51B0"/>
    <w:rsid w:val="006C5202"/>
    <w:rsid w:val="006C521D"/>
    <w:rsid w:val="006C5559"/>
    <w:rsid w:val="006C5EC3"/>
    <w:rsid w:val="006C6112"/>
    <w:rsid w:val="006C62ED"/>
    <w:rsid w:val="006C6416"/>
    <w:rsid w:val="006C65E7"/>
    <w:rsid w:val="006C6623"/>
    <w:rsid w:val="006C6859"/>
    <w:rsid w:val="006C687D"/>
    <w:rsid w:val="006C6886"/>
    <w:rsid w:val="006C6F3F"/>
    <w:rsid w:val="006C7881"/>
    <w:rsid w:val="006C7907"/>
    <w:rsid w:val="006C7963"/>
    <w:rsid w:val="006C7E28"/>
    <w:rsid w:val="006C7F00"/>
    <w:rsid w:val="006D039D"/>
    <w:rsid w:val="006D097F"/>
    <w:rsid w:val="006D1234"/>
    <w:rsid w:val="006D17F4"/>
    <w:rsid w:val="006D1FFD"/>
    <w:rsid w:val="006D2154"/>
    <w:rsid w:val="006D2414"/>
    <w:rsid w:val="006D2BBF"/>
    <w:rsid w:val="006D2CCB"/>
    <w:rsid w:val="006D300E"/>
    <w:rsid w:val="006D35B6"/>
    <w:rsid w:val="006D3610"/>
    <w:rsid w:val="006D3798"/>
    <w:rsid w:val="006D3DC2"/>
    <w:rsid w:val="006D3E83"/>
    <w:rsid w:val="006D44F0"/>
    <w:rsid w:val="006D4638"/>
    <w:rsid w:val="006D4CA3"/>
    <w:rsid w:val="006D50C8"/>
    <w:rsid w:val="006D5312"/>
    <w:rsid w:val="006D538C"/>
    <w:rsid w:val="006D559E"/>
    <w:rsid w:val="006D6156"/>
    <w:rsid w:val="006D653B"/>
    <w:rsid w:val="006D6A49"/>
    <w:rsid w:val="006D6E1F"/>
    <w:rsid w:val="006D7147"/>
    <w:rsid w:val="006D7254"/>
    <w:rsid w:val="006D72E8"/>
    <w:rsid w:val="006D75FF"/>
    <w:rsid w:val="006E001D"/>
    <w:rsid w:val="006E0BDB"/>
    <w:rsid w:val="006E0CB8"/>
    <w:rsid w:val="006E0ED0"/>
    <w:rsid w:val="006E1297"/>
    <w:rsid w:val="006E2025"/>
    <w:rsid w:val="006E2797"/>
    <w:rsid w:val="006E2E91"/>
    <w:rsid w:val="006E3496"/>
    <w:rsid w:val="006E351D"/>
    <w:rsid w:val="006E3964"/>
    <w:rsid w:val="006E39A8"/>
    <w:rsid w:val="006E3ADC"/>
    <w:rsid w:val="006E3AF5"/>
    <w:rsid w:val="006E3BEA"/>
    <w:rsid w:val="006E3C6D"/>
    <w:rsid w:val="006E3C73"/>
    <w:rsid w:val="006E4129"/>
    <w:rsid w:val="006E42C6"/>
    <w:rsid w:val="006E42D8"/>
    <w:rsid w:val="006E477B"/>
    <w:rsid w:val="006E49F8"/>
    <w:rsid w:val="006E5270"/>
    <w:rsid w:val="006E55C4"/>
    <w:rsid w:val="006E5C60"/>
    <w:rsid w:val="006E630E"/>
    <w:rsid w:val="006E64A4"/>
    <w:rsid w:val="006E6655"/>
    <w:rsid w:val="006E6722"/>
    <w:rsid w:val="006E6A45"/>
    <w:rsid w:val="006E6AE0"/>
    <w:rsid w:val="006E6E0C"/>
    <w:rsid w:val="006E740B"/>
    <w:rsid w:val="006E7841"/>
    <w:rsid w:val="006E7C91"/>
    <w:rsid w:val="006E7E75"/>
    <w:rsid w:val="006F005B"/>
    <w:rsid w:val="006F0814"/>
    <w:rsid w:val="006F0942"/>
    <w:rsid w:val="006F0955"/>
    <w:rsid w:val="006F0C66"/>
    <w:rsid w:val="006F0E7B"/>
    <w:rsid w:val="006F11DA"/>
    <w:rsid w:val="006F15C5"/>
    <w:rsid w:val="006F1A31"/>
    <w:rsid w:val="006F1C8E"/>
    <w:rsid w:val="006F2576"/>
    <w:rsid w:val="006F295B"/>
    <w:rsid w:val="006F2D95"/>
    <w:rsid w:val="006F2DD9"/>
    <w:rsid w:val="006F3340"/>
    <w:rsid w:val="006F34FF"/>
    <w:rsid w:val="006F361B"/>
    <w:rsid w:val="006F3B09"/>
    <w:rsid w:val="006F3FBF"/>
    <w:rsid w:val="006F48EC"/>
    <w:rsid w:val="006F4AA6"/>
    <w:rsid w:val="006F4FB1"/>
    <w:rsid w:val="006F5291"/>
    <w:rsid w:val="006F582C"/>
    <w:rsid w:val="006F6127"/>
    <w:rsid w:val="006F6157"/>
    <w:rsid w:val="006F63F1"/>
    <w:rsid w:val="006F6CE6"/>
    <w:rsid w:val="006F6F32"/>
    <w:rsid w:val="006F7240"/>
    <w:rsid w:val="006F7283"/>
    <w:rsid w:val="006F73B6"/>
    <w:rsid w:val="006F7DC5"/>
    <w:rsid w:val="0070005C"/>
    <w:rsid w:val="00700550"/>
    <w:rsid w:val="007009E6"/>
    <w:rsid w:val="007011AA"/>
    <w:rsid w:val="00701326"/>
    <w:rsid w:val="0070250B"/>
    <w:rsid w:val="007025CC"/>
    <w:rsid w:val="0070260E"/>
    <w:rsid w:val="0070268B"/>
    <w:rsid w:val="007027B9"/>
    <w:rsid w:val="00703B75"/>
    <w:rsid w:val="00703C30"/>
    <w:rsid w:val="00703ED7"/>
    <w:rsid w:val="00704853"/>
    <w:rsid w:val="00704AA9"/>
    <w:rsid w:val="00705F8D"/>
    <w:rsid w:val="00706214"/>
    <w:rsid w:val="00706756"/>
    <w:rsid w:val="007067D5"/>
    <w:rsid w:val="007076D3"/>
    <w:rsid w:val="00707A0D"/>
    <w:rsid w:val="00707D61"/>
    <w:rsid w:val="00707E71"/>
    <w:rsid w:val="0071097F"/>
    <w:rsid w:val="00710BC2"/>
    <w:rsid w:val="00710EB3"/>
    <w:rsid w:val="00710FDC"/>
    <w:rsid w:val="0071103F"/>
    <w:rsid w:val="007111EB"/>
    <w:rsid w:val="00711716"/>
    <w:rsid w:val="00711DDB"/>
    <w:rsid w:val="00711E4F"/>
    <w:rsid w:val="00712835"/>
    <w:rsid w:val="00713168"/>
    <w:rsid w:val="00713B20"/>
    <w:rsid w:val="00713E7E"/>
    <w:rsid w:val="007140A6"/>
    <w:rsid w:val="007141CE"/>
    <w:rsid w:val="0071422D"/>
    <w:rsid w:val="00714941"/>
    <w:rsid w:val="007149AF"/>
    <w:rsid w:val="00714B78"/>
    <w:rsid w:val="007152AD"/>
    <w:rsid w:val="0071549D"/>
    <w:rsid w:val="0071598E"/>
    <w:rsid w:val="00715E88"/>
    <w:rsid w:val="007162E0"/>
    <w:rsid w:val="00716CCF"/>
    <w:rsid w:val="00716E1F"/>
    <w:rsid w:val="00717004"/>
    <w:rsid w:val="007171F7"/>
    <w:rsid w:val="00717339"/>
    <w:rsid w:val="007177F4"/>
    <w:rsid w:val="00717B3F"/>
    <w:rsid w:val="00717B49"/>
    <w:rsid w:val="00717DBF"/>
    <w:rsid w:val="0072003A"/>
    <w:rsid w:val="00720229"/>
    <w:rsid w:val="00721181"/>
    <w:rsid w:val="00721534"/>
    <w:rsid w:val="00721C7D"/>
    <w:rsid w:val="00721E31"/>
    <w:rsid w:val="00721F7F"/>
    <w:rsid w:val="0072269C"/>
    <w:rsid w:val="007228B9"/>
    <w:rsid w:val="00722D67"/>
    <w:rsid w:val="0072353C"/>
    <w:rsid w:val="007238EC"/>
    <w:rsid w:val="00723AAC"/>
    <w:rsid w:val="00723B58"/>
    <w:rsid w:val="00723DC9"/>
    <w:rsid w:val="00724118"/>
    <w:rsid w:val="0072464F"/>
    <w:rsid w:val="007246AD"/>
    <w:rsid w:val="0072493D"/>
    <w:rsid w:val="007249EC"/>
    <w:rsid w:val="00724B0D"/>
    <w:rsid w:val="00724B40"/>
    <w:rsid w:val="00724CCE"/>
    <w:rsid w:val="00724D4F"/>
    <w:rsid w:val="007258FD"/>
    <w:rsid w:val="00725F30"/>
    <w:rsid w:val="0072644C"/>
    <w:rsid w:val="007268B8"/>
    <w:rsid w:val="007269A2"/>
    <w:rsid w:val="00726A0F"/>
    <w:rsid w:val="00726CE2"/>
    <w:rsid w:val="00726F66"/>
    <w:rsid w:val="00727527"/>
    <w:rsid w:val="007276E4"/>
    <w:rsid w:val="00727A48"/>
    <w:rsid w:val="00730080"/>
    <w:rsid w:val="00730853"/>
    <w:rsid w:val="007309B1"/>
    <w:rsid w:val="00730AE5"/>
    <w:rsid w:val="00730D7C"/>
    <w:rsid w:val="00730ED8"/>
    <w:rsid w:val="00731E3F"/>
    <w:rsid w:val="00732952"/>
    <w:rsid w:val="007337FE"/>
    <w:rsid w:val="00733AA7"/>
    <w:rsid w:val="00734088"/>
    <w:rsid w:val="007340C1"/>
    <w:rsid w:val="0073491D"/>
    <w:rsid w:val="00734CAA"/>
    <w:rsid w:val="00734CAF"/>
    <w:rsid w:val="007352AD"/>
    <w:rsid w:val="00735854"/>
    <w:rsid w:val="007359E4"/>
    <w:rsid w:val="00735BF2"/>
    <w:rsid w:val="007360EF"/>
    <w:rsid w:val="00736227"/>
    <w:rsid w:val="00736449"/>
    <w:rsid w:val="00736650"/>
    <w:rsid w:val="007367FC"/>
    <w:rsid w:val="00736A2D"/>
    <w:rsid w:val="00736E62"/>
    <w:rsid w:val="00737692"/>
    <w:rsid w:val="00737DC4"/>
    <w:rsid w:val="00737F43"/>
    <w:rsid w:val="007409C0"/>
    <w:rsid w:val="007412FB"/>
    <w:rsid w:val="007414DA"/>
    <w:rsid w:val="00741529"/>
    <w:rsid w:val="007415A2"/>
    <w:rsid w:val="007418EF"/>
    <w:rsid w:val="007424C4"/>
    <w:rsid w:val="007425C9"/>
    <w:rsid w:val="007432F6"/>
    <w:rsid w:val="007436D0"/>
    <w:rsid w:val="00743C7D"/>
    <w:rsid w:val="00743F70"/>
    <w:rsid w:val="0074424C"/>
    <w:rsid w:val="0074467B"/>
    <w:rsid w:val="0074498E"/>
    <w:rsid w:val="007449B8"/>
    <w:rsid w:val="00744ECC"/>
    <w:rsid w:val="0074507B"/>
    <w:rsid w:val="007452BC"/>
    <w:rsid w:val="007454DF"/>
    <w:rsid w:val="007458C1"/>
    <w:rsid w:val="00745D57"/>
    <w:rsid w:val="00746C01"/>
    <w:rsid w:val="00746CB3"/>
    <w:rsid w:val="00747116"/>
    <w:rsid w:val="007471C1"/>
    <w:rsid w:val="007474A2"/>
    <w:rsid w:val="00747E63"/>
    <w:rsid w:val="0075045D"/>
    <w:rsid w:val="007504A5"/>
    <w:rsid w:val="007504F9"/>
    <w:rsid w:val="00750BC3"/>
    <w:rsid w:val="00750F2F"/>
    <w:rsid w:val="00751195"/>
    <w:rsid w:val="007511A0"/>
    <w:rsid w:val="007517FC"/>
    <w:rsid w:val="0075186F"/>
    <w:rsid w:val="00751AF8"/>
    <w:rsid w:val="007521F5"/>
    <w:rsid w:val="0075248A"/>
    <w:rsid w:val="00753786"/>
    <w:rsid w:val="00754243"/>
    <w:rsid w:val="00754737"/>
    <w:rsid w:val="0075498F"/>
    <w:rsid w:val="00754A5B"/>
    <w:rsid w:val="00754C22"/>
    <w:rsid w:val="0075564D"/>
    <w:rsid w:val="0075576C"/>
    <w:rsid w:val="00755964"/>
    <w:rsid w:val="00755B4A"/>
    <w:rsid w:val="00755D70"/>
    <w:rsid w:val="00755DB0"/>
    <w:rsid w:val="00755EC3"/>
    <w:rsid w:val="00756AD0"/>
    <w:rsid w:val="00756D38"/>
    <w:rsid w:val="00757581"/>
    <w:rsid w:val="007578DE"/>
    <w:rsid w:val="00757E1F"/>
    <w:rsid w:val="00760272"/>
    <w:rsid w:val="00760564"/>
    <w:rsid w:val="00760609"/>
    <w:rsid w:val="00760837"/>
    <w:rsid w:val="00760B3A"/>
    <w:rsid w:val="00760EAE"/>
    <w:rsid w:val="007619BF"/>
    <w:rsid w:val="00761D39"/>
    <w:rsid w:val="00761E62"/>
    <w:rsid w:val="0076200A"/>
    <w:rsid w:val="00762122"/>
    <w:rsid w:val="007628BE"/>
    <w:rsid w:val="0076292D"/>
    <w:rsid w:val="00762A77"/>
    <w:rsid w:val="00763D88"/>
    <w:rsid w:val="00763FE5"/>
    <w:rsid w:val="00764BD9"/>
    <w:rsid w:val="00764E81"/>
    <w:rsid w:val="007653FD"/>
    <w:rsid w:val="00765569"/>
    <w:rsid w:val="00765904"/>
    <w:rsid w:val="00765994"/>
    <w:rsid w:val="00766067"/>
    <w:rsid w:val="00766158"/>
    <w:rsid w:val="00766459"/>
    <w:rsid w:val="007664EB"/>
    <w:rsid w:val="00766FA1"/>
    <w:rsid w:val="0076710B"/>
    <w:rsid w:val="007671F5"/>
    <w:rsid w:val="00767265"/>
    <w:rsid w:val="00767291"/>
    <w:rsid w:val="00767457"/>
    <w:rsid w:val="00767C6A"/>
    <w:rsid w:val="00771124"/>
    <w:rsid w:val="007714BC"/>
    <w:rsid w:val="007720BA"/>
    <w:rsid w:val="00772238"/>
    <w:rsid w:val="00772393"/>
    <w:rsid w:val="00772651"/>
    <w:rsid w:val="00772B23"/>
    <w:rsid w:val="00772CC8"/>
    <w:rsid w:val="00773146"/>
    <w:rsid w:val="00773181"/>
    <w:rsid w:val="00773DED"/>
    <w:rsid w:val="00773FAD"/>
    <w:rsid w:val="007755FF"/>
    <w:rsid w:val="0077561D"/>
    <w:rsid w:val="0077565C"/>
    <w:rsid w:val="007756E9"/>
    <w:rsid w:val="007759C2"/>
    <w:rsid w:val="00775C48"/>
    <w:rsid w:val="007762C6"/>
    <w:rsid w:val="007763DB"/>
    <w:rsid w:val="00776774"/>
    <w:rsid w:val="00776BDD"/>
    <w:rsid w:val="00776C10"/>
    <w:rsid w:val="007779F4"/>
    <w:rsid w:val="00777A31"/>
    <w:rsid w:val="00777C37"/>
    <w:rsid w:val="00777D3F"/>
    <w:rsid w:val="007806E0"/>
    <w:rsid w:val="00780AF7"/>
    <w:rsid w:val="00781928"/>
    <w:rsid w:val="007819E7"/>
    <w:rsid w:val="00781FDF"/>
    <w:rsid w:val="007822E1"/>
    <w:rsid w:val="00782818"/>
    <w:rsid w:val="00782A87"/>
    <w:rsid w:val="00783290"/>
    <w:rsid w:val="007834AD"/>
    <w:rsid w:val="007837ED"/>
    <w:rsid w:val="00783CD7"/>
    <w:rsid w:val="007847C6"/>
    <w:rsid w:val="00784C73"/>
    <w:rsid w:val="00784F09"/>
    <w:rsid w:val="00785CCF"/>
    <w:rsid w:val="0078613C"/>
    <w:rsid w:val="0078640B"/>
    <w:rsid w:val="0078647B"/>
    <w:rsid w:val="0078656F"/>
    <w:rsid w:val="00786604"/>
    <w:rsid w:val="0078678D"/>
    <w:rsid w:val="007867DD"/>
    <w:rsid w:val="00786CC3"/>
    <w:rsid w:val="00787600"/>
    <w:rsid w:val="00787963"/>
    <w:rsid w:val="00787A5B"/>
    <w:rsid w:val="00787B5C"/>
    <w:rsid w:val="0079027B"/>
    <w:rsid w:val="007909A9"/>
    <w:rsid w:val="00790A88"/>
    <w:rsid w:val="007913C7"/>
    <w:rsid w:val="00791678"/>
    <w:rsid w:val="007919DA"/>
    <w:rsid w:val="007921D7"/>
    <w:rsid w:val="00792284"/>
    <w:rsid w:val="00792490"/>
    <w:rsid w:val="0079295D"/>
    <w:rsid w:val="00792A8F"/>
    <w:rsid w:val="00793185"/>
    <w:rsid w:val="007937B0"/>
    <w:rsid w:val="00793B8F"/>
    <w:rsid w:val="00795C81"/>
    <w:rsid w:val="00795F4D"/>
    <w:rsid w:val="00795FC5"/>
    <w:rsid w:val="0079672D"/>
    <w:rsid w:val="0079680A"/>
    <w:rsid w:val="0079680E"/>
    <w:rsid w:val="0079697A"/>
    <w:rsid w:val="00796DB1"/>
    <w:rsid w:val="00797570"/>
    <w:rsid w:val="007978AA"/>
    <w:rsid w:val="007978FE"/>
    <w:rsid w:val="00797A01"/>
    <w:rsid w:val="00797A16"/>
    <w:rsid w:val="00797BCE"/>
    <w:rsid w:val="007A0042"/>
    <w:rsid w:val="007A040E"/>
    <w:rsid w:val="007A0728"/>
    <w:rsid w:val="007A0A2D"/>
    <w:rsid w:val="007A0AB2"/>
    <w:rsid w:val="007A107C"/>
    <w:rsid w:val="007A1835"/>
    <w:rsid w:val="007A1E3E"/>
    <w:rsid w:val="007A239C"/>
    <w:rsid w:val="007A2835"/>
    <w:rsid w:val="007A3411"/>
    <w:rsid w:val="007A3B3E"/>
    <w:rsid w:val="007A3C4E"/>
    <w:rsid w:val="007A437B"/>
    <w:rsid w:val="007A4925"/>
    <w:rsid w:val="007A4D03"/>
    <w:rsid w:val="007A4E7F"/>
    <w:rsid w:val="007A4EA0"/>
    <w:rsid w:val="007A4FEC"/>
    <w:rsid w:val="007A5295"/>
    <w:rsid w:val="007A5362"/>
    <w:rsid w:val="007A54E0"/>
    <w:rsid w:val="007A5BFF"/>
    <w:rsid w:val="007A5C12"/>
    <w:rsid w:val="007A6046"/>
    <w:rsid w:val="007A60A5"/>
    <w:rsid w:val="007A60C3"/>
    <w:rsid w:val="007A645C"/>
    <w:rsid w:val="007A6589"/>
    <w:rsid w:val="007A6C41"/>
    <w:rsid w:val="007A6DB8"/>
    <w:rsid w:val="007A787B"/>
    <w:rsid w:val="007B0052"/>
    <w:rsid w:val="007B039E"/>
    <w:rsid w:val="007B03CD"/>
    <w:rsid w:val="007B04C1"/>
    <w:rsid w:val="007B06FD"/>
    <w:rsid w:val="007B0ABF"/>
    <w:rsid w:val="007B159E"/>
    <w:rsid w:val="007B1E93"/>
    <w:rsid w:val="007B2A34"/>
    <w:rsid w:val="007B2E4A"/>
    <w:rsid w:val="007B2F5F"/>
    <w:rsid w:val="007B2FD0"/>
    <w:rsid w:val="007B31AF"/>
    <w:rsid w:val="007B31C5"/>
    <w:rsid w:val="007B323C"/>
    <w:rsid w:val="007B32FA"/>
    <w:rsid w:val="007B339C"/>
    <w:rsid w:val="007B349A"/>
    <w:rsid w:val="007B35D5"/>
    <w:rsid w:val="007B4017"/>
    <w:rsid w:val="007B468A"/>
    <w:rsid w:val="007B4855"/>
    <w:rsid w:val="007B49EE"/>
    <w:rsid w:val="007B5414"/>
    <w:rsid w:val="007B543C"/>
    <w:rsid w:val="007B5703"/>
    <w:rsid w:val="007B5830"/>
    <w:rsid w:val="007B6D99"/>
    <w:rsid w:val="007B6F38"/>
    <w:rsid w:val="007B7575"/>
    <w:rsid w:val="007B76BA"/>
    <w:rsid w:val="007B76E9"/>
    <w:rsid w:val="007B7BE2"/>
    <w:rsid w:val="007C0428"/>
    <w:rsid w:val="007C04CB"/>
    <w:rsid w:val="007C1253"/>
    <w:rsid w:val="007C13D7"/>
    <w:rsid w:val="007C1410"/>
    <w:rsid w:val="007C14BC"/>
    <w:rsid w:val="007C1A34"/>
    <w:rsid w:val="007C2148"/>
    <w:rsid w:val="007C215C"/>
    <w:rsid w:val="007C23B0"/>
    <w:rsid w:val="007C2915"/>
    <w:rsid w:val="007C2D4A"/>
    <w:rsid w:val="007C3636"/>
    <w:rsid w:val="007C3673"/>
    <w:rsid w:val="007C38FA"/>
    <w:rsid w:val="007C39EF"/>
    <w:rsid w:val="007C3B82"/>
    <w:rsid w:val="007C43D4"/>
    <w:rsid w:val="007C4963"/>
    <w:rsid w:val="007C56C9"/>
    <w:rsid w:val="007C5B08"/>
    <w:rsid w:val="007C6E81"/>
    <w:rsid w:val="007C7233"/>
    <w:rsid w:val="007C7407"/>
    <w:rsid w:val="007C7721"/>
    <w:rsid w:val="007C7BF1"/>
    <w:rsid w:val="007C7C2F"/>
    <w:rsid w:val="007D0289"/>
    <w:rsid w:val="007D0398"/>
    <w:rsid w:val="007D0631"/>
    <w:rsid w:val="007D08D4"/>
    <w:rsid w:val="007D0936"/>
    <w:rsid w:val="007D0A53"/>
    <w:rsid w:val="007D0DD9"/>
    <w:rsid w:val="007D1075"/>
    <w:rsid w:val="007D15BF"/>
    <w:rsid w:val="007D2527"/>
    <w:rsid w:val="007D28A8"/>
    <w:rsid w:val="007D3075"/>
    <w:rsid w:val="007D30CF"/>
    <w:rsid w:val="007D3923"/>
    <w:rsid w:val="007D3F34"/>
    <w:rsid w:val="007D4279"/>
    <w:rsid w:val="007D4673"/>
    <w:rsid w:val="007D4843"/>
    <w:rsid w:val="007D4E02"/>
    <w:rsid w:val="007D52AE"/>
    <w:rsid w:val="007D5AE7"/>
    <w:rsid w:val="007D5E93"/>
    <w:rsid w:val="007D6522"/>
    <w:rsid w:val="007D66E8"/>
    <w:rsid w:val="007D7099"/>
    <w:rsid w:val="007D70B2"/>
    <w:rsid w:val="007D71CE"/>
    <w:rsid w:val="007D74FF"/>
    <w:rsid w:val="007E0026"/>
    <w:rsid w:val="007E003F"/>
    <w:rsid w:val="007E0673"/>
    <w:rsid w:val="007E0E9E"/>
    <w:rsid w:val="007E0F6C"/>
    <w:rsid w:val="007E2BA8"/>
    <w:rsid w:val="007E2C5F"/>
    <w:rsid w:val="007E3095"/>
    <w:rsid w:val="007E3E8D"/>
    <w:rsid w:val="007E4392"/>
    <w:rsid w:val="007E46BC"/>
    <w:rsid w:val="007E5025"/>
    <w:rsid w:val="007E519B"/>
    <w:rsid w:val="007E523B"/>
    <w:rsid w:val="007E538B"/>
    <w:rsid w:val="007E54D9"/>
    <w:rsid w:val="007E5920"/>
    <w:rsid w:val="007E5E5C"/>
    <w:rsid w:val="007E5F97"/>
    <w:rsid w:val="007E601A"/>
    <w:rsid w:val="007E661F"/>
    <w:rsid w:val="007E6A74"/>
    <w:rsid w:val="007E6BE6"/>
    <w:rsid w:val="007E6C15"/>
    <w:rsid w:val="007E6DC9"/>
    <w:rsid w:val="007E6FF3"/>
    <w:rsid w:val="007E7222"/>
    <w:rsid w:val="007F05EB"/>
    <w:rsid w:val="007F127B"/>
    <w:rsid w:val="007F14A1"/>
    <w:rsid w:val="007F179F"/>
    <w:rsid w:val="007F1A2B"/>
    <w:rsid w:val="007F1B86"/>
    <w:rsid w:val="007F1BA7"/>
    <w:rsid w:val="007F217C"/>
    <w:rsid w:val="007F2591"/>
    <w:rsid w:val="007F28C0"/>
    <w:rsid w:val="007F29FC"/>
    <w:rsid w:val="007F2CA3"/>
    <w:rsid w:val="007F2CAA"/>
    <w:rsid w:val="007F2F4F"/>
    <w:rsid w:val="007F31AF"/>
    <w:rsid w:val="007F32F7"/>
    <w:rsid w:val="007F38AE"/>
    <w:rsid w:val="007F4736"/>
    <w:rsid w:val="007F50FB"/>
    <w:rsid w:val="007F518A"/>
    <w:rsid w:val="007F5215"/>
    <w:rsid w:val="007F55CE"/>
    <w:rsid w:val="007F57EF"/>
    <w:rsid w:val="007F5C25"/>
    <w:rsid w:val="007F603D"/>
    <w:rsid w:val="007F73CD"/>
    <w:rsid w:val="007F773C"/>
    <w:rsid w:val="007F7983"/>
    <w:rsid w:val="007F7D01"/>
    <w:rsid w:val="007F7FD8"/>
    <w:rsid w:val="00800942"/>
    <w:rsid w:val="00800DC7"/>
    <w:rsid w:val="008016A0"/>
    <w:rsid w:val="008020B6"/>
    <w:rsid w:val="008020EA"/>
    <w:rsid w:val="008022D3"/>
    <w:rsid w:val="008025FD"/>
    <w:rsid w:val="00802670"/>
    <w:rsid w:val="00802732"/>
    <w:rsid w:val="00802A0F"/>
    <w:rsid w:val="00802D16"/>
    <w:rsid w:val="00802EFF"/>
    <w:rsid w:val="008030C9"/>
    <w:rsid w:val="00803652"/>
    <w:rsid w:val="008037F0"/>
    <w:rsid w:val="00803903"/>
    <w:rsid w:val="00804937"/>
    <w:rsid w:val="00804C97"/>
    <w:rsid w:val="00804FA7"/>
    <w:rsid w:val="00805119"/>
    <w:rsid w:val="00805213"/>
    <w:rsid w:val="00805974"/>
    <w:rsid w:val="00805CEC"/>
    <w:rsid w:val="00805E2A"/>
    <w:rsid w:val="0080620E"/>
    <w:rsid w:val="0080625D"/>
    <w:rsid w:val="008068D4"/>
    <w:rsid w:val="0080692F"/>
    <w:rsid w:val="008069E7"/>
    <w:rsid w:val="00806BBE"/>
    <w:rsid w:val="00807056"/>
    <w:rsid w:val="00807921"/>
    <w:rsid w:val="00807A38"/>
    <w:rsid w:val="00807D05"/>
    <w:rsid w:val="00807F32"/>
    <w:rsid w:val="008100A9"/>
    <w:rsid w:val="008100B0"/>
    <w:rsid w:val="008101FE"/>
    <w:rsid w:val="00810561"/>
    <w:rsid w:val="008105A5"/>
    <w:rsid w:val="008106A9"/>
    <w:rsid w:val="008109CC"/>
    <w:rsid w:val="00810BFD"/>
    <w:rsid w:val="008111C6"/>
    <w:rsid w:val="0081145E"/>
    <w:rsid w:val="00812363"/>
    <w:rsid w:val="008123EC"/>
    <w:rsid w:val="0081283B"/>
    <w:rsid w:val="00812887"/>
    <w:rsid w:val="00812D7B"/>
    <w:rsid w:val="0081305D"/>
    <w:rsid w:val="00813250"/>
    <w:rsid w:val="008136B4"/>
    <w:rsid w:val="00813796"/>
    <w:rsid w:val="00814318"/>
    <w:rsid w:val="008143BD"/>
    <w:rsid w:val="0081530D"/>
    <w:rsid w:val="0081544B"/>
    <w:rsid w:val="0081572C"/>
    <w:rsid w:val="008157A9"/>
    <w:rsid w:val="00815E98"/>
    <w:rsid w:val="00815EDD"/>
    <w:rsid w:val="00815FBD"/>
    <w:rsid w:val="00816508"/>
    <w:rsid w:val="00816577"/>
    <w:rsid w:val="00816590"/>
    <w:rsid w:val="008168E3"/>
    <w:rsid w:val="00816919"/>
    <w:rsid w:val="00816DFD"/>
    <w:rsid w:val="00816F81"/>
    <w:rsid w:val="00817999"/>
    <w:rsid w:val="00817CCF"/>
    <w:rsid w:val="0082010A"/>
    <w:rsid w:val="00820310"/>
    <w:rsid w:val="00820477"/>
    <w:rsid w:val="00820484"/>
    <w:rsid w:val="0082064A"/>
    <w:rsid w:val="0082087F"/>
    <w:rsid w:val="0082136F"/>
    <w:rsid w:val="0082215A"/>
    <w:rsid w:val="008224D9"/>
    <w:rsid w:val="00822E2F"/>
    <w:rsid w:val="00822F38"/>
    <w:rsid w:val="008242DA"/>
    <w:rsid w:val="00824455"/>
    <w:rsid w:val="00824508"/>
    <w:rsid w:val="00824789"/>
    <w:rsid w:val="00824A98"/>
    <w:rsid w:val="00824FAC"/>
    <w:rsid w:val="0082521B"/>
    <w:rsid w:val="00825267"/>
    <w:rsid w:val="0082537C"/>
    <w:rsid w:val="0082668A"/>
    <w:rsid w:val="00826892"/>
    <w:rsid w:val="00826E76"/>
    <w:rsid w:val="00827675"/>
    <w:rsid w:val="00827E6C"/>
    <w:rsid w:val="008304F0"/>
    <w:rsid w:val="00830835"/>
    <w:rsid w:val="00830E26"/>
    <w:rsid w:val="008312AD"/>
    <w:rsid w:val="008312D6"/>
    <w:rsid w:val="00831338"/>
    <w:rsid w:val="008316DE"/>
    <w:rsid w:val="00831BC5"/>
    <w:rsid w:val="00831C99"/>
    <w:rsid w:val="00832FB8"/>
    <w:rsid w:val="00833059"/>
    <w:rsid w:val="008338E8"/>
    <w:rsid w:val="0083402A"/>
    <w:rsid w:val="00834235"/>
    <w:rsid w:val="00834253"/>
    <w:rsid w:val="00834273"/>
    <w:rsid w:val="00834401"/>
    <w:rsid w:val="00834CB8"/>
    <w:rsid w:val="00835559"/>
    <w:rsid w:val="00835FFB"/>
    <w:rsid w:val="008364F4"/>
    <w:rsid w:val="00836914"/>
    <w:rsid w:val="00836B28"/>
    <w:rsid w:val="00836FA9"/>
    <w:rsid w:val="008372A0"/>
    <w:rsid w:val="00837385"/>
    <w:rsid w:val="00837B50"/>
    <w:rsid w:val="0084016C"/>
    <w:rsid w:val="008404D6"/>
    <w:rsid w:val="00840C36"/>
    <w:rsid w:val="00840DB9"/>
    <w:rsid w:val="00841DFC"/>
    <w:rsid w:val="00842973"/>
    <w:rsid w:val="00842DAE"/>
    <w:rsid w:val="00843576"/>
    <w:rsid w:val="00843660"/>
    <w:rsid w:val="00843AC0"/>
    <w:rsid w:val="00843B64"/>
    <w:rsid w:val="00843D31"/>
    <w:rsid w:val="00843EFD"/>
    <w:rsid w:val="00844C4D"/>
    <w:rsid w:val="00844DEC"/>
    <w:rsid w:val="00845C62"/>
    <w:rsid w:val="008462E4"/>
    <w:rsid w:val="00846D3E"/>
    <w:rsid w:val="0084721B"/>
    <w:rsid w:val="0085044D"/>
    <w:rsid w:val="00850B3A"/>
    <w:rsid w:val="008515A8"/>
    <w:rsid w:val="00851B9E"/>
    <w:rsid w:val="00851D5D"/>
    <w:rsid w:val="00851F15"/>
    <w:rsid w:val="00852328"/>
    <w:rsid w:val="00852837"/>
    <w:rsid w:val="00852FC7"/>
    <w:rsid w:val="00853610"/>
    <w:rsid w:val="00853666"/>
    <w:rsid w:val="00853847"/>
    <w:rsid w:val="0085446D"/>
    <w:rsid w:val="00854739"/>
    <w:rsid w:val="00854AC5"/>
    <w:rsid w:val="00854C1D"/>
    <w:rsid w:val="00854C28"/>
    <w:rsid w:val="00854C50"/>
    <w:rsid w:val="00854CAE"/>
    <w:rsid w:val="00854D0D"/>
    <w:rsid w:val="00854E06"/>
    <w:rsid w:val="0085506F"/>
    <w:rsid w:val="008553A4"/>
    <w:rsid w:val="00855737"/>
    <w:rsid w:val="00855E23"/>
    <w:rsid w:val="008560F0"/>
    <w:rsid w:val="00856308"/>
    <w:rsid w:val="008563EC"/>
    <w:rsid w:val="00856B94"/>
    <w:rsid w:val="008576C8"/>
    <w:rsid w:val="008578D1"/>
    <w:rsid w:val="0086033F"/>
    <w:rsid w:val="00860528"/>
    <w:rsid w:val="00860A95"/>
    <w:rsid w:val="00860CD2"/>
    <w:rsid w:val="008619CC"/>
    <w:rsid w:val="00861B59"/>
    <w:rsid w:val="00861B65"/>
    <w:rsid w:val="00861D83"/>
    <w:rsid w:val="008634AC"/>
    <w:rsid w:val="00863F05"/>
    <w:rsid w:val="00863FF9"/>
    <w:rsid w:val="00864C1B"/>
    <w:rsid w:val="00864FCC"/>
    <w:rsid w:val="00864FE7"/>
    <w:rsid w:val="0086533C"/>
    <w:rsid w:val="008653F3"/>
    <w:rsid w:val="00865406"/>
    <w:rsid w:val="00865D00"/>
    <w:rsid w:val="00865EFA"/>
    <w:rsid w:val="0086691D"/>
    <w:rsid w:val="00866C59"/>
    <w:rsid w:val="00866D56"/>
    <w:rsid w:val="00866E5D"/>
    <w:rsid w:val="00867315"/>
    <w:rsid w:val="00867BFF"/>
    <w:rsid w:val="00867CFF"/>
    <w:rsid w:val="008705F8"/>
    <w:rsid w:val="008707D6"/>
    <w:rsid w:val="008708C3"/>
    <w:rsid w:val="00870BC4"/>
    <w:rsid w:val="00870C82"/>
    <w:rsid w:val="00870E21"/>
    <w:rsid w:val="00870ED3"/>
    <w:rsid w:val="0087150F"/>
    <w:rsid w:val="00871673"/>
    <w:rsid w:val="008716C3"/>
    <w:rsid w:val="00871D64"/>
    <w:rsid w:val="0087236A"/>
    <w:rsid w:val="00872C6A"/>
    <w:rsid w:val="00873137"/>
    <w:rsid w:val="008737C3"/>
    <w:rsid w:val="00873AA9"/>
    <w:rsid w:val="00873CB6"/>
    <w:rsid w:val="0087429F"/>
    <w:rsid w:val="00874300"/>
    <w:rsid w:val="00874722"/>
    <w:rsid w:val="008747CA"/>
    <w:rsid w:val="00874B53"/>
    <w:rsid w:val="00874D79"/>
    <w:rsid w:val="00874D86"/>
    <w:rsid w:val="00874EE4"/>
    <w:rsid w:val="008755D0"/>
    <w:rsid w:val="00876209"/>
    <w:rsid w:val="00876924"/>
    <w:rsid w:val="00877142"/>
    <w:rsid w:val="008773A5"/>
    <w:rsid w:val="00877EED"/>
    <w:rsid w:val="00880301"/>
    <w:rsid w:val="0088057B"/>
    <w:rsid w:val="00880BEC"/>
    <w:rsid w:val="00880C7F"/>
    <w:rsid w:val="00880CF4"/>
    <w:rsid w:val="00880D63"/>
    <w:rsid w:val="00881228"/>
    <w:rsid w:val="00881425"/>
    <w:rsid w:val="00881B91"/>
    <w:rsid w:val="00882104"/>
    <w:rsid w:val="0088228C"/>
    <w:rsid w:val="0088254B"/>
    <w:rsid w:val="008825AA"/>
    <w:rsid w:val="00882768"/>
    <w:rsid w:val="00882B42"/>
    <w:rsid w:val="00883530"/>
    <w:rsid w:val="00883B8A"/>
    <w:rsid w:val="0088411C"/>
    <w:rsid w:val="008847B8"/>
    <w:rsid w:val="0088480A"/>
    <w:rsid w:val="008849D6"/>
    <w:rsid w:val="00885073"/>
    <w:rsid w:val="008854BD"/>
    <w:rsid w:val="008854EF"/>
    <w:rsid w:val="008856D3"/>
    <w:rsid w:val="00885789"/>
    <w:rsid w:val="00885D13"/>
    <w:rsid w:val="0088613D"/>
    <w:rsid w:val="008861C8"/>
    <w:rsid w:val="008869F7"/>
    <w:rsid w:val="008870A5"/>
    <w:rsid w:val="00887A23"/>
    <w:rsid w:val="00887FDA"/>
    <w:rsid w:val="00890005"/>
    <w:rsid w:val="00890B6B"/>
    <w:rsid w:val="00890D25"/>
    <w:rsid w:val="00890E3D"/>
    <w:rsid w:val="0089103C"/>
    <w:rsid w:val="008912EC"/>
    <w:rsid w:val="00891352"/>
    <w:rsid w:val="00891744"/>
    <w:rsid w:val="008919AE"/>
    <w:rsid w:val="00891BDC"/>
    <w:rsid w:val="00891FF0"/>
    <w:rsid w:val="00892560"/>
    <w:rsid w:val="00892C73"/>
    <w:rsid w:val="008931A6"/>
    <w:rsid w:val="00893318"/>
    <w:rsid w:val="00894129"/>
    <w:rsid w:val="008941C1"/>
    <w:rsid w:val="008946D2"/>
    <w:rsid w:val="008946FE"/>
    <w:rsid w:val="008949F3"/>
    <w:rsid w:val="00894EB8"/>
    <w:rsid w:val="008951D0"/>
    <w:rsid w:val="0089547E"/>
    <w:rsid w:val="00895753"/>
    <w:rsid w:val="008957DD"/>
    <w:rsid w:val="00895ABC"/>
    <w:rsid w:val="00895C6B"/>
    <w:rsid w:val="00895F65"/>
    <w:rsid w:val="00895FF7"/>
    <w:rsid w:val="00896164"/>
    <w:rsid w:val="008962E5"/>
    <w:rsid w:val="008965A4"/>
    <w:rsid w:val="0089671C"/>
    <w:rsid w:val="0089682B"/>
    <w:rsid w:val="008969A8"/>
    <w:rsid w:val="00897978"/>
    <w:rsid w:val="00897D98"/>
    <w:rsid w:val="00897EA2"/>
    <w:rsid w:val="008A0042"/>
    <w:rsid w:val="008A073F"/>
    <w:rsid w:val="008A0DF0"/>
    <w:rsid w:val="008A185B"/>
    <w:rsid w:val="008A1EB1"/>
    <w:rsid w:val="008A221D"/>
    <w:rsid w:val="008A2780"/>
    <w:rsid w:val="008A2C4C"/>
    <w:rsid w:val="008A3858"/>
    <w:rsid w:val="008A3A6C"/>
    <w:rsid w:val="008A3D87"/>
    <w:rsid w:val="008A4318"/>
    <w:rsid w:val="008A4753"/>
    <w:rsid w:val="008A487C"/>
    <w:rsid w:val="008A48F3"/>
    <w:rsid w:val="008A4DB2"/>
    <w:rsid w:val="008A574F"/>
    <w:rsid w:val="008A5D96"/>
    <w:rsid w:val="008A611E"/>
    <w:rsid w:val="008A686A"/>
    <w:rsid w:val="008A6B19"/>
    <w:rsid w:val="008A6DF2"/>
    <w:rsid w:val="008A72B1"/>
    <w:rsid w:val="008A776C"/>
    <w:rsid w:val="008A7DFC"/>
    <w:rsid w:val="008B05C9"/>
    <w:rsid w:val="008B0602"/>
    <w:rsid w:val="008B09F9"/>
    <w:rsid w:val="008B1A24"/>
    <w:rsid w:val="008B2178"/>
    <w:rsid w:val="008B21D8"/>
    <w:rsid w:val="008B2CE6"/>
    <w:rsid w:val="008B3042"/>
    <w:rsid w:val="008B30FF"/>
    <w:rsid w:val="008B3405"/>
    <w:rsid w:val="008B3737"/>
    <w:rsid w:val="008B3A49"/>
    <w:rsid w:val="008B3B4D"/>
    <w:rsid w:val="008B3F6E"/>
    <w:rsid w:val="008B4E17"/>
    <w:rsid w:val="008B4EDB"/>
    <w:rsid w:val="008B5245"/>
    <w:rsid w:val="008B557B"/>
    <w:rsid w:val="008B5A38"/>
    <w:rsid w:val="008B5A72"/>
    <w:rsid w:val="008B5EAA"/>
    <w:rsid w:val="008B6484"/>
    <w:rsid w:val="008B6B89"/>
    <w:rsid w:val="008B6EE9"/>
    <w:rsid w:val="008B7468"/>
    <w:rsid w:val="008B7777"/>
    <w:rsid w:val="008B7B13"/>
    <w:rsid w:val="008B7D3F"/>
    <w:rsid w:val="008C0277"/>
    <w:rsid w:val="008C02F7"/>
    <w:rsid w:val="008C0565"/>
    <w:rsid w:val="008C0657"/>
    <w:rsid w:val="008C0905"/>
    <w:rsid w:val="008C0AA8"/>
    <w:rsid w:val="008C0C2F"/>
    <w:rsid w:val="008C0DD9"/>
    <w:rsid w:val="008C0E54"/>
    <w:rsid w:val="008C1A2E"/>
    <w:rsid w:val="008C2CBC"/>
    <w:rsid w:val="008C33F5"/>
    <w:rsid w:val="008C350C"/>
    <w:rsid w:val="008C37ED"/>
    <w:rsid w:val="008C429C"/>
    <w:rsid w:val="008C433D"/>
    <w:rsid w:val="008C4461"/>
    <w:rsid w:val="008C4788"/>
    <w:rsid w:val="008C4793"/>
    <w:rsid w:val="008C4E2D"/>
    <w:rsid w:val="008C530B"/>
    <w:rsid w:val="008C5460"/>
    <w:rsid w:val="008C5BB5"/>
    <w:rsid w:val="008C662C"/>
    <w:rsid w:val="008C666F"/>
    <w:rsid w:val="008C6CF2"/>
    <w:rsid w:val="008C6D55"/>
    <w:rsid w:val="008C6FDF"/>
    <w:rsid w:val="008C6FF5"/>
    <w:rsid w:val="008C786D"/>
    <w:rsid w:val="008C7AAD"/>
    <w:rsid w:val="008C7E54"/>
    <w:rsid w:val="008C7F00"/>
    <w:rsid w:val="008D0034"/>
    <w:rsid w:val="008D0763"/>
    <w:rsid w:val="008D09A8"/>
    <w:rsid w:val="008D0A56"/>
    <w:rsid w:val="008D1054"/>
    <w:rsid w:val="008D135E"/>
    <w:rsid w:val="008D1570"/>
    <w:rsid w:val="008D20E3"/>
    <w:rsid w:val="008D2494"/>
    <w:rsid w:val="008D2531"/>
    <w:rsid w:val="008D2609"/>
    <w:rsid w:val="008D2946"/>
    <w:rsid w:val="008D3643"/>
    <w:rsid w:val="008D3B2E"/>
    <w:rsid w:val="008D3C1B"/>
    <w:rsid w:val="008D4AAF"/>
    <w:rsid w:val="008D4B30"/>
    <w:rsid w:val="008D4C8F"/>
    <w:rsid w:val="008D5266"/>
    <w:rsid w:val="008D5608"/>
    <w:rsid w:val="008D56A9"/>
    <w:rsid w:val="008D5AFC"/>
    <w:rsid w:val="008D6208"/>
    <w:rsid w:val="008D6999"/>
    <w:rsid w:val="008D7012"/>
    <w:rsid w:val="008D7C99"/>
    <w:rsid w:val="008E0FCB"/>
    <w:rsid w:val="008E1710"/>
    <w:rsid w:val="008E1ED1"/>
    <w:rsid w:val="008E2560"/>
    <w:rsid w:val="008E29EB"/>
    <w:rsid w:val="008E2CDD"/>
    <w:rsid w:val="008E3805"/>
    <w:rsid w:val="008E4229"/>
    <w:rsid w:val="008E47D5"/>
    <w:rsid w:val="008E4B37"/>
    <w:rsid w:val="008E4E94"/>
    <w:rsid w:val="008E5169"/>
    <w:rsid w:val="008E5991"/>
    <w:rsid w:val="008E5CF5"/>
    <w:rsid w:val="008E6000"/>
    <w:rsid w:val="008E647C"/>
    <w:rsid w:val="008E649E"/>
    <w:rsid w:val="008E6603"/>
    <w:rsid w:val="008E69C7"/>
    <w:rsid w:val="008E75D6"/>
    <w:rsid w:val="008E765A"/>
    <w:rsid w:val="008E7BD4"/>
    <w:rsid w:val="008E7E2D"/>
    <w:rsid w:val="008E7E53"/>
    <w:rsid w:val="008F054A"/>
    <w:rsid w:val="008F0DFE"/>
    <w:rsid w:val="008F1A3D"/>
    <w:rsid w:val="008F1D5D"/>
    <w:rsid w:val="008F1D69"/>
    <w:rsid w:val="008F1FA3"/>
    <w:rsid w:val="008F226B"/>
    <w:rsid w:val="008F2B8E"/>
    <w:rsid w:val="008F2CDB"/>
    <w:rsid w:val="008F314D"/>
    <w:rsid w:val="008F3580"/>
    <w:rsid w:val="008F3A5C"/>
    <w:rsid w:val="008F3CCD"/>
    <w:rsid w:val="008F3D07"/>
    <w:rsid w:val="008F41C4"/>
    <w:rsid w:val="008F47F1"/>
    <w:rsid w:val="008F482F"/>
    <w:rsid w:val="008F4BA8"/>
    <w:rsid w:val="008F584E"/>
    <w:rsid w:val="008F58C7"/>
    <w:rsid w:val="008F5D03"/>
    <w:rsid w:val="008F6756"/>
    <w:rsid w:val="008F680D"/>
    <w:rsid w:val="008F69F8"/>
    <w:rsid w:val="008F6EB7"/>
    <w:rsid w:val="008F709A"/>
    <w:rsid w:val="008F73FB"/>
    <w:rsid w:val="008F7554"/>
    <w:rsid w:val="008F7570"/>
    <w:rsid w:val="008F777A"/>
    <w:rsid w:val="008F7788"/>
    <w:rsid w:val="008F7ED0"/>
    <w:rsid w:val="00900AED"/>
    <w:rsid w:val="00900B31"/>
    <w:rsid w:val="00900B4F"/>
    <w:rsid w:val="00900D27"/>
    <w:rsid w:val="00900E96"/>
    <w:rsid w:val="00900EE6"/>
    <w:rsid w:val="0090175A"/>
    <w:rsid w:val="00901966"/>
    <w:rsid w:val="00902075"/>
    <w:rsid w:val="009029A0"/>
    <w:rsid w:val="009029F1"/>
    <w:rsid w:val="00902BB3"/>
    <w:rsid w:val="009034D4"/>
    <w:rsid w:val="0090365A"/>
    <w:rsid w:val="00903A6E"/>
    <w:rsid w:val="00904290"/>
    <w:rsid w:val="00904322"/>
    <w:rsid w:val="009045C6"/>
    <w:rsid w:val="0090469C"/>
    <w:rsid w:val="009049EB"/>
    <w:rsid w:val="00904A52"/>
    <w:rsid w:val="00904E67"/>
    <w:rsid w:val="00904F31"/>
    <w:rsid w:val="0090503F"/>
    <w:rsid w:val="00906FFD"/>
    <w:rsid w:val="009071D6"/>
    <w:rsid w:val="00907AF2"/>
    <w:rsid w:val="009111AC"/>
    <w:rsid w:val="0091120F"/>
    <w:rsid w:val="009114EB"/>
    <w:rsid w:val="00911B39"/>
    <w:rsid w:val="009120FD"/>
    <w:rsid w:val="00912815"/>
    <w:rsid w:val="0091288E"/>
    <w:rsid w:val="009128FB"/>
    <w:rsid w:val="00912917"/>
    <w:rsid w:val="00912BF3"/>
    <w:rsid w:val="0091300F"/>
    <w:rsid w:val="009133B8"/>
    <w:rsid w:val="00913B12"/>
    <w:rsid w:val="009141A8"/>
    <w:rsid w:val="00914555"/>
    <w:rsid w:val="00914724"/>
    <w:rsid w:val="00914F6B"/>
    <w:rsid w:val="00915127"/>
    <w:rsid w:val="00915B0D"/>
    <w:rsid w:val="00915C49"/>
    <w:rsid w:val="00916197"/>
    <w:rsid w:val="00916C4E"/>
    <w:rsid w:val="00916EB9"/>
    <w:rsid w:val="00916FB3"/>
    <w:rsid w:val="009170B1"/>
    <w:rsid w:val="0091730F"/>
    <w:rsid w:val="00917924"/>
    <w:rsid w:val="00917A04"/>
    <w:rsid w:val="00917DCA"/>
    <w:rsid w:val="0092037D"/>
    <w:rsid w:val="00920614"/>
    <w:rsid w:val="00920CE7"/>
    <w:rsid w:val="00920DB3"/>
    <w:rsid w:val="00920EAE"/>
    <w:rsid w:val="0092147C"/>
    <w:rsid w:val="009214EF"/>
    <w:rsid w:val="0092177A"/>
    <w:rsid w:val="0092178C"/>
    <w:rsid w:val="00921DDD"/>
    <w:rsid w:val="0092212B"/>
    <w:rsid w:val="0092222A"/>
    <w:rsid w:val="00922328"/>
    <w:rsid w:val="00922643"/>
    <w:rsid w:val="00922DCD"/>
    <w:rsid w:val="00923713"/>
    <w:rsid w:val="009238D4"/>
    <w:rsid w:val="00923CA2"/>
    <w:rsid w:val="00924042"/>
    <w:rsid w:val="00924242"/>
    <w:rsid w:val="0092479E"/>
    <w:rsid w:val="00924F28"/>
    <w:rsid w:val="0092531B"/>
    <w:rsid w:val="009254CA"/>
    <w:rsid w:val="009258CF"/>
    <w:rsid w:val="009264A4"/>
    <w:rsid w:val="00926780"/>
    <w:rsid w:val="009273B3"/>
    <w:rsid w:val="00927B3D"/>
    <w:rsid w:val="00927EE5"/>
    <w:rsid w:val="00927FAC"/>
    <w:rsid w:val="00930D4C"/>
    <w:rsid w:val="0093141A"/>
    <w:rsid w:val="00931512"/>
    <w:rsid w:val="00931999"/>
    <w:rsid w:val="009320C3"/>
    <w:rsid w:val="00932690"/>
    <w:rsid w:val="00932D19"/>
    <w:rsid w:val="00932DB1"/>
    <w:rsid w:val="00933186"/>
    <w:rsid w:val="009338C7"/>
    <w:rsid w:val="0093497C"/>
    <w:rsid w:val="00934B12"/>
    <w:rsid w:val="009354F8"/>
    <w:rsid w:val="009359EA"/>
    <w:rsid w:val="00935A5D"/>
    <w:rsid w:val="00935F31"/>
    <w:rsid w:val="009363E9"/>
    <w:rsid w:val="0093693D"/>
    <w:rsid w:val="0093702E"/>
    <w:rsid w:val="00937081"/>
    <w:rsid w:val="009373A2"/>
    <w:rsid w:val="0093741F"/>
    <w:rsid w:val="009376D1"/>
    <w:rsid w:val="00937C21"/>
    <w:rsid w:val="0094014F"/>
    <w:rsid w:val="009405E4"/>
    <w:rsid w:val="009408EE"/>
    <w:rsid w:val="00940C77"/>
    <w:rsid w:val="00940F04"/>
    <w:rsid w:val="0094109E"/>
    <w:rsid w:val="0094179A"/>
    <w:rsid w:val="00941ED1"/>
    <w:rsid w:val="00942866"/>
    <w:rsid w:val="00942C08"/>
    <w:rsid w:val="00942D74"/>
    <w:rsid w:val="009430BA"/>
    <w:rsid w:val="00943174"/>
    <w:rsid w:val="00943749"/>
    <w:rsid w:val="009439BD"/>
    <w:rsid w:val="00943DB1"/>
    <w:rsid w:val="009440AF"/>
    <w:rsid w:val="009441EC"/>
    <w:rsid w:val="00944275"/>
    <w:rsid w:val="0094459E"/>
    <w:rsid w:val="00944688"/>
    <w:rsid w:val="00944DBC"/>
    <w:rsid w:val="00945BC5"/>
    <w:rsid w:val="00945C7C"/>
    <w:rsid w:val="0094624E"/>
    <w:rsid w:val="0094626F"/>
    <w:rsid w:val="00946441"/>
    <w:rsid w:val="00946503"/>
    <w:rsid w:val="00946828"/>
    <w:rsid w:val="00946D15"/>
    <w:rsid w:val="0094751E"/>
    <w:rsid w:val="0094752C"/>
    <w:rsid w:val="00947975"/>
    <w:rsid w:val="00947E64"/>
    <w:rsid w:val="00947FC2"/>
    <w:rsid w:val="009500D0"/>
    <w:rsid w:val="00950805"/>
    <w:rsid w:val="00950977"/>
    <w:rsid w:val="00950AA1"/>
    <w:rsid w:val="0095109B"/>
    <w:rsid w:val="00951320"/>
    <w:rsid w:val="0095189E"/>
    <w:rsid w:val="00951CA2"/>
    <w:rsid w:val="00952505"/>
    <w:rsid w:val="00952732"/>
    <w:rsid w:val="00952C89"/>
    <w:rsid w:val="00952F53"/>
    <w:rsid w:val="00953031"/>
    <w:rsid w:val="00953396"/>
    <w:rsid w:val="00953486"/>
    <w:rsid w:val="009536BA"/>
    <w:rsid w:val="0095387A"/>
    <w:rsid w:val="00953AEF"/>
    <w:rsid w:val="00953F07"/>
    <w:rsid w:val="0095492F"/>
    <w:rsid w:val="00954E8A"/>
    <w:rsid w:val="00955007"/>
    <w:rsid w:val="009554DD"/>
    <w:rsid w:val="0095587F"/>
    <w:rsid w:val="009561BF"/>
    <w:rsid w:val="009564A6"/>
    <w:rsid w:val="009565D2"/>
    <w:rsid w:val="00956654"/>
    <w:rsid w:val="00956746"/>
    <w:rsid w:val="009567CF"/>
    <w:rsid w:val="009569B7"/>
    <w:rsid w:val="00956C60"/>
    <w:rsid w:val="00956C72"/>
    <w:rsid w:val="00956CDA"/>
    <w:rsid w:val="00956EAF"/>
    <w:rsid w:val="00956FF4"/>
    <w:rsid w:val="009576C1"/>
    <w:rsid w:val="0096054D"/>
    <w:rsid w:val="0096070D"/>
    <w:rsid w:val="00960F57"/>
    <w:rsid w:val="009614D6"/>
    <w:rsid w:val="00961586"/>
    <w:rsid w:val="009621C7"/>
    <w:rsid w:val="00962543"/>
    <w:rsid w:val="0096313C"/>
    <w:rsid w:val="009632C7"/>
    <w:rsid w:val="00963766"/>
    <w:rsid w:val="00963B58"/>
    <w:rsid w:val="00963D13"/>
    <w:rsid w:val="00965870"/>
    <w:rsid w:val="00965BE2"/>
    <w:rsid w:val="00965D55"/>
    <w:rsid w:val="00965FBA"/>
    <w:rsid w:val="00965FD2"/>
    <w:rsid w:val="00965FE5"/>
    <w:rsid w:val="009660D8"/>
    <w:rsid w:val="00966228"/>
    <w:rsid w:val="00966A00"/>
    <w:rsid w:val="0096735D"/>
    <w:rsid w:val="00967C41"/>
    <w:rsid w:val="00967DB4"/>
    <w:rsid w:val="00970163"/>
    <w:rsid w:val="0097068C"/>
    <w:rsid w:val="0097087A"/>
    <w:rsid w:val="009708F0"/>
    <w:rsid w:val="0097107A"/>
    <w:rsid w:val="00971090"/>
    <w:rsid w:val="0097153B"/>
    <w:rsid w:val="009715B9"/>
    <w:rsid w:val="00971667"/>
    <w:rsid w:val="00971F53"/>
    <w:rsid w:val="00971FB3"/>
    <w:rsid w:val="0097214D"/>
    <w:rsid w:val="00972319"/>
    <w:rsid w:val="00972502"/>
    <w:rsid w:val="0097279D"/>
    <w:rsid w:val="00972FCD"/>
    <w:rsid w:val="0097372D"/>
    <w:rsid w:val="00973AD1"/>
    <w:rsid w:val="009742ED"/>
    <w:rsid w:val="00974302"/>
    <w:rsid w:val="009744EC"/>
    <w:rsid w:val="00974C38"/>
    <w:rsid w:val="009750E5"/>
    <w:rsid w:val="00975549"/>
    <w:rsid w:val="009755B7"/>
    <w:rsid w:val="00976060"/>
    <w:rsid w:val="0097627B"/>
    <w:rsid w:val="009764E0"/>
    <w:rsid w:val="0097670D"/>
    <w:rsid w:val="00976715"/>
    <w:rsid w:val="009767E7"/>
    <w:rsid w:val="00976806"/>
    <w:rsid w:val="00976F27"/>
    <w:rsid w:val="00977CAB"/>
    <w:rsid w:val="00980AD4"/>
    <w:rsid w:val="00981D58"/>
    <w:rsid w:val="00981E03"/>
    <w:rsid w:val="00982003"/>
    <w:rsid w:val="0098297A"/>
    <w:rsid w:val="00982E81"/>
    <w:rsid w:val="00983685"/>
    <w:rsid w:val="00983702"/>
    <w:rsid w:val="009838D0"/>
    <w:rsid w:val="00983D13"/>
    <w:rsid w:val="00984D04"/>
    <w:rsid w:val="00985223"/>
    <w:rsid w:val="00985D75"/>
    <w:rsid w:val="00986B7E"/>
    <w:rsid w:val="0098777D"/>
    <w:rsid w:val="009878AC"/>
    <w:rsid w:val="00987C4A"/>
    <w:rsid w:val="009903F4"/>
    <w:rsid w:val="009905A0"/>
    <w:rsid w:val="00990B2E"/>
    <w:rsid w:val="00990C17"/>
    <w:rsid w:val="00990C56"/>
    <w:rsid w:val="009910E5"/>
    <w:rsid w:val="0099195F"/>
    <w:rsid w:val="00991A03"/>
    <w:rsid w:val="00991BA3"/>
    <w:rsid w:val="00991EC6"/>
    <w:rsid w:val="0099215B"/>
    <w:rsid w:val="00992693"/>
    <w:rsid w:val="00992732"/>
    <w:rsid w:val="00992E33"/>
    <w:rsid w:val="0099314F"/>
    <w:rsid w:val="0099318C"/>
    <w:rsid w:val="009933DA"/>
    <w:rsid w:val="00993479"/>
    <w:rsid w:val="00993859"/>
    <w:rsid w:val="00993BA8"/>
    <w:rsid w:val="00994245"/>
    <w:rsid w:val="00994299"/>
    <w:rsid w:val="0099446C"/>
    <w:rsid w:val="009946ED"/>
    <w:rsid w:val="00994AEE"/>
    <w:rsid w:val="00994B60"/>
    <w:rsid w:val="00994BE8"/>
    <w:rsid w:val="00994E7F"/>
    <w:rsid w:val="00994F8B"/>
    <w:rsid w:val="00994FBE"/>
    <w:rsid w:val="009954B6"/>
    <w:rsid w:val="0099559D"/>
    <w:rsid w:val="00995FFA"/>
    <w:rsid w:val="0099612C"/>
    <w:rsid w:val="0099637D"/>
    <w:rsid w:val="0099662E"/>
    <w:rsid w:val="00996A7C"/>
    <w:rsid w:val="00996A7E"/>
    <w:rsid w:val="00996F71"/>
    <w:rsid w:val="009973AC"/>
    <w:rsid w:val="009975B1"/>
    <w:rsid w:val="00997D31"/>
    <w:rsid w:val="00997ED0"/>
    <w:rsid w:val="009A0118"/>
    <w:rsid w:val="009A032E"/>
    <w:rsid w:val="009A0B18"/>
    <w:rsid w:val="009A0BBE"/>
    <w:rsid w:val="009A0C38"/>
    <w:rsid w:val="009A1367"/>
    <w:rsid w:val="009A141D"/>
    <w:rsid w:val="009A1825"/>
    <w:rsid w:val="009A1D00"/>
    <w:rsid w:val="009A21A3"/>
    <w:rsid w:val="009A2244"/>
    <w:rsid w:val="009A22B6"/>
    <w:rsid w:val="009A27A3"/>
    <w:rsid w:val="009A2CDD"/>
    <w:rsid w:val="009A2F5D"/>
    <w:rsid w:val="009A32A2"/>
    <w:rsid w:val="009A3FB2"/>
    <w:rsid w:val="009A4381"/>
    <w:rsid w:val="009A4666"/>
    <w:rsid w:val="009A48F9"/>
    <w:rsid w:val="009A4F22"/>
    <w:rsid w:val="009A5132"/>
    <w:rsid w:val="009A54A3"/>
    <w:rsid w:val="009A592B"/>
    <w:rsid w:val="009A5AC7"/>
    <w:rsid w:val="009A5AE8"/>
    <w:rsid w:val="009A5BB5"/>
    <w:rsid w:val="009A5C14"/>
    <w:rsid w:val="009A6048"/>
    <w:rsid w:val="009A6B8F"/>
    <w:rsid w:val="009A7366"/>
    <w:rsid w:val="009A75B5"/>
    <w:rsid w:val="009A76F0"/>
    <w:rsid w:val="009A7AD9"/>
    <w:rsid w:val="009A7F63"/>
    <w:rsid w:val="009B029F"/>
    <w:rsid w:val="009B0640"/>
    <w:rsid w:val="009B0A0D"/>
    <w:rsid w:val="009B0BF5"/>
    <w:rsid w:val="009B0C9B"/>
    <w:rsid w:val="009B1311"/>
    <w:rsid w:val="009B13D9"/>
    <w:rsid w:val="009B1ACB"/>
    <w:rsid w:val="009B2084"/>
    <w:rsid w:val="009B20A4"/>
    <w:rsid w:val="009B2BA0"/>
    <w:rsid w:val="009B2EC1"/>
    <w:rsid w:val="009B3148"/>
    <w:rsid w:val="009B317F"/>
    <w:rsid w:val="009B35C1"/>
    <w:rsid w:val="009B3AE1"/>
    <w:rsid w:val="009B43FC"/>
    <w:rsid w:val="009B44A0"/>
    <w:rsid w:val="009B4921"/>
    <w:rsid w:val="009B49F8"/>
    <w:rsid w:val="009B4A0F"/>
    <w:rsid w:val="009B4BBF"/>
    <w:rsid w:val="009B4E39"/>
    <w:rsid w:val="009B4FD4"/>
    <w:rsid w:val="009B5170"/>
    <w:rsid w:val="009B5409"/>
    <w:rsid w:val="009B5767"/>
    <w:rsid w:val="009B5B4F"/>
    <w:rsid w:val="009B5DCD"/>
    <w:rsid w:val="009B5F0A"/>
    <w:rsid w:val="009B638E"/>
    <w:rsid w:val="009B64AB"/>
    <w:rsid w:val="009B6CC0"/>
    <w:rsid w:val="009B6E5C"/>
    <w:rsid w:val="009B6FF7"/>
    <w:rsid w:val="009B70CB"/>
    <w:rsid w:val="009B71D3"/>
    <w:rsid w:val="009B720E"/>
    <w:rsid w:val="009C024E"/>
    <w:rsid w:val="009C08C8"/>
    <w:rsid w:val="009C09B8"/>
    <w:rsid w:val="009C0ABC"/>
    <w:rsid w:val="009C0BB3"/>
    <w:rsid w:val="009C0DDB"/>
    <w:rsid w:val="009C1889"/>
    <w:rsid w:val="009C2040"/>
    <w:rsid w:val="009C2183"/>
    <w:rsid w:val="009C28CB"/>
    <w:rsid w:val="009C2FC6"/>
    <w:rsid w:val="009C31F8"/>
    <w:rsid w:val="009C31FF"/>
    <w:rsid w:val="009C3A87"/>
    <w:rsid w:val="009C3ADC"/>
    <w:rsid w:val="009C3FC0"/>
    <w:rsid w:val="009C430A"/>
    <w:rsid w:val="009C43C7"/>
    <w:rsid w:val="009C4501"/>
    <w:rsid w:val="009C4AB6"/>
    <w:rsid w:val="009C51A2"/>
    <w:rsid w:val="009C51EF"/>
    <w:rsid w:val="009C524A"/>
    <w:rsid w:val="009C5A51"/>
    <w:rsid w:val="009C5BC9"/>
    <w:rsid w:val="009C6059"/>
    <w:rsid w:val="009C697C"/>
    <w:rsid w:val="009C6A50"/>
    <w:rsid w:val="009C6E2C"/>
    <w:rsid w:val="009C6ED8"/>
    <w:rsid w:val="009C70B5"/>
    <w:rsid w:val="009C7219"/>
    <w:rsid w:val="009C7DBE"/>
    <w:rsid w:val="009C7E78"/>
    <w:rsid w:val="009D00C8"/>
    <w:rsid w:val="009D0623"/>
    <w:rsid w:val="009D0879"/>
    <w:rsid w:val="009D0B63"/>
    <w:rsid w:val="009D0B93"/>
    <w:rsid w:val="009D0CF4"/>
    <w:rsid w:val="009D0DCB"/>
    <w:rsid w:val="009D1F8C"/>
    <w:rsid w:val="009D238A"/>
    <w:rsid w:val="009D24CB"/>
    <w:rsid w:val="009D26EA"/>
    <w:rsid w:val="009D2B8A"/>
    <w:rsid w:val="009D37D5"/>
    <w:rsid w:val="009D37EF"/>
    <w:rsid w:val="009D3F73"/>
    <w:rsid w:val="009D495C"/>
    <w:rsid w:val="009D4B22"/>
    <w:rsid w:val="009D4BAF"/>
    <w:rsid w:val="009D4C30"/>
    <w:rsid w:val="009D4C5F"/>
    <w:rsid w:val="009D4F99"/>
    <w:rsid w:val="009D4FB8"/>
    <w:rsid w:val="009D5125"/>
    <w:rsid w:val="009D55BB"/>
    <w:rsid w:val="009D5B62"/>
    <w:rsid w:val="009D5B67"/>
    <w:rsid w:val="009D5C62"/>
    <w:rsid w:val="009D5CC3"/>
    <w:rsid w:val="009D5D66"/>
    <w:rsid w:val="009D6402"/>
    <w:rsid w:val="009D7441"/>
    <w:rsid w:val="009D7964"/>
    <w:rsid w:val="009E02E5"/>
    <w:rsid w:val="009E03D1"/>
    <w:rsid w:val="009E0582"/>
    <w:rsid w:val="009E078A"/>
    <w:rsid w:val="009E0F19"/>
    <w:rsid w:val="009E1008"/>
    <w:rsid w:val="009E1617"/>
    <w:rsid w:val="009E16CB"/>
    <w:rsid w:val="009E1DA0"/>
    <w:rsid w:val="009E29F7"/>
    <w:rsid w:val="009E2BB8"/>
    <w:rsid w:val="009E34EC"/>
    <w:rsid w:val="009E3656"/>
    <w:rsid w:val="009E3816"/>
    <w:rsid w:val="009E3988"/>
    <w:rsid w:val="009E4357"/>
    <w:rsid w:val="009E4D87"/>
    <w:rsid w:val="009E5022"/>
    <w:rsid w:val="009E524D"/>
    <w:rsid w:val="009E5DBA"/>
    <w:rsid w:val="009E5FF6"/>
    <w:rsid w:val="009E6417"/>
    <w:rsid w:val="009E65CC"/>
    <w:rsid w:val="009E66D1"/>
    <w:rsid w:val="009E673E"/>
    <w:rsid w:val="009E78E8"/>
    <w:rsid w:val="009E7B4D"/>
    <w:rsid w:val="009E7F61"/>
    <w:rsid w:val="009F003D"/>
    <w:rsid w:val="009F0459"/>
    <w:rsid w:val="009F0B94"/>
    <w:rsid w:val="009F0BFA"/>
    <w:rsid w:val="009F0C2C"/>
    <w:rsid w:val="009F0ECE"/>
    <w:rsid w:val="009F1144"/>
    <w:rsid w:val="009F126A"/>
    <w:rsid w:val="009F1290"/>
    <w:rsid w:val="009F1C15"/>
    <w:rsid w:val="009F2241"/>
    <w:rsid w:val="009F2A36"/>
    <w:rsid w:val="009F321B"/>
    <w:rsid w:val="009F3376"/>
    <w:rsid w:val="009F33A9"/>
    <w:rsid w:val="009F3977"/>
    <w:rsid w:val="009F4457"/>
    <w:rsid w:val="009F46F5"/>
    <w:rsid w:val="009F4934"/>
    <w:rsid w:val="009F4B1A"/>
    <w:rsid w:val="009F4DCB"/>
    <w:rsid w:val="009F5318"/>
    <w:rsid w:val="009F55D4"/>
    <w:rsid w:val="009F576C"/>
    <w:rsid w:val="009F57C5"/>
    <w:rsid w:val="009F63A0"/>
    <w:rsid w:val="009F690F"/>
    <w:rsid w:val="009F751B"/>
    <w:rsid w:val="009F7AFD"/>
    <w:rsid w:val="009F7B0D"/>
    <w:rsid w:val="009F7B19"/>
    <w:rsid w:val="009F7F1F"/>
    <w:rsid w:val="00A001FF"/>
    <w:rsid w:val="00A00477"/>
    <w:rsid w:val="00A005CA"/>
    <w:rsid w:val="00A00787"/>
    <w:rsid w:val="00A00B10"/>
    <w:rsid w:val="00A01380"/>
    <w:rsid w:val="00A01567"/>
    <w:rsid w:val="00A01870"/>
    <w:rsid w:val="00A01F9A"/>
    <w:rsid w:val="00A02406"/>
    <w:rsid w:val="00A026D2"/>
    <w:rsid w:val="00A027BE"/>
    <w:rsid w:val="00A02A29"/>
    <w:rsid w:val="00A02C05"/>
    <w:rsid w:val="00A0342D"/>
    <w:rsid w:val="00A03831"/>
    <w:rsid w:val="00A03A3D"/>
    <w:rsid w:val="00A0406D"/>
    <w:rsid w:val="00A04281"/>
    <w:rsid w:val="00A04451"/>
    <w:rsid w:val="00A04D5D"/>
    <w:rsid w:val="00A05985"/>
    <w:rsid w:val="00A059CE"/>
    <w:rsid w:val="00A05F3C"/>
    <w:rsid w:val="00A061CD"/>
    <w:rsid w:val="00A066F7"/>
    <w:rsid w:val="00A06ACF"/>
    <w:rsid w:val="00A06C9C"/>
    <w:rsid w:val="00A10051"/>
    <w:rsid w:val="00A102CD"/>
    <w:rsid w:val="00A1030E"/>
    <w:rsid w:val="00A10D0B"/>
    <w:rsid w:val="00A11215"/>
    <w:rsid w:val="00A1130F"/>
    <w:rsid w:val="00A114C5"/>
    <w:rsid w:val="00A115CD"/>
    <w:rsid w:val="00A1213E"/>
    <w:rsid w:val="00A128CA"/>
    <w:rsid w:val="00A12DE7"/>
    <w:rsid w:val="00A12F97"/>
    <w:rsid w:val="00A1348D"/>
    <w:rsid w:val="00A1356D"/>
    <w:rsid w:val="00A13AB5"/>
    <w:rsid w:val="00A13B24"/>
    <w:rsid w:val="00A13FB4"/>
    <w:rsid w:val="00A14BFD"/>
    <w:rsid w:val="00A14CB7"/>
    <w:rsid w:val="00A15616"/>
    <w:rsid w:val="00A15AFD"/>
    <w:rsid w:val="00A15B69"/>
    <w:rsid w:val="00A16471"/>
    <w:rsid w:val="00A1664F"/>
    <w:rsid w:val="00A16E6C"/>
    <w:rsid w:val="00A1768C"/>
    <w:rsid w:val="00A1773C"/>
    <w:rsid w:val="00A17CEB"/>
    <w:rsid w:val="00A2005A"/>
    <w:rsid w:val="00A202A8"/>
    <w:rsid w:val="00A20698"/>
    <w:rsid w:val="00A212C1"/>
    <w:rsid w:val="00A21A48"/>
    <w:rsid w:val="00A21CD9"/>
    <w:rsid w:val="00A21CE8"/>
    <w:rsid w:val="00A21E21"/>
    <w:rsid w:val="00A2210E"/>
    <w:rsid w:val="00A222D1"/>
    <w:rsid w:val="00A22717"/>
    <w:rsid w:val="00A22824"/>
    <w:rsid w:val="00A23208"/>
    <w:rsid w:val="00A232EE"/>
    <w:rsid w:val="00A23354"/>
    <w:rsid w:val="00A23DC4"/>
    <w:rsid w:val="00A24434"/>
    <w:rsid w:val="00A2459F"/>
    <w:rsid w:val="00A245C6"/>
    <w:rsid w:val="00A2493E"/>
    <w:rsid w:val="00A249B5"/>
    <w:rsid w:val="00A25203"/>
    <w:rsid w:val="00A2563F"/>
    <w:rsid w:val="00A257EF"/>
    <w:rsid w:val="00A25872"/>
    <w:rsid w:val="00A25B69"/>
    <w:rsid w:val="00A2605E"/>
    <w:rsid w:val="00A26089"/>
    <w:rsid w:val="00A261CF"/>
    <w:rsid w:val="00A26274"/>
    <w:rsid w:val="00A26344"/>
    <w:rsid w:val="00A26481"/>
    <w:rsid w:val="00A2664F"/>
    <w:rsid w:val="00A2689A"/>
    <w:rsid w:val="00A26AC4"/>
    <w:rsid w:val="00A26BD2"/>
    <w:rsid w:val="00A270DB"/>
    <w:rsid w:val="00A279C5"/>
    <w:rsid w:val="00A279F3"/>
    <w:rsid w:val="00A27B8B"/>
    <w:rsid w:val="00A27E3D"/>
    <w:rsid w:val="00A27FD9"/>
    <w:rsid w:val="00A3022F"/>
    <w:rsid w:val="00A30885"/>
    <w:rsid w:val="00A30CF7"/>
    <w:rsid w:val="00A31073"/>
    <w:rsid w:val="00A3142C"/>
    <w:rsid w:val="00A31B07"/>
    <w:rsid w:val="00A31C19"/>
    <w:rsid w:val="00A31DE3"/>
    <w:rsid w:val="00A31FCA"/>
    <w:rsid w:val="00A3290F"/>
    <w:rsid w:val="00A32ABC"/>
    <w:rsid w:val="00A32FC5"/>
    <w:rsid w:val="00A335DF"/>
    <w:rsid w:val="00A33772"/>
    <w:rsid w:val="00A33C50"/>
    <w:rsid w:val="00A33C5C"/>
    <w:rsid w:val="00A342F4"/>
    <w:rsid w:val="00A344EB"/>
    <w:rsid w:val="00A34629"/>
    <w:rsid w:val="00A3466A"/>
    <w:rsid w:val="00A34965"/>
    <w:rsid w:val="00A34C37"/>
    <w:rsid w:val="00A34CA2"/>
    <w:rsid w:val="00A34E61"/>
    <w:rsid w:val="00A350BB"/>
    <w:rsid w:val="00A355C0"/>
    <w:rsid w:val="00A35F0A"/>
    <w:rsid w:val="00A3674C"/>
    <w:rsid w:val="00A368A7"/>
    <w:rsid w:val="00A36A32"/>
    <w:rsid w:val="00A37807"/>
    <w:rsid w:val="00A378DA"/>
    <w:rsid w:val="00A37E2D"/>
    <w:rsid w:val="00A400A2"/>
    <w:rsid w:val="00A40109"/>
    <w:rsid w:val="00A40F6E"/>
    <w:rsid w:val="00A413C6"/>
    <w:rsid w:val="00A4179D"/>
    <w:rsid w:val="00A41A91"/>
    <w:rsid w:val="00A41B14"/>
    <w:rsid w:val="00A41E04"/>
    <w:rsid w:val="00A42114"/>
    <w:rsid w:val="00A4214F"/>
    <w:rsid w:val="00A422B6"/>
    <w:rsid w:val="00A42AE5"/>
    <w:rsid w:val="00A42BE5"/>
    <w:rsid w:val="00A42DDB"/>
    <w:rsid w:val="00A43D32"/>
    <w:rsid w:val="00A44073"/>
    <w:rsid w:val="00A44411"/>
    <w:rsid w:val="00A448D2"/>
    <w:rsid w:val="00A449F3"/>
    <w:rsid w:val="00A44E46"/>
    <w:rsid w:val="00A45622"/>
    <w:rsid w:val="00A456E4"/>
    <w:rsid w:val="00A45861"/>
    <w:rsid w:val="00A45913"/>
    <w:rsid w:val="00A46736"/>
    <w:rsid w:val="00A46927"/>
    <w:rsid w:val="00A469ED"/>
    <w:rsid w:val="00A469FA"/>
    <w:rsid w:val="00A46BAC"/>
    <w:rsid w:val="00A46D39"/>
    <w:rsid w:val="00A46F94"/>
    <w:rsid w:val="00A472D1"/>
    <w:rsid w:val="00A47828"/>
    <w:rsid w:val="00A47EF5"/>
    <w:rsid w:val="00A50129"/>
    <w:rsid w:val="00A50D5E"/>
    <w:rsid w:val="00A50DE7"/>
    <w:rsid w:val="00A5167D"/>
    <w:rsid w:val="00A51CB8"/>
    <w:rsid w:val="00A51F4B"/>
    <w:rsid w:val="00A521E5"/>
    <w:rsid w:val="00A52750"/>
    <w:rsid w:val="00A529E5"/>
    <w:rsid w:val="00A52C82"/>
    <w:rsid w:val="00A52F5D"/>
    <w:rsid w:val="00A533DF"/>
    <w:rsid w:val="00A53F50"/>
    <w:rsid w:val="00A543A0"/>
    <w:rsid w:val="00A54428"/>
    <w:rsid w:val="00A546C3"/>
    <w:rsid w:val="00A547FE"/>
    <w:rsid w:val="00A5490D"/>
    <w:rsid w:val="00A54CFC"/>
    <w:rsid w:val="00A551A7"/>
    <w:rsid w:val="00A5544C"/>
    <w:rsid w:val="00A554AF"/>
    <w:rsid w:val="00A55A8F"/>
    <w:rsid w:val="00A55B01"/>
    <w:rsid w:val="00A5651C"/>
    <w:rsid w:val="00A569FB"/>
    <w:rsid w:val="00A56B5B"/>
    <w:rsid w:val="00A56E95"/>
    <w:rsid w:val="00A57097"/>
    <w:rsid w:val="00A57A0F"/>
    <w:rsid w:val="00A57ADE"/>
    <w:rsid w:val="00A605BA"/>
    <w:rsid w:val="00A6090C"/>
    <w:rsid w:val="00A60B43"/>
    <w:rsid w:val="00A60C38"/>
    <w:rsid w:val="00A60E45"/>
    <w:rsid w:val="00A622AB"/>
    <w:rsid w:val="00A6286E"/>
    <w:rsid w:val="00A62B8D"/>
    <w:rsid w:val="00A6361B"/>
    <w:rsid w:val="00A63905"/>
    <w:rsid w:val="00A6394A"/>
    <w:rsid w:val="00A63D4E"/>
    <w:rsid w:val="00A6417A"/>
    <w:rsid w:val="00A64740"/>
    <w:rsid w:val="00A64D4F"/>
    <w:rsid w:val="00A657DD"/>
    <w:rsid w:val="00A657FC"/>
    <w:rsid w:val="00A65B9F"/>
    <w:rsid w:val="00A65FE0"/>
    <w:rsid w:val="00A6601A"/>
    <w:rsid w:val="00A6621E"/>
    <w:rsid w:val="00A6656D"/>
    <w:rsid w:val="00A66573"/>
    <w:rsid w:val="00A666A6"/>
    <w:rsid w:val="00A6689A"/>
    <w:rsid w:val="00A66A4C"/>
    <w:rsid w:val="00A66C65"/>
    <w:rsid w:val="00A66F8E"/>
    <w:rsid w:val="00A67087"/>
    <w:rsid w:val="00A67890"/>
    <w:rsid w:val="00A67A21"/>
    <w:rsid w:val="00A67A3E"/>
    <w:rsid w:val="00A70703"/>
    <w:rsid w:val="00A708FE"/>
    <w:rsid w:val="00A70F5B"/>
    <w:rsid w:val="00A70F9D"/>
    <w:rsid w:val="00A7104E"/>
    <w:rsid w:val="00A71AC3"/>
    <w:rsid w:val="00A71DCB"/>
    <w:rsid w:val="00A72BD3"/>
    <w:rsid w:val="00A73867"/>
    <w:rsid w:val="00A73D83"/>
    <w:rsid w:val="00A740EC"/>
    <w:rsid w:val="00A7411B"/>
    <w:rsid w:val="00A745A3"/>
    <w:rsid w:val="00A7479F"/>
    <w:rsid w:val="00A74835"/>
    <w:rsid w:val="00A748C2"/>
    <w:rsid w:val="00A748C3"/>
    <w:rsid w:val="00A74DE9"/>
    <w:rsid w:val="00A75224"/>
    <w:rsid w:val="00A75318"/>
    <w:rsid w:val="00A753B3"/>
    <w:rsid w:val="00A757BE"/>
    <w:rsid w:val="00A75EF7"/>
    <w:rsid w:val="00A76C0C"/>
    <w:rsid w:val="00A76C63"/>
    <w:rsid w:val="00A76EDB"/>
    <w:rsid w:val="00A77742"/>
    <w:rsid w:val="00A7792E"/>
    <w:rsid w:val="00A77A07"/>
    <w:rsid w:val="00A77C55"/>
    <w:rsid w:val="00A800E8"/>
    <w:rsid w:val="00A80611"/>
    <w:rsid w:val="00A80D9D"/>
    <w:rsid w:val="00A8102A"/>
    <w:rsid w:val="00A810EB"/>
    <w:rsid w:val="00A817D7"/>
    <w:rsid w:val="00A81924"/>
    <w:rsid w:val="00A81E88"/>
    <w:rsid w:val="00A827E0"/>
    <w:rsid w:val="00A82924"/>
    <w:rsid w:val="00A82C0B"/>
    <w:rsid w:val="00A82F40"/>
    <w:rsid w:val="00A83573"/>
    <w:rsid w:val="00A83881"/>
    <w:rsid w:val="00A84462"/>
    <w:rsid w:val="00A845E9"/>
    <w:rsid w:val="00A849F9"/>
    <w:rsid w:val="00A84E70"/>
    <w:rsid w:val="00A84F5A"/>
    <w:rsid w:val="00A85086"/>
    <w:rsid w:val="00A85569"/>
    <w:rsid w:val="00A8591D"/>
    <w:rsid w:val="00A85A96"/>
    <w:rsid w:val="00A85B40"/>
    <w:rsid w:val="00A86236"/>
    <w:rsid w:val="00A86414"/>
    <w:rsid w:val="00A86E67"/>
    <w:rsid w:val="00A86F7D"/>
    <w:rsid w:val="00A87D76"/>
    <w:rsid w:val="00A87F09"/>
    <w:rsid w:val="00A906B7"/>
    <w:rsid w:val="00A91084"/>
    <w:rsid w:val="00A9108E"/>
    <w:rsid w:val="00A911F0"/>
    <w:rsid w:val="00A914AC"/>
    <w:rsid w:val="00A9175E"/>
    <w:rsid w:val="00A91C77"/>
    <w:rsid w:val="00A91DF0"/>
    <w:rsid w:val="00A9225E"/>
    <w:rsid w:val="00A92677"/>
    <w:rsid w:val="00A9270C"/>
    <w:rsid w:val="00A92B72"/>
    <w:rsid w:val="00A92DDC"/>
    <w:rsid w:val="00A93448"/>
    <w:rsid w:val="00A93782"/>
    <w:rsid w:val="00A9381F"/>
    <w:rsid w:val="00A93FED"/>
    <w:rsid w:val="00A940D2"/>
    <w:rsid w:val="00A94E12"/>
    <w:rsid w:val="00A95449"/>
    <w:rsid w:val="00A9561F"/>
    <w:rsid w:val="00A95B38"/>
    <w:rsid w:val="00A95C17"/>
    <w:rsid w:val="00A95E1E"/>
    <w:rsid w:val="00A96190"/>
    <w:rsid w:val="00A96833"/>
    <w:rsid w:val="00A96D37"/>
    <w:rsid w:val="00A97214"/>
    <w:rsid w:val="00A97492"/>
    <w:rsid w:val="00A978E1"/>
    <w:rsid w:val="00A97C8E"/>
    <w:rsid w:val="00AA0381"/>
    <w:rsid w:val="00AA0655"/>
    <w:rsid w:val="00AA0D10"/>
    <w:rsid w:val="00AA0F8B"/>
    <w:rsid w:val="00AA125D"/>
    <w:rsid w:val="00AA1379"/>
    <w:rsid w:val="00AA13C6"/>
    <w:rsid w:val="00AA167D"/>
    <w:rsid w:val="00AA1885"/>
    <w:rsid w:val="00AA19FE"/>
    <w:rsid w:val="00AA1C14"/>
    <w:rsid w:val="00AA23CC"/>
    <w:rsid w:val="00AA25C4"/>
    <w:rsid w:val="00AA28DE"/>
    <w:rsid w:val="00AA2C16"/>
    <w:rsid w:val="00AA2D25"/>
    <w:rsid w:val="00AA30BD"/>
    <w:rsid w:val="00AA31E4"/>
    <w:rsid w:val="00AA3AF0"/>
    <w:rsid w:val="00AA4784"/>
    <w:rsid w:val="00AA493F"/>
    <w:rsid w:val="00AA49AF"/>
    <w:rsid w:val="00AA4B78"/>
    <w:rsid w:val="00AA5298"/>
    <w:rsid w:val="00AA5454"/>
    <w:rsid w:val="00AA57F7"/>
    <w:rsid w:val="00AA64E4"/>
    <w:rsid w:val="00AA659E"/>
    <w:rsid w:val="00AA6B42"/>
    <w:rsid w:val="00AA70C2"/>
    <w:rsid w:val="00AA72CD"/>
    <w:rsid w:val="00AA7368"/>
    <w:rsid w:val="00AA7490"/>
    <w:rsid w:val="00AA7518"/>
    <w:rsid w:val="00AB075B"/>
    <w:rsid w:val="00AB0834"/>
    <w:rsid w:val="00AB08C9"/>
    <w:rsid w:val="00AB0916"/>
    <w:rsid w:val="00AB0B77"/>
    <w:rsid w:val="00AB0DA2"/>
    <w:rsid w:val="00AB1145"/>
    <w:rsid w:val="00AB13F6"/>
    <w:rsid w:val="00AB1603"/>
    <w:rsid w:val="00AB1B45"/>
    <w:rsid w:val="00AB31CB"/>
    <w:rsid w:val="00AB3AC6"/>
    <w:rsid w:val="00AB3C58"/>
    <w:rsid w:val="00AB3E11"/>
    <w:rsid w:val="00AB41A3"/>
    <w:rsid w:val="00AB437A"/>
    <w:rsid w:val="00AB456F"/>
    <w:rsid w:val="00AB4968"/>
    <w:rsid w:val="00AB4FE3"/>
    <w:rsid w:val="00AB5192"/>
    <w:rsid w:val="00AB5340"/>
    <w:rsid w:val="00AB680A"/>
    <w:rsid w:val="00AB6B99"/>
    <w:rsid w:val="00AB70E7"/>
    <w:rsid w:val="00AB73B3"/>
    <w:rsid w:val="00AB74C3"/>
    <w:rsid w:val="00AC00A6"/>
    <w:rsid w:val="00AC03CC"/>
    <w:rsid w:val="00AC0933"/>
    <w:rsid w:val="00AC0B46"/>
    <w:rsid w:val="00AC0E0C"/>
    <w:rsid w:val="00AC103A"/>
    <w:rsid w:val="00AC2766"/>
    <w:rsid w:val="00AC2F89"/>
    <w:rsid w:val="00AC3005"/>
    <w:rsid w:val="00AC3C51"/>
    <w:rsid w:val="00AC425F"/>
    <w:rsid w:val="00AC4594"/>
    <w:rsid w:val="00AC45B5"/>
    <w:rsid w:val="00AC4BB5"/>
    <w:rsid w:val="00AC4CE6"/>
    <w:rsid w:val="00AC4DB5"/>
    <w:rsid w:val="00AC5ED7"/>
    <w:rsid w:val="00AC623C"/>
    <w:rsid w:val="00AC6992"/>
    <w:rsid w:val="00AC6C78"/>
    <w:rsid w:val="00AC6EA9"/>
    <w:rsid w:val="00AC738C"/>
    <w:rsid w:val="00AC7C96"/>
    <w:rsid w:val="00AD0A1B"/>
    <w:rsid w:val="00AD129F"/>
    <w:rsid w:val="00AD157B"/>
    <w:rsid w:val="00AD16F3"/>
    <w:rsid w:val="00AD2003"/>
    <w:rsid w:val="00AD270D"/>
    <w:rsid w:val="00AD2903"/>
    <w:rsid w:val="00AD2A4E"/>
    <w:rsid w:val="00AD2B36"/>
    <w:rsid w:val="00AD2BE0"/>
    <w:rsid w:val="00AD3AA2"/>
    <w:rsid w:val="00AD3AB1"/>
    <w:rsid w:val="00AD4185"/>
    <w:rsid w:val="00AD4A1C"/>
    <w:rsid w:val="00AD4ECB"/>
    <w:rsid w:val="00AD542A"/>
    <w:rsid w:val="00AD549A"/>
    <w:rsid w:val="00AD566E"/>
    <w:rsid w:val="00AD57D0"/>
    <w:rsid w:val="00AD59AD"/>
    <w:rsid w:val="00AD5A9F"/>
    <w:rsid w:val="00AD5C11"/>
    <w:rsid w:val="00AD64B5"/>
    <w:rsid w:val="00AD6D84"/>
    <w:rsid w:val="00AD6DA0"/>
    <w:rsid w:val="00AD6EB1"/>
    <w:rsid w:val="00AD6F84"/>
    <w:rsid w:val="00AD7060"/>
    <w:rsid w:val="00AD7066"/>
    <w:rsid w:val="00AD74A5"/>
    <w:rsid w:val="00AD7809"/>
    <w:rsid w:val="00AD7C61"/>
    <w:rsid w:val="00AE058C"/>
    <w:rsid w:val="00AE0758"/>
    <w:rsid w:val="00AE07D1"/>
    <w:rsid w:val="00AE083A"/>
    <w:rsid w:val="00AE16AC"/>
    <w:rsid w:val="00AE1858"/>
    <w:rsid w:val="00AE1976"/>
    <w:rsid w:val="00AE1A36"/>
    <w:rsid w:val="00AE1BBA"/>
    <w:rsid w:val="00AE213F"/>
    <w:rsid w:val="00AE237D"/>
    <w:rsid w:val="00AE2407"/>
    <w:rsid w:val="00AE2C7D"/>
    <w:rsid w:val="00AE2F3B"/>
    <w:rsid w:val="00AE386D"/>
    <w:rsid w:val="00AE38A1"/>
    <w:rsid w:val="00AE3C60"/>
    <w:rsid w:val="00AE4426"/>
    <w:rsid w:val="00AE54A6"/>
    <w:rsid w:val="00AE5DB2"/>
    <w:rsid w:val="00AE6051"/>
    <w:rsid w:val="00AE6798"/>
    <w:rsid w:val="00AE72CB"/>
    <w:rsid w:val="00AE7418"/>
    <w:rsid w:val="00AE77D7"/>
    <w:rsid w:val="00AE7A0F"/>
    <w:rsid w:val="00AF02CD"/>
    <w:rsid w:val="00AF11FD"/>
    <w:rsid w:val="00AF1732"/>
    <w:rsid w:val="00AF1996"/>
    <w:rsid w:val="00AF1C10"/>
    <w:rsid w:val="00AF2296"/>
    <w:rsid w:val="00AF22D8"/>
    <w:rsid w:val="00AF2A6A"/>
    <w:rsid w:val="00AF2B61"/>
    <w:rsid w:val="00AF35A0"/>
    <w:rsid w:val="00AF37AB"/>
    <w:rsid w:val="00AF45FF"/>
    <w:rsid w:val="00AF4A0F"/>
    <w:rsid w:val="00AF51DD"/>
    <w:rsid w:val="00AF5B45"/>
    <w:rsid w:val="00AF5D5E"/>
    <w:rsid w:val="00AF5F26"/>
    <w:rsid w:val="00AF600C"/>
    <w:rsid w:val="00AF642B"/>
    <w:rsid w:val="00AF662F"/>
    <w:rsid w:val="00AF7017"/>
    <w:rsid w:val="00AF73B0"/>
    <w:rsid w:val="00AF75D6"/>
    <w:rsid w:val="00AF75D9"/>
    <w:rsid w:val="00AF76E1"/>
    <w:rsid w:val="00AF7C07"/>
    <w:rsid w:val="00AF7FF4"/>
    <w:rsid w:val="00B00BDE"/>
    <w:rsid w:val="00B01717"/>
    <w:rsid w:val="00B0183C"/>
    <w:rsid w:val="00B018A3"/>
    <w:rsid w:val="00B01A0E"/>
    <w:rsid w:val="00B01E84"/>
    <w:rsid w:val="00B025E0"/>
    <w:rsid w:val="00B027A1"/>
    <w:rsid w:val="00B02894"/>
    <w:rsid w:val="00B03639"/>
    <w:rsid w:val="00B0376E"/>
    <w:rsid w:val="00B039A3"/>
    <w:rsid w:val="00B040C0"/>
    <w:rsid w:val="00B04221"/>
    <w:rsid w:val="00B04323"/>
    <w:rsid w:val="00B0450F"/>
    <w:rsid w:val="00B04BC9"/>
    <w:rsid w:val="00B04CCD"/>
    <w:rsid w:val="00B04DC9"/>
    <w:rsid w:val="00B04DD6"/>
    <w:rsid w:val="00B04FA4"/>
    <w:rsid w:val="00B055C8"/>
    <w:rsid w:val="00B0569F"/>
    <w:rsid w:val="00B05D40"/>
    <w:rsid w:val="00B067A0"/>
    <w:rsid w:val="00B07353"/>
    <w:rsid w:val="00B0749D"/>
    <w:rsid w:val="00B07DD0"/>
    <w:rsid w:val="00B10072"/>
    <w:rsid w:val="00B105F5"/>
    <w:rsid w:val="00B10831"/>
    <w:rsid w:val="00B108B4"/>
    <w:rsid w:val="00B10AC8"/>
    <w:rsid w:val="00B10B70"/>
    <w:rsid w:val="00B10EB8"/>
    <w:rsid w:val="00B110EA"/>
    <w:rsid w:val="00B11638"/>
    <w:rsid w:val="00B1170D"/>
    <w:rsid w:val="00B117B7"/>
    <w:rsid w:val="00B119D5"/>
    <w:rsid w:val="00B1209B"/>
    <w:rsid w:val="00B12263"/>
    <w:rsid w:val="00B12451"/>
    <w:rsid w:val="00B12702"/>
    <w:rsid w:val="00B12B97"/>
    <w:rsid w:val="00B13022"/>
    <w:rsid w:val="00B138FD"/>
    <w:rsid w:val="00B13991"/>
    <w:rsid w:val="00B139A9"/>
    <w:rsid w:val="00B13D09"/>
    <w:rsid w:val="00B14231"/>
    <w:rsid w:val="00B1451F"/>
    <w:rsid w:val="00B1489A"/>
    <w:rsid w:val="00B14ECF"/>
    <w:rsid w:val="00B150C6"/>
    <w:rsid w:val="00B15424"/>
    <w:rsid w:val="00B15957"/>
    <w:rsid w:val="00B15AC3"/>
    <w:rsid w:val="00B15B4C"/>
    <w:rsid w:val="00B15DC1"/>
    <w:rsid w:val="00B15DC8"/>
    <w:rsid w:val="00B1621B"/>
    <w:rsid w:val="00B16298"/>
    <w:rsid w:val="00B16E0D"/>
    <w:rsid w:val="00B177BF"/>
    <w:rsid w:val="00B17834"/>
    <w:rsid w:val="00B17A6F"/>
    <w:rsid w:val="00B17C35"/>
    <w:rsid w:val="00B17F8E"/>
    <w:rsid w:val="00B17FAD"/>
    <w:rsid w:val="00B2012D"/>
    <w:rsid w:val="00B204B9"/>
    <w:rsid w:val="00B20DB0"/>
    <w:rsid w:val="00B21253"/>
    <w:rsid w:val="00B215E7"/>
    <w:rsid w:val="00B21D1D"/>
    <w:rsid w:val="00B22043"/>
    <w:rsid w:val="00B22A98"/>
    <w:rsid w:val="00B22F3F"/>
    <w:rsid w:val="00B2358E"/>
    <w:rsid w:val="00B23816"/>
    <w:rsid w:val="00B23A4C"/>
    <w:rsid w:val="00B23B05"/>
    <w:rsid w:val="00B23C01"/>
    <w:rsid w:val="00B2437C"/>
    <w:rsid w:val="00B24C5F"/>
    <w:rsid w:val="00B24D71"/>
    <w:rsid w:val="00B24FE8"/>
    <w:rsid w:val="00B257F0"/>
    <w:rsid w:val="00B2586E"/>
    <w:rsid w:val="00B25B60"/>
    <w:rsid w:val="00B25E73"/>
    <w:rsid w:val="00B26184"/>
    <w:rsid w:val="00B2662A"/>
    <w:rsid w:val="00B26BD7"/>
    <w:rsid w:val="00B26CD6"/>
    <w:rsid w:val="00B27262"/>
    <w:rsid w:val="00B277B2"/>
    <w:rsid w:val="00B278BE"/>
    <w:rsid w:val="00B302F3"/>
    <w:rsid w:val="00B304FD"/>
    <w:rsid w:val="00B307E7"/>
    <w:rsid w:val="00B30844"/>
    <w:rsid w:val="00B30AFB"/>
    <w:rsid w:val="00B30D2D"/>
    <w:rsid w:val="00B31BEA"/>
    <w:rsid w:val="00B32892"/>
    <w:rsid w:val="00B32B1C"/>
    <w:rsid w:val="00B3342D"/>
    <w:rsid w:val="00B3349D"/>
    <w:rsid w:val="00B33959"/>
    <w:rsid w:val="00B33970"/>
    <w:rsid w:val="00B33DDD"/>
    <w:rsid w:val="00B340CF"/>
    <w:rsid w:val="00B341CE"/>
    <w:rsid w:val="00B3420C"/>
    <w:rsid w:val="00B348A8"/>
    <w:rsid w:val="00B34D0B"/>
    <w:rsid w:val="00B34D17"/>
    <w:rsid w:val="00B34E13"/>
    <w:rsid w:val="00B34EEC"/>
    <w:rsid w:val="00B354DF"/>
    <w:rsid w:val="00B3553C"/>
    <w:rsid w:val="00B35622"/>
    <w:rsid w:val="00B35DD5"/>
    <w:rsid w:val="00B3677C"/>
    <w:rsid w:val="00B3742E"/>
    <w:rsid w:val="00B405B7"/>
    <w:rsid w:val="00B405DC"/>
    <w:rsid w:val="00B40648"/>
    <w:rsid w:val="00B41158"/>
    <w:rsid w:val="00B4128A"/>
    <w:rsid w:val="00B41434"/>
    <w:rsid w:val="00B4152E"/>
    <w:rsid w:val="00B41B63"/>
    <w:rsid w:val="00B41BF6"/>
    <w:rsid w:val="00B41CAE"/>
    <w:rsid w:val="00B41E5B"/>
    <w:rsid w:val="00B41F50"/>
    <w:rsid w:val="00B41FF5"/>
    <w:rsid w:val="00B4243D"/>
    <w:rsid w:val="00B425B5"/>
    <w:rsid w:val="00B429D7"/>
    <w:rsid w:val="00B42BF1"/>
    <w:rsid w:val="00B437E3"/>
    <w:rsid w:val="00B43C41"/>
    <w:rsid w:val="00B43C9C"/>
    <w:rsid w:val="00B4422E"/>
    <w:rsid w:val="00B445CB"/>
    <w:rsid w:val="00B44754"/>
    <w:rsid w:val="00B44AE7"/>
    <w:rsid w:val="00B44B82"/>
    <w:rsid w:val="00B45192"/>
    <w:rsid w:val="00B453DE"/>
    <w:rsid w:val="00B45423"/>
    <w:rsid w:val="00B456CC"/>
    <w:rsid w:val="00B45954"/>
    <w:rsid w:val="00B45FF1"/>
    <w:rsid w:val="00B460B8"/>
    <w:rsid w:val="00B462FC"/>
    <w:rsid w:val="00B4670D"/>
    <w:rsid w:val="00B46BA1"/>
    <w:rsid w:val="00B46EC0"/>
    <w:rsid w:val="00B472C4"/>
    <w:rsid w:val="00B4799F"/>
    <w:rsid w:val="00B5000E"/>
    <w:rsid w:val="00B50A34"/>
    <w:rsid w:val="00B50C0A"/>
    <w:rsid w:val="00B50EB3"/>
    <w:rsid w:val="00B50FC4"/>
    <w:rsid w:val="00B51151"/>
    <w:rsid w:val="00B516CF"/>
    <w:rsid w:val="00B519CC"/>
    <w:rsid w:val="00B51D7F"/>
    <w:rsid w:val="00B52513"/>
    <w:rsid w:val="00B52DF6"/>
    <w:rsid w:val="00B53346"/>
    <w:rsid w:val="00B536FF"/>
    <w:rsid w:val="00B537BC"/>
    <w:rsid w:val="00B53A15"/>
    <w:rsid w:val="00B53D37"/>
    <w:rsid w:val="00B541D0"/>
    <w:rsid w:val="00B54229"/>
    <w:rsid w:val="00B5452B"/>
    <w:rsid w:val="00B54D95"/>
    <w:rsid w:val="00B5524B"/>
    <w:rsid w:val="00B5524E"/>
    <w:rsid w:val="00B56197"/>
    <w:rsid w:val="00B56AE0"/>
    <w:rsid w:val="00B56E9E"/>
    <w:rsid w:val="00B577B8"/>
    <w:rsid w:val="00B578B6"/>
    <w:rsid w:val="00B60533"/>
    <w:rsid w:val="00B60AB8"/>
    <w:rsid w:val="00B60B42"/>
    <w:rsid w:val="00B6114D"/>
    <w:rsid w:val="00B611E0"/>
    <w:rsid w:val="00B61456"/>
    <w:rsid w:val="00B619C1"/>
    <w:rsid w:val="00B62237"/>
    <w:rsid w:val="00B626A0"/>
    <w:rsid w:val="00B62A4F"/>
    <w:rsid w:val="00B62C3C"/>
    <w:rsid w:val="00B6303A"/>
    <w:rsid w:val="00B63359"/>
    <w:rsid w:val="00B63636"/>
    <w:rsid w:val="00B636C1"/>
    <w:rsid w:val="00B638D4"/>
    <w:rsid w:val="00B63917"/>
    <w:rsid w:val="00B63BD6"/>
    <w:rsid w:val="00B64286"/>
    <w:rsid w:val="00B642EE"/>
    <w:rsid w:val="00B6431D"/>
    <w:rsid w:val="00B643D8"/>
    <w:rsid w:val="00B64960"/>
    <w:rsid w:val="00B649DB"/>
    <w:rsid w:val="00B64B9A"/>
    <w:rsid w:val="00B65639"/>
    <w:rsid w:val="00B658BF"/>
    <w:rsid w:val="00B65A16"/>
    <w:rsid w:val="00B65EBC"/>
    <w:rsid w:val="00B660C7"/>
    <w:rsid w:val="00B668D2"/>
    <w:rsid w:val="00B66901"/>
    <w:rsid w:val="00B66A3A"/>
    <w:rsid w:val="00B66B04"/>
    <w:rsid w:val="00B66E88"/>
    <w:rsid w:val="00B66F20"/>
    <w:rsid w:val="00B66F23"/>
    <w:rsid w:val="00B671C7"/>
    <w:rsid w:val="00B67730"/>
    <w:rsid w:val="00B6793E"/>
    <w:rsid w:val="00B67B92"/>
    <w:rsid w:val="00B67E31"/>
    <w:rsid w:val="00B70177"/>
    <w:rsid w:val="00B702CD"/>
    <w:rsid w:val="00B7033F"/>
    <w:rsid w:val="00B706C9"/>
    <w:rsid w:val="00B71043"/>
    <w:rsid w:val="00B716F2"/>
    <w:rsid w:val="00B71A35"/>
    <w:rsid w:val="00B71BB3"/>
    <w:rsid w:val="00B71CE7"/>
    <w:rsid w:val="00B71E6D"/>
    <w:rsid w:val="00B71EE7"/>
    <w:rsid w:val="00B71FB5"/>
    <w:rsid w:val="00B72070"/>
    <w:rsid w:val="00B722C8"/>
    <w:rsid w:val="00B73792"/>
    <w:rsid w:val="00B73934"/>
    <w:rsid w:val="00B739F4"/>
    <w:rsid w:val="00B73B01"/>
    <w:rsid w:val="00B73C12"/>
    <w:rsid w:val="00B74535"/>
    <w:rsid w:val="00B746B9"/>
    <w:rsid w:val="00B74944"/>
    <w:rsid w:val="00B74A71"/>
    <w:rsid w:val="00B74ED8"/>
    <w:rsid w:val="00B75033"/>
    <w:rsid w:val="00B75470"/>
    <w:rsid w:val="00B75C8F"/>
    <w:rsid w:val="00B7616F"/>
    <w:rsid w:val="00B7670B"/>
    <w:rsid w:val="00B76B2B"/>
    <w:rsid w:val="00B7769B"/>
    <w:rsid w:val="00B7778D"/>
    <w:rsid w:val="00B779E1"/>
    <w:rsid w:val="00B77E1A"/>
    <w:rsid w:val="00B80136"/>
    <w:rsid w:val="00B80567"/>
    <w:rsid w:val="00B808D5"/>
    <w:rsid w:val="00B80BE0"/>
    <w:rsid w:val="00B81496"/>
    <w:rsid w:val="00B82EA0"/>
    <w:rsid w:val="00B83B5A"/>
    <w:rsid w:val="00B83EE6"/>
    <w:rsid w:val="00B83FC8"/>
    <w:rsid w:val="00B84096"/>
    <w:rsid w:val="00B841E3"/>
    <w:rsid w:val="00B8452A"/>
    <w:rsid w:val="00B845F2"/>
    <w:rsid w:val="00B84B5E"/>
    <w:rsid w:val="00B85730"/>
    <w:rsid w:val="00B8598E"/>
    <w:rsid w:val="00B85C6A"/>
    <w:rsid w:val="00B85D7D"/>
    <w:rsid w:val="00B86806"/>
    <w:rsid w:val="00B86965"/>
    <w:rsid w:val="00B86B2A"/>
    <w:rsid w:val="00B87360"/>
    <w:rsid w:val="00B87F20"/>
    <w:rsid w:val="00B902D2"/>
    <w:rsid w:val="00B902DF"/>
    <w:rsid w:val="00B907DD"/>
    <w:rsid w:val="00B910A1"/>
    <w:rsid w:val="00B91169"/>
    <w:rsid w:val="00B9199B"/>
    <w:rsid w:val="00B91AD1"/>
    <w:rsid w:val="00B91B44"/>
    <w:rsid w:val="00B91BC3"/>
    <w:rsid w:val="00B91E62"/>
    <w:rsid w:val="00B921FB"/>
    <w:rsid w:val="00B92365"/>
    <w:rsid w:val="00B92AAA"/>
    <w:rsid w:val="00B92C2A"/>
    <w:rsid w:val="00B92C9D"/>
    <w:rsid w:val="00B92E3A"/>
    <w:rsid w:val="00B93238"/>
    <w:rsid w:val="00B93406"/>
    <w:rsid w:val="00B9376F"/>
    <w:rsid w:val="00B9398D"/>
    <w:rsid w:val="00B93DD8"/>
    <w:rsid w:val="00B93FC8"/>
    <w:rsid w:val="00B940C6"/>
    <w:rsid w:val="00B946B5"/>
    <w:rsid w:val="00B94B93"/>
    <w:rsid w:val="00B94C1C"/>
    <w:rsid w:val="00B94CAC"/>
    <w:rsid w:val="00B94CD7"/>
    <w:rsid w:val="00B952DA"/>
    <w:rsid w:val="00B95468"/>
    <w:rsid w:val="00B958ED"/>
    <w:rsid w:val="00B958F1"/>
    <w:rsid w:val="00B95A96"/>
    <w:rsid w:val="00B95B6F"/>
    <w:rsid w:val="00B960D6"/>
    <w:rsid w:val="00B963D5"/>
    <w:rsid w:val="00B96657"/>
    <w:rsid w:val="00B966E2"/>
    <w:rsid w:val="00B9674C"/>
    <w:rsid w:val="00B96D69"/>
    <w:rsid w:val="00B96D97"/>
    <w:rsid w:val="00B970F8"/>
    <w:rsid w:val="00B973A4"/>
    <w:rsid w:val="00B974C7"/>
    <w:rsid w:val="00B974E7"/>
    <w:rsid w:val="00B97777"/>
    <w:rsid w:val="00B97E61"/>
    <w:rsid w:val="00BA0370"/>
    <w:rsid w:val="00BA0414"/>
    <w:rsid w:val="00BA0436"/>
    <w:rsid w:val="00BA117B"/>
    <w:rsid w:val="00BA1428"/>
    <w:rsid w:val="00BA16D6"/>
    <w:rsid w:val="00BA1781"/>
    <w:rsid w:val="00BA192D"/>
    <w:rsid w:val="00BA1999"/>
    <w:rsid w:val="00BA1A67"/>
    <w:rsid w:val="00BA265C"/>
    <w:rsid w:val="00BA3242"/>
    <w:rsid w:val="00BA36E2"/>
    <w:rsid w:val="00BA381A"/>
    <w:rsid w:val="00BA3880"/>
    <w:rsid w:val="00BA3D2E"/>
    <w:rsid w:val="00BA4299"/>
    <w:rsid w:val="00BA4A13"/>
    <w:rsid w:val="00BA509D"/>
    <w:rsid w:val="00BA5513"/>
    <w:rsid w:val="00BA56B3"/>
    <w:rsid w:val="00BA588E"/>
    <w:rsid w:val="00BA5BDA"/>
    <w:rsid w:val="00BA5EB9"/>
    <w:rsid w:val="00BA61CB"/>
    <w:rsid w:val="00BA65B7"/>
    <w:rsid w:val="00BA66DA"/>
    <w:rsid w:val="00BA6E63"/>
    <w:rsid w:val="00BA781B"/>
    <w:rsid w:val="00BB00C9"/>
    <w:rsid w:val="00BB013C"/>
    <w:rsid w:val="00BB0248"/>
    <w:rsid w:val="00BB06B0"/>
    <w:rsid w:val="00BB0705"/>
    <w:rsid w:val="00BB0A4A"/>
    <w:rsid w:val="00BB0E4B"/>
    <w:rsid w:val="00BB16C3"/>
    <w:rsid w:val="00BB1731"/>
    <w:rsid w:val="00BB1BA4"/>
    <w:rsid w:val="00BB1C6E"/>
    <w:rsid w:val="00BB1FAC"/>
    <w:rsid w:val="00BB232C"/>
    <w:rsid w:val="00BB2381"/>
    <w:rsid w:val="00BB240A"/>
    <w:rsid w:val="00BB2415"/>
    <w:rsid w:val="00BB2471"/>
    <w:rsid w:val="00BB3262"/>
    <w:rsid w:val="00BB35DC"/>
    <w:rsid w:val="00BB3948"/>
    <w:rsid w:val="00BB3E60"/>
    <w:rsid w:val="00BB4072"/>
    <w:rsid w:val="00BB48FF"/>
    <w:rsid w:val="00BB4A7A"/>
    <w:rsid w:val="00BB4D3E"/>
    <w:rsid w:val="00BB581C"/>
    <w:rsid w:val="00BB5A74"/>
    <w:rsid w:val="00BB5DCF"/>
    <w:rsid w:val="00BB602D"/>
    <w:rsid w:val="00BB6084"/>
    <w:rsid w:val="00BB6BAD"/>
    <w:rsid w:val="00BB6E2C"/>
    <w:rsid w:val="00BB6E94"/>
    <w:rsid w:val="00BB7677"/>
    <w:rsid w:val="00BB792B"/>
    <w:rsid w:val="00BB7F6F"/>
    <w:rsid w:val="00BC01CD"/>
    <w:rsid w:val="00BC0802"/>
    <w:rsid w:val="00BC0804"/>
    <w:rsid w:val="00BC09B0"/>
    <w:rsid w:val="00BC0B82"/>
    <w:rsid w:val="00BC1C84"/>
    <w:rsid w:val="00BC217D"/>
    <w:rsid w:val="00BC2228"/>
    <w:rsid w:val="00BC236E"/>
    <w:rsid w:val="00BC2466"/>
    <w:rsid w:val="00BC268E"/>
    <w:rsid w:val="00BC2C70"/>
    <w:rsid w:val="00BC2E8A"/>
    <w:rsid w:val="00BC33B6"/>
    <w:rsid w:val="00BC37C0"/>
    <w:rsid w:val="00BC4124"/>
    <w:rsid w:val="00BC448B"/>
    <w:rsid w:val="00BC45B5"/>
    <w:rsid w:val="00BC5139"/>
    <w:rsid w:val="00BC5952"/>
    <w:rsid w:val="00BC5D47"/>
    <w:rsid w:val="00BC657B"/>
    <w:rsid w:val="00BC6A71"/>
    <w:rsid w:val="00BC6EE6"/>
    <w:rsid w:val="00BC7B40"/>
    <w:rsid w:val="00BC7F27"/>
    <w:rsid w:val="00BD0868"/>
    <w:rsid w:val="00BD08E7"/>
    <w:rsid w:val="00BD0E62"/>
    <w:rsid w:val="00BD19BF"/>
    <w:rsid w:val="00BD2068"/>
    <w:rsid w:val="00BD2378"/>
    <w:rsid w:val="00BD246B"/>
    <w:rsid w:val="00BD3A48"/>
    <w:rsid w:val="00BD3E60"/>
    <w:rsid w:val="00BD4186"/>
    <w:rsid w:val="00BD48B2"/>
    <w:rsid w:val="00BD490F"/>
    <w:rsid w:val="00BD4DA4"/>
    <w:rsid w:val="00BD4FCC"/>
    <w:rsid w:val="00BD50A4"/>
    <w:rsid w:val="00BD5137"/>
    <w:rsid w:val="00BD5242"/>
    <w:rsid w:val="00BD5518"/>
    <w:rsid w:val="00BD5B07"/>
    <w:rsid w:val="00BD5E1A"/>
    <w:rsid w:val="00BD6296"/>
    <w:rsid w:val="00BD631A"/>
    <w:rsid w:val="00BD65DC"/>
    <w:rsid w:val="00BD677A"/>
    <w:rsid w:val="00BD68D2"/>
    <w:rsid w:val="00BD6C88"/>
    <w:rsid w:val="00BD703C"/>
    <w:rsid w:val="00BE0316"/>
    <w:rsid w:val="00BE05C6"/>
    <w:rsid w:val="00BE0F36"/>
    <w:rsid w:val="00BE155E"/>
    <w:rsid w:val="00BE1894"/>
    <w:rsid w:val="00BE1ACC"/>
    <w:rsid w:val="00BE1D04"/>
    <w:rsid w:val="00BE1EBE"/>
    <w:rsid w:val="00BE1FD2"/>
    <w:rsid w:val="00BE2475"/>
    <w:rsid w:val="00BE2667"/>
    <w:rsid w:val="00BE2D19"/>
    <w:rsid w:val="00BE31BA"/>
    <w:rsid w:val="00BE33E0"/>
    <w:rsid w:val="00BE3B67"/>
    <w:rsid w:val="00BE3BD3"/>
    <w:rsid w:val="00BE3C66"/>
    <w:rsid w:val="00BE3EF7"/>
    <w:rsid w:val="00BE4433"/>
    <w:rsid w:val="00BE473B"/>
    <w:rsid w:val="00BE4A45"/>
    <w:rsid w:val="00BE4AB6"/>
    <w:rsid w:val="00BE4B78"/>
    <w:rsid w:val="00BE500C"/>
    <w:rsid w:val="00BE5BA8"/>
    <w:rsid w:val="00BE666A"/>
    <w:rsid w:val="00BE68A0"/>
    <w:rsid w:val="00BE69C7"/>
    <w:rsid w:val="00BE6AAC"/>
    <w:rsid w:val="00BE708D"/>
    <w:rsid w:val="00BF005B"/>
    <w:rsid w:val="00BF04AE"/>
    <w:rsid w:val="00BF0B0E"/>
    <w:rsid w:val="00BF0DD7"/>
    <w:rsid w:val="00BF1138"/>
    <w:rsid w:val="00BF179A"/>
    <w:rsid w:val="00BF17FD"/>
    <w:rsid w:val="00BF1C78"/>
    <w:rsid w:val="00BF1E09"/>
    <w:rsid w:val="00BF2249"/>
    <w:rsid w:val="00BF24B0"/>
    <w:rsid w:val="00BF2F94"/>
    <w:rsid w:val="00BF306B"/>
    <w:rsid w:val="00BF3F63"/>
    <w:rsid w:val="00BF4785"/>
    <w:rsid w:val="00BF52D0"/>
    <w:rsid w:val="00BF5375"/>
    <w:rsid w:val="00BF5462"/>
    <w:rsid w:val="00BF5478"/>
    <w:rsid w:val="00BF57A6"/>
    <w:rsid w:val="00BF6025"/>
    <w:rsid w:val="00BF6272"/>
    <w:rsid w:val="00BF6661"/>
    <w:rsid w:val="00BF6691"/>
    <w:rsid w:val="00BF6EA0"/>
    <w:rsid w:val="00BF7530"/>
    <w:rsid w:val="00BF761B"/>
    <w:rsid w:val="00BF77C0"/>
    <w:rsid w:val="00BF77C3"/>
    <w:rsid w:val="00BF7C8C"/>
    <w:rsid w:val="00BF7D2E"/>
    <w:rsid w:val="00C003F8"/>
    <w:rsid w:val="00C004AF"/>
    <w:rsid w:val="00C0050B"/>
    <w:rsid w:val="00C00A86"/>
    <w:rsid w:val="00C00B11"/>
    <w:rsid w:val="00C00B26"/>
    <w:rsid w:val="00C01282"/>
    <w:rsid w:val="00C01CDA"/>
    <w:rsid w:val="00C01D1E"/>
    <w:rsid w:val="00C021DC"/>
    <w:rsid w:val="00C0302E"/>
    <w:rsid w:val="00C030B8"/>
    <w:rsid w:val="00C034AA"/>
    <w:rsid w:val="00C034D4"/>
    <w:rsid w:val="00C037D6"/>
    <w:rsid w:val="00C045B5"/>
    <w:rsid w:val="00C0482F"/>
    <w:rsid w:val="00C049AA"/>
    <w:rsid w:val="00C04B2A"/>
    <w:rsid w:val="00C04B5C"/>
    <w:rsid w:val="00C04ED4"/>
    <w:rsid w:val="00C0515A"/>
    <w:rsid w:val="00C051B7"/>
    <w:rsid w:val="00C05E55"/>
    <w:rsid w:val="00C05F4B"/>
    <w:rsid w:val="00C06113"/>
    <w:rsid w:val="00C0616A"/>
    <w:rsid w:val="00C0662B"/>
    <w:rsid w:val="00C06B8A"/>
    <w:rsid w:val="00C06CB8"/>
    <w:rsid w:val="00C06D7F"/>
    <w:rsid w:val="00C070D2"/>
    <w:rsid w:val="00C076FF"/>
    <w:rsid w:val="00C07DB3"/>
    <w:rsid w:val="00C07E9B"/>
    <w:rsid w:val="00C101E5"/>
    <w:rsid w:val="00C104B2"/>
    <w:rsid w:val="00C10619"/>
    <w:rsid w:val="00C10852"/>
    <w:rsid w:val="00C1086F"/>
    <w:rsid w:val="00C11367"/>
    <w:rsid w:val="00C11507"/>
    <w:rsid w:val="00C11938"/>
    <w:rsid w:val="00C123A8"/>
    <w:rsid w:val="00C124B1"/>
    <w:rsid w:val="00C12686"/>
    <w:rsid w:val="00C12FCE"/>
    <w:rsid w:val="00C139A1"/>
    <w:rsid w:val="00C1423A"/>
    <w:rsid w:val="00C14382"/>
    <w:rsid w:val="00C1450A"/>
    <w:rsid w:val="00C145A1"/>
    <w:rsid w:val="00C14D0B"/>
    <w:rsid w:val="00C14F9A"/>
    <w:rsid w:val="00C15191"/>
    <w:rsid w:val="00C151FB"/>
    <w:rsid w:val="00C1550E"/>
    <w:rsid w:val="00C1588B"/>
    <w:rsid w:val="00C161BA"/>
    <w:rsid w:val="00C16549"/>
    <w:rsid w:val="00C174A7"/>
    <w:rsid w:val="00C17B98"/>
    <w:rsid w:val="00C17BDC"/>
    <w:rsid w:val="00C20280"/>
    <w:rsid w:val="00C20356"/>
    <w:rsid w:val="00C20361"/>
    <w:rsid w:val="00C20434"/>
    <w:rsid w:val="00C20C83"/>
    <w:rsid w:val="00C2156D"/>
    <w:rsid w:val="00C21C3F"/>
    <w:rsid w:val="00C22A21"/>
    <w:rsid w:val="00C22AAB"/>
    <w:rsid w:val="00C22AF0"/>
    <w:rsid w:val="00C22C5F"/>
    <w:rsid w:val="00C22C7F"/>
    <w:rsid w:val="00C23062"/>
    <w:rsid w:val="00C230E0"/>
    <w:rsid w:val="00C24378"/>
    <w:rsid w:val="00C24395"/>
    <w:rsid w:val="00C245E7"/>
    <w:rsid w:val="00C24A3A"/>
    <w:rsid w:val="00C24E20"/>
    <w:rsid w:val="00C2509D"/>
    <w:rsid w:val="00C251D7"/>
    <w:rsid w:val="00C252F9"/>
    <w:rsid w:val="00C254E1"/>
    <w:rsid w:val="00C255E1"/>
    <w:rsid w:val="00C259C8"/>
    <w:rsid w:val="00C263CE"/>
    <w:rsid w:val="00C26551"/>
    <w:rsid w:val="00C26590"/>
    <w:rsid w:val="00C265FA"/>
    <w:rsid w:val="00C268AF"/>
    <w:rsid w:val="00C272DE"/>
    <w:rsid w:val="00C27339"/>
    <w:rsid w:val="00C276E5"/>
    <w:rsid w:val="00C27887"/>
    <w:rsid w:val="00C305DF"/>
    <w:rsid w:val="00C3064B"/>
    <w:rsid w:val="00C3064F"/>
    <w:rsid w:val="00C30C63"/>
    <w:rsid w:val="00C311F5"/>
    <w:rsid w:val="00C31201"/>
    <w:rsid w:val="00C31284"/>
    <w:rsid w:val="00C3133A"/>
    <w:rsid w:val="00C318A3"/>
    <w:rsid w:val="00C318E9"/>
    <w:rsid w:val="00C31A00"/>
    <w:rsid w:val="00C32046"/>
    <w:rsid w:val="00C321C5"/>
    <w:rsid w:val="00C32415"/>
    <w:rsid w:val="00C32582"/>
    <w:rsid w:val="00C32A0C"/>
    <w:rsid w:val="00C33262"/>
    <w:rsid w:val="00C33453"/>
    <w:rsid w:val="00C335AC"/>
    <w:rsid w:val="00C337B5"/>
    <w:rsid w:val="00C33A21"/>
    <w:rsid w:val="00C33EBE"/>
    <w:rsid w:val="00C340D3"/>
    <w:rsid w:val="00C34465"/>
    <w:rsid w:val="00C34FB8"/>
    <w:rsid w:val="00C353A4"/>
    <w:rsid w:val="00C3541A"/>
    <w:rsid w:val="00C3548B"/>
    <w:rsid w:val="00C354BF"/>
    <w:rsid w:val="00C35F09"/>
    <w:rsid w:val="00C362DE"/>
    <w:rsid w:val="00C36350"/>
    <w:rsid w:val="00C36595"/>
    <w:rsid w:val="00C368A1"/>
    <w:rsid w:val="00C36B69"/>
    <w:rsid w:val="00C36D34"/>
    <w:rsid w:val="00C36D43"/>
    <w:rsid w:val="00C3702B"/>
    <w:rsid w:val="00C37197"/>
    <w:rsid w:val="00C371CA"/>
    <w:rsid w:val="00C371D4"/>
    <w:rsid w:val="00C40861"/>
    <w:rsid w:val="00C40C92"/>
    <w:rsid w:val="00C40DC9"/>
    <w:rsid w:val="00C41127"/>
    <w:rsid w:val="00C41449"/>
    <w:rsid w:val="00C4147B"/>
    <w:rsid w:val="00C416F1"/>
    <w:rsid w:val="00C416FC"/>
    <w:rsid w:val="00C41A17"/>
    <w:rsid w:val="00C41CFF"/>
    <w:rsid w:val="00C41F4E"/>
    <w:rsid w:val="00C4205D"/>
    <w:rsid w:val="00C422BD"/>
    <w:rsid w:val="00C4234D"/>
    <w:rsid w:val="00C42B43"/>
    <w:rsid w:val="00C42C69"/>
    <w:rsid w:val="00C42FAE"/>
    <w:rsid w:val="00C43351"/>
    <w:rsid w:val="00C43E7C"/>
    <w:rsid w:val="00C43EC7"/>
    <w:rsid w:val="00C4429D"/>
    <w:rsid w:val="00C444E5"/>
    <w:rsid w:val="00C446F8"/>
    <w:rsid w:val="00C450AE"/>
    <w:rsid w:val="00C454C1"/>
    <w:rsid w:val="00C45D7D"/>
    <w:rsid w:val="00C45FC6"/>
    <w:rsid w:val="00C464F9"/>
    <w:rsid w:val="00C469DF"/>
    <w:rsid w:val="00C47417"/>
    <w:rsid w:val="00C4742B"/>
    <w:rsid w:val="00C4757F"/>
    <w:rsid w:val="00C47BF7"/>
    <w:rsid w:val="00C47D5E"/>
    <w:rsid w:val="00C50576"/>
    <w:rsid w:val="00C50A05"/>
    <w:rsid w:val="00C50C03"/>
    <w:rsid w:val="00C510DE"/>
    <w:rsid w:val="00C51267"/>
    <w:rsid w:val="00C51EB1"/>
    <w:rsid w:val="00C5223E"/>
    <w:rsid w:val="00C52448"/>
    <w:rsid w:val="00C528CB"/>
    <w:rsid w:val="00C52978"/>
    <w:rsid w:val="00C52C56"/>
    <w:rsid w:val="00C53205"/>
    <w:rsid w:val="00C536C2"/>
    <w:rsid w:val="00C53903"/>
    <w:rsid w:val="00C54669"/>
    <w:rsid w:val="00C54A9E"/>
    <w:rsid w:val="00C54E03"/>
    <w:rsid w:val="00C54E85"/>
    <w:rsid w:val="00C55024"/>
    <w:rsid w:val="00C55055"/>
    <w:rsid w:val="00C558DA"/>
    <w:rsid w:val="00C560A2"/>
    <w:rsid w:val="00C56EE0"/>
    <w:rsid w:val="00C57C5E"/>
    <w:rsid w:val="00C6067E"/>
    <w:rsid w:val="00C6097F"/>
    <w:rsid w:val="00C61068"/>
    <w:rsid w:val="00C612C7"/>
    <w:rsid w:val="00C6168D"/>
    <w:rsid w:val="00C61D2A"/>
    <w:rsid w:val="00C62031"/>
    <w:rsid w:val="00C624F6"/>
    <w:rsid w:val="00C625F8"/>
    <w:rsid w:val="00C6340A"/>
    <w:rsid w:val="00C63772"/>
    <w:rsid w:val="00C63B54"/>
    <w:rsid w:val="00C64034"/>
    <w:rsid w:val="00C64798"/>
    <w:rsid w:val="00C647FD"/>
    <w:rsid w:val="00C64E4D"/>
    <w:rsid w:val="00C6586D"/>
    <w:rsid w:val="00C66B54"/>
    <w:rsid w:val="00C67007"/>
    <w:rsid w:val="00C701E9"/>
    <w:rsid w:val="00C70282"/>
    <w:rsid w:val="00C70586"/>
    <w:rsid w:val="00C709B0"/>
    <w:rsid w:val="00C70BC9"/>
    <w:rsid w:val="00C70C71"/>
    <w:rsid w:val="00C70EBB"/>
    <w:rsid w:val="00C7133B"/>
    <w:rsid w:val="00C7183C"/>
    <w:rsid w:val="00C71892"/>
    <w:rsid w:val="00C71B55"/>
    <w:rsid w:val="00C71D54"/>
    <w:rsid w:val="00C72900"/>
    <w:rsid w:val="00C73378"/>
    <w:rsid w:val="00C73440"/>
    <w:rsid w:val="00C73982"/>
    <w:rsid w:val="00C73C6C"/>
    <w:rsid w:val="00C73F66"/>
    <w:rsid w:val="00C74C34"/>
    <w:rsid w:val="00C753D1"/>
    <w:rsid w:val="00C75C99"/>
    <w:rsid w:val="00C75D7A"/>
    <w:rsid w:val="00C76C84"/>
    <w:rsid w:val="00C76D3E"/>
    <w:rsid w:val="00C770D2"/>
    <w:rsid w:val="00C77650"/>
    <w:rsid w:val="00C77822"/>
    <w:rsid w:val="00C8047E"/>
    <w:rsid w:val="00C8052D"/>
    <w:rsid w:val="00C80BF7"/>
    <w:rsid w:val="00C81319"/>
    <w:rsid w:val="00C813DF"/>
    <w:rsid w:val="00C81FA7"/>
    <w:rsid w:val="00C824C7"/>
    <w:rsid w:val="00C8250C"/>
    <w:rsid w:val="00C825F8"/>
    <w:rsid w:val="00C82F9B"/>
    <w:rsid w:val="00C830A8"/>
    <w:rsid w:val="00C832F2"/>
    <w:rsid w:val="00C83897"/>
    <w:rsid w:val="00C838DF"/>
    <w:rsid w:val="00C839F5"/>
    <w:rsid w:val="00C83A03"/>
    <w:rsid w:val="00C83C21"/>
    <w:rsid w:val="00C83D81"/>
    <w:rsid w:val="00C84552"/>
    <w:rsid w:val="00C84759"/>
    <w:rsid w:val="00C84DB5"/>
    <w:rsid w:val="00C84F29"/>
    <w:rsid w:val="00C851F4"/>
    <w:rsid w:val="00C85686"/>
    <w:rsid w:val="00C85D03"/>
    <w:rsid w:val="00C86918"/>
    <w:rsid w:val="00C86E72"/>
    <w:rsid w:val="00C86EC5"/>
    <w:rsid w:val="00C87149"/>
    <w:rsid w:val="00C872E8"/>
    <w:rsid w:val="00C90DC6"/>
    <w:rsid w:val="00C9146F"/>
    <w:rsid w:val="00C925C2"/>
    <w:rsid w:val="00C92B88"/>
    <w:rsid w:val="00C92CFA"/>
    <w:rsid w:val="00C93627"/>
    <w:rsid w:val="00C93C8A"/>
    <w:rsid w:val="00C940AC"/>
    <w:rsid w:val="00C940AE"/>
    <w:rsid w:val="00C946B5"/>
    <w:rsid w:val="00C94746"/>
    <w:rsid w:val="00C94BD4"/>
    <w:rsid w:val="00C94C9C"/>
    <w:rsid w:val="00C94D04"/>
    <w:rsid w:val="00C94E43"/>
    <w:rsid w:val="00C95121"/>
    <w:rsid w:val="00C9518F"/>
    <w:rsid w:val="00C95443"/>
    <w:rsid w:val="00C95A4A"/>
    <w:rsid w:val="00C95D28"/>
    <w:rsid w:val="00C95FC1"/>
    <w:rsid w:val="00C97D43"/>
    <w:rsid w:val="00CA02EB"/>
    <w:rsid w:val="00CA0370"/>
    <w:rsid w:val="00CA05B3"/>
    <w:rsid w:val="00CA067B"/>
    <w:rsid w:val="00CA0830"/>
    <w:rsid w:val="00CA0D0A"/>
    <w:rsid w:val="00CA115E"/>
    <w:rsid w:val="00CA1DF8"/>
    <w:rsid w:val="00CA20AF"/>
    <w:rsid w:val="00CA244A"/>
    <w:rsid w:val="00CA256F"/>
    <w:rsid w:val="00CA2612"/>
    <w:rsid w:val="00CA2C5E"/>
    <w:rsid w:val="00CA2D76"/>
    <w:rsid w:val="00CA2F36"/>
    <w:rsid w:val="00CA2FCC"/>
    <w:rsid w:val="00CA354E"/>
    <w:rsid w:val="00CA4D6F"/>
    <w:rsid w:val="00CA5114"/>
    <w:rsid w:val="00CA5F32"/>
    <w:rsid w:val="00CA63B2"/>
    <w:rsid w:val="00CA65EC"/>
    <w:rsid w:val="00CA67AF"/>
    <w:rsid w:val="00CA6856"/>
    <w:rsid w:val="00CA6914"/>
    <w:rsid w:val="00CA6C7F"/>
    <w:rsid w:val="00CA7239"/>
    <w:rsid w:val="00CA7EAA"/>
    <w:rsid w:val="00CA7F4B"/>
    <w:rsid w:val="00CA7FDA"/>
    <w:rsid w:val="00CB0070"/>
    <w:rsid w:val="00CB030E"/>
    <w:rsid w:val="00CB0332"/>
    <w:rsid w:val="00CB06F2"/>
    <w:rsid w:val="00CB07E8"/>
    <w:rsid w:val="00CB0912"/>
    <w:rsid w:val="00CB0CBB"/>
    <w:rsid w:val="00CB1288"/>
    <w:rsid w:val="00CB1345"/>
    <w:rsid w:val="00CB1ADA"/>
    <w:rsid w:val="00CB1FC6"/>
    <w:rsid w:val="00CB2662"/>
    <w:rsid w:val="00CB2A01"/>
    <w:rsid w:val="00CB2CE7"/>
    <w:rsid w:val="00CB32DB"/>
    <w:rsid w:val="00CB3862"/>
    <w:rsid w:val="00CB3E1E"/>
    <w:rsid w:val="00CB40DE"/>
    <w:rsid w:val="00CB41CB"/>
    <w:rsid w:val="00CB424D"/>
    <w:rsid w:val="00CB4606"/>
    <w:rsid w:val="00CB4C88"/>
    <w:rsid w:val="00CB4E19"/>
    <w:rsid w:val="00CB500C"/>
    <w:rsid w:val="00CB5932"/>
    <w:rsid w:val="00CB5A4E"/>
    <w:rsid w:val="00CB64F2"/>
    <w:rsid w:val="00CB6638"/>
    <w:rsid w:val="00CB6843"/>
    <w:rsid w:val="00CB6F5C"/>
    <w:rsid w:val="00CB7234"/>
    <w:rsid w:val="00CB73F4"/>
    <w:rsid w:val="00CB78D6"/>
    <w:rsid w:val="00CB7B23"/>
    <w:rsid w:val="00CC019D"/>
    <w:rsid w:val="00CC075C"/>
    <w:rsid w:val="00CC08B9"/>
    <w:rsid w:val="00CC0A52"/>
    <w:rsid w:val="00CC0D7A"/>
    <w:rsid w:val="00CC10A6"/>
    <w:rsid w:val="00CC1225"/>
    <w:rsid w:val="00CC1824"/>
    <w:rsid w:val="00CC18B0"/>
    <w:rsid w:val="00CC1ACD"/>
    <w:rsid w:val="00CC1B01"/>
    <w:rsid w:val="00CC1F5F"/>
    <w:rsid w:val="00CC2585"/>
    <w:rsid w:val="00CC2A7A"/>
    <w:rsid w:val="00CC2DFC"/>
    <w:rsid w:val="00CC2EE8"/>
    <w:rsid w:val="00CC2FFF"/>
    <w:rsid w:val="00CC3128"/>
    <w:rsid w:val="00CC318A"/>
    <w:rsid w:val="00CC31A9"/>
    <w:rsid w:val="00CC3797"/>
    <w:rsid w:val="00CC3937"/>
    <w:rsid w:val="00CC3AA9"/>
    <w:rsid w:val="00CC3E79"/>
    <w:rsid w:val="00CC4529"/>
    <w:rsid w:val="00CC4890"/>
    <w:rsid w:val="00CC492E"/>
    <w:rsid w:val="00CC57F7"/>
    <w:rsid w:val="00CC6173"/>
    <w:rsid w:val="00CC6527"/>
    <w:rsid w:val="00CC68A8"/>
    <w:rsid w:val="00CC7544"/>
    <w:rsid w:val="00CC79B2"/>
    <w:rsid w:val="00CD0B50"/>
    <w:rsid w:val="00CD0B87"/>
    <w:rsid w:val="00CD0C61"/>
    <w:rsid w:val="00CD12C5"/>
    <w:rsid w:val="00CD1C74"/>
    <w:rsid w:val="00CD2996"/>
    <w:rsid w:val="00CD31E4"/>
    <w:rsid w:val="00CD38BA"/>
    <w:rsid w:val="00CD39E3"/>
    <w:rsid w:val="00CD3AD5"/>
    <w:rsid w:val="00CD4868"/>
    <w:rsid w:val="00CD4C9F"/>
    <w:rsid w:val="00CD578C"/>
    <w:rsid w:val="00CD5936"/>
    <w:rsid w:val="00CD5C45"/>
    <w:rsid w:val="00CD66A0"/>
    <w:rsid w:val="00CD7044"/>
    <w:rsid w:val="00CD7348"/>
    <w:rsid w:val="00CD789D"/>
    <w:rsid w:val="00CD7991"/>
    <w:rsid w:val="00CE00E9"/>
    <w:rsid w:val="00CE03D1"/>
    <w:rsid w:val="00CE08CA"/>
    <w:rsid w:val="00CE0948"/>
    <w:rsid w:val="00CE1235"/>
    <w:rsid w:val="00CE1378"/>
    <w:rsid w:val="00CE15CF"/>
    <w:rsid w:val="00CE1692"/>
    <w:rsid w:val="00CE1757"/>
    <w:rsid w:val="00CE18CB"/>
    <w:rsid w:val="00CE1D86"/>
    <w:rsid w:val="00CE22B1"/>
    <w:rsid w:val="00CE2CBE"/>
    <w:rsid w:val="00CE2E2B"/>
    <w:rsid w:val="00CE2EC3"/>
    <w:rsid w:val="00CE3058"/>
    <w:rsid w:val="00CE3501"/>
    <w:rsid w:val="00CE35F1"/>
    <w:rsid w:val="00CE3A57"/>
    <w:rsid w:val="00CE48C0"/>
    <w:rsid w:val="00CE5010"/>
    <w:rsid w:val="00CE524C"/>
    <w:rsid w:val="00CE610D"/>
    <w:rsid w:val="00CE6355"/>
    <w:rsid w:val="00CE663E"/>
    <w:rsid w:val="00CE7133"/>
    <w:rsid w:val="00CE7C73"/>
    <w:rsid w:val="00CE7C95"/>
    <w:rsid w:val="00CF083F"/>
    <w:rsid w:val="00CF0DB4"/>
    <w:rsid w:val="00CF13AC"/>
    <w:rsid w:val="00CF141F"/>
    <w:rsid w:val="00CF171D"/>
    <w:rsid w:val="00CF17FD"/>
    <w:rsid w:val="00CF26DA"/>
    <w:rsid w:val="00CF2AD5"/>
    <w:rsid w:val="00CF307C"/>
    <w:rsid w:val="00CF3422"/>
    <w:rsid w:val="00CF3469"/>
    <w:rsid w:val="00CF3847"/>
    <w:rsid w:val="00CF38CB"/>
    <w:rsid w:val="00CF3A59"/>
    <w:rsid w:val="00CF3B6A"/>
    <w:rsid w:val="00CF3C83"/>
    <w:rsid w:val="00CF3FAA"/>
    <w:rsid w:val="00CF406D"/>
    <w:rsid w:val="00CF471F"/>
    <w:rsid w:val="00CF4777"/>
    <w:rsid w:val="00CF4B1F"/>
    <w:rsid w:val="00CF4E04"/>
    <w:rsid w:val="00CF5666"/>
    <w:rsid w:val="00CF5852"/>
    <w:rsid w:val="00CF5BF6"/>
    <w:rsid w:val="00CF6493"/>
    <w:rsid w:val="00CF6C42"/>
    <w:rsid w:val="00CF6E47"/>
    <w:rsid w:val="00CF7294"/>
    <w:rsid w:val="00CF73BA"/>
    <w:rsid w:val="00CF7F6B"/>
    <w:rsid w:val="00D003D1"/>
    <w:rsid w:val="00D00AFB"/>
    <w:rsid w:val="00D00E4A"/>
    <w:rsid w:val="00D00F05"/>
    <w:rsid w:val="00D00FEB"/>
    <w:rsid w:val="00D0112D"/>
    <w:rsid w:val="00D01509"/>
    <w:rsid w:val="00D01679"/>
    <w:rsid w:val="00D0287C"/>
    <w:rsid w:val="00D028C6"/>
    <w:rsid w:val="00D028EA"/>
    <w:rsid w:val="00D02AF9"/>
    <w:rsid w:val="00D02D08"/>
    <w:rsid w:val="00D02EBC"/>
    <w:rsid w:val="00D03998"/>
    <w:rsid w:val="00D03D00"/>
    <w:rsid w:val="00D04E16"/>
    <w:rsid w:val="00D05388"/>
    <w:rsid w:val="00D06432"/>
    <w:rsid w:val="00D06580"/>
    <w:rsid w:val="00D069D1"/>
    <w:rsid w:val="00D06FE6"/>
    <w:rsid w:val="00D0722A"/>
    <w:rsid w:val="00D07274"/>
    <w:rsid w:val="00D07444"/>
    <w:rsid w:val="00D075AB"/>
    <w:rsid w:val="00D076BB"/>
    <w:rsid w:val="00D07DC9"/>
    <w:rsid w:val="00D07FFD"/>
    <w:rsid w:val="00D10361"/>
    <w:rsid w:val="00D10DFF"/>
    <w:rsid w:val="00D116A2"/>
    <w:rsid w:val="00D11C03"/>
    <w:rsid w:val="00D11E92"/>
    <w:rsid w:val="00D12857"/>
    <w:rsid w:val="00D129FC"/>
    <w:rsid w:val="00D12FE7"/>
    <w:rsid w:val="00D130AB"/>
    <w:rsid w:val="00D135E4"/>
    <w:rsid w:val="00D13957"/>
    <w:rsid w:val="00D13D97"/>
    <w:rsid w:val="00D1427B"/>
    <w:rsid w:val="00D14454"/>
    <w:rsid w:val="00D14B95"/>
    <w:rsid w:val="00D14BA2"/>
    <w:rsid w:val="00D14D32"/>
    <w:rsid w:val="00D1563D"/>
    <w:rsid w:val="00D1576F"/>
    <w:rsid w:val="00D15D27"/>
    <w:rsid w:val="00D1644D"/>
    <w:rsid w:val="00D16653"/>
    <w:rsid w:val="00D16682"/>
    <w:rsid w:val="00D169AF"/>
    <w:rsid w:val="00D16C08"/>
    <w:rsid w:val="00D170AB"/>
    <w:rsid w:val="00D17BB5"/>
    <w:rsid w:val="00D17CFA"/>
    <w:rsid w:val="00D17E00"/>
    <w:rsid w:val="00D17E22"/>
    <w:rsid w:val="00D20115"/>
    <w:rsid w:val="00D2028A"/>
    <w:rsid w:val="00D20882"/>
    <w:rsid w:val="00D21481"/>
    <w:rsid w:val="00D21F11"/>
    <w:rsid w:val="00D222CD"/>
    <w:rsid w:val="00D229B7"/>
    <w:rsid w:val="00D22C1B"/>
    <w:rsid w:val="00D22CE7"/>
    <w:rsid w:val="00D22DCB"/>
    <w:rsid w:val="00D23A77"/>
    <w:rsid w:val="00D23D94"/>
    <w:rsid w:val="00D23E27"/>
    <w:rsid w:val="00D245D9"/>
    <w:rsid w:val="00D245F4"/>
    <w:rsid w:val="00D24D2B"/>
    <w:rsid w:val="00D24D8E"/>
    <w:rsid w:val="00D25249"/>
    <w:rsid w:val="00D25410"/>
    <w:rsid w:val="00D25596"/>
    <w:rsid w:val="00D2560D"/>
    <w:rsid w:val="00D26034"/>
    <w:rsid w:val="00D2734D"/>
    <w:rsid w:val="00D27790"/>
    <w:rsid w:val="00D27793"/>
    <w:rsid w:val="00D27AA4"/>
    <w:rsid w:val="00D27B4F"/>
    <w:rsid w:val="00D27F63"/>
    <w:rsid w:val="00D30C22"/>
    <w:rsid w:val="00D30DE0"/>
    <w:rsid w:val="00D3102C"/>
    <w:rsid w:val="00D3134E"/>
    <w:rsid w:val="00D31A96"/>
    <w:rsid w:val="00D31FEF"/>
    <w:rsid w:val="00D32036"/>
    <w:rsid w:val="00D3235D"/>
    <w:rsid w:val="00D3240D"/>
    <w:rsid w:val="00D3281C"/>
    <w:rsid w:val="00D32AFE"/>
    <w:rsid w:val="00D3365E"/>
    <w:rsid w:val="00D33DD1"/>
    <w:rsid w:val="00D34328"/>
    <w:rsid w:val="00D344A0"/>
    <w:rsid w:val="00D348C1"/>
    <w:rsid w:val="00D34ADB"/>
    <w:rsid w:val="00D3527A"/>
    <w:rsid w:val="00D35561"/>
    <w:rsid w:val="00D35A84"/>
    <w:rsid w:val="00D35E27"/>
    <w:rsid w:val="00D36008"/>
    <w:rsid w:val="00D3607C"/>
    <w:rsid w:val="00D366E1"/>
    <w:rsid w:val="00D36CA5"/>
    <w:rsid w:val="00D371D4"/>
    <w:rsid w:val="00D376D9"/>
    <w:rsid w:val="00D378DE"/>
    <w:rsid w:val="00D37A29"/>
    <w:rsid w:val="00D37D05"/>
    <w:rsid w:val="00D40195"/>
    <w:rsid w:val="00D40356"/>
    <w:rsid w:val="00D4068F"/>
    <w:rsid w:val="00D409C1"/>
    <w:rsid w:val="00D40B91"/>
    <w:rsid w:val="00D40D1E"/>
    <w:rsid w:val="00D410F9"/>
    <w:rsid w:val="00D4125D"/>
    <w:rsid w:val="00D416AA"/>
    <w:rsid w:val="00D41C6C"/>
    <w:rsid w:val="00D420EF"/>
    <w:rsid w:val="00D42D12"/>
    <w:rsid w:val="00D430B4"/>
    <w:rsid w:val="00D4311D"/>
    <w:rsid w:val="00D43683"/>
    <w:rsid w:val="00D4380A"/>
    <w:rsid w:val="00D43C90"/>
    <w:rsid w:val="00D43D1B"/>
    <w:rsid w:val="00D44172"/>
    <w:rsid w:val="00D443FE"/>
    <w:rsid w:val="00D447F6"/>
    <w:rsid w:val="00D44C9A"/>
    <w:rsid w:val="00D452ED"/>
    <w:rsid w:val="00D4592C"/>
    <w:rsid w:val="00D45F34"/>
    <w:rsid w:val="00D4602B"/>
    <w:rsid w:val="00D4604A"/>
    <w:rsid w:val="00D464B2"/>
    <w:rsid w:val="00D464FD"/>
    <w:rsid w:val="00D466F6"/>
    <w:rsid w:val="00D4679A"/>
    <w:rsid w:val="00D46A9E"/>
    <w:rsid w:val="00D46BE4"/>
    <w:rsid w:val="00D46CE0"/>
    <w:rsid w:val="00D4707D"/>
    <w:rsid w:val="00D47229"/>
    <w:rsid w:val="00D479BA"/>
    <w:rsid w:val="00D47B05"/>
    <w:rsid w:val="00D47D5A"/>
    <w:rsid w:val="00D500E6"/>
    <w:rsid w:val="00D504C9"/>
    <w:rsid w:val="00D50B2E"/>
    <w:rsid w:val="00D50E37"/>
    <w:rsid w:val="00D515AF"/>
    <w:rsid w:val="00D519A6"/>
    <w:rsid w:val="00D522CF"/>
    <w:rsid w:val="00D523B0"/>
    <w:rsid w:val="00D52728"/>
    <w:rsid w:val="00D52789"/>
    <w:rsid w:val="00D52819"/>
    <w:rsid w:val="00D52B56"/>
    <w:rsid w:val="00D53140"/>
    <w:rsid w:val="00D5318A"/>
    <w:rsid w:val="00D53276"/>
    <w:rsid w:val="00D5336E"/>
    <w:rsid w:val="00D5362B"/>
    <w:rsid w:val="00D53983"/>
    <w:rsid w:val="00D539A5"/>
    <w:rsid w:val="00D53F04"/>
    <w:rsid w:val="00D53F58"/>
    <w:rsid w:val="00D54301"/>
    <w:rsid w:val="00D54494"/>
    <w:rsid w:val="00D547E9"/>
    <w:rsid w:val="00D54A50"/>
    <w:rsid w:val="00D55D1C"/>
    <w:rsid w:val="00D563D5"/>
    <w:rsid w:val="00D56AFF"/>
    <w:rsid w:val="00D572C5"/>
    <w:rsid w:val="00D5737A"/>
    <w:rsid w:val="00D575BE"/>
    <w:rsid w:val="00D61086"/>
    <w:rsid w:val="00D6117D"/>
    <w:rsid w:val="00D6129E"/>
    <w:rsid w:val="00D61529"/>
    <w:rsid w:val="00D61BA9"/>
    <w:rsid w:val="00D62B5C"/>
    <w:rsid w:val="00D62C72"/>
    <w:rsid w:val="00D6323A"/>
    <w:rsid w:val="00D634D4"/>
    <w:rsid w:val="00D63711"/>
    <w:rsid w:val="00D639F9"/>
    <w:rsid w:val="00D63B8C"/>
    <w:rsid w:val="00D64ACD"/>
    <w:rsid w:val="00D64C67"/>
    <w:rsid w:val="00D64E68"/>
    <w:rsid w:val="00D65149"/>
    <w:rsid w:val="00D652E8"/>
    <w:rsid w:val="00D65329"/>
    <w:rsid w:val="00D657B1"/>
    <w:rsid w:val="00D65D15"/>
    <w:rsid w:val="00D65E01"/>
    <w:rsid w:val="00D660DE"/>
    <w:rsid w:val="00D661CC"/>
    <w:rsid w:val="00D670D3"/>
    <w:rsid w:val="00D67179"/>
    <w:rsid w:val="00D70000"/>
    <w:rsid w:val="00D70213"/>
    <w:rsid w:val="00D704C3"/>
    <w:rsid w:val="00D70927"/>
    <w:rsid w:val="00D717B8"/>
    <w:rsid w:val="00D71817"/>
    <w:rsid w:val="00D718E6"/>
    <w:rsid w:val="00D71C23"/>
    <w:rsid w:val="00D71C88"/>
    <w:rsid w:val="00D71F9F"/>
    <w:rsid w:val="00D729BB"/>
    <w:rsid w:val="00D72C49"/>
    <w:rsid w:val="00D7313E"/>
    <w:rsid w:val="00D735B3"/>
    <w:rsid w:val="00D73800"/>
    <w:rsid w:val="00D73854"/>
    <w:rsid w:val="00D739B9"/>
    <w:rsid w:val="00D739CC"/>
    <w:rsid w:val="00D73AD9"/>
    <w:rsid w:val="00D74286"/>
    <w:rsid w:val="00D746EE"/>
    <w:rsid w:val="00D748F3"/>
    <w:rsid w:val="00D74AA7"/>
    <w:rsid w:val="00D74B2D"/>
    <w:rsid w:val="00D75838"/>
    <w:rsid w:val="00D76003"/>
    <w:rsid w:val="00D765BB"/>
    <w:rsid w:val="00D7722F"/>
    <w:rsid w:val="00D77274"/>
    <w:rsid w:val="00D77328"/>
    <w:rsid w:val="00D774C3"/>
    <w:rsid w:val="00D80218"/>
    <w:rsid w:val="00D80256"/>
    <w:rsid w:val="00D80423"/>
    <w:rsid w:val="00D8093D"/>
    <w:rsid w:val="00D80AA8"/>
    <w:rsid w:val="00D80AB4"/>
    <w:rsid w:val="00D80AD9"/>
    <w:rsid w:val="00D80D0A"/>
    <w:rsid w:val="00D8108C"/>
    <w:rsid w:val="00D8151D"/>
    <w:rsid w:val="00D8286E"/>
    <w:rsid w:val="00D82AB7"/>
    <w:rsid w:val="00D82BA1"/>
    <w:rsid w:val="00D83207"/>
    <w:rsid w:val="00D83521"/>
    <w:rsid w:val="00D840C7"/>
    <w:rsid w:val="00D842AE"/>
    <w:rsid w:val="00D842BF"/>
    <w:rsid w:val="00D8484B"/>
    <w:rsid w:val="00D848A5"/>
    <w:rsid w:val="00D84F39"/>
    <w:rsid w:val="00D850D3"/>
    <w:rsid w:val="00D851CB"/>
    <w:rsid w:val="00D859F2"/>
    <w:rsid w:val="00D85CE9"/>
    <w:rsid w:val="00D85F42"/>
    <w:rsid w:val="00D8652D"/>
    <w:rsid w:val="00D86574"/>
    <w:rsid w:val="00D86FFF"/>
    <w:rsid w:val="00D871A1"/>
    <w:rsid w:val="00D87352"/>
    <w:rsid w:val="00D87828"/>
    <w:rsid w:val="00D87C63"/>
    <w:rsid w:val="00D87E18"/>
    <w:rsid w:val="00D87F77"/>
    <w:rsid w:val="00D907A7"/>
    <w:rsid w:val="00D91163"/>
    <w:rsid w:val="00D912D9"/>
    <w:rsid w:val="00D913A8"/>
    <w:rsid w:val="00D915A0"/>
    <w:rsid w:val="00D91C07"/>
    <w:rsid w:val="00D91F99"/>
    <w:rsid w:val="00D9211C"/>
    <w:rsid w:val="00D9293C"/>
    <w:rsid w:val="00D92B3F"/>
    <w:rsid w:val="00D92B57"/>
    <w:rsid w:val="00D9339A"/>
    <w:rsid w:val="00D9365C"/>
    <w:rsid w:val="00D9370B"/>
    <w:rsid w:val="00D9389F"/>
    <w:rsid w:val="00D93E15"/>
    <w:rsid w:val="00D9433C"/>
    <w:rsid w:val="00D94939"/>
    <w:rsid w:val="00D94B0E"/>
    <w:rsid w:val="00D95177"/>
    <w:rsid w:val="00D95312"/>
    <w:rsid w:val="00D95F82"/>
    <w:rsid w:val="00D95FA8"/>
    <w:rsid w:val="00D962BC"/>
    <w:rsid w:val="00D9644B"/>
    <w:rsid w:val="00D96547"/>
    <w:rsid w:val="00D96C5D"/>
    <w:rsid w:val="00D97087"/>
    <w:rsid w:val="00D97194"/>
    <w:rsid w:val="00D9745E"/>
    <w:rsid w:val="00D974E9"/>
    <w:rsid w:val="00D9757E"/>
    <w:rsid w:val="00D97A22"/>
    <w:rsid w:val="00D97B70"/>
    <w:rsid w:val="00D97F0D"/>
    <w:rsid w:val="00D97F21"/>
    <w:rsid w:val="00DA11B9"/>
    <w:rsid w:val="00DA18A3"/>
    <w:rsid w:val="00DA1BCA"/>
    <w:rsid w:val="00DA208B"/>
    <w:rsid w:val="00DA24D8"/>
    <w:rsid w:val="00DA26C4"/>
    <w:rsid w:val="00DA326D"/>
    <w:rsid w:val="00DA32E1"/>
    <w:rsid w:val="00DA3E63"/>
    <w:rsid w:val="00DA413D"/>
    <w:rsid w:val="00DA42C9"/>
    <w:rsid w:val="00DA4416"/>
    <w:rsid w:val="00DA5145"/>
    <w:rsid w:val="00DA51FB"/>
    <w:rsid w:val="00DA52E5"/>
    <w:rsid w:val="00DA53CC"/>
    <w:rsid w:val="00DA5767"/>
    <w:rsid w:val="00DA5B55"/>
    <w:rsid w:val="00DA5DF5"/>
    <w:rsid w:val="00DA5EC8"/>
    <w:rsid w:val="00DA6086"/>
    <w:rsid w:val="00DA66B1"/>
    <w:rsid w:val="00DA67FB"/>
    <w:rsid w:val="00DA6A50"/>
    <w:rsid w:val="00DA6A62"/>
    <w:rsid w:val="00DA6AD8"/>
    <w:rsid w:val="00DA7A2C"/>
    <w:rsid w:val="00DA7B9F"/>
    <w:rsid w:val="00DA7BA9"/>
    <w:rsid w:val="00DB015B"/>
    <w:rsid w:val="00DB0A59"/>
    <w:rsid w:val="00DB0BBE"/>
    <w:rsid w:val="00DB0E67"/>
    <w:rsid w:val="00DB1C45"/>
    <w:rsid w:val="00DB2466"/>
    <w:rsid w:val="00DB2840"/>
    <w:rsid w:val="00DB2E45"/>
    <w:rsid w:val="00DB2FD4"/>
    <w:rsid w:val="00DB303A"/>
    <w:rsid w:val="00DB3485"/>
    <w:rsid w:val="00DB355D"/>
    <w:rsid w:val="00DB3C13"/>
    <w:rsid w:val="00DB3EDA"/>
    <w:rsid w:val="00DB417E"/>
    <w:rsid w:val="00DB43CC"/>
    <w:rsid w:val="00DB4401"/>
    <w:rsid w:val="00DB444F"/>
    <w:rsid w:val="00DB4752"/>
    <w:rsid w:val="00DB4925"/>
    <w:rsid w:val="00DB4AA2"/>
    <w:rsid w:val="00DB4B8D"/>
    <w:rsid w:val="00DB4CD4"/>
    <w:rsid w:val="00DB4D6C"/>
    <w:rsid w:val="00DB4EF1"/>
    <w:rsid w:val="00DB4FB3"/>
    <w:rsid w:val="00DB5895"/>
    <w:rsid w:val="00DB590D"/>
    <w:rsid w:val="00DB5972"/>
    <w:rsid w:val="00DB5D7C"/>
    <w:rsid w:val="00DB5F74"/>
    <w:rsid w:val="00DB6274"/>
    <w:rsid w:val="00DB640E"/>
    <w:rsid w:val="00DB746D"/>
    <w:rsid w:val="00DB74DF"/>
    <w:rsid w:val="00DB7971"/>
    <w:rsid w:val="00DB7C08"/>
    <w:rsid w:val="00DB7C90"/>
    <w:rsid w:val="00DB7D00"/>
    <w:rsid w:val="00DC01E8"/>
    <w:rsid w:val="00DC0948"/>
    <w:rsid w:val="00DC1265"/>
    <w:rsid w:val="00DC1437"/>
    <w:rsid w:val="00DC1471"/>
    <w:rsid w:val="00DC1511"/>
    <w:rsid w:val="00DC16A7"/>
    <w:rsid w:val="00DC178B"/>
    <w:rsid w:val="00DC1B84"/>
    <w:rsid w:val="00DC22B0"/>
    <w:rsid w:val="00DC2472"/>
    <w:rsid w:val="00DC2473"/>
    <w:rsid w:val="00DC3404"/>
    <w:rsid w:val="00DC3595"/>
    <w:rsid w:val="00DC365F"/>
    <w:rsid w:val="00DC3775"/>
    <w:rsid w:val="00DC421F"/>
    <w:rsid w:val="00DC4290"/>
    <w:rsid w:val="00DC46FF"/>
    <w:rsid w:val="00DC4F9A"/>
    <w:rsid w:val="00DC5026"/>
    <w:rsid w:val="00DC514B"/>
    <w:rsid w:val="00DC548F"/>
    <w:rsid w:val="00DC5C8E"/>
    <w:rsid w:val="00DC612E"/>
    <w:rsid w:val="00DC6318"/>
    <w:rsid w:val="00DC6434"/>
    <w:rsid w:val="00DC660E"/>
    <w:rsid w:val="00DC6C30"/>
    <w:rsid w:val="00DC74A0"/>
    <w:rsid w:val="00DD1266"/>
    <w:rsid w:val="00DD1501"/>
    <w:rsid w:val="00DD1969"/>
    <w:rsid w:val="00DD1A4F"/>
    <w:rsid w:val="00DD1DAE"/>
    <w:rsid w:val="00DD1F75"/>
    <w:rsid w:val="00DD2089"/>
    <w:rsid w:val="00DD2151"/>
    <w:rsid w:val="00DD2230"/>
    <w:rsid w:val="00DD28C6"/>
    <w:rsid w:val="00DD2E4C"/>
    <w:rsid w:val="00DD326C"/>
    <w:rsid w:val="00DD3498"/>
    <w:rsid w:val="00DD3561"/>
    <w:rsid w:val="00DD3CE9"/>
    <w:rsid w:val="00DD3FEA"/>
    <w:rsid w:val="00DD4180"/>
    <w:rsid w:val="00DD44F3"/>
    <w:rsid w:val="00DD463B"/>
    <w:rsid w:val="00DD4F74"/>
    <w:rsid w:val="00DD5444"/>
    <w:rsid w:val="00DD56BB"/>
    <w:rsid w:val="00DD56EC"/>
    <w:rsid w:val="00DD5EFE"/>
    <w:rsid w:val="00DD655F"/>
    <w:rsid w:val="00DD6B18"/>
    <w:rsid w:val="00DD6B4B"/>
    <w:rsid w:val="00DD7815"/>
    <w:rsid w:val="00DD7C2C"/>
    <w:rsid w:val="00DD7D6D"/>
    <w:rsid w:val="00DE0928"/>
    <w:rsid w:val="00DE09D5"/>
    <w:rsid w:val="00DE0CAC"/>
    <w:rsid w:val="00DE0FB7"/>
    <w:rsid w:val="00DE12AA"/>
    <w:rsid w:val="00DE1794"/>
    <w:rsid w:val="00DE1F5B"/>
    <w:rsid w:val="00DE2E6C"/>
    <w:rsid w:val="00DE2F01"/>
    <w:rsid w:val="00DE3226"/>
    <w:rsid w:val="00DE3459"/>
    <w:rsid w:val="00DE3C62"/>
    <w:rsid w:val="00DE3D5E"/>
    <w:rsid w:val="00DE3F59"/>
    <w:rsid w:val="00DE49D5"/>
    <w:rsid w:val="00DE4CE2"/>
    <w:rsid w:val="00DE524F"/>
    <w:rsid w:val="00DE60F6"/>
    <w:rsid w:val="00DE64F1"/>
    <w:rsid w:val="00DE67A1"/>
    <w:rsid w:val="00DE6956"/>
    <w:rsid w:val="00DE7299"/>
    <w:rsid w:val="00DE7369"/>
    <w:rsid w:val="00DE73E3"/>
    <w:rsid w:val="00DF010E"/>
    <w:rsid w:val="00DF0416"/>
    <w:rsid w:val="00DF053D"/>
    <w:rsid w:val="00DF0582"/>
    <w:rsid w:val="00DF16EC"/>
    <w:rsid w:val="00DF1788"/>
    <w:rsid w:val="00DF17DE"/>
    <w:rsid w:val="00DF199B"/>
    <w:rsid w:val="00DF1CF2"/>
    <w:rsid w:val="00DF1E17"/>
    <w:rsid w:val="00DF205F"/>
    <w:rsid w:val="00DF21E1"/>
    <w:rsid w:val="00DF21FE"/>
    <w:rsid w:val="00DF29BC"/>
    <w:rsid w:val="00DF2CC7"/>
    <w:rsid w:val="00DF3172"/>
    <w:rsid w:val="00DF33EE"/>
    <w:rsid w:val="00DF3A13"/>
    <w:rsid w:val="00DF3E4F"/>
    <w:rsid w:val="00DF4ADD"/>
    <w:rsid w:val="00DF4AED"/>
    <w:rsid w:val="00DF4FD2"/>
    <w:rsid w:val="00DF57B7"/>
    <w:rsid w:val="00DF599E"/>
    <w:rsid w:val="00DF5B88"/>
    <w:rsid w:val="00DF5E36"/>
    <w:rsid w:val="00DF5E87"/>
    <w:rsid w:val="00DF5EBF"/>
    <w:rsid w:val="00DF67B3"/>
    <w:rsid w:val="00DF67F4"/>
    <w:rsid w:val="00DF6A89"/>
    <w:rsid w:val="00DF6B90"/>
    <w:rsid w:val="00DF709C"/>
    <w:rsid w:val="00DF73C5"/>
    <w:rsid w:val="00DF7549"/>
    <w:rsid w:val="00DF7859"/>
    <w:rsid w:val="00E00601"/>
    <w:rsid w:val="00E00727"/>
    <w:rsid w:val="00E00BF6"/>
    <w:rsid w:val="00E01164"/>
    <w:rsid w:val="00E011D6"/>
    <w:rsid w:val="00E011F0"/>
    <w:rsid w:val="00E01511"/>
    <w:rsid w:val="00E01908"/>
    <w:rsid w:val="00E01A9B"/>
    <w:rsid w:val="00E01AAE"/>
    <w:rsid w:val="00E01BFC"/>
    <w:rsid w:val="00E01DD7"/>
    <w:rsid w:val="00E0216D"/>
    <w:rsid w:val="00E022DC"/>
    <w:rsid w:val="00E0246D"/>
    <w:rsid w:val="00E025D7"/>
    <w:rsid w:val="00E02DA5"/>
    <w:rsid w:val="00E0342C"/>
    <w:rsid w:val="00E037D0"/>
    <w:rsid w:val="00E038C8"/>
    <w:rsid w:val="00E03B18"/>
    <w:rsid w:val="00E03C13"/>
    <w:rsid w:val="00E03EE8"/>
    <w:rsid w:val="00E04217"/>
    <w:rsid w:val="00E04749"/>
    <w:rsid w:val="00E0483B"/>
    <w:rsid w:val="00E048CA"/>
    <w:rsid w:val="00E04C8E"/>
    <w:rsid w:val="00E04F89"/>
    <w:rsid w:val="00E04FC1"/>
    <w:rsid w:val="00E05235"/>
    <w:rsid w:val="00E05378"/>
    <w:rsid w:val="00E0564B"/>
    <w:rsid w:val="00E057A6"/>
    <w:rsid w:val="00E058A9"/>
    <w:rsid w:val="00E058E3"/>
    <w:rsid w:val="00E05E74"/>
    <w:rsid w:val="00E06558"/>
    <w:rsid w:val="00E06797"/>
    <w:rsid w:val="00E06B31"/>
    <w:rsid w:val="00E06C35"/>
    <w:rsid w:val="00E06F76"/>
    <w:rsid w:val="00E0703C"/>
    <w:rsid w:val="00E072AC"/>
    <w:rsid w:val="00E0732B"/>
    <w:rsid w:val="00E07492"/>
    <w:rsid w:val="00E07781"/>
    <w:rsid w:val="00E07D79"/>
    <w:rsid w:val="00E07ECF"/>
    <w:rsid w:val="00E102BC"/>
    <w:rsid w:val="00E1097A"/>
    <w:rsid w:val="00E10AF1"/>
    <w:rsid w:val="00E10F4E"/>
    <w:rsid w:val="00E1178A"/>
    <w:rsid w:val="00E119DC"/>
    <w:rsid w:val="00E12653"/>
    <w:rsid w:val="00E127E2"/>
    <w:rsid w:val="00E12EB5"/>
    <w:rsid w:val="00E13281"/>
    <w:rsid w:val="00E13789"/>
    <w:rsid w:val="00E137EF"/>
    <w:rsid w:val="00E13E53"/>
    <w:rsid w:val="00E13E5F"/>
    <w:rsid w:val="00E13EF2"/>
    <w:rsid w:val="00E14038"/>
    <w:rsid w:val="00E14524"/>
    <w:rsid w:val="00E147CB"/>
    <w:rsid w:val="00E14FA9"/>
    <w:rsid w:val="00E15502"/>
    <w:rsid w:val="00E15667"/>
    <w:rsid w:val="00E1596C"/>
    <w:rsid w:val="00E16704"/>
    <w:rsid w:val="00E1707C"/>
    <w:rsid w:val="00E17753"/>
    <w:rsid w:val="00E17F2D"/>
    <w:rsid w:val="00E20227"/>
    <w:rsid w:val="00E20255"/>
    <w:rsid w:val="00E202CF"/>
    <w:rsid w:val="00E208BB"/>
    <w:rsid w:val="00E20EFB"/>
    <w:rsid w:val="00E212B9"/>
    <w:rsid w:val="00E21C83"/>
    <w:rsid w:val="00E21E32"/>
    <w:rsid w:val="00E223F0"/>
    <w:rsid w:val="00E224B1"/>
    <w:rsid w:val="00E228BE"/>
    <w:rsid w:val="00E22D54"/>
    <w:rsid w:val="00E22DF5"/>
    <w:rsid w:val="00E23103"/>
    <w:rsid w:val="00E233FF"/>
    <w:rsid w:val="00E23949"/>
    <w:rsid w:val="00E2405F"/>
    <w:rsid w:val="00E249BD"/>
    <w:rsid w:val="00E256B3"/>
    <w:rsid w:val="00E2603E"/>
    <w:rsid w:val="00E26169"/>
    <w:rsid w:val="00E26523"/>
    <w:rsid w:val="00E268E5"/>
    <w:rsid w:val="00E26AF3"/>
    <w:rsid w:val="00E26BF4"/>
    <w:rsid w:val="00E27236"/>
    <w:rsid w:val="00E27670"/>
    <w:rsid w:val="00E27E0B"/>
    <w:rsid w:val="00E30095"/>
    <w:rsid w:val="00E3054B"/>
    <w:rsid w:val="00E30A91"/>
    <w:rsid w:val="00E30C90"/>
    <w:rsid w:val="00E316AD"/>
    <w:rsid w:val="00E318D5"/>
    <w:rsid w:val="00E31A9C"/>
    <w:rsid w:val="00E31B6A"/>
    <w:rsid w:val="00E322D0"/>
    <w:rsid w:val="00E327F0"/>
    <w:rsid w:val="00E32871"/>
    <w:rsid w:val="00E32874"/>
    <w:rsid w:val="00E32903"/>
    <w:rsid w:val="00E32B96"/>
    <w:rsid w:val="00E32FC0"/>
    <w:rsid w:val="00E331B4"/>
    <w:rsid w:val="00E3344D"/>
    <w:rsid w:val="00E3381A"/>
    <w:rsid w:val="00E33CD4"/>
    <w:rsid w:val="00E3420F"/>
    <w:rsid w:val="00E3439F"/>
    <w:rsid w:val="00E3524B"/>
    <w:rsid w:val="00E35432"/>
    <w:rsid w:val="00E3561B"/>
    <w:rsid w:val="00E356E4"/>
    <w:rsid w:val="00E35E63"/>
    <w:rsid w:val="00E35F78"/>
    <w:rsid w:val="00E362B7"/>
    <w:rsid w:val="00E365A1"/>
    <w:rsid w:val="00E36A63"/>
    <w:rsid w:val="00E37657"/>
    <w:rsid w:val="00E37730"/>
    <w:rsid w:val="00E37B7E"/>
    <w:rsid w:val="00E37E0E"/>
    <w:rsid w:val="00E40841"/>
    <w:rsid w:val="00E414C0"/>
    <w:rsid w:val="00E4177A"/>
    <w:rsid w:val="00E41A7A"/>
    <w:rsid w:val="00E42190"/>
    <w:rsid w:val="00E4237B"/>
    <w:rsid w:val="00E42F80"/>
    <w:rsid w:val="00E431AA"/>
    <w:rsid w:val="00E43C69"/>
    <w:rsid w:val="00E43E38"/>
    <w:rsid w:val="00E444BF"/>
    <w:rsid w:val="00E4468A"/>
    <w:rsid w:val="00E44949"/>
    <w:rsid w:val="00E451C4"/>
    <w:rsid w:val="00E451D4"/>
    <w:rsid w:val="00E45495"/>
    <w:rsid w:val="00E45668"/>
    <w:rsid w:val="00E456D4"/>
    <w:rsid w:val="00E460A7"/>
    <w:rsid w:val="00E461ED"/>
    <w:rsid w:val="00E46268"/>
    <w:rsid w:val="00E46625"/>
    <w:rsid w:val="00E46D9A"/>
    <w:rsid w:val="00E46DFD"/>
    <w:rsid w:val="00E470DE"/>
    <w:rsid w:val="00E473B9"/>
    <w:rsid w:val="00E475C6"/>
    <w:rsid w:val="00E4789F"/>
    <w:rsid w:val="00E479F3"/>
    <w:rsid w:val="00E47A34"/>
    <w:rsid w:val="00E50186"/>
    <w:rsid w:val="00E50386"/>
    <w:rsid w:val="00E50417"/>
    <w:rsid w:val="00E516DD"/>
    <w:rsid w:val="00E517A5"/>
    <w:rsid w:val="00E521DF"/>
    <w:rsid w:val="00E5299D"/>
    <w:rsid w:val="00E52DC6"/>
    <w:rsid w:val="00E53115"/>
    <w:rsid w:val="00E534AB"/>
    <w:rsid w:val="00E53814"/>
    <w:rsid w:val="00E53B45"/>
    <w:rsid w:val="00E5403E"/>
    <w:rsid w:val="00E54147"/>
    <w:rsid w:val="00E5439F"/>
    <w:rsid w:val="00E54456"/>
    <w:rsid w:val="00E54557"/>
    <w:rsid w:val="00E551FB"/>
    <w:rsid w:val="00E5527F"/>
    <w:rsid w:val="00E556FE"/>
    <w:rsid w:val="00E565FF"/>
    <w:rsid w:val="00E56658"/>
    <w:rsid w:val="00E568E1"/>
    <w:rsid w:val="00E56BDE"/>
    <w:rsid w:val="00E56BE3"/>
    <w:rsid w:val="00E571F1"/>
    <w:rsid w:val="00E57235"/>
    <w:rsid w:val="00E57AAB"/>
    <w:rsid w:val="00E57E6E"/>
    <w:rsid w:val="00E6030C"/>
    <w:rsid w:val="00E60D64"/>
    <w:rsid w:val="00E6135E"/>
    <w:rsid w:val="00E613F5"/>
    <w:rsid w:val="00E61A81"/>
    <w:rsid w:val="00E621EF"/>
    <w:rsid w:val="00E624ED"/>
    <w:rsid w:val="00E63378"/>
    <w:rsid w:val="00E63417"/>
    <w:rsid w:val="00E635EC"/>
    <w:rsid w:val="00E64451"/>
    <w:rsid w:val="00E6463E"/>
    <w:rsid w:val="00E6522D"/>
    <w:rsid w:val="00E65297"/>
    <w:rsid w:val="00E65388"/>
    <w:rsid w:val="00E6578A"/>
    <w:rsid w:val="00E65A3C"/>
    <w:rsid w:val="00E65D36"/>
    <w:rsid w:val="00E65FF5"/>
    <w:rsid w:val="00E65FFA"/>
    <w:rsid w:val="00E66319"/>
    <w:rsid w:val="00E66D98"/>
    <w:rsid w:val="00E672A3"/>
    <w:rsid w:val="00E672F2"/>
    <w:rsid w:val="00E676D6"/>
    <w:rsid w:val="00E677DE"/>
    <w:rsid w:val="00E707EC"/>
    <w:rsid w:val="00E7082F"/>
    <w:rsid w:val="00E70AD7"/>
    <w:rsid w:val="00E70C24"/>
    <w:rsid w:val="00E71053"/>
    <w:rsid w:val="00E7131C"/>
    <w:rsid w:val="00E71974"/>
    <w:rsid w:val="00E71C1B"/>
    <w:rsid w:val="00E72593"/>
    <w:rsid w:val="00E72A78"/>
    <w:rsid w:val="00E733B4"/>
    <w:rsid w:val="00E733DA"/>
    <w:rsid w:val="00E7356F"/>
    <w:rsid w:val="00E7389C"/>
    <w:rsid w:val="00E74CCD"/>
    <w:rsid w:val="00E74DDA"/>
    <w:rsid w:val="00E74F28"/>
    <w:rsid w:val="00E74F48"/>
    <w:rsid w:val="00E75257"/>
    <w:rsid w:val="00E752E8"/>
    <w:rsid w:val="00E75557"/>
    <w:rsid w:val="00E75755"/>
    <w:rsid w:val="00E76227"/>
    <w:rsid w:val="00E771CF"/>
    <w:rsid w:val="00E7724F"/>
    <w:rsid w:val="00E776BA"/>
    <w:rsid w:val="00E779AD"/>
    <w:rsid w:val="00E77BC6"/>
    <w:rsid w:val="00E77C02"/>
    <w:rsid w:val="00E807CB"/>
    <w:rsid w:val="00E80D9E"/>
    <w:rsid w:val="00E80DB0"/>
    <w:rsid w:val="00E80E8E"/>
    <w:rsid w:val="00E80F11"/>
    <w:rsid w:val="00E81063"/>
    <w:rsid w:val="00E81368"/>
    <w:rsid w:val="00E8142F"/>
    <w:rsid w:val="00E816FE"/>
    <w:rsid w:val="00E81F64"/>
    <w:rsid w:val="00E82130"/>
    <w:rsid w:val="00E8258E"/>
    <w:rsid w:val="00E8284A"/>
    <w:rsid w:val="00E8297E"/>
    <w:rsid w:val="00E82D1F"/>
    <w:rsid w:val="00E8320D"/>
    <w:rsid w:val="00E833C7"/>
    <w:rsid w:val="00E83437"/>
    <w:rsid w:val="00E83869"/>
    <w:rsid w:val="00E83948"/>
    <w:rsid w:val="00E83A7D"/>
    <w:rsid w:val="00E84137"/>
    <w:rsid w:val="00E84384"/>
    <w:rsid w:val="00E8456E"/>
    <w:rsid w:val="00E84E02"/>
    <w:rsid w:val="00E84E88"/>
    <w:rsid w:val="00E84F32"/>
    <w:rsid w:val="00E8519D"/>
    <w:rsid w:val="00E85439"/>
    <w:rsid w:val="00E857E9"/>
    <w:rsid w:val="00E85A35"/>
    <w:rsid w:val="00E85B7D"/>
    <w:rsid w:val="00E8601E"/>
    <w:rsid w:val="00E86211"/>
    <w:rsid w:val="00E863CE"/>
    <w:rsid w:val="00E864A0"/>
    <w:rsid w:val="00E865A3"/>
    <w:rsid w:val="00E869AB"/>
    <w:rsid w:val="00E869AD"/>
    <w:rsid w:val="00E86B25"/>
    <w:rsid w:val="00E86F26"/>
    <w:rsid w:val="00E87127"/>
    <w:rsid w:val="00E873EE"/>
    <w:rsid w:val="00E877C2"/>
    <w:rsid w:val="00E87BEA"/>
    <w:rsid w:val="00E9007D"/>
    <w:rsid w:val="00E908A9"/>
    <w:rsid w:val="00E9121B"/>
    <w:rsid w:val="00E91C00"/>
    <w:rsid w:val="00E920EC"/>
    <w:rsid w:val="00E92330"/>
    <w:rsid w:val="00E925B0"/>
    <w:rsid w:val="00E92604"/>
    <w:rsid w:val="00E92865"/>
    <w:rsid w:val="00E92D98"/>
    <w:rsid w:val="00E9356F"/>
    <w:rsid w:val="00E93D42"/>
    <w:rsid w:val="00E942D3"/>
    <w:rsid w:val="00E94C12"/>
    <w:rsid w:val="00E94E62"/>
    <w:rsid w:val="00E95B3C"/>
    <w:rsid w:val="00E95BC0"/>
    <w:rsid w:val="00E9609D"/>
    <w:rsid w:val="00E9664F"/>
    <w:rsid w:val="00E9690E"/>
    <w:rsid w:val="00E96DFA"/>
    <w:rsid w:val="00E96E06"/>
    <w:rsid w:val="00E96F9B"/>
    <w:rsid w:val="00E972F3"/>
    <w:rsid w:val="00E9746C"/>
    <w:rsid w:val="00E9790D"/>
    <w:rsid w:val="00E97930"/>
    <w:rsid w:val="00E97963"/>
    <w:rsid w:val="00E97B60"/>
    <w:rsid w:val="00E97C34"/>
    <w:rsid w:val="00E97E50"/>
    <w:rsid w:val="00EA0114"/>
    <w:rsid w:val="00EA1093"/>
    <w:rsid w:val="00EA10D6"/>
    <w:rsid w:val="00EA16F6"/>
    <w:rsid w:val="00EA1734"/>
    <w:rsid w:val="00EA1859"/>
    <w:rsid w:val="00EA1901"/>
    <w:rsid w:val="00EA1B5A"/>
    <w:rsid w:val="00EA263B"/>
    <w:rsid w:val="00EA378A"/>
    <w:rsid w:val="00EA39E5"/>
    <w:rsid w:val="00EA3CC2"/>
    <w:rsid w:val="00EA3CFF"/>
    <w:rsid w:val="00EA3DB5"/>
    <w:rsid w:val="00EA417A"/>
    <w:rsid w:val="00EA440B"/>
    <w:rsid w:val="00EA4689"/>
    <w:rsid w:val="00EA4E0A"/>
    <w:rsid w:val="00EA4F9F"/>
    <w:rsid w:val="00EA57D4"/>
    <w:rsid w:val="00EA5C11"/>
    <w:rsid w:val="00EA611D"/>
    <w:rsid w:val="00EA68FF"/>
    <w:rsid w:val="00EA6FED"/>
    <w:rsid w:val="00EA71AF"/>
    <w:rsid w:val="00EA7612"/>
    <w:rsid w:val="00EA78D5"/>
    <w:rsid w:val="00EA7A58"/>
    <w:rsid w:val="00EA7A87"/>
    <w:rsid w:val="00EA7F88"/>
    <w:rsid w:val="00EB07CA"/>
    <w:rsid w:val="00EB0994"/>
    <w:rsid w:val="00EB1348"/>
    <w:rsid w:val="00EB1754"/>
    <w:rsid w:val="00EB22DC"/>
    <w:rsid w:val="00EB254C"/>
    <w:rsid w:val="00EB35B7"/>
    <w:rsid w:val="00EB3B28"/>
    <w:rsid w:val="00EB3D7C"/>
    <w:rsid w:val="00EB45C1"/>
    <w:rsid w:val="00EB46C8"/>
    <w:rsid w:val="00EB4B96"/>
    <w:rsid w:val="00EB4CB8"/>
    <w:rsid w:val="00EB4D3B"/>
    <w:rsid w:val="00EB570E"/>
    <w:rsid w:val="00EB57CC"/>
    <w:rsid w:val="00EB5EA1"/>
    <w:rsid w:val="00EB6086"/>
    <w:rsid w:val="00EB62A1"/>
    <w:rsid w:val="00EB72A0"/>
    <w:rsid w:val="00EB79E0"/>
    <w:rsid w:val="00EB7A2C"/>
    <w:rsid w:val="00EB7CE2"/>
    <w:rsid w:val="00EC012C"/>
    <w:rsid w:val="00EC039B"/>
    <w:rsid w:val="00EC0718"/>
    <w:rsid w:val="00EC0B10"/>
    <w:rsid w:val="00EC0BC0"/>
    <w:rsid w:val="00EC0F04"/>
    <w:rsid w:val="00EC1492"/>
    <w:rsid w:val="00EC1D23"/>
    <w:rsid w:val="00EC1F3E"/>
    <w:rsid w:val="00EC264C"/>
    <w:rsid w:val="00EC2B97"/>
    <w:rsid w:val="00EC33FE"/>
    <w:rsid w:val="00EC3558"/>
    <w:rsid w:val="00EC3754"/>
    <w:rsid w:val="00EC39B6"/>
    <w:rsid w:val="00EC4418"/>
    <w:rsid w:val="00EC45A2"/>
    <w:rsid w:val="00EC480D"/>
    <w:rsid w:val="00EC4860"/>
    <w:rsid w:val="00EC508B"/>
    <w:rsid w:val="00EC5A46"/>
    <w:rsid w:val="00EC63E2"/>
    <w:rsid w:val="00EC6576"/>
    <w:rsid w:val="00EC7A19"/>
    <w:rsid w:val="00EC7FE4"/>
    <w:rsid w:val="00ED020D"/>
    <w:rsid w:val="00ED06E5"/>
    <w:rsid w:val="00ED097F"/>
    <w:rsid w:val="00ED14CF"/>
    <w:rsid w:val="00ED16DD"/>
    <w:rsid w:val="00ED1A0F"/>
    <w:rsid w:val="00ED1A6D"/>
    <w:rsid w:val="00ED1DB6"/>
    <w:rsid w:val="00ED2008"/>
    <w:rsid w:val="00ED226E"/>
    <w:rsid w:val="00ED29D0"/>
    <w:rsid w:val="00ED2F97"/>
    <w:rsid w:val="00ED387A"/>
    <w:rsid w:val="00ED3CE5"/>
    <w:rsid w:val="00ED4278"/>
    <w:rsid w:val="00ED42A5"/>
    <w:rsid w:val="00ED42BF"/>
    <w:rsid w:val="00ED42FB"/>
    <w:rsid w:val="00ED442B"/>
    <w:rsid w:val="00ED4848"/>
    <w:rsid w:val="00ED4F71"/>
    <w:rsid w:val="00ED54D2"/>
    <w:rsid w:val="00ED5A53"/>
    <w:rsid w:val="00ED5F0B"/>
    <w:rsid w:val="00ED611D"/>
    <w:rsid w:val="00ED63BF"/>
    <w:rsid w:val="00ED66E4"/>
    <w:rsid w:val="00ED6894"/>
    <w:rsid w:val="00ED699A"/>
    <w:rsid w:val="00ED73BE"/>
    <w:rsid w:val="00ED7CD1"/>
    <w:rsid w:val="00ED7D63"/>
    <w:rsid w:val="00EE0818"/>
    <w:rsid w:val="00EE0FE0"/>
    <w:rsid w:val="00EE1166"/>
    <w:rsid w:val="00EE13A4"/>
    <w:rsid w:val="00EE162B"/>
    <w:rsid w:val="00EE1B40"/>
    <w:rsid w:val="00EE1BBD"/>
    <w:rsid w:val="00EE1D49"/>
    <w:rsid w:val="00EE2457"/>
    <w:rsid w:val="00EE2637"/>
    <w:rsid w:val="00EE289E"/>
    <w:rsid w:val="00EE2D16"/>
    <w:rsid w:val="00EE2D26"/>
    <w:rsid w:val="00EE2EAD"/>
    <w:rsid w:val="00EE3402"/>
    <w:rsid w:val="00EE37F5"/>
    <w:rsid w:val="00EE3C18"/>
    <w:rsid w:val="00EE3D53"/>
    <w:rsid w:val="00EE3DA8"/>
    <w:rsid w:val="00EE3FC2"/>
    <w:rsid w:val="00EE4385"/>
    <w:rsid w:val="00EE5200"/>
    <w:rsid w:val="00EE523A"/>
    <w:rsid w:val="00EE52D0"/>
    <w:rsid w:val="00EE5A7F"/>
    <w:rsid w:val="00EE5F8C"/>
    <w:rsid w:val="00EE64C2"/>
    <w:rsid w:val="00EE6B4C"/>
    <w:rsid w:val="00EE744C"/>
    <w:rsid w:val="00EE7CDA"/>
    <w:rsid w:val="00EF030C"/>
    <w:rsid w:val="00EF03F0"/>
    <w:rsid w:val="00EF03F8"/>
    <w:rsid w:val="00EF0445"/>
    <w:rsid w:val="00EF04DB"/>
    <w:rsid w:val="00EF0530"/>
    <w:rsid w:val="00EF060B"/>
    <w:rsid w:val="00EF0CE8"/>
    <w:rsid w:val="00EF1386"/>
    <w:rsid w:val="00EF1C65"/>
    <w:rsid w:val="00EF22B3"/>
    <w:rsid w:val="00EF23A8"/>
    <w:rsid w:val="00EF2733"/>
    <w:rsid w:val="00EF2766"/>
    <w:rsid w:val="00EF2F77"/>
    <w:rsid w:val="00EF3DCE"/>
    <w:rsid w:val="00EF3E53"/>
    <w:rsid w:val="00EF42B3"/>
    <w:rsid w:val="00EF4540"/>
    <w:rsid w:val="00EF461E"/>
    <w:rsid w:val="00EF4AEA"/>
    <w:rsid w:val="00EF4BB4"/>
    <w:rsid w:val="00EF4F6B"/>
    <w:rsid w:val="00EF4FCD"/>
    <w:rsid w:val="00EF50D6"/>
    <w:rsid w:val="00EF50F1"/>
    <w:rsid w:val="00EF5439"/>
    <w:rsid w:val="00EF55A0"/>
    <w:rsid w:val="00EF5D90"/>
    <w:rsid w:val="00EF5E94"/>
    <w:rsid w:val="00EF624C"/>
    <w:rsid w:val="00EF64D3"/>
    <w:rsid w:val="00EF6949"/>
    <w:rsid w:val="00EF6A69"/>
    <w:rsid w:val="00EF701A"/>
    <w:rsid w:val="00EF74C6"/>
    <w:rsid w:val="00EF7504"/>
    <w:rsid w:val="00EF789B"/>
    <w:rsid w:val="00EF7A1C"/>
    <w:rsid w:val="00EF7C56"/>
    <w:rsid w:val="00EF7EA5"/>
    <w:rsid w:val="00F00123"/>
    <w:rsid w:val="00F00176"/>
    <w:rsid w:val="00F00740"/>
    <w:rsid w:val="00F01554"/>
    <w:rsid w:val="00F01EBF"/>
    <w:rsid w:val="00F01F9A"/>
    <w:rsid w:val="00F02169"/>
    <w:rsid w:val="00F02AB3"/>
    <w:rsid w:val="00F02DC3"/>
    <w:rsid w:val="00F03DCB"/>
    <w:rsid w:val="00F03EA5"/>
    <w:rsid w:val="00F045CA"/>
    <w:rsid w:val="00F045F3"/>
    <w:rsid w:val="00F0541F"/>
    <w:rsid w:val="00F05636"/>
    <w:rsid w:val="00F058EA"/>
    <w:rsid w:val="00F05F15"/>
    <w:rsid w:val="00F06CB2"/>
    <w:rsid w:val="00F0713C"/>
    <w:rsid w:val="00F07183"/>
    <w:rsid w:val="00F07615"/>
    <w:rsid w:val="00F07C3F"/>
    <w:rsid w:val="00F101E3"/>
    <w:rsid w:val="00F102B0"/>
    <w:rsid w:val="00F10378"/>
    <w:rsid w:val="00F10543"/>
    <w:rsid w:val="00F10AF7"/>
    <w:rsid w:val="00F10E27"/>
    <w:rsid w:val="00F10E89"/>
    <w:rsid w:val="00F112CA"/>
    <w:rsid w:val="00F112D2"/>
    <w:rsid w:val="00F113DA"/>
    <w:rsid w:val="00F1158C"/>
    <w:rsid w:val="00F1174C"/>
    <w:rsid w:val="00F124A7"/>
    <w:rsid w:val="00F12CD7"/>
    <w:rsid w:val="00F13596"/>
    <w:rsid w:val="00F13659"/>
    <w:rsid w:val="00F137AE"/>
    <w:rsid w:val="00F13911"/>
    <w:rsid w:val="00F13C92"/>
    <w:rsid w:val="00F14354"/>
    <w:rsid w:val="00F14890"/>
    <w:rsid w:val="00F14B28"/>
    <w:rsid w:val="00F14D17"/>
    <w:rsid w:val="00F152AC"/>
    <w:rsid w:val="00F15403"/>
    <w:rsid w:val="00F15534"/>
    <w:rsid w:val="00F15B15"/>
    <w:rsid w:val="00F1633E"/>
    <w:rsid w:val="00F16A6E"/>
    <w:rsid w:val="00F171AF"/>
    <w:rsid w:val="00F171C6"/>
    <w:rsid w:val="00F177B6"/>
    <w:rsid w:val="00F17FA2"/>
    <w:rsid w:val="00F208FC"/>
    <w:rsid w:val="00F209FF"/>
    <w:rsid w:val="00F21351"/>
    <w:rsid w:val="00F2142B"/>
    <w:rsid w:val="00F216E5"/>
    <w:rsid w:val="00F21D72"/>
    <w:rsid w:val="00F22156"/>
    <w:rsid w:val="00F2239B"/>
    <w:rsid w:val="00F22832"/>
    <w:rsid w:val="00F22856"/>
    <w:rsid w:val="00F232A6"/>
    <w:rsid w:val="00F23380"/>
    <w:rsid w:val="00F2383B"/>
    <w:rsid w:val="00F23A63"/>
    <w:rsid w:val="00F23B05"/>
    <w:rsid w:val="00F23B67"/>
    <w:rsid w:val="00F2513C"/>
    <w:rsid w:val="00F25984"/>
    <w:rsid w:val="00F25B48"/>
    <w:rsid w:val="00F25D2D"/>
    <w:rsid w:val="00F265B5"/>
    <w:rsid w:val="00F26ECA"/>
    <w:rsid w:val="00F26FEA"/>
    <w:rsid w:val="00F276FE"/>
    <w:rsid w:val="00F27E75"/>
    <w:rsid w:val="00F3034C"/>
    <w:rsid w:val="00F3037E"/>
    <w:rsid w:val="00F30598"/>
    <w:rsid w:val="00F30819"/>
    <w:rsid w:val="00F30823"/>
    <w:rsid w:val="00F30C1C"/>
    <w:rsid w:val="00F3123D"/>
    <w:rsid w:val="00F313F9"/>
    <w:rsid w:val="00F3159F"/>
    <w:rsid w:val="00F31B6E"/>
    <w:rsid w:val="00F31BBA"/>
    <w:rsid w:val="00F31C12"/>
    <w:rsid w:val="00F31DD7"/>
    <w:rsid w:val="00F31FF3"/>
    <w:rsid w:val="00F323A4"/>
    <w:rsid w:val="00F32B93"/>
    <w:rsid w:val="00F3313B"/>
    <w:rsid w:val="00F33147"/>
    <w:rsid w:val="00F336D4"/>
    <w:rsid w:val="00F33EA6"/>
    <w:rsid w:val="00F342E5"/>
    <w:rsid w:val="00F345D1"/>
    <w:rsid w:val="00F34612"/>
    <w:rsid w:val="00F3467B"/>
    <w:rsid w:val="00F346E0"/>
    <w:rsid w:val="00F34A8B"/>
    <w:rsid w:val="00F34B2D"/>
    <w:rsid w:val="00F34EB9"/>
    <w:rsid w:val="00F35409"/>
    <w:rsid w:val="00F35485"/>
    <w:rsid w:val="00F363FC"/>
    <w:rsid w:val="00F36552"/>
    <w:rsid w:val="00F37B49"/>
    <w:rsid w:val="00F37B92"/>
    <w:rsid w:val="00F37DC8"/>
    <w:rsid w:val="00F40152"/>
    <w:rsid w:val="00F40361"/>
    <w:rsid w:val="00F4057A"/>
    <w:rsid w:val="00F40732"/>
    <w:rsid w:val="00F40877"/>
    <w:rsid w:val="00F408F7"/>
    <w:rsid w:val="00F40F1D"/>
    <w:rsid w:val="00F4180A"/>
    <w:rsid w:val="00F41810"/>
    <w:rsid w:val="00F41E06"/>
    <w:rsid w:val="00F422D0"/>
    <w:rsid w:val="00F42766"/>
    <w:rsid w:val="00F4287C"/>
    <w:rsid w:val="00F42A56"/>
    <w:rsid w:val="00F42FA7"/>
    <w:rsid w:val="00F4302C"/>
    <w:rsid w:val="00F430E9"/>
    <w:rsid w:val="00F43413"/>
    <w:rsid w:val="00F43568"/>
    <w:rsid w:val="00F43626"/>
    <w:rsid w:val="00F43B87"/>
    <w:rsid w:val="00F43CF3"/>
    <w:rsid w:val="00F43F6B"/>
    <w:rsid w:val="00F4417E"/>
    <w:rsid w:val="00F4483D"/>
    <w:rsid w:val="00F44EC0"/>
    <w:rsid w:val="00F45182"/>
    <w:rsid w:val="00F455C8"/>
    <w:rsid w:val="00F45CD5"/>
    <w:rsid w:val="00F45E20"/>
    <w:rsid w:val="00F462D5"/>
    <w:rsid w:val="00F468D7"/>
    <w:rsid w:val="00F46C68"/>
    <w:rsid w:val="00F46E13"/>
    <w:rsid w:val="00F470D0"/>
    <w:rsid w:val="00F47176"/>
    <w:rsid w:val="00F47204"/>
    <w:rsid w:val="00F4749D"/>
    <w:rsid w:val="00F474B2"/>
    <w:rsid w:val="00F47530"/>
    <w:rsid w:val="00F47FB0"/>
    <w:rsid w:val="00F50458"/>
    <w:rsid w:val="00F50503"/>
    <w:rsid w:val="00F5097B"/>
    <w:rsid w:val="00F50FC2"/>
    <w:rsid w:val="00F5102E"/>
    <w:rsid w:val="00F5159C"/>
    <w:rsid w:val="00F515C2"/>
    <w:rsid w:val="00F51DD7"/>
    <w:rsid w:val="00F5217F"/>
    <w:rsid w:val="00F5220F"/>
    <w:rsid w:val="00F524B7"/>
    <w:rsid w:val="00F52776"/>
    <w:rsid w:val="00F5323F"/>
    <w:rsid w:val="00F53797"/>
    <w:rsid w:val="00F53B4B"/>
    <w:rsid w:val="00F53C9D"/>
    <w:rsid w:val="00F54062"/>
    <w:rsid w:val="00F54339"/>
    <w:rsid w:val="00F54EFD"/>
    <w:rsid w:val="00F55374"/>
    <w:rsid w:val="00F553DC"/>
    <w:rsid w:val="00F5589D"/>
    <w:rsid w:val="00F565E7"/>
    <w:rsid w:val="00F56E46"/>
    <w:rsid w:val="00F57067"/>
    <w:rsid w:val="00F57647"/>
    <w:rsid w:val="00F5790F"/>
    <w:rsid w:val="00F57937"/>
    <w:rsid w:val="00F57B77"/>
    <w:rsid w:val="00F57EC8"/>
    <w:rsid w:val="00F61420"/>
    <w:rsid w:val="00F619EA"/>
    <w:rsid w:val="00F61EEC"/>
    <w:rsid w:val="00F6220C"/>
    <w:rsid w:val="00F6247E"/>
    <w:rsid w:val="00F62AB3"/>
    <w:rsid w:val="00F62F5B"/>
    <w:rsid w:val="00F63063"/>
    <w:rsid w:val="00F637EA"/>
    <w:rsid w:val="00F63A29"/>
    <w:rsid w:val="00F63DAA"/>
    <w:rsid w:val="00F646EC"/>
    <w:rsid w:val="00F64D1C"/>
    <w:rsid w:val="00F650C3"/>
    <w:rsid w:val="00F656BF"/>
    <w:rsid w:val="00F65969"/>
    <w:rsid w:val="00F65994"/>
    <w:rsid w:val="00F65B21"/>
    <w:rsid w:val="00F664E7"/>
    <w:rsid w:val="00F6753C"/>
    <w:rsid w:val="00F676B2"/>
    <w:rsid w:val="00F67E14"/>
    <w:rsid w:val="00F701A0"/>
    <w:rsid w:val="00F70C4E"/>
    <w:rsid w:val="00F70CFB"/>
    <w:rsid w:val="00F71755"/>
    <w:rsid w:val="00F7189B"/>
    <w:rsid w:val="00F71D0C"/>
    <w:rsid w:val="00F71DB9"/>
    <w:rsid w:val="00F722C0"/>
    <w:rsid w:val="00F72833"/>
    <w:rsid w:val="00F7294C"/>
    <w:rsid w:val="00F7326B"/>
    <w:rsid w:val="00F73333"/>
    <w:rsid w:val="00F738A5"/>
    <w:rsid w:val="00F7392C"/>
    <w:rsid w:val="00F744C3"/>
    <w:rsid w:val="00F744DD"/>
    <w:rsid w:val="00F7450A"/>
    <w:rsid w:val="00F751CC"/>
    <w:rsid w:val="00F757EE"/>
    <w:rsid w:val="00F75918"/>
    <w:rsid w:val="00F75F99"/>
    <w:rsid w:val="00F766B9"/>
    <w:rsid w:val="00F766F7"/>
    <w:rsid w:val="00F7693C"/>
    <w:rsid w:val="00F76CAE"/>
    <w:rsid w:val="00F76E8B"/>
    <w:rsid w:val="00F76F0D"/>
    <w:rsid w:val="00F776CF"/>
    <w:rsid w:val="00F77AC9"/>
    <w:rsid w:val="00F803B9"/>
    <w:rsid w:val="00F80485"/>
    <w:rsid w:val="00F804E7"/>
    <w:rsid w:val="00F80854"/>
    <w:rsid w:val="00F8091E"/>
    <w:rsid w:val="00F80926"/>
    <w:rsid w:val="00F809C0"/>
    <w:rsid w:val="00F80FC2"/>
    <w:rsid w:val="00F81431"/>
    <w:rsid w:val="00F81C6C"/>
    <w:rsid w:val="00F82396"/>
    <w:rsid w:val="00F82685"/>
    <w:rsid w:val="00F82C49"/>
    <w:rsid w:val="00F82CD0"/>
    <w:rsid w:val="00F82FCF"/>
    <w:rsid w:val="00F83173"/>
    <w:rsid w:val="00F836C7"/>
    <w:rsid w:val="00F83840"/>
    <w:rsid w:val="00F8455C"/>
    <w:rsid w:val="00F84712"/>
    <w:rsid w:val="00F84D99"/>
    <w:rsid w:val="00F85022"/>
    <w:rsid w:val="00F8539C"/>
    <w:rsid w:val="00F854BC"/>
    <w:rsid w:val="00F85894"/>
    <w:rsid w:val="00F859B3"/>
    <w:rsid w:val="00F85BD8"/>
    <w:rsid w:val="00F85FD1"/>
    <w:rsid w:val="00F8615C"/>
    <w:rsid w:val="00F862A1"/>
    <w:rsid w:val="00F8675B"/>
    <w:rsid w:val="00F86863"/>
    <w:rsid w:val="00F86D1B"/>
    <w:rsid w:val="00F86FE0"/>
    <w:rsid w:val="00F8756A"/>
    <w:rsid w:val="00F87619"/>
    <w:rsid w:val="00F876DF"/>
    <w:rsid w:val="00F87794"/>
    <w:rsid w:val="00F87DF7"/>
    <w:rsid w:val="00F90B89"/>
    <w:rsid w:val="00F9106F"/>
    <w:rsid w:val="00F91281"/>
    <w:rsid w:val="00F91908"/>
    <w:rsid w:val="00F91D56"/>
    <w:rsid w:val="00F91DB7"/>
    <w:rsid w:val="00F92BBE"/>
    <w:rsid w:val="00F9399A"/>
    <w:rsid w:val="00F93A17"/>
    <w:rsid w:val="00F93A5E"/>
    <w:rsid w:val="00F93A7A"/>
    <w:rsid w:val="00F93C9A"/>
    <w:rsid w:val="00F9443C"/>
    <w:rsid w:val="00F947A5"/>
    <w:rsid w:val="00F94AE2"/>
    <w:rsid w:val="00F96137"/>
    <w:rsid w:val="00F9616D"/>
    <w:rsid w:val="00F9705A"/>
    <w:rsid w:val="00F9754C"/>
    <w:rsid w:val="00F97835"/>
    <w:rsid w:val="00F978C1"/>
    <w:rsid w:val="00F97AD9"/>
    <w:rsid w:val="00FA04A0"/>
    <w:rsid w:val="00FA09F2"/>
    <w:rsid w:val="00FA102D"/>
    <w:rsid w:val="00FA10CB"/>
    <w:rsid w:val="00FA1543"/>
    <w:rsid w:val="00FA168B"/>
    <w:rsid w:val="00FA22FA"/>
    <w:rsid w:val="00FA27CB"/>
    <w:rsid w:val="00FA28AB"/>
    <w:rsid w:val="00FA2D0B"/>
    <w:rsid w:val="00FA2DAB"/>
    <w:rsid w:val="00FA2E59"/>
    <w:rsid w:val="00FA3451"/>
    <w:rsid w:val="00FA352E"/>
    <w:rsid w:val="00FA3C8F"/>
    <w:rsid w:val="00FA489F"/>
    <w:rsid w:val="00FA49DE"/>
    <w:rsid w:val="00FA54D4"/>
    <w:rsid w:val="00FA5670"/>
    <w:rsid w:val="00FA595F"/>
    <w:rsid w:val="00FA5B73"/>
    <w:rsid w:val="00FA5BEF"/>
    <w:rsid w:val="00FA6792"/>
    <w:rsid w:val="00FA7A2F"/>
    <w:rsid w:val="00FA7AE9"/>
    <w:rsid w:val="00FA7FED"/>
    <w:rsid w:val="00FB047D"/>
    <w:rsid w:val="00FB06AA"/>
    <w:rsid w:val="00FB06F0"/>
    <w:rsid w:val="00FB07A1"/>
    <w:rsid w:val="00FB0889"/>
    <w:rsid w:val="00FB0D6D"/>
    <w:rsid w:val="00FB11B6"/>
    <w:rsid w:val="00FB125E"/>
    <w:rsid w:val="00FB1552"/>
    <w:rsid w:val="00FB1E12"/>
    <w:rsid w:val="00FB2A56"/>
    <w:rsid w:val="00FB2A88"/>
    <w:rsid w:val="00FB2AC2"/>
    <w:rsid w:val="00FB2CA7"/>
    <w:rsid w:val="00FB3296"/>
    <w:rsid w:val="00FB3646"/>
    <w:rsid w:val="00FB3A05"/>
    <w:rsid w:val="00FB3A0A"/>
    <w:rsid w:val="00FB3C26"/>
    <w:rsid w:val="00FB3E15"/>
    <w:rsid w:val="00FB3EDD"/>
    <w:rsid w:val="00FB42E2"/>
    <w:rsid w:val="00FB486E"/>
    <w:rsid w:val="00FB4B6F"/>
    <w:rsid w:val="00FB4CC1"/>
    <w:rsid w:val="00FB4CF8"/>
    <w:rsid w:val="00FB5576"/>
    <w:rsid w:val="00FB631A"/>
    <w:rsid w:val="00FB6497"/>
    <w:rsid w:val="00FB64FE"/>
    <w:rsid w:val="00FB651A"/>
    <w:rsid w:val="00FB68A8"/>
    <w:rsid w:val="00FB6B3B"/>
    <w:rsid w:val="00FB706F"/>
    <w:rsid w:val="00FB72AF"/>
    <w:rsid w:val="00FB7595"/>
    <w:rsid w:val="00FB7644"/>
    <w:rsid w:val="00FB79E6"/>
    <w:rsid w:val="00FB7BDA"/>
    <w:rsid w:val="00FC06EF"/>
    <w:rsid w:val="00FC0993"/>
    <w:rsid w:val="00FC0EBD"/>
    <w:rsid w:val="00FC18BA"/>
    <w:rsid w:val="00FC1DD3"/>
    <w:rsid w:val="00FC1F5B"/>
    <w:rsid w:val="00FC271B"/>
    <w:rsid w:val="00FC2925"/>
    <w:rsid w:val="00FC2AE7"/>
    <w:rsid w:val="00FC2D8B"/>
    <w:rsid w:val="00FC3142"/>
    <w:rsid w:val="00FC3782"/>
    <w:rsid w:val="00FC386D"/>
    <w:rsid w:val="00FC3B73"/>
    <w:rsid w:val="00FC3DEE"/>
    <w:rsid w:val="00FC3ED8"/>
    <w:rsid w:val="00FC403C"/>
    <w:rsid w:val="00FC4E0C"/>
    <w:rsid w:val="00FC564D"/>
    <w:rsid w:val="00FC57AE"/>
    <w:rsid w:val="00FC5AC6"/>
    <w:rsid w:val="00FC6223"/>
    <w:rsid w:val="00FC6250"/>
    <w:rsid w:val="00FC65FF"/>
    <w:rsid w:val="00FC6600"/>
    <w:rsid w:val="00FC6A08"/>
    <w:rsid w:val="00FC6AAF"/>
    <w:rsid w:val="00FC6D04"/>
    <w:rsid w:val="00FC72F0"/>
    <w:rsid w:val="00FC7392"/>
    <w:rsid w:val="00FC7CA1"/>
    <w:rsid w:val="00FD0AC1"/>
    <w:rsid w:val="00FD0D1C"/>
    <w:rsid w:val="00FD0F4A"/>
    <w:rsid w:val="00FD1418"/>
    <w:rsid w:val="00FD1917"/>
    <w:rsid w:val="00FD1CB6"/>
    <w:rsid w:val="00FD2403"/>
    <w:rsid w:val="00FD2AE7"/>
    <w:rsid w:val="00FD31E4"/>
    <w:rsid w:val="00FD3648"/>
    <w:rsid w:val="00FD3ECA"/>
    <w:rsid w:val="00FD42A1"/>
    <w:rsid w:val="00FD4B9A"/>
    <w:rsid w:val="00FD4C87"/>
    <w:rsid w:val="00FD52DB"/>
    <w:rsid w:val="00FD5354"/>
    <w:rsid w:val="00FD5833"/>
    <w:rsid w:val="00FD5860"/>
    <w:rsid w:val="00FD5C9E"/>
    <w:rsid w:val="00FD5D35"/>
    <w:rsid w:val="00FD6A1C"/>
    <w:rsid w:val="00FD6C75"/>
    <w:rsid w:val="00FD7803"/>
    <w:rsid w:val="00FD7AEE"/>
    <w:rsid w:val="00FD7DB4"/>
    <w:rsid w:val="00FD7F37"/>
    <w:rsid w:val="00FE030B"/>
    <w:rsid w:val="00FE0430"/>
    <w:rsid w:val="00FE0A16"/>
    <w:rsid w:val="00FE0A82"/>
    <w:rsid w:val="00FE0EFD"/>
    <w:rsid w:val="00FE1746"/>
    <w:rsid w:val="00FE1784"/>
    <w:rsid w:val="00FE27DE"/>
    <w:rsid w:val="00FE28E1"/>
    <w:rsid w:val="00FE2AE9"/>
    <w:rsid w:val="00FE2B2A"/>
    <w:rsid w:val="00FE319B"/>
    <w:rsid w:val="00FE3222"/>
    <w:rsid w:val="00FE352D"/>
    <w:rsid w:val="00FE37D1"/>
    <w:rsid w:val="00FE39AD"/>
    <w:rsid w:val="00FE3A86"/>
    <w:rsid w:val="00FE3B6A"/>
    <w:rsid w:val="00FE3C6C"/>
    <w:rsid w:val="00FE3CBE"/>
    <w:rsid w:val="00FE3FB3"/>
    <w:rsid w:val="00FE48C8"/>
    <w:rsid w:val="00FE49DD"/>
    <w:rsid w:val="00FE4C2E"/>
    <w:rsid w:val="00FE539A"/>
    <w:rsid w:val="00FE53FC"/>
    <w:rsid w:val="00FE5641"/>
    <w:rsid w:val="00FE68F2"/>
    <w:rsid w:val="00FE696C"/>
    <w:rsid w:val="00FE7115"/>
    <w:rsid w:val="00FE7513"/>
    <w:rsid w:val="00FE7767"/>
    <w:rsid w:val="00FE7D62"/>
    <w:rsid w:val="00FE7FA0"/>
    <w:rsid w:val="00FF16DC"/>
    <w:rsid w:val="00FF19E8"/>
    <w:rsid w:val="00FF2201"/>
    <w:rsid w:val="00FF223C"/>
    <w:rsid w:val="00FF255E"/>
    <w:rsid w:val="00FF2D97"/>
    <w:rsid w:val="00FF2FDC"/>
    <w:rsid w:val="00FF328D"/>
    <w:rsid w:val="00FF354D"/>
    <w:rsid w:val="00FF4129"/>
    <w:rsid w:val="00FF45DE"/>
    <w:rsid w:val="00FF48E3"/>
    <w:rsid w:val="00FF4BA3"/>
    <w:rsid w:val="00FF4D3C"/>
    <w:rsid w:val="00FF5260"/>
    <w:rsid w:val="00FF5306"/>
    <w:rsid w:val="00FF54FC"/>
    <w:rsid w:val="00FF5F1F"/>
    <w:rsid w:val="00FF6327"/>
    <w:rsid w:val="00FF63B6"/>
    <w:rsid w:val="00FF6413"/>
    <w:rsid w:val="00FF731F"/>
    <w:rsid w:val="00FF7829"/>
    <w:rsid w:val="00FF7F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B6E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30A87"/>
    <w:rPr>
      <w:rFonts w:ascii="Times New Roman" w:hAnsi="Times New Roman"/>
      <w:sz w:val="24"/>
      <w:szCs w:val="24"/>
      <w:lang w:eastAsia="de-DE"/>
    </w:rPr>
  </w:style>
  <w:style w:type="paragraph" w:styleId="Heading1">
    <w:name w:val="heading 1"/>
    <w:basedOn w:val="Standardde"/>
    <w:next w:val="Standardde"/>
    <w:link w:val="Heading1Char"/>
    <w:qFormat/>
    <w:rsid w:val="008C0565"/>
    <w:pPr>
      <w:keepNext/>
      <w:pageBreakBefore/>
      <w:numPr>
        <w:numId w:val="1"/>
      </w:numPr>
      <w:outlineLvl w:val="0"/>
    </w:pPr>
    <w:rPr>
      <w:rFonts w:ascii="Times New Roman" w:hAnsi="Times New Roman"/>
      <w:b/>
      <w:bCs/>
      <w:sz w:val="24"/>
    </w:rPr>
  </w:style>
  <w:style w:type="paragraph" w:styleId="Heading2">
    <w:name w:val="heading 2"/>
    <w:aliases w:val="u2,h2,A.B.C.,Ü 2,Chpt"/>
    <w:basedOn w:val="Standardde"/>
    <w:next w:val="Standardde"/>
    <w:link w:val="Heading2Char"/>
    <w:qFormat/>
    <w:rsid w:val="008C0565"/>
    <w:pPr>
      <w:keepNext/>
      <w:numPr>
        <w:ilvl w:val="1"/>
        <w:numId w:val="1"/>
      </w:numPr>
      <w:tabs>
        <w:tab w:val="clear" w:pos="3837"/>
        <w:tab w:val="num" w:pos="756"/>
      </w:tabs>
      <w:spacing w:before="120"/>
      <w:ind w:left="756"/>
      <w:outlineLvl w:val="1"/>
    </w:pPr>
    <w:rPr>
      <w:rFonts w:ascii="Times New Roman" w:hAnsi="Times New Roman"/>
      <w:b/>
      <w:iCs/>
    </w:rPr>
  </w:style>
  <w:style w:type="paragraph" w:styleId="Heading3">
    <w:name w:val="heading 3"/>
    <w:aliases w:val="h3,1.2.3.,Sec"/>
    <w:basedOn w:val="Standardde"/>
    <w:next w:val="Standardde"/>
    <w:link w:val="Heading3Char"/>
    <w:qFormat/>
    <w:rsid w:val="008C0565"/>
    <w:pPr>
      <w:keepNext/>
      <w:numPr>
        <w:ilvl w:val="2"/>
        <w:numId w:val="1"/>
      </w:numPr>
      <w:spacing w:before="120"/>
      <w:outlineLvl w:val="2"/>
    </w:pPr>
    <w:rPr>
      <w:rFonts w:ascii="Times New Roman" w:hAnsi="Times New Roman"/>
      <w:bCs/>
      <w:i/>
      <w:sz w:val="20"/>
      <w:u w:val="single"/>
    </w:rPr>
  </w:style>
  <w:style w:type="paragraph" w:styleId="Heading4">
    <w:name w:val="heading 4"/>
    <w:aliases w:val="h4,Level III for #'s"/>
    <w:basedOn w:val="Standardde"/>
    <w:next w:val="Paralevel1"/>
    <w:link w:val="Heading4Char"/>
    <w:qFormat/>
    <w:rsid w:val="00A249B5"/>
    <w:pPr>
      <w:keepNext/>
      <w:numPr>
        <w:ilvl w:val="3"/>
        <w:numId w:val="1"/>
      </w:numPr>
      <w:outlineLvl w:val="3"/>
    </w:pPr>
    <w:rPr>
      <w:rFonts w:ascii="Times New Roman" w:hAnsi="Times New Roman"/>
      <w:b/>
      <w:i/>
    </w:rPr>
  </w:style>
  <w:style w:type="paragraph" w:styleId="Heading5">
    <w:name w:val="heading 5"/>
    <w:basedOn w:val="Normal"/>
    <w:next w:val="Normal"/>
    <w:link w:val="Heading5Char"/>
    <w:qFormat/>
    <w:rsid w:val="0026736F"/>
    <w:pPr>
      <w:numPr>
        <w:ilvl w:val="4"/>
        <w:numId w:val="1"/>
      </w:numPr>
      <w:spacing w:before="240" w:after="60"/>
      <w:outlineLvl w:val="4"/>
    </w:pPr>
    <w:rPr>
      <w:b/>
      <w:bCs/>
      <w:i/>
      <w:iCs/>
      <w:sz w:val="20"/>
      <w:szCs w:val="26"/>
    </w:rPr>
  </w:style>
  <w:style w:type="paragraph" w:styleId="Heading6">
    <w:name w:val="heading 6"/>
    <w:basedOn w:val="Normal"/>
    <w:next w:val="Normal"/>
    <w:link w:val="Heading6Char"/>
    <w:qFormat/>
    <w:rsid w:val="00A67890"/>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67890"/>
    <w:pPr>
      <w:numPr>
        <w:ilvl w:val="6"/>
        <w:numId w:val="1"/>
      </w:numPr>
      <w:spacing w:before="240" w:after="60"/>
      <w:outlineLvl w:val="6"/>
    </w:pPr>
  </w:style>
  <w:style w:type="paragraph" w:styleId="Heading8">
    <w:name w:val="heading 8"/>
    <w:basedOn w:val="Normal"/>
    <w:next w:val="Normal"/>
    <w:link w:val="Heading8Char"/>
    <w:qFormat/>
    <w:rsid w:val="00A67890"/>
    <w:pPr>
      <w:numPr>
        <w:ilvl w:val="7"/>
        <w:numId w:val="1"/>
      </w:numPr>
      <w:spacing w:before="240" w:after="60"/>
      <w:outlineLvl w:val="7"/>
    </w:pPr>
    <w:rPr>
      <w:i/>
      <w:iCs/>
    </w:rPr>
  </w:style>
  <w:style w:type="paragraph" w:styleId="Heading9">
    <w:name w:val="heading 9"/>
    <w:basedOn w:val="Normal"/>
    <w:next w:val="Normal"/>
    <w:link w:val="Heading9Char"/>
    <w:qFormat/>
    <w:rsid w:val="00A67890"/>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C0565"/>
    <w:rPr>
      <w:rFonts w:ascii="Times New Roman" w:hAnsi="Times New Roman"/>
      <w:b/>
      <w:bCs/>
      <w:sz w:val="24"/>
      <w:lang w:eastAsia="de-DE"/>
    </w:rPr>
  </w:style>
  <w:style w:type="character" w:customStyle="1" w:styleId="Heading2Char">
    <w:name w:val="Heading 2 Char"/>
    <w:aliases w:val="u2 Char,h2 Char,A.B.C. Char,Ü 2 Char,Chpt Char"/>
    <w:basedOn w:val="DefaultParagraphFont"/>
    <w:link w:val="Heading2"/>
    <w:locked/>
    <w:rsid w:val="008C0565"/>
    <w:rPr>
      <w:rFonts w:ascii="Times New Roman" w:hAnsi="Times New Roman"/>
      <w:b/>
      <w:iCs/>
      <w:sz w:val="22"/>
      <w:lang w:eastAsia="de-DE"/>
    </w:rPr>
  </w:style>
  <w:style w:type="character" w:customStyle="1" w:styleId="Heading3Char">
    <w:name w:val="Heading 3 Char"/>
    <w:aliases w:val="h3 Char,1.2.3. Char,Sec Char"/>
    <w:basedOn w:val="DefaultParagraphFont"/>
    <w:link w:val="Heading3"/>
    <w:locked/>
    <w:rsid w:val="008C0565"/>
    <w:rPr>
      <w:rFonts w:ascii="Times New Roman" w:hAnsi="Times New Roman"/>
      <w:bCs/>
      <w:i/>
      <w:u w:val="single"/>
      <w:lang w:eastAsia="de-DE"/>
    </w:rPr>
  </w:style>
  <w:style w:type="character" w:customStyle="1" w:styleId="Heading4Char">
    <w:name w:val="Heading 4 Char"/>
    <w:aliases w:val="h4 Char,Level III for #'s Char"/>
    <w:basedOn w:val="DefaultParagraphFont"/>
    <w:link w:val="Heading4"/>
    <w:locked/>
    <w:rsid w:val="00A249B5"/>
    <w:rPr>
      <w:rFonts w:ascii="Times New Roman" w:hAnsi="Times New Roman"/>
      <w:b/>
      <w:i/>
      <w:sz w:val="22"/>
      <w:lang w:eastAsia="de-DE"/>
    </w:rPr>
  </w:style>
  <w:style w:type="character" w:customStyle="1" w:styleId="Heading5Char">
    <w:name w:val="Heading 5 Char"/>
    <w:basedOn w:val="DefaultParagraphFont"/>
    <w:link w:val="Heading5"/>
    <w:locked/>
    <w:rsid w:val="0026736F"/>
    <w:rPr>
      <w:rFonts w:ascii="Times New Roman" w:hAnsi="Times New Roman"/>
      <w:b/>
      <w:bCs/>
      <w:i/>
      <w:iCs/>
      <w:szCs w:val="26"/>
      <w:lang w:eastAsia="de-DE"/>
    </w:rPr>
  </w:style>
  <w:style w:type="character" w:customStyle="1" w:styleId="Heading6Char">
    <w:name w:val="Heading 6 Char"/>
    <w:basedOn w:val="DefaultParagraphFont"/>
    <w:link w:val="Heading6"/>
    <w:locked/>
    <w:rsid w:val="00AC4CE6"/>
    <w:rPr>
      <w:rFonts w:ascii="Times New Roman" w:hAnsi="Times New Roman"/>
      <w:b/>
      <w:bCs/>
      <w:sz w:val="22"/>
      <w:szCs w:val="22"/>
      <w:lang w:eastAsia="de-DE"/>
    </w:rPr>
  </w:style>
  <w:style w:type="character" w:customStyle="1" w:styleId="Heading7Char">
    <w:name w:val="Heading 7 Char"/>
    <w:basedOn w:val="DefaultParagraphFont"/>
    <w:link w:val="Heading7"/>
    <w:locked/>
    <w:rsid w:val="00AC4CE6"/>
    <w:rPr>
      <w:rFonts w:ascii="Times New Roman" w:hAnsi="Times New Roman"/>
      <w:sz w:val="24"/>
      <w:szCs w:val="24"/>
      <w:lang w:eastAsia="de-DE"/>
    </w:rPr>
  </w:style>
  <w:style w:type="character" w:customStyle="1" w:styleId="Heading8Char">
    <w:name w:val="Heading 8 Char"/>
    <w:basedOn w:val="DefaultParagraphFont"/>
    <w:link w:val="Heading8"/>
    <w:locked/>
    <w:rsid w:val="00AC4CE6"/>
    <w:rPr>
      <w:rFonts w:ascii="Times New Roman" w:hAnsi="Times New Roman"/>
      <w:i/>
      <w:iCs/>
      <w:sz w:val="24"/>
      <w:szCs w:val="24"/>
      <w:lang w:eastAsia="de-DE"/>
    </w:rPr>
  </w:style>
  <w:style w:type="character" w:customStyle="1" w:styleId="Heading9Char">
    <w:name w:val="Heading 9 Char"/>
    <w:basedOn w:val="DefaultParagraphFont"/>
    <w:link w:val="Heading9"/>
    <w:locked/>
    <w:rsid w:val="00AC4CE6"/>
    <w:rPr>
      <w:rFonts w:ascii="Arial" w:hAnsi="Arial"/>
      <w:sz w:val="22"/>
      <w:szCs w:val="22"/>
      <w:lang w:eastAsia="de-DE"/>
    </w:rPr>
  </w:style>
  <w:style w:type="paragraph" w:customStyle="1" w:styleId="Standardde">
    <w:name w:val="Standard_de"/>
    <w:basedOn w:val="Normal"/>
    <w:link w:val="StandarddeZchn"/>
    <w:rsid w:val="00AC4CE6"/>
    <w:pPr>
      <w:widowControl w:val="0"/>
      <w:spacing w:after="240" w:line="288" w:lineRule="auto"/>
      <w:jc w:val="both"/>
    </w:pPr>
    <w:rPr>
      <w:rFonts w:ascii="Arial" w:hAnsi="Arial"/>
      <w:sz w:val="22"/>
      <w:szCs w:val="20"/>
    </w:rPr>
  </w:style>
  <w:style w:type="character" w:styleId="FootnoteReference">
    <w:name w:val="footnote reference"/>
    <w:aliases w:val="16 Point,Superscript 6 Point,Footnote Reference1,ftref,(Ref. de nota al pie),number,SUPERS,Footnote Reference Superscript,Ref,de nota al pie,註腳內容,de nota al pie + (Asian) MS Mincho,11 pt,Ref. de nota de rodapé1,stylish,Footnote symbol"/>
    <w:basedOn w:val="DefaultParagraphFont"/>
    <w:rsid w:val="00AC4CE6"/>
    <w:rPr>
      <w:rFonts w:cs="Times New Roman"/>
      <w:vertAlign w:val="superscript"/>
      <w:lang w:val="en-GB"/>
    </w:rPr>
  </w:style>
  <w:style w:type="paragraph" w:styleId="Footer">
    <w:name w:val="footer"/>
    <w:basedOn w:val="Normal"/>
    <w:link w:val="FooterChar"/>
    <w:uiPriority w:val="99"/>
    <w:rsid w:val="00A67890"/>
    <w:pPr>
      <w:tabs>
        <w:tab w:val="center" w:pos="4536"/>
        <w:tab w:val="right" w:pos="9072"/>
      </w:tabs>
      <w:spacing w:after="240" w:line="288" w:lineRule="auto"/>
      <w:jc w:val="center"/>
    </w:pPr>
    <w:rPr>
      <w:rFonts w:ascii="Arial" w:hAnsi="Arial" w:cs="Arial"/>
      <w:sz w:val="20"/>
      <w:szCs w:val="20"/>
    </w:rPr>
  </w:style>
  <w:style w:type="character" w:customStyle="1" w:styleId="FooterChar">
    <w:name w:val="Footer Char"/>
    <w:basedOn w:val="DefaultParagraphFont"/>
    <w:link w:val="Footer"/>
    <w:uiPriority w:val="99"/>
    <w:locked/>
    <w:rsid w:val="00AC4CE6"/>
    <w:rPr>
      <w:rFonts w:ascii="Arial" w:hAnsi="Arial" w:cs="Arial"/>
      <w:lang w:val="en-GB" w:eastAsia="de-DE"/>
    </w:rPr>
  </w:style>
  <w:style w:type="character" w:styleId="PageNumber">
    <w:name w:val="page number"/>
    <w:basedOn w:val="DefaultParagraphFont"/>
    <w:rsid w:val="00A67890"/>
    <w:rPr>
      <w:rFonts w:cs="Times New Roman"/>
      <w:lang w:val="en-GB"/>
    </w:rPr>
  </w:style>
  <w:style w:type="paragraph" w:styleId="TOC1">
    <w:name w:val="toc 1"/>
    <w:basedOn w:val="Normal"/>
    <w:next w:val="Normal"/>
    <w:autoRedefine/>
    <w:uiPriority w:val="39"/>
    <w:rsid w:val="00D14B95"/>
    <w:pPr>
      <w:tabs>
        <w:tab w:val="left" w:pos="0"/>
        <w:tab w:val="right" w:leader="dot" w:pos="9072"/>
      </w:tabs>
      <w:spacing w:after="120"/>
      <w:ind w:left="567" w:right="567" w:hanging="567"/>
    </w:pPr>
    <w:rPr>
      <w:b/>
    </w:rPr>
  </w:style>
  <w:style w:type="paragraph" w:styleId="TOC2">
    <w:name w:val="toc 2"/>
    <w:basedOn w:val="Normal"/>
    <w:next w:val="Normal"/>
    <w:autoRedefine/>
    <w:uiPriority w:val="39"/>
    <w:rsid w:val="00817999"/>
    <w:pPr>
      <w:tabs>
        <w:tab w:val="left" w:pos="709"/>
        <w:tab w:val="left" w:pos="1418"/>
        <w:tab w:val="right" w:leader="dot" w:pos="9072"/>
      </w:tabs>
      <w:ind w:left="1418" w:right="567" w:hanging="1134"/>
    </w:pPr>
    <w:rPr>
      <w:rFonts w:cs="Arial"/>
      <w:noProof/>
    </w:rPr>
  </w:style>
  <w:style w:type="paragraph" w:styleId="TOC3">
    <w:name w:val="toc 3"/>
    <w:basedOn w:val="Normal"/>
    <w:next w:val="Normal"/>
    <w:autoRedefine/>
    <w:uiPriority w:val="39"/>
    <w:rsid w:val="00817999"/>
    <w:pPr>
      <w:tabs>
        <w:tab w:val="left" w:pos="1418"/>
        <w:tab w:val="right" w:leader="dot" w:pos="9072"/>
      </w:tabs>
      <w:spacing w:after="60"/>
      <w:ind w:left="1418" w:right="567" w:hanging="567"/>
    </w:pPr>
    <w:rPr>
      <w:noProof/>
      <w:sz w:val="22"/>
    </w:rPr>
  </w:style>
  <w:style w:type="character" w:styleId="Hyperlink">
    <w:name w:val="Hyperlink"/>
    <w:basedOn w:val="DefaultParagraphFont"/>
    <w:uiPriority w:val="99"/>
    <w:rsid w:val="00A67890"/>
    <w:rPr>
      <w:rFonts w:cs="Times New Roman"/>
      <w:color w:val="0000FF"/>
      <w:u w:val="single"/>
      <w:lang w:val="en-GB"/>
    </w:rPr>
  </w:style>
  <w:style w:type="paragraph" w:styleId="Header">
    <w:name w:val="header"/>
    <w:basedOn w:val="Normal"/>
    <w:link w:val="HeaderChar"/>
    <w:uiPriority w:val="99"/>
    <w:rsid w:val="00A67890"/>
    <w:pPr>
      <w:tabs>
        <w:tab w:val="center" w:pos="4536"/>
        <w:tab w:val="right" w:pos="9072"/>
      </w:tabs>
    </w:pPr>
  </w:style>
  <w:style w:type="character" w:customStyle="1" w:styleId="HeaderChar">
    <w:name w:val="Header Char"/>
    <w:basedOn w:val="DefaultParagraphFont"/>
    <w:link w:val="Header"/>
    <w:uiPriority w:val="99"/>
    <w:locked/>
    <w:rsid w:val="00AC4CE6"/>
    <w:rPr>
      <w:rFonts w:ascii="Times New Roman" w:hAnsi="Times New Roman"/>
      <w:sz w:val="24"/>
      <w:szCs w:val="24"/>
      <w:lang w:val="en-GB" w:eastAsia="de-DE"/>
    </w:rPr>
  </w:style>
  <w:style w:type="paragraph" w:styleId="FootnoteText">
    <w:name w:val="footnote text"/>
    <w:aliases w:val="Geneva 9,Font: Geneva 9,Boston 10,f,Footnote Text1,93,single space,Footnote Text Rail EIS,ft,footnote3,Footnotes,Footnote ak,fn cafc,Footnotes Char Char,Footnote Text Char Char,fn Char Char,Footnote Text Char Char Char Char,footnote text,C"/>
    <w:basedOn w:val="Standardde"/>
    <w:link w:val="FootnoteTextChar"/>
    <w:qFormat/>
    <w:rsid w:val="00A67890"/>
    <w:rPr>
      <w:rFonts w:eastAsia="Times New Roman"/>
      <w:snapToGrid w:val="0"/>
      <w:sz w:val="20"/>
    </w:rPr>
  </w:style>
  <w:style w:type="character" w:customStyle="1" w:styleId="FootnoteTextChar">
    <w:name w:val="Footnote Text Char"/>
    <w:aliases w:val="Geneva 9 Char,Font: Geneva 9 Char,Boston 10 Char,f Char,Footnote Text1 Char,93 Char,single space Char,Footnote Text Rail EIS Char,ft Char,footnote3 Char,Footnotes Char,Footnote ak Char,fn cafc Char,Footnotes Char Char Char,C Char"/>
    <w:basedOn w:val="DefaultParagraphFont"/>
    <w:link w:val="FootnoteText"/>
    <w:locked/>
    <w:rsid w:val="00A67890"/>
    <w:rPr>
      <w:rFonts w:ascii="Arial" w:eastAsia="Times New Roman" w:hAnsi="Arial"/>
      <w:snapToGrid w:val="0"/>
      <w:lang w:val="en-GB" w:eastAsia="de-DE"/>
    </w:rPr>
  </w:style>
  <w:style w:type="character" w:styleId="Strong">
    <w:name w:val="Strong"/>
    <w:basedOn w:val="DefaultParagraphFont"/>
    <w:uiPriority w:val="22"/>
    <w:qFormat/>
    <w:rsid w:val="00AC4CE6"/>
    <w:rPr>
      <w:rFonts w:cs="Times New Roman"/>
      <w:b/>
      <w:bCs/>
      <w:lang w:val="en-GB"/>
    </w:rPr>
  </w:style>
  <w:style w:type="paragraph" w:styleId="BalloonText">
    <w:name w:val="Balloon Text"/>
    <w:basedOn w:val="Normal"/>
    <w:link w:val="BalloonTextChar"/>
    <w:semiHidden/>
    <w:rsid w:val="00A67890"/>
    <w:rPr>
      <w:rFonts w:ascii="Tahoma" w:hAnsi="Tahoma" w:cs="Tahoma"/>
      <w:sz w:val="16"/>
      <w:szCs w:val="16"/>
    </w:rPr>
  </w:style>
  <w:style w:type="character" w:customStyle="1" w:styleId="BalloonTextChar">
    <w:name w:val="Balloon Text Char"/>
    <w:basedOn w:val="DefaultParagraphFont"/>
    <w:link w:val="BalloonText"/>
    <w:semiHidden/>
    <w:locked/>
    <w:rsid w:val="00AC4CE6"/>
    <w:rPr>
      <w:rFonts w:ascii="Tahoma" w:hAnsi="Tahoma" w:cs="Tahoma"/>
      <w:sz w:val="16"/>
      <w:szCs w:val="16"/>
      <w:lang w:val="en-GB" w:eastAsia="de-DE"/>
    </w:rPr>
  </w:style>
  <w:style w:type="paragraph" w:styleId="ListParagraph">
    <w:name w:val="List Paragraph"/>
    <w:basedOn w:val="Normal"/>
    <w:uiPriority w:val="34"/>
    <w:qFormat/>
    <w:rsid w:val="00B60B42"/>
    <w:pPr>
      <w:ind w:left="720"/>
      <w:contextualSpacing/>
    </w:pPr>
  </w:style>
  <w:style w:type="table" w:styleId="TableGrid">
    <w:name w:val="Table Grid"/>
    <w:basedOn w:val="TableNormal"/>
    <w:rsid w:val="00B60B42"/>
    <w:rPr>
      <w:rFonts w:eastAsia="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03739"/>
    <w:pPr>
      <w:suppressAutoHyphens/>
      <w:autoSpaceDE w:val="0"/>
    </w:pPr>
    <w:rPr>
      <w:rFonts w:ascii="Times New Roman" w:eastAsia="Times New Roman" w:hAnsi="Times New Roman"/>
      <w:color w:val="000000"/>
      <w:sz w:val="24"/>
      <w:szCs w:val="24"/>
      <w:lang w:eastAsia="ar-SA"/>
    </w:rPr>
  </w:style>
  <w:style w:type="paragraph" w:styleId="HTMLPreformatted">
    <w:name w:val="HTML Preformatted"/>
    <w:basedOn w:val="Normal"/>
    <w:link w:val="HTMLPreformattedChar"/>
    <w:rsid w:val="0010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locked/>
    <w:rsid w:val="00103739"/>
    <w:rPr>
      <w:rFonts w:ascii="Courier New" w:hAnsi="Courier New" w:cs="Courier New"/>
      <w:lang w:val="en-GB" w:eastAsia="ar-SA"/>
    </w:rPr>
  </w:style>
  <w:style w:type="paragraph" w:customStyle="1" w:styleId="Normal1">
    <w:name w:val="Normal1"/>
    <w:basedOn w:val="Normal"/>
    <w:rsid w:val="00103739"/>
    <w:pPr>
      <w:tabs>
        <w:tab w:val="left" w:pos="680"/>
      </w:tabs>
      <w:suppressAutoHyphens/>
      <w:spacing w:before="120"/>
    </w:pPr>
    <w:rPr>
      <w:sz w:val="22"/>
      <w:szCs w:val="22"/>
      <w:lang w:eastAsia="ar-SA"/>
    </w:rPr>
  </w:style>
  <w:style w:type="paragraph" w:customStyle="1" w:styleId="Level1">
    <w:name w:val="Level1"/>
    <w:basedOn w:val="Normal"/>
    <w:rsid w:val="00A50DE7"/>
    <w:pPr>
      <w:numPr>
        <w:numId w:val="2"/>
      </w:numPr>
      <w:tabs>
        <w:tab w:val="left" w:pos="578"/>
        <w:tab w:val="left" w:pos="1157"/>
      </w:tabs>
      <w:spacing w:after="240"/>
    </w:pPr>
    <w:rPr>
      <w:sz w:val="22"/>
      <w:szCs w:val="20"/>
      <w:lang w:eastAsia="en-US"/>
    </w:rPr>
  </w:style>
  <w:style w:type="paragraph" w:styleId="TOC6">
    <w:name w:val="toc 6"/>
    <w:basedOn w:val="Normal"/>
    <w:next w:val="Normal"/>
    <w:autoRedefine/>
    <w:uiPriority w:val="39"/>
    <w:locked/>
    <w:rsid w:val="00A67890"/>
    <w:pPr>
      <w:spacing w:after="100"/>
      <w:ind w:left="1200"/>
    </w:pPr>
  </w:style>
  <w:style w:type="paragraph" w:styleId="NormalWeb">
    <w:name w:val="Normal (Web)"/>
    <w:basedOn w:val="Normal"/>
    <w:uiPriority w:val="99"/>
    <w:semiHidden/>
    <w:locked/>
    <w:rsid w:val="009D26EA"/>
    <w:pPr>
      <w:spacing w:after="240" w:line="336" w:lineRule="auto"/>
    </w:pPr>
  </w:style>
  <w:style w:type="paragraph" w:styleId="BodyText">
    <w:name w:val="Body Text"/>
    <w:basedOn w:val="Normal"/>
    <w:link w:val="BodyTextChar"/>
    <w:locked/>
    <w:rsid w:val="00BB7677"/>
    <w:rPr>
      <w:sz w:val="20"/>
      <w:szCs w:val="20"/>
      <w:lang w:eastAsia="en-US"/>
    </w:rPr>
  </w:style>
  <w:style w:type="character" w:customStyle="1" w:styleId="BodyTextChar">
    <w:name w:val="Body Text Char"/>
    <w:basedOn w:val="DefaultParagraphFont"/>
    <w:link w:val="BodyText"/>
    <w:locked/>
    <w:rsid w:val="00BB7677"/>
    <w:rPr>
      <w:rFonts w:ascii="Times New Roman" w:hAnsi="Times New Roman"/>
      <w:lang w:val="en-GB" w:eastAsia="en-US"/>
    </w:rPr>
  </w:style>
  <w:style w:type="paragraph" w:customStyle="1" w:styleId="Paralevel1">
    <w:name w:val="Para level1"/>
    <w:basedOn w:val="Normal"/>
    <w:link w:val="Paralevel1Char"/>
    <w:autoRedefine/>
    <w:rsid w:val="002D2322"/>
    <w:pPr>
      <w:numPr>
        <w:numId w:val="4"/>
      </w:numPr>
      <w:tabs>
        <w:tab w:val="left" w:pos="0"/>
      </w:tabs>
      <w:snapToGrid w:val="0"/>
      <w:spacing w:after="120"/>
      <w:ind w:left="0" w:firstLine="0"/>
    </w:pPr>
    <w:rPr>
      <w:rFonts w:eastAsia="Times New Roman"/>
      <w:sz w:val="20"/>
      <w:szCs w:val="20"/>
      <w:lang w:eastAsia="en-US"/>
    </w:rPr>
  </w:style>
  <w:style w:type="character" w:customStyle="1" w:styleId="Paralevel1Char">
    <w:name w:val="Para level1 Char"/>
    <w:basedOn w:val="DefaultParagraphFont"/>
    <w:link w:val="Paralevel1"/>
    <w:locked/>
    <w:rsid w:val="002D2322"/>
    <w:rPr>
      <w:rFonts w:ascii="Times New Roman" w:eastAsia="Times New Roman" w:hAnsi="Times New Roman"/>
      <w:lang w:eastAsia="en-US"/>
    </w:rPr>
  </w:style>
  <w:style w:type="paragraph" w:styleId="Caption">
    <w:name w:val="caption"/>
    <w:basedOn w:val="Normal"/>
    <w:next w:val="Normal"/>
    <w:qFormat/>
    <w:rsid w:val="00A67890"/>
    <w:pPr>
      <w:spacing w:after="200"/>
    </w:pPr>
    <w:rPr>
      <w:b/>
      <w:bCs/>
      <w:color w:val="4F81BD"/>
      <w:sz w:val="18"/>
      <w:szCs w:val="18"/>
    </w:rPr>
  </w:style>
  <w:style w:type="paragraph" w:styleId="EndnoteText">
    <w:name w:val="endnote text"/>
    <w:basedOn w:val="Normal"/>
    <w:link w:val="EndnoteTextChar"/>
    <w:semiHidden/>
    <w:locked/>
    <w:rsid w:val="00353E0C"/>
    <w:rPr>
      <w:sz w:val="20"/>
      <w:szCs w:val="20"/>
    </w:rPr>
  </w:style>
  <w:style w:type="character" w:customStyle="1" w:styleId="EndnoteTextChar">
    <w:name w:val="Endnote Text Char"/>
    <w:basedOn w:val="DefaultParagraphFont"/>
    <w:link w:val="EndnoteText"/>
    <w:semiHidden/>
    <w:locked/>
    <w:rsid w:val="00353E0C"/>
    <w:rPr>
      <w:rFonts w:ascii="Times New Roman" w:hAnsi="Times New Roman"/>
      <w:lang w:val="en-GB" w:eastAsia="de-DE"/>
    </w:rPr>
  </w:style>
  <w:style w:type="character" w:styleId="EndnoteReference">
    <w:name w:val="endnote reference"/>
    <w:basedOn w:val="DefaultParagraphFont"/>
    <w:semiHidden/>
    <w:locked/>
    <w:rsid w:val="00353E0C"/>
    <w:rPr>
      <w:rFonts w:cs="Times New Roman"/>
      <w:vertAlign w:val="superscript"/>
      <w:lang w:val="en-GB"/>
    </w:rPr>
  </w:style>
  <w:style w:type="character" w:styleId="LineNumber">
    <w:name w:val="line number"/>
    <w:basedOn w:val="DefaultParagraphFont"/>
    <w:semiHidden/>
    <w:locked/>
    <w:rsid w:val="00735BF2"/>
    <w:rPr>
      <w:rFonts w:cs="Times New Roman"/>
      <w:lang w:val="en-GB"/>
    </w:rPr>
  </w:style>
  <w:style w:type="character" w:customStyle="1" w:styleId="maintext">
    <w:name w:val="maintext"/>
    <w:basedOn w:val="DefaultParagraphFont"/>
    <w:rsid w:val="006A0AD5"/>
    <w:rPr>
      <w:rFonts w:cs="Times New Roman"/>
      <w:lang w:val="en-GB"/>
    </w:rPr>
  </w:style>
  <w:style w:type="paragraph" w:styleId="NoSpacing">
    <w:name w:val="No Spacing"/>
    <w:qFormat/>
    <w:rsid w:val="006A0AD5"/>
    <w:rPr>
      <w:rFonts w:eastAsia="Times New Roman"/>
      <w:sz w:val="22"/>
      <w:szCs w:val="22"/>
      <w:lang w:eastAsia="en-US"/>
    </w:rPr>
  </w:style>
  <w:style w:type="paragraph" w:customStyle="1" w:styleId="mainheader">
    <w:name w:val="mainheader"/>
    <w:basedOn w:val="Normal"/>
    <w:rsid w:val="006A0AD5"/>
    <w:pPr>
      <w:spacing w:before="100" w:beforeAutospacing="1" w:after="100" w:afterAutospacing="1"/>
    </w:pPr>
  </w:style>
  <w:style w:type="character" w:styleId="CommentReference">
    <w:name w:val="annotation reference"/>
    <w:basedOn w:val="DefaultParagraphFont"/>
    <w:uiPriority w:val="99"/>
    <w:semiHidden/>
    <w:locked/>
    <w:rsid w:val="009B5DCD"/>
    <w:rPr>
      <w:rFonts w:cs="Times New Roman"/>
      <w:sz w:val="16"/>
      <w:szCs w:val="16"/>
      <w:lang w:val="en-GB"/>
    </w:rPr>
  </w:style>
  <w:style w:type="paragraph" w:styleId="CommentText">
    <w:name w:val="annotation text"/>
    <w:basedOn w:val="Normal"/>
    <w:link w:val="CommentTextChar"/>
    <w:locked/>
    <w:rsid w:val="009B5DCD"/>
    <w:rPr>
      <w:sz w:val="20"/>
      <w:szCs w:val="20"/>
    </w:rPr>
  </w:style>
  <w:style w:type="character" w:customStyle="1" w:styleId="CommentTextChar">
    <w:name w:val="Comment Text Char"/>
    <w:basedOn w:val="DefaultParagraphFont"/>
    <w:link w:val="CommentText"/>
    <w:locked/>
    <w:rsid w:val="005C170E"/>
    <w:rPr>
      <w:rFonts w:ascii="Times New Roman" w:hAnsi="Times New Roman"/>
      <w:lang w:val="en-GB" w:eastAsia="de-DE"/>
    </w:rPr>
  </w:style>
  <w:style w:type="paragraph" w:styleId="CommentSubject">
    <w:name w:val="annotation subject"/>
    <w:basedOn w:val="CommentText"/>
    <w:next w:val="CommentText"/>
    <w:link w:val="CommentSubjectChar"/>
    <w:semiHidden/>
    <w:locked/>
    <w:rsid w:val="009B5DCD"/>
    <w:rPr>
      <w:b/>
      <w:bCs/>
    </w:rPr>
  </w:style>
  <w:style w:type="character" w:customStyle="1" w:styleId="CommentSubjectChar">
    <w:name w:val="Comment Subject Char"/>
    <w:basedOn w:val="CommentTextChar"/>
    <w:link w:val="CommentSubject"/>
    <w:semiHidden/>
    <w:locked/>
    <w:rsid w:val="005C170E"/>
    <w:rPr>
      <w:rFonts w:ascii="Times New Roman" w:hAnsi="Times New Roman"/>
      <w:b/>
      <w:bCs/>
      <w:lang w:val="en-GB" w:eastAsia="de-DE"/>
    </w:rPr>
  </w:style>
  <w:style w:type="paragraph" w:customStyle="1" w:styleId="StyleHeading1TimesNewRoman">
    <w:name w:val="Style Heading 1 + Times New Roman"/>
    <w:basedOn w:val="Heading1"/>
    <w:link w:val="StyleHeading1TimesNewRomanChar"/>
    <w:rsid w:val="008304F0"/>
    <w:pPr>
      <w:pageBreakBefore w:val="0"/>
      <w:widowControl/>
      <w:numPr>
        <w:numId w:val="0"/>
      </w:numPr>
      <w:pBdr>
        <w:top w:val="single" w:sz="4" w:space="10" w:color="auto"/>
        <w:left w:val="single" w:sz="4" w:space="4" w:color="auto"/>
        <w:bottom w:val="single" w:sz="4" w:space="10" w:color="auto"/>
        <w:right w:val="single" w:sz="4" w:space="4" w:color="auto"/>
      </w:pBdr>
      <w:spacing w:after="0" w:line="240" w:lineRule="auto"/>
      <w:jc w:val="left"/>
    </w:pPr>
    <w:rPr>
      <w:rFonts w:ascii="Times New Roman Bold" w:eastAsia="Times New Roman" w:hAnsi="Times New Roman Bold"/>
      <w:color w:val="00547E"/>
      <w:sz w:val="44"/>
      <w:szCs w:val="44"/>
      <w:lang w:eastAsia="en-US"/>
    </w:rPr>
  </w:style>
  <w:style w:type="character" w:customStyle="1" w:styleId="StyleHeading1TimesNewRomanChar">
    <w:name w:val="Style Heading 1 + Times New Roman Char"/>
    <w:basedOn w:val="Heading1Char"/>
    <w:link w:val="StyleHeading1TimesNewRoman"/>
    <w:rsid w:val="008304F0"/>
    <w:rPr>
      <w:rFonts w:ascii="Times New Roman Bold" w:eastAsia="Times New Roman" w:hAnsi="Times New Roman Bold"/>
      <w:b/>
      <w:bCs/>
      <w:color w:val="00547E"/>
      <w:sz w:val="44"/>
      <w:szCs w:val="44"/>
      <w:lang w:val="en-GB" w:eastAsia="en-US"/>
    </w:rPr>
  </w:style>
  <w:style w:type="paragraph" w:customStyle="1" w:styleId="ListParagraph10pt">
    <w:name w:val="List Paragraph + 10 pt"/>
    <w:aliases w:val="Justified,After:  6 pt"/>
    <w:basedOn w:val="ListParagraph"/>
    <w:rsid w:val="00817999"/>
    <w:pPr>
      <w:numPr>
        <w:numId w:val="3"/>
      </w:numPr>
      <w:spacing w:after="120"/>
      <w:jc w:val="both"/>
    </w:pPr>
    <w:rPr>
      <w:sz w:val="20"/>
      <w:szCs w:val="22"/>
    </w:rPr>
  </w:style>
  <w:style w:type="paragraph" w:customStyle="1" w:styleId="Paralevel2">
    <w:name w:val="Para level2"/>
    <w:basedOn w:val="Normal"/>
    <w:link w:val="Paralevel2Char"/>
    <w:autoRedefine/>
    <w:rsid w:val="00D479BA"/>
    <w:pPr>
      <w:widowControl w:val="0"/>
      <w:autoSpaceDE w:val="0"/>
      <w:autoSpaceDN w:val="0"/>
      <w:adjustRightInd w:val="0"/>
      <w:spacing w:after="136"/>
    </w:pPr>
    <w:rPr>
      <w:sz w:val="20"/>
      <w:szCs w:val="20"/>
    </w:rPr>
  </w:style>
  <w:style w:type="paragraph" w:customStyle="1" w:styleId="StyleHeading3h3123SecTimesNewRomanBold">
    <w:name w:val="Style Heading 3h31.2.3.Sec + Times New Roman Bold"/>
    <w:basedOn w:val="Heading3"/>
    <w:autoRedefine/>
    <w:rsid w:val="006966F5"/>
    <w:pPr>
      <w:tabs>
        <w:tab w:val="clear" w:pos="1135"/>
        <w:tab w:val="num" w:pos="720"/>
      </w:tabs>
      <w:spacing w:before="240" w:after="120" w:line="240" w:lineRule="auto"/>
      <w:ind w:left="634" w:hanging="634"/>
      <w:jc w:val="left"/>
    </w:pPr>
    <w:rPr>
      <w:b/>
      <w:i w:val="0"/>
      <w:iCs/>
      <w:sz w:val="22"/>
      <w:szCs w:val="22"/>
      <w:u w:val="none"/>
    </w:rPr>
  </w:style>
  <w:style w:type="paragraph" w:customStyle="1" w:styleId="StyleHeading2u2h2ABC2ChptTimesNewRomanLinespaci">
    <w:name w:val="Style Heading 2u2h2A.B.C.Ü 2Chpt + Times New Roman Line spaci..."/>
    <w:basedOn w:val="Heading2"/>
    <w:autoRedefine/>
    <w:rsid w:val="006966F5"/>
    <w:pPr>
      <w:tabs>
        <w:tab w:val="clear" w:pos="756"/>
        <w:tab w:val="left" w:pos="630"/>
        <w:tab w:val="num" w:pos="810"/>
        <w:tab w:val="left" w:pos="900"/>
        <w:tab w:val="left" w:pos="990"/>
        <w:tab w:val="left" w:pos="1440"/>
        <w:tab w:val="left" w:pos="1530"/>
      </w:tabs>
      <w:spacing w:before="240" w:after="120" w:line="240" w:lineRule="auto"/>
      <w:ind w:left="630" w:hanging="630"/>
      <w:jc w:val="left"/>
    </w:pPr>
    <w:rPr>
      <w:bCs/>
      <w:iCs w:val="0"/>
      <w:sz w:val="24"/>
      <w:szCs w:val="24"/>
    </w:rPr>
  </w:style>
  <w:style w:type="paragraph" w:customStyle="1" w:styleId="StyleHeading2u2h2ABC2ChptTimesNewRoman12ptBef">
    <w:name w:val="Style Heading 2u2h2A.B.C.Ü 2Chpt + Times New Roman 12 pt Bef..."/>
    <w:basedOn w:val="Heading2"/>
    <w:autoRedefine/>
    <w:rsid w:val="003B6927"/>
    <w:pPr>
      <w:keepNext w:val="0"/>
      <w:tabs>
        <w:tab w:val="clear" w:pos="756"/>
        <w:tab w:val="num" w:pos="128"/>
        <w:tab w:val="left" w:pos="624"/>
        <w:tab w:val="left" w:pos="1247"/>
        <w:tab w:val="left" w:pos="1440"/>
      </w:tabs>
      <w:spacing w:before="240" w:after="120" w:line="240" w:lineRule="auto"/>
      <w:ind w:left="1248" w:hanging="624"/>
      <w:jc w:val="left"/>
    </w:pPr>
    <w:rPr>
      <w:bCs/>
      <w:iCs w:val="0"/>
      <w:szCs w:val="22"/>
    </w:rPr>
  </w:style>
  <w:style w:type="paragraph" w:customStyle="1" w:styleId="StyleHeading2u2h2ABC2ChptTimesNewRoman12ptLin">
    <w:name w:val="Style Heading 2u2h2A.B.C.Ü 2Chpt + Times New Roman 12 pt Lin..."/>
    <w:basedOn w:val="Heading2"/>
    <w:autoRedefine/>
    <w:rsid w:val="00D464FD"/>
    <w:pPr>
      <w:widowControl/>
      <w:tabs>
        <w:tab w:val="clear" w:pos="756"/>
        <w:tab w:val="num" w:pos="128"/>
        <w:tab w:val="left" w:pos="624"/>
        <w:tab w:val="left" w:pos="1247"/>
        <w:tab w:val="left" w:pos="1440"/>
      </w:tabs>
      <w:spacing w:before="240" w:after="120" w:line="240" w:lineRule="auto"/>
      <w:ind w:left="1248" w:hanging="624"/>
      <w:jc w:val="left"/>
    </w:pPr>
    <w:rPr>
      <w:bCs/>
      <w:iCs w:val="0"/>
      <w:szCs w:val="22"/>
    </w:rPr>
  </w:style>
  <w:style w:type="paragraph" w:customStyle="1" w:styleId="StyleHeading2u2h2ABC2ChptTimesNewRoman12ptBef1">
    <w:name w:val="Style Heading 2u2h2A.B.C.Ü 2Chpt + Times New Roman 12 pt Bef...1"/>
    <w:basedOn w:val="Heading2"/>
    <w:autoRedefine/>
    <w:rsid w:val="006966F5"/>
    <w:pPr>
      <w:tabs>
        <w:tab w:val="clear" w:pos="756"/>
        <w:tab w:val="num" w:pos="180"/>
      </w:tabs>
      <w:spacing w:before="240" w:after="120" w:line="240" w:lineRule="auto"/>
      <w:ind w:left="634" w:hanging="634"/>
      <w:jc w:val="left"/>
    </w:pPr>
    <w:rPr>
      <w:bCs/>
      <w:iCs w:val="0"/>
      <w:sz w:val="24"/>
      <w:szCs w:val="24"/>
    </w:rPr>
  </w:style>
  <w:style w:type="paragraph" w:customStyle="1" w:styleId="Styleberschrift4alexTimesNewRoman">
    <w:name w:val="Style Überschrift 4 alex + Times New Roman"/>
    <w:basedOn w:val="Normal"/>
    <w:next w:val="Normal"/>
    <w:autoRedefine/>
    <w:rsid w:val="00A249B5"/>
    <w:pPr>
      <w:widowControl w:val="0"/>
      <w:numPr>
        <w:ilvl w:val="3"/>
        <w:numId w:val="8"/>
      </w:numPr>
      <w:spacing w:after="120"/>
      <w:jc w:val="both"/>
      <w:outlineLvl w:val="3"/>
    </w:pPr>
    <w:rPr>
      <w:b/>
      <w:i/>
      <w:sz w:val="22"/>
      <w:szCs w:val="20"/>
    </w:rPr>
  </w:style>
  <w:style w:type="character" w:styleId="FollowedHyperlink">
    <w:name w:val="FollowedHyperlink"/>
    <w:basedOn w:val="DefaultParagraphFont"/>
    <w:locked/>
    <w:rsid w:val="001E6F8B"/>
    <w:rPr>
      <w:color w:val="800080"/>
      <w:u w:val="single"/>
      <w:lang w:val="en-GB"/>
    </w:rPr>
  </w:style>
  <w:style w:type="character" w:customStyle="1" w:styleId="StandarddeZchn">
    <w:name w:val="Standard_de Zchn"/>
    <w:basedOn w:val="DefaultParagraphFont"/>
    <w:link w:val="Standardde"/>
    <w:locked/>
    <w:rsid w:val="00DB2FD4"/>
    <w:rPr>
      <w:rFonts w:ascii="Arial" w:hAnsi="Arial"/>
      <w:sz w:val="22"/>
      <w:lang w:val="en-GB" w:eastAsia="de-DE"/>
    </w:rPr>
  </w:style>
  <w:style w:type="character" w:customStyle="1" w:styleId="CharChar">
    <w:name w:val="Char Char"/>
    <w:basedOn w:val="DefaultParagraphFont"/>
    <w:semiHidden/>
    <w:rsid w:val="00805E2A"/>
    <w:rPr>
      <w:rFonts w:eastAsia="MS Mincho"/>
      <w:lang w:val="en-GB" w:eastAsia="de-DE" w:bidi="ar-SA"/>
    </w:rPr>
  </w:style>
  <w:style w:type="table" w:customStyle="1" w:styleId="Tabledocright">
    <w:name w:val="Table_doc_right"/>
    <w:basedOn w:val="TableNormal"/>
    <w:rsid w:val="00A67890"/>
    <w:pPr>
      <w:spacing w:before="40" w:after="40"/>
    </w:pPr>
    <w:rPr>
      <w:rFonts w:ascii="Times New Roman" w:eastAsia="Times New Roman" w:hAnsi="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7">
    <w:name w:val="toc 7"/>
    <w:basedOn w:val="Normal"/>
    <w:next w:val="Normal"/>
    <w:autoRedefine/>
    <w:uiPriority w:val="39"/>
    <w:locked/>
    <w:rsid w:val="00A67890"/>
    <w:pPr>
      <w:ind w:left="1200"/>
    </w:pPr>
    <w:rPr>
      <w:rFonts w:eastAsia="Times New Roman"/>
      <w:sz w:val="18"/>
      <w:szCs w:val="18"/>
      <w:lang w:eastAsia="en-US"/>
    </w:rPr>
  </w:style>
  <w:style w:type="paragraph" w:styleId="TOC8">
    <w:name w:val="toc 8"/>
    <w:basedOn w:val="Normal"/>
    <w:next w:val="Normal"/>
    <w:autoRedefine/>
    <w:uiPriority w:val="39"/>
    <w:locked/>
    <w:rsid w:val="00A67890"/>
    <w:pPr>
      <w:ind w:left="1400"/>
    </w:pPr>
    <w:rPr>
      <w:rFonts w:eastAsia="Times New Roman"/>
      <w:sz w:val="18"/>
      <w:szCs w:val="18"/>
      <w:lang w:eastAsia="en-US"/>
    </w:rPr>
  </w:style>
  <w:style w:type="paragraph" w:styleId="TOC9">
    <w:name w:val="toc 9"/>
    <w:basedOn w:val="Normal"/>
    <w:next w:val="Normal"/>
    <w:autoRedefine/>
    <w:uiPriority w:val="39"/>
    <w:locked/>
    <w:rsid w:val="00A67890"/>
    <w:pPr>
      <w:ind w:left="1600"/>
    </w:pPr>
    <w:rPr>
      <w:rFonts w:eastAsia="Times New Roman"/>
      <w:sz w:val="18"/>
      <w:szCs w:val="18"/>
      <w:lang w:eastAsia="en-US"/>
    </w:rPr>
  </w:style>
  <w:style w:type="paragraph" w:customStyle="1" w:styleId="Titlefigure">
    <w:name w:val="Title_figure"/>
    <w:basedOn w:val="Titletable"/>
    <w:next w:val="NormalNonumber"/>
    <w:rsid w:val="00A67890"/>
    <w:rPr>
      <w:bCs w:val="0"/>
    </w:rPr>
  </w:style>
  <w:style w:type="paragraph" w:styleId="TableofFigures">
    <w:name w:val="table of figures"/>
    <w:basedOn w:val="Normal"/>
    <w:next w:val="Normal"/>
    <w:autoRedefine/>
    <w:semiHidden/>
    <w:locked/>
    <w:rsid w:val="00A67890"/>
    <w:pPr>
      <w:ind w:left="1814" w:hanging="567"/>
    </w:pPr>
    <w:rPr>
      <w:rFonts w:eastAsia="Times New Roman"/>
      <w:sz w:val="20"/>
      <w:szCs w:val="20"/>
      <w:lang w:eastAsia="en-US"/>
    </w:rPr>
  </w:style>
  <w:style w:type="paragraph" w:customStyle="1" w:styleId="CH1">
    <w:name w:val="CH1"/>
    <w:basedOn w:val="Normal"/>
    <w:next w:val="CH2"/>
    <w:rsid w:val="00A67890"/>
    <w:pPr>
      <w:keepNext/>
      <w:keepLines/>
      <w:tabs>
        <w:tab w:val="right" w:pos="851"/>
        <w:tab w:val="left" w:pos="1247"/>
      </w:tabs>
      <w:suppressAutoHyphens/>
      <w:spacing w:before="240" w:after="120"/>
      <w:ind w:left="1247" w:right="284" w:hanging="1247"/>
    </w:pPr>
    <w:rPr>
      <w:rFonts w:eastAsia="Times New Roman"/>
      <w:b/>
      <w:sz w:val="28"/>
      <w:szCs w:val="28"/>
      <w:lang w:eastAsia="en-US"/>
    </w:rPr>
  </w:style>
  <w:style w:type="paragraph" w:customStyle="1" w:styleId="CH2">
    <w:name w:val="CH2"/>
    <w:basedOn w:val="Normal"/>
    <w:next w:val="Normalnumber"/>
    <w:link w:val="CH2Char"/>
    <w:rsid w:val="00A67890"/>
    <w:pPr>
      <w:keepNext/>
      <w:keepLines/>
      <w:tabs>
        <w:tab w:val="right" w:pos="851"/>
        <w:tab w:val="left" w:pos="1247"/>
      </w:tabs>
      <w:suppressAutoHyphens/>
      <w:spacing w:before="80" w:after="120"/>
      <w:ind w:left="1247" w:right="284" w:hanging="1247"/>
    </w:pPr>
    <w:rPr>
      <w:rFonts w:eastAsia="Times New Roman"/>
      <w:b/>
      <w:lang w:eastAsia="en-US"/>
    </w:rPr>
  </w:style>
  <w:style w:type="paragraph" w:customStyle="1" w:styleId="CH3">
    <w:name w:val="CH3"/>
    <w:basedOn w:val="Normal"/>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paragraph" w:customStyle="1" w:styleId="CH4">
    <w:name w:val="CH4"/>
    <w:basedOn w:val="Normal"/>
    <w:next w:val="Normalnumber"/>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table" w:customStyle="1" w:styleId="Footertable">
    <w:name w:val="Footer_table"/>
    <w:basedOn w:val="TableNormal"/>
    <w:semiHidden/>
    <w:rsid w:val="00A67890"/>
    <w:rPr>
      <w:rFonts w:ascii="Arial" w:eastAsia="Times New Roman"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67890"/>
    <w:pPr>
      <w:keepNext/>
      <w:keepLines/>
      <w:tabs>
        <w:tab w:val="right" w:pos="851"/>
        <w:tab w:val="left" w:pos="1247"/>
      </w:tabs>
      <w:suppressAutoHyphens/>
      <w:spacing w:after="120"/>
      <w:ind w:left="1247" w:right="284" w:hanging="1247"/>
    </w:pPr>
    <w:rPr>
      <w:rFonts w:eastAsia="Times New Roman"/>
      <w:b/>
      <w:sz w:val="20"/>
      <w:szCs w:val="20"/>
      <w:lang w:eastAsia="en-US"/>
    </w:rPr>
  </w:style>
  <w:style w:type="paragraph" w:customStyle="1" w:styleId="main">
    <w:name w:val="main"/>
    <w:basedOn w:val="Normal"/>
    <w:autoRedefine/>
    <w:rsid w:val="00A67890"/>
    <w:rPr>
      <w:rFonts w:eastAsia="Times New Roman"/>
      <w:b/>
      <w:sz w:val="20"/>
      <w:szCs w:val="20"/>
      <w:lang w:eastAsia="en-US"/>
    </w:rPr>
  </w:style>
  <w:style w:type="paragraph" w:customStyle="1" w:styleId="Subtitle">
    <w:name w:val="Sub title"/>
    <w:basedOn w:val="Heading2"/>
    <w:rsid w:val="00A67890"/>
    <w:pPr>
      <w:widowControl/>
      <w:numPr>
        <w:ilvl w:val="0"/>
        <w:numId w:val="0"/>
      </w:numPr>
      <w:tabs>
        <w:tab w:val="num" w:pos="360"/>
      </w:tabs>
      <w:spacing w:before="0" w:after="0" w:line="240" w:lineRule="auto"/>
      <w:ind w:left="360"/>
      <w:jc w:val="left"/>
    </w:pPr>
    <w:rPr>
      <w:rFonts w:eastAsia="Times New Roman"/>
      <w:iCs w:val="0"/>
      <w:sz w:val="24"/>
      <w:szCs w:val="24"/>
      <w:lang w:eastAsia="en-US"/>
    </w:rPr>
  </w:style>
  <w:style w:type="paragraph" w:styleId="Title">
    <w:name w:val="Title"/>
    <w:basedOn w:val="Normal"/>
    <w:autoRedefine/>
    <w:qFormat/>
    <w:locked/>
    <w:rsid w:val="00A67890"/>
    <w:pPr>
      <w:spacing w:before="360" w:after="240"/>
      <w:ind w:left="1247" w:right="567"/>
      <w:outlineLvl w:val="0"/>
    </w:pPr>
    <w:rPr>
      <w:rFonts w:eastAsia="Times New Roman" w:cs="Arial"/>
      <w:b/>
      <w:bCs/>
      <w:kern w:val="28"/>
      <w:sz w:val="28"/>
      <w:szCs w:val="28"/>
      <w:lang w:eastAsia="en-US"/>
    </w:rPr>
  </w:style>
  <w:style w:type="table" w:customStyle="1" w:styleId="AATable">
    <w:name w:val="AA_Table"/>
    <w:basedOn w:val="TableNormal"/>
    <w:rsid w:val="00A67890"/>
    <w:rPr>
      <w:rFonts w:ascii="Times New Roman" w:eastAsia="Times New Roman" w:hAnsi="Times New Roman"/>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BBTitle">
    <w:name w:val="BB_Title"/>
    <w:basedOn w:val="Normal"/>
    <w:link w:val="BBTitleChar"/>
    <w:rsid w:val="00A67890"/>
    <w:pPr>
      <w:keepNext/>
      <w:keepLines/>
      <w:suppressAutoHyphens/>
      <w:spacing w:before="320" w:after="240"/>
      <w:ind w:left="1247" w:right="567"/>
    </w:pPr>
    <w:rPr>
      <w:rFonts w:eastAsia="Times New Roman"/>
      <w:b/>
      <w:sz w:val="28"/>
      <w:szCs w:val="28"/>
      <w:lang w:eastAsia="en-US"/>
    </w:rPr>
  </w:style>
  <w:style w:type="numbering" w:customStyle="1" w:styleId="Normallist">
    <w:name w:val="Normal_list"/>
    <w:basedOn w:val="NoList"/>
    <w:rsid w:val="00A67890"/>
    <w:pPr>
      <w:numPr>
        <w:numId w:val="5"/>
      </w:numPr>
    </w:pPr>
  </w:style>
  <w:style w:type="paragraph" w:customStyle="1" w:styleId="NormalNonumber">
    <w:name w:val="Normal_No_number"/>
    <w:basedOn w:val="Normal"/>
    <w:rsid w:val="00A67890"/>
    <w:pPr>
      <w:spacing w:after="120"/>
      <w:ind w:left="1247"/>
    </w:pPr>
    <w:rPr>
      <w:rFonts w:eastAsia="Times New Roman"/>
      <w:sz w:val="20"/>
      <w:szCs w:val="20"/>
      <w:lang w:eastAsia="en-US"/>
    </w:rPr>
  </w:style>
  <w:style w:type="paragraph" w:customStyle="1" w:styleId="Normalnumber">
    <w:name w:val="Normal_number"/>
    <w:basedOn w:val="Normal"/>
    <w:link w:val="NormalnumberChar"/>
    <w:rsid w:val="00A67890"/>
    <w:pPr>
      <w:numPr>
        <w:numId w:val="6"/>
      </w:numPr>
      <w:spacing w:after="120"/>
    </w:pPr>
    <w:rPr>
      <w:rFonts w:eastAsia="Times New Roman"/>
      <w:sz w:val="20"/>
      <w:szCs w:val="20"/>
      <w:lang w:eastAsia="en-US"/>
    </w:rPr>
  </w:style>
  <w:style w:type="paragraph" w:customStyle="1" w:styleId="Titletable">
    <w:name w:val="Title_table"/>
    <w:basedOn w:val="Normal"/>
    <w:rsid w:val="00A67890"/>
    <w:pPr>
      <w:keepNext/>
      <w:keepLines/>
      <w:suppressAutoHyphens/>
      <w:spacing w:after="60"/>
      <w:ind w:left="1247"/>
    </w:pPr>
    <w:rPr>
      <w:rFonts w:eastAsia="Times New Roman"/>
      <w:b/>
      <w:bCs/>
      <w:sz w:val="20"/>
      <w:szCs w:val="20"/>
      <w:lang w:eastAsia="en-US"/>
    </w:rPr>
  </w:style>
  <w:style w:type="paragraph" w:styleId="TOC4">
    <w:name w:val="toc 4"/>
    <w:basedOn w:val="Normal"/>
    <w:next w:val="Normal"/>
    <w:uiPriority w:val="39"/>
    <w:locked/>
    <w:rsid w:val="00A67890"/>
    <w:pPr>
      <w:tabs>
        <w:tab w:val="left" w:pos="1000"/>
        <w:tab w:val="right" w:leader="dot" w:pos="9486"/>
      </w:tabs>
      <w:ind w:left="3515" w:hanging="567"/>
    </w:pPr>
    <w:rPr>
      <w:rFonts w:eastAsia="Times New Roman"/>
      <w:sz w:val="20"/>
      <w:szCs w:val="18"/>
      <w:lang w:eastAsia="en-US"/>
    </w:rPr>
  </w:style>
  <w:style w:type="paragraph" w:styleId="TOC5">
    <w:name w:val="toc 5"/>
    <w:basedOn w:val="Normal"/>
    <w:next w:val="Normal"/>
    <w:autoRedefine/>
    <w:uiPriority w:val="39"/>
    <w:locked/>
    <w:rsid w:val="00A67890"/>
    <w:pPr>
      <w:ind w:left="800"/>
    </w:pPr>
    <w:rPr>
      <w:rFonts w:eastAsia="Times New Roman"/>
      <w:sz w:val="18"/>
      <w:szCs w:val="18"/>
      <w:lang w:eastAsia="en-US"/>
    </w:rPr>
  </w:style>
  <w:style w:type="paragraph" w:customStyle="1" w:styleId="UNtitle">
    <w:name w:val="UN title"/>
    <w:basedOn w:val="Normal"/>
    <w:rsid w:val="003B7DCB"/>
    <w:pPr>
      <w:tabs>
        <w:tab w:val="left" w:pos="624"/>
      </w:tabs>
      <w:spacing w:before="360" w:after="240"/>
      <w:ind w:left="1247" w:right="567"/>
    </w:pPr>
    <w:rPr>
      <w:rFonts w:eastAsia="Times New Roman"/>
      <w:b/>
      <w:sz w:val="28"/>
      <w:lang w:eastAsia="en-US"/>
    </w:rPr>
  </w:style>
  <w:style w:type="paragraph" w:styleId="TOCHeading">
    <w:name w:val="TOC Heading"/>
    <w:basedOn w:val="Heading1"/>
    <w:next w:val="Normal"/>
    <w:uiPriority w:val="39"/>
    <w:semiHidden/>
    <w:unhideWhenUsed/>
    <w:qFormat/>
    <w:rsid w:val="00B108B4"/>
    <w:pPr>
      <w:keepLines/>
      <w:pageBreakBefore w:val="0"/>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szCs w:val="28"/>
      <w:lang w:eastAsia="en-US"/>
    </w:rPr>
  </w:style>
  <w:style w:type="paragraph" w:styleId="Revision">
    <w:name w:val="Revision"/>
    <w:hidden/>
    <w:uiPriority w:val="99"/>
    <w:semiHidden/>
    <w:rsid w:val="00FA2DAB"/>
    <w:rPr>
      <w:rFonts w:ascii="Times New Roman" w:hAnsi="Times New Roman"/>
      <w:sz w:val="24"/>
      <w:szCs w:val="24"/>
      <w:lang w:val="de-DE" w:eastAsia="de-DE"/>
    </w:rPr>
  </w:style>
  <w:style w:type="character" w:customStyle="1" w:styleId="TabletextCar">
    <w:name w:val="Table text Car"/>
    <w:link w:val="Tabletext"/>
    <w:locked/>
    <w:rsid w:val="006D6156"/>
    <w:rPr>
      <w:sz w:val="24"/>
      <w:szCs w:val="24"/>
      <w:lang w:eastAsia="da-DK"/>
    </w:rPr>
  </w:style>
  <w:style w:type="paragraph" w:customStyle="1" w:styleId="Tabletext">
    <w:name w:val="Table text"/>
    <w:link w:val="TabletextCar"/>
    <w:rsid w:val="006D6156"/>
    <w:pPr>
      <w:keepNext/>
      <w:keepLines/>
      <w:snapToGrid w:val="0"/>
      <w:spacing w:before="54" w:after="54"/>
    </w:pPr>
    <w:rPr>
      <w:sz w:val="24"/>
      <w:szCs w:val="24"/>
      <w:lang w:eastAsia="da-DK"/>
    </w:rPr>
  </w:style>
  <w:style w:type="paragraph" w:customStyle="1" w:styleId="ColorfulList-Accent11">
    <w:name w:val="Colorful List - Accent 11"/>
    <w:basedOn w:val="Normal"/>
    <w:uiPriority w:val="34"/>
    <w:qFormat/>
    <w:rsid w:val="004226AA"/>
    <w:pPr>
      <w:ind w:left="720"/>
      <w:contextualSpacing/>
    </w:pPr>
    <w:rPr>
      <w:sz w:val="20"/>
    </w:rPr>
  </w:style>
  <w:style w:type="character" w:customStyle="1" w:styleId="Paralevel2Char">
    <w:name w:val="Para level2 Char"/>
    <w:basedOn w:val="Paralevel1Char"/>
    <w:link w:val="Paralevel2"/>
    <w:rsid w:val="00316662"/>
    <w:rPr>
      <w:rFonts w:ascii="Times New Roman" w:eastAsia="Times New Roman" w:hAnsi="Times New Roman"/>
      <w:lang w:eastAsia="de-DE"/>
    </w:rPr>
  </w:style>
  <w:style w:type="paragraph" w:customStyle="1" w:styleId="ZZAnxtitle">
    <w:name w:val="ZZ_Anx_title"/>
    <w:basedOn w:val="Normal"/>
    <w:rsid w:val="0023703C"/>
    <w:pPr>
      <w:tabs>
        <w:tab w:val="left" w:pos="1247"/>
        <w:tab w:val="left" w:pos="1814"/>
        <w:tab w:val="left" w:pos="2381"/>
        <w:tab w:val="left" w:pos="2948"/>
        <w:tab w:val="left" w:pos="3515"/>
      </w:tabs>
      <w:spacing w:before="360" w:after="120"/>
      <w:ind w:left="1247"/>
    </w:pPr>
    <w:rPr>
      <w:rFonts w:eastAsia="PMingLiU"/>
      <w:b/>
      <w:bCs/>
      <w:sz w:val="28"/>
      <w:szCs w:val="26"/>
      <w:lang w:eastAsia="en-US"/>
    </w:rPr>
  </w:style>
  <w:style w:type="character" w:customStyle="1" w:styleId="FootnoterefChar">
    <w:name w:val="#Footnote ref Char"/>
    <w:basedOn w:val="DefaultParagraphFont"/>
    <w:rsid w:val="005133C1"/>
    <w:rPr>
      <w:rFonts w:ascii="Helvetica 45" w:eastAsia="SimSun" w:hAnsi="Helvetica 45"/>
      <w:bCs/>
      <w:noProof w:val="0"/>
      <w:sz w:val="26"/>
      <w:szCs w:val="26"/>
      <w:lang w:val="en-GB" w:eastAsia="zh-CN" w:bidi="ar-SA"/>
    </w:rPr>
  </w:style>
  <w:style w:type="paragraph" w:styleId="Bibliography">
    <w:name w:val="Bibliography"/>
    <w:basedOn w:val="Normal"/>
    <w:next w:val="Normal"/>
    <w:uiPriority w:val="37"/>
    <w:semiHidden/>
    <w:unhideWhenUsed/>
    <w:rsid w:val="001D13A1"/>
  </w:style>
  <w:style w:type="paragraph" w:styleId="BlockText">
    <w:name w:val="Block Text"/>
    <w:basedOn w:val="Normal"/>
    <w:semiHidden/>
    <w:unhideWhenUsed/>
    <w:rsid w:val="001D13A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1D13A1"/>
    <w:pPr>
      <w:spacing w:after="120" w:line="480" w:lineRule="auto"/>
    </w:pPr>
  </w:style>
  <w:style w:type="character" w:customStyle="1" w:styleId="BodyText2Char">
    <w:name w:val="Body Text 2 Char"/>
    <w:basedOn w:val="DefaultParagraphFont"/>
    <w:link w:val="BodyText2"/>
    <w:semiHidden/>
    <w:rsid w:val="001D13A1"/>
    <w:rPr>
      <w:rFonts w:ascii="Times New Roman" w:hAnsi="Times New Roman"/>
      <w:sz w:val="24"/>
      <w:szCs w:val="24"/>
      <w:lang w:val="en-GB" w:eastAsia="de-DE"/>
    </w:rPr>
  </w:style>
  <w:style w:type="paragraph" w:styleId="BodyText3">
    <w:name w:val="Body Text 3"/>
    <w:basedOn w:val="Normal"/>
    <w:link w:val="BodyText3Char"/>
    <w:semiHidden/>
    <w:unhideWhenUsed/>
    <w:rsid w:val="001D13A1"/>
    <w:pPr>
      <w:spacing w:after="120"/>
    </w:pPr>
    <w:rPr>
      <w:sz w:val="16"/>
      <w:szCs w:val="16"/>
    </w:rPr>
  </w:style>
  <w:style w:type="character" w:customStyle="1" w:styleId="BodyText3Char">
    <w:name w:val="Body Text 3 Char"/>
    <w:basedOn w:val="DefaultParagraphFont"/>
    <w:link w:val="BodyText3"/>
    <w:semiHidden/>
    <w:rsid w:val="001D13A1"/>
    <w:rPr>
      <w:rFonts w:ascii="Times New Roman" w:hAnsi="Times New Roman"/>
      <w:sz w:val="16"/>
      <w:szCs w:val="16"/>
      <w:lang w:val="en-GB" w:eastAsia="de-DE"/>
    </w:rPr>
  </w:style>
  <w:style w:type="paragraph" w:styleId="BodyTextFirstIndent">
    <w:name w:val="Body Text First Indent"/>
    <w:basedOn w:val="BodyText"/>
    <w:link w:val="BodyTextFirstIndentChar"/>
    <w:rsid w:val="001D13A1"/>
    <w:pPr>
      <w:ind w:firstLine="360"/>
    </w:pPr>
    <w:rPr>
      <w:sz w:val="24"/>
      <w:szCs w:val="24"/>
      <w:lang w:eastAsia="de-DE"/>
    </w:rPr>
  </w:style>
  <w:style w:type="character" w:customStyle="1" w:styleId="BodyTextFirstIndentChar">
    <w:name w:val="Body Text First Indent Char"/>
    <w:basedOn w:val="BodyTextChar"/>
    <w:link w:val="BodyTextFirstIndent"/>
    <w:rsid w:val="001D13A1"/>
    <w:rPr>
      <w:rFonts w:ascii="Times New Roman" w:hAnsi="Times New Roman"/>
      <w:sz w:val="24"/>
      <w:szCs w:val="24"/>
      <w:lang w:val="en-GB" w:eastAsia="de-DE"/>
    </w:rPr>
  </w:style>
  <w:style w:type="paragraph" w:styleId="BodyTextIndent">
    <w:name w:val="Body Text Indent"/>
    <w:basedOn w:val="Normal"/>
    <w:link w:val="BodyTextIndentChar"/>
    <w:semiHidden/>
    <w:unhideWhenUsed/>
    <w:rsid w:val="001D13A1"/>
    <w:pPr>
      <w:spacing w:after="120"/>
      <w:ind w:left="283"/>
    </w:pPr>
  </w:style>
  <w:style w:type="character" w:customStyle="1" w:styleId="BodyTextIndentChar">
    <w:name w:val="Body Text Indent Char"/>
    <w:basedOn w:val="DefaultParagraphFont"/>
    <w:link w:val="BodyTextIndent"/>
    <w:semiHidden/>
    <w:rsid w:val="001D13A1"/>
    <w:rPr>
      <w:rFonts w:ascii="Times New Roman" w:hAnsi="Times New Roman"/>
      <w:sz w:val="24"/>
      <w:szCs w:val="24"/>
      <w:lang w:val="en-GB" w:eastAsia="de-DE"/>
    </w:rPr>
  </w:style>
  <w:style w:type="paragraph" w:styleId="BodyTextFirstIndent2">
    <w:name w:val="Body Text First Indent 2"/>
    <w:basedOn w:val="BodyTextIndent"/>
    <w:link w:val="BodyTextFirstIndent2Char"/>
    <w:semiHidden/>
    <w:unhideWhenUsed/>
    <w:rsid w:val="001D13A1"/>
    <w:pPr>
      <w:spacing w:after="0"/>
      <w:ind w:left="360" w:firstLine="360"/>
    </w:pPr>
  </w:style>
  <w:style w:type="character" w:customStyle="1" w:styleId="BodyTextFirstIndent2Char">
    <w:name w:val="Body Text First Indent 2 Char"/>
    <w:basedOn w:val="BodyTextIndentChar"/>
    <w:link w:val="BodyTextFirstIndent2"/>
    <w:semiHidden/>
    <w:rsid w:val="001D13A1"/>
    <w:rPr>
      <w:rFonts w:ascii="Times New Roman" w:hAnsi="Times New Roman"/>
      <w:sz w:val="24"/>
      <w:szCs w:val="24"/>
      <w:lang w:val="en-GB" w:eastAsia="de-DE"/>
    </w:rPr>
  </w:style>
  <w:style w:type="paragraph" w:styleId="BodyTextIndent2">
    <w:name w:val="Body Text Indent 2"/>
    <w:basedOn w:val="Normal"/>
    <w:link w:val="BodyTextIndent2Char"/>
    <w:semiHidden/>
    <w:unhideWhenUsed/>
    <w:rsid w:val="001D13A1"/>
    <w:pPr>
      <w:spacing w:after="120" w:line="480" w:lineRule="auto"/>
      <w:ind w:left="283"/>
    </w:pPr>
  </w:style>
  <w:style w:type="character" w:customStyle="1" w:styleId="BodyTextIndent2Char">
    <w:name w:val="Body Text Indent 2 Char"/>
    <w:basedOn w:val="DefaultParagraphFont"/>
    <w:link w:val="BodyTextIndent2"/>
    <w:semiHidden/>
    <w:rsid w:val="001D13A1"/>
    <w:rPr>
      <w:rFonts w:ascii="Times New Roman" w:hAnsi="Times New Roman"/>
      <w:sz w:val="24"/>
      <w:szCs w:val="24"/>
      <w:lang w:val="en-GB" w:eastAsia="de-DE"/>
    </w:rPr>
  </w:style>
  <w:style w:type="paragraph" w:styleId="BodyTextIndent3">
    <w:name w:val="Body Text Indent 3"/>
    <w:basedOn w:val="Normal"/>
    <w:link w:val="BodyTextIndent3Char"/>
    <w:semiHidden/>
    <w:unhideWhenUsed/>
    <w:rsid w:val="001D13A1"/>
    <w:pPr>
      <w:spacing w:after="120"/>
      <w:ind w:left="283"/>
    </w:pPr>
    <w:rPr>
      <w:sz w:val="16"/>
      <w:szCs w:val="16"/>
    </w:rPr>
  </w:style>
  <w:style w:type="character" w:customStyle="1" w:styleId="BodyTextIndent3Char">
    <w:name w:val="Body Text Indent 3 Char"/>
    <w:basedOn w:val="DefaultParagraphFont"/>
    <w:link w:val="BodyTextIndent3"/>
    <w:semiHidden/>
    <w:rsid w:val="001D13A1"/>
    <w:rPr>
      <w:rFonts w:ascii="Times New Roman" w:hAnsi="Times New Roman"/>
      <w:sz w:val="16"/>
      <w:szCs w:val="16"/>
      <w:lang w:val="en-GB" w:eastAsia="de-DE"/>
    </w:rPr>
  </w:style>
  <w:style w:type="character" w:styleId="BookTitle">
    <w:name w:val="Book Title"/>
    <w:basedOn w:val="DefaultParagraphFont"/>
    <w:uiPriority w:val="33"/>
    <w:qFormat/>
    <w:rsid w:val="001D13A1"/>
    <w:rPr>
      <w:b/>
      <w:bCs/>
      <w:smallCaps/>
      <w:spacing w:val="5"/>
      <w:lang w:val="en-GB"/>
    </w:rPr>
  </w:style>
  <w:style w:type="paragraph" w:styleId="Closing">
    <w:name w:val="Closing"/>
    <w:basedOn w:val="Normal"/>
    <w:link w:val="ClosingChar"/>
    <w:semiHidden/>
    <w:unhideWhenUsed/>
    <w:rsid w:val="001D13A1"/>
    <w:pPr>
      <w:ind w:left="4252"/>
    </w:pPr>
  </w:style>
  <w:style w:type="character" w:customStyle="1" w:styleId="ClosingChar">
    <w:name w:val="Closing Char"/>
    <w:basedOn w:val="DefaultParagraphFont"/>
    <w:link w:val="Closing"/>
    <w:semiHidden/>
    <w:rsid w:val="001D13A1"/>
    <w:rPr>
      <w:rFonts w:ascii="Times New Roman" w:hAnsi="Times New Roman"/>
      <w:sz w:val="24"/>
      <w:szCs w:val="24"/>
      <w:lang w:val="en-GB" w:eastAsia="de-DE"/>
    </w:rPr>
  </w:style>
  <w:style w:type="table" w:customStyle="1" w:styleId="ColorfulGrid1">
    <w:name w:val="Colorful Grid1"/>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D13A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1D13A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D13A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D13A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D13A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D13A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D13A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D13A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1D13A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D13A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D13A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D13A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D13A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D13A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D13A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1D13A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D13A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D13A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D13A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D13A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D13A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D13A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1D13A1"/>
  </w:style>
  <w:style w:type="character" w:customStyle="1" w:styleId="DateChar">
    <w:name w:val="Date Char"/>
    <w:basedOn w:val="DefaultParagraphFont"/>
    <w:link w:val="Date"/>
    <w:rsid w:val="001D13A1"/>
    <w:rPr>
      <w:rFonts w:ascii="Times New Roman" w:hAnsi="Times New Roman"/>
      <w:sz w:val="24"/>
      <w:szCs w:val="24"/>
      <w:lang w:val="en-GB" w:eastAsia="de-DE"/>
    </w:rPr>
  </w:style>
  <w:style w:type="paragraph" w:styleId="DocumentMap">
    <w:name w:val="Document Map"/>
    <w:basedOn w:val="Normal"/>
    <w:link w:val="DocumentMapChar"/>
    <w:semiHidden/>
    <w:unhideWhenUsed/>
    <w:rsid w:val="001D13A1"/>
    <w:rPr>
      <w:rFonts w:ascii="Tahoma" w:hAnsi="Tahoma" w:cs="Tahoma"/>
      <w:sz w:val="16"/>
      <w:szCs w:val="16"/>
    </w:rPr>
  </w:style>
  <w:style w:type="character" w:customStyle="1" w:styleId="DocumentMapChar">
    <w:name w:val="Document Map Char"/>
    <w:basedOn w:val="DefaultParagraphFont"/>
    <w:link w:val="DocumentMap"/>
    <w:semiHidden/>
    <w:rsid w:val="001D13A1"/>
    <w:rPr>
      <w:rFonts w:ascii="Tahoma" w:hAnsi="Tahoma" w:cs="Tahoma"/>
      <w:sz w:val="16"/>
      <w:szCs w:val="16"/>
      <w:lang w:val="en-GB" w:eastAsia="de-DE"/>
    </w:rPr>
  </w:style>
  <w:style w:type="paragraph" w:styleId="E-mailSignature">
    <w:name w:val="E-mail Signature"/>
    <w:basedOn w:val="Normal"/>
    <w:link w:val="E-mailSignatureChar"/>
    <w:semiHidden/>
    <w:unhideWhenUsed/>
    <w:rsid w:val="001D13A1"/>
  </w:style>
  <w:style w:type="character" w:customStyle="1" w:styleId="E-mailSignatureChar">
    <w:name w:val="E-mail Signature Char"/>
    <w:basedOn w:val="DefaultParagraphFont"/>
    <w:link w:val="E-mailSignature"/>
    <w:semiHidden/>
    <w:rsid w:val="001D13A1"/>
    <w:rPr>
      <w:rFonts w:ascii="Times New Roman" w:hAnsi="Times New Roman"/>
      <w:sz w:val="24"/>
      <w:szCs w:val="24"/>
      <w:lang w:val="en-GB" w:eastAsia="de-DE"/>
    </w:rPr>
  </w:style>
  <w:style w:type="character" w:styleId="Emphasis">
    <w:name w:val="Emphasis"/>
    <w:basedOn w:val="DefaultParagraphFont"/>
    <w:qFormat/>
    <w:rsid w:val="001D13A1"/>
    <w:rPr>
      <w:i/>
      <w:iCs/>
      <w:lang w:val="en-GB"/>
    </w:rPr>
  </w:style>
  <w:style w:type="paragraph" w:styleId="EnvelopeAddress">
    <w:name w:val="envelope address"/>
    <w:basedOn w:val="Normal"/>
    <w:semiHidden/>
    <w:unhideWhenUsed/>
    <w:rsid w:val="001D13A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1D13A1"/>
    <w:rPr>
      <w:rFonts w:asciiTheme="majorHAnsi" w:eastAsiaTheme="majorEastAsia" w:hAnsiTheme="majorHAnsi" w:cstheme="majorBidi"/>
      <w:sz w:val="20"/>
      <w:szCs w:val="20"/>
    </w:rPr>
  </w:style>
  <w:style w:type="character" w:styleId="HTMLAcronym">
    <w:name w:val="HTML Acronym"/>
    <w:basedOn w:val="DefaultParagraphFont"/>
    <w:semiHidden/>
    <w:unhideWhenUsed/>
    <w:rsid w:val="001D13A1"/>
    <w:rPr>
      <w:lang w:val="en-GB"/>
    </w:rPr>
  </w:style>
  <w:style w:type="paragraph" w:styleId="HTMLAddress">
    <w:name w:val="HTML Address"/>
    <w:basedOn w:val="Normal"/>
    <w:link w:val="HTMLAddressChar"/>
    <w:semiHidden/>
    <w:unhideWhenUsed/>
    <w:rsid w:val="001D13A1"/>
    <w:rPr>
      <w:i/>
      <w:iCs/>
    </w:rPr>
  </w:style>
  <w:style w:type="character" w:customStyle="1" w:styleId="HTMLAddressChar">
    <w:name w:val="HTML Address Char"/>
    <w:basedOn w:val="DefaultParagraphFont"/>
    <w:link w:val="HTMLAddress"/>
    <w:semiHidden/>
    <w:rsid w:val="001D13A1"/>
    <w:rPr>
      <w:rFonts w:ascii="Times New Roman" w:hAnsi="Times New Roman"/>
      <w:i/>
      <w:iCs/>
      <w:sz w:val="24"/>
      <w:szCs w:val="24"/>
      <w:lang w:val="en-GB" w:eastAsia="de-DE"/>
    </w:rPr>
  </w:style>
  <w:style w:type="character" w:styleId="HTMLCite">
    <w:name w:val="HTML Cite"/>
    <w:basedOn w:val="DefaultParagraphFont"/>
    <w:semiHidden/>
    <w:unhideWhenUsed/>
    <w:rsid w:val="001D13A1"/>
    <w:rPr>
      <w:i/>
      <w:iCs/>
      <w:lang w:val="en-GB"/>
    </w:rPr>
  </w:style>
  <w:style w:type="character" w:styleId="HTMLCode">
    <w:name w:val="HTML Code"/>
    <w:basedOn w:val="DefaultParagraphFont"/>
    <w:semiHidden/>
    <w:unhideWhenUsed/>
    <w:rsid w:val="001D13A1"/>
    <w:rPr>
      <w:rFonts w:ascii="Consolas" w:hAnsi="Consolas" w:cs="Consolas"/>
      <w:sz w:val="20"/>
      <w:szCs w:val="20"/>
      <w:lang w:val="en-GB"/>
    </w:rPr>
  </w:style>
  <w:style w:type="character" w:styleId="HTMLDefinition">
    <w:name w:val="HTML Definition"/>
    <w:basedOn w:val="DefaultParagraphFont"/>
    <w:semiHidden/>
    <w:unhideWhenUsed/>
    <w:rsid w:val="001D13A1"/>
    <w:rPr>
      <w:i/>
      <w:iCs/>
      <w:lang w:val="en-GB"/>
    </w:rPr>
  </w:style>
  <w:style w:type="character" w:styleId="HTMLKeyboard">
    <w:name w:val="HTML Keyboard"/>
    <w:basedOn w:val="DefaultParagraphFont"/>
    <w:semiHidden/>
    <w:unhideWhenUsed/>
    <w:rsid w:val="001D13A1"/>
    <w:rPr>
      <w:rFonts w:ascii="Consolas" w:hAnsi="Consolas" w:cs="Consolas"/>
      <w:sz w:val="20"/>
      <w:szCs w:val="20"/>
      <w:lang w:val="en-GB"/>
    </w:rPr>
  </w:style>
  <w:style w:type="character" w:styleId="HTMLSample">
    <w:name w:val="HTML Sample"/>
    <w:basedOn w:val="DefaultParagraphFont"/>
    <w:semiHidden/>
    <w:unhideWhenUsed/>
    <w:rsid w:val="001D13A1"/>
    <w:rPr>
      <w:rFonts w:ascii="Consolas" w:hAnsi="Consolas" w:cs="Consolas"/>
      <w:sz w:val="24"/>
      <w:szCs w:val="24"/>
      <w:lang w:val="en-GB"/>
    </w:rPr>
  </w:style>
  <w:style w:type="character" w:styleId="HTMLTypewriter">
    <w:name w:val="HTML Typewriter"/>
    <w:basedOn w:val="DefaultParagraphFont"/>
    <w:semiHidden/>
    <w:unhideWhenUsed/>
    <w:rsid w:val="001D13A1"/>
    <w:rPr>
      <w:rFonts w:ascii="Consolas" w:hAnsi="Consolas" w:cs="Consolas"/>
      <w:sz w:val="20"/>
      <w:szCs w:val="20"/>
      <w:lang w:val="en-GB"/>
    </w:rPr>
  </w:style>
  <w:style w:type="character" w:styleId="HTMLVariable">
    <w:name w:val="HTML Variable"/>
    <w:basedOn w:val="DefaultParagraphFont"/>
    <w:semiHidden/>
    <w:unhideWhenUsed/>
    <w:rsid w:val="001D13A1"/>
    <w:rPr>
      <w:i/>
      <w:iCs/>
      <w:lang w:val="en-GB"/>
    </w:rPr>
  </w:style>
  <w:style w:type="paragraph" w:styleId="Index1">
    <w:name w:val="index 1"/>
    <w:basedOn w:val="Normal"/>
    <w:next w:val="Normal"/>
    <w:autoRedefine/>
    <w:semiHidden/>
    <w:unhideWhenUsed/>
    <w:rsid w:val="001D13A1"/>
    <w:pPr>
      <w:ind w:left="240" w:hanging="240"/>
    </w:pPr>
  </w:style>
  <w:style w:type="paragraph" w:styleId="Index2">
    <w:name w:val="index 2"/>
    <w:basedOn w:val="Normal"/>
    <w:next w:val="Normal"/>
    <w:autoRedefine/>
    <w:semiHidden/>
    <w:unhideWhenUsed/>
    <w:rsid w:val="001D13A1"/>
    <w:pPr>
      <w:ind w:left="480" w:hanging="240"/>
    </w:pPr>
  </w:style>
  <w:style w:type="paragraph" w:styleId="Index3">
    <w:name w:val="index 3"/>
    <w:basedOn w:val="Normal"/>
    <w:next w:val="Normal"/>
    <w:autoRedefine/>
    <w:semiHidden/>
    <w:unhideWhenUsed/>
    <w:rsid w:val="001D13A1"/>
    <w:pPr>
      <w:ind w:left="720" w:hanging="240"/>
    </w:pPr>
  </w:style>
  <w:style w:type="paragraph" w:styleId="Index4">
    <w:name w:val="index 4"/>
    <w:basedOn w:val="Normal"/>
    <w:next w:val="Normal"/>
    <w:autoRedefine/>
    <w:semiHidden/>
    <w:unhideWhenUsed/>
    <w:rsid w:val="001D13A1"/>
    <w:pPr>
      <w:ind w:left="960" w:hanging="240"/>
    </w:pPr>
  </w:style>
  <w:style w:type="paragraph" w:styleId="Index5">
    <w:name w:val="index 5"/>
    <w:basedOn w:val="Normal"/>
    <w:next w:val="Normal"/>
    <w:autoRedefine/>
    <w:semiHidden/>
    <w:unhideWhenUsed/>
    <w:rsid w:val="001D13A1"/>
    <w:pPr>
      <w:ind w:left="1200" w:hanging="240"/>
    </w:pPr>
  </w:style>
  <w:style w:type="paragraph" w:styleId="Index6">
    <w:name w:val="index 6"/>
    <w:basedOn w:val="Normal"/>
    <w:next w:val="Normal"/>
    <w:autoRedefine/>
    <w:semiHidden/>
    <w:unhideWhenUsed/>
    <w:rsid w:val="001D13A1"/>
    <w:pPr>
      <w:ind w:left="1440" w:hanging="240"/>
    </w:pPr>
  </w:style>
  <w:style w:type="paragraph" w:styleId="Index7">
    <w:name w:val="index 7"/>
    <w:basedOn w:val="Normal"/>
    <w:next w:val="Normal"/>
    <w:autoRedefine/>
    <w:semiHidden/>
    <w:unhideWhenUsed/>
    <w:rsid w:val="001D13A1"/>
    <w:pPr>
      <w:ind w:left="1680" w:hanging="240"/>
    </w:pPr>
  </w:style>
  <w:style w:type="paragraph" w:styleId="Index8">
    <w:name w:val="index 8"/>
    <w:basedOn w:val="Normal"/>
    <w:next w:val="Normal"/>
    <w:autoRedefine/>
    <w:semiHidden/>
    <w:unhideWhenUsed/>
    <w:rsid w:val="001D13A1"/>
    <w:pPr>
      <w:ind w:left="1920" w:hanging="240"/>
    </w:pPr>
  </w:style>
  <w:style w:type="paragraph" w:styleId="Index9">
    <w:name w:val="index 9"/>
    <w:basedOn w:val="Normal"/>
    <w:next w:val="Normal"/>
    <w:autoRedefine/>
    <w:semiHidden/>
    <w:unhideWhenUsed/>
    <w:rsid w:val="001D13A1"/>
    <w:pPr>
      <w:ind w:left="2160" w:hanging="240"/>
    </w:pPr>
  </w:style>
  <w:style w:type="paragraph" w:styleId="IndexHeading">
    <w:name w:val="index heading"/>
    <w:basedOn w:val="Normal"/>
    <w:next w:val="Index1"/>
    <w:semiHidden/>
    <w:unhideWhenUsed/>
    <w:rsid w:val="001D13A1"/>
    <w:rPr>
      <w:rFonts w:asciiTheme="majorHAnsi" w:eastAsiaTheme="majorEastAsia" w:hAnsiTheme="majorHAnsi" w:cstheme="majorBidi"/>
      <w:b/>
      <w:bCs/>
    </w:rPr>
  </w:style>
  <w:style w:type="character" w:styleId="IntenseEmphasis">
    <w:name w:val="Intense Emphasis"/>
    <w:basedOn w:val="DefaultParagraphFont"/>
    <w:uiPriority w:val="21"/>
    <w:qFormat/>
    <w:rsid w:val="001D13A1"/>
    <w:rPr>
      <w:b/>
      <w:bCs/>
      <w:i/>
      <w:iCs/>
      <w:color w:val="4F81BD" w:themeColor="accent1"/>
      <w:lang w:val="en-GB"/>
    </w:rPr>
  </w:style>
  <w:style w:type="paragraph" w:styleId="IntenseQuote">
    <w:name w:val="Intense Quote"/>
    <w:basedOn w:val="Normal"/>
    <w:next w:val="Normal"/>
    <w:link w:val="IntenseQuoteChar"/>
    <w:uiPriority w:val="30"/>
    <w:qFormat/>
    <w:rsid w:val="001D13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13A1"/>
    <w:rPr>
      <w:rFonts w:ascii="Times New Roman" w:hAnsi="Times New Roman"/>
      <w:b/>
      <w:bCs/>
      <w:i/>
      <w:iCs/>
      <w:color w:val="4F81BD" w:themeColor="accent1"/>
      <w:sz w:val="24"/>
      <w:szCs w:val="24"/>
      <w:lang w:val="en-GB" w:eastAsia="de-DE"/>
    </w:rPr>
  </w:style>
  <w:style w:type="character" w:styleId="IntenseReference">
    <w:name w:val="Intense Reference"/>
    <w:basedOn w:val="DefaultParagraphFont"/>
    <w:uiPriority w:val="32"/>
    <w:qFormat/>
    <w:rsid w:val="001D13A1"/>
    <w:rPr>
      <w:b/>
      <w:bCs/>
      <w:smallCaps/>
      <w:color w:val="C0504D" w:themeColor="accent2"/>
      <w:spacing w:val="5"/>
      <w:u w:val="single"/>
      <w:lang w:val="en-GB"/>
    </w:rPr>
  </w:style>
  <w:style w:type="table" w:customStyle="1" w:styleId="LightGrid1">
    <w:name w:val="Light Grid1"/>
    <w:basedOn w:val="TableNormal"/>
    <w:uiPriority w:val="62"/>
    <w:rsid w:val="001D13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1D13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D13A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D13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D13A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D13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D13A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1D13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1D13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D13A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D13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D13A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D13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D13A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1D13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D13A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D13A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D13A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D13A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D13A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D13A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semiHidden/>
    <w:unhideWhenUsed/>
    <w:rsid w:val="001D13A1"/>
    <w:pPr>
      <w:ind w:left="283" w:hanging="283"/>
      <w:contextualSpacing/>
    </w:pPr>
  </w:style>
  <w:style w:type="paragraph" w:styleId="List2">
    <w:name w:val="List 2"/>
    <w:basedOn w:val="Normal"/>
    <w:semiHidden/>
    <w:unhideWhenUsed/>
    <w:rsid w:val="001D13A1"/>
    <w:pPr>
      <w:ind w:left="566" w:hanging="283"/>
      <w:contextualSpacing/>
    </w:pPr>
  </w:style>
  <w:style w:type="paragraph" w:styleId="List3">
    <w:name w:val="List 3"/>
    <w:basedOn w:val="Normal"/>
    <w:semiHidden/>
    <w:unhideWhenUsed/>
    <w:rsid w:val="001D13A1"/>
    <w:pPr>
      <w:ind w:left="849" w:hanging="283"/>
      <w:contextualSpacing/>
    </w:pPr>
  </w:style>
  <w:style w:type="paragraph" w:styleId="List4">
    <w:name w:val="List 4"/>
    <w:basedOn w:val="Normal"/>
    <w:rsid w:val="001D13A1"/>
    <w:pPr>
      <w:ind w:left="1132" w:hanging="283"/>
      <w:contextualSpacing/>
    </w:pPr>
  </w:style>
  <w:style w:type="paragraph" w:styleId="List5">
    <w:name w:val="List 5"/>
    <w:basedOn w:val="Normal"/>
    <w:rsid w:val="001D13A1"/>
    <w:pPr>
      <w:ind w:left="1415" w:hanging="283"/>
      <w:contextualSpacing/>
    </w:pPr>
  </w:style>
  <w:style w:type="paragraph" w:styleId="ListBullet">
    <w:name w:val="List Bullet"/>
    <w:basedOn w:val="Normal"/>
    <w:unhideWhenUsed/>
    <w:rsid w:val="001D13A1"/>
    <w:pPr>
      <w:numPr>
        <w:numId w:val="10"/>
      </w:numPr>
      <w:contextualSpacing/>
    </w:pPr>
  </w:style>
  <w:style w:type="paragraph" w:styleId="ListBullet2">
    <w:name w:val="List Bullet 2"/>
    <w:basedOn w:val="Normal"/>
    <w:semiHidden/>
    <w:unhideWhenUsed/>
    <w:rsid w:val="001D13A1"/>
    <w:pPr>
      <w:numPr>
        <w:numId w:val="11"/>
      </w:numPr>
      <w:contextualSpacing/>
    </w:pPr>
  </w:style>
  <w:style w:type="paragraph" w:styleId="ListBullet3">
    <w:name w:val="List Bullet 3"/>
    <w:basedOn w:val="Normal"/>
    <w:semiHidden/>
    <w:unhideWhenUsed/>
    <w:rsid w:val="001D13A1"/>
    <w:pPr>
      <w:numPr>
        <w:numId w:val="12"/>
      </w:numPr>
      <w:contextualSpacing/>
    </w:pPr>
  </w:style>
  <w:style w:type="paragraph" w:styleId="ListBullet4">
    <w:name w:val="List Bullet 4"/>
    <w:basedOn w:val="Normal"/>
    <w:semiHidden/>
    <w:unhideWhenUsed/>
    <w:rsid w:val="001D13A1"/>
    <w:pPr>
      <w:numPr>
        <w:numId w:val="13"/>
      </w:numPr>
      <w:contextualSpacing/>
    </w:pPr>
  </w:style>
  <w:style w:type="paragraph" w:styleId="ListBullet5">
    <w:name w:val="List Bullet 5"/>
    <w:basedOn w:val="Normal"/>
    <w:semiHidden/>
    <w:unhideWhenUsed/>
    <w:rsid w:val="001D13A1"/>
    <w:pPr>
      <w:numPr>
        <w:numId w:val="14"/>
      </w:numPr>
      <w:contextualSpacing/>
    </w:pPr>
  </w:style>
  <w:style w:type="paragraph" w:styleId="ListContinue">
    <w:name w:val="List Continue"/>
    <w:basedOn w:val="Normal"/>
    <w:semiHidden/>
    <w:unhideWhenUsed/>
    <w:rsid w:val="001D13A1"/>
    <w:pPr>
      <w:spacing w:after="120"/>
      <w:ind w:left="283"/>
      <w:contextualSpacing/>
    </w:pPr>
  </w:style>
  <w:style w:type="paragraph" w:styleId="ListContinue2">
    <w:name w:val="List Continue 2"/>
    <w:basedOn w:val="Normal"/>
    <w:semiHidden/>
    <w:unhideWhenUsed/>
    <w:rsid w:val="001D13A1"/>
    <w:pPr>
      <w:spacing w:after="120"/>
      <w:ind w:left="566"/>
      <w:contextualSpacing/>
    </w:pPr>
  </w:style>
  <w:style w:type="paragraph" w:styleId="ListContinue3">
    <w:name w:val="List Continue 3"/>
    <w:basedOn w:val="Normal"/>
    <w:semiHidden/>
    <w:unhideWhenUsed/>
    <w:rsid w:val="001D13A1"/>
    <w:pPr>
      <w:spacing w:after="120"/>
      <w:ind w:left="849"/>
      <w:contextualSpacing/>
    </w:pPr>
  </w:style>
  <w:style w:type="paragraph" w:styleId="ListContinue4">
    <w:name w:val="List Continue 4"/>
    <w:basedOn w:val="Normal"/>
    <w:semiHidden/>
    <w:unhideWhenUsed/>
    <w:rsid w:val="001D13A1"/>
    <w:pPr>
      <w:spacing w:after="120"/>
      <w:ind w:left="1132"/>
      <w:contextualSpacing/>
    </w:pPr>
  </w:style>
  <w:style w:type="paragraph" w:styleId="ListContinue5">
    <w:name w:val="List Continue 5"/>
    <w:basedOn w:val="Normal"/>
    <w:semiHidden/>
    <w:unhideWhenUsed/>
    <w:rsid w:val="001D13A1"/>
    <w:pPr>
      <w:spacing w:after="120"/>
      <w:ind w:left="1415"/>
      <w:contextualSpacing/>
    </w:pPr>
  </w:style>
  <w:style w:type="paragraph" w:styleId="ListNumber">
    <w:name w:val="List Number"/>
    <w:basedOn w:val="Normal"/>
    <w:rsid w:val="001D13A1"/>
    <w:pPr>
      <w:tabs>
        <w:tab w:val="num" w:pos="360"/>
      </w:tabs>
      <w:ind w:left="360" w:hanging="360"/>
      <w:contextualSpacing/>
    </w:pPr>
  </w:style>
  <w:style w:type="paragraph" w:styleId="ListNumber2">
    <w:name w:val="List Number 2"/>
    <w:basedOn w:val="Normal"/>
    <w:semiHidden/>
    <w:unhideWhenUsed/>
    <w:rsid w:val="001D13A1"/>
    <w:pPr>
      <w:numPr>
        <w:numId w:val="15"/>
      </w:numPr>
      <w:contextualSpacing/>
    </w:pPr>
  </w:style>
  <w:style w:type="paragraph" w:styleId="ListNumber3">
    <w:name w:val="List Number 3"/>
    <w:basedOn w:val="Normal"/>
    <w:semiHidden/>
    <w:unhideWhenUsed/>
    <w:rsid w:val="001D13A1"/>
    <w:pPr>
      <w:numPr>
        <w:numId w:val="16"/>
      </w:numPr>
      <w:contextualSpacing/>
    </w:pPr>
  </w:style>
  <w:style w:type="paragraph" w:styleId="ListNumber4">
    <w:name w:val="List Number 4"/>
    <w:basedOn w:val="Normal"/>
    <w:semiHidden/>
    <w:unhideWhenUsed/>
    <w:rsid w:val="001D13A1"/>
    <w:pPr>
      <w:numPr>
        <w:numId w:val="17"/>
      </w:numPr>
      <w:contextualSpacing/>
    </w:pPr>
  </w:style>
  <w:style w:type="paragraph" w:styleId="ListNumber5">
    <w:name w:val="List Number 5"/>
    <w:basedOn w:val="Normal"/>
    <w:semiHidden/>
    <w:unhideWhenUsed/>
    <w:rsid w:val="001D13A1"/>
    <w:pPr>
      <w:numPr>
        <w:numId w:val="18"/>
      </w:numPr>
      <w:contextualSpacing/>
    </w:pPr>
  </w:style>
  <w:style w:type="paragraph" w:styleId="MacroText">
    <w:name w:val="macro"/>
    <w:link w:val="MacroTextChar"/>
    <w:semiHidden/>
    <w:unhideWhenUsed/>
    <w:rsid w:val="001D13A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de-DE"/>
    </w:rPr>
  </w:style>
  <w:style w:type="character" w:customStyle="1" w:styleId="MacroTextChar">
    <w:name w:val="Macro Text Char"/>
    <w:basedOn w:val="DefaultParagraphFont"/>
    <w:link w:val="MacroText"/>
    <w:semiHidden/>
    <w:rsid w:val="001D13A1"/>
    <w:rPr>
      <w:rFonts w:ascii="Consolas" w:hAnsi="Consolas" w:cs="Consolas"/>
      <w:lang w:val="en-GB" w:eastAsia="de-DE"/>
    </w:rPr>
  </w:style>
  <w:style w:type="table" w:customStyle="1" w:styleId="MediumGrid11">
    <w:name w:val="Medium Grid 11"/>
    <w:basedOn w:val="TableNormal"/>
    <w:uiPriority w:val="67"/>
    <w:rsid w:val="001D13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D13A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D13A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D13A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D13A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D13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D13A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D13A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D13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1D13A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1D13A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D13A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D13A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D13A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D13A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D13A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D13A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1D13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1D13A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D13A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D13A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D13A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D13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D13A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D13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1D13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1D13A1"/>
    <w:rPr>
      <w:rFonts w:asciiTheme="majorHAnsi" w:eastAsiaTheme="majorEastAsia" w:hAnsiTheme="majorHAnsi" w:cstheme="majorBidi"/>
      <w:sz w:val="24"/>
      <w:szCs w:val="24"/>
      <w:shd w:val="pct20" w:color="auto" w:fill="auto"/>
      <w:lang w:val="en-GB" w:eastAsia="de-DE"/>
    </w:rPr>
  </w:style>
  <w:style w:type="paragraph" w:styleId="NormalIndent">
    <w:name w:val="Normal Indent"/>
    <w:basedOn w:val="Normal"/>
    <w:semiHidden/>
    <w:unhideWhenUsed/>
    <w:rsid w:val="001D13A1"/>
    <w:pPr>
      <w:ind w:left="720"/>
    </w:pPr>
  </w:style>
  <w:style w:type="paragraph" w:styleId="NoteHeading">
    <w:name w:val="Note Heading"/>
    <w:basedOn w:val="Normal"/>
    <w:next w:val="Normal"/>
    <w:link w:val="NoteHeadingChar"/>
    <w:semiHidden/>
    <w:unhideWhenUsed/>
    <w:rsid w:val="001D13A1"/>
  </w:style>
  <w:style w:type="character" w:customStyle="1" w:styleId="NoteHeadingChar">
    <w:name w:val="Note Heading Char"/>
    <w:basedOn w:val="DefaultParagraphFont"/>
    <w:link w:val="NoteHeading"/>
    <w:semiHidden/>
    <w:rsid w:val="001D13A1"/>
    <w:rPr>
      <w:rFonts w:ascii="Times New Roman" w:hAnsi="Times New Roman"/>
      <w:sz w:val="24"/>
      <w:szCs w:val="24"/>
      <w:lang w:val="en-GB" w:eastAsia="de-DE"/>
    </w:rPr>
  </w:style>
  <w:style w:type="character" w:styleId="PlaceholderText">
    <w:name w:val="Placeholder Text"/>
    <w:basedOn w:val="DefaultParagraphFont"/>
    <w:uiPriority w:val="99"/>
    <w:semiHidden/>
    <w:rsid w:val="001D13A1"/>
    <w:rPr>
      <w:color w:val="808080"/>
      <w:lang w:val="en-GB"/>
    </w:rPr>
  </w:style>
  <w:style w:type="paragraph" w:styleId="PlainText">
    <w:name w:val="Plain Text"/>
    <w:basedOn w:val="Normal"/>
    <w:link w:val="PlainTextChar"/>
    <w:semiHidden/>
    <w:unhideWhenUsed/>
    <w:rsid w:val="001D13A1"/>
    <w:rPr>
      <w:rFonts w:ascii="Consolas" w:hAnsi="Consolas" w:cs="Consolas"/>
      <w:sz w:val="21"/>
      <w:szCs w:val="21"/>
    </w:rPr>
  </w:style>
  <w:style w:type="character" w:customStyle="1" w:styleId="PlainTextChar">
    <w:name w:val="Plain Text Char"/>
    <w:basedOn w:val="DefaultParagraphFont"/>
    <w:link w:val="PlainText"/>
    <w:semiHidden/>
    <w:rsid w:val="001D13A1"/>
    <w:rPr>
      <w:rFonts w:ascii="Consolas" w:hAnsi="Consolas" w:cs="Consolas"/>
      <w:sz w:val="21"/>
      <w:szCs w:val="21"/>
      <w:lang w:val="en-GB" w:eastAsia="de-DE"/>
    </w:rPr>
  </w:style>
  <w:style w:type="paragraph" w:styleId="Quote">
    <w:name w:val="Quote"/>
    <w:basedOn w:val="Normal"/>
    <w:next w:val="Normal"/>
    <w:link w:val="QuoteChar"/>
    <w:uiPriority w:val="29"/>
    <w:qFormat/>
    <w:rsid w:val="001D13A1"/>
    <w:rPr>
      <w:i/>
      <w:iCs/>
      <w:color w:val="000000" w:themeColor="text1"/>
    </w:rPr>
  </w:style>
  <w:style w:type="character" w:customStyle="1" w:styleId="QuoteChar">
    <w:name w:val="Quote Char"/>
    <w:basedOn w:val="DefaultParagraphFont"/>
    <w:link w:val="Quote"/>
    <w:uiPriority w:val="29"/>
    <w:rsid w:val="001D13A1"/>
    <w:rPr>
      <w:rFonts w:ascii="Times New Roman" w:hAnsi="Times New Roman"/>
      <w:i/>
      <w:iCs/>
      <w:color w:val="000000" w:themeColor="text1"/>
      <w:sz w:val="24"/>
      <w:szCs w:val="24"/>
      <w:lang w:val="en-GB" w:eastAsia="de-DE"/>
    </w:rPr>
  </w:style>
  <w:style w:type="paragraph" w:styleId="Salutation">
    <w:name w:val="Salutation"/>
    <w:basedOn w:val="Normal"/>
    <w:next w:val="Normal"/>
    <w:link w:val="SalutationChar"/>
    <w:rsid w:val="001D13A1"/>
  </w:style>
  <w:style w:type="character" w:customStyle="1" w:styleId="SalutationChar">
    <w:name w:val="Salutation Char"/>
    <w:basedOn w:val="DefaultParagraphFont"/>
    <w:link w:val="Salutation"/>
    <w:rsid w:val="001D13A1"/>
    <w:rPr>
      <w:rFonts w:ascii="Times New Roman" w:hAnsi="Times New Roman"/>
      <w:sz w:val="24"/>
      <w:szCs w:val="24"/>
      <w:lang w:val="en-GB" w:eastAsia="de-DE"/>
    </w:rPr>
  </w:style>
  <w:style w:type="paragraph" w:styleId="Signature">
    <w:name w:val="Signature"/>
    <w:basedOn w:val="Normal"/>
    <w:link w:val="SignatureChar"/>
    <w:semiHidden/>
    <w:unhideWhenUsed/>
    <w:rsid w:val="001D13A1"/>
    <w:pPr>
      <w:ind w:left="4252"/>
    </w:pPr>
  </w:style>
  <w:style w:type="character" w:customStyle="1" w:styleId="SignatureChar">
    <w:name w:val="Signature Char"/>
    <w:basedOn w:val="DefaultParagraphFont"/>
    <w:link w:val="Signature"/>
    <w:semiHidden/>
    <w:rsid w:val="001D13A1"/>
    <w:rPr>
      <w:rFonts w:ascii="Times New Roman" w:hAnsi="Times New Roman"/>
      <w:sz w:val="24"/>
      <w:szCs w:val="24"/>
      <w:lang w:val="en-GB" w:eastAsia="de-DE"/>
    </w:rPr>
  </w:style>
  <w:style w:type="paragraph" w:styleId="Subtitle0">
    <w:name w:val="Subtitle"/>
    <w:basedOn w:val="Normal"/>
    <w:next w:val="Normal"/>
    <w:link w:val="SubtitleChar"/>
    <w:qFormat/>
    <w:rsid w:val="001D13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0"/>
    <w:rsid w:val="001D13A1"/>
    <w:rPr>
      <w:rFonts w:asciiTheme="majorHAnsi" w:eastAsiaTheme="majorEastAsia" w:hAnsiTheme="majorHAnsi" w:cstheme="majorBidi"/>
      <w:i/>
      <w:iCs/>
      <w:color w:val="4F81BD" w:themeColor="accent1"/>
      <w:spacing w:val="15"/>
      <w:sz w:val="24"/>
      <w:szCs w:val="24"/>
      <w:lang w:val="en-GB" w:eastAsia="de-DE"/>
    </w:rPr>
  </w:style>
  <w:style w:type="character" w:styleId="SubtleEmphasis">
    <w:name w:val="Subtle Emphasis"/>
    <w:basedOn w:val="DefaultParagraphFont"/>
    <w:uiPriority w:val="19"/>
    <w:qFormat/>
    <w:rsid w:val="001D13A1"/>
    <w:rPr>
      <w:i/>
      <w:iCs/>
      <w:color w:val="808080" w:themeColor="text1" w:themeTint="7F"/>
      <w:lang w:val="en-GB"/>
    </w:rPr>
  </w:style>
  <w:style w:type="character" w:styleId="SubtleReference">
    <w:name w:val="Subtle Reference"/>
    <w:basedOn w:val="DefaultParagraphFont"/>
    <w:uiPriority w:val="31"/>
    <w:qFormat/>
    <w:rsid w:val="001D13A1"/>
    <w:rPr>
      <w:smallCaps/>
      <w:color w:val="C0504D" w:themeColor="accent2"/>
      <w:u w:val="single"/>
      <w:lang w:val="en-GB"/>
    </w:rPr>
  </w:style>
  <w:style w:type="table" w:styleId="Table3Deffects1">
    <w:name w:val="Table 3D effects 1"/>
    <w:basedOn w:val="TableNormal"/>
    <w:semiHidden/>
    <w:unhideWhenUsed/>
    <w:rsid w:val="001D13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D13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D13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D13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D13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D13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D13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D13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D13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D13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D13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D13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D13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D13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D13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D13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D13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D13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D13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D13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D13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D13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D13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D13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D13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1D13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D13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D13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D13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D13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D13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D13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D13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D13A1"/>
    <w:pPr>
      <w:ind w:left="240" w:hanging="240"/>
    </w:pPr>
  </w:style>
  <w:style w:type="table" w:styleId="TableProfessional">
    <w:name w:val="Table Professional"/>
    <w:basedOn w:val="TableNormal"/>
    <w:semiHidden/>
    <w:unhideWhenUsed/>
    <w:rsid w:val="001D13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D13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D13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D13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D13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D13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D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D13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D13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D13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1D13A1"/>
    <w:pPr>
      <w:spacing w:before="120"/>
    </w:pPr>
    <w:rPr>
      <w:rFonts w:asciiTheme="majorHAnsi" w:eastAsiaTheme="majorEastAsia" w:hAnsiTheme="majorHAnsi" w:cstheme="majorBidi"/>
      <w:b/>
      <w:bCs/>
    </w:rPr>
  </w:style>
  <w:style w:type="character" w:customStyle="1" w:styleId="containertitle">
    <w:name w:val="containertitle"/>
    <w:basedOn w:val="DefaultParagraphFont"/>
    <w:rsid w:val="00D20115"/>
  </w:style>
  <w:style w:type="paragraph" w:customStyle="1" w:styleId="Normal-pool">
    <w:name w:val="Normal-pool"/>
    <w:link w:val="Normal-poolChar"/>
    <w:rsid w:val="00761D39"/>
    <w:pPr>
      <w:tabs>
        <w:tab w:val="left" w:pos="1247"/>
        <w:tab w:val="left" w:pos="1814"/>
        <w:tab w:val="left" w:pos="2381"/>
        <w:tab w:val="left" w:pos="2948"/>
        <w:tab w:val="left" w:pos="3515"/>
        <w:tab w:val="left" w:pos="4082"/>
      </w:tabs>
    </w:pPr>
    <w:rPr>
      <w:rFonts w:ascii="Times New Roman" w:eastAsia="Times New Roman" w:hAnsi="Times New Roman"/>
      <w:lang w:eastAsia="en-US"/>
    </w:rPr>
  </w:style>
  <w:style w:type="character" w:customStyle="1" w:styleId="NormalnumberChar">
    <w:name w:val="Normal_number Char"/>
    <w:link w:val="Normalnumber"/>
    <w:rsid w:val="00761D39"/>
    <w:rPr>
      <w:rFonts w:ascii="Times New Roman" w:eastAsia="Times New Roman" w:hAnsi="Times New Roman"/>
      <w:lang w:eastAsia="en-US"/>
    </w:rPr>
  </w:style>
  <w:style w:type="character" w:customStyle="1" w:styleId="BBTitleChar">
    <w:name w:val="BB_Title Char"/>
    <w:link w:val="BBTitle"/>
    <w:rsid w:val="00761D39"/>
    <w:rPr>
      <w:rFonts w:ascii="Times New Roman" w:eastAsia="Times New Roman" w:hAnsi="Times New Roman"/>
      <w:b/>
      <w:sz w:val="28"/>
      <w:szCs w:val="28"/>
      <w:lang w:eastAsia="en-US"/>
    </w:rPr>
  </w:style>
  <w:style w:type="character" w:customStyle="1" w:styleId="CH2Char">
    <w:name w:val="CH2 Char"/>
    <w:link w:val="CH2"/>
    <w:rsid w:val="00761D39"/>
    <w:rPr>
      <w:rFonts w:ascii="Times New Roman" w:eastAsia="Times New Roman" w:hAnsi="Times New Roman"/>
      <w:b/>
      <w:sz w:val="24"/>
      <w:szCs w:val="24"/>
      <w:lang w:eastAsia="en-US"/>
    </w:rPr>
  </w:style>
  <w:style w:type="paragraph" w:customStyle="1" w:styleId="AATitle">
    <w:name w:val="AA_Title"/>
    <w:basedOn w:val="Normal"/>
    <w:rsid w:val="00761D39"/>
    <w:pPr>
      <w:keepNext/>
      <w:keepLines/>
      <w:tabs>
        <w:tab w:val="left" w:pos="1247"/>
        <w:tab w:val="left" w:pos="1814"/>
        <w:tab w:val="left" w:pos="2381"/>
        <w:tab w:val="left" w:pos="2948"/>
        <w:tab w:val="left" w:pos="3515"/>
        <w:tab w:val="left" w:pos="4082"/>
      </w:tabs>
      <w:suppressAutoHyphens/>
      <w:ind w:right="5103"/>
    </w:pPr>
    <w:rPr>
      <w:rFonts w:eastAsia="Times New Roman"/>
      <w:b/>
      <w:sz w:val="20"/>
      <w:szCs w:val="20"/>
      <w:lang w:val="fr-CA" w:eastAsia="en-US"/>
    </w:rPr>
  </w:style>
  <w:style w:type="paragraph" w:customStyle="1" w:styleId="AATitle2">
    <w:name w:val="AA_Title2"/>
    <w:basedOn w:val="AATitle"/>
    <w:rsid w:val="00761D39"/>
    <w:pPr>
      <w:tabs>
        <w:tab w:val="clear" w:pos="4082"/>
      </w:tabs>
      <w:spacing w:before="120" w:after="120"/>
      <w:ind w:right="4536"/>
    </w:pPr>
  </w:style>
  <w:style w:type="paragraph" w:customStyle="1" w:styleId="ZZAnxheader">
    <w:name w:val="ZZ_Anx_header"/>
    <w:basedOn w:val="Normal"/>
    <w:rsid w:val="00761D39"/>
    <w:pPr>
      <w:tabs>
        <w:tab w:val="left" w:pos="1247"/>
        <w:tab w:val="left" w:pos="1814"/>
        <w:tab w:val="left" w:pos="2381"/>
        <w:tab w:val="left" w:pos="2948"/>
        <w:tab w:val="left" w:pos="3515"/>
        <w:tab w:val="left" w:pos="4082"/>
      </w:tabs>
    </w:pPr>
    <w:rPr>
      <w:rFonts w:eastAsia="Times New Roman"/>
      <w:b/>
      <w:bCs/>
      <w:sz w:val="28"/>
      <w:szCs w:val="22"/>
      <w:lang w:val="fr-CA" w:eastAsia="en-US"/>
    </w:rPr>
  </w:style>
  <w:style w:type="character" w:customStyle="1" w:styleId="Normal-poolChar">
    <w:name w:val="Normal-pool Char"/>
    <w:link w:val="Normal-pool"/>
    <w:rsid w:val="00761D39"/>
    <w:rPr>
      <w:rFonts w:ascii="Times New Roman" w:eastAsia="Times New Roman" w:hAnsi="Times New Roman"/>
      <w:lang w:eastAsia="en-US"/>
    </w:rPr>
  </w:style>
  <w:style w:type="table" w:styleId="ColorfulGrid">
    <w:name w:val="Colorful Grid"/>
    <w:basedOn w:val="TableNormal"/>
    <w:uiPriority w:val="73"/>
    <w:rsid w:val="00C42B4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C42B4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C42B4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42B4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Grid">
    <w:name w:val="Light Grid"/>
    <w:basedOn w:val="TableNormal"/>
    <w:uiPriority w:val="62"/>
    <w:rsid w:val="00C42B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42B4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C42B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42B4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C42B4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42B4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C42B4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C42B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C42B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C42B4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42B4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C42B4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42B4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42B4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42B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42B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UnresolvedMention1">
    <w:name w:val="Unresolved Mention1"/>
    <w:basedOn w:val="DefaultParagraphFont"/>
    <w:uiPriority w:val="99"/>
    <w:semiHidden/>
    <w:unhideWhenUsed/>
    <w:rsid w:val="00B910A1"/>
    <w:rPr>
      <w:color w:val="808080"/>
      <w:shd w:val="clear" w:color="auto" w:fill="E6E6E6"/>
    </w:rPr>
  </w:style>
  <w:style w:type="paragraph" w:customStyle="1" w:styleId="WDBodySmall">
    <w:name w:val="WD Body Small"/>
    <w:aliases w:val="Body Small,AFW Body Small"/>
    <w:basedOn w:val="Normal"/>
    <w:qFormat/>
    <w:rsid w:val="00EF4BB4"/>
    <w:rPr>
      <w:rFonts w:ascii="Segoe UI" w:eastAsiaTheme="minorHAnsi" w:hAnsi="Segoe UI" w:cstheme="minorBidi"/>
      <w:color w:val="000000"/>
      <w:sz w:val="16"/>
      <w:szCs w:val="22"/>
      <w:lang w:eastAsia="en-US"/>
    </w:rPr>
  </w:style>
  <w:style w:type="paragraph" w:customStyle="1" w:styleId="WDReleaseHeadings">
    <w:name w:val="WD Release Headings"/>
    <w:basedOn w:val="Normal"/>
    <w:next w:val="WDBodySmall"/>
    <w:rsid w:val="00EF4BB4"/>
    <w:pPr>
      <w:pBdr>
        <w:top w:val="single" w:sz="2" w:space="1" w:color="000000" w:themeColor="text1"/>
      </w:pBdr>
      <w:spacing w:before="480" w:after="80"/>
    </w:pPr>
    <w:rPr>
      <w:rFonts w:ascii="Segoe UI" w:eastAsiaTheme="minorHAnsi" w:hAnsi="Segoe UI" w:cstheme="minorBidi"/>
      <w:b/>
      <w:color w:val="1F497D" w:themeColor="text2"/>
      <w:sz w:val="20"/>
      <w:szCs w:val="22"/>
      <w:lang w:eastAsia="en-US"/>
    </w:rPr>
  </w:style>
  <w:style w:type="character" w:customStyle="1" w:styleId="citationyear">
    <w:name w:val="citation_year"/>
    <w:basedOn w:val="DefaultParagraphFont"/>
    <w:rsid w:val="00A7479F"/>
  </w:style>
  <w:style w:type="character" w:customStyle="1" w:styleId="citationvolume">
    <w:name w:val="citation_volume"/>
    <w:basedOn w:val="DefaultParagraphFont"/>
    <w:rsid w:val="00A7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2052577">
      <w:bodyDiv w:val="1"/>
      <w:marLeft w:val="0"/>
      <w:marRight w:val="0"/>
      <w:marTop w:val="0"/>
      <w:marBottom w:val="0"/>
      <w:divBdr>
        <w:top w:val="none" w:sz="0" w:space="0" w:color="auto"/>
        <w:left w:val="none" w:sz="0" w:space="0" w:color="auto"/>
        <w:bottom w:val="none" w:sz="0" w:space="0" w:color="auto"/>
        <w:right w:val="none" w:sz="0" w:space="0" w:color="auto"/>
      </w:divBdr>
    </w:div>
    <w:div w:id="7563491">
      <w:bodyDiv w:val="1"/>
      <w:marLeft w:val="0"/>
      <w:marRight w:val="0"/>
      <w:marTop w:val="0"/>
      <w:marBottom w:val="0"/>
      <w:divBdr>
        <w:top w:val="none" w:sz="0" w:space="0" w:color="auto"/>
        <w:left w:val="none" w:sz="0" w:space="0" w:color="auto"/>
        <w:bottom w:val="none" w:sz="0" w:space="0" w:color="auto"/>
        <w:right w:val="none" w:sz="0" w:space="0" w:color="auto"/>
      </w:divBdr>
    </w:div>
    <w:div w:id="24526887">
      <w:bodyDiv w:val="1"/>
      <w:marLeft w:val="0"/>
      <w:marRight w:val="0"/>
      <w:marTop w:val="0"/>
      <w:marBottom w:val="0"/>
      <w:divBdr>
        <w:top w:val="none" w:sz="0" w:space="0" w:color="auto"/>
        <w:left w:val="none" w:sz="0" w:space="0" w:color="auto"/>
        <w:bottom w:val="none" w:sz="0" w:space="0" w:color="auto"/>
        <w:right w:val="none" w:sz="0" w:space="0" w:color="auto"/>
      </w:divBdr>
    </w:div>
    <w:div w:id="30032544">
      <w:bodyDiv w:val="1"/>
      <w:marLeft w:val="0"/>
      <w:marRight w:val="0"/>
      <w:marTop w:val="0"/>
      <w:marBottom w:val="0"/>
      <w:divBdr>
        <w:top w:val="none" w:sz="0" w:space="0" w:color="auto"/>
        <w:left w:val="none" w:sz="0" w:space="0" w:color="auto"/>
        <w:bottom w:val="none" w:sz="0" w:space="0" w:color="auto"/>
        <w:right w:val="none" w:sz="0" w:space="0" w:color="auto"/>
      </w:divBdr>
    </w:div>
    <w:div w:id="42876488">
      <w:bodyDiv w:val="1"/>
      <w:marLeft w:val="0"/>
      <w:marRight w:val="0"/>
      <w:marTop w:val="0"/>
      <w:marBottom w:val="0"/>
      <w:divBdr>
        <w:top w:val="none" w:sz="0" w:space="0" w:color="auto"/>
        <w:left w:val="none" w:sz="0" w:space="0" w:color="auto"/>
        <w:bottom w:val="none" w:sz="0" w:space="0" w:color="auto"/>
        <w:right w:val="none" w:sz="0" w:space="0" w:color="auto"/>
      </w:divBdr>
    </w:div>
    <w:div w:id="143161209">
      <w:bodyDiv w:val="1"/>
      <w:marLeft w:val="0"/>
      <w:marRight w:val="0"/>
      <w:marTop w:val="0"/>
      <w:marBottom w:val="0"/>
      <w:divBdr>
        <w:top w:val="none" w:sz="0" w:space="0" w:color="auto"/>
        <w:left w:val="none" w:sz="0" w:space="0" w:color="auto"/>
        <w:bottom w:val="none" w:sz="0" w:space="0" w:color="auto"/>
        <w:right w:val="none" w:sz="0" w:space="0" w:color="auto"/>
      </w:divBdr>
    </w:div>
    <w:div w:id="143279204">
      <w:bodyDiv w:val="1"/>
      <w:marLeft w:val="0"/>
      <w:marRight w:val="0"/>
      <w:marTop w:val="0"/>
      <w:marBottom w:val="0"/>
      <w:divBdr>
        <w:top w:val="none" w:sz="0" w:space="0" w:color="auto"/>
        <w:left w:val="none" w:sz="0" w:space="0" w:color="auto"/>
        <w:bottom w:val="none" w:sz="0" w:space="0" w:color="auto"/>
        <w:right w:val="none" w:sz="0" w:space="0" w:color="auto"/>
      </w:divBdr>
    </w:div>
    <w:div w:id="161312749">
      <w:bodyDiv w:val="1"/>
      <w:marLeft w:val="0"/>
      <w:marRight w:val="0"/>
      <w:marTop w:val="0"/>
      <w:marBottom w:val="0"/>
      <w:divBdr>
        <w:top w:val="none" w:sz="0" w:space="0" w:color="auto"/>
        <w:left w:val="none" w:sz="0" w:space="0" w:color="auto"/>
        <w:bottom w:val="none" w:sz="0" w:space="0" w:color="auto"/>
        <w:right w:val="none" w:sz="0" w:space="0" w:color="auto"/>
      </w:divBdr>
    </w:div>
    <w:div w:id="202835020">
      <w:bodyDiv w:val="1"/>
      <w:marLeft w:val="0"/>
      <w:marRight w:val="0"/>
      <w:marTop w:val="0"/>
      <w:marBottom w:val="0"/>
      <w:divBdr>
        <w:top w:val="none" w:sz="0" w:space="0" w:color="auto"/>
        <w:left w:val="none" w:sz="0" w:space="0" w:color="auto"/>
        <w:bottom w:val="none" w:sz="0" w:space="0" w:color="auto"/>
        <w:right w:val="none" w:sz="0" w:space="0" w:color="auto"/>
      </w:divBdr>
    </w:div>
    <w:div w:id="215434947">
      <w:bodyDiv w:val="1"/>
      <w:marLeft w:val="0"/>
      <w:marRight w:val="0"/>
      <w:marTop w:val="0"/>
      <w:marBottom w:val="0"/>
      <w:divBdr>
        <w:top w:val="none" w:sz="0" w:space="0" w:color="auto"/>
        <w:left w:val="none" w:sz="0" w:space="0" w:color="auto"/>
        <w:bottom w:val="none" w:sz="0" w:space="0" w:color="auto"/>
        <w:right w:val="none" w:sz="0" w:space="0" w:color="auto"/>
      </w:divBdr>
    </w:div>
    <w:div w:id="237445559">
      <w:bodyDiv w:val="1"/>
      <w:marLeft w:val="0"/>
      <w:marRight w:val="0"/>
      <w:marTop w:val="0"/>
      <w:marBottom w:val="0"/>
      <w:divBdr>
        <w:top w:val="none" w:sz="0" w:space="0" w:color="auto"/>
        <w:left w:val="none" w:sz="0" w:space="0" w:color="auto"/>
        <w:bottom w:val="none" w:sz="0" w:space="0" w:color="auto"/>
        <w:right w:val="none" w:sz="0" w:space="0" w:color="auto"/>
      </w:divBdr>
    </w:div>
    <w:div w:id="243760646">
      <w:bodyDiv w:val="1"/>
      <w:marLeft w:val="0"/>
      <w:marRight w:val="0"/>
      <w:marTop w:val="0"/>
      <w:marBottom w:val="0"/>
      <w:divBdr>
        <w:top w:val="none" w:sz="0" w:space="0" w:color="auto"/>
        <w:left w:val="none" w:sz="0" w:space="0" w:color="auto"/>
        <w:bottom w:val="none" w:sz="0" w:space="0" w:color="auto"/>
        <w:right w:val="none" w:sz="0" w:space="0" w:color="auto"/>
      </w:divBdr>
    </w:div>
    <w:div w:id="295723659">
      <w:bodyDiv w:val="1"/>
      <w:marLeft w:val="0"/>
      <w:marRight w:val="0"/>
      <w:marTop w:val="0"/>
      <w:marBottom w:val="0"/>
      <w:divBdr>
        <w:top w:val="none" w:sz="0" w:space="0" w:color="auto"/>
        <w:left w:val="none" w:sz="0" w:space="0" w:color="auto"/>
        <w:bottom w:val="none" w:sz="0" w:space="0" w:color="auto"/>
        <w:right w:val="none" w:sz="0" w:space="0" w:color="auto"/>
      </w:divBdr>
    </w:div>
    <w:div w:id="302005715">
      <w:bodyDiv w:val="1"/>
      <w:marLeft w:val="0"/>
      <w:marRight w:val="0"/>
      <w:marTop w:val="0"/>
      <w:marBottom w:val="0"/>
      <w:divBdr>
        <w:top w:val="none" w:sz="0" w:space="0" w:color="auto"/>
        <w:left w:val="none" w:sz="0" w:space="0" w:color="auto"/>
        <w:bottom w:val="none" w:sz="0" w:space="0" w:color="auto"/>
        <w:right w:val="none" w:sz="0" w:space="0" w:color="auto"/>
      </w:divBdr>
    </w:div>
    <w:div w:id="316036009">
      <w:bodyDiv w:val="1"/>
      <w:marLeft w:val="0"/>
      <w:marRight w:val="0"/>
      <w:marTop w:val="0"/>
      <w:marBottom w:val="0"/>
      <w:divBdr>
        <w:top w:val="none" w:sz="0" w:space="0" w:color="auto"/>
        <w:left w:val="none" w:sz="0" w:space="0" w:color="auto"/>
        <w:bottom w:val="none" w:sz="0" w:space="0" w:color="auto"/>
        <w:right w:val="none" w:sz="0" w:space="0" w:color="auto"/>
      </w:divBdr>
    </w:div>
    <w:div w:id="39100679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5493183">
      <w:bodyDiv w:val="1"/>
      <w:marLeft w:val="0"/>
      <w:marRight w:val="0"/>
      <w:marTop w:val="0"/>
      <w:marBottom w:val="0"/>
      <w:divBdr>
        <w:top w:val="none" w:sz="0" w:space="0" w:color="auto"/>
        <w:left w:val="none" w:sz="0" w:space="0" w:color="auto"/>
        <w:bottom w:val="none" w:sz="0" w:space="0" w:color="auto"/>
        <w:right w:val="none" w:sz="0" w:space="0" w:color="auto"/>
      </w:divBdr>
    </w:div>
    <w:div w:id="425998328">
      <w:bodyDiv w:val="1"/>
      <w:marLeft w:val="0"/>
      <w:marRight w:val="0"/>
      <w:marTop w:val="0"/>
      <w:marBottom w:val="0"/>
      <w:divBdr>
        <w:top w:val="none" w:sz="0" w:space="0" w:color="auto"/>
        <w:left w:val="none" w:sz="0" w:space="0" w:color="auto"/>
        <w:bottom w:val="none" w:sz="0" w:space="0" w:color="auto"/>
        <w:right w:val="none" w:sz="0" w:space="0" w:color="auto"/>
      </w:divBdr>
    </w:div>
    <w:div w:id="456796601">
      <w:bodyDiv w:val="1"/>
      <w:marLeft w:val="0"/>
      <w:marRight w:val="0"/>
      <w:marTop w:val="0"/>
      <w:marBottom w:val="0"/>
      <w:divBdr>
        <w:top w:val="none" w:sz="0" w:space="0" w:color="auto"/>
        <w:left w:val="none" w:sz="0" w:space="0" w:color="auto"/>
        <w:bottom w:val="none" w:sz="0" w:space="0" w:color="auto"/>
        <w:right w:val="none" w:sz="0" w:space="0" w:color="auto"/>
      </w:divBdr>
    </w:div>
    <w:div w:id="479612565">
      <w:bodyDiv w:val="1"/>
      <w:marLeft w:val="0"/>
      <w:marRight w:val="0"/>
      <w:marTop w:val="0"/>
      <w:marBottom w:val="0"/>
      <w:divBdr>
        <w:top w:val="none" w:sz="0" w:space="0" w:color="auto"/>
        <w:left w:val="none" w:sz="0" w:space="0" w:color="auto"/>
        <w:bottom w:val="none" w:sz="0" w:space="0" w:color="auto"/>
        <w:right w:val="none" w:sz="0" w:space="0" w:color="auto"/>
      </w:divBdr>
    </w:div>
    <w:div w:id="492992805">
      <w:bodyDiv w:val="1"/>
      <w:marLeft w:val="0"/>
      <w:marRight w:val="0"/>
      <w:marTop w:val="0"/>
      <w:marBottom w:val="0"/>
      <w:divBdr>
        <w:top w:val="none" w:sz="0" w:space="0" w:color="auto"/>
        <w:left w:val="none" w:sz="0" w:space="0" w:color="auto"/>
        <w:bottom w:val="none" w:sz="0" w:space="0" w:color="auto"/>
        <w:right w:val="none" w:sz="0" w:space="0" w:color="auto"/>
      </w:divBdr>
    </w:div>
    <w:div w:id="499857228">
      <w:bodyDiv w:val="1"/>
      <w:marLeft w:val="0"/>
      <w:marRight w:val="0"/>
      <w:marTop w:val="0"/>
      <w:marBottom w:val="0"/>
      <w:divBdr>
        <w:top w:val="none" w:sz="0" w:space="0" w:color="auto"/>
        <w:left w:val="none" w:sz="0" w:space="0" w:color="auto"/>
        <w:bottom w:val="none" w:sz="0" w:space="0" w:color="auto"/>
        <w:right w:val="none" w:sz="0" w:space="0" w:color="auto"/>
      </w:divBdr>
      <w:divsChild>
        <w:div w:id="272053306">
          <w:marLeft w:val="0"/>
          <w:marRight w:val="0"/>
          <w:marTop w:val="0"/>
          <w:marBottom w:val="0"/>
          <w:divBdr>
            <w:top w:val="none" w:sz="0" w:space="0" w:color="auto"/>
            <w:left w:val="none" w:sz="0" w:space="0" w:color="auto"/>
            <w:bottom w:val="none" w:sz="0" w:space="0" w:color="auto"/>
            <w:right w:val="none" w:sz="0" w:space="0" w:color="auto"/>
          </w:divBdr>
          <w:divsChild>
            <w:div w:id="283967815">
              <w:marLeft w:val="0"/>
              <w:marRight w:val="0"/>
              <w:marTop w:val="0"/>
              <w:marBottom w:val="0"/>
              <w:divBdr>
                <w:top w:val="none" w:sz="0" w:space="0" w:color="auto"/>
                <w:left w:val="none" w:sz="0" w:space="0" w:color="auto"/>
                <w:bottom w:val="none" w:sz="0" w:space="0" w:color="auto"/>
                <w:right w:val="none" w:sz="0" w:space="0" w:color="auto"/>
              </w:divBdr>
              <w:divsChild>
                <w:div w:id="1674409562">
                  <w:marLeft w:val="0"/>
                  <w:marRight w:val="0"/>
                  <w:marTop w:val="0"/>
                  <w:marBottom w:val="0"/>
                  <w:divBdr>
                    <w:top w:val="none" w:sz="0" w:space="0" w:color="auto"/>
                    <w:left w:val="none" w:sz="0" w:space="0" w:color="auto"/>
                    <w:bottom w:val="none" w:sz="0" w:space="0" w:color="auto"/>
                    <w:right w:val="none" w:sz="0" w:space="0" w:color="auto"/>
                  </w:divBdr>
                  <w:divsChild>
                    <w:div w:id="1458841018">
                      <w:marLeft w:val="0"/>
                      <w:marRight w:val="0"/>
                      <w:marTop w:val="0"/>
                      <w:marBottom w:val="0"/>
                      <w:divBdr>
                        <w:top w:val="none" w:sz="0" w:space="0" w:color="auto"/>
                        <w:left w:val="none" w:sz="0" w:space="0" w:color="auto"/>
                        <w:bottom w:val="none" w:sz="0" w:space="0" w:color="auto"/>
                        <w:right w:val="none" w:sz="0" w:space="0" w:color="auto"/>
                      </w:divBdr>
                      <w:divsChild>
                        <w:div w:id="1417903452">
                          <w:marLeft w:val="0"/>
                          <w:marRight w:val="0"/>
                          <w:marTop w:val="0"/>
                          <w:marBottom w:val="0"/>
                          <w:divBdr>
                            <w:top w:val="none" w:sz="0" w:space="0" w:color="auto"/>
                            <w:left w:val="none" w:sz="0" w:space="0" w:color="auto"/>
                            <w:bottom w:val="none" w:sz="0" w:space="0" w:color="auto"/>
                            <w:right w:val="none" w:sz="0" w:space="0" w:color="auto"/>
                          </w:divBdr>
                          <w:divsChild>
                            <w:div w:id="671759620">
                              <w:marLeft w:val="0"/>
                              <w:marRight w:val="0"/>
                              <w:marTop w:val="0"/>
                              <w:marBottom w:val="0"/>
                              <w:divBdr>
                                <w:top w:val="none" w:sz="0" w:space="0" w:color="auto"/>
                                <w:left w:val="none" w:sz="0" w:space="0" w:color="auto"/>
                                <w:bottom w:val="none" w:sz="0" w:space="0" w:color="auto"/>
                                <w:right w:val="none" w:sz="0" w:space="0" w:color="auto"/>
                              </w:divBdr>
                              <w:divsChild>
                                <w:div w:id="610279621">
                                  <w:marLeft w:val="0"/>
                                  <w:marRight w:val="0"/>
                                  <w:marTop w:val="0"/>
                                  <w:marBottom w:val="0"/>
                                  <w:divBdr>
                                    <w:top w:val="none" w:sz="0" w:space="0" w:color="auto"/>
                                    <w:left w:val="none" w:sz="0" w:space="0" w:color="auto"/>
                                    <w:bottom w:val="none" w:sz="0" w:space="0" w:color="auto"/>
                                    <w:right w:val="none" w:sz="0" w:space="0" w:color="auto"/>
                                  </w:divBdr>
                                  <w:divsChild>
                                    <w:div w:id="1609779533">
                                      <w:marLeft w:val="54"/>
                                      <w:marRight w:val="0"/>
                                      <w:marTop w:val="0"/>
                                      <w:marBottom w:val="0"/>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sChild>
                                            <w:div w:id="742458454">
                                              <w:marLeft w:val="0"/>
                                              <w:marRight w:val="0"/>
                                              <w:marTop w:val="0"/>
                                              <w:marBottom w:val="109"/>
                                              <w:divBdr>
                                                <w:top w:val="single" w:sz="6" w:space="0" w:color="F5F5F5"/>
                                                <w:left w:val="single" w:sz="6" w:space="0" w:color="F5F5F5"/>
                                                <w:bottom w:val="single" w:sz="6" w:space="0" w:color="F5F5F5"/>
                                                <w:right w:val="single" w:sz="6" w:space="0" w:color="F5F5F5"/>
                                              </w:divBdr>
                                              <w:divsChild>
                                                <w:div w:id="329021413">
                                                  <w:marLeft w:val="0"/>
                                                  <w:marRight w:val="0"/>
                                                  <w:marTop w:val="0"/>
                                                  <w:marBottom w:val="0"/>
                                                  <w:divBdr>
                                                    <w:top w:val="none" w:sz="0" w:space="0" w:color="auto"/>
                                                    <w:left w:val="none" w:sz="0" w:space="0" w:color="auto"/>
                                                    <w:bottom w:val="none" w:sz="0" w:space="0" w:color="auto"/>
                                                    <w:right w:val="none" w:sz="0" w:space="0" w:color="auto"/>
                                                  </w:divBdr>
                                                  <w:divsChild>
                                                    <w:div w:id="13115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500552">
      <w:bodyDiv w:val="1"/>
      <w:marLeft w:val="0"/>
      <w:marRight w:val="0"/>
      <w:marTop w:val="0"/>
      <w:marBottom w:val="0"/>
      <w:divBdr>
        <w:top w:val="none" w:sz="0" w:space="0" w:color="auto"/>
        <w:left w:val="none" w:sz="0" w:space="0" w:color="auto"/>
        <w:bottom w:val="none" w:sz="0" w:space="0" w:color="auto"/>
        <w:right w:val="none" w:sz="0" w:space="0" w:color="auto"/>
      </w:divBdr>
    </w:div>
    <w:div w:id="556211475">
      <w:bodyDiv w:val="1"/>
      <w:marLeft w:val="0"/>
      <w:marRight w:val="0"/>
      <w:marTop w:val="0"/>
      <w:marBottom w:val="0"/>
      <w:divBdr>
        <w:top w:val="none" w:sz="0" w:space="0" w:color="auto"/>
        <w:left w:val="none" w:sz="0" w:space="0" w:color="auto"/>
        <w:bottom w:val="none" w:sz="0" w:space="0" w:color="auto"/>
        <w:right w:val="none" w:sz="0" w:space="0" w:color="auto"/>
      </w:divBdr>
    </w:div>
    <w:div w:id="599341683">
      <w:bodyDiv w:val="1"/>
      <w:marLeft w:val="0"/>
      <w:marRight w:val="0"/>
      <w:marTop w:val="0"/>
      <w:marBottom w:val="0"/>
      <w:divBdr>
        <w:top w:val="none" w:sz="0" w:space="0" w:color="auto"/>
        <w:left w:val="none" w:sz="0" w:space="0" w:color="auto"/>
        <w:bottom w:val="none" w:sz="0" w:space="0" w:color="auto"/>
        <w:right w:val="none" w:sz="0" w:space="0" w:color="auto"/>
      </w:divBdr>
    </w:div>
    <w:div w:id="616909191">
      <w:bodyDiv w:val="1"/>
      <w:marLeft w:val="0"/>
      <w:marRight w:val="0"/>
      <w:marTop w:val="0"/>
      <w:marBottom w:val="0"/>
      <w:divBdr>
        <w:top w:val="none" w:sz="0" w:space="0" w:color="auto"/>
        <w:left w:val="none" w:sz="0" w:space="0" w:color="auto"/>
        <w:bottom w:val="none" w:sz="0" w:space="0" w:color="auto"/>
        <w:right w:val="none" w:sz="0" w:space="0" w:color="auto"/>
      </w:divBdr>
    </w:div>
    <w:div w:id="617957387">
      <w:bodyDiv w:val="1"/>
      <w:marLeft w:val="0"/>
      <w:marRight w:val="0"/>
      <w:marTop w:val="0"/>
      <w:marBottom w:val="0"/>
      <w:divBdr>
        <w:top w:val="none" w:sz="0" w:space="0" w:color="auto"/>
        <w:left w:val="none" w:sz="0" w:space="0" w:color="auto"/>
        <w:bottom w:val="none" w:sz="0" w:space="0" w:color="auto"/>
        <w:right w:val="none" w:sz="0" w:space="0" w:color="auto"/>
      </w:divBdr>
    </w:div>
    <w:div w:id="633826579">
      <w:bodyDiv w:val="1"/>
      <w:marLeft w:val="0"/>
      <w:marRight w:val="0"/>
      <w:marTop w:val="0"/>
      <w:marBottom w:val="0"/>
      <w:divBdr>
        <w:top w:val="none" w:sz="0" w:space="0" w:color="auto"/>
        <w:left w:val="none" w:sz="0" w:space="0" w:color="auto"/>
        <w:bottom w:val="none" w:sz="0" w:space="0" w:color="auto"/>
        <w:right w:val="none" w:sz="0" w:space="0" w:color="auto"/>
      </w:divBdr>
    </w:div>
    <w:div w:id="669137493">
      <w:bodyDiv w:val="1"/>
      <w:marLeft w:val="0"/>
      <w:marRight w:val="0"/>
      <w:marTop w:val="0"/>
      <w:marBottom w:val="0"/>
      <w:divBdr>
        <w:top w:val="none" w:sz="0" w:space="0" w:color="auto"/>
        <w:left w:val="none" w:sz="0" w:space="0" w:color="auto"/>
        <w:bottom w:val="none" w:sz="0" w:space="0" w:color="auto"/>
        <w:right w:val="none" w:sz="0" w:space="0" w:color="auto"/>
      </w:divBdr>
    </w:div>
    <w:div w:id="706024128">
      <w:bodyDiv w:val="1"/>
      <w:marLeft w:val="0"/>
      <w:marRight w:val="0"/>
      <w:marTop w:val="0"/>
      <w:marBottom w:val="0"/>
      <w:divBdr>
        <w:top w:val="none" w:sz="0" w:space="0" w:color="auto"/>
        <w:left w:val="none" w:sz="0" w:space="0" w:color="auto"/>
        <w:bottom w:val="none" w:sz="0" w:space="0" w:color="auto"/>
        <w:right w:val="none" w:sz="0" w:space="0" w:color="auto"/>
      </w:divBdr>
    </w:div>
    <w:div w:id="706106360">
      <w:bodyDiv w:val="1"/>
      <w:marLeft w:val="0"/>
      <w:marRight w:val="0"/>
      <w:marTop w:val="0"/>
      <w:marBottom w:val="0"/>
      <w:divBdr>
        <w:top w:val="none" w:sz="0" w:space="0" w:color="auto"/>
        <w:left w:val="none" w:sz="0" w:space="0" w:color="auto"/>
        <w:bottom w:val="none" w:sz="0" w:space="0" w:color="auto"/>
        <w:right w:val="none" w:sz="0" w:space="0" w:color="auto"/>
      </w:divBdr>
    </w:div>
    <w:div w:id="709763393">
      <w:bodyDiv w:val="1"/>
      <w:marLeft w:val="0"/>
      <w:marRight w:val="0"/>
      <w:marTop w:val="0"/>
      <w:marBottom w:val="0"/>
      <w:divBdr>
        <w:top w:val="none" w:sz="0" w:space="0" w:color="auto"/>
        <w:left w:val="none" w:sz="0" w:space="0" w:color="auto"/>
        <w:bottom w:val="none" w:sz="0" w:space="0" w:color="auto"/>
        <w:right w:val="none" w:sz="0" w:space="0" w:color="auto"/>
      </w:divBdr>
      <w:divsChild>
        <w:div w:id="1438908784">
          <w:marLeft w:val="0"/>
          <w:marRight w:val="0"/>
          <w:marTop w:val="0"/>
          <w:marBottom w:val="0"/>
          <w:divBdr>
            <w:top w:val="none" w:sz="0" w:space="0" w:color="auto"/>
            <w:left w:val="none" w:sz="0" w:space="0" w:color="auto"/>
            <w:bottom w:val="none" w:sz="0" w:space="0" w:color="auto"/>
            <w:right w:val="none" w:sz="0" w:space="0" w:color="auto"/>
          </w:divBdr>
        </w:div>
      </w:divsChild>
    </w:div>
    <w:div w:id="719086436">
      <w:bodyDiv w:val="1"/>
      <w:marLeft w:val="0"/>
      <w:marRight w:val="0"/>
      <w:marTop w:val="0"/>
      <w:marBottom w:val="0"/>
      <w:divBdr>
        <w:top w:val="none" w:sz="0" w:space="0" w:color="auto"/>
        <w:left w:val="none" w:sz="0" w:space="0" w:color="auto"/>
        <w:bottom w:val="none" w:sz="0" w:space="0" w:color="auto"/>
        <w:right w:val="none" w:sz="0" w:space="0" w:color="auto"/>
      </w:divBdr>
    </w:div>
    <w:div w:id="726148718">
      <w:bodyDiv w:val="1"/>
      <w:marLeft w:val="0"/>
      <w:marRight w:val="0"/>
      <w:marTop w:val="0"/>
      <w:marBottom w:val="0"/>
      <w:divBdr>
        <w:top w:val="none" w:sz="0" w:space="0" w:color="auto"/>
        <w:left w:val="none" w:sz="0" w:space="0" w:color="auto"/>
        <w:bottom w:val="none" w:sz="0" w:space="0" w:color="auto"/>
        <w:right w:val="none" w:sz="0" w:space="0" w:color="auto"/>
      </w:divBdr>
    </w:div>
    <w:div w:id="759638225">
      <w:bodyDiv w:val="1"/>
      <w:marLeft w:val="0"/>
      <w:marRight w:val="0"/>
      <w:marTop w:val="0"/>
      <w:marBottom w:val="0"/>
      <w:divBdr>
        <w:top w:val="none" w:sz="0" w:space="0" w:color="auto"/>
        <w:left w:val="none" w:sz="0" w:space="0" w:color="auto"/>
        <w:bottom w:val="none" w:sz="0" w:space="0" w:color="auto"/>
        <w:right w:val="none" w:sz="0" w:space="0" w:color="auto"/>
      </w:divBdr>
    </w:div>
    <w:div w:id="798767658">
      <w:bodyDiv w:val="1"/>
      <w:marLeft w:val="0"/>
      <w:marRight w:val="0"/>
      <w:marTop w:val="0"/>
      <w:marBottom w:val="0"/>
      <w:divBdr>
        <w:top w:val="none" w:sz="0" w:space="0" w:color="auto"/>
        <w:left w:val="none" w:sz="0" w:space="0" w:color="auto"/>
        <w:bottom w:val="none" w:sz="0" w:space="0" w:color="auto"/>
        <w:right w:val="none" w:sz="0" w:space="0" w:color="auto"/>
      </w:divBdr>
    </w:div>
    <w:div w:id="800225907">
      <w:bodyDiv w:val="1"/>
      <w:marLeft w:val="0"/>
      <w:marRight w:val="0"/>
      <w:marTop w:val="0"/>
      <w:marBottom w:val="0"/>
      <w:divBdr>
        <w:top w:val="none" w:sz="0" w:space="0" w:color="auto"/>
        <w:left w:val="none" w:sz="0" w:space="0" w:color="auto"/>
        <w:bottom w:val="none" w:sz="0" w:space="0" w:color="auto"/>
        <w:right w:val="none" w:sz="0" w:space="0" w:color="auto"/>
      </w:divBdr>
    </w:div>
    <w:div w:id="809442249">
      <w:bodyDiv w:val="1"/>
      <w:marLeft w:val="0"/>
      <w:marRight w:val="0"/>
      <w:marTop w:val="0"/>
      <w:marBottom w:val="0"/>
      <w:divBdr>
        <w:top w:val="none" w:sz="0" w:space="0" w:color="auto"/>
        <w:left w:val="none" w:sz="0" w:space="0" w:color="auto"/>
        <w:bottom w:val="none" w:sz="0" w:space="0" w:color="auto"/>
        <w:right w:val="none" w:sz="0" w:space="0" w:color="auto"/>
      </w:divBdr>
    </w:div>
    <w:div w:id="868682141">
      <w:bodyDiv w:val="1"/>
      <w:marLeft w:val="0"/>
      <w:marRight w:val="0"/>
      <w:marTop w:val="0"/>
      <w:marBottom w:val="0"/>
      <w:divBdr>
        <w:top w:val="none" w:sz="0" w:space="0" w:color="auto"/>
        <w:left w:val="none" w:sz="0" w:space="0" w:color="auto"/>
        <w:bottom w:val="none" w:sz="0" w:space="0" w:color="auto"/>
        <w:right w:val="none" w:sz="0" w:space="0" w:color="auto"/>
      </w:divBdr>
    </w:div>
    <w:div w:id="894850829">
      <w:bodyDiv w:val="1"/>
      <w:marLeft w:val="0"/>
      <w:marRight w:val="0"/>
      <w:marTop w:val="0"/>
      <w:marBottom w:val="0"/>
      <w:divBdr>
        <w:top w:val="none" w:sz="0" w:space="0" w:color="auto"/>
        <w:left w:val="none" w:sz="0" w:space="0" w:color="auto"/>
        <w:bottom w:val="none" w:sz="0" w:space="0" w:color="auto"/>
        <w:right w:val="none" w:sz="0" w:space="0" w:color="auto"/>
      </w:divBdr>
    </w:div>
    <w:div w:id="909655380">
      <w:bodyDiv w:val="1"/>
      <w:marLeft w:val="0"/>
      <w:marRight w:val="0"/>
      <w:marTop w:val="0"/>
      <w:marBottom w:val="0"/>
      <w:divBdr>
        <w:top w:val="none" w:sz="0" w:space="0" w:color="auto"/>
        <w:left w:val="none" w:sz="0" w:space="0" w:color="auto"/>
        <w:bottom w:val="none" w:sz="0" w:space="0" w:color="auto"/>
        <w:right w:val="none" w:sz="0" w:space="0" w:color="auto"/>
      </w:divBdr>
    </w:div>
    <w:div w:id="925698659">
      <w:bodyDiv w:val="1"/>
      <w:marLeft w:val="0"/>
      <w:marRight w:val="0"/>
      <w:marTop w:val="0"/>
      <w:marBottom w:val="0"/>
      <w:divBdr>
        <w:top w:val="none" w:sz="0" w:space="0" w:color="auto"/>
        <w:left w:val="none" w:sz="0" w:space="0" w:color="auto"/>
        <w:bottom w:val="none" w:sz="0" w:space="0" w:color="auto"/>
        <w:right w:val="none" w:sz="0" w:space="0" w:color="auto"/>
      </w:divBdr>
    </w:div>
    <w:div w:id="943919937">
      <w:bodyDiv w:val="1"/>
      <w:marLeft w:val="0"/>
      <w:marRight w:val="0"/>
      <w:marTop w:val="0"/>
      <w:marBottom w:val="0"/>
      <w:divBdr>
        <w:top w:val="none" w:sz="0" w:space="0" w:color="auto"/>
        <w:left w:val="none" w:sz="0" w:space="0" w:color="auto"/>
        <w:bottom w:val="none" w:sz="0" w:space="0" w:color="auto"/>
        <w:right w:val="none" w:sz="0" w:space="0" w:color="auto"/>
      </w:divBdr>
    </w:div>
    <w:div w:id="945698953">
      <w:bodyDiv w:val="1"/>
      <w:marLeft w:val="0"/>
      <w:marRight w:val="0"/>
      <w:marTop w:val="0"/>
      <w:marBottom w:val="0"/>
      <w:divBdr>
        <w:top w:val="none" w:sz="0" w:space="0" w:color="auto"/>
        <w:left w:val="none" w:sz="0" w:space="0" w:color="auto"/>
        <w:bottom w:val="none" w:sz="0" w:space="0" w:color="auto"/>
        <w:right w:val="none" w:sz="0" w:space="0" w:color="auto"/>
      </w:divBdr>
    </w:div>
    <w:div w:id="1048064139">
      <w:bodyDiv w:val="1"/>
      <w:marLeft w:val="0"/>
      <w:marRight w:val="0"/>
      <w:marTop w:val="0"/>
      <w:marBottom w:val="0"/>
      <w:divBdr>
        <w:top w:val="none" w:sz="0" w:space="0" w:color="auto"/>
        <w:left w:val="none" w:sz="0" w:space="0" w:color="auto"/>
        <w:bottom w:val="none" w:sz="0" w:space="0" w:color="auto"/>
        <w:right w:val="none" w:sz="0" w:space="0" w:color="auto"/>
      </w:divBdr>
    </w:div>
    <w:div w:id="1062604102">
      <w:bodyDiv w:val="1"/>
      <w:marLeft w:val="0"/>
      <w:marRight w:val="0"/>
      <w:marTop w:val="0"/>
      <w:marBottom w:val="0"/>
      <w:divBdr>
        <w:top w:val="none" w:sz="0" w:space="0" w:color="auto"/>
        <w:left w:val="none" w:sz="0" w:space="0" w:color="auto"/>
        <w:bottom w:val="none" w:sz="0" w:space="0" w:color="auto"/>
        <w:right w:val="none" w:sz="0" w:space="0" w:color="auto"/>
      </w:divBdr>
    </w:div>
    <w:div w:id="1086152869">
      <w:bodyDiv w:val="1"/>
      <w:marLeft w:val="0"/>
      <w:marRight w:val="0"/>
      <w:marTop w:val="0"/>
      <w:marBottom w:val="0"/>
      <w:divBdr>
        <w:top w:val="none" w:sz="0" w:space="0" w:color="auto"/>
        <w:left w:val="none" w:sz="0" w:space="0" w:color="auto"/>
        <w:bottom w:val="none" w:sz="0" w:space="0" w:color="auto"/>
        <w:right w:val="none" w:sz="0" w:space="0" w:color="auto"/>
      </w:divBdr>
    </w:div>
    <w:div w:id="1086920669">
      <w:bodyDiv w:val="1"/>
      <w:marLeft w:val="0"/>
      <w:marRight w:val="0"/>
      <w:marTop w:val="0"/>
      <w:marBottom w:val="0"/>
      <w:divBdr>
        <w:top w:val="none" w:sz="0" w:space="0" w:color="auto"/>
        <w:left w:val="none" w:sz="0" w:space="0" w:color="auto"/>
        <w:bottom w:val="none" w:sz="0" w:space="0" w:color="auto"/>
        <w:right w:val="none" w:sz="0" w:space="0" w:color="auto"/>
      </w:divBdr>
      <w:divsChild>
        <w:div w:id="353767380">
          <w:marLeft w:val="0"/>
          <w:marRight w:val="1"/>
          <w:marTop w:val="0"/>
          <w:marBottom w:val="0"/>
          <w:divBdr>
            <w:top w:val="none" w:sz="0" w:space="0" w:color="auto"/>
            <w:left w:val="none" w:sz="0" w:space="0" w:color="auto"/>
            <w:bottom w:val="none" w:sz="0" w:space="0" w:color="auto"/>
            <w:right w:val="none" w:sz="0" w:space="0" w:color="auto"/>
          </w:divBdr>
          <w:divsChild>
            <w:div w:id="381057063">
              <w:marLeft w:val="0"/>
              <w:marRight w:val="0"/>
              <w:marTop w:val="0"/>
              <w:marBottom w:val="0"/>
              <w:divBdr>
                <w:top w:val="none" w:sz="0" w:space="0" w:color="auto"/>
                <w:left w:val="none" w:sz="0" w:space="0" w:color="auto"/>
                <w:bottom w:val="none" w:sz="0" w:space="0" w:color="auto"/>
                <w:right w:val="none" w:sz="0" w:space="0" w:color="auto"/>
              </w:divBdr>
              <w:divsChild>
                <w:div w:id="1148205194">
                  <w:marLeft w:val="0"/>
                  <w:marRight w:val="1"/>
                  <w:marTop w:val="0"/>
                  <w:marBottom w:val="0"/>
                  <w:divBdr>
                    <w:top w:val="none" w:sz="0" w:space="0" w:color="auto"/>
                    <w:left w:val="none" w:sz="0" w:space="0" w:color="auto"/>
                    <w:bottom w:val="none" w:sz="0" w:space="0" w:color="auto"/>
                    <w:right w:val="none" w:sz="0" w:space="0" w:color="auto"/>
                  </w:divBdr>
                  <w:divsChild>
                    <w:div w:id="1445610396">
                      <w:marLeft w:val="0"/>
                      <w:marRight w:val="0"/>
                      <w:marTop w:val="0"/>
                      <w:marBottom w:val="0"/>
                      <w:divBdr>
                        <w:top w:val="none" w:sz="0" w:space="0" w:color="auto"/>
                        <w:left w:val="none" w:sz="0" w:space="0" w:color="auto"/>
                        <w:bottom w:val="none" w:sz="0" w:space="0" w:color="auto"/>
                        <w:right w:val="none" w:sz="0" w:space="0" w:color="auto"/>
                      </w:divBdr>
                      <w:divsChild>
                        <w:div w:id="1173882572">
                          <w:marLeft w:val="0"/>
                          <w:marRight w:val="0"/>
                          <w:marTop w:val="0"/>
                          <w:marBottom w:val="0"/>
                          <w:divBdr>
                            <w:top w:val="none" w:sz="0" w:space="0" w:color="auto"/>
                            <w:left w:val="none" w:sz="0" w:space="0" w:color="auto"/>
                            <w:bottom w:val="none" w:sz="0" w:space="0" w:color="auto"/>
                            <w:right w:val="none" w:sz="0" w:space="0" w:color="auto"/>
                          </w:divBdr>
                          <w:divsChild>
                            <w:div w:id="1262449237">
                              <w:marLeft w:val="0"/>
                              <w:marRight w:val="0"/>
                              <w:marTop w:val="120"/>
                              <w:marBottom w:val="360"/>
                              <w:divBdr>
                                <w:top w:val="none" w:sz="0" w:space="0" w:color="auto"/>
                                <w:left w:val="none" w:sz="0" w:space="0" w:color="auto"/>
                                <w:bottom w:val="none" w:sz="0" w:space="0" w:color="auto"/>
                                <w:right w:val="none" w:sz="0" w:space="0" w:color="auto"/>
                              </w:divBdr>
                              <w:divsChild>
                                <w:div w:id="10414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481146">
      <w:bodyDiv w:val="1"/>
      <w:marLeft w:val="0"/>
      <w:marRight w:val="0"/>
      <w:marTop w:val="0"/>
      <w:marBottom w:val="0"/>
      <w:divBdr>
        <w:top w:val="none" w:sz="0" w:space="0" w:color="auto"/>
        <w:left w:val="none" w:sz="0" w:space="0" w:color="auto"/>
        <w:bottom w:val="none" w:sz="0" w:space="0" w:color="auto"/>
        <w:right w:val="none" w:sz="0" w:space="0" w:color="auto"/>
      </w:divBdr>
    </w:div>
    <w:div w:id="1156188657">
      <w:bodyDiv w:val="1"/>
      <w:marLeft w:val="0"/>
      <w:marRight w:val="0"/>
      <w:marTop w:val="0"/>
      <w:marBottom w:val="0"/>
      <w:divBdr>
        <w:top w:val="none" w:sz="0" w:space="0" w:color="auto"/>
        <w:left w:val="none" w:sz="0" w:space="0" w:color="auto"/>
        <w:bottom w:val="none" w:sz="0" w:space="0" w:color="auto"/>
        <w:right w:val="none" w:sz="0" w:space="0" w:color="auto"/>
      </w:divBdr>
    </w:div>
    <w:div w:id="1160776229">
      <w:bodyDiv w:val="1"/>
      <w:marLeft w:val="0"/>
      <w:marRight w:val="0"/>
      <w:marTop w:val="0"/>
      <w:marBottom w:val="0"/>
      <w:divBdr>
        <w:top w:val="none" w:sz="0" w:space="0" w:color="auto"/>
        <w:left w:val="none" w:sz="0" w:space="0" w:color="auto"/>
        <w:bottom w:val="none" w:sz="0" w:space="0" w:color="auto"/>
        <w:right w:val="none" w:sz="0" w:space="0" w:color="auto"/>
      </w:divBdr>
    </w:div>
    <w:div w:id="1171290428">
      <w:bodyDiv w:val="1"/>
      <w:marLeft w:val="0"/>
      <w:marRight w:val="0"/>
      <w:marTop w:val="0"/>
      <w:marBottom w:val="0"/>
      <w:divBdr>
        <w:top w:val="none" w:sz="0" w:space="0" w:color="auto"/>
        <w:left w:val="none" w:sz="0" w:space="0" w:color="auto"/>
        <w:bottom w:val="none" w:sz="0" w:space="0" w:color="auto"/>
        <w:right w:val="none" w:sz="0" w:space="0" w:color="auto"/>
      </w:divBdr>
    </w:div>
    <w:div w:id="1171869891">
      <w:bodyDiv w:val="1"/>
      <w:marLeft w:val="0"/>
      <w:marRight w:val="0"/>
      <w:marTop w:val="0"/>
      <w:marBottom w:val="0"/>
      <w:divBdr>
        <w:top w:val="none" w:sz="0" w:space="0" w:color="auto"/>
        <w:left w:val="none" w:sz="0" w:space="0" w:color="auto"/>
        <w:bottom w:val="none" w:sz="0" w:space="0" w:color="auto"/>
        <w:right w:val="none" w:sz="0" w:space="0" w:color="auto"/>
      </w:divBdr>
    </w:div>
    <w:div w:id="118948782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82112342">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05886093">
      <w:bodyDiv w:val="1"/>
      <w:marLeft w:val="0"/>
      <w:marRight w:val="0"/>
      <w:marTop w:val="0"/>
      <w:marBottom w:val="0"/>
      <w:divBdr>
        <w:top w:val="none" w:sz="0" w:space="0" w:color="auto"/>
        <w:left w:val="none" w:sz="0" w:space="0" w:color="auto"/>
        <w:bottom w:val="none" w:sz="0" w:space="0" w:color="auto"/>
        <w:right w:val="none" w:sz="0" w:space="0" w:color="auto"/>
      </w:divBdr>
    </w:div>
    <w:div w:id="1313676253">
      <w:bodyDiv w:val="1"/>
      <w:marLeft w:val="0"/>
      <w:marRight w:val="0"/>
      <w:marTop w:val="0"/>
      <w:marBottom w:val="0"/>
      <w:divBdr>
        <w:top w:val="none" w:sz="0" w:space="0" w:color="auto"/>
        <w:left w:val="none" w:sz="0" w:space="0" w:color="auto"/>
        <w:bottom w:val="none" w:sz="0" w:space="0" w:color="auto"/>
        <w:right w:val="none" w:sz="0" w:space="0" w:color="auto"/>
      </w:divBdr>
    </w:div>
    <w:div w:id="1352336036">
      <w:bodyDiv w:val="1"/>
      <w:marLeft w:val="0"/>
      <w:marRight w:val="0"/>
      <w:marTop w:val="0"/>
      <w:marBottom w:val="0"/>
      <w:divBdr>
        <w:top w:val="none" w:sz="0" w:space="0" w:color="auto"/>
        <w:left w:val="none" w:sz="0" w:space="0" w:color="auto"/>
        <w:bottom w:val="none" w:sz="0" w:space="0" w:color="auto"/>
        <w:right w:val="none" w:sz="0" w:space="0" w:color="auto"/>
      </w:divBdr>
    </w:div>
    <w:div w:id="1414812981">
      <w:bodyDiv w:val="1"/>
      <w:marLeft w:val="0"/>
      <w:marRight w:val="0"/>
      <w:marTop w:val="0"/>
      <w:marBottom w:val="0"/>
      <w:divBdr>
        <w:top w:val="none" w:sz="0" w:space="0" w:color="auto"/>
        <w:left w:val="none" w:sz="0" w:space="0" w:color="auto"/>
        <w:bottom w:val="none" w:sz="0" w:space="0" w:color="auto"/>
        <w:right w:val="none" w:sz="0" w:space="0" w:color="auto"/>
      </w:divBdr>
    </w:div>
    <w:div w:id="1420640148">
      <w:bodyDiv w:val="1"/>
      <w:marLeft w:val="0"/>
      <w:marRight w:val="0"/>
      <w:marTop w:val="0"/>
      <w:marBottom w:val="0"/>
      <w:divBdr>
        <w:top w:val="none" w:sz="0" w:space="0" w:color="auto"/>
        <w:left w:val="none" w:sz="0" w:space="0" w:color="auto"/>
        <w:bottom w:val="none" w:sz="0" w:space="0" w:color="auto"/>
        <w:right w:val="none" w:sz="0" w:space="0" w:color="auto"/>
      </w:divBdr>
      <w:divsChild>
        <w:div w:id="1562598729">
          <w:marLeft w:val="0"/>
          <w:marRight w:val="0"/>
          <w:marTop w:val="0"/>
          <w:marBottom w:val="0"/>
          <w:divBdr>
            <w:top w:val="none" w:sz="0" w:space="0" w:color="auto"/>
            <w:left w:val="none" w:sz="0" w:space="0" w:color="auto"/>
            <w:bottom w:val="none" w:sz="0" w:space="0" w:color="auto"/>
            <w:right w:val="none" w:sz="0" w:space="0" w:color="auto"/>
          </w:divBdr>
          <w:divsChild>
            <w:div w:id="1201281739">
              <w:marLeft w:val="-225"/>
              <w:marRight w:val="-225"/>
              <w:marTop w:val="0"/>
              <w:marBottom w:val="0"/>
              <w:divBdr>
                <w:top w:val="none" w:sz="0" w:space="0" w:color="auto"/>
                <w:left w:val="none" w:sz="0" w:space="0" w:color="auto"/>
                <w:bottom w:val="none" w:sz="0" w:space="0" w:color="auto"/>
                <w:right w:val="none" w:sz="0" w:space="0" w:color="auto"/>
              </w:divBdr>
              <w:divsChild>
                <w:div w:id="31153671">
                  <w:marLeft w:val="0"/>
                  <w:marRight w:val="0"/>
                  <w:marTop w:val="0"/>
                  <w:marBottom w:val="0"/>
                  <w:divBdr>
                    <w:top w:val="none" w:sz="0" w:space="0" w:color="auto"/>
                    <w:left w:val="none" w:sz="0" w:space="0" w:color="auto"/>
                    <w:bottom w:val="none" w:sz="0" w:space="0" w:color="auto"/>
                    <w:right w:val="none" w:sz="0" w:space="0" w:color="auto"/>
                  </w:divBdr>
                  <w:divsChild>
                    <w:div w:id="14363653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46921936">
      <w:bodyDiv w:val="1"/>
      <w:marLeft w:val="0"/>
      <w:marRight w:val="0"/>
      <w:marTop w:val="0"/>
      <w:marBottom w:val="0"/>
      <w:divBdr>
        <w:top w:val="none" w:sz="0" w:space="0" w:color="auto"/>
        <w:left w:val="none" w:sz="0" w:space="0" w:color="auto"/>
        <w:bottom w:val="none" w:sz="0" w:space="0" w:color="auto"/>
        <w:right w:val="none" w:sz="0" w:space="0" w:color="auto"/>
      </w:divBdr>
      <w:divsChild>
        <w:div w:id="1641302127">
          <w:marLeft w:val="0"/>
          <w:marRight w:val="0"/>
          <w:marTop w:val="0"/>
          <w:marBottom w:val="0"/>
          <w:divBdr>
            <w:top w:val="none" w:sz="0" w:space="0" w:color="auto"/>
            <w:left w:val="none" w:sz="0" w:space="0" w:color="auto"/>
            <w:bottom w:val="none" w:sz="0" w:space="0" w:color="auto"/>
            <w:right w:val="none" w:sz="0" w:space="0" w:color="auto"/>
          </w:divBdr>
          <w:divsChild>
            <w:div w:id="1335448708">
              <w:marLeft w:val="0"/>
              <w:marRight w:val="0"/>
              <w:marTop w:val="0"/>
              <w:marBottom w:val="0"/>
              <w:divBdr>
                <w:top w:val="none" w:sz="0" w:space="0" w:color="auto"/>
                <w:left w:val="none" w:sz="0" w:space="0" w:color="auto"/>
                <w:bottom w:val="none" w:sz="0" w:space="0" w:color="auto"/>
                <w:right w:val="none" w:sz="0" w:space="0" w:color="auto"/>
              </w:divBdr>
              <w:divsChild>
                <w:div w:id="1782995669">
                  <w:marLeft w:val="0"/>
                  <w:marRight w:val="0"/>
                  <w:marTop w:val="0"/>
                  <w:marBottom w:val="0"/>
                  <w:divBdr>
                    <w:top w:val="none" w:sz="0" w:space="0" w:color="auto"/>
                    <w:left w:val="none" w:sz="0" w:space="0" w:color="auto"/>
                    <w:bottom w:val="none" w:sz="0" w:space="0" w:color="auto"/>
                    <w:right w:val="none" w:sz="0" w:space="0" w:color="auto"/>
                  </w:divBdr>
                  <w:divsChild>
                    <w:div w:id="1488398922">
                      <w:marLeft w:val="0"/>
                      <w:marRight w:val="0"/>
                      <w:marTop w:val="0"/>
                      <w:marBottom w:val="0"/>
                      <w:divBdr>
                        <w:top w:val="none" w:sz="0" w:space="0" w:color="auto"/>
                        <w:left w:val="none" w:sz="0" w:space="0" w:color="auto"/>
                        <w:bottom w:val="none" w:sz="0" w:space="0" w:color="auto"/>
                        <w:right w:val="none" w:sz="0" w:space="0" w:color="auto"/>
                      </w:divBdr>
                      <w:divsChild>
                        <w:div w:id="1324697490">
                          <w:marLeft w:val="0"/>
                          <w:marRight w:val="0"/>
                          <w:marTop w:val="0"/>
                          <w:marBottom w:val="0"/>
                          <w:divBdr>
                            <w:top w:val="none" w:sz="0" w:space="0" w:color="auto"/>
                            <w:left w:val="none" w:sz="0" w:space="0" w:color="auto"/>
                            <w:bottom w:val="none" w:sz="0" w:space="0" w:color="auto"/>
                            <w:right w:val="none" w:sz="0" w:space="0" w:color="auto"/>
                          </w:divBdr>
                          <w:divsChild>
                            <w:div w:id="238370038">
                              <w:marLeft w:val="0"/>
                              <w:marRight w:val="0"/>
                              <w:marTop w:val="0"/>
                              <w:marBottom w:val="0"/>
                              <w:divBdr>
                                <w:top w:val="none" w:sz="0" w:space="0" w:color="auto"/>
                                <w:left w:val="none" w:sz="0" w:space="0" w:color="auto"/>
                                <w:bottom w:val="none" w:sz="0" w:space="0" w:color="auto"/>
                                <w:right w:val="none" w:sz="0" w:space="0" w:color="auto"/>
                              </w:divBdr>
                              <w:divsChild>
                                <w:div w:id="1946111525">
                                  <w:marLeft w:val="0"/>
                                  <w:marRight w:val="0"/>
                                  <w:marTop w:val="0"/>
                                  <w:marBottom w:val="0"/>
                                  <w:divBdr>
                                    <w:top w:val="none" w:sz="0" w:space="0" w:color="auto"/>
                                    <w:left w:val="none" w:sz="0" w:space="0" w:color="auto"/>
                                    <w:bottom w:val="none" w:sz="0" w:space="0" w:color="auto"/>
                                    <w:right w:val="none" w:sz="0" w:space="0" w:color="auto"/>
                                  </w:divBdr>
                                  <w:divsChild>
                                    <w:div w:id="472526220">
                                      <w:marLeft w:val="0"/>
                                      <w:marRight w:val="0"/>
                                      <w:marTop w:val="0"/>
                                      <w:marBottom w:val="0"/>
                                      <w:divBdr>
                                        <w:top w:val="none" w:sz="0" w:space="0" w:color="auto"/>
                                        <w:left w:val="none" w:sz="0" w:space="0" w:color="auto"/>
                                        <w:bottom w:val="none" w:sz="0" w:space="0" w:color="auto"/>
                                        <w:right w:val="none" w:sz="0" w:space="0" w:color="auto"/>
                                      </w:divBdr>
                                      <w:divsChild>
                                        <w:div w:id="2012490218">
                                          <w:marLeft w:val="0"/>
                                          <w:marRight w:val="0"/>
                                          <w:marTop w:val="0"/>
                                          <w:marBottom w:val="0"/>
                                          <w:divBdr>
                                            <w:top w:val="none" w:sz="0" w:space="0" w:color="auto"/>
                                            <w:left w:val="none" w:sz="0" w:space="0" w:color="auto"/>
                                            <w:bottom w:val="none" w:sz="0" w:space="0" w:color="auto"/>
                                            <w:right w:val="none" w:sz="0" w:space="0" w:color="auto"/>
                                          </w:divBdr>
                                          <w:divsChild>
                                            <w:div w:id="5928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331147">
      <w:bodyDiv w:val="1"/>
      <w:marLeft w:val="0"/>
      <w:marRight w:val="0"/>
      <w:marTop w:val="0"/>
      <w:marBottom w:val="0"/>
      <w:divBdr>
        <w:top w:val="none" w:sz="0" w:space="0" w:color="auto"/>
        <w:left w:val="none" w:sz="0" w:space="0" w:color="auto"/>
        <w:bottom w:val="none" w:sz="0" w:space="0" w:color="auto"/>
        <w:right w:val="none" w:sz="0" w:space="0" w:color="auto"/>
      </w:divBdr>
    </w:div>
    <w:div w:id="1512797917">
      <w:bodyDiv w:val="1"/>
      <w:marLeft w:val="0"/>
      <w:marRight w:val="0"/>
      <w:marTop w:val="0"/>
      <w:marBottom w:val="0"/>
      <w:divBdr>
        <w:top w:val="none" w:sz="0" w:space="0" w:color="auto"/>
        <w:left w:val="none" w:sz="0" w:space="0" w:color="auto"/>
        <w:bottom w:val="none" w:sz="0" w:space="0" w:color="auto"/>
        <w:right w:val="none" w:sz="0" w:space="0" w:color="auto"/>
      </w:divBdr>
    </w:div>
    <w:div w:id="1524248032">
      <w:bodyDiv w:val="1"/>
      <w:marLeft w:val="0"/>
      <w:marRight w:val="0"/>
      <w:marTop w:val="0"/>
      <w:marBottom w:val="0"/>
      <w:divBdr>
        <w:top w:val="none" w:sz="0" w:space="0" w:color="auto"/>
        <w:left w:val="none" w:sz="0" w:space="0" w:color="auto"/>
        <w:bottom w:val="none" w:sz="0" w:space="0" w:color="auto"/>
        <w:right w:val="none" w:sz="0" w:space="0" w:color="auto"/>
      </w:divBdr>
    </w:div>
    <w:div w:id="1537043260">
      <w:bodyDiv w:val="1"/>
      <w:marLeft w:val="0"/>
      <w:marRight w:val="0"/>
      <w:marTop w:val="0"/>
      <w:marBottom w:val="0"/>
      <w:divBdr>
        <w:top w:val="none" w:sz="0" w:space="0" w:color="auto"/>
        <w:left w:val="none" w:sz="0" w:space="0" w:color="auto"/>
        <w:bottom w:val="none" w:sz="0" w:space="0" w:color="auto"/>
        <w:right w:val="none" w:sz="0" w:space="0" w:color="auto"/>
      </w:divBdr>
    </w:div>
    <w:div w:id="1579049834">
      <w:bodyDiv w:val="1"/>
      <w:marLeft w:val="0"/>
      <w:marRight w:val="0"/>
      <w:marTop w:val="0"/>
      <w:marBottom w:val="0"/>
      <w:divBdr>
        <w:top w:val="none" w:sz="0" w:space="0" w:color="auto"/>
        <w:left w:val="none" w:sz="0" w:space="0" w:color="auto"/>
        <w:bottom w:val="none" w:sz="0" w:space="0" w:color="auto"/>
        <w:right w:val="none" w:sz="0" w:space="0" w:color="auto"/>
      </w:divBdr>
    </w:div>
    <w:div w:id="1594777143">
      <w:bodyDiv w:val="1"/>
      <w:marLeft w:val="0"/>
      <w:marRight w:val="0"/>
      <w:marTop w:val="0"/>
      <w:marBottom w:val="0"/>
      <w:divBdr>
        <w:top w:val="none" w:sz="0" w:space="0" w:color="auto"/>
        <w:left w:val="none" w:sz="0" w:space="0" w:color="auto"/>
        <w:bottom w:val="none" w:sz="0" w:space="0" w:color="auto"/>
        <w:right w:val="none" w:sz="0" w:space="0" w:color="auto"/>
      </w:divBdr>
    </w:div>
    <w:div w:id="1617326999">
      <w:bodyDiv w:val="1"/>
      <w:marLeft w:val="0"/>
      <w:marRight w:val="0"/>
      <w:marTop w:val="0"/>
      <w:marBottom w:val="0"/>
      <w:divBdr>
        <w:top w:val="none" w:sz="0" w:space="0" w:color="auto"/>
        <w:left w:val="none" w:sz="0" w:space="0" w:color="auto"/>
        <w:bottom w:val="none" w:sz="0" w:space="0" w:color="auto"/>
        <w:right w:val="none" w:sz="0" w:space="0" w:color="auto"/>
      </w:divBdr>
    </w:div>
    <w:div w:id="1620181181">
      <w:bodyDiv w:val="1"/>
      <w:marLeft w:val="0"/>
      <w:marRight w:val="0"/>
      <w:marTop w:val="0"/>
      <w:marBottom w:val="0"/>
      <w:divBdr>
        <w:top w:val="none" w:sz="0" w:space="0" w:color="auto"/>
        <w:left w:val="none" w:sz="0" w:space="0" w:color="auto"/>
        <w:bottom w:val="none" w:sz="0" w:space="0" w:color="auto"/>
        <w:right w:val="none" w:sz="0" w:space="0" w:color="auto"/>
      </w:divBdr>
    </w:div>
    <w:div w:id="1640650337">
      <w:bodyDiv w:val="1"/>
      <w:marLeft w:val="0"/>
      <w:marRight w:val="0"/>
      <w:marTop w:val="0"/>
      <w:marBottom w:val="0"/>
      <w:divBdr>
        <w:top w:val="none" w:sz="0" w:space="0" w:color="auto"/>
        <w:left w:val="none" w:sz="0" w:space="0" w:color="auto"/>
        <w:bottom w:val="none" w:sz="0" w:space="0" w:color="auto"/>
        <w:right w:val="none" w:sz="0" w:space="0" w:color="auto"/>
      </w:divBdr>
    </w:div>
    <w:div w:id="1702246246">
      <w:bodyDiv w:val="1"/>
      <w:marLeft w:val="0"/>
      <w:marRight w:val="0"/>
      <w:marTop w:val="0"/>
      <w:marBottom w:val="0"/>
      <w:divBdr>
        <w:top w:val="none" w:sz="0" w:space="0" w:color="auto"/>
        <w:left w:val="none" w:sz="0" w:space="0" w:color="auto"/>
        <w:bottom w:val="none" w:sz="0" w:space="0" w:color="auto"/>
        <w:right w:val="none" w:sz="0" w:space="0" w:color="auto"/>
      </w:divBdr>
    </w:div>
    <w:div w:id="1719932092">
      <w:bodyDiv w:val="1"/>
      <w:marLeft w:val="0"/>
      <w:marRight w:val="0"/>
      <w:marTop w:val="0"/>
      <w:marBottom w:val="0"/>
      <w:divBdr>
        <w:top w:val="none" w:sz="0" w:space="0" w:color="auto"/>
        <w:left w:val="none" w:sz="0" w:space="0" w:color="auto"/>
        <w:bottom w:val="none" w:sz="0" w:space="0" w:color="auto"/>
        <w:right w:val="none" w:sz="0" w:space="0" w:color="auto"/>
      </w:divBdr>
    </w:div>
    <w:div w:id="1744796739">
      <w:bodyDiv w:val="1"/>
      <w:marLeft w:val="0"/>
      <w:marRight w:val="0"/>
      <w:marTop w:val="0"/>
      <w:marBottom w:val="0"/>
      <w:divBdr>
        <w:top w:val="none" w:sz="0" w:space="0" w:color="auto"/>
        <w:left w:val="none" w:sz="0" w:space="0" w:color="auto"/>
        <w:bottom w:val="none" w:sz="0" w:space="0" w:color="auto"/>
        <w:right w:val="none" w:sz="0" w:space="0" w:color="auto"/>
      </w:divBdr>
    </w:div>
    <w:div w:id="1775592054">
      <w:bodyDiv w:val="1"/>
      <w:marLeft w:val="0"/>
      <w:marRight w:val="0"/>
      <w:marTop w:val="0"/>
      <w:marBottom w:val="0"/>
      <w:divBdr>
        <w:top w:val="none" w:sz="0" w:space="0" w:color="auto"/>
        <w:left w:val="none" w:sz="0" w:space="0" w:color="auto"/>
        <w:bottom w:val="none" w:sz="0" w:space="0" w:color="auto"/>
        <w:right w:val="none" w:sz="0" w:space="0" w:color="auto"/>
      </w:divBdr>
    </w:div>
    <w:div w:id="1804106736">
      <w:bodyDiv w:val="1"/>
      <w:marLeft w:val="0"/>
      <w:marRight w:val="0"/>
      <w:marTop w:val="0"/>
      <w:marBottom w:val="0"/>
      <w:divBdr>
        <w:top w:val="none" w:sz="0" w:space="0" w:color="auto"/>
        <w:left w:val="none" w:sz="0" w:space="0" w:color="auto"/>
        <w:bottom w:val="none" w:sz="0" w:space="0" w:color="auto"/>
        <w:right w:val="none" w:sz="0" w:space="0" w:color="auto"/>
      </w:divBdr>
    </w:div>
    <w:div w:id="1806775857">
      <w:bodyDiv w:val="1"/>
      <w:marLeft w:val="0"/>
      <w:marRight w:val="0"/>
      <w:marTop w:val="0"/>
      <w:marBottom w:val="0"/>
      <w:divBdr>
        <w:top w:val="none" w:sz="0" w:space="0" w:color="auto"/>
        <w:left w:val="none" w:sz="0" w:space="0" w:color="auto"/>
        <w:bottom w:val="none" w:sz="0" w:space="0" w:color="auto"/>
        <w:right w:val="none" w:sz="0" w:space="0" w:color="auto"/>
      </w:divBdr>
    </w:div>
    <w:div w:id="1808357977">
      <w:bodyDiv w:val="1"/>
      <w:marLeft w:val="0"/>
      <w:marRight w:val="0"/>
      <w:marTop w:val="0"/>
      <w:marBottom w:val="0"/>
      <w:divBdr>
        <w:top w:val="single" w:sz="6" w:space="25" w:color="535353"/>
        <w:left w:val="none" w:sz="0" w:space="0" w:color="auto"/>
        <w:bottom w:val="none" w:sz="0" w:space="0" w:color="auto"/>
        <w:right w:val="none" w:sz="0" w:space="0" w:color="auto"/>
      </w:divBdr>
      <w:divsChild>
        <w:div w:id="1228373837">
          <w:marLeft w:val="0"/>
          <w:marRight w:val="0"/>
          <w:marTop w:val="0"/>
          <w:marBottom w:val="0"/>
          <w:divBdr>
            <w:top w:val="none" w:sz="0" w:space="0" w:color="auto"/>
            <w:left w:val="none" w:sz="0" w:space="0" w:color="auto"/>
            <w:bottom w:val="none" w:sz="0" w:space="0" w:color="auto"/>
            <w:right w:val="none" w:sz="0" w:space="0" w:color="auto"/>
          </w:divBdr>
          <w:divsChild>
            <w:div w:id="1781678023">
              <w:marLeft w:val="0"/>
              <w:marRight w:val="0"/>
              <w:marTop w:val="0"/>
              <w:marBottom w:val="0"/>
              <w:divBdr>
                <w:top w:val="none" w:sz="0" w:space="0" w:color="auto"/>
                <w:left w:val="none" w:sz="0" w:space="0" w:color="auto"/>
                <w:bottom w:val="none" w:sz="0" w:space="0" w:color="auto"/>
                <w:right w:val="none" w:sz="0" w:space="0" w:color="auto"/>
              </w:divBdr>
              <w:divsChild>
                <w:div w:id="1296567510">
                  <w:marLeft w:val="0"/>
                  <w:marRight w:val="0"/>
                  <w:marTop w:val="0"/>
                  <w:marBottom w:val="0"/>
                  <w:divBdr>
                    <w:top w:val="none" w:sz="0" w:space="0" w:color="auto"/>
                    <w:left w:val="none" w:sz="0" w:space="0" w:color="auto"/>
                    <w:bottom w:val="none" w:sz="0" w:space="0" w:color="auto"/>
                    <w:right w:val="none" w:sz="0" w:space="0" w:color="auto"/>
                  </w:divBdr>
                  <w:divsChild>
                    <w:div w:id="91914254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91029">
      <w:bodyDiv w:val="1"/>
      <w:marLeft w:val="0"/>
      <w:marRight w:val="0"/>
      <w:marTop w:val="0"/>
      <w:marBottom w:val="0"/>
      <w:divBdr>
        <w:top w:val="none" w:sz="0" w:space="0" w:color="auto"/>
        <w:left w:val="none" w:sz="0" w:space="0" w:color="auto"/>
        <w:bottom w:val="none" w:sz="0" w:space="0" w:color="auto"/>
        <w:right w:val="none" w:sz="0" w:space="0" w:color="auto"/>
      </w:divBdr>
    </w:div>
    <w:div w:id="1822501044">
      <w:bodyDiv w:val="1"/>
      <w:marLeft w:val="0"/>
      <w:marRight w:val="0"/>
      <w:marTop w:val="0"/>
      <w:marBottom w:val="0"/>
      <w:divBdr>
        <w:top w:val="none" w:sz="0" w:space="0" w:color="auto"/>
        <w:left w:val="none" w:sz="0" w:space="0" w:color="auto"/>
        <w:bottom w:val="none" w:sz="0" w:space="0" w:color="auto"/>
        <w:right w:val="none" w:sz="0" w:space="0" w:color="auto"/>
      </w:divBdr>
    </w:div>
    <w:div w:id="1850482784">
      <w:bodyDiv w:val="1"/>
      <w:marLeft w:val="0"/>
      <w:marRight w:val="0"/>
      <w:marTop w:val="0"/>
      <w:marBottom w:val="0"/>
      <w:divBdr>
        <w:top w:val="none" w:sz="0" w:space="0" w:color="auto"/>
        <w:left w:val="none" w:sz="0" w:space="0" w:color="auto"/>
        <w:bottom w:val="none" w:sz="0" w:space="0" w:color="auto"/>
        <w:right w:val="none" w:sz="0" w:space="0" w:color="auto"/>
      </w:divBdr>
    </w:div>
    <w:div w:id="1860314817">
      <w:bodyDiv w:val="1"/>
      <w:marLeft w:val="0"/>
      <w:marRight w:val="0"/>
      <w:marTop w:val="0"/>
      <w:marBottom w:val="0"/>
      <w:divBdr>
        <w:top w:val="none" w:sz="0" w:space="0" w:color="auto"/>
        <w:left w:val="none" w:sz="0" w:space="0" w:color="auto"/>
        <w:bottom w:val="none" w:sz="0" w:space="0" w:color="auto"/>
        <w:right w:val="none" w:sz="0" w:space="0" w:color="auto"/>
      </w:divBdr>
    </w:div>
    <w:div w:id="1863745525">
      <w:bodyDiv w:val="1"/>
      <w:marLeft w:val="0"/>
      <w:marRight w:val="0"/>
      <w:marTop w:val="0"/>
      <w:marBottom w:val="0"/>
      <w:divBdr>
        <w:top w:val="none" w:sz="0" w:space="0" w:color="auto"/>
        <w:left w:val="none" w:sz="0" w:space="0" w:color="auto"/>
        <w:bottom w:val="none" w:sz="0" w:space="0" w:color="auto"/>
        <w:right w:val="none" w:sz="0" w:space="0" w:color="auto"/>
      </w:divBdr>
    </w:div>
    <w:div w:id="1889411457">
      <w:bodyDiv w:val="1"/>
      <w:marLeft w:val="0"/>
      <w:marRight w:val="0"/>
      <w:marTop w:val="0"/>
      <w:marBottom w:val="0"/>
      <w:divBdr>
        <w:top w:val="none" w:sz="0" w:space="0" w:color="auto"/>
        <w:left w:val="none" w:sz="0" w:space="0" w:color="auto"/>
        <w:bottom w:val="none" w:sz="0" w:space="0" w:color="auto"/>
        <w:right w:val="none" w:sz="0" w:space="0" w:color="auto"/>
      </w:divBdr>
    </w:div>
    <w:div w:id="2031567730">
      <w:bodyDiv w:val="1"/>
      <w:marLeft w:val="0"/>
      <w:marRight w:val="0"/>
      <w:marTop w:val="0"/>
      <w:marBottom w:val="0"/>
      <w:divBdr>
        <w:top w:val="none" w:sz="0" w:space="0" w:color="auto"/>
        <w:left w:val="none" w:sz="0" w:space="0" w:color="auto"/>
        <w:bottom w:val="none" w:sz="0" w:space="0" w:color="auto"/>
        <w:right w:val="none" w:sz="0" w:space="0" w:color="auto"/>
      </w:divBdr>
    </w:div>
    <w:div w:id="2083717767">
      <w:bodyDiv w:val="1"/>
      <w:marLeft w:val="0"/>
      <w:marRight w:val="0"/>
      <w:marTop w:val="0"/>
      <w:marBottom w:val="0"/>
      <w:divBdr>
        <w:top w:val="none" w:sz="0" w:space="0" w:color="auto"/>
        <w:left w:val="none" w:sz="0" w:space="0" w:color="auto"/>
        <w:bottom w:val="none" w:sz="0" w:space="0" w:color="auto"/>
        <w:right w:val="none" w:sz="0" w:space="0" w:color="auto"/>
      </w:divBdr>
    </w:div>
    <w:div w:id="2087801969">
      <w:bodyDiv w:val="1"/>
      <w:marLeft w:val="0"/>
      <w:marRight w:val="0"/>
      <w:marTop w:val="0"/>
      <w:marBottom w:val="0"/>
      <w:divBdr>
        <w:top w:val="none" w:sz="0" w:space="0" w:color="auto"/>
        <w:left w:val="none" w:sz="0" w:space="0" w:color="auto"/>
        <w:bottom w:val="none" w:sz="0" w:space="0" w:color="auto"/>
        <w:right w:val="none" w:sz="0" w:space="0" w:color="auto"/>
      </w:divBdr>
    </w:div>
    <w:div w:id="2093967078">
      <w:bodyDiv w:val="1"/>
      <w:marLeft w:val="0"/>
      <w:marRight w:val="0"/>
      <w:marTop w:val="0"/>
      <w:marBottom w:val="0"/>
      <w:divBdr>
        <w:top w:val="none" w:sz="0" w:space="0" w:color="auto"/>
        <w:left w:val="none" w:sz="0" w:space="0" w:color="auto"/>
        <w:bottom w:val="none" w:sz="0" w:space="0" w:color="auto"/>
        <w:right w:val="none" w:sz="0" w:space="0" w:color="auto"/>
      </w:divBdr>
    </w:div>
    <w:div w:id="2096197836">
      <w:bodyDiv w:val="1"/>
      <w:marLeft w:val="0"/>
      <w:marRight w:val="0"/>
      <w:marTop w:val="0"/>
      <w:marBottom w:val="0"/>
      <w:divBdr>
        <w:top w:val="none" w:sz="0" w:space="0" w:color="auto"/>
        <w:left w:val="none" w:sz="0" w:space="0" w:color="auto"/>
        <w:bottom w:val="none" w:sz="0" w:space="0" w:color="auto"/>
        <w:right w:val="none" w:sz="0" w:space="0" w:color="auto"/>
      </w:divBdr>
    </w:div>
    <w:div w:id="2107536306">
      <w:bodyDiv w:val="1"/>
      <w:marLeft w:val="0"/>
      <w:marRight w:val="0"/>
      <w:marTop w:val="0"/>
      <w:marBottom w:val="0"/>
      <w:divBdr>
        <w:top w:val="none" w:sz="0" w:space="0" w:color="auto"/>
        <w:left w:val="none" w:sz="0" w:space="0" w:color="auto"/>
        <w:bottom w:val="none" w:sz="0" w:space="0" w:color="auto"/>
        <w:right w:val="none" w:sz="0" w:space="0" w:color="auto"/>
      </w:divBdr>
    </w:div>
    <w:div w:id="21445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yperlink" Target="http://www-pub.iaea.org/MTCD/Publications/PDF/Pub1647web.pdf"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hyperlink" Target="https://www.aph.gov.au/~/media/Estimates/rrat/add1718/report/c02.pdf?la=en"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6.xml"/><Relationship Id="rId28" Type="http://schemas.openxmlformats.org/officeDocument/2006/relationships/hyperlink" Target="http://www.rudolf.de/en/"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yperlink" Target="https://www.military.com/daily-news/2017/09/07/cleanup-bill-firefighting-chemicals-bases-could-cost-2-billion.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ynderfiltration.com/" TargetMode="External"/><Relationship Id="rId13" Type="http://schemas.openxmlformats.org/officeDocument/2006/relationships/hyperlink" Target="https://fluorocouncil.com/fluorotechnology/terminology/" TargetMode="External"/><Relationship Id="rId18" Type="http://schemas.openxmlformats.org/officeDocument/2006/relationships/hyperlink" Target="http://www.acea.be/uploads/publications/20160704_INFORMATION_LETTER_TO_SUPPLIERS_ON_PFOA.pdf" TargetMode="External"/><Relationship Id="rId3" Type="http://schemas.openxmlformats.org/officeDocument/2006/relationships/hyperlink" Target="http://www.world-aluminium.org/statistics/perfluorocarbon-pfc-emissions/" TargetMode="External"/><Relationship Id="rId21" Type="http://schemas.openxmlformats.org/officeDocument/2006/relationships/hyperlink" Target="http://www.interstateproducts.com/fire_fighting/home/FS%20MSDS/FS-818-11.pdf" TargetMode="External"/><Relationship Id="rId7" Type="http://schemas.openxmlformats.org/officeDocument/2006/relationships/hyperlink" Target="https://www.agcchem.com/news/2016/june-1-2016-asahiguard-ag-e600-repellent-provides-sustainable-solution-for-nonwoven-medical-textiles" TargetMode="External"/><Relationship Id="rId12" Type="http://schemas.openxmlformats.org/officeDocument/2006/relationships/hyperlink" Target="https://www.agcchem.com/news/2016/june-1-2016-asahiguard-ag-e600-repellent-provides-sustainable-solution-for-nonwoven-medical-textiles" TargetMode="External"/><Relationship Id="rId17" Type="http://schemas.openxmlformats.org/officeDocument/2006/relationships/hyperlink" Target="https://wytech.com/wire-components/" TargetMode="External"/><Relationship Id="rId2" Type="http://schemas.openxmlformats.org/officeDocument/2006/relationships/hyperlink" Target="http://www.europarl.europa.eu/RegData/etudes/etudes/join/2008/393524/IPOL-ENVI_ET(2008)393524_EN.pdf" TargetMode="External"/><Relationship Id="rId16" Type="http://schemas.openxmlformats.org/officeDocument/2006/relationships/hyperlink" Target="http://store.tegramedical.com/zero-pfoa-green-ptfe-wire/" TargetMode="External"/><Relationship Id="rId20" Type="http://schemas.openxmlformats.org/officeDocument/2006/relationships/hyperlink" Target="http://www.chemicalbook.com/ChemicalProductProperty_EN_CB7258194.htm" TargetMode="External"/><Relationship Id="rId1" Type="http://schemas.openxmlformats.org/officeDocument/2006/relationships/hyperlink" Target="http://chm.pops.int/Implementation/Exemptions/AcceptablePurposes/AcceptablePurposesPFOSandPFOSF/tabid/794/Default.aspx" TargetMode="External"/><Relationship Id="rId6" Type="http://schemas.openxmlformats.org/officeDocument/2006/relationships/hyperlink" Target="https://products.halyardhealth.com/surgical-solutions/surgical-gowns/breathable-high-performance-gowns/halyard-microcool-breathable-high-performance-surgical-gown-with-secure-fit-technology.html" TargetMode="External"/><Relationship Id="rId11" Type="http://schemas.openxmlformats.org/officeDocument/2006/relationships/hyperlink" Target="https://products.halyardhealth.com/surgical-solutions/surgical-gowns/breathable-high-performance-gowns/halyard-microcool-breathable-high-performance-surgical-gown-with-secure-fit-technology.html" TargetMode="External"/><Relationship Id="rId5" Type="http://schemas.openxmlformats.org/officeDocument/2006/relationships/hyperlink" Target="https://www.daikinchem.de/products-and-performance/water-oil-repellency" TargetMode="External"/><Relationship Id="rId15" Type="http://schemas.openxmlformats.org/officeDocument/2006/relationships/hyperlink" Target="https://meritoem.com/composite-reinforced-coatings-the-future-of-medical-device-coatings/" TargetMode="External"/><Relationship Id="rId23" Type="http://schemas.openxmlformats.org/officeDocument/2006/relationships/hyperlink" Target="https://toxicfreefuture.org/new-law-protects-drinking-water-firefighters-toxic-perfluorinated-chemicals/" TargetMode="External"/><Relationship Id="rId10" Type="http://schemas.openxmlformats.org/officeDocument/2006/relationships/hyperlink" Target="https://www.daikinchem.de/products-and-performance/water-oil-repellency" TargetMode="External"/><Relationship Id="rId19" Type="http://schemas.openxmlformats.org/officeDocument/2006/relationships/hyperlink" Target="http://atozplastics.com/upload/literature/Fluoropolymers-application-automotive-fuel-engine-systems.asp" TargetMode="External"/><Relationship Id="rId4" Type="http://schemas.openxmlformats.org/officeDocument/2006/relationships/hyperlink" Target="http://multimedia.3m.com/mws/mediawebserver?mwsId=SSSSSu9n_zu8l00xm8mBl8t94v70k17zHvu9lxtD7xt1evSSSSSS-" TargetMode="External"/><Relationship Id="rId9" Type="http://schemas.openxmlformats.org/officeDocument/2006/relationships/hyperlink" Target="http://multimedia.3m.com/mws/mediawebserver?mwsId=SSSSSu9n_zu8l00xm8mBl8t94v70k17zHvu9lxtD7xt1evSSSSSS-" TargetMode="External"/><Relationship Id="rId14" Type="http://schemas.openxmlformats.org/officeDocument/2006/relationships/hyperlink" Target="http://www.surfacesolutionsgroup.com/site/files/785/69121/273265/759549/no-pfoa-ptfe-coatings-guidewires-brochure.pdf" TargetMode="External"/><Relationship Id="rId22" Type="http://schemas.openxmlformats.org/officeDocument/2006/relationships/hyperlink" Target="http://www.solbergfoam.com/getattachment/28194868-f365-4da5-ba40-860f1a3bd9eb/Presidential-Award-Bestowed-on-Solber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976D4-2B04-4183-8B3C-99389FE4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36871</Words>
  <Characters>210169</Characters>
  <Application>Microsoft Office Word</Application>
  <DocSecurity>0</DocSecurity>
  <Lines>1751</Lines>
  <Paragraphs>493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246547</CharactersWithSpaces>
  <SharedDoc>false</SharedDoc>
  <HLinks>
    <vt:vector size="294" baseType="variant">
      <vt:variant>
        <vt:i4>5832785</vt:i4>
      </vt:variant>
      <vt:variant>
        <vt:i4>228</vt:i4>
      </vt:variant>
      <vt:variant>
        <vt:i4>0</vt:i4>
      </vt:variant>
      <vt:variant>
        <vt:i4>5</vt:i4>
      </vt:variant>
      <vt:variant>
        <vt:lpwstr>http://www.pops.int/poprc</vt:lpwstr>
      </vt:variant>
      <vt:variant>
        <vt:lpwstr/>
      </vt:variant>
      <vt:variant>
        <vt:i4>5374021</vt:i4>
      </vt:variant>
      <vt:variant>
        <vt:i4>225</vt:i4>
      </vt:variant>
      <vt:variant>
        <vt:i4>0</vt:i4>
      </vt:variant>
      <vt:variant>
        <vt:i4>5</vt:i4>
      </vt:variant>
      <vt:variant>
        <vt:lpwstr>http://www.anvisa.gov.br/</vt:lpwstr>
      </vt:variant>
      <vt:variant>
        <vt:lpwstr/>
      </vt:variant>
      <vt:variant>
        <vt:i4>1441854</vt:i4>
      </vt:variant>
      <vt:variant>
        <vt:i4>218</vt:i4>
      </vt:variant>
      <vt:variant>
        <vt:i4>0</vt:i4>
      </vt:variant>
      <vt:variant>
        <vt:i4>5</vt:i4>
      </vt:variant>
      <vt:variant>
        <vt:lpwstr/>
      </vt:variant>
      <vt:variant>
        <vt:lpwstr>_Toc277094220</vt:lpwstr>
      </vt:variant>
      <vt:variant>
        <vt:i4>1376318</vt:i4>
      </vt:variant>
      <vt:variant>
        <vt:i4>212</vt:i4>
      </vt:variant>
      <vt:variant>
        <vt:i4>0</vt:i4>
      </vt:variant>
      <vt:variant>
        <vt:i4>5</vt:i4>
      </vt:variant>
      <vt:variant>
        <vt:lpwstr/>
      </vt:variant>
      <vt:variant>
        <vt:lpwstr>_Toc277094219</vt:lpwstr>
      </vt:variant>
      <vt:variant>
        <vt:i4>1376318</vt:i4>
      </vt:variant>
      <vt:variant>
        <vt:i4>206</vt:i4>
      </vt:variant>
      <vt:variant>
        <vt:i4>0</vt:i4>
      </vt:variant>
      <vt:variant>
        <vt:i4>5</vt:i4>
      </vt:variant>
      <vt:variant>
        <vt:lpwstr/>
      </vt:variant>
      <vt:variant>
        <vt:lpwstr>_Toc277094218</vt:lpwstr>
      </vt:variant>
      <vt:variant>
        <vt:i4>1376318</vt:i4>
      </vt:variant>
      <vt:variant>
        <vt:i4>200</vt:i4>
      </vt:variant>
      <vt:variant>
        <vt:i4>0</vt:i4>
      </vt:variant>
      <vt:variant>
        <vt:i4>5</vt:i4>
      </vt:variant>
      <vt:variant>
        <vt:lpwstr/>
      </vt:variant>
      <vt:variant>
        <vt:lpwstr>_Toc277094217</vt:lpwstr>
      </vt:variant>
      <vt:variant>
        <vt:i4>1376318</vt:i4>
      </vt:variant>
      <vt:variant>
        <vt:i4>194</vt:i4>
      </vt:variant>
      <vt:variant>
        <vt:i4>0</vt:i4>
      </vt:variant>
      <vt:variant>
        <vt:i4>5</vt:i4>
      </vt:variant>
      <vt:variant>
        <vt:lpwstr/>
      </vt:variant>
      <vt:variant>
        <vt:lpwstr>_Toc277094216</vt:lpwstr>
      </vt:variant>
      <vt:variant>
        <vt:i4>1376318</vt:i4>
      </vt:variant>
      <vt:variant>
        <vt:i4>188</vt:i4>
      </vt:variant>
      <vt:variant>
        <vt:i4>0</vt:i4>
      </vt:variant>
      <vt:variant>
        <vt:i4>5</vt:i4>
      </vt:variant>
      <vt:variant>
        <vt:lpwstr/>
      </vt:variant>
      <vt:variant>
        <vt:lpwstr>_Toc277094215</vt:lpwstr>
      </vt:variant>
      <vt:variant>
        <vt:i4>1376318</vt:i4>
      </vt:variant>
      <vt:variant>
        <vt:i4>182</vt:i4>
      </vt:variant>
      <vt:variant>
        <vt:i4>0</vt:i4>
      </vt:variant>
      <vt:variant>
        <vt:i4>5</vt:i4>
      </vt:variant>
      <vt:variant>
        <vt:lpwstr/>
      </vt:variant>
      <vt:variant>
        <vt:lpwstr>_Toc277094214</vt:lpwstr>
      </vt:variant>
      <vt:variant>
        <vt:i4>1376318</vt:i4>
      </vt:variant>
      <vt:variant>
        <vt:i4>176</vt:i4>
      </vt:variant>
      <vt:variant>
        <vt:i4>0</vt:i4>
      </vt:variant>
      <vt:variant>
        <vt:i4>5</vt:i4>
      </vt:variant>
      <vt:variant>
        <vt:lpwstr/>
      </vt:variant>
      <vt:variant>
        <vt:lpwstr>_Toc277094213</vt:lpwstr>
      </vt:variant>
      <vt:variant>
        <vt:i4>1376318</vt:i4>
      </vt:variant>
      <vt:variant>
        <vt:i4>170</vt:i4>
      </vt:variant>
      <vt:variant>
        <vt:i4>0</vt:i4>
      </vt:variant>
      <vt:variant>
        <vt:i4>5</vt:i4>
      </vt:variant>
      <vt:variant>
        <vt:lpwstr/>
      </vt:variant>
      <vt:variant>
        <vt:lpwstr>_Toc277094212</vt:lpwstr>
      </vt:variant>
      <vt:variant>
        <vt:i4>1376318</vt:i4>
      </vt:variant>
      <vt:variant>
        <vt:i4>164</vt:i4>
      </vt:variant>
      <vt:variant>
        <vt:i4>0</vt:i4>
      </vt:variant>
      <vt:variant>
        <vt:i4>5</vt:i4>
      </vt:variant>
      <vt:variant>
        <vt:lpwstr/>
      </vt:variant>
      <vt:variant>
        <vt:lpwstr>_Toc277094211</vt:lpwstr>
      </vt:variant>
      <vt:variant>
        <vt:i4>1376318</vt:i4>
      </vt:variant>
      <vt:variant>
        <vt:i4>158</vt:i4>
      </vt:variant>
      <vt:variant>
        <vt:i4>0</vt:i4>
      </vt:variant>
      <vt:variant>
        <vt:i4>5</vt:i4>
      </vt:variant>
      <vt:variant>
        <vt:lpwstr/>
      </vt:variant>
      <vt:variant>
        <vt:lpwstr>_Toc277094210</vt:lpwstr>
      </vt:variant>
      <vt:variant>
        <vt:i4>1310782</vt:i4>
      </vt:variant>
      <vt:variant>
        <vt:i4>152</vt:i4>
      </vt:variant>
      <vt:variant>
        <vt:i4>0</vt:i4>
      </vt:variant>
      <vt:variant>
        <vt:i4>5</vt:i4>
      </vt:variant>
      <vt:variant>
        <vt:lpwstr/>
      </vt:variant>
      <vt:variant>
        <vt:lpwstr>_Toc277094209</vt:lpwstr>
      </vt:variant>
      <vt:variant>
        <vt:i4>1310782</vt:i4>
      </vt:variant>
      <vt:variant>
        <vt:i4>146</vt:i4>
      </vt:variant>
      <vt:variant>
        <vt:i4>0</vt:i4>
      </vt:variant>
      <vt:variant>
        <vt:i4>5</vt:i4>
      </vt:variant>
      <vt:variant>
        <vt:lpwstr/>
      </vt:variant>
      <vt:variant>
        <vt:lpwstr>_Toc277094208</vt:lpwstr>
      </vt:variant>
      <vt:variant>
        <vt:i4>1310782</vt:i4>
      </vt:variant>
      <vt:variant>
        <vt:i4>140</vt:i4>
      </vt:variant>
      <vt:variant>
        <vt:i4>0</vt:i4>
      </vt:variant>
      <vt:variant>
        <vt:i4>5</vt:i4>
      </vt:variant>
      <vt:variant>
        <vt:lpwstr/>
      </vt:variant>
      <vt:variant>
        <vt:lpwstr>_Toc277094207</vt:lpwstr>
      </vt:variant>
      <vt:variant>
        <vt:i4>1310782</vt:i4>
      </vt:variant>
      <vt:variant>
        <vt:i4>134</vt:i4>
      </vt:variant>
      <vt:variant>
        <vt:i4>0</vt:i4>
      </vt:variant>
      <vt:variant>
        <vt:i4>5</vt:i4>
      </vt:variant>
      <vt:variant>
        <vt:lpwstr/>
      </vt:variant>
      <vt:variant>
        <vt:lpwstr>_Toc277094206</vt:lpwstr>
      </vt:variant>
      <vt:variant>
        <vt:i4>1310782</vt:i4>
      </vt:variant>
      <vt:variant>
        <vt:i4>128</vt:i4>
      </vt:variant>
      <vt:variant>
        <vt:i4>0</vt:i4>
      </vt:variant>
      <vt:variant>
        <vt:i4>5</vt:i4>
      </vt:variant>
      <vt:variant>
        <vt:lpwstr/>
      </vt:variant>
      <vt:variant>
        <vt:lpwstr>_Toc277094205</vt:lpwstr>
      </vt:variant>
      <vt:variant>
        <vt:i4>1310782</vt:i4>
      </vt:variant>
      <vt:variant>
        <vt:i4>122</vt:i4>
      </vt:variant>
      <vt:variant>
        <vt:i4>0</vt:i4>
      </vt:variant>
      <vt:variant>
        <vt:i4>5</vt:i4>
      </vt:variant>
      <vt:variant>
        <vt:lpwstr/>
      </vt:variant>
      <vt:variant>
        <vt:lpwstr>_Toc277094204</vt:lpwstr>
      </vt:variant>
      <vt:variant>
        <vt:i4>1310782</vt:i4>
      </vt:variant>
      <vt:variant>
        <vt:i4>116</vt:i4>
      </vt:variant>
      <vt:variant>
        <vt:i4>0</vt:i4>
      </vt:variant>
      <vt:variant>
        <vt:i4>5</vt:i4>
      </vt:variant>
      <vt:variant>
        <vt:lpwstr/>
      </vt:variant>
      <vt:variant>
        <vt:lpwstr>_Toc277094203</vt:lpwstr>
      </vt:variant>
      <vt:variant>
        <vt:i4>1310782</vt:i4>
      </vt:variant>
      <vt:variant>
        <vt:i4>110</vt:i4>
      </vt:variant>
      <vt:variant>
        <vt:i4>0</vt:i4>
      </vt:variant>
      <vt:variant>
        <vt:i4>5</vt:i4>
      </vt:variant>
      <vt:variant>
        <vt:lpwstr/>
      </vt:variant>
      <vt:variant>
        <vt:lpwstr>_Toc277094202</vt:lpwstr>
      </vt:variant>
      <vt:variant>
        <vt:i4>1310782</vt:i4>
      </vt:variant>
      <vt:variant>
        <vt:i4>104</vt:i4>
      </vt:variant>
      <vt:variant>
        <vt:i4>0</vt:i4>
      </vt:variant>
      <vt:variant>
        <vt:i4>5</vt:i4>
      </vt:variant>
      <vt:variant>
        <vt:lpwstr/>
      </vt:variant>
      <vt:variant>
        <vt:lpwstr>_Toc277094201</vt:lpwstr>
      </vt:variant>
      <vt:variant>
        <vt:i4>1310782</vt:i4>
      </vt:variant>
      <vt:variant>
        <vt:i4>98</vt:i4>
      </vt:variant>
      <vt:variant>
        <vt:i4>0</vt:i4>
      </vt:variant>
      <vt:variant>
        <vt:i4>5</vt:i4>
      </vt:variant>
      <vt:variant>
        <vt:lpwstr/>
      </vt:variant>
      <vt:variant>
        <vt:lpwstr>_Toc277094200</vt:lpwstr>
      </vt:variant>
      <vt:variant>
        <vt:i4>1900605</vt:i4>
      </vt:variant>
      <vt:variant>
        <vt:i4>92</vt:i4>
      </vt:variant>
      <vt:variant>
        <vt:i4>0</vt:i4>
      </vt:variant>
      <vt:variant>
        <vt:i4>5</vt:i4>
      </vt:variant>
      <vt:variant>
        <vt:lpwstr/>
      </vt:variant>
      <vt:variant>
        <vt:lpwstr>_Toc277094199</vt:lpwstr>
      </vt:variant>
      <vt:variant>
        <vt:i4>1900605</vt:i4>
      </vt:variant>
      <vt:variant>
        <vt:i4>86</vt:i4>
      </vt:variant>
      <vt:variant>
        <vt:i4>0</vt:i4>
      </vt:variant>
      <vt:variant>
        <vt:i4>5</vt:i4>
      </vt:variant>
      <vt:variant>
        <vt:lpwstr/>
      </vt:variant>
      <vt:variant>
        <vt:lpwstr>_Toc277094198</vt:lpwstr>
      </vt:variant>
      <vt:variant>
        <vt:i4>1900605</vt:i4>
      </vt:variant>
      <vt:variant>
        <vt:i4>80</vt:i4>
      </vt:variant>
      <vt:variant>
        <vt:i4>0</vt:i4>
      </vt:variant>
      <vt:variant>
        <vt:i4>5</vt:i4>
      </vt:variant>
      <vt:variant>
        <vt:lpwstr/>
      </vt:variant>
      <vt:variant>
        <vt:lpwstr>_Toc277094197</vt:lpwstr>
      </vt:variant>
      <vt:variant>
        <vt:i4>1900605</vt:i4>
      </vt:variant>
      <vt:variant>
        <vt:i4>74</vt:i4>
      </vt:variant>
      <vt:variant>
        <vt:i4>0</vt:i4>
      </vt:variant>
      <vt:variant>
        <vt:i4>5</vt:i4>
      </vt:variant>
      <vt:variant>
        <vt:lpwstr/>
      </vt:variant>
      <vt:variant>
        <vt:lpwstr>_Toc277094196</vt:lpwstr>
      </vt:variant>
      <vt:variant>
        <vt:i4>1900605</vt:i4>
      </vt:variant>
      <vt:variant>
        <vt:i4>68</vt:i4>
      </vt:variant>
      <vt:variant>
        <vt:i4>0</vt:i4>
      </vt:variant>
      <vt:variant>
        <vt:i4>5</vt:i4>
      </vt:variant>
      <vt:variant>
        <vt:lpwstr/>
      </vt:variant>
      <vt:variant>
        <vt:lpwstr>_Toc277094195</vt:lpwstr>
      </vt:variant>
      <vt:variant>
        <vt:i4>1900605</vt:i4>
      </vt:variant>
      <vt:variant>
        <vt:i4>62</vt:i4>
      </vt:variant>
      <vt:variant>
        <vt:i4>0</vt:i4>
      </vt:variant>
      <vt:variant>
        <vt:i4>5</vt:i4>
      </vt:variant>
      <vt:variant>
        <vt:lpwstr/>
      </vt:variant>
      <vt:variant>
        <vt:lpwstr>_Toc277094194</vt:lpwstr>
      </vt:variant>
      <vt:variant>
        <vt:i4>1900605</vt:i4>
      </vt:variant>
      <vt:variant>
        <vt:i4>56</vt:i4>
      </vt:variant>
      <vt:variant>
        <vt:i4>0</vt:i4>
      </vt:variant>
      <vt:variant>
        <vt:i4>5</vt:i4>
      </vt:variant>
      <vt:variant>
        <vt:lpwstr/>
      </vt:variant>
      <vt:variant>
        <vt:lpwstr>_Toc277094193</vt:lpwstr>
      </vt:variant>
      <vt:variant>
        <vt:i4>1900605</vt:i4>
      </vt:variant>
      <vt:variant>
        <vt:i4>50</vt:i4>
      </vt:variant>
      <vt:variant>
        <vt:i4>0</vt:i4>
      </vt:variant>
      <vt:variant>
        <vt:i4>5</vt:i4>
      </vt:variant>
      <vt:variant>
        <vt:lpwstr/>
      </vt:variant>
      <vt:variant>
        <vt:lpwstr>_Toc277094192</vt:lpwstr>
      </vt:variant>
      <vt:variant>
        <vt:i4>1900605</vt:i4>
      </vt:variant>
      <vt:variant>
        <vt:i4>44</vt:i4>
      </vt:variant>
      <vt:variant>
        <vt:i4>0</vt:i4>
      </vt:variant>
      <vt:variant>
        <vt:i4>5</vt:i4>
      </vt:variant>
      <vt:variant>
        <vt:lpwstr/>
      </vt:variant>
      <vt:variant>
        <vt:lpwstr>_Toc277094191</vt:lpwstr>
      </vt:variant>
      <vt:variant>
        <vt:i4>1900605</vt:i4>
      </vt:variant>
      <vt:variant>
        <vt:i4>38</vt:i4>
      </vt:variant>
      <vt:variant>
        <vt:i4>0</vt:i4>
      </vt:variant>
      <vt:variant>
        <vt:i4>5</vt:i4>
      </vt:variant>
      <vt:variant>
        <vt:lpwstr/>
      </vt:variant>
      <vt:variant>
        <vt:lpwstr>_Toc277094190</vt:lpwstr>
      </vt:variant>
      <vt:variant>
        <vt:i4>1835069</vt:i4>
      </vt:variant>
      <vt:variant>
        <vt:i4>32</vt:i4>
      </vt:variant>
      <vt:variant>
        <vt:i4>0</vt:i4>
      </vt:variant>
      <vt:variant>
        <vt:i4>5</vt:i4>
      </vt:variant>
      <vt:variant>
        <vt:lpwstr/>
      </vt:variant>
      <vt:variant>
        <vt:lpwstr>_Toc277094189</vt:lpwstr>
      </vt:variant>
      <vt:variant>
        <vt:i4>1835069</vt:i4>
      </vt:variant>
      <vt:variant>
        <vt:i4>26</vt:i4>
      </vt:variant>
      <vt:variant>
        <vt:i4>0</vt:i4>
      </vt:variant>
      <vt:variant>
        <vt:i4>5</vt:i4>
      </vt:variant>
      <vt:variant>
        <vt:lpwstr/>
      </vt:variant>
      <vt:variant>
        <vt:lpwstr>_Toc277094188</vt:lpwstr>
      </vt:variant>
      <vt:variant>
        <vt:i4>1835069</vt:i4>
      </vt:variant>
      <vt:variant>
        <vt:i4>20</vt:i4>
      </vt:variant>
      <vt:variant>
        <vt:i4>0</vt:i4>
      </vt:variant>
      <vt:variant>
        <vt:i4>5</vt:i4>
      </vt:variant>
      <vt:variant>
        <vt:lpwstr/>
      </vt:variant>
      <vt:variant>
        <vt:lpwstr>_Toc277094187</vt:lpwstr>
      </vt:variant>
      <vt:variant>
        <vt:i4>1835069</vt:i4>
      </vt:variant>
      <vt:variant>
        <vt:i4>14</vt:i4>
      </vt:variant>
      <vt:variant>
        <vt:i4>0</vt:i4>
      </vt:variant>
      <vt:variant>
        <vt:i4>5</vt:i4>
      </vt:variant>
      <vt:variant>
        <vt:lpwstr/>
      </vt:variant>
      <vt:variant>
        <vt:lpwstr>_Toc277094186</vt:lpwstr>
      </vt:variant>
      <vt:variant>
        <vt:i4>1835069</vt:i4>
      </vt:variant>
      <vt:variant>
        <vt:i4>8</vt:i4>
      </vt:variant>
      <vt:variant>
        <vt:i4>0</vt:i4>
      </vt:variant>
      <vt:variant>
        <vt:i4>5</vt:i4>
      </vt:variant>
      <vt:variant>
        <vt:lpwstr/>
      </vt:variant>
      <vt:variant>
        <vt:lpwstr>_Toc277094185</vt:lpwstr>
      </vt:variant>
      <vt:variant>
        <vt:i4>1835069</vt:i4>
      </vt:variant>
      <vt:variant>
        <vt:i4>2</vt:i4>
      </vt:variant>
      <vt:variant>
        <vt:i4>0</vt:i4>
      </vt:variant>
      <vt:variant>
        <vt:i4>5</vt:i4>
      </vt:variant>
      <vt:variant>
        <vt:lpwstr/>
      </vt:variant>
      <vt:variant>
        <vt:lpwstr>_Toc277094184</vt:lpwstr>
      </vt:variant>
      <vt:variant>
        <vt:i4>2228277</vt:i4>
      </vt:variant>
      <vt:variant>
        <vt:i4>27</vt:i4>
      </vt:variant>
      <vt:variant>
        <vt:i4>0</vt:i4>
      </vt:variant>
      <vt:variant>
        <vt:i4>5</vt:i4>
      </vt:variant>
      <vt:variant>
        <vt:lpwstr>http://www.regulations.gov/search/Regs/home.html</vt:lpwstr>
      </vt:variant>
      <vt:variant>
        <vt:lpwstr>docketDetail?R=EPA-HQ-OPP-2002-0262</vt:lpwstr>
      </vt:variant>
      <vt:variant>
        <vt:i4>2228277</vt:i4>
      </vt:variant>
      <vt:variant>
        <vt:i4>24</vt:i4>
      </vt:variant>
      <vt:variant>
        <vt:i4>0</vt:i4>
      </vt:variant>
      <vt:variant>
        <vt:i4>5</vt:i4>
      </vt:variant>
      <vt:variant>
        <vt:lpwstr>http://www.regulations.gov/search/Regs/home.html</vt:lpwstr>
      </vt:variant>
      <vt:variant>
        <vt:lpwstr>docketDetail?R=EPA-HQ-OPP-2002-0262</vt:lpwstr>
      </vt:variant>
      <vt:variant>
        <vt:i4>2228277</vt:i4>
      </vt:variant>
      <vt:variant>
        <vt:i4>21</vt:i4>
      </vt:variant>
      <vt:variant>
        <vt:i4>0</vt:i4>
      </vt:variant>
      <vt:variant>
        <vt:i4>5</vt:i4>
      </vt:variant>
      <vt:variant>
        <vt:lpwstr>http://www.regulations.gov/search/Regs/home.html</vt:lpwstr>
      </vt:variant>
      <vt:variant>
        <vt:lpwstr>docketDetail?R=EPA-HQ-OPP-2002-0262</vt:lpwstr>
      </vt:variant>
      <vt:variant>
        <vt:i4>7471218</vt:i4>
      </vt:variant>
      <vt:variant>
        <vt:i4>18</vt:i4>
      </vt:variant>
      <vt:variant>
        <vt:i4>0</vt:i4>
      </vt:variant>
      <vt:variant>
        <vt:i4>5</vt:i4>
      </vt:variant>
      <vt:variant>
        <vt:lpwstr>http://yosemite.epa.gov/opa/admpress.nsf/d0cf6618525a9efb85257359003fb69d/44c035d59d5e6d8f8525773c0072f26b!OpenDocument</vt:lpwstr>
      </vt:variant>
      <vt:variant>
        <vt:lpwstr/>
      </vt:variant>
      <vt:variant>
        <vt:i4>1703957</vt:i4>
      </vt:variant>
      <vt:variant>
        <vt:i4>15</vt:i4>
      </vt:variant>
      <vt:variant>
        <vt:i4>0</vt:i4>
      </vt:variant>
      <vt:variant>
        <vt:i4>5</vt:i4>
      </vt:variant>
      <vt:variant>
        <vt:lpwstr>http://www.epa.gov/pesticides/reregistration/endosulfan/endosulfan-cancl-fs.html</vt:lpwstr>
      </vt:variant>
      <vt:variant>
        <vt:lpwstr>decision</vt:lpwstr>
      </vt:variant>
      <vt:variant>
        <vt:i4>4325388</vt:i4>
      </vt:variant>
      <vt:variant>
        <vt:i4>12</vt:i4>
      </vt:variant>
      <vt:variant>
        <vt:i4>0</vt:i4>
      </vt:variant>
      <vt:variant>
        <vt:i4>5</vt:i4>
      </vt:variant>
      <vt:variant>
        <vt:lpwstr>http://www.epa.gov/pesticides/reregistration/endosulfan/endosulfan-agreement.html</vt:lpwstr>
      </vt:variant>
      <vt:variant>
        <vt:lpwstr/>
      </vt:variant>
      <vt:variant>
        <vt:i4>1114126</vt:i4>
      </vt:variant>
      <vt:variant>
        <vt:i4>9</vt:i4>
      </vt:variant>
      <vt:variant>
        <vt:i4>0</vt:i4>
      </vt:variant>
      <vt:variant>
        <vt:i4>5</vt:i4>
      </vt:variant>
      <vt:variant>
        <vt:lpwstr>http://www.epa.gov/pesticides/reregistration/endosulfan/endosulfan-cancl-fs.html</vt:lpwstr>
      </vt:variant>
      <vt:variant>
        <vt:lpwstr/>
      </vt:variant>
      <vt:variant>
        <vt:i4>5767180</vt:i4>
      </vt:variant>
      <vt:variant>
        <vt:i4>6</vt:i4>
      </vt:variant>
      <vt:variant>
        <vt:i4>0</vt:i4>
      </vt:variant>
      <vt:variant>
        <vt:i4>5</vt:i4>
      </vt:variant>
      <vt:variant>
        <vt:lpwstr>http://www.onssa.gov.ma/onssa/fr/doc_pdf/PV_CPUA_GLOBAL_22_AVRIL_2010.pdf</vt:lpwstr>
      </vt:variant>
      <vt:variant>
        <vt:lpwstr/>
      </vt:variant>
      <vt:variant>
        <vt:i4>6619173</vt:i4>
      </vt:variant>
      <vt:variant>
        <vt:i4>3</vt:i4>
      </vt:variant>
      <vt:variant>
        <vt:i4>0</vt:i4>
      </vt:variant>
      <vt:variant>
        <vt:i4>5</vt:i4>
      </vt:variant>
      <vt:variant>
        <vt:lpwstr>http://chm.pops.int/tabid/655//Default.aspx</vt:lpwstr>
      </vt:variant>
      <vt:variant>
        <vt:lpwstr/>
      </vt:variant>
      <vt:variant>
        <vt:i4>3604515</vt:i4>
      </vt:variant>
      <vt:variant>
        <vt:i4>0</vt:i4>
      </vt:variant>
      <vt:variant>
        <vt:i4>0</vt:i4>
      </vt:variant>
      <vt:variant>
        <vt:i4>5</vt:i4>
      </vt:variant>
      <vt:variant>
        <vt:lpwstr>http://chm.pops.int/tabid/588/Default.aspx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2018-07-20T07:04:00Z</dcterms:created>
  <dcterms:modified xsi:type="dcterms:W3CDTF">2018-07-30T11:40:00Z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