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C8C" w:rsidRDefault="00FC4C8C" w:rsidP="00FC4C8C">
      <w:pPr>
        <w:pStyle w:val="Normalnumber"/>
        <w:numPr>
          <w:ilvl w:val="0"/>
          <w:numId w:val="0"/>
        </w:numPr>
        <w:ind w:left="1260"/>
        <w:jc w:val="both"/>
        <w:rPr>
          <w:rFonts w:eastAsia="SimHei"/>
          <w:b/>
          <w:sz w:val="28"/>
          <w:lang w:eastAsia="zh-CN"/>
        </w:rPr>
      </w:pPr>
      <w:r w:rsidRPr="004C7EE4">
        <w:rPr>
          <w:rFonts w:eastAsia="SimHei"/>
          <w:b/>
          <w:sz w:val="28"/>
          <w:lang w:eastAsia="zh-CN"/>
        </w:rPr>
        <w:t>SC-8/</w:t>
      </w:r>
      <w:r>
        <w:rPr>
          <w:rFonts w:eastAsia="SimHei"/>
          <w:b/>
          <w:sz w:val="28"/>
          <w:lang w:eastAsia="zh-CN"/>
        </w:rPr>
        <w:t>5</w:t>
      </w:r>
      <w:r w:rsidRPr="004C7EE4">
        <w:rPr>
          <w:rFonts w:eastAsia="SimHei"/>
          <w:b/>
          <w:sz w:val="28"/>
          <w:lang w:eastAsia="zh-CN"/>
        </w:rPr>
        <w:t>：</w:t>
      </w:r>
      <w:r w:rsidRPr="00F5276D">
        <w:rPr>
          <w:rFonts w:eastAsia="SimHei"/>
          <w:b/>
          <w:sz w:val="28"/>
          <w:lang w:eastAsia="zh-CN"/>
        </w:rPr>
        <w:t>全氟辛烷磺酸、其盐类及全氟辛基磺酰氟</w:t>
      </w:r>
    </w:p>
    <w:p w:rsidR="00FC4C8C" w:rsidRPr="0010399F" w:rsidRDefault="00FC4C8C" w:rsidP="00FC4C8C">
      <w:pPr>
        <w:tabs>
          <w:tab w:val="left" w:pos="624"/>
        </w:tabs>
        <w:spacing w:after="120"/>
        <w:ind w:left="1267" w:firstLine="547"/>
        <w:rPr>
          <w:rFonts w:ascii="KaiTi" w:eastAsia="KaiTi" w:hAnsi="KaiTi"/>
          <w:i/>
          <w:szCs w:val="24"/>
          <w:lang w:eastAsia="zh-CN"/>
        </w:rPr>
      </w:pPr>
      <w:r w:rsidRPr="0010399F">
        <w:rPr>
          <w:rFonts w:ascii="KaiTi" w:eastAsia="KaiTi" w:hAnsi="KaiTi"/>
          <w:szCs w:val="24"/>
          <w:lang w:val="zh-CN" w:eastAsia="zh-CN"/>
        </w:rPr>
        <w:t>缔约方大会，</w:t>
      </w:r>
    </w:p>
    <w:p w:rsidR="00FC4C8C" w:rsidRPr="0003586D" w:rsidRDefault="00FC4C8C" w:rsidP="00FC4C8C">
      <w:pPr>
        <w:tabs>
          <w:tab w:val="left" w:pos="624"/>
        </w:tabs>
        <w:spacing w:after="120"/>
        <w:ind w:left="1267" w:firstLine="547"/>
        <w:rPr>
          <w:szCs w:val="24"/>
          <w:lang w:eastAsia="zh-CN"/>
        </w:rPr>
      </w:pPr>
      <w:r w:rsidRPr="0010399F">
        <w:rPr>
          <w:rFonts w:ascii="KaiTi" w:eastAsia="KaiTi" w:hAnsi="KaiTi"/>
          <w:szCs w:val="24"/>
          <w:lang w:val="zh-CN" w:eastAsia="zh-CN"/>
        </w:rPr>
        <w:t>注意到</w:t>
      </w:r>
      <w:r w:rsidRPr="0003586D">
        <w:rPr>
          <w:szCs w:val="24"/>
          <w:lang w:val="zh-CN" w:eastAsia="zh-CN"/>
        </w:rPr>
        <w:t>关于成效评估的</w:t>
      </w:r>
      <w:r>
        <w:rPr>
          <w:szCs w:val="24"/>
          <w:lang w:val="zh-CN" w:eastAsia="zh-CN"/>
        </w:rPr>
        <w:t>SC-8</w:t>
      </w:r>
      <w:r>
        <w:rPr>
          <w:rFonts w:hint="eastAsia"/>
          <w:szCs w:val="24"/>
          <w:lang w:val="zh-CN" w:eastAsia="zh-CN"/>
        </w:rPr>
        <w:t>/18</w:t>
      </w:r>
      <w:r w:rsidRPr="0003586D">
        <w:rPr>
          <w:szCs w:val="24"/>
          <w:lang w:val="zh-CN" w:eastAsia="zh-CN"/>
        </w:rPr>
        <w:t>号决定确认的</w:t>
      </w:r>
      <w:proofErr w:type="gramStart"/>
      <w:r>
        <w:rPr>
          <w:rFonts w:hint="eastAsia"/>
          <w:szCs w:val="24"/>
          <w:lang w:val="zh-CN" w:eastAsia="zh-CN"/>
        </w:rPr>
        <w:t>有关</w:t>
      </w:r>
      <w:r w:rsidRPr="0003586D">
        <w:rPr>
          <w:szCs w:val="24"/>
          <w:lang w:val="zh-CN" w:eastAsia="zh-CN"/>
        </w:rPr>
        <w:t>全氟辛烷</w:t>
      </w:r>
      <w:proofErr w:type="gramEnd"/>
      <w:r w:rsidRPr="0003586D">
        <w:rPr>
          <w:szCs w:val="24"/>
          <w:lang w:val="zh-CN" w:eastAsia="zh-CN"/>
        </w:rPr>
        <w:t>磺酸、其盐类和</w:t>
      </w:r>
      <w:proofErr w:type="gramStart"/>
      <w:r w:rsidRPr="0003586D">
        <w:rPr>
          <w:szCs w:val="24"/>
          <w:lang w:val="zh-CN" w:eastAsia="zh-CN"/>
        </w:rPr>
        <w:t>全氟辛基磺</w:t>
      </w:r>
      <w:proofErr w:type="gramEnd"/>
      <w:r w:rsidRPr="0003586D">
        <w:rPr>
          <w:szCs w:val="24"/>
          <w:lang w:val="zh-CN" w:eastAsia="zh-CN"/>
        </w:rPr>
        <w:t>酰氟</w:t>
      </w:r>
      <w:r>
        <w:rPr>
          <w:szCs w:val="24"/>
          <w:lang w:val="zh-CN" w:eastAsia="zh-CN"/>
        </w:rPr>
        <w:t>的</w:t>
      </w:r>
      <w:r>
        <w:rPr>
          <w:rFonts w:hint="eastAsia"/>
          <w:szCs w:val="24"/>
          <w:lang w:val="zh-CN" w:eastAsia="zh-CN"/>
        </w:rPr>
        <w:t>优先行动领域</w:t>
      </w:r>
      <w:r w:rsidRPr="0003586D">
        <w:rPr>
          <w:szCs w:val="24"/>
          <w:lang w:val="zh-CN" w:eastAsia="zh-CN"/>
        </w:rPr>
        <w:t>，</w:t>
      </w:r>
    </w:p>
    <w:p w:rsidR="00FC4C8C" w:rsidRPr="0003586D" w:rsidRDefault="00FC4C8C" w:rsidP="00FC4C8C">
      <w:pPr>
        <w:tabs>
          <w:tab w:val="left" w:pos="624"/>
        </w:tabs>
        <w:spacing w:after="120"/>
        <w:ind w:left="1267" w:firstLine="547"/>
        <w:rPr>
          <w:iCs/>
          <w:szCs w:val="24"/>
          <w:lang w:eastAsia="zh-CN"/>
        </w:rPr>
      </w:pPr>
      <w:r w:rsidRPr="0010399F">
        <w:rPr>
          <w:rFonts w:ascii="KaiTi" w:eastAsia="KaiTi" w:hAnsi="KaiTi"/>
          <w:szCs w:val="24"/>
          <w:lang w:val="zh-CN" w:eastAsia="zh-CN"/>
        </w:rPr>
        <w:t>回顾</w:t>
      </w:r>
      <w:r w:rsidRPr="0003586D">
        <w:rPr>
          <w:szCs w:val="24"/>
          <w:lang w:val="zh-CN" w:eastAsia="zh-CN"/>
        </w:rPr>
        <w:t>SC-7/5</w:t>
      </w:r>
      <w:r w:rsidRPr="0003586D">
        <w:rPr>
          <w:szCs w:val="24"/>
          <w:lang w:val="zh-CN" w:eastAsia="zh-CN"/>
        </w:rPr>
        <w:t>号决定第</w:t>
      </w:r>
      <w:r w:rsidRPr="0003586D">
        <w:rPr>
          <w:szCs w:val="24"/>
          <w:lang w:val="zh-CN" w:eastAsia="zh-CN"/>
        </w:rPr>
        <w:t>7</w:t>
      </w:r>
      <w:r w:rsidRPr="0003586D">
        <w:rPr>
          <w:szCs w:val="24"/>
          <w:lang w:val="zh-CN" w:eastAsia="zh-CN"/>
        </w:rPr>
        <w:t>段，其中缔约方大会决定将在</w:t>
      </w:r>
      <w:r>
        <w:rPr>
          <w:rFonts w:hint="eastAsia"/>
          <w:szCs w:val="24"/>
          <w:lang w:val="zh-CN" w:eastAsia="zh-CN"/>
        </w:rPr>
        <w:t>其</w:t>
      </w:r>
      <w:r w:rsidRPr="0003586D">
        <w:rPr>
          <w:szCs w:val="24"/>
          <w:lang w:val="zh-CN" w:eastAsia="zh-CN"/>
        </w:rPr>
        <w:t>第九次会议上，根据《</w:t>
      </w:r>
      <w:r w:rsidRPr="0003586D">
        <w:rPr>
          <w:szCs w:val="24"/>
          <w:lang w:eastAsia="zh-CN"/>
        </w:rPr>
        <w:t>关于持久性有机污染物的斯德哥尔摩</w:t>
      </w:r>
      <w:r w:rsidRPr="0003586D">
        <w:rPr>
          <w:szCs w:val="24"/>
          <w:lang w:val="zh-CN" w:eastAsia="zh-CN"/>
        </w:rPr>
        <w:t>公约》附件</w:t>
      </w:r>
      <w:r w:rsidRPr="0003586D">
        <w:rPr>
          <w:szCs w:val="24"/>
          <w:lang w:val="zh-CN" w:eastAsia="zh-CN"/>
        </w:rPr>
        <w:t>B</w:t>
      </w:r>
      <w:r w:rsidRPr="0003586D">
        <w:rPr>
          <w:szCs w:val="24"/>
          <w:lang w:val="zh-CN" w:eastAsia="zh-CN"/>
        </w:rPr>
        <w:t>第三部分第</w:t>
      </w:r>
      <w:r w:rsidRPr="0003586D">
        <w:rPr>
          <w:szCs w:val="24"/>
          <w:lang w:val="zh-CN" w:eastAsia="zh-CN"/>
        </w:rPr>
        <w:t>5</w:t>
      </w:r>
      <w:r w:rsidRPr="0003586D">
        <w:rPr>
          <w:szCs w:val="24"/>
          <w:lang w:val="zh-CN" w:eastAsia="zh-CN"/>
        </w:rPr>
        <w:t>段和第</w:t>
      </w:r>
      <w:r w:rsidRPr="0003586D">
        <w:rPr>
          <w:szCs w:val="24"/>
          <w:lang w:val="zh-CN" w:eastAsia="zh-CN"/>
        </w:rPr>
        <w:t>6</w:t>
      </w:r>
      <w:r w:rsidRPr="0003586D">
        <w:rPr>
          <w:szCs w:val="24"/>
          <w:lang w:val="zh-CN" w:eastAsia="zh-CN"/>
        </w:rPr>
        <w:t>段，</w:t>
      </w:r>
      <w:proofErr w:type="gramStart"/>
      <w:r w:rsidRPr="0003586D">
        <w:rPr>
          <w:szCs w:val="24"/>
          <w:lang w:val="zh-CN" w:eastAsia="zh-CN"/>
        </w:rPr>
        <w:t>对全氟辛烷</w:t>
      </w:r>
      <w:proofErr w:type="gramEnd"/>
      <w:r w:rsidRPr="0003586D">
        <w:rPr>
          <w:szCs w:val="24"/>
          <w:lang w:val="zh-CN" w:eastAsia="zh-CN"/>
        </w:rPr>
        <w:t>磺酸、其盐类和</w:t>
      </w:r>
      <w:proofErr w:type="gramStart"/>
      <w:r w:rsidRPr="0003586D">
        <w:rPr>
          <w:szCs w:val="24"/>
          <w:lang w:val="zh-CN" w:eastAsia="zh-CN"/>
        </w:rPr>
        <w:t>全氟辛基磺</w:t>
      </w:r>
      <w:proofErr w:type="gramEnd"/>
      <w:r w:rsidRPr="0003586D">
        <w:rPr>
          <w:szCs w:val="24"/>
          <w:lang w:val="zh-CN" w:eastAsia="zh-CN"/>
        </w:rPr>
        <w:t>酰氟进一步开展评价，</w:t>
      </w:r>
    </w:p>
    <w:p w:rsidR="00FC4C8C" w:rsidRPr="0003586D" w:rsidRDefault="00FC4C8C" w:rsidP="00FC4C8C">
      <w:pPr>
        <w:numPr>
          <w:ilvl w:val="0"/>
          <w:numId w:val="10"/>
        </w:numPr>
        <w:tabs>
          <w:tab w:val="left" w:pos="624"/>
          <w:tab w:val="left" w:pos="2340"/>
        </w:tabs>
        <w:spacing w:after="120"/>
        <w:ind w:left="1267" w:firstLine="547"/>
        <w:jc w:val="both"/>
        <w:rPr>
          <w:szCs w:val="24"/>
          <w:lang w:eastAsia="zh-CN"/>
        </w:rPr>
      </w:pPr>
      <w:r w:rsidRPr="0010399F">
        <w:rPr>
          <w:rFonts w:ascii="KaiTi" w:eastAsia="KaiTi" w:hAnsi="KaiTi"/>
          <w:szCs w:val="24"/>
          <w:lang w:val="zh-CN" w:eastAsia="zh-CN"/>
        </w:rPr>
        <w:t>欢迎</w:t>
      </w:r>
      <w:r w:rsidRPr="0003586D">
        <w:rPr>
          <w:szCs w:val="24"/>
          <w:lang w:val="zh-CN" w:eastAsia="zh-CN"/>
        </w:rPr>
        <w:t>持久性有机污染物审查委员会制定的</w:t>
      </w:r>
      <w:proofErr w:type="gramStart"/>
      <w:r w:rsidRPr="0003586D">
        <w:rPr>
          <w:szCs w:val="24"/>
          <w:lang w:val="zh-CN" w:eastAsia="zh-CN"/>
        </w:rPr>
        <w:t>关于全氟辛烷</w:t>
      </w:r>
      <w:proofErr w:type="gramEnd"/>
      <w:r w:rsidRPr="0003586D">
        <w:rPr>
          <w:szCs w:val="24"/>
          <w:lang w:val="zh-CN" w:eastAsia="zh-CN"/>
        </w:rPr>
        <w:t>磺酸及其相关化学品的替代品的指导意见汇编</w:t>
      </w:r>
      <w:r w:rsidRPr="0003586D">
        <w:rPr>
          <w:szCs w:val="24"/>
          <w:vertAlign w:val="superscript"/>
          <w:lang w:val="zh-CN" w:eastAsia="en-GB"/>
        </w:rPr>
        <w:footnoteReference w:id="1"/>
      </w:r>
      <w:r w:rsidRPr="0003586D">
        <w:rPr>
          <w:szCs w:val="24"/>
          <w:lang w:val="zh-CN" w:eastAsia="zh-CN"/>
        </w:rPr>
        <w:t>；</w:t>
      </w:r>
      <w:r w:rsidRPr="0003586D">
        <w:rPr>
          <w:szCs w:val="24"/>
          <w:lang w:eastAsia="zh-CN"/>
        </w:rPr>
        <w:t xml:space="preserve"> </w:t>
      </w:r>
    </w:p>
    <w:p w:rsidR="00FC4C8C" w:rsidRPr="0003586D" w:rsidRDefault="00FC4C8C" w:rsidP="00FC4C8C">
      <w:pPr>
        <w:numPr>
          <w:ilvl w:val="0"/>
          <w:numId w:val="10"/>
        </w:numPr>
        <w:tabs>
          <w:tab w:val="left" w:pos="624"/>
          <w:tab w:val="left" w:pos="2340"/>
        </w:tabs>
        <w:spacing w:after="120"/>
        <w:ind w:left="1267" w:firstLine="547"/>
        <w:jc w:val="both"/>
        <w:rPr>
          <w:szCs w:val="24"/>
          <w:lang w:eastAsia="zh-CN"/>
        </w:rPr>
      </w:pPr>
      <w:r w:rsidRPr="0010399F">
        <w:rPr>
          <w:rFonts w:ascii="KaiTi" w:eastAsia="KaiTi" w:hAnsi="KaiTi"/>
          <w:szCs w:val="24"/>
          <w:lang w:val="zh-CN" w:eastAsia="zh-CN"/>
        </w:rPr>
        <w:t>表示注意到</w:t>
      </w:r>
      <w:r w:rsidRPr="0003586D">
        <w:rPr>
          <w:szCs w:val="24"/>
          <w:lang w:val="zh-CN" w:eastAsia="zh-CN"/>
        </w:rPr>
        <w:t>缔约方大会若得出无需继续</w:t>
      </w:r>
      <w:proofErr w:type="gramStart"/>
      <w:r w:rsidRPr="0003586D">
        <w:rPr>
          <w:szCs w:val="24"/>
          <w:lang w:val="zh-CN" w:eastAsia="zh-CN"/>
        </w:rPr>
        <w:t>将全氟辛烷</w:t>
      </w:r>
      <w:proofErr w:type="gramEnd"/>
      <w:r w:rsidRPr="0003586D">
        <w:rPr>
          <w:szCs w:val="24"/>
          <w:lang w:val="zh-CN" w:eastAsia="zh-CN"/>
        </w:rPr>
        <w:t>磺酸、其盐类和</w:t>
      </w:r>
      <w:proofErr w:type="gramStart"/>
      <w:r w:rsidRPr="0003586D">
        <w:rPr>
          <w:szCs w:val="24"/>
          <w:lang w:val="zh-CN" w:eastAsia="zh-CN"/>
        </w:rPr>
        <w:t>全氟辛基磺</w:t>
      </w:r>
      <w:proofErr w:type="gramEnd"/>
      <w:r w:rsidRPr="0003586D">
        <w:rPr>
          <w:szCs w:val="24"/>
          <w:lang w:val="zh-CN" w:eastAsia="zh-CN"/>
        </w:rPr>
        <w:t>酰氟用于《公约》附件</w:t>
      </w:r>
      <w:r w:rsidRPr="0003586D">
        <w:rPr>
          <w:szCs w:val="24"/>
          <w:lang w:val="zh-CN" w:eastAsia="zh-CN"/>
        </w:rPr>
        <w:t>B</w:t>
      </w:r>
      <w:r w:rsidRPr="0003586D">
        <w:rPr>
          <w:szCs w:val="24"/>
          <w:lang w:val="zh-CN" w:eastAsia="zh-CN"/>
        </w:rPr>
        <w:t>所列各种可接受用途的结论而可能采取行动的备选方案</w:t>
      </w:r>
      <w:r w:rsidRPr="0003586D">
        <w:rPr>
          <w:szCs w:val="24"/>
          <w:vertAlign w:val="superscript"/>
          <w:lang w:val="zh-CN" w:eastAsia="en-GB"/>
        </w:rPr>
        <w:footnoteReference w:id="2"/>
      </w:r>
      <w:r w:rsidRPr="0003586D">
        <w:rPr>
          <w:szCs w:val="24"/>
          <w:lang w:val="zh-CN" w:eastAsia="zh-CN"/>
        </w:rPr>
        <w:t>；</w:t>
      </w:r>
    </w:p>
    <w:p w:rsidR="00FC4C8C" w:rsidRPr="0003586D" w:rsidRDefault="00FC4C8C" w:rsidP="00FC4C8C">
      <w:pPr>
        <w:numPr>
          <w:ilvl w:val="0"/>
          <w:numId w:val="10"/>
        </w:numPr>
        <w:tabs>
          <w:tab w:val="left" w:pos="624"/>
          <w:tab w:val="left" w:pos="2340"/>
        </w:tabs>
        <w:spacing w:after="120"/>
        <w:ind w:left="1267" w:firstLine="547"/>
        <w:jc w:val="both"/>
        <w:rPr>
          <w:szCs w:val="24"/>
          <w:lang w:eastAsia="zh-CN"/>
        </w:rPr>
      </w:pPr>
      <w:r w:rsidRPr="0010399F">
        <w:rPr>
          <w:rFonts w:ascii="KaiTi" w:eastAsia="KaiTi" w:hAnsi="KaiTi"/>
          <w:szCs w:val="24"/>
          <w:lang w:val="zh-CN" w:eastAsia="zh-CN"/>
        </w:rPr>
        <w:t>又表示注意到</w:t>
      </w:r>
      <w:r w:rsidRPr="0003586D">
        <w:rPr>
          <w:szCs w:val="24"/>
          <w:lang w:val="zh-CN" w:eastAsia="zh-CN"/>
        </w:rPr>
        <w:t>缔约方提交的与《公约》第</w:t>
      </w:r>
      <w:r w:rsidRPr="0003586D">
        <w:rPr>
          <w:szCs w:val="24"/>
          <w:lang w:val="zh-CN" w:eastAsia="zh-CN"/>
        </w:rPr>
        <w:t>4</w:t>
      </w:r>
      <w:r w:rsidRPr="0003586D">
        <w:rPr>
          <w:szCs w:val="24"/>
          <w:lang w:val="zh-CN" w:eastAsia="zh-CN"/>
        </w:rPr>
        <w:t>条的解释和适用相关的信息</w:t>
      </w:r>
      <w:r w:rsidRPr="0003586D">
        <w:rPr>
          <w:szCs w:val="24"/>
          <w:vertAlign w:val="superscript"/>
          <w:lang w:val="zh-CN" w:eastAsia="en-GB"/>
        </w:rPr>
        <w:footnoteReference w:id="3"/>
      </w:r>
      <w:r w:rsidRPr="0003586D">
        <w:rPr>
          <w:szCs w:val="24"/>
          <w:lang w:val="zh-CN" w:eastAsia="zh-CN"/>
        </w:rPr>
        <w:t>；</w:t>
      </w:r>
    </w:p>
    <w:p w:rsidR="00FC4C8C" w:rsidRPr="007360A2" w:rsidRDefault="00FC4C8C" w:rsidP="00FC4C8C">
      <w:pPr>
        <w:numPr>
          <w:ilvl w:val="0"/>
          <w:numId w:val="10"/>
        </w:numPr>
        <w:tabs>
          <w:tab w:val="left" w:pos="624"/>
          <w:tab w:val="left" w:pos="2340"/>
        </w:tabs>
        <w:spacing w:after="120"/>
        <w:ind w:left="1267" w:firstLine="547"/>
        <w:jc w:val="both"/>
        <w:rPr>
          <w:szCs w:val="24"/>
          <w:lang w:eastAsia="zh-CN"/>
        </w:rPr>
      </w:pPr>
      <w:r w:rsidRPr="0010399F">
        <w:rPr>
          <w:rFonts w:ascii="KaiTi" w:eastAsia="KaiTi" w:hAnsi="KaiTi"/>
          <w:szCs w:val="24"/>
          <w:lang w:val="zh-CN" w:eastAsia="zh-CN"/>
        </w:rPr>
        <w:t>邀请</w:t>
      </w:r>
      <w:r w:rsidRPr="007360A2">
        <w:rPr>
          <w:szCs w:val="24"/>
          <w:lang w:val="zh-CN" w:eastAsia="zh-CN"/>
        </w:rPr>
        <w:t>缔约方及其他各方于</w:t>
      </w:r>
      <w:r w:rsidRPr="007360A2">
        <w:rPr>
          <w:szCs w:val="24"/>
          <w:lang w:val="zh-CN" w:eastAsia="zh-CN"/>
        </w:rPr>
        <w:t>2018</w:t>
      </w:r>
      <w:r w:rsidRPr="007360A2">
        <w:rPr>
          <w:szCs w:val="24"/>
          <w:lang w:val="zh-CN" w:eastAsia="zh-CN"/>
        </w:rPr>
        <w:t>年</w:t>
      </w:r>
      <w:r w:rsidRPr="007360A2">
        <w:rPr>
          <w:szCs w:val="24"/>
          <w:lang w:val="zh-CN" w:eastAsia="zh-CN"/>
        </w:rPr>
        <w:t>2</w:t>
      </w:r>
      <w:r w:rsidRPr="007360A2">
        <w:rPr>
          <w:szCs w:val="24"/>
          <w:lang w:val="zh-CN" w:eastAsia="zh-CN"/>
        </w:rPr>
        <w:t>月</w:t>
      </w:r>
      <w:r w:rsidRPr="007360A2">
        <w:rPr>
          <w:szCs w:val="24"/>
          <w:lang w:val="zh-CN" w:eastAsia="zh-CN"/>
        </w:rPr>
        <w:t>15</w:t>
      </w:r>
      <w:r w:rsidRPr="007360A2">
        <w:rPr>
          <w:szCs w:val="24"/>
          <w:lang w:val="zh-CN" w:eastAsia="zh-CN"/>
        </w:rPr>
        <w:t>日前向秘书处提交以下信息，供秘书处根据</w:t>
      </w:r>
      <w:r w:rsidRPr="007360A2">
        <w:rPr>
          <w:szCs w:val="24"/>
          <w:lang w:val="zh-CN" w:eastAsia="zh-CN"/>
        </w:rPr>
        <w:t>SC-6/4</w:t>
      </w:r>
      <w:r w:rsidRPr="007360A2">
        <w:rPr>
          <w:szCs w:val="24"/>
          <w:lang w:val="zh-CN" w:eastAsia="zh-CN"/>
        </w:rPr>
        <w:t>号决定附件第</w:t>
      </w:r>
      <w:r w:rsidRPr="007360A2">
        <w:rPr>
          <w:szCs w:val="24"/>
          <w:lang w:val="zh-CN" w:eastAsia="zh-CN"/>
        </w:rPr>
        <w:t>6</w:t>
      </w:r>
      <w:r w:rsidRPr="007360A2">
        <w:rPr>
          <w:szCs w:val="24"/>
          <w:lang w:val="zh-CN" w:eastAsia="zh-CN"/>
        </w:rPr>
        <w:t>段编写下</w:t>
      </w:r>
      <w:proofErr w:type="gramStart"/>
      <w:r w:rsidRPr="007360A2">
        <w:rPr>
          <w:szCs w:val="24"/>
          <w:lang w:val="zh-CN" w:eastAsia="zh-CN"/>
        </w:rPr>
        <w:t>一份全氟辛烷</w:t>
      </w:r>
      <w:proofErr w:type="gramEnd"/>
      <w:r w:rsidRPr="007360A2">
        <w:rPr>
          <w:szCs w:val="24"/>
          <w:lang w:val="zh-CN" w:eastAsia="zh-CN"/>
        </w:rPr>
        <w:t>磺酸、其盐类和</w:t>
      </w:r>
      <w:proofErr w:type="gramStart"/>
      <w:r w:rsidRPr="007360A2">
        <w:rPr>
          <w:szCs w:val="24"/>
          <w:lang w:val="zh-CN" w:eastAsia="zh-CN"/>
        </w:rPr>
        <w:t>全氟辛基磺</w:t>
      </w:r>
      <w:proofErr w:type="gramEnd"/>
      <w:r w:rsidRPr="007360A2">
        <w:rPr>
          <w:szCs w:val="24"/>
          <w:lang w:val="zh-CN" w:eastAsia="zh-CN"/>
        </w:rPr>
        <w:t>酰氟评价报告时使用，</w:t>
      </w:r>
      <w:r>
        <w:rPr>
          <w:rFonts w:hint="eastAsia"/>
          <w:szCs w:val="24"/>
          <w:lang w:val="zh-CN" w:eastAsia="zh-CN"/>
        </w:rPr>
        <w:t>也</w:t>
      </w:r>
      <w:r w:rsidRPr="007360A2">
        <w:rPr>
          <w:szCs w:val="24"/>
          <w:lang w:val="zh-CN" w:eastAsia="zh-CN"/>
        </w:rPr>
        <w:t>供</w:t>
      </w:r>
      <w:r w:rsidRPr="00774AA6">
        <w:rPr>
          <w:bCs/>
          <w:szCs w:val="24"/>
          <w:lang w:eastAsia="zh-CN"/>
        </w:rPr>
        <w:t>持久性有机污染物审查</w:t>
      </w:r>
      <w:r w:rsidRPr="007360A2">
        <w:rPr>
          <w:szCs w:val="24"/>
          <w:lang w:val="zh-CN" w:eastAsia="zh-CN"/>
        </w:rPr>
        <w:t>委员会今后更新</w:t>
      </w:r>
      <w:proofErr w:type="gramStart"/>
      <w:r w:rsidRPr="007360A2">
        <w:rPr>
          <w:szCs w:val="24"/>
          <w:lang w:val="zh-CN" w:eastAsia="zh-CN"/>
        </w:rPr>
        <w:t>关于全氟辛烷</w:t>
      </w:r>
      <w:proofErr w:type="gramEnd"/>
      <w:r w:rsidRPr="007360A2">
        <w:rPr>
          <w:szCs w:val="24"/>
          <w:lang w:val="zh-CN" w:eastAsia="zh-CN"/>
        </w:rPr>
        <w:t>磺酸及其相关化学品替代品的指导意见时使用：</w:t>
      </w:r>
    </w:p>
    <w:p w:rsidR="00FC4C8C" w:rsidRPr="007360A2" w:rsidRDefault="00FC4C8C" w:rsidP="00FC4C8C">
      <w:pPr>
        <w:numPr>
          <w:ilvl w:val="1"/>
          <w:numId w:val="9"/>
        </w:numPr>
        <w:tabs>
          <w:tab w:val="left" w:pos="2340"/>
        </w:tabs>
        <w:spacing w:after="120"/>
        <w:ind w:left="1267" w:firstLine="547"/>
        <w:jc w:val="both"/>
        <w:rPr>
          <w:szCs w:val="24"/>
          <w:lang w:eastAsia="zh-CN"/>
        </w:rPr>
      </w:pPr>
      <w:r>
        <w:rPr>
          <w:rFonts w:hint="eastAsia"/>
          <w:szCs w:val="24"/>
          <w:lang w:val="zh-CN" w:eastAsia="zh-CN"/>
        </w:rPr>
        <w:t xml:space="preserve"> </w:t>
      </w:r>
      <w:proofErr w:type="gramStart"/>
      <w:r w:rsidRPr="007360A2">
        <w:rPr>
          <w:szCs w:val="24"/>
          <w:lang w:val="zh-CN" w:eastAsia="zh-CN"/>
        </w:rPr>
        <w:t>氟虫胺</w:t>
      </w:r>
      <w:proofErr w:type="gramEnd"/>
      <w:r w:rsidRPr="007360A2">
        <w:rPr>
          <w:szCs w:val="24"/>
          <w:lang w:val="zh-CN" w:eastAsia="zh-CN"/>
        </w:rPr>
        <w:t>的生产和使用情况；</w:t>
      </w:r>
    </w:p>
    <w:p w:rsidR="00FC4C8C" w:rsidRPr="007360A2" w:rsidRDefault="00FC4C8C" w:rsidP="00FC4C8C">
      <w:pPr>
        <w:numPr>
          <w:ilvl w:val="1"/>
          <w:numId w:val="9"/>
        </w:numPr>
        <w:tabs>
          <w:tab w:val="left" w:pos="2340"/>
        </w:tabs>
        <w:spacing w:after="120"/>
        <w:ind w:left="1267" w:firstLine="547"/>
        <w:jc w:val="both"/>
        <w:rPr>
          <w:szCs w:val="24"/>
          <w:lang w:eastAsia="zh-CN"/>
        </w:rPr>
      </w:pPr>
      <w:r>
        <w:rPr>
          <w:szCs w:val="24"/>
          <w:lang w:eastAsia="zh-CN"/>
        </w:rPr>
        <w:t xml:space="preserve"> </w:t>
      </w:r>
      <w:r w:rsidRPr="007360A2">
        <w:rPr>
          <w:szCs w:val="24"/>
          <w:lang w:val="zh-CN" w:eastAsia="zh-CN"/>
        </w:rPr>
        <w:t>对于因使用</w:t>
      </w:r>
      <w:proofErr w:type="gramStart"/>
      <w:r w:rsidRPr="007360A2">
        <w:rPr>
          <w:szCs w:val="24"/>
          <w:lang w:val="zh-CN" w:eastAsia="zh-CN"/>
        </w:rPr>
        <w:t>氟虫胺</w:t>
      </w:r>
      <w:proofErr w:type="gramEnd"/>
      <w:r w:rsidRPr="007360A2">
        <w:rPr>
          <w:szCs w:val="24"/>
          <w:lang w:val="zh-CN" w:eastAsia="zh-CN"/>
        </w:rPr>
        <w:t>而释放</w:t>
      </w:r>
      <w:proofErr w:type="gramStart"/>
      <w:r w:rsidRPr="007360A2">
        <w:rPr>
          <w:szCs w:val="24"/>
          <w:lang w:val="zh-CN" w:eastAsia="zh-CN"/>
        </w:rPr>
        <w:t>的全氟辛烷</w:t>
      </w:r>
      <w:proofErr w:type="gramEnd"/>
      <w:r w:rsidRPr="007360A2">
        <w:rPr>
          <w:szCs w:val="24"/>
          <w:lang w:val="zh-CN" w:eastAsia="zh-CN"/>
        </w:rPr>
        <w:t>磺酸实施就地监测的情况；</w:t>
      </w:r>
    </w:p>
    <w:p w:rsidR="00FC4C8C" w:rsidRPr="00E56C31" w:rsidRDefault="00FC4C8C" w:rsidP="00FC4C8C">
      <w:pPr>
        <w:numPr>
          <w:ilvl w:val="1"/>
          <w:numId w:val="9"/>
        </w:numPr>
        <w:tabs>
          <w:tab w:val="left" w:pos="2340"/>
        </w:tabs>
        <w:spacing w:after="120"/>
        <w:ind w:left="1267" w:firstLine="547"/>
        <w:jc w:val="both"/>
        <w:rPr>
          <w:szCs w:val="24"/>
          <w:lang w:eastAsia="zh-CN"/>
        </w:rPr>
      </w:pPr>
      <w:r w:rsidRPr="007360A2">
        <w:rPr>
          <w:szCs w:val="24"/>
          <w:lang w:val="zh-CN" w:eastAsia="zh-CN"/>
        </w:rPr>
        <w:t>《公约》附件</w:t>
      </w:r>
      <w:r w:rsidRPr="007360A2">
        <w:rPr>
          <w:szCs w:val="24"/>
          <w:lang w:val="zh-CN" w:eastAsia="zh-CN"/>
        </w:rPr>
        <w:t>B</w:t>
      </w:r>
      <w:r w:rsidRPr="007360A2">
        <w:rPr>
          <w:szCs w:val="24"/>
          <w:lang w:val="zh-CN" w:eastAsia="zh-CN"/>
        </w:rPr>
        <w:t>第三部分第</w:t>
      </w:r>
      <w:r w:rsidRPr="007360A2">
        <w:rPr>
          <w:szCs w:val="24"/>
          <w:lang w:val="zh-CN" w:eastAsia="zh-CN"/>
        </w:rPr>
        <w:t>4(c)</w:t>
      </w:r>
      <w:r w:rsidRPr="007360A2">
        <w:rPr>
          <w:szCs w:val="24"/>
          <w:lang w:val="zh-CN" w:eastAsia="zh-CN"/>
        </w:rPr>
        <w:t>段所规定</w:t>
      </w:r>
      <w:proofErr w:type="gramStart"/>
      <w:r w:rsidRPr="007360A2">
        <w:rPr>
          <w:szCs w:val="24"/>
          <w:lang w:val="zh-CN" w:eastAsia="zh-CN"/>
        </w:rPr>
        <w:t>的全氟辛烷</w:t>
      </w:r>
      <w:proofErr w:type="gramEnd"/>
      <w:r w:rsidRPr="007360A2">
        <w:rPr>
          <w:szCs w:val="24"/>
          <w:lang w:val="zh-CN" w:eastAsia="zh-CN"/>
        </w:rPr>
        <w:t>磺酸、其盐类和</w:t>
      </w:r>
      <w:proofErr w:type="gramStart"/>
      <w:r w:rsidRPr="007360A2">
        <w:rPr>
          <w:szCs w:val="24"/>
          <w:lang w:val="zh-CN" w:eastAsia="zh-CN"/>
        </w:rPr>
        <w:t>全氟辛基磺</w:t>
      </w:r>
      <w:proofErr w:type="gramEnd"/>
      <w:r w:rsidRPr="007360A2">
        <w:rPr>
          <w:szCs w:val="24"/>
          <w:lang w:val="zh-CN" w:eastAsia="zh-CN"/>
        </w:rPr>
        <w:t>酰氟安全替代品的研究和开发情况</w:t>
      </w:r>
      <w:r>
        <w:rPr>
          <w:rFonts w:hint="eastAsia"/>
          <w:szCs w:val="24"/>
          <w:lang w:val="zh-CN" w:eastAsia="zh-CN"/>
        </w:rPr>
        <w:t>；</w:t>
      </w:r>
    </w:p>
    <w:p w:rsidR="00FC4C8C" w:rsidRPr="002C14FD" w:rsidRDefault="00FC4C8C" w:rsidP="00FC4C8C">
      <w:pPr>
        <w:numPr>
          <w:ilvl w:val="0"/>
          <w:numId w:val="10"/>
        </w:numPr>
        <w:tabs>
          <w:tab w:val="left" w:pos="624"/>
          <w:tab w:val="left" w:pos="2340"/>
        </w:tabs>
        <w:spacing w:after="120"/>
        <w:ind w:left="1267" w:firstLine="547"/>
        <w:jc w:val="both"/>
        <w:rPr>
          <w:rFonts w:ascii="SimSun" w:hAnsi="SimSun"/>
          <w:szCs w:val="24"/>
          <w:lang w:val="zh-CN" w:eastAsia="zh-CN"/>
        </w:rPr>
      </w:pPr>
      <w:r w:rsidRPr="002C14FD">
        <w:rPr>
          <w:rFonts w:ascii="KaiTi" w:eastAsia="KaiTi" w:hAnsi="KaiTi" w:hint="eastAsia"/>
          <w:szCs w:val="24"/>
          <w:lang w:val="zh-CN" w:eastAsia="zh-CN"/>
        </w:rPr>
        <w:t>鼓励</w:t>
      </w:r>
      <w:r w:rsidRPr="002C14FD">
        <w:rPr>
          <w:rFonts w:ascii="SimSun" w:hAnsi="SimSun" w:hint="eastAsia"/>
          <w:szCs w:val="24"/>
          <w:lang w:val="zh-CN" w:eastAsia="zh-CN"/>
        </w:rPr>
        <w:t>各区域中心及其他各方为缔约方提供支持，提高其健全</w:t>
      </w:r>
      <w:proofErr w:type="gramStart"/>
      <w:r w:rsidRPr="002C14FD">
        <w:rPr>
          <w:rFonts w:ascii="SimSun" w:hAnsi="SimSun" w:hint="eastAsia"/>
          <w:szCs w:val="24"/>
          <w:lang w:val="zh-CN" w:eastAsia="zh-CN"/>
        </w:rPr>
        <w:t>管理</w:t>
      </w:r>
      <w:r w:rsidRPr="002C14FD">
        <w:rPr>
          <w:rFonts w:ascii="SimSun" w:hAnsi="SimSun"/>
          <w:szCs w:val="24"/>
          <w:lang w:val="zh-CN" w:eastAsia="zh-CN"/>
        </w:rPr>
        <w:t>全氟辛烷</w:t>
      </w:r>
      <w:proofErr w:type="gramEnd"/>
      <w:r w:rsidRPr="002C14FD">
        <w:rPr>
          <w:rFonts w:ascii="SimSun" w:hAnsi="SimSun"/>
          <w:szCs w:val="24"/>
          <w:lang w:val="zh-CN" w:eastAsia="zh-CN"/>
        </w:rPr>
        <w:t>磺酸、其盐类和</w:t>
      </w:r>
      <w:proofErr w:type="gramStart"/>
      <w:r w:rsidRPr="002C14FD">
        <w:rPr>
          <w:rFonts w:ascii="SimSun" w:hAnsi="SimSun"/>
          <w:szCs w:val="24"/>
          <w:lang w:val="zh-CN" w:eastAsia="zh-CN"/>
        </w:rPr>
        <w:t>全氟辛基磺</w:t>
      </w:r>
      <w:proofErr w:type="gramEnd"/>
      <w:r w:rsidRPr="002C14FD">
        <w:rPr>
          <w:rFonts w:ascii="SimSun" w:hAnsi="SimSun"/>
          <w:szCs w:val="24"/>
          <w:lang w:val="zh-CN" w:eastAsia="zh-CN"/>
        </w:rPr>
        <w:t>酰氟</w:t>
      </w:r>
      <w:r w:rsidRPr="002C14FD">
        <w:rPr>
          <w:rFonts w:ascii="SimSun" w:hAnsi="SimSun" w:hint="eastAsia"/>
          <w:szCs w:val="24"/>
          <w:lang w:val="zh-CN" w:eastAsia="zh-CN"/>
        </w:rPr>
        <w:t>并引入替代品的技术和法律能力；</w:t>
      </w:r>
    </w:p>
    <w:p w:rsidR="00FC4C8C" w:rsidRPr="007360A2" w:rsidRDefault="00FC4C8C" w:rsidP="00FC4C8C">
      <w:pPr>
        <w:numPr>
          <w:ilvl w:val="0"/>
          <w:numId w:val="10"/>
        </w:numPr>
        <w:tabs>
          <w:tab w:val="left" w:pos="624"/>
          <w:tab w:val="left" w:pos="2340"/>
        </w:tabs>
        <w:spacing w:after="120"/>
        <w:ind w:left="1267" w:firstLine="547"/>
        <w:jc w:val="both"/>
        <w:rPr>
          <w:szCs w:val="24"/>
          <w:lang w:eastAsia="en-GB"/>
        </w:rPr>
      </w:pPr>
      <w:r w:rsidRPr="0010399F">
        <w:rPr>
          <w:rFonts w:ascii="KaiTi" w:eastAsia="KaiTi" w:hAnsi="KaiTi"/>
          <w:szCs w:val="24"/>
          <w:lang w:val="zh-CN" w:eastAsia="zh-CN"/>
        </w:rPr>
        <w:t>请</w:t>
      </w:r>
      <w:proofErr w:type="spellStart"/>
      <w:r w:rsidRPr="007360A2">
        <w:rPr>
          <w:szCs w:val="24"/>
          <w:lang w:val="zh-CN" w:eastAsia="en-GB"/>
        </w:rPr>
        <w:t>秘书处</w:t>
      </w:r>
      <w:proofErr w:type="spellEnd"/>
      <w:r w:rsidRPr="007360A2">
        <w:rPr>
          <w:szCs w:val="24"/>
          <w:lang w:val="zh-CN" w:eastAsia="en-GB"/>
        </w:rPr>
        <w:t>：</w:t>
      </w:r>
    </w:p>
    <w:p w:rsidR="00FC4C8C" w:rsidRPr="007360A2" w:rsidRDefault="00FC4C8C" w:rsidP="00FC4C8C">
      <w:pPr>
        <w:numPr>
          <w:ilvl w:val="0"/>
          <w:numId w:val="11"/>
        </w:numPr>
        <w:tabs>
          <w:tab w:val="left" w:pos="2340"/>
        </w:tabs>
        <w:spacing w:after="120"/>
        <w:ind w:left="1267" w:firstLine="547"/>
        <w:jc w:val="both"/>
        <w:rPr>
          <w:szCs w:val="24"/>
          <w:lang w:eastAsia="zh-CN"/>
        </w:rPr>
      </w:pPr>
      <w:r w:rsidRPr="007360A2">
        <w:rPr>
          <w:szCs w:val="24"/>
          <w:lang w:val="zh-CN" w:eastAsia="zh-CN"/>
        </w:rPr>
        <w:t>根据</w:t>
      </w:r>
      <w:r w:rsidRPr="007360A2">
        <w:rPr>
          <w:szCs w:val="24"/>
          <w:lang w:val="zh-CN" w:eastAsia="zh-CN"/>
        </w:rPr>
        <w:t>SC-7/5</w:t>
      </w:r>
      <w:r w:rsidRPr="007360A2">
        <w:rPr>
          <w:szCs w:val="24"/>
          <w:lang w:val="zh-CN" w:eastAsia="zh-CN"/>
        </w:rPr>
        <w:t>号决定附件中</w:t>
      </w:r>
      <w:r>
        <w:rPr>
          <w:rFonts w:hint="eastAsia"/>
          <w:szCs w:val="24"/>
          <w:lang w:val="zh-CN" w:eastAsia="zh-CN"/>
        </w:rPr>
        <w:t>经</w:t>
      </w:r>
      <w:r w:rsidRPr="007360A2">
        <w:rPr>
          <w:szCs w:val="24"/>
          <w:lang w:val="zh-CN" w:eastAsia="zh-CN"/>
        </w:rPr>
        <w:t>修订</w:t>
      </w:r>
      <w:r>
        <w:rPr>
          <w:rFonts w:hint="eastAsia"/>
          <w:szCs w:val="24"/>
          <w:lang w:val="zh-CN" w:eastAsia="zh-CN"/>
        </w:rPr>
        <w:t>的</w:t>
      </w:r>
      <w:r w:rsidRPr="007360A2">
        <w:rPr>
          <w:szCs w:val="24"/>
          <w:lang w:val="zh-CN" w:eastAsia="zh-CN"/>
        </w:rPr>
        <w:t>时间表，继续支持</w:t>
      </w:r>
      <w:r w:rsidRPr="007360A2">
        <w:rPr>
          <w:szCs w:val="24"/>
          <w:lang w:val="zh-CN" w:eastAsia="zh-CN"/>
        </w:rPr>
        <w:t>SC-6/4</w:t>
      </w:r>
      <w:r w:rsidRPr="007360A2">
        <w:rPr>
          <w:szCs w:val="24"/>
          <w:lang w:val="zh-CN" w:eastAsia="zh-CN"/>
        </w:rPr>
        <w:t>号决定附件所列的进程，并在具备资源的情况下</w:t>
      </w:r>
      <w:r>
        <w:rPr>
          <w:rFonts w:hint="eastAsia"/>
          <w:szCs w:val="24"/>
          <w:lang w:val="zh-CN" w:eastAsia="zh-CN"/>
        </w:rPr>
        <w:t>，</w:t>
      </w:r>
      <w:r w:rsidRPr="007360A2">
        <w:rPr>
          <w:szCs w:val="24"/>
          <w:lang w:val="zh-CN" w:eastAsia="zh-CN"/>
        </w:rPr>
        <w:t>支持缔约方收集该进程所需的资料；</w:t>
      </w:r>
    </w:p>
    <w:p w:rsidR="00FC4C8C" w:rsidRPr="007360A2" w:rsidRDefault="00FC4C8C" w:rsidP="00FC4C8C">
      <w:pPr>
        <w:numPr>
          <w:ilvl w:val="0"/>
          <w:numId w:val="11"/>
        </w:numPr>
        <w:tabs>
          <w:tab w:val="left" w:pos="2340"/>
        </w:tabs>
        <w:spacing w:after="120"/>
        <w:ind w:left="1267" w:firstLine="547"/>
        <w:jc w:val="both"/>
        <w:rPr>
          <w:szCs w:val="24"/>
          <w:lang w:eastAsia="zh-CN"/>
        </w:rPr>
      </w:pPr>
      <w:r w:rsidRPr="007360A2">
        <w:rPr>
          <w:szCs w:val="24"/>
          <w:lang w:val="zh-CN" w:eastAsia="zh-CN"/>
        </w:rPr>
        <w:t>进一步促进</w:t>
      </w:r>
      <w:proofErr w:type="gramStart"/>
      <w:r w:rsidRPr="007360A2">
        <w:rPr>
          <w:szCs w:val="24"/>
          <w:lang w:val="zh-CN" w:eastAsia="zh-CN"/>
        </w:rPr>
        <w:t>关于全氟辛烷</w:t>
      </w:r>
      <w:proofErr w:type="gramEnd"/>
      <w:r w:rsidRPr="007360A2">
        <w:rPr>
          <w:szCs w:val="24"/>
          <w:lang w:val="zh-CN" w:eastAsia="zh-CN"/>
        </w:rPr>
        <w:t>磺酸、其盐类和</w:t>
      </w:r>
      <w:proofErr w:type="gramStart"/>
      <w:r w:rsidRPr="007360A2">
        <w:rPr>
          <w:szCs w:val="24"/>
          <w:lang w:val="zh-CN" w:eastAsia="zh-CN"/>
        </w:rPr>
        <w:t>全氟辛基磺</w:t>
      </w:r>
      <w:proofErr w:type="gramEnd"/>
      <w:r w:rsidRPr="007360A2">
        <w:rPr>
          <w:szCs w:val="24"/>
          <w:lang w:val="zh-CN" w:eastAsia="zh-CN"/>
        </w:rPr>
        <w:t>酰氟及其相关化学品的替代品的信息交流（包括缔约方及其他各方提供的信息）；</w:t>
      </w:r>
    </w:p>
    <w:p w:rsidR="00FC4C8C" w:rsidRPr="007360A2" w:rsidRDefault="00FC4C8C" w:rsidP="00FC4C8C">
      <w:pPr>
        <w:keepNext/>
        <w:keepLines/>
        <w:numPr>
          <w:ilvl w:val="0"/>
          <w:numId w:val="11"/>
        </w:numPr>
        <w:tabs>
          <w:tab w:val="left" w:pos="2340"/>
        </w:tabs>
        <w:spacing w:after="120"/>
        <w:ind w:left="1267" w:firstLine="547"/>
        <w:jc w:val="both"/>
        <w:rPr>
          <w:szCs w:val="24"/>
          <w:lang w:eastAsia="zh-CN"/>
        </w:rPr>
      </w:pPr>
      <w:r w:rsidRPr="007360A2">
        <w:rPr>
          <w:szCs w:val="24"/>
          <w:lang w:val="zh-CN" w:eastAsia="zh-CN"/>
        </w:rPr>
        <w:lastRenderedPageBreak/>
        <w:t>在具备资源的情况下，支持缔约方，尤其是发展中国家缔约方和经济转型缔约方，建设</w:t>
      </w:r>
      <w:r>
        <w:rPr>
          <w:szCs w:val="24"/>
          <w:lang w:val="zh-CN" w:eastAsia="zh-CN"/>
        </w:rPr>
        <w:t>查明和收集</w:t>
      </w:r>
      <w:proofErr w:type="gramStart"/>
      <w:r>
        <w:rPr>
          <w:szCs w:val="24"/>
          <w:lang w:val="zh-CN" w:eastAsia="zh-CN"/>
        </w:rPr>
        <w:t>关于全氟辛烷</w:t>
      </w:r>
      <w:proofErr w:type="gramEnd"/>
      <w:r>
        <w:rPr>
          <w:szCs w:val="24"/>
          <w:lang w:val="zh-CN" w:eastAsia="zh-CN"/>
        </w:rPr>
        <w:t>磺酸、其盐类和</w:t>
      </w:r>
      <w:proofErr w:type="gramStart"/>
      <w:r>
        <w:rPr>
          <w:szCs w:val="24"/>
          <w:lang w:val="zh-CN" w:eastAsia="zh-CN"/>
        </w:rPr>
        <w:t>全氟辛基磺</w:t>
      </w:r>
      <w:proofErr w:type="gramEnd"/>
      <w:r>
        <w:rPr>
          <w:szCs w:val="24"/>
          <w:lang w:val="zh-CN" w:eastAsia="zh-CN"/>
        </w:rPr>
        <w:t>酰氟资料的能力，加强对此类化学品在整个生命周期进行管理的立法和管理条例，并</w:t>
      </w:r>
      <w:r w:rsidRPr="007360A2">
        <w:rPr>
          <w:szCs w:val="24"/>
          <w:lang w:val="zh-CN" w:eastAsia="zh-CN"/>
        </w:rPr>
        <w:t>采用更安全、有效和负担得起的替代品。</w:t>
      </w:r>
    </w:p>
    <w:p w:rsidR="00FC4C8C" w:rsidRPr="00A7747A" w:rsidRDefault="00FC4C8C" w:rsidP="00FC4C8C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spacing w:after="120"/>
        <w:ind w:left="1260" w:firstLine="540"/>
        <w:jc w:val="both"/>
        <w:rPr>
          <w:sz w:val="24"/>
          <w:lang w:eastAsia="zh-CN"/>
        </w:rPr>
      </w:pPr>
    </w:p>
    <w:p w:rsidR="00CF7497" w:rsidRPr="00FC4C8C" w:rsidRDefault="00CF7497" w:rsidP="00FC4C8C">
      <w:pPr>
        <w:rPr>
          <w:lang w:eastAsia="zh-CN"/>
        </w:rPr>
      </w:pPr>
      <w:bookmarkStart w:id="0" w:name="_GoBack"/>
      <w:bookmarkEnd w:id="0"/>
    </w:p>
    <w:sectPr w:rsidR="00CF7497" w:rsidRPr="00FC4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278" w:rsidRDefault="00AF5278" w:rsidP="00756953">
      <w:r>
        <w:separator/>
      </w:r>
    </w:p>
  </w:endnote>
  <w:endnote w:type="continuationSeparator" w:id="0">
    <w:p w:rsidR="00AF5278" w:rsidRDefault="00AF5278" w:rsidP="00756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278" w:rsidRDefault="00AF5278" w:rsidP="00756953">
      <w:r>
        <w:separator/>
      </w:r>
    </w:p>
  </w:footnote>
  <w:footnote w:type="continuationSeparator" w:id="0">
    <w:p w:rsidR="00AF5278" w:rsidRDefault="00AF5278" w:rsidP="00756953">
      <w:r>
        <w:continuationSeparator/>
      </w:r>
    </w:p>
  </w:footnote>
  <w:footnote w:id="1">
    <w:p w:rsidR="00FC4C8C" w:rsidRPr="00851213" w:rsidRDefault="00FC4C8C" w:rsidP="00FC4C8C">
      <w:pPr>
        <w:pStyle w:val="FootnoteText"/>
        <w:tabs>
          <w:tab w:val="left" w:pos="624"/>
        </w:tabs>
        <w:rPr>
          <w:sz w:val="20"/>
          <w:lang w:val="en-US"/>
        </w:rPr>
      </w:pPr>
      <w:r w:rsidRPr="00851213">
        <w:rPr>
          <w:sz w:val="20"/>
          <w:vertAlign w:val="superscript"/>
          <w:lang w:val="en-US"/>
        </w:rPr>
        <w:footnoteRef/>
      </w:r>
      <w:r w:rsidRPr="00851213">
        <w:rPr>
          <w:position w:val="4"/>
          <w:sz w:val="20"/>
          <w:vertAlign w:val="superscript"/>
          <w:lang w:val="en-US"/>
        </w:rPr>
        <w:t xml:space="preserve"> </w:t>
      </w:r>
      <w:r w:rsidRPr="00851213">
        <w:rPr>
          <w:sz w:val="20"/>
          <w:lang w:val="en-US"/>
        </w:rPr>
        <w:t>UNEP/POPS/POPRC.12/INF/15/Rev.1</w:t>
      </w:r>
      <w:r w:rsidRPr="00851213">
        <w:rPr>
          <w:sz w:val="20"/>
          <w:lang w:val="en-US"/>
        </w:rPr>
        <w:t>。</w:t>
      </w:r>
    </w:p>
  </w:footnote>
  <w:footnote w:id="2">
    <w:p w:rsidR="00FC4C8C" w:rsidRPr="00851213" w:rsidRDefault="00FC4C8C" w:rsidP="00FC4C8C">
      <w:pPr>
        <w:pStyle w:val="FootnoteText"/>
        <w:tabs>
          <w:tab w:val="left" w:pos="624"/>
        </w:tabs>
        <w:rPr>
          <w:sz w:val="20"/>
          <w:lang w:val="en-US"/>
        </w:rPr>
      </w:pPr>
      <w:r w:rsidRPr="00851213">
        <w:rPr>
          <w:rStyle w:val="FootnoteReference"/>
          <w:lang w:val="zh-CN"/>
        </w:rPr>
        <w:footnoteRef/>
      </w:r>
      <w:r>
        <w:rPr>
          <w:rFonts w:hint="eastAsia"/>
          <w:sz w:val="20"/>
          <w:lang w:val="en-US" w:eastAsia="zh-CN"/>
        </w:rPr>
        <w:t xml:space="preserve"> </w:t>
      </w:r>
      <w:r w:rsidRPr="00851213">
        <w:rPr>
          <w:sz w:val="20"/>
          <w:lang w:val="en-US"/>
        </w:rPr>
        <w:t>UNEP/POPS/COP.8/</w:t>
      </w:r>
      <w:r w:rsidRPr="00851213">
        <w:rPr>
          <w:rFonts w:hint="eastAsia"/>
          <w:sz w:val="20"/>
          <w:lang w:val="en-US" w:eastAsia="zh-CN"/>
        </w:rPr>
        <w:t>8</w:t>
      </w:r>
      <w:r w:rsidRPr="00851213">
        <w:rPr>
          <w:sz w:val="20"/>
          <w:lang w:val="en-US"/>
        </w:rPr>
        <w:t>，</w:t>
      </w:r>
      <w:r w:rsidRPr="00851213">
        <w:rPr>
          <w:sz w:val="20"/>
          <w:lang w:val="zh-CN"/>
        </w:rPr>
        <w:t>第</w:t>
      </w:r>
      <w:r>
        <w:rPr>
          <w:sz w:val="20"/>
          <w:lang w:val="en-US"/>
        </w:rPr>
        <w:t>10</w:t>
      </w:r>
      <w:r w:rsidRPr="00851213">
        <w:rPr>
          <w:rFonts w:hint="eastAsia"/>
          <w:sz w:val="20"/>
          <w:lang w:val="en-US"/>
        </w:rPr>
        <w:t>-</w:t>
      </w:r>
      <w:r w:rsidRPr="00851213">
        <w:rPr>
          <w:sz w:val="20"/>
          <w:lang w:val="en-US"/>
        </w:rPr>
        <w:t>15</w:t>
      </w:r>
      <w:r w:rsidRPr="00851213">
        <w:rPr>
          <w:sz w:val="20"/>
          <w:lang w:val="zh-CN"/>
        </w:rPr>
        <w:t>段。</w:t>
      </w:r>
    </w:p>
  </w:footnote>
  <w:footnote w:id="3">
    <w:p w:rsidR="00FC4C8C" w:rsidRPr="00F5276D" w:rsidRDefault="00FC4C8C" w:rsidP="00FC4C8C">
      <w:pPr>
        <w:pStyle w:val="FootnoteText"/>
        <w:tabs>
          <w:tab w:val="left" w:pos="624"/>
        </w:tabs>
        <w:rPr>
          <w:szCs w:val="18"/>
          <w:lang w:val="en-US"/>
        </w:rPr>
      </w:pPr>
      <w:r w:rsidRPr="00851213">
        <w:rPr>
          <w:rStyle w:val="FootnoteReference"/>
          <w:lang w:val="zh-CN"/>
        </w:rPr>
        <w:footnoteRef/>
      </w:r>
      <w:r w:rsidRPr="00851213">
        <w:rPr>
          <w:sz w:val="20"/>
          <w:lang w:val="en-US"/>
        </w:rPr>
        <w:t xml:space="preserve"> UNEP/POPS/COP.8/INF/13</w:t>
      </w:r>
      <w:r w:rsidRPr="00851213">
        <w:rPr>
          <w:sz w:val="20"/>
          <w:lang w:val="zh-CN"/>
        </w:rPr>
        <w:t>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14841"/>
    <w:multiLevelType w:val="hybridMultilevel"/>
    <w:tmpl w:val="C01A4D8C"/>
    <w:lvl w:ilvl="0" w:tplc="6F84738A">
      <w:start w:val="1"/>
      <w:numFmt w:val="decimal"/>
      <w:lvlText w:val="%1."/>
      <w:lvlJc w:val="left"/>
      <w:pPr>
        <w:ind w:left="2591" w:hanging="360"/>
      </w:pPr>
      <w:rPr>
        <w:rFonts w:ascii="Times New Roman" w:hAnsi="Times New Roman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3311" w:hanging="360"/>
      </w:pPr>
    </w:lvl>
    <w:lvl w:ilvl="2" w:tplc="0809001B" w:tentative="1">
      <w:start w:val="1"/>
      <w:numFmt w:val="lowerRoman"/>
      <w:lvlText w:val="%3."/>
      <w:lvlJc w:val="right"/>
      <w:pPr>
        <w:ind w:left="4031" w:hanging="180"/>
      </w:pPr>
    </w:lvl>
    <w:lvl w:ilvl="3" w:tplc="0809000F" w:tentative="1">
      <w:start w:val="1"/>
      <w:numFmt w:val="decimal"/>
      <w:lvlText w:val="%4."/>
      <w:lvlJc w:val="left"/>
      <w:pPr>
        <w:ind w:left="4751" w:hanging="360"/>
      </w:pPr>
    </w:lvl>
    <w:lvl w:ilvl="4" w:tplc="08090019" w:tentative="1">
      <w:start w:val="1"/>
      <w:numFmt w:val="lowerLetter"/>
      <w:lvlText w:val="%5."/>
      <w:lvlJc w:val="left"/>
      <w:pPr>
        <w:ind w:left="5471" w:hanging="360"/>
      </w:pPr>
    </w:lvl>
    <w:lvl w:ilvl="5" w:tplc="0809001B" w:tentative="1">
      <w:start w:val="1"/>
      <w:numFmt w:val="lowerRoman"/>
      <w:lvlText w:val="%6."/>
      <w:lvlJc w:val="right"/>
      <w:pPr>
        <w:ind w:left="6191" w:hanging="180"/>
      </w:pPr>
    </w:lvl>
    <w:lvl w:ilvl="6" w:tplc="0809000F" w:tentative="1">
      <w:start w:val="1"/>
      <w:numFmt w:val="decimal"/>
      <w:lvlText w:val="%7."/>
      <w:lvlJc w:val="left"/>
      <w:pPr>
        <w:ind w:left="6911" w:hanging="360"/>
      </w:pPr>
    </w:lvl>
    <w:lvl w:ilvl="7" w:tplc="08090019" w:tentative="1">
      <w:start w:val="1"/>
      <w:numFmt w:val="lowerLetter"/>
      <w:lvlText w:val="%8."/>
      <w:lvlJc w:val="left"/>
      <w:pPr>
        <w:ind w:left="7631" w:hanging="360"/>
      </w:pPr>
    </w:lvl>
    <w:lvl w:ilvl="8" w:tplc="08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1" w15:restartNumberingAfterBreak="0">
    <w:nsid w:val="0C607966"/>
    <w:multiLevelType w:val="hybridMultilevel"/>
    <w:tmpl w:val="FF2CFA30"/>
    <w:lvl w:ilvl="0" w:tplc="5F84B852">
      <w:start w:val="1"/>
      <w:numFmt w:val="lowerLetter"/>
      <w:lvlText w:val="(%1)"/>
      <w:lvlJc w:val="left"/>
      <w:pPr>
        <w:tabs>
          <w:tab w:val="num" w:pos="3935"/>
        </w:tabs>
        <w:ind w:left="39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40286"/>
    <w:multiLevelType w:val="hybridMultilevel"/>
    <w:tmpl w:val="9BD85C66"/>
    <w:lvl w:ilvl="0" w:tplc="2D2A3162">
      <w:start w:val="1"/>
      <w:numFmt w:val="decimal"/>
      <w:lvlText w:val="%1."/>
      <w:lvlJc w:val="left"/>
      <w:pPr>
        <w:tabs>
          <w:tab w:val="num" w:pos="3215"/>
        </w:tabs>
        <w:ind w:left="3215" w:hanging="360"/>
      </w:pPr>
      <w:rPr>
        <w:i w:val="0"/>
      </w:rPr>
    </w:lvl>
    <w:lvl w:ilvl="1" w:tplc="0E1EEDD8" w:tentative="1">
      <w:start w:val="1"/>
      <w:numFmt w:val="lowerLetter"/>
      <w:lvlText w:val="%2."/>
      <w:lvlJc w:val="left"/>
      <w:pPr>
        <w:tabs>
          <w:tab w:val="num" w:pos="3935"/>
        </w:tabs>
        <w:ind w:left="393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655"/>
        </w:tabs>
        <w:ind w:left="4655" w:hanging="180"/>
      </w:pPr>
    </w:lvl>
    <w:lvl w:ilvl="3" w:tplc="0409000F">
      <w:start w:val="1"/>
      <w:numFmt w:val="decimal"/>
      <w:lvlText w:val="%4."/>
      <w:lvlJc w:val="left"/>
      <w:pPr>
        <w:tabs>
          <w:tab w:val="num" w:pos="5375"/>
        </w:tabs>
        <w:ind w:left="5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095"/>
        </w:tabs>
        <w:ind w:left="6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15"/>
        </w:tabs>
        <w:ind w:left="6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35"/>
        </w:tabs>
        <w:ind w:left="7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55"/>
        </w:tabs>
        <w:ind w:left="8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975"/>
        </w:tabs>
        <w:ind w:left="8975" w:hanging="180"/>
      </w:pPr>
    </w:lvl>
  </w:abstractNum>
  <w:abstractNum w:abstractNumId="3" w15:restartNumberingAfterBreak="0">
    <w:nsid w:val="52A66A9D"/>
    <w:multiLevelType w:val="multilevel"/>
    <w:tmpl w:val="5D064720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1147"/>
        </w:tabs>
        <w:ind w:left="126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4" w15:restartNumberingAfterBreak="0">
    <w:nsid w:val="572F0116"/>
    <w:multiLevelType w:val="hybridMultilevel"/>
    <w:tmpl w:val="B8761E72"/>
    <w:lvl w:ilvl="0" w:tplc="842C2C54">
      <w:start w:val="1"/>
      <w:numFmt w:val="decimal"/>
      <w:lvlText w:val="%1."/>
      <w:lvlJc w:val="left"/>
      <w:pPr>
        <w:ind w:left="3215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3935" w:hanging="360"/>
      </w:pPr>
    </w:lvl>
    <w:lvl w:ilvl="2" w:tplc="0409001B" w:tentative="1">
      <w:start w:val="1"/>
      <w:numFmt w:val="lowerRoman"/>
      <w:lvlText w:val="%3."/>
      <w:lvlJc w:val="right"/>
      <w:pPr>
        <w:ind w:left="4655" w:hanging="180"/>
      </w:pPr>
    </w:lvl>
    <w:lvl w:ilvl="3" w:tplc="0409000F" w:tentative="1">
      <w:start w:val="1"/>
      <w:numFmt w:val="decimal"/>
      <w:lvlText w:val="%4."/>
      <w:lvlJc w:val="left"/>
      <w:pPr>
        <w:ind w:left="5375" w:hanging="360"/>
      </w:pPr>
    </w:lvl>
    <w:lvl w:ilvl="4" w:tplc="04090019" w:tentative="1">
      <w:start w:val="1"/>
      <w:numFmt w:val="lowerLetter"/>
      <w:lvlText w:val="%5."/>
      <w:lvlJc w:val="left"/>
      <w:pPr>
        <w:ind w:left="6095" w:hanging="360"/>
      </w:pPr>
    </w:lvl>
    <w:lvl w:ilvl="5" w:tplc="0409001B" w:tentative="1">
      <w:start w:val="1"/>
      <w:numFmt w:val="lowerRoman"/>
      <w:lvlText w:val="%6."/>
      <w:lvlJc w:val="right"/>
      <w:pPr>
        <w:ind w:left="6815" w:hanging="180"/>
      </w:pPr>
    </w:lvl>
    <w:lvl w:ilvl="6" w:tplc="0409000F" w:tentative="1">
      <w:start w:val="1"/>
      <w:numFmt w:val="decimal"/>
      <w:lvlText w:val="%7."/>
      <w:lvlJc w:val="left"/>
      <w:pPr>
        <w:ind w:left="7535" w:hanging="360"/>
      </w:pPr>
    </w:lvl>
    <w:lvl w:ilvl="7" w:tplc="04090019" w:tentative="1">
      <w:start w:val="1"/>
      <w:numFmt w:val="lowerLetter"/>
      <w:lvlText w:val="%8."/>
      <w:lvlJc w:val="left"/>
      <w:pPr>
        <w:ind w:left="8255" w:hanging="360"/>
      </w:pPr>
    </w:lvl>
    <w:lvl w:ilvl="8" w:tplc="0409001B" w:tentative="1">
      <w:start w:val="1"/>
      <w:numFmt w:val="lowerRoman"/>
      <w:lvlText w:val="%9."/>
      <w:lvlJc w:val="right"/>
      <w:pPr>
        <w:ind w:left="8975" w:hanging="180"/>
      </w:pPr>
    </w:lvl>
  </w:abstractNum>
  <w:abstractNum w:abstractNumId="5" w15:restartNumberingAfterBreak="0">
    <w:nsid w:val="65A94C69"/>
    <w:multiLevelType w:val="hybridMultilevel"/>
    <w:tmpl w:val="6D966F20"/>
    <w:lvl w:ilvl="0" w:tplc="85B61670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6A0193"/>
    <w:multiLevelType w:val="multilevel"/>
    <w:tmpl w:val="CD749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  <w:i w:val="0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" w15:restartNumberingAfterBreak="0">
    <w:nsid w:val="6F7C4406"/>
    <w:multiLevelType w:val="hybridMultilevel"/>
    <w:tmpl w:val="1038B278"/>
    <w:lvl w:ilvl="0" w:tplc="175C8FD2">
      <w:start w:val="1"/>
      <w:numFmt w:val="decimal"/>
      <w:lvlText w:val="%1."/>
      <w:lvlJc w:val="left"/>
      <w:pPr>
        <w:tabs>
          <w:tab w:val="num" w:pos="3215"/>
        </w:tabs>
        <w:ind w:left="3215" w:hanging="360"/>
      </w:pPr>
      <w:rPr>
        <w:i w:val="0"/>
        <w:sz w:val="20"/>
        <w:szCs w:val="20"/>
      </w:rPr>
    </w:lvl>
    <w:lvl w:ilvl="1" w:tplc="A336E8FE">
      <w:start w:val="1"/>
      <w:numFmt w:val="lowerLetter"/>
      <w:lvlText w:val="%2."/>
      <w:lvlJc w:val="left"/>
      <w:pPr>
        <w:tabs>
          <w:tab w:val="num" w:pos="3935"/>
        </w:tabs>
        <w:ind w:left="3935" w:hanging="360"/>
      </w:pPr>
    </w:lvl>
    <w:lvl w:ilvl="2" w:tplc="11FEC040" w:tentative="1">
      <w:start w:val="1"/>
      <w:numFmt w:val="lowerRoman"/>
      <w:lvlText w:val="%3."/>
      <w:lvlJc w:val="right"/>
      <w:pPr>
        <w:tabs>
          <w:tab w:val="num" w:pos="4655"/>
        </w:tabs>
        <w:ind w:left="4655" w:hanging="180"/>
      </w:pPr>
    </w:lvl>
    <w:lvl w:ilvl="3" w:tplc="E6CA941A" w:tentative="1">
      <w:start w:val="1"/>
      <w:numFmt w:val="decimal"/>
      <w:lvlText w:val="%4."/>
      <w:lvlJc w:val="left"/>
      <w:pPr>
        <w:tabs>
          <w:tab w:val="num" w:pos="5375"/>
        </w:tabs>
        <w:ind w:left="5375" w:hanging="360"/>
      </w:pPr>
    </w:lvl>
    <w:lvl w:ilvl="4" w:tplc="268639E4" w:tentative="1">
      <w:start w:val="1"/>
      <w:numFmt w:val="lowerLetter"/>
      <w:lvlText w:val="%5."/>
      <w:lvlJc w:val="left"/>
      <w:pPr>
        <w:tabs>
          <w:tab w:val="num" w:pos="6095"/>
        </w:tabs>
        <w:ind w:left="6095" w:hanging="360"/>
      </w:pPr>
    </w:lvl>
    <w:lvl w:ilvl="5" w:tplc="387EB826" w:tentative="1">
      <w:start w:val="1"/>
      <w:numFmt w:val="lowerRoman"/>
      <w:lvlText w:val="%6."/>
      <w:lvlJc w:val="right"/>
      <w:pPr>
        <w:tabs>
          <w:tab w:val="num" w:pos="6815"/>
        </w:tabs>
        <w:ind w:left="6815" w:hanging="180"/>
      </w:pPr>
    </w:lvl>
    <w:lvl w:ilvl="6" w:tplc="1AB63BE4" w:tentative="1">
      <w:start w:val="1"/>
      <w:numFmt w:val="decimal"/>
      <w:lvlText w:val="%7."/>
      <w:lvlJc w:val="left"/>
      <w:pPr>
        <w:tabs>
          <w:tab w:val="num" w:pos="7535"/>
        </w:tabs>
        <w:ind w:left="7535" w:hanging="360"/>
      </w:pPr>
    </w:lvl>
    <w:lvl w:ilvl="7" w:tplc="EC761416" w:tentative="1">
      <w:start w:val="1"/>
      <w:numFmt w:val="lowerLetter"/>
      <w:lvlText w:val="%8."/>
      <w:lvlJc w:val="left"/>
      <w:pPr>
        <w:tabs>
          <w:tab w:val="num" w:pos="8255"/>
        </w:tabs>
        <w:ind w:left="8255" w:hanging="360"/>
      </w:pPr>
    </w:lvl>
    <w:lvl w:ilvl="8" w:tplc="D48A2B2A" w:tentative="1">
      <w:start w:val="1"/>
      <w:numFmt w:val="lowerRoman"/>
      <w:lvlText w:val="%9."/>
      <w:lvlJc w:val="right"/>
      <w:pPr>
        <w:tabs>
          <w:tab w:val="num" w:pos="8975"/>
        </w:tabs>
        <w:ind w:left="8975" w:hanging="180"/>
      </w:pPr>
    </w:lvl>
  </w:abstractNum>
  <w:num w:numId="1">
    <w:abstractNumId w:val="3"/>
  </w:num>
  <w:num w:numId="2">
    <w:abstractNumId w:val="2"/>
  </w:num>
  <w:num w:numId="3">
    <w:abstractNumId w:val="2"/>
    <w:lvlOverride w:ilvl="0">
      <w:lvl w:ilvl="0" w:tplc="2D2A3162">
        <w:start w:val="1"/>
        <w:numFmt w:val="decimal"/>
        <w:lvlText w:val="%1."/>
        <w:lvlJc w:val="left"/>
        <w:pPr>
          <w:tabs>
            <w:tab w:val="num" w:pos="3215"/>
          </w:tabs>
          <w:ind w:left="3215" w:hanging="360"/>
        </w:pPr>
        <w:rPr>
          <w:i w:val="0"/>
        </w:rPr>
      </w:lvl>
    </w:lvlOverride>
  </w:num>
  <w:num w:numId="4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720"/>
        </w:pPr>
        <w:rPr>
          <w:rFonts w:ascii="Times New Roman" w:hAnsi="Times New Roman" w:cs="Times New Roman" w:hint="default"/>
        </w:rPr>
      </w:lvl>
    </w:lvlOverride>
  </w:num>
  <w:num w:numId="5">
    <w:abstractNumId w:val="7"/>
    <w:lvlOverride w:ilvl="0">
      <w:lvl w:ilvl="0" w:tplc="175C8FD2">
        <w:start w:val="1"/>
        <w:numFmt w:val="decimal"/>
        <w:lvlText w:val="%1."/>
        <w:lvlJc w:val="left"/>
        <w:pPr>
          <w:tabs>
            <w:tab w:val="num" w:pos="3215"/>
          </w:tabs>
          <w:ind w:left="3215" w:hanging="360"/>
        </w:pPr>
        <w:rPr>
          <w:i w:val="0"/>
          <w:sz w:val="24"/>
          <w:szCs w:val="24"/>
        </w:rPr>
      </w:lvl>
    </w:lvlOverride>
  </w:num>
  <w:num w:numId="6">
    <w:abstractNumId w:val="0"/>
  </w:num>
  <w:num w:numId="7">
    <w:abstractNumId w:val="5"/>
  </w:num>
  <w:num w:numId="8">
    <w:abstractNumId w:val="0"/>
    <w:lvlOverride w:ilvl="0">
      <w:lvl w:ilvl="0" w:tplc="6F84738A">
        <w:start w:val="1"/>
        <w:numFmt w:val="decimal"/>
        <w:lvlText w:val="%1."/>
        <w:lvlJc w:val="left"/>
        <w:pPr>
          <w:ind w:left="2591" w:hanging="360"/>
        </w:pPr>
      </w:lvl>
    </w:lvlOverride>
  </w:num>
  <w:num w:numId="9">
    <w:abstractNumId w:val="7"/>
    <w:lvlOverride w:ilvl="1">
      <w:lvl w:ilvl="1" w:tplc="A336E8FE">
        <w:start w:val="1"/>
        <w:numFmt w:val="lowerLetter"/>
        <w:lvlText w:val="(%2)"/>
        <w:lvlJc w:val="left"/>
        <w:pPr>
          <w:tabs>
            <w:tab w:val="num" w:pos="3935"/>
          </w:tabs>
          <w:ind w:left="3935" w:hanging="360"/>
        </w:pPr>
        <w:rPr>
          <w:rFonts w:hint="default"/>
        </w:rPr>
      </w:lvl>
    </w:lvlOverride>
  </w:num>
  <w:num w:numId="10">
    <w:abstractNumId w:val="4"/>
    <w:lvlOverride w:ilvl="0">
      <w:lvl w:ilvl="0" w:tplc="842C2C54">
        <w:start w:val="1"/>
        <w:numFmt w:val="decimal"/>
        <w:lvlText w:val="%1."/>
        <w:lvlJc w:val="left"/>
        <w:pPr>
          <w:ind w:left="3215" w:hanging="360"/>
        </w:pPr>
        <w:rPr>
          <w:rFonts w:ascii="Times New Roman" w:hAnsi="Times New Roman" w:cs="Times New Roman" w:hint="default"/>
          <w:b w:val="0"/>
          <w:sz w:val="24"/>
          <w:szCs w:val="24"/>
        </w:rPr>
      </w:lvl>
    </w:lvlOverride>
  </w:num>
  <w:num w:numId="11">
    <w:abstractNumId w:val="1"/>
    <w:lvlOverride w:ilvl="0">
      <w:lvl w:ilvl="0" w:tplc="5F84B852">
        <w:start w:val="1"/>
        <w:numFmt w:val="lowerLetter"/>
        <w:lvlText w:val="(%1)"/>
        <w:lvlJc w:val="left"/>
        <w:pPr>
          <w:tabs>
            <w:tab w:val="num" w:pos="3935"/>
          </w:tabs>
          <w:ind w:left="3935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953"/>
    <w:rsid w:val="00134A51"/>
    <w:rsid w:val="00304CF0"/>
    <w:rsid w:val="00577B36"/>
    <w:rsid w:val="00756953"/>
    <w:rsid w:val="009D258D"/>
    <w:rsid w:val="00AF5278"/>
    <w:rsid w:val="00C873CC"/>
    <w:rsid w:val="00CF7497"/>
    <w:rsid w:val="00D02F9E"/>
    <w:rsid w:val="00D45F1E"/>
    <w:rsid w:val="00D675EE"/>
    <w:rsid w:val="00FC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C35CA"/>
  <w15:chartTrackingRefBased/>
  <w15:docId w15:val="{C3FC5DC7-A989-414A-B2B3-79952B86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6953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rmallist">
    <w:name w:val="Normal_list"/>
    <w:basedOn w:val="NoList"/>
    <w:rsid w:val="00756953"/>
    <w:pPr>
      <w:numPr>
        <w:numId w:val="1"/>
      </w:numPr>
    </w:pPr>
  </w:style>
  <w:style w:type="paragraph" w:customStyle="1" w:styleId="Normalnumber">
    <w:name w:val="Normal_number"/>
    <w:basedOn w:val="Normal"/>
    <w:link w:val="NormalnumberChar"/>
    <w:qFormat/>
    <w:rsid w:val="00756953"/>
    <w:pPr>
      <w:numPr>
        <w:numId w:val="1"/>
      </w:num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after="120"/>
    </w:pPr>
    <w:rPr>
      <w:rFonts w:eastAsiaTheme="minorEastAsia"/>
      <w:sz w:val="20"/>
      <w:lang w:val="x-none" w:eastAsia="x-none"/>
    </w:rPr>
  </w:style>
  <w:style w:type="character" w:customStyle="1" w:styleId="NormalnumberChar">
    <w:name w:val="Normal_number Char"/>
    <w:link w:val="Normalnumber"/>
    <w:qFormat/>
    <w:locked/>
    <w:rsid w:val="00756953"/>
    <w:rPr>
      <w:rFonts w:ascii="Times New Roman" w:hAnsi="Times New Roman" w:cs="Times New Roman"/>
      <w:sz w:val="20"/>
      <w:szCs w:val="20"/>
      <w:lang w:val="x-none" w:eastAsia="x-none"/>
    </w:rPr>
  </w:style>
  <w:style w:type="paragraph" w:customStyle="1" w:styleId="Normal-pool">
    <w:name w:val="Normal-pool"/>
    <w:link w:val="Normal-poolChar"/>
    <w:rsid w:val="00756953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after="0" w:line="240" w:lineRule="auto"/>
    </w:pPr>
    <w:rPr>
      <w:rFonts w:ascii="Times New Roman" w:hAnsi="Times New Roman" w:cs="Times New Roman"/>
      <w:sz w:val="20"/>
      <w:szCs w:val="20"/>
      <w:lang w:val="en-GB" w:eastAsia="en-US"/>
    </w:rPr>
  </w:style>
  <w:style w:type="character" w:styleId="FootnoteReference">
    <w:name w:val="footnote reference"/>
    <w:aliases w:val="16 Point,Superscript 6 Point,ftref,(Ref. de nota al pie),number,SUPERS,Footnote Reference Superscript,Footnote Reference1,Ref,de nota al pie,註腳內容,de nota al pie + (Asian) MS Mincho,11 pt,Ref. de nota de rodapé1,Footnote,Text,Char6,91"/>
    <w:basedOn w:val="DefaultParagraphFont"/>
    <w:rsid w:val="00756953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Geneva 9,Font: Geneva 9,Boston 10,f,DNV-FT,93,single space,Footnote Text Rail EIS,ft,Char,footnote3,Footnotes,Footnote ak,fn cafc,Footnotes Char Char,Footnote Text Char Char,fn Char Char,Footnote Text Char Char Char Char,text,Geneva,92,Ch"/>
    <w:basedOn w:val="Normal"/>
    <w:link w:val="FootnoteTextChar"/>
    <w:qFormat/>
    <w:rsid w:val="00756953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before="20" w:after="40"/>
      <w:ind w:left="1247"/>
    </w:pPr>
    <w:rPr>
      <w:rFonts w:eastAsiaTheme="minorEastAsia"/>
      <w:sz w:val="18"/>
      <w:lang w:val="fr-FR"/>
    </w:rPr>
  </w:style>
  <w:style w:type="character" w:customStyle="1" w:styleId="FootnoteTextChar">
    <w:name w:val="Footnote Text Char"/>
    <w:aliases w:val="Geneva 9 Char,Font: Geneva 9 Char,Boston 10 Char,f Char,DNV-FT Char,93 Char,single space Char,Footnote Text Rail EIS Char,ft Char,Char Char,footnote3 Char,Footnotes Char,Footnote ak Char,fn cafc Char,Footnotes Char Char Char,text Char"/>
    <w:basedOn w:val="DefaultParagraphFont"/>
    <w:link w:val="FootnoteText"/>
    <w:rsid w:val="00756953"/>
    <w:rPr>
      <w:rFonts w:ascii="Times New Roman" w:hAnsi="Times New Roman" w:cs="Times New Roman"/>
      <w:sz w:val="18"/>
      <w:szCs w:val="20"/>
      <w:lang w:val="fr-FR" w:eastAsia="en-US"/>
    </w:rPr>
  </w:style>
  <w:style w:type="character" w:customStyle="1" w:styleId="Normal-poolChar">
    <w:name w:val="Normal-pool Char"/>
    <w:link w:val="Normal-pool"/>
    <w:rsid w:val="00756953"/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CH2">
    <w:name w:val="CH2"/>
    <w:basedOn w:val="Normal"/>
    <w:next w:val="Normalnumber"/>
    <w:link w:val="CH2Char"/>
    <w:rsid w:val="00D45F1E"/>
    <w:pPr>
      <w:keepNext/>
      <w:keepLines/>
      <w:tabs>
        <w:tab w:val="right" w:pos="851"/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uppressAutoHyphens/>
      <w:spacing w:before="80" w:after="120"/>
      <w:ind w:left="1247" w:right="284" w:hanging="1247"/>
    </w:pPr>
    <w:rPr>
      <w:b/>
    </w:rPr>
  </w:style>
  <w:style w:type="character" w:customStyle="1" w:styleId="CH2Char">
    <w:name w:val="CH2 Char"/>
    <w:link w:val="CH2"/>
    <w:locked/>
    <w:rsid w:val="00D45F1E"/>
    <w:rPr>
      <w:rFonts w:ascii="Times New Roman" w:eastAsia="SimSun" w:hAnsi="Times New Roman" w:cs="Times New Roman"/>
      <w:b/>
      <w:sz w:val="24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Gong</dc:creator>
  <cp:keywords/>
  <dc:description/>
  <cp:lastModifiedBy>Le Gong</cp:lastModifiedBy>
  <cp:revision>2</cp:revision>
  <dcterms:created xsi:type="dcterms:W3CDTF">2018-02-02T14:55:00Z</dcterms:created>
  <dcterms:modified xsi:type="dcterms:W3CDTF">2018-02-02T14:55:00Z</dcterms:modified>
</cp:coreProperties>
</file>