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21" w:rsidRPr="002F7581" w:rsidRDefault="009E3021" w:rsidP="00FB0EDE">
      <w:pPr>
        <w:keepNext/>
        <w:keepLines/>
        <w:pBdr>
          <w:top w:val="single" w:sz="4" w:space="1" w:color="auto"/>
        </w:pBdr>
        <w:tabs>
          <w:tab w:val="left" w:pos="1247"/>
          <w:tab w:val="left" w:pos="1814"/>
          <w:tab w:val="left" w:pos="2381"/>
          <w:tab w:val="left" w:pos="2948"/>
          <w:tab w:val="left" w:pos="3515"/>
        </w:tabs>
        <w:suppressAutoHyphens/>
        <w:ind w:right="3402"/>
        <w:rPr>
          <w:sz w:val="22"/>
        </w:rPr>
      </w:pPr>
      <w:r w:rsidRPr="002F7581">
        <w:t>Persistent Organic Pollutants Review Committee</w:t>
      </w:r>
    </w:p>
    <w:p w:rsidR="009E3021" w:rsidRPr="002F7581" w:rsidRDefault="009E3021" w:rsidP="00FB0EDE">
      <w:pPr>
        <w:keepNext/>
        <w:keepLines/>
        <w:tabs>
          <w:tab w:val="left" w:pos="1247"/>
          <w:tab w:val="left" w:pos="1814"/>
          <w:tab w:val="left" w:pos="2381"/>
          <w:tab w:val="left" w:pos="2948"/>
          <w:tab w:val="left" w:pos="3515"/>
        </w:tabs>
        <w:suppressAutoHyphens/>
        <w:spacing w:before="120"/>
        <w:ind w:right="1701"/>
      </w:pPr>
      <w:r>
        <w:t>Working group</w:t>
      </w:r>
      <w:r w:rsidRPr="002F7581">
        <w:t xml:space="preserve"> on </w:t>
      </w:r>
      <w:r>
        <w:t xml:space="preserve">chlorinated </w:t>
      </w:r>
      <w:proofErr w:type="spellStart"/>
      <w:r>
        <w:t>n</w:t>
      </w:r>
      <w:r w:rsidRPr="00FB0EDE">
        <w:t>aphthalenes</w:t>
      </w:r>
      <w:proofErr w:type="spellEnd"/>
    </w:p>
    <w:p w:rsidR="009E3021" w:rsidRDefault="009E3021" w:rsidP="00FB0EDE">
      <w:pPr>
        <w:pStyle w:val="BodyText2"/>
        <w:spacing w:line="288" w:lineRule="auto"/>
        <w:jc w:val="center"/>
        <w:rPr>
          <w:b/>
          <w:bCs/>
          <w:sz w:val="44"/>
          <w:szCs w:val="44"/>
          <w:lang w:eastAsia="ja-JP"/>
        </w:rPr>
      </w:pPr>
    </w:p>
    <w:p w:rsidR="009E3021" w:rsidRDefault="009E3021" w:rsidP="00FB0EDE">
      <w:pPr>
        <w:pStyle w:val="BodyText2"/>
        <w:spacing w:line="288" w:lineRule="auto"/>
        <w:jc w:val="center"/>
        <w:rPr>
          <w:b/>
          <w:bCs/>
          <w:sz w:val="44"/>
          <w:szCs w:val="44"/>
          <w:lang w:eastAsia="ja-JP"/>
        </w:rPr>
      </w:pPr>
    </w:p>
    <w:p w:rsidR="009E3021" w:rsidRDefault="009E3021" w:rsidP="00FB0EDE">
      <w:pPr>
        <w:pStyle w:val="BodyText2"/>
        <w:spacing w:line="288" w:lineRule="auto"/>
        <w:jc w:val="center"/>
        <w:rPr>
          <w:b/>
          <w:bCs/>
          <w:sz w:val="44"/>
          <w:szCs w:val="44"/>
          <w:lang w:eastAsia="ja-JP"/>
        </w:rPr>
      </w:pPr>
    </w:p>
    <w:p w:rsidR="009E3021" w:rsidRDefault="009E3021" w:rsidP="00FB0EDE">
      <w:pPr>
        <w:pStyle w:val="BodyText2"/>
        <w:spacing w:line="288" w:lineRule="auto"/>
        <w:jc w:val="center"/>
        <w:rPr>
          <w:b/>
          <w:bCs/>
          <w:sz w:val="44"/>
          <w:szCs w:val="44"/>
          <w:lang w:eastAsia="ja-JP"/>
        </w:rPr>
      </w:pPr>
    </w:p>
    <w:p w:rsidR="009E3021" w:rsidRDefault="009E3021" w:rsidP="00FB0EDE">
      <w:pPr>
        <w:pStyle w:val="BodyText2"/>
        <w:spacing w:line="288" w:lineRule="auto"/>
        <w:jc w:val="center"/>
        <w:rPr>
          <w:b/>
          <w:bCs/>
          <w:sz w:val="44"/>
          <w:szCs w:val="44"/>
          <w:lang w:eastAsia="ja-JP"/>
        </w:rPr>
      </w:pPr>
    </w:p>
    <w:p w:rsidR="009E3021" w:rsidRDefault="009E3021" w:rsidP="00FB0EDE">
      <w:pPr>
        <w:pStyle w:val="BodyText2"/>
        <w:spacing w:line="288" w:lineRule="auto"/>
        <w:jc w:val="center"/>
        <w:rPr>
          <w:b/>
          <w:bCs/>
          <w:sz w:val="44"/>
          <w:szCs w:val="44"/>
          <w:lang w:eastAsia="ja-JP"/>
        </w:rPr>
      </w:pPr>
    </w:p>
    <w:p w:rsidR="009E3021" w:rsidRDefault="009E3021" w:rsidP="00FB0EDE">
      <w:pPr>
        <w:pStyle w:val="BodyText2"/>
        <w:spacing w:line="288" w:lineRule="auto"/>
        <w:jc w:val="center"/>
        <w:rPr>
          <w:b/>
          <w:bCs/>
          <w:sz w:val="44"/>
          <w:szCs w:val="44"/>
          <w:lang w:eastAsia="ja-JP"/>
        </w:rPr>
      </w:pPr>
    </w:p>
    <w:p w:rsidR="009E3021" w:rsidRDefault="009E3021" w:rsidP="00FB0EDE">
      <w:pPr>
        <w:pStyle w:val="BodyText2"/>
        <w:spacing w:line="288" w:lineRule="auto"/>
        <w:jc w:val="center"/>
        <w:rPr>
          <w:b/>
          <w:bCs/>
          <w:sz w:val="44"/>
          <w:szCs w:val="44"/>
          <w:lang w:eastAsia="ja-JP"/>
        </w:rPr>
      </w:pPr>
      <w:r w:rsidRPr="0025616E">
        <w:rPr>
          <w:b/>
          <w:bCs/>
          <w:sz w:val="44"/>
          <w:szCs w:val="44"/>
          <w:lang w:eastAsia="ja-JP"/>
        </w:rPr>
        <w:t xml:space="preserve">Chlorinated </w:t>
      </w:r>
      <w:proofErr w:type="spellStart"/>
      <w:r w:rsidRPr="0025616E">
        <w:rPr>
          <w:b/>
          <w:bCs/>
          <w:sz w:val="44"/>
          <w:szCs w:val="44"/>
          <w:lang w:eastAsia="ja-JP"/>
        </w:rPr>
        <w:t>Naphthalenes</w:t>
      </w:r>
      <w:proofErr w:type="spellEnd"/>
    </w:p>
    <w:p w:rsidR="009E3021" w:rsidRPr="00FB0EDE" w:rsidRDefault="009E3021" w:rsidP="00FB0EDE">
      <w:pPr>
        <w:pStyle w:val="BodyText2"/>
        <w:spacing w:line="288" w:lineRule="auto"/>
        <w:jc w:val="center"/>
        <w:rPr>
          <w:b/>
          <w:bCs/>
          <w:sz w:val="32"/>
          <w:szCs w:val="44"/>
          <w:lang w:eastAsia="ja-JP"/>
        </w:rPr>
      </w:pPr>
      <w:r w:rsidRPr="00FB0EDE">
        <w:rPr>
          <w:b/>
          <w:bCs/>
          <w:sz w:val="32"/>
          <w:szCs w:val="44"/>
          <w:lang w:eastAsia="ja-JP"/>
        </w:rPr>
        <w:t>Draft risk management evaluation</w:t>
      </w:r>
    </w:p>
    <w:p w:rsidR="009E3021" w:rsidRDefault="009E3021" w:rsidP="00FB0EDE">
      <w:pPr>
        <w:pStyle w:val="BodyText2"/>
        <w:spacing w:line="288" w:lineRule="auto"/>
        <w:jc w:val="center"/>
        <w:rPr>
          <w:b/>
          <w:bCs/>
          <w:sz w:val="44"/>
          <w:szCs w:val="44"/>
          <w:lang w:eastAsia="ja-JP"/>
        </w:rPr>
      </w:pPr>
    </w:p>
    <w:p w:rsidR="009E3021" w:rsidRDefault="009E3021" w:rsidP="00FB0EDE">
      <w:pPr>
        <w:pStyle w:val="BodyText2"/>
        <w:spacing w:line="288" w:lineRule="auto"/>
        <w:jc w:val="center"/>
        <w:rPr>
          <w:b/>
          <w:bCs/>
          <w:sz w:val="44"/>
          <w:szCs w:val="44"/>
          <w:lang w:eastAsia="ja-JP"/>
        </w:rPr>
      </w:pPr>
    </w:p>
    <w:p w:rsidR="009E3021" w:rsidRPr="00FB0EDE" w:rsidRDefault="00065FB8" w:rsidP="00FB0EDE">
      <w:pPr>
        <w:pStyle w:val="BodyText2"/>
        <w:spacing w:line="288" w:lineRule="auto"/>
        <w:jc w:val="center"/>
        <w:rPr>
          <w:bCs/>
          <w:sz w:val="28"/>
          <w:szCs w:val="44"/>
          <w:lang w:eastAsia="ja-JP"/>
        </w:rPr>
      </w:pPr>
      <w:r>
        <w:rPr>
          <w:bCs/>
          <w:sz w:val="28"/>
          <w:szCs w:val="44"/>
          <w:lang w:eastAsia="ja-JP"/>
        </w:rPr>
        <w:t>Second</w:t>
      </w:r>
      <w:r w:rsidR="009E3021" w:rsidRPr="00FB0EDE">
        <w:rPr>
          <w:bCs/>
          <w:sz w:val="28"/>
          <w:szCs w:val="44"/>
          <w:lang w:eastAsia="ja-JP"/>
        </w:rPr>
        <w:t xml:space="preserve"> draft</w:t>
      </w:r>
    </w:p>
    <w:p w:rsidR="009E3021" w:rsidRPr="00FB0EDE" w:rsidRDefault="009E3021" w:rsidP="00FB0EDE">
      <w:pPr>
        <w:pStyle w:val="BodyText2"/>
        <w:spacing w:line="288" w:lineRule="auto"/>
        <w:jc w:val="center"/>
        <w:rPr>
          <w:rFonts w:ascii="Calibri" w:hAnsi="Calibri"/>
          <w:sz w:val="16"/>
          <w:szCs w:val="22"/>
          <w:lang w:val="en-US"/>
        </w:rPr>
      </w:pPr>
      <w:r w:rsidRPr="00FB0EDE">
        <w:rPr>
          <w:bCs/>
          <w:sz w:val="28"/>
          <w:szCs w:val="44"/>
          <w:lang w:eastAsia="ja-JP"/>
        </w:rPr>
        <w:t xml:space="preserve">1 </w:t>
      </w:r>
      <w:r w:rsidR="00065FB8">
        <w:rPr>
          <w:bCs/>
          <w:sz w:val="28"/>
          <w:szCs w:val="44"/>
          <w:lang w:eastAsia="ja-JP"/>
        </w:rPr>
        <w:t>April</w:t>
      </w:r>
      <w:r w:rsidR="00065FB8" w:rsidRPr="00FB0EDE">
        <w:rPr>
          <w:bCs/>
          <w:sz w:val="28"/>
          <w:szCs w:val="44"/>
          <w:lang w:eastAsia="ja-JP"/>
        </w:rPr>
        <w:t xml:space="preserve"> </w:t>
      </w:r>
      <w:r w:rsidRPr="00FB0EDE">
        <w:rPr>
          <w:bCs/>
          <w:sz w:val="28"/>
          <w:szCs w:val="44"/>
          <w:lang w:eastAsia="ja-JP"/>
        </w:rPr>
        <w:t>2013</w:t>
      </w:r>
    </w:p>
    <w:p w:rsidR="009E3021" w:rsidRPr="00E85CD3" w:rsidRDefault="009E3021">
      <w:pPr>
        <w:rPr>
          <w:b/>
          <w:bCs/>
          <w:sz w:val="28"/>
          <w:szCs w:val="22"/>
        </w:rPr>
      </w:pPr>
      <w:r w:rsidRPr="00E85CD3">
        <w:br w:type="page"/>
      </w:r>
    </w:p>
    <w:p w:rsidR="009E3021" w:rsidRPr="00FA152A" w:rsidRDefault="009E3021">
      <w:pPr>
        <w:rPr>
          <w:b/>
        </w:rPr>
      </w:pPr>
      <w:r w:rsidRPr="00FA152A">
        <w:rPr>
          <w:b/>
        </w:rPr>
        <w:t>Contents</w:t>
      </w:r>
    </w:p>
    <w:p w:rsidR="009E3021" w:rsidRPr="00E85CD3" w:rsidRDefault="009E3021"/>
    <w:p w:rsidR="00E37912" w:rsidRPr="00E841DB" w:rsidRDefault="003E5AD1">
      <w:pPr>
        <w:pStyle w:val="TOC1"/>
        <w:tabs>
          <w:tab w:val="right" w:leader="dot" w:pos="9606"/>
        </w:tabs>
        <w:rPr>
          <w:rFonts w:ascii="Calibri" w:hAnsi="Calibri"/>
          <w:noProof/>
          <w:sz w:val="22"/>
          <w:szCs w:val="22"/>
          <w:lang w:val="de-DE" w:eastAsia="de-DE"/>
        </w:rPr>
      </w:pPr>
      <w:r w:rsidRPr="00FA152A">
        <w:rPr>
          <w:sz w:val="20"/>
        </w:rPr>
        <w:fldChar w:fldCharType="begin"/>
      </w:r>
      <w:r w:rsidR="009E3021" w:rsidRPr="00FA152A">
        <w:rPr>
          <w:sz w:val="20"/>
        </w:rPr>
        <w:instrText xml:space="preserve"> TOC \o "1-3" \h \z \u </w:instrText>
      </w:r>
      <w:r w:rsidRPr="00FA152A">
        <w:rPr>
          <w:sz w:val="20"/>
        </w:rPr>
        <w:fldChar w:fldCharType="separate"/>
      </w:r>
      <w:hyperlink w:anchor="_Toc352069533" w:history="1">
        <w:r w:rsidR="00E37912" w:rsidRPr="00E841DB">
          <w:rPr>
            <w:rStyle w:val="Hyperlink"/>
            <w:noProof/>
            <w:sz w:val="22"/>
            <w:szCs w:val="22"/>
            <w:lang w:val="en-US"/>
          </w:rPr>
          <w:t>Executive summary</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_Toc352069533 \h </w:instrText>
        </w:r>
        <w:r w:rsidRPr="00E841DB">
          <w:rPr>
            <w:noProof/>
            <w:webHidden/>
            <w:sz w:val="22"/>
            <w:szCs w:val="22"/>
          </w:rPr>
        </w:r>
        <w:r w:rsidRPr="00E841DB">
          <w:rPr>
            <w:noProof/>
            <w:webHidden/>
            <w:sz w:val="22"/>
            <w:szCs w:val="22"/>
          </w:rPr>
          <w:fldChar w:fldCharType="separate"/>
        </w:r>
        <w:r w:rsidR="0073687E">
          <w:rPr>
            <w:noProof/>
            <w:webHidden/>
            <w:sz w:val="22"/>
            <w:szCs w:val="22"/>
          </w:rPr>
          <w:t>3</w:t>
        </w:r>
        <w:r w:rsidRPr="00E841DB">
          <w:rPr>
            <w:noProof/>
            <w:webHidden/>
            <w:sz w:val="22"/>
            <w:szCs w:val="22"/>
          </w:rPr>
          <w:fldChar w:fldCharType="end"/>
        </w:r>
      </w:hyperlink>
    </w:p>
    <w:p w:rsidR="00E37912" w:rsidRPr="00E841DB" w:rsidRDefault="003E5AD1">
      <w:pPr>
        <w:pStyle w:val="TOC1"/>
        <w:tabs>
          <w:tab w:val="left" w:pos="440"/>
          <w:tab w:val="right" w:leader="dot" w:pos="9606"/>
        </w:tabs>
        <w:rPr>
          <w:rFonts w:ascii="Calibri" w:hAnsi="Calibri"/>
          <w:noProof/>
          <w:sz w:val="22"/>
          <w:szCs w:val="22"/>
          <w:lang w:val="de-DE" w:eastAsia="de-DE"/>
        </w:rPr>
      </w:pPr>
      <w:hyperlink w:anchor="_Toc352069534" w:history="1">
        <w:r w:rsidR="00E37912" w:rsidRPr="00E841DB">
          <w:rPr>
            <w:rStyle w:val="Hyperlink"/>
            <w:noProof/>
            <w:sz w:val="22"/>
            <w:szCs w:val="22"/>
          </w:rPr>
          <w:t>1.</w:t>
        </w:r>
        <w:r w:rsidR="00E37912" w:rsidRPr="00E841DB">
          <w:rPr>
            <w:rFonts w:ascii="Calibri" w:hAnsi="Calibri"/>
            <w:noProof/>
            <w:sz w:val="22"/>
            <w:szCs w:val="22"/>
            <w:lang w:val="de-DE" w:eastAsia="de-DE"/>
          </w:rPr>
          <w:tab/>
        </w:r>
        <w:r w:rsidR="00E37912" w:rsidRPr="00E841DB">
          <w:rPr>
            <w:rStyle w:val="Hyperlink"/>
            <w:noProof/>
            <w:sz w:val="22"/>
            <w:szCs w:val="22"/>
          </w:rPr>
          <w:t>Introduction</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_Toc352069534 \h </w:instrText>
        </w:r>
        <w:r w:rsidRPr="00E841DB">
          <w:rPr>
            <w:noProof/>
            <w:webHidden/>
            <w:sz w:val="22"/>
            <w:szCs w:val="22"/>
          </w:rPr>
        </w:r>
        <w:r w:rsidRPr="00E841DB">
          <w:rPr>
            <w:noProof/>
            <w:webHidden/>
            <w:sz w:val="22"/>
            <w:szCs w:val="22"/>
          </w:rPr>
          <w:fldChar w:fldCharType="separate"/>
        </w:r>
        <w:r w:rsidR="0073687E">
          <w:rPr>
            <w:noProof/>
            <w:webHidden/>
            <w:sz w:val="22"/>
            <w:szCs w:val="22"/>
          </w:rPr>
          <w:t>4</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35" w:history="1">
        <w:r w:rsidR="00E37912" w:rsidRPr="00E841DB">
          <w:rPr>
            <w:rStyle w:val="Hyperlink"/>
            <w:noProof/>
            <w:sz w:val="22"/>
            <w:szCs w:val="22"/>
          </w:rPr>
          <w:t xml:space="preserve">1.1 </w:t>
        </w:r>
        <w:r w:rsidR="00E37912" w:rsidRPr="00E841DB">
          <w:rPr>
            <w:rFonts w:ascii="Calibri" w:hAnsi="Calibri"/>
            <w:noProof/>
            <w:sz w:val="22"/>
            <w:szCs w:val="22"/>
            <w:lang w:val="de-DE" w:eastAsia="de-DE"/>
          </w:rPr>
          <w:tab/>
        </w:r>
        <w:r w:rsidR="00E37912" w:rsidRPr="00E841DB">
          <w:rPr>
            <w:rStyle w:val="Hyperlink"/>
            <w:noProof/>
            <w:sz w:val="22"/>
            <w:szCs w:val="22"/>
          </w:rPr>
          <w:t xml:space="preserve">Chemical identity of the proposed substance (source: </w:t>
        </w:r>
        <w:r w:rsidR="00E37912" w:rsidRPr="00E841DB">
          <w:rPr>
            <w:rStyle w:val="Hyperlink"/>
            <w:noProof/>
            <w:sz w:val="22"/>
            <w:szCs w:val="22"/>
            <w:lang w:val="en-US"/>
          </w:rPr>
          <w:t>UNEP/POPS/POPRC.8/16/Add.1)</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_Toc352069535 \h </w:instrText>
        </w:r>
        <w:r w:rsidRPr="00E841DB">
          <w:rPr>
            <w:noProof/>
            <w:webHidden/>
            <w:sz w:val="22"/>
            <w:szCs w:val="22"/>
          </w:rPr>
        </w:r>
        <w:r w:rsidRPr="00E841DB">
          <w:rPr>
            <w:noProof/>
            <w:webHidden/>
            <w:sz w:val="22"/>
            <w:szCs w:val="22"/>
          </w:rPr>
          <w:fldChar w:fldCharType="separate"/>
        </w:r>
        <w:r w:rsidR="0073687E">
          <w:rPr>
            <w:noProof/>
            <w:webHidden/>
            <w:sz w:val="22"/>
            <w:szCs w:val="22"/>
          </w:rPr>
          <w:t>4</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37" w:history="1">
        <w:r w:rsidR="00E37912" w:rsidRPr="00E841DB">
          <w:rPr>
            <w:rStyle w:val="Hyperlink"/>
            <w:noProof/>
            <w:sz w:val="22"/>
            <w:szCs w:val="22"/>
          </w:rPr>
          <w:t xml:space="preserve">1.2 </w:t>
        </w:r>
        <w:r w:rsidR="00E37912" w:rsidRPr="00E841DB">
          <w:rPr>
            <w:rFonts w:ascii="Calibri" w:hAnsi="Calibri"/>
            <w:noProof/>
            <w:sz w:val="22"/>
            <w:szCs w:val="22"/>
            <w:lang w:val="de-DE" w:eastAsia="de-DE"/>
          </w:rPr>
          <w:tab/>
        </w:r>
        <w:r w:rsidR="00E37912" w:rsidRPr="00E841DB">
          <w:rPr>
            <w:rStyle w:val="Hyperlink"/>
            <w:noProof/>
            <w:sz w:val="22"/>
            <w:szCs w:val="22"/>
          </w:rPr>
          <w:t>Conclusions of the Review Committee regarding Annex E information</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_Toc352069537 \h </w:instrText>
        </w:r>
        <w:r w:rsidRPr="00E841DB">
          <w:rPr>
            <w:noProof/>
            <w:webHidden/>
            <w:sz w:val="22"/>
            <w:szCs w:val="22"/>
          </w:rPr>
        </w:r>
        <w:r w:rsidRPr="00E841DB">
          <w:rPr>
            <w:noProof/>
            <w:webHidden/>
            <w:sz w:val="22"/>
            <w:szCs w:val="22"/>
          </w:rPr>
          <w:fldChar w:fldCharType="separate"/>
        </w:r>
        <w:r w:rsidR="0073687E">
          <w:rPr>
            <w:noProof/>
            <w:webHidden/>
            <w:sz w:val="22"/>
            <w:szCs w:val="22"/>
          </w:rPr>
          <w:t>5</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38" w:history="1">
        <w:r w:rsidR="00E37912" w:rsidRPr="00E841DB">
          <w:rPr>
            <w:rStyle w:val="Hyperlink"/>
            <w:noProof/>
            <w:sz w:val="22"/>
            <w:szCs w:val="22"/>
          </w:rPr>
          <w:t>1.3</w:t>
        </w:r>
        <w:r w:rsidR="00E37912" w:rsidRPr="00E841DB">
          <w:rPr>
            <w:rFonts w:ascii="Calibri" w:hAnsi="Calibri"/>
            <w:noProof/>
            <w:sz w:val="22"/>
            <w:szCs w:val="22"/>
            <w:lang w:val="de-DE" w:eastAsia="de-DE"/>
          </w:rPr>
          <w:tab/>
        </w:r>
        <w:r w:rsidR="00E37912" w:rsidRPr="00E841DB">
          <w:rPr>
            <w:rStyle w:val="Hyperlink"/>
            <w:noProof/>
            <w:sz w:val="22"/>
            <w:szCs w:val="22"/>
          </w:rPr>
          <w:t>Data sources</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_Toc352069538 \h </w:instrText>
        </w:r>
        <w:r w:rsidRPr="00E841DB">
          <w:rPr>
            <w:noProof/>
            <w:webHidden/>
            <w:sz w:val="22"/>
            <w:szCs w:val="22"/>
          </w:rPr>
        </w:r>
        <w:r w:rsidRPr="00E841DB">
          <w:rPr>
            <w:noProof/>
            <w:webHidden/>
            <w:sz w:val="22"/>
            <w:szCs w:val="22"/>
          </w:rPr>
          <w:fldChar w:fldCharType="separate"/>
        </w:r>
        <w:r w:rsidR="0073687E">
          <w:rPr>
            <w:noProof/>
            <w:webHidden/>
            <w:sz w:val="22"/>
            <w:szCs w:val="22"/>
          </w:rPr>
          <w:t>6</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39" w:history="1">
        <w:r w:rsidR="00E37912" w:rsidRPr="00E841DB">
          <w:rPr>
            <w:rStyle w:val="Hyperlink"/>
            <w:noProof/>
            <w:sz w:val="22"/>
            <w:szCs w:val="22"/>
          </w:rPr>
          <w:t>1.4</w:t>
        </w:r>
        <w:r w:rsidR="00E37912" w:rsidRPr="00E841DB">
          <w:rPr>
            <w:rFonts w:ascii="Calibri" w:hAnsi="Calibri"/>
            <w:noProof/>
            <w:sz w:val="22"/>
            <w:szCs w:val="22"/>
            <w:lang w:val="de-DE" w:eastAsia="de-DE"/>
          </w:rPr>
          <w:tab/>
        </w:r>
        <w:r w:rsidR="00E37912" w:rsidRPr="00E841DB">
          <w:rPr>
            <w:rStyle w:val="Hyperlink"/>
            <w:noProof/>
            <w:sz w:val="22"/>
            <w:szCs w:val="22"/>
          </w:rPr>
          <w:t>Status of the chemical under international conventions</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_Toc352069539 \h </w:instrText>
        </w:r>
        <w:r w:rsidRPr="00E841DB">
          <w:rPr>
            <w:noProof/>
            <w:webHidden/>
            <w:sz w:val="22"/>
            <w:szCs w:val="22"/>
          </w:rPr>
        </w:r>
        <w:r w:rsidRPr="00E841DB">
          <w:rPr>
            <w:noProof/>
            <w:webHidden/>
            <w:sz w:val="22"/>
            <w:szCs w:val="22"/>
          </w:rPr>
          <w:fldChar w:fldCharType="separate"/>
        </w:r>
        <w:r w:rsidR="0073687E">
          <w:rPr>
            <w:noProof/>
            <w:webHidden/>
            <w:sz w:val="22"/>
            <w:szCs w:val="22"/>
          </w:rPr>
          <w:t>6</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40" w:history="1">
        <w:r w:rsidR="00E37912" w:rsidRPr="00E841DB">
          <w:rPr>
            <w:rStyle w:val="Hyperlink"/>
            <w:noProof/>
            <w:sz w:val="22"/>
            <w:szCs w:val="22"/>
          </w:rPr>
          <w:t>1.5</w:t>
        </w:r>
        <w:r w:rsidR="00E37912" w:rsidRPr="00E841DB">
          <w:rPr>
            <w:rFonts w:ascii="Calibri" w:hAnsi="Calibri"/>
            <w:noProof/>
            <w:sz w:val="22"/>
            <w:szCs w:val="22"/>
            <w:lang w:val="de-DE" w:eastAsia="de-DE"/>
          </w:rPr>
          <w:tab/>
        </w:r>
        <w:r w:rsidR="00E37912" w:rsidRPr="00E841DB">
          <w:rPr>
            <w:rStyle w:val="Hyperlink"/>
            <w:noProof/>
            <w:sz w:val="22"/>
            <w:szCs w:val="22"/>
          </w:rPr>
          <w:t>Any national or regional control actions taken</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_Toc352069540 \h </w:instrText>
        </w:r>
        <w:r w:rsidRPr="00E841DB">
          <w:rPr>
            <w:noProof/>
            <w:webHidden/>
            <w:sz w:val="22"/>
            <w:szCs w:val="22"/>
          </w:rPr>
        </w:r>
        <w:r w:rsidRPr="00E841DB">
          <w:rPr>
            <w:noProof/>
            <w:webHidden/>
            <w:sz w:val="22"/>
            <w:szCs w:val="22"/>
          </w:rPr>
          <w:fldChar w:fldCharType="separate"/>
        </w:r>
        <w:r w:rsidR="0073687E">
          <w:rPr>
            <w:noProof/>
            <w:webHidden/>
            <w:sz w:val="22"/>
            <w:szCs w:val="22"/>
          </w:rPr>
          <w:t>6</w:t>
        </w:r>
        <w:r w:rsidRPr="00E841DB">
          <w:rPr>
            <w:noProof/>
            <w:webHidden/>
            <w:sz w:val="22"/>
            <w:szCs w:val="22"/>
          </w:rPr>
          <w:fldChar w:fldCharType="end"/>
        </w:r>
      </w:hyperlink>
    </w:p>
    <w:p w:rsidR="00E37912" w:rsidRPr="00E841DB" w:rsidRDefault="003E5AD1">
      <w:pPr>
        <w:pStyle w:val="TOC1"/>
        <w:tabs>
          <w:tab w:val="left" w:pos="440"/>
          <w:tab w:val="right" w:leader="dot" w:pos="9606"/>
        </w:tabs>
        <w:rPr>
          <w:rFonts w:ascii="Calibri" w:hAnsi="Calibri"/>
          <w:noProof/>
          <w:sz w:val="22"/>
          <w:szCs w:val="22"/>
          <w:lang w:val="de-DE" w:eastAsia="de-DE"/>
        </w:rPr>
      </w:pPr>
      <w:hyperlink w:anchor="_Toc352069541" w:history="1">
        <w:r w:rsidR="00E37912" w:rsidRPr="00E841DB">
          <w:rPr>
            <w:rStyle w:val="Hyperlink"/>
            <w:noProof/>
            <w:sz w:val="22"/>
            <w:szCs w:val="22"/>
          </w:rPr>
          <w:t>2.</w:t>
        </w:r>
        <w:r w:rsidR="00E37912" w:rsidRPr="00E841DB">
          <w:rPr>
            <w:rFonts w:ascii="Calibri" w:hAnsi="Calibri"/>
            <w:noProof/>
            <w:sz w:val="22"/>
            <w:szCs w:val="22"/>
            <w:lang w:val="de-DE" w:eastAsia="de-DE"/>
          </w:rPr>
          <w:tab/>
        </w:r>
        <w:r w:rsidR="00E37912" w:rsidRPr="00E841DB">
          <w:rPr>
            <w:rStyle w:val="Hyperlink"/>
            <w:noProof/>
            <w:sz w:val="22"/>
            <w:szCs w:val="22"/>
          </w:rPr>
          <w:t>Summary information relevant to the risk management evaluation</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_Toc352069541 \h </w:instrText>
        </w:r>
        <w:r w:rsidRPr="00E841DB">
          <w:rPr>
            <w:noProof/>
            <w:webHidden/>
            <w:sz w:val="22"/>
            <w:szCs w:val="22"/>
          </w:rPr>
        </w:r>
        <w:r w:rsidRPr="00E841DB">
          <w:rPr>
            <w:noProof/>
            <w:webHidden/>
            <w:sz w:val="22"/>
            <w:szCs w:val="22"/>
          </w:rPr>
          <w:fldChar w:fldCharType="separate"/>
        </w:r>
        <w:r w:rsidR="0073687E">
          <w:rPr>
            <w:noProof/>
            <w:webHidden/>
            <w:sz w:val="22"/>
            <w:szCs w:val="22"/>
          </w:rPr>
          <w:t>8</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42" w:history="1">
        <w:r w:rsidR="00E37912" w:rsidRPr="00E841DB">
          <w:rPr>
            <w:rStyle w:val="Hyperlink"/>
            <w:noProof/>
            <w:sz w:val="22"/>
            <w:szCs w:val="22"/>
          </w:rPr>
          <w:t>2.1</w:t>
        </w:r>
        <w:r w:rsidR="00E37912" w:rsidRPr="00E841DB">
          <w:rPr>
            <w:rFonts w:ascii="Calibri" w:hAnsi="Calibri"/>
            <w:noProof/>
            <w:sz w:val="22"/>
            <w:szCs w:val="22"/>
            <w:lang w:val="de-DE" w:eastAsia="de-DE"/>
          </w:rPr>
          <w:tab/>
        </w:r>
        <w:r w:rsidR="00E37912" w:rsidRPr="00E841DB">
          <w:rPr>
            <w:rStyle w:val="Hyperlink"/>
            <w:noProof/>
            <w:sz w:val="22"/>
            <w:szCs w:val="22"/>
          </w:rPr>
          <w:t>Additional relevant information on sources, releases and measures</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_Toc352069542 \h </w:instrText>
        </w:r>
        <w:r w:rsidRPr="00E841DB">
          <w:rPr>
            <w:noProof/>
            <w:webHidden/>
            <w:sz w:val="22"/>
            <w:szCs w:val="22"/>
          </w:rPr>
        </w:r>
        <w:r w:rsidRPr="00E841DB">
          <w:rPr>
            <w:noProof/>
            <w:webHidden/>
            <w:sz w:val="22"/>
            <w:szCs w:val="22"/>
          </w:rPr>
          <w:fldChar w:fldCharType="separate"/>
        </w:r>
        <w:r w:rsidR="0073687E">
          <w:rPr>
            <w:noProof/>
            <w:webHidden/>
            <w:sz w:val="22"/>
            <w:szCs w:val="22"/>
          </w:rPr>
          <w:t>8</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43" w:history="1">
        <w:r w:rsidR="00E37912" w:rsidRPr="00E841DB">
          <w:rPr>
            <w:rStyle w:val="Hyperlink"/>
            <w:noProof/>
            <w:sz w:val="22"/>
            <w:szCs w:val="22"/>
          </w:rPr>
          <w:t>2.2</w:t>
        </w:r>
        <w:r w:rsidR="00E37912" w:rsidRPr="00E841DB">
          <w:rPr>
            <w:rFonts w:ascii="Calibri" w:hAnsi="Calibri"/>
            <w:noProof/>
            <w:sz w:val="22"/>
            <w:szCs w:val="22"/>
            <w:lang w:val="de-DE" w:eastAsia="de-DE"/>
          </w:rPr>
          <w:tab/>
        </w:r>
        <w:r w:rsidR="00E37912" w:rsidRPr="00E841DB">
          <w:rPr>
            <w:rStyle w:val="Hyperlink"/>
            <w:noProof/>
            <w:sz w:val="22"/>
            <w:szCs w:val="22"/>
          </w:rPr>
          <w:t>Identification of possible control measures</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_Toc352069543 \h </w:instrText>
        </w:r>
        <w:r w:rsidRPr="00E841DB">
          <w:rPr>
            <w:noProof/>
            <w:webHidden/>
            <w:sz w:val="22"/>
            <w:szCs w:val="22"/>
          </w:rPr>
        </w:r>
        <w:r w:rsidRPr="00E841DB">
          <w:rPr>
            <w:noProof/>
            <w:webHidden/>
            <w:sz w:val="22"/>
            <w:szCs w:val="22"/>
          </w:rPr>
          <w:fldChar w:fldCharType="separate"/>
        </w:r>
        <w:r w:rsidR="0073687E">
          <w:rPr>
            <w:noProof/>
            <w:webHidden/>
            <w:sz w:val="22"/>
            <w:szCs w:val="22"/>
          </w:rPr>
          <w:t>11</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44" w:history="1">
        <w:r w:rsidR="00E37912" w:rsidRPr="00E841DB">
          <w:rPr>
            <w:rStyle w:val="Hyperlink"/>
            <w:noProof/>
            <w:sz w:val="22"/>
            <w:szCs w:val="22"/>
          </w:rPr>
          <w:t>2.3</w:t>
        </w:r>
        <w:r w:rsidR="00E37912" w:rsidRPr="00E841DB">
          <w:rPr>
            <w:rFonts w:ascii="Calibri" w:hAnsi="Calibri"/>
            <w:noProof/>
            <w:sz w:val="22"/>
            <w:szCs w:val="22"/>
            <w:lang w:val="de-DE" w:eastAsia="de-DE"/>
          </w:rPr>
          <w:tab/>
        </w:r>
        <w:r w:rsidR="00E37912" w:rsidRPr="00E841DB">
          <w:rPr>
            <w:rStyle w:val="Hyperlink"/>
            <w:noProof/>
            <w:sz w:val="22"/>
            <w:szCs w:val="22"/>
          </w:rPr>
          <w:t>Efficacy and efficiency of possible control measures in meeting risk reduction goals</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_Toc352069544 \h </w:instrText>
        </w:r>
        <w:r w:rsidRPr="00E841DB">
          <w:rPr>
            <w:noProof/>
            <w:webHidden/>
            <w:sz w:val="22"/>
            <w:szCs w:val="22"/>
          </w:rPr>
        </w:r>
        <w:r w:rsidRPr="00E841DB">
          <w:rPr>
            <w:noProof/>
            <w:webHidden/>
            <w:sz w:val="22"/>
            <w:szCs w:val="22"/>
          </w:rPr>
          <w:fldChar w:fldCharType="separate"/>
        </w:r>
        <w:r w:rsidR="0073687E">
          <w:rPr>
            <w:noProof/>
            <w:webHidden/>
            <w:sz w:val="22"/>
            <w:szCs w:val="22"/>
          </w:rPr>
          <w:t>12</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45" w:history="1">
        <w:r w:rsidR="00E37912" w:rsidRPr="00E841DB">
          <w:rPr>
            <w:rStyle w:val="Hyperlink"/>
            <w:noProof/>
            <w:sz w:val="22"/>
            <w:szCs w:val="22"/>
          </w:rPr>
          <w:t xml:space="preserve">2.4 </w:t>
        </w:r>
        <w:r w:rsidR="00E37912" w:rsidRPr="00E841DB">
          <w:rPr>
            <w:rFonts w:ascii="Calibri" w:hAnsi="Calibri"/>
            <w:noProof/>
            <w:sz w:val="22"/>
            <w:szCs w:val="22"/>
            <w:lang w:val="de-DE" w:eastAsia="de-DE"/>
          </w:rPr>
          <w:tab/>
        </w:r>
        <w:r w:rsidR="00E37912" w:rsidRPr="00E841DB">
          <w:rPr>
            <w:rStyle w:val="Hyperlink"/>
            <w:noProof/>
            <w:sz w:val="22"/>
            <w:szCs w:val="22"/>
          </w:rPr>
          <w:t>Information on alternatives (products and processes) where relevant</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_Toc352069545 \h </w:instrText>
        </w:r>
        <w:r w:rsidRPr="00E841DB">
          <w:rPr>
            <w:noProof/>
            <w:webHidden/>
            <w:sz w:val="22"/>
            <w:szCs w:val="22"/>
          </w:rPr>
        </w:r>
        <w:r w:rsidRPr="00E841DB">
          <w:rPr>
            <w:noProof/>
            <w:webHidden/>
            <w:sz w:val="22"/>
            <w:szCs w:val="22"/>
          </w:rPr>
          <w:fldChar w:fldCharType="separate"/>
        </w:r>
        <w:r w:rsidR="0073687E">
          <w:rPr>
            <w:noProof/>
            <w:webHidden/>
            <w:sz w:val="22"/>
            <w:szCs w:val="22"/>
          </w:rPr>
          <w:t>13</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46" w:history="1">
        <w:r w:rsidR="00E37912" w:rsidRPr="00E841DB">
          <w:rPr>
            <w:rStyle w:val="Hyperlink"/>
            <w:noProof/>
            <w:sz w:val="22"/>
            <w:szCs w:val="22"/>
          </w:rPr>
          <w:t xml:space="preserve">2.5 </w:t>
        </w:r>
        <w:r w:rsidR="00E37912" w:rsidRPr="00E841DB">
          <w:rPr>
            <w:rFonts w:ascii="Calibri" w:hAnsi="Calibri"/>
            <w:noProof/>
            <w:sz w:val="22"/>
            <w:szCs w:val="22"/>
            <w:lang w:val="de-DE" w:eastAsia="de-DE"/>
          </w:rPr>
          <w:tab/>
        </w:r>
        <w:r w:rsidR="00E37912" w:rsidRPr="00E841DB">
          <w:rPr>
            <w:rStyle w:val="Hyperlink"/>
            <w:noProof/>
            <w:sz w:val="22"/>
            <w:szCs w:val="22"/>
          </w:rPr>
          <w:t>Summary of information on impacts on society of implementing possible control measures</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_Toc352069546 \h </w:instrText>
        </w:r>
        <w:r w:rsidRPr="00E841DB">
          <w:rPr>
            <w:noProof/>
            <w:webHidden/>
            <w:sz w:val="22"/>
            <w:szCs w:val="22"/>
          </w:rPr>
        </w:r>
        <w:r w:rsidRPr="00E841DB">
          <w:rPr>
            <w:noProof/>
            <w:webHidden/>
            <w:sz w:val="22"/>
            <w:szCs w:val="22"/>
          </w:rPr>
          <w:fldChar w:fldCharType="separate"/>
        </w:r>
        <w:r w:rsidR="0073687E">
          <w:rPr>
            <w:noProof/>
            <w:webHidden/>
            <w:sz w:val="22"/>
            <w:szCs w:val="22"/>
          </w:rPr>
          <w:t>13</w:t>
        </w:r>
        <w:r w:rsidRPr="00E841DB">
          <w:rPr>
            <w:noProof/>
            <w:webHidden/>
            <w:sz w:val="22"/>
            <w:szCs w:val="22"/>
          </w:rPr>
          <w:fldChar w:fldCharType="end"/>
        </w:r>
      </w:hyperlink>
    </w:p>
    <w:p w:rsidR="00E37912" w:rsidRPr="00E841DB" w:rsidRDefault="003E5AD1">
      <w:pPr>
        <w:pStyle w:val="TOC2"/>
        <w:tabs>
          <w:tab w:val="left" w:pos="880"/>
          <w:tab w:val="right" w:leader="dot" w:pos="9606"/>
        </w:tabs>
        <w:rPr>
          <w:rFonts w:ascii="Calibri" w:hAnsi="Calibri"/>
          <w:noProof/>
          <w:sz w:val="22"/>
          <w:szCs w:val="22"/>
          <w:lang w:val="de-DE" w:eastAsia="de-DE"/>
        </w:rPr>
      </w:pPr>
      <w:hyperlink w:anchor="_Toc352069547" w:history="1">
        <w:r w:rsidR="00E37912" w:rsidRPr="00E841DB">
          <w:rPr>
            <w:rStyle w:val="Hyperlink"/>
            <w:noProof/>
            <w:sz w:val="22"/>
            <w:szCs w:val="22"/>
          </w:rPr>
          <w:t>2.6</w:t>
        </w:r>
        <w:r w:rsidR="00E37912" w:rsidRPr="00E841DB">
          <w:rPr>
            <w:rFonts w:ascii="Calibri" w:hAnsi="Calibri"/>
            <w:noProof/>
            <w:sz w:val="22"/>
            <w:szCs w:val="22"/>
            <w:lang w:val="de-DE" w:eastAsia="de-DE"/>
          </w:rPr>
          <w:tab/>
        </w:r>
        <w:r w:rsidR="00E37912" w:rsidRPr="00E841DB">
          <w:rPr>
            <w:rStyle w:val="Hyperlink"/>
            <w:noProof/>
            <w:sz w:val="22"/>
            <w:szCs w:val="22"/>
          </w:rPr>
          <w:t>Other considerations</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_Toc352069547 \h </w:instrText>
        </w:r>
        <w:r w:rsidRPr="00E841DB">
          <w:rPr>
            <w:noProof/>
            <w:webHidden/>
            <w:sz w:val="22"/>
            <w:szCs w:val="22"/>
          </w:rPr>
        </w:r>
        <w:r w:rsidRPr="00E841DB">
          <w:rPr>
            <w:noProof/>
            <w:webHidden/>
            <w:sz w:val="22"/>
            <w:szCs w:val="22"/>
          </w:rPr>
          <w:fldChar w:fldCharType="separate"/>
        </w:r>
        <w:r w:rsidR="0073687E">
          <w:rPr>
            <w:noProof/>
            <w:webHidden/>
            <w:sz w:val="22"/>
            <w:szCs w:val="22"/>
          </w:rPr>
          <w:t>13</w:t>
        </w:r>
        <w:r w:rsidRPr="00E841DB">
          <w:rPr>
            <w:noProof/>
            <w:webHidden/>
            <w:sz w:val="22"/>
            <w:szCs w:val="22"/>
          </w:rPr>
          <w:fldChar w:fldCharType="end"/>
        </w:r>
      </w:hyperlink>
    </w:p>
    <w:p w:rsidR="00E37912" w:rsidRPr="00E841DB" w:rsidRDefault="003E5AD1">
      <w:pPr>
        <w:pStyle w:val="TOC1"/>
        <w:tabs>
          <w:tab w:val="left" w:pos="440"/>
          <w:tab w:val="right" w:leader="dot" w:pos="9606"/>
        </w:tabs>
        <w:rPr>
          <w:rFonts w:ascii="Calibri" w:hAnsi="Calibri"/>
          <w:noProof/>
          <w:sz w:val="22"/>
          <w:szCs w:val="22"/>
          <w:lang w:val="de-DE" w:eastAsia="de-DE"/>
        </w:rPr>
      </w:pPr>
      <w:hyperlink w:anchor="_Toc352069548" w:history="1">
        <w:r w:rsidR="00E37912" w:rsidRPr="00E841DB">
          <w:rPr>
            <w:rStyle w:val="Hyperlink"/>
            <w:noProof/>
            <w:sz w:val="22"/>
            <w:szCs w:val="22"/>
          </w:rPr>
          <w:t>3.</w:t>
        </w:r>
        <w:r w:rsidR="00E37912" w:rsidRPr="00E841DB">
          <w:rPr>
            <w:rFonts w:ascii="Calibri" w:hAnsi="Calibri"/>
            <w:noProof/>
            <w:sz w:val="22"/>
            <w:szCs w:val="22"/>
            <w:lang w:val="de-DE" w:eastAsia="de-DE"/>
          </w:rPr>
          <w:tab/>
        </w:r>
        <w:r w:rsidR="00E37912" w:rsidRPr="00E841DB">
          <w:rPr>
            <w:rStyle w:val="Hyperlink"/>
            <w:noProof/>
            <w:sz w:val="22"/>
            <w:szCs w:val="22"/>
          </w:rPr>
          <w:t>Synthesis of information</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_Toc352069548 \h </w:instrText>
        </w:r>
        <w:r w:rsidRPr="00E841DB">
          <w:rPr>
            <w:noProof/>
            <w:webHidden/>
            <w:sz w:val="22"/>
            <w:szCs w:val="22"/>
          </w:rPr>
        </w:r>
        <w:r w:rsidRPr="00E841DB">
          <w:rPr>
            <w:noProof/>
            <w:webHidden/>
            <w:sz w:val="22"/>
            <w:szCs w:val="22"/>
          </w:rPr>
          <w:fldChar w:fldCharType="separate"/>
        </w:r>
        <w:r w:rsidR="0073687E">
          <w:rPr>
            <w:noProof/>
            <w:webHidden/>
            <w:sz w:val="22"/>
            <w:szCs w:val="22"/>
          </w:rPr>
          <w:t>13</w:t>
        </w:r>
        <w:r w:rsidRPr="00E841DB">
          <w:rPr>
            <w:noProof/>
            <w:webHidden/>
            <w:sz w:val="22"/>
            <w:szCs w:val="22"/>
          </w:rPr>
          <w:fldChar w:fldCharType="end"/>
        </w:r>
      </w:hyperlink>
    </w:p>
    <w:p w:rsidR="00E37912" w:rsidRPr="00E841DB" w:rsidRDefault="003E5AD1">
      <w:pPr>
        <w:pStyle w:val="TOC1"/>
        <w:tabs>
          <w:tab w:val="left" w:pos="440"/>
          <w:tab w:val="right" w:leader="dot" w:pos="9606"/>
        </w:tabs>
        <w:rPr>
          <w:rFonts w:ascii="Calibri" w:hAnsi="Calibri"/>
          <w:noProof/>
          <w:sz w:val="22"/>
          <w:szCs w:val="22"/>
          <w:lang w:val="de-DE" w:eastAsia="de-DE"/>
        </w:rPr>
      </w:pPr>
      <w:hyperlink w:anchor="_Toc352069549" w:history="1">
        <w:r w:rsidR="00E37912" w:rsidRPr="00E841DB">
          <w:rPr>
            <w:rStyle w:val="Hyperlink"/>
            <w:noProof/>
            <w:sz w:val="22"/>
            <w:szCs w:val="22"/>
          </w:rPr>
          <w:t>4.</w:t>
        </w:r>
        <w:r w:rsidR="00E37912" w:rsidRPr="00E841DB">
          <w:rPr>
            <w:rFonts w:ascii="Calibri" w:hAnsi="Calibri"/>
            <w:noProof/>
            <w:sz w:val="22"/>
            <w:szCs w:val="22"/>
            <w:lang w:val="de-DE" w:eastAsia="de-DE"/>
          </w:rPr>
          <w:tab/>
        </w:r>
        <w:r w:rsidR="00E37912" w:rsidRPr="00E841DB">
          <w:rPr>
            <w:rStyle w:val="Hyperlink"/>
            <w:noProof/>
            <w:sz w:val="22"/>
            <w:szCs w:val="22"/>
          </w:rPr>
          <w:t>Concluding statement</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_Toc352069549 \h </w:instrText>
        </w:r>
        <w:r w:rsidRPr="00E841DB">
          <w:rPr>
            <w:noProof/>
            <w:webHidden/>
            <w:sz w:val="22"/>
            <w:szCs w:val="22"/>
          </w:rPr>
        </w:r>
        <w:r w:rsidRPr="00E841DB">
          <w:rPr>
            <w:noProof/>
            <w:webHidden/>
            <w:sz w:val="22"/>
            <w:szCs w:val="22"/>
          </w:rPr>
          <w:fldChar w:fldCharType="separate"/>
        </w:r>
        <w:r w:rsidR="0073687E">
          <w:rPr>
            <w:noProof/>
            <w:webHidden/>
            <w:sz w:val="22"/>
            <w:szCs w:val="22"/>
          </w:rPr>
          <w:t>15</w:t>
        </w:r>
        <w:r w:rsidRPr="00E841DB">
          <w:rPr>
            <w:noProof/>
            <w:webHidden/>
            <w:sz w:val="22"/>
            <w:szCs w:val="22"/>
          </w:rPr>
          <w:fldChar w:fldCharType="end"/>
        </w:r>
      </w:hyperlink>
    </w:p>
    <w:p w:rsidR="00E37912" w:rsidRPr="009E3A1E" w:rsidRDefault="003E5AD1">
      <w:pPr>
        <w:pStyle w:val="TOC1"/>
        <w:tabs>
          <w:tab w:val="right" w:leader="dot" w:pos="9606"/>
        </w:tabs>
        <w:rPr>
          <w:rFonts w:ascii="Calibri" w:hAnsi="Calibri"/>
          <w:noProof/>
          <w:sz w:val="22"/>
          <w:szCs w:val="22"/>
          <w:lang w:val="de-DE" w:eastAsia="de-DE"/>
        </w:rPr>
      </w:pPr>
      <w:hyperlink w:anchor="_Toc352069550" w:history="1">
        <w:r w:rsidR="00E37912" w:rsidRPr="00E841DB">
          <w:rPr>
            <w:rStyle w:val="Hyperlink"/>
            <w:noProof/>
            <w:sz w:val="22"/>
            <w:szCs w:val="22"/>
          </w:rPr>
          <w:t>References</w:t>
        </w:r>
        <w:r w:rsidR="00E37912" w:rsidRPr="00E841DB">
          <w:rPr>
            <w:noProof/>
            <w:webHidden/>
            <w:sz w:val="22"/>
            <w:szCs w:val="22"/>
          </w:rPr>
          <w:tab/>
        </w:r>
        <w:r w:rsidRPr="00E841DB">
          <w:rPr>
            <w:noProof/>
            <w:webHidden/>
            <w:sz w:val="22"/>
            <w:szCs w:val="22"/>
          </w:rPr>
          <w:fldChar w:fldCharType="begin"/>
        </w:r>
        <w:r w:rsidR="00E37912" w:rsidRPr="00E841DB">
          <w:rPr>
            <w:noProof/>
            <w:webHidden/>
            <w:sz w:val="22"/>
            <w:szCs w:val="22"/>
          </w:rPr>
          <w:instrText xml:space="preserve"> PAGEREF _Toc352069550 \h </w:instrText>
        </w:r>
        <w:r w:rsidRPr="00E841DB">
          <w:rPr>
            <w:noProof/>
            <w:webHidden/>
            <w:sz w:val="22"/>
            <w:szCs w:val="22"/>
          </w:rPr>
        </w:r>
        <w:r w:rsidRPr="00E841DB">
          <w:rPr>
            <w:noProof/>
            <w:webHidden/>
            <w:sz w:val="22"/>
            <w:szCs w:val="22"/>
          </w:rPr>
          <w:fldChar w:fldCharType="separate"/>
        </w:r>
        <w:r w:rsidR="0073687E">
          <w:rPr>
            <w:noProof/>
            <w:webHidden/>
            <w:sz w:val="22"/>
            <w:szCs w:val="22"/>
          </w:rPr>
          <w:t>16</w:t>
        </w:r>
        <w:r w:rsidRPr="00E841DB">
          <w:rPr>
            <w:noProof/>
            <w:webHidden/>
            <w:sz w:val="22"/>
            <w:szCs w:val="22"/>
          </w:rPr>
          <w:fldChar w:fldCharType="end"/>
        </w:r>
      </w:hyperlink>
    </w:p>
    <w:p w:rsidR="009E3021" w:rsidRPr="00E85CD3" w:rsidRDefault="003E5AD1">
      <w:r w:rsidRPr="00FA152A">
        <w:rPr>
          <w:sz w:val="20"/>
        </w:rPr>
        <w:fldChar w:fldCharType="end"/>
      </w:r>
    </w:p>
    <w:p w:rsidR="009E3021" w:rsidRPr="00E85CD3" w:rsidRDefault="009E3021"/>
    <w:p w:rsidR="009E3021" w:rsidRPr="00E85CD3" w:rsidRDefault="009E3021">
      <w:pPr>
        <w:rPr>
          <w:b/>
          <w:bCs/>
          <w:sz w:val="28"/>
          <w:szCs w:val="22"/>
        </w:rPr>
      </w:pPr>
      <w:r w:rsidRPr="00E85CD3">
        <w:br w:type="page"/>
      </w:r>
    </w:p>
    <w:p w:rsidR="009E3021" w:rsidRPr="00E85CD3" w:rsidRDefault="009E3021" w:rsidP="00B1356D">
      <w:pPr>
        <w:pStyle w:val="Heading1"/>
        <w:rPr>
          <w:lang w:val="en-US"/>
        </w:rPr>
      </w:pPr>
      <w:bookmarkStart w:id="0" w:name="_Toc346637138"/>
      <w:bookmarkStart w:id="1" w:name="_Toc352069533"/>
      <w:r w:rsidRPr="00E85CD3">
        <w:rPr>
          <w:lang w:val="en-US"/>
        </w:rPr>
        <w:t>Executive summary</w:t>
      </w:r>
      <w:bookmarkEnd w:id="0"/>
      <w:bookmarkEnd w:id="1"/>
    </w:p>
    <w:p w:rsidR="009E3021" w:rsidRPr="00E85CD3" w:rsidRDefault="009E3021" w:rsidP="00B1005D">
      <w:pPr>
        <w:pStyle w:val="Paralevel1"/>
        <w:rPr>
          <w:lang w:val="en-US"/>
        </w:rPr>
      </w:pPr>
    </w:p>
    <w:p w:rsidR="009E3021" w:rsidRPr="00E85CD3" w:rsidRDefault="009E3021" w:rsidP="00B1005D">
      <w:pPr>
        <w:pStyle w:val="Paralevel1"/>
        <w:numPr>
          <w:ilvl w:val="0"/>
          <w:numId w:val="24"/>
        </w:numPr>
        <w:ind w:left="0" w:firstLine="0"/>
      </w:pPr>
      <w:r w:rsidRPr="00E85CD3">
        <w:t xml:space="preserve">The European Union and its Member States submitted a proposal to list chlorinated </w:t>
      </w:r>
      <w:proofErr w:type="spellStart"/>
      <w:r w:rsidRPr="00E85CD3">
        <w:t>naphthalenes</w:t>
      </w:r>
      <w:proofErr w:type="spellEnd"/>
      <w:r w:rsidRPr="00E85CD3">
        <w:t xml:space="preserve"> (CNs) in Annex A, B or C of the Stockholm Convention pursuant to paragraph 1 of Article 8 of the Convention. </w:t>
      </w:r>
      <w:r w:rsidRPr="003C4855">
        <w:t xml:space="preserve">The risk profile on CNs was adopted on the eighth meeting of the Persistent Organic Pollutants Review Committee in October 2012. The Committee decided (1) that </w:t>
      </w:r>
      <w:proofErr w:type="spellStart"/>
      <w:r w:rsidRPr="003C4855">
        <w:t>dichlorinated</w:t>
      </w:r>
      <w:proofErr w:type="spellEnd"/>
      <w:r w:rsidRPr="003C4855">
        <w:t xml:space="preserve"> </w:t>
      </w:r>
      <w:proofErr w:type="spellStart"/>
      <w:r w:rsidRPr="003C4855">
        <w:t>naphthalenes</w:t>
      </w:r>
      <w:proofErr w:type="spellEnd"/>
      <w:r w:rsidRPr="003C4855">
        <w:t xml:space="preserve">, </w:t>
      </w:r>
      <w:proofErr w:type="spellStart"/>
      <w:r w:rsidRPr="003C4855">
        <w:t>trichlorinated</w:t>
      </w:r>
      <w:proofErr w:type="spellEnd"/>
      <w:r w:rsidRPr="003C4855">
        <w:t xml:space="preserve"> </w:t>
      </w:r>
      <w:proofErr w:type="spellStart"/>
      <w:r w:rsidRPr="003C4855">
        <w:t>naphthalenes</w:t>
      </w:r>
      <w:proofErr w:type="spellEnd"/>
      <w:r w:rsidRPr="003C4855">
        <w:t xml:space="preserve">, </w:t>
      </w:r>
      <w:proofErr w:type="spellStart"/>
      <w:r w:rsidRPr="003C4855">
        <w:t>tetrachlorinated</w:t>
      </w:r>
      <w:proofErr w:type="spellEnd"/>
      <w:r w:rsidRPr="003C4855">
        <w:t xml:space="preserve"> </w:t>
      </w:r>
      <w:proofErr w:type="spellStart"/>
      <w:r w:rsidRPr="003C4855">
        <w:t>naphthalenes</w:t>
      </w:r>
      <w:proofErr w:type="spellEnd"/>
      <w:r w:rsidRPr="003C4855">
        <w:t xml:space="preserve">, </w:t>
      </w:r>
      <w:proofErr w:type="spellStart"/>
      <w:r w:rsidRPr="003C4855">
        <w:t>pentachlorinated</w:t>
      </w:r>
      <w:proofErr w:type="spellEnd"/>
      <w:r w:rsidRPr="003C4855">
        <w:t xml:space="preserve"> </w:t>
      </w:r>
      <w:proofErr w:type="spellStart"/>
      <w:r w:rsidRPr="003C4855">
        <w:t>naphthalenes</w:t>
      </w:r>
      <w:proofErr w:type="spellEnd"/>
      <w:r w:rsidRPr="003C4855">
        <w:t xml:space="preserve">, </w:t>
      </w:r>
      <w:proofErr w:type="spellStart"/>
      <w:r w:rsidRPr="003C4855">
        <w:t>hexachlorinated</w:t>
      </w:r>
      <w:proofErr w:type="spellEnd"/>
      <w:r w:rsidRPr="003C4855">
        <w:t xml:space="preserve"> </w:t>
      </w:r>
      <w:proofErr w:type="spellStart"/>
      <w:r w:rsidRPr="003C4855">
        <w:t>naphthalenes</w:t>
      </w:r>
      <w:proofErr w:type="spellEnd"/>
      <w:r w:rsidRPr="003C4855">
        <w:t xml:space="preserve">, </w:t>
      </w:r>
      <w:proofErr w:type="spellStart"/>
      <w:r w:rsidRPr="003C4855">
        <w:t>heptachlorinated</w:t>
      </w:r>
      <w:proofErr w:type="spellEnd"/>
      <w:r w:rsidRPr="003C4855">
        <w:t xml:space="preserve"> </w:t>
      </w:r>
      <w:proofErr w:type="spellStart"/>
      <w:r w:rsidRPr="003C4855">
        <w:t>naphthalenes</w:t>
      </w:r>
      <w:proofErr w:type="spellEnd"/>
      <w:r w:rsidRPr="003C4855">
        <w:t xml:space="preserve"> and </w:t>
      </w:r>
      <w:proofErr w:type="spellStart"/>
      <w:r w:rsidRPr="003C4855">
        <w:t>octachlorinated</w:t>
      </w:r>
      <w:proofErr w:type="spellEnd"/>
      <w:r w:rsidRPr="003C4855">
        <w:t xml:space="preserve"> naphthalene (</w:t>
      </w:r>
      <w:proofErr w:type="spellStart"/>
      <w:r w:rsidRPr="003C4855">
        <w:t>di</w:t>
      </w:r>
      <w:proofErr w:type="spellEnd"/>
      <w:r w:rsidRPr="003C4855">
        <w:t xml:space="preserve">- to </w:t>
      </w:r>
      <w:proofErr w:type="spellStart"/>
      <w:r w:rsidRPr="003C4855">
        <w:t>octachlorinated</w:t>
      </w:r>
      <w:proofErr w:type="spellEnd"/>
      <w:r w:rsidRPr="003C4855">
        <w:t xml:space="preserve"> </w:t>
      </w:r>
      <w:proofErr w:type="spellStart"/>
      <w:r w:rsidRPr="003C4855">
        <w:t>naphthalenes</w:t>
      </w:r>
      <w:proofErr w:type="spellEnd"/>
      <w:r w:rsidRPr="003C4855">
        <w:t xml:space="preserve"> = polychlorinated </w:t>
      </w:r>
      <w:proofErr w:type="spellStart"/>
      <w:r w:rsidRPr="003C4855">
        <w:t>naphthalenes</w:t>
      </w:r>
      <w:proofErr w:type="spellEnd"/>
      <w:r w:rsidRPr="003C4855">
        <w:t xml:space="preserve"> = PCNs), are likely, as a result of their long</w:t>
      </w:r>
      <w:r w:rsidRPr="003C4855">
        <w:noBreakHyphen/>
        <w:t>range environmental transport, to lead to significant adverse human health and environmental effects such that global action is warranted</w:t>
      </w:r>
      <w:r>
        <w:t>,</w:t>
      </w:r>
      <w:r w:rsidRPr="00E85CD3">
        <w:t xml:space="preserve"> (2) to prepare a risk management evaluation that includes an analysis of possible control measures for</w:t>
      </w:r>
      <w:r>
        <w:t xml:space="preserve"> </w:t>
      </w:r>
      <w:r w:rsidRPr="00E85CD3">
        <w:t xml:space="preserve">chlorinated </w:t>
      </w:r>
      <w:proofErr w:type="spellStart"/>
      <w:r w:rsidRPr="00E85CD3">
        <w:t>naphthalenes</w:t>
      </w:r>
      <w:proofErr w:type="spellEnd"/>
      <w:r w:rsidRPr="00E85CD3">
        <w:t xml:space="preserve"> and (3) </w:t>
      </w:r>
      <w:r>
        <w:t xml:space="preserve">to </w:t>
      </w:r>
      <w:r w:rsidRPr="00E85CD3">
        <w:t xml:space="preserve">invite parties and observers to submit to the Secretariat the information specified in Annex F before 11 January 2013, as well as additional information relevant to Annex E in particular data on sources of emissions such as the production of chlorinated </w:t>
      </w:r>
      <w:proofErr w:type="spellStart"/>
      <w:r w:rsidRPr="00E85CD3">
        <w:t>naphthalenes</w:t>
      </w:r>
      <w:proofErr w:type="spellEnd"/>
      <w:r w:rsidRPr="00E85CD3">
        <w:t xml:space="preserve"> and/or unintentional releases.</w:t>
      </w:r>
    </w:p>
    <w:p w:rsidR="009E3021" w:rsidRPr="00E85CD3" w:rsidRDefault="009E3021" w:rsidP="00B1005D">
      <w:pPr>
        <w:pStyle w:val="Paralevel1"/>
        <w:numPr>
          <w:ilvl w:val="0"/>
          <w:numId w:val="24"/>
        </w:numPr>
        <w:ind w:left="0" w:firstLine="0"/>
      </w:pPr>
      <w:r>
        <w:t xml:space="preserve">CNs </w:t>
      </w:r>
      <w:r w:rsidRPr="00E85CD3">
        <w:t xml:space="preserve">comprise of 75 possible congeners in eight homologue groups with one to eight chlorine atoms substituted around the planar aromatic naphthalene molecule. CNs </w:t>
      </w:r>
      <w:proofErr w:type="gramStart"/>
      <w:r w:rsidRPr="00E85CD3">
        <w:t>have</w:t>
      </w:r>
      <w:proofErr w:type="gramEnd"/>
      <w:r w:rsidRPr="00E85CD3">
        <w:t xml:space="preserve"> historically been used as wood preservative, as additive to paints and engine oils, and for cable insulation and in capacitors. To date, intentional production of CN</w:t>
      </w:r>
      <w:r>
        <w:t>s</w:t>
      </w:r>
      <w:r w:rsidRPr="00E85CD3">
        <w:t xml:space="preserve"> is assumed to have ended</w:t>
      </w:r>
      <w:r>
        <w:t xml:space="preserve"> and</w:t>
      </w:r>
      <w:r w:rsidRPr="00E85CD3">
        <w:t xml:space="preserve"> CNs </w:t>
      </w:r>
      <w:proofErr w:type="gramStart"/>
      <w:r w:rsidRPr="00E85CD3">
        <w:t>have</w:t>
      </w:r>
      <w:proofErr w:type="gramEnd"/>
      <w:r w:rsidRPr="00E85CD3">
        <w:t xml:space="preserve"> been substituted by other chemicals, however, remaining use is still possible. To limit possibly remaining uses and to prevent re-introduction of other uses, listing of</w:t>
      </w:r>
      <w:r>
        <w:t xml:space="preserve"> </w:t>
      </w:r>
      <w:r w:rsidRPr="00E85CD3">
        <w:t xml:space="preserve">PCNs in Annex A without any specific exemptions could be the primary control measure for intentional sources under the Convention. As a consequence </w:t>
      </w:r>
      <w:r>
        <w:t>P</w:t>
      </w:r>
      <w:r w:rsidRPr="00E85CD3">
        <w:t xml:space="preserve">CNs would be submitted to the provisions of Article 3 of the convention and the objective to eliminate their production, use, import and export. Health and environment could benefit from listing </w:t>
      </w:r>
      <w:r>
        <w:t>P</w:t>
      </w:r>
      <w:r w:rsidRPr="00E85CD3">
        <w:t xml:space="preserve">CNs in Annex A as the re-introduction of </w:t>
      </w:r>
      <w:r>
        <w:t>P</w:t>
      </w:r>
      <w:r w:rsidRPr="00E85CD3">
        <w:t>CNs and related risks would be prevented. A beneficial effect could be expected as any currently unidentified production and use around the world should end. Relevant negative impacts on health, environment and society are not expected</w:t>
      </w:r>
      <w:r>
        <w:t xml:space="preserve"> from the listing of PCNs</w:t>
      </w:r>
      <w:r w:rsidRPr="00E85CD3">
        <w:t>.</w:t>
      </w:r>
    </w:p>
    <w:p w:rsidR="009E3021" w:rsidRPr="00E85CD3" w:rsidRDefault="009E3021" w:rsidP="00B1005D">
      <w:pPr>
        <w:pStyle w:val="Paralevel1"/>
        <w:numPr>
          <w:ilvl w:val="0"/>
          <w:numId w:val="24"/>
        </w:numPr>
        <w:ind w:left="0" w:firstLine="0"/>
      </w:pPr>
      <w:r w:rsidRPr="00E85CD3">
        <w:t xml:space="preserve">CNs </w:t>
      </w:r>
      <w:proofErr w:type="gramStart"/>
      <w:r w:rsidRPr="00E85CD3">
        <w:t>are</w:t>
      </w:r>
      <w:proofErr w:type="gramEnd"/>
      <w:r w:rsidRPr="00E85CD3">
        <w:t xml:space="preserve"> unintentionally generated during high-temperature industrial processes. Of the known releases, combustion (primarily waste incineration) is considered the most </w:t>
      </w:r>
      <w:r>
        <w:t xml:space="preserve">significant </w:t>
      </w:r>
      <w:r w:rsidRPr="00E85CD3">
        <w:t>current source. CNs are also unintentionally generated with similar mechanisms as PCDD/Fs during other industrial processes such as smelting in the secondary non-ferrous metal industry, c</w:t>
      </w:r>
      <w:r w:rsidRPr="00B1005D">
        <w:t>ement and magnesia production, aluminum refining and coking.</w:t>
      </w:r>
      <w:r w:rsidRPr="00E85CD3">
        <w:t xml:space="preserve"> Listing of </w:t>
      </w:r>
      <w:r>
        <w:t>P</w:t>
      </w:r>
      <w:r w:rsidRPr="00E85CD3">
        <w:t xml:space="preserve">CNs in Annex C would subject this substance group to the measures under Article 5 of the Convention and establish the goal of continuing minimization and, where feasible, ultimate elimination of </w:t>
      </w:r>
      <w:r>
        <w:t>P</w:t>
      </w:r>
      <w:r w:rsidRPr="00E85CD3">
        <w:t>CN</w:t>
      </w:r>
      <w:r>
        <w:t>s</w:t>
      </w:r>
      <w:r w:rsidRPr="00E85CD3">
        <w:t xml:space="preserve"> releases. This would include an obligation to promote best available techniques (BAT) and best environmental practices (BEP) for CN</w:t>
      </w:r>
      <w:r>
        <w:t>s</w:t>
      </w:r>
      <w:r w:rsidRPr="00E85CD3">
        <w:t xml:space="preserve"> sources. Measures that reduce the release of PCDD/F emissions will also reduce CN</w:t>
      </w:r>
      <w:r>
        <w:t>s</w:t>
      </w:r>
      <w:r w:rsidRPr="00E85CD3">
        <w:t xml:space="preserve"> emissions. BAT and BEP relevant to unintentionally produced PCDD/Fs for various types of incinerators are available and already widely applied. Measures to reduce unintentional releases of </w:t>
      </w:r>
      <w:r>
        <w:t>P</w:t>
      </w:r>
      <w:r w:rsidRPr="00E85CD3">
        <w:t>CNs through listing in Annex C would positively impact human health and the environment. Additional costs for monitoring, enforcement and supervision are considered to be low as the control measures for other PCDD/Fs are already applied.</w:t>
      </w:r>
    </w:p>
    <w:p w:rsidR="009E3021" w:rsidRPr="00E85CD3" w:rsidRDefault="009E3021" w:rsidP="00B1005D">
      <w:pPr>
        <w:pStyle w:val="Paralevel1"/>
        <w:numPr>
          <w:ilvl w:val="0"/>
          <w:numId w:val="24"/>
        </w:numPr>
        <w:ind w:left="0" w:firstLine="0"/>
      </w:pPr>
      <w:r w:rsidRPr="00E85CD3">
        <w:t xml:space="preserve">CNs can be unintentionally released from landfills or old appliances (stockpiles). Listing of </w:t>
      </w:r>
      <w:r>
        <w:t>P</w:t>
      </w:r>
      <w:r w:rsidRPr="00E85CD3">
        <w:t xml:space="preserve">CNs in Annex A or C would subject </w:t>
      </w:r>
      <w:r>
        <w:t>P</w:t>
      </w:r>
      <w:r w:rsidRPr="00E85CD3">
        <w:t xml:space="preserve">CNs to the measures under Article 6 of the Convention and establish the goal of identifying stockpiles consisting of or containing </w:t>
      </w:r>
      <w:r>
        <w:t>P</w:t>
      </w:r>
      <w:r w:rsidRPr="00E85CD3">
        <w:t xml:space="preserve">CNs and managing them in a safe, efficient and environmentally sound manner. </w:t>
      </w:r>
      <w:r w:rsidRPr="00B1005D">
        <w:t xml:space="preserve">Stocks of CNs are particularly occurring in conjunction with PCBs (i.e. in PCB containing waste disposals and PCB containing equipment). </w:t>
      </w:r>
      <w:r w:rsidRPr="00E85CD3">
        <w:t xml:space="preserve">Parties to the convention have already introduced measures to identify and manage PCB stockpiles. Measures in place with respect of PCB stockpiles will also efficiently reduce releases of </w:t>
      </w:r>
      <w:r>
        <w:t>P</w:t>
      </w:r>
      <w:r w:rsidRPr="00E85CD3">
        <w:t>CNs from stockpiles. Health and environment would benefit from reduced releases. Additional costs would not arise.</w:t>
      </w:r>
    </w:p>
    <w:p w:rsidR="009E3021" w:rsidRPr="00E85CD3" w:rsidRDefault="009E3021" w:rsidP="00B1005D">
      <w:pPr>
        <w:pStyle w:val="Paralevel1"/>
        <w:numPr>
          <w:ilvl w:val="0"/>
          <w:numId w:val="24"/>
        </w:numPr>
        <w:ind w:left="0" w:firstLine="0"/>
      </w:pPr>
      <w:r w:rsidRPr="00E85CD3">
        <w:t xml:space="preserve">Having prepared a risk management evaluation and considered the management options, in accordance with paragraph 9 of Article 8 of the Convention, the Committee recommends the Conference of the Parties to the Stockholm Convention to consider listing and specifying the related control measures for </w:t>
      </w:r>
      <w:r>
        <w:t>P</w:t>
      </w:r>
      <w:r w:rsidRPr="00E85CD3">
        <w:t>CNs in Annexes A and C.</w:t>
      </w:r>
    </w:p>
    <w:p w:rsidR="009E3021" w:rsidRPr="00E85CD3" w:rsidRDefault="009E3021" w:rsidP="00B1005D">
      <w:pPr>
        <w:pStyle w:val="Paralevel1"/>
      </w:pPr>
    </w:p>
    <w:p w:rsidR="009E3021" w:rsidRPr="00E85CD3" w:rsidRDefault="009E3021" w:rsidP="00B1005D">
      <w:pPr>
        <w:pStyle w:val="Paralevel1"/>
      </w:pPr>
      <w:r w:rsidRPr="00E85CD3">
        <w:br w:type="page"/>
      </w:r>
    </w:p>
    <w:p w:rsidR="009E3021" w:rsidRPr="00E85CD3" w:rsidRDefault="009E3021" w:rsidP="00856DDC">
      <w:pPr>
        <w:pStyle w:val="Heading1"/>
        <w:numPr>
          <w:ilvl w:val="0"/>
          <w:numId w:val="11"/>
        </w:numPr>
        <w:spacing w:after="120"/>
        <w:ind w:left="986" w:hanging="629"/>
      </w:pPr>
      <w:bookmarkStart w:id="2" w:name="_Toc346637139"/>
      <w:bookmarkStart w:id="3" w:name="_Toc352069534"/>
      <w:r w:rsidRPr="00E85CD3">
        <w:t>Introduction</w:t>
      </w:r>
      <w:bookmarkEnd w:id="2"/>
      <w:bookmarkEnd w:id="3"/>
    </w:p>
    <w:p w:rsidR="009E3021" w:rsidRPr="00E85CD3" w:rsidRDefault="009E3021" w:rsidP="00856DDC">
      <w:pPr>
        <w:pStyle w:val="Heading2"/>
        <w:spacing w:after="120"/>
        <w:jc w:val="left"/>
      </w:pPr>
      <w:bookmarkStart w:id="4" w:name="_Toc346637140"/>
      <w:bookmarkStart w:id="5" w:name="_Toc352069535"/>
      <w:r w:rsidRPr="00E85CD3">
        <w:t xml:space="preserve">1.1 </w:t>
      </w:r>
      <w:r w:rsidRPr="00E85CD3">
        <w:tab/>
        <w:t>Chemical identity of the proposed substance</w:t>
      </w:r>
      <w:bookmarkEnd w:id="4"/>
      <w:r w:rsidRPr="00E85CD3">
        <w:t xml:space="preserve"> (source: </w:t>
      </w:r>
      <w:r w:rsidRPr="00E85CD3">
        <w:rPr>
          <w:lang w:val="en-US"/>
        </w:rPr>
        <w:t>UNEP/POPS/POPRC.8/16/Add.1)</w:t>
      </w:r>
      <w:bookmarkEnd w:id="5"/>
    </w:p>
    <w:p w:rsidR="009E3021" w:rsidRPr="00E85CD3" w:rsidRDefault="009E3021" w:rsidP="00B1005D">
      <w:pPr>
        <w:pStyle w:val="Paralevel1"/>
        <w:numPr>
          <w:ilvl w:val="0"/>
          <w:numId w:val="24"/>
        </w:numPr>
        <w:ind w:left="0" w:firstLine="0"/>
      </w:pPr>
      <w:r w:rsidRPr="00E85CD3">
        <w:t xml:space="preserve">The European Union and its </w:t>
      </w:r>
      <w:smartTag w:uri="urn:schemas-microsoft-com:office:smarttags" w:element="place">
        <w:smartTag w:uri="urn:schemas-microsoft-com:office:smarttags" w:element="PlaceName">
          <w:r w:rsidRPr="00E85CD3">
            <w:t>Member</w:t>
          </w:r>
        </w:smartTag>
        <w:r w:rsidRPr="00E85CD3">
          <w:t xml:space="preserve"> </w:t>
        </w:r>
        <w:smartTag w:uri="urn:schemas-microsoft-com:office:smarttags" w:element="PlaceType">
          <w:r w:rsidRPr="00E85CD3">
            <w:t>States</w:t>
          </w:r>
        </w:smartTag>
      </w:smartTag>
      <w:r w:rsidRPr="00E85CD3">
        <w:t xml:space="preserve"> submitted a proposal to list </w:t>
      </w:r>
      <w:r>
        <w:t>P</w:t>
      </w:r>
      <w:r w:rsidRPr="00E85CD3">
        <w:t>CNs in Annex A, B or C of the Stockholm Convention on 10 May 2011 (UNEP/POPS/POPRC.7/2) together with a detailed dossier to support the proposal (UNEP/POPS/POPRC.7/INF/3).</w:t>
      </w:r>
    </w:p>
    <w:p w:rsidR="009E3021" w:rsidRPr="00E85CD3" w:rsidRDefault="009E3021" w:rsidP="00B1005D">
      <w:pPr>
        <w:pStyle w:val="Paralevel1"/>
        <w:numPr>
          <w:ilvl w:val="0"/>
          <w:numId w:val="24"/>
        </w:numPr>
        <w:ind w:left="0" w:firstLine="0"/>
      </w:pPr>
      <w:r w:rsidRPr="00E85CD3">
        <w:t xml:space="preserve">Chlorinated </w:t>
      </w:r>
      <w:proofErr w:type="spellStart"/>
      <w:r w:rsidRPr="00E85CD3">
        <w:t>naphthalenes</w:t>
      </w:r>
      <w:proofErr w:type="spellEnd"/>
      <w:r w:rsidRPr="00E85CD3">
        <w:t xml:space="preserve"> comprise of 75 possible congeners in eight homologue groups with one to eight chlorine atoms substituted around the planar aromatic </w:t>
      </w:r>
      <w:r w:rsidRPr="00375288">
        <w:t xml:space="preserve">naphthalene molecule. </w:t>
      </w:r>
      <w:r w:rsidRPr="00725D11">
        <w:t xml:space="preserve">The homologue groups considered in this report are </w:t>
      </w:r>
      <w:proofErr w:type="spellStart"/>
      <w:r w:rsidRPr="00725D11">
        <w:t>dichlorinated</w:t>
      </w:r>
      <w:proofErr w:type="spellEnd"/>
      <w:r w:rsidRPr="00725D11">
        <w:t xml:space="preserve"> naphthalene (</w:t>
      </w:r>
      <w:proofErr w:type="spellStart"/>
      <w:r w:rsidRPr="00725D11">
        <w:t>di</w:t>
      </w:r>
      <w:proofErr w:type="spellEnd"/>
      <w:r w:rsidRPr="00725D11">
        <w:t xml:space="preserve">-CNs), </w:t>
      </w:r>
      <w:proofErr w:type="spellStart"/>
      <w:r w:rsidRPr="00725D11">
        <w:t>trichlorinated</w:t>
      </w:r>
      <w:proofErr w:type="spellEnd"/>
      <w:r w:rsidRPr="00725D11">
        <w:t xml:space="preserve"> naphthalene (tri-CNs), </w:t>
      </w:r>
      <w:proofErr w:type="spellStart"/>
      <w:r w:rsidRPr="00725D11">
        <w:t>tetrachlorinated</w:t>
      </w:r>
      <w:proofErr w:type="spellEnd"/>
      <w:r w:rsidRPr="00725D11">
        <w:t xml:space="preserve"> </w:t>
      </w:r>
      <w:proofErr w:type="spellStart"/>
      <w:r w:rsidRPr="00725D11">
        <w:t>naphthalenes</w:t>
      </w:r>
      <w:proofErr w:type="spellEnd"/>
      <w:r w:rsidRPr="00725D11">
        <w:t xml:space="preserve"> (tetra-CNs), </w:t>
      </w:r>
      <w:proofErr w:type="spellStart"/>
      <w:r w:rsidRPr="00725D11">
        <w:t>pentachlorinated</w:t>
      </w:r>
      <w:proofErr w:type="spellEnd"/>
      <w:r w:rsidRPr="00725D11">
        <w:t xml:space="preserve"> </w:t>
      </w:r>
      <w:proofErr w:type="spellStart"/>
      <w:r w:rsidRPr="00725D11">
        <w:t>naphthalenes</w:t>
      </w:r>
      <w:proofErr w:type="spellEnd"/>
      <w:r w:rsidRPr="00725D11">
        <w:t xml:space="preserve"> (</w:t>
      </w:r>
      <w:proofErr w:type="spellStart"/>
      <w:r w:rsidRPr="00725D11">
        <w:t>penta</w:t>
      </w:r>
      <w:proofErr w:type="spellEnd"/>
      <w:r w:rsidRPr="00725D11">
        <w:t xml:space="preserve">-CNs), </w:t>
      </w:r>
      <w:proofErr w:type="spellStart"/>
      <w:r w:rsidRPr="00725D11">
        <w:t>hexachlorinated</w:t>
      </w:r>
      <w:proofErr w:type="spellEnd"/>
      <w:r w:rsidRPr="00725D11">
        <w:t xml:space="preserve"> naphthalene (</w:t>
      </w:r>
      <w:proofErr w:type="spellStart"/>
      <w:r w:rsidRPr="00725D11">
        <w:t>hexa</w:t>
      </w:r>
      <w:proofErr w:type="spellEnd"/>
      <w:r w:rsidRPr="00725D11">
        <w:t xml:space="preserve">-CNs), </w:t>
      </w:r>
      <w:proofErr w:type="spellStart"/>
      <w:r w:rsidRPr="00725D11">
        <w:t>heptachlorinated</w:t>
      </w:r>
      <w:proofErr w:type="spellEnd"/>
      <w:r w:rsidRPr="00725D11">
        <w:t xml:space="preserve"> </w:t>
      </w:r>
      <w:proofErr w:type="spellStart"/>
      <w:r w:rsidRPr="00725D11">
        <w:t>naphthalenes</w:t>
      </w:r>
      <w:proofErr w:type="spellEnd"/>
      <w:r w:rsidRPr="00725D11">
        <w:t xml:space="preserve"> (</w:t>
      </w:r>
      <w:proofErr w:type="spellStart"/>
      <w:r w:rsidRPr="00725D11">
        <w:t>hepta</w:t>
      </w:r>
      <w:proofErr w:type="spellEnd"/>
      <w:r w:rsidRPr="00725D11">
        <w:t xml:space="preserve">-CNs), </w:t>
      </w:r>
      <w:proofErr w:type="spellStart"/>
      <w:proofErr w:type="gramStart"/>
      <w:r w:rsidRPr="00725D11">
        <w:t>octachlorinated</w:t>
      </w:r>
      <w:proofErr w:type="spellEnd"/>
      <w:proofErr w:type="gramEnd"/>
      <w:r w:rsidRPr="00725D11">
        <w:t xml:space="preserve"> </w:t>
      </w:r>
      <w:proofErr w:type="spellStart"/>
      <w:r w:rsidRPr="00725D11">
        <w:t>naphthalenes</w:t>
      </w:r>
      <w:proofErr w:type="spellEnd"/>
      <w:r w:rsidRPr="00725D11">
        <w:t xml:space="preserve"> (</w:t>
      </w:r>
      <w:proofErr w:type="spellStart"/>
      <w:r w:rsidRPr="00725D11">
        <w:t>octa</w:t>
      </w:r>
      <w:proofErr w:type="spellEnd"/>
      <w:r w:rsidRPr="00725D11">
        <w:t>-CN).</w:t>
      </w:r>
      <w:r w:rsidRPr="00375288">
        <w:t xml:space="preserve"> They are</w:t>
      </w:r>
      <w:r w:rsidRPr="00E85CD3">
        <w:t xml:space="preserve"> structurally similar to the polychlorinated biphenyls (PCBs), which were listed in the Stockholm Convention upon its adoption in 2001.</w:t>
      </w:r>
    </w:p>
    <w:p w:rsidR="009E3021" w:rsidRPr="00E85CD3" w:rsidRDefault="009E3021" w:rsidP="00B1005D">
      <w:pPr>
        <w:pStyle w:val="Paralevel1"/>
        <w:numPr>
          <w:ilvl w:val="0"/>
          <w:numId w:val="24"/>
        </w:numPr>
        <w:ind w:left="0" w:firstLine="0"/>
      </w:pPr>
      <w:r w:rsidRPr="00E85CD3">
        <w:t xml:space="preserve">CNs </w:t>
      </w:r>
      <w:proofErr w:type="gramStart"/>
      <w:r w:rsidRPr="00E85CD3">
        <w:t>have</w:t>
      </w:r>
      <w:proofErr w:type="gramEnd"/>
      <w:r w:rsidRPr="00E85CD3">
        <w:t xml:space="preserve"> historically been used as wood preservation, as additive to paints and engine oils, and for cable insulation and in capacitors. While CN</w:t>
      </w:r>
      <w:r>
        <w:t>s</w:t>
      </w:r>
      <w:r w:rsidRPr="00E85CD3">
        <w:t xml:space="preserve"> uses have been ceased, they are also present in PCB formulations and are unintentionally produced during combustion processes and in industrial installations.</w:t>
      </w:r>
    </w:p>
    <w:p w:rsidR="009E3021" w:rsidRPr="00E85CD3" w:rsidRDefault="009E3021" w:rsidP="00B1005D">
      <w:pPr>
        <w:pStyle w:val="Paralevel1"/>
      </w:pPr>
    </w:p>
    <w:p w:rsidR="009E3021" w:rsidRPr="00E85CD3" w:rsidRDefault="009E3021" w:rsidP="00F576C9">
      <w:pPr>
        <w:autoSpaceDE w:val="0"/>
        <w:spacing w:after="120"/>
        <w:jc w:val="both"/>
        <w:rPr>
          <w:bCs/>
          <w:i/>
          <w:sz w:val="20"/>
        </w:rPr>
      </w:pPr>
      <w:r w:rsidRPr="00E85CD3">
        <w:rPr>
          <w:bCs/>
          <w:i/>
          <w:sz w:val="20"/>
        </w:rPr>
        <w:t>Name and registry number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6213"/>
      </w:tblGrid>
      <w:tr w:rsidR="009E3021" w:rsidRPr="00E85CD3" w:rsidTr="007E1FA0">
        <w:tc>
          <w:tcPr>
            <w:tcW w:w="3255" w:type="dxa"/>
          </w:tcPr>
          <w:p w:rsidR="009E3021" w:rsidRPr="00B014C3" w:rsidRDefault="009E3021" w:rsidP="00FB6D9D">
            <w:pPr>
              <w:pStyle w:val="Normal-pool"/>
              <w:rPr>
                <w:sz w:val="20"/>
                <w:szCs w:val="20"/>
              </w:rPr>
            </w:pPr>
            <w:r w:rsidRPr="00B014C3">
              <w:rPr>
                <w:sz w:val="20"/>
                <w:szCs w:val="20"/>
              </w:rPr>
              <w:t xml:space="preserve">Common name: </w:t>
            </w:r>
          </w:p>
        </w:tc>
        <w:tc>
          <w:tcPr>
            <w:tcW w:w="6213" w:type="dxa"/>
          </w:tcPr>
          <w:p w:rsidR="009E3021" w:rsidRPr="00B014C3" w:rsidRDefault="009E3021" w:rsidP="00FB6D9D">
            <w:pPr>
              <w:pStyle w:val="Normal-pool"/>
              <w:rPr>
                <w:sz w:val="20"/>
                <w:szCs w:val="20"/>
              </w:rPr>
            </w:pPr>
            <w:r w:rsidRPr="00B014C3">
              <w:rPr>
                <w:sz w:val="20"/>
                <w:szCs w:val="20"/>
              </w:rPr>
              <w:t xml:space="preserve">Chlorinated </w:t>
            </w:r>
            <w:proofErr w:type="spellStart"/>
            <w:r w:rsidRPr="00B014C3">
              <w:rPr>
                <w:sz w:val="20"/>
                <w:szCs w:val="20"/>
              </w:rPr>
              <w:t>naphthalenes</w:t>
            </w:r>
            <w:proofErr w:type="spellEnd"/>
          </w:p>
        </w:tc>
      </w:tr>
      <w:tr w:rsidR="009E3021" w:rsidRPr="00E85CD3" w:rsidTr="007E1FA0">
        <w:tc>
          <w:tcPr>
            <w:tcW w:w="3255" w:type="dxa"/>
          </w:tcPr>
          <w:p w:rsidR="009E3021" w:rsidRPr="00B014C3" w:rsidRDefault="009E3021" w:rsidP="00FB6D9D">
            <w:pPr>
              <w:pStyle w:val="Normal-pool"/>
              <w:rPr>
                <w:sz w:val="20"/>
                <w:szCs w:val="20"/>
              </w:rPr>
            </w:pPr>
            <w:r w:rsidRPr="00B014C3">
              <w:rPr>
                <w:sz w:val="20"/>
                <w:szCs w:val="20"/>
              </w:rPr>
              <w:t>IUPAC names and numbers and CAS registry numbers of the 75 congeners:</w:t>
            </w:r>
          </w:p>
        </w:tc>
        <w:tc>
          <w:tcPr>
            <w:tcW w:w="6213" w:type="dxa"/>
          </w:tcPr>
          <w:p w:rsidR="009E3021" w:rsidRPr="00B014C3" w:rsidRDefault="009E3021" w:rsidP="00FB6D9D">
            <w:pPr>
              <w:pStyle w:val="Normal-pool"/>
              <w:rPr>
                <w:sz w:val="20"/>
                <w:szCs w:val="20"/>
              </w:rPr>
            </w:pPr>
            <w:r w:rsidRPr="00B014C3">
              <w:rPr>
                <w:sz w:val="20"/>
                <w:szCs w:val="20"/>
              </w:rPr>
              <w:t xml:space="preserve">see Annex 1 of </w:t>
            </w:r>
            <w:r w:rsidRPr="00B014C3">
              <w:rPr>
                <w:sz w:val="20"/>
                <w:szCs w:val="20"/>
                <w:lang w:val="en-US"/>
              </w:rPr>
              <w:t>UNEP/POPS/POPRC.8/16/Add.1</w:t>
            </w:r>
          </w:p>
        </w:tc>
      </w:tr>
      <w:tr w:rsidR="009E3021" w:rsidRPr="006C3C9A" w:rsidTr="007E1FA0">
        <w:tc>
          <w:tcPr>
            <w:tcW w:w="3255" w:type="dxa"/>
          </w:tcPr>
          <w:p w:rsidR="009E3021" w:rsidRPr="00B014C3" w:rsidRDefault="009E3021" w:rsidP="00FB6D9D">
            <w:pPr>
              <w:pStyle w:val="Normal-pool"/>
              <w:rPr>
                <w:sz w:val="20"/>
                <w:szCs w:val="20"/>
              </w:rPr>
            </w:pPr>
            <w:r w:rsidRPr="00B014C3">
              <w:rPr>
                <w:sz w:val="20"/>
                <w:szCs w:val="20"/>
              </w:rPr>
              <w:t>Synonyms:</w:t>
            </w:r>
          </w:p>
        </w:tc>
        <w:tc>
          <w:tcPr>
            <w:tcW w:w="6213" w:type="dxa"/>
          </w:tcPr>
          <w:p w:rsidR="009E3021" w:rsidRPr="006C3C9A" w:rsidRDefault="009E3021" w:rsidP="00FB6D9D">
            <w:pPr>
              <w:pStyle w:val="Normal-pool"/>
              <w:rPr>
                <w:sz w:val="20"/>
                <w:szCs w:val="20"/>
                <w:lang w:val="da-DK"/>
              </w:rPr>
            </w:pPr>
            <w:r w:rsidRPr="006C3C9A">
              <w:rPr>
                <w:sz w:val="20"/>
                <w:szCs w:val="20"/>
                <w:lang w:val="da-DK"/>
              </w:rPr>
              <w:t>PCN, polychlorinated naphthalenes,  CNs, naphthalene chloro- derivatives</w:t>
            </w:r>
            <w:r w:rsidRPr="00B014C3">
              <w:rPr>
                <w:rStyle w:val="FootnoteReference"/>
                <w:sz w:val="20"/>
                <w:szCs w:val="20"/>
              </w:rPr>
              <w:footnoteReference w:id="1"/>
            </w:r>
            <w:r w:rsidRPr="006C3C9A">
              <w:rPr>
                <w:sz w:val="20"/>
                <w:szCs w:val="20"/>
                <w:vertAlign w:val="superscript"/>
                <w:lang w:val="da-DK"/>
              </w:rPr>
              <w:t>,</w:t>
            </w:r>
            <w:r w:rsidRPr="00B014C3">
              <w:rPr>
                <w:rStyle w:val="FootnoteReference"/>
                <w:sz w:val="20"/>
                <w:szCs w:val="20"/>
              </w:rPr>
              <w:footnoteReference w:id="2"/>
            </w:r>
            <w:r w:rsidRPr="006C3C9A">
              <w:rPr>
                <w:sz w:val="20"/>
                <w:szCs w:val="20"/>
                <w:vertAlign w:val="superscript"/>
                <w:lang w:val="da-DK"/>
              </w:rPr>
              <w:t xml:space="preserve"> </w:t>
            </w:r>
          </w:p>
          <w:p w:rsidR="009E3021" w:rsidRPr="006C3C9A" w:rsidRDefault="009E3021" w:rsidP="00FB6D9D">
            <w:pPr>
              <w:pStyle w:val="Normal-pool"/>
              <w:rPr>
                <w:sz w:val="20"/>
                <w:szCs w:val="20"/>
                <w:lang w:val="da-DK"/>
              </w:rPr>
            </w:pPr>
          </w:p>
        </w:tc>
      </w:tr>
      <w:tr w:rsidR="009E3021" w:rsidRPr="00E85CD3" w:rsidTr="007E1FA0">
        <w:tc>
          <w:tcPr>
            <w:tcW w:w="3255" w:type="dxa"/>
          </w:tcPr>
          <w:p w:rsidR="009E3021" w:rsidRPr="00B014C3" w:rsidRDefault="009E3021" w:rsidP="00FB6D9D">
            <w:pPr>
              <w:pStyle w:val="Normal-pool"/>
              <w:rPr>
                <w:sz w:val="20"/>
                <w:szCs w:val="20"/>
              </w:rPr>
            </w:pPr>
            <w:r w:rsidRPr="00B014C3">
              <w:rPr>
                <w:sz w:val="20"/>
                <w:szCs w:val="20"/>
              </w:rPr>
              <w:t>CAS registry number:</w:t>
            </w:r>
          </w:p>
        </w:tc>
        <w:tc>
          <w:tcPr>
            <w:tcW w:w="6213" w:type="dxa"/>
          </w:tcPr>
          <w:p w:rsidR="009E3021" w:rsidRPr="00492306" w:rsidRDefault="009E3021" w:rsidP="00FB6D9D">
            <w:pPr>
              <w:pStyle w:val="Normal-pool"/>
              <w:rPr>
                <w:lang w:val="es-ES"/>
              </w:rPr>
            </w:pPr>
            <w:r w:rsidRPr="00B014C3">
              <w:rPr>
                <w:sz w:val="20"/>
                <w:szCs w:val="20"/>
              </w:rPr>
              <w:t>70776</w:t>
            </w:r>
            <w:r w:rsidRPr="00492306">
              <w:rPr>
                <w:lang w:val="es-ES"/>
              </w:rPr>
              <w:t xml:space="preserve">-03-3 </w:t>
            </w:r>
          </w:p>
        </w:tc>
      </w:tr>
    </w:tbl>
    <w:p w:rsidR="009E3021" w:rsidRPr="00E85CD3" w:rsidRDefault="009E3021" w:rsidP="00B1005D">
      <w:pPr>
        <w:pStyle w:val="Paralevel1"/>
      </w:pPr>
    </w:p>
    <w:p w:rsidR="009E3021" w:rsidRPr="00E85CD3" w:rsidRDefault="009E3021" w:rsidP="00B1005D">
      <w:pPr>
        <w:pStyle w:val="Paralevel1"/>
        <w:numPr>
          <w:ilvl w:val="0"/>
          <w:numId w:val="24"/>
        </w:numPr>
        <w:ind w:left="0" w:firstLine="0"/>
      </w:pPr>
      <w:r w:rsidRPr="00E85CD3">
        <w:t xml:space="preserve">The system of nomenclature for CNs is similar to that for polychlorinated biphenyls. Most of the industrially produced CNs </w:t>
      </w:r>
      <w:proofErr w:type="gramStart"/>
      <w:r w:rsidRPr="00E85CD3">
        <w:t>are</w:t>
      </w:r>
      <w:proofErr w:type="gramEnd"/>
      <w:r w:rsidRPr="00E85CD3">
        <w:t xml:space="preserve"> mixtures of several congeners. Table A2-1 in Annex 2 of </w:t>
      </w:r>
      <w:r w:rsidRPr="00B1005D">
        <w:t>UNEP/POPS/POPRC.8/16/Add.1</w:t>
      </w:r>
      <w:r w:rsidRPr="00E85CD3">
        <w:t xml:space="preserve">displays the composition of several </w:t>
      </w:r>
      <w:proofErr w:type="spellStart"/>
      <w:r w:rsidRPr="00E85CD3">
        <w:t>Halowaxes</w:t>
      </w:r>
      <w:proofErr w:type="spellEnd"/>
      <w:r w:rsidRPr="00E85CD3">
        <w:t xml:space="preserve"> according to analytical measurements (data adapted from Environment Canada, 2011 and </w:t>
      </w:r>
      <w:proofErr w:type="spellStart"/>
      <w:r w:rsidRPr="00E85CD3">
        <w:t>Falandysz</w:t>
      </w:r>
      <w:proofErr w:type="spellEnd"/>
      <w:r w:rsidRPr="00E85CD3">
        <w:t xml:space="preserve"> et al., 2008). Other commercial mixtures and trade names are </w:t>
      </w:r>
      <w:proofErr w:type="spellStart"/>
      <w:r w:rsidRPr="00E85CD3">
        <w:t>Basileum</w:t>
      </w:r>
      <w:proofErr w:type="spellEnd"/>
      <w:r w:rsidRPr="00E85CD3">
        <w:t xml:space="preserve"> SP</w:t>
      </w:r>
      <w:r w:rsidRPr="00E85CD3">
        <w:noBreakHyphen/>
        <w:t xml:space="preserve">70, </w:t>
      </w:r>
      <w:proofErr w:type="spellStart"/>
      <w:r w:rsidRPr="00E85CD3">
        <w:t>Nibren</w:t>
      </w:r>
      <w:proofErr w:type="spellEnd"/>
      <w:r w:rsidRPr="00E85CD3">
        <w:t xml:space="preserve"> wax D88, </w:t>
      </w:r>
      <w:proofErr w:type="spellStart"/>
      <w:r w:rsidRPr="00E85CD3">
        <w:t>Nibren</w:t>
      </w:r>
      <w:proofErr w:type="spellEnd"/>
      <w:r w:rsidRPr="00E85CD3">
        <w:t xml:space="preserve"> wax D116N, </w:t>
      </w:r>
      <w:proofErr w:type="spellStart"/>
      <w:r w:rsidRPr="00E85CD3">
        <w:t>Nibren</w:t>
      </w:r>
      <w:proofErr w:type="spellEnd"/>
      <w:r w:rsidRPr="00E85CD3">
        <w:t xml:space="preserve"> wax D130, </w:t>
      </w:r>
      <w:proofErr w:type="spellStart"/>
      <w:r w:rsidRPr="00E85CD3">
        <w:t>Seekay</w:t>
      </w:r>
      <w:proofErr w:type="spellEnd"/>
      <w:r w:rsidRPr="00E85CD3">
        <w:t xml:space="preserve"> wax R68, </w:t>
      </w:r>
      <w:proofErr w:type="spellStart"/>
      <w:r w:rsidRPr="00E85CD3">
        <w:t>Seekay</w:t>
      </w:r>
      <w:proofErr w:type="spellEnd"/>
      <w:r w:rsidRPr="00E85CD3">
        <w:t xml:space="preserve"> wax R93, </w:t>
      </w:r>
      <w:proofErr w:type="spellStart"/>
      <w:r w:rsidRPr="00E85CD3">
        <w:t>Seekay</w:t>
      </w:r>
      <w:proofErr w:type="spellEnd"/>
      <w:r w:rsidRPr="00E85CD3">
        <w:t xml:space="preserve"> wax R123, </w:t>
      </w:r>
      <w:proofErr w:type="spellStart"/>
      <w:r w:rsidRPr="00E85CD3">
        <w:t>Seekay</w:t>
      </w:r>
      <w:proofErr w:type="spellEnd"/>
      <w:r w:rsidRPr="00E85CD3">
        <w:t xml:space="preserve"> wax R700, </w:t>
      </w:r>
      <w:proofErr w:type="spellStart"/>
      <w:r w:rsidRPr="00E85CD3">
        <w:t>Seekay</w:t>
      </w:r>
      <w:proofErr w:type="spellEnd"/>
      <w:r w:rsidRPr="00E85CD3">
        <w:t xml:space="preserve"> wax RC93, </w:t>
      </w:r>
      <w:proofErr w:type="spellStart"/>
      <w:r w:rsidRPr="00E85CD3">
        <w:t>Seekay</w:t>
      </w:r>
      <w:proofErr w:type="spellEnd"/>
      <w:r w:rsidRPr="00E85CD3">
        <w:t xml:space="preserve"> wax RC123, </w:t>
      </w:r>
      <w:proofErr w:type="spellStart"/>
      <w:r w:rsidRPr="00E85CD3">
        <w:t>Chlonacire</w:t>
      </w:r>
      <w:proofErr w:type="spellEnd"/>
      <w:r w:rsidRPr="00E85CD3">
        <w:t xml:space="preserve"> wax 115, </w:t>
      </w:r>
      <w:proofErr w:type="spellStart"/>
      <w:r w:rsidRPr="00E85CD3">
        <w:t>Chlonacire</w:t>
      </w:r>
      <w:proofErr w:type="spellEnd"/>
      <w:r w:rsidRPr="00E85CD3">
        <w:t xml:space="preserve"> wax 95, </w:t>
      </w:r>
      <w:proofErr w:type="spellStart"/>
      <w:r w:rsidRPr="00E85CD3">
        <w:t>Chlonacire</w:t>
      </w:r>
      <w:proofErr w:type="spellEnd"/>
      <w:r w:rsidRPr="00E85CD3">
        <w:t xml:space="preserve"> wax 130 (</w:t>
      </w:r>
      <w:proofErr w:type="spellStart"/>
      <w:r w:rsidRPr="00E85CD3">
        <w:t>Jakobsson</w:t>
      </w:r>
      <w:proofErr w:type="spellEnd"/>
      <w:r w:rsidRPr="00E85CD3">
        <w:t xml:space="preserve"> and </w:t>
      </w:r>
      <w:proofErr w:type="spellStart"/>
      <w:r w:rsidRPr="00E85CD3">
        <w:t>Asplund</w:t>
      </w:r>
      <w:proofErr w:type="spellEnd"/>
      <w:r w:rsidRPr="00E85CD3">
        <w:t xml:space="preserve">, 2000) and </w:t>
      </w:r>
      <w:proofErr w:type="spellStart"/>
      <w:r w:rsidRPr="00E85CD3">
        <w:t>Cerifal</w:t>
      </w:r>
      <w:proofErr w:type="spellEnd"/>
      <w:r w:rsidRPr="00E85CD3">
        <w:t xml:space="preserve"> Materials (</w:t>
      </w:r>
      <w:proofErr w:type="spellStart"/>
      <w:r w:rsidRPr="00E85CD3">
        <w:t>Falandysz</w:t>
      </w:r>
      <w:proofErr w:type="spellEnd"/>
      <w:r w:rsidRPr="00E85CD3">
        <w:t>, 1998). The physical state ranges from thin liquids to hard waxes (IPCS, 2001).</w:t>
      </w:r>
    </w:p>
    <w:p w:rsidR="009E3021" w:rsidRPr="00E85CD3" w:rsidRDefault="009E3021" w:rsidP="00B1005D">
      <w:pPr>
        <w:pStyle w:val="Paralevel1"/>
        <w:numPr>
          <w:ilvl w:val="0"/>
          <w:numId w:val="24"/>
        </w:numPr>
        <w:ind w:left="0" w:firstLine="0"/>
      </w:pPr>
      <w:r w:rsidRPr="00E85CD3">
        <w:t xml:space="preserve">While several analytical challenges are associated with the exact determination of CNs the current methods are similar to analytical methods used for PCBs. It is based on carbon clean-up (from matrices) and fractionation followed by high-resolution gas chromatography/high-resolution mass spectrometry (HRGC/HRMS) for low levels CNs/high selectivity. However fewer than half of the possible congeners are available commercially and </w:t>
      </w:r>
      <w:proofErr w:type="spellStart"/>
      <w:r w:rsidRPr="00E85CD3">
        <w:t>isotopically</w:t>
      </w:r>
      <w:proofErr w:type="spellEnd"/>
      <w:r w:rsidRPr="00E85CD3">
        <w:t xml:space="preserve"> labelled CNs are available for only a few congeners e.g. no 13C-labeled tri-CN</w:t>
      </w:r>
      <w:r>
        <w:t>s</w:t>
      </w:r>
      <w:r w:rsidRPr="00E85CD3">
        <w:t xml:space="preserve"> is available (</w:t>
      </w:r>
      <w:proofErr w:type="spellStart"/>
      <w:r w:rsidRPr="00E85CD3">
        <w:t>Kucklick</w:t>
      </w:r>
      <w:proofErr w:type="spellEnd"/>
      <w:r w:rsidRPr="00E85CD3">
        <w:t xml:space="preserve"> and Helm, 2006).</w:t>
      </w:r>
    </w:p>
    <w:p w:rsidR="009E3021" w:rsidRPr="00E85CD3" w:rsidRDefault="009E3021" w:rsidP="00F576C9">
      <w:pPr>
        <w:autoSpaceDE w:val="0"/>
        <w:spacing w:after="120"/>
        <w:jc w:val="both"/>
        <w:rPr>
          <w:bCs/>
          <w:i/>
          <w:sz w:val="20"/>
        </w:rPr>
      </w:pPr>
      <w:r w:rsidRPr="00E85CD3">
        <w:rPr>
          <w:bCs/>
          <w:i/>
          <w:sz w:val="20"/>
        </w:rPr>
        <w:t>Structures</w:t>
      </w:r>
    </w:p>
    <w:tbl>
      <w:tblPr>
        <w:tblW w:w="0" w:type="auto"/>
        <w:tblLook w:val="01E0"/>
      </w:tblPr>
      <w:tblGrid>
        <w:gridCol w:w="2160"/>
        <w:gridCol w:w="7374"/>
      </w:tblGrid>
      <w:tr w:rsidR="009E3021" w:rsidRPr="00E85CD3" w:rsidTr="00FB6D9D">
        <w:tc>
          <w:tcPr>
            <w:tcW w:w="2160" w:type="dxa"/>
          </w:tcPr>
          <w:p w:rsidR="009E3021" w:rsidRPr="00B014C3" w:rsidRDefault="009E3021" w:rsidP="00FB6D9D">
            <w:pPr>
              <w:pStyle w:val="Normal-pool"/>
              <w:rPr>
                <w:sz w:val="20"/>
                <w:szCs w:val="20"/>
              </w:rPr>
            </w:pPr>
            <w:r w:rsidRPr="00B014C3">
              <w:rPr>
                <w:sz w:val="20"/>
                <w:szCs w:val="20"/>
              </w:rPr>
              <w:t>Molecular formula:</w:t>
            </w:r>
          </w:p>
        </w:tc>
        <w:tc>
          <w:tcPr>
            <w:tcW w:w="7374" w:type="dxa"/>
          </w:tcPr>
          <w:p w:rsidR="009E3021" w:rsidRPr="00B014C3" w:rsidRDefault="009E3021" w:rsidP="00FB6D9D">
            <w:pPr>
              <w:pStyle w:val="Normal-pool"/>
              <w:rPr>
                <w:sz w:val="20"/>
                <w:szCs w:val="20"/>
                <w:vertAlign w:val="superscript"/>
              </w:rPr>
            </w:pPr>
            <w:r w:rsidRPr="00B014C3">
              <w:rPr>
                <w:sz w:val="20"/>
                <w:szCs w:val="20"/>
              </w:rPr>
              <w:t>C</w:t>
            </w:r>
            <w:r w:rsidRPr="00B014C3">
              <w:rPr>
                <w:sz w:val="20"/>
                <w:szCs w:val="20"/>
                <w:vertAlign w:val="subscript"/>
              </w:rPr>
              <w:t>10</w:t>
            </w:r>
            <w:r w:rsidRPr="00B014C3">
              <w:rPr>
                <w:sz w:val="20"/>
                <w:szCs w:val="20"/>
              </w:rPr>
              <w:t>H</w:t>
            </w:r>
            <w:r w:rsidRPr="00B014C3">
              <w:rPr>
                <w:sz w:val="20"/>
                <w:szCs w:val="20"/>
                <w:vertAlign w:val="subscript"/>
              </w:rPr>
              <w:t>8-n</w:t>
            </w:r>
            <w:r w:rsidRPr="00B014C3">
              <w:rPr>
                <w:sz w:val="20"/>
                <w:szCs w:val="20"/>
              </w:rPr>
              <w:t>Cl</w:t>
            </w:r>
            <w:r w:rsidRPr="00B014C3">
              <w:rPr>
                <w:sz w:val="20"/>
                <w:szCs w:val="20"/>
                <w:vertAlign w:val="subscript"/>
              </w:rPr>
              <w:t>n</w:t>
            </w:r>
          </w:p>
        </w:tc>
      </w:tr>
      <w:tr w:rsidR="009E3021" w:rsidRPr="00E85CD3" w:rsidTr="00FB6D9D">
        <w:tc>
          <w:tcPr>
            <w:tcW w:w="2160" w:type="dxa"/>
          </w:tcPr>
          <w:p w:rsidR="009E3021" w:rsidRPr="00B014C3" w:rsidRDefault="009E3021" w:rsidP="00FB6D9D">
            <w:pPr>
              <w:pStyle w:val="Normal-pool"/>
              <w:rPr>
                <w:sz w:val="20"/>
                <w:szCs w:val="20"/>
              </w:rPr>
            </w:pPr>
            <w:r w:rsidRPr="00B014C3">
              <w:rPr>
                <w:sz w:val="20"/>
                <w:szCs w:val="20"/>
              </w:rPr>
              <w:t>Molecular weight:</w:t>
            </w:r>
          </w:p>
        </w:tc>
        <w:tc>
          <w:tcPr>
            <w:tcW w:w="7374" w:type="dxa"/>
          </w:tcPr>
          <w:p w:rsidR="009E3021" w:rsidRPr="00B014C3" w:rsidRDefault="009E3021" w:rsidP="00FB6D9D">
            <w:pPr>
              <w:pStyle w:val="Normal-pool"/>
              <w:rPr>
                <w:sz w:val="20"/>
                <w:szCs w:val="20"/>
              </w:rPr>
            </w:pPr>
            <w:r w:rsidRPr="00B014C3">
              <w:rPr>
                <w:sz w:val="20"/>
                <w:szCs w:val="20"/>
              </w:rPr>
              <w:t xml:space="preserve">see </w:t>
            </w:r>
            <w:fldSimple w:instr=" REF _Ref348622773 \h  \* MERGEFORMAT ">
              <w:r w:rsidR="00E37912" w:rsidRPr="00E37912">
                <w:rPr>
                  <w:sz w:val="20"/>
                  <w:szCs w:val="20"/>
                </w:rPr>
                <w:t>Table 1</w:t>
              </w:r>
            </w:fldSimple>
          </w:p>
        </w:tc>
      </w:tr>
      <w:tr w:rsidR="009E3021" w:rsidRPr="00E85CD3" w:rsidTr="00FB6D9D">
        <w:tc>
          <w:tcPr>
            <w:tcW w:w="9534" w:type="dxa"/>
            <w:gridSpan w:val="2"/>
          </w:tcPr>
          <w:p w:rsidR="009E3021" w:rsidRPr="00B014C3" w:rsidRDefault="009E3021" w:rsidP="00F85A96">
            <w:pPr>
              <w:pStyle w:val="Normal-pool"/>
              <w:rPr>
                <w:sz w:val="20"/>
                <w:szCs w:val="20"/>
              </w:rPr>
            </w:pPr>
            <w:r w:rsidRPr="00B014C3">
              <w:rPr>
                <w:sz w:val="20"/>
                <w:szCs w:val="20"/>
              </w:rPr>
              <w:t xml:space="preserve">Chemical structure showing the carbon atom numbering system and the potential positions for chlorine atom substitution (source: UNEP/POPS/POPRC.7/INF/3) </w:t>
            </w:r>
          </w:p>
          <w:p w:rsidR="009E3021" w:rsidRPr="00E85CD3" w:rsidRDefault="003E5AD1" w:rsidP="00FB6D9D">
            <w:pPr>
              <w:keepNext/>
              <w:autoSpaceDE w:val="0"/>
            </w:pPr>
            <w:r w:rsidRPr="003E5AD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68.75pt;height:78pt;visibility:visible">
                  <v:imagedata r:id="rId8" o:title=""/>
                </v:shape>
              </w:pict>
            </w:r>
          </w:p>
        </w:tc>
      </w:tr>
    </w:tbl>
    <w:p w:rsidR="009E3021" w:rsidRPr="00E85CD3" w:rsidRDefault="009E3021" w:rsidP="000F2971">
      <w:pPr>
        <w:autoSpaceDE w:val="0"/>
        <w:spacing w:before="120"/>
        <w:jc w:val="both"/>
        <w:rPr>
          <w:bCs/>
          <w:i/>
          <w:sz w:val="20"/>
        </w:rPr>
      </w:pPr>
      <w:r w:rsidRPr="00E85CD3">
        <w:rPr>
          <w:bCs/>
          <w:i/>
          <w:sz w:val="20"/>
        </w:rPr>
        <w:lastRenderedPageBreak/>
        <w:t>Physical and chemical properties of different homologue groups</w:t>
      </w:r>
    </w:p>
    <w:p w:rsidR="009E3021" w:rsidRPr="0073687E" w:rsidRDefault="009E3021" w:rsidP="00B1005D">
      <w:pPr>
        <w:pStyle w:val="Paralevel1"/>
        <w:numPr>
          <w:ilvl w:val="0"/>
          <w:numId w:val="24"/>
        </w:numPr>
        <w:ind w:left="0" w:firstLine="0"/>
      </w:pPr>
      <w:proofErr w:type="spellStart"/>
      <w:r w:rsidRPr="0073687E">
        <w:t>Physico</w:t>
      </w:r>
      <w:proofErr w:type="spellEnd"/>
      <w:r w:rsidRPr="0073687E">
        <w:t xml:space="preserve">-chemical properties vary considerable due to the degree of chlorine substitution. Tri- to </w:t>
      </w:r>
      <w:proofErr w:type="spellStart"/>
      <w:r w:rsidRPr="0073687E">
        <w:t>octa</w:t>
      </w:r>
      <w:proofErr w:type="spellEnd"/>
      <w:r w:rsidRPr="0073687E">
        <w:t xml:space="preserve">-CNs are very </w:t>
      </w:r>
      <w:proofErr w:type="spellStart"/>
      <w:r w:rsidRPr="0073687E">
        <w:t>lipophilic</w:t>
      </w:r>
      <w:proofErr w:type="spellEnd"/>
      <w:r w:rsidRPr="0073687E">
        <w:t xml:space="preserve"> with high log </w:t>
      </w:r>
      <w:proofErr w:type="spellStart"/>
      <w:r w:rsidRPr="0073687E">
        <w:t>K</w:t>
      </w:r>
      <w:r w:rsidRPr="00B1005D">
        <w:t>ow</w:t>
      </w:r>
      <w:proofErr w:type="spellEnd"/>
      <w:r w:rsidRPr="0073687E">
        <w:t xml:space="preserve"> (&gt;5). Log </w:t>
      </w:r>
      <w:proofErr w:type="spellStart"/>
      <w:r w:rsidRPr="0073687E">
        <w:t>K</w:t>
      </w:r>
      <w:r w:rsidRPr="00B1005D">
        <w:t>ow</w:t>
      </w:r>
      <w:proofErr w:type="spellEnd"/>
      <w:r w:rsidRPr="0073687E">
        <w:t xml:space="preserve"> values in </w:t>
      </w:r>
      <w:fldSimple w:instr=" REF _Ref348622773 \h  \* MERGEFORMAT ">
        <w:r w:rsidR="00E37912" w:rsidRPr="0073687E">
          <w:t>Table 1</w:t>
        </w:r>
      </w:fldSimple>
      <w:r w:rsidRPr="0073687E">
        <w:t xml:space="preserve"> are experimentally determined whereas Annex 1 (note: of UNEP/POPS/POPRC.8/16/Add.1) contains Quantitative Structure–Property Relationship (QSPR) modelled values (</w:t>
      </w:r>
      <w:proofErr w:type="spellStart"/>
      <w:r w:rsidRPr="0073687E">
        <w:t>Puzyn</w:t>
      </w:r>
      <w:proofErr w:type="spellEnd"/>
      <w:r w:rsidRPr="0073687E">
        <w:t xml:space="preserve"> and </w:t>
      </w:r>
      <w:proofErr w:type="spellStart"/>
      <w:r w:rsidRPr="0073687E">
        <w:t>Falandysz</w:t>
      </w:r>
      <w:proofErr w:type="spellEnd"/>
      <w:r w:rsidRPr="0073687E">
        <w:t>, 2007). Modelled values were lower for the more chlorinated congeners.</w:t>
      </w:r>
    </w:p>
    <w:p w:rsidR="009E3021" w:rsidRPr="0073687E" w:rsidRDefault="009E3021" w:rsidP="00B1005D">
      <w:pPr>
        <w:pStyle w:val="Paralevel1"/>
        <w:numPr>
          <w:ilvl w:val="0"/>
          <w:numId w:val="24"/>
        </w:numPr>
        <w:ind w:left="0" w:firstLine="0"/>
      </w:pPr>
      <w:r w:rsidRPr="0073687E">
        <w:t xml:space="preserve">Water solubility and vapour pressure decrease with the degree of chlorination. Di-CNs </w:t>
      </w:r>
      <w:proofErr w:type="gramStart"/>
      <w:r w:rsidRPr="0073687E">
        <w:t>are</w:t>
      </w:r>
      <w:proofErr w:type="gramEnd"/>
      <w:r w:rsidRPr="0073687E">
        <w:t xml:space="preserve"> slightly soluble in water while the higher chlorinated </w:t>
      </w:r>
      <w:proofErr w:type="spellStart"/>
      <w:r w:rsidRPr="0073687E">
        <w:t>naphthalenes</w:t>
      </w:r>
      <w:proofErr w:type="spellEnd"/>
      <w:r w:rsidRPr="0073687E">
        <w:t xml:space="preserve"> have a water solubility of a few µg/L. For chemicals with low water solubility measured values have a higher uncertainty (Environment Canada, 2011) (cf. </w:t>
      </w:r>
      <w:fldSimple w:instr=" REF _Ref348622773 \h  \* MERGEFORMAT ">
        <w:r w:rsidR="00E37912" w:rsidRPr="0073687E">
          <w:t>Table 1</w:t>
        </w:r>
      </w:fldSimple>
      <w:r w:rsidRPr="0073687E">
        <w:t xml:space="preserve">, values in brackets are estimated values with WSKOWWIN version1.41, EPISUITE). </w:t>
      </w:r>
      <w:proofErr w:type="spellStart"/>
      <w:r w:rsidRPr="0073687E">
        <w:t>Puzyn</w:t>
      </w:r>
      <w:proofErr w:type="spellEnd"/>
      <w:r w:rsidRPr="0073687E">
        <w:t xml:space="preserve"> et al. (2009) developed a QSPR model to estimate the water solubility, log </w:t>
      </w:r>
      <w:proofErr w:type="spellStart"/>
      <w:r w:rsidRPr="0073687E">
        <w:t>K</w:t>
      </w:r>
      <w:r w:rsidRPr="00B1005D">
        <w:t>ow</w:t>
      </w:r>
      <w:proofErr w:type="spellEnd"/>
      <w:r w:rsidRPr="0073687E">
        <w:t>, K</w:t>
      </w:r>
      <w:r w:rsidRPr="00B1005D">
        <w:t>oa</w:t>
      </w:r>
      <w:r w:rsidRPr="0073687E">
        <w:t>, K</w:t>
      </w:r>
      <w:r w:rsidRPr="00B1005D">
        <w:t>aw</w:t>
      </w:r>
      <w:r w:rsidRPr="0073687E">
        <w:t xml:space="preserve"> and the Henry´s Law Constant for all 75 congeners. The estimates for water solubility are lower than the values given in </w:t>
      </w:r>
      <w:fldSimple w:instr=" REF _Ref348622773 \h  \* MERGEFORMAT ">
        <w:r w:rsidR="00E37912" w:rsidRPr="0073687E">
          <w:t>Table 1</w:t>
        </w:r>
      </w:fldSimple>
      <w:r w:rsidRPr="0073687E">
        <w:t>. Values of these modelled endpoints are listed in Annex 1 (note: of UNEP/POPS/POPRC.8/16/Add.1). The range of log K</w:t>
      </w:r>
      <w:r w:rsidRPr="00B1005D">
        <w:t>oa</w:t>
      </w:r>
      <w:r w:rsidRPr="0073687E">
        <w:t xml:space="preserve"> and log K</w:t>
      </w:r>
      <w:r w:rsidRPr="00B1005D">
        <w:t>aw</w:t>
      </w:r>
      <w:r w:rsidRPr="0073687E">
        <w:t xml:space="preserve"> are summarized for the different homolog groups in </w:t>
      </w:r>
      <w:fldSimple w:instr=" REF _Ref348622773 \h  \* MERGEFORMAT ">
        <w:r w:rsidR="00E37912" w:rsidRPr="0073687E">
          <w:t>Table 1</w:t>
        </w:r>
      </w:fldSimple>
      <w:r w:rsidRPr="0073687E">
        <w:t xml:space="preserve">. </w:t>
      </w:r>
    </w:p>
    <w:p w:rsidR="009E3021" w:rsidRPr="0073687E" w:rsidRDefault="009E3021" w:rsidP="00B1005D">
      <w:pPr>
        <w:pStyle w:val="Paralevel1"/>
        <w:numPr>
          <w:ilvl w:val="0"/>
          <w:numId w:val="24"/>
        </w:numPr>
        <w:ind w:left="0" w:firstLine="0"/>
      </w:pPr>
      <w:r w:rsidRPr="0073687E">
        <w:t xml:space="preserve">CNs in the gas phase </w:t>
      </w:r>
      <w:proofErr w:type="gramStart"/>
      <w:r w:rsidRPr="0073687E">
        <w:t>are</w:t>
      </w:r>
      <w:proofErr w:type="gramEnd"/>
      <w:r w:rsidRPr="0073687E">
        <w:t xml:space="preserve"> attached to particles due to their </w:t>
      </w:r>
      <w:proofErr w:type="spellStart"/>
      <w:r w:rsidRPr="0073687E">
        <w:t>semivolatility</w:t>
      </w:r>
      <w:proofErr w:type="spellEnd"/>
      <w:r w:rsidRPr="0073687E">
        <w:t xml:space="preserve">. Based on the Henry´s Law constant volatilization from moist soil surfaces and water is expected for </w:t>
      </w:r>
      <w:proofErr w:type="spellStart"/>
      <w:r w:rsidRPr="0073687E">
        <w:t>di</w:t>
      </w:r>
      <w:proofErr w:type="spellEnd"/>
      <w:r w:rsidRPr="0073687E">
        <w:t xml:space="preserve">-CNs to </w:t>
      </w:r>
      <w:proofErr w:type="spellStart"/>
      <w:r w:rsidRPr="0073687E">
        <w:t>hexa</w:t>
      </w:r>
      <w:proofErr w:type="spellEnd"/>
      <w:r w:rsidRPr="0073687E">
        <w:t xml:space="preserve">-CNs (HSDB, 2012). The UV spectra of CNs show strong absorbance maxima between 220 and 275 nm and weaker maxima between 275 and 345 nm. The absorption maxima are shifted towards longer wavelengths as the chlorine degree increases (according to Brinkman and </w:t>
      </w:r>
      <w:proofErr w:type="spellStart"/>
      <w:r w:rsidRPr="0073687E">
        <w:t>Reymer</w:t>
      </w:r>
      <w:proofErr w:type="spellEnd"/>
      <w:r w:rsidRPr="0073687E">
        <w:t xml:space="preserve">, 1976 in </w:t>
      </w:r>
      <w:proofErr w:type="spellStart"/>
      <w:r w:rsidRPr="0073687E">
        <w:t>Jakobsson</w:t>
      </w:r>
      <w:proofErr w:type="spellEnd"/>
      <w:r w:rsidRPr="0073687E">
        <w:t xml:space="preserve"> and </w:t>
      </w:r>
      <w:proofErr w:type="spellStart"/>
      <w:r w:rsidRPr="0073687E">
        <w:t>Asplund</w:t>
      </w:r>
      <w:proofErr w:type="spellEnd"/>
      <w:r w:rsidRPr="0073687E">
        <w:t>, 2000).</w:t>
      </w:r>
    </w:p>
    <w:p w:rsidR="009E3021" w:rsidRPr="0073687E" w:rsidRDefault="009E3021" w:rsidP="00B1005D">
      <w:pPr>
        <w:pStyle w:val="Paralevel1"/>
        <w:numPr>
          <w:ilvl w:val="0"/>
          <w:numId w:val="24"/>
        </w:numPr>
        <w:ind w:left="0" w:firstLine="0"/>
      </w:pPr>
      <w:r w:rsidRPr="0073687E">
        <w:t xml:space="preserve">Pure chlorinated </w:t>
      </w:r>
      <w:proofErr w:type="spellStart"/>
      <w:r w:rsidRPr="0073687E">
        <w:t>naphthalenes</w:t>
      </w:r>
      <w:proofErr w:type="spellEnd"/>
      <w:r w:rsidRPr="0073687E">
        <w:t xml:space="preserve"> are colourless, crystalline compounds (</w:t>
      </w:r>
      <w:proofErr w:type="spellStart"/>
      <w:r w:rsidRPr="0073687E">
        <w:t>lndian</w:t>
      </w:r>
      <w:proofErr w:type="spellEnd"/>
      <w:r w:rsidRPr="0073687E">
        <w:t xml:space="preserve"> Institute of Science, 2011, submitted Annex E information by Thailand).</w:t>
      </w:r>
    </w:p>
    <w:p w:rsidR="009E3021" w:rsidRPr="00E85CD3" w:rsidRDefault="009E3021" w:rsidP="003F1F27">
      <w:pPr>
        <w:pStyle w:val="Caption"/>
        <w:rPr>
          <w:bCs/>
          <w:sz w:val="20"/>
          <w:lang w:eastAsia="ar-SA"/>
        </w:rPr>
      </w:pPr>
      <w:bookmarkStart w:id="6" w:name="_Ref348622773"/>
      <w:r w:rsidRPr="00E85CD3">
        <w:rPr>
          <w:sz w:val="20"/>
        </w:rPr>
        <w:t xml:space="preserve">Table </w:t>
      </w:r>
      <w:r w:rsidR="003E5AD1" w:rsidRPr="00E85CD3">
        <w:rPr>
          <w:sz w:val="20"/>
        </w:rPr>
        <w:fldChar w:fldCharType="begin"/>
      </w:r>
      <w:r w:rsidRPr="00E85CD3">
        <w:rPr>
          <w:sz w:val="20"/>
        </w:rPr>
        <w:instrText xml:space="preserve"> SEQ Table \* ARABIC </w:instrText>
      </w:r>
      <w:r w:rsidR="003E5AD1" w:rsidRPr="00E85CD3">
        <w:rPr>
          <w:sz w:val="20"/>
        </w:rPr>
        <w:fldChar w:fldCharType="separate"/>
      </w:r>
      <w:r w:rsidR="00E37912">
        <w:rPr>
          <w:noProof/>
          <w:sz w:val="20"/>
        </w:rPr>
        <w:t>1</w:t>
      </w:r>
      <w:r w:rsidR="003E5AD1" w:rsidRPr="00E85CD3">
        <w:rPr>
          <w:sz w:val="20"/>
        </w:rPr>
        <w:fldChar w:fldCharType="end"/>
      </w:r>
      <w:bookmarkEnd w:id="6"/>
      <w:r w:rsidRPr="00E85CD3">
        <w:rPr>
          <w:sz w:val="20"/>
        </w:rPr>
        <w:t>:</w:t>
      </w:r>
      <w:r w:rsidRPr="00E85CD3">
        <w:rPr>
          <w:sz w:val="20"/>
        </w:rPr>
        <w:tab/>
      </w:r>
      <w:r w:rsidRPr="00E85CD3">
        <w:rPr>
          <w:bCs/>
          <w:sz w:val="20"/>
          <w:lang w:eastAsia="ar-SA"/>
        </w:rPr>
        <w:t>Selected physical and chemical property (table modified from Environment Canada, 2011)</w:t>
      </w:r>
    </w:p>
    <w:tbl>
      <w:tblPr>
        <w:tblW w:w="9606"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966"/>
        <w:gridCol w:w="1080"/>
        <w:gridCol w:w="900"/>
        <w:gridCol w:w="1260"/>
        <w:gridCol w:w="900"/>
        <w:gridCol w:w="900"/>
        <w:gridCol w:w="1080"/>
        <w:gridCol w:w="900"/>
        <w:gridCol w:w="900"/>
        <w:gridCol w:w="720"/>
      </w:tblGrid>
      <w:tr w:rsidR="009E3021" w:rsidRPr="00E85CD3" w:rsidTr="000F2971">
        <w:trPr>
          <w:trHeight w:val="549"/>
          <w:tblHeader/>
        </w:trPr>
        <w:tc>
          <w:tcPr>
            <w:tcW w:w="966" w:type="dxa"/>
            <w:tcBorders>
              <w:top w:val="single" w:sz="8" w:space="0" w:color="000000"/>
              <w:bottom w:val="single" w:sz="8" w:space="0" w:color="000000"/>
              <w:right w:val="single" w:sz="8" w:space="0" w:color="000000"/>
            </w:tcBorders>
            <w:shd w:val="clear" w:color="auto" w:fill="D9D9D9"/>
          </w:tcPr>
          <w:p w:rsidR="009E3021" w:rsidRPr="00E85CD3" w:rsidRDefault="009E3021" w:rsidP="000F2971">
            <w:pPr>
              <w:autoSpaceDE w:val="0"/>
              <w:autoSpaceDN w:val="0"/>
              <w:adjustRightInd w:val="0"/>
              <w:jc w:val="center"/>
              <w:rPr>
                <w:b/>
                <w:bCs/>
                <w:sz w:val="16"/>
                <w:szCs w:val="16"/>
                <w:lang w:eastAsia="de-DE"/>
              </w:rPr>
            </w:pPr>
            <w:r w:rsidRPr="00E85CD3">
              <w:rPr>
                <w:b/>
                <w:bCs/>
                <w:sz w:val="16"/>
                <w:szCs w:val="16"/>
                <w:lang w:eastAsia="de-DE"/>
              </w:rPr>
              <w:t>Congeners</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rsidR="009E3021" w:rsidRPr="00E85CD3" w:rsidRDefault="009E3021" w:rsidP="000F2971">
            <w:pPr>
              <w:autoSpaceDE w:val="0"/>
              <w:autoSpaceDN w:val="0"/>
              <w:adjustRightInd w:val="0"/>
              <w:jc w:val="center"/>
              <w:rPr>
                <w:sz w:val="16"/>
                <w:szCs w:val="16"/>
                <w:lang w:eastAsia="de-DE"/>
              </w:rPr>
            </w:pPr>
            <w:r w:rsidRPr="00E85CD3">
              <w:rPr>
                <w:b/>
                <w:bCs/>
                <w:sz w:val="16"/>
                <w:szCs w:val="16"/>
                <w:lang w:eastAsia="de-DE"/>
              </w:rPr>
              <w:t xml:space="preserve">Molecular weight </w:t>
            </w:r>
          </w:p>
          <w:p w:rsidR="009E3021" w:rsidRPr="00E85CD3" w:rsidRDefault="009E3021" w:rsidP="000F2971">
            <w:pPr>
              <w:autoSpaceDE w:val="0"/>
              <w:autoSpaceDN w:val="0"/>
              <w:adjustRightInd w:val="0"/>
              <w:jc w:val="center"/>
              <w:rPr>
                <w:sz w:val="16"/>
                <w:szCs w:val="16"/>
                <w:lang w:eastAsia="de-DE"/>
              </w:rPr>
            </w:pPr>
            <w:r w:rsidRPr="00E85CD3">
              <w:rPr>
                <w:b/>
                <w:bCs/>
                <w:sz w:val="16"/>
                <w:szCs w:val="16"/>
                <w:lang w:eastAsia="de-DE"/>
              </w:rPr>
              <w:t>(g/mol)</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9E3021" w:rsidRPr="00E85CD3" w:rsidRDefault="009E3021" w:rsidP="000F2971">
            <w:pPr>
              <w:autoSpaceDE w:val="0"/>
              <w:autoSpaceDN w:val="0"/>
              <w:adjustRightInd w:val="0"/>
              <w:jc w:val="center"/>
              <w:rPr>
                <w:sz w:val="16"/>
                <w:szCs w:val="16"/>
                <w:lang w:eastAsia="de-DE"/>
              </w:rPr>
            </w:pPr>
            <w:r w:rsidRPr="00E85CD3">
              <w:rPr>
                <w:b/>
                <w:bCs/>
                <w:sz w:val="16"/>
                <w:szCs w:val="16"/>
                <w:lang w:eastAsia="de-DE"/>
              </w:rPr>
              <w:t>Solubility</w:t>
            </w:r>
          </w:p>
          <w:p w:rsidR="009E3021" w:rsidRPr="00E85CD3" w:rsidRDefault="009E3021" w:rsidP="000F2971">
            <w:pPr>
              <w:autoSpaceDE w:val="0"/>
              <w:autoSpaceDN w:val="0"/>
              <w:adjustRightInd w:val="0"/>
              <w:jc w:val="center"/>
              <w:rPr>
                <w:sz w:val="16"/>
                <w:szCs w:val="16"/>
                <w:lang w:eastAsia="de-DE"/>
              </w:rPr>
            </w:pPr>
            <w:r w:rsidRPr="00E85CD3">
              <w:rPr>
                <w:b/>
                <w:bCs/>
                <w:sz w:val="16"/>
                <w:szCs w:val="16"/>
                <w:lang w:eastAsia="de-DE"/>
              </w:rPr>
              <w:t>(</w:t>
            </w:r>
            <w:proofErr w:type="spellStart"/>
            <w:r w:rsidRPr="00E85CD3">
              <w:rPr>
                <w:b/>
                <w:bCs/>
                <w:sz w:val="16"/>
                <w:szCs w:val="16"/>
                <w:lang w:eastAsia="de-DE"/>
              </w:rPr>
              <w:t>μg</w:t>
            </w:r>
            <w:proofErr w:type="spellEnd"/>
            <w:r w:rsidRPr="00E85CD3">
              <w:rPr>
                <w:b/>
                <w:bCs/>
                <w:sz w:val="16"/>
                <w:szCs w:val="16"/>
                <w:lang w:eastAsia="de-DE"/>
              </w:rPr>
              <w:t xml:space="preserve">/L) </w:t>
            </w:r>
            <w:r w:rsidRPr="00E85CD3">
              <w:rPr>
                <w:b/>
                <w:bCs/>
                <w:sz w:val="16"/>
                <w:szCs w:val="16"/>
                <w:vertAlign w:val="superscript"/>
                <w:lang w:eastAsia="de-DE"/>
              </w:rPr>
              <w:t>a</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rsidR="009E3021" w:rsidRPr="00E85CD3" w:rsidRDefault="009E3021" w:rsidP="000F2971">
            <w:pPr>
              <w:autoSpaceDE w:val="0"/>
              <w:autoSpaceDN w:val="0"/>
              <w:adjustRightInd w:val="0"/>
              <w:jc w:val="center"/>
              <w:rPr>
                <w:sz w:val="16"/>
                <w:szCs w:val="16"/>
                <w:lang w:val="fr-BE" w:eastAsia="de-DE"/>
              </w:rPr>
            </w:pPr>
            <w:proofErr w:type="spellStart"/>
            <w:r w:rsidRPr="00E85CD3">
              <w:rPr>
                <w:b/>
                <w:bCs/>
                <w:sz w:val="16"/>
                <w:szCs w:val="16"/>
                <w:lang w:val="fr-BE" w:eastAsia="de-DE"/>
              </w:rPr>
              <w:t>Vapour</w:t>
            </w:r>
            <w:proofErr w:type="spellEnd"/>
            <w:r w:rsidRPr="00E85CD3">
              <w:rPr>
                <w:b/>
                <w:bCs/>
                <w:sz w:val="16"/>
                <w:szCs w:val="16"/>
                <w:lang w:val="fr-BE" w:eastAsia="de-DE"/>
              </w:rPr>
              <w:t xml:space="preserve"> pressure </w:t>
            </w:r>
          </w:p>
          <w:p w:rsidR="009E3021" w:rsidRPr="006C3C9A" w:rsidRDefault="00350273" w:rsidP="000F2971">
            <w:pPr>
              <w:keepNext/>
              <w:autoSpaceDE w:val="0"/>
              <w:autoSpaceDN w:val="0"/>
              <w:adjustRightInd w:val="0"/>
              <w:jc w:val="center"/>
              <w:outlineLvl w:val="0"/>
              <w:rPr>
                <w:sz w:val="16"/>
                <w:szCs w:val="16"/>
                <w:lang w:eastAsia="de-DE"/>
              </w:rPr>
            </w:pPr>
            <w:bookmarkStart w:id="7" w:name="_Toc352069536"/>
            <w:r w:rsidRPr="006C3C9A">
              <w:rPr>
                <w:b/>
                <w:bCs/>
                <w:sz w:val="16"/>
                <w:szCs w:val="16"/>
                <w:lang w:eastAsia="de-DE"/>
              </w:rPr>
              <w:t>(Pa)</w:t>
            </w:r>
            <w:r w:rsidRPr="006C3C9A">
              <w:rPr>
                <w:b/>
                <w:bCs/>
                <w:sz w:val="16"/>
                <w:szCs w:val="16"/>
                <w:vertAlign w:val="superscript"/>
                <w:lang w:eastAsia="de-DE"/>
              </w:rPr>
              <w:t>b</w:t>
            </w:r>
            <w:r w:rsidRPr="006C3C9A">
              <w:rPr>
                <w:b/>
                <w:bCs/>
                <w:sz w:val="16"/>
                <w:szCs w:val="16"/>
                <w:lang w:eastAsia="de-DE"/>
              </w:rPr>
              <w:t xml:space="preserve"> (sub-cooled liquid, 25</w:t>
            </w:r>
            <w:r w:rsidRPr="006C3C9A">
              <w:rPr>
                <w:sz w:val="16"/>
                <w:szCs w:val="16"/>
                <w:lang w:eastAsia="de-DE"/>
              </w:rPr>
              <w:t>°</w:t>
            </w:r>
            <w:r w:rsidRPr="006C3C9A">
              <w:rPr>
                <w:b/>
                <w:bCs/>
                <w:sz w:val="16"/>
                <w:szCs w:val="16"/>
                <w:lang w:eastAsia="de-DE"/>
              </w:rPr>
              <w:t>C)</w:t>
            </w:r>
            <w:bookmarkEnd w:id="7"/>
            <w:r w:rsidRPr="006C3C9A">
              <w:rPr>
                <w:b/>
                <w:bCs/>
                <w:sz w:val="16"/>
                <w:szCs w:val="16"/>
                <w:lang w:eastAsia="de-DE"/>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9E3021" w:rsidRPr="00E85CD3" w:rsidRDefault="009E3021" w:rsidP="000F2971">
            <w:pPr>
              <w:autoSpaceDE w:val="0"/>
              <w:autoSpaceDN w:val="0"/>
              <w:adjustRightInd w:val="0"/>
              <w:jc w:val="center"/>
              <w:rPr>
                <w:sz w:val="16"/>
                <w:szCs w:val="16"/>
                <w:lang w:eastAsia="de-DE"/>
              </w:rPr>
            </w:pPr>
            <w:r w:rsidRPr="00E85CD3">
              <w:rPr>
                <w:b/>
                <w:bCs/>
                <w:sz w:val="16"/>
                <w:szCs w:val="16"/>
                <w:lang w:eastAsia="de-DE"/>
              </w:rPr>
              <w:t xml:space="preserve">Henry’s law constant </w:t>
            </w:r>
          </w:p>
          <w:p w:rsidR="009E3021" w:rsidRPr="00E85CD3" w:rsidRDefault="009E3021" w:rsidP="000F2971">
            <w:pPr>
              <w:autoSpaceDE w:val="0"/>
              <w:autoSpaceDN w:val="0"/>
              <w:adjustRightInd w:val="0"/>
              <w:jc w:val="center"/>
              <w:rPr>
                <w:sz w:val="16"/>
                <w:szCs w:val="16"/>
                <w:lang w:eastAsia="de-DE"/>
              </w:rPr>
            </w:pPr>
            <w:r w:rsidRPr="00E85CD3">
              <w:rPr>
                <w:b/>
                <w:bCs/>
                <w:sz w:val="16"/>
                <w:szCs w:val="16"/>
                <w:lang w:eastAsia="de-DE"/>
              </w:rPr>
              <w:t>(Pa·m</w:t>
            </w:r>
            <w:r w:rsidRPr="00E85CD3">
              <w:rPr>
                <w:b/>
                <w:bCs/>
                <w:sz w:val="16"/>
                <w:szCs w:val="16"/>
                <w:vertAlign w:val="superscript"/>
                <w:lang w:eastAsia="de-DE"/>
              </w:rPr>
              <w:t>3</w:t>
            </w:r>
            <w:r w:rsidRPr="00E85CD3">
              <w:rPr>
                <w:b/>
                <w:bCs/>
                <w:sz w:val="16"/>
                <w:szCs w:val="16"/>
                <w:lang w:eastAsia="de-DE"/>
              </w:rPr>
              <w:t>/mol, 25</w:t>
            </w:r>
            <w:r w:rsidRPr="00E85CD3">
              <w:rPr>
                <w:sz w:val="16"/>
                <w:szCs w:val="16"/>
                <w:lang w:eastAsia="de-DE"/>
              </w:rPr>
              <w:t>°</w:t>
            </w:r>
            <w:r w:rsidRPr="00E85CD3">
              <w:rPr>
                <w:b/>
                <w:bCs/>
                <w:sz w:val="16"/>
                <w:szCs w:val="16"/>
                <w:lang w:eastAsia="de-DE"/>
              </w:rPr>
              <w:t>C)</w:t>
            </w:r>
            <w:r w:rsidRPr="00E85CD3">
              <w:rPr>
                <w:b/>
                <w:bCs/>
                <w:sz w:val="16"/>
                <w:szCs w:val="16"/>
                <w:vertAlign w:val="superscript"/>
                <w:lang w:eastAsia="de-DE"/>
              </w:rPr>
              <w:t>c</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9E3021" w:rsidRPr="00E85CD3" w:rsidRDefault="009E3021" w:rsidP="000F2971">
            <w:pPr>
              <w:autoSpaceDE w:val="0"/>
              <w:autoSpaceDN w:val="0"/>
              <w:adjustRightInd w:val="0"/>
              <w:jc w:val="center"/>
              <w:rPr>
                <w:sz w:val="16"/>
                <w:szCs w:val="16"/>
                <w:lang w:eastAsia="de-DE"/>
              </w:rPr>
            </w:pPr>
            <w:r w:rsidRPr="00E85CD3">
              <w:rPr>
                <w:b/>
                <w:bCs/>
                <w:sz w:val="16"/>
                <w:szCs w:val="16"/>
                <w:lang w:eastAsia="de-DE"/>
              </w:rPr>
              <w:t xml:space="preserve">Log </w:t>
            </w:r>
            <w:proofErr w:type="spellStart"/>
            <w:r w:rsidRPr="00E85CD3">
              <w:rPr>
                <w:b/>
                <w:bCs/>
                <w:sz w:val="16"/>
                <w:szCs w:val="16"/>
                <w:lang w:eastAsia="de-DE"/>
              </w:rPr>
              <w:t>K</w:t>
            </w:r>
            <w:r w:rsidRPr="00E85CD3">
              <w:rPr>
                <w:b/>
                <w:bCs/>
                <w:sz w:val="16"/>
                <w:szCs w:val="16"/>
                <w:vertAlign w:val="subscript"/>
                <w:lang w:eastAsia="de-DE"/>
              </w:rPr>
              <w:t>ow</w:t>
            </w:r>
            <w:proofErr w:type="spellEnd"/>
            <w:r w:rsidRPr="00E85CD3">
              <w:rPr>
                <w:b/>
                <w:bCs/>
                <w:sz w:val="16"/>
                <w:szCs w:val="16"/>
                <w:lang w:eastAsia="de-DE"/>
              </w:rPr>
              <w:t xml:space="preserve"> </w:t>
            </w:r>
            <w:r w:rsidRPr="00E85CD3">
              <w:rPr>
                <w:b/>
                <w:bCs/>
                <w:sz w:val="16"/>
                <w:szCs w:val="16"/>
                <w:vertAlign w:val="superscript"/>
                <w:lang w:eastAsia="de-DE"/>
              </w:rPr>
              <w:t>d</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rsidR="009E3021" w:rsidRPr="00E85CD3" w:rsidRDefault="009E3021" w:rsidP="000F2971">
            <w:pPr>
              <w:autoSpaceDE w:val="0"/>
              <w:autoSpaceDN w:val="0"/>
              <w:adjustRightInd w:val="0"/>
              <w:jc w:val="center"/>
              <w:rPr>
                <w:b/>
                <w:bCs/>
                <w:sz w:val="16"/>
                <w:szCs w:val="16"/>
                <w:lang w:eastAsia="de-DE"/>
              </w:rPr>
            </w:pPr>
            <w:r w:rsidRPr="00E85CD3">
              <w:rPr>
                <w:b/>
                <w:bCs/>
                <w:sz w:val="16"/>
                <w:szCs w:val="16"/>
                <w:lang w:eastAsia="de-DE"/>
              </w:rPr>
              <w:t xml:space="preserve">Log </w:t>
            </w:r>
            <w:proofErr w:type="spellStart"/>
            <w:r w:rsidRPr="00E85CD3">
              <w:rPr>
                <w:b/>
                <w:bCs/>
                <w:sz w:val="16"/>
                <w:szCs w:val="16"/>
                <w:lang w:eastAsia="de-DE"/>
              </w:rPr>
              <w:t>K</w:t>
            </w:r>
            <w:r w:rsidRPr="00E85CD3">
              <w:rPr>
                <w:b/>
                <w:bCs/>
                <w:sz w:val="16"/>
                <w:szCs w:val="16"/>
                <w:vertAlign w:val="subscript"/>
                <w:lang w:eastAsia="de-DE"/>
              </w:rPr>
              <w:t>oa</w:t>
            </w:r>
            <w:r w:rsidRPr="00E85CD3">
              <w:rPr>
                <w:b/>
                <w:bCs/>
                <w:sz w:val="16"/>
                <w:szCs w:val="16"/>
                <w:vertAlign w:val="superscript"/>
                <w:lang w:eastAsia="de-DE"/>
              </w:rPr>
              <w:t>e</w:t>
            </w:r>
            <w:proofErr w:type="spellEnd"/>
          </w:p>
        </w:tc>
        <w:tc>
          <w:tcPr>
            <w:tcW w:w="900" w:type="dxa"/>
            <w:tcBorders>
              <w:top w:val="single" w:sz="8" w:space="0" w:color="000000"/>
              <w:left w:val="single" w:sz="8" w:space="0" w:color="000000"/>
              <w:bottom w:val="single" w:sz="8" w:space="0" w:color="000000"/>
              <w:right w:val="single" w:sz="8" w:space="0" w:color="000000"/>
            </w:tcBorders>
            <w:shd w:val="clear" w:color="auto" w:fill="D9D9D9"/>
          </w:tcPr>
          <w:p w:rsidR="009E3021" w:rsidRPr="00E85CD3" w:rsidRDefault="009E3021" w:rsidP="000F2971">
            <w:pPr>
              <w:autoSpaceDE w:val="0"/>
              <w:autoSpaceDN w:val="0"/>
              <w:adjustRightInd w:val="0"/>
              <w:jc w:val="center"/>
              <w:rPr>
                <w:b/>
                <w:bCs/>
                <w:sz w:val="16"/>
                <w:szCs w:val="16"/>
                <w:lang w:eastAsia="de-DE"/>
              </w:rPr>
            </w:pPr>
            <w:r w:rsidRPr="00E85CD3">
              <w:rPr>
                <w:b/>
                <w:bCs/>
                <w:sz w:val="16"/>
                <w:szCs w:val="16"/>
                <w:lang w:eastAsia="de-DE"/>
              </w:rPr>
              <w:t xml:space="preserve">Log </w:t>
            </w:r>
            <w:proofErr w:type="spellStart"/>
            <w:r w:rsidRPr="00E85CD3">
              <w:rPr>
                <w:b/>
                <w:bCs/>
                <w:sz w:val="16"/>
                <w:szCs w:val="16"/>
                <w:lang w:eastAsia="de-DE"/>
              </w:rPr>
              <w:t>K</w:t>
            </w:r>
            <w:r w:rsidRPr="00E85CD3">
              <w:rPr>
                <w:b/>
                <w:bCs/>
                <w:sz w:val="16"/>
                <w:szCs w:val="16"/>
                <w:vertAlign w:val="subscript"/>
                <w:lang w:eastAsia="de-DE"/>
              </w:rPr>
              <w:t>aw</w:t>
            </w:r>
            <w:r w:rsidRPr="00E85CD3">
              <w:rPr>
                <w:b/>
                <w:bCs/>
                <w:sz w:val="16"/>
                <w:szCs w:val="16"/>
                <w:vertAlign w:val="superscript"/>
                <w:lang w:eastAsia="de-DE"/>
              </w:rPr>
              <w:t>e</w:t>
            </w:r>
            <w:proofErr w:type="spellEnd"/>
          </w:p>
        </w:tc>
        <w:tc>
          <w:tcPr>
            <w:tcW w:w="900" w:type="dxa"/>
            <w:tcBorders>
              <w:top w:val="single" w:sz="8" w:space="0" w:color="000000"/>
              <w:left w:val="single" w:sz="8" w:space="0" w:color="000000"/>
              <w:bottom w:val="single" w:sz="8" w:space="0" w:color="000000"/>
            </w:tcBorders>
            <w:shd w:val="clear" w:color="auto" w:fill="D9D9D9"/>
          </w:tcPr>
          <w:p w:rsidR="009E3021" w:rsidRPr="00E85CD3" w:rsidRDefault="009E3021" w:rsidP="000F2971">
            <w:pPr>
              <w:autoSpaceDE w:val="0"/>
              <w:autoSpaceDN w:val="0"/>
              <w:adjustRightInd w:val="0"/>
              <w:jc w:val="center"/>
              <w:rPr>
                <w:sz w:val="16"/>
                <w:szCs w:val="16"/>
                <w:lang w:eastAsia="de-DE"/>
              </w:rPr>
            </w:pPr>
            <w:r w:rsidRPr="00E85CD3">
              <w:rPr>
                <w:b/>
                <w:bCs/>
                <w:sz w:val="16"/>
                <w:szCs w:val="16"/>
                <w:lang w:eastAsia="de-DE"/>
              </w:rPr>
              <w:t xml:space="preserve">Melting point </w:t>
            </w:r>
          </w:p>
          <w:p w:rsidR="009E3021" w:rsidRPr="00E85CD3" w:rsidRDefault="009E3021" w:rsidP="000F2971">
            <w:pPr>
              <w:autoSpaceDE w:val="0"/>
              <w:autoSpaceDN w:val="0"/>
              <w:adjustRightInd w:val="0"/>
              <w:jc w:val="center"/>
              <w:rPr>
                <w:sz w:val="16"/>
                <w:szCs w:val="16"/>
                <w:lang w:eastAsia="de-DE"/>
              </w:rPr>
            </w:pPr>
            <w:r w:rsidRPr="00E85CD3">
              <w:rPr>
                <w:b/>
                <w:bCs/>
                <w:sz w:val="16"/>
                <w:szCs w:val="16"/>
                <w:lang w:eastAsia="de-DE"/>
              </w:rPr>
              <w:t>(°C)</w:t>
            </w:r>
          </w:p>
        </w:tc>
        <w:tc>
          <w:tcPr>
            <w:tcW w:w="720" w:type="dxa"/>
            <w:tcBorders>
              <w:top w:val="single" w:sz="8" w:space="0" w:color="000000"/>
              <w:left w:val="single" w:sz="8" w:space="0" w:color="000000"/>
              <w:bottom w:val="single" w:sz="8" w:space="0" w:color="000000"/>
            </w:tcBorders>
            <w:shd w:val="clear" w:color="auto" w:fill="D9D9D9"/>
          </w:tcPr>
          <w:p w:rsidR="009E3021" w:rsidRPr="00E85CD3" w:rsidRDefault="009E3021" w:rsidP="000F2971">
            <w:pPr>
              <w:autoSpaceDE w:val="0"/>
              <w:autoSpaceDN w:val="0"/>
              <w:adjustRightInd w:val="0"/>
              <w:ind w:right="-23"/>
              <w:rPr>
                <w:sz w:val="16"/>
                <w:szCs w:val="16"/>
                <w:lang w:eastAsia="de-DE"/>
              </w:rPr>
            </w:pPr>
            <w:r w:rsidRPr="00E85CD3">
              <w:rPr>
                <w:b/>
                <w:bCs/>
                <w:sz w:val="16"/>
                <w:szCs w:val="16"/>
                <w:lang w:eastAsia="de-DE"/>
              </w:rPr>
              <w:t>Boiling point (°C)</w:t>
            </w:r>
          </w:p>
        </w:tc>
      </w:tr>
      <w:tr w:rsidR="009E3021" w:rsidRPr="00E85CD3" w:rsidTr="000F2971">
        <w:trPr>
          <w:trHeight w:val="246"/>
        </w:trPr>
        <w:tc>
          <w:tcPr>
            <w:tcW w:w="966" w:type="dxa"/>
            <w:tcBorders>
              <w:top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rPr>
                <w:sz w:val="16"/>
                <w:szCs w:val="16"/>
                <w:lang w:eastAsia="ar-SA"/>
              </w:rPr>
            </w:pPr>
            <w:r w:rsidRPr="00E85CD3">
              <w:rPr>
                <w:sz w:val="16"/>
                <w:szCs w:val="16"/>
                <w:lang w:eastAsia="ar-SA"/>
              </w:rPr>
              <w:t xml:space="preserve">Di-CNs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197.00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137–862 (2713) </w:t>
            </w:r>
          </w:p>
        </w:tc>
        <w:tc>
          <w:tcPr>
            <w:tcW w:w="126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0.198–0.352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3.7–29.2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4.2–4.9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6.55 to 7.02</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-2.83 to -1.98</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37–138 </w:t>
            </w:r>
          </w:p>
        </w:tc>
        <w:tc>
          <w:tcPr>
            <w:tcW w:w="720" w:type="dxa"/>
            <w:tcBorders>
              <w:top w:val="single" w:sz="8" w:space="0" w:color="000000"/>
              <w:left w:val="single" w:sz="8" w:space="0" w:color="000000"/>
              <w:bottom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287–298 </w:t>
            </w:r>
          </w:p>
        </w:tc>
      </w:tr>
      <w:tr w:rsidR="009E3021" w:rsidRPr="00E85CD3" w:rsidTr="000F2971">
        <w:trPr>
          <w:trHeight w:val="246"/>
        </w:trPr>
        <w:tc>
          <w:tcPr>
            <w:tcW w:w="966" w:type="dxa"/>
            <w:tcBorders>
              <w:top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rPr>
                <w:sz w:val="16"/>
                <w:szCs w:val="16"/>
                <w:lang w:eastAsia="ar-SA"/>
              </w:rPr>
            </w:pPr>
            <w:r w:rsidRPr="00E85CD3">
              <w:rPr>
                <w:sz w:val="16"/>
                <w:szCs w:val="16"/>
                <w:lang w:eastAsia="ar-SA"/>
              </w:rPr>
              <w:t xml:space="preserve">Tri-CNs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231.50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16.7–65 (709) </w:t>
            </w:r>
          </w:p>
        </w:tc>
        <w:tc>
          <w:tcPr>
            <w:tcW w:w="126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0.0678–0.114</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1.11–51.2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5.1–5.6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7.19 to 7.94</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-3.35 to -2.01</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68–133 </w:t>
            </w:r>
          </w:p>
        </w:tc>
        <w:tc>
          <w:tcPr>
            <w:tcW w:w="720" w:type="dxa"/>
            <w:tcBorders>
              <w:top w:val="single" w:sz="8" w:space="0" w:color="000000"/>
              <w:left w:val="single" w:sz="8" w:space="0" w:color="000000"/>
              <w:bottom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274* </w:t>
            </w:r>
          </w:p>
        </w:tc>
      </w:tr>
      <w:tr w:rsidR="009E3021" w:rsidRPr="00E85CD3" w:rsidTr="000F2971">
        <w:trPr>
          <w:trHeight w:val="246"/>
        </w:trPr>
        <w:tc>
          <w:tcPr>
            <w:tcW w:w="966" w:type="dxa"/>
            <w:tcBorders>
              <w:top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rPr>
                <w:sz w:val="16"/>
                <w:szCs w:val="16"/>
                <w:lang w:eastAsia="ar-SA"/>
              </w:rPr>
            </w:pPr>
            <w:r w:rsidRPr="00E85CD3">
              <w:rPr>
                <w:sz w:val="16"/>
                <w:szCs w:val="16"/>
                <w:lang w:eastAsia="ar-SA"/>
              </w:rPr>
              <w:t xml:space="preserve">Tetra-CNs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266.00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3.7–8.3 (177) </w:t>
            </w:r>
          </w:p>
        </w:tc>
        <w:tc>
          <w:tcPr>
            <w:tcW w:w="126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0.0108–0.0415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0.9–40.7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5.8–6.4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7.88 to 8.79</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-3.54 to -2.02</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111–198 </w:t>
            </w:r>
          </w:p>
        </w:tc>
        <w:tc>
          <w:tcPr>
            <w:tcW w:w="720" w:type="dxa"/>
            <w:tcBorders>
              <w:top w:val="single" w:sz="8" w:space="0" w:color="000000"/>
              <w:left w:val="single" w:sz="8" w:space="0" w:color="000000"/>
              <w:bottom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Unknown </w:t>
            </w:r>
          </w:p>
        </w:tc>
      </w:tr>
      <w:tr w:rsidR="009E3021" w:rsidRPr="00E85CD3" w:rsidTr="000F2971">
        <w:trPr>
          <w:trHeight w:val="427"/>
        </w:trPr>
        <w:tc>
          <w:tcPr>
            <w:tcW w:w="966" w:type="dxa"/>
            <w:tcBorders>
              <w:top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rPr>
                <w:sz w:val="16"/>
                <w:szCs w:val="16"/>
                <w:lang w:eastAsia="ar-SA"/>
              </w:rPr>
            </w:pPr>
            <w:proofErr w:type="spellStart"/>
            <w:r w:rsidRPr="00E85CD3">
              <w:rPr>
                <w:sz w:val="16"/>
                <w:szCs w:val="16"/>
                <w:lang w:eastAsia="ar-SA"/>
              </w:rPr>
              <w:t>Penta</w:t>
            </w:r>
            <w:proofErr w:type="spellEnd"/>
            <w:r w:rsidRPr="00E85CD3">
              <w:rPr>
                <w:sz w:val="16"/>
                <w:szCs w:val="16"/>
                <w:lang w:eastAsia="ar-SA"/>
              </w:rPr>
              <w:t xml:space="preserve">-CNs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300.40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7.30 </w:t>
            </w:r>
          </w:p>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(44) </w:t>
            </w:r>
          </w:p>
        </w:tc>
        <w:tc>
          <w:tcPr>
            <w:tcW w:w="126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0.00275–0.00789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0.5–12.5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6.8 - 7.0</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8.79 to 9.40</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-3.73 to -2.3</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147–171 </w:t>
            </w:r>
          </w:p>
        </w:tc>
        <w:tc>
          <w:tcPr>
            <w:tcW w:w="720" w:type="dxa"/>
            <w:tcBorders>
              <w:top w:val="single" w:sz="8" w:space="0" w:color="000000"/>
              <w:left w:val="single" w:sz="8" w:space="0" w:color="000000"/>
              <w:bottom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313* </w:t>
            </w:r>
          </w:p>
        </w:tc>
      </w:tr>
      <w:tr w:rsidR="009E3021" w:rsidRPr="00E85CD3" w:rsidTr="000F2971">
        <w:trPr>
          <w:trHeight w:val="476"/>
        </w:trPr>
        <w:tc>
          <w:tcPr>
            <w:tcW w:w="966" w:type="dxa"/>
            <w:tcBorders>
              <w:top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rPr>
                <w:sz w:val="16"/>
                <w:szCs w:val="16"/>
                <w:lang w:eastAsia="ar-SA"/>
              </w:rPr>
            </w:pPr>
            <w:proofErr w:type="spellStart"/>
            <w:r w:rsidRPr="00E85CD3">
              <w:rPr>
                <w:sz w:val="16"/>
                <w:szCs w:val="16"/>
                <w:lang w:eastAsia="ar-SA"/>
              </w:rPr>
              <w:t>Hexa</w:t>
            </w:r>
            <w:proofErr w:type="spellEnd"/>
            <w:r w:rsidRPr="00E85CD3">
              <w:rPr>
                <w:sz w:val="16"/>
                <w:szCs w:val="16"/>
                <w:lang w:eastAsia="ar-SA"/>
              </w:rPr>
              <w:t xml:space="preserve">-CNs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335.00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0.11* </w:t>
            </w:r>
          </w:p>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(11) </w:t>
            </w:r>
          </w:p>
        </w:tc>
        <w:tc>
          <w:tcPr>
            <w:tcW w:w="126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0.00157–0.000734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0.3–2.3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7.5 - 7.7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9.62 to 10.17</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-4.13 to -3.04</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194 </w:t>
            </w:r>
          </w:p>
        </w:tc>
        <w:tc>
          <w:tcPr>
            <w:tcW w:w="720" w:type="dxa"/>
            <w:tcBorders>
              <w:top w:val="single" w:sz="8" w:space="0" w:color="000000"/>
              <w:left w:val="single" w:sz="8" w:space="0" w:color="000000"/>
              <w:bottom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331* </w:t>
            </w:r>
          </w:p>
        </w:tc>
      </w:tr>
      <w:tr w:rsidR="009E3021" w:rsidRPr="00E85CD3" w:rsidTr="000F2971">
        <w:trPr>
          <w:trHeight w:val="255"/>
        </w:trPr>
        <w:tc>
          <w:tcPr>
            <w:tcW w:w="966" w:type="dxa"/>
            <w:tcBorders>
              <w:top w:val="single" w:sz="8" w:space="0" w:color="000000"/>
              <w:bottom w:val="single" w:sz="8" w:space="0" w:color="000000"/>
              <w:right w:val="single" w:sz="8" w:space="0" w:color="000000"/>
            </w:tcBorders>
          </w:tcPr>
          <w:p w:rsidR="009E3021" w:rsidRPr="00E85CD3" w:rsidRDefault="009E3021" w:rsidP="000F2971">
            <w:pPr>
              <w:keepNext/>
              <w:keepLines/>
              <w:autoSpaceDE w:val="0"/>
              <w:autoSpaceDN w:val="0"/>
              <w:adjustRightInd w:val="0"/>
              <w:rPr>
                <w:sz w:val="16"/>
                <w:szCs w:val="16"/>
                <w:lang w:eastAsia="ar-SA"/>
              </w:rPr>
            </w:pPr>
            <w:proofErr w:type="spellStart"/>
            <w:r w:rsidRPr="00E85CD3">
              <w:rPr>
                <w:sz w:val="16"/>
                <w:szCs w:val="16"/>
                <w:lang w:eastAsia="ar-SA"/>
              </w:rPr>
              <w:t>Hepta</w:t>
            </w:r>
            <w:proofErr w:type="spellEnd"/>
            <w:r w:rsidRPr="00E85CD3">
              <w:rPr>
                <w:sz w:val="16"/>
                <w:szCs w:val="16"/>
                <w:lang w:eastAsia="ar-SA"/>
              </w:rPr>
              <w:t xml:space="preserve">-CNs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keepNext/>
              <w:keepLines/>
              <w:autoSpaceDE w:val="0"/>
              <w:autoSpaceDN w:val="0"/>
              <w:adjustRightInd w:val="0"/>
              <w:jc w:val="right"/>
              <w:rPr>
                <w:sz w:val="16"/>
                <w:szCs w:val="16"/>
                <w:lang w:eastAsia="ar-SA"/>
              </w:rPr>
            </w:pPr>
            <w:r w:rsidRPr="00E85CD3">
              <w:rPr>
                <w:sz w:val="16"/>
                <w:szCs w:val="16"/>
                <w:lang w:eastAsia="ar-SA"/>
              </w:rPr>
              <w:t xml:space="preserve">369.50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keepNext/>
              <w:keepLines/>
              <w:autoSpaceDE w:val="0"/>
              <w:autoSpaceDN w:val="0"/>
              <w:adjustRightInd w:val="0"/>
              <w:jc w:val="right"/>
              <w:rPr>
                <w:sz w:val="16"/>
                <w:szCs w:val="16"/>
                <w:lang w:eastAsia="ar-SA"/>
              </w:rPr>
            </w:pPr>
            <w:r w:rsidRPr="00E85CD3">
              <w:rPr>
                <w:sz w:val="16"/>
                <w:szCs w:val="16"/>
                <w:lang w:eastAsia="ar-SA"/>
              </w:rPr>
              <w:t xml:space="preserve">0.04* (2.60) </w:t>
            </w:r>
          </w:p>
        </w:tc>
        <w:tc>
          <w:tcPr>
            <w:tcW w:w="126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keepNext/>
              <w:keepLines/>
              <w:autoSpaceDE w:val="0"/>
              <w:autoSpaceDN w:val="0"/>
              <w:adjustRightInd w:val="0"/>
              <w:jc w:val="right"/>
              <w:rPr>
                <w:sz w:val="16"/>
                <w:szCs w:val="16"/>
                <w:lang w:eastAsia="ar-SA"/>
              </w:rPr>
            </w:pPr>
            <w:r w:rsidRPr="00E85CD3">
              <w:rPr>
                <w:sz w:val="16"/>
                <w:szCs w:val="16"/>
                <w:lang w:eastAsia="ar-SA"/>
              </w:rPr>
              <w:t xml:space="preserve">2.78 x 10-4, 2.46 x 10-4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keepNext/>
              <w:keepLines/>
              <w:autoSpaceDE w:val="0"/>
              <w:autoSpaceDN w:val="0"/>
              <w:adjustRightInd w:val="0"/>
              <w:jc w:val="right"/>
              <w:rPr>
                <w:sz w:val="16"/>
                <w:szCs w:val="16"/>
                <w:lang w:eastAsia="ar-SA"/>
              </w:rPr>
            </w:pPr>
            <w:r w:rsidRPr="00E85CD3">
              <w:rPr>
                <w:sz w:val="16"/>
                <w:szCs w:val="16"/>
                <w:lang w:eastAsia="ar-SA"/>
              </w:rPr>
              <w:t xml:space="preserve">0.1–0.2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keepNext/>
              <w:keepLines/>
              <w:autoSpaceDE w:val="0"/>
              <w:autoSpaceDN w:val="0"/>
              <w:adjustRightInd w:val="0"/>
              <w:jc w:val="right"/>
              <w:rPr>
                <w:sz w:val="16"/>
                <w:szCs w:val="16"/>
                <w:lang w:eastAsia="ar-SA"/>
              </w:rPr>
            </w:pPr>
            <w:r w:rsidRPr="00E85CD3">
              <w:rPr>
                <w:sz w:val="16"/>
                <w:szCs w:val="16"/>
                <w:lang w:eastAsia="ar-SA"/>
              </w:rPr>
              <w:t xml:space="preserve">8.2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keepNext/>
              <w:keepLines/>
              <w:autoSpaceDE w:val="0"/>
              <w:autoSpaceDN w:val="0"/>
              <w:adjustRightInd w:val="0"/>
              <w:jc w:val="right"/>
              <w:rPr>
                <w:sz w:val="16"/>
                <w:szCs w:val="16"/>
                <w:lang w:eastAsia="ar-SA"/>
              </w:rPr>
            </w:pPr>
            <w:r w:rsidRPr="00E85CD3">
              <w:rPr>
                <w:sz w:val="16"/>
                <w:szCs w:val="16"/>
                <w:lang w:eastAsia="ar-SA"/>
              </w:rPr>
              <w:t>10.68 to 10.81</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keepNext/>
              <w:keepLines/>
              <w:autoSpaceDE w:val="0"/>
              <w:autoSpaceDN w:val="0"/>
              <w:adjustRightInd w:val="0"/>
              <w:jc w:val="right"/>
              <w:rPr>
                <w:sz w:val="16"/>
                <w:szCs w:val="16"/>
                <w:lang w:eastAsia="ar-SA"/>
              </w:rPr>
            </w:pPr>
            <w:r w:rsidRPr="00E85CD3">
              <w:rPr>
                <w:sz w:val="16"/>
                <w:szCs w:val="16"/>
                <w:lang w:eastAsia="ar-SA"/>
              </w:rPr>
              <w:t>-4.34 to -4.11</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keepNext/>
              <w:keepLines/>
              <w:autoSpaceDE w:val="0"/>
              <w:autoSpaceDN w:val="0"/>
              <w:adjustRightInd w:val="0"/>
              <w:jc w:val="right"/>
              <w:rPr>
                <w:sz w:val="16"/>
                <w:szCs w:val="16"/>
                <w:lang w:eastAsia="ar-SA"/>
              </w:rPr>
            </w:pPr>
            <w:r w:rsidRPr="00E85CD3">
              <w:rPr>
                <w:sz w:val="16"/>
                <w:szCs w:val="16"/>
                <w:lang w:eastAsia="ar-SA"/>
              </w:rPr>
              <w:t xml:space="preserve">194 </w:t>
            </w:r>
          </w:p>
        </w:tc>
        <w:tc>
          <w:tcPr>
            <w:tcW w:w="720" w:type="dxa"/>
            <w:tcBorders>
              <w:top w:val="single" w:sz="8" w:space="0" w:color="000000"/>
              <w:left w:val="single" w:sz="8" w:space="0" w:color="000000"/>
              <w:bottom w:val="single" w:sz="8" w:space="0" w:color="000000"/>
            </w:tcBorders>
          </w:tcPr>
          <w:p w:rsidR="009E3021" w:rsidRPr="00E85CD3" w:rsidRDefault="009E3021" w:rsidP="000F2971">
            <w:pPr>
              <w:keepNext/>
              <w:keepLines/>
              <w:autoSpaceDE w:val="0"/>
              <w:autoSpaceDN w:val="0"/>
              <w:adjustRightInd w:val="0"/>
              <w:jc w:val="right"/>
              <w:rPr>
                <w:sz w:val="16"/>
                <w:szCs w:val="16"/>
                <w:lang w:eastAsia="ar-SA"/>
              </w:rPr>
            </w:pPr>
            <w:r w:rsidRPr="00E85CD3">
              <w:rPr>
                <w:sz w:val="16"/>
                <w:szCs w:val="16"/>
                <w:lang w:eastAsia="ar-SA"/>
              </w:rPr>
              <w:t xml:space="preserve">348* </w:t>
            </w:r>
          </w:p>
        </w:tc>
      </w:tr>
      <w:tr w:rsidR="009E3021" w:rsidRPr="00E85CD3" w:rsidTr="000F2971">
        <w:trPr>
          <w:trHeight w:val="256"/>
        </w:trPr>
        <w:tc>
          <w:tcPr>
            <w:tcW w:w="966" w:type="dxa"/>
            <w:tcBorders>
              <w:top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rPr>
                <w:sz w:val="16"/>
                <w:szCs w:val="16"/>
                <w:lang w:eastAsia="ar-SA"/>
              </w:rPr>
            </w:pPr>
            <w:proofErr w:type="spellStart"/>
            <w:r w:rsidRPr="00E85CD3">
              <w:rPr>
                <w:sz w:val="16"/>
                <w:szCs w:val="16"/>
                <w:lang w:eastAsia="ar-SA"/>
              </w:rPr>
              <w:t>Octa</w:t>
            </w:r>
            <w:proofErr w:type="spellEnd"/>
            <w:r w:rsidRPr="00E85CD3">
              <w:rPr>
                <w:sz w:val="16"/>
                <w:szCs w:val="16"/>
                <w:lang w:eastAsia="ar-SA"/>
              </w:rPr>
              <w:t xml:space="preserve">-CN </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404.00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0.08 (0.63) </w:t>
            </w:r>
          </w:p>
        </w:tc>
        <w:tc>
          <w:tcPr>
            <w:tcW w:w="126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1.5 x 10-6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0.02 </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6.42–8.50</w:t>
            </w:r>
          </w:p>
        </w:tc>
        <w:tc>
          <w:tcPr>
            <w:tcW w:w="108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11.64</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-5.21</w:t>
            </w:r>
          </w:p>
        </w:tc>
        <w:tc>
          <w:tcPr>
            <w:tcW w:w="900" w:type="dxa"/>
            <w:tcBorders>
              <w:top w:val="single" w:sz="8" w:space="0" w:color="000000"/>
              <w:left w:val="single" w:sz="8" w:space="0" w:color="000000"/>
              <w:bottom w:val="single" w:sz="8" w:space="0" w:color="000000"/>
              <w:right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198 </w:t>
            </w:r>
          </w:p>
        </w:tc>
        <w:tc>
          <w:tcPr>
            <w:tcW w:w="720" w:type="dxa"/>
            <w:tcBorders>
              <w:top w:val="single" w:sz="8" w:space="0" w:color="000000"/>
              <w:left w:val="single" w:sz="8" w:space="0" w:color="000000"/>
              <w:bottom w:val="single" w:sz="8" w:space="0" w:color="000000"/>
            </w:tcBorders>
          </w:tcPr>
          <w:p w:rsidR="009E3021" w:rsidRPr="00E85CD3" w:rsidRDefault="009E3021" w:rsidP="000F2971">
            <w:pPr>
              <w:autoSpaceDE w:val="0"/>
              <w:autoSpaceDN w:val="0"/>
              <w:adjustRightInd w:val="0"/>
              <w:jc w:val="right"/>
              <w:rPr>
                <w:sz w:val="16"/>
                <w:szCs w:val="16"/>
                <w:lang w:eastAsia="ar-SA"/>
              </w:rPr>
            </w:pPr>
            <w:r w:rsidRPr="00E85CD3">
              <w:rPr>
                <w:sz w:val="16"/>
                <w:szCs w:val="16"/>
                <w:lang w:eastAsia="ar-SA"/>
              </w:rPr>
              <w:t xml:space="preserve">365* </w:t>
            </w:r>
          </w:p>
        </w:tc>
      </w:tr>
    </w:tbl>
    <w:p w:rsidR="009E3021" w:rsidRPr="00E85CD3" w:rsidRDefault="009E3021" w:rsidP="000F2971">
      <w:pPr>
        <w:autoSpaceDE w:val="0"/>
        <w:jc w:val="both"/>
        <w:rPr>
          <w:sz w:val="16"/>
          <w:szCs w:val="16"/>
        </w:rPr>
      </w:pPr>
      <w:r w:rsidRPr="00E85CD3">
        <w:rPr>
          <w:sz w:val="16"/>
          <w:szCs w:val="16"/>
        </w:rPr>
        <w:t>Data source: IPCS (2001), unless otherwise noted.</w:t>
      </w:r>
    </w:p>
    <w:p w:rsidR="009E3021" w:rsidRPr="00E85CD3" w:rsidRDefault="009E3021" w:rsidP="000F2971">
      <w:pPr>
        <w:autoSpaceDE w:val="0"/>
        <w:jc w:val="both"/>
        <w:rPr>
          <w:sz w:val="16"/>
          <w:szCs w:val="16"/>
        </w:rPr>
      </w:pPr>
      <w:proofErr w:type="gramStart"/>
      <w:r w:rsidRPr="00E85CD3">
        <w:rPr>
          <w:sz w:val="16"/>
          <w:szCs w:val="16"/>
        </w:rPr>
        <w:t>a</w:t>
      </w:r>
      <w:proofErr w:type="gramEnd"/>
      <w:r w:rsidRPr="00E85CD3">
        <w:rPr>
          <w:sz w:val="16"/>
          <w:szCs w:val="16"/>
        </w:rPr>
        <w:t xml:space="preserve"> Values outside of brackets were experimentally determined by aqueous saturation method (</w:t>
      </w:r>
      <w:proofErr w:type="spellStart"/>
      <w:r w:rsidRPr="00E85CD3">
        <w:rPr>
          <w:sz w:val="16"/>
          <w:szCs w:val="16"/>
        </w:rPr>
        <w:t>Opperhuizen</w:t>
      </w:r>
      <w:proofErr w:type="spellEnd"/>
      <w:r w:rsidRPr="00E85CD3">
        <w:rPr>
          <w:sz w:val="16"/>
          <w:szCs w:val="16"/>
        </w:rPr>
        <w:t xml:space="preserve"> et al. 1985) for the solid congeners; values in brackets are predicted using WSKOWWIN 2000.</w:t>
      </w:r>
    </w:p>
    <w:p w:rsidR="009E3021" w:rsidRPr="00E85CD3" w:rsidRDefault="009E3021" w:rsidP="000F2971">
      <w:pPr>
        <w:autoSpaceDE w:val="0"/>
        <w:jc w:val="both"/>
        <w:rPr>
          <w:sz w:val="16"/>
          <w:szCs w:val="16"/>
        </w:rPr>
      </w:pPr>
      <w:proofErr w:type="gramStart"/>
      <w:r w:rsidRPr="00E85CD3">
        <w:rPr>
          <w:sz w:val="16"/>
          <w:szCs w:val="16"/>
          <w:lang w:val="fr-CH"/>
        </w:rPr>
        <w:t>b</w:t>
      </w:r>
      <w:proofErr w:type="gramEnd"/>
      <w:r w:rsidRPr="00E85CD3">
        <w:rPr>
          <w:sz w:val="16"/>
          <w:szCs w:val="16"/>
          <w:lang w:val="fr-CH"/>
        </w:rPr>
        <w:t xml:space="preserve"> Source: Lei et al. </w:t>
      </w:r>
      <w:r w:rsidRPr="00E85CD3">
        <w:rPr>
          <w:sz w:val="16"/>
          <w:szCs w:val="16"/>
        </w:rPr>
        <w:t>(1999).</w:t>
      </w:r>
    </w:p>
    <w:p w:rsidR="009E3021" w:rsidRPr="00E85CD3" w:rsidRDefault="009E3021" w:rsidP="000F2971">
      <w:pPr>
        <w:autoSpaceDE w:val="0"/>
        <w:jc w:val="both"/>
        <w:rPr>
          <w:sz w:val="16"/>
          <w:szCs w:val="16"/>
        </w:rPr>
      </w:pPr>
      <w:proofErr w:type="gramStart"/>
      <w:r w:rsidRPr="00E85CD3">
        <w:rPr>
          <w:sz w:val="16"/>
          <w:szCs w:val="16"/>
        </w:rPr>
        <w:t>c</w:t>
      </w:r>
      <w:proofErr w:type="gramEnd"/>
      <w:r w:rsidRPr="00E85CD3">
        <w:rPr>
          <w:sz w:val="16"/>
          <w:szCs w:val="16"/>
        </w:rPr>
        <w:t xml:space="preserve"> Values obtained from </w:t>
      </w:r>
      <w:proofErr w:type="spellStart"/>
      <w:r w:rsidRPr="00E85CD3">
        <w:rPr>
          <w:sz w:val="16"/>
          <w:szCs w:val="16"/>
        </w:rPr>
        <w:t>Puzyn</w:t>
      </w:r>
      <w:proofErr w:type="spellEnd"/>
      <w:r w:rsidRPr="00E85CD3">
        <w:rPr>
          <w:sz w:val="16"/>
          <w:szCs w:val="16"/>
        </w:rPr>
        <w:t xml:space="preserve"> and </w:t>
      </w:r>
      <w:proofErr w:type="spellStart"/>
      <w:r w:rsidRPr="00E85CD3">
        <w:rPr>
          <w:sz w:val="16"/>
          <w:szCs w:val="16"/>
        </w:rPr>
        <w:t>Falandysz</w:t>
      </w:r>
      <w:proofErr w:type="spellEnd"/>
      <w:r w:rsidRPr="00E85CD3">
        <w:rPr>
          <w:sz w:val="16"/>
          <w:szCs w:val="16"/>
        </w:rPr>
        <w:t xml:space="preserve"> (2007).</w:t>
      </w:r>
    </w:p>
    <w:p w:rsidR="009E3021" w:rsidRPr="00E85CD3" w:rsidRDefault="009E3021" w:rsidP="000F2971">
      <w:pPr>
        <w:autoSpaceDE w:val="0"/>
        <w:jc w:val="both"/>
        <w:rPr>
          <w:sz w:val="16"/>
          <w:szCs w:val="16"/>
        </w:rPr>
      </w:pPr>
      <w:proofErr w:type="gramStart"/>
      <w:r w:rsidRPr="00E85CD3">
        <w:rPr>
          <w:sz w:val="16"/>
          <w:szCs w:val="16"/>
        </w:rPr>
        <w:t>d</w:t>
      </w:r>
      <w:proofErr w:type="gramEnd"/>
      <w:r w:rsidRPr="00E85CD3">
        <w:rPr>
          <w:sz w:val="16"/>
          <w:szCs w:val="16"/>
        </w:rPr>
        <w:t xml:space="preserve"> Measured </w:t>
      </w:r>
      <w:proofErr w:type="spellStart"/>
      <w:r w:rsidRPr="00E85CD3">
        <w:rPr>
          <w:sz w:val="16"/>
          <w:szCs w:val="16"/>
        </w:rPr>
        <w:t>Kow</w:t>
      </w:r>
      <w:proofErr w:type="spellEnd"/>
      <w:r w:rsidRPr="00E85CD3">
        <w:rPr>
          <w:sz w:val="16"/>
          <w:szCs w:val="16"/>
        </w:rPr>
        <w:t xml:space="preserve"> sources: </w:t>
      </w:r>
      <w:proofErr w:type="spellStart"/>
      <w:r w:rsidRPr="00E85CD3">
        <w:rPr>
          <w:sz w:val="16"/>
          <w:szCs w:val="16"/>
        </w:rPr>
        <w:t>Opperhuizen</w:t>
      </w:r>
      <w:proofErr w:type="spellEnd"/>
      <w:r w:rsidRPr="00E85CD3">
        <w:rPr>
          <w:sz w:val="16"/>
          <w:szCs w:val="16"/>
        </w:rPr>
        <w:t xml:space="preserve"> (1987), </w:t>
      </w:r>
      <w:proofErr w:type="spellStart"/>
      <w:r w:rsidRPr="00E85CD3">
        <w:rPr>
          <w:sz w:val="16"/>
          <w:szCs w:val="16"/>
        </w:rPr>
        <w:t>Opperhuizen</w:t>
      </w:r>
      <w:proofErr w:type="spellEnd"/>
      <w:r w:rsidRPr="00E85CD3">
        <w:rPr>
          <w:sz w:val="16"/>
          <w:szCs w:val="16"/>
        </w:rPr>
        <w:t xml:space="preserve"> et al. (1985) (shake flask method, </w:t>
      </w:r>
      <w:proofErr w:type="spellStart"/>
      <w:r w:rsidRPr="00E85CD3">
        <w:rPr>
          <w:sz w:val="16"/>
          <w:szCs w:val="16"/>
        </w:rPr>
        <w:t>Bruggeman</w:t>
      </w:r>
      <w:proofErr w:type="spellEnd"/>
      <w:r w:rsidRPr="00E85CD3">
        <w:rPr>
          <w:sz w:val="16"/>
          <w:szCs w:val="16"/>
        </w:rPr>
        <w:t xml:space="preserve"> et al. (1982)), Lei et al. (2000) (reversed phase HPLC method).</w:t>
      </w:r>
    </w:p>
    <w:p w:rsidR="009E3021" w:rsidRPr="00E85CD3" w:rsidRDefault="009E3021" w:rsidP="000F2971">
      <w:pPr>
        <w:autoSpaceDE w:val="0"/>
        <w:jc w:val="both"/>
        <w:rPr>
          <w:sz w:val="16"/>
          <w:szCs w:val="16"/>
        </w:rPr>
      </w:pPr>
      <w:proofErr w:type="gramStart"/>
      <w:r w:rsidRPr="00E85CD3">
        <w:rPr>
          <w:sz w:val="16"/>
          <w:szCs w:val="16"/>
        </w:rPr>
        <w:t>e</w:t>
      </w:r>
      <w:proofErr w:type="gramEnd"/>
      <w:r w:rsidRPr="00E85CD3">
        <w:rPr>
          <w:sz w:val="16"/>
          <w:szCs w:val="16"/>
        </w:rPr>
        <w:t xml:space="preserve"> estimates from </w:t>
      </w:r>
      <w:proofErr w:type="spellStart"/>
      <w:r w:rsidRPr="00E85CD3">
        <w:rPr>
          <w:sz w:val="16"/>
          <w:szCs w:val="16"/>
        </w:rPr>
        <w:t>Puzyn</w:t>
      </w:r>
      <w:proofErr w:type="spellEnd"/>
      <w:r w:rsidRPr="00E85CD3">
        <w:rPr>
          <w:sz w:val="16"/>
          <w:szCs w:val="16"/>
        </w:rPr>
        <w:t xml:space="preserve"> et al. (2009)</w:t>
      </w:r>
    </w:p>
    <w:p w:rsidR="009E3021" w:rsidRPr="00E85CD3" w:rsidRDefault="009E3021" w:rsidP="00B1005D">
      <w:pPr>
        <w:pStyle w:val="Paralevel1"/>
      </w:pPr>
      <w:r w:rsidRPr="00E85CD3">
        <w:t>*Estimated value, using methodologies laid out in Lyman et al. (1982).</w:t>
      </w:r>
    </w:p>
    <w:p w:rsidR="009E3021" w:rsidRPr="00E85CD3" w:rsidRDefault="009E3021" w:rsidP="00B1005D">
      <w:pPr>
        <w:pStyle w:val="Paralevel1"/>
      </w:pPr>
    </w:p>
    <w:p w:rsidR="009E3021" w:rsidRPr="00E85CD3" w:rsidRDefault="009E3021" w:rsidP="00856DDC">
      <w:pPr>
        <w:pStyle w:val="Heading2"/>
        <w:spacing w:after="120"/>
        <w:jc w:val="left"/>
      </w:pPr>
      <w:bookmarkStart w:id="8" w:name="_Toc346637141"/>
      <w:bookmarkStart w:id="9" w:name="_Toc352069537"/>
      <w:r w:rsidRPr="00E85CD3">
        <w:t xml:space="preserve">1.2 </w:t>
      </w:r>
      <w:r w:rsidRPr="00E85CD3">
        <w:tab/>
        <w:t>Conclusions of the Review Committee regarding Annex E information</w:t>
      </w:r>
      <w:bookmarkEnd w:id="8"/>
      <w:bookmarkEnd w:id="9"/>
    </w:p>
    <w:p w:rsidR="009E3021" w:rsidRPr="0073687E" w:rsidRDefault="009E3021" w:rsidP="00B1005D">
      <w:pPr>
        <w:pStyle w:val="Paralevel1"/>
        <w:numPr>
          <w:ilvl w:val="0"/>
          <w:numId w:val="24"/>
        </w:numPr>
        <w:ind w:left="0" w:firstLine="0"/>
      </w:pPr>
      <w:r w:rsidRPr="0073687E">
        <w:t xml:space="preserve">The Committee has conducted and evaluated a risk profile in accordance with Annex E at the eighth meeting in Geneva 15- 19 October 2012. The Committee adopted decision POPRC-8/1, by which it adopted the risk profile for chlorinated naphthalene (UNEP/POPS/POPRC.8/16/Add.1) and </w:t>
      </w:r>
    </w:p>
    <w:p w:rsidR="009E3021" w:rsidRPr="00E85CD3" w:rsidRDefault="009E3021" w:rsidP="00B1005D">
      <w:pPr>
        <w:pStyle w:val="Paralevel1"/>
      </w:pPr>
      <w:r w:rsidRPr="00E85CD3">
        <w:t xml:space="preserve">decided, in accordance with paragraph 7 (a) of Article 8 of the Convention, that </w:t>
      </w:r>
      <w:proofErr w:type="spellStart"/>
      <w:r w:rsidRPr="00E85CD3">
        <w:t>dichlorinated</w:t>
      </w:r>
      <w:proofErr w:type="spellEnd"/>
      <w:r w:rsidRPr="00E85CD3">
        <w:t xml:space="preserve"> </w:t>
      </w:r>
      <w:proofErr w:type="spellStart"/>
      <w:r w:rsidRPr="00E85CD3">
        <w:t>naphthalenes</w:t>
      </w:r>
      <w:proofErr w:type="spellEnd"/>
      <w:r w:rsidRPr="00E85CD3">
        <w:t xml:space="preserve">, </w:t>
      </w:r>
      <w:proofErr w:type="spellStart"/>
      <w:r w:rsidRPr="00E85CD3">
        <w:t>trichlorinated</w:t>
      </w:r>
      <w:proofErr w:type="spellEnd"/>
      <w:r w:rsidRPr="00E85CD3">
        <w:t xml:space="preserve"> </w:t>
      </w:r>
      <w:proofErr w:type="spellStart"/>
      <w:r w:rsidRPr="00E85CD3">
        <w:t>naphthalenes</w:t>
      </w:r>
      <w:proofErr w:type="spellEnd"/>
      <w:r w:rsidRPr="00E85CD3">
        <w:t xml:space="preserve">, </w:t>
      </w:r>
      <w:proofErr w:type="spellStart"/>
      <w:r w:rsidRPr="00E85CD3">
        <w:t>tetrachlorinated</w:t>
      </w:r>
      <w:proofErr w:type="spellEnd"/>
      <w:r w:rsidRPr="00E85CD3">
        <w:t xml:space="preserve"> </w:t>
      </w:r>
      <w:proofErr w:type="spellStart"/>
      <w:r w:rsidRPr="00E85CD3">
        <w:t>naphthalenes</w:t>
      </w:r>
      <w:proofErr w:type="spellEnd"/>
      <w:r w:rsidRPr="00E85CD3">
        <w:t xml:space="preserve">, </w:t>
      </w:r>
      <w:proofErr w:type="spellStart"/>
      <w:r w:rsidRPr="00E85CD3">
        <w:t>pentachlorinated</w:t>
      </w:r>
      <w:proofErr w:type="spellEnd"/>
      <w:r w:rsidRPr="00E85CD3">
        <w:t xml:space="preserve"> </w:t>
      </w:r>
      <w:proofErr w:type="spellStart"/>
      <w:r w:rsidRPr="00E85CD3">
        <w:t>naphthalenes</w:t>
      </w:r>
      <w:proofErr w:type="spellEnd"/>
      <w:r w:rsidRPr="00E85CD3">
        <w:t xml:space="preserve">, </w:t>
      </w:r>
      <w:proofErr w:type="spellStart"/>
      <w:r w:rsidRPr="00E85CD3">
        <w:t>hexachlorinated</w:t>
      </w:r>
      <w:proofErr w:type="spellEnd"/>
      <w:r w:rsidRPr="00E85CD3">
        <w:t xml:space="preserve"> </w:t>
      </w:r>
      <w:proofErr w:type="spellStart"/>
      <w:r w:rsidRPr="00E85CD3">
        <w:t>naphthalenes</w:t>
      </w:r>
      <w:proofErr w:type="spellEnd"/>
      <w:r w:rsidRPr="00E85CD3">
        <w:t xml:space="preserve">, </w:t>
      </w:r>
      <w:proofErr w:type="spellStart"/>
      <w:r w:rsidRPr="00E85CD3">
        <w:t>heptachlorinated</w:t>
      </w:r>
      <w:proofErr w:type="spellEnd"/>
      <w:r w:rsidRPr="00E85CD3">
        <w:t xml:space="preserve"> </w:t>
      </w:r>
      <w:proofErr w:type="spellStart"/>
      <w:r w:rsidRPr="00E85CD3">
        <w:t>naphthalenes</w:t>
      </w:r>
      <w:proofErr w:type="spellEnd"/>
      <w:r w:rsidRPr="00E85CD3">
        <w:t xml:space="preserve"> and </w:t>
      </w:r>
      <w:proofErr w:type="spellStart"/>
      <w:r w:rsidRPr="00E85CD3">
        <w:t>octachlorinated</w:t>
      </w:r>
      <w:proofErr w:type="spellEnd"/>
      <w:r w:rsidRPr="00E85CD3">
        <w:t xml:space="preserve"> naphthalene, are likely, as a result of their long</w:t>
      </w:r>
      <w:r w:rsidRPr="00E85CD3">
        <w:noBreakHyphen/>
        <w:t xml:space="preserve">range environmental transport, to lead to significant adverse human health and environmental effects such that global action is warranted; </w:t>
      </w:r>
    </w:p>
    <w:p w:rsidR="009E3021" w:rsidRPr="00E85CD3" w:rsidRDefault="009E3021" w:rsidP="00B1005D">
      <w:pPr>
        <w:pStyle w:val="Paralevel1"/>
      </w:pPr>
      <w:r w:rsidRPr="00E85CD3">
        <w:lastRenderedPageBreak/>
        <w:t xml:space="preserve">also decided, in accordance with paragraph 7 (a) of Article 8 of the Convention and paragraph 29 of decision SC-1/7 of the Conference of the Parties, to establish an ad hoc working group to prepare a risk management evaluation that includes an analysis of possible control measures for chlorinated </w:t>
      </w:r>
      <w:proofErr w:type="spellStart"/>
      <w:r w:rsidRPr="00E85CD3">
        <w:t>naphthalenes</w:t>
      </w:r>
      <w:proofErr w:type="spellEnd"/>
      <w:r w:rsidRPr="00E85CD3">
        <w:t xml:space="preserve"> in accordance with Annex F to the Convention; </w:t>
      </w:r>
    </w:p>
    <w:p w:rsidR="009E3021" w:rsidRPr="00E85CD3" w:rsidRDefault="009E3021" w:rsidP="00B1005D">
      <w:pPr>
        <w:pStyle w:val="Paralevel1"/>
      </w:pPr>
      <w:r w:rsidRPr="00E85CD3">
        <w:t xml:space="preserve">invited, in accordance with paragraph 7 (a) of Article 8 of the Convention, parties and observers to submit to the Secretariat the information specified in Annex F before 11 January 2013, as well as additional information relevant to Annex E in particular data on sources of emissions such as the production of chlorinated </w:t>
      </w:r>
      <w:proofErr w:type="spellStart"/>
      <w:r w:rsidRPr="00E85CD3">
        <w:t>naphthalenes</w:t>
      </w:r>
      <w:proofErr w:type="spellEnd"/>
      <w:r w:rsidRPr="00E85CD3">
        <w:t xml:space="preserve"> and/or unintentional releases.</w:t>
      </w:r>
    </w:p>
    <w:p w:rsidR="009E3021" w:rsidRPr="00E85CD3" w:rsidRDefault="009E3021" w:rsidP="00B1005D">
      <w:pPr>
        <w:pStyle w:val="Paralevel1"/>
      </w:pPr>
    </w:p>
    <w:p w:rsidR="009E3021" w:rsidRPr="00E85CD3" w:rsidRDefault="009E3021" w:rsidP="00856DDC">
      <w:pPr>
        <w:pStyle w:val="Heading2"/>
        <w:spacing w:after="120"/>
        <w:jc w:val="left"/>
      </w:pPr>
      <w:bookmarkStart w:id="10" w:name="_Toc346637142"/>
      <w:bookmarkStart w:id="11" w:name="_Toc352069538"/>
      <w:r w:rsidRPr="00E85CD3">
        <w:t>1.3</w:t>
      </w:r>
      <w:r w:rsidRPr="00E85CD3">
        <w:tab/>
        <w:t>Data sources</w:t>
      </w:r>
      <w:bookmarkEnd w:id="10"/>
      <w:bookmarkEnd w:id="11"/>
    </w:p>
    <w:p w:rsidR="009E3021" w:rsidRPr="00E85CD3" w:rsidRDefault="009E3021" w:rsidP="00B1005D">
      <w:pPr>
        <w:pStyle w:val="Paralevel1"/>
        <w:numPr>
          <w:ilvl w:val="0"/>
          <w:numId w:val="24"/>
        </w:numPr>
        <w:ind w:left="0" w:firstLine="0"/>
      </w:pPr>
      <w:r w:rsidRPr="00E85CD3">
        <w:t xml:space="preserve">The Risk Management evaluation is primarily based on </w:t>
      </w:r>
    </w:p>
    <w:p w:rsidR="009E3021" w:rsidRPr="00E85CD3" w:rsidRDefault="009E3021" w:rsidP="00B1005D">
      <w:pPr>
        <w:pStyle w:val="Paralevel1"/>
      </w:pPr>
      <w:proofErr w:type="gramStart"/>
      <w:r w:rsidRPr="00E85CD3">
        <w:t>information</w:t>
      </w:r>
      <w:proofErr w:type="gramEnd"/>
      <w:r w:rsidRPr="00E85CD3">
        <w:t xml:space="preserve"> that has been provided by Parties and observers to the Convention. Responses regarding the information specified in Annex F of the Stockholm Convention (risk management) have been provided by the following Parties and observers </w:t>
      </w:r>
      <w:r w:rsidRPr="00E85CD3">
        <w:rPr>
          <w:rStyle w:val="FootnoteReference"/>
        </w:rPr>
        <w:footnoteReference w:id="3"/>
      </w:r>
      <w:r w:rsidRPr="00E85CD3">
        <w:t>:</w:t>
      </w:r>
    </w:p>
    <w:p w:rsidR="009E3021" w:rsidRPr="00981476" w:rsidRDefault="009E3021" w:rsidP="00B1005D">
      <w:pPr>
        <w:pStyle w:val="Paralevel2"/>
        <w:rPr>
          <w:lang w:val="it-IT"/>
        </w:rPr>
      </w:pPr>
      <w:r w:rsidRPr="00981476">
        <w:rPr>
          <w:lang w:val="it-IT"/>
        </w:rPr>
        <w:t xml:space="preserve">Parties: Croatia, Estonia, Nigeria, Romania, Slovakia, Sri Lanka </w:t>
      </w:r>
    </w:p>
    <w:p w:rsidR="009E3021" w:rsidRPr="00E85CD3" w:rsidRDefault="009E3021" w:rsidP="00B1005D">
      <w:pPr>
        <w:pStyle w:val="Paralevel2"/>
      </w:pPr>
      <w:r w:rsidRPr="00E85CD3">
        <w:t>Observers: no information submitted</w:t>
      </w:r>
    </w:p>
    <w:p w:rsidR="009E3021" w:rsidRPr="00E85CD3" w:rsidRDefault="009E3021" w:rsidP="00B1005D">
      <w:pPr>
        <w:pStyle w:val="Paralevel1"/>
      </w:pPr>
      <w:r w:rsidRPr="00E85CD3">
        <w:t>decision POPRC-8/1 (see UNEP/POPS/POPRC.8/16)</w:t>
      </w:r>
    </w:p>
    <w:p w:rsidR="009E3021" w:rsidRPr="00E85CD3" w:rsidRDefault="009E3021" w:rsidP="00B1005D">
      <w:pPr>
        <w:pStyle w:val="Paralevel1"/>
      </w:pPr>
      <w:r w:rsidRPr="00E85CD3">
        <w:t>the risk profile for chlorinated naphthalene (UNEP/POPS/POPRC.8/16/Add.1)</w:t>
      </w:r>
    </w:p>
    <w:p w:rsidR="009E3021" w:rsidRPr="00E85CD3" w:rsidRDefault="009E3021" w:rsidP="00B1005D">
      <w:pPr>
        <w:pStyle w:val="Paralevel1"/>
      </w:pPr>
      <w:r w:rsidRPr="00E85CD3">
        <w:t>the exploration of management options for PCN [UNECE 2007]</w:t>
      </w:r>
    </w:p>
    <w:p w:rsidR="009E3021" w:rsidRPr="00E85CD3" w:rsidRDefault="009E3021" w:rsidP="00B1005D">
      <w:pPr>
        <w:pStyle w:val="Paralevel1"/>
        <w:numPr>
          <w:ilvl w:val="0"/>
          <w:numId w:val="24"/>
        </w:numPr>
        <w:ind w:left="0" w:firstLine="0"/>
      </w:pPr>
      <w:r w:rsidRPr="00E85CD3">
        <w:t xml:space="preserve">In addition information has been gathered from other open information sources and literature. Such Information sources are listed under “References” in addition to the above mentioned sources. </w:t>
      </w:r>
    </w:p>
    <w:p w:rsidR="009E3021" w:rsidRPr="00E85CD3" w:rsidRDefault="009E3021" w:rsidP="00856DDC">
      <w:pPr>
        <w:pStyle w:val="Heading2"/>
        <w:spacing w:after="120"/>
        <w:jc w:val="left"/>
      </w:pPr>
      <w:bookmarkStart w:id="12" w:name="_Toc346637143"/>
      <w:bookmarkStart w:id="13" w:name="_Toc352069539"/>
      <w:r w:rsidRPr="00E85CD3">
        <w:t>1.4</w:t>
      </w:r>
      <w:r w:rsidRPr="00E85CD3">
        <w:tab/>
        <w:t>Status of the chemical under international conventions</w:t>
      </w:r>
      <w:bookmarkEnd w:id="12"/>
      <w:bookmarkEnd w:id="13"/>
      <w:r w:rsidRPr="00E85CD3">
        <w:t xml:space="preserve"> </w:t>
      </w:r>
    </w:p>
    <w:p w:rsidR="009E3021" w:rsidRPr="00E85CD3" w:rsidRDefault="009E3021" w:rsidP="00B1005D">
      <w:pPr>
        <w:pStyle w:val="Paralevel1"/>
        <w:numPr>
          <w:ilvl w:val="0"/>
          <w:numId w:val="24"/>
        </w:numPr>
        <w:ind w:left="0" w:firstLine="0"/>
      </w:pPr>
      <w:r w:rsidRPr="00E85CD3">
        <w:t xml:space="preserve">Chlorinated </w:t>
      </w:r>
      <w:proofErr w:type="spellStart"/>
      <w:r w:rsidRPr="00E85CD3">
        <w:t>naphthalenes</w:t>
      </w:r>
      <w:proofErr w:type="spellEnd"/>
      <w:r w:rsidRPr="00E85CD3">
        <w:t xml:space="preserve"> are subject to a number of international treaties and conventions:</w:t>
      </w:r>
    </w:p>
    <w:p w:rsidR="009E3021" w:rsidRPr="00E85CD3" w:rsidRDefault="009E3021" w:rsidP="00B1005D">
      <w:pPr>
        <w:pStyle w:val="Paralevel1"/>
      </w:pPr>
      <w:r w:rsidRPr="00E85CD3">
        <w:t xml:space="preserve">In December 2009 CNs were proposed according to Decision 2009/2 to amend Annex I (prohibition of production and use) of the Aarhus Protocol on Persistent Organic Pollutants (POPs) under the UNECE (United Nations Economic Commission for Europe) Convention on Long-Range </w:t>
      </w:r>
      <w:proofErr w:type="spellStart"/>
      <w:r w:rsidRPr="00E85CD3">
        <w:t>Transboundary</w:t>
      </w:r>
      <w:proofErr w:type="spellEnd"/>
      <w:r w:rsidRPr="00E85CD3">
        <w:t xml:space="preserve"> Air Pollution. The amendment will come into force when 2/3rd of the Parties have adopted the amendment.</w:t>
      </w:r>
    </w:p>
    <w:p w:rsidR="009E3021" w:rsidRPr="00E85CD3" w:rsidRDefault="009E3021" w:rsidP="00B1005D">
      <w:pPr>
        <w:pStyle w:val="Paralevel1"/>
      </w:pPr>
      <w:r w:rsidRPr="00E85CD3">
        <w:t xml:space="preserve">The OSPAR Commission has included </w:t>
      </w:r>
      <w:r>
        <w:t>P</w:t>
      </w:r>
      <w:r w:rsidRPr="00E85CD3">
        <w:t xml:space="preserve">CNs in the List of Chemicals for Priority Action (by June 2003). Further information can be gathered at </w:t>
      </w:r>
      <w:hyperlink r:id="rId9" w:history="1">
        <w:r w:rsidRPr="00E85CD3">
          <w:t>http://www.ospar.org/</w:t>
        </w:r>
      </w:hyperlink>
      <w:r w:rsidRPr="00E85CD3">
        <w:t xml:space="preserve"> </w:t>
      </w:r>
    </w:p>
    <w:p w:rsidR="009E3021" w:rsidRPr="00E85CD3" w:rsidRDefault="009E3021" w:rsidP="00B1005D">
      <w:pPr>
        <w:pStyle w:val="Paralevel1"/>
      </w:pPr>
      <w:r w:rsidRPr="00E85CD3">
        <w:t xml:space="preserve">Waste containing </w:t>
      </w:r>
      <w:r>
        <w:t>P</w:t>
      </w:r>
      <w:r w:rsidRPr="00E85CD3">
        <w:t xml:space="preserve">CNs is characterized as hazardous waste under Annex VIII of the Basel Convention on the Control of </w:t>
      </w:r>
      <w:proofErr w:type="spellStart"/>
      <w:r w:rsidRPr="00E85CD3">
        <w:t>Transboundary</w:t>
      </w:r>
      <w:proofErr w:type="spellEnd"/>
      <w:r w:rsidRPr="00E85CD3">
        <w:t xml:space="preserve"> Movements of Hazardous Wastes and their Disposal.</w:t>
      </w:r>
    </w:p>
    <w:p w:rsidR="009E3021" w:rsidRPr="00E85CD3" w:rsidRDefault="009E3021" w:rsidP="00B1005D">
      <w:pPr>
        <w:pStyle w:val="Paralevel1"/>
        <w:numPr>
          <w:ilvl w:val="0"/>
          <w:numId w:val="24"/>
        </w:numPr>
        <w:ind w:left="0" w:firstLine="0"/>
      </w:pPr>
      <w:r w:rsidRPr="00E85CD3">
        <w:t>Additional information on the status of the chemical under international conventions has not been provided by parties or observers who submitted Annex F information.</w:t>
      </w:r>
    </w:p>
    <w:p w:rsidR="009E3021" w:rsidRPr="00E85CD3" w:rsidRDefault="009E3021" w:rsidP="0068228C">
      <w:pPr>
        <w:rPr>
          <w:sz w:val="20"/>
        </w:rPr>
      </w:pPr>
    </w:p>
    <w:p w:rsidR="009E3021" w:rsidRPr="00E85CD3" w:rsidRDefault="009E3021" w:rsidP="00856DDC">
      <w:pPr>
        <w:pStyle w:val="Heading2"/>
        <w:spacing w:after="120"/>
        <w:jc w:val="left"/>
      </w:pPr>
      <w:bookmarkStart w:id="14" w:name="_Toc346637144"/>
      <w:bookmarkStart w:id="15" w:name="_Toc352069540"/>
      <w:r w:rsidRPr="00E85CD3">
        <w:t>1.5</w:t>
      </w:r>
      <w:r w:rsidRPr="00E85CD3">
        <w:tab/>
        <w:t>Any national or regional control actions taken</w:t>
      </w:r>
      <w:bookmarkEnd w:id="14"/>
      <w:bookmarkEnd w:id="15"/>
    </w:p>
    <w:p w:rsidR="009E3021" w:rsidRDefault="009E3021" w:rsidP="00B1005D">
      <w:pPr>
        <w:pStyle w:val="Paralevel1"/>
        <w:numPr>
          <w:ilvl w:val="0"/>
          <w:numId w:val="24"/>
        </w:numPr>
        <w:ind w:left="0" w:firstLine="0"/>
      </w:pPr>
      <w:r w:rsidRPr="00E85CD3">
        <w:t>Information on CNs considered in regional and national substance lists is scarce. Additional information on national or regional control actions has not been provided by parties or observers who submitted Annex F information.</w:t>
      </w:r>
    </w:p>
    <w:p w:rsidR="00D44D07" w:rsidRPr="00D44D07" w:rsidRDefault="00D44D07" w:rsidP="00B1005D">
      <w:pPr>
        <w:pStyle w:val="Paralevel1"/>
        <w:numPr>
          <w:ilvl w:val="0"/>
          <w:numId w:val="24"/>
        </w:numPr>
        <w:ind w:left="0" w:firstLine="0"/>
      </w:pPr>
      <w:smartTag w:uri="urn:schemas-microsoft-com:office:smarttags" w:element="country-region">
        <w:smartTag w:uri="urn:schemas-microsoft-com:office:smarttags" w:element="place">
          <w:r>
            <w:t>Canada</w:t>
          </w:r>
        </w:smartTag>
      </w:smartTag>
      <w:r>
        <w:t xml:space="preserve"> has prohibited production and use of PCNs through the Canadian Environmental Protection </w:t>
      </w:r>
      <w:proofErr w:type="gramStart"/>
      <w:r>
        <w:t>Act ,</w:t>
      </w:r>
      <w:proofErr w:type="gramEnd"/>
      <w:r>
        <w:t xml:space="preserve"> 1999 in 2012 (</w:t>
      </w:r>
      <w:smartTag w:uri="urn:schemas-microsoft-com:office:smarttags" w:element="country-region">
        <w:smartTag w:uri="urn:schemas-microsoft-com:office:smarttags" w:element="place">
          <w:r>
            <w:t>Canada</w:t>
          </w:r>
        </w:smartTag>
      </w:smartTag>
      <w:r>
        <w:t xml:space="preserve">, 2012). </w:t>
      </w:r>
      <w:r w:rsidRPr="00D44D07">
        <w:t>No actions have been undertaken in the United States as the production of PCNs ceased in the 1980s.</w:t>
      </w:r>
      <w:r>
        <w:t xml:space="preserve"> </w:t>
      </w:r>
      <w:r w:rsidRPr="00D44D07">
        <w:t xml:space="preserve">The import and manufacture of PCNs has been banned in Japan since 1979. All halogenated </w:t>
      </w:r>
      <w:proofErr w:type="spellStart"/>
      <w:r w:rsidRPr="00D44D07">
        <w:t>naphthalenes</w:t>
      </w:r>
      <w:proofErr w:type="spellEnd"/>
      <w:r w:rsidRPr="00D44D07">
        <w:t>, including PCNs, are legally banned in Switzerland. Within the European Union, the Netherlands reported that PCNs were listed as a National Priority Substance for possible future regulatory control.</w:t>
      </w:r>
      <w:r w:rsidRPr="00B1005D">
        <w:footnoteReference w:id="4"/>
      </w:r>
    </w:p>
    <w:p w:rsidR="009E3021" w:rsidRPr="00B1005D" w:rsidRDefault="009E3021" w:rsidP="00B1005D">
      <w:pPr>
        <w:pStyle w:val="Paralevel1"/>
        <w:numPr>
          <w:ilvl w:val="0"/>
          <w:numId w:val="24"/>
        </w:numPr>
        <w:ind w:left="0" w:firstLine="0"/>
      </w:pPr>
      <w:r w:rsidRPr="00B1005D">
        <w:t xml:space="preserve">In Japan, tri-CNs and more chlorinated congeners are designated as Class I Specified Chemical Substances under the Chemical Substances Control Law (CSCL). A person who intends to operate a business of manufacturing, </w:t>
      </w:r>
      <w:r w:rsidRPr="00B1005D">
        <w:lastRenderedPageBreak/>
        <w:t xml:space="preserve">import or use </w:t>
      </w:r>
      <w:proofErr w:type="gramStart"/>
      <w:r w:rsidRPr="00B1005D">
        <w:t>of  a</w:t>
      </w:r>
      <w:proofErr w:type="gramEnd"/>
      <w:r w:rsidRPr="00B1005D">
        <w:t xml:space="preserve"> Class I Specified Chemical Substance shall obtain permission (Manufacture, import or use of these chemical substances is prohibited in principle.)</w:t>
      </w:r>
    </w:p>
    <w:p w:rsidR="009E3021" w:rsidRPr="00E85CD3" w:rsidRDefault="009E3021">
      <w:pPr>
        <w:rPr>
          <w:b/>
        </w:rPr>
      </w:pPr>
      <w:bookmarkStart w:id="16" w:name="_Toc346637145"/>
      <w:r w:rsidRPr="00E85CD3">
        <w:br w:type="page"/>
      </w:r>
    </w:p>
    <w:p w:rsidR="009E3021" w:rsidRPr="00E85CD3" w:rsidRDefault="009E3021" w:rsidP="00856DDC">
      <w:pPr>
        <w:pStyle w:val="Heading1"/>
        <w:spacing w:after="120"/>
        <w:rPr>
          <w:b w:val="0"/>
        </w:rPr>
      </w:pPr>
      <w:bookmarkStart w:id="17" w:name="_Toc352069541"/>
      <w:r w:rsidRPr="00E85CD3">
        <w:t>2.</w:t>
      </w:r>
      <w:r w:rsidRPr="00E85CD3">
        <w:tab/>
        <w:t>Summary information relevant to the risk management evaluation</w:t>
      </w:r>
      <w:bookmarkEnd w:id="16"/>
      <w:bookmarkEnd w:id="17"/>
    </w:p>
    <w:p w:rsidR="009E3021" w:rsidRPr="00E85CD3" w:rsidRDefault="009E3021" w:rsidP="00856DDC">
      <w:pPr>
        <w:pStyle w:val="Heading2"/>
        <w:spacing w:after="120"/>
        <w:jc w:val="left"/>
      </w:pPr>
      <w:bookmarkStart w:id="18" w:name="_Toc352069542"/>
      <w:bookmarkStart w:id="19" w:name="_Toc346637146"/>
      <w:r w:rsidRPr="00E85CD3">
        <w:t>2.1</w:t>
      </w:r>
      <w:r w:rsidRPr="00E85CD3">
        <w:tab/>
        <w:t>Additional relevant information on sources, releases and measures</w:t>
      </w:r>
      <w:bookmarkEnd w:id="18"/>
    </w:p>
    <w:p w:rsidR="009E3021" w:rsidRPr="00E85CD3" w:rsidRDefault="009E3021" w:rsidP="00B1005D">
      <w:pPr>
        <w:pStyle w:val="Paralevel1"/>
      </w:pPr>
      <w:r w:rsidRPr="00E85CD3">
        <w:t>Production</w:t>
      </w:r>
    </w:p>
    <w:p w:rsidR="009E3021" w:rsidRPr="00E85CD3" w:rsidRDefault="009E3021" w:rsidP="00B1005D">
      <w:pPr>
        <w:pStyle w:val="Paralevel1"/>
        <w:numPr>
          <w:ilvl w:val="0"/>
          <w:numId w:val="24"/>
        </w:numPr>
        <w:ind w:left="0" w:firstLine="0"/>
      </w:pPr>
      <w:r w:rsidRPr="00E85CD3">
        <w:t>Sources of CNs are possible due to anthropogenic activities: (1) intentional production, (2) unintentional generation and (3) stockpiles (for details see UNEP/POPS/POPRC.8/16/Add.1, section 2.1 on sources):</w:t>
      </w:r>
    </w:p>
    <w:p w:rsidR="009E3021" w:rsidRDefault="009E3021" w:rsidP="00B1005D">
      <w:pPr>
        <w:pStyle w:val="Paralevel1"/>
        <w:numPr>
          <w:ilvl w:val="0"/>
          <w:numId w:val="24"/>
        </w:numPr>
        <w:ind w:left="0" w:firstLine="0"/>
      </w:pPr>
      <w:r w:rsidRPr="00E85CD3">
        <w:t xml:space="preserve">(1) Within the UNECE region CN is not </w:t>
      </w:r>
      <w:r w:rsidRPr="00B1005D">
        <w:t>intentionally produced</w:t>
      </w:r>
      <w:r w:rsidRPr="00E85CD3">
        <w:t xml:space="preserve"> anymore. Production and use data outside the UNECE-region are very scarce and largely unknown. </w:t>
      </w:r>
      <w:r>
        <w:t>K</w:t>
      </w:r>
      <w:r w:rsidRPr="00E85CD3">
        <w:t xml:space="preserve">nown global production </w:t>
      </w:r>
      <w:r>
        <w:t xml:space="preserve">has </w:t>
      </w:r>
      <w:r w:rsidRPr="00E85CD3">
        <w:t xml:space="preserve">virtually stopped in many countries, having drastically decreased already in the 1970s. </w:t>
      </w:r>
      <w:r>
        <w:t>Present production of PCNs cannot be excluded.</w:t>
      </w:r>
    </w:p>
    <w:p w:rsidR="009E3021" w:rsidRDefault="009E3021" w:rsidP="00B1005D">
      <w:pPr>
        <w:pStyle w:val="Paralevel1"/>
      </w:pPr>
      <w:r w:rsidRPr="00476C19">
        <w:t xml:space="preserve">Estimates for the total global CN production so far vary between 200,000–400,000 tonnes (AMAP, 2004) and 150,000 tonnes (about one tenth of the PCBs ever produced (Brinkman &amp; De </w:t>
      </w:r>
      <w:proofErr w:type="spellStart"/>
      <w:r w:rsidRPr="00476C19">
        <w:t>Kok</w:t>
      </w:r>
      <w:proofErr w:type="spellEnd"/>
      <w:r w:rsidRPr="00476C19">
        <w:t xml:space="preserve">, 1980 as cited in: </w:t>
      </w:r>
      <w:proofErr w:type="spellStart"/>
      <w:r w:rsidRPr="00476C19">
        <w:t>Falandysz</w:t>
      </w:r>
      <w:proofErr w:type="spellEnd"/>
      <w:r w:rsidRPr="00476C19">
        <w:t>, 1998).</w:t>
      </w:r>
    </w:p>
    <w:p w:rsidR="009E3021" w:rsidRPr="00E85CD3" w:rsidRDefault="009E3021" w:rsidP="00B1005D">
      <w:pPr>
        <w:pStyle w:val="Paralevel1"/>
        <w:numPr>
          <w:ilvl w:val="0"/>
          <w:numId w:val="24"/>
        </w:numPr>
        <w:ind w:left="0" w:firstLine="0"/>
      </w:pPr>
      <w:r w:rsidRPr="00E85CD3">
        <w:t xml:space="preserve">Cases of illegal trade of </w:t>
      </w:r>
      <w:proofErr w:type="spellStart"/>
      <w:r w:rsidRPr="00E85CD3">
        <w:t>Halowax</w:t>
      </w:r>
      <w:proofErr w:type="spellEnd"/>
      <w:r w:rsidRPr="00E85CD3">
        <w:t xml:space="preserve">-like CN formulations were reported in 2002, and information about CN production and use is scarce for many countries. To date, intentional production of CN is assumed to have ended although contaminated products were still found on the market in 2003 </w:t>
      </w:r>
      <w:r w:rsidRPr="00B1005D">
        <w:t>(</w:t>
      </w:r>
      <w:r w:rsidRPr="00E85CD3">
        <w:t>Yamashita</w:t>
      </w:r>
      <w:r w:rsidRPr="00B1005D">
        <w:t xml:space="preserve"> et al., 2003 as cited in: </w:t>
      </w:r>
      <w:proofErr w:type="spellStart"/>
      <w:r w:rsidRPr="00B1005D">
        <w:t>Bidleman</w:t>
      </w:r>
      <w:proofErr w:type="spellEnd"/>
      <w:r w:rsidRPr="00B1005D">
        <w:t xml:space="preserve"> et al., 2010).</w:t>
      </w:r>
      <w:r w:rsidRPr="00E85CD3">
        <w:t xml:space="preserve"> </w:t>
      </w:r>
      <w:r>
        <w:t xml:space="preserve">According to Yamashita et al., 2003, illegal imports to Japan around 2000 were about 18 tons of a PCNs </w:t>
      </w:r>
      <w:proofErr w:type="gramStart"/>
      <w:r>
        <w:t>mixture  (</w:t>
      </w:r>
      <w:proofErr w:type="spellStart"/>
      <w:proofErr w:type="gramEnd"/>
      <w:r>
        <w:t>Halowax</w:t>
      </w:r>
      <w:proofErr w:type="spellEnd"/>
      <w:r>
        <w:t xml:space="preserve"> 1001) from the UK  used to manufacture </w:t>
      </w:r>
      <w:r w:rsidRPr="00B1005D">
        <w:t>a wide spectrum of industrial materials and commercial goods</w:t>
      </w:r>
      <w:r>
        <w:t xml:space="preserve"> </w:t>
      </w:r>
      <w:r w:rsidRPr="00B1005D">
        <w:t>including sealants, putty, shock absorbing materials, adhesive materials, insulating materials and rubber belts</w:t>
      </w:r>
      <w:r>
        <w:t xml:space="preserve"> and another </w:t>
      </w:r>
      <w:r w:rsidR="00D346CC">
        <w:t xml:space="preserve">10.6 tons of PCNs contained in </w:t>
      </w:r>
      <w:r>
        <w:t xml:space="preserve">54 tons of PCNs contaminated raw rubber </w:t>
      </w:r>
      <w:r w:rsidR="00D346CC">
        <w:t xml:space="preserve">which was imported </w:t>
      </w:r>
      <w:r w:rsidRPr="00B1005D">
        <w:t>for industrial use</w:t>
      </w:r>
      <w:r w:rsidRPr="00E85CD3">
        <w:t xml:space="preserve">. </w:t>
      </w:r>
    </w:p>
    <w:p w:rsidR="009E3021" w:rsidRDefault="009E3021" w:rsidP="00B1005D">
      <w:pPr>
        <w:pStyle w:val="Paralevel1"/>
        <w:numPr>
          <w:ilvl w:val="0"/>
          <w:numId w:val="24"/>
        </w:numPr>
        <w:ind w:left="0" w:firstLine="0"/>
      </w:pPr>
      <w:r>
        <w:t>According to a comment from the Netherlands, production was still possible in the UNECE region until 2012 when PCNs were incorporated in the EU POP regulation. Canada prohibited production and use already earlier. However, a number of UNECE countries have not yet organised legal prohibition. So production is still possible within the UNECE as well</w:t>
      </w:r>
      <w:r w:rsidRPr="00B1005D">
        <w:footnoteReference w:id="5"/>
      </w:r>
      <w:r>
        <w:t>. Specific information on ongoing production is not available. Present use of PCNs cannot be excluded.</w:t>
      </w:r>
    </w:p>
    <w:p w:rsidR="009E3021" w:rsidRPr="00E85CD3" w:rsidRDefault="009E3021" w:rsidP="00B1005D">
      <w:pPr>
        <w:pStyle w:val="Paralevel1"/>
        <w:numPr>
          <w:ilvl w:val="0"/>
          <w:numId w:val="24"/>
        </w:numPr>
        <w:ind w:left="0" w:firstLine="0"/>
      </w:pPr>
      <w:r w:rsidRPr="00E85CD3">
        <w:t xml:space="preserve">A recent study by Chinese authors states that there is no information available about the production of technical CN formulations in China </w:t>
      </w:r>
      <w:r w:rsidRPr="00B1005D">
        <w:t>(Pan et al., 2011)</w:t>
      </w:r>
      <w:r w:rsidRPr="00E85CD3">
        <w:t xml:space="preserve">, however a small quantity production (not specified) of </w:t>
      </w:r>
      <w:proofErr w:type="spellStart"/>
      <w:r w:rsidRPr="00E85CD3">
        <w:t>octa</w:t>
      </w:r>
      <w:proofErr w:type="spellEnd"/>
      <w:r w:rsidRPr="00E85CD3">
        <w:t>-CN for scientific purposes was reported for Jiangsu province lately (China, 2011).</w:t>
      </w:r>
    </w:p>
    <w:p w:rsidR="009E3021" w:rsidRPr="00E85CD3" w:rsidRDefault="009E3021" w:rsidP="00B1005D">
      <w:pPr>
        <w:pStyle w:val="Paralevel1"/>
        <w:numPr>
          <w:ilvl w:val="0"/>
          <w:numId w:val="24"/>
        </w:numPr>
        <w:ind w:left="0" w:firstLine="0"/>
      </w:pPr>
      <w:r w:rsidRPr="00E85CD3">
        <w:t xml:space="preserve">CNs </w:t>
      </w:r>
      <w:proofErr w:type="gramStart"/>
      <w:r w:rsidRPr="00E85CD3">
        <w:t>are</w:t>
      </w:r>
      <w:proofErr w:type="gramEnd"/>
      <w:r w:rsidRPr="00E85CD3">
        <w:t xml:space="preserve"> currently not produced in Nigeria and have never been produced in the country (Annex F, Nigeria, 2013). Also Slovakia and Sri Lanka reported that there is no production of CNs within these countries (Annex F, Slovakia and Sri Lanka, 2013). Additional information on the intentional production of the chemical has not been provided by parties or observers who submitted Annex F information.</w:t>
      </w:r>
    </w:p>
    <w:p w:rsidR="009E3021" w:rsidRPr="00E85CD3" w:rsidRDefault="009E3021" w:rsidP="00B1005D">
      <w:pPr>
        <w:pStyle w:val="Paralevel1"/>
        <w:numPr>
          <w:ilvl w:val="0"/>
          <w:numId w:val="24"/>
        </w:numPr>
        <w:ind w:left="0" w:firstLine="0"/>
      </w:pPr>
      <w:r w:rsidRPr="00E85CD3">
        <w:t xml:space="preserve">(2) CNs </w:t>
      </w:r>
      <w:proofErr w:type="gramStart"/>
      <w:r w:rsidRPr="00E85CD3">
        <w:t>are</w:t>
      </w:r>
      <w:proofErr w:type="gramEnd"/>
      <w:r w:rsidRPr="00E85CD3">
        <w:t xml:space="preserve"> still </w:t>
      </w:r>
      <w:r w:rsidRPr="00B1005D">
        <w:t>unintentionally generated</w:t>
      </w:r>
      <w:r w:rsidRPr="00E85CD3">
        <w:t xml:space="preserve"> during high-temperature industrial processes. Of the known releases, combustion (primarily waste incineration) is considered the most </w:t>
      </w:r>
      <w:r>
        <w:t xml:space="preserve">significant </w:t>
      </w:r>
      <w:r w:rsidRPr="00E85CD3">
        <w:t>current source, at 10-100 kg per year, worldwide. For Europe, waste incineration contributed an estimated 74% to total CN emissions in 2000</w:t>
      </w:r>
      <w:r>
        <w:t xml:space="preserve"> [UNECE 2007]</w:t>
      </w:r>
      <w:r w:rsidRPr="00E85CD3">
        <w:t xml:space="preserve">. </w:t>
      </w:r>
    </w:p>
    <w:p w:rsidR="009E3021" w:rsidRPr="00E85CD3" w:rsidRDefault="009E3021" w:rsidP="00B1005D">
      <w:pPr>
        <w:pStyle w:val="Paralevel1"/>
        <w:numPr>
          <w:ilvl w:val="0"/>
          <w:numId w:val="24"/>
        </w:numPr>
        <w:ind w:left="0" w:firstLine="0"/>
      </w:pPr>
      <w:r w:rsidRPr="00E85CD3">
        <w:t xml:space="preserve">CNs </w:t>
      </w:r>
      <w:proofErr w:type="gramStart"/>
      <w:r w:rsidRPr="00E85CD3">
        <w:t>are</w:t>
      </w:r>
      <w:proofErr w:type="gramEnd"/>
      <w:r w:rsidRPr="00E85CD3">
        <w:t xml:space="preserve"> also suspected to be generated unintentionally with similar mechanisms as PCDD/Fs: they are formed during the smelting in the secondary non-ferrous metallurgical industry (where production conditions include heat, chlorine-containing </w:t>
      </w:r>
      <w:proofErr w:type="spellStart"/>
      <w:r w:rsidRPr="00E85CD3">
        <w:t>recyclates</w:t>
      </w:r>
      <w:proofErr w:type="spellEnd"/>
      <w:r w:rsidRPr="00E85CD3">
        <w:t xml:space="preserve"> and the catalytic function of metals like, e.g. copper). </w:t>
      </w:r>
      <w:r w:rsidRPr="00B1005D">
        <w:t>Cement and magnesia production and aluminum refining have been reported as further unintentional CN sources. Also coking can release CNs and t</w:t>
      </w:r>
      <w:r w:rsidRPr="00E85CD3">
        <w:t xml:space="preserve">here have also been indications of CN formation at manufacturing sites producing chlorine by the </w:t>
      </w:r>
      <w:proofErr w:type="spellStart"/>
      <w:r w:rsidRPr="00E85CD3">
        <w:t>chlor</w:t>
      </w:r>
      <w:proofErr w:type="spellEnd"/>
      <w:r w:rsidRPr="00E85CD3">
        <w:t>-alkali process and at low concentrations as by-products in the chlorination of drinking water.</w:t>
      </w:r>
    </w:p>
    <w:p w:rsidR="009E3021" w:rsidRPr="00E85CD3" w:rsidRDefault="009E3021" w:rsidP="00B1005D">
      <w:pPr>
        <w:pStyle w:val="Paralevel1"/>
        <w:numPr>
          <w:ilvl w:val="0"/>
          <w:numId w:val="24"/>
        </w:numPr>
        <w:ind w:left="0" w:firstLine="0"/>
      </w:pPr>
      <w:r w:rsidRPr="00E85CD3">
        <w:t xml:space="preserve">(3) </w:t>
      </w:r>
      <w:r w:rsidRPr="00B1005D">
        <w:t xml:space="preserve">Commercial PCBs also contained traces of CNs (0.01–0.09%; </w:t>
      </w:r>
      <w:proofErr w:type="spellStart"/>
      <w:r w:rsidRPr="00B1005D">
        <w:t>Falandysz</w:t>
      </w:r>
      <w:proofErr w:type="spellEnd"/>
      <w:r w:rsidRPr="00B1005D">
        <w:t xml:space="preserve">, 1998, </w:t>
      </w:r>
      <w:proofErr w:type="spellStart"/>
      <w:r w:rsidRPr="00B1005D">
        <w:t>Kannan</w:t>
      </w:r>
      <w:proofErr w:type="spellEnd"/>
      <w:r w:rsidRPr="00B1005D">
        <w:t xml:space="preserve"> et al., 2000, Yamashita et al., 2000). </w:t>
      </w:r>
      <w:r w:rsidRPr="00E85CD3">
        <w:t xml:space="preserve">CNs </w:t>
      </w:r>
      <w:proofErr w:type="gramStart"/>
      <w:r w:rsidRPr="00E85CD3">
        <w:t>were</w:t>
      </w:r>
      <w:proofErr w:type="gramEnd"/>
      <w:r w:rsidRPr="00E85CD3">
        <w:t xml:space="preserve"> unintentionally released as contaminants in PCBs. Releases from former uses (CN or impurities of technical PCB) contained in landfills or old appliances (</w:t>
      </w:r>
      <w:r w:rsidRPr="00B1005D">
        <w:t>stockpiles</w:t>
      </w:r>
      <w:r w:rsidRPr="00E85CD3">
        <w:t>) are plausible but difficult to assess. In urban sites emissions of suggested historically used technical CN have been reported</w:t>
      </w:r>
      <w:r>
        <w:t xml:space="preserve"> (</w:t>
      </w:r>
      <w:proofErr w:type="spellStart"/>
      <w:r w:rsidRPr="00B1005D">
        <w:t>Harner</w:t>
      </w:r>
      <w:proofErr w:type="spellEnd"/>
      <w:r w:rsidRPr="00B1005D">
        <w:t xml:space="preserve"> et al., 2006</w:t>
      </w:r>
      <w:r>
        <w:t xml:space="preserve"> cited from </w:t>
      </w:r>
      <w:r w:rsidRPr="004A3772">
        <w:t>UNEP/POPS/POPRC.8/16/Add.1</w:t>
      </w:r>
      <w:r>
        <w:t>)</w:t>
      </w:r>
      <w:r w:rsidRPr="00E85CD3">
        <w:t>.</w:t>
      </w:r>
    </w:p>
    <w:p w:rsidR="009E3021" w:rsidRPr="0073687E" w:rsidRDefault="009E3021" w:rsidP="00B1005D">
      <w:pPr>
        <w:pStyle w:val="Paralevel1"/>
      </w:pPr>
      <w:r w:rsidRPr="0073687E">
        <w:t xml:space="preserve">Use </w:t>
      </w:r>
    </w:p>
    <w:p w:rsidR="009E3021" w:rsidRPr="00B1005D" w:rsidRDefault="009E3021" w:rsidP="00B1005D">
      <w:pPr>
        <w:pStyle w:val="Paralevel1"/>
        <w:numPr>
          <w:ilvl w:val="0"/>
          <w:numId w:val="24"/>
        </w:numPr>
        <w:ind w:left="0" w:firstLine="0"/>
      </w:pPr>
      <w:r w:rsidRPr="00B1005D">
        <w:t xml:space="preserve">CNs have been used mainly for their chemical stability, including low flammability, their (electrically) insulating </w:t>
      </w:r>
      <w:r w:rsidRPr="0073687E">
        <w:t>properties</w:t>
      </w:r>
      <w:r w:rsidRPr="00B1005D">
        <w:t xml:space="preserve"> and recalcitrance including resistance to biodegradation and </w:t>
      </w:r>
      <w:proofErr w:type="spellStart"/>
      <w:r w:rsidRPr="00B1005D">
        <w:t>biocidal</w:t>
      </w:r>
      <w:proofErr w:type="spellEnd"/>
      <w:r w:rsidRPr="00B1005D">
        <w:t xml:space="preserve"> function; they share these properties and their </w:t>
      </w:r>
      <w:r w:rsidRPr="0073687E">
        <w:t>scope</w:t>
      </w:r>
      <w:r w:rsidRPr="00B1005D">
        <w:t xml:space="preserve"> of application with the PCBs, by which they were gradually replaced after WW II.</w:t>
      </w:r>
    </w:p>
    <w:p w:rsidR="009E3021" w:rsidRPr="00B1005D" w:rsidRDefault="009E3021" w:rsidP="00B1005D">
      <w:pPr>
        <w:pStyle w:val="Paralevel1"/>
        <w:numPr>
          <w:ilvl w:val="0"/>
          <w:numId w:val="24"/>
        </w:numPr>
        <w:ind w:left="0" w:firstLine="0"/>
      </w:pPr>
      <w:r w:rsidRPr="00B1005D">
        <w:lastRenderedPageBreak/>
        <w:t xml:space="preserve">Less chlorinated congeners (mono-CN and mixtures of mono- and </w:t>
      </w:r>
      <w:proofErr w:type="spellStart"/>
      <w:r w:rsidRPr="00B1005D">
        <w:t>di</w:t>
      </w:r>
      <w:proofErr w:type="spellEnd"/>
      <w:r w:rsidRPr="00B1005D">
        <w:t>-CN) have been used for chemical-resistant gauge fluids and instrument seals, as heat exchange fluids, as high boiling specialty solvents, for colour dispersions, as engine crankcase additives, and as ingredients in motor tune-up compounds. Mono-CN has also been used as a raw material for dyes and as a wood preservative with fungicidal and insecticidal properties (IPCS, 2001).</w:t>
      </w:r>
    </w:p>
    <w:p w:rsidR="009E3021" w:rsidRPr="00B1005D" w:rsidRDefault="009E3021" w:rsidP="00B1005D">
      <w:pPr>
        <w:pStyle w:val="Paralevel1"/>
        <w:numPr>
          <w:ilvl w:val="0"/>
          <w:numId w:val="24"/>
        </w:numPr>
        <w:ind w:left="0" w:firstLine="0"/>
      </w:pPr>
      <w:r w:rsidRPr="00B1005D">
        <w:t>Higher chlorinated congeners have been used mostly, in terms of volume, for cable insulation and flame-proofing, wood preservation, engine and gear oil additives, electroplating masking compounds, feedstock for dye production, dye carriers, dielectric impregnates for capacitors/condensers, and refractive index testing oils. The use of CNs as wood preservatives was popular in the 1940s and 1950s, but they are no longer used for this purpose in the USA. Further uses were (NICNAS 2002) dipping encapsulating compounds in electronic and automotive applications, temporary binders in paper coating and impregnation, binders for ceramic components, casting materials for alloys, grinding and cutting lubricants, separators in batteries, moisture proofing sealant. In the USA, only very small amounts of CNs (about 15 tons/year in 1981) were still being used, mainly as refractive index testing oils and as capacitor dielectrics. The most likely possible new uses for CNs would be as intermediates for polymers and as flame retardants in plastics (IPCS, 2001).</w:t>
      </w:r>
    </w:p>
    <w:p w:rsidR="009E3021" w:rsidRPr="0073687E" w:rsidRDefault="009E3021" w:rsidP="00B1005D">
      <w:pPr>
        <w:pStyle w:val="Paralevel1"/>
        <w:numPr>
          <w:ilvl w:val="0"/>
          <w:numId w:val="24"/>
        </w:numPr>
        <w:ind w:left="0" w:firstLine="0"/>
      </w:pPr>
      <w:r w:rsidRPr="0073687E">
        <w:t>CNs have historically been used for several purposes, which are cable insulation, wood preservation, as additive in engine oils, electroplating masking compounds, feedstock for dye productions, dye carriers, capacitors and refracting index oils. Thereof, in the UNECE region, application in wood preservation, as additive in paints and engine oils, for cable insulation and in capacitors have been the most important ones [UNECE 2007]. They were also applied in technical PCB formulations. PCNs have been used in pyrotechnic applications. It cannot be excluded that such use is still ongoing</w:t>
      </w:r>
      <w:r w:rsidR="007C7A58" w:rsidRPr="00B1005D">
        <w:footnoteReference w:id="6"/>
      </w:r>
      <w:r w:rsidRPr="0073687E">
        <w:t xml:space="preserve">. CNs </w:t>
      </w:r>
      <w:proofErr w:type="gramStart"/>
      <w:r w:rsidRPr="0073687E">
        <w:t>were</w:t>
      </w:r>
      <w:proofErr w:type="gramEnd"/>
      <w:r w:rsidRPr="0073687E">
        <w:t xml:space="preserve"> mainly used between 1920 and 1980. Afterwards use declined considerably. In Europe, last data on use available have been reported for Germany and former Yugoslavia, where small amounts were used as casting material until 1989. [ESWI 2011]</w:t>
      </w:r>
    </w:p>
    <w:p w:rsidR="009E3021" w:rsidRPr="00B1005D" w:rsidRDefault="009E3021" w:rsidP="00B1005D">
      <w:pPr>
        <w:pStyle w:val="Paralevel1"/>
        <w:numPr>
          <w:ilvl w:val="0"/>
          <w:numId w:val="24"/>
        </w:numPr>
        <w:ind w:left="0" w:firstLine="0"/>
      </w:pPr>
      <w:r w:rsidRPr="0073687E">
        <w:t xml:space="preserve">The ECHA (European Chemicals Agency) classification and labelling inventory indicates that there are </w:t>
      </w:r>
      <w:proofErr w:type="spellStart"/>
      <w:r w:rsidRPr="0073687E">
        <w:t>notifiers</w:t>
      </w:r>
      <w:proofErr w:type="spellEnd"/>
      <w:r w:rsidRPr="0073687E">
        <w:t xml:space="preserve"> for a limited number of specific CN congeners</w:t>
      </w:r>
      <w:r w:rsidRPr="00B1005D">
        <w:footnoteReference w:id="7"/>
      </w:r>
      <w:r w:rsidRPr="0073687E">
        <w:t xml:space="preserve"> (CN congeners 1, 2, 5, 9, 27 and 75). Specific congeners are furthermore listed in the ECHA inventory of pre-registered substances (CN congeners 1 to 5, 7 to 12, and 75 with envisaged registration deadlines in 2010 or 2013). So far no registration has been submitted to ECHA. This suggests that there are no EU companies which produce or import CNs in high volumes. </w:t>
      </w:r>
      <w:r w:rsidRPr="00B1005D">
        <w:t>The entries in the C&amp;L inventory and the fact that pre-registrations have been submitted to ECHA at least indicates that CNs are of certain interest for EU companies although pre-registrations could also have been submitted due to strategic reasons instead of real registration obligations.</w:t>
      </w:r>
    </w:p>
    <w:p w:rsidR="009E3021" w:rsidRPr="0073687E" w:rsidRDefault="009E3021" w:rsidP="00B1005D">
      <w:pPr>
        <w:pStyle w:val="Paralevel1"/>
        <w:numPr>
          <w:ilvl w:val="0"/>
          <w:numId w:val="24"/>
        </w:numPr>
        <w:ind w:left="0" w:firstLine="0"/>
      </w:pPr>
      <w:r w:rsidRPr="00B1005D">
        <w:t>Within the Annex F submissions Nigeria reported that there are documented uses</w:t>
      </w:r>
      <w:r w:rsidRPr="00B1005D">
        <w:footnoteReference w:id="8"/>
      </w:r>
      <w:r w:rsidRPr="00B1005D">
        <w:t xml:space="preserve"> of CNs as cable insulation, capacitor fluids, casting material for alloys, dye carriers, electroplating masking compounds, engine oil additives, feedstock for dye production, flame proofing, lubricants, moisture proofing sealant, preservatives, refractive index testing oils, temporary binders for ceramic component manufacture and wood preservatives (Annex F, Nigeria, 2013). </w:t>
      </w:r>
      <w:r w:rsidRPr="0073687E">
        <w:t>Additional relevant information on uses has not been provided by parties or observers who submitted Annex F information.</w:t>
      </w:r>
    </w:p>
    <w:p w:rsidR="00D44D07" w:rsidRPr="00B1005D" w:rsidRDefault="00D44D07" w:rsidP="00B1005D">
      <w:pPr>
        <w:pStyle w:val="Paralevel1"/>
        <w:numPr>
          <w:ilvl w:val="0"/>
          <w:numId w:val="24"/>
        </w:numPr>
        <w:ind w:left="0" w:firstLine="0"/>
      </w:pPr>
      <w:proofErr w:type="spellStart"/>
      <w:r w:rsidRPr="0073687E">
        <w:t>Halowax</w:t>
      </w:r>
      <w:proofErr w:type="spellEnd"/>
      <w:r w:rsidRPr="0073687E">
        <w:t xml:space="preserve"> can still be purchased via internet. E.g. </w:t>
      </w:r>
      <w:proofErr w:type="spellStart"/>
      <w:r w:rsidRPr="0073687E">
        <w:t>octachloronaphtalene</w:t>
      </w:r>
      <w:proofErr w:type="spellEnd"/>
      <w:r w:rsidRPr="0073687E">
        <w:t xml:space="preserve"> can be bought from almost 27 Chinese suppliers or 27 global suppliers. The website does not provide information on the amounts for sale.</w:t>
      </w:r>
      <w:r w:rsidRPr="00B1005D">
        <w:footnoteReference w:id="9"/>
      </w:r>
    </w:p>
    <w:p w:rsidR="009E3021" w:rsidRPr="0073687E" w:rsidRDefault="009E3021" w:rsidP="00B1005D">
      <w:pPr>
        <w:pStyle w:val="Paralevel1"/>
      </w:pPr>
      <w:r w:rsidRPr="0073687E">
        <w:t>Releases</w:t>
      </w:r>
    </w:p>
    <w:p w:rsidR="009E3021" w:rsidRPr="00B1005D" w:rsidRDefault="009E3021" w:rsidP="00B1005D">
      <w:pPr>
        <w:pStyle w:val="Paralevel1"/>
        <w:numPr>
          <w:ilvl w:val="0"/>
          <w:numId w:val="24"/>
        </w:numPr>
        <w:ind w:left="0" w:firstLine="0"/>
      </w:pPr>
      <w:r w:rsidRPr="0073687E">
        <w:t xml:space="preserve">As mentioned above, production and use data outside the UNECE region are very scarce. This circumstance impairs the assessment of CN-releases on a global scale considerably. </w:t>
      </w:r>
      <w:r w:rsidRPr="00B1005D">
        <w:t>PCNs are not mentioned in the European Pollutant Release and Tr</w:t>
      </w:r>
      <w:r w:rsidR="00D346CC" w:rsidRPr="00B1005D">
        <w:t>a</w:t>
      </w:r>
      <w:r w:rsidRPr="00B1005D">
        <w:t>nsfer Register</w:t>
      </w:r>
      <w:r w:rsidRPr="00B1005D">
        <w:footnoteReference w:id="10"/>
      </w:r>
      <w:r w:rsidRPr="00B1005D">
        <w:t xml:space="preserve">. </w:t>
      </w:r>
      <w:proofErr w:type="spellStart"/>
      <w:r w:rsidRPr="00B1005D">
        <w:t>Hexa</w:t>
      </w:r>
      <w:proofErr w:type="spellEnd"/>
      <w:r w:rsidRPr="00B1005D">
        <w:t xml:space="preserve">- and </w:t>
      </w:r>
      <w:proofErr w:type="spellStart"/>
      <w:r w:rsidRPr="00B1005D">
        <w:t>octachloronaphthalenes</w:t>
      </w:r>
      <w:proofErr w:type="spellEnd"/>
      <w:r w:rsidRPr="00B1005D">
        <w:t xml:space="preserve"> are mentioned in the Toxics Release Inventory (TRI) database of US, but no releases have been reported</w:t>
      </w:r>
      <w:r w:rsidRPr="00B1005D">
        <w:footnoteReference w:id="11"/>
      </w:r>
      <w:r w:rsidRPr="00B1005D">
        <w:t xml:space="preserve">. </w:t>
      </w:r>
    </w:p>
    <w:p w:rsidR="009E3021" w:rsidRPr="00B1005D" w:rsidRDefault="009E3021" w:rsidP="00B1005D">
      <w:pPr>
        <w:pStyle w:val="Paralevel1"/>
        <w:numPr>
          <w:ilvl w:val="0"/>
          <w:numId w:val="24"/>
        </w:numPr>
        <w:ind w:left="0" w:firstLine="0"/>
      </w:pPr>
      <w:r w:rsidRPr="00B1005D">
        <w:t xml:space="preserve">IPCS considered waste incineration and disposal of CN-containing items as the major current sources of CNs to the environment (IPCS, 2001). </w:t>
      </w:r>
      <w:proofErr w:type="spellStart"/>
      <w:r w:rsidRPr="00B1005D">
        <w:t>Bolscher</w:t>
      </w:r>
      <w:proofErr w:type="spellEnd"/>
      <w:r w:rsidRPr="00B1005D">
        <w:t xml:space="preserve"> et al. (2005) conclude on the combustion of clinical, municipal and industrial waste as a key source of environmental CNs. For the UNECE-region, unintentional CN releases from waste disposal through incineration are assumed to be the most important current source. Most waste is disposed through clinical, municipal and industrial incineration. It is estimated that 74% of total CN releases in Europe are caused by waste combustion. Denier Van </w:t>
      </w:r>
      <w:proofErr w:type="spellStart"/>
      <w:r w:rsidRPr="00B1005D">
        <w:t>der</w:t>
      </w:r>
      <w:proofErr w:type="spellEnd"/>
      <w:r w:rsidRPr="00B1005D">
        <w:t xml:space="preserve"> </w:t>
      </w:r>
      <w:proofErr w:type="spellStart"/>
      <w:r w:rsidRPr="00B1005D">
        <w:t>Gon</w:t>
      </w:r>
      <w:proofErr w:type="spellEnd"/>
      <w:r w:rsidRPr="00B1005D">
        <w:t xml:space="preserve"> et al. (2007) report one ton annual CN emissions from UNECE-Europe back in 2000, </w:t>
      </w:r>
      <w:r w:rsidRPr="00B1005D">
        <w:lastRenderedPageBreak/>
        <w:t xml:space="preserve">more than 80 % of which were due to combustion. Incineration of municipal and special waste, and more generally, thermal processes like combustion, roasting and metal reclamation are also regarded significant sources (IPCS, 2001, </w:t>
      </w:r>
      <w:proofErr w:type="spellStart"/>
      <w:r w:rsidRPr="00B1005D">
        <w:t>Falandysz</w:t>
      </w:r>
      <w:proofErr w:type="spellEnd"/>
      <w:r w:rsidRPr="00B1005D">
        <w:t xml:space="preserve">, 1998). It is estimated that annually 10–100 </w:t>
      </w:r>
      <w:proofErr w:type="gramStart"/>
      <w:r w:rsidRPr="00B1005D">
        <w:t>kg,</w:t>
      </w:r>
      <w:proofErr w:type="gramEnd"/>
      <w:r w:rsidRPr="00B1005D">
        <w:t xml:space="preserve"> and a total (ever released) volume of 1–10 tons CN are and have been formed during combustion, worldwide (</w:t>
      </w:r>
      <w:proofErr w:type="spellStart"/>
      <w:r w:rsidRPr="00B1005D">
        <w:t>Falandysz</w:t>
      </w:r>
      <w:proofErr w:type="spellEnd"/>
      <w:r w:rsidRPr="00B1005D">
        <w:t>, 1998). In the UK, c</w:t>
      </w:r>
      <w:r w:rsidR="00350273" w:rsidRPr="0073687E">
        <w:t>ommercially produced PCNs are thought to be the most important source of PCNs in the atmosphere, with the other source sectors being thermal sources, other industrial processes and</w:t>
      </w:r>
      <w:r w:rsidRPr="0073687E">
        <w:t xml:space="preserve"> </w:t>
      </w:r>
      <w:r w:rsidR="00350273" w:rsidRPr="0073687E">
        <w:t>contamination in PCB industrially produced mixtures</w:t>
      </w:r>
      <w:r w:rsidRPr="0073687E">
        <w:t xml:space="preserve"> [Dore et al. 2008]</w:t>
      </w:r>
      <w:r w:rsidR="00350273" w:rsidRPr="0073687E">
        <w:t>.</w:t>
      </w:r>
      <w:r w:rsidR="00035B1E" w:rsidRPr="0073687E">
        <w:t xml:space="preserve"> </w:t>
      </w:r>
    </w:p>
    <w:p w:rsidR="009E3021" w:rsidRPr="00B1005D" w:rsidRDefault="009E3021" w:rsidP="00B1005D">
      <w:pPr>
        <w:pStyle w:val="Paralevel1"/>
        <w:numPr>
          <w:ilvl w:val="0"/>
          <w:numId w:val="24"/>
        </w:numPr>
        <w:ind w:left="0" w:firstLine="0"/>
      </w:pPr>
      <w:r w:rsidRPr="0073687E">
        <w:t>Due to common practices in clinical waste incineration under uncontrolled conditions it is likely that in developing countries there are significant PCN releases from clinical waste incineration in these countries</w:t>
      </w:r>
      <w:r w:rsidRPr="00B1005D">
        <w:footnoteReference w:id="12"/>
      </w:r>
      <w:r w:rsidR="007C7A58" w:rsidRPr="0073687E">
        <w:t>.</w:t>
      </w:r>
    </w:p>
    <w:p w:rsidR="009E3021" w:rsidRPr="00B1005D" w:rsidRDefault="009E3021" w:rsidP="00B1005D">
      <w:pPr>
        <w:pStyle w:val="Paralevel1"/>
        <w:numPr>
          <w:ilvl w:val="0"/>
          <w:numId w:val="24"/>
        </w:numPr>
        <w:ind w:left="0" w:firstLine="0"/>
      </w:pPr>
      <w:r w:rsidRPr="00B1005D">
        <w:t xml:space="preserve">CNs are also suspected to be produced unintentionally with similar mechanisms (NICNAS, 2002, </w:t>
      </w:r>
      <w:proofErr w:type="spellStart"/>
      <w:r w:rsidRPr="00B1005D">
        <w:t>Bolscher</w:t>
      </w:r>
      <w:proofErr w:type="spellEnd"/>
      <w:r w:rsidRPr="00B1005D">
        <w:t xml:space="preserve"> et al., 2005) as </w:t>
      </w:r>
      <w:proofErr w:type="spellStart"/>
      <w:r w:rsidRPr="00B1005D">
        <w:t>dibenzodioxins</w:t>
      </w:r>
      <w:proofErr w:type="spellEnd"/>
      <w:r w:rsidRPr="00B1005D">
        <w:t xml:space="preserve"> and -furans: they are formed during the smelting in the secondary non-ferrous metallurgical industry (where production conditions include heat, chlorine-containing </w:t>
      </w:r>
      <w:proofErr w:type="spellStart"/>
      <w:r w:rsidRPr="00B1005D">
        <w:t>recyclates</w:t>
      </w:r>
      <w:proofErr w:type="spellEnd"/>
      <w:r w:rsidRPr="00B1005D">
        <w:t xml:space="preserve"> and the catalytic function of metals like, e.g. copper; </w:t>
      </w:r>
      <w:proofErr w:type="spellStart"/>
      <w:r w:rsidRPr="0073687E">
        <w:t>Kannan</w:t>
      </w:r>
      <w:proofErr w:type="spellEnd"/>
      <w:r w:rsidRPr="00B1005D">
        <w:t xml:space="preserve"> et al., 1998, </w:t>
      </w:r>
      <w:proofErr w:type="spellStart"/>
      <w:r w:rsidRPr="00B1005D">
        <w:t>Ba</w:t>
      </w:r>
      <w:proofErr w:type="spellEnd"/>
      <w:r w:rsidRPr="00B1005D">
        <w:t xml:space="preserve"> et al., 2010). Calculated emission factors suggest 428.4 </w:t>
      </w:r>
      <w:proofErr w:type="spellStart"/>
      <w:r w:rsidRPr="00B1005D">
        <w:t>ng</w:t>
      </w:r>
      <w:proofErr w:type="spellEnd"/>
      <w:r w:rsidRPr="00B1005D">
        <w:t xml:space="preserve"> TEQ per ton secondary copper (aluminium: 142.8, zinc: </w:t>
      </w:r>
      <w:proofErr w:type="gramStart"/>
      <w:r w:rsidRPr="00B1005D">
        <w:t>125.7,</w:t>
      </w:r>
      <w:proofErr w:type="gramEnd"/>
      <w:r w:rsidRPr="00B1005D">
        <w:t xml:space="preserve"> lead: 20.1; </w:t>
      </w:r>
      <w:proofErr w:type="spellStart"/>
      <w:r w:rsidRPr="00B1005D">
        <w:t>Ba</w:t>
      </w:r>
      <w:proofErr w:type="spellEnd"/>
      <w:r w:rsidRPr="00B1005D">
        <w:t xml:space="preserve"> et al., 2010). Cement and magnesia production and aluminium refining have been reported as further unintentional CN sources (Environment Canada, 2011). Coking can release CNs, too, with emissions of 0.77–1.24 TEQ per ton coke </w:t>
      </w:r>
      <w:proofErr w:type="gramStart"/>
      <w:r w:rsidRPr="00B1005D">
        <w:t>( Liu</w:t>
      </w:r>
      <w:proofErr w:type="gramEnd"/>
      <w:r w:rsidRPr="00B1005D">
        <w:t xml:space="preserve"> et al., 2010). Within the UNECE, CNs are thus unintentionally released by industry, but these emissions amount to only about 1/7 of those from waste incineration and are of approximately the same size as releases from other combustion processes (Denier van </w:t>
      </w:r>
      <w:proofErr w:type="spellStart"/>
      <w:r w:rsidRPr="00B1005D">
        <w:t>der</w:t>
      </w:r>
      <w:proofErr w:type="spellEnd"/>
      <w:r w:rsidRPr="00B1005D">
        <w:t xml:space="preserve"> </w:t>
      </w:r>
      <w:proofErr w:type="spellStart"/>
      <w:r w:rsidRPr="00B1005D">
        <w:t>Gon</w:t>
      </w:r>
      <w:proofErr w:type="spellEnd"/>
      <w:r w:rsidRPr="00B1005D">
        <w:t xml:space="preserve"> et al., 2007).</w:t>
      </w:r>
    </w:p>
    <w:p w:rsidR="009E3021" w:rsidRPr="00B1005D" w:rsidRDefault="009E3021" w:rsidP="00B1005D">
      <w:pPr>
        <w:pStyle w:val="Paralevel1"/>
        <w:numPr>
          <w:ilvl w:val="0"/>
          <w:numId w:val="24"/>
        </w:numPr>
        <w:ind w:left="0" w:firstLine="0"/>
      </w:pPr>
      <w:r w:rsidRPr="0073687E">
        <w:t xml:space="preserve">Accordingly, in the UNECE, about 79% of the CN releases result </w:t>
      </w:r>
      <w:proofErr w:type="gramStart"/>
      <w:r w:rsidRPr="0073687E">
        <w:t xml:space="preserve">from  </w:t>
      </w:r>
      <w:r w:rsidRPr="00B1005D">
        <w:t>public</w:t>
      </w:r>
      <w:proofErr w:type="gramEnd"/>
      <w:r w:rsidRPr="00B1005D">
        <w:t xml:space="preserve"> heat and power and industrial solvent production and use, about 11% result from residential, commercial and other combustion and about 10% from other industrial activities (Denier van </w:t>
      </w:r>
      <w:proofErr w:type="spellStart"/>
      <w:r w:rsidRPr="00B1005D">
        <w:t>der</w:t>
      </w:r>
      <w:proofErr w:type="spellEnd"/>
      <w:r w:rsidRPr="00B1005D">
        <w:t xml:space="preserve"> </w:t>
      </w:r>
      <w:proofErr w:type="spellStart"/>
      <w:r w:rsidRPr="00B1005D">
        <w:t>Gon</w:t>
      </w:r>
      <w:proofErr w:type="spellEnd"/>
      <w:r w:rsidRPr="00B1005D">
        <w:t xml:space="preserve"> et al., 2007). There are potential releases from former uses (CN or impurities of technical PCBs) contained in landfills or old appliances, but their contribution to current CN releases are difficult to assess (UNEP/POPS/POPRC.8/16/Add.1).</w:t>
      </w:r>
    </w:p>
    <w:p w:rsidR="009E3021" w:rsidRPr="00B1005D" w:rsidRDefault="009E3021" w:rsidP="00B1005D">
      <w:pPr>
        <w:pStyle w:val="Paralevel1"/>
        <w:numPr>
          <w:ilvl w:val="0"/>
          <w:numId w:val="24"/>
        </w:numPr>
        <w:ind w:left="0" w:firstLine="0"/>
      </w:pPr>
      <w:r w:rsidRPr="00B1005D">
        <w:t xml:space="preserve">Although official release data are lacking, there is literature available on emissions from PCNs from various industries, specifically on unintentional emissions. For instance, </w:t>
      </w:r>
      <w:proofErr w:type="spellStart"/>
      <w:r w:rsidRPr="00B1005D">
        <w:t>Brack</w:t>
      </w:r>
      <w:proofErr w:type="spellEnd"/>
      <w:r w:rsidRPr="00B1005D">
        <w:t xml:space="preserve"> et al (2003) </w:t>
      </w:r>
      <w:proofErr w:type="gramStart"/>
      <w:r w:rsidRPr="00B1005D">
        <w:t xml:space="preserve">report on past emissions in Germany </w:t>
      </w:r>
      <w:r w:rsidR="00350273" w:rsidRPr="0073687E">
        <w:t>Sediments were</w:t>
      </w:r>
      <w:proofErr w:type="gramEnd"/>
      <w:r w:rsidR="00350273" w:rsidRPr="0073687E">
        <w:t xml:space="preserve"> </w:t>
      </w:r>
      <w:proofErr w:type="spellStart"/>
      <w:r w:rsidR="00350273" w:rsidRPr="0073687E">
        <w:t>isomerspecifically</w:t>
      </w:r>
      <w:proofErr w:type="spellEnd"/>
      <w:r w:rsidR="00350273" w:rsidRPr="0073687E">
        <w:t xml:space="preserve"> analysed</w:t>
      </w:r>
      <w:r w:rsidRPr="0073687E">
        <w:t xml:space="preserve">. </w:t>
      </w:r>
      <w:r w:rsidR="00350273" w:rsidRPr="0073687E">
        <w:t xml:space="preserve">The isomer pattern suggests </w:t>
      </w:r>
      <w:proofErr w:type="spellStart"/>
      <w:r w:rsidR="00350273" w:rsidRPr="0073687E">
        <w:t>chloralkali</w:t>
      </w:r>
      <w:proofErr w:type="spellEnd"/>
      <w:r w:rsidR="00350273" w:rsidRPr="0073687E">
        <w:t xml:space="preserve"> industry as the major source of PCN contamination.</w:t>
      </w:r>
      <w:r w:rsidRPr="0073687E">
        <w:t xml:space="preserve"> </w:t>
      </w:r>
      <w:r w:rsidRPr="00B1005D">
        <w:t xml:space="preserve">There have also been indications (characteristic congener profiles) of CN formation at manufacturing sites producing chlorine by the use </w:t>
      </w:r>
      <w:r w:rsidRPr="0073687E">
        <w:t xml:space="preserve">of graphite anodes in mercury cell </w:t>
      </w:r>
      <w:proofErr w:type="spellStart"/>
      <w:r w:rsidRPr="0073687E">
        <w:t>chlor</w:t>
      </w:r>
      <w:proofErr w:type="spellEnd"/>
      <w:r w:rsidRPr="0073687E">
        <w:t>-</w:t>
      </w:r>
      <w:proofErr w:type="gramStart"/>
      <w:r w:rsidRPr="0073687E">
        <w:t xml:space="preserve">alkali </w:t>
      </w:r>
      <w:r w:rsidRPr="00B1005D">
        <w:t xml:space="preserve"> process</w:t>
      </w:r>
      <w:proofErr w:type="gramEnd"/>
      <w:r w:rsidRPr="00B1005D">
        <w:t xml:space="preserve">, as indicated by the </w:t>
      </w:r>
      <w:r w:rsidRPr="0073687E">
        <w:t>high</w:t>
      </w:r>
      <w:r w:rsidRPr="00B1005D">
        <w:t xml:space="preserve"> concentrations of CNs reported in fish collected near a former </w:t>
      </w:r>
      <w:proofErr w:type="spellStart"/>
      <w:r w:rsidRPr="00B1005D">
        <w:t>chlor</w:t>
      </w:r>
      <w:proofErr w:type="spellEnd"/>
      <w:r w:rsidRPr="00B1005D">
        <w:t>-alkali plant (</w:t>
      </w:r>
      <w:proofErr w:type="spellStart"/>
      <w:r w:rsidRPr="00B1005D">
        <w:t>Kannan</w:t>
      </w:r>
      <w:proofErr w:type="spellEnd"/>
      <w:r w:rsidRPr="00B1005D">
        <w:t xml:space="preserve"> et al., 1998). Although one older study reported that </w:t>
      </w:r>
      <w:proofErr w:type="spellStart"/>
      <w:r w:rsidRPr="00B1005D">
        <w:t>di</w:t>
      </w:r>
      <w:proofErr w:type="spellEnd"/>
      <w:r w:rsidRPr="00B1005D">
        <w:t>-CNs are formed at low concentrations as by-products in the chlorination of drinking water (</w:t>
      </w:r>
      <w:proofErr w:type="spellStart"/>
      <w:r w:rsidRPr="00B1005D">
        <w:t>Shiraishi</w:t>
      </w:r>
      <w:proofErr w:type="spellEnd"/>
      <w:r w:rsidRPr="00B1005D">
        <w:t xml:space="preserve"> et al. 1985 in Environment Canada, 2011), no evidence has been found in the recent literature to support this finding ( Environment Canada, 2011). </w:t>
      </w:r>
    </w:p>
    <w:p w:rsidR="009E3021" w:rsidRPr="00B1005D" w:rsidRDefault="009E3021" w:rsidP="00B1005D">
      <w:pPr>
        <w:pStyle w:val="Paralevel1"/>
        <w:numPr>
          <w:ilvl w:val="0"/>
          <w:numId w:val="24"/>
        </w:numPr>
        <w:ind w:left="0" w:firstLine="0"/>
      </w:pPr>
      <w:proofErr w:type="spellStart"/>
      <w:r w:rsidRPr="00B1005D">
        <w:t>Nie</w:t>
      </w:r>
      <w:proofErr w:type="spellEnd"/>
      <w:r w:rsidRPr="00B1005D">
        <w:t xml:space="preserve"> et al. 2012 report on PCN emissions from thermal wire reclamation at industrial scrap metal parks in China.</w:t>
      </w:r>
    </w:p>
    <w:p w:rsidR="009E3021" w:rsidRPr="00B1005D" w:rsidRDefault="009E3021" w:rsidP="00B1005D">
      <w:pPr>
        <w:pStyle w:val="Paralevel1"/>
        <w:numPr>
          <w:ilvl w:val="0"/>
          <w:numId w:val="24"/>
        </w:numPr>
        <w:ind w:left="0" w:firstLine="0"/>
      </w:pPr>
      <w:r w:rsidRPr="00B1005D">
        <w:t xml:space="preserve">Another unintentional source is the release of CN-traces from technical PCB production which was roughly estimated at 0.1 </w:t>
      </w:r>
      <w:proofErr w:type="spellStart"/>
      <w:r w:rsidRPr="00B1005D">
        <w:t>kt</w:t>
      </w:r>
      <w:proofErr w:type="spellEnd"/>
      <w:r w:rsidRPr="00B1005D">
        <w:t xml:space="preserve"> present in all </w:t>
      </w:r>
      <w:proofErr w:type="spellStart"/>
      <w:r w:rsidRPr="0073687E">
        <w:t>Arochlor</w:t>
      </w:r>
      <w:proofErr w:type="spellEnd"/>
      <w:r w:rsidRPr="00B1005D">
        <w:t xml:space="preserve"> and </w:t>
      </w:r>
      <w:proofErr w:type="spellStart"/>
      <w:r w:rsidRPr="00B1005D">
        <w:t>Clophen</w:t>
      </w:r>
      <w:proofErr w:type="spellEnd"/>
      <w:r w:rsidRPr="00B1005D">
        <w:t xml:space="preserve"> ever produced worldwide (</w:t>
      </w:r>
      <w:proofErr w:type="spellStart"/>
      <w:r w:rsidRPr="00B1005D">
        <w:t>Falandysz</w:t>
      </w:r>
      <w:proofErr w:type="spellEnd"/>
      <w:r w:rsidRPr="00B1005D">
        <w:t xml:space="preserve">, 1998). CN formation during PCB production was reported as a potential source (Denier van </w:t>
      </w:r>
      <w:proofErr w:type="spellStart"/>
      <w:r w:rsidRPr="00B1005D">
        <w:t>der</w:t>
      </w:r>
      <w:proofErr w:type="spellEnd"/>
      <w:r w:rsidRPr="00B1005D">
        <w:t xml:space="preserve"> </w:t>
      </w:r>
      <w:proofErr w:type="spellStart"/>
      <w:r w:rsidRPr="00B1005D">
        <w:t>Gon</w:t>
      </w:r>
      <w:proofErr w:type="spellEnd"/>
      <w:r w:rsidRPr="00B1005D">
        <w:t xml:space="preserve"> et al., 2007).</w:t>
      </w:r>
    </w:p>
    <w:p w:rsidR="009E3021" w:rsidRPr="0073687E" w:rsidRDefault="009E3021" w:rsidP="00B1005D">
      <w:pPr>
        <w:pStyle w:val="Paralevel1"/>
        <w:numPr>
          <w:ilvl w:val="0"/>
          <w:numId w:val="24"/>
        </w:numPr>
        <w:ind w:left="0" w:firstLine="0"/>
      </w:pPr>
      <w:r w:rsidRPr="00B1005D">
        <w:t xml:space="preserve">Nigeria reported that no coordinated survey has been conducted in Nigeria, however, considering the use pattern of CNs, unintentional production of CNs, may be linked to metal refining, waste incineration, wood combustion, open municipal waste dump, historical use of CNs, contaminated sites, abandoned stockpiles, old formulation facilities, historical and present use of PCBs, open burning practices, etc. (Annex F, Nigeria, 2013). </w:t>
      </w:r>
      <w:r w:rsidRPr="0073687E">
        <w:t>Additional information on releases has not been provided by parties or observers who submitted Annex F information.</w:t>
      </w:r>
    </w:p>
    <w:p w:rsidR="005E645E" w:rsidRPr="0073687E" w:rsidRDefault="005E645E" w:rsidP="001E2795">
      <w:pPr>
        <w:pStyle w:val="Paralevel1"/>
        <w:numPr>
          <w:ilvl w:val="0"/>
          <w:numId w:val="24"/>
        </w:numPr>
        <w:ind w:left="0" w:firstLine="0"/>
      </w:pPr>
      <w:r w:rsidRPr="0073687E">
        <w:t xml:space="preserve">Data on the concentrations in sediment cores presented in </w:t>
      </w:r>
      <w:proofErr w:type="spellStart"/>
      <w:r w:rsidRPr="0073687E">
        <w:t>Gevao</w:t>
      </w:r>
      <w:proofErr w:type="spellEnd"/>
      <w:r w:rsidRPr="0073687E">
        <w:t xml:space="preserve"> </w:t>
      </w:r>
      <w:proofErr w:type="gramStart"/>
      <w:r w:rsidRPr="0073687E">
        <w:t>et al (2000) indicate</w:t>
      </w:r>
      <w:proofErr w:type="gramEnd"/>
      <w:r w:rsidRPr="0073687E">
        <w:t xml:space="preserve"> that peak production of PCNs precede that of PCBs by 20-30 years. A summary of concentration patterns in sediment cores is provided in </w:t>
      </w:r>
      <w:proofErr w:type="spellStart"/>
      <w:r w:rsidRPr="0073687E">
        <w:t>Gewurz</w:t>
      </w:r>
      <w:proofErr w:type="spellEnd"/>
      <w:r w:rsidRPr="0073687E">
        <w:t xml:space="preserve"> et al (2009), which suggest that peak concentrations of PCNs were reached about 20 years earlier in UK than in Japan, in the late 1950s to mid-1960s and in the 1980s respectively.</w:t>
      </w:r>
    </w:p>
    <w:p w:rsidR="00365A57" w:rsidRPr="0073687E" w:rsidRDefault="00365A57" w:rsidP="001E2795">
      <w:pPr>
        <w:pStyle w:val="Paralevel1"/>
        <w:numPr>
          <w:ilvl w:val="0"/>
          <w:numId w:val="24"/>
        </w:numPr>
        <w:ind w:left="0" w:firstLine="0"/>
      </w:pPr>
      <w:r w:rsidRPr="0073687E">
        <w:t xml:space="preserve">Data on markers in soil or sediment cores may indicate the importance of the various sources. E.g. data presented in Meijer et al (2001) </w:t>
      </w:r>
      <w:r w:rsidR="001D31A8" w:rsidRPr="0073687E">
        <w:t xml:space="preserve">show significant </w:t>
      </w:r>
      <w:r w:rsidR="00350273" w:rsidRPr="001E2795">
        <w:t>increasing trends</w:t>
      </w:r>
      <w:r w:rsidR="001D31A8" w:rsidRPr="001E2795">
        <w:t xml:space="preserve"> </w:t>
      </w:r>
      <w:r w:rsidR="00350273" w:rsidRPr="001E2795">
        <w:t>for several congeners associated with</w:t>
      </w:r>
      <w:r w:rsidR="001D31A8" w:rsidRPr="001E2795">
        <w:t xml:space="preserve"> </w:t>
      </w:r>
      <w:r w:rsidR="00350273" w:rsidRPr="001E2795">
        <w:t>combustion sources suggesting that combustion related sources are more</w:t>
      </w:r>
      <w:r w:rsidR="001D31A8" w:rsidRPr="001E2795">
        <w:t xml:space="preserve"> </w:t>
      </w:r>
      <w:r w:rsidR="00350273" w:rsidRPr="001E2795">
        <w:t>important than they were in the past.</w:t>
      </w:r>
      <w:r w:rsidR="001D31A8" w:rsidRPr="001E2795">
        <w:t xml:space="preserve"> This indicates that the relative importance of combustion sources may increase.</w:t>
      </w:r>
    </w:p>
    <w:p w:rsidR="00350273" w:rsidRPr="001E2795" w:rsidRDefault="00350273" w:rsidP="001E2795">
      <w:pPr>
        <w:pStyle w:val="Paralevel1"/>
        <w:numPr>
          <w:ilvl w:val="0"/>
          <w:numId w:val="24"/>
        </w:numPr>
        <w:ind w:left="0" w:firstLine="0"/>
      </w:pPr>
      <w:r w:rsidRPr="001E2795">
        <w:t xml:space="preserve">In conclusion the information available indicates that most important releases result from </w:t>
      </w:r>
      <w:r w:rsidR="00E37C15" w:rsidRPr="001E2795">
        <w:t xml:space="preserve">(1) </w:t>
      </w:r>
      <w:r w:rsidRPr="001E2795">
        <w:t>past intentional production of PCNs and re</w:t>
      </w:r>
      <w:r w:rsidR="009048EB" w:rsidRPr="001E2795">
        <w:t>maining products</w:t>
      </w:r>
      <w:r w:rsidR="00E37C15" w:rsidRPr="001E2795">
        <w:t>,</w:t>
      </w:r>
      <w:r w:rsidR="009048EB" w:rsidRPr="001E2795">
        <w:t xml:space="preserve"> </w:t>
      </w:r>
      <w:r w:rsidRPr="001E2795">
        <w:t>stockpiles</w:t>
      </w:r>
      <w:r w:rsidR="00E37C15" w:rsidRPr="001E2795">
        <w:t xml:space="preserve"> and landfills</w:t>
      </w:r>
      <w:r w:rsidR="009048EB" w:rsidRPr="001E2795">
        <w:t xml:space="preserve"> (estimates for </w:t>
      </w:r>
      <w:r w:rsidR="005E645E" w:rsidRPr="001E2795">
        <w:t>global</w:t>
      </w:r>
      <w:r w:rsidR="009048EB" w:rsidRPr="001E2795">
        <w:t xml:space="preserve"> </w:t>
      </w:r>
      <w:r w:rsidR="005E645E" w:rsidRPr="001E2795">
        <w:t>production</w:t>
      </w:r>
      <w:r w:rsidR="009048EB" w:rsidRPr="001E2795">
        <w:t xml:space="preserve"> range between 150,000 and 400,000 tonnes)</w:t>
      </w:r>
      <w:r w:rsidRPr="001E2795">
        <w:t xml:space="preserve">, </w:t>
      </w:r>
      <w:r w:rsidR="00E37C15" w:rsidRPr="001E2795">
        <w:t xml:space="preserve">(2) </w:t>
      </w:r>
      <w:r w:rsidRPr="001E2795">
        <w:t>unintentional generation during waste incineration</w:t>
      </w:r>
      <w:r w:rsidR="009048EB" w:rsidRPr="001E2795">
        <w:t xml:space="preserve"> (e.g. municipal, clinical and </w:t>
      </w:r>
      <w:r w:rsidR="009048EB" w:rsidRPr="001E2795">
        <w:lastRenderedPageBreak/>
        <w:t>industrial waste)</w:t>
      </w:r>
      <w:r w:rsidRPr="001E2795">
        <w:t xml:space="preserve"> and </w:t>
      </w:r>
      <w:r w:rsidR="00E37C15" w:rsidRPr="001E2795">
        <w:t xml:space="preserve">(3) </w:t>
      </w:r>
      <w:r w:rsidRPr="001E2795">
        <w:t xml:space="preserve">other thermal </w:t>
      </w:r>
      <w:r w:rsidR="009048EB" w:rsidRPr="001E2795">
        <w:t xml:space="preserve">and </w:t>
      </w:r>
      <w:r w:rsidRPr="001E2795">
        <w:t>industrial processes</w:t>
      </w:r>
      <w:r w:rsidR="009048EB" w:rsidRPr="001E2795">
        <w:t xml:space="preserve"> (e.g. public heat and power, industrial solvent production and use</w:t>
      </w:r>
      <w:r w:rsidR="00E37C15" w:rsidRPr="001E2795">
        <w:t xml:space="preserve">, </w:t>
      </w:r>
      <w:proofErr w:type="spellStart"/>
      <w:r w:rsidR="00E37C15" w:rsidRPr="001E2795">
        <w:t>chloralkali</w:t>
      </w:r>
      <w:proofErr w:type="spellEnd"/>
      <w:r w:rsidR="00E37C15" w:rsidRPr="001E2795">
        <w:t xml:space="preserve"> industry, non-ferrous metal industry, cement industry, coking, metal reclamation</w:t>
      </w:r>
      <w:r w:rsidR="009048EB" w:rsidRPr="001E2795">
        <w:t>)</w:t>
      </w:r>
      <w:r w:rsidRPr="001E2795">
        <w:t>.</w:t>
      </w:r>
      <w:r w:rsidR="00365A57" w:rsidRPr="001E2795">
        <w:t xml:space="preserve"> </w:t>
      </w:r>
    </w:p>
    <w:p w:rsidR="009E3021" w:rsidRPr="00E85CD3" w:rsidRDefault="009E3021">
      <w:pPr>
        <w:rPr>
          <w:b/>
          <w:sz w:val="20"/>
          <w:lang w:val="en-US"/>
        </w:rPr>
      </w:pPr>
      <w:r w:rsidRPr="0073687E">
        <w:rPr>
          <w:b/>
          <w:sz w:val="20"/>
          <w:lang w:val="en-US"/>
        </w:rPr>
        <w:br w:type="page"/>
      </w:r>
    </w:p>
    <w:p w:rsidR="009E3021" w:rsidRPr="00E85CD3" w:rsidRDefault="009E3021" w:rsidP="00B1005D">
      <w:pPr>
        <w:pStyle w:val="Paralevel1"/>
      </w:pPr>
      <w:r w:rsidRPr="00E85CD3">
        <w:t>Possible measures</w:t>
      </w:r>
    </w:p>
    <w:p w:rsidR="009E3021" w:rsidRPr="00E85CD3" w:rsidRDefault="009E3021" w:rsidP="001E2795">
      <w:pPr>
        <w:pStyle w:val="Paralevel1"/>
        <w:numPr>
          <w:ilvl w:val="0"/>
          <w:numId w:val="24"/>
        </w:numPr>
        <w:ind w:left="0" w:firstLine="0"/>
      </w:pPr>
      <w:r w:rsidRPr="00E85CD3">
        <w:t xml:space="preserve">Possible measures can be directed at the relevant anthropogenic sources of CN: (1) intentional production, (2) unintentional generation and (3) stockpiles. </w:t>
      </w:r>
      <w:fldSimple w:instr=" REF _Ref347476269 \h  \* MERGEFORMAT ">
        <w:r w:rsidR="00E37912" w:rsidRPr="00E85CD3">
          <w:t xml:space="preserve">Figure </w:t>
        </w:r>
        <w:r w:rsidR="00E37912">
          <w:t>1</w:t>
        </w:r>
      </w:fldSimple>
      <w:r w:rsidRPr="00E85CD3">
        <w:t xml:space="preserve"> illustrates relevant sources and possible control measures for CN.</w:t>
      </w:r>
    </w:p>
    <w:p w:rsidR="009E3021" w:rsidRPr="00E85CD3" w:rsidRDefault="003E5AD1" w:rsidP="00A434A6">
      <w:pPr>
        <w:spacing w:after="120"/>
        <w:rPr>
          <w:sz w:val="20"/>
        </w:rPr>
      </w:pPr>
      <w:r w:rsidRPr="003E5AD1">
        <w:rPr>
          <w:noProof/>
          <w:lang w:val="de-DE" w:eastAsia="de-DE"/>
        </w:rPr>
        <w:pict>
          <v:roundrect id="_x0000_s1026" style="position:absolute;margin-left:2.3pt;margin-top:3pt;width:372.7pt;height:23.05pt;z-index:251650048" arcsize="10923f">
            <v:textbox style="mso-next-textbox:#_x0000_s1026">
              <w:txbxContent>
                <w:p w:rsidR="001E2795" w:rsidRPr="00834889" w:rsidRDefault="001E2795" w:rsidP="00A434A6">
                  <w:pPr>
                    <w:jc w:val="center"/>
                    <w:rPr>
                      <w:sz w:val="18"/>
                      <w:szCs w:val="18"/>
                      <w:lang w:val="de-DE"/>
                    </w:rPr>
                  </w:pPr>
                  <w:r>
                    <w:rPr>
                      <w:sz w:val="18"/>
                      <w:szCs w:val="18"/>
                      <w:lang w:val="de-DE"/>
                    </w:rPr>
                    <w:t>Anthropogenic sources</w:t>
                  </w:r>
                </w:p>
              </w:txbxContent>
            </v:textbox>
          </v:roundrect>
        </w:pict>
      </w:r>
      <w:r w:rsidRPr="003E5AD1">
        <w:rPr>
          <w:noProof/>
          <w:lang w:val="de-DE" w:eastAsia="de-DE"/>
        </w:rPr>
        <w:pict>
          <v:roundrect id="_x0000_s1027" style="position:absolute;margin-left:384.2pt;margin-top:3pt;width:86.95pt;height:23.05pt;z-index:251651072" arcsize="10923f">
            <v:textbox style="mso-next-textbox:#_x0000_s1027">
              <w:txbxContent>
                <w:p w:rsidR="001E2795" w:rsidRPr="00834889" w:rsidRDefault="001E2795" w:rsidP="00A434A6">
                  <w:pPr>
                    <w:jc w:val="center"/>
                    <w:rPr>
                      <w:sz w:val="18"/>
                      <w:szCs w:val="18"/>
                      <w:lang w:val="de-DE"/>
                    </w:rPr>
                  </w:pPr>
                  <w:r>
                    <w:rPr>
                      <w:sz w:val="18"/>
                      <w:szCs w:val="18"/>
                      <w:lang w:val="de-DE"/>
                    </w:rPr>
                    <w:t>Natural sources</w:t>
                  </w:r>
                </w:p>
              </w:txbxContent>
            </v:textbox>
          </v:roundrect>
        </w:pict>
      </w:r>
    </w:p>
    <w:p w:rsidR="009E3021" w:rsidRPr="00E85CD3" w:rsidRDefault="003E5AD1" w:rsidP="00A434A6">
      <w:pPr>
        <w:spacing w:after="120"/>
        <w:rPr>
          <w:sz w:val="20"/>
        </w:rPr>
      </w:pPr>
      <w:r w:rsidRPr="003E5AD1">
        <w:rPr>
          <w:noProof/>
          <w:lang w:val="de-DE" w:eastAsia="de-DE"/>
        </w:rPr>
        <w:pict>
          <v:shapetype id="_x0000_t32" coordsize="21600,21600" o:spt="32" o:oned="t" path="m,l21600,21600e" filled="f">
            <v:path arrowok="t" fillok="f" o:connecttype="none"/>
            <o:lock v:ext="edit" shapetype="t"/>
          </v:shapetype>
          <v:shape id="_x0000_s1028" type="#_x0000_t32" style="position:absolute;margin-left:428.55pt;margin-top:8.55pt;width:0;height:103.75pt;z-index:251648000" o:connectortype="straight"/>
        </w:pict>
      </w:r>
      <w:r w:rsidRPr="003E5AD1">
        <w:rPr>
          <w:noProof/>
          <w:lang w:val="de-DE" w:eastAsia="de-DE"/>
        </w:rPr>
        <w:pict>
          <v:shape id="_x0000_s1029" type="#_x0000_t32" style="position:absolute;margin-left:313.9pt;margin-top:8.55pt;width:.6pt;height:199.15pt;z-index:251646976" o:connectortype="straight"/>
        </w:pict>
      </w:r>
      <w:r w:rsidRPr="003E5AD1">
        <w:rPr>
          <w:noProof/>
          <w:lang w:val="de-DE" w:eastAsia="de-DE"/>
        </w:rPr>
        <w:pict>
          <v:shape id="_x0000_s1030" type="#_x0000_t32" style="position:absolute;margin-left:192.4pt;margin-top:8.55pt;width:.6pt;height:199.15pt;z-index:251645952" o:connectortype="straight"/>
        </w:pict>
      </w:r>
      <w:r w:rsidRPr="003E5AD1">
        <w:rPr>
          <w:noProof/>
          <w:lang w:val="de-DE" w:eastAsia="de-DE"/>
        </w:rPr>
        <w:pict>
          <v:shape id="_x0000_s1031" type="#_x0000_t32" style="position:absolute;margin-left:58.75pt;margin-top:8.55pt;width:.6pt;height:199.15pt;z-index:251649024" o:connectortype="straight"/>
        </w:pict>
      </w:r>
    </w:p>
    <w:p w:rsidR="009E3021" w:rsidRPr="00E85CD3" w:rsidRDefault="003E5AD1" w:rsidP="00A434A6">
      <w:pPr>
        <w:spacing w:after="120"/>
        <w:rPr>
          <w:sz w:val="20"/>
        </w:rPr>
      </w:pPr>
      <w:r w:rsidRPr="003E5AD1">
        <w:rPr>
          <w:noProof/>
          <w:lang w:val="de-DE" w:eastAsia="de-DE"/>
        </w:rPr>
        <w:pict>
          <v:roundrect id="_x0000_s1032" style="position:absolute;margin-left:263pt;margin-top:4.3pt;width:111.15pt;height:23.05pt;z-index:251654144" arcsize="10923f">
            <v:textbox style="mso-next-textbox:#_x0000_s1032">
              <w:txbxContent>
                <w:p w:rsidR="001E2795" w:rsidRPr="00834889" w:rsidRDefault="001E2795" w:rsidP="00A434A6">
                  <w:pPr>
                    <w:jc w:val="center"/>
                    <w:rPr>
                      <w:sz w:val="18"/>
                      <w:szCs w:val="18"/>
                      <w:lang w:val="de-DE"/>
                    </w:rPr>
                  </w:pPr>
                  <w:r>
                    <w:rPr>
                      <w:sz w:val="18"/>
                      <w:szCs w:val="18"/>
                      <w:lang w:val="de-DE"/>
                    </w:rPr>
                    <w:t>Stockpiles</w:t>
                  </w:r>
                </w:p>
              </w:txbxContent>
            </v:textbox>
          </v:roundrect>
        </w:pict>
      </w:r>
      <w:r w:rsidRPr="003E5AD1">
        <w:rPr>
          <w:noProof/>
          <w:lang w:val="de-DE" w:eastAsia="de-DE"/>
        </w:rPr>
        <w:pict>
          <v:roundrect id="_x0000_s1033" style="position:absolute;margin-left:134.05pt;margin-top:4.3pt;width:111.15pt;height:23.05pt;z-index:251653120" arcsize="10923f">
            <v:textbox style="mso-next-textbox:#_x0000_s1033">
              <w:txbxContent>
                <w:p w:rsidR="001E2795" w:rsidRPr="00834889" w:rsidRDefault="001E2795" w:rsidP="00A434A6">
                  <w:pPr>
                    <w:jc w:val="center"/>
                    <w:rPr>
                      <w:sz w:val="18"/>
                      <w:szCs w:val="18"/>
                      <w:lang w:val="de-DE"/>
                    </w:rPr>
                  </w:pPr>
                  <w:r>
                    <w:rPr>
                      <w:sz w:val="18"/>
                      <w:szCs w:val="18"/>
                      <w:lang w:val="de-DE"/>
                    </w:rPr>
                    <w:t>Unintentional generation</w:t>
                  </w:r>
                </w:p>
              </w:txbxContent>
            </v:textbox>
          </v:roundrect>
        </w:pict>
      </w:r>
      <w:r w:rsidRPr="003E5AD1">
        <w:rPr>
          <w:noProof/>
          <w:lang w:val="de-DE" w:eastAsia="de-DE"/>
        </w:rPr>
        <w:pict>
          <v:roundrect id="_x0000_s1034" style="position:absolute;margin-left:384.2pt;margin-top:4.3pt;width:86.95pt;height:23.05pt;z-index:251655168" arcsize="10923f">
            <v:textbox style="mso-next-textbox:#_x0000_s1034">
              <w:txbxContent>
                <w:p w:rsidR="001E2795" w:rsidRPr="00834889" w:rsidRDefault="001E2795" w:rsidP="00A434A6">
                  <w:pPr>
                    <w:jc w:val="center"/>
                    <w:rPr>
                      <w:sz w:val="18"/>
                      <w:szCs w:val="18"/>
                      <w:lang w:val="de-DE"/>
                    </w:rPr>
                  </w:pPr>
                  <w:r>
                    <w:rPr>
                      <w:sz w:val="18"/>
                      <w:szCs w:val="18"/>
                      <w:lang w:val="de-DE"/>
                    </w:rPr>
                    <w:t>Natural generation</w:t>
                  </w:r>
                </w:p>
              </w:txbxContent>
            </v:textbox>
          </v:roundrect>
        </w:pict>
      </w:r>
      <w:r w:rsidRPr="003E5AD1">
        <w:rPr>
          <w:noProof/>
          <w:lang w:val="de-DE" w:eastAsia="de-DE"/>
        </w:rPr>
        <w:pict>
          <v:roundrect id="_x0000_s1035" style="position:absolute;margin-left:2.3pt;margin-top:4.3pt;width:111.15pt;height:23.05pt;z-index:251652096" arcsize="10923f">
            <v:textbox style="mso-next-textbox:#_x0000_s1035">
              <w:txbxContent>
                <w:p w:rsidR="001E2795" w:rsidRPr="00834889" w:rsidRDefault="001E2795" w:rsidP="00A434A6">
                  <w:pPr>
                    <w:jc w:val="center"/>
                    <w:rPr>
                      <w:sz w:val="18"/>
                      <w:szCs w:val="18"/>
                      <w:lang w:val="de-DE"/>
                    </w:rPr>
                  </w:pPr>
                  <w:r>
                    <w:rPr>
                      <w:sz w:val="18"/>
                      <w:szCs w:val="18"/>
                      <w:lang w:val="de-DE"/>
                    </w:rPr>
                    <w:t>Intentional production</w:t>
                  </w:r>
                </w:p>
              </w:txbxContent>
            </v:textbox>
          </v:roundrect>
        </w:pict>
      </w:r>
    </w:p>
    <w:p w:rsidR="009E3021" w:rsidRPr="00E85CD3" w:rsidRDefault="003E5AD1" w:rsidP="00A434A6">
      <w:pPr>
        <w:spacing w:after="120"/>
        <w:rPr>
          <w:sz w:val="20"/>
        </w:rPr>
      </w:pPr>
      <w:r w:rsidRPr="003E5AD1">
        <w:rPr>
          <w:noProof/>
          <w:lang w:val="de-DE" w:eastAsia="de-DE"/>
        </w:rPr>
        <w:pict>
          <v:roundrect id="_x0000_s1036" style="position:absolute;margin-left:127.25pt;margin-top:16.1pt;width:123.65pt;height:54.15pt;z-index:251657216" arcsize="10923f">
            <v:textbox style="mso-next-textbox:#_x0000_s1036">
              <w:txbxContent>
                <w:p w:rsidR="001E2795" w:rsidRPr="008F2C14" w:rsidRDefault="001E2795" w:rsidP="00A434A6">
                  <w:pPr>
                    <w:jc w:val="center"/>
                    <w:rPr>
                      <w:sz w:val="16"/>
                      <w:szCs w:val="16"/>
                      <w:lang w:val="en-US"/>
                    </w:rPr>
                  </w:pPr>
                  <w:r w:rsidRPr="008F2C14">
                    <w:rPr>
                      <w:sz w:val="16"/>
                      <w:szCs w:val="16"/>
                      <w:lang w:val="en-US"/>
                    </w:rPr>
                    <w:t xml:space="preserve">Considerable quantities through </w:t>
                  </w:r>
                  <w:r>
                    <w:rPr>
                      <w:sz w:val="16"/>
                      <w:szCs w:val="16"/>
                      <w:lang w:val="en-US"/>
                    </w:rPr>
                    <w:t>thermal processes</w:t>
                  </w:r>
                  <w:r w:rsidRPr="008F2C14">
                    <w:rPr>
                      <w:sz w:val="16"/>
                      <w:szCs w:val="16"/>
                      <w:lang w:val="en-US"/>
                    </w:rPr>
                    <w:t xml:space="preserve"> (especially waste incineration) and by-production</w:t>
                  </w:r>
                </w:p>
              </w:txbxContent>
            </v:textbox>
          </v:roundrect>
        </w:pict>
      </w:r>
      <w:r w:rsidRPr="003E5AD1">
        <w:rPr>
          <w:noProof/>
          <w:lang w:val="de-DE" w:eastAsia="de-DE"/>
        </w:rPr>
        <w:pict>
          <v:roundrect id="_x0000_s1037" style="position:absolute;margin-left:2.3pt;margin-top:28.55pt;width:111.15pt;height:31.7pt;z-index:251656192" arcsize="10923f">
            <v:textbox style="mso-next-textbox:#_x0000_s1037">
              <w:txbxContent>
                <w:p w:rsidR="001E2795" w:rsidRPr="00834889" w:rsidRDefault="001E2795" w:rsidP="00A434A6">
                  <w:pPr>
                    <w:jc w:val="center"/>
                    <w:rPr>
                      <w:sz w:val="18"/>
                      <w:szCs w:val="18"/>
                      <w:lang w:val="en-US"/>
                    </w:rPr>
                  </w:pPr>
                  <w:r w:rsidRPr="00834889">
                    <w:rPr>
                      <w:sz w:val="18"/>
                      <w:szCs w:val="18"/>
                      <w:lang w:val="en-US"/>
                    </w:rPr>
                    <w:t>Production still possible outs</w:t>
                  </w:r>
                  <w:r>
                    <w:rPr>
                      <w:sz w:val="18"/>
                      <w:szCs w:val="18"/>
                      <w:lang w:val="en-US"/>
                    </w:rPr>
                    <w:t>id</w:t>
                  </w:r>
                  <w:r w:rsidRPr="00834889">
                    <w:rPr>
                      <w:sz w:val="18"/>
                      <w:szCs w:val="18"/>
                      <w:lang w:val="en-US"/>
                    </w:rPr>
                    <w:t xml:space="preserve">e </w:t>
                  </w:r>
                  <w:r>
                    <w:rPr>
                      <w:sz w:val="18"/>
                      <w:szCs w:val="18"/>
                      <w:lang w:val="en-US"/>
                    </w:rPr>
                    <w:t>UNECE</w:t>
                  </w:r>
                </w:p>
              </w:txbxContent>
            </v:textbox>
          </v:roundrect>
        </w:pict>
      </w:r>
      <w:r w:rsidRPr="003E5AD1">
        <w:rPr>
          <w:noProof/>
          <w:lang w:val="de-DE" w:eastAsia="de-DE"/>
        </w:rPr>
        <w:pict>
          <v:roundrect id="_x0000_s1038" style="position:absolute;margin-left:263pt;margin-top:16.1pt;width:111.15pt;height:54.15pt;z-index:251658240" arcsize="10923f">
            <v:textbox style="mso-next-textbox:#_x0000_s1038">
              <w:txbxContent>
                <w:p w:rsidR="001E2795" w:rsidRPr="00574F9D" w:rsidRDefault="001E2795" w:rsidP="00A434A6">
                  <w:pPr>
                    <w:jc w:val="center"/>
                    <w:rPr>
                      <w:sz w:val="18"/>
                      <w:szCs w:val="18"/>
                      <w:lang w:val="en-US"/>
                    </w:rPr>
                  </w:pPr>
                  <w:r>
                    <w:rPr>
                      <w:sz w:val="18"/>
                      <w:szCs w:val="18"/>
                      <w:lang w:val="en-US"/>
                    </w:rPr>
                    <w:t>Considerable releases from waste landfills and/or old appliances are possible</w:t>
                  </w:r>
                </w:p>
              </w:txbxContent>
            </v:textbox>
          </v:roundrect>
        </w:pict>
      </w:r>
    </w:p>
    <w:p w:rsidR="009E3021" w:rsidRPr="00E85CD3" w:rsidRDefault="003E5AD1" w:rsidP="00A434A6">
      <w:pPr>
        <w:spacing w:after="120"/>
        <w:rPr>
          <w:sz w:val="20"/>
        </w:rPr>
      </w:pPr>
      <w:r w:rsidRPr="003E5AD1">
        <w:rPr>
          <w:noProof/>
          <w:lang w:val="de-DE" w:eastAsia="de-DE"/>
        </w:rPr>
        <w:pict>
          <v:roundrect id="_x0000_s1039" style="position:absolute;margin-left:384.2pt;margin-top:11.05pt;width:86.95pt;height:31.7pt;z-index:251659264" arcsize="10923f">
            <v:textbox style="mso-next-textbox:#_x0000_s1039">
              <w:txbxContent>
                <w:p w:rsidR="001E2795" w:rsidRPr="00065EA3" w:rsidRDefault="001E2795" w:rsidP="00A434A6">
                  <w:pPr>
                    <w:jc w:val="center"/>
                    <w:rPr>
                      <w:sz w:val="18"/>
                      <w:szCs w:val="18"/>
                      <w:lang w:val="de-DE"/>
                    </w:rPr>
                  </w:pPr>
                  <w:r w:rsidRPr="00065EA3">
                    <w:rPr>
                      <w:sz w:val="18"/>
                      <w:szCs w:val="18"/>
                    </w:rPr>
                    <w:t>No natural sources</w:t>
                  </w:r>
                </w:p>
              </w:txbxContent>
            </v:textbox>
          </v:roundrect>
        </w:pict>
      </w:r>
    </w:p>
    <w:p w:rsidR="009E3021" w:rsidRPr="00E85CD3" w:rsidRDefault="009E3021" w:rsidP="00A434A6">
      <w:pPr>
        <w:spacing w:after="120"/>
        <w:rPr>
          <w:sz w:val="20"/>
        </w:rPr>
      </w:pPr>
    </w:p>
    <w:p w:rsidR="009E3021" w:rsidRPr="00E85CD3" w:rsidRDefault="009E3021" w:rsidP="00A434A6">
      <w:pPr>
        <w:spacing w:after="120"/>
        <w:rPr>
          <w:sz w:val="20"/>
        </w:rPr>
      </w:pPr>
    </w:p>
    <w:p w:rsidR="009E3021" w:rsidRPr="00E85CD3" w:rsidRDefault="003E5AD1" w:rsidP="00A434A6">
      <w:pPr>
        <w:spacing w:after="120"/>
        <w:rPr>
          <w:sz w:val="20"/>
        </w:rPr>
      </w:pPr>
      <w:r w:rsidRPr="003E5AD1">
        <w:rPr>
          <w:noProof/>
          <w:lang w:val="de-DE" w:eastAsia="de-DE"/>
        </w:rPr>
        <w:pict>
          <v:roundrect id="_x0000_s1040" style="position:absolute;margin-left:263pt;margin-top:7.35pt;width:111.15pt;height:31.7pt;z-index:251662336" arcsize="10923f">
            <v:textbox style="mso-next-textbox:#_x0000_s1040">
              <w:txbxContent>
                <w:p w:rsidR="001E2795" w:rsidRPr="00065EA3" w:rsidRDefault="001E2795" w:rsidP="00A434A6">
                  <w:pPr>
                    <w:jc w:val="center"/>
                    <w:rPr>
                      <w:sz w:val="18"/>
                      <w:szCs w:val="18"/>
                    </w:rPr>
                  </w:pPr>
                  <w:r w:rsidRPr="00065EA3">
                    <w:rPr>
                      <w:sz w:val="18"/>
                      <w:szCs w:val="18"/>
                      <w:lang w:val="en-US"/>
                    </w:rPr>
                    <w:t>Control measures relevant</w:t>
                  </w:r>
                </w:p>
              </w:txbxContent>
            </v:textbox>
          </v:roundrect>
        </w:pict>
      </w:r>
      <w:r w:rsidRPr="003E5AD1">
        <w:rPr>
          <w:noProof/>
          <w:lang w:val="de-DE" w:eastAsia="de-DE"/>
        </w:rPr>
        <w:pict>
          <v:roundrect id="_x0000_s1041" style="position:absolute;margin-left:134.05pt;margin-top:7.35pt;width:111.15pt;height:31.7pt;z-index:251661312" arcsize="10923f">
            <v:textbox style="mso-next-textbox:#_x0000_s1041">
              <w:txbxContent>
                <w:p w:rsidR="001E2795" w:rsidRPr="00065EA3" w:rsidRDefault="001E2795" w:rsidP="00A434A6">
                  <w:pPr>
                    <w:jc w:val="center"/>
                    <w:rPr>
                      <w:sz w:val="18"/>
                      <w:szCs w:val="18"/>
                      <w:lang w:val="en-US"/>
                    </w:rPr>
                  </w:pPr>
                  <w:r>
                    <w:rPr>
                      <w:sz w:val="18"/>
                      <w:szCs w:val="18"/>
                      <w:lang w:val="en-US"/>
                    </w:rPr>
                    <w:t>Control measures relevant</w:t>
                  </w:r>
                </w:p>
              </w:txbxContent>
            </v:textbox>
          </v:roundrect>
        </w:pict>
      </w:r>
      <w:r w:rsidRPr="003E5AD1">
        <w:rPr>
          <w:noProof/>
          <w:lang w:val="de-DE" w:eastAsia="de-DE"/>
        </w:rPr>
        <w:pict>
          <v:roundrect id="_x0000_s1042" style="position:absolute;margin-left:2.3pt;margin-top:7.35pt;width:111.15pt;height:31.7pt;z-index:251660288" arcsize="10923f">
            <v:textbox style="mso-next-textbox:#_x0000_s1042">
              <w:txbxContent>
                <w:p w:rsidR="001E2795" w:rsidRPr="00834889" w:rsidRDefault="001E2795" w:rsidP="00A434A6">
                  <w:pPr>
                    <w:jc w:val="center"/>
                    <w:rPr>
                      <w:sz w:val="18"/>
                      <w:szCs w:val="18"/>
                      <w:lang w:val="en-US"/>
                    </w:rPr>
                  </w:pPr>
                  <w:r>
                    <w:rPr>
                      <w:sz w:val="18"/>
                      <w:szCs w:val="18"/>
                      <w:lang w:val="en-US"/>
                    </w:rPr>
                    <w:t>Control measures relevant</w:t>
                  </w:r>
                </w:p>
              </w:txbxContent>
            </v:textbox>
          </v:roundrect>
        </w:pict>
      </w:r>
      <w:r w:rsidRPr="003E5AD1">
        <w:rPr>
          <w:noProof/>
          <w:lang w:val="de-DE" w:eastAsia="de-DE"/>
        </w:rPr>
        <w:pict>
          <v:roundrect id="_x0000_s1043" style="position:absolute;margin-left:384.2pt;margin-top:7.35pt;width:86.95pt;height:31.7pt;z-index:251663360" arcsize="10923f">
            <v:textbox style="mso-next-textbox:#_x0000_s1043">
              <w:txbxContent>
                <w:p w:rsidR="001E2795" w:rsidRPr="00065EA3" w:rsidRDefault="001E2795" w:rsidP="00A434A6">
                  <w:pPr>
                    <w:jc w:val="center"/>
                    <w:rPr>
                      <w:sz w:val="18"/>
                      <w:szCs w:val="18"/>
                      <w:lang w:val="de-DE"/>
                    </w:rPr>
                  </w:pPr>
                  <w:r>
                    <w:rPr>
                      <w:sz w:val="18"/>
                      <w:szCs w:val="18"/>
                      <w:lang w:val="de-DE"/>
                    </w:rPr>
                    <w:t>Control measures not relevant</w:t>
                  </w:r>
                </w:p>
              </w:txbxContent>
            </v:textbox>
          </v:roundrect>
        </w:pict>
      </w:r>
    </w:p>
    <w:p w:rsidR="009E3021" w:rsidRPr="00E85CD3" w:rsidRDefault="009E3021" w:rsidP="00A434A6">
      <w:pPr>
        <w:spacing w:after="120"/>
        <w:rPr>
          <w:sz w:val="20"/>
        </w:rPr>
      </w:pPr>
    </w:p>
    <w:p w:rsidR="009E3021" w:rsidRPr="00E85CD3" w:rsidRDefault="003E5AD1" w:rsidP="00A434A6">
      <w:pPr>
        <w:spacing w:after="120"/>
        <w:rPr>
          <w:sz w:val="20"/>
        </w:rPr>
      </w:pPr>
      <w:r w:rsidRPr="003E5AD1">
        <w:rPr>
          <w:noProof/>
          <w:lang w:val="de-DE" w:eastAsia="de-DE"/>
        </w:rPr>
        <w:pict>
          <v:roundrect id="_x0000_s1044" style="position:absolute;margin-left:263pt;margin-top:12.55pt;width:111.15pt;height:41.45pt;z-index:251666432" arcsize="10923f">
            <v:textbox style="mso-next-textbox:#_x0000_s1044">
              <w:txbxContent>
                <w:p w:rsidR="001E2795" w:rsidRPr="00065EA3" w:rsidRDefault="001E2795" w:rsidP="00A434A6">
                  <w:pPr>
                    <w:jc w:val="center"/>
                    <w:rPr>
                      <w:sz w:val="18"/>
                      <w:szCs w:val="18"/>
                    </w:rPr>
                  </w:pPr>
                  <w:r w:rsidRPr="00394A94">
                    <w:rPr>
                      <w:sz w:val="18"/>
                      <w:szCs w:val="18"/>
                      <w:lang w:val="en-US"/>
                    </w:rPr>
                    <w:t>Inventories, Emission</w:t>
                  </w:r>
                  <w:r>
                    <w:rPr>
                      <w:sz w:val="18"/>
                      <w:szCs w:val="18"/>
                      <w:lang w:val="en-US"/>
                    </w:rPr>
                    <w:t xml:space="preserve"> reduction measures (BAT); Legislation</w:t>
                  </w:r>
                </w:p>
              </w:txbxContent>
            </v:textbox>
          </v:roundrect>
        </w:pict>
      </w:r>
      <w:r w:rsidRPr="003E5AD1">
        <w:rPr>
          <w:noProof/>
          <w:lang w:val="de-DE" w:eastAsia="de-DE"/>
        </w:rPr>
        <w:pict>
          <v:roundrect id="_x0000_s1045" style="position:absolute;margin-left:2.3pt;margin-top:12.55pt;width:111.15pt;height:41.45pt;z-index:251664384" arcsize="10923f">
            <v:textbox style="mso-next-textbox:#_x0000_s1045">
              <w:txbxContent>
                <w:p w:rsidR="001E2795" w:rsidRPr="00834889" w:rsidRDefault="001E2795" w:rsidP="00A434A6">
                  <w:pPr>
                    <w:jc w:val="center"/>
                    <w:rPr>
                      <w:sz w:val="18"/>
                      <w:szCs w:val="18"/>
                      <w:lang w:val="en-US"/>
                    </w:rPr>
                  </w:pPr>
                  <w:r>
                    <w:rPr>
                      <w:sz w:val="18"/>
                      <w:szCs w:val="18"/>
                      <w:lang w:val="en-US"/>
                    </w:rPr>
                    <w:t>Prohibit or restrict production and use</w:t>
                  </w:r>
                  <w:proofErr w:type="gramStart"/>
                  <w:r>
                    <w:rPr>
                      <w:sz w:val="18"/>
                      <w:szCs w:val="18"/>
                      <w:lang w:val="en-US"/>
                    </w:rPr>
                    <w:t>;</w:t>
                  </w:r>
                  <w:proofErr w:type="gramEnd"/>
                  <w:r>
                    <w:rPr>
                      <w:sz w:val="18"/>
                      <w:szCs w:val="18"/>
                      <w:lang w:val="en-US"/>
                    </w:rPr>
                    <w:br/>
                    <w:t>Legislation</w:t>
                  </w:r>
                </w:p>
              </w:txbxContent>
            </v:textbox>
          </v:roundrect>
        </w:pict>
      </w:r>
      <w:r w:rsidRPr="003E5AD1">
        <w:rPr>
          <w:noProof/>
          <w:lang w:val="de-DE" w:eastAsia="de-DE"/>
        </w:rPr>
        <w:pict>
          <v:roundrect id="_x0000_s1046" style="position:absolute;margin-left:134.05pt;margin-top:12.55pt;width:111.15pt;height:41.45pt;z-index:251665408" arcsize="10923f">
            <v:textbox style="mso-next-textbox:#_x0000_s1046">
              <w:txbxContent>
                <w:p w:rsidR="001E2795" w:rsidRPr="00065EA3" w:rsidRDefault="001E2795" w:rsidP="00A434A6">
                  <w:pPr>
                    <w:jc w:val="center"/>
                    <w:rPr>
                      <w:sz w:val="18"/>
                      <w:szCs w:val="18"/>
                      <w:lang w:val="en-US"/>
                    </w:rPr>
                  </w:pPr>
                  <w:r>
                    <w:rPr>
                      <w:sz w:val="18"/>
                      <w:szCs w:val="18"/>
                      <w:lang w:val="en-US"/>
                    </w:rPr>
                    <w:t>Emission reduction measures (BAT)</w:t>
                  </w:r>
                  <w:proofErr w:type="gramStart"/>
                  <w:r>
                    <w:rPr>
                      <w:sz w:val="18"/>
                      <w:szCs w:val="18"/>
                      <w:lang w:val="en-US"/>
                    </w:rPr>
                    <w:t>;</w:t>
                  </w:r>
                  <w:proofErr w:type="gramEnd"/>
                  <w:r>
                    <w:rPr>
                      <w:sz w:val="18"/>
                      <w:szCs w:val="18"/>
                      <w:lang w:val="en-US"/>
                    </w:rPr>
                    <w:br/>
                    <w:t>Legislation</w:t>
                  </w:r>
                </w:p>
              </w:txbxContent>
            </v:textbox>
          </v:roundrect>
        </w:pict>
      </w:r>
    </w:p>
    <w:p w:rsidR="009E3021" w:rsidRPr="00E85CD3" w:rsidRDefault="009E3021" w:rsidP="00A434A6">
      <w:pPr>
        <w:spacing w:after="120"/>
        <w:rPr>
          <w:sz w:val="20"/>
        </w:rPr>
      </w:pPr>
    </w:p>
    <w:p w:rsidR="009E3021" w:rsidRPr="00E85CD3" w:rsidRDefault="009E3021" w:rsidP="00A434A6">
      <w:pPr>
        <w:spacing w:after="120"/>
        <w:rPr>
          <w:sz w:val="20"/>
        </w:rPr>
      </w:pPr>
    </w:p>
    <w:p w:rsidR="009E3021" w:rsidRPr="00E85CD3" w:rsidRDefault="003E5AD1" w:rsidP="00A434A6">
      <w:pPr>
        <w:spacing w:after="120"/>
        <w:rPr>
          <w:sz w:val="20"/>
        </w:rPr>
      </w:pPr>
      <w:r w:rsidRPr="003E5AD1">
        <w:rPr>
          <w:noProof/>
          <w:lang w:val="de-DE" w:eastAsia="de-DE"/>
        </w:rPr>
        <w:pict>
          <v:roundrect id="_x0000_s1047" style="position:absolute;margin-left:263pt;margin-top:15.2pt;width:111.15pt;height:40.9pt;z-index:251669504" arcsize="10923f">
            <v:textbox style="mso-next-textbox:#_x0000_s1047">
              <w:txbxContent>
                <w:p w:rsidR="001E2795" w:rsidRPr="00065EA3" w:rsidRDefault="001E2795" w:rsidP="00A434A6">
                  <w:pPr>
                    <w:jc w:val="center"/>
                    <w:rPr>
                      <w:sz w:val="18"/>
                      <w:szCs w:val="18"/>
                    </w:rPr>
                  </w:pPr>
                  <w:r>
                    <w:rPr>
                      <w:sz w:val="18"/>
                      <w:szCs w:val="18"/>
                      <w:lang w:val="en-US"/>
                    </w:rPr>
                    <w:t>Listing in Annex A or C</w:t>
                  </w:r>
                </w:p>
              </w:txbxContent>
            </v:textbox>
          </v:roundrect>
        </w:pict>
      </w:r>
      <w:r w:rsidRPr="003E5AD1">
        <w:rPr>
          <w:noProof/>
          <w:lang w:val="de-DE" w:eastAsia="de-DE"/>
        </w:rPr>
        <w:pict>
          <v:roundrect id="_x0000_s1048" style="position:absolute;margin-left:134.05pt;margin-top:15.2pt;width:111.15pt;height:40.9pt;z-index:251668480" arcsize="10923f">
            <v:textbox style="mso-next-textbox:#_x0000_s1048">
              <w:txbxContent>
                <w:p w:rsidR="001E2795" w:rsidRPr="00065EA3" w:rsidRDefault="001E2795" w:rsidP="00A434A6">
                  <w:pPr>
                    <w:jc w:val="center"/>
                    <w:rPr>
                      <w:sz w:val="18"/>
                      <w:szCs w:val="18"/>
                      <w:lang w:val="en-US"/>
                    </w:rPr>
                  </w:pPr>
                  <w:r>
                    <w:rPr>
                      <w:sz w:val="18"/>
                      <w:szCs w:val="18"/>
                      <w:lang w:val="en-US"/>
                    </w:rPr>
                    <w:t>Listing in Annex C</w:t>
                  </w:r>
                </w:p>
              </w:txbxContent>
            </v:textbox>
          </v:roundrect>
        </w:pict>
      </w:r>
      <w:r w:rsidRPr="003E5AD1">
        <w:rPr>
          <w:noProof/>
          <w:lang w:val="de-DE" w:eastAsia="de-DE"/>
        </w:rPr>
        <w:pict>
          <v:roundrect id="_x0000_s1049" style="position:absolute;margin-left:2.3pt;margin-top:15.2pt;width:111.15pt;height:40.9pt;z-index:251667456" arcsize="10923f">
            <v:textbox style="mso-next-textbox:#_x0000_s1049">
              <w:txbxContent>
                <w:p w:rsidR="001E2795" w:rsidRPr="00834889" w:rsidRDefault="001E2795" w:rsidP="00A434A6">
                  <w:pPr>
                    <w:jc w:val="center"/>
                    <w:rPr>
                      <w:sz w:val="18"/>
                      <w:szCs w:val="18"/>
                      <w:lang w:val="en-US"/>
                    </w:rPr>
                  </w:pPr>
                  <w:r>
                    <w:rPr>
                      <w:sz w:val="18"/>
                      <w:szCs w:val="18"/>
                      <w:lang w:val="en-US"/>
                    </w:rPr>
                    <w:t>Listing in Annex A (prohibition) or B (restriction)</w:t>
                  </w:r>
                </w:p>
              </w:txbxContent>
            </v:textbox>
          </v:roundrect>
        </w:pict>
      </w:r>
    </w:p>
    <w:p w:rsidR="009E3021" w:rsidRPr="00E85CD3" w:rsidRDefault="009E3021" w:rsidP="00A434A6">
      <w:pPr>
        <w:spacing w:after="120"/>
        <w:rPr>
          <w:sz w:val="20"/>
        </w:rPr>
      </w:pPr>
    </w:p>
    <w:p w:rsidR="009E3021" w:rsidRPr="00E85CD3" w:rsidRDefault="009E3021" w:rsidP="00A434A6">
      <w:pPr>
        <w:spacing w:after="120"/>
        <w:rPr>
          <w:sz w:val="20"/>
        </w:rPr>
      </w:pPr>
    </w:p>
    <w:p w:rsidR="009E3021" w:rsidRPr="00E85CD3" w:rsidRDefault="009E3021" w:rsidP="00A434A6">
      <w:pPr>
        <w:spacing w:after="120"/>
        <w:rPr>
          <w:sz w:val="20"/>
        </w:rPr>
      </w:pPr>
    </w:p>
    <w:p w:rsidR="009E3021" w:rsidRPr="00E85CD3" w:rsidRDefault="009E3021" w:rsidP="003F78EE">
      <w:pPr>
        <w:pStyle w:val="Caption"/>
        <w:ind w:left="1276" w:hanging="1276"/>
        <w:rPr>
          <w:sz w:val="20"/>
        </w:rPr>
      </w:pPr>
      <w:bookmarkStart w:id="20" w:name="_Ref347476269"/>
      <w:r w:rsidRPr="00E85CD3">
        <w:rPr>
          <w:sz w:val="20"/>
        </w:rPr>
        <w:t xml:space="preserve">Figure </w:t>
      </w:r>
      <w:r w:rsidR="003E5AD1" w:rsidRPr="00E85CD3">
        <w:rPr>
          <w:sz w:val="20"/>
        </w:rPr>
        <w:fldChar w:fldCharType="begin"/>
      </w:r>
      <w:r w:rsidRPr="00E85CD3">
        <w:rPr>
          <w:sz w:val="20"/>
        </w:rPr>
        <w:instrText xml:space="preserve"> SEQ Figure \* ARABIC </w:instrText>
      </w:r>
      <w:r w:rsidR="003E5AD1" w:rsidRPr="00E85CD3">
        <w:rPr>
          <w:sz w:val="20"/>
        </w:rPr>
        <w:fldChar w:fldCharType="separate"/>
      </w:r>
      <w:r w:rsidR="00E37912">
        <w:rPr>
          <w:noProof/>
          <w:sz w:val="20"/>
        </w:rPr>
        <w:t>1</w:t>
      </w:r>
      <w:r w:rsidR="003E5AD1" w:rsidRPr="00E85CD3">
        <w:rPr>
          <w:sz w:val="20"/>
        </w:rPr>
        <w:fldChar w:fldCharType="end"/>
      </w:r>
      <w:bookmarkEnd w:id="20"/>
      <w:r w:rsidRPr="00E85CD3">
        <w:rPr>
          <w:sz w:val="20"/>
        </w:rPr>
        <w:t>:</w:t>
      </w:r>
      <w:r w:rsidRPr="00E85CD3">
        <w:rPr>
          <w:sz w:val="20"/>
        </w:rPr>
        <w:tab/>
        <w:t xml:space="preserve">Relevant sources and possible control measures for </w:t>
      </w:r>
      <w:proofErr w:type="gramStart"/>
      <w:r w:rsidRPr="00E85CD3">
        <w:rPr>
          <w:sz w:val="20"/>
        </w:rPr>
        <w:t>CN</w:t>
      </w:r>
      <w:proofErr w:type="gramEnd"/>
      <w:r w:rsidRPr="00E85CD3">
        <w:rPr>
          <w:sz w:val="20"/>
        </w:rPr>
        <w:br/>
      </w:r>
      <w:r w:rsidRPr="00E85CD3">
        <w:rPr>
          <w:sz w:val="18"/>
          <w:szCs w:val="18"/>
        </w:rPr>
        <w:t>(note: use for laboratory-scale research or as a reference standard is not considered; such use is excluded from the Convention according to Article 3(5))</w:t>
      </w:r>
    </w:p>
    <w:p w:rsidR="009E3021" w:rsidRPr="00E85CD3" w:rsidRDefault="009E3021" w:rsidP="00B1005D">
      <w:pPr>
        <w:pStyle w:val="Paralevel1"/>
      </w:pPr>
    </w:p>
    <w:p w:rsidR="009E3021" w:rsidRPr="00E85CD3" w:rsidRDefault="009E3021" w:rsidP="00856DDC">
      <w:pPr>
        <w:pStyle w:val="Heading2"/>
        <w:spacing w:after="120"/>
        <w:jc w:val="left"/>
      </w:pPr>
      <w:bookmarkStart w:id="21" w:name="_Toc352069543"/>
      <w:r w:rsidRPr="00E85CD3">
        <w:t>2.2</w:t>
      </w:r>
      <w:r w:rsidRPr="00E85CD3">
        <w:tab/>
        <w:t>Identification of possible control measures</w:t>
      </w:r>
      <w:bookmarkEnd w:id="19"/>
      <w:bookmarkEnd w:id="21"/>
    </w:p>
    <w:p w:rsidR="009E3021" w:rsidRPr="00E85CD3" w:rsidRDefault="009E3021" w:rsidP="00F640F1">
      <w:pPr>
        <w:spacing w:after="120"/>
        <w:rPr>
          <w:i/>
          <w:sz w:val="20"/>
        </w:rPr>
      </w:pPr>
      <w:r w:rsidRPr="00E85CD3">
        <w:rPr>
          <w:i/>
          <w:sz w:val="20"/>
        </w:rPr>
        <w:t>Control measures for releases from intentional production</w:t>
      </w:r>
    </w:p>
    <w:p w:rsidR="009E3021" w:rsidRPr="00E85CD3" w:rsidRDefault="009E3021" w:rsidP="001E2795">
      <w:pPr>
        <w:pStyle w:val="Paralevel1"/>
        <w:numPr>
          <w:ilvl w:val="0"/>
          <w:numId w:val="24"/>
        </w:numPr>
        <w:ind w:left="0" w:firstLine="0"/>
      </w:pPr>
      <w:r w:rsidRPr="00E85CD3">
        <w:t>Production of CNs has ceased in the UNECE-region</w:t>
      </w:r>
      <w:r>
        <w:t xml:space="preserve"> and </w:t>
      </w:r>
      <w:r w:rsidRPr="001E2795">
        <w:t xml:space="preserve">known global production has virtually stopped in many countries. </w:t>
      </w:r>
      <w:r w:rsidRPr="00E85CD3">
        <w:t>The use of CNs has been substituted by the use of other chemicals [UNECE 2007]. To date, intentional production of CN</w:t>
      </w:r>
      <w:r>
        <w:t>s</w:t>
      </w:r>
      <w:r w:rsidRPr="00E85CD3">
        <w:t xml:space="preserve"> is assumed to have </w:t>
      </w:r>
      <w:proofErr w:type="gramStart"/>
      <w:r w:rsidRPr="00E85CD3">
        <w:t>ended,</w:t>
      </w:r>
      <w:proofErr w:type="gramEnd"/>
      <w:r w:rsidRPr="00E85CD3">
        <w:t xml:space="preserve"> however, remaining use is still possible.</w:t>
      </w:r>
    </w:p>
    <w:p w:rsidR="009E3021" w:rsidRPr="00E85CD3" w:rsidRDefault="009E3021" w:rsidP="001E2795">
      <w:pPr>
        <w:pStyle w:val="Paralevel1"/>
        <w:numPr>
          <w:ilvl w:val="0"/>
          <w:numId w:val="24"/>
        </w:numPr>
        <w:ind w:left="0" w:firstLine="0"/>
      </w:pPr>
      <w:r w:rsidRPr="00E85CD3">
        <w:t xml:space="preserve">To limit possibly remaining uses and to prevent re-introduction of other uses, listing of </w:t>
      </w:r>
      <w:r>
        <w:t>P</w:t>
      </w:r>
      <w:r w:rsidRPr="00E85CD3">
        <w:t xml:space="preserve">CNs in Annex A without any specific exemptions could be the primary control measure for intentional sources under the Convention. As a consequence </w:t>
      </w:r>
      <w:r>
        <w:t>P</w:t>
      </w:r>
      <w:r w:rsidRPr="00E85CD3">
        <w:t>CNs would be submitted to the provisions of Article 3 of the convention and the objective to eliminate their production, use, import and export.</w:t>
      </w:r>
    </w:p>
    <w:p w:rsidR="009E3021" w:rsidRPr="00E85CD3" w:rsidRDefault="009E3021" w:rsidP="00F640F1">
      <w:pPr>
        <w:spacing w:after="120"/>
        <w:rPr>
          <w:i/>
          <w:sz w:val="20"/>
        </w:rPr>
      </w:pPr>
      <w:r w:rsidRPr="00E85CD3">
        <w:rPr>
          <w:i/>
          <w:sz w:val="20"/>
        </w:rPr>
        <w:t>Control measures for releases from unintentional generation</w:t>
      </w:r>
    </w:p>
    <w:p w:rsidR="009E3021" w:rsidRPr="00E85CD3" w:rsidRDefault="009E3021" w:rsidP="001E2795">
      <w:pPr>
        <w:pStyle w:val="Paralevel1"/>
        <w:numPr>
          <w:ilvl w:val="0"/>
          <w:numId w:val="24"/>
        </w:numPr>
        <w:ind w:left="0" w:firstLine="0"/>
      </w:pPr>
      <w:r w:rsidRPr="00E85CD3">
        <w:t xml:space="preserve">The use of PCBs and waste incineration are considered to be the most important remaining sources of unintentional emissions of CNs. Possible measures to control such releases </w:t>
      </w:r>
      <w:r>
        <w:t>include measures for PCBs outlined in Annex A, Part II of the Stockholm Convention and</w:t>
      </w:r>
      <w:r w:rsidRPr="00E85CD3">
        <w:t xml:space="preserve"> measures to reduce </w:t>
      </w:r>
      <w:r>
        <w:t>releases</w:t>
      </w:r>
      <w:r w:rsidRPr="00E85CD3">
        <w:t xml:space="preserve"> of PCBs and dioxins from incineration (see [UNECE 2007]</w:t>
      </w:r>
      <w:r>
        <w:t xml:space="preserve"> and the Stockholm Convention BAT/BEP Guidelines [UNEP 2007]</w:t>
      </w:r>
      <w:r w:rsidRPr="00E85CD3">
        <w:t>).</w:t>
      </w:r>
    </w:p>
    <w:p w:rsidR="009E3021" w:rsidRPr="00E85CD3" w:rsidRDefault="009E3021" w:rsidP="001E2795">
      <w:pPr>
        <w:pStyle w:val="Paralevel1"/>
        <w:numPr>
          <w:ilvl w:val="0"/>
          <w:numId w:val="24"/>
        </w:numPr>
        <w:ind w:left="0" w:firstLine="0"/>
      </w:pPr>
      <w:r w:rsidRPr="00E85CD3">
        <w:t>Annex V of the POP protocol contains the BAT to control emissions of POPs from major stationary sources including waste incinerators. Further thermal processes covered are thermal metallurgic processes and combustion plants providing energy. As these installations have to reduce the emissions of PCDD/F by using BAT included in Annex V, this will also lead to a reduction of the emissions of CNs from waste incineration. CN</w:t>
      </w:r>
      <w:r>
        <w:t>s</w:t>
      </w:r>
      <w:r w:rsidRPr="00E85CD3">
        <w:t xml:space="preserve"> emissions from these sources are expected to be reduced with ~70% upon full implementation of the POP protocol. Further, cement kilns can be a source of CN</w:t>
      </w:r>
      <w:r>
        <w:t>s</w:t>
      </w:r>
      <w:r w:rsidRPr="00E85CD3">
        <w:t xml:space="preserve"> not listed in Annex V [UNECE 2007]. </w:t>
      </w:r>
    </w:p>
    <w:p w:rsidR="009E3021" w:rsidRPr="00E85CD3" w:rsidRDefault="009E3021" w:rsidP="001E2795">
      <w:pPr>
        <w:pStyle w:val="Paralevel1"/>
        <w:numPr>
          <w:ilvl w:val="0"/>
          <w:numId w:val="24"/>
        </w:numPr>
        <w:ind w:left="0" w:firstLine="0"/>
      </w:pPr>
      <w:r w:rsidRPr="00E85CD3">
        <w:t xml:space="preserve">Corresponding BAT and BEP is also described in the Stockholm Convention BAT/BEP Guidelines [UNEP 2007] in Section V on guidance/guidelines by source categories Part II of Annex C relevant BAT for various types of incinerators (including waste incinerators in section V.A and cement kilns firing hazardous waste in section V.B) and </w:t>
      </w:r>
      <w:r w:rsidRPr="00E85CD3">
        <w:lastRenderedPageBreak/>
        <w:t xml:space="preserve">other thermal sources (including thermal processes in the non-ferrous metal sector in section V.D) and in the relevant EU BAT reference documents (BREFs; particularly the BREFs on waste incineration [EC BREF WI 2006] and on non-ferrous metal industries [EC BREF NFM 2009]. </w:t>
      </w:r>
    </w:p>
    <w:p w:rsidR="009E3021" w:rsidRPr="00E85CD3" w:rsidRDefault="009E3021" w:rsidP="00F640F1">
      <w:pPr>
        <w:spacing w:after="120"/>
        <w:rPr>
          <w:sz w:val="20"/>
        </w:rPr>
      </w:pPr>
      <w:r w:rsidRPr="00E85CD3">
        <w:rPr>
          <w:sz w:val="20"/>
        </w:rPr>
        <w:t xml:space="preserve">The application of corresponding BAT reduces CN releases. </w:t>
      </w:r>
    </w:p>
    <w:p w:rsidR="009E3021" w:rsidRPr="00E85CD3" w:rsidRDefault="009E3021" w:rsidP="001E2795">
      <w:pPr>
        <w:pStyle w:val="Paralevel1"/>
        <w:numPr>
          <w:ilvl w:val="0"/>
          <w:numId w:val="24"/>
        </w:numPr>
        <w:ind w:left="0" w:firstLine="0"/>
      </w:pPr>
      <w:r w:rsidRPr="00E85CD3">
        <w:t xml:space="preserve">Listing of </w:t>
      </w:r>
      <w:r>
        <w:t>P</w:t>
      </w:r>
      <w:r w:rsidRPr="00E85CD3">
        <w:t xml:space="preserve">CNs in Annex C would subject this substance group to the measures under Article 5 of the Convention and establish the goal of continuing minimization and, where feasible, ultimate elimination of CN releases. This would include an obligation to promote BAT and BEP for </w:t>
      </w:r>
      <w:r>
        <w:t>P</w:t>
      </w:r>
      <w:r w:rsidRPr="00E85CD3">
        <w:t>CN sources.</w:t>
      </w:r>
    </w:p>
    <w:p w:rsidR="009E3021" w:rsidRPr="00E85CD3" w:rsidRDefault="009E3021" w:rsidP="00F640F1">
      <w:pPr>
        <w:spacing w:after="120"/>
        <w:rPr>
          <w:i/>
          <w:sz w:val="20"/>
        </w:rPr>
      </w:pPr>
      <w:r w:rsidRPr="00E85CD3">
        <w:rPr>
          <w:i/>
          <w:sz w:val="20"/>
        </w:rPr>
        <w:t xml:space="preserve">Control measures for releases from stockpiles </w:t>
      </w:r>
    </w:p>
    <w:p w:rsidR="009E3021" w:rsidRPr="00E85CD3" w:rsidRDefault="009E3021" w:rsidP="001E2795">
      <w:pPr>
        <w:pStyle w:val="Paralevel1"/>
        <w:numPr>
          <w:ilvl w:val="0"/>
          <w:numId w:val="24"/>
        </w:numPr>
        <w:ind w:left="0" w:firstLine="0"/>
      </w:pPr>
      <w:r w:rsidRPr="00E85CD3">
        <w:t>Releases from former uses (CN or impurities of technical PCB</w:t>
      </w:r>
      <w:r>
        <w:t>s</w:t>
      </w:r>
      <w:r w:rsidRPr="00E85CD3">
        <w:t xml:space="preserve">) contained in landfills or old appliances (stockpiles) are plausible but difficult to assess. The use of PCBs is considered the most important remaining source of unintentional emissions of CNs besides waste incineration (see above). Possible measures to control releases from stockpiles are </w:t>
      </w:r>
    </w:p>
    <w:p w:rsidR="009E3021" w:rsidRPr="00E85CD3" w:rsidRDefault="009E3021" w:rsidP="00850726">
      <w:pPr>
        <w:pStyle w:val="ListParagraph"/>
        <w:numPr>
          <w:ilvl w:val="0"/>
          <w:numId w:val="22"/>
        </w:numPr>
        <w:spacing w:after="120"/>
        <w:rPr>
          <w:sz w:val="20"/>
        </w:rPr>
      </w:pPr>
      <w:proofErr w:type="gramStart"/>
      <w:r w:rsidRPr="00E85CD3">
        <w:rPr>
          <w:sz w:val="20"/>
        </w:rPr>
        <w:t>to</w:t>
      </w:r>
      <w:proofErr w:type="gramEnd"/>
      <w:r w:rsidRPr="00E85CD3">
        <w:rPr>
          <w:sz w:val="20"/>
        </w:rPr>
        <w:t xml:space="preserve"> establish inventories of relevant landfills and control and sound management of releases (particularly </w:t>
      </w:r>
      <w:proofErr w:type="spellStart"/>
      <w:r w:rsidRPr="00E85CD3">
        <w:rPr>
          <w:sz w:val="20"/>
        </w:rPr>
        <w:t>leachate</w:t>
      </w:r>
      <w:proofErr w:type="spellEnd"/>
      <w:r w:rsidRPr="00E85CD3">
        <w:rPr>
          <w:sz w:val="20"/>
        </w:rPr>
        <w:t>) from relevant waste disposals or restoration/decontamination of waste disposals.</w:t>
      </w:r>
    </w:p>
    <w:p w:rsidR="009E3021" w:rsidRPr="00E85CD3" w:rsidRDefault="009E3021" w:rsidP="00850726">
      <w:pPr>
        <w:pStyle w:val="ListParagraph"/>
        <w:numPr>
          <w:ilvl w:val="0"/>
          <w:numId w:val="22"/>
        </w:numPr>
        <w:spacing w:after="120"/>
        <w:rPr>
          <w:sz w:val="20"/>
        </w:rPr>
      </w:pPr>
      <w:proofErr w:type="gramStart"/>
      <w:r w:rsidRPr="00E85CD3">
        <w:rPr>
          <w:sz w:val="20"/>
        </w:rPr>
        <w:t>to</w:t>
      </w:r>
      <w:proofErr w:type="gramEnd"/>
      <w:r w:rsidRPr="00E85CD3">
        <w:rPr>
          <w:sz w:val="20"/>
        </w:rPr>
        <w:t xml:space="preserve"> establish inventories of stocks of relevant old appliances and their sound management.</w:t>
      </w:r>
    </w:p>
    <w:p w:rsidR="009E3021" w:rsidRPr="001E2795" w:rsidRDefault="009E3021" w:rsidP="001E2795">
      <w:pPr>
        <w:pStyle w:val="Paralevel1"/>
        <w:numPr>
          <w:ilvl w:val="0"/>
          <w:numId w:val="24"/>
        </w:numPr>
        <w:ind w:left="0" w:firstLine="0"/>
      </w:pPr>
      <w:r w:rsidRPr="001E2795">
        <w:t xml:space="preserve">For engineering standards of landfills, including management of </w:t>
      </w:r>
      <w:proofErr w:type="spellStart"/>
      <w:r w:rsidRPr="001E2795">
        <w:t>leachate</w:t>
      </w:r>
      <w:proofErr w:type="spellEnd"/>
      <w:r w:rsidRPr="001E2795">
        <w:t>, and further information on sustainable waste management the technical guidelines of the Basel Convention are recommended (technical guidelines: on specially engineered landfill (D5); [BC 1997</w:t>
      </w:r>
      <w:proofErr w:type="gramStart"/>
      <w:r w:rsidRPr="001E2795">
        <w:t>] )</w:t>
      </w:r>
      <w:proofErr w:type="gramEnd"/>
      <w:r w:rsidRPr="001E2795">
        <w:t>. As there is a direct relation between the occurrence of PCBs and CNs in old appliances, stocks of CNs in old appliances are particularly occurring in PCB stockpiles (waste disposals and PCB containing equipment).</w:t>
      </w:r>
    </w:p>
    <w:p w:rsidR="009E3021" w:rsidRPr="00E85CD3" w:rsidRDefault="009E3021" w:rsidP="001E2795">
      <w:pPr>
        <w:pStyle w:val="Paralevel1"/>
        <w:numPr>
          <w:ilvl w:val="0"/>
          <w:numId w:val="24"/>
        </w:numPr>
        <w:ind w:left="0" w:firstLine="0"/>
      </w:pPr>
      <w:r w:rsidRPr="00E85CD3">
        <w:t>Listing of</w:t>
      </w:r>
      <w:r>
        <w:t xml:space="preserve"> P</w:t>
      </w:r>
      <w:r w:rsidRPr="00E85CD3">
        <w:t xml:space="preserve">CNs in Annex A or C would subject </w:t>
      </w:r>
      <w:r>
        <w:t>P</w:t>
      </w:r>
      <w:r w:rsidRPr="00E85CD3">
        <w:t>CNs to the measures under Article 6 of the Convention and establish the goal of identifying stockpiles consisting of or containing chemicals listed in Annex A or C and managing them in a safe, efficient and environmentally sound manner.</w:t>
      </w:r>
    </w:p>
    <w:p w:rsidR="009E3021" w:rsidRPr="00E85CD3" w:rsidRDefault="009E3021" w:rsidP="00856DDC">
      <w:pPr>
        <w:pStyle w:val="Heading2"/>
        <w:spacing w:after="120"/>
        <w:jc w:val="left"/>
      </w:pPr>
      <w:bookmarkStart w:id="22" w:name="_Toc346637147"/>
      <w:bookmarkStart w:id="23" w:name="_Toc352069544"/>
      <w:r w:rsidRPr="00E85CD3">
        <w:t>2.3</w:t>
      </w:r>
      <w:r w:rsidRPr="00E85CD3">
        <w:tab/>
        <w:t>Efficacy and efficiency of possible control measures in meeting risk reduction goals</w:t>
      </w:r>
      <w:bookmarkEnd w:id="22"/>
      <w:bookmarkEnd w:id="23"/>
    </w:p>
    <w:p w:rsidR="009E3021" w:rsidRPr="00E85CD3" w:rsidRDefault="009E3021" w:rsidP="00C95AE0">
      <w:pPr>
        <w:spacing w:after="120"/>
        <w:rPr>
          <w:i/>
          <w:sz w:val="20"/>
        </w:rPr>
      </w:pPr>
      <w:r w:rsidRPr="00E85CD3">
        <w:rPr>
          <w:i/>
          <w:sz w:val="20"/>
        </w:rPr>
        <w:t>Intentional production</w:t>
      </w:r>
    </w:p>
    <w:p w:rsidR="009E3021" w:rsidRPr="00E85CD3" w:rsidRDefault="009E3021" w:rsidP="001E2795">
      <w:pPr>
        <w:pStyle w:val="Paralevel1"/>
        <w:numPr>
          <w:ilvl w:val="0"/>
          <w:numId w:val="24"/>
        </w:numPr>
        <w:ind w:left="0" w:firstLine="0"/>
      </w:pPr>
      <w:r w:rsidRPr="00E85CD3">
        <w:t xml:space="preserve">On a global scale intentional production of CN is assumed to have ended, however, remaining use is still possible. Nigeria reported that there are no additional costs for eliminating the production and use of CNs, since industry has substituted this use already (Annex F, Nigeria, 2013). </w:t>
      </w:r>
      <w:proofErr w:type="gramStart"/>
      <w:r w:rsidRPr="00E85CD3">
        <w:t>Additional costs for eliminating the production and use of CNs are not expected as alternative chemicals for the same uses are available and already in use and it seems</w:t>
      </w:r>
      <w:proofErr w:type="gramEnd"/>
      <w:r w:rsidRPr="00E85CD3">
        <w:t xml:space="preserve"> that intentional production and use of CNs have already stopped. Health and environment </w:t>
      </w:r>
      <w:r>
        <w:t>w</w:t>
      </w:r>
      <w:r w:rsidRPr="00E85CD3">
        <w:t xml:space="preserve">ould benefit from a ban of </w:t>
      </w:r>
      <w:r>
        <w:t>P</w:t>
      </w:r>
      <w:r w:rsidRPr="00E85CD3">
        <w:t>CNs as their re-introduction and related risks would be prevented. A beneficial effect could be expected as any currently unidentified production and use around the world should end. Relevant negative impacts on health, environment and society are not expected</w:t>
      </w:r>
      <w:r>
        <w:t xml:space="preserve"> from a ban of PCNs</w:t>
      </w:r>
      <w:r w:rsidRPr="00E85CD3">
        <w:t>.</w:t>
      </w:r>
    </w:p>
    <w:p w:rsidR="009E3021" w:rsidRPr="00E85CD3" w:rsidRDefault="009E3021" w:rsidP="00C95AE0">
      <w:pPr>
        <w:spacing w:after="120"/>
        <w:rPr>
          <w:i/>
          <w:sz w:val="20"/>
        </w:rPr>
      </w:pPr>
      <w:r w:rsidRPr="00E85CD3">
        <w:rPr>
          <w:i/>
          <w:sz w:val="20"/>
        </w:rPr>
        <w:t>Unintentional generation</w:t>
      </w:r>
    </w:p>
    <w:p w:rsidR="009E3021" w:rsidRPr="00E85CD3" w:rsidRDefault="009E3021" w:rsidP="001E2795">
      <w:pPr>
        <w:pStyle w:val="Paralevel1"/>
        <w:numPr>
          <w:ilvl w:val="0"/>
          <w:numId w:val="24"/>
        </w:numPr>
        <w:ind w:left="0" w:firstLine="0"/>
      </w:pPr>
      <w:r w:rsidRPr="00E85CD3">
        <w:t xml:space="preserve">CNs </w:t>
      </w:r>
      <w:proofErr w:type="gramStart"/>
      <w:r w:rsidRPr="00E85CD3">
        <w:t>are</w:t>
      </w:r>
      <w:proofErr w:type="gramEnd"/>
      <w:r w:rsidRPr="00E85CD3">
        <w:t xml:space="preserve"> unintentionally released from the same sources as the POP compounds dioxins and furans. Therefore, measures that reduce the release of PCDD/F emissions will also reduce CN emissions. BAT and BEP relevant to unintentionally produced POPs for various types of incinerators and other thermal sources are very well documented in the Stockholm Convention BAT/BEP Guidelines [UNEP 2007] and the relevant EU BAT reference documents (BREFs) and are widely applied.</w:t>
      </w:r>
    </w:p>
    <w:p w:rsidR="009E3021" w:rsidRPr="00E85CD3" w:rsidRDefault="009E3021" w:rsidP="001E2795">
      <w:pPr>
        <w:pStyle w:val="Paralevel1"/>
        <w:numPr>
          <w:ilvl w:val="0"/>
          <w:numId w:val="24"/>
        </w:numPr>
        <w:ind w:left="0" w:firstLine="0"/>
      </w:pPr>
      <w:r w:rsidRPr="00E85CD3">
        <w:t xml:space="preserve">There are no extra costs involved for industry of the UNECE region for controlling unintentional emissions. Price increases are not expected since the substitutes are already in use and the measures against unintentional emissions have to be taken to reduce other emissions. Control costs will be very low and could consist of extra costs for measuring of </w:t>
      </w:r>
      <w:r>
        <w:t>P</w:t>
      </w:r>
      <w:r w:rsidRPr="00E85CD3">
        <w:t xml:space="preserve">CN content in products or from unintentional emissions, and for making emission inventories. These costs are regarded as negligible [UNECE 2007]. Outside the UNECE region the situation is similar because it seems that substitutes are already in use and the measures against unintentional emissions have already to be taken to reduce other emissions. As a consequence no extra costs are expected for industry and consumers in the countries who are parties to the Stockholm Convention due to the measures that are already taken to reduce releases of PCDD/F emissions. Costs for authorities/the state are considered </w:t>
      </w:r>
      <w:proofErr w:type="gramStart"/>
      <w:r w:rsidRPr="00E85CD3">
        <w:t>to be</w:t>
      </w:r>
      <w:proofErr w:type="gramEnd"/>
      <w:r w:rsidRPr="00E85CD3">
        <w:t xml:space="preserve"> low; they may consist of additional costs for measuring of </w:t>
      </w:r>
      <w:r>
        <w:t>P</w:t>
      </w:r>
      <w:r w:rsidRPr="00E85CD3">
        <w:t>CN contents in products or from unintentional emissions (monitoring, preparation of emission inventory). Corresponding cost impacts are also expected by Nigeria (Annex F, Nigeria, 2013)</w:t>
      </w:r>
    </w:p>
    <w:p w:rsidR="009E3021" w:rsidRDefault="009E3021" w:rsidP="00C95AE0">
      <w:pPr>
        <w:spacing w:after="120"/>
        <w:rPr>
          <w:i/>
          <w:sz w:val="20"/>
        </w:rPr>
      </w:pPr>
    </w:p>
    <w:p w:rsidR="009E3021" w:rsidRDefault="009E3021" w:rsidP="00C95AE0">
      <w:pPr>
        <w:spacing w:after="120"/>
        <w:rPr>
          <w:i/>
          <w:sz w:val="20"/>
        </w:rPr>
      </w:pPr>
    </w:p>
    <w:p w:rsidR="009E3021" w:rsidRDefault="009E3021" w:rsidP="00C95AE0">
      <w:pPr>
        <w:spacing w:after="120"/>
        <w:rPr>
          <w:i/>
          <w:sz w:val="20"/>
        </w:rPr>
      </w:pPr>
    </w:p>
    <w:p w:rsidR="009E3021" w:rsidRPr="00E85CD3" w:rsidRDefault="009E3021" w:rsidP="00C95AE0">
      <w:pPr>
        <w:spacing w:after="120"/>
        <w:rPr>
          <w:i/>
          <w:sz w:val="20"/>
        </w:rPr>
      </w:pPr>
      <w:r w:rsidRPr="00E85CD3">
        <w:rPr>
          <w:i/>
          <w:sz w:val="20"/>
        </w:rPr>
        <w:t xml:space="preserve">Stockpiles </w:t>
      </w:r>
    </w:p>
    <w:p w:rsidR="009E3021" w:rsidRPr="00E85CD3" w:rsidRDefault="009E3021" w:rsidP="001E2795">
      <w:pPr>
        <w:pStyle w:val="Paralevel1"/>
        <w:numPr>
          <w:ilvl w:val="0"/>
          <w:numId w:val="24"/>
        </w:numPr>
        <w:ind w:left="0" w:firstLine="0"/>
      </w:pPr>
      <w:r w:rsidRPr="00E85CD3">
        <w:t>As a consequence of listing</w:t>
      </w:r>
      <w:r>
        <w:t xml:space="preserve"> </w:t>
      </w:r>
      <w:r w:rsidRPr="00E85CD3">
        <w:t xml:space="preserve"> </w:t>
      </w:r>
      <w:r>
        <w:t>P</w:t>
      </w:r>
      <w:r w:rsidRPr="00E85CD3">
        <w:t xml:space="preserve">CNs in Annex A or C, parties to the convention would have to identify existing stockpiles of </w:t>
      </w:r>
      <w:r>
        <w:t>P</w:t>
      </w:r>
      <w:r w:rsidRPr="00E85CD3">
        <w:t xml:space="preserve">CNs (including both, relevant waste disposals and old appliances), and to manage them in a safe, efficient and environmentally sound manner. </w:t>
      </w:r>
    </w:p>
    <w:p w:rsidR="009E3021" w:rsidRPr="00E85CD3" w:rsidRDefault="009E3021" w:rsidP="001E2795">
      <w:pPr>
        <w:pStyle w:val="Paralevel1"/>
        <w:numPr>
          <w:ilvl w:val="0"/>
          <w:numId w:val="24"/>
        </w:numPr>
        <w:ind w:left="0" w:firstLine="0"/>
      </w:pPr>
      <w:r w:rsidRPr="001E2795">
        <w:t xml:space="preserve">There is a specific relation between </w:t>
      </w:r>
      <w:r w:rsidRPr="00E85CD3">
        <w:t xml:space="preserve">the occurrence of PCBs and </w:t>
      </w:r>
      <w:r>
        <w:t>P</w:t>
      </w:r>
      <w:r w:rsidRPr="00E85CD3">
        <w:t xml:space="preserve">CNs (see above). According to Article 6 of the Convention, Parties are already obliged to identify existing stockpiles consisting of or containing PCBs, and to manage these in a safe, efficient and environmentally sound manner. As a consequence, CN stockpiles which are part of the PCB </w:t>
      </w:r>
      <w:proofErr w:type="gramStart"/>
      <w:r w:rsidRPr="00E85CD3">
        <w:t>stockpiles,</w:t>
      </w:r>
      <w:proofErr w:type="gramEnd"/>
      <w:r w:rsidRPr="00E85CD3">
        <w:t xml:space="preserve"> are already identified and managed in an environmentally sound manner together with any remaining PCB stockpiles. Additional costs for </w:t>
      </w:r>
      <w:r>
        <w:t>P</w:t>
      </w:r>
      <w:r w:rsidRPr="00E85CD3">
        <w:t>CNs contained in PCB stockpiles will not arise.</w:t>
      </w:r>
    </w:p>
    <w:p w:rsidR="009E3021" w:rsidRPr="00E85CD3" w:rsidRDefault="009E3021" w:rsidP="00E75380">
      <w:pPr>
        <w:spacing w:after="120"/>
        <w:rPr>
          <w:sz w:val="20"/>
          <w:lang w:val="en-US"/>
        </w:rPr>
      </w:pPr>
    </w:p>
    <w:p w:rsidR="009E3021" w:rsidRPr="00E85CD3" w:rsidRDefault="009E3021" w:rsidP="00856DDC">
      <w:pPr>
        <w:pStyle w:val="Heading2"/>
        <w:spacing w:after="120"/>
        <w:jc w:val="left"/>
      </w:pPr>
      <w:bookmarkStart w:id="24" w:name="_Toc346637148"/>
      <w:bookmarkStart w:id="25" w:name="_Toc352069545"/>
      <w:r w:rsidRPr="00E85CD3">
        <w:t xml:space="preserve">2.4 </w:t>
      </w:r>
      <w:r w:rsidRPr="00E85CD3">
        <w:tab/>
        <w:t>Information on alternatives (products and processes) where relevant</w:t>
      </w:r>
      <w:bookmarkEnd w:id="24"/>
      <w:bookmarkEnd w:id="25"/>
    </w:p>
    <w:p w:rsidR="009E3021" w:rsidRDefault="009E3021" w:rsidP="001E2795">
      <w:pPr>
        <w:pStyle w:val="Paralevel1"/>
        <w:numPr>
          <w:ilvl w:val="0"/>
          <w:numId w:val="24"/>
        </w:numPr>
        <w:ind w:left="0" w:firstLine="0"/>
      </w:pPr>
      <w:r w:rsidRPr="00E85CD3">
        <w:t xml:space="preserve">Within the UNECE-region the information on substitution and alternatives is extremely limited as </w:t>
      </w:r>
      <w:r>
        <w:t>P</w:t>
      </w:r>
      <w:r w:rsidRPr="00E85CD3">
        <w:t xml:space="preserve">CNs are not in use anymore. The only available information is that since the production of CNs has been stopped in the seventies and eighties, CNs </w:t>
      </w:r>
      <w:proofErr w:type="gramStart"/>
      <w:r w:rsidRPr="00E85CD3">
        <w:t>have</w:t>
      </w:r>
      <w:proofErr w:type="gramEnd"/>
      <w:r w:rsidRPr="00E85CD3">
        <w:t xml:space="preserve"> been substituted by other chemicals. These chemicals have not been identified and described [UNECE 2007]. </w:t>
      </w:r>
    </w:p>
    <w:p w:rsidR="00EF74DB" w:rsidRPr="00D471D0" w:rsidRDefault="008508A3" w:rsidP="001E2795">
      <w:pPr>
        <w:pStyle w:val="Paralevel1"/>
        <w:numPr>
          <w:ilvl w:val="0"/>
          <w:numId w:val="24"/>
        </w:numPr>
        <w:ind w:left="0" w:firstLine="0"/>
      </w:pPr>
      <w:r w:rsidRPr="001E2795">
        <w:t>Hayward 1998</w:t>
      </w:r>
      <w:r w:rsidR="00E20A89" w:rsidRPr="001E2795">
        <w:t xml:space="preserve"> reports that</w:t>
      </w:r>
      <w:r w:rsidRPr="001E2795">
        <w:t xml:space="preserve"> </w:t>
      </w:r>
      <w:r w:rsidR="00350273" w:rsidRPr="001E2795">
        <w:t xml:space="preserve">production </w:t>
      </w:r>
      <w:r w:rsidRPr="001E2795">
        <w:t xml:space="preserve">of PCNs </w:t>
      </w:r>
      <w:r w:rsidR="00350273" w:rsidRPr="001E2795">
        <w:t>began</w:t>
      </w:r>
      <w:r w:rsidRPr="001E2795">
        <w:t xml:space="preserve"> to decline with the advent of plastic substitutes for </w:t>
      </w:r>
      <w:r w:rsidR="00350273" w:rsidRPr="001E2795">
        <w:t>insulation and the use of polychlorinated biphenyls</w:t>
      </w:r>
      <w:r w:rsidRPr="001E2795">
        <w:t xml:space="preserve"> </w:t>
      </w:r>
      <w:r w:rsidR="00350273" w:rsidRPr="001E2795">
        <w:t>(PCBs) for dielectrics in transformers</w:t>
      </w:r>
      <w:r w:rsidR="00D471D0" w:rsidRPr="001E2795">
        <w:t xml:space="preserve"> (Hayward 1998)</w:t>
      </w:r>
      <w:r w:rsidR="00350273" w:rsidRPr="001E2795">
        <w:t>.</w:t>
      </w:r>
      <w:r w:rsidR="00E20A89" w:rsidRPr="001E2795">
        <w:t xml:space="preserve"> This indicates that </w:t>
      </w:r>
      <w:r w:rsidR="00E20A89" w:rsidRPr="00E20A89">
        <w:t xml:space="preserve">PCNs have been replaced by PCBs </w:t>
      </w:r>
      <w:r w:rsidR="00E20A89">
        <w:t>as dielectrics and</w:t>
      </w:r>
      <w:r w:rsidR="00E20A89" w:rsidRPr="00E20A89">
        <w:t xml:space="preserve"> </w:t>
      </w:r>
      <w:r w:rsidR="00E20A89">
        <w:t>by plastics as insulating material</w:t>
      </w:r>
      <w:r w:rsidR="00E20A89" w:rsidRPr="00E20A89">
        <w:t>.</w:t>
      </w:r>
      <w:r w:rsidR="00E20A89">
        <w:t xml:space="preserve"> PCBs are nowadays </w:t>
      </w:r>
      <w:r w:rsidR="00D471D0">
        <w:t>largely</w:t>
      </w:r>
      <w:r w:rsidR="00E20A89">
        <w:t xml:space="preserve"> substituted by other alternatives.</w:t>
      </w:r>
    </w:p>
    <w:p w:rsidR="009E3021" w:rsidRPr="00E85CD3" w:rsidRDefault="009E3021" w:rsidP="001E2795">
      <w:pPr>
        <w:pStyle w:val="Paralevel1"/>
        <w:numPr>
          <w:ilvl w:val="0"/>
          <w:numId w:val="24"/>
        </w:numPr>
        <w:ind w:left="0" w:firstLine="0"/>
      </w:pPr>
      <w:r w:rsidRPr="00E85CD3">
        <w:t xml:space="preserve">No requests have been received nor particular needs identified for specific exemptions on </w:t>
      </w:r>
      <w:r>
        <w:t>P</w:t>
      </w:r>
      <w:r w:rsidRPr="00E85CD3">
        <w:t xml:space="preserve">CNs. No additional information on alternative chemicals being used to substitute </w:t>
      </w:r>
      <w:r>
        <w:t>P</w:t>
      </w:r>
      <w:r w:rsidRPr="00E85CD3">
        <w:t xml:space="preserve">CNs was provided by the parties within the questionnaire on Annex F. </w:t>
      </w:r>
    </w:p>
    <w:p w:rsidR="009E3021" w:rsidRPr="00E85CD3" w:rsidRDefault="009E3021" w:rsidP="00856DDC">
      <w:pPr>
        <w:pStyle w:val="Heading2"/>
        <w:spacing w:after="120"/>
        <w:jc w:val="left"/>
      </w:pPr>
      <w:bookmarkStart w:id="26" w:name="_Toc346637149"/>
      <w:bookmarkStart w:id="27" w:name="_Toc352069546"/>
      <w:r w:rsidRPr="00E85CD3">
        <w:t xml:space="preserve">2.5 </w:t>
      </w:r>
      <w:r w:rsidRPr="00E85CD3">
        <w:tab/>
        <w:t>Summary of information on impacts on society of implementing possible control measures</w:t>
      </w:r>
      <w:bookmarkEnd w:id="26"/>
      <w:bookmarkEnd w:id="27"/>
      <w:r w:rsidRPr="00E85CD3">
        <w:t xml:space="preserve"> </w:t>
      </w:r>
    </w:p>
    <w:p w:rsidR="009E3021" w:rsidRPr="00E85CD3" w:rsidRDefault="009E3021" w:rsidP="001A4A6E">
      <w:pPr>
        <w:spacing w:after="120"/>
        <w:rPr>
          <w:i/>
          <w:sz w:val="20"/>
        </w:rPr>
      </w:pPr>
      <w:r w:rsidRPr="00E85CD3">
        <w:rPr>
          <w:i/>
          <w:sz w:val="20"/>
        </w:rPr>
        <w:t>Intentional production</w:t>
      </w:r>
    </w:p>
    <w:p w:rsidR="009E3021" w:rsidRPr="00E85CD3" w:rsidRDefault="009E3021" w:rsidP="001E2795">
      <w:pPr>
        <w:pStyle w:val="Paralevel1"/>
        <w:numPr>
          <w:ilvl w:val="0"/>
          <w:numId w:val="24"/>
        </w:numPr>
        <w:ind w:left="0" w:firstLine="0"/>
      </w:pPr>
      <w:r w:rsidRPr="00E85CD3">
        <w:t xml:space="preserve">No negative impacts on society have been reported from prohibition or phasing-out CNs within the UNECE region [UNECE 2007]. Most uses seem to have stopped </w:t>
      </w:r>
      <w:proofErr w:type="gramStart"/>
      <w:r w:rsidRPr="00E85CD3">
        <w:t>worldwide,</w:t>
      </w:r>
      <w:proofErr w:type="gramEnd"/>
      <w:r w:rsidRPr="00E85CD3">
        <w:t xml:space="preserve"> however, the information provided does not allow to draw a concrete conclusion on this. Health and environment could benefit from listing </w:t>
      </w:r>
      <w:r>
        <w:t>P</w:t>
      </w:r>
      <w:r w:rsidRPr="00E85CD3">
        <w:t xml:space="preserve">CNs in Annex A as the re-introduction of </w:t>
      </w:r>
      <w:r>
        <w:t>P</w:t>
      </w:r>
      <w:r w:rsidRPr="00E85CD3">
        <w:t>CNs and related risks would be prevented. A beneficial effect on health, environment and society could be expected as any currently unidentified production and use around the world should end. Relevant negative impacts are not expected.</w:t>
      </w:r>
    </w:p>
    <w:p w:rsidR="009E3021" w:rsidRPr="00E85CD3" w:rsidRDefault="009E3021" w:rsidP="00211FB1">
      <w:pPr>
        <w:spacing w:after="120"/>
        <w:rPr>
          <w:i/>
          <w:sz w:val="20"/>
        </w:rPr>
      </w:pPr>
      <w:r w:rsidRPr="00E85CD3">
        <w:rPr>
          <w:i/>
          <w:sz w:val="20"/>
        </w:rPr>
        <w:t>Unintentional generation</w:t>
      </w:r>
    </w:p>
    <w:p w:rsidR="009E3021" w:rsidRPr="00E85CD3" w:rsidRDefault="009E3021" w:rsidP="001E2795">
      <w:pPr>
        <w:pStyle w:val="Paralevel1"/>
        <w:numPr>
          <w:ilvl w:val="0"/>
          <w:numId w:val="24"/>
        </w:numPr>
        <w:ind w:left="0" w:firstLine="0"/>
      </w:pPr>
      <w:r w:rsidRPr="00E85CD3">
        <w:t xml:space="preserve">CNs </w:t>
      </w:r>
      <w:proofErr w:type="gramStart"/>
      <w:r w:rsidRPr="00E85CD3">
        <w:t>are</w:t>
      </w:r>
      <w:proofErr w:type="gramEnd"/>
      <w:r w:rsidRPr="00E85CD3">
        <w:t xml:space="preserve"> unintentionally released from the same sources as the POP compounds dioxins and furans. Measures that reduce the release of PCDD/F emissions will also reduce CN</w:t>
      </w:r>
      <w:r>
        <w:t>s</w:t>
      </w:r>
      <w:r w:rsidRPr="00E85CD3">
        <w:t xml:space="preserve"> emissions. BAT and BEP relevant to unintentionally produced PCDD/Fs for various types of incinerators are available and already widely applied. Measures to reduce unintentional releases of </w:t>
      </w:r>
      <w:r>
        <w:t>P</w:t>
      </w:r>
      <w:r w:rsidRPr="00E85CD3">
        <w:t xml:space="preserve">CNs through listing in Annex C would positively impact human health and the environment. Additional costs for monitoring, enforcement and supervision are considered to be low as the control measures for other PCDD/Fs are already applied. </w:t>
      </w:r>
    </w:p>
    <w:p w:rsidR="009E3021" w:rsidRPr="00E85CD3" w:rsidRDefault="009E3021" w:rsidP="00211FB1">
      <w:pPr>
        <w:spacing w:after="120"/>
        <w:rPr>
          <w:i/>
          <w:sz w:val="20"/>
        </w:rPr>
      </w:pPr>
      <w:r w:rsidRPr="00E85CD3">
        <w:rPr>
          <w:i/>
          <w:sz w:val="20"/>
        </w:rPr>
        <w:t>Stockpiles</w:t>
      </w:r>
    </w:p>
    <w:p w:rsidR="009E3021" w:rsidRPr="001E2795" w:rsidRDefault="009E3021" w:rsidP="001E2795">
      <w:pPr>
        <w:pStyle w:val="Paralevel1"/>
        <w:numPr>
          <w:ilvl w:val="0"/>
          <w:numId w:val="24"/>
        </w:numPr>
        <w:ind w:left="0" w:firstLine="0"/>
      </w:pPr>
      <w:r w:rsidRPr="00E85CD3">
        <w:t xml:space="preserve">CNs </w:t>
      </w:r>
      <w:proofErr w:type="gramStart"/>
      <w:r w:rsidRPr="00E85CD3">
        <w:t>are</w:t>
      </w:r>
      <w:proofErr w:type="gramEnd"/>
      <w:r w:rsidRPr="00E85CD3">
        <w:t xml:space="preserve"> unintentionally released from existing stockpiles (waste disposal sites and old appliances). Listing of </w:t>
      </w:r>
      <w:r>
        <w:t>P</w:t>
      </w:r>
      <w:r w:rsidRPr="00E85CD3">
        <w:t>CNs in Annex A or C would require developing strategies to identify existing stockpiles, and to manage them in an environmentally sound manner. Parties to the convention have already introduced such measures to manage PCB stockpiles. Measures in place with respect of PCB stockpiles will also efficiently reduce releases of CNs from stockpiles. Health and environment would benefit from reduced releases. Additional costs would not arise.</w:t>
      </w:r>
    </w:p>
    <w:p w:rsidR="009E3021" w:rsidRPr="00E85CD3" w:rsidRDefault="009E3021" w:rsidP="00211FB1">
      <w:pPr>
        <w:spacing w:after="120"/>
        <w:rPr>
          <w:sz w:val="20"/>
          <w:lang w:val="en-US"/>
        </w:rPr>
      </w:pPr>
    </w:p>
    <w:p w:rsidR="009E3021" w:rsidRPr="00E85CD3" w:rsidRDefault="009E3021" w:rsidP="00856DDC">
      <w:pPr>
        <w:pStyle w:val="Heading2"/>
        <w:spacing w:after="120"/>
        <w:jc w:val="left"/>
      </w:pPr>
      <w:bookmarkStart w:id="28" w:name="_Toc346637150"/>
      <w:bookmarkStart w:id="29" w:name="_Toc352069547"/>
      <w:r w:rsidRPr="00E85CD3">
        <w:t>2.6</w:t>
      </w:r>
      <w:r w:rsidRPr="00E85CD3">
        <w:tab/>
        <w:t>Other considerations</w:t>
      </w:r>
      <w:bookmarkEnd w:id="28"/>
      <w:bookmarkEnd w:id="29"/>
      <w:r w:rsidRPr="00E85CD3">
        <w:t xml:space="preserve"> </w:t>
      </w:r>
    </w:p>
    <w:p w:rsidR="009E3021" w:rsidRPr="00E85CD3" w:rsidRDefault="009E3021" w:rsidP="001E2795">
      <w:pPr>
        <w:pStyle w:val="Paralevel1"/>
        <w:numPr>
          <w:ilvl w:val="0"/>
          <w:numId w:val="24"/>
        </w:numPr>
        <w:ind w:left="0" w:firstLine="0"/>
      </w:pPr>
      <w:r w:rsidRPr="00E85CD3">
        <w:t>Specific relevant information on information and public education and on the status of the control and monitoring capacity has not been provided by parties or observers who submitted Annex F information.</w:t>
      </w:r>
    </w:p>
    <w:p w:rsidR="009E3021" w:rsidRPr="00E85CD3" w:rsidRDefault="009E3021" w:rsidP="004F00C1">
      <w:pPr>
        <w:spacing w:after="120"/>
        <w:rPr>
          <w:sz w:val="20"/>
        </w:rPr>
      </w:pPr>
    </w:p>
    <w:p w:rsidR="009E3021" w:rsidRPr="00E85CD3" w:rsidRDefault="009E3021" w:rsidP="00856DDC">
      <w:pPr>
        <w:pStyle w:val="Heading1"/>
        <w:spacing w:after="120"/>
      </w:pPr>
      <w:bookmarkStart w:id="30" w:name="_Toc346637151"/>
      <w:bookmarkStart w:id="31" w:name="_Toc352069548"/>
      <w:r w:rsidRPr="00E85CD3">
        <w:lastRenderedPageBreak/>
        <w:t>3.</w:t>
      </w:r>
      <w:r w:rsidRPr="00E85CD3">
        <w:tab/>
        <w:t>Synthesis of information</w:t>
      </w:r>
      <w:bookmarkEnd w:id="30"/>
      <w:bookmarkEnd w:id="31"/>
    </w:p>
    <w:p w:rsidR="009E3021" w:rsidRPr="00E85CD3" w:rsidRDefault="009E3021" w:rsidP="00AB39D3">
      <w:pPr>
        <w:spacing w:after="120"/>
        <w:rPr>
          <w:i/>
          <w:sz w:val="20"/>
        </w:rPr>
      </w:pPr>
      <w:r w:rsidRPr="00E85CD3">
        <w:rPr>
          <w:i/>
          <w:sz w:val="20"/>
        </w:rPr>
        <w:t>Risks and need for action</w:t>
      </w:r>
    </w:p>
    <w:p w:rsidR="009E3021" w:rsidRPr="00E85CD3" w:rsidRDefault="009E3021" w:rsidP="001E2795">
      <w:pPr>
        <w:pStyle w:val="Paralevel1"/>
        <w:numPr>
          <w:ilvl w:val="0"/>
          <w:numId w:val="24"/>
        </w:numPr>
        <w:ind w:left="0" w:firstLine="0"/>
      </w:pPr>
      <w:r w:rsidRPr="00E85CD3">
        <w:t xml:space="preserve">According to the risk profile, </w:t>
      </w:r>
      <w:r>
        <w:t>P</w:t>
      </w:r>
      <w:r w:rsidRPr="00E85CD3">
        <w:t xml:space="preserve">CNs meet all screening criteria, i.e. long-range environmental transport, bioaccumulation, persistence and toxicity. The POPRC decided that </w:t>
      </w:r>
      <w:r>
        <w:t>P</w:t>
      </w:r>
      <w:r w:rsidRPr="00E85CD3">
        <w:t>CNs are likely, as a result of their long</w:t>
      </w:r>
      <w:r w:rsidRPr="00E85CD3">
        <w:noBreakHyphen/>
        <w:t>range environmental transport, to lead to significant adverse human health and environmental effects such that global action is warranted.</w:t>
      </w:r>
    </w:p>
    <w:p w:rsidR="009E3021" w:rsidRPr="00E85CD3" w:rsidRDefault="009E3021" w:rsidP="00AB39D3">
      <w:pPr>
        <w:spacing w:after="120"/>
        <w:rPr>
          <w:i/>
          <w:sz w:val="20"/>
        </w:rPr>
      </w:pPr>
      <w:r w:rsidRPr="00E85CD3">
        <w:rPr>
          <w:i/>
          <w:sz w:val="20"/>
        </w:rPr>
        <w:t>Sources</w:t>
      </w:r>
    </w:p>
    <w:p w:rsidR="009E3021" w:rsidRPr="001E2795" w:rsidRDefault="009E3021" w:rsidP="001E2795">
      <w:pPr>
        <w:pStyle w:val="Paralevel1"/>
        <w:numPr>
          <w:ilvl w:val="0"/>
          <w:numId w:val="24"/>
        </w:numPr>
        <w:ind w:left="0" w:firstLine="0"/>
      </w:pPr>
      <w:r w:rsidRPr="001E2795">
        <w:t xml:space="preserve">CNs </w:t>
      </w:r>
      <w:proofErr w:type="gramStart"/>
      <w:r w:rsidRPr="001E2795">
        <w:t>have</w:t>
      </w:r>
      <w:proofErr w:type="gramEnd"/>
      <w:r w:rsidRPr="001E2795">
        <w:t xml:space="preserve"> been used mainly for their chemical stability, including low flammability, their (electrically) insulating </w:t>
      </w:r>
      <w:r w:rsidRPr="0073687E">
        <w:t>properties</w:t>
      </w:r>
      <w:r w:rsidRPr="001E2795">
        <w:t xml:space="preserve"> and recalcitrance including resistance to biodegradation and </w:t>
      </w:r>
      <w:proofErr w:type="spellStart"/>
      <w:r w:rsidRPr="001E2795">
        <w:t>biocidal</w:t>
      </w:r>
      <w:proofErr w:type="spellEnd"/>
      <w:r w:rsidRPr="001E2795">
        <w:t xml:space="preserve"> function. They share these properties and their </w:t>
      </w:r>
      <w:r w:rsidRPr="0073687E">
        <w:t>scope</w:t>
      </w:r>
      <w:r w:rsidRPr="001E2795">
        <w:t xml:space="preserve"> of application with the PCBs by which they were gradually replaced since the 1950s. They have been used for several technical applications and as wood preservative. </w:t>
      </w:r>
      <w:r w:rsidRPr="0073687E">
        <w:t xml:space="preserve">To date, intentional production of CNs is assumed to have </w:t>
      </w:r>
      <w:proofErr w:type="gramStart"/>
      <w:r w:rsidRPr="0073687E">
        <w:t>ended,</w:t>
      </w:r>
      <w:proofErr w:type="gramEnd"/>
      <w:r w:rsidRPr="0073687E">
        <w:t xml:space="preserve"> however, remaining use is still possible.</w:t>
      </w:r>
    </w:p>
    <w:p w:rsidR="009E3021" w:rsidRPr="0073687E" w:rsidRDefault="009E3021" w:rsidP="001E2795">
      <w:pPr>
        <w:pStyle w:val="Paralevel1"/>
        <w:numPr>
          <w:ilvl w:val="0"/>
          <w:numId w:val="24"/>
        </w:numPr>
        <w:ind w:left="0" w:firstLine="0"/>
      </w:pPr>
      <w:r w:rsidRPr="0073687E">
        <w:t xml:space="preserve">CNs </w:t>
      </w:r>
      <w:proofErr w:type="gramStart"/>
      <w:r w:rsidRPr="0073687E">
        <w:t>are</w:t>
      </w:r>
      <w:proofErr w:type="gramEnd"/>
      <w:r w:rsidRPr="0073687E">
        <w:t xml:space="preserve"> still </w:t>
      </w:r>
      <w:r w:rsidRPr="001E2795">
        <w:t>unintentionally generated</w:t>
      </w:r>
      <w:r w:rsidRPr="0073687E">
        <w:t xml:space="preserve"> during high-temperature industrial processes. Of the known releases, combustion (primarily waste incineration) is considered the most significant current source. CNs </w:t>
      </w:r>
      <w:proofErr w:type="gramStart"/>
      <w:r w:rsidRPr="0073687E">
        <w:t>are</w:t>
      </w:r>
      <w:proofErr w:type="gramEnd"/>
      <w:r w:rsidRPr="0073687E">
        <w:t xml:space="preserve"> also generated in industrial processes with similar mechanisms as PCDD/Fs: They are formed during the smelting in the secondary non-ferrous metallurgical industry (where production conditions include heat, chlorine-containing </w:t>
      </w:r>
      <w:proofErr w:type="spellStart"/>
      <w:r w:rsidRPr="0073687E">
        <w:t>recyclates</w:t>
      </w:r>
      <w:proofErr w:type="spellEnd"/>
      <w:r w:rsidRPr="0073687E">
        <w:t xml:space="preserve"> and the catalytic function of metals like, e.g. copper), c</w:t>
      </w:r>
      <w:r w:rsidRPr="001E2795">
        <w:t>ement and magnesia production, aluminum refining and coking have been reported as unintentional CNs sources. T</w:t>
      </w:r>
      <w:r w:rsidRPr="0073687E">
        <w:t xml:space="preserve">here have also been indications of CNs formation at manufacturing sites producing chlorine by use of graphite anodes in mercury cell in </w:t>
      </w:r>
      <w:proofErr w:type="spellStart"/>
      <w:r w:rsidRPr="0073687E">
        <w:t>chlor</w:t>
      </w:r>
      <w:proofErr w:type="spellEnd"/>
      <w:r w:rsidRPr="0073687E">
        <w:t>-alkali process and at low concentrations as by-products in the chlorination of drinking water.</w:t>
      </w:r>
    </w:p>
    <w:p w:rsidR="009E3021" w:rsidRPr="0073687E" w:rsidRDefault="009E3021" w:rsidP="001E2795">
      <w:pPr>
        <w:pStyle w:val="Paralevel1"/>
        <w:numPr>
          <w:ilvl w:val="0"/>
          <w:numId w:val="24"/>
        </w:numPr>
        <w:ind w:left="0" w:firstLine="0"/>
      </w:pPr>
      <w:r w:rsidRPr="001E2795">
        <w:t xml:space="preserve">Commercial PCBs contained traces of CNs. </w:t>
      </w:r>
      <w:r w:rsidRPr="0073687E">
        <w:t>CNs were unintentionally released as contaminants in PCBs. Releases from former uses (CNs or impurities of technical PCB) contained in landfills or old appliances (</w:t>
      </w:r>
      <w:r w:rsidRPr="001E2795">
        <w:t>stockpiles</w:t>
      </w:r>
      <w:r w:rsidRPr="0073687E">
        <w:t>) are plausible but difficult to assess.</w:t>
      </w:r>
    </w:p>
    <w:p w:rsidR="009E3021" w:rsidRPr="0073687E" w:rsidRDefault="009E3021" w:rsidP="00AB39D3">
      <w:pPr>
        <w:spacing w:after="120"/>
        <w:rPr>
          <w:i/>
          <w:sz w:val="20"/>
          <w:lang w:val="en-US"/>
        </w:rPr>
      </w:pPr>
      <w:r w:rsidRPr="0073687E">
        <w:rPr>
          <w:i/>
          <w:sz w:val="20"/>
          <w:lang w:val="en-US"/>
        </w:rPr>
        <w:t>Existing control</w:t>
      </w:r>
    </w:p>
    <w:p w:rsidR="009E3021" w:rsidRPr="0073687E" w:rsidRDefault="009E3021" w:rsidP="001E2795">
      <w:pPr>
        <w:pStyle w:val="Paralevel1"/>
        <w:numPr>
          <w:ilvl w:val="0"/>
          <w:numId w:val="24"/>
        </w:numPr>
        <w:ind w:left="0" w:firstLine="0"/>
      </w:pPr>
      <w:r w:rsidRPr="0073687E">
        <w:t xml:space="preserve">In 2009 PCNs were proposed to amend Annex I (prohibition of production and use) of the Aarhus Protocol on POPs under the UNECE Convention on Long-Range </w:t>
      </w:r>
      <w:proofErr w:type="spellStart"/>
      <w:r w:rsidRPr="0073687E">
        <w:t>Transboundary</w:t>
      </w:r>
      <w:proofErr w:type="spellEnd"/>
      <w:r w:rsidRPr="0073687E">
        <w:t xml:space="preserve"> Air Pollution. The amendment will come into force when 2/3rd of the Parties have adopted the amendment. The OSPAR Commission has included PCNs in the List of Chemicals for Priority Action (by June 2003) and waste containing PCNs is characterized as hazardous waste under Annex VIII of the Basel Convention on the Control of </w:t>
      </w:r>
      <w:proofErr w:type="spellStart"/>
      <w:r w:rsidRPr="0073687E">
        <w:t>Transboundary</w:t>
      </w:r>
      <w:proofErr w:type="spellEnd"/>
      <w:r w:rsidRPr="0073687E">
        <w:t xml:space="preserve"> Movements of Hazardous Wastes and their Disposal.</w:t>
      </w:r>
    </w:p>
    <w:p w:rsidR="009E3021" w:rsidRPr="0073687E" w:rsidRDefault="009E3021" w:rsidP="00B10C8B">
      <w:pPr>
        <w:spacing w:after="120"/>
        <w:rPr>
          <w:i/>
          <w:sz w:val="20"/>
        </w:rPr>
      </w:pPr>
      <w:r w:rsidRPr="0073687E">
        <w:rPr>
          <w:i/>
          <w:sz w:val="20"/>
        </w:rPr>
        <w:t>Releases and control measures and their efficacy and efficiency</w:t>
      </w:r>
    </w:p>
    <w:p w:rsidR="009E3021" w:rsidRPr="0073687E" w:rsidRDefault="009E3021" w:rsidP="001E2795">
      <w:pPr>
        <w:pStyle w:val="Paralevel1"/>
        <w:numPr>
          <w:ilvl w:val="0"/>
          <w:numId w:val="24"/>
        </w:numPr>
        <w:ind w:left="0" w:firstLine="0"/>
      </w:pPr>
      <w:r w:rsidRPr="0073687E">
        <w:t>In the present document an overview of release sources of CNs from current activities and related possible control measures is given. Possible release sources are (a) intentional production (seems to have ceased), (b) unintentional production (particularly from waste incineration and other activities potentially generating PCDD/Fs) and (c) release from stockpiles (particularly waste disposals and old appliances).</w:t>
      </w:r>
    </w:p>
    <w:p w:rsidR="009E3021" w:rsidRPr="0073687E" w:rsidRDefault="009E3021" w:rsidP="001E2795">
      <w:pPr>
        <w:pStyle w:val="Paralevel1"/>
        <w:numPr>
          <w:ilvl w:val="0"/>
          <w:numId w:val="24"/>
        </w:numPr>
        <w:ind w:left="0" w:firstLine="0"/>
      </w:pPr>
      <w:r w:rsidRPr="0073687E">
        <w:t xml:space="preserve">(a) To date, </w:t>
      </w:r>
      <w:r w:rsidRPr="001E2795">
        <w:t>intentional production</w:t>
      </w:r>
      <w:r w:rsidRPr="0073687E">
        <w:t xml:space="preserve"> of CNs is assumed to have </w:t>
      </w:r>
      <w:proofErr w:type="gramStart"/>
      <w:r w:rsidRPr="0073687E">
        <w:t>ended,</w:t>
      </w:r>
      <w:proofErr w:type="gramEnd"/>
      <w:r w:rsidRPr="0073687E">
        <w:t xml:space="preserve"> however, remaining use is still possible. To limit possibly remaining uses and to prevent re-introduction of other uses, listing of PCNs in Annex A without any specific exemptions could be the primary control measure for intentional sources under the Convention. As a consequence PCNs would be submitted to the provisions of Article 3 of the convention and the objective to eliminate their production, use, import and export.</w:t>
      </w:r>
    </w:p>
    <w:p w:rsidR="009E3021" w:rsidRPr="0073687E" w:rsidRDefault="009E3021" w:rsidP="001E2795">
      <w:pPr>
        <w:pStyle w:val="Paralevel1"/>
        <w:numPr>
          <w:ilvl w:val="0"/>
          <w:numId w:val="24"/>
        </w:numPr>
        <w:ind w:left="0" w:firstLine="0"/>
      </w:pPr>
      <w:r w:rsidRPr="0073687E">
        <w:t>Additional costs for eliminating the production and use of PCNs are not expected as alternative chemicals for the same uses are available and already in use. Health and environment could benefit from a ban of PCNs as their re-introduction and related risks would be prevented. A beneficial effect on health, environment and society could be expected as any currently unidentified production and use around the world should end. Relevant negative impacts are not expected from a ban of PCNs.</w:t>
      </w:r>
    </w:p>
    <w:p w:rsidR="009E3021" w:rsidRPr="0073687E" w:rsidRDefault="009E3021" w:rsidP="001E2795">
      <w:pPr>
        <w:pStyle w:val="Paralevel1"/>
        <w:numPr>
          <w:ilvl w:val="0"/>
          <w:numId w:val="24"/>
        </w:numPr>
        <w:ind w:left="0" w:firstLine="0"/>
      </w:pPr>
      <w:r w:rsidRPr="0073687E">
        <w:t xml:space="preserve">(b) CNs </w:t>
      </w:r>
      <w:proofErr w:type="gramStart"/>
      <w:r w:rsidRPr="0073687E">
        <w:t>are</w:t>
      </w:r>
      <w:proofErr w:type="gramEnd"/>
      <w:r w:rsidRPr="0073687E">
        <w:t xml:space="preserve"> </w:t>
      </w:r>
      <w:r w:rsidRPr="001E2795">
        <w:t>unintentionally generated</w:t>
      </w:r>
      <w:r w:rsidRPr="0073687E">
        <w:t xml:space="preserve"> during high-temperature industrial processes. Of the known releases, combustion (primarily waste incineration) is considered the most significant current source. CNs are generated unintentionally with similar mechanisms as PCDD/Fs during other industrial processes such as smelting in the secondary non-ferrous metal industry, c</w:t>
      </w:r>
      <w:r w:rsidRPr="001E2795">
        <w:t>ement and magnesia production, aluminum refining and coking.</w:t>
      </w:r>
      <w:r w:rsidRPr="0073687E">
        <w:t xml:space="preserve"> Listing of PCNs in Annex C would subject this substance group to the measures under Article 5 of the Convention and establish the goal of continuing minimization and, where feasible, ultimate elimination of CN releases. This would include an obligation to promote best available techniques (BAT) and best environmental practices (BEP) for PCN sources.</w:t>
      </w:r>
    </w:p>
    <w:p w:rsidR="009E3021" w:rsidRPr="0073687E" w:rsidRDefault="009E3021" w:rsidP="001E2795">
      <w:pPr>
        <w:pStyle w:val="Paralevel1"/>
        <w:numPr>
          <w:ilvl w:val="0"/>
          <w:numId w:val="24"/>
        </w:numPr>
        <w:ind w:left="0" w:firstLine="0"/>
      </w:pPr>
      <w:r w:rsidRPr="0073687E">
        <w:lastRenderedPageBreak/>
        <w:t>Measures that reduce the release of PCDD/F emissions will also reduce PCNs emissions. BAT and BEP relevant to unintentionally produced PCDD/Fs for various types of incinerators are available and already widely applied. Measures to reduce unintentional releases of PCNs through listing in Annex C would positively impact human health and the environment. Additional costs for monitoring, enforcement and supervision are considered to be low as the control measures for other PCDD/Fs are already applied.</w:t>
      </w:r>
    </w:p>
    <w:p w:rsidR="009E3021" w:rsidRPr="0073687E" w:rsidRDefault="009E3021" w:rsidP="001E2795">
      <w:pPr>
        <w:pStyle w:val="Paralevel1"/>
        <w:numPr>
          <w:ilvl w:val="0"/>
          <w:numId w:val="24"/>
        </w:numPr>
        <w:ind w:left="0" w:firstLine="0"/>
      </w:pPr>
      <w:proofErr w:type="gramStart"/>
      <w:r w:rsidRPr="0073687E">
        <w:t>(c) CNs</w:t>
      </w:r>
      <w:proofErr w:type="gramEnd"/>
      <w:r w:rsidRPr="0073687E">
        <w:t xml:space="preserve"> can be unintentionally released from landfills or old appliances (</w:t>
      </w:r>
      <w:r w:rsidRPr="001E2795">
        <w:t>stockpiles</w:t>
      </w:r>
      <w:r w:rsidRPr="0073687E">
        <w:t xml:space="preserve">). Possible measures to control releases from stockpiles are (1) to establish inventories of relevant landfills and control and sound management of releases (particularly </w:t>
      </w:r>
      <w:proofErr w:type="spellStart"/>
      <w:r w:rsidRPr="0073687E">
        <w:t>leachate</w:t>
      </w:r>
      <w:proofErr w:type="spellEnd"/>
      <w:r w:rsidRPr="0073687E">
        <w:t>) from relevant waste disposals or restoration/decontamination of waste disposals, and (2) to establish inventories of stocks of relevant old appliances and their sound management. Listing of PCNs in Annex A or C would subject PCNs to the measures under Article 6 of the Convention and establish the goal of identifying stockpiles consisting of or containing PCNs and managing them in a safe, efficient and environmentally sound manner.</w:t>
      </w:r>
    </w:p>
    <w:p w:rsidR="009E3021" w:rsidRPr="0073687E" w:rsidRDefault="009E3021" w:rsidP="001E2795">
      <w:pPr>
        <w:pStyle w:val="Paralevel1"/>
        <w:numPr>
          <w:ilvl w:val="0"/>
          <w:numId w:val="24"/>
        </w:numPr>
        <w:ind w:left="0" w:firstLine="0"/>
      </w:pPr>
      <w:r w:rsidRPr="001E2795">
        <w:t xml:space="preserve">Commercial PCBs contained traces of PCNs and CNs can be </w:t>
      </w:r>
      <w:r w:rsidRPr="0073687E">
        <w:t xml:space="preserve">unintentionally released as contaminants in PCBs. </w:t>
      </w:r>
      <w:r w:rsidRPr="001E2795">
        <w:t xml:space="preserve">As there is a direct relation between the occurrence of PCBs and CNs in old appliances, stocks of CNs are particularly occurring in conjunction with PCBs (i.e. in PCB containing waste disposals and PCB containing equipment). </w:t>
      </w:r>
      <w:r w:rsidRPr="0073687E">
        <w:t>Parties to the convention have already introduced measures to identify and manage PCB stockpiles. Measures in place with respect of PCB stockpiles will also efficiently reduce releases of PCNs from stockpiles. Health and environment would benefit from reduced releases. Additional costs would not arise.</w:t>
      </w:r>
    </w:p>
    <w:p w:rsidR="009E3021" w:rsidRPr="00E85CD3" w:rsidRDefault="009E3021" w:rsidP="00856DDC">
      <w:pPr>
        <w:pStyle w:val="Heading1"/>
        <w:spacing w:after="120"/>
      </w:pPr>
      <w:bookmarkStart w:id="32" w:name="_Toc346637152"/>
      <w:bookmarkStart w:id="33" w:name="_Toc352069549"/>
      <w:r w:rsidRPr="00E85CD3">
        <w:t>4.</w:t>
      </w:r>
      <w:r w:rsidRPr="00E85CD3">
        <w:tab/>
        <w:t>Concluding statement</w:t>
      </w:r>
      <w:bookmarkEnd w:id="32"/>
      <w:bookmarkEnd w:id="33"/>
    </w:p>
    <w:p w:rsidR="009E3021" w:rsidRPr="00E85CD3" w:rsidRDefault="009E3021" w:rsidP="00120708">
      <w:pPr>
        <w:pStyle w:val="Paralevel1"/>
        <w:numPr>
          <w:ilvl w:val="0"/>
          <w:numId w:val="24"/>
        </w:numPr>
        <w:ind w:left="0" w:firstLine="0"/>
      </w:pPr>
      <w:r w:rsidRPr="00E85CD3">
        <w:t xml:space="preserve">Having evaluated the risk profile on </w:t>
      </w:r>
      <w:r>
        <w:t>P</w:t>
      </w:r>
      <w:r w:rsidRPr="00E85CD3">
        <w:t xml:space="preserve">CNs the </w:t>
      </w:r>
      <w:r>
        <w:t xml:space="preserve">POPs Review </w:t>
      </w:r>
      <w:r w:rsidRPr="00E85CD3">
        <w:t xml:space="preserve">Committee concludes that </w:t>
      </w:r>
      <w:r>
        <w:t>these</w:t>
      </w:r>
      <w:r w:rsidRPr="00E85CD3">
        <w:t xml:space="preserve"> chemical</w:t>
      </w:r>
      <w:r>
        <w:t>s are</w:t>
      </w:r>
      <w:r w:rsidRPr="00E85CD3">
        <w:t xml:space="preserve"> likely, as a result of long-range environmental transport, to lead to significant adverse effects on human health and/or the environment, such that global action is warranted.</w:t>
      </w:r>
    </w:p>
    <w:p w:rsidR="009E3021" w:rsidRPr="00E85CD3" w:rsidRDefault="009E3021" w:rsidP="00120708">
      <w:pPr>
        <w:pStyle w:val="Paralevel1"/>
        <w:numPr>
          <w:ilvl w:val="0"/>
          <w:numId w:val="24"/>
        </w:numPr>
        <w:ind w:left="0" w:firstLine="0"/>
      </w:pPr>
      <w:r w:rsidRPr="00E85CD3">
        <w:t xml:space="preserve">The Committee prepared this risk management evaluation and concluded that although </w:t>
      </w:r>
      <w:r>
        <w:t>P</w:t>
      </w:r>
      <w:r w:rsidRPr="00E85CD3">
        <w:t>CNs are not known to be currently intentionally produced or used, it is important to prevent their re-introduction.</w:t>
      </w:r>
    </w:p>
    <w:p w:rsidR="009E3021" w:rsidRPr="00E85CD3" w:rsidRDefault="009E3021" w:rsidP="00120708">
      <w:pPr>
        <w:pStyle w:val="Paralevel1"/>
        <w:numPr>
          <w:ilvl w:val="0"/>
          <w:numId w:val="24"/>
        </w:numPr>
        <w:ind w:left="0" w:firstLine="0"/>
      </w:pPr>
      <w:r w:rsidRPr="00E85CD3">
        <w:t xml:space="preserve">CNs </w:t>
      </w:r>
      <w:proofErr w:type="gramStart"/>
      <w:r w:rsidRPr="00E85CD3">
        <w:t>are</w:t>
      </w:r>
      <w:proofErr w:type="gramEnd"/>
      <w:r w:rsidRPr="00E85CD3">
        <w:t xml:space="preserve"> unintentionally generated during high-temperature industrial processes (particularly waste incineration but also in other processes known to generate PCDD/Fs). Measures that reduce the release of PCDD/Fs will also reduce </w:t>
      </w:r>
      <w:r>
        <w:t>P</w:t>
      </w:r>
      <w:r w:rsidRPr="00E85CD3">
        <w:t>CN</w:t>
      </w:r>
      <w:r>
        <w:t>s</w:t>
      </w:r>
      <w:r w:rsidRPr="00E85CD3">
        <w:t xml:space="preserve"> releases.</w:t>
      </w:r>
    </w:p>
    <w:p w:rsidR="009E3021" w:rsidRPr="00E85CD3" w:rsidRDefault="009E3021" w:rsidP="00120708">
      <w:pPr>
        <w:pStyle w:val="Paralevel1"/>
        <w:numPr>
          <w:ilvl w:val="0"/>
          <w:numId w:val="24"/>
        </w:numPr>
        <w:ind w:left="0" w:firstLine="0"/>
      </w:pPr>
      <w:r w:rsidRPr="00E85CD3">
        <w:t xml:space="preserve">CNs </w:t>
      </w:r>
      <w:proofErr w:type="gramStart"/>
      <w:r w:rsidRPr="00E85CD3">
        <w:t>are</w:t>
      </w:r>
      <w:proofErr w:type="gramEnd"/>
      <w:r w:rsidRPr="00E85CD3">
        <w:t xml:space="preserve"> released to an unknown extent from waste disposals and stocks of old appliances. </w:t>
      </w:r>
      <w:r w:rsidRPr="00120708">
        <w:t xml:space="preserve">CNs in stockpiles </w:t>
      </w:r>
      <w:proofErr w:type="gramStart"/>
      <w:r w:rsidRPr="00120708">
        <w:t>are</w:t>
      </w:r>
      <w:proofErr w:type="gramEnd"/>
      <w:r w:rsidRPr="00120708">
        <w:t xml:space="preserve"> particularly occurring in conjunction with PCBs (i.e. in PCB containing waste disposals and PCB containing equipment). </w:t>
      </w:r>
      <w:r w:rsidRPr="00E85CD3">
        <w:t xml:space="preserve">Parties to the convention have already introduced measures to identify and manage PCB stockpiles. Measures in place with respect of PCB stockpiles will also efficiently reduce releases of </w:t>
      </w:r>
      <w:r>
        <w:t>P</w:t>
      </w:r>
      <w:r w:rsidRPr="00E85CD3">
        <w:t>CNs from stockpiles.</w:t>
      </w:r>
    </w:p>
    <w:p w:rsidR="009E3021" w:rsidRPr="00120708" w:rsidRDefault="009E3021" w:rsidP="00120708">
      <w:pPr>
        <w:pStyle w:val="Paralevel1"/>
        <w:numPr>
          <w:ilvl w:val="0"/>
          <w:numId w:val="24"/>
        </w:numPr>
        <w:ind w:left="0" w:firstLine="0"/>
      </w:pPr>
      <w:r w:rsidRPr="00120708">
        <w:t>The Stockholm Convention, through the Persistent Organic Pollutants Review Committee aims to protect human health and the environment from POPs, while being mindful of the Precautionary Approach as set forth in Principle 15 of the Rio Declaration on Environment and Development. It seeks to adopt measures to eliminate releases from intentional POP production and use, to reduce or eliminate releases from unintentional POP production, and to reduce or eliminate POP releases from its stockpiles and wastes in support of the goal agreed at the 2002 Johannesburg World Summit on Sustainable Development of ensuring that by the year 2020, chemicals are produced and used in ways that minimize significant adverse impacts on the environment and human health.</w:t>
      </w:r>
    </w:p>
    <w:p w:rsidR="009E3021" w:rsidRPr="00E85CD3" w:rsidRDefault="009E3021" w:rsidP="00120708">
      <w:pPr>
        <w:pStyle w:val="Paralevel1"/>
        <w:numPr>
          <w:ilvl w:val="0"/>
          <w:numId w:val="24"/>
        </w:numPr>
        <w:ind w:left="0" w:firstLine="0"/>
      </w:pPr>
      <w:r w:rsidRPr="00E85CD3">
        <w:t xml:space="preserve">Having prepared a risk management evaluation and considered the management options, in accordance with paragraph 9 of Article 8 of the Convention, the Committee recommends the Conference of the Parties to the Stockholm Convention to consider listing and specifying the related control measures for </w:t>
      </w:r>
      <w:r>
        <w:t>P</w:t>
      </w:r>
      <w:r w:rsidRPr="00E85CD3">
        <w:t>CNs in Annexes A and C.</w:t>
      </w:r>
    </w:p>
    <w:p w:rsidR="009E3021" w:rsidRPr="00120708" w:rsidRDefault="009E3021" w:rsidP="00120708">
      <w:pPr>
        <w:pStyle w:val="Paralevel1"/>
      </w:pPr>
    </w:p>
    <w:p w:rsidR="009E3021" w:rsidRPr="00E85CD3" w:rsidRDefault="009E3021">
      <w:pPr>
        <w:rPr>
          <w:b/>
        </w:rPr>
      </w:pPr>
      <w:r w:rsidRPr="00E85CD3">
        <w:br w:type="page"/>
      </w:r>
    </w:p>
    <w:p w:rsidR="009E3021" w:rsidRPr="00E85CD3" w:rsidRDefault="009E3021" w:rsidP="00856DDC">
      <w:pPr>
        <w:pStyle w:val="Heading1"/>
        <w:spacing w:after="120"/>
      </w:pPr>
      <w:bookmarkStart w:id="34" w:name="_Toc346637153"/>
      <w:bookmarkStart w:id="35" w:name="_Toc352069550"/>
      <w:r w:rsidRPr="00E85CD3">
        <w:t>References</w:t>
      </w:r>
      <w:bookmarkEnd w:id="34"/>
      <w:bookmarkEnd w:id="35"/>
    </w:p>
    <w:p w:rsidR="009E3021" w:rsidRPr="00E85CD3" w:rsidRDefault="009E3021" w:rsidP="008C4B26">
      <w:pPr>
        <w:spacing w:after="120"/>
        <w:rPr>
          <w:sz w:val="20"/>
        </w:rPr>
      </w:pPr>
      <w:r w:rsidRPr="00E85CD3">
        <w:rPr>
          <w:sz w:val="20"/>
        </w:rPr>
        <w:t xml:space="preserve">Annex F submissions on CN by January 2013, available at </w:t>
      </w:r>
      <w:hyperlink r:id="rId10" w:history="1">
        <w:r w:rsidRPr="00E85CD3">
          <w:rPr>
            <w:rStyle w:val="Hyperlink"/>
            <w:sz w:val="20"/>
          </w:rPr>
          <w:t>http://chm.pops.int/Convention/POPsReviewCommittee/LatestMeeting/POPRC8/POPRC8Followup/SubmissionCN/tabid/3068/Default.aspx</w:t>
        </w:r>
      </w:hyperlink>
      <w:r w:rsidRPr="00E85CD3">
        <w:rPr>
          <w:sz w:val="20"/>
        </w:rPr>
        <w:t xml:space="preserve"> </w:t>
      </w:r>
    </w:p>
    <w:p w:rsidR="009E3021" w:rsidRPr="00E85CD3" w:rsidRDefault="009E3021" w:rsidP="00351392">
      <w:pPr>
        <w:spacing w:after="120"/>
        <w:rPr>
          <w:sz w:val="20"/>
        </w:rPr>
      </w:pPr>
      <w:proofErr w:type="spellStart"/>
      <w:r w:rsidRPr="00E85CD3">
        <w:rPr>
          <w:sz w:val="20"/>
        </w:rPr>
        <w:t>Ba</w:t>
      </w:r>
      <w:proofErr w:type="spellEnd"/>
      <w:r w:rsidRPr="00E85CD3">
        <w:rPr>
          <w:sz w:val="20"/>
        </w:rPr>
        <w:t xml:space="preserve"> et al., 2010</w:t>
      </w:r>
      <w:r w:rsidRPr="00E85CD3">
        <w:rPr>
          <w:sz w:val="20"/>
        </w:rPr>
        <w:br/>
      </w:r>
      <w:proofErr w:type="spellStart"/>
      <w:r w:rsidRPr="00E85CD3">
        <w:rPr>
          <w:sz w:val="20"/>
        </w:rPr>
        <w:t>Ba</w:t>
      </w:r>
      <w:proofErr w:type="spellEnd"/>
      <w:r w:rsidRPr="00E85CD3">
        <w:rPr>
          <w:sz w:val="20"/>
        </w:rPr>
        <w:t xml:space="preserve"> T, </w:t>
      </w:r>
      <w:proofErr w:type="spellStart"/>
      <w:r w:rsidRPr="00E85CD3">
        <w:rPr>
          <w:sz w:val="20"/>
        </w:rPr>
        <w:t>Zheng</w:t>
      </w:r>
      <w:proofErr w:type="spellEnd"/>
      <w:r w:rsidRPr="00E85CD3">
        <w:rPr>
          <w:sz w:val="20"/>
        </w:rPr>
        <w:t xml:space="preserve"> M, Zhang B, Liu W, Su G, Liu G, Xiao K (2010) Estimation and congener-specific characterization of polychlorinated naphthalene emissions from secondary nonferrous metallurgical facilities in China. Environ. Sci. Technol. 44:2441–2446</w:t>
      </w:r>
    </w:p>
    <w:p w:rsidR="009E3021" w:rsidRPr="00E85CD3" w:rsidRDefault="009E3021" w:rsidP="00856DDC">
      <w:pPr>
        <w:spacing w:after="120"/>
        <w:rPr>
          <w:sz w:val="20"/>
        </w:rPr>
      </w:pPr>
      <w:r w:rsidRPr="00E85CD3">
        <w:rPr>
          <w:sz w:val="20"/>
        </w:rPr>
        <w:t>BC 1997</w:t>
      </w:r>
      <w:r w:rsidRPr="00E85CD3">
        <w:rPr>
          <w:sz w:val="20"/>
        </w:rPr>
        <w:br/>
        <w:t>Basel Convention, Technical Guidelines on Specially Engineered Landfill (D5), Basel Convention series/SBC No. 02/03, First Published in 1997 and reprinted in November 2002</w:t>
      </w:r>
    </w:p>
    <w:p w:rsidR="009E3021" w:rsidRPr="00E85CD3" w:rsidRDefault="009E3021" w:rsidP="00351392">
      <w:pPr>
        <w:spacing w:after="120"/>
        <w:rPr>
          <w:sz w:val="20"/>
        </w:rPr>
      </w:pPr>
      <w:proofErr w:type="spellStart"/>
      <w:r w:rsidRPr="00E85CD3">
        <w:rPr>
          <w:sz w:val="20"/>
        </w:rPr>
        <w:t>Bidleman</w:t>
      </w:r>
      <w:proofErr w:type="spellEnd"/>
      <w:r w:rsidRPr="00E85CD3">
        <w:rPr>
          <w:sz w:val="20"/>
        </w:rPr>
        <w:t xml:space="preserve"> et al., 2010</w:t>
      </w:r>
      <w:r w:rsidRPr="00E85CD3">
        <w:rPr>
          <w:sz w:val="20"/>
        </w:rPr>
        <w:br/>
      </w:r>
      <w:proofErr w:type="spellStart"/>
      <w:r w:rsidRPr="00E85CD3">
        <w:rPr>
          <w:sz w:val="20"/>
        </w:rPr>
        <w:t>Bidleman</w:t>
      </w:r>
      <w:proofErr w:type="spellEnd"/>
      <w:r w:rsidRPr="00E85CD3">
        <w:rPr>
          <w:sz w:val="20"/>
        </w:rPr>
        <w:t xml:space="preserve"> T F, Helm P A, </w:t>
      </w:r>
      <w:proofErr w:type="spellStart"/>
      <w:r w:rsidRPr="00E85CD3">
        <w:rPr>
          <w:sz w:val="20"/>
        </w:rPr>
        <w:t>Braune</w:t>
      </w:r>
      <w:proofErr w:type="spellEnd"/>
      <w:r w:rsidRPr="00E85CD3">
        <w:rPr>
          <w:sz w:val="20"/>
        </w:rPr>
        <w:t xml:space="preserve"> B M, </w:t>
      </w:r>
      <w:proofErr w:type="spellStart"/>
      <w:r w:rsidRPr="00E85CD3">
        <w:rPr>
          <w:sz w:val="20"/>
        </w:rPr>
        <w:t>Gabrielsen</w:t>
      </w:r>
      <w:proofErr w:type="spellEnd"/>
      <w:r w:rsidRPr="00E85CD3">
        <w:rPr>
          <w:sz w:val="20"/>
        </w:rPr>
        <w:t xml:space="preserve"> G W (2010) Polychlorinated </w:t>
      </w:r>
      <w:proofErr w:type="spellStart"/>
      <w:r w:rsidRPr="00E85CD3">
        <w:rPr>
          <w:sz w:val="20"/>
        </w:rPr>
        <w:t>naphthalenes</w:t>
      </w:r>
      <w:proofErr w:type="spellEnd"/>
      <w:r w:rsidRPr="00E85CD3">
        <w:rPr>
          <w:sz w:val="20"/>
        </w:rPr>
        <w:t xml:space="preserve"> in polar environments – A review. Science of the Total Environment 408:2919–2935</w:t>
      </w:r>
    </w:p>
    <w:p w:rsidR="009E3021" w:rsidRPr="00E85CD3" w:rsidRDefault="009E3021" w:rsidP="00351392">
      <w:pPr>
        <w:spacing w:after="120"/>
        <w:rPr>
          <w:sz w:val="20"/>
        </w:rPr>
      </w:pPr>
      <w:proofErr w:type="spellStart"/>
      <w:r w:rsidRPr="00E85CD3">
        <w:rPr>
          <w:sz w:val="20"/>
        </w:rPr>
        <w:t>Bolscher</w:t>
      </w:r>
      <w:proofErr w:type="spellEnd"/>
      <w:r w:rsidRPr="00E85CD3">
        <w:rPr>
          <w:sz w:val="20"/>
        </w:rPr>
        <w:t xml:space="preserve"> et al., 2005</w:t>
      </w:r>
      <w:r w:rsidRPr="00E85CD3">
        <w:rPr>
          <w:sz w:val="20"/>
        </w:rPr>
        <w:br/>
      </w:r>
      <w:proofErr w:type="spellStart"/>
      <w:r w:rsidRPr="00E85CD3">
        <w:rPr>
          <w:sz w:val="20"/>
        </w:rPr>
        <w:t>Bolscher</w:t>
      </w:r>
      <w:proofErr w:type="spellEnd"/>
      <w:r w:rsidRPr="00E85CD3">
        <w:rPr>
          <w:sz w:val="20"/>
        </w:rPr>
        <w:t xml:space="preserve"> M, Denier van </w:t>
      </w:r>
      <w:proofErr w:type="spellStart"/>
      <w:r w:rsidRPr="00E85CD3">
        <w:rPr>
          <w:sz w:val="20"/>
        </w:rPr>
        <w:t>der</w:t>
      </w:r>
      <w:proofErr w:type="spellEnd"/>
      <w:r w:rsidRPr="00E85CD3">
        <w:rPr>
          <w:sz w:val="20"/>
        </w:rPr>
        <w:t xml:space="preserve"> </w:t>
      </w:r>
      <w:proofErr w:type="spellStart"/>
      <w:r w:rsidRPr="00E85CD3">
        <w:rPr>
          <w:sz w:val="20"/>
        </w:rPr>
        <w:t>Gon</w:t>
      </w:r>
      <w:proofErr w:type="spellEnd"/>
      <w:r w:rsidRPr="00E85CD3">
        <w:rPr>
          <w:sz w:val="20"/>
        </w:rPr>
        <w:t xml:space="preserve"> H, </w:t>
      </w:r>
      <w:proofErr w:type="spellStart"/>
      <w:r w:rsidRPr="00E85CD3">
        <w:rPr>
          <w:sz w:val="20"/>
        </w:rPr>
        <w:t>Visschedijk</w:t>
      </w:r>
      <w:proofErr w:type="spellEnd"/>
      <w:r w:rsidRPr="00E85CD3">
        <w:rPr>
          <w:sz w:val="20"/>
        </w:rPr>
        <w:t xml:space="preserve"> A (2005) Emission Inventory of Eight Substances Possibly Proposed to be added to the UNECE POP Protocol </w:t>
      </w:r>
    </w:p>
    <w:p w:rsidR="009E3021" w:rsidRPr="00E85CD3" w:rsidRDefault="009E3021" w:rsidP="0043209C">
      <w:pPr>
        <w:spacing w:after="120"/>
        <w:rPr>
          <w:sz w:val="20"/>
        </w:rPr>
      </w:pPr>
      <w:r w:rsidRPr="00E85CD3">
        <w:rPr>
          <w:sz w:val="20"/>
        </w:rPr>
        <w:t>China, 2011</w:t>
      </w:r>
      <w:r w:rsidRPr="00E85CD3">
        <w:rPr>
          <w:sz w:val="20"/>
        </w:rPr>
        <w:br/>
        <w:t>China (2011) submission of information specified in Annex E to the Stockholm Convention pursuant to Article 8 of the Convention</w:t>
      </w:r>
    </w:p>
    <w:p w:rsidR="009E3021" w:rsidRPr="00E85CD3" w:rsidRDefault="009E3021" w:rsidP="00351392">
      <w:pPr>
        <w:spacing w:after="120"/>
        <w:rPr>
          <w:sz w:val="20"/>
        </w:rPr>
      </w:pPr>
      <w:r w:rsidRPr="00E85CD3">
        <w:rPr>
          <w:sz w:val="20"/>
          <w:lang w:val="en-US"/>
        </w:rPr>
        <w:t xml:space="preserve">Denier Van </w:t>
      </w:r>
      <w:proofErr w:type="spellStart"/>
      <w:r w:rsidRPr="00E85CD3">
        <w:rPr>
          <w:sz w:val="20"/>
          <w:lang w:val="en-US"/>
        </w:rPr>
        <w:t>Der</w:t>
      </w:r>
      <w:proofErr w:type="spellEnd"/>
      <w:r w:rsidRPr="00E85CD3">
        <w:rPr>
          <w:sz w:val="20"/>
          <w:lang w:val="en-US"/>
        </w:rPr>
        <w:t xml:space="preserve"> </w:t>
      </w:r>
      <w:proofErr w:type="spellStart"/>
      <w:r w:rsidRPr="00E85CD3">
        <w:rPr>
          <w:sz w:val="20"/>
          <w:lang w:val="en-US"/>
        </w:rPr>
        <w:t>Gon</w:t>
      </w:r>
      <w:proofErr w:type="spellEnd"/>
      <w:r w:rsidRPr="00E85CD3">
        <w:rPr>
          <w:sz w:val="20"/>
          <w:lang w:val="en-US"/>
        </w:rPr>
        <w:t xml:space="preserve"> et al. 2007</w:t>
      </w:r>
      <w:r w:rsidRPr="00E85CD3">
        <w:rPr>
          <w:sz w:val="20"/>
          <w:lang w:val="en-US"/>
        </w:rPr>
        <w:br/>
      </w:r>
      <w:r w:rsidRPr="00E85CD3">
        <w:rPr>
          <w:sz w:val="20"/>
        </w:rPr>
        <w:t xml:space="preserve">Denier Van </w:t>
      </w:r>
      <w:proofErr w:type="spellStart"/>
      <w:r w:rsidRPr="00E85CD3">
        <w:rPr>
          <w:sz w:val="20"/>
        </w:rPr>
        <w:t>Der</w:t>
      </w:r>
      <w:proofErr w:type="spellEnd"/>
      <w:r w:rsidRPr="00E85CD3">
        <w:rPr>
          <w:sz w:val="20"/>
        </w:rPr>
        <w:t xml:space="preserve"> </w:t>
      </w:r>
      <w:proofErr w:type="spellStart"/>
      <w:r w:rsidRPr="00E85CD3">
        <w:rPr>
          <w:sz w:val="20"/>
        </w:rPr>
        <w:t>Gon</w:t>
      </w:r>
      <w:proofErr w:type="spellEnd"/>
      <w:r w:rsidRPr="00E85CD3">
        <w:rPr>
          <w:sz w:val="20"/>
        </w:rPr>
        <w:t xml:space="preserve"> H </w:t>
      </w:r>
      <w:proofErr w:type="gramStart"/>
      <w:r w:rsidRPr="00E85CD3">
        <w:rPr>
          <w:sz w:val="20"/>
        </w:rPr>
        <w:t>A</w:t>
      </w:r>
      <w:proofErr w:type="gramEnd"/>
      <w:r w:rsidRPr="00E85CD3">
        <w:rPr>
          <w:sz w:val="20"/>
        </w:rPr>
        <w:t xml:space="preserve"> C, Van Het </w:t>
      </w:r>
      <w:proofErr w:type="spellStart"/>
      <w:r w:rsidRPr="00E85CD3">
        <w:rPr>
          <w:sz w:val="20"/>
        </w:rPr>
        <w:t>Bolscher</w:t>
      </w:r>
      <w:proofErr w:type="spellEnd"/>
      <w:r w:rsidRPr="00E85CD3">
        <w:rPr>
          <w:sz w:val="20"/>
        </w:rPr>
        <w:t xml:space="preserve"> M, </w:t>
      </w:r>
      <w:proofErr w:type="spellStart"/>
      <w:r w:rsidRPr="00E85CD3">
        <w:rPr>
          <w:sz w:val="20"/>
        </w:rPr>
        <w:t>Visschedijk</w:t>
      </w:r>
      <w:proofErr w:type="spellEnd"/>
      <w:r w:rsidRPr="00E85CD3">
        <w:rPr>
          <w:sz w:val="20"/>
        </w:rPr>
        <w:t xml:space="preserve"> A, </w:t>
      </w:r>
      <w:proofErr w:type="spellStart"/>
      <w:r w:rsidRPr="00E85CD3">
        <w:rPr>
          <w:sz w:val="20"/>
        </w:rPr>
        <w:t>Zandveld</w:t>
      </w:r>
      <w:proofErr w:type="spellEnd"/>
      <w:r w:rsidRPr="00E85CD3">
        <w:rPr>
          <w:sz w:val="20"/>
        </w:rPr>
        <w:t xml:space="preserve"> P (2007) Emissions of persistent organic pollutants and eight candidate POPs from UNECE-Europe in 2000, 2010 and 2020 and the emission reduction resulting from the implementation of the UNECE POP protocol. Atmospheric Environment, 41 (40): 9245–9261</w:t>
      </w:r>
    </w:p>
    <w:p w:rsidR="009E3021" w:rsidRPr="009E3021" w:rsidRDefault="009E3021" w:rsidP="005E0E7E">
      <w:pPr>
        <w:spacing w:after="120"/>
        <w:rPr>
          <w:sz w:val="20"/>
          <w:lang w:val="en-US"/>
        </w:rPr>
      </w:pPr>
      <w:r>
        <w:rPr>
          <w:sz w:val="20"/>
        </w:rPr>
        <w:t>Dore et al. 2008</w:t>
      </w:r>
      <w:r w:rsidRPr="005E0E7E">
        <w:rPr>
          <w:sz w:val="20"/>
        </w:rPr>
        <w:br/>
      </w:r>
      <w:r w:rsidR="00350273" w:rsidRPr="00350273">
        <w:rPr>
          <w:sz w:val="20"/>
        </w:rPr>
        <w:t xml:space="preserve">C J Dore, T P Murrells, N R Passant, M </w:t>
      </w:r>
      <w:proofErr w:type="spellStart"/>
      <w:r w:rsidR="00350273" w:rsidRPr="00350273">
        <w:rPr>
          <w:sz w:val="20"/>
        </w:rPr>
        <w:t>M</w:t>
      </w:r>
      <w:proofErr w:type="spellEnd"/>
      <w:r w:rsidR="00350273" w:rsidRPr="00350273">
        <w:rPr>
          <w:sz w:val="20"/>
        </w:rPr>
        <w:t xml:space="preserve"> Hobson, </w:t>
      </w:r>
      <w:r w:rsidRPr="005E0E7E">
        <w:rPr>
          <w:sz w:val="20"/>
          <w:lang w:val="en-US"/>
        </w:rPr>
        <w:t xml:space="preserve">G </w:t>
      </w:r>
      <w:proofErr w:type="spellStart"/>
      <w:r w:rsidRPr="005E0E7E">
        <w:rPr>
          <w:sz w:val="20"/>
          <w:lang w:val="en-US"/>
        </w:rPr>
        <w:t>Thistlethwaite</w:t>
      </w:r>
      <w:proofErr w:type="spellEnd"/>
      <w:r w:rsidRPr="005E0E7E">
        <w:rPr>
          <w:sz w:val="20"/>
          <w:lang w:val="en-US"/>
        </w:rPr>
        <w:t>, A Wagner, Y Li, T Bush, K R King,</w:t>
      </w:r>
      <w:r>
        <w:rPr>
          <w:sz w:val="20"/>
          <w:lang w:val="en-US"/>
        </w:rPr>
        <w:t xml:space="preserve"> </w:t>
      </w:r>
      <w:r w:rsidRPr="005E0E7E">
        <w:rPr>
          <w:sz w:val="20"/>
          <w:lang w:val="en-US"/>
        </w:rPr>
        <w:t>J Norris, P J Coleman, C Walker, R A Stewart,</w:t>
      </w:r>
      <w:r>
        <w:rPr>
          <w:sz w:val="20"/>
          <w:lang w:val="en-US"/>
        </w:rPr>
        <w:t xml:space="preserve"> </w:t>
      </w:r>
      <w:r w:rsidRPr="005E0E7E">
        <w:rPr>
          <w:sz w:val="20"/>
          <w:lang w:val="en-US"/>
        </w:rPr>
        <w:t xml:space="preserve">I </w:t>
      </w:r>
      <w:proofErr w:type="spellStart"/>
      <w:r w:rsidRPr="005E0E7E">
        <w:rPr>
          <w:sz w:val="20"/>
          <w:lang w:val="en-US"/>
        </w:rPr>
        <w:t>Tsagatakis</w:t>
      </w:r>
      <w:proofErr w:type="spellEnd"/>
      <w:r w:rsidRPr="005E0E7E">
        <w:rPr>
          <w:sz w:val="20"/>
          <w:lang w:val="en-US"/>
        </w:rPr>
        <w:t xml:space="preserve">, C </w:t>
      </w:r>
      <w:proofErr w:type="spellStart"/>
      <w:r w:rsidRPr="005E0E7E">
        <w:rPr>
          <w:sz w:val="20"/>
          <w:lang w:val="en-US"/>
        </w:rPr>
        <w:t>Conolly</w:t>
      </w:r>
      <w:proofErr w:type="spellEnd"/>
      <w:r w:rsidRPr="005E0E7E">
        <w:rPr>
          <w:sz w:val="20"/>
          <w:lang w:val="en-US"/>
        </w:rPr>
        <w:t xml:space="preserve">, N C J </w:t>
      </w:r>
      <w:proofErr w:type="spellStart"/>
      <w:r w:rsidRPr="005E0E7E">
        <w:rPr>
          <w:sz w:val="20"/>
          <w:lang w:val="en-US"/>
        </w:rPr>
        <w:t>Brophy</w:t>
      </w:r>
      <w:proofErr w:type="spellEnd"/>
      <w:r w:rsidRPr="005E0E7E">
        <w:rPr>
          <w:sz w:val="20"/>
          <w:lang w:val="en-US"/>
        </w:rPr>
        <w:t xml:space="preserve">, M R </w:t>
      </w:r>
      <w:proofErr w:type="spellStart"/>
      <w:r w:rsidRPr="005E0E7E">
        <w:rPr>
          <w:sz w:val="20"/>
          <w:lang w:val="en-US"/>
        </w:rPr>
        <w:t>Hann</w:t>
      </w:r>
      <w:proofErr w:type="spellEnd"/>
      <w:r>
        <w:rPr>
          <w:sz w:val="20"/>
          <w:lang w:val="en-US"/>
        </w:rPr>
        <w:t>.</w:t>
      </w:r>
      <w:r w:rsidR="00350273" w:rsidRPr="00350273">
        <w:rPr>
          <w:sz w:val="20"/>
        </w:rPr>
        <w:t xml:space="preserve"> UK Emissions of Air Pollutants 1970 to 2006</w:t>
      </w:r>
      <w:r>
        <w:rPr>
          <w:sz w:val="20"/>
        </w:rPr>
        <w:t>, AEA on behalf of DEFRA (</w:t>
      </w:r>
      <w:r w:rsidR="00350273" w:rsidRPr="00350273">
        <w:rPr>
          <w:sz w:val="20"/>
        </w:rPr>
        <w:t>Department for Environment, Food and Rural Affairs</w:t>
      </w:r>
      <w:r>
        <w:rPr>
          <w:sz w:val="20"/>
        </w:rPr>
        <w:t>), 2008</w:t>
      </w:r>
    </w:p>
    <w:p w:rsidR="009E3021" w:rsidRPr="00E85CD3" w:rsidRDefault="009E3021" w:rsidP="0003519B">
      <w:pPr>
        <w:spacing w:after="120"/>
        <w:rPr>
          <w:sz w:val="20"/>
        </w:rPr>
      </w:pPr>
      <w:r w:rsidRPr="00E85CD3">
        <w:rPr>
          <w:sz w:val="20"/>
        </w:rPr>
        <w:t>EC BREF NFM 2009</w:t>
      </w:r>
      <w:r w:rsidRPr="00E85CD3">
        <w:rPr>
          <w:sz w:val="20"/>
        </w:rPr>
        <w:br/>
        <w:t xml:space="preserve">EUROPEAN COMMISSION, Integrated Pollution Prevention and Control (IPPC), Draft Reference Document on Best Available Techniques for the Non-Ferrous Metals Industries, Working draft in progress, July 2009 </w:t>
      </w:r>
    </w:p>
    <w:p w:rsidR="009E3021" w:rsidRPr="00E85CD3" w:rsidRDefault="009E3021" w:rsidP="00856DDC">
      <w:pPr>
        <w:spacing w:after="120"/>
        <w:rPr>
          <w:sz w:val="20"/>
        </w:rPr>
      </w:pPr>
      <w:r w:rsidRPr="00E85CD3">
        <w:rPr>
          <w:sz w:val="20"/>
        </w:rPr>
        <w:t>EC BREF WI 2006</w:t>
      </w:r>
      <w:r w:rsidRPr="00E85CD3">
        <w:rPr>
          <w:sz w:val="20"/>
        </w:rPr>
        <w:br/>
        <w:t>EUROPEAN COMMISSION, Integrated Pollution Prevention and Control (IPPC), Reference Document on Best Available Techniques for Waste Incineration, August 2006</w:t>
      </w:r>
    </w:p>
    <w:p w:rsidR="009E3021" w:rsidRPr="00E85CD3" w:rsidRDefault="009E3021" w:rsidP="00351392">
      <w:pPr>
        <w:spacing w:after="120"/>
        <w:rPr>
          <w:sz w:val="20"/>
        </w:rPr>
      </w:pPr>
      <w:r w:rsidRPr="00E85CD3">
        <w:rPr>
          <w:sz w:val="20"/>
        </w:rPr>
        <w:t>Environment Canada (2011</w:t>
      </w:r>
      <w:proofErr w:type="gramStart"/>
      <w:r w:rsidRPr="00E85CD3">
        <w:rPr>
          <w:sz w:val="20"/>
        </w:rPr>
        <w:t>)</w:t>
      </w:r>
      <w:proofErr w:type="gramEnd"/>
      <w:r w:rsidRPr="00E85CD3">
        <w:rPr>
          <w:sz w:val="20"/>
        </w:rPr>
        <w:br/>
        <w:t xml:space="preserve">Ecological Screening Assessment Polychlorinated </w:t>
      </w:r>
      <w:proofErr w:type="spellStart"/>
      <w:r w:rsidRPr="00E85CD3">
        <w:rPr>
          <w:sz w:val="20"/>
        </w:rPr>
        <w:t>naphththalenes</w:t>
      </w:r>
      <w:proofErr w:type="spellEnd"/>
      <w:r w:rsidRPr="00E85CD3">
        <w:rPr>
          <w:sz w:val="20"/>
        </w:rPr>
        <w:t xml:space="preserve">. (Information submitted under Annex E) http://www.ec.gc.ca/ese-ees/835522FE-AE6C-405A-A729-7BC4B7C794BF/CNs_SAR_En.pdf </w:t>
      </w:r>
    </w:p>
    <w:p w:rsidR="009E3021" w:rsidRPr="00E85CD3" w:rsidRDefault="009E3021" w:rsidP="00856DDC">
      <w:pPr>
        <w:spacing w:after="120"/>
        <w:rPr>
          <w:bCs/>
          <w:sz w:val="20"/>
        </w:rPr>
      </w:pPr>
      <w:r w:rsidRPr="00E85CD3">
        <w:rPr>
          <w:bCs/>
          <w:sz w:val="20"/>
        </w:rPr>
        <w:t>ESWI 2011</w:t>
      </w:r>
      <w:r w:rsidRPr="00E85CD3">
        <w:rPr>
          <w:bCs/>
          <w:sz w:val="20"/>
        </w:rPr>
        <w:br/>
      </w:r>
      <w:proofErr w:type="spellStart"/>
      <w:r w:rsidRPr="00E85CD3">
        <w:rPr>
          <w:bCs/>
          <w:sz w:val="20"/>
        </w:rPr>
        <w:t>BiPRO</w:t>
      </w:r>
      <w:proofErr w:type="spellEnd"/>
      <w:r w:rsidRPr="00E85CD3">
        <w:rPr>
          <w:bCs/>
          <w:sz w:val="20"/>
        </w:rPr>
        <w:t xml:space="preserve">, Study on waste related issues of newly listed POPs and candidate POPs, </w:t>
      </w:r>
      <w:proofErr w:type="spellStart"/>
      <w:r w:rsidRPr="00E85CD3">
        <w:rPr>
          <w:bCs/>
          <w:sz w:val="20"/>
        </w:rPr>
        <w:t>BiPRO</w:t>
      </w:r>
      <w:proofErr w:type="spellEnd"/>
      <w:r w:rsidRPr="00E85CD3">
        <w:rPr>
          <w:bCs/>
          <w:sz w:val="20"/>
        </w:rPr>
        <w:t xml:space="preserve"> as part of the Consortium ESWI on behalf of the European Commission, DG Environment, Final Report, 13 April 2011. </w:t>
      </w:r>
    </w:p>
    <w:p w:rsidR="009E3021" w:rsidRPr="00E85CD3" w:rsidRDefault="009E3021" w:rsidP="00351392">
      <w:pPr>
        <w:spacing w:after="120"/>
        <w:rPr>
          <w:sz w:val="20"/>
        </w:rPr>
      </w:pPr>
      <w:proofErr w:type="spellStart"/>
      <w:r w:rsidRPr="00E85CD3">
        <w:rPr>
          <w:sz w:val="20"/>
        </w:rPr>
        <w:t>Falandysz</w:t>
      </w:r>
      <w:proofErr w:type="spellEnd"/>
      <w:r w:rsidRPr="00E85CD3">
        <w:rPr>
          <w:sz w:val="20"/>
        </w:rPr>
        <w:t xml:space="preserve"> et al., 2008</w:t>
      </w:r>
      <w:r w:rsidRPr="00E85CD3">
        <w:rPr>
          <w:sz w:val="20"/>
        </w:rPr>
        <w:br/>
      </w:r>
      <w:proofErr w:type="spellStart"/>
      <w:r w:rsidRPr="00E85CD3">
        <w:rPr>
          <w:sz w:val="20"/>
        </w:rPr>
        <w:t>Falandysz</w:t>
      </w:r>
      <w:proofErr w:type="spellEnd"/>
      <w:r w:rsidRPr="00E85CD3">
        <w:rPr>
          <w:sz w:val="20"/>
        </w:rPr>
        <w:t xml:space="preserve"> J, </w:t>
      </w:r>
      <w:proofErr w:type="spellStart"/>
      <w:r w:rsidRPr="00E85CD3">
        <w:rPr>
          <w:sz w:val="20"/>
        </w:rPr>
        <w:t>Chudzynski</w:t>
      </w:r>
      <w:proofErr w:type="spellEnd"/>
      <w:r w:rsidRPr="00E85CD3">
        <w:rPr>
          <w:sz w:val="20"/>
        </w:rPr>
        <w:t xml:space="preserve"> K, </w:t>
      </w:r>
      <w:proofErr w:type="spellStart"/>
      <w:r w:rsidRPr="00E85CD3">
        <w:rPr>
          <w:sz w:val="20"/>
        </w:rPr>
        <w:t>Takekuma</w:t>
      </w:r>
      <w:proofErr w:type="spellEnd"/>
      <w:r w:rsidRPr="00E85CD3">
        <w:rPr>
          <w:sz w:val="20"/>
        </w:rPr>
        <w:t xml:space="preserve"> M, Yamamoto T, </w:t>
      </w:r>
      <w:proofErr w:type="spellStart"/>
      <w:r w:rsidRPr="00E85CD3">
        <w:rPr>
          <w:sz w:val="20"/>
        </w:rPr>
        <w:t>Noma</w:t>
      </w:r>
      <w:proofErr w:type="spellEnd"/>
      <w:r w:rsidRPr="00E85CD3">
        <w:rPr>
          <w:sz w:val="20"/>
        </w:rPr>
        <w:t xml:space="preserve"> Y, </w:t>
      </w:r>
      <w:proofErr w:type="spellStart"/>
      <w:r w:rsidRPr="00E85CD3">
        <w:rPr>
          <w:sz w:val="20"/>
        </w:rPr>
        <w:t>Hanari</w:t>
      </w:r>
      <w:proofErr w:type="spellEnd"/>
      <w:r w:rsidRPr="00E85CD3">
        <w:rPr>
          <w:sz w:val="20"/>
        </w:rPr>
        <w:t xml:space="preserve"> N, Yamashita N (2008) Multivariate analysis of identity of imported technical CN formulation. J. </w:t>
      </w:r>
      <w:proofErr w:type="spellStart"/>
      <w:r w:rsidRPr="00E85CD3">
        <w:rPr>
          <w:sz w:val="20"/>
        </w:rPr>
        <w:t>Environm</w:t>
      </w:r>
      <w:proofErr w:type="spellEnd"/>
      <w:r w:rsidRPr="00E85CD3">
        <w:rPr>
          <w:sz w:val="20"/>
        </w:rPr>
        <w:t>. Sci. Health Part A, 43:1381–1390</w:t>
      </w:r>
    </w:p>
    <w:p w:rsidR="009E3021" w:rsidRPr="00E15BA4" w:rsidRDefault="009E3021" w:rsidP="00351392">
      <w:pPr>
        <w:spacing w:after="120"/>
        <w:rPr>
          <w:sz w:val="20"/>
          <w:lang w:val="fr-CH"/>
        </w:rPr>
      </w:pPr>
      <w:proofErr w:type="spellStart"/>
      <w:r w:rsidRPr="00E85CD3">
        <w:rPr>
          <w:sz w:val="20"/>
        </w:rPr>
        <w:t>Falandysz</w:t>
      </w:r>
      <w:proofErr w:type="spellEnd"/>
      <w:r w:rsidRPr="00E85CD3">
        <w:rPr>
          <w:sz w:val="20"/>
        </w:rPr>
        <w:t>, 1998</w:t>
      </w:r>
      <w:r w:rsidRPr="00E85CD3">
        <w:rPr>
          <w:sz w:val="20"/>
        </w:rPr>
        <w:br/>
      </w:r>
      <w:proofErr w:type="spellStart"/>
      <w:r w:rsidRPr="00E85CD3">
        <w:rPr>
          <w:sz w:val="20"/>
        </w:rPr>
        <w:t>Falandysz</w:t>
      </w:r>
      <w:proofErr w:type="spellEnd"/>
      <w:r w:rsidRPr="00E85CD3">
        <w:rPr>
          <w:sz w:val="20"/>
        </w:rPr>
        <w:t xml:space="preserve"> J (1998) Polychlorinated </w:t>
      </w:r>
      <w:proofErr w:type="spellStart"/>
      <w:r w:rsidRPr="00E85CD3">
        <w:rPr>
          <w:sz w:val="20"/>
        </w:rPr>
        <w:t>naphthalenes</w:t>
      </w:r>
      <w:proofErr w:type="spellEnd"/>
      <w:r w:rsidRPr="00E85CD3">
        <w:rPr>
          <w:sz w:val="20"/>
        </w:rPr>
        <w:t xml:space="preserve">: an environmental update. </w:t>
      </w:r>
      <w:r w:rsidRPr="00E15BA4">
        <w:rPr>
          <w:sz w:val="20"/>
          <w:lang w:val="fr-CH"/>
        </w:rPr>
        <w:t>Environ Pollut 101:77–90</w:t>
      </w:r>
    </w:p>
    <w:p w:rsidR="00365A57" w:rsidRDefault="00350273" w:rsidP="00365A57">
      <w:pPr>
        <w:spacing w:after="120"/>
        <w:rPr>
          <w:sz w:val="20"/>
        </w:rPr>
      </w:pPr>
      <w:r w:rsidRPr="00E15BA4">
        <w:rPr>
          <w:sz w:val="20"/>
          <w:lang w:val="fr-CH"/>
        </w:rPr>
        <w:t>Gevao et al. 2000</w:t>
      </w:r>
      <w:r w:rsidRPr="00E15BA4">
        <w:rPr>
          <w:sz w:val="20"/>
          <w:lang w:val="fr-CH"/>
        </w:rPr>
        <w:br/>
        <w:t xml:space="preserve">Gevao B, Harner T, Jones KC. 2000. </w:t>
      </w:r>
      <w:r w:rsidR="00365A57" w:rsidRPr="00365A57">
        <w:rPr>
          <w:sz w:val="20"/>
        </w:rPr>
        <w:t xml:space="preserve">Sedimentary record of polychlorinated naphthalene concentrations and deposition fluxes in a dated lake core. Environ </w:t>
      </w:r>
      <w:proofErr w:type="spellStart"/>
      <w:r w:rsidR="00365A57" w:rsidRPr="00365A57">
        <w:rPr>
          <w:sz w:val="20"/>
        </w:rPr>
        <w:t>Sci</w:t>
      </w:r>
      <w:proofErr w:type="spellEnd"/>
      <w:r w:rsidR="00365A57" w:rsidRPr="00365A57">
        <w:rPr>
          <w:sz w:val="20"/>
        </w:rPr>
        <w:t xml:space="preserve"> </w:t>
      </w:r>
      <w:proofErr w:type="spellStart"/>
      <w:r w:rsidR="00365A57" w:rsidRPr="00365A57">
        <w:rPr>
          <w:sz w:val="20"/>
        </w:rPr>
        <w:t>Technol</w:t>
      </w:r>
      <w:proofErr w:type="spellEnd"/>
      <w:r w:rsidR="00365A57" w:rsidRPr="00365A57">
        <w:rPr>
          <w:sz w:val="20"/>
        </w:rPr>
        <w:t xml:space="preserve"> 34:33–38.</w:t>
      </w:r>
    </w:p>
    <w:p w:rsidR="00365A57" w:rsidRDefault="00365A57" w:rsidP="00365A57">
      <w:pPr>
        <w:spacing w:after="120"/>
        <w:rPr>
          <w:sz w:val="20"/>
          <w:lang w:val="fr-FR"/>
        </w:rPr>
      </w:pPr>
      <w:proofErr w:type="spellStart"/>
      <w:r>
        <w:rPr>
          <w:sz w:val="20"/>
        </w:rPr>
        <w:t>Gewurtz</w:t>
      </w:r>
      <w:proofErr w:type="spellEnd"/>
      <w:r>
        <w:rPr>
          <w:sz w:val="20"/>
        </w:rPr>
        <w:t xml:space="preserve"> et al. 2009</w:t>
      </w:r>
      <w:r>
        <w:rPr>
          <w:sz w:val="20"/>
        </w:rPr>
        <w:br/>
      </w:r>
      <w:r w:rsidRPr="00E15BA4">
        <w:rPr>
          <w:sz w:val="20"/>
        </w:rPr>
        <w:t xml:space="preserve">Gewurtz, S.B., Lega, R., Crozier, P.W., Whittle, D.M., Fayez, L., Reiner, E.J., et al., 2009. </w:t>
      </w:r>
      <w:r w:rsidRPr="00365A57">
        <w:rPr>
          <w:sz w:val="20"/>
        </w:rPr>
        <w:t xml:space="preserve">Factors influencing trends of </w:t>
      </w:r>
      <w:r w:rsidRPr="00365A57">
        <w:rPr>
          <w:sz w:val="20"/>
        </w:rPr>
        <w:lastRenderedPageBreak/>
        <w:t>polychlorinated naphthalene and other dioxin-like compounds in lake trout (</w:t>
      </w:r>
      <w:proofErr w:type="spellStart"/>
      <w:r w:rsidRPr="00365A57">
        <w:rPr>
          <w:sz w:val="20"/>
        </w:rPr>
        <w:t>Salvelinus</w:t>
      </w:r>
      <w:proofErr w:type="spellEnd"/>
      <w:r w:rsidRPr="00365A57">
        <w:rPr>
          <w:sz w:val="20"/>
        </w:rPr>
        <w:t xml:space="preserve"> </w:t>
      </w:r>
      <w:proofErr w:type="spellStart"/>
      <w:r w:rsidRPr="00365A57">
        <w:rPr>
          <w:sz w:val="20"/>
        </w:rPr>
        <w:t>namaycush</w:t>
      </w:r>
      <w:proofErr w:type="spellEnd"/>
      <w:r w:rsidRPr="00365A57">
        <w:rPr>
          <w:sz w:val="20"/>
        </w:rPr>
        <w:t xml:space="preserve">) from Lake Ontario, North America, lake trout (1979–2004). </w:t>
      </w:r>
      <w:r w:rsidRPr="00365A57">
        <w:rPr>
          <w:sz w:val="20"/>
          <w:lang w:val="fr-FR"/>
        </w:rPr>
        <w:t xml:space="preserve">Environ. </w:t>
      </w:r>
      <w:proofErr w:type="spellStart"/>
      <w:r w:rsidRPr="00365A57">
        <w:rPr>
          <w:sz w:val="20"/>
          <w:lang w:val="fr-FR"/>
        </w:rPr>
        <w:t>Toxicol</w:t>
      </w:r>
      <w:proofErr w:type="spellEnd"/>
      <w:r w:rsidRPr="00365A57">
        <w:rPr>
          <w:sz w:val="20"/>
          <w:lang w:val="fr-FR"/>
        </w:rPr>
        <w:t xml:space="preserve">. </w:t>
      </w:r>
      <w:proofErr w:type="spellStart"/>
      <w:r w:rsidRPr="00365A57">
        <w:rPr>
          <w:sz w:val="20"/>
          <w:lang w:val="fr-FR"/>
        </w:rPr>
        <w:t>Chem</w:t>
      </w:r>
      <w:proofErr w:type="spellEnd"/>
      <w:r w:rsidRPr="00365A57">
        <w:rPr>
          <w:sz w:val="20"/>
          <w:lang w:val="fr-FR"/>
        </w:rPr>
        <w:t>. 28, 921–930.</w:t>
      </w:r>
    </w:p>
    <w:p w:rsidR="008508A3" w:rsidRDefault="008508A3" w:rsidP="00365A57">
      <w:pPr>
        <w:spacing w:after="120"/>
        <w:rPr>
          <w:sz w:val="20"/>
        </w:rPr>
      </w:pPr>
      <w:proofErr w:type="gramStart"/>
      <w:r>
        <w:rPr>
          <w:sz w:val="20"/>
        </w:rPr>
        <w:t>Hayward 1998</w:t>
      </w:r>
      <w:r>
        <w:rPr>
          <w:sz w:val="20"/>
        </w:rPr>
        <w:br/>
      </w:r>
      <w:r w:rsidRPr="00E15BA4">
        <w:rPr>
          <w:sz w:val="20"/>
        </w:rPr>
        <w:t>Hayward D (1998) Identification of bioaccumulating polychlorinated naphthalenes and their toxicological significance.</w:t>
      </w:r>
      <w:proofErr w:type="gramEnd"/>
      <w:r w:rsidRPr="00E15BA4">
        <w:rPr>
          <w:sz w:val="20"/>
        </w:rPr>
        <w:t xml:space="preserve"> Environmental research, 76(1):1–18.</w:t>
      </w:r>
    </w:p>
    <w:p w:rsidR="009E3021" w:rsidRPr="00E85CD3" w:rsidRDefault="009E3021" w:rsidP="00365A57">
      <w:pPr>
        <w:spacing w:after="120"/>
        <w:rPr>
          <w:sz w:val="20"/>
        </w:rPr>
      </w:pPr>
      <w:r w:rsidRPr="00E85CD3">
        <w:rPr>
          <w:sz w:val="20"/>
        </w:rPr>
        <w:t>HSDB 2012</w:t>
      </w:r>
      <w:r w:rsidRPr="00E85CD3">
        <w:rPr>
          <w:sz w:val="20"/>
        </w:rPr>
        <w:br/>
        <w:t xml:space="preserve">HSDB (2012) U.S. National Library of Medicine: Hazardous Substance Database http://toxnet.nlm.nih.gov/cgi-bin/sis/htmlgen?HSDB </w:t>
      </w:r>
    </w:p>
    <w:p w:rsidR="009E3021" w:rsidRPr="00E85CD3" w:rsidRDefault="009E3021" w:rsidP="00351392">
      <w:pPr>
        <w:spacing w:after="120"/>
        <w:rPr>
          <w:sz w:val="20"/>
        </w:rPr>
      </w:pPr>
      <w:r w:rsidRPr="00E85CD3">
        <w:rPr>
          <w:sz w:val="20"/>
        </w:rPr>
        <w:t>IPCS 2001</w:t>
      </w:r>
      <w:r w:rsidRPr="00E85CD3">
        <w:rPr>
          <w:sz w:val="20"/>
        </w:rPr>
        <w:br/>
        <w:t xml:space="preserve">IPCS (2001) Concise International Chemical Assessment Document 34 CHLORINATED NAPHTHALENES. </w:t>
      </w:r>
      <w:proofErr w:type="gramStart"/>
      <w:r w:rsidRPr="00E85CD3">
        <w:rPr>
          <w:sz w:val="20"/>
        </w:rPr>
        <w:t>World Health Organization.</w:t>
      </w:r>
      <w:proofErr w:type="gramEnd"/>
      <w:r w:rsidRPr="00E85CD3">
        <w:rPr>
          <w:sz w:val="20"/>
        </w:rPr>
        <w:t xml:space="preserve"> </w:t>
      </w:r>
      <w:proofErr w:type="gramStart"/>
      <w:r w:rsidRPr="00E85CD3">
        <w:rPr>
          <w:sz w:val="20"/>
        </w:rPr>
        <w:t>Geneva, 2001.</w:t>
      </w:r>
      <w:proofErr w:type="gramEnd"/>
      <w:r w:rsidRPr="00E85CD3">
        <w:rPr>
          <w:sz w:val="20"/>
        </w:rPr>
        <w:t xml:space="preserve"> ISBN 92-4-153034-0</w:t>
      </w:r>
    </w:p>
    <w:p w:rsidR="009E3021" w:rsidRPr="00E85CD3" w:rsidRDefault="009E3021" w:rsidP="00351392">
      <w:pPr>
        <w:spacing w:after="120"/>
        <w:rPr>
          <w:sz w:val="20"/>
        </w:rPr>
      </w:pPr>
      <w:proofErr w:type="spellStart"/>
      <w:proofErr w:type="gramStart"/>
      <w:r w:rsidRPr="00E85CD3">
        <w:rPr>
          <w:sz w:val="20"/>
          <w:lang w:val="en-US"/>
        </w:rPr>
        <w:t>Jakobsson</w:t>
      </w:r>
      <w:proofErr w:type="spellEnd"/>
      <w:r w:rsidRPr="00E85CD3">
        <w:rPr>
          <w:sz w:val="20"/>
          <w:lang w:val="en-US"/>
        </w:rPr>
        <w:t xml:space="preserve"> and </w:t>
      </w:r>
      <w:proofErr w:type="spellStart"/>
      <w:r w:rsidRPr="00E85CD3">
        <w:rPr>
          <w:sz w:val="20"/>
          <w:lang w:val="en-US"/>
        </w:rPr>
        <w:t>Asplund</w:t>
      </w:r>
      <w:proofErr w:type="spellEnd"/>
      <w:r w:rsidRPr="00E85CD3">
        <w:rPr>
          <w:sz w:val="20"/>
          <w:lang w:val="en-US"/>
        </w:rPr>
        <w:t>, 2000</w:t>
      </w:r>
      <w:r w:rsidRPr="00E85CD3">
        <w:rPr>
          <w:sz w:val="20"/>
          <w:lang w:val="en-US"/>
        </w:rPr>
        <w:br/>
      </w:r>
      <w:proofErr w:type="spellStart"/>
      <w:r w:rsidRPr="00E85CD3">
        <w:rPr>
          <w:sz w:val="20"/>
          <w:lang w:val="en-US"/>
        </w:rPr>
        <w:t>Jakobsson</w:t>
      </w:r>
      <w:proofErr w:type="spellEnd"/>
      <w:r w:rsidRPr="00E85CD3">
        <w:rPr>
          <w:sz w:val="20"/>
          <w:lang w:val="en-US"/>
        </w:rPr>
        <w:t xml:space="preserve"> E, </w:t>
      </w:r>
      <w:proofErr w:type="spellStart"/>
      <w:r w:rsidRPr="00E85CD3">
        <w:rPr>
          <w:sz w:val="20"/>
          <w:lang w:val="en-US"/>
        </w:rPr>
        <w:t>Asplund</w:t>
      </w:r>
      <w:proofErr w:type="spellEnd"/>
      <w:r w:rsidRPr="00E85CD3">
        <w:rPr>
          <w:sz w:val="20"/>
          <w:lang w:val="en-US"/>
        </w:rPr>
        <w:t xml:space="preserve"> L. 2000.</w:t>
      </w:r>
      <w:proofErr w:type="gramEnd"/>
      <w:r w:rsidRPr="00E85CD3">
        <w:rPr>
          <w:sz w:val="20"/>
          <w:lang w:val="en-US"/>
        </w:rPr>
        <w:t xml:space="preserve"> </w:t>
      </w:r>
      <w:proofErr w:type="gramStart"/>
      <w:r w:rsidRPr="00E85CD3">
        <w:rPr>
          <w:sz w:val="20"/>
        </w:rPr>
        <w:t xml:space="preserve">Polychlorinated </w:t>
      </w:r>
      <w:proofErr w:type="spellStart"/>
      <w:r w:rsidRPr="00E85CD3">
        <w:rPr>
          <w:sz w:val="20"/>
        </w:rPr>
        <w:t>Naphthalenes</w:t>
      </w:r>
      <w:proofErr w:type="spellEnd"/>
      <w:r w:rsidRPr="00E85CD3">
        <w:rPr>
          <w:sz w:val="20"/>
        </w:rPr>
        <w:t xml:space="preserve"> (CNs).</w:t>
      </w:r>
      <w:proofErr w:type="gramEnd"/>
      <w:r w:rsidRPr="00E85CD3">
        <w:rPr>
          <w:sz w:val="20"/>
        </w:rPr>
        <w:t xml:space="preserve"> In: J. </w:t>
      </w:r>
      <w:proofErr w:type="spellStart"/>
      <w:r w:rsidRPr="00E85CD3">
        <w:rPr>
          <w:sz w:val="20"/>
        </w:rPr>
        <w:t>Paasivirta</w:t>
      </w:r>
      <w:proofErr w:type="spellEnd"/>
      <w:r w:rsidRPr="00E85CD3">
        <w:rPr>
          <w:sz w:val="20"/>
        </w:rPr>
        <w:t xml:space="preserve">, </w:t>
      </w:r>
      <w:proofErr w:type="gramStart"/>
      <w:r w:rsidRPr="00E85CD3">
        <w:rPr>
          <w:sz w:val="20"/>
        </w:rPr>
        <w:t>ed</w:t>
      </w:r>
      <w:proofErr w:type="gramEnd"/>
      <w:r w:rsidRPr="00E85CD3">
        <w:rPr>
          <w:sz w:val="20"/>
        </w:rPr>
        <w:t xml:space="preserve">. The Handbook of Environmental Chemistry, Vol. 3 Anthropogenic Compounds Part K, New Types of Persistent Halogenated Compounds. </w:t>
      </w:r>
      <w:proofErr w:type="gramStart"/>
      <w:r w:rsidRPr="00E85CD3">
        <w:rPr>
          <w:sz w:val="20"/>
        </w:rPr>
        <w:t>Berlin, Springer-</w:t>
      </w:r>
      <w:proofErr w:type="spellStart"/>
      <w:r w:rsidRPr="00E85CD3">
        <w:rPr>
          <w:sz w:val="20"/>
        </w:rPr>
        <w:t>Verlag</w:t>
      </w:r>
      <w:proofErr w:type="spellEnd"/>
      <w:r w:rsidRPr="00E85CD3">
        <w:rPr>
          <w:sz w:val="20"/>
        </w:rPr>
        <w:t>.</w:t>
      </w:r>
      <w:proofErr w:type="gramEnd"/>
    </w:p>
    <w:p w:rsidR="009E3021" w:rsidRDefault="009E3021" w:rsidP="00351392">
      <w:pPr>
        <w:spacing w:after="120"/>
        <w:rPr>
          <w:sz w:val="20"/>
        </w:rPr>
      </w:pPr>
      <w:proofErr w:type="spellStart"/>
      <w:r w:rsidRPr="00E85CD3">
        <w:rPr>
          <w:sz w:val="20"/>
        </w:rPr>
        <w:t>Kannan</w:t>
      </w:r>
      <w:proofErr w:type="spellEnd"/>
      <w:r w:rsidRPr="00E85CD3">
        <w:rPr>
          <w:sz w:val="20"/>
        </w:rPr>
        <w:t xml:space="preserve"> et al., </w:t>
      </w:r>
      <w:r>
        <w:rPr>
          <w:sz w:val="20"/>
        </w:rPr>
        <w:t>1998</w:t>
      </w:r>
      <w:r w:rsidRPr="00E85CD3">
        <w:rPr>
          <w:sz w:val="20"/>
        </w:rPr>
        <w:br/>
      </w:r>
      <w:proofErr w:type="spellStart"/>
      <w:r w:rsidR="00350273" w:rsidRPr="00350273">
        <w:rPr>
          <w:sz w:val="20"/>
        </w:rPr>
        <w:t>Kannan</w:t>
      </w:r>
      <w:proofErr w:type="spellEnd"/>
      <w:r w:rsidR="00350273" w:rsidRPr="00350273">
        <w:rPr>
          <w:sz w:val="20"/>
        </w:rPr>
        <w:t xml:space="preserve"> K, </w:t>
      </w:r>
      <w:proofErr w:type="spellStart"/>
      <w:r w:rsidR="00350273" w:rsidRPr="00350273">
        <w:rPr>
          <w:sz w:val="20"/>
        </w:rPr>
        <w:t>Imagawa</w:t>
      </w:r>
      <w:proofErr w:type="spellEnd"/>
      <w:r w:rsidR="00350273" w:rsidRPr="00350273">
        <w:rPr>
          <w:sz w:val="20"/>
        </w:rPr>
        <w:t xml:space="preserve"> T, Blankenship AL, </w:t>
      </w:r>
      <w:proofErr w:type="spellStart"/>
      <w:r w:rsidR="00350273" w:rsidRPr="00350273">
        <w:rPr>
          <w:sz w:val="20"/>
        </w:rPr>
        <w:t>Giesy</w:t>
      </w:r>
      <w:proofErr w:type="spellEnd"/>
      <w:r w:rsidR="00350273" w:rsidRPr="00350273">
        <w:rPr>
          <w:sz w:val="20"/>
        </w:rPr>
        <w:t xml:space="preserve"> JP (1998) Isomer-specific analysis and toxic evaluation of polychlorinated </w:t>
      </w:r>
      <w:proofErr w:type="spellStart"/>
      <w:r w:rsidR="00350273" w:rsidRPr="00350273">
        <w:rPr>
          <w:sz w:val="20"/>
        </w:rPr>
        <w:t>naphthalenes</w:t>
      </w:r>
      <w:proofErr w:type="spellEnd"/>
      <w:r w:rsidR="00350273" w:rsidRPr="00350273">
        <w:rPr>
          <w:sz w:val="20"/>
        </w:rPr>
        <w:t xml:space="preserve"> in soil, sediment and biota collected near the site of a former </w:t>
      </w:r>
      <w:proofErr w:type="spellStart"/>
      <w:r w:rsidR="00350273" w:rsidRPr="00350273">
        <w:rPr>
          <w:sz w:val="20"/>
        </w:rPr>
        <w:t>chloralkali</w:t>
      </w:r>
      <w:proofErr w:type="spellEnd"/>
      <w:r w:rsidR="00350273" w:rsidRPr="00350273">
        <w:rPr>
          <w:sz w:val="20"/>
        </w:rPr>
        <w:t xml:space="preserve"> plant. Environ. Sci. Technol. 32: 2507-2514.</w:t>
      </w:r>
    </w:p>
    <w:p w:rsidR="009E3021" w:rsidRPr="00E85CD3" w:rsidRDefault="009E3021" w:rsidP="00351392">
      <w:pPr>
        <w:spacing w:after="120"/>
        <w:rPr>
          <w:sz w:val="20"/>
        </w:rPr>
      </w:pPr>
      <w:proofErr w:type="spellStart"/>
      <w:r w:rsidRPr="00E85CD3">
        <w:rPr>
          <w:sz w:val="20"/>
        </w:rPr>
        <w:t>Kannan</w:t>
      </w:r>
      <w:proofErr w:type="spellEnd"/>
      <w:r w:rsidRPr="00E85CD3">
        <w:rPr>
          <w:sz w:val="20"/>
        </w:rPr>
        <w:t xml:space="preserve"> et al., 2000</w:t>
      </w:r>
      <w:r w:rsidRPr="00E85CD3">
        <w:rPr>
          <w:sz w:val="20"/>
        </w:rPr>
        <w:br/>
      </w:r>
      <w:proofErr w:type="spellStart"/>
      <w:r w:rsidRPr="00E85CD3">
        <w:rPr>
          <w:sz w:val="20"/>
        </w:rPr>
        <w:t>Kannan</w:t>
      </w:r>
      <w:proofErr w:type="spellEnd"/>
      <w:r w:rsidRPr="00E85CD3">
        <w:rPr>
          <w:sz w:val="20"/>
        </w:rPr>
        <w:t xml:space="preserve"> K, Yamashita N, </w:t>
      </w:r>
      <w:proofErr w:type="spellStart"/>
      <w:r w:rsidRPr="00E85CD3">
        <w:rPr>
          <w:sz w:val="20"/>
        </w:rPr>
        <w:t>Imagawa</w:t>
      </w:r>
      <w:proofErr w:type="spellEnd"/>
      <w:r w:rsidRPr="00E85CD3">
        <w:rPr>
          <w:sz w:val="20"/>
        </w:rPr>
        <w:t xml:space="preserve"> T, </w:t>
      </w:r>
      <w:proofErr w:type="spellStart"/>
      <w:r w:rsidRPr="00E85CD3">
        <w:rPr>
          <w:sz w:val="20"/>
        </w:rPr>
        <w:t>Decoen</w:t>
      </w:r>
      <w:proofErr w:type="spellEnd"/>
      <w:r w:rsidRPr="00E85CD3">
        <w:rPr>
          <w:sz w:val="20"/>
        </w:rPr>
        <w:t xml:space="preserve"> W, </w:t>
      </w:r>
      <w:proofErr w:type="spellStart"/>
      <w:r w:rsidRPr="00E85CD3">
        <w:rPr>
          <w:sz w:val="20"/>
        </w:rPr>
        <w:t>Khim</w:t>
      </w:r>
      <w:proofErr w:type="spellEnd"/>
      <w:r w:rsidRPr="00E85CD3">
        <w:rPr>
          <w:sz w:val="20"/>
        </w:rPr>
        <w:t xml:space="preserve">, J S, Day R M, Summer C L, </w:t>
      </w:r>
      <w:proofErr w:type="spellStart"/>
      <w:r w:rsidRPr="00E85CD3">
        <w:rPr>
          <w:sz w:val="20"/>
        </w:rPr>
        <w:t>Giesy</w:t>
      </w:r>
      <w:proofErr w:type="spellEnd"/>
      <w:r w:rsidRPr="00E85CD3">
        <w:rPr>
          <w:sz w:val="20"/>
        </w:rPr>
        <w:t xml:space="preserve"> J P (2000) Polychlorinated </w:t>
      </w:r>
      <w:proofErr w:type="spellStart"/>
      <w:r w:rsidRPr="00E85CD3">
        <w:rPr>
          <w:sz w:val="20"/>
        </w:rPr>
        <w:t>naphthalenes</w:t>
      </w:r>
      <w:proofErr w:type="spellEnd"/>
      <w:r w:rsidRPr="00E85CD3">
        <w:rPr>
          <w:sz w:val="20"/>
        </w:rPr>
        <w:t xml:space="preserve"> and polychlorinated biphenyls in fishes from Michigan waters including the Great Lakes. </w:t>
      </w:r>
      <w:proofErr w:type="spellStart"/>
      <w:proofErr w:type="gramStart"/>
      <w:r w:rsidRPr="00E85CD3">
        <w:rPr>
          <w:sz w:val="20"/>
        </w:rPr>
        <w:t>Env</w:t>
      </w:r>
      <w:proofErr w:type="spellEnd"/>
      <w:r w:rsidRPr="00E85CD3">
        <w:rPr>
          <w:sz w:val="20"/>
        </w:rPr>
        <w:t>.</w:t>
      </w:r>
      <w:proofErr w:type="gramEnd"/>
      <w:r w:rsidRPr="00E85CD3">
        <w:rPr>
          <w:sz w:val="20"/>
        </w:rPr>
        <w:t xml:space="preserve"> Sci. technol. 34:566–572</w:t>
      </w:r>
    </w:p>
    <w:p w:rsidR="009E3021" w:rsidRPr="00E85CD3" w:rsidRDefault="009E3021" w:rsidP="00351392">
      <w:pPr>
        <w:spacing w:after="120"/>
        <w:rPr>
          <w:sz w:val="20"/>
        </w:rPr>
      </w:pPr>
      <w:proofErr w:type="spellStart"/>
      <w:proofErr w:type="gramStart"/>
      <w:r w:rsidRPr="00E85CD3">
        <w:rPr>
          <w:sz w:val="20"/>
        </w:rPr>
        <w:t>Kucklick</w:t>
      </w:r>
      <w:proofErr w:type="spellEnd"/>
      <w:r w:rsidRPr="00E85CD3">
        <w:rPr>
          <w:sz w:val="20"/>
        </w:rPr>
        <w:t xml:space="preserve"> and Helm, 2006</w:t>
      </w:r>
      <w:r w:rsidRPr="00E85CD3">
        <w:rPr>
          <w:sz w:val="20"/>
        </w:rPr>
        <w:br/>
      </w:r>
      <w:proofErr w:type="spellStart"/>
      <w:r w:rsidRPr="00E85CD3">
        <w:rPr>
          <w:sz w:val="20"/>
        </w:rPr>
        <w:t>Kucklick</w:t>
      </w:r>
      <w:proofErr w:type="spellEnd"/>
      <w:r w:rsidRPr="00E85CD3">
        <w:rPr>
          <w:sz w:val="20"/>
        </w:rPr>
        <w:t xml:space="preserve"> J R, Helm P A (2006) Advances in the environmental analysis of polychlorinated </w:t>
      </w:r>
      <w:proofErr w:type="spellStart"/>
      <w:r w:rsidRPr="00E85CD3">
        <w:rPr>
          <w:sz w:val="20"/>
        </w:rPr>
        <w:t>naphthalenes</w:t>
      </w:r>
      <w:proofErr w:type="spellEnd"/>
      <w:r w:rsidRPr="00E85CD3">
        <w:rPr>
          <w:sz w:val="20"/>
        </w:rPr>
        <w:t xml:space="preserve"> and </w:t>
      </w:r>
      <w:proofErr w:type="spellStart"/>
      <w:r w:rsidRPr="00E85CD3">
        <w:rPr>
          <w:sz w:val="20"/>
        </w:rPr>
        <w:t>toxaphene</w:t>
      </w:r>
      <w:proofErr w:type="spellEnd"/>
      <w:r w:rsidRPr="00E85CD3">
        <w:rPr>
          <w:sz w:val="20"/>
        </w:rPr>
        <w:t>.</w:t>
      </w:r>
      <w:proofErr w:type="gramEnd"/>
      <w:r w:rsidRPr="00E85CD3">
        <w:rPr>
          <w:sz w:val="20"/>
        </w:rPr>
        <w:t xml:space="preserve"> Anal </w:t>
      </w:r>
      <w:proofErr w:type="spellStart"/>
      <w:r w:rsidRPr="00E85CD3">
        <w:rPr>
          <w:sz w:val="20"/>
        </w:rPr>
        <w:t>Bioanal</w:t>
      </w:r>
      <w:proofErr w:type="spellEnd"/>
      <w:r w:rsidRPr="00E85CD3">
        <w:rPr>
          <w:sz w:val="20"/>
        </w:rPr>
        <w:t xml:space="preserve"> Chem. 2006 Oct</w:t>
      </w:r>
      <w:proofErr w:type="gramStart"/>
      <w:r w:rsidRPr="00E85CD3">
        <w:rPr>
          <w:sz w:val="20"/>
        </w:rPr>
        <w:t>;386</w:t>
      </w:r>
      <w:proofErr w:type="gramEnd"/>
      <w:r w:rsidRPr="00E85CD3">
        <w:rPr>
          <w:sz w:val="20"/>
        </w:rPr>
        <w:t xml:space="preserve">(4):819–36. </w:t>
      </w:r>
    </w:p>
    <w:p w:rsidR="009E3021" w:rsidRPr="00E85CD3" w:rsidRDefault="009E3021" w:rsidP="00351392">
      <w:pPr>
        <w:spacing w:after="120"/>
        <w:rPr>
          <w:sz w:val="20"/>
        </w:rPr>
      </w:pPr>
      <w:proofErr w:type="gramStart"/>
      <w:r w:rsidRPr="00E85CD3">
        <w:rPr>
          <w:sz w:val="20"/>
        </w:rPr>
        <w:t>Lei et al., 1999</w:t>
      </w:r>
      <w:r w:rsidRPr="00E85CD3">
        <w:rPr>
          <w:sz w:val="20"/>
        </w:rPr>
        <w:br/>
        <w:t xml:space="preserve">Lei YD, </w:t>
      </w:r>
      <w:proofErr w:type="spellStart"/>
      <w:r w:rsidRPr="00E85CD3">
        <w:rPr>
          <w:sz w:val="20"/>
        </w:rPr>
        <w:t>Wania</w:t>
      </w:r>
      <w:proofErr w:type="spellEnd"/>
      <w:r w:rsidRPr="00E85CD3">
        <w:rPr>
          <w:sz w:val="20"/>
        </w:rPr>
        <w:t xml:space="preserve"> F, </w:t>
      </w:r>
      <w:proofErr w:type="spellStart"/>
      <w:r w:rsidRPr="00E85CD3">
        <w:rPr>
          <w:sz w:val="20"/>
        </w:rPr>
        <w:t>Shiu</w:t>
      </w:r>
      <w:proofErr w:type="spellEnd"/>
      <w:r w:rsidRPr="00E85CD3">
        <w:rPr>
          <w:sz w:val="20"/>
        </w:rPr>
        <w:t xml:space="preserve"> WY.</w:t>
      </w:r>
      <w:proofErr w:type="gramEnd"/>
      <w:r w:rsidRPr="00E85CD3">
        <w:rPr>
          <w:sz w:val="20"/>
        </w:rPr>
        <w:t xml:space="preserve"> (1999) Vapour pressures of the polychlorinated </w:t>
      </w:r>
      <w:proofErr w:type="spellStart"/>
      <w:r w:rsidRPr="00E85CD3">
        <w:rPr>
          <w:sz w:val="20"/>
        </w:rPr>
        <w:t>naphthalenes</w:t>
      </w:r>
      <w:proofErr w:type="spellEnd"/>
      <w:r w:rsidRPr="00E85CD3">
        <w:rPr>
          <w:sz w:val="20"/>
        </w:rPr>
        <w:t xml:space="preserve">. J </w:t>
      </w:r>
      <w:proofErr w:type="spellStart"/>
      <w:r w:rsidRPr="00E85CD3">
        <w:rPr>
          <w:sz w:val="20"/>
        </w:rPr>
        <w:t>Chem</w:t>
      </w:r>
      <w:proofErr w:type="spellEnd"/>
      <w:r w:rsidRPr="00E85CD3">
        <w:rPr>
          <w:sz w:val="20"/>
        </w:rPr>
        <w:t xml:space="preserve"> Eng Data 44:577–582</w:t>
      </w:r>
    </w:p>
    <w:p w:rsidR="009E3021" w:rsidRPr="00E85CD3" w:rsidRDefault="009E3021" w:rsidP="005E645E">
      <w:pPr>
        <w:spacing w:after="120"/>
        <w:rPr>
          <w:sz w:val="20"/>
        </w:rPr>
      </w:pPr>
      <w:r w:rsidRPr="00E85CD3">
        <w:rPr>
          <w:sz w:val="20"/>
        </w:rPr>
        <w:t>Liu et al., 2010</w:t>
      </w:r>
      <w:r w:rsidRPr="00E85CD3">
        <w:rPr>
          <w:sz w:val="20"/>
        </w:rPr>
        <w:br/>
        <w:t xml:space="preserve">Liu G, </w:t>
      </w:r>
      <w:proofErr w:type="spellStart"/>
      <w:r w:rsidRPr="00E85CD3">
        <w:rPr>
          <w:sz w:val="20"/>
        </w:rPr>
        <w:t>Zheng</w:t>
      </w:r>
      <w:proofErr w:type="spellEnd"/>
      <w:r w:rsidRPr="00E85CD3">
        <w:rPr>
          <w:sz w:val="20"/>
        </w:rPr>
        <w:t xml:space="preserve"> M, </w:t>
      </w:r>
      <w:proofErr w:type="spellStart"/>
      <w:r w:rsidRPr="00E85CD3">
        <w:rPr>
          <w:sz w:val="20"/>
        </w:rPr>
        <w:t>Lv</w:t>
      </w:r>
      <w:proofErr w:type="spellEnd"/>
      <w:r w:rsidRPr="00E85CD3">
        <w:rPr>
          <w:sz w:val="20"/>
        </w:rPr>
        <w:t xml:space="preserve"> P, Liu W, Wang C, Zhang B, Xiao K (2010) Estimation and characterisation of polychlorinated naphthalene emission from coking industries. Environ. Sci. Technol. 44:8156–8161</w:t>
      </w:r>
    </w:p>
    <w:p w:rsidR="009E3021" w:rsidRPr="00E85CD3" w:rsidRDefault="005E645E" w:rsidP="005E645E">
      <w:pPr>
        <w:spacing w:after="120"/>
        <w:rPr>
          <w:sz w:val="20"/>
        </w:rPr>
      </w:pPr>
      <w:r>
        <w:rPr>
          <w:sz w:val="20"/>
        </w:rPr>
        <w:t>Meijer et al. 2001</w:t>
      </w:r>
      <w:r>
        <w:rPr>
          <w:sz w:val="20"/>
        </w:rPr>
        <w:br/>
      </w:r>
      <w:r w:rsidRPr="005E645E">
        <w:rPr>
          <w:sz w:val="20"/>
        </w:rPr>
        <w:t xml:space="preserve">Meijer SN, </w:t>
      </w:r>
      <w:proofErr w:type="spellStart"/>
      <w:r w:rsidRPr="005E645E">
        <w:rPr>
          <w:sz w:val="20"/>
        </w:rPr>
        <w:t>Harner</w:t>
      </w:r>
      <w:proofErr w:type="spellEnd"/>
      <w:r w:rsidRPr="005E645E">
        <w:rPr>
          <w:sz w:val="20"/>
        </w:rPr>
        <w:t xml:space="preserve"> T, Helm PA, </w:t>
      </w:r>
      <w:proofErr w:type="spellStart"/>
      <w:r w:rsidRPr="005E645E">
        <w:rPr>
          <w:sz w:val="20"/>
        </w:rPr>
        <w:t>Halsall</w:t>
      </w:r>
      <w:proofErr w:type="spellEnd"/>
      <w:r w:rsidRPr="005E645E">
        <w:rPr>
          <w:sz w:val="20"/>
        </w:rPr>
        <w:t xml:space="preserve"> C J, Johnston AE, Jones KC (2001) Polychlorinated </w:t>
      </w:r>
      <w:proofErr w:type="spellStart"/>
      <w:r w:rsidRPr="005E645E">
        <w:rPr>
          <w:sz w:val="20"/>
        </w:rPr>
        <w:t>naphthalenes</w:t>
      </w:r>
      <w:proofErr w:type="spellEnd"/>
      <w:r w:rsidRPr="005E645E">
        <w:rPr>
          <w:sz w:val="20"/>
        </w:rPr>
        <w:t xml:space="preserve"> in </w:t>
      </w:r>
      <w:smartTag w:uri="urn:schemas-microsoft-com:office:smarttags" w:element="place">
        <w:smartTag w:uri="urn:schemas-microsoft-com:office:smarttags" w:element="country-region">
          <w:r w:rsidRPr="005E645E">
            <w:rPr>
              <w:sz w:val="20"/>
            </w:rPr>
            <w:t>U.K.</w:t>
          </w:r>
        </w:smartTag>
      </w:smartTag>
      <w:r w:rsidRPr="005E645E">
        <w:rPr>
          <w:sz w:val="20"/>
        </w:rPr>
        <w:t xml:space="preserve"> soils: time trends, markers of source, and equilibrium status. Environ. Sci. Technol. 35(21):4205–4213</w:t>
      </w:r>
      <w:r>
        <w:rPr>
          <w:sz w:val="20"/>
        </w:rPr>
        <w:br/>
      </w:r>
      <w:r w:rsidR="009E3021" w:rsidRPr="00E85CD3">
        <w:rPr>
          <w:sz w:val="20"/>
        </w:rPr>
        <w:t>NICNAS 2002</w:t>
      </w:r>
      <w:r w:rsidR="009E3021" w:rsidRPr="00E85CD3">
        <w:rPr>
          <w:sz w:val="20"/>
        </w:rPr>
        <w:br/>
        <w:t xml:space="preserve">NICNAS (National Industrial Chemicals Notification and Assessment Scheme) (2002) Polychlorinated </w:t>
      </w:r>
      <w:proofErr w:type="spellStart"/>
      <w:r w:rsidR="009E3021" w:rsidRPr="00E85CD3">
        <w:rPr>
          <w:sz w:val="20"/>
        </w:rPr>
        <w:t>Naphthalenes</w:t>
      </w:r>
      <w:proofErr w:type="spellEnd"/>
      <w:r w:rsidR="009E3021" w:rsidRPr="00E85CD3">
        <w:rPr>
          <w:sz w:val="20"/>
        </w:rPr>
        <w:t xml:space="preserve">. </w:t>
      </w:r>
      <w:proofErr w:type="gramStart"/>
      <w:r w:rsidR="009E3021" w:rsidRPr="00E85CD3">
        <w:rPr>
          <w:sz w:val="20"/>
        </w:rPr>
        <w:t>GPO Box 58, Sydney NSW 2001, Australia.</w:t>
      </w:r>
      <w:proofErr w:type="gramEnd"/>
      <w:r w:rsidR="009E3021" w:rsidRPr="00E85CD3">
        <w:rPr>
          <w:sz w:val="20"/>
        </w:rPr>
        <w:t xml:space="preserve"> </w:t>
      </w:r>
    </w:p>
    <w:p w:rsidR="009E3021" w:rsidRPr="00E85CD3" w:rsidRDefault="009E3021" w:rsidP="00351392">
      <w:pPr>
        <w:spacing w:after="120"/>
        <w:rPr>
          <w:sz w:val="20"/>
        </w:rPr>
      </w:pPr>
      <w:proofErr w:type="spellStart"/>
      <w:r w:rsidRPr="00E85CD3">
        <w:rPr>
          <w:sz w:val="20"/>
        </w:rPr>
        <w:t>Opperhuizen</w:t>
      </w:r>
      <w:proofErr w:type="spellEnd"/>
      <w:r w:rsidRPr="00E85CD3">
        <w:rPr>
          <w:sz w:val="20"/>
        </w:rPr>
        <w:t xml:space="preserve"> et al., 1985</w:t>
      </w:r>
      <w:r w:rsidRPr="00E85CD3">
        <w:rPr>
          <w:sz w:val="20"/>
        </w:rPr>
        <w:br/>
      </w:r>
      <w:proofErr w:type="spellStart"/>
      <w:r w:rsidRPr="00E85CD3">
        <w:rPr>
          <w:sz w:val="20"/>
        </w:rPr>
        <w:t>Opperhuizen</w:t>
      </w:r>
      <w:proofErr w:type="spellEnd"/>
      <w:r w:rsidRPr="00E85CD3">
        <w:rPr>
          <w:sz w:val="20"/>
        </w:rPr>
        <w:t xml:space="preserve"> A, Van </w:t>
      </w:r>
      <w:proofErr w:type="spellStart"/>
      <w:r w:rsidRPr="00E85CD3">
        <w:rPr>
          <w:sz w:val="20"/>
        </w:rPr>
        <w:t>der</w:t>
      </w:r>
      <w:proofErr w:type="spellEnd"/>
      <w:r w:rsidRPr="00E85CD3">
        <w:rPr>
          <w:sz w:val="20"/>
        </w:rPr>
        <w:t xml:space="preserve"> </w:t>
      </w:r>
      <w:proofErr w:type="spellStart"/>
      <w:r w:rsidRPr="00E85CD3">
        <w:rPr>
          <w:sz w:val="20"/>
        </w:rPr>
        <w:t>Volde</w:t>
      </w:r>
      <w:proofErr w:type="spellEnd"/>
      <w:r w:rsidRPr="00E85CD3">
        <w:rPr>
          <w:sz w:val="20"/>
        </w:rPr>
        <w:t xml:space="preserve"> EW, </w:t>
      </w:r>
      <w:proofErr w:type="spellStart"/>
      <w:r w:rsidRPr="00E85CD3">
        <w:rPr>
          <w:sz w:val="20"/>
        </w:rPr>
        <w:t>Gobas</w:t>
      </w:r>
      <w:proofErr w:type="spellEnd"/>
      <w:r w:rsidRPr="00E85CD3">
        <w:rPr>
          <w:sz w:val="20"/>
        </w:rPr>
        <w:t xml:space="preserve"> FAPC, </w:t>
      </w:r>
      <w:proofErr w:type="spellStart"/>
      <w:r w:rsidRPr="00E85CD3">
        <w:rPr>
          <w:sz w:val="20"/>
        </w:rPr>
        <w:t>Liem</w:t>
      </w:r>
      <w:proofErr w:type="spellEnd"/>
      <w:r w:rsidRPr="00E85CD3">
        <w:rPr>
          <w:sz w:val="20"/>
        </w:rPr>
        <w:t xml:space="preserve"> DAK, Van </w:t>
      </w:r>
      <w:proofErr w:type="spellStart"/>
      <w:r w:rsidRPr="00E85CD3">
        <w:rPr>
          <w:sz w:val="20"/>
        </w:rPr>
        <w:t>Der</w:t>
      </w:r>
      <w:proofErr w:type="spellEnd"/>
      <w:r w:rsidRPr="00E85CD3">
        <w:rPr>
          <w:sz w:val="20"/>
        </w:rPr>
        <w:t xml:space="preserve"> Steen JMD (1985) Relationship between </w:t>
      </w:r>
      <w:proofErr w:type="spellStart"/>
      <w:r w:rsidRPr="00E85CD3">
        <w:rPr>
          <w:sz w:val="20"/>
        </w:rPr>
        <w:t>bioconcentration</w:t>
      </w:r>
      <w:proofErr w:type="spellEnd"/>
      <w:r w:rsidRPr="00E85CD3">
        <w:rPr>
          <w:sz w:val="20"/>
        </w:rPr>
        <w:t xml:space="preserve"> in fish and </w:t>
      </w:r>
      <w:proofErr w:type="spellStart"/>
      <w:r w:rsidRPr="00E85CD3">
        <w:rPr>
          <w:sz w:val="20"/>
        </w:rPr>
        <w:t>steric</w:t>
      </w:r>
      <w:proofErr w:type="spellEnd"/>
      <w:r w:rsidRPr="00E85CD3">
        <w:rPr>
          <w:sz w:val="20"/>
        </w:rPr>
        <w:t xml:space="preserve"> factors of hydrophobic chemicals. Chemosphere 14:1871–1896</w:t>
      </w:r>
    </w:p>
    <w:p w:rsidR="009E3021" w:rsidRPr="00E85CD3" w:rsidRDefault="009E3021" w:rsidP="00351392">
      <w:pPr>
        <w:spacing w:after="120"/>
        <w:rPr>
          <w:sz w:val="20"/>
        </w:rPr>
      </w:pPr>
      <w:r w:rsidRPr="00981476">
        <w:rPr>
          <w:sz w:val="20"/>
          <w:lang w:val="en-US"/>
        </w:rPr>
        <w:t>Pan et al., 2011</w:t>
      </w:r>
      <w:r w:rsidRPr="00981476">
        <w:rPr>
          <w:sz w:val="20"/>
          <w:lang w:val="en-US"/>
        </w:rPr>
        <w:br/>
        <w:t>Pan X, Tang J, Chen Y, Li J, Zhang G</w:t>
      </w:r>
      <w:proofErr w:type="gramStart"/>
      <w:r w:rsidRPr="00981476">
        <w:rPr>
          <w:sz w:val="20"/>
          <w:lang w:val="en-US"/>
        </w:rPr>
        <w:t>.(</w:t>
      </w:r>
      <w:proofErr w:type="gramEnd"/>
      <w:r w:rsidRPr="00981476">
        <w:rPr>
          <w:sz w:val="20"/>
          <w:lang w:val="en-US"/>
        </w:rPr>
        <w:t xml:space="preserve">2011) Polychlorinated </w:t>
      </w:r>
      <w:proofErr w:type="spellStart"/>
      <w:r w:rsidRPr="00981476">
        <w:rPr>
          <w:sz w:val="20"/>
          <w:lang w:val="en-US"/>
        </w:rPr>
        <w:t>naphthalenes</w:t>
      </w:r>
      <w:proofErr w:type="spellEnd"/>
      <w:r w:rsidRPr="00981476">
        <w:rPr>
          <w:sz w:val="20"/>
          <w:lang w:val="en-US"/>
        </w:rPr>
        <w:t xml:space="preserve"> (PCNs) in </w:t>
      </w:r>
      <w:proofErr w:type="spellStart"/>
      <w:r w:rsidRPr="00981476">
        <w:rPr>
          <w:sz w:val="20"/>
          <w:lang w:val="en-US"/>
        </w:rPr>
        <w:t>riverine</w:t>
      </w:r>
      <w:proofErr w:type="spellEnd"/>
      <w:r w:rsidRPr="00981476">
        <w:rPr>
          <w:sz w:val="20"/>
          <w:lang w:val="en-US"/>
        </w:rPr>
        <w:t xml:space="preserve"> and marine sediments of the </w:t>
      </w:r>
      <w:proofErr w:type="spellStart"/>
      <w:r w:rsidRPr="00981476">
        <w:rPr>
          <w:sz w:val="20"/>
          <w:lang w:val="en-US"/>
        </w:rPr>
        <w:t>Laizhou</w:t>
      </w:r>
      <w:proofErr w:type="spellEnd"/>
      <w:r w:rsidRPr="00981476">
        <w:rPr>
          <w:sz w:val="20"/>
          <w:lang w:val="en-US"/>
        </w:rPr>
        <w:t xml:space="preserve"> Bay area, North China. Environmental Pollution 159 (12):3515-21</w:t>
      </w:r>
    </w:p>
    <w:p w:rsidR="009E3021" w:rsidRPr="00E85CD3" w:rsidRDefault="009E3021" w:rsidP="00351392">
      <w:pPr>
        <w:spacing w:after="120"/>
        <w:rPr>
          <w:sz w:val="20"/>
        </w:rPr>
      </w:pPr>
      <w:proofErr w:type="spellStart"/>
      <w:r w:rsidRPr="00E85CD3">
        <w:rPr>
          <w:sz w:val="20"/>
        </w:rPr>
        <w:t>Puzyn</w:t>
      </w:r>
      <w:proofErr w:type="spellEnd"/>
      <w:r w:rsidRPr="00E85CD3">
        <w:rPr>
          <w:sz w:val="20"/>
        </w:rPr>
        <w:t xml:space="preserve"> and </w:t>
      </w:r>
      <w:proofErr w:type="spellStart"/>
      <w:r w:rsidRPr="00E85CD3">
        <w:rPr>
          <w:sz w:val="20"/>
        </w:rPr>
        <w:t>Falandysz</w:t>
      </w:r>
      <w:proofErr w:type="spellEnd"/>
      <w:r w:rsidRPr="00E85CD3">
        <w:rPr>
          <w:sz w:val="20"/>
        </w:rPr>
        <w:t>, 2007</w:t>
      </w:r>
      <w:r w:rsidRPr="00E85CD3">
        <w:rPr>
          <w:sz w:val="20"/>
        </w:rPr>
        <w:br/>
      </w:r>
      <w:proofErr w:type="spellStart"/>
      <w:r w:rsidRPr="00E85CD3">
        <w:rPr>
          <w:sz w:val="20"/>
        </w:rPr>
        <w:t>Puzyn</w:t>
      </w:r>
      <w:proofErr w:type="spellEnd"/>
      <w:r w:rsidRPr="00E85CD3">
        <w:rPr>
          <w:sz w:val="20"/>
        </w:rPr>
        <w:t xml:space="preserve"> T, </w:t>
      </w:r>
      <w:proofErr w:type="spellStart"/>
      <w:r w:rsidRPr="00E85CD3">
        <w:rPr>
          <w:sz w:val="20"/>
        </w:rPr>
        <w:t>Falandysz</w:t>
      </w:r>
      <w:proofErr w:type="spellEnd"/>
      <w:r w:rsidRPr="00E85CD3">
        <w:rPr>
          <w:sz w:val="20"/>
        </w:rPr>
        <w:t xml:space="preserve"> J (2007): QSPR Modelling of Partition Coefficients and Henry’s Law Constants for 75 </w:t>
      </w:r>
      <w:proofErr w:type="spellStart"/>
      <w:r w:rsidRPr="00E85CD3">
        <w:rPr>
          <w:sz w:val="20"/>
        </w:rPr>
        <w:t>Chloronaphthalene</w:t>
      </w:r>
      <w:proofErr w:type="spellEnd"/>
      <w:r w:rsidRPr="00E85CD3">
        <w:rPr>
          <w:sz w:val="20"/>
        </w:rPr>
        <w:t xml:space="preserve"> Congeners by Means of Six </w:t>
      </w:r>
      <w:proofErr w:type="spellStart"/>
      <w:r w:rsidRPr="00E85CD3">
        <w:rPr>
          <w:sz w:val="20"/>
        </w:rPr>
        <w:t>Chemometric</w:t>
      </w:r>
      <w:proofErr w:type="spellEnd"/>
      <w:r w:rsidRPr="00E85CD3">
        <w:rPr>
          <w:sz w:val="20"/>
        </w:rPr>
        <w:t xml:space="preserve"> Approaches—A Comparative Study, J. Phys. Chem. Vol. 36, No. 1</w:t>
      </w:r>
    </w:p>
    <w:p w:rsidR="009E3021" w:rsidRPr="00E85CD3" w:rsidRDefault="009E3021" w:rsidP="00351392">
      <w:pPr>
        <w:spacing w:after="120"/>
        <w:rPr>
          <w:sz w:val="20"/>
        </w:rPr>
      </w:pPr>
      <w:proofErr w:type="spellStart"/>
      <w:r w:rsidRPr="00E85CD3">
        <w:rPr>
          <w:sz w:val="20"/>
        </w:rPr>
        <w:t>Puzyn</w:t>
      </w:r>
      <w:proofErr w:type="spellEnd"/>
      <w:r w:rsidRPr="00E85CD3">
        <w:rPr>
          <w:sz w:val="20"/>
        </w:rPr>
        <w:t xml:space="preserve"> et al. 2009</w:t>
      </w:r>
      <w:r w:rsidRPr="00E85CD3">
        <w:rPr>
          <w:sz w:val="20"/>
        </w:rPr>
        <w:br/>
      </w:r>
      <w:proofErr w:type="spellStart"/>
      <w:r w:rsidRPr="00E85CD3">
        <w:rPr>
          <w:sz w:val="20"/>
        </w:rPr>
        <w:t>Puzyn</w:t>
      </w:r>
      <w:proofErr w:type="spellEnd"/>
      <w:r w:rsidRPr="00E85CD3">
        <w:rPr>
          <w:sz w:val="20"/>
        </w:rPr>
        <w:t xml:space="preserve"> T, </w:t>
      </w:r>
      <w:proofErr w:type="spellStart"/>
      <w:r w:rsidRPr="00E85CD3">
        <w:rPr>
          <w:sz w:val="20"/>
        </w:rPr>
        <w:t>Mostrag</w:t>
      </w:r>
      <w:proofErr w:type="spellEnd"/>
      <w:r w:rsidRPr="00E85CD3">
        <w:rPr>
          <w:sz w:val="20"/>
        </w:rPr>
        <w:t xml:space="preserve"> A, </w:t>
      </w:r>
      <w:proofErr w:type="spellStart"/>
      <w:r w:rsidRPr="00E85CD3">
        <w:rPr>
          <w:sz w:val="20"/>
        </w:rPr>
        <w:t>Falandysz</w:t>
      </w:r>
      <w:proofErr w:type="spellEnd"/>
      <w:r w:rsidRPr="00E85CD3">
        <w:rPr>
          <w:sz w:val="20"/>
        </w:rPr>
        <w:t xml:space="preserve"> J, </w:t>
      </w:r>
      <w:proofErr w:type="spellStart"/>
      <w:r w:rsidRPr="00E85CD3">
        <w:rPr>
          <w:sz w:val="20"/>
        </w:rPr>
        <w:t>Kholod</w:t>
      </w:r>
      <w:proofErr w:type="spellEnd"/>
      <w:r w:rsidRPr="00E85CD3">
        <w:rPr>
          <w:sz w:val="20"/>
        </w:rPr>
        <w:t xml:space="preserve"> Y, </w:t>
      </w:r>
      <w:proofErr w:type="spellStart"/>
      <w:r w:rsidRPr="00E85CD3">
        <w:rPr>
          <w:sz w:val="20"/>
        </w:rPr>
        <w:t>Leszczynski</w:t>
      </w:r>
      <w:proofErr w:type="spellEnd"/>
      <w:r w:rsidRPr="00E85CD3">
        <w:rPr>
          <w:sz w:val="20"/>
        </w:rPr>
        <w:t xml:space="preserve"> J. (2009) Predicting water solubility of congeners: </w:t>
      </w:r>
      <w:proofErr w:type="spellStart"/>
      <w:r w:rsidRPr="00E85CD3">
        <w:rPr>
          <w:sz w:val="20"/>
        </w:rPr>
        <w:t>chloronaphthalenes</w:t>
      </w:r>
      <w:proofErr w:type="spellEnd"/>
      <w:r w:rsidRPr="00E85CD3">
        <w:rPr>
          <w:sz w:val="20"/>
        </w:rPr>
        <w:t xml:space="preserve">--a case study. </w:t>
      </w:r>
      <w:proofErr w:type="gramStart"/>
      <w:r w:rsidRPr="00E85CD3">
        <w:rPr>
          <w:sz w:val="20"/>
        </w:rPr>
        <w:t>J Hazard Mater.</w:t>
      </w:r>
      <w:proofErr w:type="gramEnd"/>
      <w:r w:rsidRPr="00E85CD3">
        <w:rPr>
          <w:sz w:val="20"/>
        </w:rPr>
        <w:t xml:space="preserve"> 2009 Oct 30</w:t>
      </w:r>
      <w:proofErr w:type="gramStart"/>
      <w:r w:rsidRPr="00E85CD3">
        <w:rPr>
          <w:sz w:val="20"/>
        </w:rPr>
        <w:t>;170</w:t>
      </w:r>
      <w:proofErr w:type="gramEnd"/>
      <w:r w:rsidRPr="00E85CD3">
        <w:rPr>
          <w:sz w:val="20"/>
        </w:rPr>
        <w:t>(2-3):1014-22.</w:t>
      </w:r>
    </w:p>
    <w:p w:rsidR="009E3021" w:rsidRPr="00E85CD3" w:rsidRDefault="009E3021" w:rsidP="00351392">
      <w:pPr>
        <w:spacing w:after="120"/>
        <w:rPr>
          <w:sz w:val="20"/>
        </w:rPr>
      </w:pPr>
      <w:proofErr w:type="spellStart"/>
      <w:r w:rsidRPr="00E85CD3">
        <w:rPr>
          <w:sz w:val="20"/>
        </w:rPr>
        <w:lastRenderedPageBreak/>
        <w:t>Santillo</w:t>
      </w:r>
      <w:proofErr w:type="spellEnd"/>
      <w:r w:rsidRPr="00E85CD3">
        <w:rPr>
          <w:sz w:val="20"/>
        </w:rPr>
        <w:t xml:space="preserve"> D, Johnston P (2004) </w:t>
      </w:r>
      <w:proofErr w:type="gramStart"/>
      <w:r w:rsidRPr="00E85CD3">
        <w:rPr>
          <w:sz w:val="20"/>
        </w:rPr>
        <w:t>An</w:t>
      </w:r>
      <w:proofErr w:type="gramEnd"/>
      <w:r w:rsidRPr="00E85CD3">
        <w:rPr>
          <w:sz w:val="20"/>
        </w:rPr>
        <w:t xml:space="preserve"> overview of potential ongoing sources of polychlorinated </w:t>
      </w:r>
      <w:proofErr w:type="spellStart"/>
      <w:r w:rsidRPr="00E85CD3">
        <w:rPr>
          <w:sz w:val="20"/>
        </w:rPr>
        <w:t>naphthalenes</w:t>
      </w:r>
      <w:proofErr w:type="spellEnd"/>
      <w:r w:rsidRPr="00E85CD3">
        <w:rPr>
          <w:sz w:val="20"/>
        </w:rPr>
        <w:t xml:space="preserve"> (PCNs) to the marine environment of the North East Atlantic (OSPAR) area, Greenpeace Research Laboratories, Technical Note 04/2004.</w:t>
      </w:r>
    </w:p>
    <w:p w:rsidR="009E3021" w:rsidRPr="00E85CD3" w:rsidRDefault="009E3021" w:rsidP="00351392">
      <w:pPr>
        <w:spacing w:after="120"/>
        <w:rPr>
          <w:sz w:val="20"/>
        </w:rPr>
      </w:pPr>
      <w:r w:rsidRPr="00E85CD3">
        <w:rPr>
          <w:sz w:val="20"/>
        </w:rPr>
        <w:t>Thailand, 2011</w:t>
      </w:r>
      <w:r w:rsidRPr="00E85CD3">
        <w:rPr>
          <w:sz w:val="20"/>
        </w:rPr>
        <w:br/>
        <w:t>Thailand (2011) submission of information specified in Annex E to the Stockholm Convention pursuant to Article 8 of the Convention</w:t>
      </w:r>
    </w:p>
    <w:p w:rsidR="009E3021" w:rsidRPr="00E85CD3" w:rsidRDefault="009E3021" w:rsidP="00856DDC">
      <w:pPr>
        <w:spacing w:after="120"/>
        <w:rPr>
          <w:sz w:val="20"/>
        </w:rPr>
      </w:pPr>
      <w:r w:rsidRPr="00E85CD3">
        <w:rPr>
          <w:sz w:val="20"/>
        </w:rPr>
        <w:t>UNECE 2007</w:t>
      </w:r>
      <w:r w:rsidRPr="00E85CD3">
        <w:rPr>
          <w:sz w:val="20"/>
        </w:rPr>
        <w:br/>
        <w:t xml:space="preserve">Exploration of management options for Polychlorinated </w:t>
      </w:r>
      <w:proofErr w:type="spellStart"/>
      <w:r w:rsidRPr="00E85CD3">
        <w:rPr>
          <w:sz w:val="20"/>
        </w:rPr>
        <w:t>Naphthalines</w:t>
      </w:r>
      <w:proofErr w:type="spellEnd"/>
      <w:r w:rsidRPr="00E85CD3">
        <w:rPr>
          <w:sz w:val="20"/>
        </w:rPr>
        <w:t xml:space="preserve"> (PCN), Paper for the 6th meeting of the UNECE CLRTAP Task Force on Persistent Organic Pollutants, Vienna, </w:t>
      </w:r>
      <w:proofErr w:type="gramStart"/>
      <w:r w:rsidRPr="00E85CD3">
        <w:rPr>
          <w:sz w:val="20"/>
        </w:rPr>
        <w:t>4</w:t>
      </w:r>
      <w:proofErr w:type="gramEnd"/>
      <w:r w:rsidRPr="00E85CD3">
        <w:rPr>
          <w:sz w:val="20"/>
        </w:rPr>
        <w:t>-6 June 2007. 20 June 2007</w:t>
      </w:r>
    </w:p>
    <w:p w:rsidR="009E3021" w:rsidRPr="00E85CD3" w:rsidRDefault="009E3021" w:rsidP="00856DDC">
      <w:pPr>
        <w:spacing w:after="120"/>
        <w:rPr>
          <w:sz w:val="20"/>
        </w:rPr>
      </w:pPr>
      <w:r w:rsidRPr="00E85CD3">
        <w:rPr>
          <w:sz w:val="20"/>
        </w:rPr>
        <w:t>UNEP 2007</w:t>
      </w:r>
      <w:r w:rsidRPr="00E85CD3">
        <w:rPr>
          <w:sz w:val="20"/>
        </w:rPr>
        <w:br/>
        <w:t>GUIDELINES ON BEST AVAILABLE TECHNIQUES AND PROVISIONAL GUIDANCE ON BEST ENVIRONMENTAL PRACTICES relevant to Article 5 and Annex C of the Stockholm Convention on Persistent Organic Pollutants, May 2007, Geneva, Switzerland</w:t>
      </w:r>
    </w:p>
    <w:p w:rsidR="009E3021" w:rsidRPr="00E85CD3" w:rsidRDefault="009E3021" w:rsidP="00856DDC">
      <w:pPr>
        <w:spacing w:after="120"/>
        <w:rPr>
          <w:sz w:val="20"/>
        </w:rPr>
      </w:pPr>
      <w:proofErr w:type="gramStart"/>
      <w:r w:rsidRPr="00E85CD3">
        <w:rPr>
          <w:sz w:val="20"/>
        </w:rPr>
        <w:t>UNEP/POPS/POPRC.8/16</w:t>
      </w:r>
      <w:r w:rsidRPr="00E85CD3">
        <w:rPr>
          <w:sz w:val="20"/>
        </w:rPr>
        <w:br/>
        <w:t>Stockholm Convention on POPs, POPRC eighth meeting, Geneva 15 to 19 October 2012.</w:t>
      </w:r>
      <w:proofErr w:type="gramEnd"/>
      <w:r w:rsidRPr="00E85CD3">
        <w:rPr>
          <w:sz w:val="20"/>
        </w:rPr>
        <w:t xml:space="preserve"> </w:t>
      </w:r>
      <w:proofErr w:type="gramStart"/>
      <w:r w:rsidRPr="00E85CD3">
        <w:rPr>
          <w:sz w:val="20"/>
        </w:rPr>
        <w:t>Report of the Persistent Organic Pollutants Review Committee on the work of its eighth meeting.</w:t>
      </w:r>
      <w:proofErr w:type="gramEnd"/>
      <w:r w:rsidRPr="00E85CD3">
        <w:rPr>
          <w:sz w:val="20"/>
        </w:rPr>
        <w:t xml:space="preserve"> Geneva, November 2012</w:t>
      </w:r>
    </w:p>
    <w:p w:rsidR="009E3021" w:rsidRPr="00E85CD3" w:rsidRDefault="009E3021" w:rsidP="00856DDC">
      <w:pPr>
        <w:spacing w:after="120"/>
        <w:rPr>
          <w:sz w:val="20"/>
        </w:rPr>
      </w:pPr>
      <w:proofErr w:type="gramStart"/>
      <w:r w:rsidRPr="00E85CD3">
        <w:rPr>
          <w:sz w:val="20"/>
        </w:rPr>
        <w:t>UNEP/POPS/POPRC.8/16/Add.1</w:t>
      </w:r>
      <w:r w:rsidRPr="00E85CD3">
        <w:rPr>
          <w:sz w:val="20"/>
        </w:rPr>
        <w:br/>
        <w:t>Stockholm Convention on POPs, POPRC eighth meeting, Geneva 15 to 19 October 2012.</w:t>
      </w:r>
      <w:proofErr w:type="gramEnd"/>
      <w:r w:rsidRPr="00E85CD3">
        <w:rPr>
          <w:sz w:val="20"/>
        </w:rPr>
        <w:t xml:space="preserve"> </w:t>
      </w:r>
      <w:proofErr w:type="gramStart"/>
      <w:r w:rsidRPr="00E85CD3">
        <w:rPr>
          <w:sz w:val="20"/>
        </w:rPr>
        <w:t>Report of the Persistent Organic Pollutants Review Committee on the work of its eighth meeting.</w:t>
      </w:r>
      <w:proofErr w:type="gramEnd"/>
      <w:r w:rsidRPr="00E85CD3">
        <w:rPr>
          <w:sz w:val="20"/>
        </w:rPr>
        <w:t xml:space="preserve"> Addendum: Risk profile on chlorinated </w:t>
      </w:r>
      <w:proofErr w:type="spellStart"/>
      <w:r w:rsidRPr="00E85CD3">
        <w:rPr>
          <w:sz w:val="20"/>
        </w:rPr>
        <w:t>naphthalines</w:t>
      </w:r>
      <w:proofErr w:type="spellEnd"/>
      <w:r w:rsidRPr="00E85CD3">
        <w:rPr>
          <w:sz w:val="20"/>
        </w:rPr>
        <w:t>. Geneva, 1 November 2012.</w:t>
      </w:r>
    </w:p>
    <w:p w:rsidR="009E3021" w:rsidRPr="00E85CD3" w:rsidRDefault="009E3021" w:rsidP="00351392">
      <w:pPr>
        <w:spacing w:after="120"/>
        <w:rPr>
          <w:sz w:val="20"/>
        </w:rPr>
      </w:pPr>
      <w:r w:rsidRPr="00E85CD3">
        <w:rPr>
          <w:sz w:val="20"/>
        </w:rPr>
        <w:t>Yamashita et al., 2000</w:t>
      </w:r>
      <w:r w:rsidRPr="00E85CD3">
        <w:rPr>
          <w:sz w:val="20"/>
        </w:rPr>
        <w:br/>
        <w:t xml:space="preserve">Yamashita N, </w:t>
      </w:r>
      <w:proofErr w:type="spellStart"/>
      <w:r w:rsidRPr="00E85CD3">
        <w:rPr>
          <w:sz w:val="20"/>
        </w:rPr>
        <w:t>Kannan</w:t>
      </w:r>
      <w:proofErr w:type="spellEnd"/>
      <w:r w:rsidRPr="00E85CD3">
        <w:rPr>
          <w:sz w:val="20"/>
        </w:rPr>
        <w:t xml:space="preserve"> K, </w:t>
      </w:r>
      <w:proofErr w:type="spellStart"/>
      <w:r w:rsidRPr="00E85CD3">
        <w:rPr>
          <w:sz w:val="20"/>
        </w:rPr>
        <w:t>Imagawa</w:t>
      </w:r>
      <w:proofErr w:type="spellEnd"/>
      <w:r w:rsidRPr="00E85CD3">
        <w:rPr>
          <w:sz w:val="20"/>
        </w:rPr>
        <w:t xml:space="preserve"> T, Miyazaki A, </w:t>
      </w:r>
      <w:proofErr w:type="spellStart"/>
      <w:r w:rsidRPr="00E85CD3">
        <w:rPr>
          <w:sz w:val="20"/>
        </w:rPr>
        <w:t>Giesy</w:t>
      </w:r>
      <w:proofErr w:type="spellEnd"/>
      <w:r w:rsidRPr="00E85CD3">
        <w:rPr>
          <w:sz w:val="20"/>
        </w:rPr>
        <w:t xml:space="preserve"> J P (2000) Concentrations and profiles of polychlorinated naphthalene congeners in eighteen technical polychlorinated biphenyl preparations. </w:t>
      </w:r>
      <w:proofErr w:type="spellStart"/>
      <w:proofErr w:type="gramStart"/>
      <w:r w:rsidRPr="00E85CD3">
        <w:rPr>
          <w:sz w:val="20"/>
        </w:rPr>
        <w:t>Env</w:t>
      </w:r>
      <w:proofErr w:type="spellEnd"/>
      <w:r w:rsidRPr="00E85CD3">
        <w:rPr>
          <w:sz w:val="20"/>
        </w:rPr>
        <w:t>.</w:t>
      </w:r>
      <w:proofErr w:type="gramEnd"/>
      <w:r w:rsidRPr="00E85CD3">
        <w:rPr>
          <w:sz w:val="20"/>
        </w:rPr>
        <w:t xml:space="preserve"> Sci. Technol. 34: 4236–4241 </w:t>
      </w:r>
    </w:p>
    <w:p w:rsidR="009E3021" w:rsidRPr="008C4B26" w:rsidRDefault="009E3021" w:rsidP="00351392">
      <w:pPr>
        <w:spacing w:after="120"/>
        <w:rPr>
          <w:sz w:val="20"/>
        </w:rPr>
      </w:pPr>
      <w:r w:rsidRPr="00E85CD3">
        <w:rPr>
          <w:sz w:val="20"/>
        </w:rPr>
        <w:t>Yamashita et al., 2003</w:t>
      </w:r>
      <w:r w:rsidRPr="00E85CD3">
        <w:rPr>
          <w:sz w:val="20"/>
        </w:rPr>
        <w:br/>
        <w:t xml:space="preserve">Yamashita N, </w:t>
      </w:r>
      <w:proofErr w:type="spellStart"/>
      <w:r w:rsidRPr="00E85CD3">
        <w:rPr>
          <w:sz w:val="20"/>
        </w:rPr>
        <w:t>Taniyasu</w:t>
      </w:r>
      <w:proofErr w:type="spellEnd"/>
      <w:r w:rsidRPr="00E85CD3">
        <w:rPr>
          <w:sz w:val="20"/>
        </w:rPr>
        <w:t xml:space="preserve"> S, </w:t>
      </w:r>
      <w:proofErr w:type="spellStart"/>
      <w:r w:rsidRPr="00E85CD3">
        <w:rPr>
          <w:sz w:val="20"/>
        </w:rPr>
        <w:t>Hanari</w:t>
      </w:r>
      <w:proofErr w:type="spellEnd"/>
      <w:r w:rsidRPr="00E85CD3">
        <w:rPr>
          <w:sz w:val="20"/>
        </w:rPr>
        <w:t xml:space="preserve"> N, </w:t>
      </w:r>
      <w:proofErr w:type="spellStart"/>
      <w:r w:rsidRPr="00E85CD3">
        <w:rPr>
          <w:sz w:val="20"/>
        </w:rPr>
        <w:t>Falandysz</w:t>
      </w:r>
      <w:proofErr w:type="spellEnd"/>
      <w:r w:rsidRPr="00E85CD3">
        <w:rPr>
          <w:sz w:val="20"/>
        </w:rPr>
        <w:t xml:space="preserve"> J (2003) Polychlorinated naphthalene contamination of some recently manufactured industrial products and commercial goods in Japan. J Environ </w:t>
      </w:r>
      <w:proofErr w:type="spellStart"/>
      <w:r w:rsidRPr="00E85CD3">
        <w:rPr>
          <w:sz w:val="20"/>
        </w:rPr>
        <w:t>Sci</w:t>
      </w:r>
      <w:proofErr w:type="spellEnd"/>
      <w:r w:rsidRPr="00E85CD3">
        <w:rPr>
          <w:sz w:val="20"/>
        </w:rPr>
        <w:t xml:space="preserve"> Health A 38:1745–59.</w:t>
      </w:r>
    </w:p>
    <w:p w:rsidR="009E3021" w:rsidRPr="008C4B26" w:rsidRDefault="009E3021" w:rsidP="00351392">
      <w:pPr>
        <w:spacing w:after="120"/>
        <w:rPr>
          <w:sz w:val="20"/>
        </w:rPr>
      </w:pPr>
    </w:p>
    <w:sectPr w:rsidR="009E3021" w:rsidRPr="008C4B26" w:rsidSect="002F2D61">
      <w:footerReference w:type="even" r:id="rId11"/>
      <w:footerReference w:type="default" r:id="rId12"/>
      <w:headerReference w:type="first" r:id="rId13"/>
      <w:footerReference w:type="first" r:id="rId14"/>
      <w:pgSz w:w="11907" w:h="16840" w:code="9"/>
      <w:pgMar w:top="1440" w:right="851" w:bottom="1440" w:left="1440" w:header="851"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795" w:rsidRDefault="001E2795">
      <w:r>
        <w:separator/>
      </w:r>
    </w:p>
  </w:endnote>
  <w:endnote w:type="continuationSeparator" w:id="0">
    <w:p w:rsidR="001E2795" w:rsidRDefault="001E2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95" w:rsidRDefault="003E5AD1">
    <w:pPr>
      <w:pStyle w:val="Footer"/>
    </w:pPr>
    <w:fldSimple w:instr=" PAGE   \* MERGEFORMAT ">
      <w:r w:rsidR="00E15BA4">
        <w:rPr>
          <w:noProof/>
        </w:rPr>
        <w:t>18</w:t>
      </w:r>
    </w:fldSimple>
  </w:p>
  <w:p w:rsidR="001E2795" w:rsidRDefault="001E2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95" w:rsidRDefault="003E5AD1">
    <w:pPr>
      <w:pStyle w:val="Footer"/>
      <w:jc w:val="right"/>
    </w:pPr>
    <w:fldSimple w:instr=" PAGE   \* MERGEFORMAT ">
      <w:r w:rsidR="00E15BA4">
        <w:rPr>
          <w:noProof/>
        </w:rPr>
        <w:t>19</w:t>
      </w:r>
    </w:fldSimple>
  </w:p>
  <w:p w:rsidR="001E2795" w:rsidRDefault="001E27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95" w:rsidRDefault="001E2795">
    <w:pPr>
      <w:pStyle w:val="Footer"/>
    </w:pPr>
  </w:p>
  <w:p w:rsidR="001E2795" w:rsidRDefault="001E2795">
    <w:pPr>
      <w:pStyle w:val="Footer"/>
    </w:pPr>
  </w:p>
  <w:p w:rsidR="001E2795" w:rsidRDefault="001E2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795" w:rsidRDefault="001E2795" w:rsidP="00160767">
      <w:pPr>
        <w:ind w:left="624"/>
        <w:rPr>
          <w:sz w:val="20"/>
        </w:rPr>
      </w:pPr>
      <w:r>
        <w:rPr>
          <w:sz w:val="20"/>
        </w:rPr>
        <w:separator/>
      </w:r>
    </w:p>
  </w:footnote>
  <w:footnote w:type="continuationSeparator" w:id="0">
    <w:p w:rsidR="001E2795" w:rsidRDefault="001E2795">
      <w:r>
        <w:continuationSeparator/>
      </w:r>
    </w:p>
  </w:footnote>
  <w:footnote w:id="1">
    <w:p w:rsidR="001E2795" w:rsidRDefault="001E2795" w:rsidP="00FB6D9D">
      <w:pPr>
        <w:pStyle w:val="FootnoteText"/>
        <w:tabs>
          <w:tab w:val="left" w:pos="624"/>
        </w:tabs>
      </w:pPr>
      <w:r w:rsidRPr="00F576C9">
        <w:rPr>
          <w:rStyle w:val="FootnoteReference"/>
          <w:sz w:val="18"/>
          <w:szCs w:val="18"/>
        </w:rPr>
        <w:footnoteRef/>
      </w:r>
      <w:r w:rsidRPr="00F576C9">
        <w:rPr>
          <w:sz w:val="18"/>
          <w:szCs w:val="18"/>
        </w:rPr>
        <w:t xml:space="preserve"> UNEP/POPS/POPRC.7/INF/3 </w:t>
      </w:r>
    </w:p>
  </w:footnote>
  <w:footnote w:id="2">
    <w:p w:rsidR="001E2795" w:rsidRDefault="001E2795" w:rsidP="00FB6D9D">
      <w:pPr>
        <w:pStyle w:val="FootnoteText"/>
        <w:tabs>
          <w:tab w:val="left" w:pos="624"/>
        </w:tabs>
      </w:pPr>
      <w:r w:rsidRPr="00F576C9">
        <w:rPr>
          <w:rStyle w:val="FootnoteReference"/>
          <w:sz w:val="18"/>
          <w:szCs w:val="18"/>
        </w:rPr>
        <w:footnoteRef/>
      </w:r>
      <w:r w:rsidRPr="00F576C9">
        <w:rPr>
          <w:sz w:val="18"/>
          <w:szCs w:val="18"/>
        </w:rPr>
        <w:t xml:space="preserve"> </w:t>
      </w:r>
      <w:proofErr w:type="spellStart"/>
      <w:r w:rsidRPr="00F576C9">
        <w:rPr>
          <w:sz w:val="18"/>
          <w:szCs w:val="18"/>
        </w:rPr>
        <w:t>ACToR</w:t>
      </w:r>
      <w:proofErr w:type="spellEnd"/>
      <w:r w:rsidRPr="00F576C9">
        <w:rPr>
          <w:sz w:val="18"/>
          <w:szCs w:val="18"/>
        </w:rPr>
        <w:t xml:space="preserve"> (2012)</w:t>
      </w:r>
    </w:p>
  </w:footnote>
  <w:footnote w:id="3">
    <w:p w:rsidR="001E2795" w:rsidRDefault="001E2795" w:rsidP="008C6111">
      <w:pPr>
        <w:pStyle w:val="FootnoteText"/>
      </w:pPr>
      <w:r>
        <w:rPr>
          <w:rStyle w:val="FootnoteReference"/>
        </w:rPr>
        <w:footnoteRef/>
      </w:r>
      <w:r w:rsidRPr="00A03246">
        <w:rPr>
          <w:sz w:val="18"/>
          <w:szCs w:val="18"/>
        </w:rPr>
        <w:t xml:space="preserve"> Annex F </w:t>
      </w:r>
      <w:r>
        <w:rPr>
          <w:sz w:val="18"/>
          <w:szCs w:val="18"/>
        </w:rPr>
        <w:t>i</w:t>
      </w:r>
      <w:r w:rsidRPr="0042533D">
        <w:rPr>
          <w:sz w:val="18"/>
          <w:szCs w:val="18"/>
        </w:rPr>
        <w:t xml:space="preserve">nformation provided by parties and observers is available at </w:t>
      </w:r>
      <w:r w:rsidRPr="00A03246">
        <w:rPr>
          <w:sz w:val="18"/>
          <w:szCs w:val="18"/>
        </w:rPr>
        <w:t>the SC website (see</w:t>
      </w:r>
      <w:r>
        <w:t xml:space="preserve"> </w:t>
      </w:r>
      <w:hyperlink r:id="rId1" w:history="1">
        <w:r w:rsidRPr="00DC1C50">
          <w:rPr>
            <w:rStyle w:val="Hyperlink"/>
            <w:sz w:val="18"/>
            <w:szCs w:val="18"/>
          </w:rPr>
          <w:t>http://chm.pops.int/Convention/POPsReviewCommittee/LatestMeeting/POPRC8/POPRC8Followup/SubmissionCN/tabid/3068/Default.aspx</w:t>
        </w:r>
      </w:hyperlink>
      <w:r w:rsidRPr="00A03246">
        <w:rPr>
          <w:sz w:val="18"/>
          <w:szCs w:val="18"/>
        </w:rPr>
        <w:t>); s</w:t>
      </w:r>
      <w:r w:rsidRPr="0042533D">
        <w:rPr>
          <w:sz w:val="18"/>
          <w:szCs w:val="18"/>
        </w:rPr>
        <w:t>tatus evaluated for the present</w:t>
      </w:r>
      <w:r>
        <w:rPr>
          <w:sz w:val="18"/>
          <w:szCs w:val="18"/>
        </w:rPr>
        <w:t xml:space="preserve"> document</w:t>
      </w:r>
      <w:r w:rsidRPr="00CA73C6">
        <w:rPr>
          <w:sz w:val="18"/>
          <w:szCs w:val="18"/>
        </w:rPr>
        <w:t xml:space="preserve">: </w:t>
      </w:r>
      <w:r>
        <w:rPr>
          <w:sz w:val="18"/>
          <w:szCs w:val="18"/>
        </w:rPr>
        <w:t>19</w:t>
      </w:r>
      <w:r w:rsidRPr="00CA73C6">
        <w:rPr>
          <w:sz w:val="18"/>
          <w:szCs w:val="18"/>
        </w:rPr>
        <w:t>.0</w:t>
      </w:r>
      <w:r>
        <w:rPr>
          <w:sz w:val="18"/>
          <w:szCs w:val="18"/>
        </w:rPr>
        <w:t>2</w:t>
      </w:r>
      <w:r w:rsidRPr="00CA73C6">
        <w:rPr>
          <w:sz w:val="18"/>
          <w:szCs w:val="18"/>
        </w:rPr>
        <w:t>.2013</w:t>
      </w:r>
    </w:p>
  </w:footnote>
  <w:footnote w:id="4">
    <w:p w:rsidR="001E2795" w:rsidRPr="00E15BA4" w:rsidRDefault="001E2795">
      <w:pPr>
        <w:pStyle w:val="FootnoteText"/>
        <w:rPr>
          <w:lang w:val="fr-CH"/>
        </w:rPr>
      </w:pPr>
      <w:r>
        <w:rPr>
          <w:rStyle w:val="FootnoteReference"/>
        </w:rPr>
        <w:footnoteRef/>
      </w:r>
      <w:r w:rsidRPr="00E15BA4">
        <w:rPr>
          <w:lang w:val="fr-CH"/>
        </w:rPr>
        <w:t xml:space="preserve"> Source: http://www.gazette.gc.ca/rp-pr/p2/2013/2013-01-02/html/sor-dors285-eng.html</w:t>
      </w:r>
    </w:p>
  </w:footnote>
  <w:footnote w:id="5">
    <w:p w:rsidR="001E2795" w:rsidRDefault="001E2795">
      <w:pPr>
        <w:pStyle w:val="FootnoteText"/>
      </w:pPr>
      <w:r>
        <w:rPr>
          <w:rStyle w:val="FootnoteReference"/>
        </w:rPr>
        <w:footnoteRef/>
      </w:r>
      <w:r>
        <w:t xml:space="preserve"> comment NL on 1</w:t>
      </w:r>
      <w:r w:rsidRPr="00CD582F">
        <w:rPr>
          <w:vertAlign w:val="superscript"/>
        </w:rPr>
        <w:t>st</w:t>
      </w:r>
      <w:r>
        <w:t xml:space="preserve"> draft RME</w:t>
      </w:r>
    </w:p>
  </w:footnote>
  <w:footnote w:id="6">
    <w:p w:rsidR="001E2795" w:rsidRPr="007C7A58" w:rsidRDefault="001E2795">
      <w:pPr>
        <w:pStyle w:val="FootnoteText"/>
        <w:rPr>
          <w:sz w:val="18"/>
          <w:szCs w:val="18"/>
        </w:rPr>
      </w:pPr>
      <w:r>
        <w:rPr>
          <w:rStyle w:val="FootnoteReference"/>
        </w:rPr>
        <w:footnoteRef/>
      </w:r>
      <w:r>
        <w:t xml:space="preserve"> C</w:t>
      </w:r>
      <w:r w:rsidRPr="00350273">
        <w:rPr>
          <w:sz w:val="18"/>
          <w:szCs w:val="18"/>
        </w:rPr>
        <w:t xml:space="preserve">omment </w:t>
      </w:r>
      <w:r>
        <w:rPr>
          <w:sz w:val="18"/>
          <w:szCs w:val="18"/>
        </w:rPr>
        <w:t xml:space="preserve">from </w:t>
      </w:r>
      <w:r w:rsidRPr="00350273">
        <w:rPr>
          <w:sz w:val="18"/>
          <w:szCs w:val="18"/>
        </w:rPr>
        <w:t>the Netherlands, 2013</w:t>
      </w:r>
    </w:p>
  </w:footnote>
  <w:footnote w:id="7">
    <w:p w:rsidR="001E2795" w:rsidRDefault="001E2795" w:rsidP="00FA2517">
      <w:pPr>
        <w:pStyle w:val="FootnoteText"/>
        <w:tabs>
          <w:tab w:val="left" w:pos="624"/>
        </w:tabs>
      </w:pPr>
      <w:r w:rsidRPr="005F7380">
        <w:rPr>
          <w:rStyle w:val="FootnoteReference"/>
          <w:sz w:val="18"/>
          <w:szCs w:val="18"/>
        </w:rPr>
        <w:footnoteRef/>
      </w:r>
      <w:r w:rsidRPr="005F7380">
        <w:rPr>
          <w:sz w:val="18"/>
          <w:szCs w:val="18"/>
          <w:lang w:val="en-US"/>
        </w:rPr>
        <w:t xml:space="preserve"> </w:t>
      </w:r>
      <w:r w:rsidRPr="005F7380">
        <w:rPr>
          <w:sz w:val="18"/>
          <w:szCs w:val="18"/>
          <w:lang w:val="en-US"/>
        </w:rPr>
        <w:tab/>
      </w:r>
      <w:r w:rsidRPr="00FB3F0E">
        <w:rPr>
          <w:sz w:val="18"/>
          <w:szCs w:val="18"/>
        </w:rPr>
        <w:t>http://echa.europa.eu/web/guest</w:t>
      </w:r>
    </w:p>
  </w:footnote>
  <w:footnote w:id="8">
    <w:p w:rsidR="001E2795" w:rsidRDefault="001E2795">
      <w:pPr>
        <w:pStyle w:val="FootnoteText"/>
      </w:pPr>
      <w:r w:rsidRPr="003F78EE">
        <w:rPr>
          <w:rStyle w:val="FootnoteReference"/>
          <w:sz w:val="18"/>
          <w:szCs w:val="18"/>
        </w:rPr>
        <w:footnoteRef/>
      </w:r>
      <w:r w:rsidRPr="003F78EE">
        <w:rPr>
          <w:sz w:val="18"/>
          <w:szCs w:val="18"/>
        </w:rPr>
        <w:t xml:space="preserve"> Note: </w:t>
      </w:r>
      <w:r>
        <w:rPr>
          <w:sz w:val="18"/>
          <w:szCs w:val="18"/>
        </w:rPr>
        <w:t>I</w:t>
      </w:r>
      <w:r w:rsidRPr="003F78EE">
        <w:rPr>
          <w:sz w:val="18"/>
          <w:szCs w:val="18"/>
        </w:rPr>
        <w:t xml:space="preserve">t is assumed that </w:t>
      </w:r>
      <w:r>
        <w:rPr>
          <w:sz w:val="18"/>
          <w:szCs w:val="18"/>
        </w:rPr>
        <w:t xml:space="preserve">Nigeria has reported here </w:t>
      </w:r>
      <w:r w:rsidRPr="003F78EE">
        <w:rPr>
          <w:sz w:val="18"/>
          <w:szCs w:val="18"/>
        </w:rPr>
        <w:t xml:space="preserve">documented </w:t>
      </w:r>
      <w:r w:rsidRPr="003F78EE">
        <w:rPr>
          <w:sz w:val="18"/>
          <w:szCs w:val="18"/>
          <w:u w:val="single"/>
        </w:rPr>
        <w:t xml:space="preserve">historic </w:t>
      </w:r>
      <w:r w:rsidRPr="003F78EE">
        <w:rPr>
          <w:sz w:val="18"/>
          <w:szCs w:val="18"/>
        </w:rPr>
        <w:t>uses</w:t>
      </w:r>
      <w:r>
        <w:rPr>
          <w:sz w:val="18"/>
          <w:szCs w:val="18"/>
        </w:rPr>
        <w:t>.</w:t>
      </w:r>
    </w:p>
  </w:footnote>
  <w:footnote w:id="9">
    <w:p w:rsidR="001E2795" w:rsidRPr="00D44D07" w:rsidRDefault="001E2795">
      <w:pPr>
        <w:pStyle w:val="FootnoteText"/>
        <w:rPr>
          <w:sz w:val="18"/>
          <w:szCs w:val="18"/>
          <w:lang w:val="en-US"/>
        </w:rPr>
      </w:pPr>
      <w:r>
        <w:rPr>
          <w:rStyle w:val="FootnoteReference"/>
        </w:rPr>
        <w:footnoteRef/>
      </w:r>
      <w:r w:rsidRPr="00350273">
        <w:rPr>
          <w:lang w:val="en-US"/>
        </w:rPr>
        <w:t xml:space="preserve"> </w:t>
      </w:r>
      <w:r w:rsidRPr="00350273">
        <w:rPr>
          <w:sz w:val="18"/>
          <w:szCs w:val="18"/>
          <w:lang w:val="en-US"/>
        </w:rPr>
        <w:t xml:space="preserve">Comment </w:t>
      </w:r>
      <w:proofErr w:type="spellStart"/>
      <w:r w:rsidRPr="00350273">
        <w:rPr>
          <w:sz w:val="18"/>
          <w:szCs w:val="18"/>
          <w:lang w:val="en-US"/>
        </w:rPr>
        <w:t>form</w:t>
      </w:r>
      <w:proofErr w:type="spellEnd"/>
      <w:r w:rsidRPr="00350273">
        <w:rPr>
          <w:sz w:val="18"/>
          <w:szCs w:val="18"/>
          <w:lang w:val="en-US"/>
        </w:rPr>
        <w:t xml:space="preserve"> th</w:t>
      </w:r>
      <w:r>
        <w:rPr>
          <w:sz w:val="18"/>
          <w:szCs w:val="18"/>
          <w:lang w:val="en-US"/>
        </w:rPr>
        <w:t>e</w:t>
      </w:r>
      <w:r w:rsidRPr="00350273">
        <w:rPr>
          <w:sz w:val="18"/>
          <w:szCs w:val="18"/>
          <w:lang w:val="en-US"/>
        </w:rPr>
        <w:t xml:space="preserve"> Netherlands, 2013. Internet source: </w:t>
      </w:r>
      <w:hyperlink r:id="rId2" w:history="1">
        <w:r w:rsidRPr="00350273">
          <w:rPr>
            <w:rStyle w:val="Hyperlink"/>
            <w:sz w:val="18"/>
            <w:szCs w:val="18"/>
          </w:rPr>
          <w:t>http://www.chemicalbook.com/Search_EN.aspx?keyword=HALOWAX</w:t>
        </w:r>
      </w:hyperlink>
      <w:r w:rsidRPr="00350273">
        <w:rPr>
          <w:sz w:val="18"/>
          <w:szCs w:val="18"/>
        </w:rPr>
        <w:t xml:space="preserve"> </w:t>
      </w:r>
    </w:p>
  </w:footnote>
  <w:footnote w:id="10">
    <w:p w:rsidR="001E2795" w:rsidRPr="007C7A58" w:rsidRDefault="001E2795">
      <w:pPr>
        <w:pStyle w:val="FootnoteText"/>
        <w:rPr>
          <w:lang w:val="de-DE"/>
        </w:rPr>
      </w:pPr>
      <w:r>
        <w:rPr>
          <w:rStyle w:val="FootnoteReference"/>
        </w:rPr>
        <w:footnoteRef/>
      </w:r>
      <w:r w:rsidRPr="00350273">
        <w:rPr>
          <w:lang w:val="de-DE"/>
        </w:rPr>
        <w:t xml:space="preserve"> </w:t>
      </w:r>
      <w:r w:rsidRPr="00350273">
        <w:rPr>
          <w:sz w:val="18"/>
          <w:szCs w:val="18"/>
          <w:lang w:val="de-DE"/>
        </w:rPr>
        <w:t xml:space="preserve">E-PRTR database: </w:t>
      </w:r>
      <w:r w:rsidR="003E5AD1">
        <w:fldChar w:fldCharType="begin"/>
      </w:r>
      <w:r w:rsidRPr="00E15BA4">
        <w:rPr>
          <w:lang w:val="es-ES_tradnl"/>
        </w:rPr>
        <w:instrText>HYPERLINK "http://prtr.ec.europa.eu/TimeSeriesPollutantReleases.aspx"</w:instrText>
      </w:r>
      <w:r w:rsidR="003E5AD1">
        <w:fldChar w:fldCharType="separate"/>
      </w:r>
      <w:r w:rsidRPr="00350273">
        <w:rPr>
          <w:sz w:val="18"/>
          <w:szCs w:val="18"/>
          <w:lang w:val="de-DE"/>
        </w:rPr>
        <w:t>http://prtr.ec.europa.eu/TimeSeriesPollutantReleases.aspx</w:t>
      </w:r>
      <w:r w:rsidR="003E5AD1">
        <w:fldChar w:fldCharType="end"/>
      </w:r>
      <w:r w:rsidRPr="00350273">
        <w:rPr>
          <w:sz w:val="18"/>
          <w:szCs w:val="18"/>
          <w:lang w:val="de-DE"/>
        </w:rPr>
        <w:t xml:space="preserve"> </w:t>
      </w:r>
    </w:p>
  </w:footnote>
  <w:footnote w:id="11">
    <w:p w:rsidR="001E2795" w:rsidRDefault="001E2795">
      <w:pPr>
        <w:pStyle w:val="FootnoteText"/>
      </w:pPr>
      <w:r>
        <w:rPr>
          <w:rStyle w:val="FootnoteReference"/>
        </w:rPr>
        <w:footnoteRef/>
      </w:r>
      <w:r>
        <w:t xml:space="preserve"> </w:t>
      </w:r>
      <w:r w:rsidRPr="00350273">
        <w:rPr>
          <w:sz w:val="18"/>
          <w:szCs w:val="18"/>
          <w:lang w:val="en-US"/>
        </w:rPr>
        <w:t>Comment from the Netherlands, 2013</w:t>
      </w:r>
    </w:p>
  </w:footnote>
  <w:footnote w:id="12">
    <w:p w:rsidR="001E2795" w:rsidRDefault="001E2795">
      <w:pPr>
        <w:pStyle w:val="FootnoteText"/>
      </w:pPr>
      <w:r>
        <w:rPr>
          <w:rStyle w:val="FootnoteReference"/>
        </w:rPr>
        <w:footnoteRef/>
      </w:r>
      <w:r>
        <w:t xml:space="preserve"> </w:t>
      </w:r>
      <w:r w:rsidRPr="00F120A7">
        <w:t xml:space="preserve"> Comment from NCRRTE</w:t>
      </w:r>
      <w:r w:rsidRPr="004A3772">
        <w:t xml:space="preserve"> </w:t>
      </w:r>
      <w:r>
        <w:t>(</w:t>
      </w:r>
      <w:r w:rsidRPr="004A3772">
        <w:t xml:space="preserve">National </w:t>
      </w:r>
      <w:proofErr w:type="spellStart"/>
      <w:r w:rsidRPr="004A3772">
        <w:t>Center</w:t>
      </w:r>
      <w:proofErr w:type="spellEnd"/>
      <w:r w:rsidRPr="004A3772">
        <w:t xml:space="preserve"> for Radiation Research and Technology, Egypt</w:t>
      </w:r>
      <w:r>
        <w:t>),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95" w:rsidRDefault="001E2795">
    <w:pPr>
      <w:pStyle w:val="Header"/>
      <w:jc w:val="right"/>
    </w:pPr>
  </w:p>
  <w:p w:rsidR="001E2795" w:rsidRDefault="001E2795" w:rsidP="002F2D6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2E8"/>
    <w:multiLevelType w:val="hybridMultilevel"/>
    <w:tmpl w:val="E32A3FD6"/>
    <w:lvl w:ilvl="0" w:tplc="5D1EDC06">
      <w:start w:val="1"/>
      <w:numFmt w:val="upperRoman"/>
      <w:pStyle w:val="CH1"/>
      <w:lvlText w:val="%1."/>
      <w:lvlJc w:val="left"/>
      <w:pPr>
        <w:tabs>
          <w:tab w:val="num" w:pos="1565"/>
        </w:tabs>
        <w:ind w:left="1205"/>
      </w:pPr>
      <w:rPr>
        <w:rFonts w:ascii="Times New Roman" w:hAnsi="Times New Roman" w:cs="Times New Roman" w:hint="default"/>
        <w:b/>
        <w:i w:val="0"/>
        <w:sz w:val="28"/>
        <w:szCs w:val="28"/>
      </w:rPr>
    </w:lvl>
    <w:lvl w:ilvl="1" w:tplc="04090019" w:tentative="1">
      <w:start w:val="1"/>
      <w:numFmt w:val="lowerLetter"/>
      <w:lvlText w:val="%2."/>
      <w:lvlJc w:val="left"/>
      <w:pPr>
        <w:tabs>
          <w:tab w:val="num" w:pos="4277"/>
        </w:tabs>
        <w:ind w:left="4277" w:hanging="360"/>
      </w:pPr>
      <w:rPr>
        <w:rFonts w:cs="Times New Roman"/>
      </w:rPr>
    </w:lvl>
    <w:lvl w:ilvl="2" w:tplc="0409001B" w:tentative="1">
      <w:start w:val="1"/>
      <w:numFmt w:val="lowerRoman"/>
      <w:lvlText w:val="%3."/>
      <w:lvlJc w:val="right"/>
      <w:pPr>
        <w:tabs>
          <w:tab w:val="num" w:pos="4997"/>
        </w:tabs>
        <w:ind w:left="4997" w:hanging="180"/>
      </w:pPr>
      <w:rPr>
        <w:rFonts w:cs="Times New Roman"/>
      </w:rPr>
    </w:lvl>
    <w:lvl w:ilvl="3" w:tplc="0409000F" w:tentative="1">
      <w:start w:val="1"/>
      <w:numFmt w:val="decimal"/>
      <w:lvlText w:val="%4."/>
      <w:lvlJc w:val="left"/>
      <w:pPr>
        <w:tabs>
          <w:tab w:val="num" w:pos="5717"/>
        </w:tabs>
        <w:ind w:left="5717" w:hanging="360"/>
      </w:pPr>
      <w:rPr>
        <w:rFonts w:cs="Times New Roman"/>
      </w:rPr>
    </w:lvl>
    <w:lvl w:ilvl="4" w:tplc="04090019" w:tentative="1">
      <w:start w:val="1"/>
      <w:numFmt w:val="lowerLetter"/>
      <w:lvlText w:val="%5."/>
      <w:lvlJc w:val="left"/>
      <w:pPr>
        <w:tabs>
          <w:tab w:val="num" w:pos="6437"/>
        </w:tabs>
        <w:ind w:left="6437" w:hanging="360"/>
      </w:pPr>
      <w:rPr>
        <w:rFonts w:cs="Times New Roman"/>
      </w:rPr>
    </w:lvl>
    <w:lvl w:ilvl="5" w:tplc="0409001B" w:tentative="1">
      <w:start w:val="1"/>
      <w:numFmt w:val="lowerRoman"/>
      <w:lvlText w:val="%6."/>
      <w:lvlJc w:val="right"/>
      <w:pPr>
        <w:tabs>
          <w:tab w:val="num" w:pos="7157"/>
        </w:tabs>
        <w:ind w:left="7157" w:hanging="180"/>
      </w:pPr>
      <w:rPr>
        <w:rFonts w:cs="Times New Roman"/>
      </w:rPr>
    </w:lvl>
    <w:lvl w:ilvl="6" w:tplc="0409000F" w:tentative="1">
      <w:start w:val="1"/>
      <w:numFmt w:val="decimal"/>
      <w:lvlText w:val="%7."/>
      <w:lvlJc w:val="left"/>
      <w:pPr>
        <w:tabs>
          <w:tab w:val="num" w:pos="7877"/>
        </w:tabs>
        <w:ind w:left="7877" w:hanging="360"/>
      </w:pPr>
      <w:rPr>
        <w:rFonts w:cs="Times New Roman"/>
      </w:rPr>
    </w:lvl>
    <w:lvl w:ilvl="7" w:tplc="04090019" w:tentative="1">
      <w:start w:val="1"/>
      <w:numFmt w:val="lowerLetter"/>
      <w:lvlText w:val="%8."/>
      <w:lvlJc w:val="left"/>
      <w:pPr>
        <w:tabs>
          <w:tab w:val="num" w:pos="8597"/>
        </w:tabs>
        <w:ind w:left="8597" w:hanging="360"/>
      </w:pPr>
      <w:rPr>
        <w:rFonts w:cs="Times New Roman"/>
      </w:rPr>
    </w:lvl>
    <w:lvl w:ilvl="8" w:tplc="0409001B" w:tentative="1">
      <w:start w:val="1"/>
      <w:numFmt w:val="lowerRoman"/>
      <w:lvlText w:val="%9."/>
      <w:lvlJc w:val="right"/>
      <w:pPr>
        <w:tabs>
          <w:tab w:val="num" w:pos="9317"/>
        </w:tabs>
        <w:ind w:left="9317" w:hanging="180"/>
      </w:pPr>
      <w:rPr>
        <w:rFonts w:cs="Times New Roman"/>
      </w:rPr>
    </w:lvl>
  </w:abstractNum>
  <w:abstractNum w:abstractNumId="1">
    <w:nsid w:val="08F42E2E"/>
    <w:multiLevelType w:val="hybridMultilevel"/>
    <w:tmpl w:val="8F32D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1113A7"/>
    <w:multiLevelType w:val="multilevel"/>
    <w:tmpl w:val="48241D10"/>
    <w:numStyleLink w:val="Normallist"/>
  </w:abstractNum>
  <w:abstractNum w:abstractNumId="3">
    <w:nsid w:val="177E679E"/>
    <w:multiLevelType w:val="hybridMultilevel"/>
    <w:tmpl w:val="D5FE1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507B09"/>
    <w:multiLevelType w:val="hybridMultilevel"/>
    <w:tmpl w:val="C5BC5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1C3085"/>
    <w:multiLevelType w:val="singleLevel"/>
    <w:tmpl w:val="E8B4D554"/>
    <w:lvl w:ilvl="0">
      <w:start w:val="1"/>
      <w:numFmt w:val="lowerLetter"/>
      <w:pStyle w:val="Paralevel2"/>
      <w:lvlText w:val="(%1)"/>
      <w:lvlJc w:val="left"/>
      <w:pPr>
        <w:tabs>
          <w:tab w:val="num" w:pos="938"/>
        </w:tabs>
        <w:ind w:firstLine="578"/>
      </w:pPr>
      <w:rPr>
        <w:rFonts w:cs="Times New Roman"/>
      </w:rPr>
    </w:lvl>
  </w:abstractNum>
  <w:abstractNum w:abstractNumId="6">
    <w:nsid w:val="23F80C8A"/>
    <w:multiLevelType w:val="hybridMultilevel"/>
    <w:tmpl w:val="742678E2"/>
    <w:lvl w:ilvl="0" w:tplc="3D22D044">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269E2785"/>
    <w:multiLevelType w:val="hybridMultilevel"/>
    <w:tmpl w:val="F7EEF7FE"/>
    <w:lvl w:ilvl="0" w:tplc="04070015">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nsid w:val="3D1B7442"/>
    <w:multiLevelType w:val="hybridMultilevel"/>
    <w:tmpl w:val="AC640FA6"/>
    <w:lvl w:ilvl="0" w:tplc="D28270CE">
      <w:start w:val="1"/>
      <w:numFmt w:val="upperLetter"/>
      <w:pStyle w:val="CH2"/>
      <w:lvlText w:val="%1."/>
      <w:lvlJc w:val="left"/>
      <w:pPr>
        <w:tabs>
          <w:tab w:val="num" w:pos="578"/>
        </w:tabs>
        <w:ind w:left="578"/>
      </w:pPr>
      <w:rPr>
        <w:rFonts w:ascii="Times New Roman" w:hAnsi="Times New Roman" w:cs="Times New Roman" w:hint="default"/>
        <w:b/>
        <w:i w:val="0"/>
        <w:sz w:val="24"/>
        <w:szCs w:val="24"/>
      </w:rPr>
    </w:lvl>
    <w:lvl w:ilvl="1" w:tplc="04090019" w:tentative="1">
      <w:start w:val="1"/>
      <w:numFmt w:val="lowerLetter"/>
      <w:lvlText w:val="%2."/>
      <w:lvlJc w:val="left"/>
      <w:pPr>
        <w:tabs>
          <w:tab w:val="num" w:pos="2494"/>
        </w:tabs>
        <w:ind w:left="2494" w:hanging="360"/>
      </w:pPr>
      <w:rPr>
        <w:rFonts w:cs="Times New Roman"/>
      </w:rPr>
    </w:lvl>
    <w:lvl w:ilvl="2" w:tplc="0409001B" w:tentative="1">
      <w:start w:val="1"/>
      <w:numFmt w:val="lowerRoman"/>
      <w:lvlText w:val="%3."/>
      <w:lvlJc w:val="right"/>
      <w:pPr>
        <w:tabs>
          <w:tab w:val="num" w:pos="3214"/>
        </w:tabs>
        <w:ind w:left="3214" w:hanging="180"/>
      </w:pPr>
      <w:rPr>
        <w:rFonts w:cs="Times New Roman"/>
      </w:rPr>
    </w:lvl>
    <w:lvl w:ilvl="3" w:tplc="0409000F" w:tentative="1">
      <w:start w:val="1"/>
      <w:numFmt w:val="decimal"/>
      <w:lvlText w:val="%4."/>
      <w:lvlJc w:val="left"/>
      <w:pPr>
        <w:tabs>
          <w:tab w:val="num" w:pos="3934"/>
        </w:tabs>
        <w:ind w:left="3934" w:hanging="360"/>
      </w:pPr>
      <w:rPr>
        <w:rFonts w:cs="Times New Roman"/>
      </w:rPr>
    </w:lvl>
    <w:lvl w:ilvl="4" w:tplc="04090019" w:tentative="1">
      <w:start w:val="1"/>
      <w:numFmt w:val="lowerLetter"/>
      <w:lvlText w:val="%5."/>
      <w:lvlJc w:val="left"/>
      <w:pPr>
        <w:tabs>
          <w:tab w:val="num" w:pos="4654"/>
        </w:tabs>
        <w:ind w:left="4654" w:hanging="360"/>
      </w:pPr>
      <w:rPr>
        <w:rFonts w:cs="Times New Roman"/>
      </w:rPr>
    </w:lvl>
    <w:lvl w:ilvl="5" w:tplc="0409001B" w:tentative="1">
      <w:start w:val="1"/>
      <w:numFmt w:val="lowerRoman"/>
      <w:lvlText w:val="%6."/>
      <w:lvlJc w:val="right"/>
      <w:pPr>
        <w:tabs>
          <w:tab w:val="num" w:pos="5374"/>
        </w:tabs>
        <w:ind w:left="5374" w:hanging="180"/>
      </w:pPr>
      <w:rPr>
        <w:rFonts w:cs="Times New Roman"/>
      </w:rPr>
    </w:lvl>
    <w:lvl w:ilvl="6" w:tplc="0409000F" w:tentative="1">
      <w:start w:val="1"/>
      <w:numFmt w:val="decimal"/>
      <w:lvlText w:val="%7."/>
      <w:lvlJc w:val="left"/>
      <w:pPr>
        <w:tabs>
          <w:tab w:val="num" w:pos="6094"/>
        </w:tabs>
        <w:ind w:left="6094" w:hanging="360"/>
      </w:pPr>
      <w:rPr>
        <w:rFonts w:cs="Times New Roman"/>
      </w:rPr>
    </w:lvl>
    <w:lvl w:ilvl="7" w:tplc="04090019" w:tentative="1">
      <w:start w:val="1"/>
      <w:numFmt w:val="lowerLetter"/>
      <w:lvlText w:val="%8."/>
      <w:lvlJc w:val="left"/>
      <w:pPr>
        <w:tabs>
          <w:tab w:val="num" w:pos="6814"/>
        </w:tabs>
        <w:ind w:left="6814" w:hanging="360"/>
      </w:pPr>
      <w:rPr>
        <w:rFonts w:cs="Times New Roman"/>
      </w:rPr>
    </w:lvl>
    <w:lvl w:ilvl="8" w:tplc="0409001B" w:tentative="1">
      <w:start w:val="1"/>
      <w:numFmt w:val="lowerRoman"/>
      <w:lvlText w:val="%9."/>
      <w:lvlJc w:val="right"/>
      <w:pPr>
        <w:tabs>
          <w:tab w:val="num" w:pos="7534"/>
        </w:tabs>
        <w:ind w:left="7534" w:hanging="180"/>
      </w:pPr>
      <w:rPr>
        <w:rFonts w:cs="Times New Roman"/>
      </w:rPr>
    </w:lvl>
  </w:abstractNum>
  <w:abstractNum w:abstractNumId="9">
    <w:nsid w:val="439F7343"/>
    <w:multiLevelType w:val="hybridMultilevel"/>
    <w:tmpl w:val="66F0A1A8"/>
    <w:lvl w:ilvl="0" w:tplc="26F26FC2">
      <w:start w:val="1"/>
      <w:numFmt w:val="bullet"/>
      <w:lvlText w:val=""/>
      <w:lvlJc w:val="left"/>
      <w:pPr>
        <w:tabs>
          <w:tab w:val="num" w:pos="2880"/>
        </w:tabs>
        <w:ind w:left="2880" w:hanging="436"/>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0">
    <w:nsid w:val="4D270DD1"/>
    <w:multiLevelType w:val="hybridMultilevel"/>
    <w:tmpl w:val="86E69B6A"/>
    <w:lvl w:ilvl="0" w:tplc="B234071E">
      <w:start w:val="1"/>
      <w:numFmt w:val="decimal"/>
      <w:lvlText w:val="%1."/>
      <w:lvlJc w:val="left"/>
      <w:pPr>
        <w:ind w:left="990" w:hanging="63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4EB24BD9"/>
    <w:multiLevelType w:val="hybridMultilevel"/>
    <w:tmpl w:val="2A1CB762"/>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13">
    <w:nsid w:val="52A66A9D"/>
    <w:multiLevelType w:val="multilevel"/>
    <w:tmpl w:val="48241D10"/>
    <w:styleLink w:val="Normallist"/>
    <w:lvl w:ilvl="0">
      <w:start w:val="1"/>
      <w:numFmt w:val="decimal"/>
      <w:pStyle w:val="Normalnumber"/>
      <w:lvlText w:val="%1."/>
      <w:lvlJc w:val="left"/>
      <w:pPr>
        <w:tabs>
          <w:tab w:val="num" w:pos="568"/>
        </w:tabs>
        <w:ind w:left="1248"/>
      </w:pPr>
      <w:rPr>
        <w:rFonts w:cs="Times New Roman" w:hint="default"/>
      </w:rPr>
    </w:lvl>
    <w:lvl w:ilvl="1">
      <w:start w:val="1"/>
      <w:numFmt w:val="lowerLetter"/>
      <w:lvlText w:val="(%2)"/>
      <w:lvlJc w:val="left"/>
      <w:pPr>
        <w:tabs>
          <w:tab w:val="num" w:pos="568"/>
        </w:tabs>
        <w:ind w:left="1248" w:firstLine="567"/>
      </w:pPr>
      <w:rPr>
        <w:rFonts w:cs="Times New Roman" w:hint="default"/>
      </w:rPr>
    </w:lvl>
    <w:lvl w:ilvl="2">
      <w:start w:val="1"/>
      <w:numFmt w:val="lowerRoman"/>
      <w:lvlText w:val="(%3)"/>
      <w:lvlJc w:val="left"/>
      <w:pPr>
        <w:tabs>
          <w:tab w:val="num" w:pos="568"/>
        </w:tabs>
        <w:ind w:left="2949" w:hanging="567"/>
      </w:pPr>
      <w:rPr>
        <w:rFonts w:cs="Times New Roman" w:hint="default"/>
      </w:rPr>
    </w:lvl>
    <w:lvl w:ilvl="3">
      <w:start w:val="1"/>
      <w:numFmt w:val="lowerLetter"/>
      <w:lvlText w:val="%4."/>
      <w:lvlJc w:val="left"/>
      <w:pPr>
        <w:tabs>
          <w:tab w:val="num" w:pos="568"/>
        </w:tabs>
        <w:ind w:left="3516" w:hanging="567"/>
      </w:pPr>
      <w:rPr>
        <w:rFonts w:cs="Times New Roman" w:hint="default"/>
      </w:rPr>
    </w:lvl>
    <w:lvl w:ilvl="4">
      <w:start w:val="1"/>
      <w:numFmt w:val="lowerLetter"/>
      <w:lvlText w:val="%5."/>
      <w:lvlJc w:val="left"/>
      <w:pPr>
        <w:tabs>
          <w:tab w:val="num" w:pos="6549"/>
        </w:tabs>
        <w:ind w:left="6549" w:hanging="360"/>
      </w:pPr>
      <w:rPr>
        <w:rFonts w:cs="Times New Roman" w:hint="default"/>
      </w:rPr>
    </w:lvl>
    <w:lvl w:ilvl="5">
      <w:start w:val="1"/>
      <w:numFmt w:val="lowerRoman"/>
      <w:lvlText w:val="%6."/>
      <w:lvlJc w:val="right"/>
      <w:pPr>
        <w:tabs>
          <w:tab w:val="num" w:pos="7269"/>
        </w:tabs>
        <w:ind w:left="7269" w:hanging="180"/>
      </w:pPr>
      <w:rPr>
        <w:rFonts w:cs="Times New Roman" w:hint="default"/>
      </w:rPr>
    </w:lvl>
    <w:lvl w:ilvl="6">
      <w:start w:val="1"/>
      <w:numFmt w:val="decimal"/>
      <w:lvlText w:val="%7."/>
      <w:lvlJc w:val="left"/>
      <w:pPr>
        <w:tabs>
          <w:tab w:val="num" w:pos="7989"/>
        </w:tabs>
        <w:ind w:left="7989" w:hanging="360"/>
      </w:pPr>
      <w:rPr>
        <w:rFonts w:cs="Times New Roman" w:hint="default"/>
      </w:rPr>
    </w:lvl>
    <w:lvl w:ilvl="7">
      <w:start w:val="1"/>
      <w:numFmt w:val="lowerLetter"/>
      <w:lvlText w:val="%8."/>
      <w:lvlJc w:val="left"/>
      <w:pPr>
        <w:tabs>
          <w:tab w:val="num" w:pos="8709"/>
        </w:tabs>
        <w:ind w:left="8709" w:hanging="360"/>
      </w:pPr>
      <w:rPr>
        <w:rFonts w:cs="Times New Roman" w:hint="default"/>
      </w:rPr>
    </w:lvl>
    <w:lvl w:ilvl="8">
      <w:start w:val="1"/>
      <w:numFmt w:val="lowerRoman"/>
      <w:lvlText w:val="%9."/>
      <w:lvlJc w:val="right"/>
      <w:pPr>
        <w:tabs>
          <w:tab w:val="num" w:pos="9429"/>
        </w:tabs>
        <w:ind w:left="9429" w:hanging="180"/>
      </w:pPr>
      <w:rPr>
        <w:rFonts w:cs="Times New Roman" w:hint="default"/>
      </w:rPr>
    </w:lvl>
  </w:abstractNum>
  <w:abstractNum w:abstractNumId="14">
    <w:nsid w:val="56D9100B"/>
    <w:multiLevelType w:val="hybridMultilevel"/>
    <w:tmpl w:val="7834EB9A"/>
    <w:lvl w:ilvl="0" w:tplc="3DA40C7E">
      <w:start w:val="1"/>
      <w:numFmt w:val="lowerLetter"/>
      <w:pStyle w:val="CH4"/>
      <w:lvlText w:val="(%1)"/>
      <w:lvlJc w:val="left"/>
      <w:pPr>
        <w:tabs>
          <w:tab w:val="num" w:pos="0"/>
        </w:tabs>
        <w:ind w:left="578"/>
      </w:pPr>
      <w:rPr>
        <w:rFonts w:ascii="Times New Roman" w:hAnsi="Times New Roman"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67500F"/>
    <w:multiLevelType w:val="hybridMultilevel"/>
    <w:tmpl w:val="E7F077DA"/>
    <w:lvl w:ilvl="0" w:tplc="2B00FC1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5DA55F12"/>
    <w:multiLevelType w:val="hybridMultilevel"/>
    <w:tmpl w:val="1B284998"/>
    <w:lvl w:ilvl="0" w:tplc="0E263F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EB5C74"/>
    <w:multiLevelType w:val="hybridMultilevel"/>
    <w:tmpl w:val="9F46F162"/>
    <w:lvl w:ilvl="0" w:tplc="F62822CE">
      <w:start w:val="1"/>
      <w:numFmt w:val="decimal"/>
      <w:lvlText w:val="%1."/>
      <w:lvlJc w:val="left"/>
      <w:pPr>
        <w:tabs>
          <w:tab w:val="num" w:pos="720"/>
        </w:tabs>
        <w:ind w:left="720" w:hanging="360"/>
      </w:pPr>
      <w:rPr>
        <w:rFonts w:cs="Times New Roman"/>
        <w:i w:val="0"/>
        <w:iC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66412268"/>
    <w:multiLevelType w:val="hybridMultilevel"/>
    <w:tmpl w:val="3E6AF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8C7099"/>
    <w:multiLevelType w:val="hybridMultilevel"/>
    <w:tmpl w:val="472CEEAA"/>
    <w:lvl w:ilvl="0" w:tplc="9FD8C9C2">
      <w:start w:val="1"/>
      <w:numFmt w:val="decimal"/>
      <w:pStyle w:val="CH3"/>
      <w:lvlText w:val="%1."/>
      <w:lvlJc w:val="left"/>
      <w:pPr>
        <w:tabs>
          <w:tab w:val="num" w:pos="578"/>
        </w:tabs>
        <w:ind w:left="578"/>
      </w:pPr>
      <w:rPr>
        <w:rFonts w:ascii="Times New Roman" w:hAnsi="Times New Roman"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19D6717"/>
    <w:multiLevelType w:val="multilevel"/>
    <w:tmpl w:val="8B941134"/>
    <w:styleLink w:val="StilNummerert10pt2"/>
    <w:lvl w:ilvl="0">
      <w:start w:val="1"/>
      <w:numFmt w:val="lowerLetter"/>
      <w:lvlText w:val="(%1)"/>
      <w:lvlJc w:val="left"/>
      <w:pPr>
        <w:tabs>
          <w:tab w:val="num" w:pos="720"/>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8482B9B"/>
    <w:multiLevelType w:val="hybridMultilevel"/>
    <w:tmpl w:val="4B069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num w:numId="1">
    <w:abstractNumId w:val="22"/>
  </w:num>
  <w:num w:numId="2">
    <w:abstractNumId w:val="5"/>
  </w:num>
  <w:num w:numId="3">
    <w:abstractNumId w:val="0"/>
    <w:lvlOverride w:ilvl="0">
      <w:startOverride w:val="1"/>
    </w:lvlOverride>
  </w:num>
  <w:num w:numId="4">
    <w:abstractNumId w:val="8"/>
  </w:num>
  <w:num w:numId="5">
    <w:abstractNumId w:val="19"/>
  </w:num>
  <w:num w:numId="6">
    <w:abstractNumId w:val="14"/>
  </w:num>
  <w:num w:numId="7">
    <w:abstractNumId w:val="5"/>
  </w:num>
  <w:num w:numId="8">
    <w:abstractNumId w:val="12"/>
  </w:num>
  <w:num w:numId="9">
    <w:abstractNumId w:val="9"/>
  </w:num>
  <w:num w:numId="10">
    <w:abstractNumId w:val="20"/>
  </w:num>
  <w:num w:numId="11">
    <w:abstractNumId w:val="10"/>
  </w:num>
  <w:num w:numId="12">
    <w:abstractNumId w:val="13"/>
  </w:num>
  <w:num w:numId="13">
    <w:abstractNumId w:val="2"/>
  </w:num>
  <w:num w:numId="14">
    <w:abstractNumId w:val="16"/>
  </w:num>
  <w:num w:numId="15">
    <w:abstractNumId w:val="4"/>
  </w:num>
  <w:num w:numId="16">
    <w:abstractNumId w:val="17"/>
  </w:num>
  <w:num w:numId="17">
    <w:abstractNumId w:val="6"/>
  </w:num>
  <w:num w:numId="18">
    <w:abstractNumId w:val="1"/>
  </w:num>
  <w:num w:numId="19">
    <w:abstractNumId w:val="7"/>
  </w:num>
  <w:num w:numId="20">
    <w:abstractNumId w:val="3"/>
  </w:num>
  <w:num w:numId="21">
    <w:abstractNumId w:val="15"/>
  </w:num>
  <w:num w:numId="22">
    <w:abstractNumId w:val="18"/>
  </w:num>
  <w:num w:numId="23">
    <w:abstractNumId w:val="21"/>
  </w:num>
  <w:num w:numId="24">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624"/>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POPRC2"/>
  </w:docVars>
  <w:rsids>
    <w:rsidRoot w:val="00913E1E"/>
    <w:rsid w:val="00002163"/>
    <w:rsid w:val="00005C93"/>
    <w:rsid w:val="00005DD1"/>
    <w:rsid w:val="0001041D"/>
    <w:rsid w:val="00012D56"/>
    <w:rsid w:val="00014502"/>
    <w:rsid w:val="0001498E"/>
    <w:rsid w:val="000177EB"/>
    <w:rsid w:val="00017AEA"/>
    <w:rsid w:val="000308DB"/>
    <w:rsid w:val="000345D7"/>
    <w:rsid w:val="0003519B"/>
    <w:rsid w:val="000359E5"/>
    <w:rsid w:val="00035B1E"/>
    <w:rsid w:val="000361D4"/>
    <w:rsid w:val="000503AE"/>
    <w:rsid w:val="00065EA3"/>
    <w:rsid w:val="00065FB8"/>
    <w:rsid w:val="000661A5"/>
    <w:rsid w:val="000714F0"/>
    <w:rsid w:val="0008124E"/>
    <w:rsid w:val="00081E1D"/>
    <w:rsid w:val="00086F02"/>
    <w:rsid w:val="000A1C1E"/>
    <w:rsid w:val="000A75AF"/>
    <w:rsid w:val="000C3EB7"/>
    <w:rsid w:val="000D1383"/>
    <w:rsid w:val="000F2971"/>
    <w:rsid w:val="000F70FD"/>
    <w:rsid w:val="00104880"/>
    <w:rsid w:val="00116FA3"/>
    <w:rsid w:val="00120708"/>
    <w:rsid w:val="001218AC"/>
    <w:rsid w:val="00140912"/>
    <w:rsid w:val="00144422"/>
    <w:rsid w:val="0015098D"/>
    <w:rsid w:val="00160767"/>
    <w:rsid w:val="00162338"/>
    <w:rsid w:val="001728A6"/>
    <w:rsid w:val="00176488"/>
    <w:rsid w:val="00177BF0"/>
    <w:rsid w:val="00183B78"/>
    <w:rsid w:val="0019036F"/>
    <w:rsid w:val="00194F85"/>
    <w:rsid w:val="00197AD7"/>
    <w:rsid w:val="001A0095"/>
    <w:rsid w:val="001A4A6E"/>
    <w:rsid w:val="001B217A"/>
    <w:rsid w:val="001C1AC7"/>
    <w:rsid w:val="001C6FA7"/>
    <w:rsid w:val="001D31A8"/>
    <w:rsid w:val="001E0196"/>
    <w:rsid w:val="001E2795"/>
    <w:rsid w:val="001F09E9"/>
    <w:rsid w:val="001F4CCA"/>
    <w:rsid w:val="001F630F"/>
    <w:rsid w:val="00201BDA"/>
    <w:rsid w:val="002061FB"/>
    <w:rsid w:val="00211FB1"/>
    <w:rsid w:val="00213748"/>
    <w:rsid w:val="00223DAA"/>
    <w:rsid w:val="00232D3E"/>
    <w:rsid w:val="002369E7"/>
    <w:rsid w:val="00237BC6"/>
    <w:rsid w:val="00247833"/>
    <w:rsid w:val="002524A0"/>
    <w:rsid w:val="0025378C"/>
    <w:rsid w:val="002555F4"/>
    <w:rsid w:val="0025611D"/>
    <w:rsid w:val="0025616E"/>
    <w:rsid w:val="002713A0"/>
    <w:rsid w:val="00271C8F"/>
    <w:rsid w:val="002746F6"/>
    <w:rsid w:val="002812C9"/>
    <w:rsid w:val="00281BD0"/>
    <w:rsid w:val="00290D4E"/>
    <w:rsid w:val="0029262F"/>
    <w:rsid w:val="0029499D"/>
    <w:rsid w:val="002A232F"/>
    <w:rsid w:val="002A6EEA"/>
    <w:rsid w:val="002B5973"/>
    <w:rsid w:val="002C25DA"/>
    <w:rsid w:val="002C31E8"/>
    <w:rsid w:val="002D539A"/>
    <w:rsid w:val="002D6DFE"/>
    <w:rsid w:val="002D6FDF"/>
    <w:rsid w:val="002E0510"/>
    <w:rsid w:val="002E2355"/>
    <w:rsid w:val="002F2D61"/>
    <w:rsid w:val="002F4282"/>
    <w:rsid w:val="002F5AF9"/>
    <w:rsid w:val="002F7581"/>
    <w:rsid w:val="003106BC"/>
    <w:rsid w:val="00313EB7"/>
    <w:rsid w:val="00317A3A"/>
    <w:rsid w:val="0032649B"/>
    <w:rsid w:val="0033629B"/>
    <w:rsid w:val="003376E5"/>
    <w:rsid w:val="00350273"/>
    <w:rsid w:val="00351392"/>
    <w:rsid w:val="00365A57"/>
    <w:rsid w:val="00367D3E"/>
    <w:rsid w:val="0037017E"/>
    <w:rsid w:val="0037120E"/>
    <w:rsid w:val="00375288"/>
    <w:rsid w:val="00375AD3"/>
    <w:rsid w:val="003841F8"/>
    <w:rsid w:val="0039233D"/>
    <w:rsid w:val="00393826"/>
    <w:rsid w:val="00394A94"/>
    <w:rsid w:val="0039637D"/>
    <w:rsid w:val="003967C4"/>
    <w:rsid w:val="003A0D19"/>
    <w:rsid w:val="003A18B1"/>
    <w:rsid w:val="003A4B7E"/>
    <w:rsid w:val="003A4D8F"/>
    <w:rsid w:val="003C4855"/>
    <w:rsid w:val="003C6485"/>
    <w:rsid w:val="003C717F"/>
    <w:rsid w:val="003D1E68"/>
    <w:rsid w:val="003D6399"/>
    <w:rsid w:val="003E2295"/>
    <w:rsid w:val="003E5AD1"/>
    <w:rsid w:val="003F074F"/>
    <w:rsid w:val="003F14D5"/>
    <w:rsid w:val="003F1F27"/>
    <w:rsid w:val="003F78EE"/>
    <w:rsid w:val="00401F3D"/>
    <w:rsid w:val="00420716"/>
    <w:rsid w:val="00423164"/>
    <w:rsid w:val="0042533D"/>
    <w:rsid w:val="0043209C"/>
    <w:rsid w:val="00433B5F"/>
    <w:rsid w:val="00440D39"/>
    <w:rsid w:val="0044190F"/>
    <w:rsid w:val="0044229B"/>
    <w:rsid w:val="00452608"/>
    <w:rsid w:val="004608B7"/>
    <w:rsid w:val="00475F90"/>
    <w:rsid w:val="00476C19"/>
    <w:rsid w:val="00480B60"/>
    <w:rsid w:val="004829C7"/>
    <w:rsid w:val="00483574"/>
    <w:rsid w:val="00484ED6"/>
    <w:rsid w:val="00492306"/>
    <w:rsid w:val="00494DBF"/>
    <w:rsid w:val="004A3772"/>
    <w:rsid w:val="004A4977"/>
    <w:rsid w:val="004B10A1"/>
    <w:rsid w:val="004C3373"/>
    <w:rsid w:val="004C7A9F"/>
    <w:rsid w:val="004D0201"/>
    <w:rsid w:val="004D1975"/>
    <w:rsid w:val="004D29E0"/>
    <w:rsid w:val="004D42DB"/>
    <w:rsid w:val="004D6903"/>
    <w:rsid w:val="004D7F90"/>
    <w:rsid w:val="004E0512"/>
    <w:rsid w:val="004E2572"/>
    <w:rsid w:val="004F00C1"/>
    <w:rsid w:val="004F44CF"/>
    <w:rsid w:val="004F6C4D"/>
    <w:rsid w:val="00500BC5"/>
    <w:rsid w:val="00503244"/>
    <w:rsid w:val="00513E53"/>
    <w:rsid w:val="00517655"/>
    <w:rsid w:val="00524DBC"/>
    <w:rsid w:val="00534410"/>
    <w:rsid w:val="005351B6"/>
    <w:rsid w:val="005363AE"/>
    <w:rsid w:val="00537BDD"/>
    <w:rsid w:val="00537CE4"/>
    <w:rsid w:val="0054183B"/>
    <w:rsid w:val="00556FCE"/>
    <w:rsid w:val="0056586A"/>
    <w:rsid w:val="00572110"/>
    <w:rsid w:val="00574F9D"/>
    <w:rsid w:val="0058367F"/>
    <w:rsid w:val="005857A9"/>
    <w:rsid w:val="00592A1E"/>
    <w:rsid w:val="005A4060"/>
    <w:rsid w:val="005A691F"/>
    <w:rsid w:val="005A7A77"/>
    <w:rsid w:val="005C1311"/>
    <w:rsid w:val="005C3F42"/>
    <w:rsid w:val="005E0E7E"/>
    <w:rsid w:val="005E1BF1"/>
    <w:rsid w:val="005E2F18"/>
    <w:rsid w:val="005E3577"/>
    <w:rsid w:val="005E645E"/>
    <w:rsid w:val="005F04B6"/>
    <w:rsid w:val="005F7380"/>
    <w:rsid w:val="006027F3"/>
    <w:rsid w:val="006032B8"/>
    <w:rsid w:val="0060337C"/>
    <w:rsid w:val="00612446"/>
    <w:rsid w:val="0061270E"/>
    <w:rsid w:val="006138DF"/>
    <w:rsid w:val="006153D1"/>
    <w:rsid w:val="00624AF0"/>
    <w:rsid w:val="00644B8F"/>
    <w:rsid w:val="00646C2C"/>
    <w:rsid w:val="00657DE1"/>
    <w:rsid w:val="0066102A"/>
    <w:rsid w:val="006630B4"/>
    <w:rsid w:val="00667455"/>
    <w:rsid w:val="00672EBF"/>
    <w:rsid w:val="0068228C"/>
    <w:rsid w:val="00683CC5"/>
    <w:rsid w:val="00684CE6"/>
    <w:rsid w:val="00685CB0"/>
    <w:rsid w:val="006869A4"/>
    <w:rsid w:val="00687B76"/>
    <w:rsid w:val="0069056C"/>
    <w:rsid w:val="00692AC4"/>
    <w:rsid w:val="00693DDF"/>
    <w:rsid w:val="00694532"/>
    <w:rsid w:val="006A2CEE"/>
    <w:rsid w:val="006A6429"/>
    <w:rsid w:val="006B1183"/>
    <w:rsid w:val="006B63DA"/>
    <w:rsid w:val="006C3C9A"/>
    <w:rsid w:val="006C6B52"/>
    <w:rsid w:val="006C6C14"/>
    <w:rsid w:val="006D0C76"/>
    <w:rsid w:val="006E275B"/>
    <w:rsid w:val="006E598B"/>
    <w:rsid w:val="006E7120"/>
    <w:rsid w:val="006F0ED7"/>
    <w:rsid w:val="006F20AA"/>
    <w:rsid w:val="006F36DA"/>
    <w:rsid w:val="006F581D"/>
    <w:rsid w:val="00705B43"/>
    <w:rsid w:val="00712221"/>
    <w:rsid w:val="00721C09"/>
    <w:rsid w:val="007242F9"/>
    <w:rsid w:val="00725D11"/>
    <w:rsid w:val="00727AC0"/>
    <w:rsid w:val="00735078"/>
    <w:rsid w:val="0073687E"/>
    <w:rsid w:val="00744D0F"/>
    <w:rsid w:val="00755350"/>
    <w:rsid w:val="007606A3"/>
    <w:rsid w:val="0076190D"/>
    <w:rsid w:val="00766782"/>
    <w:rsid w:val="00782B24"/>
    <w:rsid w:val="00795D2B"/>
    <w:rsid w:val="00797075"/>
    <w:rsid w:val="007A14F2"/>
    <w:rsid w:val="007B0D07"/>
    <w:rsid w:val="007B14C1"/>
    <w:rsid w:val="007B2370"/>
    <w:rsid w:val="007B3AE9"/>
    <w:rsid w:val="007B40C1"/>
    <w:rsid w:val="007B66EC"/>
    <w:rsid w:val="007C7A58"/>
    <w:rsid w:val="007D10E8"/>
    <w:rsid w:val="007D690A"/>
    <w:rsid w:val="007E1FA0"/>
    <w:rsid w:val="008002C8"/>
    <w:rsid w:val="00807E6A"/>
    <w:rsid w:val="0082381F"/>
    <w:rsid w:val="00827513"/>
    <w:rsid w:val="00834889"/>
    <w:rsid w:val="00834944"/>
    <w:rsid w:val="008366F2"/>
    <w:rsid w:val="00840272"/>
    <w:rsid w:val="00850726"/>
    <w:rsid w:val="008508A3"/>
    <w:rsid w:val="00850E69"/>
    <w:rsid w:val="00856DDC"/>
    <w:rsid w:val="0087785C"/>
    <w:rsid w:val="00877895"/>
    <w:rsid w:val="00891C1C"/>
    <w:rsid w:val="00893921"/>
    <w:rsid w:val="008B471C"/>
    <w:rsid w:val="008B52D8"/>
    <w:rsid w:val="008C0C7C"/>
    <w:rsid w:val="008C4B26"/>
    <w:rsid w:val="008C6111"/>
    <w:rsid w:val="008C79F8"/>
    <w:rsid w:val="008E2B20"/>
    <w:rsid w:val="008E32B5"/>
    <w:rsid w:val="008F2C14"/>
    <w:rsid w:val="008F6767"/>
    <w:rsid w:val="009048EB"/>
    <w:rsid w:val="0091139F"/>
    <w:rsid w:val="00913E1E"/>
    <w:rsid w:val="00932713"/>
    <w:rsid w:val="00936120"/>
    <w:rsid w:val="009467F8"/>
    <w:rsid w:val="009564B8"/>
    <w:rsid w:val="009617C1"/>
    <w:rsid w:val="009715D8"/>
    <w:rsid w:val="00974256"/>
    <w:rsid w:val="0097566D"/>
    <w:rsid w:val="00981476"/>
    <w:rsid w:val="009850CB"/>
    <w:rsid w:val="009A04A6"/>
    <w:rsid w:val="009A52BD"/>
    <w:rsid w:val="009B1D97"/>
    <w:rsid w:val="009B51B0"/>
    <w:rsid w:val="009C304F"/>
    <w:rsid w:val="009D3A24"/>
    <w:rsid w:val="009D5D26"/>
    <w:rsid w:val="009D6952"/>
    <w:rsid w:val="009E3021"/>
    <w:rsid w:val="009E3A1E"/>
    <w:rsid w:val="009F2B24"/>
    <w:rsid w:val="009F6918"/>
    <w:rsid w:val="00A02BFF"/>
    <w:rsid w:val="00A03246"/>
    <w:rsid w:val="00A04F06"/>
    <w:rsid w:val="00A16981"/>
    <w:rsid w:val="00A17AA0"/>
    <w:rsid w:val="00A40840"/>
    <w:rsid w:val="00A434A6"/>
    <w:rsid w:val="00A507B9"/>
    <w:rsid w:val="00A532CA"/>
    <w:rsid w:val="00A563AA"/>
    <w:rsid w:val="00A67282"/>
    <w:rsid w:val="00A67834"/>
    <w:rsid w:val="00A67959"/>
    <w:rsid w:val="00A70747"/>
    <w:rsid w:val="00A81979"/>
    <w:rsid w:val="00A81FC2"/>
    <w:rsid w:val="00A83DF4"/>
    <w:rsid w:val="00A85831"/>
    <w:rsid w:val="00A96DCD"/>
    <w:rsid w:val="00AA7125"/>
    <w:rsid w:val="00AB00EA"/>
    <w:rsid w:val="00AB39D3"/>
    <w:rsid w:val="00AD43A1"/>
    <w:rsid w:val="00AE0B0D"/>
    <w:rsid w:val="00AF255B"/>
    <w:rsid w:val="00B014C3"/>
    <w:rsid w:val="00B04A89"/>
    <w:rsid w:val="00B1005D"/>
    <w:rsid w:val="00B10C8B"/>
    <w:rsid w:val="00B1356D"/>
    <w:rsid w:val="00B22287"/>
    <w:rsid w:val="00B57C98"/>
    <w:rsid w:val="00B603CA"/>
    <w:rsid w:val="00B6793B"/>
    <w:rsid w:val="00B73993"/>
    <w:rsid w:val="00B74C73"/>
    <w:rsid w:val="00B80ECB"/>
    <w:rsid w:val="00B82265"/>
    <w:rsid w:val="00B9176B"/>
    <w:rsid w:val="00BA05CB"/>
    <w:rsid w:val="00BB40AE"/>
    <w:rsid w:val="00BC7F41"/>
    <w:rsid w:val="00BD6308"/>
    <w:rsid w:val="00BD7A9C"/>
    <w:rsid w:val="00BE42D0"/>
    <w:rsid w:val="00BF0864"/>
    <w:rsid w:val="00C01706"/>
    <w:rsid w:val="00C03518"/>
    <w:rsid w:val="00C0422E"/>
    <w:rsid w:val="00C10427"/>
    <w:rsid w:val="00C20E16"/>
    <w:rsid w:val="00C257CB"/>
    <w:rsid w:val="00C606D1"/>
    <w:rsid w:val="00C63173"/>
    <w:rsid w:val="00C71B30"/>
    <w:rsid w:val="00C738B1"/>
    <w:rsid w:val="00C75B3B"/>
    <w:rsid w:val="00C777C0"/>
    <w:rsid w:val="00C77B6B"/>
    <w:rsid w:val="00C86F06"/>
    <w:rsid w:val="00C90453"/>
    <w:rsid w:val="00C95AE0"/>
    <w:rsid w:val="00C96AFA"/>
    <w:rsid w:val="00CA1A34"/>
    <w:rsid w:val="00CA62BD"/>
    <w:rsid w:val="00CA73C6"/>
    <w:rsid w:val="00CB0B1A"/>
    <w:rsid w:val="00CB5147"/>
    <w:rsid w:val="00CB6997"/>
    <w:rsid w:val="00CD108E"/>
    <w:rsid w:val="00CD582F"/>
    <w:rsid w:val="00CF7245"/>
    <w:rsid w:val="00D230B7"/>
    <w:rsid w:val="00D24FDD"/>
    <w:rsid w:val="00D33529"/>
    <w:rsid w:val="00D346CC"/>
    <w:rsid w:val="00D34DC4"/>
    <w:rsid w:val="00D37847"/>
    <w:rsid w:val="00D40EC2"/>
    <w:rsid w:val="00D44C0D"/>
    <w:rsid w:val="00D44D07"/>
    <w:rsid w:val="00D471D0"/>
    <w:rsid w:val="00D4790F"/>
    <w:rsid w:val="00D526C9"/>
    <w:rsid w:val="00D52FFE"/>
    <w:rsid w:val="00D55D3A"/>
    <w:rsid w:val="00D56EEC"/>
    <w:rsid w:val="00D75420"/>
    <w:rsid w:val="00D76894"/>
    <w:rsid w:val="00D85DF0"/>
    <w:rsid w:val="00D91218"/>
    <w:rsid w:val="00DB0156"/>
    <w:rsid w:val="00DB4ED9"/>
    <w:rsid w:val="00DB75AF"/>
    <w:rsid w:val="00DC1C50"/>
    <w:rsid w:val="00DC505F"/>
    <w:rsid w:val="00DD2789"/>
    <w:rsid w:val="00DD7620"/>
    <w:rsid w:val="00DF0ADF"/>
    <w:rsid w:val="00DF5CDE"/>
    <w:rsid w:val="00E03BA9"/>
    <w:rsid w:val="00E124F3"/>
    <w:rsid w:val="00E15BA4"/>
    <w:rsid w:val="00E20A89"/>
    <w:rsid w:val="00E23843"/>
    <w:rsid w:val="00E36259"/>
    <w:rsid w:val="00E37912"/>
    <w:rsid w:val="00E37C15"/>
    <w:rsid w:val="00E51F52"/>
    <w:rsid w:val="00E615B4"/>
    <w:rsid w:val="00E75380"/>
    <w:rsid w:val="00E76176"/>
    <w:rsid w:val="00E77BF9"/>
    <w:rsid w:val="00E841DB"/>
    <w:rsid w:val="00E85CD3"/>
    <w:rsid w:val="00E878F0"/>
    <w:rsid w:val="00EA21C9"/>
    <w:rsid w:val="00EA4E74"/>
    <w:rsid w:val="00EB33D0"/>
    <w:rsid w:val="00EC520E"/>
    <w:rsid w:val="00ED3C3B"/>
    <w:rsid w:val="00ED42F8"/>
    <w:rsid w:val="00ED46BE"/>
    <w:rsid w:val="00ED4BE2"/>
    <w:rsid w:val="00EE153E"/>
    <w:rsid w:val="00EE5B1B"/>
    <w:rsid w:val="00EE74AF"/>
    <w:rsid w:val="00EF74DB"/>
    <w:rsid w:val="00F02F98"/>
    <w:rsid w:val="00F10A3E"/>
    <w:rsid w:val="00F120A7"/>
    <w:rsid w:val="00F14BAC"/>
    <w:rsid w:val="00F15732"/>
    <w:rsid w:val="00F356C4"/>
    <w:rsid w:val="00F460C9"/>
    <w:rsid w:val="00F46560"/>
    <w:rsid w:val="00F55ECE"/>
    <w:rsid w:val="00F576C9"/>
    <w:rsid w:val="00F640F1"/>
    <w:rsid w:val="00F646BA"/>
    <w:rsid w:val="00F658A1"/>
    <w:rsid w:val="00F70F83"/>
    <w:rsid w:val="00F72462"/>
    <w:rsid w:val="00F804A7"/>
    <w:rsid w:val="00F805B4"/>
    <w:rsid w:val="00F8107A"/>
    <w:rsid w:val="00F84EEB"/>
    <w:rsid w:val="00F85A96"/>
    <w:rsid w:val="00F85E31"/>
    <w:rsid w:val="00F962E4"/>
    <w:rsid w:val="00FA152A"/>
    <w:rsid w:val="00FA1AB7"/>
    <w:rsid w:val="00FA2517"/>
    <w:rsid w:val="00FA5B64"/>
    <w:rsid w:val="00FB0985"/>
    <w:rsid w:val="00FB0AAC"/>
    <w:rsid w:val="00FB0EDE"/>
    <w:rsid w:val="00FB3F0E"/>
    <w:rsid w:val="00FB6D9D"/>
    <w:rsid w:val="00FC279C"/>
    <w:rsid w:val="00FD09EE"/>
    <w:rsid w:val="00FD2158"/>
    <w:rsid w:val="00FE1FAD"/>
    <w:rsid w:val="00FE38BE"/>
    <w:rsid w:val="00FE4B04"/>
    <w:rsid w:val="00FE56C8"/>
    <w:rsid w:val="00FE7E22"/>
    <w:rsid w:val="00FE7E97"/>
    <w:rsid w:val="00FF212F"/>
    <w:rsid w:val="00FF227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rules v:ext="edit">
        <o:r id="V:Rule5" type="connector" idref="#_x0000_s1030"/>
        <o:r id="V:Rule6" type="connector" idref="#_x0000_s1029"/>
        <o:r id="V:Rule7" type="connector" idref="#_x0000_s1028"/>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790F"/>
    <w:rPr>
      <w:sz w:val="24"/>
      <w:lang w:val="en-GB" w:eastAsia="en-US"/>
    </w:rPr>
  </w:style>
  <w:style w:type="paragraph" w:styleId="Heading1">
    <w:name w:val="heading 1"/>
    <w:basedOn w:val="Normal"/>
    <w:next w:val="Normal"/>
    <w:link w:val="Heading1Char"/>
    <w:uiPriority w:val="99"/>
    <w:qFormat/>
    <w:rsid w:val="00177BF0"/>
    <w:pPr>
      <w:keepNext/>
      <w:outlineLvl w:val="0"/>
    </w:pPr>
    <w:rPr>
      <w:b/>
    </w:rPr>
  </w:style>
  <w:style w:type="paragraph" w:styleId="Heading2">
    <w:name w:val="heading 2"/>
    <w:basedOn w:val="Normal"/>
    <w:next w:val="Normal"/>
    <w:link w:val="Heading2Char"/>
    <w:uiPriority w:val="99"/>
    <w:qFormat/>
    <w:rsid w:val="003D6399"/>
    <w:pPr>
      <w:keepNext/>
      <w:jc w:val="right"/>
      <w:outlineLvl w:val="1"/>
    </w:pPr>
    <w:rPr>
      <w:sz w:val="20"/>
    </w:rPr>
  </w:style>
  <w:style w:type="paragraph" w:styleId="Heading3">
    <w:name w:val="heading 3"/>
    <w:aliases w:val="Sec"/>
    <w:basedOn w:val="Normal"/>
    <w:next w:val="Normal"/>
    <w:link w:val="Heading3Char"/>
    <w:uiPriority w:val="99"/>
    <w:qFormat/>
    <w:rsid w:val="00D4790F"/>
    <w:pPr>
      <w:keepNext/>
      <w:outlineLvl w:val="2"/>
    </w:pPr>
    <w:rPr>
      <w:rFonts w:ascii="Univers" w:hAnsi="Univers"/>
      <w:b/>
      <w:sz w:val="40"/>
    </w:rPr>
  </w:style>
  <w:style w:type="paragraph" w:styleId="Heading4">
    <w:name w:val="heading 4"/>
    <w:aliases w:val="MainPara"/>
    <w:basedOn w:val="Normal"/>
    <w:next w:val="Normal"/>
    <w:link w:val="Heading4Char"/>
    <w:uiPriority w:val="99"/>
    <w:qFormat/>
    <w:rsid w:val="00D4790F"/>
    <w:pPr>
      <w:keepNext/>
      <w:outlineLvl w:val="3"/>
    </w:pPr>
    <w:rPr>
      <w:rFonts w:ascii="Univers" w:hAnsi="Univers"/>
      <w:b/>
      <w:sz w:val="32"/>
    </w:rPr>
  </w:style>
  <w:style w:type="paragraph" w:styleId="Heading5">
    <w:name w:val="heading 5"/>
    <w:basedOn w:val="Normal"/>
    <w:next w:val="Normal"/>
    <w:link w:val="Heading5Char"/>
    <w:uiPriority w:val="99"/>
    <w:qFormat/>
    <w:rsid w:val="00D4790F"/>
    <w:pPr>
      <w:keepNext/>
      <w:outlineLvl w:val="4"/>
    </w:pPr>
    <w:rPr>
      <w:rFonts w:ascii="Univers" w:hAnsi="Univers"/>
      <w:b/>
      <w:sz w:val="27"/>
    </w:rPr>
  </w:style>
  <w:style w:type="paragraph" w:styleId="Heading6">
    <w:name w:val="heading 6"/>
    <w:basedOn w:val="Normal"/>
    <w:next w:val="Normal"/>
    <w:link w:val="Heading6Char"/>
    <w:uiPriority w:val="99"/>
    <w:qFormat/>
    <w:rsid w:val="00D4790F"/>
    <w:pPr>
      <w:keepNext/>
      <w:jc w:val="center"/>
      <w:outlineLvl w:val="5"/>
    </w:pPr>
    <w:rPr>
      <w:sz w:val="22"/>
      <w:u w:val="single"/>
      <w:lang w:val="en-US"/>
    </w:rPr>
  </w:style>
  <w:style w:type="paragraph" w:styleId="Heading7">
    <w:name w:val="heading 7"/>
    <w:basedOn w:val="Normal"/>
    <w:next w:val="Normal"/>
    <w:link w:val="Heading7Char"/>
    <w:uiPriority w:val="99"/>
    <w:qFormat/>
    <w:rsid w:val="00D4790F"/>
    <w:pPr>
      <w:keepNext/>
      <w:tabs>
        <w:tab w:val="left" w:pos="578"/>
        <w:tab w:val="left" w:pos="1157"/>
        <w:tab w:val="left" w:pos="1735"/>
        <w:tab w:val="left" w:pos="2313"/>
      </w:tabs>
      <w:outlineLvl w:val="6"/>
    </w:pPr>
    <w:rPr>
      <w:b/>
      <w:iCs/>
    </w:rPr>
  </w:style>
  <w:style w:type="paragraph" w:styleId="Heading8">
    <w:name w:val="heading 8"/>
    <w:basedOn w:val="Normal"/>
    <w:next w:val="Normal"/>
    <w:link w:val="Heading8Char"/>
    <w:uiPriority w:val="99"/>
    <w:qFormat/>
    <w:rsid w:val="00D4790F"/>
    <w:pPr>
      <w:keepNext/>
      <w:tabs>
        <w:tab w:val="left" w:pos="578"/>
        <w:tab w:val="left" w:pos="1157"/>
        <w:tab w:val="left" w:pos="1735"/>
        <w:tab w:val="left" w:pos="2313"/>
      </w:tabs>
      <w:outlineLvl w:val="7"/>
    </w:pPr>
    <w:rPr>
      <w:bCs/>
      <w:i/>
      <w:iCs/>
    </w:rPr>
  </w:style>
  <w:style w:type="paragraph" w:styleId="Heading9">
    <w:name w:val="heading 9"/>
    <w:basedOn w:val="Normal"/>
    <w:next w:val="Normal"/>
    <w:link w:val="Heading9Char"/>
    <w:uiPriority w:val="99"/>
    <w:qFormat/>
    <w:rsid w:val="00D4790F"/>
    <w:pPr>
      <w:keepNext/>
      <w:tabs>
        <w:tab w:val="left" w:pos="578"/>
        <w:tab w:val="left" w:pos="1157"/>
        <w:tab w:val="left" w:pos="1735"/>
        <w:tab w:val="left" w:pos="2313"/>
      </w:tabs>
      <w:outlineLvl w:val="8"/>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7CE4"/>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537CE4"/>
    <w:rPr>
      <w:rFonts w:ascii="Cambria" w:hAnsi="Cambria" w:cs="Times New Roman"/>
      <w:b/>
      <w:bCs/>
      <w:i/>
      <w:iCs/>
      <w:sz w:val="28"/>
      <w:szCs w:val="28"/>
      <w:lang w:val="en-GB"/>
    </w:rPr>
  </w:style>
  <w:style w:type="character" w:customStyle="1" w:styleId="Heading3Char">
    <w:name w:val="Heading 3 Char"/>
    <w:aliases w:val="Sec Char"/>
    <w:link w:val="Heading3"/>
    <w:uiPriority w:val="99"/>
    <w:semiHidden/>
    <w:locked/>
    <w:rsid w:val="00537CE4"/>
    <w:rPr>
      <w:rFonts w:ascii="Cambria" w:hAnsi="Cambria" w:cs="Times New Roman"/>
      <w:b/>
      <w:bCs/>
      <w:sz w:val="26"/>
      <w:szCs w:val="26"/>
      <w:lang w:val="en-GB"/>
    </w:rPr>
  </w:style>
  <w:style w:type="character" w:customStyle="1" w:styleId="Heading4Char">
    <w:name w:val="Heading 4 Char"/>
    <w:aliases w:val="MainPara Char"/>
    <w:link w:val="Heading4"/>
    <w:uiPriority w:val="99"/>
    <w:locked/>
    <w:rsid w:val="000F2971"/>
    <w:rPr>
      <w:rFonts w:ascii="Univers" w:hAnsi="Univers" w:cs="Times New Roman"/>
      <w:b/>
      <w:sz w:val="32"/>
      <w:lang w:val="en-GB" w:eastAsia="en-US"/>
    </w:rPr>
  </w:style>
  <w:style w:type="character" w:customStyle="1" w:styleId="Heading5Char">
    <w:name w:val="Heading 5 Char"/>
    <w:link w:val="Heading5"/>
    <w:uiPriority w:val="99"/>
    <w:semiHidden/>
    <w:locked/>
    <w:rsid w:val="00537CE4"/>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537CE4"/>
    <w:rPr>
      <w:rFonts w:ascii="Calibri" w:hAnsi="Calibri" w:cs="Times New Roman"/>
      <w:b/>
      <w:bCs/>
      <w:lang w:val="en-GB"/>
    </w:rPr>
  </w:style>
  <w:style w:type="character" w:customStyle="1" w:styleId="Heading7Char">
    <w:name w:val="Heading 7 Char"/>
    <w:link w:val="Heading7"/>
    <w:uiPriority w:val="99"/>
    <w:semiHidden/>
    <w:locked/>
    <w:rsid w:val="00537CE4"/>
    <w:rPr>
      <w:rFonts w:ascii="Calibri" w:hAnsi="Calibri" w:cs="Times New Roman"/>
      <w:sz w:val="24"/>
      <w:szCs w:val="24"/>
      <w:lang w:val="en-GB"/>
    </w:rPr>
  </w:style>
  <w:style w:type="character" w:customStyle="1" w:styleId="Heading8Char">
    <w:name w:val="Heading 8 Char"/>
    <w:link w:val="Heading8"/>
    <w:uiPriority w:val="99"/>
    <w:semiHidden/>
    <w:locked/>
    <w:rsid w:val="00537CE4"/>
    <w:rPr>
      <w:rFonts w:ascii="Calibri" w:hAnsi="Calibri" w:cs="Times New Roman"/>
      <w:i/>
      <w:iCs/>
      <w:sz w:val="24"/>
      <w:szCs w:val="24"/>
      <w:lang w:val="en-GB"/>
    </w:rPr>
  </w:style>
  <w:style w:type="character" w:customStyle="1" w:styleId="Heading9Char">
    <w:name w:val="Heading 9 Char"/>
    <w:link w:val="Heading9"/>
    <w:uiPriority w:val="99"/>
    <w:semiHidden/>
    <w:locked/>
    <w:rsid w:val="00537CE4"/>
    <w:rPr>
      <w:rFonts w:ascii="Cambria" w:hAnsi="Cambria" w:cs="Times New Roman"/>
      <w:lang w:val="en-GB"/>
    </w:rPr>
  </w:style>
  <w:style w:type="paragraph" w:customStyle="1" w:styleId="Level1">
    <w:name w:val="Level1"/>
    <w:basedOn w:val="Normal"/>
    <w:uiPriority w:val="99"/>
    <w:rsid w:val="00D4790F"/>
    <w:pPr>
      <w:numPr>
        <w:numId w:val="1"/>
      </w:numPr>
      <w:tabs>
        <w:tab w:val="left" w:pos="578"/>
        <w:tab w:val="left" w:pos="1157"/>
      </w:tabs>
      <w:spacing w:after="240"/>
    </w:pPr>
    <w:rPr>
      <w:sz w:val="22"/>
    </w:rPr>
  </w:style>
  <w:style w:type="paragraph" w:styleId="Header">
    <w:name w:val="header"/>
    <w:basedOn w:val="Normal"/>
    <w:link w:val="HeaderChar"/>
    <w:uiPriority w:val="99"/>
    <w:rsid w:val="00D4790F"/>
    <w:pPr>
      <w:tabs>
        <w:tab w:val="center" w:pos="4320"/>
        <w:tab w:val="right" w:pos="8640"/>
      </w:tabs>
    </w:pPr>
    <w:rPr>
      <w:sz w:val="22"/>
    </w:rPr>
  </w:style>
  <w:style w:type="character" w:customStyle="1" w:styleId="HeaderChar">
    <w:name w:val="Header Char"/>
    <w:link w:val="Header"/>
    <w:uiPriority w:val="99"/>
    <w:locked/>
    <w:rsid w:val="00290D4E"/>
    <w:rPr>
      <w:rFonts w:cs="Times New Roman"/>
      <w:sz w:val="22"/>
      <w:lang w:val="en-GB" w:eastAsia="en-US"/>
    </w:rPr>
  </w:style>
  <w:style w:type="paragraph" w:customStyle="1" w:styleId="Style1">
    <w:name w:val="Style1"/>
    <w:basedOn w:val="Normal"/>
    <w:uiPriority w:val="99"/>
    <w:rsid w:val="00D4790F"/>
  </w:style>
  <w:style w:type="paragraph" w:styleId="FootnoteText">
    <w:name w:val="footnote text"/>
    <w:aliases w:val="Geneva 9,Font: Geneva 9,Boston 10,f,Footnote Text Char Char,Footnote Text Char Char Char Char,Footnote Text1,Footnote Text Char Char Char,Footnote Text Char"/>
    <w:basedOn w:val="Normal"/>
    <w:link w:val="FootnoteTextChar1"/>
    <w:uiPriority w:val="99"/>
    <w:semiHidden/>
    <w:rsid w:val="00D4790F"/>
    <w:rPr>
      <w:sz w:val="22"/>
    </w:rPr>
  </w:style>
  <w:style w:type="character" w:customStyle="1" w:styleId="FootnoteTextChar1">
    <w:name w:val="Footnote Text Char1"/>
    <w:aliases w:val="Geneva 9 Char,Font: Geneva 9 Char,Boston 10 Char,f Char,Footnote Text Char Char Char1,Footnote Text Char Char Char Char Char,Footnote Text1 Char,Footnote Text Char Char Char Char1,Footnote Text Char Char1"/>
    <w:link w:val="FootnoteText"/>
    <w:uiPriority w:val="99"/>
    <w:locked/>
    <w:rsid w:val="00FB6D9D"/>
    <w:rPr>
      <w:rFonts w:cs="Times New Roman"/>
      <w:sz w:val="22"/>
      <w:lang w:val="en-GB" w:eastAsia="en-US"/>
    </w:rPr>
  </w:style>
  <w:style w:type="paragraph" w:styleId="Footer">
    <w:name w:val="footer"/>
    <w:aliases w:val="Car"/>
    <w:basedOn w:val="Normal"/>
    <w:link w:val="FooterChar"/>
    <w:uiPriority w:val="99"/>
    <w:rsid w:val="00D4790F"/>
    <w:pPr>
      <w:tabs>
        <w:tab w:val="center" w:pos="4320"/>
        <w:tab w:val="right" w:pos="8640"/>
      </w:tabs>
    </w:pPr>
    <w:rPr>
      <w:sz w:val="22"/>
    </w:rPr>
  </w:style>
  <w:style w:type="character" w:customStyle="1" w:styleId="FooterChar">
    <w:name w:val="Footer Char"/>
    <w:aliases w:val="Car Char"/>
    <w:link w:val="Footer"/>
    <w:uiPriority w:val="99"/>
    <w:locked/>
    <w:rsid w:val="002F2D61"/>
    <w:rPr>
      <w:rFonts w:cs="Times New Roman"/>
      <w:sz w:val="22"/>
      <w:lang w:val="en-GB" w:eastAsia="en-US"/>
    </w:rPr>
  </w:style>
  <w:style w:type="paragraph" w:styleId="Caption">
    <w:name w:val="caption"/>
    <w:basedOn w:val="Normal"/>
    <w:next w:val="Normal"/>
    <w:uiPriority w:val="99"/>
    <w:qFormat/>
    <w:rsid w:val="00D4790F"/>
    <w:pPr>
      <w:widowControl w:val="0"/>
    </w:pPr>
  </w:style>
  <w:style w:type="character" w:styleId="PageNumber">
    <w:name w:val="page number"/>
    <w:uiPriority w:val="99"/>
    <w:rsid w:val="00D4790F"/>
    <w:rPr>
      <w:rFonts w:ascii="Times New Roman" w:hAnsi="Times New Roman" w:cs="Times New Roman"/>
      <w:sz w:val="20"/>
    </w:rPr>
  </w:style>
  <w:style w:type="paragraph" w:customStyle="1" w:styleId="main">
    <w:name w:val="main"/>
    <w:basedOn w:val="Normal"/>
    <w:autoRedefine/>
    <w:uiPriority w:val="99"/>
    <w:rsid w:val="00D4790F"/>
    <w:rPr>
      <w:b/>
      <w:sz w:val="20"/>
    </w:rPr>
  </w:style>
  <w:style w:type="character" w:styleId="FootnoteReference">
    <w:name w:val="footnote reference"/>
    <w:aliases w:val="16 Point,Superscript 6 Point,number,SUPERS,Footnote Reference Superscript"/>
    <w:uiPriority w:val="99"/>
    <w:rsid w:val="00D4790F"/>
    <w:rPr>
      <w:rFonts w:cs="Times New Roman"/>
      <w:vertAlign w:val="superscript"/>
    </w:rPr>
  </w:style>
  <w:style w:type="paragraph" w:styleId="EndnoteText">
    <w:name w:val="endnote text"/>
    <w:basedOn w:val="Normal"/>
    <w:link w:val="EndnoteTextChar"/>
    <w:uiPriority w:val="99"/>
    <w:semiHidden/>
    <w:rsid w:val="00D4790F"/>
    <w:pPr>
      <w:widowControl w:val="0"/>
    </w:pPr>
    <w:rPr>
      <w:rFonts w:ascii="Courier" w:hAnsi="Courier"/>
      <w:sz w:val="20"/>
    </w:rPr>
  </w:style>
  <w:style w:type="character" w:customStyle="1" w:styleId="EndnoteTextChar">
    <w:name w:val="Endnote Text Char"/>
    <w:link w:val="EndnoteText"/>
    <w:uiPriority w:val="99"/>
    <w:semiHidden/>
    <w:locked/>
    <w:rsid w:val="00537CE4"/>
    <w:rPr>
      <w:rFonts w:cs="Times New Roman"/>
      <w:sz w:val="20"/>
      <w:szCs w:val="20"/>
      <w:lang w:val="en-GB"/>
    </w:rPr>
  </w:style>
  <w:style w:type="paragraph" w:styleId="BlockText">
    <w:name w:val="Block Text"/>
    <w:basedOn w:val="Normal"/>
    <w:uiPriority w:val="99"/>
    <w:rsid w:val="00D4790F"/>
    <w:pPr>
      <w:ind w:left="284" w:right="284"/>
    </w:pPr>
  </w:style>
  <w:style w:type="paragraph" w:styleId="BodyText">
    <w:name w:val="Body Text"/>
    <w:basedOn w:val="Normal"/>
    <w:link w:val="BodyTextChar"/>
    <w:uiPriority w:val="99"/>
    <w:rsid w:val="00D4790F"/>
  </w:style>
  <w:style w:type="character" w:customStyle="1" w:styleId="BodyTextChar">
    <w:name w:val="Body Text Char"/>
    <w:link w:val="BodyText"/>
    <w:uiPriority w:val="99"/>
    <w:semiHidden/>
    <w:locked/>
    <w:rsid w:val="00537CE4"/>
    <w:rPr>
      <w:rFonts w:cs="Times New Roman"/>
      <w:sz w:val="20"/>
      <w:szCs w:val="20"/>
      <w:lang w:val="en-GB"/>
    </w:rPr>
  </w:style>
  <w:style w:type="paragraph" w:styleId="BalloonText">
    <w:name w:val="Balloon Text"/>
    <w:basedOn w:val="Normal"/>
    <w:link w:val="BalloonTextChar"/>
    <w:uiPriority w:val="99"/>
    <w:semiHidden/>
    <w:rsid w:val="00D4790F"/>
    <w:rPr>
      <w:rFonts w:ascii="Tahoma" w:hAnsi="Tahoma" w:cs="Tahoma"/>
      <w:sz w:val="16"/>
      <w:szCs w:val="16"/>
    </w:rPr>
  </w:style>
  <w:style w:type="character" w:customStyle="1" w:styleId="BalloonTextChar">
    <w:name w:val="Balloon Text Char"/>
    <w:link w:val="BalloonText"/>
    <w:uiPriority w:val="99"/>
    <w:semiHidden/>
    <w:locked/>
    <w:rsid w:val="00537CE4"/>
    <w:rPr>
      <w:rFonts w:cs="Times New Roman"/>
      <w:sz w:val="2"/>
      <w:lang w:val="en-GB"/>
    </w:rPr>
  </w:style>
  <w:style w:type="character" w:styleId="EndnoteReference">
    <w:name w:val="endnote reference"/>
    <w:uiPriority w:val="99"/>
    <w:semiHidden/>
    <w:rsid w:val="00D4790F"/>
    <w:rPr>
      <w:rFonts w:cs="Times New Roman"/>
      <w:vertAlign w:val="superscript"/>
    </w:rPr>
  </w:style>
  <w:style w:type="paragraph" w:styleId="E-mailSignature">
    <w:name w:val="E-mail Signature"/>
    <w:basedOn w:val="Normal"/>
    <w:link w:val="E-mailSignatureChar"/>
    <w:uiPriority w:val="99"/>
    <w:rsid w:val="00D4790F"/>
    <w:rPr>
      <w:szCs w:val="24"/>
      <w:lang w:val="en-US"/>
    </w:rPr>
  </w:style>
  <w:style w:type="character" w:customStyle="1" w:styleId="E-mailSignatureChar">
    <w:name w:val="E-mail Signature Char"/>
    <w:link w:val="E-mailSignature"/>
    <w:uiPriority w:val="99"/>
    <w:semiHidden/>
    <w:locked/>
    <w:rsid w:val="00537CE4"/>
    <w:rPr>
      <w:rFonts w:cs="Times New Roman"/>
      <w:sz w:val="20"/>
      <w:szCs w:val="20"/>
      <w:lang w:val="en-GB"/>
    </w:rPr>
  </w:style>
  <w:style w:type="paragraph" w:styleId="BodyTextIndent">
    <w:name w:val="Body Text Indent"/>
    <w:basedOn w:val="Normal"/>
    <w:link w:val="BodyTextIndentChar"/>
    <w:uiPriority w:val="99"/>
    <w:rsid w:val="00D4790F"/>
    <w:pPr>
      <w:spacing w:after="120"/>
      <w:ind w:left="1253"/>
      <w:jc w:val="both"/>
    </w:pPr>
    <w:rPr>
      <w:sz w:val="20"/>
    </w:rPr>
  </w:style>
  <w:style w:type="character" w:customStyle="1" w:styleId="BodyTextIndentChar">
    <w:name w:val="Body Text Indent Char"/>
    <w:link w:val="BodyTextIndent"/>
    <w:uiPriority w:val="99"/>
    <w:semiHidden/>
    <w:locked/>
    <w:rsid w:val="00537CE4"/>
    <w:rPr>
      <w:rFonts w:cs="Times New Roman"/>
      <w:sz w:val="20"/>
      <w:szCs w:val="20"/>
      <w:lang w:val="en-GB"/>
    </w:rPr>
  </w:style>
  <w:style w:type="character" w:styleId="Hyperlink">
    <w:name w:val="Hyperlink"/>
    <w:uiPriority w:val="99"/>
    <w:rsid w:val="00D4790F"/>
    <w:rPr>
      <w:rFonts w:cs="Times New Roman"/>
      <w:color w:val="0000FF"/>
      <w:u w:val="single"/>
    </w:rPr>
  </w:style>
  <w:style w:type="paragraph" w:styleId="EnvelopeReturn">
    <w:name w:val="envelope return"/>
    <w:basedOn w:val="Normal"/>
    <w:uiPriority w:val="99"/>
    <w:rsid w:val="00D4790F"/>
    <w:pPr>
      <w:widowControl w:val="0"/>
      <w:tabs>
        <w:tab w:val="left" w:pos="-720"/>
      </w:tabs>
      <w:suppressAutoHyphens/>
    </w:pPr>
    <w:rPr>
      <w:rFonts w:ascii="Garamond" w:hAnsi="Garamond"/>
      <w:sz w:val="22"/>
    </w:rPr>
  </w:style>
  <w:style w:type="paragraph" w:customStyle="1" w:styleId="Anxhead">
    <w:name w:val="Anx head"/>
    <w:basedOn w:val="Normal"/>
    <w:uiPriority w:val="99"/>
    <w:rsid w:val="00D4790F"/>
    <w:rPr>
      <w:b/>
      <w:bCs/>
      <w:sz w:val="28"/>
      <w:szCs w:val="22"/>
    </w:rPr>
  </w:style>
  <w:style w:type="paragraph" w:customStyle="1" w:styleId="Anxsubhead">
    <w:name w:val="Anx subhead"/>
    <w:basedOn w:val="Normal"/>
    <w:uiPriority w:val="99"/>
    <w:rsid w:val="00D4790F"/>
    <w:pPr>
      <w:tabs>
        <w:tab w:val="left" w:pos="1247"/>
      </w:tabs>
      <w:ind w:left="1247"/>
    </w:pPr>
    <w:rPr>
      <w:b/>
      <w:bCs/>
      <w:sz w:val="20"/>
    </w:rPr>
  </w:style>
  <w:style w:type="paragraph" w:customStyle="1" w:styleId="Anxtitle">
    <w:name w:val="Anx title"/>
    <w:basedOn w:val="Normal"/>
    <w:uiPriority w:val="99"/>
    <w:rsid w:val="00D4790F"/>
    <w:pPr>
      <w:ind w:left="1247"/>
    </w:pPr>
    <w:rPr>
      <w:b/>
      <w:bCs/>
      <w:sz w:val="28"/>
      <w:szCs w:val="26"/>
    </w:rPr>
  </w:style>
  <w:style w:type="paragraph" w:customStyle="1" w:styleId="CH1">
    <w:name w:val="CH1"/>
    <w:basedOn w:val="Heading2"/>
    <w:autoRedefine/>
    <w:uiPriority w:val="99"/>
    <w:rsid w:val="00D4790F"/>
    <w:pPr>
      <w:numPr>
        <w:numId w:val="3"/>
      </w:numPr>
      <w:spacing w:after="240"/>
      <w:ind w:right="624"/>
      <w:jc w:val="left"/>
    </w:pPr>
    <w:rPr>
      <w:sz w:val="28"/>
      <w:szCs w:val="28"/>
    </w:rPr>
  </w:style>
  <w:style w:type="paragraph" w:customStyle="1" w:styleId="CH2">
    <w:name w:val="CH2"/>
    <w:basedOn w:val="Normal"/>
    <w:autoRedefine/>
    <w:uiPriority w:val="99"/>
    <w:rsid w:val="00D4790F"/>
    <w:pPr>
      <w:numPr>
        <w:numId w:val="4"/>
      </w:numPr>
      <w:spacing w:after="240"/>
      <w:ind w:right="567"/>
      <w:outlineLvl w:val="1"/>
    </w:pPr>
    <w:rPr>
      <w:b/>
      <w:bCs/>
      <w:sz w:val="20"/>
    </w:rPr>
  </w:style>
  <w:style w:type="paragraph" w:customStyle="1" w:styleId="CH3">
    <w:name w:val="CH3"/>
    <w:basedOn w:val="Normal"/>
    <w:uiPriority w:val="99"/>
    <w:rsid w:val="00D4790F"/>
    <w:pPr>
      <w:keepNext/>
      <w:numPr>
        <w:numId w:val="5"/>
      </w:numPr>
      <w:suppressAutoHyphens/>
      <w:spacing w:after="240"/>
    </w:pPr>
    <w:rPr>
      <w:b/>
      <w:bCs/>
      <w:sz w:val="20"/>
    </w:rPr>
  </w:style>
  <w:style w:type="paragraph" w:customStyle="1" w:styleId="CH4">
    <w:name w:val="CH4"/>
    <w:basedOn w:val="CH3"/>
    <w:uiPriority w:val="99"/>
    <w:rsid w:val="00D4790F"/>
    <w:pPr>
      <w:keepLines/>
      <w:numPr>
        <w:numId w:val="6"/>
      </w:numPr>
      <w:suppressAutoHyphens w:val="0"/>
    </w:pPr>
    <w:rPr>
      <w:iCs/>
    </w:rPr>
  </w:style>
  <w:style w:type="paragraph" w:customStyle="1" w:styleId="Paralevel1">
    <w:name w:val="Para level1"/>
    <w:basedOn w:val="Normal"/>
    <w:link w:val="Paralevel1Char"/>
    <w:autoRedefine/>
    <w:uiPriority w:val="99"/>
    <w:rsid w:val="00B1005D"/>
    <w:pPr>
      <w:suppressAutoHyphens/>
      <w:spacing w:after="120"/>
    </w:pPr>
    <w:rPr>
      <w:sz w:val="20"/>
    </w:rPr>
  </w:style>
  <w:style w:type="character" w:customStyle="1" w:styleId="Paralevel1Char">
    <w:name w:val="Para level1 Char"/>
    <w:link w:val="Paralevel1"/>
    <w:uiPriority w:val="99"/>
    <w:locked/>
    <w:rsid w:val="00B1005D"/>
    <w:rPr>
      <w:lang w:val="en-GB" w:eastAsia="en-US"/>
    </w:rPr>
  </w:style>
  <w:style w:type="paragraph" w:customStyle="1" w:styleId="Paralevel2">
    <w:name w:val="Para level2"/>
    <w:basedOn w:val="Paralevel1"/>
    <w:link w:val="Paralevel2Char"/>
    <w:autoRedefine/>
    <w:uiPriority w:val="99"/>
    <w:rsid w:val="00D4790F"/>
    <w:pPr>
      <w:numPr>
        <w:numId w:val="7"/>
      </w:numPr>
      <w:ind w:left="1247" w:firstLine="624"/>
    </w:pPr>
  </w:style>
  <w:style w:type="character" w:customStyle="1" w:styleId="Paralevel2Char">
    <w:name w:val="Para level2 Char"/>
    <w:basedOn w:val="Paralevel1Char"/>
    <w:link w:val="Paralevel2"/>
    <w:uiPriority w:val="99"/>
    <w:locked/>
    <w:rsid w:val="00D4790F"/>
  </w:style>
  <w:style w:type="paragraph" w:customStyle="1" w:styleId="Paralevel3">
    <w:name w:val="Para level3"/>
    <w:basedOn w:val="Paralevel2"/>
    <w:uiPriority w:val="99"/>
    <w:rsid w:val="00D4790F"/>
    <w:pPr>
      <w:numPr>
        <w:numId w:val="8"/>
      </w:numPr>
    </w:pPr>
  </w:style>
  <w:style w:type="paragraph" w:customStyle="1" w:styleId="Subtitle">
    <w:name w:val="Sub title"/>
    <w:basedOn w:val="Heading2"/>
    <w:uiPriority w:val="99"/>
    <w:rsid w:val="00D4790F"/>
    <w:pPr>
      <w:ind w:left="1247"/>
      <w:jc w:val="left"/>
    </w:pPr>
    <w:rPr>
      <w:sz w:val="24"/>
      <w:szCs w:val="24"/>
    </w:rPr>
  </w:style>
  <w:style w:type="paragraph" w:styleId="Title">
    <w:name w:val="Title"/>
    <w:basedOn w:val="Normal"/>
    <w:link w:val="TitleChar"/>
    <w:autoRedefine/>
    <w:uiPriority w:val="99"/>
    <w:qFormat/>
    <w:rsid w:val="00C75B3B"/>
    <w:pPr>
      <w:spacing w:before="360" w:after="240"/>
      <w:ind w:left="1247"/>
      <w:outlineLvl w:val="0"/>
    </w:pPr>
    <w:rPr>
      <w:rFonts w:cs="Arial"/>
      <w:b/>
      <w:bCs/>
      <w:kern w:val="28"/>
      <w:sz w:val="28"/>
      <w:szCs w:val="28"/>
    </w:rPr>
  </w:style>
  <w:style w:type="character" w:customStyle="1" w:styleId="TitleChar">
    <w:name w:val="Title Char"/>
    <w:link w:val="Title"/>
    <w:uiPriority w:val="99"/>
    <w:locked/>
    <w:rsid w:val="00537CE4"/>
    <w:rPr>
      <w:rFonts w:ascii="Cambria" w:hAnsi="Cambria" w:cs="Times New Roman"/>
      <w:b/>
      <w:bCs/>
      <w:kern w:val="28"/>
      <w:sz w:val="32"/>
      <w:szCs w:val="32"/>
      <w:lang w:val="en-GB"/>
    </w:rPr>
  </w:style>
  <w:style w:type="paragraph" w:customStyle="1" w:styleId="TEXTE">
    <w:name w:val="TEXTE"/>
    <w:basedOn w:val="Normal"/>
    <w:uiPriority w:val="99"/>
    <w:rsid w:val="00D4790F"/>
    <w:pPr>
      <w:ind w:left="720" w:right="567"/>
    </w:pPr>
    <w:rPr>
      <w:rFonts w:ascii="CG Times (WN)" w:hAnsi="CG Times (WN)"/>
      <w:lang w:val="en-US"/>
    </w:rPr>
  </w:style>
  <w:style w:type="paragraph" w:styleId="NormalWeb">
    <w:name w:val="Normal (Web)"/>
    <w:basedOn w:val="Normal"/>
    <w:uiPriority w:val="99"/>
    <w:rsid w:val="00D4790F"/>
    <w:pPr>
      <w:spacing w:before="100" w:after="100"/>
    </w:pPr>
    <w:rPr>
      <w:rFonts w:ascii="Arial Unicode MS" w:eastAsia="Arial Unicode MS" w:hAnsi="Arial Unicode MS" w:cs="Arial Unicode MS"/>
      <w:szCs w:val="24"/>
      <w:lang w:val="en-US"/>
    </w:rPr>
  </w:style>
  <w:style w:type="paragraph" w:styleId="BodyTextIndent2">
    <w:name w:val="Body Text Indent 2"/>
    <w:basedOn w:val="Normal"/>
    <w:link w:val="BodyTextIndent2Char"/>
    <w:uiPriority w:val="99"/>
    <w:rsid w:val="00D4790F"/>
    <w:pPr>
      <w:spacing w:after="120"/>
      <w:ind w:left="1253"/>
    </w:pPr>
    <w:rPr>
      <w:sz w:val="20"/>
    </w:rPr>
  </w:style>
  <w:style w:type="character" w:customStyle="1" w:styleId="BodyTextIndent2Char">
    <w:name w:val="Body Text Indent 2 Char"/>
    <w:link w:val="BodyTextIndent2"/>
    <w:uiPriority w:val="99"/>
    <w:semiHidden/>
    <w:locked/>
    <w:rsid w:val="00537CE4"/>
    <w:rPr>
      <w:rFonts w:cs="Times New Roman"/>
      <w:sz w:val="20"/>
      <w:szCs w:val="20"/>
      <w:lang w:val="en-GB"/>
    </w:rPr>
  </w:style>
  <w:style w:type="character" w:customStyle="1" w:styleId="spelle">
    <w:name w:val="spelle"/>
    <w:uiPriority w:val="99"/>
    <w:rsid w:val="00D4790F"/>
    <w:rPr>
      <w:rFonts w:cs="Times New Roman"/>
    </w:rPr>
  </w:style>
  <w:style w:type="character" w:customStyle="1" w:styleId="Paralevel1CharChar">
    <w:name w:val="Para level1 Char Char"/>
    <w:uiPriority w:val="99"/>
    <w:rsid w:val="00D4790F"/>
    <w:rPr>
      <w:rFonts w:cs="Times New Roman"/>
      <w:lang w:val="en-GB" w:eastAsia="en-US" w:bidi="ar-SA"/>
    </w:rPr>
  </w:style>
  <w:style w:type="paragraph" w:customStyle="1" w:styleId="DefaultText">
    <w:name w:val="Default Text"/>
    <w:basedOn w:val="Normal"/>
    <w:uiPriority w:val="99"/>
    <w:rsid w:val="00D4790F"/>
    <w:pPr>
      <w:widowControl w:val="0"/>
      <w:overflowPunct w:val="0"/>
      <w:autoSpaceDE w:val="0"/>
      <w:autoSpaceDN w:val="0"/>
      <w:adjustRightInd w:val="0"/>
      <w:textAlignment w:val="baseline"/>
    </w:pPr>
    <w:rPr>
      <w:rFonts w:eastAsia="MS Mincho"/>
      <w:lang w:val="en-US"/>
    </w:rPr>
  </w:style>
  <w:style w:type="paragraph" w:customStyle="1" w:styleId="Char1CharCharChar">
    <w:name w:val="Char1 Char Char Char"/>
    <w:basedOn w:val="Normal"/>
    <w:uiPriority w:val="99"/>
    <w:rsid w:val="00C75B3B"/>
    <w:pPr>
      <w:spacing w:after="160" w:line="240" w:lineRule="exact"/>
    </w:pPr>
    <w:rPr>
      <w:rFonts w:ascii="Tahoma" w:hAnsi="Tahoma"/>
      <w:sz w:val="20"/>
      <w:lang w:val="en-US"/>
    </w:rPr>
  </w:style>
  <w:style w:type="paragraph" w:styleId="BodyText2">
    <w:name w:val="Body Text 2"/>
    <w:basedOn w:val="Normal"/>
    <w:link w:val="BodyText2Char"/>
    <w:uiPriority w:val="99"/>
    <w:rsid w:val="002F2D61"/>
    <w:pPr>
      <w:spacing w:after="120" w:line="480" w:lineRule="auto"/>
    </w:pPr>
  </w:style>
  <w:style w:type="character" w:customStyle="1" w:styleId="BodyText2Char">
    <w:name w:val="Body Text 2 Char"/>
    <w:link w:val="BodyText2"/>
    <w:uiPriority w:val="99"/>
    <w:locked/>
    <w:rsid w:val="002F2D61"/>
    <w:rPr>
      <w:rFonts w:cs="Times New Roman"/>
      <w:sz w:val="24"/>
      <w:lang w:val="en-GB" w:eastAsia="en-US"/>
    </w:rPr>
  </w:style>
  <w:style w:type="paragraph" w:customStyle="1" w:styleId="Standardde">
    <w:name w:val="Standard_de"/>
    <w:basedOn w:val="Normal"/>
    <w:link w:val="StandarddeZchn"/>
    <w:uiPriority w:val="99"/>
    <w:rsid w:val="002F2D61"/>
    <w:pPr>
      <w:widowControl w:val="0"/>
      <w:spacing w:before="120" w:after="240" w:line="288" w:lineRule="auto"/>
      <w:jc w:val="both"/>
    </w:pPr>
    <w:rPr>
      <w:rFonts w:ascii="Arial" w:hAnsi="Arial"/>
      <w:sz w:val="22"/>
      <w:lang w:eastAsia="de-DE"/>
    </w:rPr>
  </w:style>
  <w:style w:type="character" w:customStyle="1" w:styleId="StandarddeZchn">
    <w:name w:val="Standard_de Zchn"/>
    <w:link w:val="Standardde"/>
    <w:uiPriority w:val="99"/>
    <w:locked/>
    <w:rsid w:val="002F2D61"/>
    <w:rPr>
      <w:rFonts w:ascii="Arial" w:hAnsi="Arial" w:cs="Times New Roman"/>
      <w:snapToGrid/>
      <w:sz w:val="22"/>
      <w:lang w:val="en-GB"/>
    </w:rPr>
  </w:style>
  <w:style w:type="paragraph" w:styleId="TOCHeading">
    <w:name w:val="TOC Heading"/>
    <w:basedOn w:val="Heading1"/>
    <w:next w:val="Normal"/>
    <w:uiPriority w:val="99"/>
    <w:qFormat/>
    <w:rsid w:val="00177BF0"/>
    <w:pPr>
      <w:keepLines/>
      <w:spacing w:before="480" w:line="276" w:lineRule="auto"/>
      <w:outlineLvl w:val="9"/>
    </w:pPr>
    <w:rPr>
      <w:rFonts w:ascii="Cambria" w:hAnsi="Cambria"/>
      <w:bCs/>
      <w:color w:val="365F91"/>
      <w:sz w:val="28"/>
      <w:szCs w:val="28"/>
      <w:lang w:val="de-DE"/>
    </w:rPr>
  </w:style>
  <w:style w:type="paragraph" w:styleId="TOC1">
    <w:name w:val="toc 1"/>
    <w:basedOn w:val="Normal"/>
    <w:next w:val="Normal"/>
    <w:autoRedefine/>
    <w:uiPriority w:val="39"/>
    <w:rsid w:val="00177BF0"/>
    <w:pPr>
      <w:spacing w:after="100"/>
    </w:pPr>
  </w:style>
  <w:style w:type="paragraph" w:styleId="TOC2">
    <w:name w:val="toc 2"/>
    <w:basedOn w:val="Normal"/>
    <w:next w:val="Normal"/>
    <w:autoRedefine/>
    <w:uiPriority w:val="39"/>
    <w:rsid w:val="00B1356D"/>
    <w:pPr>
      <w:spacing w:after="100"/>
      <w:ind w:left="240"/>
    </w:pPr>
    <w:rPr>
      <w:sz w:val="20"/>
    </w:rPr>
  </w:style>
  <w:style w:type="paragraph" w:customStyle="1" w:styleId="Normal-pool">
    <w:name w:val="Normal-pool"/>
    <w:link w:val="Normal-poolChar"/>
    <w:uiPriority w:val="99"/>
    <w:rsid w:val="00FB6D9D"/>
    <w:pPr>
      <w:tabs>
        <w:tab w:val="left" w:pos="1247"/>
        <w:tab w:val="left" w:pos="1814"/>
        <w:tab w:val="left" w:pos="2381"/>
        <w:tab w:val="left" w:pos="2948"/>
        <w:tab w:val="left" w:pos="3515"/>
        <w:tab w:val="left" w:pos="4082"/>
      </w:tabs>
    </w:pPr>
    <w:rPr>
      <w:sz w:val="22"/>
      <w:szCs w:val="22"/>
      <w:lang w:val="en-GB" w:eastAsia="en-US"/>
    </w:rPr>
  </w:style>
  <w:style w:type="character" w:customStyle="1" w:styleId="Normal-poolChar">
    <w:name w:val="Normal-pool Char"/>
    <w:link w:val="Normal-pool"/>
    <w:uiPriority w:val="99"/>
    <w:locked/>
    <w:rsid w:val="00FB6D9D"/>
    <w:rPr>
      <w:sz w:val="22"/>
      <w:lang w:val="en-GB" w:eastAsia="en-US"/>
    </w:rPr>
  </w:style>
  <w:style w:type="paragraph" w:styleId="CommentText">
    <w:name w:val="annotation text"/>
    <w:basedOn w:val="Normal"/>
    <w:link w:val="CommentTextChar"/>
    <w:uiPriority w:val="99"/>
    <w:rsid w:val="006138DF"/>
    <w:rPr>
      <w:sz w:val="20"/>
    </w:rPr>
  </w:style>
  <w:style w:type="character" w:customStyle="1" w:styleId="CommentTextChar">
    <w:name w:val="Comment Text Char"/>
    <w:link w:val="CommentText"/>
    <w:uiPriority w:val="99"/>
    <w:locked/>
    <w:rsid w:val="006138DF"/>
    <w:rPr>
      <w:rFonts w:cs="Times New Roman"/>
      <w:lang w:val="en-GB" w:eastAsia="en-US"/>
    </w:rPr>
  </w:style>
  <w:style w:type="paragraph" w:customStyle="1" w:styleId="Normalnumber">
    <w:name w:val="Normal_number"/>
    <w:basedOn w:val="Normal"/>
    <w:uiPriority w:val="99"/>
    <w:rsid w:val="006138DF"/>
    <w:pPr>
      <w:numPr>
        <w:numId w:val="13"/>
      </w:numPr>
      <w:spacing w:after="120"/>
    </w:pPr>
    <w:rPr>
      <w:sz w:val="20"/>
    </w:rPr>
  </w:style>
  <w:style w:type="paragraph" w:styleId="ListParagraph">
    <w:name w:val="List Paragraph"/>
    <w:basedOn w:val="Normal"/>
    <w:uiPriority w:val="99"/>
    <w:qFormat/>
    <w:rsid w:val="0068228C"/>
    <w:pPr>
      <w:ind w:left="720"/>
      <w:contextualSpacing/>
    </w:pPr>
  </w:style>
  <w:style w:type="table" w:styleId="TableGrid">
    <w:name w:val="Table Grid"/>
    <w:basedOn w:val="TableNormal"/>
    <w:uiPriority w:val="99"/>
    <w:rsid w:val="0060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FA1AB7"/>
    <w:rPr>
      <w:rFonts w:cs="Times New Roman"/>
      <w:color w:val="800080"/>
      <w:u w:val="single"/>
    </w:rPr>
  </w:style>
  <w:style w:type="paragraph" w:styleId="DocumentMap">
    <w:name w:val="Document Map"/>
    <w:basedOn w:val="Normal"/>
    <w:link w:val="DocumentMapChar"/>
    <w:uiPriority w:val="99"/>
    <w:rsid w:val="00B04A89"/>
    <w:rPr>
      <w:rFonts w:ascii="Tahoma" w:hAnsi="Tahoma" w:cs="Tahoma"/>
      <w:sz w:val="16"/>
      <w:szCs w:val="16"/>
    </w:rPr>
  </w:style>
  <w:style w:type="character" w:customStyle="1" w:styleId="DocumentMapChar">
    <w:name w:val="Document Map Char"/>
    <w:link w:val="DocumentMap"/>
    <w:uiPriority w:val="99"/>
    <w:locked/>
    <w:rsid w:val="00B04A89"/>
    <w:rPr>
      <w:rFonts w:ascii="Tahoma" w:hAnsi="Tahoma" w:cs="Tahoma"/>
      <w:sz w:val="16"/>
      <w:szCs w:val="16"/>
      <w:lang w:val="en-GB" w:eastAsia="en-US"/>
    </w:rPr>
  </w:style>
  <w:style w:type="character" w:styleId="CommentReference">
    <w:name w:val="annotation reference"/>
    <w:uiPriority w:val="99"/>
    <w:rsid w:val="00E76176"/>
    <w:rPr>
      <w:rFonts w:cs="Times New Roman"/>
      <w:sz w:val="16"/>
      <w:szCs w:val="16"/>
    </w:rPr>
  </w:style>
  <w:style w:type="paragraph" w:styleId="CommentSubject">
    <w:name w:val="annotation subject"/>
    <w:basedOn w:val="CommentText"/>
    <w:next w:val="CommentText"/>
    <w:link w:val="CommentSubjectChar"/>
    <w:uiPriority w:val="99"/>
    <w:rsid w:val="00E76176"/>
    <w:rPr>
      <w:b/>
      <w:bCs/>
    </w:rPr>
  </w:style>
  <w:style w:type="character" w:customStyle="1" w:styleId="CommentSubjectChar">
    <w:name w:val="Comment Subject Char"/>
    <w:link w:val="CommentSubject"/>
    <w:uiPriority w:val="99"/>
    <w:locked/>
    <w:rsid w:val="00E76176"/>
    <w:rPr>
      <w:rFonts w:cs="Times New Roman"/>
      <w:b/>
      <w:bCs/>
      <w:lang w:val="en-GB" w:eastAsia="en-US"/>
    </w:rPr>
  </w:style>
  <w:style w:type="numbering" w:customStyle="1" w:styleId="Normallist">
    <w:name w:val="Normal_list"/>
    <w:rsid w:val="001B6D80"/>
    <w:pPr>
      <w:numPr>
        <w:numId w:val="12"/>
      </w:numPr>
    </w:pPr>
  </w:style>
  <w:style w:type="numbering" w:customStyle="1" w:styleId="StilNummerert10pt2">
    <w:name w:val="Stil Nummerert 10 pt2"/>
    <w:rsid w:val="001B6D80"/>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m.pops.int/Convention/POPsReviewCommittee/LatestMeeting/POPRC8/POPRC8Followup/SubmissionCN/tabid/3068/Default.aspx" TargetMode="External"/><Relationship Id="rId4" Type="http://schemas.openxmlformats.org/officeDocument/2006/relationships/settings" Target="settings.xml"/><Relationship Id="rId9" Type="http://schemas.openxmlformats.org/officeDocument/2006/relationships/hyperlink" Target="http://www.ospar.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hemicalbook.com/Search_EN.aspx?keyword=HALOWAX" TargetMode="External"/><Relationship Id="rId1" Type="http://schemas.openxmlformats.org/officeDocument/2006/relationships/hyperlink" Target="http://chm.pops.int/Convention/POPsReviewCommittee/LatestMeeting/POPRC8/POPRC8Followup/SubmissionCN/tabid/3068/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A3122-F8D8-4584-A990-CA6B0EF3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9199</Words>
  <Characters>53980</Characters>
  <Application>Microsoft Office Word</Application>
  <DocSecurity>0</DocSecurity>
  <Lines>449</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PAPER FOR INC-7</vt:lpstr>
      <vt:lpstr>DRAFT PAPER FOR INC-7</vt:lpstr>
    </vt:vector>
  </TitlesOfParts>
  <Company>UNEP Chemicals</Company>
  <LinksUpToDate>false</LinksUpToDate>
  <CharactersWithSpaces>63053</CharactersWithSpaces>
  <SharedDoc>false</SharedDoc>
  <HLinks>
    <vt:vector size="138" baseType="variant">
      <vt:variant>
        <vt:i4>3670143</vt:i4>
      </vt:variant>
      <vt:variant>
        <vt:i4>138</vt:i4>
      </vt:variant>
      <vt:variant>
        <vt:i4>0</vt:i4>
      </vt:variant>
      <vt:variant>
        <vt:i4>5</vt:i4>
      </vt:variant>
      <vt:variant>
        <vt:lpwstr>http://chm.pops.int/Convention/POPsReviewCommittee/LatestMeeting/POPRC8/POPRC8Followup/SubmissionCN/tabid/3068/Default.aspx</vt:lpwstr>
      </vt:variant>
      <vt:variant>
        <vt:lpwstr/>
      </vt:variant>
      <vt:variant>
        <vt:i4>5111838</vt:i4>
      </vt:variant>
      <vt:variant>
        <vt:i4>129</vt:i4>
      </vt:variant>
      <vt:variant>
        <vt:i4>0</vt:i4>
      </vt:variant>
      <vt:variant>
        <vt:i4>5</vt:i4>
      </vt:variant>
      <vt:variant>
        <vt:lpwstr>http://www.ospar.org/</vt:lpwstr>
      </vt:variant>
      <vt:variant>
        <vt:lpwstr/>
      </vt:variant>
      <vt:variant>
        <vt:i4>1966130</vt:i4>
      </vt:variant>
      <vt:variant>
        <vt:i4>104</vt:i4>
      </vt:variant>
      <vt:variant>
        <vt:i4>0</vt:i4>
      </vt:variant>
      <vt:variant>
        <vt:i4>5</vt:i4>
      </vt:variant>
      <vt:variant>
        <vt:lpwstr/>
      </vt:variant>
      <vt:variant>
        <vt:lpwstr>_Toc352069550</vt:lpwstr>
      </vt:variant>
      <vt:variant>
        <vt:i4>2031666</vt:i4>
      </vt:variant>
      <vt:variant>
        <vt:i4>98</vt:i4>
      </vt:variant>
      <vt:variant>
        <vt:i4>0</vt:i4>
      </vt:variant>
      <vt:variant>
        <vt:i4>5</vt:i4>
      </vt:variant>
      <vt:variant>
        <vt:lpwstr/>
      </vt:variant>
      <vt:variant>
        <vt:lpwstr>_Toc352069549</vt:lpwstr>
      </vt:variant>
      <vt:variant>
        <vt:i4>2031666</vt:i4>
      </vt:variant>
      <vt:variant>
        <vt:i4>92</vt:i4>
      </vt:variant>
      <vt:variant>
        <vt:i4>0</vt:i4>
      </vt:variant>
      <vt:variant>
        <vt:i4>5</vt:i4>
      </vt:variant>
      <vt:variant>
        <vt:lpwstr/>
      </vt:variant>
      <vt:variant>
        <vt:lpwstr>_Toc352069548</vt:lpwstr>
      </vt:variant>
      <vt:variant>
        <vt:i4>2031666</vt:i4>
      </vt:variant>
      <vt:variant>
        <vt:i4>86</vt:i4>
      </vt:variant>
      <vt:variant>
        <vt:i4>0</vt:i4>
      </vt:variant>
      <vt:variant>
        <vt:i4>5</vt:i4>
      </vt:variant>
      <vt:variant>
        <vt:lpwstr/>
      </vt:variant>
      <vt:variant>
        <vt:lpwstr>_Toc352069547</vt:lpwstr>
      </vt:variant>
      <vt:variant>
        <vt:i4>2031666</vt:i4>
      </vt:variant>
      <vt:variant>
        <vt:i4>80</vt:i4>
      </vt:variant>
      <vt:variant>
        <vt:i4>0</vt:i4>
      </vt:variant>
      <vt:variant>
        <vt:i4>5</vt:i4>
      </vt:variant>
      <vt:variant>
        <vt:lpwstr/>
      </vt:variant>
      <vt:variant>
        <vt:lpwstr>_Toc352069546</vt:lpwstr>
      </vt:variant>
      <vt:variant>
        <vt:i4>2031666</vt:i4>
      </vt:variant>
      <vt:variant>
        <vt:i4>74</vt:i4>
      </vt:variant>
      <vt:variant>
        <vt:i4>0</vt:i4>
      </vt:variant>
      <vt:variant>
        <vt:i4>5</vt:i4>
      </vt:variant>
      <vt:variant>
        <vt:lpwstr/>
      </vt:variant>
      <vt:variant>
        <vt:lpwstr>_Toc352069545</vt:lpwstr>
      </vt:variant>
      <vt:variant>
        <vt:i4>2031666</vt:i4>
      </vt:variant>
      <vt:variant>
        <vt:i4>68</vt:i4>
      </vt:variant>
      <vt:variant>
        <vt:i4>0</vt:i4>
      </vt:variant>
      <vt:variant>
        <vt:i4>5</vt:i4>
      </vt:variant>
      <vt:variant>
        <vt:lpwstr/>
      </vt:variant>
      <vt:variant>
        <vt:lpwstr>_Toc352069544</vt:lpwstr>
      </vt:variant>
      <vt:variant>
        <vt:i4>2031666</vt:i4>
      </vt:variant>
      <vt:variant>
        <vt:i4>62</vt:i4>
      </vt:variant>
      <vt:variant>
        <vt:i4>0</vt:i4>
      </vt:variant>
      <vt:variant>
        <vt:i4>5</vt:i4>
      </vt:variant>
      <vt:variant>
        <vt:lpwstr/>
      </vt:variant>
      <vt:variant>
        <vt:lpwstr>_Toc352069543</vt:lpwstr>
      </vt:variant>
      <vt:variant>
        <vt:i4>2031666</vt:i4>
      </vt:variant>
      <vt:variant>
        <vt:i4>56</vt:i4>
      </vt:variant>
      <vt:variant>
        <vt:i4>0</vt:i4>
      </vt:variant>
      <vt:variant>
        <vt:i4>5</vt:i4>
      </vt:variant>
      <vt:variant>
        <vt:lpwstr/>
      </vt:variant>
      <vt:variant>
        <vt:lpwstr>_Toc352069542</vt:lpwstr>
      </vt:variant>
      <vt:variant>
        <vt:i4>2031666</vt:i4>
      </vt:variant>
      <vt:variant>
        <vt:i4>50</vt:i4>
      </vt:variant>
      <vt:variant>
        <vt:i4>0</vt:i4>
      </vt:variant>
      <vt:variant>
        <vt:i4>5</vt:i4>
      </vt:variant>
      <vt:variant>
        <vt:lpwstr/>
      </vt:variant>
      <vt:variant>
        <vt:lpwstr>_Toc352069541</vt:lpwstr>
      </vt:variant>
      <vt:variant>
        <vt:i4>2031666</vt:i4>
      </vt:variant>
      <vt:variant>
        <vt:i4>44</vt:i4>
      </vt:variant>
      <vt:variant>
        <vt:i4>0</vt:i4>
      </vt:variant>
      <vt:variant>
        <vt:i4>5</vt:i4>
      </vt:variant>
      <vt:variant>
        <vt:lpwstr/>
      </vt:variant>
      <vt:variant>
        <vt:lpwstr>_Toc352069540</vt:lpwstr>
      </vt:variant>
      <vt:variant>
        <vt:i4>1572914</vt:i4>
      </vt:variant>
      <vt:variant>
        <vt:i4>38</vt:i4>
      </vt:variant>
      <vt:variant>
        <vt:i4>0</vt:i4>
      </vt:variant>
      <vt:variant>
        <vt:i4>5</vt:i4>
      </vt:variant>
      <vt:variant>
        <vt:lpwstr/>
      </vt:variant>
      <vt:variant>
        <vt:lpwstr>_Toc352069539</vt:lpwstr>
      </vt:variant>
      <vt:variant>
        <vt:i4>1572914</vt:i4>
      </vt:variant>
      <vt:variant>
        <vt:i4>32</vt:i4>
      </vt:variant>
      <vt:variant>
        <vt:i4>0</vt:i4>
      </vt:variant>
      <vt:variant>
        <vt:i4>5</vt:i4>
      </vt:variant>
      <vt:variant>
        <vt:lpwstr/>
      </vt:variant>
      <vt:variant>
        <vt:lpwstr>_Toc352069538</vt:lpwstr>
      </vt:variant>
      <vt:variant>
        <vt:i4>1572914</vt:i4>
      </vt:variant>
      <vt:variant>
        <vt:i4>26</vt:i4>
      </vt:variant>
      <vt:variant>
        <vt:i4>0</vt:i4>
      </vt:variant>
      <vt:variant>
        <vt:i4>5</vt:i4>
      </vt:variant>
      <vt:variant>
        <vt:lpwstr/>
      </vt:variant>
      <vt:variant>
        <vt:lpwstr>_Toc352069537</vt:lpwstr>
      </vt:variant>
      <vt:variant>
        <vt:i4>1572914</vt:i4>
      </vt:variant>
      <vt:variant>
        <vt:i4>20</vt:i4>
      </vt:variant>
      <vt:variant>
        <vt:i4>0</vt:i4>
      </vt:variant>
      <vt:variant>
        <vt:i4>5</vt:i4>
      </vt:variant>
      <vt:variant>
        <vt:lpwstr/>
      </vt:variant>
      <vt:variant>
        <vt:lpwstr>_Toc352069536</vt:lpwstr>
      </vt:variant>
      <vt:variant>
        <vt:i4>1572914</vt:i4>
      </vt:variant>
      <vt:variant>
        <vt:i4>14</vt:i4>
      </vt:variant>
      <vt:variant>
        <vt:i4>0</vt:i4>
      </vt:variant>
      <vt:variant>
        <vt:i4>5</vt:i4>
      </vt:variant>
      <vt:variant>
        <vt:lpwstr/>
      </vt:variant>
      <vt:variant>
        <vt:lpwstr>_Toc352069535</vt:lpwstr>
      </vt:variant>
      <vt:variant>
        <vt:i4>1572914</vt:i4>
      </vt:variant>
      <vt:variant>
        <vt:i4>8</vt:i4>
      </vt:variant>
      <vt:variant>
        <vt:i4>0</vt:i4>
      </vt:variant>
      <vt:variant>
        <vt:i4>5</vt:i4>
      </vt:variant>
      <vt:variant>
        <vt:lpwstr/>
      </vt:variant>
      <vt:variant>
        <vt:lpwstr>_Toc352069534</vt:lpwstr>
      </vt:variant>
      <vt:variant>
        <vt:i4>1572914</vt:i4>
      </vt:variant>
      <vt:variant>
        <vt:i4>2</vt:i4>
      </vt:variant>
      <vt:variant>
        <vt:i4>0</vt:i4>
      </vt:variant>
      <vt:variant>
        <vt:i4>5</vt:i4>
      </vt:variant>
      <vt:variant>
        <vt:lpwstr/>
      </vt:variant>
      <vt:variant>
        <vt:lpwstr>_Toc352069533</vt:lpwstr>
      </vt:variant>
      <vt:variant>
        <vt:i4>5111902</vt:i4>
      </vt:variant>
      <vt:variant>
        <vt:i4>6</vt:i4>
      </vt:variant>
      <vt:variant>
        <vt:i4>0</vt:i4>
      </vt:variant>
      <vt:variant>
        <vt:i4>5</vt:i4>
      </vt:variant>
      <vt:variant>
        <vt:lpwstr>http://prtr.ec.europa.eu/TimeSeriesPollutantReleases.aspx</vt:lpwstr>
      </vt:variant>
      <vt:variant>
        <vt:lpwstr/>
      </vt:variant>
      <vt:variant>
        <vt:i4>7012364</vt:i4>
      </vt:variant>
      <vt:variant>
        <vt:i4>3</vt:i4>
      </vt:variant>
      <vt:variant>
        <vt:i4>0</vt:i4>
      </vt:variant>
      <vt:variant>
        <vt:i4>5</vt:i4>
      </vt:variant>
      <vt:variant>
        <vt:lpwstr>http://www.chemicalbook.com/Search_EN.aspx?keyword=HALOWAX</vt:lpwstr>
      </vt:variant>
      <vt:variant>
        <vt:lpwstr/>
      </vt:variant>
      <vt:variant>
        <vt:i4>3670143</vt:i4>
      </vt:variant>
      <vt:variant>
        <vt:i4>0</vt:i4>
      </vt:variant>
      <vt:variant>
        <vt:i4>0</vt:i4>
      </vt:variant>
      <vt:variant>
        <vt:i4>5</vt:i4>
      </vt:variant>
      <vt:variant>
        <vt:lpwstr>http://chm.pops.int/Convention/POPsReviewCommittee/LatestMeeting/POPRC8/POPRC8Followup/SubmissionCN/tabid/3068/Default.aspx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PAPER FOR INC-7</dc:title>
  <dc:creator>waitei</dc:creator>
  <cp:lastModifiedBy>fverdi</cp:lastModifiedBy>
  <cp:revision>4</cp:revision>
  <cp:lastPrinted>2013-02-21T12:40:00Z</cp:lastPrinted>
  <dcterms:created xsi:type="dcterms:W3CDTF">2013-04-05T09:24:00Z</dcterms:created>
  <dcterms:modified xsi:type="dcterms:W3CDTF">2013-04-05T10:16:00Z</dcterms:modified>
</cp:coreProperties>
</file>