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92A6D" w14:textId="77777777" w:rsidR="006C0E68" w:rsidRPr="005C4D39" w:rsidRDefault="006C0E68" w:rsidP="00E966C7">
      <w:pPr>
        <w:pStyle w:val="Heading2"/>
        <w:numPr>
          <w:ilvl w:val="0"/>
          <w:numId w:val="32"/>
        </w:numPr>
        <w:snapToGrid w:val="0"/>
        <w:spacing w:before="0" w:after="120"/>
        <w:ind w:left="720"/>
        <w:rPr>
          <w:rFonts w:ascii="Times New Roman" w:hAnsi="Times New Roman"/>
          <w:bCs w:val="0"/>
          <w:i w:val="0"/>
        </w:rPr>
      </w:pPr>
      <w:bookmarkStart w:id="0" w:name="_Toc326193740"/>
      <w:r w:rsidRPr="005C4D39">
        <w:rPr>
          <w:rFonts w:ascii="Times New Roman" w:hAnsi="Times New Roman"/>
          <w:bCs w:val="0"/>
          <w:i w:val="0"/>
        </w:rPr>
        <w:t xml:space="preserve">Request for information </w:t>
      </w:r>
      <w:r w:rsidR="00263A5C">
        <w:rPr>
          <w:rFonts w:ascii="Times New Roman" w:hAnsi="Times New Roman"/>
          <w:bCs w:val="0"/>
          <w:i w:val="0"/>
        </w:rPr>
        <w:t>on p</w:t>
      </w:r>
      <w:r w:rsidR="00263A5C" w:rsidRPr="00263A5C">
        <w:rPr>
          <w:rFonts w:ascii="Times New Roman" w:hAnsi="Times New Roman"/>
          <w:bCs w:val="0"/>
          <w:i w:val="0"/>
        </w:rPr>
        <w:t>entadecafluorooctanoic acid (CAS No: 335-67-1, PFOA, perfluorooctanoic acid), its salts and PFOA-related compounds</w:t>
      </w:r>
    </w:p>
    <w:p w14:paraId="086D7BA1" w14:textId="77777777" w:rsidR="006C0E68" w:rsidRPr="0008253E" w:rsidRDefault="006C0E68" w:rsidP="006C0E68">
      <w:pPr>
        <w:snapToGrid w:val="0"/>
        <w:spacing w:after="120"/>
        <w:rPr>
          <w:color w:val="FF0000"/>
          <w:sz w:val="22"/>
          <w:szCs w:val="22"/>
        </w:rPr>
      </w:pPr>
      <w:r w:rsidRPr="0008253E">
        <w:rPr>
          <w:color w:val="FF0000"/>
          <w:sz w:val="22"/>
          <w:szCs w:val="22"/>
          <w:u w:val="single"/>
        </w:rPr>
        <w:t>Request</w:t>
      </w:r>
      <w:r w:rsidRPr="0008253E">
        <w:rPr>
          <w:color w:val="FF0000"/>
          <w:sz w:val="22"/>
          <w:szCs w:val="22"/>
        </w:rPr>
        <w:t>:</w:t>
      </w:r>
    </w:p>
    <w:p w14:paraId="6B2C95C5" w14:textId="77777777" w:rsidR="006C0E68" w:rsidRPr="0008253E" w:rsidRDefault="006C0E68" w:rsidP="0008253E">
      <w:pPr>
        <w:numPr>
          <w:ilvl w:val="0"/>
          <w:numId w:val="38"/>
        </w:numPr>
        <w:snapToGrid w:val="0"/>
        <w:spacing w:after="120"/>
        <w:ind w:left="426"/>
        <w:rPr>
          <w:color w:val="FF0000"/>
          <w:sz w:val="22"/>
          <w:szCs w:val="22"/>
        </w:rPr>
      </w:pPr>
      <w:r w:rsidRPr="0008253E">
        <w:rPr>
          <w:color w:val="FF0000"/>
          <w:sz w:val="22"/>
          <w:szCs w:val="22"/>
        </w:rPr>
        <w:t xml:space="preserve">Parties and observers are invited to submit </w:t>
      </w:r>
      <w:r w:rsidR="00EC6D91" w:rsidRPr="0008253E">
        <w:rPr>
          <w:color w:val="FF0000"/>
          <w:sz w:val="22"/>
          <w:szCs w:val="22"/>
        </w:rPr>
        <w:t xml:space="preserve">information that would assist the </w:t>
      </w:r>
      <w:r w:rsidR="00EC6D91" w:rsidRPr="0008253E">
        <w:rPr>
          <w:b/>
          <w:color w:val="FF0000"/>
          <w:sz w:val="22"/>
          <w:szCs w:val="22"/>
        </w:rPr>
        <w:t xml:space="preserve">possible defining by the Committee of specific exemptions for </w:t>
      </w:r>
      <w:r w:rsidR="00EC6D91" w:rsidRPr="0008253E">
        <w:rPr>
          <w:b/>
          <w:color w:val="FF0000"/>
          <w:sz w:val="22"/>
          <w:szCs w:val="22"/>
          <w:u w:val="single"/>
        </w:rPr>
        <w:t>production and use of PFOA</w:t>
      </w:r>
      <w:r w:rsidR="00EC6D91" w:rsidRPr="0008253E">
        <w:rPr>
          <w:b/>
          <w:color w:val="FF0000"/>
          <w:sz w:val="22"/>
          <w:szCs w:val="22"/>
        </w:rPr>
        <w:t>, its salts and PFOA-related compounds</w:t>
      </w:r>
      <w:r w:rsidR="00EC6D91" w:rsidRPr="0008253E">
        <w:rPr>
          <w:color w:val="FF0000"/>
          <w:sz w:val="22"/>
          <w:szCs w:val="22"/>
        </w:rPr>
        <w:t xml:space="preserve"> in particular in the following applications</w:t>
      </w:r>
      <w:r w:rsidRPr="0008253E">
        <w:rPr>
          <w:color w:val="FF0000"/>
          <w:sz w:val="22"/>
          <w:szCs w:val="22"/>
        </w:rPr>
        <w:t>:</w:t>
      </w:r>
    </w:p>
    <w:p w14:paraId="287A8EF1" w14:textId="77777777" w:rsidR="00EC6D91" w:rsidRPr="0008253E" w:rsidRDefault="00EC6D91" w:rsidP="002619DE">
      <w:pPr>
        <w:numPr>
          <w:ilvl w:val="0"/>
          <w:numId w:val="30"/>
        </w:numPr>
        <w:snapToGrid w:val="0"/>
        <w:spacing w:after="120"/>
        <w:rPr>
          <w:color w:val="FF0000"/>
          <w:sz w:val="22"/>
          <w:szCs w:val="22"/>
        </w:rPr>
      </w:pPr>
      <w:r w:rsidRPr="0008253E">
        <w:rPr>
          <w:color w:val="FF0000"/>
          <w:sz w:val="22"/>
          <w:szCs w:val="22"/>
        </w:rPr>
        <w:t>Membranes intended for use in medical textiles, filtration in water treatment, production processes and effluent treatment: information on the scope of the applications, used amounts, availability of alternatives and socio-economic aspects;</w:t>
      </w:r>
    </w:p>
    <w:p w14:paraId="00CA8E71" w14:textId="77777777" w:rsidR="00EC6D91" w:rsidRPr="0008253E" w:rsidRDefault="00EC6D91" w:rsidP="002619DE">
      <w:pPr>
        <w:numPr>
          <w:ilvl w:val="0"/>
          <w:numId w:val="30"/>
        </w:numPr>
        <w:snapToGrid w:val="0"/>
        <w:spacing w:after="120"/>
        <w:rPr>
          <w:color w:val="FF0000"/>
          <w:sz w:val="22"/>
          <w:szCs w:val="22"/>
        </w:rPr>
      </w:pPr>
      <w:r w:rsidRPr="0008253E">
        <w:rPr>
          <w:color w:val="FF0000"/>
          <w:sz w:val="22"/>
          <w:szCs w:val="22"/>
        </w:rPr>
        <w:t>Transported isolated intermediates in order to enable reprocessing in another site than the production site: information on the quantities used, extent of transport and risks, and use;</w:t>
      </w:r>
    </w:p>
    <w:p w14:paraId="75C74530" w14:textId="77777777" w:rsidR="00EC6D91" w:rsidRPr="0008253E" w:rsidRDefault="00EC6D91" w:rsidP="002619DE">
      <w:pPr>
        <w:numPr>
          <w:ilvl w:val="0"/>
          <w:numId w:val="30"/>
        </w:numPr>
        <w:snapToGrid w:val="0"/>
        <w:spacing w:after="120"/>
        <w:rPr>
          <w:color w:val="FF0000"/>
          <w:sz w:val="22"/>
          <w:szCs w:val="22"/>
        </w:rPr>
      </w:pPr>
      <w:r w:rsidRPr="0008253E">
        <w:rPr>
          <w:color w:val="FF0000"/>
          <w:sz w:val="22"/>
          <w:szCs w:val="22"/>
        </w:rPr>
        <w:t>Medical devices: information on specific applications/uses and timelines foreseen as needed for potential related exemptions;</w:t>
      </w:r>
    </w:p>
    <w:p w14:paraId="78B62EDB" w14:textId="77777777" w:rsidR="00EC6D91" w:rsidRPr="0008253E" w:rsidRDefault="00EC6D91" w:rsidP="002619DE">
      <w:pPr>
        <w:numPr>
          <w:ilvl w:val="0"/>
          <w:numId w:val="30"/>
        </w:numPr>
        <w:snapToGrid w:val="0"/>
        <w:spacing w:after="120"/>
        <w:rPr>
          <w:color w:val="FF0000"/>
          <w:sz w:val="22"/>
          <w:szCs w:val="22"/>
        </w:rPr>
      </w:pPr>
      <w:r w:rsidRPr="0008253E">
        <w:rPr>
          <w:color w:val="FF0000"/>
          <w:sz w:val="22"/>
          <w:szCs w:val="22"/>
        </w:rPr>
        <w:t>Implantable medical devices: information on the quantities used, extent of transport and risks, and use;</w:t>
      </w:r>
    </w:p>
    <w:p w14:paraId="00308D03" w14:textId="77777777" w:rsidR="00EC6D91" w:rsidRPr="0008253E" w:rsidRDefault="00EC6D91" w:rsidP="002619DE">
      <w:pPr>
        <w:numPr>
          <w:ilvl w:val="0"/>
          <w:numId w:val="30"/>
        </w:numPr>
        <w:snapToGrid w:val="0"/>
        <w:spacing w:after="120"/>
        <w:rPr>
          <w:color w:val="FF0000"/>
          <w:sz w:val="22"/>
          <w:szCs w:val="22"/>
        </w:rPr>
      </w:pPr>
      <w:r w:rsidRPr="0008253E">
        <w:rPr>
          <w:color w:val="FF0000"/>
          <w:sz w:val="22"/>
          <w:szCs w:val="22"/>
        </w:rPr>
        <w:t>Photo imaging sector: information on paper and printing, and information relevant for developing countries;</w:t>
      </w:r>
    </w:p>
    <w:p w14:paraId="619E4C88" w14:textId="77777777" w:rsidR="00EC6D91" w:rsidRPr="0008253E" w:rsidRDefault="00EC6D91" w:rsidP="002619DE">
      <w:pPr>
        <w:numPr>
          <w:ilvl w:val="0"/>
          <w:numId w:val="30"/>
        </w:numPr>
        <w:snapToGrid w:val="0"/>
        <w:spacing w:after="120"/>
        <w:rPr>
          <w:color w:val="FF0000"/>
          <w:sz w:val="22"/>
          <w:szCs w:val="22"/>
        </w:rPr>
      </w:pPr>
      <w:r w:rsidRPr="0008253E">
        <w:rPr>
          <w:color w:val="FF0000"/>
          <w:sz w:val="22"/>
          <w:szCs w:val="22"/>
        </w:rPr>
        <w:t>Automotive industry: information on spare parts;</w:t>
      </w:r>
    </w:p>
    <w:p w14:paraId="10EAF033" w14:textId="77777777" w:rsidR="006C0E68" w:rsidRPr="0008253E" w:rsidRDefault="00EC6D91" w:rsidP="002619DE">
      <w:pPr>
        <w:numPr>
          <w:ilvl w:val="0"/>
          <w:numId w:val="30"/>
        </w:numPr>
        <w:snapToGrid w:val="0"/>
        <w:spacing w:after="120"/>
        <w:rPr>
          <w:color w:val="FF0000"/>
          <w:sz w:val="22"/>
          <w:szCs w:val="22"/>
        </w:rPr>
      </w:pPr>
      <w:r w:rsidRPr="0008253E">
        <w:rPr>
          <w:color w:val="FF0000"/>
          <w:sz w:val="22"/>
          <w:szCs w:val="22"/>
        </w:rPr>
        <w:t>Fire-fighting foams: information on chemical composition of mixtures and the volumes of pre-installed amount of fire-fighting foam mixtures</w:t>
      </w:r>
      <w:r w:rsidR="006C0E68" w:rsidRPr="0008253E">
        <w:rPr>
          <w:color w:val="FF0000"/>
          <w:sz w:val="22"/>
          <w:szCs w:val="22"/>
        </w:rPr>
        <w:t>.</w:t>
      </w:r>
    </w:p>
    <w:p w14:paraId="200DA0E2" w14:textId="79165ED0" w:rsidR="00C01591" w:rsidRDefault="00CC0A0F" w:rsidP="00C01591">
      <w:pPr>
        <w:numPr>
          <w:ilvl w:val="0"/>
          <w:numId w:val="35"/>
        </w:numPr>
        <w:snapToGrid w:val="0"/>
        <w:spacing w:after="120"/>
        <w:rPr>
          <w:sz w:val="22"/>
          <w:szCs w:val="22"/>
        </w:rPr>
      </w:pPr>
      <w:r w:rsidRPr="0008253E">
        <w:rPr>
          <w:sz w:val="22"/>
          <w:szCs w:val="22"/>
        </w:rPr>
        <w:t>The</w:t>
      </w:r>
      <w:r w:rsidR="004D56A9">
        <w:rPr>
          <w:sz w:val="22"/>
          <w:szCs w:val="22"/>
        </w:rPr>
        <w:t xml:space="preserve"> Australian Government’s National Industrial Chemicals Notification and Assessment Service (NICNAS) has reviewed the available information and found no indication that the</w:t>
      </w:r>
      <w:r w:rsidRPr="0008253E">
        <w:rPr>
          <w:sz w:val="22"/>
          <w:szCs w:val="22"/>
        </w:rPr>
        <w:t xml:space="preserve"> chemicals PFOA (Octanoic acid, pentadecafluoro-), and its direct precursor APFO (Octanoic acid, pentadecafluoro-, ammonium salt</w:t>
      </w:r>
      <w:r w:rsidRPr="0008253E">
        <w:rPr>
          <w:rStyle w:val="apple-converted-space"/>
          <w:sz w:val="22"/>
          <w:szCs w:val="22"/>
        </w:rPr>
        <w:t xml:space="preserve">), </w:t>
      </w:r>
      <w:r w:rsidRPr="0008253E">
        <w:rPr>
          <w:sz w:val="22"/>
          <w:szCs w:val="22"/>
        </w:rPr>
        <w:t xml:space="preserve">are manufactured in Australia or imported as base chemicals. </w:t>
      </w:r>
    </w:p>
    <w:p w14:paraId="45E1B519" w14:textId="6FF4A014" w:rsidR="00C01591" w:rsidRPr="00C01591" w:rsidRDefault="00C01591" w:rsidP="00C01591">
      <w:pPr>
        <w:numPr>
          <w:ilvl w:val="0"/>
          <w:numId w:val="35"/>
        </w:numPr>
        <w:snapToGrid w:val="0"/>
        <w:spacing w:after="120"/>
        <w:rPr>
          <w:sz w:val="22"/>
          <w:szCs w:val="22"/>
        </w:rPr>
      </w:pPr>
      <w:r w:rsidRPr="00C01591">
        <w:rPr>
          <w:sz w:val="22"/>
          <w:szCs w:val="22"/>
        </w:rPr>
        <w:t xml:space="preserve">The following </w:t>
      </w:r>
      <w:r w:rsidR="004D56A9">
        <w:rPr>
          <w:sz w:val="22"/>
          <w:szCs w:val="22"/>
        </w:rPr>
        <w:t xml:space="preserve">information on </w:t>
      </w:r>
      <w:r w:rsidR="00107099">
        <w:rPr>
          <w:sz w:val="22"/>
          <w:szCs w:val="22"/>
        </w:rPr>
        <w:t xml:space="preserve">the </w:t>
      </w:r>
      <w:r w:rsidRPr="00C01591">
        <w:rPr>
          <w:sz w:val="22"/>
          <w:szCs w:val="22"/>
        </w:rPr>
        <w:t xml:space="preserve">industrial uses </w:t>
      </w:r>
      <w:r w:rsidR="00060C7B">
        <w:rPr>
          <w:sz w:val="22"/>
          <w:szCs w:val="22"/>
        </w:rPr>
        <w:t>in Australia</w:t>
      </w:r>
      <w:r w:rsidR="00107099">
        <w:rPr>
          <w:sz w:val="22"/>
          <w:szCs w:val="22"/>
        </w:rPr>
        <w:t xml:space="preserve"> </w:t>
      </w:r>
      <w:r w:rsidRPr="00C01591">
        <w:rPr>
          <w:sz w:val="22"/>
          <w:szCs w:val="22"/>
        </w:rPr>
        <w:t>of PFOA</w:t>
      </w:r>
      <w:r>
        <w:rPr>
          <w:sz w:val="22"/>
          <w:szCs w:val="22"/>
        </w:rPr>
        <w:t>, or products containing PFOA</w:t>
      </w:r>
      <w:r w:rsidR="00842342">
        <w:rPr>
          <w:sz w:val="22"/>
          <w:szCs w:val="22"/>
        </w:rPr>
        <w:t xml:space="preserve"> and </w:t>
      </w:r>
      <w:r>
        <w:rPr>
          <w:sz w:val="22"/>
          <w:szCs w:val="22"/>
        </w:rPr>
        <w:t>related substances</w:t>
      </w:r>
      <w:r w:rsidR="004D56A9">
        <w:rPr>
          <w:sz w:val="22"/>
          <w:szCs w:val="22"/>
        </w:rPr>
        <w:t>, dates</w:t>
      </w:r>
      <w:r w:rsidR="00060C7B">
        <w:rPr>
          <w:sz w:val="22"/>
          <w:szCs w:val="22"/>
        </w:rPr>
        <w:t xml:space="preserve"> </w:t>
      </w:r>
      <w:r w:rsidR="00107099">
        <w:rPr>
          <w:sz w:val="22"/>
          <w:szCs w:val="22"/>
        </w:rPr>
        <w:t xml:space="preserve">from </w:t>
      </w:r>
      <w:r w:rsidR="00060C7B">
        <w:rPr>
          <w:sz w:val="22"/>
          <w:szCs w:val="22"/>
        </w:rPr>
        <w:t>2003 to 2007</w:t>
      </w:r>
      <w:r w:rsidR="004D56A9">
        <w:rPr>
          <w:sz w:val="22"/>
          <w:szCs w:val="22"/>
        </w:rPr>
        <w:t xml:space="preserve"> as no more</w:t>
      </w:r>
      <w:r w:rsidR="00107099">
        <w:rPr>
          <w:sz w:val="22"/>
          <w:szCs w:val="22"/>
        </w:rPr>
        <w:t xml:space="preserve"> recent information is available.</w:t>
      </w:r>
    </w:p>
    <w:p w14:paraId="7EED665B" w14:textId="77777777" w:rsidR="009F0B89" w:rsidRDefault="00107099" w:rsidP="00C01591">
      <w:pPr>
        <w:numPr>
          <w:ilvl w:val="0"/>
          <w:numId w:val="41"/>
        </w:numPr>
        <w:snapToGrid w:val="0"/>
        <w:spacing w:after="120"/>
        <w:rPr>
          <w:sz w:val="22"/>
          <w:szCs w:val="22"/>
        </w:rPr>
      </w:pPr>
      <w:r>
        <w:rPr>
          <w:sz w:val="22"/>
          <w:szCs w:val="22"/>
        </w:rPr>
        <w:t>I</w:t>
      </w:r>
      <w:r w:rsidRPr="009F0B89">
        <w:rPr>
          <w:sz w:val="22"/>
          <w:szCs w:val="22"/>
        </w:rPr>
        <w:t xml:space="preserve">mport of a liquid fluoropolymer surfactant dispersion product </w:t>
      </w:r>
      <w:r>
        <w:rPr>
          <w:sz w:val="22"/>
          <w:szCs w:val="22"/>
        </w:rPr>
        <w:t>for use as p</w:t>
      </w:r>
      <w:r w:rsidR="00C01591" w:rsidRPr="009F0B89">
        <w:rPr>
          <w:sz w:val="22"/>
          <w:szCs w:val="22"/>
        </w:rPr>
        <w:t xml:space="preserve">rimer for non-stick metal cookware. The importation equated to approximately 50 gm and 25 gm of PFOA in 2003 and 2004, respectively. </w:t>
      </w:r>
    </w:p>
    <w:p w14:paraId="747CAEEF" w14:textId="77777777" w:rsidR="00C01591" w:rsidRPr="009F0B89" w:rsidRDefault="00C01591" w:rsidP="00C01591">
      <w:pPr>
        <w:numPr>
          <w:ilvl w:val="0"/>
          <w:numId w:val="41"/>
        </w:numPr>
        <w:snapToGrid w:val="0"/>
        <w:spacing w:after="120"/>
        <w:rPr>
          <w:sz w:val="22"/>
          <w:szCs w:val="22"/>
        </w:rPr>
      </w:pPr>
      <w:r w:rsidRPr="009F0B89">
        <w:rPr>
          <w:sz w:val="22"/>
          <w:szCs w:val="22"/>
        </w:rPr>
        <w:t xml:space="preserve">Fluoropolymer dispersion polymer </w:t>
      </w:r>
      <w:r w:rsidR="00107099">
        <w:rPr>
          <w:sz w:val="22"/>
          <w:szCs w:val="22"/>
        </w:rPr>
        <w:t xml:space="preserve">for use </w:t>
      </w:r>
      <w:r w:rsidRPr="009F0B89">
        <w:rPr>
          <w:sz w:val="22"/>
          <w:szCs w:val="22"/>
        </w:rPr>
        <w:t>in paints</w:t>
      </w:r>
      <w:r w:rsidR="00107099">
        <w:rPr>
          <w:sz w:val="22"/>
          <w:szCs w:val="22"/>
        </w:rPr>
        <w:t>.</w:t>
      </w:r>
      <w:r w:rsidRPr="009F0B89">
        <w:rPr>
          <w:sz w:val="22"/>
          <w:szCs w:val="22"/>
        </w:rPr>
        <w:t xml:space="preserve"> The importation equated to 10 kg annually of PFOA.</w:t>
      </w:r>
    </w:p>
    <w:p w14:paraId="6E500D05" w14:textId="77777777" w:rsidR="00C01591" w:rsidRDefault="00C01591" w:rsidP="00C01591">
      <w:pPr>
        <w:numPr>
          <w:ilvl w:val="0"/>
          <w:numId w:val="41"/>
        </w:numPr>
        <w:snapToGrid w:val="0"/>
        <w:spacing w:after="120"/>
        <w:rPr>
          <w:sz w:val="22"/>
          <w:szCs w:val="22"/>
        </w:rPr>
      </w:pPr>
      <w:r w:rsidRPr="00C01591">
        <w:rPr>
          <w:sz w:val="22"/>
          <w:szCs w:val="22"/>
        </w:rPr>
        <w:t>Fire-fighting foam</w:t>
      </w:r>
      <w:r>
        <w:rPr>
          <w:sz w:val="22"/>
          <w:szCs w:val="22"/>
        </w:rPr>
        <w:t xml:space="preserve">: </w:t>
      </w:r>
      <w:r w:rsidRPr="00C01591">
        <w:rPr>
          <w:sz w:val="22"/>
          <w:szCs w:val="22"/>
        </w:rPr>
        <w:t xml:space="preserve">The import in the past of two fluorosurfactant products for use in </w:t>
      </w:r>
      <w:r>
        <w:rPr>
          <w:sz w:val="22"/>
          <w:szCs w:val="22"/>
        </w:rPr>
        <w:t>the manufacture of Class B fire-</w:t>
      </w:r>
      <w:r w:rsidRPr="00C01591">
        <w:rPr>
          <w:sz w:val="22"/>
          <w:szCs w:val="22"/>
        </w:rPr>
        <w:t>fighting foam was reported. The importation equated to approximately 48 gm and 0.6 gm of PFOA in 2002 and 2003, respectively. The importation and sale of the products in Australia was discontinued in 2003.</w:t>
      </w:r>
    </w:p>
    <w:p w14:paraId="10105EF2" w14:textId="77777777" w:rsidR="00C01591" w:rsidRDefault="00C01591" w:rsidP="00C01591">
      <w:pPr>
        <w:numPr>
          <w:ilvl w:val="0"/>
          <w:numId w:val="41"/>
        </w:numPr>
        <w:snapToGrid w:val="0"/>
        <w:spacing w:after="120"/>
        <w:rPr>
          <w:sz w:val="22"/>
          <w:szCs w:val="22"/>
        </w:rPr>
      </w:pPr>
      <w:r w:rsidRPr="00C01591">
        <w:rPr>
          <w:sz w:val="22"/>
          <w:szCs w:val="22"/>
        </w:rPr>
        <w:t>Textile and carpet protection products containing some fluoropolymers were imported into Australia</w:t>
      </w:r>
      <w:r w:rsidR="009F0B89">
        <w:rPr>
          <w:sz w:val="22"/>
          <w:szCs w:val="22"/>
        </w:rPr>
        <w:t>.</w:t>
      </w:r>
    </w:p>
    <w:p w14:paraId="5F173391" w14:textId="77777777" w:rsidR="00C01591" w:rsidRDefault="009C4E26" w:rsidP="00C01591">
      <w:pPr>
        <w:numPr>
          <w:ilvl w:val="0"/>
          <w:numId w:val="41"/>
        </w:numPr>
        <w:snapToGrid w:val="0"/>
        <w:spacing w:after="120"/>
        <w:rPr>
          <w:sz w:val="22"/>
          <w:szCs w:val="22"/>
        </w:rPr>
      </w:pPr>
      <w:r w:rsidRPr="00C01591">
        <w:rPr>
          <w:sz w:val="22"/>
          <w:szCs w:val="22"/>
        </w:rPr>
        <w:t>An antifoam product containing &lt;10% of a PFOA-related chemical was imported in 2005 for use in a dyeing process with sulfur dyes. The total quantity imported was approximately 10 kg.</w:t>
      </w:r>
    </w:p>
    <w:p w14:paraId="182230B9" w14:textId="77777777" w:rsidR="00C01591" w:rsidRDefault="009C4E26" w:rsidP="00C01591">
      <w:pPr>
        <w:numPr>
          <w:ilvl w:val="0"/>
          <w:numId w:val="41"/>
        </w:numPr>
        <w:snapToGrid w:val="0"/>
        <w:spacing w:after="120"/>
        <w:rPr>
          <w:sz w:val="22"/>
          <w:szCs w:val="22"/>
        </w:rPr>
      </w:pPr>
      <w:r w:rsidRPr="00C01591">
        <w:rPr>
          <w:sz w:val="22"/>
          <w:szCs w:val="22"/>
        </w:rPr>
        <w:t>A de-dusting product for industrial use and a consumer paint product, both containing less than 100 ppm PFOA salt, were imported. The total volumes of PFOA salt in both products were 10 and 71 kg in 2004 and 2005, respectively. The concentrations of PFOA salt in these products were reduced to less than 10 ppm in 2006.</w:t>
      </w:r>
    </w:p>
    <w:p w14:paraId="72B3E406" w14:textId="77777777" w:rsidR="009C4E26" w:rsidRPr="00C01591" w:rsidRDefault="009C4E26" w:rsidP="00C01591">
      <w:pPr>
        <w:numPr>
          <w:ilvl w:val="0"/>
          <w:numId w:val="41"/>
        </w:numPr>
        <w:snapToGrid w:val="0"/>
        <w:spacing w:after="120"/>
        <w:rPr>
          <w:sz w:val="22"/>
          <w:szCs w:val="22"/>
        </w:rPr>
      </w:pPr>
      <w:r w:rsidRPr="00C01591">
        <w:rPr>
          <w:sz w:val="22"/>
          <w:szCs w:val="22"/>
        </w:rPr>
        <w:t xml:space="preserve">PFOA could be present as an impurity in polytetrafluoroethylene (PTFE) products and in some fire-fighting foam products imported into Australia. These products also include industrial painting/coating products, and some wiring products. The concentrations of PFOA in these </w:t>
      </w:r>
      <w:r w:rsidRPr="00C01591">
        <w:rPr>
          <w:sz w:val="22"/>
          <w:szCs w:val="22"/>
        </w:rPr>
        <w:lastRenderedPageBreak/>
        <w:t>products are at trace levels ranging from parts per billion (ppb) to less than one part per million (ppm).</w:t>
      </w:r>
    </w:p>
    <w:p w14:paraId="7A3FAA92" w14:textId="4177A89F" w:rsidR="005E49BA" w:rsidRPr="00C01591" w:rsidRDefault="0043422B" w:rsidP="005E49BA">
      <w:pPr>
        <w:numPr>
          <w:ilvl w:val="0"/>
          <w:numId w:val="35"/>
        </w:numPr>
        <w:snapToGrid w:val="0"/>
        <w:spacing w:after="120"/>
        <w:rPr>
          <w:sz w:val="22"/>
          <w:szCs w:val="22"/>
        </w:rPr>
      </w:pPr>
      <w:r w:rsidRPr="00C01591">
        <w:rPr>
          <w:sz w:val="22"/>
          <w:szCs w:val="22"/>
        </w:rPr>
        <w:t xml:space="preserve">In Australia, following co-regulatory activity </w:t>
      </w:r>
      <w:r w:rsidR="00107099">
        <w:rPr>
          <w:sz w:val="22"/>
          <w:szCs w:val="22"/>
        </w:rPr>
        <w:t>between</w:t>
      </w:r>
      <w:r w:rsidRPr="00C01591">
        <w:rPr>
          <w:sz w:val="22"/>
          <w:szCs w:val="22"/>
        </w:rPr>
        <w:t xml:space="preserve"> NICNAS and </w:t>
      </w:r>
      <w:r w:rsidR="007E1352">
        <w:rPr>
          <w:sz w:val="22"/>
          <w:szCs w:val="22"/>
        </w:rPr>
        <w:t>i</w:t>
      </w:r>
      <w:r w:rsidR="007E1352" w:rsidRPr="00C01591">
        <w:rPr>
          <w:sz w:val="22"/>
          <w:szCs w:val="22"/>
        </w:rPr>
        <w:t>ndustry</w:t>
      </w:r>
      <w:r w:rsidR="007E1352">
        <w:rPr>
          <w:sz w:val="22"/>
          <w:szCs w:val="22"/>
        </w:rPr>
        <w:t>,</w:t>
      </w:r>
      <w:r w:rsidR="007E1352" w:rsidRPr="00C01591">
        <w:rPr>
          <w:sz w:val="22"/>
          <w:szCs w:val="22"/>
        </w:rPr>
        <w:t xml:space="preserve"> </w:t>
      </w:r>
      <w:r w:rsidRPr="00C01591">
        <w:rPr>
          <w:sz w:val="22"/>
          <w:szCs w:val="22"/>
        </w:rPr>
        <w:t>the imports of PFOA polymers have virtually ceased</w:t>
      </w:r>
      <w:r w:rsidR="007E1352">
        <w:rPr>
          <w:sz w:val="22"/>
          <w:szCs w:val="22"/>
        </w:rPr>
        <w:t>,</w:t>
      </w:r>
      <w:r w:rsidRPr="00C01591">
        <w:rPr>
          <w:sz w:val="22"/>
          <w:szCs w:val="22"/>
        </w:rPr>
        <w:t xml:space="preserve"> dropping from 27.5 tonnes in 2003 to approximately 20 kg </w:t>
      </w:r>
      <w:r w:rsidR="00665F96">
        <w:rPr>
          <w:sz w:val="22"/>
          <w:szCs w:val="22"/>
        </w:rPr>
        <w:t xml:space="preserve">imported </w:t>
      </w:r>
      <w:r w:rsidRPr="00C01591">
        <w:rPr>
          <w:sz w:val="22"/>
          <w:szCs w:val="22"/>
        </w:rPr>
        <w:t xml:space="preserve">in 2004, of which </w:t>
      </w:r>
      <w:r w:rsidR="00107099" w:rsidRPr="00C01591">
        <w:rPr>
          <w:sz w:val="22"/>
          <w:szCs w:val="22"/>
        </w:rPr>
        <w:t xml:space="preserve">only 25 g </w:t>
      </w:r>
      <w:r w:rsidR="00665F96">
        <w:rPr>
          <w:sz w:val="22"/>
          <w:szCs w:val="22"/>
        </w:rPr>
        <w:t>was</w:t>
      </w:r>
      <w:r w:rsidR="00107099" w:rsidRPr="00C01591">
        <w:rPr>
          <w:sz w:val="22"/>
          <w:szCs w:val="22"/>
        </w:rPr>
        <w:t xml:space="preserve"> used in the local manufacture of non-stick cookware</w:t>
      </w:r>
      <w:r w:rsidRPr="00C01591">
        <w:rPr>
          <w:sz w:val="22"/>
          <w:szCs w:val="22"/>
        </w:rPr>
        <w:t xml:space="preserve">.  </w:t>
      </w:r>
    </w:p>
    <w:p w14:paraId="777F8E8F" w14:textId="3F8D916B" w:rsidR="005E49BA" w:rsidRDefault="009801DE" w:rsidP="005E49BA">
      <w:pPr>
        <w:numPr>
          <w:ilvl w:val="0"/>
          <w:numId w:val="35"/>
        </w:numPr>
        <w:snapToGrid w:val="0"/>
        <w:spacing w:after="120"/>
        <w:rPr>
          <w:sz w:val="22"/>
          <w:szCs w:val="22"/>
        </w:rPr>
      </w:pPr>
      <w:r w:rsidRPr="009C4E26">
        <w:rPr>
          <w:sz w:val="22"/>
          <w:szCs w:val="22"/>
        </w:rPr>
        <w:t xml:space="preserve">Regarding the seven specific applications the Committee is seeking information on, only use in fire-fighting foams </w:t>
      </w:r>
      <w:r w:rsidR="009C4E26" w:rsidRPr="009C4E26">
        <w:rPr>
          <w:sz w:val="22"/>
          <w:szCs w:val="22"/>
        </w:rPr>
        <w:t>is</w:t>
      </w:r>
      <w:r w:rsidRPr="009C4E26">
        <w:rPr>
          <w:sz w:val="22"/>
          <w:szCs w:val="22"/>
        </w:rPr>
        <w:t xml:space="preserve"> </w:t>
      </w:r>
      <w:r w:rsidR="007E1352">
        <w:rPr>
          <w:sz w:val="22"/>
          <w:szCs w:val="22"/>
        </w:rPr>
        <w:t xml:space="preserve">known to be </w:t>
      </w:r>
      <w:r w:rsidRPr="009C4E26">
        <w:rPr>
          <w:sz w:val="22"/>
          <w:szCs w:val="22"/>
        </w:rPr>
        <w:t>applicable in Australia</w:t>
      </w:r>
      <w:r w:rsidR="009C4E26">
        <w:rPr>
          <w:sz w:val="22"/>
          <w:szCs w:val="22"/>
        </w:rPr>
        <w:t xml:space="preserve">. </w:t>
      </w:r>
      <w:r w:rsidRPr="009C4E26">
        <w:rPr>
          <w:sz w:val="22"/>
          <w:szCs w:val="22"/>
        </w:rPr>
        <w:t xml:space="preserve">No information on </w:t>
      </w:r>
      <w:r w:rsidR="007E1352">
        <w:rPr>
          <w:sz w:val="22"/>
          <w:szCs w:val="22"/>
        </w:rPr>
        <w:t xml:space="preserve">the </w:t>
      </w:r>
      <w:r w:rsidRPr="009C4E26">
        <w:rPr>
          <w:sz w:val="22"/>
          <w:szCs w:val="22"/>
        </w:rPr>
        <w:t>chemical composition of mixtures</w:t>
      </w:r>
      <w:r w:rsidR="005E49BA" w:rsidRPr="009C4E26">
        <w:rPr>
          <w:sz w:val="22"/>
          <w:szCs w:val="22"/>
        </w:rPr>
        <w:t xml:space="preserve"> of</w:t>
      </w:r>
      <w:r w:rsidRPr="009C4E26">
        <w:rPr>
          <w:sz w:val="22"/>
          <w:szCs w:val="22"/>
        </w:rPr>
        <w:t>, and the volumes of pre-installed amount of</w:t>
      </w:r>
      <w:r w:rsidR="007E1352">
        <w:rPr>
          <w:sz w:val="22"/>
          <w:szCs w:val="22"/>
        </w:rPr>
        <w:t>,</w:t>
      </w:r>
      <w:r w:rsidRPr="009C4E26">
        <w:rPr>
          <w:sz w:val="22"/>
          <w:szCs w:val="22"/>
        </w:rPr>
        <w:t xml:space="preserve"> fire-fighting foam mixtures is available.</w:t>
      </w:r>
      <w:r w:rsidR="005E49BA" w:rsidRPr="009C4E26">
        <w:rPr>
          <w:sz w:val="22"/>
          <w:szCs w:val="22"/>
        </w:rPr>
        <w:t xml:space="preserve"> </w:t>
      </w:r>
    </w:p>
    <w:p w14:paraId="738CF6F6" w14:textId="77777777" w:rsidR="00107099" w:rsidRDefault="00107099" w:rsidP="005E49BA">
      <w:pPr>
        <w:numPr>
          <w:ilvl w:val="0"/>
          <w:numId w:val="35"/>
        </w:numPr>
        <w:snapToGrid w:val="0"/>
        <w:spacing w:after="120"/>
        <w:rPr>
          <w:sz w:val="22"/>
          <w:szCs w:val="22"/>
        </w:rPr>
      </w:pPr>
      <w:r>
        <w:rPr>
          <w:sz w:val="22"/>
          <w:szCs w:val="22"/>
        </w:rPr>
        <w:t>The information provided here is only applicable to industrial uses.  Medical uses have not been identified.</w:t>
      </w:r>
    </w:p>
    <w:p w14:paraId="01EB34AE" w14:textId="77777777" w:rsidR="00EC6D91" w:rsidRPr="0008253E" w:rsidRDefault="00EC6D91" w:rsidP="0008253E">
      <w:pPr>
        <w:numPr>
          <w:ilvl w:val="0"/>
          <w:numId w:val="38"/>
        </w:numPr>
        <w:snapToGrid w:val="0"/>
        <w:spacing w:after="120"/>
        <w:ind w:left="426"/>
        <w:rPr>
          <w:color w:val="FF0000"/>
          <w:sz w:val="22"/>
          <w:szCs w:val="22"/>
        </w:rPr>
      </w:pPr>
      <w:r w:rsidRPr="0008253E">
        <w:rPr>
          <w:color w:val="FF0000"/>
          <w:sz w:val="22"/>
          <w:szCs w:val="22"/>
        </w:rPr>
        <w:t xml:space="preserve">Parties and observers are invited to submit information on </w:t>
      </w:r>
      <w:r w:rsidRPr="0008253E">
        <w:rPr>
          <w:b/>
          <w:color w:val="FF0000"/>
          <w:sz w:val="22"/>
          <w:szCs w:val="22"/>
          <w:u w:val="single"/>
        </w:rPr>
        <w:t>unintentional formation and releases</w:t>
      </w:r>
      <w:r w:rsidRPr="0008253E">
        <w:rPr>
          <w:color w:val="FF0000"/>
          <w:sz w:val="22"/>
          <w:szCs w:val="22"/>
        </w:rPr>
        <w:t xml:space="preserve"> of PFOA, its salts and PFOA-related compounds, in particular from primary aluminium production and from incomplete combustion.</w:t>
      </w:r>
    </w:p>
    <w:p w14:paraId="3750ADAF" w14:textId="77777777" w:rsidR="007957F3" w:rsidRPr="007E1352" w:rsidRDefault="007957F3" w:rsidP="009A2EED">
      <w:pPr>
        <w:numPr>
          <w:ilvl w:val="0"/>
          <w:numId w:val="40"/>
        </w:numPr>
        <w:snapToGrid w:val="0"/>
        <w:spacing w:after="120"/>
        <w:ind w:left="709"/>
        <w:rPr>
          <w:sz w:val="22"/>
          <w:szCs w:val="22"/>
        </w:rPr>
      </w:pPr>
      <w:r w:rsidRPr="0008253E">
        <w:rPr>
          <w:sz w:val="22"/>
          <w:szCs w:val="22"/>
        </w:rPr>
        <w:t xml:space="preserve">PFOA may be unintentionally released to the environment from disposal of other chemicals manufactured using APFO, disposal of imported articles treated with </w:t>
      </w:r>
      <w:r w:rsidR="006B7A39" w:rsidRPr="0008253E">
        <w:rPr>
          <w:sz w:val="22"/>
          <w:szCs w:val="22"/>
        </w:rPr>
        <w:t>PFOA or APFO</w:t>
      </w:r>
      <w:r w:rsidRPr="0008253E">
        <w:rPr>
          <w:sz w:val="22"/>
          <w:szCs w:val="22"/>
        </w:rPr>
        <w:t>, or as a result of environmental degradation of other long-chain fluorinated chemicals</w:t>
      </w:r>
      <w:r w:rsidRPr="007E1352">
        <w:rPr>
          <w:sz w:val="22"/>
          <w:szCs w:val="22"/>
        </w:rPr>
        <w:t>.</w:t>
      </w:r>
      <w:r w:rsidR="00B820D2" w:rsidRPr="007E1352">
        <w:rPr>
          <w:sz w:val="22"/>
          <w:szCs w:val="22"/>
        </w:rPr>
        <w:t xml:space="preserve"> In particular, the use of fluoropolymers (which may contain PFOA residues) has previously been reported in the manufacture of non-stick metal cookware, in paints, in fire-fighting foams, and in textile and carpet protection</w:t>
      </w:r>
    </w:p>
    <w:p w14:paraId="2D23EE71" w14:textId="569CD3D7" w:rsidR="009A2EED" w:rsidRPr="009A2EED" w:rsidRDefault="004D56A9" w:rsidP="009A2EED">
      <w:pPr>
        <w:numPr>
          <w:ilvl w:val="0"/>
          <w:numId w:val="40"/>
        </w:numPr>
        <w:snapToGrid w:val="0"/>
        <w:spacing w:after="120"/>
        <w:ind w:left="709"/>
        <w:rPr>
          <w:sz w:val="22"/>
          <w:szCs w:val="22"/>
        </w:rPr>
      </w:pPr>
      <w:r>
        <w:rPr>
          <w:sz w:val="22"/>
          <w:szCs w:val="22"/>
        </w:rPr>
        <w:t xml:space="preserve">No information was identified by </w:t>
      </w:r>
      <w:r w:rsidR="009A2EED" w:rsidRPr="009A2EED">
        <w:rPr>
          <w:sz w:val="22"/>
          <w:szCs w:val="22"/>
        </w:rPr>
        <w:t xml:space="preserve">NICNAS </w:t>
      </w:r>
      <w:r>
        <w:rPr>
          <w:sz w:val="22"/>
          <w:szCs w:val="22"/>
        </w:rPr>
        <w:t>suggesting the use of</w:t>
      </w:r>
      <w:r w:rsidR="009A2EED" w:rsidRPr="009A2EED">
        <w:rPr>
          <w:sz w:val="22"/>
          <w:szCs w:val="22"/>
        </w:rPr>
        <w:t xml:space="preserve"> PFOA, its salts and PFOA-related compounds in aluminium production in Australia.</w:t>
      </w:r>
    </w:p>
    <w:p w14:paraId="567F23B1" w14:textId="77777777" w:rsidR="00EC6D91" w:rsidRPr="0008253E" w:rsidRDefault="00EC6D91" w:rsidP="0008253E">
      <w:pPr>
        <w:numPr>
          <w:ilvl w:val="0"/>
          <w:numId w:val="38"/>
        </w:numPr>
        <w:snapToGrid w:val="0"/>
        <w:spacing w:after="120"/>
        <w:ind w:left="426"/>
        <w:rPr>
          <w:color w:val="FF0000"/>
          <w:sz w:val="22"/>
          <w:szCs w:val="22"/>
        </w:rPr>
      </w:pPr>
      <w:r w:rsidRPr="0008253E">
        <w:rPr>
          <w:color w:val="FF0000"/>
          <w:sz w:val="22"/>
          <w:szCs w:val="22"/>
        </w:rPr>
        <w:t xml:space="preserve">Parties and observers are invited to submit information on </w:t>
      </w:r>
      <w:r w:rsidRPr="0008253E">
        <w:rPr>
          <w:b/>
          <w:color w:val="FF0000"/>
          <w:sz w:val="22"/>
          <w:szCs w:val="22"/>
          <w:u w:val="single"/>
        </w:rPr>
        <w:t>chemical identity</w:t>
      </w:r>
      <w:r w:rsidRPr="0008253E">
        <w:rPr>
          <w:b/>
          <w:color w:val="FF0000"/>
          <w:sz w:val="22"/>
          <w:szCs w:val="22"/>
        </w:rPr>
        <w:t xml:space="preserve"> of PFOA-related compounds chemical list</w:t>
      </w:r>
      <w:r w:rsidRPr="0008253E">
        <w:rPr>
          <w:color w:val="FF0000"/>
          <w:sz w:val="22"/>
          <w:szCs w:val="22"/>
        </w:rPr>
        <w:t>.</w:t>
      </w:r>
    </w:p>
    <w:p w14:paraId="66891171" w14:textId="0BAD8C01" w:rsidR="0092538B" w:rsidRPr="0008253E" w:rsidRDefault="0092538B" w:rsidP="0008253E">
      <w:pPr>
        <w:numPr>
          <w:ilvl w:val="0"/>
          <w:numId w:val="35"/>
        </w:numPr>
        <w:snapToGrid w:val="0"/>
        <w:spacing w:after="120"/>
        <w:rPr>
          <w:color w:val="262626"/>
          <w:sz w:val="22"/>
          <w:szCs w:val="22"/>
        </w:rPr>
      </w:pPr>
      <w:r w:rsidRPr="0008253E">
        <w:rPr>
          <w:color w:val="262626"/>
          <w:sz w:val="22"/>
          <w:szCs w:val="22"/>
        </w:rPr>
        <w:t>A</w:t>
      </w:r>
      <w:r w:rsidR="007D73C1">
        <w:rPr>
          <w:color w:val="262626"/>
          <w:sz w:val="22"/>
          <w:szCs w:val="22"/>
        </w:rPr>
        <w:t xml:space="preserve"> NICNAS</w:t>
      </w:r>
      <w:r w:rsidRPr="0008253E">
        <w:rPr>
          <w:color w:val="262626"/>
          <w:sz w:val="22"/>
          <w:szCs w:val="22"/>
        </w:rPr>
        <w:t xml:space="preserve"> </w:t>
      </w:r>
      <w:r w:rsidR="00AD266B">
        <w:rPr>
          <w:color w:val="262626"/>
          <w:sz w:val="22"/>
          <w:szCs w:val="22"/>
        </w:rPr>
        <w:t>assessment under the Inventory Multi-tiered Assessment and Prioritisation (IMAP) framework</w:t>
      </w:r>
      <w:r w:rsidR="00AD266B" w:rsidRPr="0008253E">
        <w:rPr>
          <w:color w:val="262626"/>
          <w:sz w:val="22"/>
          <w:szCs w:val="22"/>
        </w:rPr>
        <w:t xml:space="preserve"> </w:t>
      </w:r>
      <w:r w:rsidRPr="0008253E">
        <w:rPr>
          <w:color w:val="262626"/>
          <w:sz w:val="22"/>
          <w:szCs w:val="22"/>
        </w:rPr>
        <w:t xml:space="preserve">concluded that </w:t>
      </w:r>
      <w:r w:rsidR="000B3F47" w:rsidRPr="0008253E">
        <w:rPr>
          <w:color w:val="262626"/>
          <w:sz w:val="22"/>
          <w:szCs w:val="22"/>
        </w:rPr>
        <w:t xml:space="preserve">PFOA is expected to be the major product of environmental biodegradation </w:t>
      </w:r>
      <w:r w:rsidRPr="0008253E">
        <w:rPr>
          <w:color w:val="262626"/>
          <w:sz w:val="22"/>
          <w:szCs w:val="22"/>
        </w:rPr>
        <w:t>for</w:t>
      </w:r>
      <w:r w:rsidR="000B3F47" w:rsidRPr="0008253E">
        <w:rPr>
          <w:color w:val="262626"/>
          <w:sz w:val="22"/>
          <w:szCs w:val="22"/>
        </w:rPr>
        <w:t xml:space="preserve"> the following</w:t>
      </w:r>
      <w:r w:rsidRPr="0008253E">
        <w:rPr>
          <w:color w:val="262626"/>
          <w:sz w:val="22"/>
          <w:szCs w:val="22"/>
        </w:rPr>
        <w:t xml:space="preserve"> five </w:t>
      </w:r>
      <w:r w:rsidRPr="0008253E">
        <w:rPr>
          <w:sz w:val="22"/>
          <w:szCs w:val="22"/>
        </w:rPr>
        <w:t>long-chain fluorinated chemicals</w:t>
      </w:r>
      <w:r w:rsidRPr="0008253E">
        <w:rPr>
          <w:color w:val="262626"/>
          <w:sz w:val="22"/>
          <w:szCs w:val="22"/>
        </w:rPr>
        <w:t xml:space="preserve"> on the</w:t>
      </w:r>
      <w:r w:rsidR="00107099">
        <w:rPr>
          <w:color w:val="262626"/>
          <w:sz w:val="22"/>
          <w:szCs w:val="22"/>
        </w:rPr>
        <w:t xml:space="preserve"> Australian Inventory </w:t>
      </w:r>
      <w:bookmarkStart w:id="1" w:name="_GoBack"/>
      <w:bookmarkEnd w:id="1"/>
      <w:r w:rsidR="00107099">
        <w:rPr>
          <w:color w:val="262626"/>
          <w:sz w:val="22"/>
          <w:szCs w:val="22"/>
        </w:rPr>
        <w:t>of Chemical Substances (AICS)</w:t>
      </w:r>
      <w:r w:rsidR="00AD266B">
        <w:rPr>
          <w:color w:val="262626"/>
          <w:sz w:val="22"/>
          <w:szCs w:val="22"/>
        </w:rPr>
        <w:t xml:space="preserve"> (NICNAS undated).</w:t>
      </w:r>
      <w:r w:rsidRPr="0008253E">
        <w:rPr>
          <w:color w:val="262626"/>
          <w:sz w:val="22"/>
          <w:szCs w:val="22"/>
        </w:rPr>
        <w:t xml:space="preserve">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6367"/>
      </w:tblGrid>
      <w:tr w:rsidR="000B3F47" w:rsidRPr="0008253E" w14:paraId="38F2FFE5" w14:textId="77777777" w:rsidTr="009A2EED">
        <w:tc>
          <w:tcPr>
            <w:tcW w:w="2563" w:type="dxa"/>
            <w:shd w:val="clear" w:color="auto" w:fill="auto"/>
          </w:tcPr>
          <w:p w14:paraId="336F1B94" w14:textId="77777777" w:rsidR="000B3F47" w:rsidRPr="0008253E" w:rsidRDefault="000B3F47" w:rsidP="00C10327">
            <w:pPr>
              <w:snapToGrid w:val="0"/>
              <w:spacing w:after="120"/>
              <w:rPr>
                <w:b/>
                <w:sz w:val="22"/>
                <w:szCs w:val="22"/>
              </w:rPr>
            </w:pPr>
            <w:r w:rsidRPr="0008253E">
              <w:rPr>
                <w:b/>
                <w:sz w:val="22"/>
                <w:szCs w:val="22"/>
              </w:rPr>
              <w:t>CAS RN</w:t>
            </w:r>
          </w:p>
        </w:tc>
        <w:tc>
          <w:tcPr>
            <w:tcW w:w="6367" w:type="dxa"/>
            <w:shd w:val="clear" w:color="auto" w:fill="auto"/>
          </w:tcPr>
          <w:p w14:paraId="4881DC73" w14:textId="77777777" w:rsidR="000B3F47" w:rsidRPr="0008253E" w:rsidRDefault="000B3F47" w:rsidP="000B3F47">
            <w:pPr>
              <w:snapToGrid w:val="0"/>
              <w:spacing w:after="120"/>
              <w:rPr>
                <w:b/>
                <w:sz w:val="22"/>
                <w:szCs w:val="22"/>
              </w:rPr>
            </w:pPr>
            <w:r w:rsidRPr="0008253E">
              <w:rPr>
                <w:b/>
                <w:sz w:val="22"/>
                <w:szCs w:val="22"/>
              </w:rPr>
              <w:t>Chemical Name</w:t>
            </w:r>
          </w:p>
        </w:tc>
      </w:tr>
      <w:tr w:rsidR="0092538B" w:rsidRPr="0008253E" w14:paraId="3D8E7F06" w14:textId="77777777" w:rsidTr="009A2EED">
        <w:tc>
          <w:tcPr>
            <w:tcW w:w="2563" w:type="dxa"/>
            <w:shd w:val="clear" w:color="auto" w:fill="auto"/>
          </w:tcPr>
          <w:p w14:paraId="5D4FBF0B" w14:textId="77777777" w:rsidR="0092538B" w:rsidRPr="0008253E" w:rsidRDefault="0092538B" w:rsidP="00C10327">
            <w:pPr>
              <w:snapToGrid w:val="0"/>
              <w:spacing w:after="120"/>
              <w:rPr>
                <w:sz w:val="22"/>
                <w:szCs w:val="22"/>
              </w:rPr>
            </w:pPr>
            <w:r w:rsidRPr="0008253E">
              <w:rPr>
                <w:sz w:val="22"/>
                <w:szCs w:val="22"/>
              </w:rPr>
              <w:t>678-39-7</w:t>
            </w:r>
          </w:p>
        </w:tc>
        <w:tc>
          <w:tcPr>
            <w:tcW w:w="6367" w:type="dxa"/>
            <w:shd w:val="clear" w:color="auto" w:fill="auto"/>
          </w:tcPr>
          <w:p w14:paraId="5760F471" w14:textId="77777777" w:rsidR="0092538B" w:rsidRPr="0008253E" w:rsidRDefault="0092538B" w:rsidP="000B3F47">
            <w:pPr>
              <w:snapToGrid w:val="0"/>
              <w:spacing w:after="120"/>
              <w:rPr>
                <w:sz w:val="22"/>
                <w:szCs w:val="22"/>
              </w:rPr>
            </w:pPr>
            <w:r w:rsidRPr="0008253E">
              <w:rPr>
                <w:sz w:val="22"/>
                <w:szCs w:val="22"/>
              </w:rPr>
              <w:t>8:2 fluorotelomer alcohol</w:t>
            </w:r>
            <w:r w:rsidR="000B3F47" w:rsidRPr="0008253E">
              <w:rPr>
                <w:sz w:val="22"/>
                <w:szCs w:val="22"/>
              </w:rPr>
              <w:t xml:space="preserve"> </w:t>
            </w:r>
          </w:p>
        </w:tc>
      </w:tr>
      <w:tr w:rsidR="0092538B" w:rsidRPr="0008253E" w14:paraId="5D174D1F" w14:textId="77777777" w:rsidTr="009A2EED">
        <w:tc>
          <w:tcPr>
            <w:tcW w:w="2563" w:type="dxa"/>
            <w:shd w:val="clear" w:color="auto" w:fill="auto"/>
          </w:tcPr>
          <w:p w14:paraId="1EABD935" w14:textId="77777777" w:rsidR="0092538B" w:rsidRPr="0008253E" w:rsidRDefault="0092538B" w:rsidP="00C10327">
            <w:pPr>
              <w:snapToGrid w:val="0"/>
              <w:spacing w:after="120"/>
              <w:rPr>
                <w:sz w:val="22"/>
                <w:szCs w:val="22"/>
              </w:rPr>
            </w:pPr>
            <w:r w:rsidRPr="0008253E">
              <w:rPr>
                <w:sz w:val="22"/>
                <w:szCs w:val="22"/>
              </w:rPr>
              <w:t>1996-88-9</w:t>
            </w:r>
          </w:p>
        </w:tc>
        <w:tc>
          <w:tcPr>
            <w:tcW w:w="6367" w:type="dxa"/>
            <w:shd w:val="clear" w:color="auto" w:fill="auto"/>
          </w:tcPr>
          <w:p w14:paraId="41B8796E" w14:textId="77777777" w:rsidR="0092538B" w:rsidRPr="0008253E" w:rsidRDefault="0092538B" w:rsidP="00C10327">
            <w:pPr>
              <w:snapToGrid w:val="0"/>
              <w:spacing w:after="120"/>
              <w:rPr>
                <w:sz w:val="22"/>
                <w:szCs w:val="22"/>
              </w:rPr>
            </w:pPr>
            <w:r w:rsidRPr="0008253E">
              <w:rPr>
                <w:sz w:val="22"/>
                <w:szCs w:val="22"/>
              </w:rPr>
              <w:t>8:2 fluorotelomer methacrylate</w:t>
            </w:r>
          </w:p>
        </w:tc>
      </w:tr>
      <w:tr w:rsidR="0092538B" w:rsidRPr="0008253E" w14:paraId="03468FE5" w14:textId="77777777" w:rsidTr="009A2EED">
        <w:tc>
          <w:tcPr>
            <w:tcW w:w="2563" w:type="dxa"/>
            <w:shd w:val="clear" w:color="auto" w:fill="auto"/>
          </w:tcPr>
          <w:p w14:paraId="61F68822" w14:textId="77777777" w:rsidR="0092538B" w:rsidRPr="0008253E" w:rsidRDefault="0092538B" w:rsidP="00C10327">
            <w:pPr>
              <w:snapToGrid w:val="0"/>
              <w:spacing w:after="120"/>
              <w:rPr>
                <w:sz w:val="22"/>
                <w:szCs w:val="22"/>
              </w:rPr>
            </w:pPr>
            <w:r w:rsidRPr="0008253E">
              <w:rPr>
                <w:sz w:val="22"/>
                <w:szCs w:val="22"/>
              </w:rPr>
              <w:t>93705-98-7</w:t>
            </w:r>
          </w:p>
        </w:tc>
        <w:tc>
          <w:tcPr>
            <w:tcW w:w="6367" w:type="dxa"/>
            <w:shd w:val="clear" w:color="auto" w:fill="auto"/>
          </w:tcPr>
          <w:p w14:paraId="49D17371" w14:textId="77777777" w:rsidR="0092538B" w:rsidRPr="0008253E" w:rsidRDefault="0092538B" w:rsidP="00C10327">
            <w:pPr>
              <w:snapToGrid w:val="0"/>
              <w:spacing w:after="120"/>
              <w:rPr>
                <w:sz w:val="22"/>
                <w:szCs w:val="22"/>
              </w:rPr>
            </w:pPr>
            <w:r w:rsidRPr="0008253E">
              <w:rPr>
                <w:sz w:val="22"/>
                <w:szCs w:val="22"/>
              </w:rPr>
              <w:t>8:2 fluorotelomer methacrylate, polymer with methyl methacrylate</w:t>
            </w:r>
          </w:p>
        </w:tc>
      </w:tr>
      <w:tr w:rsidR="0092538B" w:rsidRPr="0008253E" w14:paraId="4FE4420E" w14:textId="77777777" w:rsidTr="009A2EED">
        <w:tc>
          <w:tcPr>
            <w:tcW w:w="2563" w:type="dxa"/>
            <w:shd w:val="clear" w:color="auto" w:fill="auto"/>
          </w:tcPr>
          <w:p w14:paraId="450AEF80" w14:textId="77777777" w:rsidR="0092538B" w:rsidRPr="0008253E" w:rsidRDefault="0092538B" w:rsidP="00C10327">
            <w:pPr>
              <w:snapToGrid w:val="0"/>
              <w:spacing w:after="120"/>
              <w:rPr>
                <w:sz w:val="22"/>
                <w:szCs w:val="22"/>
              </w:rPr>
            </w:pPr>
            <w:r w:rsidRPr="0008253E">
              <w:rPr>
                <w:sz w:val="22"/>
                <w:szCs w:val="22"/>
              </w:rPr>
              <w:t>68187-42-8</w:t>
            </w:r>
          </w:p>
        </w:tc>
        <w:tc>
          <w:tcPr>
            <w:tcW w:w="6367" w:type="dxa"/>
            <w:shd w:val="clear" w:color="auto" w:fill="auto"/>
          </w:tcPr>
          <w:p w14:paraId="4F92DAE4" w14:textId="77777777" w:rsidR="0092538B" w:rsidRPr="0008253E" w:rsidRDefault="0092538B" w:rsidP="00C10327">
            <w:pPr>
              <w:snapToGrid w:val="0"/>
              <w:spacing w:after="120"/>
              <w:rPr>
                <w:sz w:val="22"/>
                <w:szCs w:val="22"/>
              </w:rPr>
            </w:pPr>
            <w:r w:rsidRPr="0008253E">
              <w:rPr>
                <w:sz w:val="22"/>
                <w:szCs w:val="22"/>
              </w:rPr>
              <w:t>Propanamide, 3-[(.gamma.-.omega.-perfluoro-C4-10-alkyl)thio] derivatives</w:t>
            </w:r>
          </w:p>
        </w:tc>
      </w:tr>
      <w:tr w:rsidR="0092538B" w:rsidRPr="0008253E" w14:paraId="389883C3" w14:textId="77777777" w:rsidTr="009A2EED">
        <w:tc>
          <w:tcPr>
            <w:tcW w:w="2563" w:type="dxa"/>
            <w:shd w:val="clear" w:color="auto" w:fill="auto"/>
          </w:tcPr>
          <w:p w14:paraId="02C6FC24" w14:textId="77777777" w:rsidR="0092538B" w:rsidRPr="0008253E" w:rsidRDefault="0092538B" w:rsidP="00C10327">
            <w:pPr>
              <w:snapToGrid w:val="0"/>
              <w:spacing w:after="120"/>
              <w:rPr>
                <w:sz w:val="22"/>
                <w:szCs w:val="22"/>
              </w:rPr>
            </w:pPr>
            <w:r w:rsidRPr="0008253E">
              <w:rPr>
                <w:sz w:val="22"/>
                <w:szCs w:val="22"/>
              </w:rPr>
              <w:t>53515-73-4</w:t>
            </w:r>
          </w:p>
        </w:tc>
        <w:tc>
          <w:tcPr>
            <w:tcW w:w="6367" w:type="dxa"/>
            <w:shd w:val="clear" w:color="auto" w:fill="auto"/>
          </w:tcPr>
          <w:p w14:paraId="26C39785" w14:textId="77777777" w:rsidR="0092538B" w:rsidRPr="0008253E" w:rsidRDefault="0092538B" w:rsidP="00C10327">
            <w:pPr>
              <w:snapToGrid w:val="0"/>
              <w:spacing w:after="120"/>
              <w:rPr>
                <w:sz w:val="22"/>
                <w:szCs w:val="22"/>
              </w:rPr>
            </w:pPr>
            <w:r w:rsidRPr="0008253E">
              <w:rPr>
                <w:sz w:val="22"/>
                <w:szCs w:val="22"/>
              </w:rPr>
              <w:t>7:1 fluoroalcohol methacrylate, polymer with acrylic acid</w:t>
            </w:r>
          </w:p>
        </w:tc>
      </w:tr>
      <w:bookmarkEnd w:id="0"/>
    </w:tbl>
    <w:p w14:paraId="12DA48FF" w14:textId="4578F979" w:rsidR="004D56A9" w:rsidRDefault="004D56A9">
      <w:pPr>
        <w:rPr>
          <w:b/>
          <w:color w:val="FF0000"/>
          <w:sz w:val="22"/>
          <w:szCs w:val="22"/>
        </w:rPr>
      </w:pPr>
      <w:r>
        <w:rPr>
          <w:b/>
          <w:color w:val="FF0000"/>
          <w:sz w:val="22"/>
          <w:szCs w:val="22"/>
        </w:rPr>
        <w:br w:type="page"/>
      </w:r>
    </w:p>
    <w:p w14:paraId="7A0E7639" w14:textId="77777777" w:rsidR="004D56A9" w:rsidRPr="004D56A9" w:rsidRDefault="004D56A9" w:rsidP="004D56A9">
      <w:pPr>
        <w:spacing w:after="240"/>
        <w:rPr>
          <w:b/>
        </w:rPr>
      </w:pPr>
      <w:r w:rsidRPr="004D56A9">
        <w:rPr>
          <w:b/>
        </w:rPr>
        <w:lastRenderedPageBreak/>
        <w:t>References</w:t>
      </w:r>
    </w:p>
    <w:p w14:paraId="00B520E0" w14:textId="77777777" w:rsidR="004D56A9" w:rsidRPr="00592F2D" w:rsidRDefault="004D56A9" w:rsidP="004D56A9"/>
    <w:p w14:paraId="68BAE766" w14:textId="46A5B921" w:rsidR="004D56A9" w:rsidRPr="00592F2D" w:rsidRDefault="00AD266B" w:rsidP="004D56A9">
      <w:r>
        <w:t>NICNAS (2015</w:t>
      </w:r>
      <w:r w:rsidR="004D56A9" w:rsidRPr="00592F2D">
        <w:t xml:space="preserve">). </w:t>
      </w:r>
      <w:r w:rsidR="004D56A9" w:rsidRPr="00592F2D">
        <w:rPr>
          <w:i/>
        </w:rPr>
        <w:t>IMAP Environment Tier II Assessment of Perfluorooctanoic Acid (PFOA) and its Direct Precursors</w:t>
      </w:r>
      <w:r w:rsidR="004D56A9" w:rsidRPr="00592F2D">
        <w:t>. National Industrial Chemicals Notification and Assessment Scheme, Sydney, Australia.</w:t>
      </w:r>
    </w:p>
    <w:p w14:paraId="654C1815" w14:textId="77777777" w:rsidR="004D56A9" w:rsidRDefault="004D56A9" w:rsidP="004D56A9"/>
    <w:p w14:paraId="07989F4D" w14:textId="1E5CEF37" w:rsidR="00AD266B" w:rsidRPr="00592F2D" w:rsidRDefault="00AD266B" w:rsidP="00AD266B">
      <w:r>
        <w:t>NICNAS (undated</w:t>
      </w:r>
      <w:r w:rsidRPr="00592F2D">
        <w:t xml:space="preserve">). </w:t>
      </w:r>
      <w:r w:rsidRPr="00592F2D">
        <w:rPr>
          <w:i/>
        </w:rPr>
        <w:t xml:space="preserve">IMAP Environment Tier II Assessment </w:t>
      </w:r>
      <w:r>
        <w:rPr>
          <w:i/>
        </w:rPr>
        <w:t>for Indirect Precursors to</w:t>
      </w:r>
      <w:r w:rsidRPr="00592F2D">
        <w:rPr>
          <w:i/>
        </w:rPr>
        <w:t xml:space="preserve"> Perfluorooctanoic Acid (PFOA)</w:t>
      </w:r>
      <w:r w:rsidRPr="00592F2D">
        <w:t>. National Industrial Chemicals Notification and Assessment Scheme, Sydney, Australia.</w:t>
      </w:r>
      <w:r>
        <w:t xml:space="preserve"> </w:t>
      </w:r>
    </w:p>
    <w:sectPr w:rsidR="00AD266B" w:rsidRPr="00592F2D" w:rsidSect="000B454B">
      <w:headerReference w:type="default" r:id="rId14"/>
      <w:footerReference w:type="default" r:id="rId15"/>
      <w:headerReference w:type="first" r:id="rId16"/>
      <w:footerReference w:type="first" r:id="rId17"/>
      <w:type w:val="continuous"/>
      <w:pgSz w:w="11907" w:h="16840" w:code="9"/>
      <w:pgMar w:top="1134" w:right="1134" w:bottom="1134"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B69F" w14:textId="77777777" w:rsidR="00966076" w:rsidRDefault="00966076">
      <w:r>
        <w:separator/>
      </w:r>
    </w:p>
  </w:endnote>
  <w:endnote w:type="continuationSeparator" w:id="0">
    <w:p w14:paraId="7FBF8FDD" w14:textId="77777777" w:rsidR="00966076" w:rsidRDefault="0096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999999"/>
      </w:tblBorders>
      <w:tblLook w:val="01E0" w:firstRow="1" w:lastRow="1" w:firstColumn="1" w:lastColumn="1" w:noHBand="0" w:noVBand="0"/>
    </w:tblPr>
    <w:tblGrid>
      <w:gridCol w:w="9639"/>
    </w:tblGrid>
    <w:tr w:rsidR="00A6356B" w:rsidRPr="00986A56" w14:paraId="2B09C725" w14:textId="77777777">
      <w:tc>
        <w:tcPr>
          <w:tcW w:w="10476" w:type="dxa"/>
        </w:tcPr>
        <w:p w14:paraId="3162815E" w14:textId="77777777" w:rsidR="00A6356B" w:rsidRPr="00986A56" w:rsidRDefault="00A6356B" w:rsidP="00986A56">
          <w:pPr>
            <w:pStyle w:val="Footer"/>
            <w:spacing w:before="40"/>
            <w:jc w:val="center"/>
            <w:rPr>
              <w:rFonts w:ascii="Arial" w:hAnsi="Arial" w:cs="Arial"/>
              <w:sz w:val="14"/>
              <w:szCs w:val="14"/>
              <w:lang w:val="fr-FR"/>
            </w:rPr>
          </w:pPr>
          <w:r w:rsidRPr="00986A56">
            <w:rPr>
              <w:rFonts w:ascii="Arial" w:hAnsi="Arial" w:cs="Arial"/>
              <w:sz w:val="14"/>
              <w:szCs w:val="14"/>
              <w:lang w:val="fr-FR"/>
            </w:rPr>
            <w:t xml:space="preserve">Office location/Bureaux: International </w:t>
          </w:r>
          <w:r w:rsidRPr="00986A56">
            <w:rPr>
              <w:rFonts w:ascii="Arial" w:hAnsi="Arial" w:cs="Arial"/>
              <w:sz w:val="14"/>
              <w:szCs w:val="14"/>
            </w:rPr>
            <w:t>Environment</w:t>
          </w:r>
          <w:r w:rsidRPr="00986A56">
            <w:rPr>
              <w:rFonts w:ascii="Arial" w:hAnsi="Arial" w:cs="Arial"/>
              <w:sz w:val="14"/>
              <w:szCs w:val="14"/>
              <w:lang w:val="fr-FR"/>
            </w:rPr>
            <w:t xml:space="preserve"> House 1, 11-13 chemin des Anémones, Châtelaine – Geneva. </w:t>
          </w:r>
          <w:r w:rsidRPr="00986A56">
            <w:rPr>
              <w:rFonts w:ascii="Arial" w:hAnsi="Arial" w:cs="Arial"/>
              <w:sz w:val="14"/>
              <w:szCs w:val="14"/>
            </w:rPr>
            <w:t>Switzerland</w:t>
          </w:r>
        </w:p>
      </w:tc>
    </w:tr>
  </w:tbl>
  <w:p w14:paraId="3129A1AC" w14:textId="77777777" w:rsidR="00A6356B" w:rsidRPr="0053646C" w:rsidRDefault="00A6356B">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999999"/>
      </w:tblBorders>
      <w:tblLook w:val="01E0" w:firstRow="1" w:lastRow="1" w:firstColumn="1" w:lastColumn="1" w:noHBand="0" w:noVBand="0"/>
    </w:tblPr>
    <w:tblGrid>
      <w:gridCol w:w="9639"/>
    </w:tblGrid>
    <w:tr w:rsidR="00A6356B" w:rsidRPr="00986A56" w14:paraId="717410E7" w14:textId="77777777">
      <w:tc>
        <w:tcPr>
          <w:tcW w:w="10251" w:type="dxa"/>
        </w:tcPr>
        <w:p w14:paraId="69C62486" w14:textId="77777777" w:rsidR="00A6356B" w:rsidRPr="00986A56" w:rsidRDefault="00A6356B" w:rsidP="00986A56">
          <w:pPr>
            <w:pStyle w:val="Footer"/>
            <w:spacing w:before="40"/>
            <w:jc w:val="center"/>
            <w:rPr>
              <w:rFonts w:ascii="Arial" w:hAnsi="Arial" w:cs="Arial"/>
              <w:sz w:val="16"/>
              <w:szCs w:val="16"/>
            </w:rPr>
          </w:pPr>
          <w:bookmarkStart w:id="2" w:name="OLE_LINK1"/>
          <w:bookmarkStart w:id="3" w:name="OLE_LINK2"/>
          <w:r w:rsidRPr="00986A56">
            <w:rPr>
              <w:rFonts w:ascii="Arial" w:hAnsi="Arial" w:cs="Arial"/>
              <w:sz w:val="16"/>
              <w:szCs w:val="16"/>
            </w:rPr>
            <w:t>Secretariat of the Stockholm Convention on Persistent Organic Pollutants</w:t>
          </w:r>
          <w:bookmarkEnd w:id="2"/>
          <w:bookmarkEnd w:id="3"/>
        </w:p>
      </w:tc>
    </w:tr>
  </w:tbl>
  <w:p w14:paraId="0CB96129" w14:textId="77777777" w:rsidR="00A6356B" w:rsidRDefault="00A6356B" w:rsidP="0053646C">
    <w:pPr>
      <w:pStyle w:val="Footer"/>
      <w:spacing w:before="40"/>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32B6" w14:textId="77777777" w:rsidR="00966076" w:rsidRDefault="00966076">
      <w:r>
        <w:separator/>
      </w:r>
    </w:p>
  </w:footnote>
  <w:footnote w:type="continuationSeparator" w:id="0">
    <w:p w14:paraId="045B62B0" w14:textId="77777777" w:rsidR="00966076" w:rsidRDefault="0096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441E" w14:textId="77777777" w:rsidR="00A6356B" w:rsidRDefault="00A6356B" w:rsidP="00836334">
    <w:pPr>
      <w:widowControl w:val="0"/>
      <w:pBdr>
        <w:bottom w:val="single" w:sz="6" w:space="4" w:color="999999"/>
      </w:pBdr>
      <w:tabs>
        <w:tab w:val="right" w:pos="10065"/>
      </w:tabs>
      <w:spacing w:after="60"/>
      <w:ind w:right="-28"/>
      <w:rPr>
        <w:rtl/>
        <w:lang w:val="fr-FR"/>
      </w:rPr>
    </w:pPr>
    <w:r w:rsidRPr="00836334">
      <w:rPr>
        <w:rFonts w:ascii="Arial" w:hAnsi="Arial" w:cs="Arial"/>
        <w:sz w:val="16"/>
        <w:szCs w:val="16"/>
      </w:rPr>
      <w:t>Secretariat of the Stockholm Convention on Persistent Organic Pollutants</w:t>
    </w:r>
    <w:r>
      <w:rPr>
        <w:rFonts w:ascii="Arial" w:hAnsi="Arial" w:cs="Arial"/>
        <w:sz w:val="12"/>
        <w:szCs w:val="12"/>
      </w:rPr>
      <w:tab/>
    </w:r>
    <w:r w:rsidRPr="00836334">
      <w:rPr>
        <w:rFonts w:ascii="Arial" w:hAnsi="Arial" w:cs="Arial"/>
        <w:sz w:val="16"/>
        <w:szCs w:val="16"/>
      </w:rPr>
      <w:t xml:space="preserve">page </w:t>
    </w:r>
    <w:r w:rsidRPr="00836334">
      <w:rPr>
        <w:rStyle w:val="PageNumber"/>
        <w:rFonts w:ascii="Arial" w:hAnsi="Arial" w:cs="Arial"/>
        <w:sz w:val="16"/>
        <w:szCs w:val="16"/>
      </w:rPr>
      <w:fldChar w:fldCharType="begin"/>
    </w:r>
    <w:r w:rsidRPr="00836334">
      <w:rPr>
        <w:rStyle w:val="PageNumber"/>
        <w:rFonts w:ascii="Arial" w:hAnsi="Arial" w:cs="Arial"/>
        <w:sz w:val="16"/>
        <w:szCs w:val="16"/>
      </w:rPr>
      <w:instrText xml:space="preserve"> PAGE </w:instrText>
    </w:r>
    <w:r w:rsidRPr="00836334">
      <w:rPr>
        <w:rStyle w:val="PageNumber"/>
        <w:rFonts w:ascii="Arial" w:hAnsi="Arial" w:cs="Arial"/>
        <w:sz w:val="16"/>
        <w:szCs w:val="16"/>
      </w:rPr>
      <w:fldChar w:fldCharType="separate"/>
    </w:r>
    <w:r w:rsidR="003534B9">
      <w:rPr>
        <w:rStyle w:val="PageNumber"/>
        <w:rFonts w:ascii="Arial" w:hAnsi="Arial" w:cs="Arial"/>
        <w:noProof/>
        <w:sz w:val="16"/>
        <w:szCs w:val="16"/>
      </w:rPr>
      <w:t>2</w:t>
    </w:r>
    <w:r w:rsidRPr="00836334">
      <w:rPr>
        <w:rStyle w:val="PageNumbe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74BA" w14:textId="77777777" w:rsidR="005F6A7E" w:rsidRDefault="005F6A7E" w:rsidP="005F6A7E">
    <w:pPr>
      <w:widowControl w:val="0"/>
      <w:pBdr>
        <w:bottom w:val="single" w:sz="6" w:space="4" w:color="999999"/>
      </w:pBdr>
      <w:tabs>
        <w:tab w:val="right" w:pos="10065"/>
      </w:tabs>
      <w:spacing w:after="60"/>
      <w:ind w:right="-28"/>
      <w:rPr>
        <w:rtl/>
        <w:lang w:val="fr-FR"/>
      </w:rPr>
    </w:pPr>
    <w:r w:rsidRPr="00836334">
      <w:rPr>
        <w:rFonts w:ascii="Arial" w:hAnsi="Arial" w:cs="Arial"/>
        <w:sz w:val="16"/>
        <w:szCs w:val="16"/>
      </w:rPr>
      <w:t>Secretariat of the Stockholm Convention on Persistent Organic Pollutants</w:t>
    </w:r>
    <w:r>
      <w:rPr>
        <w:rFonts w:ascii="Arial" w:hAnsi="Arial" w:cs="Arial"/>
        <w:sz w:val="12"/>
        <w:szCs w:val="12"/>
      </w:rPr>
      <w:tab/>
    </w:r>
    <w:r w:rsidRPr="00836334">
      <w:rPr>
        <w:rFonts w:ascii="Arial" w:hAnsi="Arial" w:cs="Arial"/>
        <w:sz w:val="16"/>
        <w:szCs w:val="16"/>
      </w:rPr>
      <w:t xml:space="preserve">page </w:t>
    </w:r>
    <w:r w:rsidRPr="00836334">
      <w:rPr>
        <w:rStyle w:val="PageNumber"/>
        <w:rFonts w:ascii="Arial" w:hAnsi="Arial" w:cs="Arial"/>
        <w:sz w:val="16"/>
        <w:szCs w:val="16"/>
      </w:rPr>
      <w:fldChar w:fldCharType="begin"/>
    </w:r>
    <w:r w:rsidRPr="00836334">
      <w:rPr>
        <w:rStyle w:val="PageNumber"/>
        <w:rFonts w:ascii="Arial" w:hAnsi="Arial" w:cs="Arial"/>
        <w:sz w:val="16"/>
        <w:szCs w:val="16"/>
      </w:rPr>
      <w:instrText xml:space="preserve"> PAGE </w:instrText>
    </w:r>
    <w:r w:rsidRPr="00836334">
      <w:rPr>
        <w:rStyle w:val="PageNumber"/>
        <w:rFonts w:ascii="Arial" w:hAnsi="Arial" w:cs="Arial"/>
        <w:sz w:val="16"/>
        <w:szCs w:val="16"/>
      </w:rPr>
      <w:fldChar w:fldCharType="separate"/>
    </w:r>
    <w:r w:rsidR="003534B9">
      <w:rPr>
        <w:rStyle w:val="PageNumber"/>
        <w:rFonts w:ascii="Arial" w:hAnsi="Arial" w:cs="Arial"/>
        <w:noProof/>
        <w:sz w:val="16"/>
        <w:szCs w:val="16"/>
      </w:rPr>
      <w:t>1</w:t>
    </w:r>
    <w:r w:rsidRPr="00836334">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FD5"/>
    <w:multiLevelType w:val="hybridMultilevel"/>
    <w:tmpl w:val="12DE13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50FFE"/>
    <w:multiLevelType w:val="hybridMultilevel"/>
    <w:tmpl w:val="65DC2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43C2"/>
    <w:multiLevelType w:val="hybridMultilevel"/>
    <w:tmpl w:val="A28AF862"/>
    <w:lvl w:ilvl="0" w:tplc="DC08B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57344"/>
    <w:multiLevelType w:val="hybridMultilevel"/>
    <w:tmpl w:val="79761C04"/>
    <w:lvl w:ilvl="0" w:tplc="5F84B85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15:restartNumberingAfterBreak="0">
    <w:nsid w:val="0DF35142"/>
    <w:multiLevelType w:val="hybridMultilevel"/>
    <w:tmpl w:val="914EC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45DEB"/>
    <w:multiLevelType w:val="hybridMultilevel"/>
    <w:tmpl w:val="80747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27AF0"/>
    <w:multiLevelType w:val="hybridMultilevel"/>
    <w:tmpl w:val="F59E43FA"/>
    <w:lvl w:ilvl="0" w:tplc="A06CD97C">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839B7"/>
    <w:multiLevelType w:val="hybridMultilevel"/>
    <w:tmpl w:val="DAB02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90F30"/>
    <w:multiLevelType w:val="hybridMultilevel"/>
    <w:tmpl w:val="9B4656C4"/>
    <w:lvl w:ilvl="0" w:tplc="5F84B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E4530"/>
    <w:multiLevelType w:val="hybridMultilevel"/>
    <w:tmpl w:val="3FC62492"/>
    <w:lvl w:ilvl="0" w:tplc="E92E3CEA">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1E043DE3"/>
    <w:multiLevelType w:val="hybridMultilevel"/>
    <w:tmpl w:val="CB10E088"/>
    <w:lvl w:ilvl="0" w:tplc="04090003">
      <w:start w:val="1"/>
      <w:numFmt w:val="bullet"/>
      <w:lvlText w:val="o"/>
      <w:lvlJc w:val="left"/>
      <w:pPr>
        <w:ind w:left="1434" w:hanging="360"/>
      </w:pPr>
      <w:rPr>
        <w:rFonts w:ascii="Courier New" w:hAnsi="Courier New" w:cs="Courier New"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1F855C90"/>
    <w:multiLevelType w:val="hybridMultilevel"/>
    <w:tmpl w:val="C1DE1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3A0F01"/>
    <w:multiLevelType w:val="hybridMultilevel"/>
    <w:tmpl w:val="E2D6BD58"/>
    <w:lvl w:ilvl="0" w:tplc="9BF8FF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C0ADC"/>
    <w:multiLevelType w:val="hybridMultilevel"/>
    <w:tmpl w:val="C2B88D9C"/>
    <w:lvl w:ilvl="0" w:tplc="0A3ABFB0">
      <w:start w:val="1"/>
      <w:numFmt w:val="bullet"/>
      <w:lvlText w:val=""/>
      <w:lvlJc w:val="left"/>
      <w:pPr>
        <w:tabs>
          <w:tab w:val="num" w:pos="720"/>
        </w:tabs>
        <w:ind w:left="720" w:hanging="360"/>
      </w:pPr>
      <w:rPr>
        <w:rFonts w:ascii="Symbol" w:hAnsi="Symbol" w:hint="default"/>
        <w:sz w:val="22"/>
        <w:szCs w:val="22"/>
      </w:rPr>
    </w:lvl>
    <w:lvl w:ilvl="1" w:tplc="C616B72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76B51"/>
    <w:multiLevelType w:val="hybridMultilevel"/>
    <w:tmpl w:val="A028C7F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D013ED5"/>
    <w:multiLevelType w:val="hybridMultilevel"/>
    <w:tmpl w:val="218EC4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6629AA"/>
    <w:multiLevelType w:val="hybridMultilevel"/>
    <w:tmpl w:val="429AA41E"/>
    <w:lvl w:ilvl="0" w:tplc="273ECBAE">
      <w:start w:val="1"/>
      <w:numFmt w:val="decimal"/>
      <w:lvlText w:val="%1."/>
      <w:lvlJc w:val="left"/>
      <w:pPr>
        <w:tabs>
          <w:tab w:val="num" w:pos="1967"/>
        </w:tabs>
        <w:ind w:left="1967" w:hanging="360"/>
      </w:pPr>
      <w:rPr>
        <w:rFonts w:cs="Times New Roman"/>
        <w:i w:val="0"/>
      </w:rPr>
    </w:lvl>
    <w:lvl w:ilvl="1" w:tplc="AC8601CC">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3D1B7442"/>
    <w:multiLevelType w:val="hybridMultilevel"/>
    <w:tmpl w:val="04A6ACE4"/>
    <w:lvl w:ilvl="0" w:tplc="3CFE2820">
      <w:start w:val="1"/>
      <w:numFmt w:val="upperLetter"/>
      <w:pStyle w:val="CH2"/>
      <w:lvlText w:val="%1."/>
      <w:lvlJc w:val="left"/>
      <w:pPr>
        <w:tabs>
          <w:tab w:val="num" w:pos="578"/>
        </w:tabs>
        <w:ind w:left="578" w:firstLine="0"/>
      </w:pPr>
      <w:rPr>
        <w:rFonts w:ascii="Times New Roman" w:hAnsi="Times New Roman" w:hint="default"/>
        <w:b/>
        <w:i w:val="0"/>
        <w:sz w:val="24"/>
        <w:szCs w:val="24"/>
      </w:rPr>
    </w:lvl>
    <w:lvl w:ilvl="1" w:tplc="04090019" w:tentative="1">
      <w:start w:val="1"/>
      <w:numFmt w:val="lowerLetter"/>
      <w:lvlText w:val="%2."/>
      <w:lvlJc w:val="left"/>
      <w:pPr>
        <w:tabs>
          <w:tab w:val="num" w:pos="2494"/>
        </w:tabs>
        <w:ind w:left="2494" w:hanging="360"/>
      </w:pPr>
    </w:lvl>
    <w:lvl w:ilvl="2" w:tplc="CE08A9E6" w:tentative="1">
      <w:start w:val="1"/>
      <w:numFmt w:val="lowerRoman"/>
      <w:lvlText w:val="%3."/>
      <w:lvlJc w:val="right"/>
      <w:pPr>
        <w:tabs>
          <w:tab w:val="num" w:pos="3214"/>
        </w:tabs>
        <w:ind w:left="3214" w:hanging="180"/>
      </w:pPr>
    </w:lvl>
    <w:lvl w:ilvl="3" w:tplc="B99E908E" w:tentative="1">
      <w:start w:val="1"/>
      <w:numFmt w:val="decimal"/>
      <w:lvlText w:val="%4."/>
      <w:lvlJc w:val="left"/>
      <w:pPr>
        <w:tabs>
          <w:tab w:val="num" w:pos="3934"/>
        </w:tabs>
        <w:ind w:left="3934" w:hanging="360"/>
      </w:pPr>
    </w:lvl>
    <w:lvl w:ilvl="4" w:tplc="04090019" w:tentative="1">
      <w:start w:val="1"/>
      <w:numFmt w:val="lowerLetter"/>
      <w:lvlText w:val="%5."/>
      <w:lvlJc w:val="left"/>
      <w:pPr>
        <w:tabs>
          <w:tab w:val="num" w:pos="4654"/>
        </w:tabs>
        <w:ind w:left="4654" w:hanging="360"/>
      </w:pPr>
    </w:lvl>
    <w:lvl w:ilvl="5" w:tplc="0409001B" w:tentative="1">
      <w:start w:val="1"/>
      <w:numFmt w:val="lowerRoman"/>
      <w:lvlText w:val="%6."/>
      <w:lvlJc w:val="right"/>
      <w:pPr>
        <w:tabs>
          <w:tab w:val="num" w:pos="5374"/>
        </w:tabs>
        <w:ind w:left="5374" w:hanging="180"/>
      </w:pPr>
    </w:lvl>
    <w:lvl w:ilvl="6" w:tplc="0409000F" w:tentative="1">
      <w:start w:val="1"/>
      <w:numFmt w:val="decimal"/>
      <w:lvlText w:val="%7."/>
      <w:lvlJc w:val="left"/>
      <w:pPr>
        <w:tabs>
          <w:tab w:val="num" w:pos="6094"/>
        </w:tabs>
        <w:ind w:left="6094" w:hanging="360"/>
      </w:pPr>
    </w:lvl>
    <w:lvl w:ilvl="7" w:tplc="04090019" w:tentative="1">
      <w:start w:val="1"/>
      <w:numFmt w:val="lowerLetter"/>
      <w:lvlText w:val="%8."/>
      <w:lvlJc w:val="left"/>
      <w:pPr>
        <w:tabs>
          <w:tab w:val="num" w:pos="6814"/>
        </w:tabs>
        <w:ind w:left="6814" w:hanging="360"/>
      </w:pPr>
    </w:lvl>
    <w:lvl w:ilvl="8" w:tplc="0409001B" w:tentative="1">
      <w:start w:val="1"/>
      <w:numFmt w:val="lowerRoman"/>
      <w:lvlText w:val="%9."/>
      <w:lvlJc w:val="right"/>
      <w:pPr>
        <w:tabs>
          <w:tab w:val="num" w:pos="7534"/>
        </w:tabs>
        <w:ind w:left="7534" w:hanging="180"/>
      </w:pPr>
    </w:lvl>
  </w:abstractNum>
  <w:abstractNum w:abstractNumId="18" w15:restartNumberingAfterBreak="0">
    <w:nsid w:val="3E32389A"/>
    <w:multiLevelType w:val="hybridMultilevel"/>
    <w:tmpl w:val="7B82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042FD4"/>
    <w:multiLevelType w:val="hybridMultilevel"/>
    <w:tmpl w:val="D6703B60"/>
    <w:lvl w:ilvl="0" w:tplc="5F84B852">
      <w:start w:val="1"/>
      <w:numFmt w:val="lowerLetter"/>
      <w:lvlText w:val="(%1)"/>
      <w:lvlJc w:val="left"/>
      <w:pPr>
        <w:ind w:left="720" w:hanging="360"/>
      </w:pPr>
      <w:rPr>
        <w:rFonts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00C3FD2"/>
    <w:multiLevelType w:val="hybridMultilevel"/>
    <w:tmpl w:val="20E422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0EA07DE"/>
    <w:multiLevelType w:val="hybridMultilevel"/>
    <w:tmpl w:val="E3EA184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D524B2"/>
    <w:multiLevelType w:val="hybridMultilevel"/>
    <w:tmpl w:val="0B4E34B2"/>
    <w:lvl w:ilvl="0" w:tplc="1B224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9D13E5"/>
    <w:multiLevelType w:val="hybridMultilevel"/>
    <w:tmpl w:val="5DE45D68"/>
    <w:lvl w:ilvl="0" w:tplc="EE2A406E">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A455F"/>
    <w:multiLevelType w:val="hybridMultilevel"/>
    <w:tmpl w:val="9F74A14C"/>
    <w:lvl w:ilvl="0" w:tplc="50DEEB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068E7"/>
    <w:multiLevelType w:val="hybridMultilevel"/>
    <w:tmpl w:val="9B4656C4"/>
    <w:lvl w:ilvl="0" w:tplc="5F84B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0F34"/>
    <w:multiLevelType w:val="hybridMultilevel"/>
    <w:tmpl w:val="14380286"/>
    <w:lvl w:ilvl="0" w:tplc="01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1977D3"/>
    <w:multiLevelType w:val="hybridMultilevel"/>
    <w:tmpl w:val="71E279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040D0"/>
    <w:multiLevelType w:val="hybridMultilevel"/>
    <w:tmpl w:val="8626DC6A"/>
    <w:lvl w:ilvl="0" w:tplc="0246B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60FA8"/>
    <w:multiLevelType w:val="hybridMultilevel"/>
    <w:tmpl w:val="A956E8C6"/>
    <w:lvl w:ilvl="0" w:tplc="E654B3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22CE2"/>
    <w:multiLevelType w:val="hybridMultilevel"/>
    <w:tmpl w:val="089C8DE0"/>
    <w:lvl w:ilvl="0" w:tplc="5F84B852">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A6535C"/>
    <w:multiLevelType w:val="multilevel"/>
    <w:tmpl w:val="54D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82F8A"/>
    <w:multiLevelType w:val="hybridMultilevel"/>
    <w:tmpl w:val="238AB46C"/>
    <w:lvl w:ilvl="0" w:tplc="4D3425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3D1308"/>
    <w:multiLevelType w:val="hybridMultilevel"/>
    <w:tmpl w:val="BA1661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824EB"/>
    <w:multiLevelType w:val="hybridMultilevel"/>
    <w:tmpl w:val="E47E5740"/>
    <w:lvl w:ilvl="0" w:tplc="C624EF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6009E"/>
    <w:multiLevelType w:val="hybridMultilevel"/>
    <w:tmpl w:val="187EFE7E"/>
    <w:lvl w:ilvl="0" w:tplc="C7D24C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AE767A"/>
    <w:multiLevelType w:val="hybridMultilevel"/>
    <w:tmpl w:val="D93A2268"/>
    <w:lvl w:ilvl="0" w:tplc="FFFFFFFF">
      <w:start w:val="1"/>
      <w:numFmt w:val="decimal"/>
      <w:lvlText w:val="%1."/>
      <w:lvlJc w:val="left"/>
      <w:pPr>
        <w:tabs>
          <w:tab w:val="num" w:pos="2340"/>
        </w:tabs>
        <w:ind w:left="23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A74171A"/>
    <w:multiLevelType w:val="hybridMultilevel"/>
    <w:tmpl w:val="C9F445A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7C523B73"/>
    <w:multiLevelType w:val="hybridMultilevel"/>
    <w:tmpl w:val="D7B6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A6FB9"/>
    <w:multiLevelType w:val="hybridMultilevel"/>
    <w:tmpl w:val="778C9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0"/>
  </w:num>
  <w:num w:numId="5">
    <w:abstractNumId w:val="15"/>
  </w:num>
  <w:num w:numId="6">
    <w:abstractNumId w:val="5"/>
  </w:num>
  <w:num w:numId="7">
    <w:abstractNumId w:val="13"/>
  </w:num>
  <w:num w:numId="8">
    <w:abstractNumId w:val="22"/>
  </w:num>
  <w:num w:numId="9">
    <w:abstractNumId w:val="32"/>
  </w:num>
  <w:num w:numId="10">
    <w:abstractNumId w:val="38"/>
  </w:num>
  <w:num w:numId="11">
    <w:abstractNumId w:val="29"/>
  </w:num>
  <w:num w:numId="12">
    <w:abstractNumId w:val="12"/>
  </w:num>
  <w:num w:numId="13">
    <w:abstractNumId w:val="34"/>
  </w:num>
  <w:num w:numId="14">
    <w:abstractNumId w:val="35"/>
  </w:num>
  <w:num w:numId="15">
    <w:abstractNumId w:val="18"/>
  </w:num>
  <w:num w:numId="16">
    <w:abstractNumId w:val="6"/>
  </w:num>
  <w:num w:numId="17">
    <w:abstractNumId w:val="2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8"/>
  </w:num>
  <w:num w:numId="23">
    <w:abstractNumId w:val="2"/>
  </w:num>
  <w:num w:numId="24">
    <w:abstractNumId w:val="25"/>
  </w:num>
  <w:num w:numId="25">
    <w:abstractNumId w:val="19"/>
  </w:num>
  <w:num w:numId="26">
    <w:abstractNumId w:val="30"/>
  </w:num>
  <w:num w:numId="27">
    <w:abstractNumId w:val="10"/>
  </w:num>
  <w:num w:numId="28">
    <w:abstractNumId w:val="27"/>
  </w:num>
  <w:num w:numId="29">
    <w:abstractNumId w:val="1"/>
  </w:num>
  <w:num w:numId="30">
    <w:abstractNumId w:val="33"/>
  </w:num>
  <w:num w:numId="31">
    <w:abstractNumId w:val="28"/>
  </w:num>
  <w:num w:numId="32">
    <w:abstractNumId w:val="24"/>
  </w:num>
  <w:num w:numId="33">
    <w:abstractNumId w:val="31"/>
  </w:num>
  <w:num w:numId="34">
    <w:abstractNumId w:val="7"/>
  </w:num>
  <w:num w:numId="35">
    <w:abstractNumId w:val="4"/>
  </w:num>
  <w:num w:numId="36">
    <w:abstractNumId w:val="20"/>
  </w:num>
  <w:num w:numId="37">
    <w:abstractNumId w:val="11"/>
  </w:num>
  <w:num w:numId="38">
    <w:abstractNumId w:val="39"/>
  </w:num>
  <w:num w:numId="39">
    <w:abstractNumId w:val="21"/>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n-ZA"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FC"/>
    <w:rsid w:val="000103F4"/>
    <w:rsid w:val="00011D9A"/>
    <w:rsid w:val="00022029"/>
    <w:rsid w:val="000238BC"/>
    <w:rsid w:val="00024CBD"/>
    <w:rsid w:val="00027ED2"/>
    <w:rsid w:val="00033029"/>
    <w:rsid w:val="00035323"/>
    <w:rsid w:val="0003698B"/>
    <w:rsid w:val="00036FA6"/>
    <w:rsid w:val="00037A1C"/>
    <w:rsid w:val="00037C07"/>
    <w:rsid w:val="00037D46"/>
    <w:rsid w:val="0004145B"/>
    <w:rsid w:val="000438EA"/>
    <w:rsid w:val="00045A1E"/>
    <w:rsid w:val="00051643"/>
    <w:rsid w:val="00055AD0"/>
    <w:rsid w:val="00060C7B"/>
    <w:rsid w:val="0007487C"/>
    <w:rsid w:val="00076826"/>
    <w:rsid w:val="0008253E"/>
    <w:rsid w:val="00082A18"/>
    <w:rsid w:val="00082E7C"/>
    <w:rsid w:val="000864F0"/>
    <w:rsid w:val="0008728B"/>
    <w:rsid w:val="00087452"/>
    <w:rsid w:val="00087C02"/>
    <w:rsid w:val="00091F86"/>
    <w:rsid w:val="00092D15"/>
    <w:rsid w:val="00096FA2"/>
    <w:rsid w:val="000A0616"/>
    <w:rsid w:val="000A19F0"/>
    <w:rsid w:val="000A3980"/>
    <w:rsid w:val="000A5F33"/>
    <w:rsid w:val="000A6FB4"/>
    <w:rsid w:val="000B13C8"/>
    <w:rsid w:val="000B1B24"/>
    <w:rsid w:val="000B3F47"/>
    <w:rsid w:val="000B41F4"/>
    <w:rsid w:val="000B454B"/>
    <w:rsid w:val="000B7A67"/>
    <w:rsid w:val="000C687D"/>
    <w:rsid w:val="000D5140"/>
    <w:rsid w:val="000D5EB7"/>
    <w:rsid w:val="000D66F4"/>
    <w:rsid w:val="000D6D22"/>
    <w:rsid w:val="000D6D66"/>
    <w:rsid w:val="000D7C14"/>
    <w:rsid w:val="000E4381"/>
    <w:rsid w:val="000E518E"/>
    <w:rsid w:val="000E7079"/>
    <w:rsid w:val="000F61C1"/>
    <w:rsid w:val="00103254"/>
    <w:rsid w:val="00103930"/>
    <w:rsid w:val="00103E9B"/>
    <w:rsid w:val="00107099"/>
    <w:rsid w:val="00111793"/>
    <w:rsid w:val="0011297B"/>
    <w:rsid w:val="001133E8"/>
    <w:rsid w:val="00117C3A"/>
    <w:rsid w:val="00120CAC"/>
    <w:rsid w:val="00121624"/>
    <w:rsid w:val="001305E4"/>
    <w:rsid w:val="001320D8"/>
    <w:rsid w:val="00140E80"/>
    <w:rsid w:val="00152802"/>
    <w:rsid w:val="0015350F"/>
    <w:rsid w:val="00157B16"/>
    <w:rsid w:val="00157BB1"/>
    <w:rsid w:val="001706F8"/>
    <w:rsid w:val="00177ADB"/>
    <w:rsid w:val="00177B63"/>
    <w:rsid w:val="00177F75"/>
    <w:rsid w:val="0018033C"/>
    <w:rsid w:val="0018446A"/>
    <w:rsid w:val="0019099A"/>
    <w:rsid w:val="00197334"/>
    <w:rsid w:val="001A0F90"/>
    <w:rsid w:val="001A1788"/>
    <w:rsid w:val="001A5A89"/>
    <w:rsid w:val="001B2F55"/>
    <w:rsid w:val="001B6069"/>
    <w:rsid w:val="001B65FE"/>
    <w:rsid w:val="001B6D2C"/>
    <w:rsid w:val="001B71E9"/>
    <w:rsid w:val="001B7657"/>
    <w:rsid w:val="001C5FE4"/>
    <w:rsid w:val="001D086D"/>
    <w:rsid w:val="001E14D4"/>
    <w:rsid w:val="001E208F"/>
    <w:rsid w:val="001F013F"/>
    <w:rsid w:val="001F4523"/>
    <w:rsid w:val="001F766B"/>
    <w:rsid w:val="002001E4"/>
    <w:rsid w:val="00204D46"/>
    <w:rsid w:val="002052FE"/>
    <w:rsid w:val="00210B9D"/>
    <w:rsid w:val="00210D37"/>
    <w:rsid w:val="0021305B"/>
    <w:rsid w:val="00213248"/>
    <w:rsid w:val="00214A7B"/>
    <w:rsid w:val="002156F0"/>
    <w:rsid w:val="002168A7"/>
    <w:rsid w:val="00227098"/>
    <w:rsid w:val="00234708"/>
    <w:rsid w:val="002373A0"/>
    <w:rsid w:val="002437A4"/>
    <w:rsid w:val="002619DE"/>
    <w:rsid w:val="00263A5C"/>
    <w:rsid w:val="002705D3"/>
    <w:rsid w:val="00271985"/>
    <w:rsid w:val="00275971"/>
    <w:rsid w:val="00275D24"/>
    <w:rsid w:val="00277D21"/>
    <w:rsid w:val="00282B7C"/>
    <w:rsid w:val="00283818"/>
    <w:rsid w:val="00297F5E"/>
    <w:rsid w:val="002A67E7"/>
    <w:rsid w:val="002B5EA9"/>
    <w:rsid w:val="002B5FC3"/>
    <w:rsid w:val="002C58CF"/>
    <w:rsid w:val="002D11D2"/>
    <w:rsid w:val="002D141B"/>
    <w:rsid w:val="002D2DCF"/>
    <w:rsid w:val="002D396D"/>
    <w:rsid w:val="002E0524"/>
    <w:rsid w:val="002E7999"/>
    <w:rsid w:val="002F5198"/>
    <w:rsid w:val="002F5A66"/>
    <w:rsid w:val="002F5EA3"/>
    <w:rsid w:val="002F5EE8"/>
    <w:rsid w:val="002F7610"/>
    <w:rsid w:val="00301867"/>
    <w:rsid w:val="00301AA9"/>
    <w:rsid w:val="00312CD1"/>
    <w:rsid w:val="00320830"/>
    <w:rsid w:val="00325107"/>
    <w:rsid w:val="00331661"/>
    <w:rsid w:val="003317C2"/>
    <w:rsid w:val="00337500"/>
    <w:rsid w:val="00343058"/>
    <w:rsid w:val="0034439C"/>
    <w:rsid w:val="00346864"/>
    <w:rsid w:val="003502A3"/>
    <w:rsid w:val="00350E7B"/>
    <w:rsid w:val="003534B9"/>
    <w:rsid w:val="00357ED1"/>
    <w:rsid w:val="00360870"/>
    <w:rsid w:val="00363C17"/>
    <w:rsid w:val="003669C5"/>
    <w:rsid w:val="00377BE4"/>
    <w:rsid w:val="00382240"/>
    <w:rsid w:val="00386388"/>
    <w:rsid w:val="003865B1"/>
    <w:rsid w:val="0039111B"/>
    <w:rsid w:val="00392D40"/>
    <w:rsid w:val="00395010"/>
    <w:rsid w:val="0039703A"/>
    <w:rsid w:val="0039756B"/>
    <w:rsid w:val="003A05F2"/>
    <w:rsid w:val="003A0CD6"/>
    <w:rsid w:val="003A2721"/>
    <w:rsid w:val="003A2C84"/>
    <w:rsid w:val="003A7A52"/>
    <w:rsid w:val="003A7F57"/>
    <w:rsid w:val="003B2729"/>
    <w:rsid w:val="003B284D"/>
    <w:rsid w:val="003B2FC8"/>
    <w:rsid w:val="003C1FD8"/>
    <w:rsid w:val="003D320B"/>
    <w:rsid w:val="003D413B"/>
    <w:rsid w:val="003D551F"/>
    <w:rsid w:val="003D6586"/>
    <w:rsid w:val="003D7914"/>
    <w:rsid w:val="003E0284"/>
    <w:rsid w:val="003E0F9D"/>
    <w:rsid w:val="003E3654"/>
    <w:rsid w:val="003E3772"/>
    <w:rsid w:val="003E3BF8"/>
    <w:rsid w:val="003E504A"/>
    <w:rsid w:val="003F06B5"/>
    <w:rsid w:val="003F4647"/>
    <w:rsid w:val="003F6150"/>
    <w:rsid w:val="003F7992"/>
    <w:rsid w:val="0040428C"/>
    <w:rsid w:val="00404582"/>
    <w:rsid w:val="00407280"/>
    <w:rsid w:val="00410773"/>
    <w:rsid w:val="004120BB"/>
    <w:rsid w:val="0041319B"/>
    <w:rsid w:val="00416B4E"/>
    <w:rsid w:val="0042096A"/>
    <w:rsid w:val="00421502"/>
    <w:rsid w:val="004313A2"/>
    <w:rsid w:val="0043422B"/>
    <w:rsid w:val="004367CB"/>
    <w:rsid w:val="00441A30"/>
    <w:rsid w:val="00444615"/>
    <w:rsid w:val="00456BD7"/>
    <w:rsid w:val="00457857"/>
    <w:rsid w:val="00487A9A"/>
    <w:rsid w:val="00492F1C"/>
    <w:rsid w:val="00494B55"/>
    <w:rsid w:val="00497E93"/>
    <w:rsid w:val="004A076E"/>
    <w:rsid w:val="004A434D"/>
    <w:rsid w:val="004A55F5"/>
    <w:rsid w:val="004B2F4A"/>
    <w:rsid w:val="004B7776"/>
    <w:rsid w:val="004C5CA2"/>
    <w:rsid w:val="004C7D37"/>
    <w:rsid w:val="004D3127"/>
    <w:rsid w:val="004D53EE"/>
    <w:rsid w:val="004D56A9"/>
    <w:rsid w:val="004D7FE5"/>
    <w:rsid w:val="004E0D07"/>
    <w:rsid w:val="004E3436"/>
    <w:rsid w:val="004E48B7"/>
    <w:rsid w:val="004E4C72"/>
    <w:rsid w:val="004E5751"/>
    <w:rsid w:val="004E6548"/>
    <w:rsid w:val="004E6A15"/>
    <w:rsid w:val="004E7998"/>
    <w:rsid w:val="005018FC"/>
    <w:rsid w:val="00501F69"/>
    <w:rsid w:val="00502693"/>
    <w:rsid w:val="00513DD7"/>
    <w:rsid w:val="0052217C"/>
    <w:rsid w:val="00526D83"/>
    <w:rsid w:val="00531F87"/>
    <w:rsid w:val="0053646C"/>
    <w:rsid w:val="00536511"/>
    <w:rsid w:val="005401C8"/>
    <w:rsid w:val="00545381"/>
    <w:rsid w:val="00545C6D"/>
    <w:rsid w:val="00545F4D"/>
    <w:rsid w:val="00554649"/>
    <w:rsid w:val="005602D9"/>
    <w:rsid w:val="005678B3"/>
    <w:rsid w:val="0057499A"/>
    <w:rsid w:val="00575EDB"/>
    <w:rsid w:val="00577684"/>
    <w:rsid w:val="00577B6C"/>
    <w:rsid w:val="00581B76"/>
    <w:rsid w:val="00585EE6"/>
    <w:rsid w:val="00592666"/>
    <w:rsid w:val="005A1E3E"/>
    <w:rsid w:val="005A57A9"/>
    <w:rsid w:val="005A6230"/>
    <w:rsid w:val="005B2005"/>
    <w:rsid w:val="005B6B42"/>
    <w:rsid w:val="005B70DA"/>
    <w:rsid w:val="005C1A3D"/>
    <w:rsid w:val="005C2911"/>
    <w:rsid w:val="005C2C01"/>
    <w:rsid w:val="005C4D39"/>
    <w:rsid w:val="005C626F"/>
    <w:rsid w:val="005D7D4C"/>
    <w:rsid w:val="005E49BA"/>
    <w:rsid w:val="005E6103"/>
    <w:rsid w:val="005F6A43"/>
    <w:rsid w:val="005F6A7E"/>
    <w:rsid w:val="005F71DF"/>
    <w:rsid w:val="006004FF"/>
    <w:rsid w:val="00604205"/>
    <w:rsid w:val="006053F1"/>
    <w:rsid w:val="00605A5B"/>
    <w:rsid w:val="006107A9"/>
    <w:rsid w:val="00614A20"/>
    <w:rsid w:val="0061533D"/>
    <w:rsid w:val="006176A3"/>
    <w:rsid w:val="00627785"/>
    <w:rsid w:val="00634D4B"/>
    <w:rsid w:val="00636B09"/>
    <w:rsid w:val="00642CEA"/>
    <w:rsid w:val="0064646F"/>
    <w:rsid w:val="00647FEA"/>
    <w:rsid w:val="00653DA5"/>
    <w:rsid w:val="00656B7E"/>
    <w:rsid w:val="006628E2"/>
    <w:rsid w:val="00665F96"/>
    <w:rsid w:val="0066647C"/>
    <w:rsid w:val="00683DBA"/>
    <w:rsid w:val="00684B38"/>
    <w:rsid w:val="006A4AE2"/>
    <w:rsid w:val="006B2618"/>
    <w:rsid w:val="006B2B53"/>
    <w:rsid w:val="006B2E1E"/>
    <w:rsid w:val="006B43DD"/>
    <w:rsid w:val="006B44C4"/>
    <w:rsid w:val="006B6737"/>
    <w:rsid w:val="006B7A39"/>
    <w:rsid w:val="006C0E68"/>
    <w:rsid w:val="006C31FA"/>
    <w:rsid w:val="006C5135"/>
    <w:rsid w:val="006D0112"/>
    <w:rsid w:val="006D05C7"/>
    <w:rsid w:val="006D1C0C"/>
    <w:rsid w:val="006D7655"/>
    <w:rsid w:val="006E0E0B"/>
    <w:rsid w:val="006E1457"/>
    <w:rsid w:val="006E2747"/>
    <w:rsid w:val="006E2BDA"/>
    <w:rsid w:val="006E3698"/>
    <w:rsid w:val="006E7D44"/>
    <w:rsid w:val="006F1C36"/>
    <w:rsid w:val="006F308D"/>
    <w:rsid w:val="006F3465"/>
    <w:rsid w:val="006F6C11"/>
    <w:rsid w:val="007014D1"/>
    <w:rsid w:val="0070768E"/>
    <w:rsid w:val="007102F9"/>
    <w:rsid w:val="007154A8"/>
    <w:rsid w:val="007203C7"/>
    <w:rsid w:val="00723FEC"/>
    <w:rsid w:val="00725222"/>
    <w:rsid w:val="0073030F"/>
    <w:rsid w:val="0073081A"/>
    <w:rsid w:val="00733745"/>
    <w:rsid w:val="00735993"/>
    <w:rsid w:val="007359DC"/>
    <w:rsid w:val="007446F9"/>
    <w:rsid w:val="00745302"/>
    <w:rsid w:val="00757010"/>
    <w:rsid w:val="007632DB"/>
    <w:rsid w:val="00771E9B"/>
    <w:rsid w:val="007765F8"/>
    <w:rsid w:val="00782BB3"/>
    <w:rsid w:val="0078506E"/>
    <w:rsid w:val="0078517A"/>
    <w:rsid w:val="00791ADB"/>
    <w:rsid w:val="00792389"/>
    <w:rsid w:val="007930EE"/>
    <w:rsid w:val="007954D6"/>
    <w:rsid w:val="007957F3"/>
    <w:rsid w:val="00797092"/>
    <w:rsid w:val="007A24A2"/>
    <w:rsid w:val="007A3789"/>
    <w:rsid w:val="007A6BB4"/>
    <w:rsid w:val="007B2F9B"/>
    <w:rsid w:val="007B74E9"/>
    <w:rsid w:val="007B7CC6"/>
    <w:rsid w:val="007C5100"/>
    <w:rsid w:val="007C7290"/>
    <w:rsid w:val="007C7F2F"/>
    <w:rsid w:val="007D5757"/>
    <w:rsid w:val="007D5D63"/>
    <w:rsid w:val="007D73C1"/>
    <w:rsid w:val="007E1352"/>
    <w:rsid w:val="007E45B9"/>
    <w:rsid w:val="007E672C"/>
    <w:rsid w:val="007F21C2"/>
    <w:rsid w:val="008005C2"/>
    <w:rsid w:val="00801F51"/>
    <w:rsid w:val="0080208B"/>
    <w:rsid w:val="00803D34"/>
    <w:rsid w:val="008047D0"/>
    <w:rsid w:val="00805FF6"/>
    <w:rsid w:val="00814B57"/>
    <w:rsid w:val="00814E6B"/>
    <w:rsid w:val="00815C3A"/>
    <w:rsid w:val="00822538"/>
    <w:rsid w:val="00825A48"/>
    <w:rsid w:val="008266F4"/>
    <w:rsid w:val="00827BBF"/>
    <w:rsid w:val="00831B76"/>
    <w:rsid w:val="0083519C"/>
    <w:rsid w:val="00836334"/>
    <w:rsid w:val="00841D4F"/>
    <w:rsid w:val="00842342"/>
    <w:rsid w:val="00846529"/>
    <w:rsid w:val="0085070E"/>
    <w:rsid w:val="008514A6"/>
    <w:rsid w:val="008519A9"/>
    <w:rsid w:val="00855909"/>
    <w:rsid w:val="00857E12"/>
    <w:rsid w:val="008627B4"/>
    <w:rsid w:val="008632D2"/>
    <w:rsid w:val="00864B97"/>
    <w:rsid w:val="00866D1C"/>
    <w:rsid w:val="00867D7F"/>
    <w:rsid w:val="0087338C"/>
    <w:rsid w:val="008747AA"/>
    <w:rsid w:val="0088461D"/>
    <w:rsid w:val="00884ECB"/>
    <w:rsid w:val="008900A2"/>
    <w:rsid w:val="00894254"/>
    <w:rsid w:val="0089608B"/>
    <w:rsid w:val="008964C7"/>
    <w:rsid w:val="00897980"/>
    <w:rsid w:val="008A67CA"/>
    <w:rsid w:val="008B0F66"/>
    <w:rsid w:val="008B177E"/>
    <w:rsid w:val="008B6A41"/>
    <w:rsid w:val="008B7DD0"/>
    <w:rsid w:val="008C192D"/>
    <w:rsid w:val="008D2859"/>
    <w:rsid w:val="008E0D78"/>
    <w:rsid w:val="008E4AF9"/>
    <w:rsid w:val="008F030F"/>
    <w:rsid w:val="008F0408"/>
    <w:rsid w:val="008F2D9E"/>
    <w:rsid w:val="008F51BF"/>
    <w:rsid w:val="0090496F"/>
    <w:rsid w:val="00910936"/>
    <w:rsid w:val="00912959"/>
    <w:rsid w:val="0092459E"/>
    <w:rsid w:val="0092538B"/>
    <w:rsid w:val="009270E7"/>
    <w:rsid w:val="00941BC3"/>
    <w:rsid w:val="009447B4"/>
    <w:rsid w:val="009464D6"/>
    <w:rsid w:val="00947E17"/>
    <w:rsid w:val="00950F10"/>
    <w:rsid w:val="00951CBA"/>
    <w:rsid w:val="00951F8B"/>
    <w:rsid w:val="0096199C"/>
    <w:rsid w:val="00961A71"/>
    <w:rsid w:val="00961C4B"/>
    <w:rsid w:val="00964E9F"/>
    <w:rsid w:val="00966076"/>
    <w:rsid w:val="009672DE"/>
    <w:rsid w:val="0096730A"/>
    <w:rsid w:val="00975DB5"/>
    <w:rsid w:val="00976CD5"/>
    <w:rsid w:val="009801DE"/>
    <w:rsid w:val="00986A56"/>
    <w:rsid w:val="00991B4D"/>
    <w:rsid w:val="00994BD5"/>
    <w:rsid w:val="00995B35"/>
    <w:rsid w:val="009A2EED"/>
    <w:rsid w:val="009A6802"/>
    <w:rsid w:val="009B650A"/>
    <w:rsid w:val="009B7C96"/>
    <w:rsid w:val="009C1EC4"/>
    <w:rsid w:val="009C4E26"/>
    <w:rsid w:val="009D6A72"/>
    <w:rsid w:val="009E0DEE"/>
    <w:rsid w:val="009E1A0E"/>
    <w:rsid w:val="009E5363"/>
    <w:rsid w:val="009F0B89"/>
    <w:rsid w:val="009F2331"/>
    <w:rsid w:val="009F6262"/>
    <w:rsid w:val="009F680E"/>
    <w:rsid w:val="009F6D0C"/>
    <w:rsid w:val="00A00A1F"/>
    <w:rsid w:val="00A01AC7"/>
    <w:rsid w:val="00A05C3C"/>
    <w:rsid w:val="00A06546"/>
    <w:rsid w:val="00A11611"/>
    <w:rsid w:val="00A150F3"/>
    <w:rsid w:val="00A17465"/>
    <w:rsid w:val="00A17608"/>
    <w:rsid w:val="00A17954"/>
    <w:rsid w:val="00A20CC3"/>
    <w:rsid w:val="00A32D00"/>
    <w:rsid w:val="00A35025"/>
    <w:rsid w:val="00A3678B"/>
    <w:rsid w:val="00A376A7"/>
    <w:rsid w:val="00A4033C"/>
    <w:rsid w:val="00A423DF"/>
    <w:rsid w:val="00A6012C"/>
    <w:rsid w:val="00A61BE3"/>
    <w:rsid w:val="00A6356B"/>
    <w:rsid w:val="00A64BE1"/>
    <w:rsid w:val="00A7299F"/>
    <w:rsid w:val="00A73A50"/>
    <w:rsid w:val="00A91172"/>
    <w:rsid w:val="00A923E9"/>
    <w:rsid w:val="00A92EC1"/>
    <w:rsid w:val="00A9400C"/>
    <w:rsid w:val="00A971BF"/>
    <w:rsid w:val="00A972BB"/>
    <w:rsid w:val="00AA289B"/>
    <w:rsid w:val="00AA2BE2"/>
    <w:rsid w:val="00AA675F"/>
    <w:rsid w:val="00AA68D9"/>
    <w:rsid w:val="00AA7AF3"/>
    <w:rsid w:val="00AB077D"/>
    <w:rsid w:val="00AB4B2D"/>
    <w:rsid w:val="00AB6040"/>
    <w:rsid w:val="00AB6661"/>
    <w:rsid w:val="00AC12AD"/>
    <w:rsid w:val="00AC149C"/>
    <w:rsid w:val="00AC51D8"/>
    <w:rsid w:val="00AC7E2D"/>
    <w:rsid w:val="00AD266B"/>
    <w:rsid w:val="00AD638C"/>
    <w:rsid w:val="00AE135D"/>
    <w:rsid w:val="00AE27FA"/>
    <w:rsid w:val="00AF36CE"/>
    <w:rsid w:val="00B0065B"/>
    <w:rsid w:val="00B0090C"/>
    <w:rsid w:val="00B00FDA"/>
    <w:rsid w:val="00B04025"/>
    <w:rsid w:val="00B10C9C"/>
    <w:rsid w:val="00B2000F"/>
    <w:rsid w:val="00B205F4"/>
    <w:rsid w:val="00B216A6"/>
    <w:rsid w:val="00B231DC"/>
    <w:rsid w:val="00B37F58"/>
    <w:rsid w:val="00B42381"/>
    <w:rsid w:val="00B45C12"/>
    <w:rsid w:val="00B469F0"/>
    <w:rsid w:val="00B477AC"/>
    <w:rsid w:val="00B52BFB"/>
    <w:rsid w:val="00B61AC0"/>
    <w:rsid w:val="00B62164"/>
    <w:rsid w:val="00B62524"/>
    <w:rsid w:val="00B63219"/>
    <w:rsid w:val="00B6673B"/>
    <w:rsid w:val="00B6716E"/>
    <w:rsid w:val="00B72348"/>
    <w:rsid w:val="00B7399F"/>
    <w:rsid w:val="00B820D2"/>
    <w:rsid w:val="00B94E8F"/>
    <w:rsid w:val="00B96FF1"/>
    <w:rsid w:val="00BA1942"/>
    <w:rsid w:val="00BA1CA1"/>
    <w:rsid w:val="00BA2B6A"/>
    <w:rsid w:val="00BA462C"/>
    <w:rsid w:val="00BA5210"/>
    <w:rsid w:val="00BB0AFE"/>
    <w:rsid w:val="00BB23E0"/>
    <w:rsid w:val="00BB348A"/>
    <w:rsid w:val="00BB4A54"/>
    <w:rsid w:val="00BC55C0"/>
    <w:rsid w:val="00BD11FE"/>
    <w:rsid w:val="00BD2BF6"/>
    <w:rsid w:val="00BD3F4F"/>
    <w:rsid w:val="00BE1E5F"/>
    <w:rsid w:val="00BE3503"/>
    <w:rsid w:val="00BE6551"/>
    <w:rsid w:val="00BE6CFC"/>
    <w:rsid w:val="00C01591"/>
    <w:rsid w:val="00C01B34"/>
    <w:rsid w:val="00C01C98"/>
    <w:rsid w:val="00C03A57"/>
    <w:rsid w:val="00C04209"/>
    <w:rsid w:val="00C05327"/>
    <w:rsid w:val="00C0680D"/>
    <w:rsid w:val="00C10327"/>
    <w:rsid w:val="00C120CC"/>
    <w:rsid w:val="00C129D1"/>
    <w:rsid w:val="00C15B4C"/>
    <w:rsid w:val="00C16B57"/>
    <w:rsid w:val="00C16BA9"/>
    <w:rsid w:val="00C24CA1"/>
    <w:rsid w:val="00C25A94"/>
    <w:rsid w:val="00C3045A"/>
    <w:rsid w:val="00C348C9"/>
    <w:rsid w:val="00C40C6B"/>
    <w:rsid w:val="00C524F2"/>
    <w:rsid w:val="00C5442D"/>
    <w:rsid w:val="00C5503B"/>
    <w:rsid w:val="00C60F15"/>
    <w:rsid w:val="00C61824"/>
    <w:rsid w:val="00C61D23"/>
    <w:rsid w:val="00C62597"/>
    <w:rsid w:val="00C66159"/>
    <w:rsid w:val="00C67DA3"/>
    <w:rsid w:val="00C72727"/>
    <w:rsid w:val="00C7730F"/>
    <w:rsid w:val="00C81C9F"/>
    <w:rsid w:val="00C827F0"/>
    <w:rsid w:val="00C960D7"/>
    <w:rsid w:val="00CA4778"/>
    <w:rsid w:val="00CA7814"/>
    <w:rsid w:val="00CB062E"/>
    <w:rsid w:val="00CB12C2"/>
    <w:rsid w:val="00CB3CFC"/>
    <w:rsid w:val="00CB6F35"/>
    <w:rsid w:val="00CC0A0F"/>
    <w:rsid w:val="00CC138C"/>
    <w:rsid w:val="00CC5BE3"/>
    <w:rsid w:val="00CD05C1"/>
    <w:rsid w:val="00CD1D47"/>
    <w:rsid w:val="00CD2B1A"/>
    <w:rsid w:val="00CD30FD"/>
    <w:rsid w:val="00CD36F7"/>
    <w:rsid w:val="00CD38F0"/>
    <w:rsid w:val="00CD3C7E"/>
    <w:rsid w:val="00CD73FA"/>
    <w:rsid w:val="00CE3282"/>
    <w:rsid w:val="00CF392A"/>
    <w:rsid w:val="00CF3B73"/>
    <w:rsid w:val="00D0061B"/>
    <w:rsid w:val="00D0384F"/>
    <w:rsid w:val="00D1499D"/>
    <w:rsid w:val="00D151C3"/>
    <w:rsid w:val="00D17106"/>
    <w:rsid w:val="00D2201C"/>
    <w:rsid w:val="00D2334B"/>
    <w:rsid w:val="00D35E94"/>
    <w:rsid w:val="00D513D3"/>
    <w:rsid w:val="00D54487"/>
    <w:rsid w:val="00D73BA6"/>
    <w:rsid w:val="00D76295"/>
    <w:rsid w:val="00D771B3"/>
    <w:rsid w:val="00D773D4"/>
    <w:rsid w:val="00D85B7E"/>
    <w:rsid w:val="00D95091"/>
    <w:rsid w:val="00DA1C50"/>
    <w:rsid w:val="00DC16E5"/>
    <w:rsid w:val="00DC3669"/>
    <w:rsid w:val="00DC3BC3"/>
    <w:rsid w:val="00DD1C30"/>
    <w:rsid w:val="00DD41CB"/>
    <w:rsid w:val="00DD7218"/>
    <w:rsid w:val="00DF475F"/>
    <w:rsid w:val="00DF596C"/>
    <w:rsid w:val="00E000FB"/>
    <w:rsid w:val="00E017B9"/>
    <w:rsid w:val="00E02E2D"/>
    <w:rsid w:val="00E106CD"/>
    <w:rsid w:val="00E109C3"/>
    <w:rsid w:val="00E13709"/>
    <w:rsid w:val="00E32D9B"/>
    <w:rsid w:val="00E33083"/>
    <w:rsid w:val="00E34291"/>
    <w:rsid w:val="00E443A9"/>
    <w:rsid w:val="00E464E4"/>
    <w:rsid w:val="00E46C83"/>
    <w:rsid w:val="00E55338"/>
    <w:rsid w:val="00E5793B"/>
    <w:rsid w:val="00E64D04"/>
    <w:rsid w:val="00E7223C"/>
    <w:rsid w:val="00E73249"/>
    <w:rsid w:val="00E76936"/>
    <w:rsid w:val="00E8174C"/>
    <w:rsid w:val="00E81CA5"/>
    <w:rsid w:val="00E85A72"/>
    <w:rsid w:val="00E86129"/>
    <w:rsid w:val="00E87123"/>
    <w:rsid w:val="00E92370"/>
    <w:rsid w:val="00E96655"/>
    <w:rsid w:val="00E966C7"/>
    <w:rsid w:val="00E9679E"/>
    <w:rsid w:val="00EA7BD3"/>
    <w:rsid w:val="00EB1B23"/>
    <w:rsid w:val="00EC0759"/>
    <w:rsid w:val="00EC2735"/>
    <w:rsid w:val="00EC6495"/>
    <w:rsid w:val="00EC6D91"/>
    <w:rsid w:val="00ED1A55"/>
    <w:rsid w:val="00EE371E"/>
    <w:rsid w:val="00EF40EE"/>
    <w:rsid w:val="00EF4EE6"/>
    <w:rsid w:val="00EF702C"/>
    <w:rsid w:val="00EF74FA"/>
    <w:rsid w:val="00F00A41"/>
    <w:rsid w:val="00F02E53"/>
    <w:rsid w:val="00F03AAF"/>
    <w:rsid w:val="00F072AA"/>
    <w:rsid w:val="00F07C8B"/>
    <w:rsid w:val="00F12B73"/>
    <w:rsid w:val="00F203B4"/>
    <w:rsid w:val="00F20C92"/>
    <w:rsid w:val="00F33B98"/>
    <w:rsid w:val="00F44CC4"/>
    <w:rsid w:val="00F450DC"/>
    <w:rsid w:val="00F45CD4"/>
    <w:rsid w:val="00F46937"/>
    <w:rsid w:val="00F54E2F"/>
    <w:rsid w:val="00F57203"/>
    <w:rsid w:val="00F709BA"/>
    <w:rsid w:val="00F75B47"/>
    <w:rsid w:val="00F77CE8"/>
    <w:rsid w:val="00F80B29"/>
    <w:rsid w:val="00F8108D"/>
    <w:rsid w:val="00F93B1C"/>
    <w:rsid w:val="00F93C40"/>
    <w:rsid w:val="00F97A2C"/>
    <w:rsid w:val="00FA23F1"/>
    <w:rsid w:val="00FA55AF"/>
    <w:rsid w:val="00FB4193"/>
    <w:rsid w:val="00FB48A6"/>
    <w:rsid w:val="00FB48DB"/>
    <w:rsid w:val="00FB63F3"/>
    <w:rsid w:val="00FB6D32"/>
    <w:rsid w:val="00FB79F2"/>
    <w:rsid w:val="00FC7C76"/>
    <w:rsid w:val="00FD7912"/>
    <w:rsid w:val="00FF4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64CC4A6"/>
  <w15:chartTrackingRefBased/>
  <w15:docId w15:val="{3C564054-DEDA-464B-9DD7-F8F9BCD1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A9"/>
    <w:rPr>
      <w:rFonts w:eastAsia="SimSun"/>
      <w:lang w:val="en-GB" w:eastAsia="zh-CN"/>
    </w:rPr>
  </w:style>
  <w:style w:type="paragraph" w:styleId="Heading1">
    <w:name w:val="heading 1"/>
    <w:basedOn w:val="Normal"/>
    <w:next w:val="Normal"/>
    <w:qFormat/>
    <w:rsid w:val="00DF596C"/>
    <w:pPr>
      <w:keepNext/>
      <w:outlineLvl w:val="0"/>
    </w:pPr>
    <w:rPr>
      <w:rFonts w:eastAsia="Times New Roman"/>
      <w:sz w:val="24"/>
      <w:u w:val="single"/>
      <w:lang w:eastAsia="en-US"/>
    </w:rPr>
  </w:style>
  <w:style w:type="paragraph" w:styleId="Heading2">
    <w:name w:val="heading 2"/>
    <w:basedOn w:val="Normal"/>
    <w:next w:val="Normal"/>
    <w:link w:val="Heading2Char"/>
    <w:unhideWhenUsed/>
    <w:qFormat/>
    <w:rsid w:val="000B454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BE3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C3A"/>
    <w:pPr>
      <w:tabs>
        <w:tab w:val="center" w:pos="4320"/>
        <w:tab w:val="right" w:pos="8640"/>
      </w:tabs>
    </w:pPr>
  </w:style>
  <w:style w:type="paragraph" w:styleId="Footer">
    <w:name w:val="footer"/>
    <w:basedOn w:val="Normal"/>
    <w:rsid w:val="00117C3A"/>
    <w:pPr>
      <w:tabs>
        <w:tab w:val="center" w:pos="4320"/>
        <w:tab w:val="right" w:pos="8640"/>
      </w:tabs>
    </w:pPr>
  </w:style>
  <w:style w:type="table" w:styleId="TableGrid">
    <w:name w:val="Table Grid"/>
    <w:basedOn w:val="TableNormal"/>
    <w:uiPriority w:val="59"/>
    <w:rsid w:val="00117C3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7C3A"/>
    <w:rPr>
      <w:color w:val="0000FF"/>
      <w:u w:val="single"/>
    </w:rPr>
  </w:style>
  <w:style w:type="paragraph" w:styleId="DocumentMap">
    <w:name w:val="Document Map"/>
    <w:basedOn w:val="Normal"/>
    <w:semiHidden/>
    <w:rsid w:val="00745302"/>
    <w:pPr>
      <w:shd w:val="clear" w:color="auto" w:fill="000080"/>
    </w:pPr>
    <w:rPr>
      <w:rFonts w:ascii="Tahoma" w:hAnsi="Tahoma" w:cs="Tahoma"/>
    </w:rPr>
  </w:style>
  <w:style w:type="character" w:styleId="PageNumber">
    <w:name w:val="page number"/>
    <w:basedOn w:val="DefaultParagraphFont"/>
    <w:rsid w:val="001A0F90"/>
  </w:style>
  <w:style w:type="paragraph" w:styleId="FootnoteText">
    <w:name w:val="footnote text"/>
    <w:aliases w:val="Geneva 9,Font: Geneva 9,Boston 10,f,93,single space,Footnote Text Rail EIS,ft,Char,footnote3,Footnotes,Footnote ak,fn cafc,Footnotes Char Char,Footnote Text Char Char,fn Char Char,footnote text,footnote text Char Char Char Ch"/>
    <w:basedOn w:val="Normal"/>
    <w:link w:val="FootnoteTextChar"/>
    <w:rsid w:val="00BE6CFC"/>
  </w:style>
  <w:style w:type="character" w:styleId="FootnoteReference">
    <w:name w:val="footnote reference"/>
    <w:aliases w:val="16 Point,Superscript 6 Point,ftref,(Ref. de nota al pie),number,SUPERS,Footnote Reference Superscript"/>
    <w:semiHidden/>
    <w:rsid w:val="00BE6CFC"/>
    <w:rPr>
      <w:vertAlign w:val="superscript"/>
    </w:rPr>
  </w:style>
  <w:style w:type="character" w:styleId="Strong">
    <w:name w:val="Strong"/>
    <w:qFormat/>
    <w:rsid w:val="00E13709"/>
    <w:rPr>
      <w:b/>
      <w:bCs/>
    </w:rPr>
  </w:style>
  <w:style w:type="paragraph" w:styleId="BalloonText">
    <w:name w:val="Balloon Text"/>
    <w:basedOn w:val="Normal"/>
    <w:semiHidden/>
    <w:rsid w:val="001B71E9"/>
    <w:rPr>
      <w:rFonts w:ascii="Tahoma" w:hAnsi="Tahoma" w:cs="Tahoma"/>
      <w:sz w:val="16"/>
      <w:szCs w:val="16"/>
    </w:rPr>
  </w:style>
  <w:style w:type="paragraph" w:styleId="BodyTextIndent2">
    <w:name w:val="Body Text Indent 2"/>
    <w:basedOn w:val="Normal"/>
    <w:link w:val="BodyTextIndent2Char"/>
    <w:rsid w:val="00EC6495"/>
    <w:pPr>
      <w:ind w:firstLine="680"/>
    </w:pPr>
    <w:rPr>
      <w:rFonts w:eastAsia="Times New Roman"/>
      <w:sz w:val="22"/>
      <w:lang w:eastAsia="en-US"/>
    </w:rPr>
  </w:style>
  <w:style w:type="character" w:customStyle="1" w:styleId="BodyTextIndent2Char">
    <w:name w:val="Body Text Indent 2 Char"/>
    <w:link w:val="BodyTextIndent2"/>
    <w:rsid w:val="00EC6495"/>
    <w:rPr>
      <w:sz w:val="22"/>
      <w:lang w:val="en-GB"/>
    </w:rPr>
  </w:style>
  <w:style w:type="character" w:styleId="CommentReference">
    <w:name w:val="annotation reference"/>
    <w:rsid w:val="001A5A89"/>
    <w:rPr>
      <w:sz w:val="16"/>
      <w:szCs w:val="16"/>
    </w:rPr>
  </w:style>
  <w:style w:type="paragraph" w:styleId="CommentText">
    <w:name w:val="annotation text"/>
    <w:basedOn w:val="Normal"/>
    <w:link w:val="CommentTextChar"/>
    <w:rsid w:val="001A5A89"/>
  </w:style>
  <w:style w:type="character" w:customStyle="1" w:styleId="CommentTextChar">
    <w:name w:val="Comment Text Char"/>
    <w:link w:val="CommentText"/>
    <w:rsid w:val="001A5A89"/>
    <w:rPr>
      <w:rFonts w:eastAsia="SimSun"/>
      <w:lang w:val="en-GB" w:eastAsia="zh-CN"/>
    </w:rPr>
  </w:style>
  <w:style w:type="paragraph" w:styleId="CommentSubject">
    <w:name w:val="annotation subject"/>
    <w:basedOn w:val="CommentText"/>
    <w:next w:val="CommentText"/>
    <w:link w:val="CommentSubjectChar"/>
    <w:rsid w:val="001A5A89"/>
    <w:rPr>
      <w:b/>
      <w:bCs/>
    </w:rPr>
  </w:style>
  <w:style w:type="character" w:customStyle="1" w:styleId="CommentSubjectChar">
    <w:name w:val="Comment Subject Char"/>
    <w:link w:val="CommentSubject"/>
    <w:rsid w:val="001A5A89"/>
    <w:rPr>
      <w:rFonts w:eastAsia="SimSun"/>
      <w:b/>
      <w:bCs/>
      <w:lang w:val="en-GB" w:eastAsia="zh-CN"/>
    </w:rPr>
  </w:style>
  <w:style w:type="character" w:customStyle="1" w:styleId="Heading2Char">
    <w:name w:val="Heading 2 Char"/>
    <w:link w:val="Heading2"/>
    <w:rsid w:val="000B454B"/>
    <w:rPr>
      <w:rFonts w:ascii="Cambria" w:hAnsi="Cambria"/>
      <w:b/>
      <w:bCs/>
      <w:i/>
      <w:iCs/>
      <w:sz w:val="28"/>
      <w:szCs w:val="28"/>
      <w:lang w:eastAsia="zh-CN"/>
    </w:rPr>
  </w:style>
  <w:style w:type="character" w:customStyle="1" w:styleId="a">
    <w:name w:val="_"/>
    <w:rsid w:val="000B454B"/>
    <w:rPr>
      <w:sz w:val="20"/>
      <w:szCs w:val="20"/>
    </w:rPr>
  </w:style>
  <w:style w:type="paragraph" w:styleId="Revision">
    <w:name w:val="Revision"/>
    <w:hidden/>
    <w:uiPriority w:val="99"/>
    <w:semiHidden/>
    <w:rsid w:val="004C7D37"/>
    <w:rPr>
      <w:rFonts w:eastAsia="SimSun"/>
      <w:lang w:val="en-GB" w:eastAsia="zh-CN"/>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link w:val="FootnoteText"/>
    <w:rsid w:val="009F6262"/>
    <w:rPr>
      <w:rFonts w:eastAsia="SimSun"/>
      <w:lang w:eastAsia="zh-CN"/>
    </w:rPr>
  </w:style>
  <w:style w:type="paragraph" w:customStyle="1" w:styleId="Normal-pool">
    <w:name w:val="Normal-pool"/>
    <w:link w:val="Normal-poolChar"/>
    <w:rsid w:val="00037C07"/>
    <w:pPr>
      <w:tabs>
        <w:tab w:val="left" w:pos="1247"/>
        <w:tab w:val="left" w:pos="1814"/>
        <w:tab w:val="left" w:pos="2381"/>
        <w:tab w:val="left" w:pos="2948"/>
        <w:tab w:val="left" w:pos="3515"/>
        <w:tab w:val="left" w:pos="4082"/>
      </w:tabs>
    </w:pPr>
    <w:rPr>
      <w:lang w:val="en-GB" w:eastAsia="en-US"/>
    </w:rPr>
  </w:style>
  <w:style w:type="paragraph" w:customStyle="1" w:styleId="ZZAnxtitle">
    <w:name w:val="ZZ_Anx_title"/>
    <w:basedOn w:val="Normal"/>
    <w:uiPriority w:val="99"/>
    <w:rsid w:val="00037C07"/>
    <w:pPr>
      <w:tabs>
        <w:tab w:val="left" w:pos="1247"/>
        <w:tab w:val="left" w:pos="1814"/>
        <w:tab w:val="left" w:pos="2381"/>
        <w:tab w:val="left" w:pos="2948"/>
        <w:tab w:val="left" w:pos="3515"/>
        <w:tab w:val="left" w:pos="4082"/>
      </w:tabs>
      <w:spacing w:before="360" w:after="120"/>
      <w:ind w:left="1247"/>
    </w:pPr>
    <w:rPr>
      <w:rFonts w:eastAsia="Times New Roman"/>
      <w:b/>
      <w:bCs/>
      <w:sz w:val="28"/>
      <w:szCs w:val="26"/>
      <w:lang w:eastAsia="en-US"/>
    </w:rPr>
  </w:style>
  <w:style w:type="paragraph" w:customStyle="1" w:styleId="main">
    <w:name w:val="main"/>
    <w:basedOn w:val="Normal"/>
    <w:autoRedefine/>
    <w:rsid w:val="003E3772"/>
    <w:pPr>
      <w:keepNext/>
    </w:pPr>
    <w:rPr>
      <w:rFonts w:eastAsia="MS Mincho"/>
      <w:b/>
      <w:lang w:eastAsia="en-US"/>
    </w:rPr>
  </w:style>
  <w:style w:type="paragraph" w:customStyle="1" w:styleId="Paralevel1">
    <w:name w:val="Para level1"/>
    <w:basedOn w:val="Normal"/>
    <w:link w:val="Paralevel1Char"/>
    <w:autoRedefine/>
    <w:rsid w:val="003E3772"/>
    <w:pPr>
      <w:suppressAutoHyphens/>
      <w:spacing w:after="120"/>
      <w:ind w:left="1247"/>
    </w:pPr>
    <w:rPr>
      <w:rFonts w:eastAsia="Times New Roman"/>
      <w:lang w:eastAsia="en-US"/>
    </w:rPr>
  </w:style>
  <w:style w:type="character" w:customStyle="1" w:styleId="Paralevel1Char">
    <w:name w:val="Para level1 Char"/>
    <w:link w:val="Paralevel1"/>
    <w:rsid w:val="003E3772"/>
    <w:rPr>
      <w:lang w:val="en-GB" w:eastAsia="en-US"/>
    </w:rPr>
  </w:style>
  <w:style w:type="paragraph" w:customStyle="1" w:styleId="Paralevel2">
    <w:name w:val="Para level2"/>
    <w:basedOn w:val="Paralevel1"/>
    <w:link w:val="Paralevel2Char"/>
    <w:autoRedefine/>
    <w:rsid w:val="003E3772"/>
    <w:pPr>
      <w:ind w:firstLine="624"/>
    </w:pPr>
  </w:style>
  <w:style w:type="character" w:customStyle="1" w:styleId="Paralevel2Char">
    <w:name w:val="Para level2 Char"/>
    <w:basedOn w:val="Paralevel1Char"/>
    <w:link w:val="Paralevel2"/>
    <w:rsid w:val="003E3772"/>
    <w:rPr>
      <w:lang w:val="en-GB" w:eastAsia="en-US"/>
    </w:rPr>
  </w:style>
  <w:style w:type="paragraph" w:customStyle="1" w:styleId="CH1">
    <w:name w:val="CH1"/>
    <w:basedOn w:val="Heading2"/>
    <w:next w:val="BalloonText"/>
    <w:autoRedefine/>
    <w:rsid w:val="002619DE"/>
    <w:pPr>
      <w:keepNext w:val="0"/>
      <w:spacing w:before="0" w:after="120"/>
      <w:ind w:left="714" w:right="567"/>
    </w:pPr>
    <w:rPr>
      <w:rFonts w:ascii="Times New Roman" w:hAnsi="Times New Roman"/>
      <w:bCs w:val="0"/>
      <w:i w:val="0"/>
      <w:iCs w:val="0"/>
      <w:lang w:eastAsia="en-US"/>
    </w:rPr>
  </w:style>
  <w:style w:type="paragraph" w:customStyle="1" w:styleId="CH2">
    <w:name w:val="CH2"/>
    <w:basedOn w:val="Normal"/>
    <w:autoRedefine/>
    <w:rsid w:val="009672DE"/>
    <w:pPr>
      <w:numPr>
        <w:numId w:val="18"/>
      </w:numPr>
      <w:tabs>
        <w:tab w:val="clear" w:pos="578"/>
      </w:tabs>
      <w:spacing w:after="120"/>
      <w:ind w:left="1248" w:right="567" w:hanging="624"/>
      <w:outlineLvl w:val="1"/>
    </w:pPr>
    <w:rPr>
      <w:rFonts w:eastAsia="Times New Roman"/>
      <w:b/>
      <w:bCs/>
      <w:sz w:val="24"/>
      <w:szCs w:val="24"/>
      <w:lang w:eastAsia="en-US"/>
    </w:rPr>
  </w:style>
  <w:style w:type="paragraph" w:customStyle="1" w:styleId="NormalNonumber">
    <w:name w:val="Normal_No_number"/>
    <w:basedOn w:val="Normal"/>
    <w:link w:val="NormalNonumberChar"/>
    <w:rsid w:val="009672DE"/>
    <w:pPr>
      <w:tabs>
        <w:tab w:val="left" w:pos="1814"/>
        <w:tab w:val="left" w:pos="2381"/>
        <w:tab w:val="left" w:pos="2948"/>
        <w:tab w:val="left" w:pos="3515"/>
      </w:tabs>
      <w:spacing w:after="120"/>
      <w:ind w:left="1247"/>
    </w:pPr>
    <w:rPr>
      <w:rFonts w:eastAsia="Times New Roman"/>
      <w:lang w:val="fr-FR" w:eastAsia="en-US"/>
    </w:rPr>
  </w:style>
  <w:style w:type="character" w:customStyle="1" w:styleId="NormalNonumberChar">
    <w:name w:val="Normal_No_number Char"/>
    <w:link w:val="NormalNonumber"/>
    <w:rsid w:val="009672DE"/>
    <w:rPr>
      <w:lang w:val="fr-FR" w:eastAsia="en-US"/>
    </w:rPr>
  </w:style>
  <w:style w:type="paragraph" w:styleId="Caption">
    <w:name w:val="caption"/>
    <w:basedOn w:val="Normal"/>
    <w:next w:val="Normal"/>
    <w:link w:val="CaptionChar"/>
    <w:uiPriority w:val="35"/>
    <w:unhideWhenUsed/>
    <w:qFormat/>
    <w:rsid w:val="006F3465"/>
    <w:pPr>
      <w:spacing w:after="200"/>
    </w:pPr>
    <w:rPr>
      <w:rFonts w:ascii="Calibri" w:eastAsia="Times New Roman" w:hAnsi="Calibri"/>
      <w:b/>
      <w:bCs/>
      <w:color w:val="4F81BD"/>
      <w:sz w:val="18"/>
      <w:szCs w:val="18"/>
      <w:lang w:val="nb-NO" w:eastAsia="nb-NO"/>
    </w:rPr>
  </w:style>
  <w:style w:type="character" w:customStyle="1" w:styleId="CaptionChar">
    <w:name w:val="Caption Char"/>
    <w:link w:val="Caption"/>
    <w:uiPriority w:val="35"/>
    <w:locked/>
    <w:rsid w:val="006F3465"/>
    <w:rPr>
      <w:rFonts w:ascii="Calibri" w:hAnsi="Calibri"/>
      <w:b/>
      <w:bCs/>
      <w:color w:val="4F81BD"/>
      <w:sz w:val="18"/>
      <w:szCs w:val="18"/>
      <w:lang w:val="nb-NO" w:eastAsia="nb-NO"/>
    </w:rPr>
  </w:style>
  <w:style w:type="character" w:customStyle="1" w:styleId="Normal-poolChar">
    <w:name w:val="Normal-pool Char"/>
    <w:link w:val="Normal-pool"/>
    <w:rsid w:val="00CD1D47"/>
    <w:rPr>
      <w:lang w:val="en-GB" w:eastAsia="en-US" w:bidi="ar-SA"/>
    </w:rPr>
  </w:style>
  <w:style w:type="paragraph" w:customStyle="1" w:styleId="Default">
    <w:name w:val="Default"/>
    <w:rsid w:val="00CD1D47"/>
    <w:pPr>
      <w:autoSpaceDE w:val="0"/>
      <w:autoSpaceDN w:val="0"/>
      <w:adjustRightInd w:val="0"/>
    </w:pPr>
    <w:rPr>
      <w:rFonts w:ascii="Verdana" w:hAnsi="Verdana" w:cs="Verdana"/>
      <w:color w:val="000000"/>
      <w:sz w:val="24"/>
      <w:szCs w:val="24"/>
      <w:lang w:val="de-AT" w:eastAsia="de-AT"/>
    </w:rPr>
  </w:style>
  <w:style w:type="paragraph" w:styleId="ListParagraph">
    <w:name w:val="List Paragraph"/>
    <w:basedOn w:val="Normal"/>
    <w:uiPriority w:val="34"/>
    <w:qFormat/>
    <w:rsid w:val="00D73BA6"/>
    <w:pPr>
      <w:spacing w:line="259" w:lineRule="auto"/>
      <w:ind w:left="720"/>
      <w:contextualSpacing/>
    </w:pPr>
    <w:rPr>
      <w:rFonts w:ascii="Calibri" w:eastAsia="Times New Roman" w:hAnsi="Calibri"/>
      <w:sz w:val="22"/>
      <w:szCs w:val="22"/>
      <w:lang w:val="en-CA" w:eastAsia="en-US"/>
    </w:rPr>
  </w:style>
  <w:style w:type="paragraph" w:styleId="NormalWeb">
    <w:name w:val="Normal (Web)"/>
    <w:basedOn w:val="Normal"/>
    <w:uiPriority w:val="99"/>
    <w:unhideWhenUsed/>
    <w:rsid w:val="000B7A67"/>
    <w:pPr>
      <w:spacing w:before="100" w:beforeAutospacing="1" w:after="100" w:afterAutospacing="1"/>
    </w:pPr>
    <w:rPr>
      <w:rFonts w:eastAsia="Times New Roman"/>
      <w:sz w:val="24"/>
      <w:szCs w:val="24"/>
      <w:lang w:val="en-AU" w:eastAsia="en-AU"/>
    </w:rPr>
  </w:style>
  <w:style w:type="character" w:customStyle="1" w:styleId="apple-converted-space">
    <w:name w:val="apple-converted-space"/>
    <w:rsid w:val="0043422B"/>
  </w:style>
  <w:style w:type="character" w:styleId="FollowedHyperlink">
    <w:name w:val="FollowedHyperlink"/>
    <w:rsid w:val="00B0065B"/>
    <w:rPr>
      <w:color w:val="800080"/>
      <w:u w:val="single"/>
    </w:rPr>
  </w:style>
  <w:style w:type="character" w:customStyle="1" w:styleId="Heading3Char">
    <w:name w:val="Heading 3 Char"/>
    <w:link w:val="Heading3"/>
    <w:semiHidden/>
    <w:rsid w:val="00BE3503"/>
    <w:rPr>
      <w:rFonts w:ascii="Cambria" w:eastAsia="Times New Roman" w:hAnsi="Cambria" w:cs="Times New Roman"/>
      <w:b/>
      <w:bCs/>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296">
      <w:bodyDiv w:val="1"/>
      <w:marLeft w:val="0"/>
      <w:marRight w:val="0"/>
      <w:marTop w:val="0"/>
      <w:marBottom w:val="0"/>
      <w:divBdr>
        <w:top w:val="none" w:sz="0" w:space="0" w:color="auto"/>
        <w:left w:val="none" w:sz="0" w:space="0" w:color="auto"/>
        <w:bottom w:val="none" w:sz="0" w:space="0" w:color="auto"/>
        <w:right w:val="none" w:sz="0" w:space="0" w:color="auto"/>
      </w:divBdr>
    </w:div>
    <w:div w:id="93061691">
      <w:bodyDiv w:val="1"/>
      <w:marLeft w:val="0"/>
      <w:marRight w:val="0"/>
      <w:marTop w:val="0"/>
      <w:marBottom w:val="0"/>
      <w:divBdr>
        <w:top w:val="none" w:sz="0" w:space="0" w:color="auto"/>
        <w:left w:val="none" w:sz="0" w:space="0" w:color="auto"/>
        <w:bottom w:val="none" w:sz="0" w:space="0" w:color="auto"/>
        <w:right w:val="none" w:sz="0" w:space="0" w:color="auto"/>
      </w:divBdr>
    </w:div>
    <w:div w:id="388964691">
      <w:bodyDiv w:val="1"/>
      <w:marLeft w:val="0"/>
      <w:marRight w:val="0"/>
      <w:marTop w:val="0"/>
      <w:marBottom w:val="0"/>
      <w:divBdr>
        <w:top w:val="none" w:sz="0" w:space="0" w:color="auto"/>
        <w:left w:val="none" w:sz="0" w:space="0" w:color="auto"/>
        <w:bottom w:val="none" w:sz="0" w:space="0" w:color="auto"/>
        <w:right w:val="none" w:sz="0" w:space="0" w:color="auto"/>
      </w:divBdr>
    </w:div>
    <w:div w:id="422145563">
      <w:bodyDiv w:val="1"/>
      <w:marLeft w:val="0"/>
      <w:marRight w:val="0"/>
      <w:marTop w:val="0"/>
      <w:marBottom w:val="0"/>
      <w:divBdr>
        <w:top w:val="none" w:sz="0" w:space="0" w:color="auto"/>
        <w:left w:val="none" w:sz="0" w:space="0" w:color="auto"/>
        <w:bottom w:val="none" w:sz="0" w:space="0" w:color="auto"/>
        <w:right w:val="none" w:sz="0" w:space="0" w:color="auto"/>
      </w:divBdr>
    </w:div>
    <w:div w:id="676612112">
      <w:bodyDiv w:val="1"/>
      <w:marLeft w:val="0"/>
      <w:marRight w:val="0"/>
      <w:marTop w:val="0"/>
      <w:marBottom w:val="0"/>
      <w:divBdr>
        <w:top w:val="none" w:sz="0" w:space="0" w:color="auto"/>
        <w:left w:val="none" w:sz="0" w:space="0" w:color="auto"/>
        <w:bottom w:val="none" w:sz="0" w:space="0" w:color="auto"/>
        <w:right w:val="none" w:sz="0" w:space="0" w:color="auto"/>
      </w:divBdr>
    </w:div>
    <w:div w:id="1021207129">
      <w:bodyDiv w:val="1"/>
      <w:marLeft w:val="0"/>
      <w:marRight w:val="0"/>
      <w:marTop w:val="0"/>
      <w:marBottom w:val="0"/>
      <w:divBdr>
        <w:top w:val="none" w:sz="0" w:space="0" w:color="auto"/>
        <w:left w:val="none" w:sz="0" w:space="0" w:color="auto"/>
        <w:bottom w:val="none" w:sz="0" w:space="0" w:color="auto"/>
        <w:right w:val="none" w:sz="0" w:space="0" w:color="auto"/>
      </w:divBdr>
    </w:div>
    <w:div w:id="1232230637">
      <w:bodyDiv w:val="1"/>
      <w:marLeft w:val="0"/>
      <w:marRight w:val="0"/>
      <w:marTop w:val="0"/>
      <w:marBottom w:val="0"/>
      <w:divBdr>
        <w:top w:val="none" w:sz="0" w:space="0" w:color="auto"/>
        <w:left w:val="none" w:sz="0" w:space="0" w:color="auto"/>
        <w:bottom w:val="none" w:sz="0" w:space="0" w:color="auto"/>
        <w:right w:val="none" w:sz="0" w:space="0" w:color="auto"/>
      </w:divBdr>
    </w:div>
    <w:div w:id="1277560136">
      <w:bodyDiv w:val="1"/>
      <w:marLeft w:val="0"/>
      <w:marRight w:val="0"/>
      <w:marTop w:val="0"/>
      <w:marBottom w:val="0"/>
      <w:divBdr>
        <w:top w:val="none" w:sz="0" w:space="0" w:color="auto"/>
        <w:left w:val="none" w:sz="0" w:space="0" w:color="auto"/>
        <w:bottom w:val="none" w:sz="0" w:space="0" w:color="auto"/>
        <w:right w:val="none" w:sz="0" w:space="0" w:color="auto"/>
      </w:divBdr>
    </w:div>
    <w:div w:id="14371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ntTable" Target="fontTable.xml" Id="rId18" /><Relationship Type="http://schemas.openxmlformats.org/officeDocument/2006/relationships/footnotes" Target="footnotes.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webSettings" Target="webSettings.xml" Id="rId11" /><Relationship Type="http://schemas.openxmlformats.org/officeDocument/2006/relationships/footer" Target="footer1.xm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styles" Target="styl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Company/>
  <LinksUpToDate>false</LinksUpToDate>
  <CharactersWithSpaces>6243</CharactersWithSpaces>
  <SharedDoc>false</SharedDoc>
  <HLinks>
    <vt:vector size="6" baseType="variant">
      <vt:variant>
        <vt:i4>6291563</vt:i4>
      </vt:variant>
      <vt:variant>
        <vt:i4>0</vt:i4>
      </vt:variant>
      <vt:variant>
        <vt:i4>0</vt:i4>
      </vt:variant>
      <vt:variant>
        <vt:i4>5</vt:i4>
      </vt:variant>
      <vt:variant>
        <vt:lpwstr>https://www.nicnas.gov.au/chemical-information/imap-assessments/imap-assessments/tier-ii-environment-assessments/indirect-precursors-to-perfluorooctanoic-acid-pfoa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2018-02-12T05:14:00Z</dcterms:created>
  <dcterms:modified xsi:type="dcterms:W3CDTF">2018-02-12T05:14:00Z</dcterms:modified>
</cp:coreProperties>
</file>