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52F" w:rsidRDefault="0006152F" w:rsidP="0006152F">
      <w:pPr>
        <w:spacing w:after="120"/>
        <w:ind w:left="1247" w:right="284"/>
        <w:rPr>
          <w:b/>
          <w:lang w:val="ru-RU"/>
        </w:rPr>
      </w:pPr>
      <w:r>
        <w:rPr>
          <w:b/>
          <w:lang w:val="ru-RU"/>
        </w:rPr>
        <w:t>КРСОЗ-14/2: Перфтороктановая кислота (ПФОК), ее соли и родственные ПФОК соединения</w:t>
      </w:r>
    </w:p>
    <w:p w:rsidR="0006152F" w:rsidRDefault="0006152F" w:rsidP="0006152F">
      <w:pPr>
        <w:spacing w:after="120"/>
        <w:ind w:left="1247" w:firstLine="624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Комитет по рассмотрению стойких органических загрязнителей,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ссылаясь</w:t>
      </w:r>
      <w:r>
        <w:rPr>
          <w:sz w:val="20"/>
          <w:szCs w:val="20"/>
          <w:lang w:val="ru-RU"/>
        </w:rPr>
        <w:t xml:space="preserve"> на свое решение КРСОЗ-13/2, в котором он рекомендовал Конференции Сторон рассмотреть вопрос о включении перфтороктановой кислоты (ПФОК), ее солей и родственных ПФОК соединений</w:t>
      </w:r>
      <w:r>
        <w:rPr>
          <w:rFonts w:eastAsiaTheme="majorEastAsia"/>
          <w:sz w:val="20"/>
          <w:szCs w:val="20"/>
          <w:vertAlign w:val="superscript"/>
          <w:lang w:val="ru-RU"/>
        </w:rPr>
        <w:footnoteReference w:id="1"/>
      </w:r>
      <w:r>
        <w:rPr>
          <w:sz w:val="20"/>
          <w:szCs w:val="20"/>
          <w:lang w:val="ru-RU"/>
        </w:rPr>
        <w:t xml:space="preserve"> в приложение A или B к Конвенции с конкретными исключениями, указанными в пункте 2 а)-с) этого решения,</w:t>
      </w:r>
      <w:bookmarkStart w:id="0" w:name="_Hlk525146486"/>
      <w:bookmarkEnd w:id="0"/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проведя</w:t>
      </w:r>
      <w:r>
        <w:rPr>
          <w:sz w:val="20"/>
          <w:szCs w:val="20"/>
          <w:lang w:val="ru-RU"/>
        </w:rPr>
        <w:t xml:space="preserve"> оценку информации, представленной в соответствии с пунктами 3-5 решения КРСОЗ-13/2</w:t>
      </w:r>
      <w:r>
        <w:rPr>
          <w:rFonts w:eastAsiaTheme="majorEastAsia"/>
          <w:sz w:val="20"/>
          <w:szCs w:val="20"/>
          <w:vertAlign w:val="superscript"/>
          <w:lang w:val="ru-RU"/>
        </w:rPr>
        <w:footnoteReference w:id="2"/>
      </w:r>
      <w:r>
        <w:rPr>
          <w:sz w:val="20"/>
          <w:szCs w:val="20"/>
          <w:lang w:val="ru-RU"/>
        </w:rPr>
        <w:t>,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признавая</w:t>
      </w:r>
      <w:r>
        <w:rPr>
          <w:sz w:val="20"/>
          <w:szCs w:val="20"/>
          <w:lang w:val="ru-RU"/>
        </w:rPr>
        <w:t>, что переход к использованию короткоцепных пер- и полифторалкильных веществ (ПФАВ) для дисперсионного использования, например в огнетушительной пене, не является приемлемым вариантом с точки зрения экологии и здоровья человека и что, возможно, для перехода к альтернативам без ПФАВ потребуется некоторое время,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</w:t>
      </w:r>
      <w:r>
        <w:rPr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>принимает</w:t>
      </w:r>
      <w:r>
        <w:rPr>
          <w:sz w:val="20"/>
          <w:szCs w:val="20"/>
          <w:lang w:val="ru-RU"/>
        </w:rPr>
        <w:t xml:space="preserve"> добавление к оценке регулирования рисков в отношении перфтороктановой кислоты (ПФОК), ее солей и родственных ПФОК соединений</w:t>
      </w:r>
      <w:r>
        <w:rPr>
          <w:sz w:val="20"/>
          <w:szCs w:val="20"/>
          <w:vertAlign w:val="superscript"/>
          <w:lang w:val="ru-RU"/>
        </w:rPr>
        <w:footnoteReference w:id="3"/>
      </w:r>
      <w:r>
        <w:rPr>
          <w:sz w:val="20"/>
          <w:szCs w:val="20"/>
          <w:lang w:val="ru-RU"/>
        </w:rPr>
        <w:t>;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</w:t>
      </w:r>
      <w:r>
        <w:rPr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>постановляет</w:t>
      </w:r>
      <w:r>
        <w:rPr>
          <w:sz w:val="20"/>
          <w:szCs w:val="20"/>
          <w:lang w:val="ru-RU"/>
        </w:rPr>
        <w:t xml:space="preserve"> в соответствии с пунктом 9 статьи 8 Конвенции рекомендовать Конференции Сторон рассмотреть вопрос о включении перфтороктановой кислоты (ПФОК), ее солей и родственных ПФОК соединений в приложение A к Конвенции с конкретными исключениями, как указано ниже: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а)</w:t>
      </w:r>
      <w:r>
        <w:rPr>
          <w:sz w:val="20"/>
          <w:szCs w:val="20"/>
          <w:lang w:val="ru-RU"/>
        </w:rPr>
        <w:tab/>
        <w:t>на пять лет с даты вступления поправки в силу в соответствии со статьей 4:</w:t>
      </w:r>
    </w:p>
    <w:p w:rsidR="0006152F" w:rsidRDefault="0006152F" w:rsidP="0006152F">
      <w:pPr>
        <w:spacing w:after="120"/>
        <w:ind w:left="3119" w:hanging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i)</w:t>
      </w:r>
      <w:r>
        <w:rPr>
          <w:sz w:val="20"/>
          <w:szCs w:val="20"/>
          <w:lang w:val="ru-RU"/>
        </w:rPr>
        <w:tab/>
        <w:t>производство полупроводников или родственных им электронных приборов:</w:t>
      </w:r>
    </w:p>
    <w:p w:rsidR="0006152F" w:rsidRDefault="0006152F" w:rsidP="0006152F">
      <w:pPr>
        <w:spacing w:after="120"/>
        <w:ind w:left="3743" w:hanging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a.</w:t>
      </w:r>
      <w:r>
        <w:rPr>
          <w:sz w:val="20"/>
          <w:szCs w:val="20"/>
          <w:lang w:val="ru-RU"/>
        </w:rPr>
        <w:tab/>
        <w:t>оборудование или связанные с оборудованием для изготовления элементы инфраструктуры, содержащие фторполимеры и/или фторэластомеры с остатками ПФОК;</w:t>
      </w:r>
    </w:p>
    <w:p w:rsidR="0006152F" w:rsidRDefault="0006152F" w:rsidP="0006152F">
      <w:pPr>
        <w:spacing w:after="120"/>
        <w:ind w:left="3743" w:hanging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b.</w:t>
      </w:r>
      <w:r>
        <w:rPr>
          <w:sz w:val="20"/>
          <w:szCs w:val="20"/>
          <w:lang w:val="ru-RU"/>
        </w:rPr>
        <w:tab/>
        <w:t xml:space="preserve">несовременное оборудование или связанные с производственным оборудованием элементы инфраструктуры: содержание и техническое обслуживание; </w:t>
      </w:r>
    </w:p>
    <w:p w:rsidR="0006152F" w:rsidRDefault="0006152F" w:rsidP="0006152F">
      <w:pPr>
        <w:spacing w:after="120"/>
        <w:ind w:left="3743" w:hanging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c.</w:t>
      </w:r>
      <w:r>
        <w:rPr>
          <w:sz w:val="20"/>
          <w:szCs w:val="20"/>
          <w:lang w:val="ru-RU"/>
        </w:rPr>
        <w:tab/>
        <w:t>фотолитографические процессы или процессы травления;</w:t>
      </w:r>
    </w:p>
    <w:p w:rsidR="0006152F" w:rsidRDefault="0006152F" w:rsidP="0006152F">
      <w:pPr>
        <w:spacing w:after="120"/>
        <w:ind w:left="3119" w:hanging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ii)</w:t>
      </w:r>
      <w:r>
        <w:rPr>
          <w:sz w:val="20"/>
          <w:szCs w:val="20"/>
          <w:lang w:val="ru-RU"/>
        </w:rPr>
        <w:tab/>
        <w:t>фотографические покрытия, наносимые на пленки;</w:t>
      </w:r>
    </w:p>
    <w:p w:rsidR="0006152F" w:rsidRDefault="0006152F" w:rsidP="0006152F">
      <w:pPr>
        <w:spacing w:after="120"/>
        <w:ind w:left="3119" w:hanging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iii)</w:t>
      </w:r>
      <w:r>
        <w:rPr>
          <w:sz w:val="20"/>
          <w:szCs w:val="20"/>
          <w:lang w:val="ru-RU"/>
        </w:rPr>
        <w:tab/>
        <w:t>текстильные изделия с масло- и водоотталкивающими свойствами для защиты работников от опасных жидкостей, представляющих риск для их здоровья и безопасности;</w:t>
      </w:r>
    </w:p>
    <w:p w:rsidR="0006152F" w:rsidRDefault="0006152F" w:rsidP="0006152F">
      <w:pPr>
        <w:spacing w:after="120"/>
        <w:ind w:left="3119" w:hanging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iv)</w:t>
      </w:r>
      <w:r>
        <w:rPr>
          <w:sz w:val="20"/>
          <w:szCs w:val="20"/>
          <w:lang w:val="ru-RU"/>
        </w:rPr>
        <w:tab/>
        <w:t>инвазивные и имплантируемые медицинские приборы;</w:t>
      </w:r>
    </w:p>
    <w:p w:rsidR="0006152F" w:rsidRDefault="0006152F" w:rsidP="0006152F">
      <w:pPr>
        <w:spacing w:after="120"/>
        <w:ind w:left="3119" w:hanging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v)</w:t>
      </w:r>
      <w:r>
        <w:rPr>
          <w:sz w:val="20"/>
          <w:szCs w:val="20"/>
          <w:lang w:val="ru-RU"/>
        </w:rPr>
        <w:tab/>
        <w:t>огнетушительная пена для подавления горючих паров и тушения пожаров жидких топлив (пожары класса B) в уже установленных системах, включая мобильные и стационарные системы, с надлежащим учетом возможных соответствующих мер регулирования, указанных в приложении к настоящему решению;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b)</w:t>
      </w:r>
      <w:r>
        <w:rPr>
          <w:sz w:val="20"/>
          <w:szCs w:val="20"/>
          <w:lang w:val="ru-RU"/>
        </w:rPr>
        <w:tab/>
        <w:t>на десять лет с даты вступления поправки в силу для производства полупроводников или родственных им электронных приборов: восстановительные запасные части, содержащие фторполимеры и/или фторэластомеры с остатками ПФОК для несовременного оборудования или несовременных запасных частей;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с)</w:t>
      </w:r>
      <w:r>
        <w:rPr>
          <w:sz w:val="20"/>
          <w:szCs w:val="20"/>
          <w:lang w:val="ru-RU"/>
        </w:rPr>
        <w:tab/>
        <w:t>для применения перфтороктилового иодида, производства перфтороктилового бромида для целей производства фармацевтической продукции, с обзором сохраняющейся потребности в исключениях. В любом случае срок действия конкретного исключения истекает не позднее 2036 года;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</w:t>
      </w:r>
      <w:r>
        <w:rPr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>рекомендует</w:t>
      </w:r>
      <w:r>
        <w:rPr>
          <w:sz w:val="20"/>
          <w:szCs w:val="20"/>
          <w:lang w:val="ru-RU"/>
        </w:rPr>
        <w:t xml:space="preserve"> Конференции Сторон рассмотреть возможность призвать Стороны не заменять огнетушительную пену, в которой содержатся или могут содержаться ПФОК, ее соли и родственные ПФОК соединения, короткоцепными ПФАВ в силу их стойкости и мобильности, а также возможных негативных экологических, медицинских и социально</w:t>
      </w:r>
      <w:r>
        <w:rPr>
          <w:sz w:val="20"/>
          <w:szCs w:val="20"/>
          <w:lang w:val="ru-RU"/>
        </w:rPr>
        <w:noBreakHyphen/>
        <w:t>экономических последствий.</w:t>
      </w:r>
    </w:p>
    <w:p w:rsidR="0006152F" w:rsidRDefault="0006152F" w:rsidP="0006152F">
      <w:pPr>
        <w:spacing w:after="120"/>
        <w:ind w:left="1247"/>
        <w:rPr>
          <w:b/>
          <w:lang w:val="ru-RU"/>
        </w:rPr>
      </w:pPr>
      <w:r>
        <w:rPr>
          <w:b/>
          <w:lang w:val="ru-RU"/>
        </w:rPr>
        <w:t>Приложение к решению КРСОЗ-14/2</w:t>
      </w:r>
    </w:p>
    <w:p w:rsidR="0006152F" w:rsidRDefault="0006152F" w:rsidP="0006152F">
      <w:pPr>
        <w:spacing w:after="120"/>
        <w:ind w:left="1247"/>
        <w:rPr>
          <w:b/>
          <w:lang w:val="ru-RU"/>
        </w:rPr>
      </w:pPr>
      <w:r>
        <w:rPr>
          <w:b/>
          <w:lang w:val="ru-RU"/>
        </w:rPr>
        <w:t>Возможные соответствующие меры регулирования в отношении перфтороктановой кислоты (ПФОК), ее солей и родственных ПФОК соединений</w:t>
      </w:r>
    </w:p>
    <w:p w:rsidR="0006152F" w:rsidRDefault="0006152F" w:rsidP="0006152F">
      <w:pPr>
        <w:spacing w:after="12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Часть [X]</w:t>
      </w:r>
    </w:p>
    <w:p w:rsidR="0006152F" w:rsidRDefault="0006152F" w:rsidP="0006152F">
      <w:pPr>
        <w:spacing w:after="12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ПФОК, ее соли и родственные ПФОК соединения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</w:t>
      </w:r>
      <w:r>
        <w:rPr>
          <w:sz w:val="20"/>
          <w:szCs w:val="20"/>
          <w:lang w:val="ru-RU"/>
        </w:rPr>
        <w:tab/>
        <w:t>Применение ПФОК, ее солей и родственных ПФОК соединений ликвидируется, за исключением тех случаев, когда речь идет о Сторонах, которые уведомили секретариат о своем намерении применять их, в соответствии со статьей 4.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</w:t>
      </w:r>
      <w:r>
        <w:rPr>
          <w:sz w:val="20"/>
          <w:szCs w:val="20"/>
          <w:lang w:val="ru-RU"/>
        </w:rPr>
        <w:tab/>
        <w:t>Все Стороны, зарегистрировавшие исключение в соответствии со статьей 4 для применения ПФОК, ее солей и родственных ПФОК соединений для огнетушительной пены, должны: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а)</w:t>
      </w:r>
      <w:r>
        <w:rPr>
          <w:sz w:val="20"/>
          <w:szCs w:val="20"/>
          <w:lang w:val="ru-RU"/>
        </w:rPr>
        <w:tab/>
        <w:t>несмотря на положения пункта 2 статьи 3, обеспечить, чтобы огнетушительная пена, в которой содержатся или могут содержаться ПФОК, ее соли и родственные ПФОК соединения, экспортировалась или импортировалась только с целью экологически обоснованного удаления, как указано в пункте 1 d) статьи 6;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b)</w:t>
      </w:r>
      <w:r>
        <w:rPr>
          <w:sz w:val="20"/>
          <w:szCs w:val="20"/>
          <w:lang w:val="ru-RU"/>
        </w:rPr>
        <w:tab/>
        <w:t>не допускать использования огнетушительной пены, в которой содержатся или могут содержаться ПФОК, ее соли и родственные ПФОК соединения, для обучения или проведения испытаний;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с)</w:t>
      </w:r>
      <w:r>
        <w:rPr>
          <w:sz w:val="20"/>
          <w:szCs w:val="20"/>
          <w:lang w:val="ru-RU"/>
        </w:rPr>
        <w:tab/>
        <w:t>к концу 2022 года ограничить применение огнетушительной пены, в которой содержатся или могут содержаться ПФОК, ее соли и родственные ПФОК соединения, только теми объектами, на которых может обеспечиваться локализация высвобождений. Меры по локализации, такие как насыпи и пруды, должны контролироваться, обеспечивать водонепроницаемость и не допускать высвобождения в окружающую среду пожарной воды, сточных вод, стоков и других отходов (например, в почву, грунтовые воды, водные пути и ливневые воды);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d)</w:t>
      </w:r>
      <w:r>
        <w:rPr>
          <w:sz w:val="20"/>
          <w:szCs w:val="20"/>
          <w:lang w:val="ru-RU"/>
        </w:rPr>
        <w:tab/>
        <w:t>обеспечить регулирование пожарной воды, сточных вод, стоков, пены и других отходов в соответствии с пунктом 1 статьи 6;</w:t>
      </w:r>
    </w:p>
    <w:p w:rsidR="0006152F" w:rsidRDefault="0006152F" w:rsidP="0006152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е)</w:t>
      </w:r>
      <w:r>
        <w:rPr>
          <w:sz w:val="20"/>
          <w:szCs w:val="20"/>
          <w:lang w:val="ru-RU"/>
        </w:rPr>
        <w:tab/>
        <w:t xml:space="preserve">приложить в возможно короткие сроки целенаправленные усилия для обеспечения экологически обоснованного регулирования запасов и отходов огнетушительной пены, в </w:t>
      </w:r>
      <w:r>
        <w:rPr>
          <w:sz w:val="20"/>
          <w:szCs w:val="20"/>
          <w:lang w:val="ru-RU"/>
        </w:rPr>
        <w:lastRenderedPageBreak/>
        <w:t>которых содержатся или могут содержаться ПФОК, ее соли и родственные ПФОК соединения, в соответствии с пунктом 1 статьи 6.</w:t>
      </w:r>
    </w:p>
    <w:p w:rsidR="00CF7497" w:rsidRPr="0006152F" w:rsidRDefault="00CF7497">
      <w:pPr>
        <w:rPr>
          <w:lang w:val="ru-RU"/>
        </w:rPr>
      </w:pPr>
      <w:bookmarkStart w:id="1" w:name="_GoBack"/>
      <w:bookmarkEnd w:id="1"/>
    </w:p>
    <w:sectPr w:rsidR="00CF7497" w:rsidRPr="0006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BC" w:rsidRDefault="006722BC" w:rsidP="0006152F">
      <w:r>
        <w:separator/>
      </w:r>
    </w:p>
  </w:endnote>
  <w:endnote w:type="continuationSeparator" w:id="0">
    <w:p w:rsidR="006722BC" w:rsidRDefault="006722BC" w:rsidP="0006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BC" w:rsidRDefault="006722BC" w:rsidP="0006152F">
      <w:r>
        <w:separator/>
      </w:r>
    </w:p>
  </w:footnote>
  <w:footnote w:type="continuationSeparator" w:id="0">
    <w:p w:rsidR="006722BC" w:rsidRDefault="006722BC" w:rsidP="0006152F">
      <w:r>
        <w:continuationSeparator/>
      </w:r>
    </w:p>
  </w:footnote>
  <w:footnote w:id="1">
    <w:p w:rsidR="0006152F" w:rsidRDefault="0006152F" w:rsidP="0006152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  <w:r>
        <w:rPr>
          <w:rStyle w:val="FootnoteReference"/>
          <w:rFonts w:eastAsiaTheme="majorEastAsia"/>
          <w:lang w:val="ru-RU"/>
        </w:rPr>
        <w:footnoteRef/>
      </w:r>
      <w:r>
        <w:rPr>
          <w:lang w:val="ru-RU"/>
        </w:rPr>
        <w:tab/>
        <w:t>В заглавиях решений КРСОЗ-12/2 и КРСОЗ-13/2 указываются «пентадекафтороктановая кислота (КАС №: 335-67-1, ПФОК, перфтороктановая кислота), ее соли и родственные ПФОК соединения» в соответствии с предложением о включении химических веществ, представленным Европейским союзом (UNEP/POPS/POPRC.11/5). Однако в межсессионный период химические вещества, являющиеся предметом этого решения, именовались «перфтороктановая кислота (ПФОК), ее соли и родственные ПФОК соединения». Оба наименования обозначают одну и ту же группу химических веществ, но фраза «перфтороктановая кислота (ПФОК), ее соли и родственные ПФОК соединения» в большей степени соответствует другим указаниям на эти химические вещества. Как указано выше, в настоящем решении Комитет использует второе наименование. Таким образом, в дальнейшем второе наименование будет применяться для обозначения химических веществ, охватываемых решениями КРСОЗ-12/2 и КРСОЗ-13/2, в документах, подготовленных под эгидой Стокгольмской конвенции.</w:t>
      </w:r>
    </w:p>
  </w:footnote>
  <w:footnote w:id="2">
    <w:p w:rsidR="0006152F" w:rsidRPr="00014713" w:rsidRDefault="0006152F" w:rsidP="0006152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n-GB"/>
        </w:rPr>
      </w:pPr>
      <w:r>
        <w:rPr>
          <w:rStyle w:val="FootnoteReference"/>
          <w:rFonts w:eastAsiaTheme="majorEastAsia"/>
          <w:lang w:val="ru-RU"/>
        </w:rPr>
        <w:footnoteRef/>
      </w:r>
      <w:r w:rsidRPr="00014713">
        <w:rPr>
          <w:lang w:val="en-GB"/>
        </w:rPr>
        <w:tab/>
      </w:r>
      <w:r>
        <w:rPr>
          <w:lang w:val="en-GB"/>
        </w:rPr>
        <w:t>UNEP</w:t>
      </w:r>
      <w:r w:rsidRPr="00014713">
        <w:rPr>
          <w:lang w:val="en-GB"/>
        </w:rPr>
        <w:t>/</w:t>
      </w:r>
      <w:r>
        <w:rPr>
          <w:lang w:val="en-GB"/>
        </w:rPr>
        <w:t>POPS</w:t>
      </w:r>
      <w:r w:rsidRPr="00014713">
        <w:rPr>
          <w:lang w:val="en-GB"/>
        </w:rPr>
        <w:t>/</w:t>
      </w:r>
      <w:r>
        <w:rPr>
          <w:lang w:val="en-GB"/>
        </w:rPr>
        <w:t>POPRC</w:t>
      </w:r>
      <w:r w:rsidRPr="00014713">
        <w:rPr>
          <w:lang w:val="en-GB"/>
        </w:rPr>
        <w:t>.14/3.</w:t>
      </w:r>
    </w:p>
  </w:footnote>
  <w:footnote w:id="3">
    <w:p w:rsidR="0006152F" w:rsidRPr="00014713" w:rsidRDefault="0006152F" w:rsidP="0006152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n-GB"/>
        </w:rPr>
      </w:pPr>
      <w:r>
        <w:rPr>
          <w:rStyle w:val="FootnoteReference"/>
          <w:rFonts w:eastAsiaTheme="majorEastAsia"/>
          <w:lang w:val="ru-RU"/>
        </w:rPr>
        <w:footnoteRef/>
      </w:r>
      <w:r w:rsidRPr="00014713">
        <w:rPr>
          <w:lang w:val="en-GB"/>
        </w:rPr>
        <w:tab/>
      </w:r>
      <w:r>
        <w:rPr>
          <w:lang w:val="en-GB"/>
        </w:rPr>
        <w:t>UNEP</w:t>
      </w:r>
      <w:r w:rsidRPr="00014713">
        <w:rPr>
          <w:lang w:val="en-GB"/>
        </w:rPr>
        <w:t>/</w:t>
      </w:r>
      <w:r>
        <w:rPr>
          <w:lang w:val="en-GB"/>
        </w:rPr>
        <w:t>POPS</w:t>
      </w:r>
      <w:r w:rsidRPr="00014713">
        <w:rPr>
          <w:lang w:val="en-GB"/>
        </w:rPr>
        <w:t>/</w:t>
      </w:r>
      <w:r>
        <w:rPr>
          <w:lang w:val="en-GB"/>
        </w:rPr>
        <w:t>POPRC</w:t>
      </w:r>
      <w:r w:rsidRPr="00014713">
        <w:rPr>
          <w:lang w:val="en-GB"/>
        </w:rPr>
        <w:t>.14/6/</w:t>
      </w:r>
      <w:r>
        <w:rPr>
          <w:lang w:val="en-GB"/>
        </w:rPr>
        <w:t>Add</w:t>
      </w:r>
      <w:r w:rsidRPr="00014713">
        <w:rPr>
          <w:lang w:val="en-GB"/>
        </w:rPr>
        <w:t>.2.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2F"/>
    <w:rsid w:val="0006152F"/>
    <w:rsid w:val="00304CF0"/>
    <w:rsid w:val="006722BC"/>
    <w:rsid w:val="00987DB3"/>
    <w:rsid w:val="009D258D"/>
    <w:rsid w:val="00C873CC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D9515-A77D-4902-BDA9-4352F95A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number,SUPERS,Footnote Reference Superscript,Footnote Reference1,ftref,(Ref. de nota al pie),Ref,de nota al pie,註腳內容,de nota al pie + (Asian) MS Mincho,11 pt,Ref. de nota de rodapé1,stylish,Footnote symbo"/>
    <w:basedOn w:val="DefaultParagraphFont"/>
    <w:rsid w:val="0006152F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styleId="FootnoteText">
    <w:name w:val="footnote text"/>
    <w:aliases w:val="Geneva 9,Font: Geneva 9,Boston 10,f,Footnote Text Char Char,Footnote Text Char Char Char Char,Footnote Text1,Footnote Text Char Char Char,93,single space,Footnote Text Rail EIS,ft,Char,footnote3,Footnotes,Footnote ak,fn cafc,fn Char Char,C"/>
    <w:basedOn w:val="Normal"/>
    <w:link w:val="FootnoteTextChar"/>
    <w:qFormat/>
    <w:rsid w:val="0006152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szCs w:val="18"/>
      <w:lang w:val="fr-FR" w:eastAsia="ru-RU"/>
    </w:rPr>
  </w:style>
  <w:style w:type="character" w:customStyle="1" w:styleId="FootnoteTextChar">
    <w:name w:val="Footnote Text Char"/>
    <w:aliases w:val="Geneva 9 Char,Font: Geneva 9 Char,Boston 10 Char,f Char,Footnote Text Char Char Char1,Footnote Text Char Char Char Char Char,Footnote Text1 Char,Footnote Text Char Char Char Char1,93 Char,single space Char,Footnote Text Rail EIS Char"/>
    <w:basedOn w:val="DefaultParagraphFont"/>
    <w:link w:val="FootnoteText"/>
    <w:rsid w:val="0006152F"/>
    <w:rPr>
      <w:rFonts w:ascii="Times New Roman" w:eastAsia="Times New Roman" w:hAnsi="Times New Roman" w:cs="Times New Roman"/>
      <w:sz w:val="18"/>
      <w:szCs w:val="18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1</cp:revision>
  <dcterms:created xsi:type="dcterms:W3CDTF">2019-01-02T16:48:00Z</dcterms:created>
  <dcterms:modified xsi:type="dcterms:W3CDTF">2019-01-02T16:48:00Z</dcterms:modified>
</cp:coreProperties>
</file>