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91" w:rsidRPr="00A36CB2" w:rsidRDefault="005A2B91" w:rsidP="005A2B91">
      <w:pPr>
        <w:suppressAutoHyphens/>
        <w:spacing w:before="320" w:after="240"/>
        <w:ind w:left="1253" w:right="562"/>
        <w:rPr>
          <w:b/>
          <w:sz w:val="32"/>
          <w:szCs w:val="28"/>
          <w:lang w:val="es-ES"/>
        </w:rPr>
      </w:pPr>
      <w:bookmarkStart w:id="0" w:name="bookmark_128"/>
      <w:r w:rsidRPr="00B64D05">
        <w:rPr>
          <w:b/>
          <w:bCs/>
          <w:sz w:val="28"/>
          <w:lang w:val="es-ES"/>
        </w:rPr>
        <w:t xml:space="preserve">POPRC-13/2: Ácido </w:t>
      </w:r>
      <w:proofErr w:type="spellStart"/>
      <w:r w:rsidRPr="00B64D05">
        <w:rPr>
          <w:b/>
          <w:bCs/>
          <w:sz w:val="28"/>
          <w:lang w:val="es-ES"/>
        </w:rPr>
        <w:t>pentade</w:t>
      </w:r>
      <w:r>
        <w:rPr>
          <w:b/>
          <w:bCs/>
          <w:sz w:val="28"/>
          <w:lang w:val="es-ES"/>
        </w:rPr>
        <w:t>cafluorooctanoico</w:t>
      </w:r>
      <w:proofErr w:type="spellEnd"/>
      <w:r>
        <w:rPr>
          <w:b/>
          <w:bCs/>
          <w:sz w:val="28"/>
          <w:lang w:val="es-ES"/>
        </w:rPr>
        <w:t xml:space="preserve"> (núm. de CAS: </w:t>
      </w:r>
      <w:r w:rsidRPr="00B64D05">
        <w:rPr>
          <w:b/>
          <w:bCs/>
          <w:sz w:val="28"/>
          <w:lang w:val="es-ES"/>
        </w:rPr>
        <w:t>335-67-1, PFOA,</w:t>
      </w:r>
      <w:r>
        <w:rPr>
          <w:b/>
          <w:bCs/>
          <w:sz w:val="28"/>
          <w:lang w:val="es-ES"/>
        </w:rPr>
        <w:t xml:space="preserve"> ácido </w:t>
      </w:r>
      <w:proofErr w:type="spellStart"/>
      <w:r>
        <w:rPr>
          <w:b/>
          <w:bCs/>
          <w:sz w:val="28"/>
          <w:lang w:val="es-ES"/>
        </w:rPr>
        <w:t>perfluorooctanoico</w:t>
      </w:r>
      <w:proofErr w:type="spellEnd"/>
      <w:r>
        <w:rPr>
          <w:b/>
          <w:bCs/>
          <w:sz w:val="28"/>
          <w:lang w:val="es-ES"/>
        </w:rPr>
        <w:t>), sus </w:t>
      </w:r>
      <w:r w:rsidRPr="00B64D05">
        <w:rPr>
          <w:b/>
          <w:bCs/>
          <w:sz w:val="28"/>
          <w:lang w:val="es-ES"/>
        </w:rPr>
        <w:t>sales y compuestos conexos del PFOA</w:t>
      </w:r>
      <w:bookmarkEnd w:id="0"/>
    </w:p>
    <w:p w:rsidR="005A2B91" w:rsidRPr="00A36CB2" w:rsidRDefault="005A2B91" w:rsidP="005A2B91">
      <w:pPr>
        <w:snapToGrid w:val="0"/>
        <w:spacing w:after="120"/>
        <w:ind w:left="1238" w:firstLine="720"/>
        <w:rPr>
          <w:i/>
          <w:sz w:val="20"/>
          <w:lang w:val="es-ES"/>
        </w:rPr>
      </w:pPr>
      <w:bookmarkStart w:id="1" w:name="bookmark_129"/>
      <w:r w:rsidRPr="00B64D05">
        <w:rPr>
          <w:i/>
          <w:iCs/>
          <w:sz w:val="20"/>
          <w:lang w:val="es-ES"/>
        </w:rPr>
        <w:t>El Comité de Examen de los Contaminantes Orgánicos Persistentes,</w:t>
      </w:r>
      <w:bookmarkEnd w:id="1"/>
    </w:p>
    <w:p w:rsidR="005A2B91" w:rsidRPr="00A36CB2" w:rsidRDefault="005A2B91" w:rsidP="005A2B91">
      <w:pPr>
        <w:snapToGrid w:val="0"/>
        <w:spacing w:after="120"/>
        <w:ind w:left="1238" w:firstLine="720"/>
        <w:rPr>
          <w:sz w:val="20"/>
          <w:lang w:val="es-ES"/>
        </w:rPr>
      </w:pPr>
      <w:bookmarkStart w:id="2" w:name="bookmark_130"/>
      <w:r w:rsidRPr="00B64D05">
        <w:rPr>
          <w:i/>
          <w:iCs/>
          <w:sz w:val="20"/>
          <w:lang w:val="es-ES"/>
        </w:rPr>
        <w:t>Habiendo llegado a la conclusión</w:t>
      </w:r>
      <w:r w:rsidRPr="00B64D05">
        <w:rPr>
          <w:sz w:val="20"/>
          <w:lang w:val="es-ES"/>
        </w:rPr>
        <w:t>, en su decisión POPRC</w:t>
      </w:r>
      <w:r>
        <w:rPr>
          <w:sz w:val="20"/>
          <w:lang w:val="es-ES"/>
        </w:rPr>
        <w:noBreakHyphen/>
      </w:r>
      <w:r w:rsidRPr="00B64D05">
        <w:rPr>
          <w:sz w:val="20"/>
          <w:lang w:val="es-ES"/>
        </w:rPr>
        <w:t xml:space="preserve">11/4, de que el ácido </w:t>
      </w:r>
      <w:proofErr w:type="spellStart"/>
      <w:r w:rsidRPr="00B64D05">
        <w:rPr>
          <w:sz w:val="20"/>
          <w:lang w:val="es-ES"/>
        </w:rPr>
        <w:t>pentadecafluorooctanoico</w:t>
      </w:r>
      <w:proofErr w:type="spellEnd"/>
      <w:r w:rsidRPr="00B64D05">
        <w:rPr>
          <w:sz w:val="20"/>
          <w:lang w:val="es-ES"/>
        </w:rPr>
        <w:t xml:space="preserve"> (núm. de CAS: 335-67-1, PFOA, ácido </w:t>
      </w:r>
      <w:proofErr w:type="spellStart"/>
      <w:r w:rsidRPr="00B64D05">
        <w:rPr>
          <w:sz w:val="20"/>
          <w:lang w:val="es-ES"/>
        </w:rPr>
        <w:t>perfluorooctanoico</w:t>
      </w:r>
      <w:proofErr w:type="spellEnd"/>
      <w:r w:rsidRPr="00B64D05">
        <w:rPr>
          <w:sz w:val="20"/>
          <w:lang w:val="es-ES"/>
        </w:rPr>
        <w:t>) cumple los criterios establecidos en el anexo D del Convenio de Estocolmo,</w:t>
      </w:r>
      <w:bookmarkEnd w:id="2"/>
    </w:p>
    <w:p w:rsidR="005A2B91" w:rsidRPr="00A36CB2" w:rsidRDefault="005A2B91" w:rsidP="005A2B91">
      <w:pPr>
        <w:snapToGrid w:val="0"/>
        <w:spacing w:after="120"/>
        <w:ind w:left="1238" w:firstLine="720"/>
        <w:rPr>
          <w:sz w:val="20"/>
          <w:lang w:val="es-ES"/>
        </w:rPr>
      </w:pPr>
      <w:bookmarkStart w:id="3" w:name="bookmark_131"/>
      <w:r w:rsidRPr="00B64D05">
        <w:rPr>
          <w:i/>
          <w:iCs/>
          <w:sz w:val="20"/>
          <w:lang w:val="es-ES"/>
        </w:rPr>
        <w:t>Habiendo evaluado</w:t>
      </w:r>
      <w:r w:rsidRPr="00B64D05">
        <w:rPr>
          <w:sz w:val="20"/>
          <w:lang w:val="es-ES"/>
        </w:rPr>
        <w:t xml:space="preserve"> el perfil de riesgo del ácido </w:t>
      </w:r>
      <w:proofErr w:type="spellStart"/>
      <w:r w:rsidRPr="00B64D05">
        <w:rPr>
          <w:sz w:val="20"/>
          <w:lang w:val="es-ES"/>
        </w:rPr>
        <w:t>pentade</w:t>
      </w:r>
      <w:r>
        <w:rPr>
          <w:sz w:val="20"/>
          <w:lang w:val="es-ES"/>
        </w:rPr>
        <w:t>cafluorooctanoico</w:t>
      </w:r>
      <w:proofErr w:type="spellEnd"/>
      <w:r>
        <w:rPr>
          <w:sz w:val="20"/>
          <w:lang w:val="es-ES"/>
        </w:rPr>
        <w:t xml:space="preserve"> (núm. de CAS: </w:t>
      </w:r>
      <w:r w:rsidRPr="00B64D05">
        <w:rPr>
          <w:sz w:val="20"/>
          <w:lang w:val="es-ES"/>
        </w:rPr>
        <w:t xml:space="preserve">335-67-1, PFOA, ácido </w:t>
      </w:r>
      <w:proofErr w:type="spellStart"/>
      <w:r w:rsidRPr="00B64D05">
        <w:rPr>
          <w:sz w:val="20"/>
          <w:lang w:val="es-ES"/>
        </w:rPr>
        <w:t>perfluorooctanoico</w:t>
      </w:r>
      <w:proofErr w:type="spellEnd"/>
      <w:r w:rsidRPr="00B64D05">
        <w:rPr>
          <w:sz w:val="20"/>
          <w:lang w:val="es-ES"/>
        </w:rPr>
        <w:t>), sus</w:t>
      </w:r>
      <w:r>
        <w:rPr>
          <w:sz w:val="20"/>
          <w:lang w:val="es-ES"/>
        </w:rPr>
        <w:t xml:space="preserve"> sales y compuestos conexos del </w:t>
      </w:r>
      <w:r w:rsidRPr="00B64D05">
        <w:rPr>
          <w:sz w:val="20"/>
          <w:lang w:val="es-ES"/>
        </w:rPr>
        <w:t xml:space="preserve">PFOA aprobado por el Comité en su 12ª reunión, de conformidad con </w:t>
      </w:r>
      <w:r>
        <w:rPr>
          <w:sz w:val="20"/>
          <w:lang w:val="es-ES"/>
        </w:rPr>
        <w:t>el párrafo 6 del artículo 8 del </w:t>
      </w:r>
      <w:r w:rsidRPr="00B64D05">
        <w:rPr>
          <w:sz w:val="20"/>
          <w:lang w:val="es-ES"/>
        </w:rPr>
        <w:t>Convenio,</w:t>
      </w:r>
      <w:bookmarkEnd w:id="3"/>
    </w:p>
    <w:p w:rsidR="005A2B91" w:rsidRPr="00A36CB2" w:rsidRDefault="005A2B91" w:rsidP="005A2B91">
      <w:pPr>
        <w:snapToGrid w:val="0"/>
        <w:spacing w:after="120"/>
        <w:ind w:left="1238" w:firstLine="720"/>
        <w:rPr>
          <w:sz w:val="20"/>
          <w:lang w:val="es-ES"/>
        </w:rPr>
      </w:pPr>
      <w:bookmarkStart w:id="4" w:name="bookmark_132"/>
      <w:r w:rsidRPr="00B64D05">
        <w:rPr>
          <w:i/>
          <w:iCs/>
          <w:sz w:val="20"/>
          <w:lang w:val="es-ES"/>
        </w:rPr>
        <w:t xml:space="preserve">Habiendo decidido </w:t>
      </w:r>
      <w:r w:rsidRPr="00B64D05">
        <w:rPr>
          <w:sz w:val="20"/>
          <w:lang w:val="es-ES"/>
        </w:rPr>
        <w:t xml:space="preserve">en su decisión POPRC-12/2 que es probable que el ácido </w:t>
      </w:r>
      <w:proofErr w:type="spellStart"/>
      <w:r w:rsidRPr="00B64D05">
        <w:rPr>
          <w:sz w:val="20"/>
          <w:lang w:val="es-ES"/>
        </w:rPr>
        <w:t>pentadecafluorooctanoico</w:t>
      </w:r>
      <w:proofErr w:type="spellEnd"/>
      <w:r w:rsidRPr="00B64D05">
        <w:rPr>
          <w:sz w:val="20"/>
          <w:lang w:val="es-ES"/>
        </w:rPr>
        <w:t xml:space="preserve"> (núm. de CAS: 335-67-1, PFOA, ácido </w:t>
      </w:r>
      <w:proofErr w:type="spellStart"/>
      <w:r w:rsidRPr="00B64D05">
        <w:rPr>
          <w:sz w:val="20"/>
          <w:lang w:val="es-ES"/>
        </w:rPr>
        <w:t>perfluorooctanoico</w:t>
      </w:r>
      <w:proofErr w:type="spellEnd"/>
      <w:r w:rsidRPr="00B64D05">
        <w:rPr>
          <w:sz w:val="20"/>
          <w:lang w:val="es-ES"/>
        </w:rPr>
        <w:t>), sus sales y los compuestos conexos del PFOA, como resultado de su transporte a larga distancia en el medio ambiente, tengan efectos adversos importantes sobre la salud humana y el medio ambiente, de modo que se justifique la adopción de medidas a nivel mundial</w:t>
      </w:r>
      <w:bookmarkEnd w:id="4"/>
      <w:r>
        <w:rPr>
          <w:sz w:val="20"/>
          <w:lang w:val="es-ES"/>
        </w:rPr>
        <w:t>,</w:t>
      </w:r>
    </w:p>
    <w:p w:rsidR="005A2B91" w:rsidRPr="00A36CB2" w:rsidRDefault="005A2B91" w:rsidP="005A2B91">
      <w:pPr>
        <w:snapToGrid w:val="0"/>
        <w:spacing w:after="120"/>
        <w:ind w:left="1238" w:firstLine="720"/>
        <w:rPr>
          <w:sz w:val="20"/>
          <w:lang w:val="es-ES"/>
        </w:rPr>
      </w:pPr>
      <w:bookmarkStart w:id="5" w:name="bookmark_133"/>
      <w:r w:rsidRPr="00B64D05">
        <w:rPr>
          <w:i/>
          <w:iCs/>
          <w:sz w:val="20"/>
          <w:lang w:val="es-ES"/>
        </w:rPr>
        <w:t xml:space="preserve">Habiendo completado </w:t>
      </w:r>
      <w:r w:rsidRPr="00B64D05">
        <w:rPr>
          <w:sz w:val="20"/>
          <w:lang w:val="es-ES"/>
        </w:rPr>
        <w:t xml:space="preserve">la evaluación de la gestión de riesgos del ácido </w:t>
      </w:r>
      <w:proofErr w:type="spellStart"/>
      <w:r w:rsidRPr="00B64D05">
        <w:rPr>
          <w:sz w:val="20"/>
          <w:lang w:val="es-ES"/>
        </w:rPr>
        <w:t>pentadecafluorooctanoico</w:t>
      </w:r>
      <w:proofErr w:type="spellEnd"/>
      <w:r w:rsidRPr="00B64D05">
        <w:rPr>
          <w:sz w:val="20"/>
          <w:lang w:val="es-ES"/>
        </w:rPr>
        <w:t xml:space="preserve"> (núm. de CAS: 335-67-1, PFOA, ácido </w:t>
      </w:r>
      <w:proofErr w:type="spellStart"/>
      <w:r w:rsidRPr="00B64D05">
        <w:rPr>
          <w:sz w:val="20"/>
          <w:lang w:val="es-ES"/>
        </w:rPr>
        <w:t>perfluorooctanoico</w:t>
      </w:r>
      <w:proofErr w:type="spellEnd"/>
      <w:r w:rsidRPr="00B64D05">
        <w:rPr>
          <w:sz w:val="20"/>
          <w:lang w:val="es-ES"/>
        </w:rPr>
        <w:t>), sus sales y compuestos conexos del PFOA,</w:t>
      </w:r>
      <w:r>
        <w:rPr>
          <w:sz w:val="20"/>
          <w:lang w:val="es-ES"/>
        </w:rPr>
        <w:t xml:space="preserve"> de </w:t>
      </w:r>
      <w:r w:rsidRPr="00F41CBF">
        <w:rPr>
          <w:sz w:val="20"/>
          <w:lang w:val="es-ES"/>
        </w:rPr>
        <w:t>conformidad con el párrafo 7 del artículo 8 del Convenio</w:t>
      </w:r>
      <w:r w:rsidRPr="00B64D05">
        <w:rPr>
          <w:sz w:val="20"/>
          <w:lang w:val="es-ES"/>
        </w:rPr>
        <w:t>,</w:t>
      </w:r>
      <w:bookmarkEnd w:id="5"/>
    </w:p>
    <w:p w:rsidR="005A2B91" w:rsidRPr="003D7D1E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6" w:name="bookmark_134"/>
      <w:r w:rsidRPr="003D7D1E">
        <w:rPr>
          <w:i/>
          <w:iCs/>
          <w:lang w:val="es-ES"/>
        </w:rPr>
        <w:t xml:space="preserve">Aprueba </w:t>
      </w:r>
      <w:r w:rsidRPr="003D7D1E">
        <w:rPr>
          <w:lang w:val="es-ES"/>
        </w:rPr>
        <w:t>la evaluación de la gestión de los riesgos</w:t>
      </w:r>
      <w:r w:rsidRPr="00B64D05">
        <w:rPr>
          <w:rStyle w:val="FootnoteReference"/>
          <w:lang w:val="es-ES"/>
        </w:rPr>
        <w:footnoteReference w:id="1"/>
      </w:r>
      <w:r w:rsidRPr="003D7D1E">
        <w:rPr>
          <w:lang w:val="es-ES"/>
        </w:rPr>
        <w:t xml:space="preserve"> del ácido </w:t>
      </w:r>
      <w:proofErr w:type="spellStart"/>
      <w:r w:rsidRPr="003D7D1E">
        <w:rPr>
          <w:lang w:val="es-ES"/>
        </w:rPr>
        <w:t>pentadecafluorooctanoico</w:t>
      </w:r>
      <w:proofErr w:type="spellEnd"/>
      <w:r w:rsidRPr="003D7D1E">
        <w:rPr>
          <w:lang w:val="es-ES"/>
        </w:rPr>
        <w:t xml:space="preserve"> (núm. de CAS: 335-67-1, PFOA, ácido </w:t>
      </w:r>
      <w:proofErr w:type="spellStart"/>
      <w:r w:rsidRPr="003D7D1E">
        <w:rPr>
          <w:lang w:val="es-ES"/>
        </w:rPr>
        <w:t>perfluorooctanoico</w:t>
      </w:r>
      <w:proofErr w:type="spellEnd"/>
      <w:r w:rsidRPr="003D7D1E">
        <w:rPr>
          <w:lang w:val="es-ES"/>
        </w:rPr>
        <w:t>), sus sales y compuestos conexos del PFOA</w:t>
      </w:r>
      <w:r w:rsidRPr="00B64D05">
        <w:rPr>
          <w:rStyle w:val="FootnoteReference"/>
          <w:lang w:val="es-ES"/>
        </w:rPr>
        <w:footnoteReference w:id="2"/>
      </w:r>
      <w:r w:rsidRPr="003D7D1E">
        <w:rPr>
          <w:lang w:val="es-ES"/>
        </w:rPr>
        <w:t xml:space="preserve">; </w:t>
      </w:r>
      <w:bookmarkEnd w:id="6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9" w:name="bookmark_137"/>
      <w:r w:rsidRPr="00B64D05">
        <w:rPr>
          <w:i/>
          <w:iCs/>
          <w:lang w:val="es-ES"/>
        </w:rPr>
        <w:t>Decide</w:t>
      </w:r>
      <w:r w:rsidRPr="00B64D05">
        <w:rPr>
          <w:lang w:val="es-ES"/>
        </w:rPr>
        <w:t xml:space="preserve">, </w:t>
      </w:r>
      <w:r w:rsidRPr="003D7D1E">
        <w:rPr>
          <w:i/>
          <w:iCs/>
          <w:lang w:val="es-ES"/>
        </w:rPr>
        <w:t>de</w:t>
      </w:r>
      <w:r w:rsidRPr="00B64D05">
        <w:rPr>
          <w:lang w:val="es-ES"/>
        </w:rPr>
        <w:t xml:space="preserve"> conformidad con el párrafo 9 del artículo 8 del Convenio, recomendar a la Conferencia de las Partes que examine la posibilidad de incluir el ácido </w:t>
      </w:r>
      <w:proofErr w:type="spellStart"/>
      <w:r w:rsidRPr="00B64D05">
        <w:rPr>
          <w:lang w:val="es-ES"/>
        </w:rPr>
        <w:t>pentadecafluorooctanoico</w:t>
      </w:r>
      <w:proofErr w:type="spellEnd"/>
      <w:r>
        <w:rPr>
          <w:lang w:val="es-ES"/>
        </w:rPr>
        <w:t xml:space="preserve"> </w:t>
      </w:r>
      <w:r w:rsidRPr="00B64D05">
        <w:rPr>
          <w:lang w:val="es-ES"/>
        </w:rPr>
        <w:t xml:space="preserve">(núm. de CAS 335-67-1, PFOA, ácido </w:t>
      </w:r>
      <w:proofErr w:type="spellStart"/>
      <w:r w:rsidRPr="00B64D05">
        <w:rPr>
          <w:lang w:val="es-ES"/>
        </w:rPr>
        <w:t>perfluorooctanoico</w:t>
      </w:r>
      <w:proofErr w:type="spellEnd"/>
      <w:r w:rsidRPr="00B64D05">
        <w:rPr>
          <w:lang w:val="es-ES"/>
        </w:rPr>
        <w:t>), sus sales y compuestos conexos del PFOA en el anexo A o B del Convenio con exenciones específicas respecto de lo siguiente:</w:t>
      </w:r>
      <w:bookmarkEnd w:id="9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10" w:name="bookmark_138"/>
      <w:r w:rsidRPr="00B64D05">
        <w:rPr>
          <w:sz w:val="20"/>
          <w:lang w:val="es-ES"/>
        </w:rPr>
        <w:t>a)</w:t>
      </w:r>
      <w:r w:rsidRPr="00B64D05">
        <w:rPr>
          <w:sz w:val="20"/>
          <w:lang w:val="es-ES"/>
        </w:rPr>
        <w:tab/>
        <w:t xml:space="preserve">Durante cinco años a partir de la fecha de entrada en vigor de la enmienda conforme al artículo 4: </w:t>
      </w:r>
      <w:bookmarkEnd w:id="10"/>
    </w:p>
    <w:p w:rsidR="005A2B91" w:rsidRPr="00A36CB2" w:rsidRDefault="005A2B91" w:rsidP="005A2B91">
      <w:pPr>
        <w:snapToGrid w:val="0"/>
        <w:spacing w:after="120"/>
        <w:ind w:left="3119" w:hanging="624"/>
        <w:rPr>
          <w:sz w:val="20"/>
          <w:lang w:val="es-ES"/>
        </w:rPr>
      </w:pPr>
      <w:bookmarkStart w:id="11" w:name="bookmark_139"/>
      <w:r w:rsidRPr="00B64D05">
        <w:rPr>
          <w:sz w:val="20"/>
          <w:lang w:val="es-ES"/>
        </w:rPr>
        <w:t>i)</w:t>
      </w:r>
      <w:r w:rsidRPr="00B64D05">
        <w:rPr>
          <w:sz w:val="20"/>
          <w:lang w:val="es-ES"/>
        </w:rPr>
        <w:tab/>
        <w:t xml:space="preserve">Fabricación de semiconductores o dispositivos electrónicos conexos: </w:t>
      </w:r>
      <w:bookmarkEnd w:id="11"/>
    </w:p>
    <w:p w:rsidR="005A2B91" w:rsidRPr="00A36CB2" w:rsidRDefault="005A2B91" w:rsidP="005A2B91">
      <w:pPr>
        <w:snapToGrid w:val="0"/>
        <w:spacing w:after="120"/>
        <w:ind w:left="3743" w:hanging="624"/>
        <w:rPr>
          <w:sz w:val="20"/>
          <w:lang w:val="es-ES"/>
        </w:rPr>
      </w:pPr>
      <w:bookmarkStart w:id="12" w:name="bookmark_140"/>
      <w:r w:rsidRPr="00B64D05">
        <w:rPr>
          <w:sz w:val="20"/>
          <w:lang w:val="es-ES"/>
        </w:rPr>
        <w:t>a.</w:t>
      </w:r>
      <w:r w:rsidRPr="00B64D05">
        <w:rPr>
          <w:sz w:val="20"/>
          <w:lang w:val="es-ES"/>
        </w:rPr>
        <w:tab/>
        <w:t xml:space="preserve">Equipo o infraestructura relacionada con plantas de fabricación que contengan </w:t>
      </w:r>
      <w:proofErr w:type="spellStart"/>
      <w:r w:rsidRPr="00B64D05">
        <w:rPr>
          <w:sz w:val="20"/>
          <w:lang w:val="es-ES"/>
        </w:rPr>
        <w:t>fluoropolímeros</w:t>
      </w:r>
      <w:proofErr w:type="spellEnd"/>
      <w:r w:rsidRPr="00B64D05">
        <w:rPr>
          <w:sz w:val="20"/>
          <w:lang w:val="es-ES"/>
        </w:rPr>
        <w:t xml:space="preserve"> o fluoroelastómeros con residuos de PFOA; </w:t>
      </w:r>
      <w:bookmarkEnd w:id="12"/>
    </w:p>
    <w:p w:rsidR="005A2B91" w:rsidRPr="00A36CB2" w:rsidRDefault="005A2B91" w:rsidP="005A2B91">
      <w:pPr>
        <w:snapToGrid w:val="0"/>
        <w:spacing w:after="120"/>
        <w:ind w:left="3743" w:hanging="624"/>
        <w:rPr>
          <w:sz w:val="20"/>
          <w:lang w:val="es-ES"/>
        </w:rPr>
      </w:pPr>
      <w:bookmarkStart w:id="13" w:name="bookmark_141"/>
      <w:r w:rsidRPr="00B64D05">
        <w:rPr>
          <w:sz w:val="20"/>
          <w:lang w:val="es-ES"/>
        </w:rPr>
        <w:t>b.</w:t>
      </w:r>
      <w:r w:rsidRPr="00B64D05">
        <w:rPr>
          <w:sz w:val="20"/>
          <w:lang w:val="es-ES"/>
        </w:rPr>
        <w:tab/>
        <w:t xml:space="preserve">Equipos o infraestructura relacionada con plantas de fabricación obsoleta: mantenimiento; </w:t>
      </w:r>
      <w:bookmarkEnd w:id="13"/>
    </w:p>
    <w:p w:rsidR="005A2B91" w:rsidRPr="00A36CB2" w:rsidRDefault="005A2B91" w:rsidP="005A2B91">
      <w:pPr>
        <w:snapToGrid w:val="0"/>
        <w:spacing w:after="120"/>
        <w:ind w:left="3743" w:hanging="624"/>
        <w:rPr>
          <w:sz w:val="20"/>
          <w:lang w:val="es-ES"/>
        </w:rPr>
      </w:pPr>
      <w:bookmarkStart w:id="14" w:name="bookmark_142"/>
      <w:r w:rsidRPr="00B64D05">
        <w:rPr>
          <w:sz w:val="20"/>
          <w:lang w:val="es-ES"/>
        </w:rPr>
        <w:t>c.</w:t>
      </w:r>
      <w:r w:rsidRPr="00B64D05">
        <w:rPr>
          <w:sz w:val="20"/>
          <w:lang w:val="es-ES"/>
        </w:rPr>
        <w:tab/>
        <w:t>Fotolitografía o procesos de grabado;</w:t>
      </w:r>
      <w:bookmarkEnd w:id="14"/>
    </w:p>
    <w:p w:rsidR="005A2B91" w:rsidRPr="00A36CB2" w:rsidRDefault="005A2B91" w:rsidP="005A2B91">
      <w:pPr>
        <w:snapToGrid w:val="0"/>
        <w:spacing w:after="120"/>
        <w:ind w:left="3119" w:hanging="624"/>
        <w:rPr>
          <w:sz w:val="20"/>
          <w:lang w:val="es-ES"/>
        </w:rPr>
      </w:pPr>
      <w:bookmarkStart w:id="15" w:name="bookmark_143"/>
      <w:r w:rsidRPr="00B64D05">
        <w:rPr>
          <w:sz w:val="20"/>
          <w:lang w:val="es-ES"/>
        </w:rPr>
        <w:t>ii)</w:t>
      </w:r>
      <w:r w:rsidRPr="00B64D05">
        <w:rPr>
          <w:sz w:val="20"/>
          <w:lang w:val="es-ES"/>
        </w:rPr>
        <w:tab/>
        <w:t>Recubrimientos fotográficos aplicados a películas;</w:t>
      </w:r>
      <w:bookmarkEnd w:id="15"/>
    </w:p>
    <w:p w:rsidR="005A2B91" w:rsidRPr="00A36CB2" w:rsidRDefault="005A2B91" w:rsidP="005A2B91">
      <w:pPr>
        <w:snapToGrid w:val="0"/>
        <w:spacing w:after="120"/>
        <w:ind w:left="3119" w:hanging="624"/>
        <w:rPr>
          <w:sz w:val="20"/>
          <w:lang w:val="es-ES"/>
        </w:rPr>
      </w:pPr>
      <w:bookmarkStart w:id="16" w:name="bookmark_144"/>
      <w:r w:rsidRPr="00B64D05">
        <w:rPr>
          <w:sz w:val="20"/>
          <w:lang w:val="es-ES"/>
        </w:rPr>
        <w:t>iii)</w:t>
      </w:r>
      <w:r w:rsidRPr="00B64D05">
        <w:rPr>
          <w:sz w:val="20"/>
          <w:lang w:val="es-ES"/>
        </w:rPr>
        <w:tab/>
        <w:t xml:space="preserve">Textiles </w:t>
      </w:r>
      <w:proofErr w:type="spellStart"/>
      <w:r w:rsidRPr="00B64D05">
        <w:rPr>
          <w:sz w:val="20"/>
          <w:lang w:val="es-ES"/>
        </w:rPr>
        <w:t>oleófugos</w:t>
      </w:r>
      <w:proofErr w:type="spellEnd"/>
      <w:r w:rsidRPr="00B64D05">
        <w:rPr>
          <w:sz w:val="20"/>
          <w:lang w:val="es-ES"/>
        </w:rPr>
        <w:t xml:space="preserve"> e hidrófugos para la protección de los trabajadores contra los riesgos que puedan implicar los líquidos peligrosos para su salud y seguridad;</w:t>
      </w:r>
      <w:bookmarkEnd w:id="16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17" w:name="bookmark_145"/>
      <w:r w:rsidRPr="00B64D05">
        <w:rPr>
          <w:sz w:val="20"/>
          <w:lang w:val="es-ES"/>
        </w:rPr>
        <w:t>b)</w:t>
      </w:r>
      <w:r w:rsidRPr="00B64D05">
        <w:rPr>
          <w:sz w:val="20"/>
          <w:lang w:val="es-ES"/>
        </w:rPr>
        <w:tab/>
        <w:t xml:space="preserve">Durante 10 años a partir del momento de la entrada en vigor de la enmienda para la fabricación de semiconductores o dispositivos electrónicos conexos: piezas de reemplazo que </w:t>
      </w:r>
      <w:r w:rsidRPr="00B64D05">
        <w:rPr>
          <w:sz w:val="20"/>
          <w:lang w:val="es-ES"/>
        </w:rPr>
        <w:lastRenderedPageBreak/>
        <w:t xml:space="preserve">contengan </w:t>
      </w:r>
      <w:proofErr w:type="spellStart"/>
      <w:r w:rsidRPr="00B64D05">
        <w:rPr>
          <w:sz w:val="20"/>
          <w:lang w:val="es-ES"/>
        </w:rPr>
        <w:t>fluoropolímeros</w:t>
      </w:r>
      <w:proofErr w:type="spellEnd"/>
      <w:r w:rsidRPr="00B64D05">
        <w:rPr>
          <w:sz w:val="20"/>
          <w:lang w:val="es-ES"/>
        </w:rPr>
        <w:t xml:space="preserve"> o fluoroelastómeros con residuos de PFOA respecto de equipos obsoletos o piezas de reemplazo obsoletas;</w:t>
      </w:r>
      <w:bookmarkEnd w:id="17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18" w:name="bookmark_146"/>
      <w:r w:rsidRPr="00B64D05">
        <w:rPr>
          <w:sz w:val="20"/>
          <w:lang w:val="es-ES"/>
        </w:rPr>
        <w:t>c)</w:t>
      </w:r>
      <w:r w:rsidRPr="00B64D05">
        <w:rPr>
          <w:sz w:val="20"/>
          <w:lang w:val="es-ES"/>
        </w:rPr>
        <w:tab/>
        <w:t xml:space="preserve">Para el uso del yoduro de </w:t>
      </w:r>
      <w:proofErr w:type="spellStart"/>
      <w:r w:rsidRPr="00B64D05">
        <w:rPr>
          <w:sz w:val="20"/>
          <w:lang w:val="es-ES"/>
        </w:rPr>
        <w:t>perfluorooct</w:t>
      </w:r>
      <w:r>
        <w:rPr>
          <w:sz w:val="20"/>
          <w:lang w:val="es-ES"/>
        </w:rPr>
        <w:t>ilo</w:t>
      </w:r>
      <w:proofErr w:type="spellEnd"/>
      <w:r w:rsidRPr="00B64D05">
        <w:rPr>
          <w:sz w:val="20"/>
          <w:lang w:val="es-ES"/>
        </w:rPr>
        <w:t xml:space="preserve">, la producción de bromuro de </w:t>
      </w:r>
      <w:proofErr w:type="spellStart"/>
      <w:r w:rsidRPr="00B64D05">
        <w:rPr>
          <w:sz w:val="20"/>
          <w:lang w:val="es-ES"/>
        </w:rPr>
        <w:t>perfluorooct</w:t>
      </w:r>
      <w:r>
        <w:rPr>
          <w:sz w:val="20"/>
          <w:lang w:val="es-ES"/>
        </w:rPr>
        <w:t>ilo</w:t>
      </w:r>
      <w:proofErr w:type="spellEnd"/>
      <w:r w:rsidRPr="00B64D05">
        <w:rPr>
          <w:sz w:val="20"/>
          <w:lang w:val="es-ES"/>
        </w:rPr>
        <w:t xml:space="preserve"> con el fin de elaborar productos farmacéuticos revisando de manera sistemática la necesidad de exenciones. En cualquier caso, las exenciones específicas </w:t>
      </w:r>
      <w:r>
        <w:rPr>
          <w:sz w:val="20"/>
          <w:lang w:val="es-ES"/>
        </w:rPr>
        <w:t>deberán expirar a más tardar en </w:t>
      </w:r>
      <w:r w:rsidRPr="00B64D05">
        <w:rPr>
          <w:sz w:val="20"/>
          <w:lang w:val="es-ES"/>
        </w:rPr>
        <w:t>2036;</w:t>
      </w:r>
      <w:bookmarkEnd w:id="18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19" w:name="bookmark_147"/>
      <w:r w:rsidRPr="00B64D05">
        <w:rPr>
          <w:i/>
          <w:iCs/>
          <w:lang w:val="es-ES"/>
        </w:rPr>
        <w:t xml:space="preserve">Invita </w:t>
      </w:r>
      <w:r w:rsidRPr="00B64D05">
        <w:rPr>
          <w:lang w:val="es-ES"/>
        </w:rPr>
        <w:t>a las Partes y los observadores, entre ellos las ind</w:t>
      </w:r>
      <w:r>
        <w:rPr>
          <w:lang w:val="es-ES"/>
        </w:rPr>
        <w:t>ustrias pertinentes, a que no má</w:t>
      </w:r>
      <w:r w:rsidRPr="00B64D05">
        <w:rPr>
          <w:lang w:val="es-ES"/>
        </w:rPr>
        <w:t>s tarde del 12 de enero de 2018 proporcionen información que facilite al Comité la tarea de definir las exenciones específicas respecto de la producción y el uso del PFOA, sus sales y los compuestos conexos del PFOA, en particular en las aplicaciones siguientes:</w:t>
      </w:r>
      <w:bookmarkEnd w:id="19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0" w:name="bookmark_148"/>
      <w:r w:rsidRPr="00B64D05">
        <w:rPr>
          <w:sz w:val="20"/>
          <w:lang w:val="es-ES"/>
        </w:rPr>
        <w:t>a)</w:t>
      </w:r>
      <w:r w:rsidRPr="00B64D05">
        <w:rPr>
          <w:sz w:val="20"/>
          <w:lang w:val="es-ES"/>
        </w:rPr>
        <w:tab/>
        <w:t>Membranas destinadas a usarse en los productos textiles de uso médico, la filtración en el tratamiento de aguas, los procesos de producción y el tratamiento de efluentes: información sobre el ámbito de las aplicaciones, las cantidades utilizadas, la disponibilidad de alternativas y aspectos socioeconómicos;</w:t>
      </w:r>
      <w:bookmarkEnd w:id="20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1" w:name="bookmark_149"/>
      <w:r w:rsidRPr="00B64D05">
        <w:rPr>
          <w:sz w:val="20"/>
          <w:lang w:val="es-ES"/>
        </w:rPr>
        <w:t>b)</w:t>
      </w:r>
      <w:r w:rsidRPr="00B64D05">
        <w:rPr>
          <w:sz w:val="20"/>
          <w:lang w:val="es-ES"/>
        </w:rPr>
        <w:tab/>
        <w:t xml:space="preserve">Transporte de sustancias intermedias aisladas con el fin de facilitar </w:t>
      </w:r>
      <w:proofErr w:type="gramStart"/>
      <w:r w:rsidRPr="00B64D05">
        <w:rPr>
          <w:sz w:val="20"/>
          <w:lang w:val="es-ES"/>
        </w:rPr>
        <w:t>el reprocesamiento</w:t>
      </w:r>
      <w:proofErr w:type="gramEnd"/>
      <w:r w:rsidRPr="00B64D05">
        <w:rPr>
          <w:sz w:val="20"/>
          <w:lang w:val="es-ES"/>
        </w:rPr>
        <w:t xml:space="preserve"> en otra instalación distinta de la instalación de producción: información sobre las cantidades utilizadas, la duración del transporte y los riesgos, y sobre los usos;</w:t>
      </w:r>
      <w:bookmarkEnd w:id="21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2" w:name="bookmark_150"/>
      <w:r w:rsidRPr="00B64D05">
        <w:rPr>
          <w:sz w:val="20"/>
          <w:lang w:val="es-ES"/>
        </w:rPr>
        <w:t>c)</w:t>
      </w:r>
      <w:r w:rsidRPr="00B64D05">
        <w:rPr>
          <w:sz w:val="20"/>
          <w:lang w:val="es-ES"/>
        </w:rPr>
        <w:tab/>
        <w:t>Dispositivos médicos: información sobre aplicaciones y usos específicos, y sobre las fechas en que se prevén aplicar las posibles exenciones afines;</w:t>
      </w:r>
      <w:bookmarkEnd w:id="22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3" w:name="bookmark_151"/>
      <w:r w:rsidRPr="00B64D05">
        <w:rPr>
          <w:sz w:val="20"/>
          <w:lang w:val="es-ES"/>
        </w:rPr>
        <w:t>d)</w:t>
      </w:r>
      <w:r w:rsidRPr="00B64D05">
        <w:rPr>
          <w:sz w:val="20"/>
          <w:lang w:val="es-ES"/>
        </w:rPr>
        <w:tab/>
        <w:t>Dispositivos médicos implantables: información sobre las cantidades utilizadas, la duración del transporte y los riesgos, y sobre los usos;</w:t>
      </w:r>
      <w:bookmarkEnd w:id="23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4" w:name="bookmark_152"/>
      <w:r w:rsidRPr="00B64D05">
        <w:rPr>
          <w:sz w:val="20"/>
          <w:lang w:val="es-ES"/>
        </w:rPr>
        <w:t>e)</w:t>
      </w:r>
      <w:r w:rsidRPr="00B64D05">
        <w:rPr>
          <w:sz w:val="20"/>
          <w:lang w:val="es-ES"/>
        </w:rPr>
        <w:tab/>
        <w:t>Sector de imágenes fotográficas: información relativa al papel y la impresión, e información pertinente para los países en desarrollo;</w:t>
      </w:r>
      <w:bookmarkEnd w:id="24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5" w:name="bookmark_153"/>
      <w:r w:rsidRPr="00B64D05">
        <w:rPr>
          <w:sz w:val="20"/>
          <w:lang w:val="es-ES"/>
        </w:rPr>
        <w:t>f)</w:t>
      </w:r>
      <w:r w:rsidRPr="00B64D05">
        <w:rPr>
          <w:sz w:val="20"/>
          <w:lang w:val="es-ES"/>
        </w:rPr>
        <w:tab/>
        <w:t>Industria automotriz: información sobre piezas de repuesto;</w:t>
      </w:r>
      <w:bookmarkEnd w:id="25"/>
    </w:p>
    <w:p w:rsidR="005A2B91" w:rsidRPr="00A36CB2" w:rsidRDefault="005A2B91" w:rsidP="005A2B91">
      <w:pPr>
        <w:snapToGrid w:val="0"/>
        <w:spacing w:after="120"/>
        <w:ind w:left="1247" w:firstLine="624"/>
        <w:rPr>
          <w:sz w:val="20"/>
          <w:lang w:val="es-ES"/>
        </w:rPr>
      </w:pPr>
      <w:bookmarkStart w:id="26" w:name="bookmark_154"/>
      <w:r w:rsidRPr="00B64D05">
        <w:rPr>
          <w:sz w:val="20"/>
          <w:lang w:val="es-ES"/>
        </w:rPr>
        <w:t>g)</w:t>
      </w:r>
      <w:r w:rsidRPr="00B64D05">
        <w:rPr>
          <w:sz w:val="20"/>
          <w:lang w:val="es-ES"/>
        </w:rPr>
        <w:tab/>
        <w:t>Espumas contra incendios: información sobre la composición química de las mezclas y los volúmenes de las cantidades cargadas con anterioridad de mezclas de espumas contra incendios.</w:t>
      </w:r>
      <w:bookmarkEnd w:id="26"/>
    </w:p>
    <w:p w:rsidR="005A2B91" w:rsidRPr="00A36CB2" w:rsidRDefault="005A2B91" w:rsidP="005A2B91">
      <w:pPr>
        <w:snapToGrid w:val="0"/>
        <w:spacing w:after="120"/>
        <w:ind w:left="1247"/>
        <w:rPr>
          <w:sz w:val="20"/>
          <w:lang w:val="es-ES"/>
        </w:rPr>
      </w:pPr>
      <w:bookmarkStart w:id="27" w:name="bookmark_155"/>
      <w:r w:rsidRPr="00B64D05">
        <w:rPr>
          <w:sz w:val="20"/>
          <w:lang w:val="es-ES"/>
        </w:rPr>
        <w:t>Respecto de las aplicaciones antes mencionadas, se acogerá con agrado toda información sobre los aspectos socioeconómicos y cualquier otra información pertinente que se considere necesaria;</w:t>
      </w:r>
      <w:bookmarkEnd w:id="27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28" w:name="bookmark_156"/>
      <w:r w:rsidRPr="00B64D05">
        <w:rPr>
          <w:i/>
          <w:iCs/>
          <w:lang w:val="es-ES"/>
        </w:rPr>
        <w:t xml:space="preserve">Invita también </w:t>
      </w:r>
      <w:r w:rsidRPr="00B64D05">
        <w:rPr>
          <w:lang w:val="es-ES"/>
        </w:rPr>
        <w:t xml:space="preserve">a las Partes y los observadores a que </w:t>
      </w:r>
      <w:r>
        <w:rPr>
          <w:lang w:val="es-ES"/>
        </w:rPr>
        <w:t>proporcionen información no más </w:t>
      </w:r>
      <w:r w:rsidRPr="00B64D05">
        <w:rPr>
          <w:lang w:val="es-ES"/>
        </w:rPr>
        <w:t xml:space="preserve">tarde del 12 de enero de 2018 que facilite la evaluación por el Comité del ácido </w:t>
      </w:r>
      <w:proofErr w:type="spellStart"/>
      <w:r w:rsidRPr="00B64D05">
        <w:rPr>
          <w:lang w:val="es-ES"/>
        </w:rPr>
        <w:t>pentadecafluorooctanoico</w:t>
      </w:r>
      <w:proofErr w:type="spellEnd"/>
      <w:r w:rsidRPr="00B64D05">
        <w:rPr>
          <w:lang w:val="es-ES"/>
        </w:rPr>
        <w:t xml:space="preserve"> (núm. de CAS: 335-67-1, PFOA, ácido </w:t>
      </w:r>
      <w:proofErr w:type="spellStart"/>
      <w:r w:rsidRPr="00B64D05">
        <w:rPr>
          <w:lang w:val="es-ES"/>
        </w:rPr>
        <w:t>perfluorooctanoico</w:t>
      </w:r>
      <w:proofErr w:type="spellEnd"/>
      <w:r w:rsidRPr="00B64D05">
        <w:rPr>
          <w:lang w:val="es-ES"/>
        </w:rPr>
        <w:t>), sus sales y compuestos conexos del PFOA en relación con su formación y liberación no intencionales, en particular derivadas de la producción primaria de aluminio y de la combustión incompleta;</w:t>
      </w:r>
      <w:bookmarkEnd w:id="28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29" w:name="bookmark_157"/>
      <w:r w:rsidRPr="00B64D05">
        <w:rPr>
          <w:i/>
          <w:iCs/>
          <w:lang w:val="es-ES"/>
        </w:rPr>
        <w:t xml:space="preserve">Invita además </w:t>
      </w:r>
      <w:r w:rsidRPr="00B64D05">
        <w:rPr>
          <w:lang w:val="es-ES"/>
        </w:rPr>
        <w:t>a las Partes y a los observadores a que aporten, antes del 12</w:t>
      </w:r>
      <w:r>
        <w:rPr>
          <w:lang w:val="es-ES"/>
        </w:rPr>
        <w:t xml:space="preserve"> de enero de </w:t>
      </w:r>
      <w:r w:rsidRPr="00B64D05">
        <w:rPr>
          <w:lang w:val="es-ES"/>
        </w:rPr>
        <w:t>2018, toda información que pueda servir de ayuda para que el Comité continúe su evaluación de la identidad química de compuestos conexos del PFOA en la lista de productos químicos;</w:t>
      </w:r>
      <w:bookmarkEnd w:id="29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30" w:name="bookmark_158"/>
      <w:r w:rsidRPr="00B64D05">
        <w:rPr>
          <w:i/>
          <w:iCs/>
          <w:lang w:val="es-ES"/>
        </w:rPr>
        <w:t xml:space="preserve">Solicita </w:t>
      </w:r>
      <w:r w:rsidRPr="00B64D05">
        <w:rPr>
          <w:lang w:val="es-ES"/>
        </w:rPr>
        <w:t>a la Secretaría que prepare un documento sobre la n</w:t>
      </w:r>
      <w:r>
        <w:rPr>
          <w:lang w:val="es-ES"/>
        </w:rPr>
        <w:t>ota ii) de la parte I del anexo </w:t>
      </w:r>
      <w:r w:rsidRPr="00B64D05">
        <w:rPr>
          <w:lang w:val="es-ES"/>
        </w:rPr>
        <w:t>A del Convenio y el alcance de la referencia a las existencias en el artículo 6 del Convenio, y que lo ponga a disposición del Comité para que este lo examine en su 14ª reunión;</w:t>
      </w:r>
      <w:bookmarkEnd w:id="30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31" w:name="bookmark_159"/>
      <w:r w:rsidRPr="00B64D05">
        <w:rPr>
          <w:i/>
          <w:iCs/>
          <w:lang w:val="es-ES"/>
        </w:rPr>
        <w:t xml:space="preserve">Observa </w:t>
      </w:r>
      <w:r w:rsidRPr="00B64D05">
        <w:rPr>
          <w:lang w:val="es-ES"/>
        </w:rPr>
        <w:t xml:space="preserve">que hay pruebas de que la </w:t>
      </w:r>
      <w:proofErr w:type="spellStart"/>
      <w:r w:rsidRPr="00B64D05">
        <w:rPr>
          <w:lang w:val="es-ES"/>
        </w:rPr>
        <w:t>sulfluramida</w:t>
      </w:r>
      <w:proofErr w:type="spellEnd"/>
      <w:r w:rsidRPr="00B64D05">
        <w:rPr>
          <w:lang w:val="es-ES"/>
        </w:rPr>
        <w:t xml:space="preserve"> se degrada a PFOA, y que la </w:t>
      </w:r>
      <w:proofErr w:type="spellStart"/>
      <w:r w:rsidRPr="00B64D05">
        <w:rPr>
          <w:lang w:val="es-ES"/>
        </w:rPr>
        <w:t>sulfluramida</w:t>
      </w:r>
      <w:proofErr w:type="spellEnd"/>
      <w:r w:rsidRPr="00B64D05">
        <w:rPr>
          <w:lang w:val="es-ES"/>
        </w:rPr>
        <w:t xml:space="preserve"> está incluida en el perfil de riesgos sobre el PFOS, sus sales y el PFOSF (UNEP/POPS/POPRC.2/17/Add.5), mientras que el número de CAS correspondiente no se incluye en el anexo B;</w:t>
      </w:r>
      <w:bookmarkEnd w:id="31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32" w:name="bookmark_160"/>
      <w:r w:rsidRPr="00B64D05">
        <w:rPr>
          <w:i/>
          <w:iCs/>
          <w:lang w:val="es-ES"/>
        </w:rPr>
        <w:t xml:space="preserve">Decide </w:t>
      </w:r>
      <w:r w:rsidRPr="00B64D05">
        <w:rPr>
          <w:lang w:val="es-ES"/>
        </w:rPr>
        <w:t xml:space="preserve">abordar la forma de proceder con respecto a la </w:t>
      </w:r>
      <w:proofErr w:type="spellStart"/>
      <w:r w:rsidRPr="00B64D05">
        <w:rPr>
          <w:lang w:val="es-ES"/>
        </w:rPr>
        <w:t>sulfluramida</w:t>
      </w:r>
      <w:proofErr w:type="spellEnd"/>
      <w:r w:rsidRPr="00B64D05">
        <w:rPr>
          <w:lang w:val="es-ES"/>
        </w:rPr>
        <w:t xml:space="preserve"> porque es posible que la sustancia satisfaga la definición de una sustancia relacionada con el PFOA, y la </w:t>
      </w:r>
      <w:proofErr w:type="spellStart"/>
      <w:r w:rsidRPr="00B64D05">
        <w:rPr>
          <w:lang w:val="es-ES"/>
        </w:rPr>
        <w:t>sulfluramida</w:t>
      </w:r>
      <w:proofErr w:type="spellEnd"/>
      <w:r w:rsidRPr="00B64D05">
        <w:rPr>
          <w:lang w:val="es-ES"/>
        </w:rPr>
        <w:t xml:space="preserve"> no queda recogida en la definición de ácido </w:t>
      </w:r>
      <w:proofErr w:type="spellStart"/>
      <w:r w:rsidRPr="00B64D05">
        <w:rPr>
          <w:lang w:val="es-ES"/>
        </w:rPr>
        <w:t>perfluorooctano</w:t>
      </w:r>
      <w:proofErr w:type="spellEnd"/>
      <w:r w:rsidRPr="00B64D05">
        <w:rPr>
          <w:lang w:val="es-ES"/>
        </w:rPr>
        <w:t xml:space="preserve"> sulfónico (</w:t>
      </w:r>
      <w:r>
        <w:rPr>
          <w:lang w:val="es-ES"/>
        </w:rPr>
        <w:t>núm.</w:t>
      </w:r>
      <w:r w:rsidRPr="00B64D05">
        <w:rPr>
          <w:lang w:val="es-ES"/>
        </w:rPr>
        <w:t xml:space="preserve"> de CAS: 1763-23-1), su</w:t>
      </w:r>
      <w:r>
        <w:rPr>
          <w:lang w:val="es-ES"/>
        </w:rPr>
        <w:t>s </w:t>
      </w:r>
      <w:r w:rsidRPr="00B64D05">
        <w:rPr>
          <w:lang w:val="es-ES"/>
        </w:rPr>
        <w:t xml:space="preserve">sales y el fluoruro de </w:t>
      </w:r>
      <w:proofErr w:type="spellStart"/>
      <w:r w:rsidRPr="00B64D05">
        <w:rPr>
          <w:lang w:val="es-ES"/>
        </w:rPr>
        <w:t>sulfonilo</w:t>
      </w:r>
      <w:proofErr w:type="spellEnd"/>
      <w:r w:rsidRPr="00B64D05">
        <w:rPr>
          <w:lang w:val="es-ES"/>
        </w:rPr>
        <w:t xml:space="preserve"> </w:t>
      </w:r>
      <w:proofErr w:type="spellStart"/>
      <w:r w:rsidRPr="00B64D05">
        <w:rPr>
          <w:lang w:val="es-ES"/>
        </w:rPr>
        <w:t>perfluorooctano</w:t>
      </w:r>
      <w:proofErr w:type="spellEnd"/>
      <w:r w:rsidRPr="00B64D05">
        <w:rPr>
          <w:lang w:val="es-ES"/>
        </w:rPr>
        <w:t xml:space="preserve"> (</w:t>
      </w:r>
      <w:r>
        <w:rPr>
          <w:lang w:val="es-ES"/>
        </w:rPr>
        <w:t>n</w:t>
      </w:r>
      <w:r w:rsidRPr="00B64D05">
        <w:rPr>
          <w:lang w:val="es-ES"/>
        </w:rPr>
        <w:t>úm. de CAS: 307-3</w:t>
      </w:r>
      <w:r>
        <w:rPr>
          <w:lang w:val="es-ES"/>
        </w:rPr>
        <w:t>5-7) establecido en la decisión </w:t>
      </w:r>
      <w:r w:rsidRPr="00B64D05">
        <w:rPr>
          <w:lang w:val="es-ES"/>
        </w:rPr>
        <w:t>SC</w:t>
      </w:r>
      <w:r>
        <w:rPr>
          <w:lang w:val="es-ES"/>
        </w:rPr>
        <w:noBreakHyphen/>
      </w:r>
      <w:r w:rsidRPr="00B64D05">
        <w:rPr>
          <w:lang w:val="es-ES"/>
        </w:rPr>
        <w:t xml:space="preserve">4/17, en el contexto del proceso para la evaluación del ácido </w:t>
      </w:r>
      <w:proofErr w:type="spellStart"/>
      <w:r w:rsidRPr="00B64D05">
        <w:rPr>
          <w:lang w:val="es-ES"/>
        </w:rPr>
        <w:t>perfluorooctano</w:t>
      </w:r>
      <w:proofErr w:type="spellEnd"/>
      <w:r w:rsidRPr="00B64D05">
        <w:rPr>
          <w:lang w:val="es-ES"/>
        </w:rPr>
        <w:t xml:space="preserve"> sulfónico, sus sales y el fluoruro de </w:t>
      </w:r>
      <w:proofErr w:type="spellStart"/>
      <w:r w:rsidRPr="00B64D05">
        <w:rPr>
          <w:lang w:val="es-ES"/>
        </w:rPr>
        <w:t>perfluorooctano</w:t>
      </w:r>
      <w:proofErr w:type="spellEnd"/>
      <w:r w:rsidRPr="00B64D05">
        <w:rPr>
          <w:lang w:val="es-ES"/>
        </w:rPr>
        <w:t xml:space="preserve"> </w:t>
      </w:r>
      <w:proofErr w:type="spellStart"/>
      <w:r w:rsidRPr="00B64D05">
        <w:rPr>
          <w:lang w:val="es-ES"/>
        </w:rPr>
        <w:t>sulfonilo</w:t>
      </w:r>
      <w:proofErr w:type="spellEnd"/>
      <w:r w:rsidRPr="00B64D05">
        <w:rPr>
          <w:lang w:val="es-ES"/>
        </w:rPr>
        <w:t xml:space="preserve"> con arreglo a los pár</w:t>
      </w:r>
      <w:r>
        <w:rPr>
          <w:lang w:val="es-ES"/>
        </w:rPr>
        <w:t xml:space="preserve">rafos 5 y 6 de la parte III </w:t>
      </w:r>
      <w:r>
        <w:rPr>
          <w:lang w:val="es-ES"/>
        </w:rPr>
        <w:lastRenderedPageBreak/>
        <w:t>del </w:t>
      </w:r>
      <w:r w:rsidRPr="00B64D05">
        <w:rPr>
          <w:lang w:val="es-ES"/>
        </w:rPr>
        <w:t>anexo B del Convenio de Estocolmo para los que el Comité a</w:t>
      </w:r>
      <w:r>
        <w:rPr>
          <w:lang w:val="es-ES"/>
        </w:rPr>
        <w:t>cordó el mandato en la decisión </w:t>
      </w:r>
      <w:r w:rsidRPr="00B64D05">
        <w:rPr>
          <w:lang w:val="es-ES"/>
        </w:rPr>
        <w:t>POPRC</w:t>
      </w:r>
      <w:r>
        <w:rPr>
          <w:lang w:val="es-ES"/>
        </w:rPr>
        <w:noBreakHyphen/>
      </w:r>
      <w:r w:rsidRPr="00B64D05">
        <w:rPr>
          <w:lang w:val="es-ES"/>
        </w:rPr>
        <w:t>13/4;</w:t>
      </w:r>
      <w:bookmarkEnd w:id="32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33" w:name="bookmark_161"/>
      <w:r w:rsidRPr="00B64D05">
        <w:rPr>
          <w:i/>
          <w:iCs/>
          <w:lang w:val="es-ES"/>
        </w:rPr>
        <w:t xml:space="preserve">Pide </w:t>
      </w:r>
      <w:r w:rsidRPr="00B64D05">
        <w:rPr>
          <w:lang w:val="es-ES"/>
        </w:rPr>
        <w:t>a la Secretaría que recopile la información proporcionada de conformidad con los párrafos 3, 4 y 5 precedentes y la ponga a disposición del Comité;</w:t>
      </w:r>
      <w:bookmarkEnd w:id="33"/>
    </w:p>
    <w:p w:rsidR="005A2B91" w:rsidRPr="00A36CB2" w:rsidRDefault="005A2B91" w:rsidP="005A2B91">
      <w:pPr>
        <w:pStyle w:val="ListParagraph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napToGrid w:val="0"/>
        <w:spacing w:after="120"/>
        <w:ind w:left="1247" w:firstLine="624"/>
        <w:rPr>
          <w:lang w:val="es-ES"/>
        </w:rPr>
      </w:pPr>
      <w:bookmarkStart w:id="34" w:name="bookmark_162"/>
      <w:r w:rsidRPr="00B64D05">
        <w:rPr>
          <w:i/>
          <w:iCs/>
          <w:lang w:val="es-ES"/>
        </w:rPr>
        <w:t xml:space="preserve">Decide </w:t>
      </w:r>
      <w:r w:rsidRPr="00B64D05">
        <w:rPr>
          <w:lang w:val="es-ES"/>
        </w:rPr>
        <w:t>establecer un grupo de trabajo entre reuniones para que evalúe la información proporcionada de conformidad con los párrafos 3, 4 y 5 precedentes con el propósito de reforzar la recomendación sobre la inclusión de los productos químico</w:t>
      </w:r>
      <w:r>
        <w:rPr>
          <w:lang w:val="es-ES"/>
        </w:rPr>
        <w:t>s para que se examine en su 14ª </w:t>
      </w:r>
      <w:r w:rsidRPr="00B64D05">
        <w:rPr>
          <w:lang w:val="es-ES"/>
        </w:rPr>
        <w:t>reunión.</w:t>
      </w:r>
      <w:bookmarkEnd w:id="34"/>
    </w:p>
    <w:p w:rsidR="00CF7497" w:rsidRPr="005A2B91" w:rsidRDefault="00CF7497">
      <w:pPr>
        <w:rPr>
          <w:lang w:val="es-ES"/>
        </w:rPr>
      </w:pPr>
      <w:bookmarkStart w:id="35" w:name="_GoBack"/>
      <w:bookmarkEnd w:id="35"/>
    </w:p>
    <w:sectPr w:rsidR="00CF7497" w:rsidRPr="005A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92" w:rsidRDefault="00A56992" w:rsidP="005A2B91">
      <w:r>
        <w:separator/>
      </w:r>
    </w:p>
  </w:endnote>
  <w:endnote w:type="continuationSeparator" w:id="0">
    <w:p w:rsidR="00A56992" w:rsidRDefault="00A56992" w:rsidP="005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92" w:rsidRDefault="00A56992" w:rsidP="005A2B91">
      <w:r>
        <w:separator/>
      </w:r>
    </w:p>
  </w:footnote>
  <w:footnote w:type="continuationSeparator" w:id="0">
    <w:p w:rsidR="00A56992" w:rsidRDefault="00A56992" w:rsidP="005A2B91">
      <w:r>
        <w:continuationSeparator/>
      </w:r>
    </w:p>
  </w:footnote>
  <w:footnote w:id="1">
    <w:p w:rsidR="005A2B91" w:rsidRPr="005A2B91" w:rsidRDefault="005A2B91" w:rsidP="005A2B91">
      <w:pPr>
        <w:pStyle w:val="FootnoteText"/>
        <w:rPr>
          <w:lang w:val="en-US"/>
        </w:rPr>
      </w:pPr>
      <w:r>
        <w:rPr>
          <w:rStyle w:val="FootnoteReference"/>
          <w:lang w:val="es-ES"/>
        </w:rPr>
        <w:footnoteRef/>
      </w:r>
      <w:bookmarkStart w:id="7" w:name="footnoteBookmark_135"/>
      <w:r w:rsidRPr="00A36CB2">
        <w:rPr>
          <w:lang w:val="en-US"/>
        </w:rPr>
        <w:t xml:space="preserve"> UNEP/POPS/POPRC.13/7/Add.2.</w:t>
      </w:r>
      <w:bookmarkEnd w:id="7"/>
    </w:p>
  </w:footnote>
  <w:footnote w:id="2">
    <w:p w:rsidR="005A2B91" w:rsidRPr="005D6D5D" w:rsidRDefault="005A2B91" w:rsidP="005A2B91">
      <w:pPr>
        <w:pStyle w:val="FootnoteText"/>
      </w:pPr>
      <w:r>
        <w:rPr>
          <w:rStyle w:val="FootnoteReference"/>
          <w:lang w:val="es-ES"/>
        </w:rPr>
        <w:footnoteRef/>
      </w:r>
      <w:bookmarkStart w:id="8" w:name="footnoteBookmark_136"/>
      <w:r w:rsidRPr="00A36CB2">
        <w:rPr>
          <w:lang w:val="en-US"/>
        </w:rPr>
        <w:t xml:space="preserve"> UNEP/POPS/POPRC.13/7/Add.2, </w:t>
      </w:r>
      <w:proofErr w:type="spellStart"/>
      <w:r w:rsidRPr="00A36CB2">
        <w:rPr>
          <w:lang w:val="en-US"/>
        </w:rPr>
        <w:t>párr</w:t>
      </w:r>
      <w:proofErr w:type="spellEnd"/>
      <w:r w:rsidRPr="00A36CB2">
        <w:rPr>
          <w:lang w:val="en-US"/>
        </w:rPr>
        <w:t xml:space="preserve">. </w:t>
      </w:r>
      <w:r>
        <w:rPr>
          <w:lang w:val="es-ES"/>
        </w:rPr>
        <w:t>21</w:t>
      </w:r>
      <w:bookmarkEnd w:id="8"/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4673"/>
    <w:multiLevelType w:val="hybridMultilevel"/>
    <w:tmpl w:val="B914CFBE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1"/>
    <w:rsid w:val="00304CF0"/>
    <w:rsid w:val="005A2B91"/>
    <w:rsid w:val="00987DB3"/>
    <w:rsid w:val="009D258D"/>
    <w:rsid w:val="00A56992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0031-E9AD-4792-9B57-52031DE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number,SUPERS,Footnote Reference Superscript,Footnote Reference1,ftref,(Ref. de nota al pie),Ref,de nota al pie,註腳內容,de nota al pie + (Asian) MS Mincho,11 pt,Ref. de nota de rodapé1,stylish,Footnote symbol"/>
    <w:basedOn w:val="DefaultParagraphFont"/>
    <w:rsid w:val="005A2B9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,93,single space,Footnote Text Rail EIS,ft,Char,footnote3,Footnotes,Footnote ak,fn cafc,fn Char Char,C"/>
    <w:basedOn w:val="Normal"/>
    <w:link w:val="FootnoteTextChar"/>
    <w:qFormat/>
    <w:rsid w:val="005A2B9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,93 Char,single space Char,Footnote Text Rail EIS Char"/>
    <w:basedOn w:val="DefaultParagraphFont"/>
    <w:link w:val="FootnoteText"/>
    <w:rsid w:val="005A2B91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styleId="ListParagraph">
    <w:name w:val="List Paragraph"/>
    <w:basedOn w:val="Normal"/>
    <w:qFormat/>
    <w:rsid w:val="005A2B91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2019-01-03T09:51:00Z</dcterms:created>
  <dcterms:modified xsi:type="dcterms:W3CDTF">2019-01-03T09:52:00Z</dcterms:modified>
</cp:coreProperties>
</file>