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Look w:val="0000" w:firstRow="0" w:lastRow="0" w:firstColumn="0" w:lastColumn="0" w:noHBand="0" w:noVBand="0"/>
      </w:tblPr>
      <w:tblGrid>
        <w:gridCol w:w="1702"/>
        <w:gridCol w:w="4961"/>
        <w:gridCol w:w="3402"/>
      </w:tblGrid>
      <w:tr w:rsidR="008A715D" w:rsidRPr="002261B9" w14:paraId="069A60AC" w14:textId="77777777" w:rsidTr="00557BB1">
        <w:trPr>
          <w:trHeight w:val="895"/>
        </w:trPr>
        <w:tc>
          <w:tcPr>
            <w:tcW w:w="1702" w:type="dxa"/>
            <w:vMerge w:val="restart"/>
          </w:tcPr>
          <w:p w14:paraId="445BE554" w14:textId="77777777" w:rsidR="008A715D" w:rsidRPr="002261B9" w:rsidRDefault="008A715D" w:rsidP="008A715D">
            <w:pPr>
              <w:tabs>
                <w:tab w:val="left" w:pos="1247"/>
                <w:tab w:val="left" w:pos="1814"/>
                <w:tab w:val="left" w:pos="2381"/>
                <w:tab w:val="left" w:pos="2948"/>
                <w:tab w:val="left" w:pos="3515"/>
              </w:tabs>
              <w:rPr>
                <w:rFonts w:eastAsia="Times New Roman"/>
                <w:sz w:val="20"/>
                <w:szCs w:val="20"/>
                <w:lang w:val="es-ES" w:eastAsia="en-US"/>
              </w:rPr>
            </w:pPr>
            <w:bookmarkStart w:id="0" w:name="_Toc20198231"/>
            <w:r w:rsidRPr="002261B9">
              <w:rPr>
                <w:rFonts w:ascii="Arial" w:eastAsia="Times New Roman" w:hAnsi="Arial" w:cs="Arial"/>
                <w:b/>
                <w:sz w:val="27"/>
                <w:szCs w:val="20"/>
                <w:lang w:val="es-ES" w:eastAsia="en-US"/>
              </w:rPr>
              <w:t>NACIONES</w:t>
            </w:r>
            <w:r w:rsidRPr="002261B9">
              <w:rPr>
                <w:rFonts w:ascii="Arial" w:eastAsia="Times New Roman" w:hAnsi="Arial" w:cs="Arial"/>
                <w:b/>
                <w:sz w:val="27"/>
                <w:szCs w:val="20"/>
                <w:lang w:val="es-ES" w:eastAsia="en-US"/>
              </w:rPr>
              <w:br/>
              <w:t>UNIDAS</w:t>
            </w:r>
          </w:p>
        </w:tc>
        <w:tc>
          <w:tcPr>
            <w:tcW w:w="4961" w:type="dxa"/>
            <w:vMerge w:val="restart"/>
          </w:tcPr>
          <w:p w14:paraId="1479A69A" w14:textId="77777777" w:rsidR="008A715D" w:rsidRPr="002261B9" w:rsidRDefault="008A715D" w:rsidP="00557BB1">
            <w:pPr>
              <w:tabs>
                <w:tab w:val="left" w:pos="1247"/>
                <w:tab w:val="left" w:pos="1814"/>
                <w:tab w:val="left" w:pos="2381"/>
                <w:tab w:val="left" w:pos="2948"/>
                <w:tab w:val="left" w:pos="3515"/>
              </w:tabs>
              <w:spacing w:before="60"/>
              <w:rPr>
                <w:rFonts w:eastAsia="Times New Roman"/>
                <w:sz w:val="20"/>
                <w:szCs w:val="20"/>
                <w:lang w:val="es-ES" w:eastAsia="en-US"/>
              </w:rPr>
            </w:pPr>
            <w:r w:rsidRPr="002261B9">
              <w:rPr>
                <w:rFonts w:eastAsia="Times New Roman"/>
                <w:noProof/>
                <w:sz w:val="20"/>
                <w:szCs w:val="20"/>
                <w:lang w:val="en-GB" w:eastAsia="en-GB"/>
              </w:rPr>
              <w:drawing>
                <wp:inline distT="0" distB="0" distL="0" distR="0" wp14:anchorId="19695F73" wp14:editId="7A7F7B8A">
                  <wp:extent cx="1289685"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551180"/>
                          </a:xfrm>
                          <a:prstGeom prst="rect">
                            <a:avLst/>
                          </a:prstGeom>
                          <a:noFill/>
                          <a:ln>
                            <a:noFill/>
                          </a:ln>
                        </pic:spPr>
                      </pic:pic>
                    </a:graphicData>
                  </a:graphic>
                </wp:inline>
              </w:drawing>
            </w:r>
          </w:p>
        </w:tc>
        <w:tc>
          <w:tcPr>
            <w:tcW w:w="3402" w:type="dxa"/>
          </w:tcPr>
          <w:p w14:paraId="19F928AE" w14:textId="77777777" w:rsidR="008A715D" w:rsidRPr="002261B9" w:rsidRDefault="008A715D" w:rsidP="008A715D">
            <w:pPr>
              <w:tabs>
                <w:tab w:val="left" w:pos="1247"/>
                <w:tab w:val="left" w:pos="1814"/>
                <w:tab w:val="left" w:pos="2381"/>
                <w:tab w:val="left" w:pos="2948"/>
                <w:tab w:val="left" w:pos="3515"/>
              </w:tabs>
              <w:jc w:val="right"/>
              <w:rPr>
                <w:rFonts w:ascii="Arial" w:eastAsia="Times New Roman" w:hAnsi="Arial" w:cs="Arial"/>
                <w:sz w:val="64"/>
                <w:szCs w:val="64"/>
                <w:lang w:val="es-ES" w:eastAsia="en-US"/>
              </w:rPr>
            </w:pPr>
            <w:r w:rsidRPr="002261B9">
              <w:rPr>
                <w:rFonts w:ascii="Arial" w:eastAsia="Times New Roman" w:hAnsi="Arial" w:cs="Arial"/>
                <w:b/>
                <w:sz w:val="64"/>
                <w:szCs w:val="64"/>
                <w:lang w:val="es-ES" w:eastAsia="en-US"/>
              </w:rPr>
              <w:t>SC</w:t>
            </w:r>
          </w:p>
        </w:tc>
      </w:tr>
      <w:tr w:rsidR="008A715D" w:rsidRPr="002261B9" w14:paraId="7EC424E3" w14:textId="77777777" w:rsidTr="00557BB1">
        <w:trPr>
          <w:cantSplit/>
          <w:trHeight w:val="150"/>
        </w:trPr>
        <w:tc>
          <w:tcPr>
            <w:tcW w:w="1702" w:type="dxa"/>
            <w:vMerge/>
            <w:tcBorders>
              <w:bottom w:val="single" w:sz="4" w:space="0" w:color="auto"/>
            </w:tcBorders>
          </w:tcPr>
          <w:p w14:paraId="6B7B6892" w14:textId="77777777" w:rsidR="008A715D" w:rsidRPr="002261B9" w:rsidRDefault="008A715D" w:rsidP="008A715D">
            <w:pPr>
              <w:tabs>
                <w:tab w:val="left" w:pos="1247"/>
                <w:tab w:val="left" w:pos="1814"/>
                <w:tab w:val="left" w:pos="2381"/>
                <w:tab w:val="left" w:pos="2948"/>
                <w:tab w:val="left" w:pos="3515"/>
              </w:tabs>
              <w:rPr>
                <w:rFonts w:eastAsia="Times New Roman"/>
                <w:b/>
                <w:bCs/>
                <w:sz w:val="20"/>
                <w:szCs w:val="20"/>
                <w:lang w:val="es-ES" w:eastAsia="en-US"/>
              </w:rPr>
            </w:pPr>
          </w:p>
        </w:tc>
        <w:tc>
          <w:tcPr>
            <w:tcW w:w="4961" w:type="dxa"/>
            <w:vMerge/>
            <w:tcBorders>
              <w:bottom w:val="single" w:sz="4" w:space="0" w:color="auto"/>
            </w:tcBorders>
          </w:tcPr>
          <w:p w14:paraId="78678AD1" w14:textId="77777777" w:rsidR="008A715D" w:rsidRPr="002261B9" w:rsidRDefault="008A715D" w:rsidP="008A715D">
            <w:pPr>
              <w:tabs>
                <w:tab w:val="left" w:pos="1247"/>
                <w:tab w:val="left" w:pos="1814"/>
                <w:tab w:val="left" w:pos="2381"/>
                <w:tab w:val="left" w:pos="2948"/>
                <w:tab w:val="left" w:pos="3515"/>
              </w:tabs>
              <w:rPr>
                <w:rFonts w:eastAsia="Times New Roman"/>
                <w:b/>
                <w:bCs/>
                <w:sz w:val="20"/>
                <w:szCs w:val="20"/>
                <w:lang w:val="es-ES" w:eastAsia="en-US"/>
              </w:rPr>
            </w:pPr>
          </w:p>
        </w:tc>
        <w:tc>
          <w:tcPr>
            <w:tcW w:w="3402" w:type="dxa"/>
            <w:tcBorders>
              <w:bottom w:val="single" w:sz="4" w:space="0" w:color="auto"/>
            </w:tcBorders>
          </w:tcPr>
          <w:p w14:paraId="374575C7" w14:textId="1FE10E86" w:rsidR="008A715D" w:rsidRPr="002261B9" w:rsidRDefault="008A715D" w:rsidP="008A715D">
            <w:pPr>
              <w:tabs>
                <w:tab w:val="left" w:pos="1247"/>
                <w:tab w:val="left" w:pos="1814"/>
                <w:tab w:val="left" w:pos="2381"/>
                <w:tab w:val="left" w:pos="2948"/>
                <w:tab w:val="left" w:pos="3515"/>
              </w:tabs>
              <w:rPr>
                <w:rFonts w:eastAsia="Times New Roman"/>
                <w:sz w:val="20"/>
                <w:szCs w:val="20"/>
                <w:lang w:val="es-ES" w:eastAsia="en-US"/>
              </w:rPr>
            </w:pPr>
            <w:r w:rsidRPr="002261B9">
              <w:rPr>
                <w:rFonts w:eastAsia="Times New Roman"/>
                <w:b/>
                <w:sz w:val="28"/>
                <w:szCs w:val="28"/>
                <w:lang w:val="es-ES" w:eastAsia="en-US"/>
              </w:rPr>
              <w:t>UNEP</w:t>
            </w:r>
            <w:r w:rsidRPr="002261B9">
              <w:rPr>
                <w:rFonts w:eastAsia="Times New Roman"/>
                <w:sz w:val="20"/>
                <w:szCs w:val="20"/>
                <w:lang w:val="es-ES" w:eastAsia="en-US"/>
              </w:rPr>
              <w:t>/POPS/POPRC.13/7/Add.2</w:t>
            </w:r>
          </w:p>
        </w:tc>
      </w:tr>
      <w:tr w:rsidR="008A715D" w:rsidRPr="002261B9" w14:paraId="7D49F5D8" w14:textId="77777777" w:rsidTr="00557BB1">
        <w:trPr>
          <w:cantSplit/>
          <w:trHeight w:val="2262"/>
        </w:trPr>
        <w:tc>
          <w:tcPr>
            <w:tcW w:w="1702" w:type="dxa"/>
            <w:tcBorders>
              <w:top w:val="single" w:sz="4" w:space="0" w:color="auto"/>
              <w:bottom w:val="single" w:sz="24" w:space="0" w:color="auto"/>
            </w:tcBorders>
          </w:tcPr>
          <w:p w14:paraId="45C81140" w14:textId="77777777" w:rsidR="008A715D" w:rsidRPr="002261B9" w:rsidRDefault="008A715D" w:rsidP="008A715D">
            <w:pPr>
              <w:tabs>
                <w:tab w:val="left" w:pos="1247"/>
                <w:tab w:val="left" w:pos="1814"/>
                <w:tab w:val="left" w:pos="2381"/>
                <w:tab w:val="left" w:pos="2948"/>
                <w:tab w:val="left" w:pos="3515"/>
              </w:tabs>
              <w:spacing w:before="720"/>
              <w:ind w:left="-108"/>
              <w:rPr>
                <w:rFonts w:eastAsia="Times New Roman"/>
                <w:sz w:val="20"/>
                <w:szCs w:val="20"/>
                <w:lang w:val="es-ES" w:eastAsia="en-US"/>
              </w:rPr>
            </w:pPr>
            <w:r w:rsidRPr="002261B9">
              <w:rPr>
                <w:rFonts w:eastAsia="Times New Roman"/>
                <w:noProof/>
                <w:sz w:val="20"/>
                <w:szCs w:val="20"/>
                <w:lang w:val="en-GB" w:eastAsia="en-GB"/>
              </w:rPr>
              <w:drawing>
                <wp:inline distT="0" distB="0" distL="0" distR="0" wp14:anchorId="07B36941" wp14:editId="08D9895B">
                  <wp:extent cx="1008380" cy="791210"/>
                  <wp:effectExtent l="0" t="0" r="1270" b="8890"/>
                  <wp:docPr id="3" name="Picture 3"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791210"/>
                          </a:xfrm>
                          <a:prstGeom prst="rect">
                            <a:avLst/>
                          </a:prstGeom>
                          <a:noFill/>
                          <a:ln>
                            <a:noFill/>
                          </a:ln>
                        </pic:spPr>
                      </pic:pic>
                    </a:graphicData>
                  </a:graphic>
                </wp:inline>
              </w:drawing>
            </w:r>
          </w:p>
        </w:tc>
        <w:tc>
          <w:tcPr>
            <w:tcW w:w="4961" w:type="dxa"/>
            <w:tcBorders>
              <w:top w:val="single" w:sz="4" w:space="0" w:color="auto"/>
              <w:bottom w:val="single" w:sz="24" w:space="0" w:color="auto"/>
            </w:tcBorders>
          </w:tcPr>
          <w:p w14:paraId="274A9699" w14:textId="77777777" w:rsidR="008A715D" w:rsidRPr="002261B9" w:rsidRDefault="008A715D" w:rsidP="008A715D">
            <w:pPr>
              <w:tabs>
                <w:tab w:val="left" w:pos="1247"/>
                <w:tab w:val="left" w:pos="1814"/>
                <w:tab w:val="left" w:pos="2381"/>
                <w:tab w:val="left" w:pos="2948"/>
                <w:tab w:val="left" w:pos="3515"/>
              </w:tabs>
              <w:spacing w:before="840"/>
              <w:outlineLvl w:val="0"/>
              <w:rPr>
                <w:rFonts w:ascii="Arial" w:eastAsia="Times New Roman" w:hAnsi="Arial" w:cs="Arial"/>
                <w:b/>
                <w:sz w:val="28"/>
                <w:szCs w:val="20"/>
                <w:lang w:val="es-ES" w:eastAsia="en-US"/>
              </w:rPr>
            </w:pPr>
            <w:bookmarkStart w:id="1" w:name="_Toc501099188"/>
            <w:r w:rsidRPr="002261B9">
              <w:rPr>
                <w:rFonts w:ascii="Arial" w:eastAsia="Times New Roman" w:hAnsi="Arial" w:cs="Arial"/>
                <w:b/>
                <w:sz w:val="28"/>
                <w:szCs w:val="20"/>
                <w:lang w:val="es-ES" w:eastAsia="en-US"/>
              </w:rPr>
              <w:t>Convenio de Estocolmo</w:t>
            </w:r>
            <w:r w:rsidRPr="002261B9">
              <w:rPr>
                <w:rFonts w:ascii="Arial" w:eastAsia="Times New Roman" w:hAnsi="Arial" w:cs="Arial"/>
                <w:b/>
                <w:sz w:val="28"/>
                <w:szCs w:val="20"/>
                <w:lang w:val="es-ES" w:eastAsia="en-US"/>
              </w:rPr>
              <w:br/>
              <w:t>sobre Contaminantes</w:t>
            </w:r>
            <w:r w:rsidRPr="002261B9">
              <w:rPr>
                <w:rFonts w:ascii="Arial" w:eastAsia="Times New Roman" w:hAnsi="Arial" w:cs="Arial"/>
                <w:b/>
                <w:sz w:val="28"/>
                <w:szCs w:val="20"/>
                <w:lang w:val="es-ES" w:eastAsia="en-US"/>
              </w:rPr>
              <w:br/>
              <w:t>Orgánicos Persistentes</w:t>
            </w:r>
            <w:bookmarkEnd w:id="1"/>
          </w:p>
        </w:tc>
        <w:tc>
          <w:tcPr>
            <w:tcW w:w="3402" w:type="dxa"/>
            <w:tcBorders>
              <w:top w:val="single" w:sz="4" w:space="0" w:color="auto"/>
              <w:bottom w:val="single" w:sz="24" w:space="0" w:color="auto"/>
            </w:tcBorders>
          </w:tcPr>
          <w:p w14:paraId="738036F5" w14:textId="74EC13BE" w:rsidR="008A715D" w:rsidRPr="002261B9" w:rsidRDefault="008A715D" w:rsidP="008A715D">
            <w:pPr>
              <w:tabs>
                <w:tab w:val="left" w:pos="4082"/>
              </w:tabs>
              <w:spacing w:before="120"/>
              <w:rPr>
                <w:rFonts w:eastAsia="Times New Roman"/>
                <w:sz w:val="20"/>
                <w:szCs w:val="20"/>
                <w:lang w:val="es-ES" w:eastAsia="en-US"/>
              </w:rPr>
            </w:pPr>
            <w:r w:rsidRPr="002261B9">
              <w:rPr>
                <w:rFonts w:eastAsia="Times New Roman"/>
                <w:sz w:val="20"/>
                <w:szCs w:val="20"/>
                <w:lang w:val="es-ES" w:eastAsia="en-US"/>
              </w:rPr>
              <w:t>Distr. general</w:t>
            </w:r>
            <w:r w:rsidRPr="002261B9">
              <w:rPr>
                <w:rFonts w:eastAsia="Times New Roman"/>
                <w:sz w:val="20"/>
                <w:szCs w:val="20"/>
                <w:lang w:val="es-ES" w:eastAsia="en-US"/>
              </w:rPr>
              <w:br/>
              <w:t>16 de noviembre de 2017</w:t>
            </w:r>
          </w:p>
          <w:p w14:paraId="18C94ADE" w14:textId="77777777" w:rsidR="008A715D" w:rsidRPr="002261B9" w:rsidRDefault="008A715D" w:rsidP="008A715D">
            <w:pPr>
              <w:tabs>
                <w:tab w:val="left" w:pos="1247"/>
                <w:tab w:val="left" w:pos="1814"/>
                <w:tab w:val="left" w:pos="2381"/>
                <w:tab w:val="left" w:pos="2948"/>
                <w:tab w:val="left" w:pos="3515"/>
              </w:tabs>
              <w:spacing w:before="120"/>
              <w:rPr>
                <w:rFonts w:eastAsia="Times New Roman"/>
                <w:sz w:val="20"/>
                <w:szCs w:val="20"/>
                <w:lang w:val="es-ES" w:eastAsia="en-US"/>
              </w:rPr>
            </w:pPr>
            <w:r w:rsidRPr="002261B9">
              <w:rPr>
                <w:rFonts w:eastAsia="Times New Roman"/>
                <w:sz w:val="20"/>
                <w:szCs w:val="20"/>
                <w:lang w:val="es-ES" w:eastAsia="en-US"/>
              </w:rPr>
              <w:t>Español</w:t>
            </w:r>
            <w:r w:rsidRPr="002261B9">
              <w:rPr>
                <w:rFonts w:eastAsia="Times New Roman"/>
                <w:sz w:val="20"/>
                <w:szCs w:val="20"/>
                <w:lang w:val="es-ES" w:eastAsia="en-US"/>
              </w:rPr>
              <w:br/>
              <w:t>Original: inglés</w:t>
            </w:r>
          </w:p>
        </w:tc>
      </w:tr>
    </w:tbl>
    <w:p w14:paraId="65A721A6" w14:textId="77777777" w:rsidR="00425111" w:rsidRPr="002261B9" w:rsidRDefault="00761D39" w:rsidP="00557BB1">
      <w:pPr>
        <w:pStyle w:val="AATitle"/>
        <w:ind w:right="3969"/>
        <w:rPr>
          <w:lang w:val="es-ES"/>
        </w:rPr>
      </w:pPr>
      <w:r w:rsidRPr="002261B9">
        <w:rPr>
          <w:bCs/>
          <w:lang w:val="es-ES"/>
        </w:rPr>
        <w:t>Comité</w:t>
      </w:r>
      <w:r w:rsidR="00425111" w:rsidRPr="002261B9">
        <w:rPr>
          <w:bCs/>
          <w:lang w:val="es-ES"/>
        </w:rPr>
        <w:t xml:space="preserve"> de Examen de los Contaminantes </w:t>
      </w:r>
      <w:r w:rsidRPr="002261B9">
        <w:rPr>
          <w:bCs/>
          <w:lang w:val="es-ES"/>
        </w:rPr>
        <w:t>Orgánicos Persistentes</w:t>
      </w:r>
      <w:r w:rsidRPr="002261B9">
        <w:rPr>
          <w:lang w:val="es-ES"/>
        </w:rPr>
        <w:t xml:space="preserve"> </w:t>
      </w:r>
    </w:p>
    <w:p w14:paraId="57C2D736" w14:textId="77777777" w:rsidR="00761D39" w:rsidRPr="002261B9" w:rsidRDefault="00761D39" w:rsidP="008A715D">
      <w:pPr>
        <w:pStyle w:val="AATitle"/>
        <w:rPr>
          <w:b w:val="0"/>
          <w:lang w:val="es-ES"/>
        </w:rPr>
      </w:pPr>
      <w:r w:rsidRPr="002261B9">
        <w:rPr>
          <w:bCs/>
          <w:lang w:val="es-ES"/>
        </w:rPr>
        <w:t>13ª reunión</w:t>
      </w:r>
    </w:p>
    <w:p w14:paraId="5F24CE1B" w14:textId="27053029" w:rsidR="00761D39" w:rsidRPr="002261B9" w:rsidRDefault="00761D39" w:rsidP="008A715D">
      <w:pPr>
        <w:pStyle w:val="AATitle"/>
        <w:rPr>
          <w:lang w:val="es-ES"/>
        </w:rPr>
      </w:pPr>
      <w:r w:rsidRPr="002261B9">
        <w:rPr>
          <w:b w:val="0"/>
          <w:lang w:val="es-ES"/>
        </w:rPr>
        <w:t>Roma, 17 a 20 de octubre de 2017</w:t>
      </w:r>
    </w:p>
    <w:p w14:paraId="24C1EC01" w14:textId="7BF54C04" w:rsidR="0067557B" w:rsidRPr="002261B9" w:rsidRDefault="00761D39" w:rsidP="00557BB1">
      <w:pPr>
        <w:pStyle w:val="BBTitle"/>
        <w:rPr>
          <w:lang w:val="es-ES"/>
        </w:rPr>
      </w:pPr>
      <w:r w:rsidRPr="002261B9">
        <w:rPr>
          <w:lang w:val="es-ES"/>
        </w:rPr>
        <w:tab/>
      </w:r>
      <w:r w:rsidR="0067557B" w:rsidRPr="002261B9">
        <w:rPr>
          <w:lang w:val="es-ES"/>
        </w:rPr>
        <w:t>Informe del Comité de E E</w:t>
      </w:r>
      <w:bookmarkStart w:id="2" w:name="_GoBack"/>
      <w:bookmarkEnd w:id="2"/>
      <w:r w:rsidR="0067557B" w:rsidRPr="002261B9">
        <w:rPr>
          <w:lang w:val="es-ES"/>
        </w:rPr>
        <w:t>xamen de los Contaminantes Orgánicos Persistentes sobre la labor realizada en su</w:t>
      </w:r>
      <w:r w:rsidR="002261B9">
        <w:rPr>
          <w:lang w:val="es-ES"/>
        </w:rPr>
        <w:t> </w:t>
      </w:r>
      <w:r w:rsidR="0067557B" w:rsidRPr="002261B9">
        <w:rPr>
          <w:lang w:val="es-ES"/>
        </w:rPr>
        <w:t>13ª</w:t>
      </w:r>
      <w:r w:rsidR="00E1011E" w:rsidRPr="002261B9">
        <w:rPr>
          <w:lang w:val="es-ES"/>
        </w:rPr>
        <w:t> </w:t>
      </w:r>
      <w:r w:rsidR="0067557B" w:rsidRPr="002261B9">
        <w:rPr>
          <w:lang w:val="es-ES"/>
        </w:rPr>
        <w:t>reunión</w:t>
      </w:r>
    </w:p>
    <w:p w14:paraId="063C8A38" w14:textId="5179073D" w:rsidR="00761D39" w:rsidRPr="002261B9" w:rsidRDefault="0067557B" w:rsidP="00557BB1">
      <w:pPr>
        <w:pStyle w:val="CH2"/>
        <w:tabs>
          <w:tab w:val="clear" w:pos="851"/>
          <w:tab w:val="clear" w:pos="1247"/>
        </w:tabs>
        <w:spacing w:before="240" w:after="240"/>
        <w:rPr>
          <w:lang w:val="es-ES"/>
        </w:rPr>
      </w:pPr>
      <w:r w:rsidRPr="002261B9">
        <w:rPr>
          <w:bCs/>
          <w:lang w:val="es-ES"/>
        </w:rPr>
        <w:tab/>
      </w:r>
      <w:r w:rsidRPr="002261B9">
        <w:rPr>
          <w:bCs/>
          <w:lang w:val="es-ES"/>
        </w:rPr>
        <w:tab/>
      </w:r>
      <w:r w:rsidR="009D21CD" w:rsidRPr="002261B9">
        <w:rPr>
          <w:bCs/>
          <w:lang w:val="es-ES"/>
        </w:rPr>
        <w:t>Adición</w:t>
      </w:r>
    </w:p>
    <w:p w14:paraId="5B8F3CF7" w14:textId="0CE3BB80" w:rsidR="00761D39" w:rsidRPr="002261B9" w:rsidRDefault="00425111" w:rsidP="00557BB1">
      <w:pPr>
        <w:pStyle w:val="CH2"/>
        <w:tabs>
          <w:tab w:val="clear" w:pos="851"/>
          <w:tab w:val="clear" w:pos="1247"/>
        </w:tabs>
        <w:spacing w:before="120" w:after="240"/>
        <w:rPr>
          <w:lang w:val="es-ES"/>
        </w:rPr>
      </w:pPr>
      <w:r w:rsidRPr="002261B9">
        <w:rPr>
          <w:lang w:val="es-ES"/>
        </w:rPr>
        <w:tab/>
      </w:r>
      <w:r w:rsidR="009D21CD" w:rsidRPr="002261B9">
        <w:rPr>
          <w:lang w:val="es-ES"/>
        </w:rPr>
        <w:tab/>
        <w:t>Evaluación de la gestión de los riesgos sobre el ácido pentadecafluorooctanoico (núm. de CAS: 335-67-1, PFOA, ácido perfluorooctanoico), sus sales y compuestos conexos del PFOA</w:t>
      </w:r>
    </w:p>
    <w:p w14:paraId="2122B988" w14:textId="40BFACEC" w:rsidR="00761D39" w:rsidRPr="002261B9" w:rsidRDefault="00557BB1" w:rsidP="00557BB1">
      <w:pPr>
        <w:pStyle w:val="Normalnumber"/>
        <w:numPr>
          <w:ilvl w:val="0"/>
          <w:numId w:val="0"/>
        </w:numPr>
        <w:ind w:left="1247" w:firstLine="624"/>
        <w:rPr>
          <w:lang w:val="es-ES"/>
        </w:rPr>
      </w:pPr>
      <w:r>
        <w:rPr>
          <w:lang w:val="es-ES"/>
        </w:rPr>
        <w:tab/>
      </w:r>
      <w:r w:rsidR="00761D39" w:rsidRPr="002261B9">
        <w:rPr>
          <w:lang w:val="es-ES"/>
        </w:rPr>
        <w:t>En su 1</w:t>
      </w:r>
      <w:r w:rsidR="009D21CD" w:rsidRPr="002261B9">
        <w:rPr>
          <w:lang w:val="es-ES"/>
        </w:rPr>
        <w:t>3</w:t>
      </w:r>
      <w:r w:rsidR="00761D39" w:rsidRPr="002261B9">
        <w:rPr>
          <w:lang w:val="es-ES"/>
        </w:rPr>
        <w:t xml:space="preserve">ª reunión, </w:t>
      </w:r>
      <w:r w:rsidR="009D21CD" w:rsidRPr="002261B9">
        <w:rPr>
          <w:lang w:val="es-ES"/>
        </w:rPr>
        <w:t xml:space="preserve">en su decisión </w:t>
      </w:r>
      <w:r w:rsidR="009D21CD" w:rsidRPr="002261B9">
        <w:rPr>
          <w:rStyle w:val="DeltaViewInsertion"/>
          <w:color w:val="auto"/>
          <w:szCs w:val="24"/>
          <w:u w:val="none"/>
          <w:lang w:val="es-ES"/>
        </w:rPr>
        <w:t>POPRC-13/2</w:t>
      </w:r>
      <w:r w:rsidR="009D21CD" w:rsidRPr="002261B9">
        <w:rPr>
          <w:szCs w:val="24"/>
          <w:lang w:val="es-ES"/>
        </w:rPr>
        <w:t xml:space="preserve">, </w:t>
      </w:r>
      <w:r w:rsidR="00761D39" w:rsidRPr="002261B9">
        <w:rPr>
          <w:lang w:val="es-ES"/>
        </w:rPr>
        <w:t xml:space="preserve">el Comité de Examen de los Contaminantes Orgánicos Persistentes aprobó </w:t>
      </w:r>
      <w:r w:rsidR="009D21CD" w:rsidRPr="002261B9">
        <w:rPr>
          <w:lang w:val="es-ES"/>
        </w:rPr>
        <w:t>la evaluación de la gestión de los riesgos</w:t>
      </w:r>
      <w:r w:rsidR="00761D39" w:rsidRPr="002261B9">
        <w:rPr>
          <w:lang w:val="es-ES"/>
        </w:rPr>
        <w:t xml:space="preserve"> sobre el ácido pentadecafluorooctanoico (núm. de CAS: 335-67-1, PFOA, ácido perfluorooctanoico), sus sales y compuestos conexos del PFOA</w:t>
      </w:r>
      <w:r w:rsidR="009D21CD" w:rsidRPr="002261B9">
        <w:rPr>
          <w:lang w:val="es-ES"/>
        </w:rPr>
        <w:t xml:space="preserve"> sobre la base del proyecto que figuraba en la nota de la Secretaría (UNEP/POPS/POPRC.13/3), revisado durante la reunión. El texto de la evaluación de la gestión de los riesgos, tal como fue aprobado, figura en el anexo de la presente adición sin que haya sido objeto de revisión editorial en inglés.</w:t>
      </w:r>
    </w:p>
    <w:p w14:paraId="4BA58498" w14:textId="77777777" w:rsidR="00757B33" w:rsidRPr="002261B9" w:rsidRDefault="00757B33">
      <w:pPr>
        <w:rPr>
          <w:rFonts w:eastAsia="Times New Roman"/>
          <w:b/>
          <w:bCs/>
          <w:sz w:val="28"/>
          <w:szCs w:val="22"/>
          <w:lang w:val="es-ES" w:eastAsia="en-US"/>
        </w:rPr>
      </w:pPr>
      <w:r w:rsidRPr="002261B9">
        <w:rPr>
          <w:lang w:val="es-ES"/>
        </w:rPr>
        <w:br w:type="page"/>
      </w:r>
    </w:p>
    <w:p w14:paraId="63270500" w14:textId="59346F7A" w:rsidR="00761D39" w:rsidRPr="002261B9" w:rsidRDefault="00761D39" w:rsidP="00D005B6">
      <w:pPr>
        <w:pStyle w:val="ZZAnxheader"/>
        <w:jc w:val="both"/>
        <w:rPr>
          <w:lang w:val="es-ES"/>
        </w:rPr>
      </w:pPr>
      <w:r w:rsidRPr="002261B9">
        <w:rPr>
          <w:lang w:val="es-ES"/>
        </w:rPr>
        <w:lastRenderedPageBreak/>
        <w:t>Anexo</w:t>
      </w:r>
    </w:p>
    <w:p w14:paraId="6AF7CC41"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3F63D219"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737FE5EA"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0CA4443D"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14DA7FF3"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1D6B5210"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3937FFE9"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34616E27" w14:textId="77777777" w:rsidR="00F0713C" w:rsidRPr="002261B9" w:rsidRDefault="00F0713C"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18CBA636" w14:textId="77777777" w:rsidR="008304F0" w:rsidRPr="002261B9" w:rsidRDefault="00E451C4" w:rsidP="008A715D">
      <w:pPr>
        <w:tabs>
          <w:tab w:val="left" w:pos="624"/>
          <w:tab w:val="left" w:pos="1247"/>
          <w:tab w:val="left" w:pos="1871"/>
          <w:tab w:val="left" w:pos="2495"/>
          <w:tab w:val="left" w:pos="3119"/>
        </w:tabs>
        <w:autoSpaceDE w:val="0"/>
        <w:autoSpaceDN w:val="0"/>
        <w:adjustRightInd w:val="0"/>
        <w:spacing w:after="120"/>
        <w:jc w:val="center"/>
        <w:rPr>
          <w:b/>
          <w:bCs/>
          <w:sz w:val="44"/>
          <w:szCs w:val="44"/>
          <w:lang w:val="es-ES"/>
        </w:rPr>
      </w:pPr>
      <w:r w:rsidRPr="002261B9">
        <w:rPr>
          <w:b/>
          <w:bCs/>
          <w:sz w:val="44"/>
          <w:szCs w:val="44"/>
          <w:lang w:val="es-ES"/>
        </w:rPr>
        <w:t>PFOA, SUS SALES Y COMPUESTOS CONEXOS DEL PFOA</w:t>
      </w:r>
    </w:p>
    <w:p w14:paraId="57B42980" w14:textId="77777777" w:rsidR="008304F0" w:rsidRPr="002261B9" w:rsidRDefault="008304F0" w:rsidP="008A715D">
      <w:pPr>
        <w:tabs>
          <w:tab w:val="left" w:pos="624"/>
          <w:tab w:val="left" w:pos="1247"/>
          <w:tab w:val="left" w:pos="1871"/>
          <w:tab w:val="left" w:pos="2495"/>
          <w:tab w:val="left" w:pos="3119"/>
        </w:tabs>
        <w:autoSpaceDE w:val="0"/>
        <w:autoSpaceDN w:val="0"/>
        <w:adjustRightInd w:val="0"/>
        <w:spacing w:after="120"/>
        <w:jc w:val="center"/>
        <w:rPr>
          <w:b/>
          <w:bCs/>
          <w:sz w:val="44"/>
          <w:szCs w:val="44"/>
          <w:lang w:val="es-ES"/>
        </w:rPr>
      </w:pPr>
    </w:p>
    <w:p w14:paraId="35A90312" w14:textId="00AA6BCF" w:rsidR="008304F0" w:rsidRPr="002261B9" w:rsidRDefault="00B80BE0" w:rsidP="008A715D">
      <w:pPr>
        <w:tabs>
          <w:tab w:val="left" w:pos="624"/>
          <w:tab w:val="left" w:pos="1247"/>
          <w:tab w:val="left" w:pos="1871"/>
          <w:tab w:val="left" w:pos="2495"/>
          <w:tab w:val="left" w:pos="3119"/>
        </w:tabs>
        <w:autoSpaceDE w:val="0"/>
        <w:autoSpaceDN w:val="0"/>
        <w:adjustRightInd w:val="0"/>
        <w:spacing w:after="120"/>
        <w:jc w:val="center"/>
        <w:rPr>
          <w:b/>
          <w:bCs/>
          <w:sz w:val="44"/>
          <w:szCs w:val="44"/>
          <w:lang w:val="es-ES"/>
        </w:rPr>
      </w:pPr>
      <w:r w:rsidRPr="002261B9">
        <w:rPr>
          <w:b/>
          <w:bCs/>
          <w:sz w:val="44"/>
          <w:szCs w:val="44"/>
          <w:lang w:val="es-ES"/>
        </w:rPr>
        <w:t>EVALUACIÓN DE LA GESTIÓN DE LOS RIESGOS</w:t>
      </w:r>
    </w:p>
    <w:p w14:paraId="2FE78EC6"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615D1579"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4B0DB11A"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67500CBB"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05055D6B"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39DD9289"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044B623F"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5B04C182" w14:textId="77777777" w:rsidR="006336A0" w:rsidRPr="002261B9" w:rsidRDefault="006336A0" w:rsidP="00D005B6">
      <w:pPr>
        <w:tabs>
          <w:tab w:val="left" w:pos="624"/>
          <w:tab w:val="left" w:pos="1247"/>
          <w:tab w:val="left" w:pos="1871"/>
          <w:tab w:val="left" w:pos="2495"/>
          <w:tab w:val="left" w:pos="3119"/>
        </w:tabs>
        <w:autoSpaceDE w:val="0"/>
        <w:autoSpaceDN w:val="0"/>
        <w:adjustRightInd w:val="0"/>
        <w:spacing w:after="120"/>
        <w:jc w:val="both"/>
        <w:rPr>
          <w:b/>
          <w:bCs/>
          <w:sz w:val="44"/>
          <w:szCs w:val="44"/>
          <w:lang w:val="es-ES" w:eastAsia="ja-JP"/>
        </w:rPr>
      </w:pPr>
    </w:p>
    <w:p w14:paraId="60808206" w14:textId="575D8378" w:rsidR="008304F0" w:rsidRPr="002261B9" w:rsidRDefault="00E47BC0" w:rsidP="008A715D">
      <w:pPr>
        <w:tabs>
          <w:tab w:val="left" w:pos="624"/>
          <w:tab w:val="left" w:pos="1247"/>
          <w:tab w:val="left" w:pos="1871"/>
          <w:tab w:val="left" w:pos="2495"/>
          <w:tab w:val="left" w:pos="3119"/>
        </w:tabs>
        <w:autoSpaceDE w:val="0"/>
        <w:autoSpaceDN w:val="0"/>
        <w:adjustRightInd w:val="0"/>
        <w:spacing w:after="120"/>
        <w:jc w:val="center"/>
        <w:rPr>
          <w:sz w:val="32"/>
          <w:szCs w:val="32"/>
          <w:lang w:val="es-ES"/>
        </w:rPr>
      </w:pPr>
      <w:r w:rsidRPr="002261B9">
        <w:rPr>
          <w:sz w:val="32"/>
          <w:szCs w:val="32"/>
          <w:lang w:val="es-ES"/>
        </w:rPr>
        <w:t>Octubre</w:t>
      </w:r>
      <w:r w:rsidR="00547928" w:rsidRPr="002261B9">
        <w:rPr>
          <w:sz w:val="32"/>
          <w:szCs w:val="32"/>
          <w:lang w:val="es-ES"/>
        </w:rPr>
        <w:t xml:space="preserve"> de 2017</w:t>
      </w:r>
    </w:p>
    <w:p w14:paraId="3D090C4D" w14:textId="77777777" w:rsidR="008304F0" w:rsidRPr="002261B9" w:rsidRDefault="008304F0" w:rsidP="00D005B6">
      <w:pPr>
        <w:tabs>
          <w:tab w:val="left" w:pos="624"/>
          <w:tab w:val="left" w:pos="1247"/>
          <w:tab w:val="left" w:pos="1871"/>
          <w:tab w:val="left" w:pos="2495"/>
          <w:tab w:val="left" w:pos="3119"/>
        </w:tabs>
        <w:autoSpaceDE w:val="0"/>
        <w:autoSpaceDN w:val="0"/>
        <w:adjustRightInd w:val="0"/>
        <w:spacing w:after="120"/>
        <w:jc w:val="both"/>
        <w:rPr>
          <w:sz w:val="32"/>
          <w:szCs w:val="32"/>
          <w:lang w:val="es-ES"/>
        </w:rPr>
      </w:pPr>
    </w:p>
    <w:p w14:paraId="1F29C3EF" w14:textId="6FA8B8FF" w:rsidR="00C151FB" w:rsidRPr="002261B9" w:rsidRDefault="008304F0" w:rsidP="00D005B6">
      <w:pPr>
        <w:tabs>
          <w:tab w:val="left" w:pos="624"/>
          <w:tab w:val="left" w:pos="1247"/>
        </w:tabs>
        <w:spacing w:after="240"/>
        <w:ind w:left="516" w:firstLine="624"/>
        <w:jc w:val="both"/>
        <w:rPr>
          <w:b/>
          <w:sz w:val="28"/>
          <w:szCs w:val="28"/>
          <w:lang w:val="es-ES"/>
        </w:rPr>
      </w:pPr>
      <w:r w:rsidRPr="002261B9">
        <w:rPr>
          <w:lang w:val="es-ES"/>
        </w:rPr>
        <w:br w:type="page"/>
      </w:r>
      <w:r w:rsidR="00C151FB" w:rsidRPr="002261B9">
        <w:rPr>
          <w:b/>
          <w:bCs/>
          <w:sz w:val="28"/>
          <w:szCs w:val="28"/>
          <w:lang w:val="es-ES"/>
        </w:rPr>
        <w:lastRenderedPageBreak/>
        <w:t>Índice</w:t>
      </w:r>
    </w:p>
    <w:p w14:paraId="35E59F9B" w14:textId="46D6E340" w:rsidR="00E1011E" w:rsidRPr="002261B9" w:rsidRDefault="00A4782C" w:rsidP="00E1011E">
      <w:pPr>
        <w:pStyle w:val="TOC1"/>
        <w:rPr>
          <w:rFonts w:asciiTheme="minorHAnsi" w:eastAsiaTheme="minorEastAsia" w:hAnsiTheme="minorHAnsi" w:cstheme="minorBidi"/>
          <w:b w:val="0"/>
          <w:noProof/>
          <w:sz w:val="20"/>
          <w:szCs w:val="20"/>
          <w:lang w:val="es-ES" w:eastAsia="es-ES"/>
        </w:rPr>
      </w:pPr>
      <w:r w:rsidRPr="002261B9">
        <w:rPr>
          <w:sz w:val="20"/>
          <w:szCs w:val="20"/>
          <w:lang w:val="es-ES"/>
        </w:rPr>
        <w:fldChar w:fldCharType="begin"/>
      </w:r>
      <w:r w:rsidRPr="002261B9">
        <w:rPr>
          <w:sz w:val="20"/>
          <w:szCs w:val="20"/>
          <w:lang w:val="es-ES"/>
        </w:rPr>
        <w:instrText xml:space="preserve"> TOC \o "1-3" \h \z \u </w:instrText>
      </w:r>
      <w:r w:rsidRPr="002261B9">
        <w:rPr>
          <w:sz w:val="20"/>
          <w:szCs w:val="20"/>
          <w:lang w:val="es-ES"/>
        </w:rPr>
        <w:fldChar w:fldCharType="separate"/>
      </w:r>
      <w:hyperlink w:anchor="_Toc501099189" w:history="1">
        <w:r w:rsidR="00E1011E" w:rsidRPr="002261B9">
          <w:rPr>
            <w:rStyle w:val="Hyperlink"/>
            <w:noProof/>
            <w:sz w:val="20"/>
            <w:szCs w:val="20"/>
            <w:lang w:val="es-ES"/>
          </w:rPr>
          <w:t>Resumen ejecutivo</w:t>
        </w:r>
        <w:r w:rsidR="00E1011E" w:rsidRPr="002261B9">
          <w:rPr>
            <w:noProof/>
            <w:webHidden/>
            <w:sz w:val="20"/>
            <w:szCs w:val="20"/>
            <w:lang w:val="es-ES"/>
          </w:rPr>
          <w:tab/>
        </w:r>
        <w:r w:rsidR="00E1011E" w:rsidRPr="002261B9">
          <w:rPr>
            <w:noProof/>
            <w:webHidden/>
            <w:sz w:val="20"/>
            <w:szCs w:val="20"/>
            <w:lang w:val="es-ES"/>
          </w:rPr>
          <w:fldChar w:fldCharType="begin"/>
        </w:r>
        <w:r w:rsidR="00E1011E" w:rsidRPr="002261B9">
          <w:rPr>
            <w:noProof/>
            <w:webHidden/>
            <w:sz w:val="20"/>
            <w:szCs w:val="20"/>
            <w:lang w:val="es-ES"/>
          </w:rPr>
          <w:instrText xml:space="preserve"> PAGEREF _Toc501099189 \h </w:instrText>
        </w:r>
        <w:r w:rsidR="00E1011E" w:rsidRPr="002261B9">
          <w:rPr>
            <w:noProof/>
            <w:webHidden/>
            <w:sz w:val="20"/>
            <w:szCs w:val="20"/>
            <w:lang w:val="es-ES"/>
          </w:rPr>
        </w:r>
        <w:r w:rsidR="00E1011E" w:rsidRPr="002261B9">
          <w:rPr>
            <w:noProof/>
            <w:webHidden/>
            <w:sz w:val="20"/>
            <w:szCs w:val="20"/>
            <w:lang w:val="es-ES"/>
          </w:rPr>
          <w:fldChar w:fldCharType="separate"/>
        </w:r>
        <w:r w:rsidR="009D1441">
          <w:rPr>
            <w:noProof/>
            <w:webHidden/>
            <w:sz w:val="20"/>
            <w:szCs w:val="20"/>
            <w:lang w:val="es-ES"/>
          </w:rPr>
          <w:t>4</w:t>
        </w:r>
        <w:r w:rsidR="00E1011E" w:rsidRPr="002261B9">
          <w:rPr>
            <w:noProof/>
            <w:webHidden/>
            <w:sz w:val="20"/>
            <w:szCs w:val="20"/>
            <w:lang w:val="es-ES"/>
          </w:rPr>
          <w:fldChar w:fldCharType="end"/>
        </w:r>
      </w:hyperlink>
    </w:p>
    <w:p w14:paraId="4528CD68" w14:textId="01B54DE7" w:rsidR="00E1011E" w:rsidRPr="002261B9" w:rsidRDefault="0074368B" w:rsidP="00E1011E">
      <w:pPr>
        <w:pStyle w:val="TOC1"/>
        <w:tabs>
          <w:tab w:val="left" w:pos="1871"/>
        </w:tabs>
        <w:rPr>
          <w:rFonts w:asciiTheme="minorHAnsi" w:eastAsiaTheme="minorEastAsia" w:hAnsiTheme="minorHAnsi" w:cstheme="minorBidi"/>
          <w:b w:val="0"/>
          <w:noProof/>
          <w:sz w:val="20"/>
          <w:szCs w:val="20"/>
          <w:lang w:val="es-ES" w:eastAsia="es-ES"/>
        </w:rPr>
      </w:pPr>
      <w:hyperlink w:anchor="_Toc501099190" w:history="1">
        <w:r w:rsidR="00E1011E" w:rsidRPr="002261B9">
          <w:rPr>
            <w:rStyle w:val="Hyperlink"/>
            <w:noProof/>
            <w:sz w:val="20"/>
            <w:szCs w:val="20"/>
            <w:lang w:val="es-ES"/>
          </w:rPr>
          <w:t>1.</w:t>
        </w:r>
        <w:r w:rsidR="00E1011E" w:rsidRPr="002261B9">
          <w:rPr>
            <w:rFonts w:asciiTheme="minorHAnsi" w:eastAsiaTheme="minorEastAsia" w:hAnsiTheme="minorHAnsi" w:cstheme="minorBidi"/>
            <w:b w:val="0"/>
            <w:noProof/>
            <w:sz w:val="20"/>
            <w:szCs w:val="20"/>
            <w:lang w:val="es-ES" w:eastAsia="es-ES"/>
          </w:rPr>
          <w:tab/>
        </w:r>
        <w:r w:rsidR="00E1011E" w:rsidRPr="002261B9">
          <w:rPr>
            <w:rStyle w:val="Hyperlink"/>
            <w:noProof/>
            <w:sz w:val="20"/>
            <w:szCs w:val="20"/>
            <w:lang w:val="es-ES"/>
          </w:rPr>
          <w:t>Introducción</w:t>
        </w:r>
        <w:r w:rsidR="00E1011E" w:rsidRPr="002261B9">
          <w:rPr>
            <w:noProof/>
            <w:webHidden/>
            <w:sz w:val="20"/>
            <w:szCs w:val="20"/>
            <w:lang w:val="es-ES"/>
          </w:rPr>
          <w:tab/>
        </w:r>
        <w:r w:rsidR="00E1011E" w:rsidRPr="002261B9">
          <w:rPr>
            <w:noProof/>
            <w:webHidden/>
            <w:sz w:val="20"/>
            <w:szCs w:val="20"/>
            <w:lang w:val="es-ES"/>
          </w:rPr>
          <w:fldChar w:fldCharType="begin"/>
        </w:r>
        <w:r w:rsidR="00E1011E" w:rsidRPr="002261B9">
          <w:rPr>
            <w:noProof/>
            <w:webHidden/>
            <w:sz w:val="20"/>
            <w:szCs w:val="20"/>
            <w:lang w:val="es-ES"/>
          </w:rPr>
          <w:instrText xml:space="preserve"> PAGEREF _Toc501099190 \h </w:instrText>
        </w:r>
        <w:r w:rsidR="00E1011E" w:rsidRPr="002261B9">
          <w:rPr>
            <w:noProof/>
            <w:webHidden/>
            <w:sz w:val="20"/>
            <w:szCs w:val="20"/>
            <w:lang w:val="es-ES"/>
          </w:rPr>
        </w:r>
        <w:r w:rsidR="00E1011E" w:rsidRPr="002261B9">
          <w:rPr>
            <w:noProof/>
            <w:webHidden/>
            <w:sz w:val="20"/>
            <w:szCs w:val="20"/>
            <w:lang w:val="es-ES"/>
          </w:rPr>
          <w:fldChar w:fldCharType="separate"/>
        </w:r>
        <w:r w:rsidR="009D1441">
          <w:rPr>
            <w:noProof/>
            <w:webHidden/>
            <w:sz w:val="20"/>
            <w:szCs w:val="20"/>
            <w:lang w:val="es-ES"/>
          </w:rPr>
          <w:t>7</w:t>
        </w:r>
        <w:r w:rsidR="00E1011E" w:rsidRPr="002261B9">
          <w:rPr>
            <w:noProof/>
            <w:webHidden/>
            <w:sz w:val="20"/>
            <w:szCs w:val="20"/>
            <w:lang w:val="es-ES"/>
          </w:rPr>
          <w:fldChar w:fldCharType="end"/>
        </w:r>
      </w:hyperlink>
    </w:p>
    <w:p w14:paraId="495CEF4A" w14:textId="26428DD5"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1" w:history="1">
        <w:r w:rsidR="00E1011E" w:rsidRPr="002261B9">
          <w:rPr>
            <w:rStyle w:val="Hyperlink"/>
            <w:lang w:val="es-ES"/>
          </w:rPr>
          <w:t>1.1</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Identidad química del PFOA, sus sales y los compuestos conexos del PFOA.</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_Toc501099191 \h </w:instrText>
        </w:r>
        <w:r w:rsidR="00E1011E" w:rsidRPr="002261B9">
          <w:rPr>
            <w:webHidden/>
            <w:lang w:val="es-ES"/>
          </w:rPr>
        </w:r>
        <w:r w:rsidR="00E1011E" w:rsidRPr="002261B9">
          <w:rPr>
            <w:webHidden/>
            <w:lang w:val="es-ES"/>
          </w:rPr>
          <w:fldChar w:fldCharType="separate"/>
        </w:r>
        <w:r w:rsidR="009D1441">
          <w:rPr>
            <w:webHidden/>
            <w:lang w:val="es-ES"/>
          </w:rPr>
          <w:t>7</w:t>
        </w:r>
        <w:r w:rsidR="00E1011E" w:rsidRPr="002261B9">
          <w:rPr>
            <w:webHidden/>
            <w:lang w:val="es-ES"/>
          </w:rPr>
          <w:fldChar w:fldCharType="end"/>
        </w:r>
      </w:hyperlink>
    </w:p>
    <w:p w14:paraId="0D54C1ED" w14:textId="7C0DBD40"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2" w:history="1">
        <w:r w:rsidR="00E1011E" w:rsidRPr="002261B9">
          <w:rPr>
            <w:rStyle w:val="Hyperlink"/>
            <w:lang w:val="es-ES"/>
          </w:rPr>
          <w:t>1.2</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Conclusiones del Comité de Examen de los Contaminantes Orgánicos Persistentes en relación con la información solicitada en el anexo E</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_Toc501099192 \h </w:instrText>
        </w:r>
        <w:r w:rsidR="00E1011E" w:rsidRPr="002261B9">
          <w:rPr>
            <w:webHidden/>
            <w:lang w:val="es-ES"/>
          </w:rPr>
        </w:r>
        <w:r w:rsidR="00E1011E" w:rsidRPr="002261B9">
          <w:rPr>
            <w:webHidden/>
            <w:lang w:val="es-ES"/>
          </w:rPr>
          <w:fldChar w:fldCharType="separate"/>
        </w:r>
        <w:r w:rsidR="009D1441">
          <w:rPr>
            <w:webHidden/>
            <w:lang w:val="es-ES"/>
          </w:rPr>
          <w:t>9</w:t>
        </w:r>
        <w:r w:rsidR="00E1011E" w:rsidRPr="002261B9">
          <w:rPr>
            <w:webHidden/>
            <w:lang w:val="es-ES"/>
          </w:rPr>
          <w:fldChar w:fldCharType="end"/>
        </w:r>
      </w:hyperlink>
    </w:p>
    <w:p w14:paraId="07A064FD" w14:textId="58BC6E95"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3" w:history="1">
        <w:r w:rsidR="00E1011E" w:rsidRPr="002261B9">
          <w:rPr>
            <w:rStyle w:val="Hyperlink"/>
            <w:lang w:val="es-ES"/>
          </w:rPr>
          <w:t>1.3</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Fuentes de datos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_Toc501099193 \h </w:instrText>
        </w:r>
        <w:r w:rsidR="00E1011E" w:rsidRPr="002261B9">
          <w:rPr>
            <w:webHidden/>
            <w:lang w:val="es-ES"/>
          </w:rPr>
        </w:r>
        <w:r w:rsidR="00E1011E" w:rsidRPr="002261B9">
          <w:rPr>
            <w:webHidden/>
            <w:lang w:val="es-ES"/>
          </w:rPr>
          <w:fldChar w:fldCharType="separate"/>
        </w:r>
        <w:r w:rsidR="009D1441">
          <w:rPr>
            <w:webHidden/>
            <w:lang w:val="es-ES"/>
          </w:rPr>
          <w:t>10</w:t>
        </w:r>
        <w:r w:rsidR="00E1011E" w:rsidRPr="002261B9">
          <w:rPr>
            <w:webHidden/>
            <w:lang w:val="es-ES"/>
          </w:rPr>
          <w:fldChar w:fldCharType="end"/>
        </w:r>
      </w:hyperlink>
    </w:p>
    <w:p w14:paraId="2F4EE0C1" w14:textId="0C1A43E6" w:rsidR="00E1011E" w:rsidRPr="002261B9" w:rsidRDefault="0074368B" w:rsidP="00E1011E">
      <w:pPr>
        <w:pStyle w:val="TOC3"/>
        <w:rPr>
          <w:rFonts w:asciiTheme="minorHAnsi" w:eastAsiaTheme="minorEastAsia" w:hAnsiTheme="minorHAnsi" w:cstheme="minorBidi"/>
          <w:lang w:eastAsia="es-ES"/>
        </w:rPr>
      </w:pPr>
      <w:hyperlink w:anchor="_Toc501099194" w:history="1">
        <w:r w:rsidR="00E1011E" w:rsidRPr="002261B9">
          <w:rPr>
            <w:rStyle w:val="Hyperlink"/>
            <w:lang w:val="es-ES"/>
          </w:rPr>
          <w:t>1.3.1</w:t>
        </w:r>
        <w:r w:rsidR="00E1011E" w:rsidRPr="002261B9">
          <w:rPr>
            <w:rFonts w:asciiTheme="minorHAnsi" w:eastAsiaTheme="minorEastAsia" w:hAnsiTheme="minorHAnsi" w:cstheme="minorBidi"/>
            <w:lang w:eastAsia="es-ES"/>
          </w:rPr>
          <w:tab/>
        </w:r>
        <w:r w:rsidR="00E1011E" w:rsidRPr="002261B9">
          <w:rPr>
            <w:rStyle w:val="Hyperlink"/>
            <w:lang w:val="es-ES"/>
          </w:rPr>
          <w:t>Sinopsis de los datos presentados por las Partes y los observadores</w:t>
        </w:r>
        <w:r w:rsidR="00E1011E" w:rsidRPr="002261B9">
          <w:rPr>
            <w:webHidden/>
          </w:rPr>
          <w:tab/>
        </w:r>
        <w:r w:rsidR="00E1011E" w:rsidRPr="002261B9">
          <w:rPr>
            <w:webHidden/>
          </w:rPr>
          <w:fldChar w:fldCharType="begin"/>
        </w:r>
        <w:r w:rsidR="00E1011E" w:rsidRPr="002261B9">
          <w:rPr>
            <w:webHidden/>
          </w:rPr>
          <w:instrText xml:space="preserve"> PAGEREF _Toc501099194 \h </w:instrText>
        </w:r>
        <w:r w:rsidR="00E1011E" w:rsidRPr="002261B9">
          <w:rPr>
            <w:webHidden/>
          </w:rPr>
        </w:r>
        <w:r w:rsidR="00E1011E" w:rsidRPr="002261B9">
          <w:rPr>
            <w:webHidden/>
          </w:rPr>
          <w:fldChar w:fldCharType="separate"/>
        </w:r>
        <w:r w:rsidR="009D1441">
          <w:rPr>
            <w:webHidden/>
          </w:rPr>
          <w:t>10</w:t>
        </w:r>
        <w:r w:rsidR="00E1011E" w:rsidRPr="002261B9">
          <w:rPr>
            <w:webHidden/>
          </w:rPr>
          <w:fldChar w:fldCharType="end"/>
        </w:r>
      </w:hyperlink>
    </w:p>
    <w:p w14:paraId="0011115A" w14:textId="5A8EB6C3" w:rsidR="00E1011E" w:rsidRPr="002261B9" w:rsidRDefault="0074368B" w:rsidP="00E1011E">
      <w:pPr>
        <w:pStyle w:val="TOC3"/>
        <w:rPr>
          <w:rFonts w:asciiTheme="minorHAnsi" w:eastAsiaTheme="minorEastAsia" w:hAnsiTheme="minorHAnsi" w:cstheme="minorBidi"/>
          <w:lang w:eastAsia="es-ES"/>
        </w:rPr>
      </w:pPr>
      <w:hyperlink w:anchor="_Toc501099195" w:history="1">
        <w:r w:rsidR="00E1011E" w:rsidRPr="002261B9">
          <w:rPr>
            <w:rStyle w:val="Hyperlink"/>
            <w:lang w:val="es-ES"/>
          </w:rPr>
          <w:t>1.3.2</w:t>
        </w:r>
        <w:r w:rsidR="00E1011E" w:rsidRPr="002261B9">
          <w:rPr>
            <w:rFonts w:asciiTheme="minorHAnsi" w:eastAsiaTheme="minorEastAsia" w:hAnsiTheme="minorHAnsi" w:cstheme="minorBidi"/>
            <w:lang w:eastAsia="es-ES"/>
          </w:rPr>
          <w:tab/>
        </w:r>
        <w:r w:rsidR="00E1011E" w:rsidRPr="002261B9">
          <w:rPr>
            <w:rStyle w:val="Hyperlink"/>
            <w:lang w:val="es-ES"/>
          </w:rPr>
          <w:t>Otras fuentes de datos fundamentales</w:t>
        </w:r>
        <w:r w:rsidR="00E1011E" w:rsidRPr="002261B9">
          <w:rPr>
            <w:webHidden/>
          </w:rPr>
          <w:tab/>
        </w:r>
        <w:r w:rsidR="00E1011E" w:rsidRPr="002261B9">
          <w:rPr>
            <w:webHidden/>
          </w:rPr>
          <w:fldChar w:fldCharType="begin"/>
        </w:r>
        <w:r w:rsidR="00E1011E" w:rsidRPr="002261B9">
          <w:rPr>
            <w:webHidden/>
          </w:rPr>
          <w:instrText xml:space="preserve"> PAGEREF _Toc501099195 \h </w:instrText>
        </w:r>
        <w:r w:rsidR="00E1011E" w:rsidRPr="002261B9">
          <w:rPr>
            <w:webHidden/>
          </w:rPr>
        </w:r>
        <w:r w:rsidR="00E1011E" w:rsidRPr="002261B9">
          <w:rPr>
            <w:webHidden/>
          </w:rPr>
          <w:fldChar w:fldCharType="separate"/>
        </w:r>
        <w:r w:rsidR="009D1441">
          <w:rPr>
            <w:webHidden/>
          </w:rPr>
          <w:t>10</w:t>
        </w:r>
        <w:r w:rsidR="00E1011E" w:rsidRPr="002261B9">
          <w:rPr>
            <w:webHidden/>
          </w:rPr>
          <w:fldChar w:fldCharType="end"/>
        </w:r>
      </w:hyperlink>
    </w:p>
    <w:p w14:paraId="29D356E1" w14:textId="78F66FD6"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6" w:history="1">
        <w:r w:rsidR="00E1011E" w:rsidRPr="002261B9">
          <w:rPr>
            <w:rStyle w:val="Hyperlink"/>
            <w:lang w:val="es-ES"/>
          </w:rPr>
          <w:t>1.4</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Situación del producto químico en los convenios internacionales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_Toc501099196 \h </w:instrText>
        </w:r>
        <w:r w:rsidR="00E1011E" w:rsidRPr="002261B9">
          <w:rPr>
            <w:webHidden/>
            <w:lang w:val="es-ES"/>
          </w:rPr>
        </w:r>
        <w:r w:rsidR="00E1011E" w:rsidRPr="002261B9">
          <w:rPr>
            <w:webHidden/>
            <w:lang w:val="es-ES"/>
          </w:rPr>
          <w:fldChar w:fldCharType="separate"/>
        </w:r>
        <w:r w:rsidR="009D1441">
          <w:rPr>
            <w:webHidden/>
            <w:lang w:val="es-ES"/>
          </w:rPr>
          <w:t>10</w:t>
        </w:r>
        <w:r w:rsidR="00E1011E" w:rsidRPr="002261B9">
          <w:rPr>
            <w:webHidden/>
            <w:lang w:val="es-ES"/>
          </w:rPr>
          <w:fldChar w:fldCharType="end"/>
        </w:r>
      </w:hyperlink>
    </w:p>
    <w:p w14:paraId="2BB8BD86" w14:textId="645E56E8"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7" w:history="1">
        <w:r w:rsidR="00E1011E" w:rsidRPr="002261B9">
          <w:rPr>
            <w:rStyle w:val="Hyperlink"/>
            <w:lang w:val="es-ES"/>
          </w:rPr>
          <w:t>1.5</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 xml:space="preserve"> Medidas de control adoptadas a nivel nacional o regional</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_Toc501099197 \h </w:instrText>
        </w:r>
        <w:r w:rsidR="00E1011E" w:rsidRPr="002261B9">
          <w:rPr>
            <w:webHidden/>
            <w:lang w:val="es-ES"/>
          </w:rPr>
        </w:r>
        <w:r w:rsidR="00E1011E" w:rsidRPr="002261B9">
          <w:rPr>
            <w:webHidden/>
            <w:lang w:val="es-ES"/>
          </w:rPr>
          <w:fldChar w:fldCharType="separate"/>
        </w:r>
        <w:r w:rsidR="009D1441">
          <w:rPr>
            <w:webHidden/>
            <w:lang w:val="es-ES"/>
          </w:rPr>
          <w:t>11</w:t>
        </w:r>
        <w:r w:rsidR="00E1011E" w:rsidRPr="002261B9">
          <w:rPr>
            <w:webHidden/>
            <w:lang w:val="es-ES"/>
          </w:rPr>
          <w:fldChar w:fldCharType="end"/>
        </w:r>
      </w:hyperlink>
    </w:p>
    <w:p w14:paraId="694B7F3D" w14:textId="2AAEFF72" w:rsidR="00E1011E" w:rsidRPr="002261B9" w:rsidRDefault="0074368B" w:rsidP="00E1011E">
      <w:pPr>
        <w:pStyle w:val="TOC1"/>
        <w:tabs>
          <w:tab w:val="left" w:pos="1871"/>
        </w:tabs>
        <w:rPr>
          <w:rFonts w:asciiTheme="minorHAnsi" w:eastAsiaTheme="minorEastAsia" w:hAnsiTheme="minorHAnsi" w:cstheme="minorBidi"/>
          <w:b w:val="0"/>
          <w:noProof/>
          <w:sz w:val="20"/>
          <w:szCs w:val="20"/>
          <w:lang w:val="es-ES" w:eastAsia="es-ES"/>
        </w:rPr>
      </w:pPr>
      <w:hyperlink w:anchor="_Toc501099198" w:history="1">
        <w:r w:rsidR="00E1011E" w:rsidRPr="002261B9">
          <w:rPr>
            <w:rStyle w:val="Hyperlink"/>
            <w:noProof/>
            <w:sz w:val="20"/>
            <w:szCs w:val="20"/>
            <w:lang w:val="es-ES"/>
          </w:rPr>
          <w:t>2</w:t>
        </w:r>
        <w:r w:rsidR="00E1011E" w:rsidRPr="002261B9">
          <w:rPr>
            <w:rFonts w:asciiTheme="minorHAnsi" w:eastAsiaTheme="minorEastAsia" w:hAnsiTheme="minorHAnsi" w:cstheme="minorBidi"/>
            <w:b w:val="0"/>
            <w:noProof/>
            <w:sz w:val="20"/>
            <w:szCs w:val="20"/>
            <w:lang w:val="es-ES" w:eastAsia="es-ES"/>
          </w:rPr>
          <w:tab/>
        </w:r>
        <w:r w:rsidR="00E1011E" w:rsidRPr="002261B9">
          <w:rPr>
            <w:rStyle w:val="Hyperlink"/>
            <w:noProof/>
            <w:sz w:val="20"/>
            <w:szCs w:val="20"/>
            <w:lang w:val="es-ES"/>
          </w:rPr>
          <w:t>Información resumida relativa a la evaluación de la gestión de los riesgos</w:t>
        </w:r>
        <w:r w:rsidR="00E1011E" w:rsidRPr="002261B9">
          <w:rPr>
            <w:noProof/>
            <w:webHidden/>
            <w:sz w:val="20"/>
            <w:szCs w:val="20"/>
            <w:lang w:val="es-ES"/>
          </w:rPr>
          <w:tab/>
        </w:r>
        <w:r w:rsidR="00E1011E" w:rsidRPr="002261B9">
          <w:rPr>
            <w:noProof/>
            <w:webHidden/>
            <w:sz w:val="20"/>
            <w:szCs w:val="20"/>
            <w:lang w:val="es-ES"/>
          </w:rPr>
          <w:fldChar w:fldCharType="begin"/>
        </w:r>
        <w:r w:rsidR="00E1011E" w:rsidRPr="002261B9">
          <w:rPr>
            <w:noProof/>
            <w:webHidden/>
            <w:sz w:val="20"/>
            <w:szCs w:val="20"/>
            <w:lang w:val="es-ES"/>
          </w:rPr>
          <w:instrText xml:space="preserve"> PAGEREF _Toc501099198 \h </w:instrText>
        </w:r>
        <w:r w:rsidR="00E1011E" w:rsidRPr="002261B9">
          <w:rPr>
            <w:noProof/>
            <w:webHidden/>
            <w:sz w:val="20"/>
            <w:szCs w:val="20"/>
            <w:lang w:val="es-ES"/>
          </w:rPr>
        </w:r>
        <w:r w:rsidR="00E1011E" w:rsidRPr="002261B9">
          <w:rPr>
            <w:noProof/>
            <w:webHidden/>
            <w:sz w:val="20"/>
            <w:szCs w:val="20"/>
            <w:lang w:val="es-ES"/>
          </w:rPr>
          <w:fldChar w:fldCharType="separate"/>
        </w:r>
        <w:r w:rsidR="009D1441">
          <w:rPr>
            <w:noProof/>
            <w:webHidden/>
            <w:sz w:val="20"/>
            <w:szCs w:val="20"/>
            <w:lang w:val="es-ES"/>
          </w:rPr>
          <w:t>12</w:t>
        </w:r>
        <w:r w:rsidR="00E1011E" w:rsidRPr="002261B9">
          <w:rPr>
            <w:noProof/>
            <w:webHidden/>
            <w:sz w:val="20"/>
            <w:szCs w:val="20"/>
            <w:lang w:val="es-ES"/>
          </w:rPr>
          <w:fldChar w:fldCharType="end"/>
        </w:r>
      </w:hyperlink>
    </w:p>
    <w:p w14:paraId="105D44E5" w14:textId="57DB35AE"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199" w:history="1">
        <w:r w:rsidR="00E1011E" w:rsidRPr="002261B9">
          <w:rPr>
            <w:rStyle w:val="Hyperlink"/>
            <w:lang w:val="es-ES"/>
          </w:rPr>
          <w:t>2.1</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Determinación de las medidas de control que pueden adoptarse</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_Toc501099199 \h </w:instrText>
        </w:r>
        <w:r w:rsidR="00E1011E" w:rsidRPr="002261B9">
          <w:rPr>
            <w:webHidden/>
            <w:lang w:val="es-ES"/>
          </w:rPr>
        </w:r>
        <w:r w:rsidR="00E1011E" w:rsidRPr="002261B9">
          <w:rPr>
            <w:webHidden/>
            <w:lang w:val="es-ES"/>
          </w:rPr>
          <w:fldChar w:fldCharType="separate"/>
        </w:r>
        <w:r w:rsidR="009D1441">
          <w:rPr>
            <w:webHidden/>
            <w:lang w:val="es-ES"/>
          </w:rPr>
          <w:t>16</w:t>
        </w:r>
        <w:r w:rsidR="00E1011E" w:rsidRPr="002261B9">
          <w:rPr>
            <w:webHidden/>
            <w:lang w:val="es-ES"/>
          </w:rPr>
          <w:fldChar w:fldCharType="end"/>
        </w:r>
      </w:hyperlink>
    </w:p>
    <w:p w14:paraId="6528B0B9" w14:textId="1C81902E"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00" w:history="1">
        <w:r w:rsidR="00E1011E" w:rsidRPr="002261B9">
          <w:rPr>
            <w:rStyle w:val="Hyperlink"/>
            <w:lang w:val="es-ES"/>
          </w:rPr>
          <w:t>2.2</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Eficacia y eficiencia de las medidas de control que pueden adoptarse para lograr la reducción de los riesgos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_Toc501099200 \h </w:instrText>
        </w:r>
        <w:r w:rsidR="00E1011E" w:rsidRPr="002261B9">
          <w:rPr>
            <w:webHidden/>
            <w:lang w:val="es-ES"/>
          </w:rPr>
        </w:r>
        <w:r w:rsidR="00E1011E" w:rsidRPr="002261B9">
          <w:rPr>
            <w:webHidden/>
            <w:lang w:val="es-ES"/>
          </w:rPr>
          <w:fldChar w:fldCharType="separate"/>
        </w:r>
        <w:r w:rsidR="009D1441">
          <w:rPr>
            <w:webHidden/>
            <w:lang w:val="es-ES"/>
          </w:rPr>
          <w:t>16</w:t>
        </w:r>
        <w:r w:rsidR="00E1011E" w:rsidRPr="002261B9">
          <w:rPr>
            <w:webHidden/>
            <w:lang w:val="es-ES"/>
          </w:rPr>
          <w:fldChar w:fldCharType="end"/>
        </w:r>
      </w:hyperlink>
    </w:p>
    <w:p w14:paraId="65109780" w14:textId="55AF09DF" w:rsidR="00E1011E" w:rsidRPr="002261B9" w:rsidRDefault="0074368B" w:rsidP="00E1011E">
      <w:pPr>
        <w:pStyle w:val="TOC3"/>
        <w:rPr>
          <w:rFonts w:asciiTheme="minorHAnsi" w:eastAsiaTheme="minorEastAsia" w:hAnsiTheme="minorHAnsi" w:cstheme="minorBidi"/>
          <w:lang w:eastAsia="es-ES"/>
        </w:rPr>
      </w:pPr>
      <w:hyperlink w:anchor="_Toc501099201" w:history="1">
        <w:r w:rsidR="00E1011E" w:rsidRPr="002261B9">
          <w:rPr>
            <w:rStyle w:val="Hyperlink"/>
            <w:lang w:val="es-ES"/>
          </w:rPr>
          <w:t>2.2.1</w:t>
        </w:r>
        <w:r w:rsidR="00E1011E" w:rsidRPr="002261B9">
          <w:rPr>
            <w:rFonts w:asciiTheme="minorHAnsi" w:eastAsiaTheme="minorEastAsia" w:hAnsiTheme="minorHAnsi" w:cstheme="minorBidi"/>
            <w:lang w:eastAsia="es-ES"/>
          </w:rPr>
          <w:tab/>
        </w:r>
        <w:r w:rsidR="00E1011E" w:rsidRPr="002261B9">
          <w:rPr>
            <w:rStyle w:val="Hyperlink"/>
            <w:lang w:val="es-ES"/>
          </w:rPr>
          <w:t>Determinación de los usos y la producción de alternativas fluoradas de cadena corta</w:t>
        </w:r>
        <w:r w:rsidR="00E1011E" w:rsidRPr="002261B9">
          <w:rPr>
            <w:webHidden/>
          </w:rPr>
          <w:tab/>
        </w:r>
        <w:r w:rsidR="00E1011E" w:rsidRPr="002261B9">
          <w:rPr>
            <w:webHidden/>
          </w:rPr>
          <w:fldChar w:fldCharType="begin"/>
        </w:r>
        <w:r w:rsidR="00E1011E" w:rsidRPr="002261B9">
          <w:rPr>
            <w:webHidden/>
          </w:rPr>
          <w:instrText xml:space="preserve"> PAGEREF _Toc501099201 \h </w:instrText>
        </w:r>
        <w:r w:rsidR="00E1011E" w:rsidRPr="002261B9">
          <w:rPr>
            <w:webHidden/>
          </w:rPr>
        </w:r>
        <w:r w:rsidR="00E1011E" w:rsidRPr="002261B9">
          <w:rPr>
            <w:webHidden/>
          </w:rPr>
          <w:fldChar w:fldCharType="separate"/>
        </w:r>
        <w:r w:rsidR="009D1441">
          <w:rPr>
            <w:webHidden/>
          </w:rPr>
          <w:t>21</w:t>
        </w:r>
        <w:r w:rsidR="00E1011E" w:rsidRPr="002261B9">
          <w:rPr>
            <w:webHidden/>
          </w:rPr>
          <w:fldChar w:fldCharType="end"/>
        </w:r>
      </w:hyperlink>
    </w:p>
    <w:p w14:paraId="4890F1BA" w14:textId="1257C8A7" w:rsidR="00E1011E" w:rsidRPr="002261B9" w:rsidRDefault="0074368B" w:rsidP="00E1011E">
      <w:pPr>
        <w:pStyle w:val="TOC3"/>
        <w:rPr>
          <w:rFonts w:asciiTheme="minorHAnsi" w:eastAsiaTheme="minorEastAsia" w:hAnsiTheme="minorHAnsi" w:cstheme="minorBidi"/>
          <w:lang w:eastAsia="es-ES"/>
        </w:rPr>
      </w:pPr>
      <w:hyperlink w:anchor="_Toc501099202" w:history="1">
        <w:r w:rsidR="00E1011E" w:rsidRPr="002261B9">
          <w:rPr>
            <w:rStyle w:val="Hyperlink"/>
            <w:lang w:val="es-ES"/>
          </w:rPr>
          <w:t>2.2.2</w:t>
        </w:r>
        <w:r w:rsidR="00E1011E" w:rsidRPr="002261B9">
          <w:rPr>
            <w:rFonts w:asciiTheme="minorHAnsi" w:eastAsiaTheme="minorEastAsia" w:hAnsiTheme="minorHAnsi" w:cstheme="minorBidi"/>
            <w:lang w:eastAsia="es-ES"/>
          </w:rPr>
          <w:tab/>
        </w:r>
        <w:r w:rsidR="00E1011E" w:rsidRPr="002261B9">
          <w:rPr>
            <w:rStyle w:val="Hyperlink"/>
            <w:lang w:val="es-ES"/>
          </w:rPr>
          <w:t>Costos y beneficios de la aplicación de medidas de control</w:t>
        </w:r>
        <w:r w:rsidR="00E1011E" w:rsidRPr="002261B9">
          <w:rPr>
            <w:webHidden/>
          </w:rPr>
          <w:tab/>
        </w:r>
        <w:r w:rsidR="00E1011E" w:rsidRPr="002261B9">
          <w:rPr>
            <w:webHidden/>
          </w:rPr>
          <w:fldChar w:fldCharType="begin"/>
        </w:r>
        <w:r w:rsidR="00E1011E" w:rsidRPr="002261B9">
          <w:rPr>
            <w:webHidden/>
          </w:rPr>
          <w:instrText xml:space="preserve"> PAGEREF _Toc501099202 \h </w:instrText>
        </w:r>
        <w:r w:rsidR="00E1011E" w:rsidRPr="002261B9">
          <w:rPr>
            <w:webHidden/>
          </w:rPr>
        </w:r>
        <w:r w:rsidR="00E1011E" w:rsidRPr="002261B9">
          <w:rPr>
            <w:webHidden/>
          </w:rPr>
          <w:fldChar w:fldCharType="separate"/>
        </w:r>
        <w:r w:rsidR="009D1441">
          <w:rPr>
            <w:webHidden/>
          </w:rPr>
          <w:t>27</w:t>
        </w:r>
        <w:r w:rsidR="00E1011E" w:rsidRPr="002261B9">
          <w:rPr>
            <w:webHidden/>
          </w:rPr>
          <w:fldChar w:fldCharType="end"/>
        </w:r>
      </w:hyperlink>
    </w:p>
    <w:p w14:paraId="7B963972" w14:textId="7F335465"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03" w:history="1">
        <w:r w:rsidR="00E1011E" w:rsidRPr="002261B9">
          <w:rPr>
            <w:rStyle w:val="Hyperlink"/>
            <w:lang w:val="es-ES"/>
          </w:rPr>
          <w:t>2.3</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Información sobre productos y procesos alternativos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_Toc501099203 \h </w:instrText>
        </w:r>
        <w:r w:rsidR="00E1011E" w:rsidRPr="002261B9">
          <w:rPr>
            <w:webHidden/>
            <w:lang w:val="es-ES"/>
          </w:rPr>
        </w:r>
        <w:r w:rsidR="00E1011E" w:rsidRPr="002261B9">
          <w:rPr>
            <w:webHidden/>
            <w:lang w:val="es-ES"/>
          </w:rPr>
          <w:fldChar w:fldCharType="separate"/>
        </w:r>
        <w:r w:rsidR="009D1441">
          <w:rPr>
            <w:webHidden/>
            <w:lang w:val="es-ES"/>
          </w:rPr>
          <w:t>31</w:t>
        </w:r>
        <w:r w:rsidR="00E1011E" w:rsidRPr="002261B9">
          <w:rPr>
            <w:webHidden/>
            <w:lang w:val="es-ES"/>
          </w:rPr>
          <w:fldChar w:fldCharType="end"/>
        </w:r>
      </w:hyperlink>
    </w:p>
    <w:p w14:paraId="4D26B230" w14:textId="103AA2BC" w:rsidR="00E1011E" w:rsidRPr="002261B9" w:rsidRDefault="0074368B" w:rsidP="00E1011E">
      <w:pPr>
        <w:pStyle w:val="TOC3"/>
        <w:rPr>
          <w:rFonts w:asciiTheme="minorHAnsi" w:eastAsiaTheme="minorEastAsia" w:hAnsiTheme="minorHAnsi" w:cstheme="minorBidi"/>
          <w:lang w:eastAsia="es-ES"/>
        </w:rPr>
      </w:pPr>
      <w:hyperlink w:anchor="_Toc501099204" w:history="1">
        <w:r w:rsidR="00E1011E" w:rsidRPr="002261B9">
          <w:rPr>
            <w:rStyle w:val="Hyperlink"/>
            <w:lang w:val="es-ES"/>
          </w:rPr>
          <w:t>2.3.1</w:t>
        </w:r>
        <w:r w:rsidR="00E1011E" w:rsidRPr="002261B9">
          <w:rPr>
            <w:rFonts w:asciiTheme="minorHAnsi" w:eastAsiaTheme="minorEastAsia" w:hAnsiTheme="minorHAnsi" w:cstheme="minorBidi"/>
            <w:lang w:eastAsia="es-ES"/>
          </w:rPr>
          <w:tab/>
        </w:r>
        <w:r w:rsidR="00E1011E" w:rsidRPr="002261B9">
          <w:rPr>
            <w:rStyle w:val="Hyperlink"/>
            <w:lang w:val="es-ES"/>
          </w:rPr>
          <w:t>Resumen de las alternativas</w:t>
        </w:r>
        <w:r w:rsidR="00E1011E" w:rsidRPr="002261B9">
          <w:rPr>
            <w:webHidden/>
          </w:rPr>
          <w:tab/>
        </w:r>
        <w:r w:rsidR="00E1011E" w:rsidRPr="002261B9">
          <w:rPr>
            <w:webHidden/>
          </w:rPr>
          <w:fldChar w:fldCharType="begin"/>
        </w:r>
        <w:r w:rsidR="00E1011E" w:rsidRPr="002261B9">
          <w:rPr>
            <w:webHidden/>
          </w:rPr>
          <w:instrText xml:space="preserve"> PAGEREF _Toc501099204 \h </w:instrText>
        </w:r>
        <w:r w:rsidR="00E1011E" w:rsidRPr="002261B9">
          <w:rPr>
            <w:webHidden/>
          </w:rPr>
        </w:r>
        <w:r w:rsidR="00E1011E" w:rsidRPr="002261B9">
          <w:rPr>
            <w:webHidden/>
          </w:rPr>
          <w:fldChar w:fldCharType="separate"/>
        </w:r>
        <w:r w:rsidR="009D1441">
          <w:rPr>
            <w:webHidden/>
          </w:rPr>
          <w:t>31</w:t>
        </w:r>
        <w:r w:rsidR="00E1011E" w:rsidRPr="002261B9">
          <w:rPr>
            <w:webHidden/>
          </w:rPr>
          <w:fldChar w:fldCharType="end"/>
        </w:r>
      </w:hyperlink>
    </w:p>
    <w:p w14:paraId="608ECB4E" w14:textId="70282DF1" w:rsidR="00E1011E" w:rsidRPr="002261B9" w:rsidRDefault="0074368B" w:rsidP="00E1011E">
      <w:pPr>
        <w:pStyle w:val="TOC3"/>
        <w:rPr>
          <w:rFonts w:asciiTheme="minorHAnsi" w:eastAsiaTheme="minorEastAsia" w:hAnsiTheme="minorHAnsi" w:cstheme="minorBidi"/>
          <w:lang w:eastAsia="es-ES"/>
        </w:rPr>
      </w:pPr>
      <w:hyperlink w:anchor="_Toc501099205" w:history="1">
        <w:r w:rsidR="00E1011E" w:rsidRPr="002261B9">
          <w:rPr>
            <w:rStyle w:val="Hyperlink"/>
            <w:lang w:val="es-ES"/>
          </w:rPr>
          <w:t>2.3.2</w:t>
        </w:r>
        <w:r w:rsidR="00E1011E" w:rsidRPr="002261B9">
          <w:rPr>
            <w:rFonts w:asciiTheme="minorHAnsi" w:eastAsiaTheme="minorEastAsia" w:hAnsiTheme="minorHAnsi" w:cstheme="minorBidi"/>
            <w:lang w:eastAsia="es-ES"/>
          </w:rPr>
          <w:tab/>
        </w:r>
        <w:r w:rsidR="00E1011E" w:rsidRPr="002261B9">
          <w:rPr>
            <w:rStyle w:val="Hyperlink"/>
            <w:lang w:val="es-ES"/>
          </w:rPr>
          <w:t>Aspectos sectoriales específicos</w:t>
        </w:r>
        <w:r w:rsidR="00E1011E" w:rsidRPr="002261B9">
          <w:rPr>
            <w:webHidden/>
          </w:rPr>
          <w:tab/>
        </w:r>
        <w:r w:rsidR="00E1011E" w:rsidRPr="002261B9">
          <w:rPr>
            <w:webHidden/>
          </w:rPr>
          <w:fldChar w:fldCharType="begin"/>
        </w:r>
        <w:r w:rsidR="00E1011E" w:rsidRPr="002261B9">
          <w:rPr>
            <w:webHidden/>
          </w:rPr>
          <w:instrText xml:space="preserve"> PAGEREF _Toc501099205 \h </w:instrText>
        </w:r>
        <w:r w:rsidR="00E1011E" w:rsidRPr="002261B9">
          <w:rPr>
            <w:webHidden/>
          </w:rPr>
        </w:r>
        <w:r w:rsidR="00E1011E" w:rsidRPr="002261B9">
          <w:rPr>
            <w:webHidden/>
          </w:rPr>
          <w:fldChar w:fldCharType="separate"/>
        </w:r>
        <w:r w:rsidR="009D1441">
          <w:rPr>
            <w:webHidden/>
          </w:rPr>
          <w:t>31</w:t>
        </w:r>
        <w:r w:rsidR="00E1011E" w:rsidRPr="002261B9">
          <w:rPr>
            <w:webHidden/>
          </w:rPr>
          <w:fldChar w:fldCharType="end"/>
        </w:r>
      </w:hyperlink>
    </w:p>
    <w:p w14:paraId="611A5071" w14:textId="12C5D3D8" w:rsidR="00E1011E" w:rsidRPr="002261B9" w:rsidRDefault="0074368B" w:rsidP="00E1011E">
      <w:pPr>
        <w:pStyle w:val="TOC3"/>
        <w:rPr>
          <w:rFonts w:asciiTheme="minorHAnsi" w:eastAsiaTheme="minorEastAsia" w:hAnsiTheme="minorHAnsi" w:cstheme="minorBidi"/>
          <w:lang w:eastAsia="es-ES"/>
        </w:rPr>
      </w:pPr>
      <w:hyperlink w:anchor="_Toc501099206" w:history="1">
        <w:r w:rsidR="00E1011E" w:rsidRPr="002261B9">
          <w:rPr>
            <w:rStyle w:val="Hyperlink"/>
            <w:lang w:val="es-ES"/>
          </w:rPr>
          <w:t>2.3.3</w:t>
        </w:r>
        <w:r w:rsidR="00E1011E" w:rsidRPr="002261B9">
          <w:rPr>
            <w:rFonts w:asciiTheme="minorHAnsi" w:eastAsiaTheme="minorEastAsia" w:hAnsiTheme="minorHAnsi" w:cstheme="minorBidi"/>
            <w:lang w:eastAsia="es-ES"/>
          </w:rPr>
          <w:tab/>
        </w:r>
        <w:r w:rsidR="00E1011E" w:rsidRPr="002261B9">
          <w:rPr>
            <w:rStyle w:val="Hyperlink"/>
            <w:lang w:val="es-ES"/>
          </w:rPr>
          <w:t>Usos respecto de los cuales aún no se han determinado alternativas</w:t>
        </w:r>
        <w:r w:rsidR="00E1011E" w:rsidRPr="002261B9">
          <w:rPr>
            <w:webHidden/>
          </w:rPr>
          <w:tab/>
        </w:r>
        <w:r w:rsidR="00E1011E" w:rsidRPr="002261B9">
          <w:rPr>
            <w:webHidden/>
          </w:rPr>
          <w:fldChar w:fldCharType="begin"/>
        </w:r>
        <w:r w:rsidR="00E1011E" w:rsidRPr="002261B9">
          <w:rPr>
            <w:webHidden/>
          </w:rPr>
          <w:instrText xml:space="preserve"> PAGEREF _Toc501099206 \h </w:instrText>
        </w:r>
        <w:r w:rsidR="00E1011E" w:rsidRPr="002261B9">
          <w:rPr>
            <w:webHidden/>
          </w:rPr>
        </w:r>
        <w:r w:rsidR="00E1011E" w:rsidRPr="002261B9">
          <w:rPr>
            <w:webHidden/>
          </w:rPr>
          <w:fldChar w:fldCharType="separate"/>
        </w:r>
        <w:r w:rsidR="009D1441">
          <w:rPr>
            <w:webHidden/>
          </w:rPr>
          <w:t>39</w:t>
        </w:r>
        <w:r w:rsidR="00E1011E" w:rsidRPr="002261B9">
          <w:rPr>
            <w:webHidden/>
          </w:rPr>
          <w:fldChar w:fldCharType="end"/>
        </w:r>
      </w:hyperlink>
    </w:p>
    <w:p w14:paraId="498CE87A" w14:textId="651E2BD4" w:rsidR="00E1011E" w:rsidRPr="002261B9" w:rsidRDefault="0074368B" w:rsidP="00E1011E">
      <w:pPr>
        <w:pStyle w:val="TOC3"/>
        <w:rPr>
          <w:rFonts w:asciiTheme="minorHAnsi" w:eastAsiaTheme="minorEastAsia" w:hAnsiTheme="minorHAnsi" w:cstheme="minorBidi"/>
          <w:lang w:eastAsia="es-ES"/>
        </w:rPr>
      </w:pPr>
      <w:hyperlink w:anchor="_Toc501099207" w:history="1">
        <w:r w:rsidR="00E1011E" w:rsidRPr="002261B9">
          <w:rPr>
            <w:rStyle w:val="Hyperlink"/>
            <w:lang w:val="es-ES"/>
          </w:rPr>
          <w:t>2.3.4</w:t>
        </w:r>
        <w:r w:rsidR="00E1011E" w:rsidRPr="002261B9">
          <w:rPr>
            <w:rFonts w:asciiTheme="minorHAnsi" w:eastAsiaTheme="minorEastAsia" w:hAnsiTheme="minorHAnsi" w:cstheme="minorBidi"/>
            <w:lang w:eastAsia="es-ES"/>
          </w:rPr>
          <w:tab/>
        </w:r>
        <w:r w:rsidR="00E1011E" w:rsidRPr="002261B9">
          <w:rPr>
            <w:rStyle w:val="Hyperlink"/>
            <w:lang w:val="es-ES"/>
          </w:rPr>
          <w:t>Resumen de alternativas</w:t>
        </w:r>
        <w:r w:rsidR="00E1011E" w:rsidRPr="002261B9">
          <w:rPr>
            <w:webHidden/>
          </w:rPr>
          <w:tab/>
        </w:r>
        <w:r w:rsidR="00E1011E" w:rsidRPr="002261B9">
          <w:rPr>
            <w:webHidden/>
          </w:rPr>
          <w:fldChar w:fldCharType="begin"/>
        </w:r>
        <w:r w:rsidR="00E1011E" w:rsidRPr="002261B9">
          <w:rPr>
            <w:webHidden/>
          </w:rPr>
          <w:instrText xml:space="preserve"> PAGEREF _Toc501099207 \h </w:instrText>
        </w:r>
        <w:r w:rsidR="00E1011E" w:rsidRPr="002261B9">
          <w:rPr>
            <w:webHidden/>
          </w:rPr>
        </w:r>
        <w:r w:rsidR="00E1011E" w:rsidRPr="002261B9">
          <w:rPr>
            <w:webHidden/>
          </w:rPr>
          <w:fldChar w:fldCharType="separate"/>
        </w:r>
        <w:r w:rsidR="009D1441">
          <w:rPr>
            <w:webHidden/>
          </w:rPr>
          <w:t>41</w:t>
        </w:r>
        <w:r w:rsidR="00E1011E" w:rsidRPr="002261B9">
          <w:rPr>
            <w:webHidden/>
          </w:rPr>
          <w:fldChar w:fldCharType="end"/>
        </w:r>
      </w:hyperlink>
    </w:p>
    <w:p w14:paraId="3DBF599A" w14:textId="5EBDAD3F"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08" w:history="1">
        <w:r w:rsidR="00E1011E" w:rsidRPr="002261B9">
          <w:rPr>
            <w:rStyle w:val="Hyperlink"/>
            <w:lang w:val="es-ES"/>
          </w:rPr>
          <w:t>2.4</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Resumen de la información sobre los efectos en la sociedad de la aplicación de las medidas de control que se puede aplicar</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_Toc501099208 \h </w:instrText>
        </w:r>
        <w:r w:rsidR="00E1011E" w:rsidRPr="002261B9">
          <w:rPr>
            <w:webHidden/>
            <w:lang w:val="es-ES"/>
          </w:rPr>
        </w:r>
        <w:r w:rsidR="00E1011E" w:rsidRPr="002261B9">
          <w:rPr>
            <w:webHidden/>
            <w:lang w:val="es-ES"/>
          </w:rPr>
          <w:fldChar w:fldCharType="separate"/>
        </w:r>
        <w:r w:rsidR="009D1441">
          <w:rPr>
            <w:webHidden/>
            <w:lang w:val="es-ES"/>
          </w:rPr>
          <w:t>42</w:t>
        </w:r>
        <w:r w:rsidR="00E1011E" w:rsidRPr="002261B9">
          <w:rPr>
            <w:webHidden/>
            <w:lang w:val="es-ES"/>
          </w:rPr>
          <w:fldChar w:fldCharType="end"/>
        </w:r>
      </w:hyperlink>
    </w:p>
    <w:p w14:paraId="70DD3525" w14:textId="43C31BA0" w:rsidR="00E1011E" w:rsidRPr="002261B9" w:rsidRDefault="0074368B" w:rsidP="00E1011E">
      <w:pPr>
        <w:pStyle w:val="TOC3"/>
        <w:rPr>
          <w:rFonts w:asciiTheme="minorHAnsi" w:eastAsiaTheme="minorEastAsia" w:hAnsiTheme="minorHAnsi" w:cstheme="minorBidi"/>
          <w:lang w:eastAsia="es-ES"/>
        </w:rPr>
      </w:pPr>
      <w:hyperlink w:anchor="_Toc501099209" w:history="1">
        <w:r w:rsidR="00E1011E" w:rsidRPr="002261B9">
          <w:rPr>
            <w:rStyle w:val="Hyperlink"/>
            <w:lang w:val="es-ES"/>
          </w:rPr>
          <w:t>2.4.1</w:t>
        </w:r>
        <w:r w:rsidR="00E1011E" w:rsidRPr="002261B9">
          <w:rPr>
            <w:rFonts w:asciiTheme="minorHAnsi" w:eastAsiaTheme="minorEastAsia" w:hAnsiTheme="minorHAnsi" w:cstheme="minorBidi"/>
            <w:lang w:eastAsia="es-ES"/>
          </w:rPr>
          <w:tab/>
        </w:r>
        <w:r w:rsidR="00E1011E" w:rsidRPr="002261B9">
          <w:rPr>
            <w:rStyle w:val="Hyperlink"/>
            <w:lang w:val="es-ES"/>
          </w:rPr>
          <w:t>Salud, incluidas la salud pública, ambiental y laboral</w:t>
        </w:r>
        <w:r w:rsidR="00E1011E" w:rsidRPr="002261B9">
          <w:rPr>
            <w:webHidden/>
          </w:rPr>
          <w:tab/>
        </w:r>
        <w:r w:rsidR="00E1011E" w:rsidRPr="002261B9">
          <w:rPr>
            <w:webHidden/>
          </w:rPr>
          <w:fldChar w:fldCharType="begin"/>
        </w:r>
        <w:r w:rsidR="00E1011E" w:rsidRPr="002261B9">
          <w:rPr>
            <w:webHidden/>
          </w:rPr>
          <w:instrText xml:space="preserve"> PAGEREF _Toc501099209 \h </w:instrText>
        </w:r>
        <w:r w:rsidR="00E1011E" w:rsidRPr="002261B9">
          <w:rPr>
            <w:webHidden/>
          </w:rPr>
        </w:r>
        <w:r w:rsidR="00E1011E" w:rsidRPr="002261B9">
          <w:rPr>
            <w:webHidden/>
          </w:rPr>
          <w:fldChar w:fldCharType="separate"/>
        </w:r>
        <w:r w:rsidR="009D1441">
          <w:rPr>
            <w:webHidden/>
          </w:rPr>
          <w:t>42</w:t>
        </w:r>
        <w:r w:rsidR="00E1011E" w:rsidRPr="002261B9">
          <w:rPr>
            <w:webHidden/>
          </w:rPr>
          <w:fldChar w:fldCharType="end"/>
        </w:r>
      </w:hyperlink>
    </w:p>
    <w:p w14:paraId="714CC23A" w14:textId="52995430" w:rsidR="00E1011E" w:rsidRPr="002261B9" w:rsidRDefault="0074368B" w:rsidP="00E1011E">
      <w:pPr>
        <w:pStyle w:val="TOC3"/>
        <w:rPr>
          <w:rFonts w:asciiTheme="minorHAnsi" w:eastAsiaTheme="minorEastAsia" w:hAnsiTheme="minorHAnsi" w:cstheme="minorBidi"/>
          <w:lang w:eastAsia="es-ES"/>
        </w:rPr>
      </w:pPr>
      <w:hyperlink w:anchor="_Toc501099210" w:history="1">
        <w:r w:rsidR="00E1011E" w:rsidRPr="002261B9">
          <w:rPr>
            <w:rStyle w:val="Hyperlink"/>
            <w:lang w:val="es-ES"/>
          </w:rPr>
          <w:t>2.4.2</w:t>
        </w:r>
        <w:r w:rsidR="00E1011E" w:rsidRPr="002261B9">
          <w:rPr>
            <w:rFonts w:asciiTheme="minorHAnsi" w:eastAsiaTheme="minorEastAsia" w:hAnsiTheme="minorHAnsi" w:cstheme="minorBidi"/>
            <w:lang w:eastAsia="es-ES"/>
          </w:rPr>
          <w:tab/>
        </w:r>
        <w:r w:rsidR="00E1011E" w:rsidRPr="002261B9">
          <w:rPr>
            <w:rStyle w:val="Hyperlink"/>
            <w:lang w:val="es-ES"/>
          </w:rPr>
          <w:t>Agricultura, acuicultura y silvicultura</w:t>
        </w:r>
        <w:r w:rsidR="00E1011E" w:rsidRPr="002261B9">
          <w:rPr>
            <w:webHidden/>
          </w:rPr>
          <w:tab/>
        </w:r>
        <w:r w:rsidR="00E1011E" w:rsidRPr="002261B9">
          <w:rPr>
            <w:webHidden/>
          </w:rPr>
          <w:fldChar w:fldCharType="begin"/>
        </w:r>
        <w:r w:rsidR="00E1011E" w:rsidRPr="002261B9">
          <w:rPr>
            <w:webHidden/>
          </w:rPr>
          <w:instrText xml:space="preserve"> PAGEREF _Toc501099210 \h </w:instrText>
        </w:r>
        <w:r w:rsidR="00E1011E" w:rsidRPr="002261B9">
          <w:rPr>
            <w:webHidden/>
          </w:rPr>
        </w:r>
        <w:r w:rsidR="00E1011E" w:rsidRPr="002261B9">
          <w:rPr>
            <w:webHidden/>
          </w:rPr>
          <w:fldChar w:fldCharType="separate"/>
        </w:r>
        <w:r w:rsidR="009D1441">
          <w:rPr>
            <w:webHidden/>
          </w:rPr>
          <w:t>44</w:t>
        </w:r>
        <w:r w:rsidR="00E1011E" w:rsidRPr="002261B9">
          <w:rPr>
            <w:webHidden/>
          </w:rPr>
          <w:fldChar w:fldCharType="end"/>
        </w:r>
      </w:hyperlink>
    </w:p>
    <w:p w14:paraId="28C41997" w14:textId="2431CAED" w:rsidR="00E1011E" w:rsidRPr="002261B9" w:rsidRDefault="0074368B" w:rsidP="00E1011E">
      <w:pPr>
        <w:pStyle w:val="TOC3"/>
        <w:rPr>
          <w:rFonts w:asciiTheme="minorHAnsi" w:eastAsiaTheme="minorEastAsia" w:hAnsiTheme="minorHAnsi" w:cstheme="minorBidi"/>
          <w:lang w:eastAsia="es-ES"/>
        </w:rPr>
      </w:pPr>
      <w:hyperlink w:anchor="_Toc501099211" w:history="1">
        <w:r w:rsidR="00E1011E" w:rsidRPr="002261B9">
          <w:rPr>
            <w:rStyle w:val="Hyperlink"/>
            <w:lang w:val="es-ES"/>
          </w:rPr>
          <w:t>2.4.3</w:t>
        </w:r>
        <w:r w:rsidR="00E1011E" w:rsidRPr="002261B9">
          <w:rPr>
            <w:rFonts w:asciiTheme="minorHAnsi" w:eastAsiaTheme="minorEastAsia" w:hAnsiTheme="minorHAnsi" w:cstheme="minorBidi"/>
            <w:lang w:eastAsia="es-ES"/>
          </w:rPr>
          <w:tab/>
        </w:r>
        <w:r w:rsidR="00E1011E" w:rsidRPr="002261B9">
          <w:rPr>
            <w:rStyle w:val="Hyperlink"/>
            <w:lang w:val="es-ES"/>
          </w:rPr>
          <w:t>Biota (diversidad biológica)</w:t>
        </w:r>
        <w:r w:rsidR="00E1011E" w:rsidRPr="002261B9">
          <w:rPr>
            <w:webHidden/>
          </w:rPr>
          <w:tab/>
        </w:r>
        <w:r w:rsidR="00E1011E" w:rsidRPr="002261B9">
          <w:rPr>
            <w:webHidden/>
          </w:rPr>
          <w:fldChar w:fldCharType="begin"/>
        </w:r>
        <w:r w:rsidR="00E1011E" w:rsidRPr="002261B9">
          <w:rPr>
            <w:webHidden/>
          </w:rPr>
          <w:instrText xml:space="preserve"> PAGEREF _Toc501099211 \h </w:instrText>
        </w:r>
        <w:r w:rsidR="00E1011E" w:rsidRPr="002261B9">
          <w:rPr>
            <w:webHidden/>
          </w:rPr>
        </w:r>
        <w:r w:rsidR="00E1011E" w:rsidRPr="002261B9">
          <w:rPr>
            <w:webHidden/>
          </w:rPr>
          <w:fldChar w:fldCharType="separate"/>
        </w:r>
        <w:r w:rsidR="009D1441">
          <w:rPr>
            <w:webHidden/>
          </w:rPr>
          <w:t>44</w:t>
        </w:r>
        <w:r w:rsidR="00E1011E" w:rsidRPr="002261B9">
          <w:rPr>
            <w:webHidden/>
          </w:rPr>
          <w:fldChar w:fldCharType="end"/>
        </w:r>
      </w:hyperlink>
    </w:p>
    <w:p w14:paraId="06168CB4" w14:textId="07358C23" w:rsidR="00E1011E" w:rsidRPr="002261B9" w:rsidRDefault="0074368B" w:rsidP="00E1011E">
      <w:pPr>
        <w:pStyle w:val="TOC3"/>
        <w:rPr>
          <w:rFonts w:asciiTheme="minorHAnsi" w:eastAsiaTheme="minorEastAsia" w:hAnsiTheme="minorHAnsi" w:cstheme="minorBidi"/>
          <w:lang w:eastAsia="es-ES"/>
        </w:rPr>
      </w:pPr>
      <w:hyperlink w:anchor="_Toc501099212" w:history="1">
        <w:r w:rsidR="00E1011E" w:rsidRPr="002261B9">
          <w:rPr>
            <w:rStyle w:val="Hyperlink"/>
            <w:lang w:val="es-ES"/>
          </w:rPr>
          <w:t>2.4.4</w:t>
        </w:r>
        <w:r w:rsidR="00E1011E" w:rsidRPr="002261B9">
          <w:rPr>
            <w:rFonts w:asciiTheme="minorHAnsi" w:eastAsiaTheme="minorEastAsia" w:hAnsiTheme="minorHAnsi" w:cstheme="minorBidi"/>
            <w:lang w:eastAsia="es-ES"/>
          </w:rPr>
          <w:tab/>
        </w:r>
        <w:r w:rsidR="00E1011E" w:rsidRPr="002261B9">
          <w:rPr>
            <w:rStyle w:val="Hyperlink"/>
            <w:lang w:val="es-ES"/>
          </w:rPr>
          <w:t>Aspectos económicos</w:t>
        </w:r>
        <w:r w:rsidR="00E1011E" w:rsidRPr="002261B9">
          <w:rPr>
            <w:webHidden/>
          </w:rPr>
          <w:tab/>
        </w:r>
        <w:r w:rsidR="00E1011E" w:rsidRPr="002261B9">
          <w:rPr>
            <w:webHidden/>
          </w:rPr>
          <w:fldChar w:fldCharType="begin"/>
        </w:r>
        <w:r w:rsidR="00E1011E" w:rsidRPr="002261B9">
          <w:rPr>
            <w:webHidden/>
          </w:rPr>
          <w:instrText xml:space="preserve"> PAGEREF _Toc501099212 \h </w:instrText>
        </w:r>
        <w:r w:rsidR="00E1011E" w:rsidRPr="002261B9">
          <w:rPr>
            <w:webHidden/>
          </w:rPr>
        </w:r>
        <w:r w:rsidR="00E1011E" w:rsidRPr="002261B9">
          <w:rPr>
            <w:webHidden/>
          </w:rPr>
          <w:fldChar w:fldCharType="separate"/>
        </w:r>
        <w:r w:rsidR="009D1441">
          <w:rPr>
            <w:webHidden/>
          </w:rPr>
          <w:t>44</w:t>
        </w:r>
        <w:r w:rsidR="00E1011E" w:rsidRPr="002261B9">
          <w:rPr>
            <w:webHidden/>
          </w:rPr>
          <w:fldChar w:fldCharType="end"/>
        </w:r>
      </w:hyperlink>
    </w:p>
    <w:p w14:paraId="2A207683" w14:textId="4216C683" w:rsidR="00E1011E" w:rsidRPr="002261B9" w:rsidRDefault="0074368B" w:rsidP="00E1011E">
      <w:pPr>
        <w:pStyle w:val="TOC3"/>
        <w:rPr>
          <w:rFonts w:asciiTheme="minorHAnsi" w:eastAsiaTheme="minorEastAsia" w:hAnsiTheme="minorHAnsi" w:cstheme="minorBidi"/>
          <w:lang w:eastAsia="es-ES"/>
        </w:rPr>
      </w:pPr>
      <w:hyperlink w:anchor="_Toc501099213" w:history="1">
        <w:r w:rsidR="00E1011E" w:rsidRPr="002261B9">
          <w:rPr>
            <w:rStyle w:val="Hyperlink"/>
            <w:lang w:val="es-ES"/>
          </w:rPr>
          <w:t>2.4.5</w:t>
        </w:r>
        <w:r w:rsidR="00E1011E" w:rsidRPr="002261B9">
          <w:rPr>
            <w:rFonts w:asciiTheme="minorHAnsi" w:eastAsiaTheme="minorEastAsia" w:hAnsiTheme="minorHAnsi" w:cstheme="minorBidi"/>
            <w:lang w:eastAsia="es-ES"/>
          </w:rPr>
          <w:tab/>
        </w:r>
        <w:r w:rsidR="00E1011E" w:rsidRPr="002261B9">
          <w:rPr>
            <w:rStyle w:val="Hyperlink"/>
            <w:lang w:val="es-ES"/>
          </w:rPr>
          <w:t>Avances hacia el desarrollo sostenible</w:t>
        </w:r>
        <w:r w:rsidR="00E1011E" w:rsidRPr="002261B9">
          <w:rPr>
            <w:webHidden/>
          </w:rPr>
          <w:tab/>
        </w:r>
        <w:r w:rsidR="00E1011E" w:rsidRPr="002261B9">
          <w:rPr>
            <w:webHidden/>
          </w:rPr>
          <w:fldChar w:fldCharType="begin"/>
        </w:r>
        <w:r w:rsidR="00E1011E" w:rsidRPr="002261B9">
          <w:rPr>
            <w:webHidden/>
          </w:rPr>
          <w:instrText xml:space="preserve"> PAGEREF _Toc501099213 \h </w:instrText>
        </w:r>
        <w:r w:rsidR="00E1011E" w:rsidRPr="002261B9">
          <w:rPr>
            <w:webHidden/>
          </w:rPr>
        </w:r>
        <w:r w:rsidR="00E1011E" w:rsidRPr="002261B9">
          <w:rPr>
            <w:webHidden/>
          </w:rPr>
          <w:fldChar w:fldCharType="separate"/>
        </w:r>
        <w:r w:rsidR="009D1441">
          <w:rPr>
            <w:webHidden/>
          </w:rPr>
          <w:t>46</w:t>
        </w:r>
        <w:r w:rsidR="00E1011E" w:rsidRPr="002261B9">
          <w:rPr>
            <w:webHidden/>
          </w:rPr>
          <w:fldChar w:fldCharType="end"/>
        </w:r>
      </w:hyperlink>
    </w:p>
    <w:p w14:paraId="3A6F3E01" w14:textId="37B401B1" w:rsidR="00E1011E" w:rsidRPr="002261B9" w:rsidRDefault="0074368B" w:rsidP="00E1011E">
      <w:pPr>
        <w:pStyle w:val="TOC3"/>
        <w:rPr>
          <w:rFonts w:asciiTheme="minorHAnsi" w:eastAsiaTheme="minorEastAsia" w:hAnsiTheme="minorHAnsi" w:cstheme="minorBidi"/>
          <w:lang w:eastAsia="es-ES"/>
        </w:rPr>
      </w:pPr>
      <w:hyperlink w:anchor="_Toc501099214" w:history="1">
        <w:r w:rsidR="00E1011E" w:rsidRPr="002261B9">
          <w:rPr>
            <w:rStyle w:val="Hyperlink"/>
            <w:lang w:val="es-ES"/>
          </w:rPr>
          <w:t>2.4.6</w:t>
        </w:r>
        <w:r w:rsidR="00E1011E" w:rsidRPr="002261B9">
          <w:rPr>
            <w:rFonts w:asciiTheme="minorHAnsi" w:eastAsiaTheme="minorEastAsia" w:hAnsiTheme="minorHAnsi" w:cstheme="minorBidi"/>
            <w:lang w:eastAsia="es-ES"/>
          </w:rPr>
          <w:tab/>
        </w:r>
        <w:r w:rsidR="00E1011E" w:rsidRPr="002261B9">
          <w:rPr>
            <w:rStyle w:val="Hyperlink"/>
            <w:lang w:val="es-ES"/>
          </w:rPr>
          <w:t>Costos sociales</w:t>
        </w:r>
        <w:r w:rsidR="00E1011E" w:rsidRPr="002261B9">
          <w:rPr>
            <w:webHidden/>
          </w:rPr>
          <w:tab/>
        </w:r>
        <w:r w:rsidR="00E1011E" w:rsidRPr="002261B9">
          <w:rPr>
            <w:webHidden/>
          </w:rPr>
          <w:fldChar w:fldCharType="begin"/>
        </w:r>
        <w:r w:rsidR="00E1011E" w:rsidRPr="002261B9">
          <w:rPr>
            <w:webHidden/>
          </w:rPr>
          <w:instrText xml:space="preserve"> PAGEREF _Toc501099214 \h </w:instrText>
        </w:r>
        <w:r w:rsidR="00E1011E" w:rsidRPr="002261B9">
          <w:rPr>
            <w:webHidden/>
          </w:rPr>
        </w:r>
        <w:r w:rsidR="00E1011E" w:rsidRPr="002261B9">
          <w:rPr>
            <w:webHidden/>
          </w:rPr>
          <w:fldChar w:fldCharType="separate"/>
        </w:r>
        <w:r w:rsidR="009D1441">
          <w:rPr>
            <w:webHidden/>
          </w:rPr>
          <w:t>46</w:t>
        </w:r>
        <w:r w:rsidR="00E1011E" w:rsidRPr="002261B9">
          <w:rPr>
            <w:webHidden/>
          </w:rPr>
          <w:fldChar w:fldCharType="end"/>
        </w:r>
      </w:hyperlink>
    </w:p>
    <w:p w14:paraId="58AA91F7" w14:textId="3039252F"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15" w:history="1">
        <w:r w:rsidR="00E1011E" w:rsidRPr="002261B9">
          <w:rPr>
            <w:rStyle w:val="Hyperlink"/>
            <w:lang w:val="es-ES"/>
          </w:rPr>
          <w:t>2.5</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Otras consideraciones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_Toc501099215 \h </w:instrText>
        </w:r>
        <w:r w:rsidR="00E1011E" w:rsidRPr="002261B9">
          <w:rPr>
            <w:webHidden/>
            <w:lang w:val="es-ES"/>
          </w:rPr>
        </w:r>
        <w:r w:rsidR="00E1011E" w:rsidRPr="002261B9">
          <w:rPr>
            <w:webHidden/>
            <w:lang w:val="es-ES"/>
          </w:rPr>
          <w:fldChar w:fldCharType="separate"/>
        </w:r>
        <w:r w:rsidR="009D1441">
          <w:rPr>
            <w:webHidden/>
            <w:lang w:val="es-ES"/>
          </w:rPr>
          <w:t>47</w:t>
        </w:r>
        <w:r w:rsidR="00E1011E" w:rsidRPr="002261B9">
          <w:rPr>
            <w:webHidden/>
            <w:lang w:val="es-ES"/>
          </w:rPr>
          <w:fldChar w:fldCharType="end"/>
        </w:r>
      </w:hyperlink>
    </w:p>
    <w:p w14:paraId="22AE9643" w14:textId="0A90E4CA" w:rsidR="00E1011E" w:rsidRPr="002261B9" w:rsidRDefault="0074368B" w:rsidP="00E1011E">
      <w:pPr>
        <w:pStyle w:val="TOC3"/>
        <w:rPr>
          <w:rFonts w:asciiTheme="minorHAnsi" w:eastAsiaTheme="minorEastAsia" w:hAnsiTheme="minorHAnsi" w:cstheme="minorBidi"/>
          <w:lang w:eastAsia="es-ES"/>
        </w:rPr>
      </w:pPr>
      <w:hyperlink w:anchor="_Toc501099216" w:history="1">
        <w:r w:rsidR="00E1011E" w:rsidRPr="002261B9">
          <w:rPr>
            <w:rStyle w:val="Hyperlink"/>
            <w:lang w:val="es-ES"/>
          </w:rPr>
          <w:t>2.5.1</w:t>
        </w:r>
        <w:r w:rsidR="00E1011E" w:rsidRPr="002261B9">
          <w:rPr>
            <w:rFonts w:asciiTheme="minorHAnsi" w:eastAsiaTheme="minorEastAsia" w:hAnsiTheme="minorHAnsi" w:cstheme="minorBidi"/>
            <w:lang w:eastAsia="es-ES"/>
          </w:rPr>
          <w:tab/>
        </w:r>
        <w:r w:rsidR="00E1011E" w:rsidRPr="002261B9">
          <w:rPr>
            <w:rStyle w:val="Hyperlink"/>
            <w:lang w:val="es-ES"/>
          </w:rPr>
          <w:t>Acceso a la información y educación del público</w:t>
        </w:r>
        <w:r w:rsidR="00E1011E" w:rsidRPr="002261B9">
          <w:rPr>
            <w:webHidden/>
          </w:rPr>
          <w:tab/>
        </w:r>
        <w:r w:rsidR="00E1011E" w:rsidRPr="002261B9">
          <w:rPr>
            <w:webHidden/>
          </w:rPr>
          <w:fldChar w:fldCharType="begin"/>
        </w:r>
        <w:r w:rsidR="00E1011E" w:rsidRPr="002261B9">
          <w:rPr>
            <w:webHidden/>
          </w:rPr>
          <w:instrText xml:space="preserve"> PAGEREF _Toc501099216 \h </w:instrText>
        </w:r>
        <w:r w:rsidR="00E1011E" w:rsidRPr="002261B9">
          <w:rPr>
            <w:webHidden/>
          </w:rPr>
        </w:r>
        <w:r w:rsidR="00E1011E" w:rsidRPr="002261B9">
          <w:rPr>
            <w:webHidden/>
          </w:rPr>
          <w:fldChar w:fldCharType="separate"/>
        </w:r>
        <w:r w:rsidR="009D1441">
          <w:rPr>
            <w:webHidden/>
          </w:rPr>
          <w:t>47</w:t>
        </w:r>
        <w:r w:rsidR="00E1011E" w:rsidRPr="002261B9">
          <w:rPr>
            <w:webHidden/>
          </w:rPr>
          <w:fldChar w:fldCharType="end"/>
        </w:r>
      </w:hyperlink>
    </w:p>
    <w:p w14:paraId="1EC7408A" w14:textId="3D7F8543" w:rsidR="00E1011E" w:rsidRPr="002261B9" w:rsidRDefault="0074368B" w:rsidP="00E1011E">
      <w:pPr>
        <w:pStyle w:val="TOC3"/>
        <w:rPr>
          <w:rFonts w:asciiTheme="minorHAnsi" w:eastAsiaTheme="minorEastAsia" w:hAnsiTheme="minorHAnsi" w:cstheme="minorBidi"/>
          <w:lang w:eastAsia="es-ES"/>
        </w:rPr>
      </w:pPr>
      <w:hyperlink w:anchor="_Toc501099217" w:history="1">
        <w:r w:rsidR="00E1011E" w:rsidRPr="002261B9">
          <w:rPr>
            <w:rStyle w:val="Hyperlink"/>
            <w:lang w:val="es-ES"/>
          </w:rPr>
          <w:t>2.5.2</w:t>
        </w:r>
        <w:r w:rsidR="00E1011E" w:rsidRPr="002261B9">
          <w:rPr>
            <w:rFonts w:asciiTheme="minorHAnsi" w:eastAsiaTheme="minorEastAsia" w:hAnsiTheme="minorHAnsi" w:cstheme="minorBidi"/>
            <w:lang w:eastAsia="es-ES"/>
          </w:rPr>
          <w:tab/>
        </w:r>
        <w:r w:rsidR="00E1011E" w:rsidRPr="002261B9">
          <w:rPr>
            <w:rStyle w:val="Hyperlink"/>
            <w:lang w:val="es-ES"/>
          </w:rPr>
          <w:t>Estado de la capacidad de control y monitorización</w:t>
        </w:r>
        <w:r w:rsidR="00E1011E" w:rsidRPr="002261B9">
          <w:rPr>
            <w:webHidden/>
          </w:rPr>
          <w:tab/>
        </w:r>
        <w:r w:rsidR="00E1011E" w:rsidRPr="002261B9">
          <w:rPr>
            <w:webHidden/>
          </w:rPr>
          <w:fldChar w:fldCharType="begin"/>
        </w:r>
        <w:r w:rsidR="00E1011E" w:rsidRPr="002261B9">
          <w:rPr>
            <w:webHidden/>
          </w:rPr>
          <w:instrText xml:space="preserve"> PAGEREF _Toc501099217 \h </w:instrText>
        </w:r>
        <w:r w:rsidR="00E1011E" w:rsidRPr="002261B9">
          <w:rPr>
            <w:webHidden/>
          </w:rPr>
        </w:r>
        <w:r w:rsidR="00E1011E" w:rsidRPr="002261B9">
          <w:rPr>
            <w:webHidden/>
          </w:rPr>
          <w:fldChar w:fldCharType="separate"/>
        </w:r>
        <w:r w:rsidR="009D1441">
          <w:rPr>
            <w:webHidden/>
          </w:rPr>
          <w:t>47</w:t>
        </w:r>
        <w:r w:rsidR="00E1011E" w:rsidRPr="002261B9">
          <w:rPr>
            <w:webHidden/>
          </w:rPr>
          <w:fldChar w:fldCharType="end"/>
        </w:r>
      </w:hyperlink>
    </w:p>
    <w:p w14:paraId="5D03AA73" w14:textId="02506E98" w:rsidR="00E1011E" w:rsidRPr="002261B9" w:rsidRDefault="0074368B" w:rsidP="00E1011E">
      <w:pPr>
        <w:pStyle w:val="TOC1"/>
        <w:tabs>
          <w:tab w:val="left" w:pos="1871"/>
        </w:tabs>
        <w:rPr>
          <w:rFonts w:asciiTheme="minorHAnsi" w:eastAsiaTheme="minorEastAsia" w:hAnsiTheme="minorHAnsi" w:cstheme="minorBidi"/>
          <w:b w:val="0"/>
          <w:noProof/>
          <w:sz w:val="20"/>
          <w:szCs w:val="20"/>
          <w:lang w:val="es-ES" w:eastAsia="es-ES"/>
        </w:rPr>
      </w:pPr>
      <w:hyperlink w:anchor="_Toc501099218" w:history="1">
        <w:r w:rsidR="00E1011E" w:rsidRPr="002261B9">
          <w:rPr>
            <w:rStyle w:val="Hyperlink"/>
            <w:noProof/>
            <w:sz w:val="20"/>
            <w:szCs w:val="20"/>
            <w:lang w:val="es-ES"/>
          </w:rPr>
          <w:t>3</w:t>
        </w:r>
        <w:r w:rsidR="00E1011E" w:rsidRPr="002261B9">
          <w:rPr>
            <w:rFonts w:asciiTheme="minorHAnsi" w:eastAsiaTheme="minorEastAsia" w:hAnsiTheme="minorHAnsi" w:cstheme="minorBidi"/>
            <w:b w:val="0"/>
            <w:noProof/>
            <w:sz w:val="20"/>
            <w:szCs w:val="20"/>
            <w:lang w:val="es-ES" w:eastAsia="es-ES"/>
          </w:rPr>
          <w:tab/>
        </w:r>
        <w:r w:rsidR="00E1011E" w:rsidRPr="002261B9">
          <w:rPr>
            <w:rStyle w:val="Hyperlink"/>
            <w:noProof/>
            <w:sz w:val="20"/>
            <w:szCs w:val="20"/>
            <w:lang w:val="es-ES"/>
          </w:rPr>
          <w:t>Síntesis de la información</w:t>
        </w:r>
        <w:r w:rsidR="00E1011E" w:rsidRPr="002261B9">
          <w:rPr>
            <w:noProof/>
            <w:webHidden/>
            <w:sz w:val="20"/>
            <w:szCs w:val="20"/>
            <w:lang w:val="es-ES"/>
          </w:rPr>
          <w:tab/>
        </w:r>
        <w:r w:rsidR="00E1011E" w:rsidRPr="002261B9">
          <w:rPr>
            <w:noProof/>
            <w:webHidden/>
            <w:sz w:val="20"/>
            <w:szCs w:val="20"/>
            <w:lang w:val="es-ES"/>
          </w:rPr>
          <w:fldChar w:fldCharType="begin"/>
        </w:r>
        <w:r w:rsidR="00E1011E" w:rsidRPr="002261B9">
          <w:rPr>
            <w:noProof/>
            <w:webHidden/>
            <w:sz w:val="20"/>
            <w:szCs w:val="20"/>
            <w:lang w:val="es-ES"/>
          </w:rPr>
          <w:instrText xml:space="preserve"> PAGEREF _Toc501099218 \h </w:instrText>
        </w:r>
        <w:r w:rsidR="00E1011E" w:rsidRPr="002261B9">
          <w:rPr>
            <w:noProof/>
            <w:webHidden/>
            <w:sz w:val="20"/>
            <w:szCs w:val="20"/>
            <w:lang w:val="es-ES"/>
          </w:rPr>
        </w:r>
        <w:r w:rsidR="00E1011E" w:rsidRPr="002261B9">
          <w:rPr>
            <w:noProof/>
            <w:webHidden/>
            <w:sz w:val="20"/>
            <w:szCs w:val="20"/>
            <w:lang w:val="es-ES"/>
          </w:rPr>
          <w:fldChar w:fldCharType="separate"/>
        </w:r>
        <w:r w:rsidR="009D1441">
          <w:rPr>
            <w:noProof/>
            <w:webHidden/>
            <w:sz w:val="20"/>
            <w:szCs w:val="20"/>
            <w:lang w:val="es-ES"/>
          </w:rPr>
          <w:t>48</w:t>
        </w:r>
        <w:r w:rsidR="00E1011E" w:rsidRPr="002261B9">
          <w:rPr>
            <w:noProof/>
            <w:webHidden/>
            <w:sz w:val="20"/>
            <w:szCs w:val="20"/>
            <w:lang w:val="es-ES"/>
          </w:rPr>
          <w:fldChar w:fldCharType="end"/>
        </w:r>
      </w:hyperlink>
    </w:p>
    <w:p w14:paraId="70AEE015" w14:textId="7DB18349"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19" w:history="1">
        <w:r w:rsidR="00E1011E" w:rsidRPr="002261B9">
          <w:rPr>
            <w:rStyle w:val="Hyperlink"/>
            <w:lang w:val="es-ES"/>
          </w:rPr>
          <w:t>3.1</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Resumen de la información sobre el perfil de riesgo</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_Toc501099219 \h </w:instrText>
        </w:r>
        <w:r w:rsidR="00E1011E" w:rsidRPr="002261B9">
          <w:rPr>
            <w:webHidden/>
            <w:lang w:val="es-ES"/>
          </w:rPr>
        </w:r>
        <w:r w:rsidR="00E1011E" w:rsidRPr="002261B9">
          <w:rPr>
            <w:webHidden/>
            <w:lang w:val="es-ES"/>
          </w:rPr>
          <w:fldChar w:fldCharType="separate"/>
        </w:r>
        <w:r w:rsidR="009D1441">
          <w:rPr>
            <w:webHidden/>
            <w:lang w:val="es-ES"/>
          </w:rPr>
          <w:t>48</w:t>
        </w:r>
        <w:r w:rsidR="00E1011E" w:rsidRPr="002261B9">
          <w:rPr>
            <w:webHidden/>
            <w:lang w:val="es-ES"/>
          </w:rPr>
          <w:fldChar w:fldCharType="end"/>
        </w:r>
      </w:hyperlink>
    </w:p>
    <w:p w14:paraId="7FD76B74" w14:textId="7B8336AC"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20" w:history="1">
        <w:r w:rsidR="00E1011E" w:rsidRPr="002261B9">
          <w:rPr>
            <w:rStyle w:val="Hyperlink"/>
            <w:lang w:val="es-ES"/>
          </w:rPr>
          <w:t>3.2</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Resumen de la información sobre la evaluación de la gestión de los riesgos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_Toc501099220 \h </w:instrText>
        </w:r>
        <w:r w:rsidR="00E1011E" w:rsidRPr="002261B9">
          <w:rPr>
            <w:webHidden/>
            <w:lang w:val="es-ES"/>
          </w:rPr>
        </w:r>
        <w:r w:rsidR="00E1011E" w:rsidRPr="002261B9">
          <w:rPr>
            <w:webHidden/>
            <w:lang w:val="es-ES"/>
          </w:rPr>
          <w:fldChar w:fldCharType="separate"/>
        </w:r>
        <w:r w:rsidR="009D1441">
          <w:rPr>
            <w:webHidden/>
            <w:lang w:val="es-ES"/>
          </w:rPr>
          <w:t>49</w:t>
        </w:r>
        <w:r w:rsidR="00E1011E" w:rsidRPr="002261B9">
          <w:rPr>
            <w:webHidden/>
            <w:lang w:val="es-ES"/>
          </w:rPr>
          <w:fldChar w:fldCharType="end"/>
        </w:r>
      </w:hyperlink>
    </w:p>
    <w:p w14:paraId="06423BA7" w14:textId="5BE0AD21" w:rsidR="00E1011E" w:rsidRPr="002261B9" w:rsidRDefault="0074368B" w:rsidP="00E1011E">
      <w:pPr>
        <w:pStyle w:val="TOC2"/>
        <w:tabs>
          <w:tab w:val="left" w:pos="2495"/>
        </w:tabs>
        <w:spacing w:after="120"/>
        <w:rPr>
          <w:rFonts w:asciiTheme="minorHAnsi" w:eastAsiaTheme="minorEastAsia" w:hAnsiTheme="minorHAnsi" w:cstheme="minorBidi"/>
          <w:color w:val="auto"/>
          <w:lang w:val="es-ES" w:eastAsia="es-ES"/>
        </w:rPr>
      </w:pPr>
      <w:hyperlink w:anchor="_Toc501099221" w:history="1">
        <w:r w:rsidR="00E1011E" w:rsidRPr="002261B9">
          <w:rPr>
            <w:rStyle w:val="Hyperlink"/>
            <w:lang w:val="es-ES"/>
          </w:rPr>
          <w:t>3.3</w:t>
        </w:r>
        <w:r w:rsidR="00E1011E" w:rsidRPr="002261B9">
          <w:rPr>
            <w:rFonts w:asciiTheme="minorHAnsi" w:eastAsiaTheme="minorEastAsia" w:hAnsiTheme="minorHAnsi" w:cstheme="minorBidi"/>
            <w:color w:val="auto"/>
            <w:lang w:val="es-ES" w:eastAsia="es-ES"/>
          </w:rPr>
          <w:tab/>
        </w:r>
        <w:r w:rsidR="00E1011E" w:rsidRPr="002261B9">
          <w:rPr>
            <w:rStyle w:val="Hyperlink"/>
            <w:lang w:val="es-ES"/>
          </w:rPr>
          <w:t>Medidas de gestión de los riesgos recomendadas</w:t>
        </w:r>
        <w:r w:rsidR="00E1011E" w:rsidRPr="002261B9">
          <w:rPr>
            <w:webHidden/>
            <w:lang w:val="es-ES"/>
          </w:rPr>
          <w:tab/>
        </w:r>
        <w:r w:rsidR="00E1011E" w:rsidRPr="002261B9">
          <w:rPr>
            <w:webHidden/>
            <w:lang w:val="es-ES"/>
          </w:rPr>
          <w:fldChar w:fldCharType="begin"/>
        </w:r>
        <w:r w:rsidR="00E1011E" w:rsidRPr="002261B9">
          <w:rPr>
            <w:webHidden/>
            <w:lang w:val="es-ES"/>
          </w:rPr>
          <w:instrText xml:space="preserve"> PAGEREF _Toc501099221 \h </w:instrText>
        </w:r>
        <w:r w:rsidR="00E1011E" w:rsidRPr="002261B9">
          <w:rPr>
            <w:webHidden/>
            <w:lang w:val="es-ES"/>
          </w:rPr>
        </w:r>
        <w:r w:rsidR="00E1011E" w:rsidRPr="002261B9">
          <w:rPr>
            <w:webHidden/>
            <w:lang w:val="es-ES"/>
          </w:rPr>
          <w:fldChar w:fldCharType="separate"/>
        </w:r>
        <w:r w:rsidR="009D1441">
          <w:rPr>
            <w:webHidden/>
            <w:lang w:val="es-ES"/>
          </w:rPr>
          <w:t>53</w:t>
        </w:r>
        <w:r w:rsidR="00E1011E" w:rsidRPr="002261B9">
          <w:rPr>
            <w:webHidden/>
            <w:lang w:val="es-ES"/>
          </w:rPr>
          <w:fldChar w:fldCharType="end"/>
        </w:r>
      </w:hyperlink>
    </w:p>
    <w:p w14:paraId="35F7288C" w14:textId="2DA38B22" w:rsidR="00E1011E" w:rsidRPr="002261B9" w:rsidRDefault="0074368B" w:rsidP="00E1011E">
      <w:pPr>
        <w:pStyle w:val="TOC1"/>
        <w:tabs>
          <w:tab w:val="left" w:pos="1871"/>
        </w:tabs>
        <w:rPr>
          <w:rFonts w:asciiTheme="minorHAnsi" w:eastAsiaTheme="minorEastAsia" w:hAnsiTheme="minorHAnsi" w:cstheme="minorBidi"/>
          <w:b w:val="0"/>
          <w:noProof/>
          <w:sz w:val="20"/>
          <w:szCs w:val="20"/>
          <w:lang w:val="es-ES" w:eastAsia="es-ES"/>
        </w:rPr>
      </w:pPr>
      <w:hyperlink w:anchor="_Toc501099222" w:history="1">
        <w:r w:rsidR="00E1011E" w:rsidRPr="002261B9">
          <w:rPr>
            <w:rStyle w:val="Hyperlink"/>
            <w:noProof/>
            <w:sz w:val="20"/>
            <w:szCs w:val="20"/>
            <w:lang w:val="es-ES"/>
          </w:rPr>
          <w:t>4</w:t>
        </w:r>
        <w:r w:rsidR="00E1011E" w:rsidRPr="002261B9">
          <w:rPr>
            <w:rFonts w:asciiTheme="minorHAnsi" w:eastAsiaTheme="minorEastAsia" w:hAnsiTheme="minorHAnsi" w:cstheme="minorBidi"/>
            <w:b w:val="0"/>
            <w:noProof/>
            <w:sz w:val="20"/>
            <w:szCs w:val="20"/>
            <w:lang w:val="es-ES" w:eastAsia="es-ES"/>
          </w:rPr>
          <w:tab/>
        </w:r>
        <w:r w:rsidR="00E1011E" w:rsidRPr="002261B9">
          <w:rPr>
            <w:rStyle w:val="Hyperlink"/>
            <w:noProof/>
            <w:sz w:val="20"/>
            <w:szCs w:val="20"/>
            <w:lang w:val="es-ES"/>
          </w:rPr>
          <w:t>Declaración final</w:t>
        </w:r>
        <w:r w:rsidR="00E1011E" w:rsidRPr="002261B9">
          <w:rPr>
            <w:noProof/>
            <w:webHidden/>
            <w:sz w:val="20"/>
            <w:szCs w:val="20"/>
            <w:lang w:val="es-ES"/>
          </w:rPr>
          <w:tab/>
        </w:r>
        <w:r w:rsidR="00E1011E" w:rsidRPr="002261B9">
          <w:rPr>
            <w:noProof/>
            <w:webHidden/>
            <w:sz w:val="20"/>
            <w:szCs w:val="20"/>
            <w:lang w:val="es-ES"/>
          </w:rPr>
          <w:fldChar w:fldCharType="begin"/>
        </w:r>
        <w:r w:rsidR="00E1011E" w:rsidRPr="002261B9">
          <w:rPr>
            <w:noProof/>
            <w:webHidden/>
            <w:sz w:val="20"/>
            <w:szCs w:val="20"/>
            <w:lang w:val="es-ES"/>
          </w:rPr>
          <w:instrText xml:space="preserve"> PAGEREF _Toc501099222 \h </w:instrText>
        </w:r>
        <w:r w:rsidR="00E1011E" w:rsidRPr="002261B9">
          <w:rPr>
            <w:noProof/>
            <w:webHidden/>
            <w:sz w:val="20"/>
            <w:szCs w:val="20"/>
            <w:lang w:val="es-ES"/>
          </w:rPr>
        </w:r>
        <w:r w:rsidR="00E1011E" w:rsidRPr="002261B9">
          <w:rPr>
            <w:noProof/>
            <w:webHidden/>
            <w:sz w:val="20"/>
            <w:szCs w:val="20"/>
            <w:lang w:val="es-ES"/>
          </w:rPr>
          <w:fldChar w:fldCharType="separate"/>
        </w:r>
        <w:r w:rsidR="009D1441">
          <w:rPr>
            <w:noProof/>
            <w:webHidden/>
            <w:sz w:val="20"/>
            <w:szCs w:val="20"/>
            <w:lang w:val="es-ES"/>
          </w:rPr>
          <w:t>53</w:t>
        </w:r>
        <w:r w:rsidR="00E1011E" w:rsidRPr="002261B9">
          <w:rPr>
            <w:noProof/>
            <w:webHidden/>
            <w:sz w:val="20"/>
            <w:szCs w:val="20"/>
            <w:lang w:val="es-ES"/>
          </w:rPr>
          <w:fldChar w:fldCharType="end"/>
        </w:r>
      </w:hyperlink>
    </w:p>
    <w:p w14:paraId="0B7567B1" w14:textId="7BB0A928" w:rsidR="00A4782C" w:rsidRPr="002261B9" w:rsidRDefault="00A4782C" w:rsidP="00A4782C">
      <w:pPr>
        <w:tabs>
          <w:tab w:val="left" w:pos="0"/>
          <w:tab w:val="right" w:leader="dot" w:pos="9072"/>
        </w:tabs>
        <w:spacing w:after="120"/>
        <w:ind w:left="1871" w:right="567" w:hanging="624"/>
        <w:rPr>
          <w:rFonts w:eastAsiaTheme="minorEastAsia"/>
          <w:b/>
          <w:noProof/>
          <w:sz w:val="20"/>
          <w:szCs w:val="20"/>
          <w:lang w:val="es-ES" w:eastAsia="en-US"/>
        </w:rPr>
      </w:pPr>
      <w:r w:rsidRPr="002261B9">
        <w:rPr>
          <w:sz w:val="20"/>
          <w:szCs w:val="20"/>
          <w:lang w:val="es-ES"/>
        </w:rPr>
        <w:fldChar w:fldCharType="end"/>
      </w:r>
      <w:r w:rsidR="001D03FD" w:rsidRPr="002261B9">
        <w:rPr>
          <w:b/>
          <w:sz w:val="20"/>
          <w:szCs w:val="20"/>
          <w:lang w:val="es-ES"/>
        </w:rPr>
        <w:t>Referencias</w:t>
      </w:r>
      <w:r w:rsidR="001D03FD" w:rsidRPr="002261B9">
        <w:rPr>
          <w:sz w:val="20"/>
          <w:szCs w:val="20"/>
          <w:lang w:val="es-ES"/>
        </w:rPr>
        <w:tab/>
        <w:t>55</w:t>
      </w:r>
    </w:p>
    <w:p w14:paraId="3C690466" w14:textId="77777777" w:rsidR="00A4782C" w:rsidRPr="002261B9" w:rsidRDefault="00A4782C" w:rsidP="008A715D">
      <w:pPr>
        <w:pStyle w:val="TOC1"/>
        <w:ind w:left="1763"/>
        <w:rPr>
          <w:lang w:val="es-ES"/>
        </w:rPr>
      </w:pPr>
    </w:p>
    <w:p w14:paraId="23DA8EE1" w14:textId="77777777" w:rsidR="00A4782C" w:rsidRPr="002261B9" w:rsidRDefault="00A4782C" w:rsidP="008A715D">
      <w:pPr>
        <w:pStyle w:val="TOC1"/>
        <w:ind w:left="1763"/>
        <w:rPr>
          <w:lang w:val="es-ES"/>
        </w:rPr>
      </w:pPr>
    </w:p>
    <w:p w14:paraId="0EAECF9F" w14:textId="4F2D4A8C" w:rsidR="00C151FB" w:rsidRPr="002261B9" w:rsidRDefault="00AF51DD" w:rsidP="00E1011E">
      <w:pPr>
        <w:pStyle w:val="Heading1"/>
        <w:keepNext w:val="0"/>
        <w:tabs>
          <w:tab w:val="left" w:pos="624"/>
          <w:tab w:val="left" w:pos="1247"/>
          <w:tab w:val="left" w:pos="1440"/>
        </w:tabs>
        <w:spacing w:after="120" w:line="240" w:lineRule="auto"/>
        <w:ind w:left="1679" w:hanging="432"/>
        <w:jc w:val="left"/>
        <w:rPr>
          <w:rFonts w:ascii="Times New Roman" w:hAnsi="Times New Roman"/>
          <w:sz w:val="24"/>
          <w:szCs w:val="24"/>
          <w:lang w:val="es-ES"/>
        </w:rPr>
      </w:pPr>
      <w:bookmarkStart w:id="3" w:name="_Toc501099189"/>
      <w:r w:rsidRPr="002261B9">
        <w:rPr>
          <w:rFonts w:ascii="Times New Roman" w:hAnsi="Times New Roman"/>
          <w:sz w:val="24"/>
          <w:szCs w:val="24"/>
          <w:lang w:val="es-ES"/>
        </w:rPr>
        <w:lastRenderedPageBreak/>
        <w:t>Resumen ejecutivo</w:t>
      </w:r>
      <w:bookmarkEnd w:id="3"/>
    </w:p>
    <w:p w14:paraId="635FC57A" w14:textId="77777777" w:rsidR="00E47BC0" w:rsidRPr="002261B9" w:rsidRDefault="009D2B8A" w:rsidP="00F45508">
      <w:pPr>
        <w:pStyle w:val="Paralevel1"/>
        <w:numPr>
          <w:ilvl w:val="0"/>
          <w:numId w:val="23"/>
        </w:numPr>
        <w:tabs>
          <w:tab w:val="clear" w:pos="0"/>
        </w:tabs>
        <w:ind w:left="1247" w:firstLine="0"/>
        <w:rPr>
          <w:lang w:val="es-ES"/>
        </w:rPr>
      </w:pPr>
      <w:r w:rsidRPr="002261B9">
        <w:rPr>
          <w:lang w:val="es-ES"/>
        </w:rPr>
        <w:t xml:space="preserve">En junio de 2015, la Unión Europea </w:t>
      </w:r>
      <w:r w:rsidR="00E47BC0" w:rsidRPr="002261B9">
        <w:rPr>
          <w:lang w:val="es-ES"/>
        </w:rPr>
        <w:t xml:space="preserve">(UE) </w:t>
      </w:r>
      <w:r w:rsidRPr="002261B9">
        <w:rPr>
          <w:lang w:val="es-ES"/>
        </w:rPr>
        <w:t>y sus Estados miembros presentaron una propuesta de inclusión del ácido pentadecafluorooctanoico (núm. de CAS: 335-67-1, PFOA, ácido perfluorooctanoico), sus sales y compuestos conexos del PFOA</w:t>
      </w:r>
      <w:r w:rsidR="002701C1" w:rsidRPr="002261B9">
        <w:rPr>
          <w:vertAlign w:val="superscript"/>
          <w:lang w:val="es-ES"/>
        </w:rPr>
        <w:footnoteReference w:id="1"/>
      </w:r>
      <w:r w:rsidRPr="002261B9">
        <w:rPr>
          <w:lang w:val="es-ES"/>
        </w:rPr>
        <w:t xml:space="preserve"> en los anexos A, B </w:t>
      </w:r>
      <w:r w:rsidR="00C47674" w:rsidRPr="002261B9">
        <w:rPr>
          <w:lang w:val="es-ES"/>
        </w:rPr>
        <w:t>y</w:t>
      </w:r>
      <w:r w:rsidRPr="002261B9">
        <w:rPr>
          <w:lang w:val="es-ES"/>
        </w:rPr>
        <w:t xml:space="preserve"> C del Convenio de Estocolmo (UNEP/POPS/POPRC.11/5). En su 12ª reunión, celebrada en septiembre de 2016, el Comité de Examen de los Contaminantes Orgánicos Persistentes (POPRC) llegó a la conclusión de que el PFOA es persistente, bioacumulativo y tóxico para los animales, incluso para los seres humanos. Se ha generalizado la presencia del PFOA y de algunos de sus compuestos en compartimentos ambientales, así como en la biota y los seres humanos. De </w:t>
      </w:r>
      <w:r w:rsidR="00614F37" w:rsidRPr="002261B9">
        <w:rPr>
          <w:lang w:val="es-ES"/>
        </w:rPr>
        <w:t>ahí</w:t>
      </w:r>
      <w:r w:rsidRPr="002261B9">
        <w:rPr>
          <w:lang w:val="es-ES"/>
        </w:rPr>
        <w:t xml:space="preserve"> que sea probable que el PFOA, sus sales y compuestos conexos</w:t>
      </w:r>
      <w:r w:rsidR="00E47BC0" w:rsidRPr="002261B9">
        <w:rPr>
          <w:lang w:val="es-ES"/>
        </w:rPr>
        <w:t xml:space="preserve"> del PFOA</w:t>
      </w:r>
      <w:r w:rsidRPr="002261B9">
        <w:rPr>
          <w:lang w:val="es-ES"/>
        </w:rPr>
        <w:t xml:space="preserve"> degraden a PFOA, como resultado de su transporte a larga distancia en el medio ambiente, lo que </w:t>
      </w:r>
      <w:r w:rsidR="00284890" w:rsidRPr="002261B9">
        <w:rPr>
          <w:lang w:val="es-ES"/>
        </w:rPr>
        <w:t>provocaría</w:t>
      </w:r>
      <w:r w:rsidRPr="002261B9">
        <w:rPr>
          <w:lang w:val="es-ES"/>
        </w:rPr>
        <w:t xml:space="preserve"> efectos tan perjudiciales en la salud humana, el medio ambiente o ambos que justifi</w:t>
      </w:r>
      <w:r w:rsidR="00A348B7" w:rsidRPr="002261B9">
        <w:rPr>
          <w:lang w:val="es-ES"/>
        </w:rPr>
        <w:t>carían</w:t>
      </w:r>
      <w:r w:rsidRPr="002261B9">
        <w:rPr>
          <w:lang w:val="es-ES"/>
        </w:rPr>
        <w:t xml:space="preserve"> la adopción de medidas a nivel mundial (UNEP/POPS/POPRC.12/11/Add.2)</w:t>
      </w:r>
      <w:r w:rsidR="00E47BC0" w:rsidRPr="002261B9">
        <w:rPr>
          <w:lang w:val="es-ES"/>
        </w:rPr>
        <w:t>.</w:t>
      </w:r>
    </w:p>
    <w:p w14:paraId="6C27B46E" w14:textId="77777777" w:rsidR="009D2B8A" w:rsidRPr="002261B9" w:rsidRDefault="00E47BC0" w:rsidP="00F45508">
      <w:pPr>
        <w:pStyle w:val="Paralevel1"/>
        <w:numPr>
          <w:ilvl w:val="0"/>
          <w:numId w:val="23"/>
        </w:numPr>
        <w:tabs>
          <w:tab w:val="clear" w:pos="0"/>
        </w:tabs>
        <w:ind w:left="1247" w:firstLine="0"/>
        <w:rPr>
          <w:lang w:val="es-ES"/>
        </w:rPr>
      </w:pPr>
      <w:r w:rsidRPr="002261B9">
        <w:rPr>
          <w:lang w:val="es-ES"/>
        </w:rPr>
        <w:t xml:space="preserve">En el párrafo 21 de la evaluación de la gestión de los riesgos </w:t>
      </w:r>
      <w:r w:rsidRPr="002261B9">
        <w:rPr>
          <w:rStyle w:val="DeltaViewInsertion"/>
          <w:color w:val="auto"/>
          <w:u w:val="none"/>
          <w:lang w:val="es-ES"/>
        </w:rPr>
        <w:t>(UNEP/POPS/POPRC.13/7/Add.2) se define el alcance de los productos químicos examinados y en el documento UNEP/POPS/POPRC.13/INF/6/Add.1 se presenta una lista exhaustiva de sustancias.</w:t>
      </w:r>
    </w:p>
    <w:p w14:paraId="4A41DB5E" w14:textId="5607E0EE" w:rsidR="009D2B8A" w:rsidRPr="002261B9" w:rsidRDefault="00D76444" w:rsidP="00F45508">
      <w:pPr>
        <w:pStyle w:val="Paralevel1"/>
        <w:numPr>
          <w:ilvl w:val="0"/>
          <w:numId w:val="23"/>
        </w:numPr>
        <w:tabs>
          <w:tab w:val="clear" w:pos="0"/>
        </w:tabs>
        <w:ind w:left="1247" w:firstLine="0"/>
        <w:rPr>
          <w:lang w:val="es-ES"/>
        </w:rPr>
      </w:pPr>
      <w:r w:rsidRPr="002261B9">
        <w:rPr>
          <w:lang w:val="es-ES"/>
        </w:rPr>
        <w:t>El PFOA, sus sales y los compuestos conexos del PFOA se utilizan en muy diversas aplicaciones y productos de consumo en muchos sectores (para más detalles, véase UNEP/POPS/POPRC.12/11/Add.2). El</w:t>
      </w:r>
      <w:r w:rsidR="00284890" w:rsidRPr="002261B9">
        <w:rPr>
          <w:lang w:val="es-ES"/>
        </w:rPr>
        <w:t xml:space="preserve"> principal uso presente o pretérito del </w:t>
      </w:r>
      <w:r w:rsidRPr="002261B9">
        <w:rPr>
          <w:lang w:val="es-ES"/>
        </w:rPr>
        <w:t xml:space="preserve">PFOA y sus sales </w:t>
      </w:r>
      <w:r w:rsidR="00284890" w:rsidRPr="002261B9">
        <w:rPr>
          <w:lang w:val="es-ES"/>
        </w:rPr>
        <w:t xml:space="preserve">ha sido </w:t>
      </w:r>
      <w:r w:rsidRPr="002261B9">
        <w:rPr>
          <w:lang w:val="es-ES"/>
        </w:rPr>
        <w:t xml:space="preserve">como agentes de procesos en la producción de fluoroelastómeros y fluoropolímeros, en la que el politetrafluoroetileno (PTFE) es un fluoropolímero importante usado en la producción de, por ejemplo, utensilios de cocina antiadherentes. Los compuestos conexos del PFOA, entre ellos los polímeros fluorados de cadena lateral, se usan como surfactantes y agentes de tratamiento de superficies, por ejemplo, en productos textiles, </w:t>
      </w:r>
      <w:r w:rsidR="007463CB" w:rsidRPr="002261B9">
        <w:rPr>
          <w:lang w:val="es-ES"/>
        </w:rPr>
        <w:t>papel, pinturas</w:t>
      </w:r>
      <w:r w:rsidRPr="002261B9">
        <w:rPr>
          <w:lang w:val="es-ES"/>
        </w:rPr>
        <w:t xml:space="preserve"> y espumas ignífugas</w:t>
      </w:r>
      <w:r w:rsidR="00037DDE" w:rsidRPr="002261B9">
        <w:rPr>
          <w:lang w:val="es-ES"/>
        </w:rPr>
        <w:t xml:space="preserve">. </w:t>
      </w:r>
      <w:r w:rsidR="00E47BC0" w:rsidRPr="002261B9">
        <w:rPr>
          <w:lang w:val="es-ES"/>
        </w:rPr>
        <w:t>Sobre la base de la información contenida en la evaluación de los riesgos se concluye que estos son los usos que requieren mayor cantidad de PFOA.</w:t>
      </w:r>
    </w:p>
    <w:p w14:paraId="5B898548" w14:textId="4127EC46" w:rsidR="009D2B8A" w:rsidRPr="002261B9" w:rsidRDefault="009D2B8A" w:rsidP="00F45508">
      <w:pPr>
        <w:pStyle w:val="Paralevel1"/>
        <w:numPr>
          <w:ilvl w:val="0"/>
          <w:numId w:val="23"/>
        </w:numPr>
        <w:tabs>
          <w:tab w:val="clear" w:pos="0"/>
        </w:tabs>
        <w:ind w:left="1247" w:firstLine="0"/>
        <w:rPr>
          <w:lang w:val="es-ES"/>
        </w:rPr>
      </w:pPr>
      <w:r w:rsidRPr="002261B9">
        <w:rPr>
          <w:lang w:val="es-ES"/>
        </w:rPr>
        <w:t xml:space="preserve">Las </w:t>
      </w:r>
      <w:r w:rsidR="00D76444" w:rsidRPr="002261B9">
        <w:rPr>
          <w:lang w:val="es-ES"/>
        </w:rPr>
        <w:t xml:space="preserve">liberaciones provienen </w:t>
      </w:r>
      <w:r w:rsidRPr="002261B9">
        <w:rPr>
          <w:lang w:val="es-ES"/>
        </w:rPr>
        <w:t>de la producción, el uso y la eliminación de</w:t>
      </w:r>
      <w:r w:rsidR="00D76444" w:rsidRPr="002261B9">
        <w:rPr>
          <w:lang w:val="es-ES"/>
        </w:rPr>
        <w:t>l pasado y de nuestros días</w:t>
      </w:r>
      <w:r w:rsidRPr="002261B9">
        <w:rPr>
          <w:lang w:val="es-ES"/>
        </w:rPr>
        <w:t xml:space="preserve">. Las </w:t>
      </w:r>
      <w:r w:rsidR="00D76444" w:rsidRPr="002261B9">
        <w:rPr>
          <w:lang w:val="es-ES"/>
        </w:rPr>
        <w:t>liberaciones</w:t>
      </w:r>
      <w:r w:rsidR="00A348B7" w:rsidRPr="002261B9">
        <w:rPr>
          <w:lang w:val="es-ES"/>
        </w:rPr>
        <w:t xml:space="preserve"> directas de PFOA y </w:t>
      </w:r>
      <w:r w:rsidRPr="002261B9">
        <w:rPr>
          <w:lang w:val="es-ES"/>
        </w:rPr>
        <w:t>sus compuestos conexos al medio ambiente s</w:t>
      </w:r>
      <w:r w:rsidR="00D76444" w:rsidRPr="002261B9">
        <w:rPr>
          <w:lang w:val="es-ES"/>
        </w:rPr>
        <w:t>e</w:t>
      </w:r>
      <w:r w:rsidRPr="002261B9">
        <w:rPr>
          <w:lang w:val="es-ES"/>
        </w:rPr>
        <w:t xml:space="preserve"> genera</w:t>
      </w:r>
      <w:r w:rsidR="00D76444" w:rsidRPr="002261B9">
        <w:rPr>
          <w:lang w:val="es-ES"/>
        </w:rPr>
        <w:t>n a partir de</w:t>
      </w:r>
      <w:r w:rsidRPr="002261B9">
        <w:rPr>
          <w:lang w:val="es-ES"/>
        </w:rPr>
        <w:t xml:space="preserve"> la producción de</w:t>
      </w:r>
      <w:r w:rsidR="00284890" w:rsidRPr="002261B9">
        <w:rPr>
          <w:lang w:val="es-ES"/>
        </w:rPr>
        <w:t xml:space="preserve"> </w:t>
      </w:r>
      <w:r w:rsidRPr="002261B9">
        <w:rPr>
          <w:lang w:val="es-ES"/>
        </w:rPr>
        <w:t xml:space="preserve">sustancias </w:t>
      </w:r>
      <w:r w:rsidR="00D76444" w:rsidRPr="002261B9">
        <w:rPr>
          <w:lang w:val="es-ES"/>
        </w:rPr>
        <w:t>no refinadas</w:t>
      </w:r>
      <w:r w:rsidRPr="002261B9">
        <w:rPr>
          <w:lang w:val="es-ES"/>
        </w:rPr>
        <w:t xml:space="preserve"> (en este caso, el PFOA como impureza en la fabricación de compuestos conexos del PFOA y de algunas alternativas), durante el procesamiento, el uso y la eliminación del producto químico</w:t>
      </w:r>
      <w:r w:rsidR="004A7A47" w:rsidRPr="002261B9">
        <w:rPr>
          <w:lang w:val="es-ES"/>
        </w:rPr>
        <w:t xml:space="preserve"> y a partir de </w:t>
      </w:r>
      <w:r w:rsidRPr="002261B9">
        <w:rPr>
          <w:lang w:val="es-ES"/>
        </w:rPr>
        <w:t xml:space="preserve">artículos tratados y productos contaminados con PFOA. Los principales vectores de las emisiones de PFOA y sus sales son las aguas residuales y las partículas/los aerosoles. Las </w:t>
      </w:r>
      <w:r w:rsidR="004A7A47" w:rsidRPr="002261B9">
        <w:rPr>
          <w:lang w:val="es-ES"/>
        </w:rPr>
        <w:t>liberaciones</w:t>
      </w:r>
      <w:r w:rsidRPr="002261B9">
        <w:rPr>
          <w:lang w:val="es-ES"/>
        </w:rPr>
        <w:t xml:space="preserve"> indirectas de PFOA se producen por (foto)</w:t>
      </w:r>
      <w:r w:rsidR="00D16563" w:rsidRPr="002261B9">
        <w:rPr>
          <w:lang w:val="es-ES"/>
        </w:rPr>
        <w:t xml:space="preserve"> </w:t>
      </w:r>
      <w:r w:rsidRPr="002261B9">
        <w:rPr>
          <w:lang w:val="es-ES"/>
        </w:rPr>
        <w:t xml:space="preserve">degradación o transformación biótica y abiótica de </w:t>
      </w:r>
      <w:r w:rsidR="004A7A47" w:rsidRPr="002261B9">
        <w:rPr>
          <w:lang w:val="es-ES"/>
        </w:rPr>
        <w:t xml:space="preserve">los </w:t>
      </w:r>
      <w:r w:rsidRPr="002261B9">
        <w:rPr>
          <w:lang w:val="es-ES"/>
        </w:rPr>
        <w:t>precursores. Los compuestos conexos del PFOA, según se define</w:t>
      </w:r>
      <w:r w:rsidR="004A7A47" w:rsidRPr="002261B9">
        <w:rPr>
          <w:lang w:val="es-ES"/>
        </w:rPr>
        <w:t>n</w:t>
      </w:r>
      <w:r w:rsidRPr="002261B9">
        <w:rPr>
          <w:lang w:val="es-ES"/>
        </w:rPr>
        <w:t xml:space="preserve"> en el párrafo </w:t>
      </w:r>
      <w:r w:rsidR="00E47BC0" w:rsidRPr="002261B9">
        <w:rPr>
          <w:lang w:val="es-ES"/>
        </w:rPr>
        <w:t>21</w:t>
      </w:r>
      <w:r w:rsidRPr="002261B9">
        <w:rPr>
          <w:lang w:val="es-ES"/>
        </w:rPr>
        <w:t xml:space="preserve">, se liberan al aire, el agua, el suelo y los desechos sólidos y, en mayor o menor medida, se degradarán a PFOA en el medio ambiente y en los organismos. Las liberaciones de PFOA </w:t>
      </w:r>
      <w:r w:rsidR="002560D0" w:rsidRPr="002261B9">
        <w:rPr>
          <w:lang w:val="es-ES"/>
        </w:rPr>
        <w:t xml:space="preserve">producto de </w:t>
      </w:r>
      <w:r w:rsidRPr="002261B9">
        <w:rPr>
          <w:lang w:val="es-ES"/>
        </w:rPr>
        <w:t>la degradación representan una parte imp</w:t>
      </w:r>
      <w:r w:rsidR="002560D0" w:rsidRPr="002261B9">
        <w:rPr>
          <w:lang w:val="es-ES"/>
        </w:rPr>
        <w:t>ortante de las liberaciones de esa sustancia</w:t>
      </w:r>
      <w:r w:rsidRPr="002261B9">
        <w:rPr>
          <w:lang w:val="es-ES"/>
        </w:rPr>
        <w:t xml:space="preserve"> </w:t>
      </w:r>
      <w:r w:rsidR="004A7A47" w:rsidRPr="002261B9">
        <w:rPr>
          <w:lang w:val="es-ES"/>
        </w:rPr>
        <w:t>a</w:t>
      </w:r>
      <w:r w:rsidRPr="002261B9">
        <w:rPr>
          <w:lang w:val="es-ES"/>
        </w:rPr>
        <w:t xml:space="preserve">l medio ambiente </w:t>
      </w:r>
      <w:r w:rsidR="004A7A47" w:rsidRPr="002261B9">
        <w:rPr>
          <w:lang w:val="es-ES"/>
        </w:rPr>
        <w:t>en</w:t>
      </w:r>
      <w:r w:rsidRPr="002261B9">
        <w:rPr>
          <w:lang w:val="es-ES"/>
        </w:rPr>
        <w:t xml:space="preserve"> algunos lugares, por ejemplo, en </w:t>
      </w:r>
      <w:r w:rsidR="004A7A47" w:rsidRPr="002261B9">
        <w:rPr>
          <w:lang w:val="es-ES"/>
        </w:rPr>
        <w:t xml:space="preserve">parajes </w:t>
      </w:r>
      <w:r w:rsidRPr="002261B9">
        <w:rPr>
          <w:lang w:val="es-ES"/>
        </w:rPr>
        <w:t>apartados tierra adentro (para más detalles, véase UNEP/POPS/POPRC.12/11/Add.2)</w:t>
      </w:r>
      <w:r w:rsidR="00625606" w:rsidRPr="002261B9">
        <w:rPr>
          <w:lang w:val="es-ES"/>
        </w:rPr>
        <w:t>.</w:t>
      </w:r>
    </w:p>
    <w:p w14:paraId="45CAF6B8" w14:textId="00A201D8" w:rsidR="00866C59" w:rsidRPr="002261B9" w:rsidRDefault="00E9356F" w:rsidP="00F45508">
      <w:pPr>
        <w:pStyle w:val="Paralevel1"/>
        <w:numPr>
          <w:ilvl w:val="0"/>
          <w:numId w:val="23"/>
        </w:numPr>
        <w:tabs>
          <w:tab w:val="clear" w:pos="0"/>
        </w:tabs>
        <w:ind w:left="1247" w:firstLine="0"/>
        <w:rPr>
          <w:lang w:val="es-ES"/>
        </w:rPr>
      </w:pPr>
      <w:r w:rsidRPr="002261B9">
        <w:rPr>
          <w:lang w:val="es-ES"/>
        </w:rPr>
        <w:t xml:space="preserve">Las actividades a nivel mundial que lleva a cabo el Enfoque Estratégico para la Gestión de Productos Químicos a Nivel Internacional </w:t>
      </w:r>
      <w:r w:rsidR="00E47BC0" w:rsidRPr="002261B9">
        <w:rPr>
          <w:lang w:val="es-ES"/>
        </w:rPr>
        <w:t xml:space="preserve">(SAICM) </w:t>
      </w:r>
      <w:r w:rsidRPr="002261B9">
        <w:rPr>
          <w:lang w:val="es-ES"/>
        </w:rPr>
        <w:t xml:space="preserve">se centran en la recopilación y el intercambio de información sobre los productos químicos perfluorados y en </w:t>
      </w:r>
      <w:r w:rsidR="00B30E49" w:rsidRPr="002261B9">
        <w:rPr>
          <w:lang w:val="es-ES"/>
        </w:rPr>
        <w:t>el apoyo a</w:t>
      </w:r>
      <w:r w:rsidRPr="002261B9">
        <w:rPr>
          <w:lang w:val="es-ES"/>
        </w:rPr>
        <w:t xml:space="preserve"> la transición hacia alternativas más seguras. Se han </w:t>
      </w:r>
      <w:r w:rsidR="004A7A47" w:rsidRPr="002261B9">
        <w:rPr>
          <w:lang w:val="es-ES"/>
        </w:rPr>
        <w:t>puesto en marcha actividades de carácter</w:t>
      </w:r>
      <w:r w:rsidRPr="002261B9">
        <w:rPr>
          <w:lang w:val="es-ES"/>
        </w:rPr>
        <w:t xml:space="preserve"> voluntario para eliminar el PFOA y las sustancias conexas, como el PFOA Stewardship Program (Programa de Gestión Administrativa del PFOA) de</w:t>
      </w:r>
      <w:r w:rsidR="00163880" w:rsidRPr="002261B9">
        <w:rPr>
          <w:lang w:val="es-ES"/>
        </w:rPr>
        <w:t xml:space="preserve"> la </w:t>
      </w:r>
      <w:r w:rsidR="002560D0" w:rsidRPr="002261B9">
        <w:rPr>
          <w:lang w:val="es-ES"/>
        </w:rPr>
        <w:t>Agencia de Protección Ambiental de los Estados Unidos (</w:t>
      </w:r>
      <w:r w:rsidR="005C3021" w:rsidRPr="002261B9">
        <w:rPr>
          <w:lang w:val="es-ES"/>
        </w:rPr>
        <w:t>USEPA</w:t>
      </w:r>
      <w:r w:rsidR="002560D0" w:rsidRPr="002261B9">
        <w:rPr>
          <w:lang w:val="es-ES"/>
        </w:rPr>
        <w:t>)</w:t>
      </w:r>
      <w:r w:rsidRPr="002261B9">
        <w:rPr>
          <w:lang w:val="es-ES"/>
        </w:rPr>
        <w:t xml:space="preserve"> y la labor realizada por la industria. En 2006, los ocho principales fabricantes de fluoropolímeros y fluorotelómeros de los Estados Unidos, Europa y el Japón estuvieron de acuerdo en eliminar la producción y el uso del PFOA y las sustancias conexas de cadena larga para finales de 2015. En el Canadá</w:t>
      </w:r>
      <w:r w:rsidR="00B30E49" w:rsidRPr="002261B9">
        <w:rPr>
          <w:lang w:val="es-ES"/>
        </w:rPr>
        <w:t>,</w:t>
      </w:r>
      <w:r w:rsidRPr="002261B9">
        <w:rPr>
          <w:lang w:val="es-ES"/>
        </w:rPr>
        <w:t xml:space="preserve"> los fabricantes pusieron en marcha un programa análogo. Todos los participantes en el Programa de Gestión Administrativa lograron prácticamente eliminar esos productos químicos de las emisiones de las instalaciones y del contenido de los productos. En la eliminación voluntaria no participaron los fabricantes que utilizaban PFOA de países que no fueron parte de esos esfuerzos voluntarios, a saber, por ejemplo, los que </w:t>
      </w:r>
      <w:r w:rsidRPr="002261B9">
        <w:rPr>
          <w:lang w:val="es-ES"/>
        </w:rPr>
        <w:lastRenderedPageBreak/>
        <w:t>cuentan con gr</w:t>
      </w:r>
      <w:r w:rsidR="0023729A" w:rsidRPr="002261B9">
        <w:rPr>
          <w:lang w:val="es-ES"/>
        </w:rPr>
        <w:t>andes fabricantes o usuarios de </w:t>
      </w:r>
      <w:r w:rsidRPr="002261B9">
        <w:rPr>
          <w:lang w:val="es-ES"/>
        </w:rPr>
        <w:t xml:space="preserve">PFOA, como China, la India y </w:t>
      </w:r>
      <w:r w:rsidR="007712BB" w:rsidRPr="002261B9">
        <w:rPr>
          <w:lang w:val="es-ES"/>
        </w:rPr>
        <w:t>Rusia (para más detalles, véase </w:t>
      </w:r>
      <w:r w:rsidRPr="002261B9">
        <w:rPr>
          <w:lang w:val="es-ES"/>
        </w:rPr>
        <w:t xml:space="preserve">UNEP/POPS/POPRC.12/11/Add.2) </w:t>
      </w:r>
    </w:p>
    <w:p w14:paraId="1667C956" w14:textId="4DAA9E58" w:rsidR="009D2B8A" w:rsidRPr="002261B9" w:rsidRDefault="00083EB1" w:rsidP="00F45508">
      <w:pPr>
        <w:pStyle w:val="Paralevel1"/>
        <w:numPr>
          <w:ilvl w:val="0"/>
          <w:numId w:val="23"/>
        </w:numPr>
        <w:tabs>
          <w:tab w:val="clear" w:pos="0"/>
        </w:tabs>
        <w:ind w:left="1247" w:firstLine="0"/>
        <w:rPr>
          <w:lang w:val="es-ES"/>
        </w:rPr>
      </w:pPr>
      <w:r w:rsidRPr="002261B9">
        <w:rPr>
          <w:lang w:val="es-ES"/>
        </w:rPr>
        <w:t xml:space="preserve">Se aplican </w:t>
      </w:r>
      <w:r w:rsidR="002560D0" w:rsidRPr="002261B9">
        <w:rPr>
          <w:lang w:val="es-ES"/>
        </w:rPr>
        <w:t>-</w:t>
      </w:r>
      <w:r w:rsidRPr="002261B9">
        <w:rPr>
          <w:lang w:val="es-ES"/>
        </w:rPr>
        <w:t>o están a punto de aplicarse</w:t>
      </w:r>
      <w:r w:rsidR="002560D0" w:rsidRPr="002261B9">
        <w:rPr>
          <w:lang w:val="es-ES"/>
        </w:rPr>
        <w:t>-</w:t>
      </w:r>
      <w:r w:rsidRPr="002261B9">
        <w:rPr>
          <w:lang w:val="es-ES"/>
        </w:rPr>
        <w:t xml:space="preserve"> procedimientos que regulan la gestión de los riesgos en diversas medidas nacionales de control legislativo, a saber, en Noruega, la U</w:t>
      </w:r>
      <w:r w:rsidR="00715D27" w:rsidRPr="002261B9">
        <w:rPr>
          <w:lang w:val="es-ES"/>
        </w:rPr>
        <w:t>E</w:t>
      </w:r>
      <w:r w:rsidRPr="002261B9">
        <w:rPr>
          <w:lang w:val="es-ES"/>
        </w:rPr>
        <w:t xml:space="preserve"> (restr</w:t>
      </w:r>
      <w:r w:rsidR="007712BB" w:rsidRPr="002261B9">
        <w:rPr>
          <w:lang w:val="es-ES"/>
        </w:rPr>
        <w:t>icción vigente) y el Canadá. En </w:t>
      </w:r>
      <w:r w:rsidR="00B30E49" w:rsidRPr="002261B9">
        <w:rPr>
          <w:lang w:val="es-ES"/>
        </w:rPr>
        <w:t>virtud de esas</w:t>
      </w:r>
      <w:r w:rsidRPr="002261B9">
        <w:rPr>
          <w:lang w:val="es-ES"/>
        </w:rPr>
        <w:t xml:space="preserve"> medidas queda prohibido fabricar, hacer accesible en el mercado y usar el PFOA, sus sales y compuestos conexos </w:t>
      </w:r>
      <w:r w:rsidR="00715D27" w:rsidRPr="002261B9">
        <w:rPr>
          <w:lang w:val="es-ES"/>
        </w:rPr>
        <w:t xml:space="preserve">del PFOA </w:t>
      </w:r>
      <w:r w:rsidRPr="002261B9">
        <w:rPr>
          <w:lang w:val="es-ES"/>
        </w:rPr>
        <w:t>con exenciones (temporales o no)</w:t>
      </w:r>
      <w:r w:rsidR="00B30E49" w:rsidRPr="002261B9">
        <w:rPr>
          <w:lang w:val="es-ES"/>
        </w:rPr>
        <w:t>.</w:t>
      </w:r>
      <w:r w:rsidRPr="002261B9">
        <w:rPr>
          <w:lang w:val="es-ES"/>
        </w:rPr>
        <w:t xml:space="preserve"> Sobre la base de evaluaciones técnicas y socioeconómicas, se considera que estos enfoques de la gestión de los riesgos son técnica y económicamente viables. En 2016, el Canadá publicó una legislación por la que se prohíben el PFOA, sus sales y precursores, así como los productos que los contengan, a menos que estén presentes en productos manufacturados y con un número limitado de exenciones. Noruega prohíbe el uso del PFOA en productos de consumo y textiles desde 2014 </w:t>
      </w:r>
      <w:r w:rsidR="007712BB" w:rsidRPr="002261B9">
        <w:rPr>
          <w:lang w:val="es-ES"/>
        </w:rPr>
        <w:t>con determinadas exenciones. La </w:t>
      </w:r>
      <w:r w:rsidRPr="002261B9">
        <w:rPr>
          <w:lang w:val="es-ES"/>
        </w:rPr>
        <w:t>UE restringe la fabricación, la comercialización y el uso (incluida la importación) del PFOA, sus sales y los compuestos conexos del PFOA, así como los artículos que contengan estas sustancias.</w:t>
      </w:r>
      <w:r w:rsidR="007712BB" w:rsidRPr="002261B9">
        <w:rPr>
          <w:lang w:val="es-ES"/>
        </w:rPr>
        <w:t xml:space="preserve"> En el enfoque de la gestión de </w:t>
      </w:r>
      <w:r w:rsidRPr="002261B9">
        <w:rPr>
          <w:lang w:val="es-ES"/>
        </w:rPr>
        <w:t>los riesgos que aplica la UE se consideran exenciones para determinados usos</w:t>
      </w:r>
      <w:r w:rsidR="00B30E49" w:rsidRPr="002261B9">
        <w:rPr>
          <w:lang w:val="es-ES"/>
        </w:rPr>
        <w:t>;</w:t>
      </w:r>
      <w:r w:rsidRPr="002261B9">
        <w:rPr>
          <w:lang w:val="es-ES"/>
        </w:rPr>
        <w:t xml:space="preserve"> sin embargo, no se contempla la degradación a PFOA de perfluoroalquilos y polifluoroalquilos (PFAS) de cadena larga. En los E</w:t>
      </w:r>
      <w:r w:rsidR="00715D27" w:rsidRPr="002261B9">
        <w:rPr>
          <w:lang w:val="es-ES"/>
        </w:rPr>
        <w:t>stados Unidos</w:t>
      </w:r>
      <w:r w:rsidRPr="002261B9">
        <w:rPr>
          <w:lang w:val="es-ES"/>
        </w:rPr>
        <w:t>,</w:t>
      </w:r>
      <w:r w:rsidR="00715D27" w:rsidRPr="002261B9">
        <w:rPr>
          <w:lang w:val="es-ES"/>
        </w:rPr>
        <w:t xml:space="preserve"> en virtud de una regulación propuesta en 2015, </w:t>
      </w:r>
      <w:r w:rsidRPr="002261B9">
        <w:rPr>
          <w:lang w:val="es-ES"/>
        </w:rPr>
        <w:t>los fabricantes de PFOA y sus productos químicos conexos están obligados desde</w:t>
      </w:r>
      <w:r w:rsidR="008A715D" w:rsidRPr="002261B9">
        <w:rPr>
          <w:lang w:val="es-ES"/>
        </w:rPr>
        <w:t> </w:t>
      </w:r>
      <w:r w:rsidRPr="002261B9">
        <w:rPr>
          <w:lang w:val="es-ES"/>
        </w:rPr>
        <w:t xml:space="preserve">2015 a notificar a la </w:t>
      </w:r>
      <w:r w:rsidR="00D27EF9" w:rsidRPr="002261B9">
        <w:rPr>
          <w:lang w:val="es-ES"/>
        </w:rPr>
        <w:t xml:space="preserve">Agencia de Protección Ambiental </w:t>
      </w:r>
      <w:r w:rsidRPr="002261B9">
        <w:rPr>
          <w:lang w:val="es-ES"/>
        </w:rPr>
        <w:t>los nuevos usos de estos productos químicos para que se pueda proceder a la evaluación de esos nuevos usos y, de ser necesario, se adopten medidas para prohibir o limitar la actividad.</w:t>
      </w:r>
    </w:p>
    <w:p w14:paraId="26A3AF93" w14:textId="77777777" w:rsidR="00066AE9" w:rsidRPr="002261B9" w:rsidRDefault="00066AE9" w:rsidP="00F45508">
      <w:pPr>
        <w:pStyle w:val="Paralevel1"/>
        <w:numPr>
          <w:ilvl w:val="0"/>
          <w:numId w:val="23"/>
        </w:numPr>
        <w:tabs>
          <w:tab w:val="clear" w:pos="0"/>
        </w:tabs>
        <w:ind w:left="1247" w:firstLine="0"/>
        <w:rPr>
          <w:lang w:val="es-ES"/>
        </w:rPr>
      </w:pPr>
      <w:r w:rsidRPr="002261B9">
        <w:rPr>
          <w:lang w:val="es-ES"/>
        </w:rPr>
        <w:t xml:space="preserve">Durante la elaboración de los </w:t>
      </w:r>
      <w:r w:rsidR="007D0329" w:rsidRPr="002261B9">
        <w:rPr>
          <w:lang w:val="es-ES"/>
        </w:rPr>
        <w:t xml:space="preserve">mecanismos reglamentarios de </w:t>
      </w:r>
      <w:r w:rsidRPr="002261B9">
        <w:rPr>
          <w:lang w:val="es-ES"/>
        </w:rPr>
        <w:t>gestión de los riesgos del PFOA, sus sales y compuestos conexos en el Canadá, la Unión Europea y Noruega, se inclu</w:t>
      </w:r>
      <w:r w:rsidR="007D0329" w:rsidRPr="002261B9">
        <w:rPr>
          <w:lang w:val="es-ES"/>
        </w:rPr>
        <w:t>yó</w:t>
      </w:r>
      <w:r w:rsidRPr="002261B9">
        <w:rPr>
          <w:lang w:val="es-ES"/>
        </w:rPr>
        <w:t xml:space="preserve"> información técnica y socioeconómica</w:t>
      </w:r>
      <w:r w:rsidR="00284890" w:rsidRPr="002261B9">
        <w:rPr>
          <w:lang w:val="es-ES"/>
        </w:rPr>
        <w:t xml:space="preserve"> </w:t>
      </w:r>
      <w:r w:rsidRPr="002261B9">
        <w:rPr>
          <w:lang w:val="es-ES"/>
        </w:rPr>
        <w:t>en el proceso de adopción de decisiones con miras a la inclusión de determinadas exenciones. En general</w:t>
      </w:r>
      <w:r w:rsidR="007D0329" w:rsidRPr="002261B9">
        <w:rPr>
          <w:lang w:val="es-ES"/>
        </w:rPr>
        <w:t>,</w:t>
      </w:r>
      <w:r w:rsidRPr="002261B9">
        <w:rPr>
          <w:lang w:val="es-ES"/>
        </w:rPr>
        <w:t xml:space="preserve"> se considera que estos </w:t>
      </w:r>
      <w:r w:rsidR="007D0329" w:rsidRPr="002261B9">
        <w:rPr>
          <w:lang w:val="es-ES"/>
        </w:rPr>
        <w:t>mecanismos de</w:t>
      </w:r>
      <w:r w:rsidRPr="002261B9">
        <w:rPr>
          <w:lang w:val="es-ES"/>
        </w:rPr>
        <w:t xml:space="preserve"> gestión de los riesgos son técnica y económicamente viables. La información recibida de los interesados de la industria durante estos procesos de </w:t>
      </w:r>
      <w:r w:rsidR="00614F37" w:rsidRPr="002261B9">
        <w:rPr>
          <w:lang w:val="es-ES"/>
        </w:rPr>
        <w:t>reglamentación</w:t>
      </w:r>
      <w:r w:rsidRPr="002261B9">
        <w:rPr>
          <w:lang w:val="es-ES"/>
        </w:rPr>
        <w:t xml:space="preserve"> </w:t>
      </w:r>
      <w:r w:rsidR="007D0329" w:rsidRPr="002261B9">
        <w:rPr>
          <w:lang w:val="es-ES"/>
        </w:rPr>
        <w:t xml:space="preserve">apunta a </w:t>
      </w:r>
      <w:r w:rsidRPr="002261B9">
        <w:rPr>
          <w:lang w:val="es-ES"/>
        </w:rPr>
        <w:t xml:space="preserve">la necesidad de establecer exenciones </w:t>
      </w:r>
      <w:r w:rsidR="007D0329" w:rsidRPr="002261B9">
        <w:rPr>
          <w:lang w:val="es-ES"/>
        </w:rPr>
        <w:t xml:space="preserve">por </w:t>
      </w:r>
      <w:r w:rsidRPr="002261B9">
        <w:rPr>
          <w:lang w:val="es-ES"/>
        </w:rPr>
        <w:t xml:space="preserve">tiempo limitado o </w:t>
      </w:r>
      <w:r w:rsidR="00B30E49" w:rsidRPr="002261B9">
        <w:rPr>
          <w:lang w:val="es-ES"/>
        </w:rPr>
        <w:t>ilimitado</w:t>
      </w:r>
      <w:r w:rsidRPr="002261B9">
        <w:rPr>
          <w:lang w:val="es-ES"/>
        </w:rPr>
        <w:t xml:space="preserve"> para determinados usos, en los casos en que los interesados afirmaron</w:t>
      </w:r>
      <w:r w:rsidR="007D0329" w:rsidRPr="002261B9">
        <w:rPr>
          <w:lang w:val="es-ES"/>
        </w:rPr>
        <w:t xml:space="preserve"> que no existían alternativas económica </w:t>
      </w:r>
      <w:r w:rsidR="00B30E49" w:rsidRPr="002261B9">
        <w:rPr>
          <w:lang w:val="es-ES"/>
        </w:rPr>
        <w:t>o</w:t>
      </w:r>
      <w:r w:rsidR="007D0329" w:rsidRPr="002261B9">
        <w:rPr>
          <w:lang w:val="es-ES"/>
        </w:rPr>
        <w:t xml:space="preserve"> técnicamente viables,</w:t>
      </w:r>
      <w:r w:rsidRPr="002261B9">
        <w:rPr>
          <w:lang w:val="es-ES"/>
        </w:rPr>
        <w:t xml:space="preserve"> y los comités científicos llegaron a </w:t>
      </w:r>
      <w:r w:rsidR="007D0329" w:rsidRPr="002261B9">
        <w:rPr>
          <w:lang w:val="es-ES"/>
        </w:rPr>
        <w:t>esa misma conclusión</w:t>
      </w:r>
      <w:r w:rsidRPr="002261B9">
        <w:rPr>
          <w:lang w:val="es-ES"/>
        </w:rPr>
        <w:t>. En el Convenio de Estocolmo se considera asimismo que la prohibición del PFOA, sus sales y compuestos conexos con posibles exenciones específicas para determinados usos es también técnica y económicamente viable.</w:t>
      </w:r>
    </w:p>
    <w:p w14:paraId="7093713E" w14:textId="21C39BEE" w:rsidR="009D2B8A" w:rsidRPr="002261B9" w:rsidRDefault="001A7EE9" w:rsidP="00F45508">
      <w:pPr>
        <w:pStyle w:val="Paralevel1"/>
        <w:numPr>
          <w:ilvl w:val="0"/>
          <w:numId w:val="23"/>
        </w:numPr>
        <w:tabs>
          <w:tab w:val="clear" w:pos="0"/>
        </w:tabs>
        <w:ind w:left="1247" w:firstLine="0"/>
        <w:rPr>
          <w:lang w:val="es-ES"/>
        </w:rPr>
      </w:pPr>
      <w:r w:rsidRPr="002261B9">
        <w:rPr>
          <w:lang w:val="es-ES"/>
        </w:rPr>
        <w:t xml:space="preserve">La información sobre la disponibilidad de alternativas que tomen en consideración la eficacia y la eficiencia indica que tal vez en estos momentos no se </w:t>
      </w:r>
      <w:r w:rsidR="00B30E49" w:rsidRPr="002261B9">
        <w:rPr>
          <w:lang w:val="es-ES"/>
        </w:rPr>
        <w:t>dispone</w:t>
      </w:r>
      <w:r w:rsidRPr="002261B9">
        <w:rPr>
          <w:lang w:val="es-ES"/>
        </w:rPr>
        <w:t xml:space="preserve"> de alternativas apropiadas para distintos usos, a saber</w:t>
      </w:r>
      <w:r w:rsidR="00B30E49" w:rsidRPr="002261B9">
        <w:rPr>
          <w:lang w:val="es-ES"/>
        </w:rPr>
        <w:t>:</w:t>
      </w:r>
      <w:r w:rsidRPr="002261B9">
        <w:rPr>
          <w:lang w:val="es-ES"/>
        </w:rPr>
        <w:t xml:space="preserve"> 1) equipo</w:t>
      </w:r>
      <w:r w:rsidR="00B30E49" w:rsidRPr="002261B9">
        <w:rPr>
          <w:lang w:val="es-ES"/>
        </w:rPr>
        <w:t>s</w:t>
      </w:r>
      <w:r w:rsidRPr="002261B9">
        <w:rPr>
          <w:lang w:val="es-ES"/>
        </w:rPr>
        <w:t xml:space="preserve"> utilizado</w:t>
      </w:r>
      <w:r w:rsidR="00B30E49" w:rsidRPr="002261B9">
        <w:rPr>
          <w:lang w:val="es-ES"/>
        </w:rPr>
        <w:t>s</w:t>
      </w:r>
      <w:r w:rsidRPr="002261B9">
        <w:rPr>
          <w:lang w:val="es-ES"/>
        </w:rPr>
        <w:t xml:space="preserve"> para la fabricación de semiconductores y las infraestructuras conexas</w:t>
      </w:r>
      <w:r w:rsidR="00B30E49" w:rsidRPr="002261B9">
        <w:rPr>
          <w:lang w:val="es-ES"/>
        </w:rPr>
        <w:t>;</w:t>
      </w:r>
      <w:r w:rsidRPr="002261B9">
        <w:rPr>
          <w:lang w:val="es-ES"/>
        </w:rPr>
        <w:t xml:space="preserve"> 2) tintas de </w:t>
      </w:r>
      <w:r w:rsidR="00DE1421" w:rsidRPr="002261B9">
        <w:rPr>
          <w:lang w:val="es-ES"/>
        </w:rPr>
        <w:t xml:space="preserve">impresión con </w:t>
      </w:r>
      <w:r w:rsidRPr="002261B9">
        <w:rPr>
          <w:lang w:val="es-ES"/>
        </w:rPr>
        <w:t>látex</w:t>
      </w:r>
      <w:r w:rsidR="00B30E49" w:rsidRPr="002261B9">
        <w:rPr>
          <w:lang w:val="es-ES"/>
        </w:rPr>
        <w:t>;</w:t>
      </w:r>
      <w:r w:rsidRPr="002261B9">
        <w:rPr>
          <w:lang w:val="es-ES"/>
        </w:rPr>
        <w:t xml:space="preserve"> 3) textiles para la protección de los trabajadores contra los riesgos para su salud y su seguridad</w:t>
      </w:r>
      <w:r w:rsidR="00B30E49" w:rsidRPr="002261B9">
        <w:rPr>
          <w:lang w:val="es-ES"/>
        </w:rPr>
        <w:t>;</w:t>
      </w:r>
      <w:r w:rsidRPr="002261B9">
        <w:rPr>
          <w:lang w:val="es-ES"/>
        </w:rPr>
        <w:t xml:space="preserve"> 4) membranas destinadas a usarse en los materiales textiles para uso médico, la filtración en el tratamiento de aguas, los procesos de producción y el tratamiento de efluentes</w:t>
      </w:r>
      <w:r w:rsidR="00B30E49" w:rsidRPr="002261B9">
        <w:rPr>
          <w:lang w:val="es-ES"/>
        </w:rPr>
        <w:t>;</w:t>
      </w:r>
      <w:r w:rsidRPr="002261B9">
        <w:rPr>
          <w:lang w:val="es-ES"/>
        </w:rPr>
        <w:t xml:space="preserve"> 5) </w:t>
      </w:r>
      <w:r w:rsidR="00614F37" w:rsidRPr="002261B9">
        <w:rPr>
          <w:lang w:val="es-ES"/>
        </w:rPr>
        <w:t>nano</w:t>
      </w:r>
      <w:r w:rsidR="00C36E37" w:rsidRPr="002261B9">
        <w:rPr>
          <w:lang w:val="es-ES"/>
        </w:rPr>
        <w:t>r</w:t>
      </w:r>
      <w:r w:rsidR="00992CA7" w:rsidRPr="002261B9">
        <w:rPr>
          <w:lang w:val="es-ES"/>
        </w:rPr>
        <w:t xml:space="preserve">recubrimientos </w:t>
      </w:r>
      <w:r w:rsidR="0065573D" w:rsidRPr="002261B9">
        <w:rPr>
          <w:lang w:val="es-ES"/>
        </w:rPr>
        <w:t>con plasma</w:t>
      </w:r>
      <w:r w:rsidR="00B30E49" w:rsidRPr="002261B9">
        <w:rPr>
          <w:lang w:val="es-ES"/>
        </w:rPr>
        <w:t>;</w:t>
      </w:r>
      <w:r w:rsidRPr="002261B9">
        <w:rPr>
          <w:lang w:val="es-ES"/>
        </w:rPr>
        <w:t xml:space="preserve"> 6) dispositivos médicos</w:t>
      </w:r>
      <w:r w:rsidR="00B30E49" w:rsidRPr="002261B9">
        <w:rPr>
          <w:lang w:val="es-ES"/>
        </w:rPr>
        <w:t>;</w:t>
      </w:r>
      <w:r w:rsidRPr="002261B9">
        <w:rPr>
          <w:lang w:val="es-ES"/>
        </w:rPr>
        <w:t xml:space="preserve"> 7) producción de dispositivos médicos implantables</w:t>
      </w:r>
      <w:r w:rsidR="00B30E49" w:rsidRPr="002261B9">
        <w:rPr>
          <w:lang w:val="es-ES"/>
        </w:rPr>
        <w:t>;</w:t>
      </w:r>
      <w:r w:rsidRPr="002261B9">
        <w:rPr>
          <w:lang w:val="es-ES"/>
        </w:rPr>
        <w:t xml:space="preserve"> 8) recubrimientos fotográficos aplicados a películas, papeles o pla</w:t>
      </w:r>
      <w:r w:rsidR="00BB03F9" w:rsidRPr="002261B9">
        <w:rPr>
          <w:lang w:val="es-ES"/>
        </w:rPr>
        <w:t>n</w:t>
      </w:r>
      <w:r w:rsidRPr="002261B9">
        <w:rPr>
          <w:lang w:val="es-ES"/>
        </w:rPr>
        <w:t>c</w:t>
      </w:r>
      <w:r w:rsidR="00BB03F9" w:rsidRPr="002261B9">
        <w:rPr>
          <w:lang w:val="es-ES"/>
        </w:rPr>
        <w:t>h</w:t>
      </w:r>
      <w:r w:rsidRPr="002261B9">
        <w:rPr>
          <w:lang w:val="es-ES"/>
        </w:rPr>
        <w:t xml:space="preserve">as </w:t>
      </w:r>
      <w:r w:rsidR="00BB03F9" w:rsidRPr="002261B9">
        <w:rPr>
          <w:lang w:val="es-ES"/>
        </w:rPr>
        <w:t>tipográficas</w:t>
      </w:r>
      <w:r w:rsidR="00B30E49" w:rsidRPr="002261B9">
        <w:rPr>
          <w:lang w:val="es-ES"/>
        </w:rPr>
        <w:t>;</w:t>
      </w:r>
      <w:r w:rsidRPr="002261B9">
        <w:rPr>
          <w:lang w:val="es-ES"/>
        </w:rPr>
        <w:t xml:space="preserve"> 9) procesos fotolitogr</w:t>
      </w:r>
      <w:r w:rsidR="00D71F67" w:rsidRPr="002261B9">
        <w:rPr>
          <w:lang w:val="es-ES"/>
        </w:rPr>
        <w:t xml:space="preserve">áficos </w:t>
      </w:r>
      <w:r w:rsidRPr="002261B9">
        <w:rPr>
          <w:lang w:val="es-ES"/>
        </w:rPr>
        <w:t>para semiconductores o en los procesos de grabado para semiconductores compuestos</w:t>
      </w:r>
      <w:r w:rsidR="00AE2E18" w:rsidRPr="002261B9">
        <w:rPr>
          <w:lang w:val="es-ES"/>
        </w:rPr>
        <w:t>;</w:t>
      </w:r>
      <w:r w:rsidR="00E1011E" w:rsidRPr="002261B9">
        <w:rPr>
          <w:lang w:val="es-ES"/>
        </w:rPr>
        <w:t xml:space="preserve"> </w:t>
      </w:r>
      <w:r w:rsidRPr="002261B9">
        <w:rPr>
          <w:lang w:val="es-ES"/>
        </w:rPr>
        <w:t>10)</w:t>
      </w:r>
      <w:r w:rsidR="00284890" w:rsidRPr="002261B9">
        <w:rPr>
          <w:lang w:val="es-ES"/>
        </w:rPr>
        <w:t xml:space="preserve"> </w:t>
      </w:r>
      <w:r w:rsidRPr="002261B9">
        <w:rPr>
          <w:lang w:val="es-ES"/>
        </w:rPr>
        <w:t>determinados productos farmacéuticos</w:t>
      </w:r>
      <w:r w:rsidR="00715D27" w:rsidRPr="002261B9">
        <w:rPr>
          <w:lang w:val="es-ES"/>
        </w:rPr>
        <w:t>; y 11) uso de sulfuramida</w:t>
      </w:r>
      <w:r w:rsidRPr="002261B9">
        <w:rPr>
          <w:lang w:val="es-ES"/>
        </w:rPr>
        <w:t xml:space="preserve">. Sin embargo, ya se están creando alternativas para la mayoría de estos usos. Al restringir o prohibir el PFOA, sus sales y compuestos conexos en el marco del Convenio de Estocolmo, </w:t>
      </w:r>
      <w:r w:rsidR="00BB03F9" w:rsidRPr="002261B9">
        <w:rPr>
          <w:lang w:val="es-ES"/>
        </w:rPr>
        <w:t>esta circunstancia s</w:t>
      </w:r>
      <w:r w:rsidRPr="002261B9">
        <w:rPr>
          <w:lang w:val="es-ES"/>
        </w:rPr>
        <w:t xml:space="preserve">e podría </w:t>
      </w:r>
      <w:r w:rsidR="00BB03F9" w:rsidRPr="002261B9">
        <w:rPr>
          <w:lang w:val="es-ES"/>
        </w:rPr>
        <w:t xml:space="preserve">tomar en consideración </w:t>
      </w:r>
      <w:r w:rsidRPr="002261B9">
        <w:rPr>
          <w:lang w:val="es-ES"/>
        </w:rPr>
        <w:t xml:space="preserve">con exenciones específicas </w:t>
      </w:r>
      <w:r w:rsidR="00AE2E18" w:rsidRPr="002261B9">
        <w:rPr>
          <w:lang w:val="es-ES"/>
        </w:rPr>
        <w:t xml:space="preserve">y </w:t>
      </w:r>
      <w:r w:rsidRPr="002261B9">
        <w:rPr>
          <w:lang w:val="es-ES"/>
        </w:rPr>
        <w:t xml:space="preserve">plazos </w:t>
      </w:r>
      <w:r w:rsidR="00AE2E18" w:rsidRPr="002261B9">
        <w:rPr>
          <w:lang w:val="es-ES"/>
        </w:rPr>
        <w:t xml:space="preserve">definidos </w:t>
      </w:r>
      <w:r w:rsidRPr="002261B9">
        <w:rPr>
          <w:lang w:val="es-ES"/>
        </w:rPr>
        <w:t xml:space="preserve">o </w:t>
      </w:r>
      <w:r w:rsidR="00AE2E18" w:rsidRPr="002261B9">
        <w:rPr>
          <w:lang w:val="es-ES"/>
        </w:rPr>
        <w:t xml:space="preserve">para </w:t>
      </w:r>
      <w:r w:rsidRPr="002261B9">
        <w:rPr>
          <w:lang w:val="es-ES"/>
        </w:rPr>
        <w:t xml:space="preserve">fines aceptables </w:t>
      </w:r>
      <w:r w:rsidR="00BB03F9" w:rsidRPr="002261B9">
        <w:rPr>
          <w:lang w:val="es-ES"/>
        </w:rPr>
        <w:t xml:space="preserve">y </w:t>
      </w:r>
      <w:r w:rsidRPr="002261B9">
        <w:rPr>
          <w:lang w:val="es-ES"/>
        </w:rPr>
        <w:t>sin límite de tiempo.</w:t>
      </w:r>
    </w:p>
    <w:p w14:paraId="636C455E" w14:textId="77777777" w:rsidR="00FB4CC1" w:rsidRPr="002261B9" w:rsidRDefault="000B3C8D" w:rsidP="00F45508">
      <w:pPr>
        <w:pStyle w:val="Paralevel1"/>
        <w:numPr>
          <w:ilvl w:val="0"/>
          <w:numId w:val="23"/>
        </w:numPr>
        <w:tabs>
          <w:tab w:val="clear" w:pos="0"/>
        </w:tabs>
        <w:ind w:left="1247" w:firstLine="0"/>
        <w:rPr>
          <w:lang w:val="es-ES"/>
        </w:rPr>
      </w:pPr>
      <w:r w:rsidRPr="002261B9">
        <w:rPr>
          <w:lang w:val="es-ES"/>
        </w:rPr>
        <w:t>Del mismo modo, como se espera de los enfoques aplicados por</w:t>
      </w:r>
      <w:r w:rsidR="00284890" w:rsidRPr="002261B9">
        <w:rPr>
          <w:lang w:val="es-ES"/>
        </w:rPr>
        <w:t xml:space="preserve"> </w:t>
      </w:r>
      <w:r w:rsidRPr="002261B9">
        <w:rPr>
          <w:lang w:val="es-ES"/>
        </w:rPr>
        <w:t xml:space="preserve">el Canadá, Noruega y la Unión Europea, la restricción o prohibición del PFOA, sus sales y compuestos conexos a nivel mundial surtirá efectos positivos en la salud humana, el medio ambiente, en particular la biota, y la agricultura al disminuir las emisiones y, en consecuencia, la exposición. No se pueden cuantificar la magnitud </w:t>
      </w:r>
      <w:r w:rsidR="00862864" w:rsidRPr="002261B9">
        <w:rPr>
          <w:lang w:val="es-ES"/>
        </w:rPr>
        <w:t>ni la envergadura</w:t>
      </w:r>
      <w:r w:rsidRPr="002261B9">
        <w:rPr>
          <w:lang w:val="es-ES"/>
        </w:rPr>
        <w:t xml:space="preserve"> total de los riesgos del PFOA, sus sales y compuestos conexos. La gestión de los riesgos de esas sustancias se </w:t>
      </w:r>
      <w:r w:rsidR="00336912" w:rsidRPr="002261B9">
        <w:rPr>
          <w:lang w:val="es-ES"/>
        </w:rPr>
        <w:t xml:space="preserve">apoya </w:t>
      </w:r>
      <w:r w:rsidRPr="002261B9">
        <w:rPr>
          <w:lang w:val="es-ES"/>
        </w:rPr>
        <w:t xml:space="preserve">en datos científicos y </w:t>
      </w:r>
      <w:r w:rsidR="00336912" w:rsidRPr="002261B9">
        <w:rPr>
          <w:lang w:val="es-ES"/>
        </w:rPr>
        <w:t xml:space="preserve">en </w:t>
      </w:r>
      <w:r w:rsidRPr="002261B9">
        <w:rPr>
          <w:lang w:val="es-ES"/>
        </w:rPr>
        <w:t xml:space="preserve">medidas </w:t>
      </w:r>
      <w:r w:rsidR="00336912" w:rsidRPr="002261B9">
        <w:rPr>
          <w:lang w:val="es-ES"/>
        </w:rPr>
        <w:t>de precaución para</w:t>
      </w:r>
      <w:r w:rsidRPr="002261B9">
        <w:rPr>
          <w:lang w:val="es-ES"/>
        </w:rPr>
        <w:t xml:space="preserve"> evitar los efectos perjudiciales potencialmente graves e irreversibles que se producirían </w:t>
      </w:r>
      <w:r w:rsidR="006667E8" w:rsidRPr="002261B9">
        <w:rPr>
          <w:lang w:val="es-ES"/>
        </w:rPr>
        <w:t>de</w:t>
      </w:r>
      <w:r w:rsidRPr="002261B9">
        <w:rPr>
          <w:lang w:val="es-ES"/>
        </w:rPr>
        <w:t xml:space="preserve"> no restring</w:t>
      </w:r>
      <w:r w:rsidR="006667E8" w:rsidRPr="002261B9">
        <w:rPr>
          <w:lang w:val="es-ES"/>
        </w:rPr>
        <w:t>irs</w:t>
      </w:r>
      <w:r w:rsidRPr="002261B9">
        <w:rPr>
          <w:lang w:val="es-ES"/>
        </w:rPr>
        <w:t xml:space="preserve">e las emisiones. Se espera que las alternativas disponibles planteen menos riesgos para la salud que el uso irrestricto del PFOA, sus sales y los compuestos conexos del PFOA. </w:t>
      </w:r>
    </w:p>
    <w:p w14:paraId="4BAE0C14" w14:textId="77777777" w:rsidR="00066AE9" w:rsidRPr="002261B9" w:rsidRDefault="00066AE9" w:rsidP="00F45508">
      <w:pPr>
        <w:pStyle w:val="Paralevel1"/>
        <w:numPr>
          <w:ilvl w:val="0"/>
          <w:numId w:val="23"/>
        </w:numPr>
        <w:tabs>
          <w:tab w:val="clear" w:pos="0"/>
        </w:tabs>
        <w:ind w:left="1247" w:firstLine="0"/>
        <w:rPr>
          <w:lang w:val="es-ES"/>
        </w:rPr>
      </w:pPr>
      <w:r w:rsidRPr="002261B9">
        <w:rPr>
          <w:lang w:val="es-ES"/>
        </w:rPr>
        <w:t xml:space="preserve">Se considera que los </w:t>
      </w:r>
      <w:r w:rsidR="007D0329" w:rsidRPr="002261B9">
        <w:rPr>
          <w:lang w:val="es-ES"/>
        </w:rPr>
        <w:t xml:space="preserve">mecanismos de </w:t>
      </w:r>
      <w:r w:rsidRPr="002261B9">
        <w:rPr>
          <w:lang w:val="es-ES"/>
        </w:rPr>
        <w:t xml:space="preserve">gestión de los riesgos que aplican la Unión Europea, Noruega y el Canadá tienen un costo moderado porque el mercado ya está sustituyendo el PFOA, sus sales y los compuestos conexos del PFOA y porque en esos </w:t>
      </w:r>
      <w:r w:rsidR="007D0329" w:rsidRPr="002261B9">
        <w:rPr>
          <w:lang w:val="es-ES"/>
        </w:rPr>
        <w:t>mecanismos</w:t>
      </w:r>
      <w:r w:rsidRPr="002261B9">
        <w:rPr>
          <w:lang w:val="es-ES"/>
        </w:rPr>
        <w:t xml:space="preserve"> se prevén exenciones para determinados usos con o sin límite de tiempo. Lo mismo cabe esperar de los </w:t>
      </w:r>
      <w:r w:rsidR="003D25D2" w:rsidRPr="002261B9">
        <w:rPr>
          <w:lang w:val="es-ES"/>
        </w:rPr>
        <w:t>mecanismos</w:t>
      </w:r>
      <w:r w:rsidRPr="002261B9">
        <w:rPr>
          <w:lang w:val="es-ES"/>
        </w:rPr>
        <w:t xml:space="preserve"> reglamentario</w:t>
      </w:r>
      <w:r w:rsidR="003D25D2" w:rsidRPr="002261B9">
        <w:rPr>
          <w:lang w:val="es-ES"/>
        </w:rPr>
        <w:t xml:space="preserve">s de carácter </w:t>
      </w:r>
      <w:r w:rsidRPr="002261B9">
        <w:rPr>
          <w:lang w:val="es-ES"/>
        </w:rPr>
        <w:t>voluntario combinados que se han adoptado en los E</w:t>
      </w:r>
      <w:r w:rsidR="003D25D2" w:rsidRPr="002261B9">
        <w:rPr>
          <w:lang w:val="es-ES"/>
        </w:rPr>
        <w:t>stados Unidos</w:t>
      </w:r>
      <w:r w:rsidRPr="002261B9">
        <w:rPr>
          <w:lang w:val="es-ES"/>
        </w:rPr>
        <w:t xml:space="preserve"> y Australia. Ya se están usando en muchos países alternativas al PFOA, sus sales y compuestos conexos </w:t>
      </w:r>
      <w:r w:rsidR="00715D27" w:rsidRPr="002261B9">
        <w:rPr>
          <w:lang w:val="es-ES"/>
        </w:rPr>
        <w:lastRenderedPageBreak/>
        <w:t xml:space="preserve">del PFOA </w:t>
      </w:r>
      <w:r w:rsidRPr="002261B9">
        <w:rPr>
          <w:lang w:val="es-ES"/>
        </w:rPr>
        <w:t>que no muestran características de contaminantes orgánicos persistentes</w:t>
      </w:r>
      <w:r w:rsidR="00715D27" w:rsidRPr="002261B9">
        <w:rPr>
          <w:lang w:val="es-ES"/>
        </w:rPr>
        <w:t xml:space="preserve"> (COP)</w:t>
      </w:r>
      <w:r w:rsidRPr="002261B9">
        <w:rPr>
          <w:lang w:val="es-ES"/>
        </w:rPr>
        <w:t xml:space="preserve"> y </w:t>
      </w:r>
      <w:r w:rsidR="000152E0" w:rsidRPr="002261B9">
        <w:rPr>
          <w:lang w:val="es-ES"/>
        </w:rPr>
        <w:t>tienen un costo competitivo</w:t>
      </w:r>
      <w:r w:rsidRPr="002261B9">
        <w:rPr>
          <w:lang w:val="es-ES"/>
        </w:rPr>
        <w:t xml:space="preserve">. Esto indica </w:t>
      </w:r>
      <w:r w:rsidR="003D25D2" w:rsidRPr="002261B9">
        <w:rPr>
          <w:lang w:val="es-ES"/>
        </w:rPr>
        <w:t>que</w:t>
      </w:r>
      <w:r w:rsidRPr="002261B9">
        <w:rPr>
          <w:lang w:val="es-ES"/>
        </w:rPr>
        <w:t xml:space="preserve"> las alternativas</w:t>
      </w:r>
      <w:r w:rsidR="003D25D2" w:rsidRPr="002261B9">
        <w:rPr>
          <w:lang w:val="es-ES"/>
        </w:rPr>
        <w:t xml:space="preserve"> son parcialmente técnica y económicamente viables</w:t>
      </w:r>
      <w:r w:rsidRPr="002261B9">
        <w:rPr>
          <w:lang w:val="es-ES"/>
        </w:rPr>
        <w:t>. La sustitución de estos compuestos con alternativas apropiadas redunda en economías en los costos de la salud y el medio ambiente como resultado de una menor exposición. Además, una restricción o prohibición impediría que se siguieran contaminando las aguas superficiales, las aguas subterr</w:t>
      </w:r>
      <w:r w:rsidR="000152E0" w:rsidRPr="002261B9">
        <w:rPr>
          <w:lang w:val="es-ES"/>
        </w:rPr>
        <w:t>áneas y el suelo, lo que a su vez reduciría</w:t>
      </w:r>
      <w:r w:rsidRPr="002261B9">
        <w:rPr>
          <w:lang w:val="es-ES"/>
        </w:rPr>
        <w:t xml:space="preserve"> los costos de detección y </w:t>
      </w:r>
      <w:r w:rsidR="003D25D2" w:rsidRPr="002261B9">
        <w:rPr>
          <w:lang w:val="es-ES"/>
        </w:rPr>
        <w:t xml:space="preserve">recuperación </w:t>
      </w:r>
      <w:r w:rsidRPr="002261B9">
        <w:rPr>
          <w:lang w:val="es-ES"/>
        </w:rPr>
        <w:t>de los lugares contaminados.</w:t>
      </w:r>
    </w:p>
    <w:p w14:paraId="6F122870" w14:textId="553C67ED" w:rsidR="00564ACF" w:rsidRPr="002261B9" w:rsidRDefault="00564ACF" w:rsidP="00F45508">
      <w:pPr>
        <w:pStyle w:val="Paralevel1"/>
        <w:numPr>
          <w:ilvl w:val="0"/>
          <w:numId w:val="23"/>
        </w:numPr>
        <w:tabs>
          <w:tab w:val="clear" w:pos="0"/>
        </w:tabs>
        <w:ind w:left="1247" w:firstLine="0"/>
        <w:rPr>
          <w:lang w:val="es-ES"/>
        </w:rPr>
      </w:pPr>
      <w:r w:rsidRPr="002261B9">
        <w:rPr>
          <w:lang w:val="es-ES"/>
        </w:rPr>
        <w:t>El PFOA se forma de manera no intencional c</w:t>
      </w:r>
      <w:r w:rsidR="00715D27" w:rsidRPr="002261B9">
        <w:rPr>
          <w:lang w:val="es-ES"/>
        </w:rPr>
        <w:t xml:space="preserve">omo resultado de la combustión incompleta de </w:t>
      </w:r>
      <w:r w:rsidRPr="002261B9">
        <w:rPr>
          <w:lang w:val="es-ES"/>
        </w:rPr>
        <w:t>los fluoropolímeros</w:t>
      </w:r>
      <w:r w:rsidR="00715D27" w:rsidRPr="002261B9">
        <w:rPr>
          <w:lang w:val="es-ES"/>
        </w:rPr>
        <w:t>.</w:t>
      </w:r>
    </w:p>
    <w:p w14:paraId="26A65457" w14:textId="08C5FCD1" w:rsidR="009D2B8A" w:rsidRPr="002261B9" w:rsidRDefault="000E46E1" w:rsidP="00F45508">
      <w:pPr>
        <w:pStyle w:val="Paralevel1"/>
        <w:numPr>
          <w:ilvl w:val="0"/>
          <w:numId w:val="23"/>
        </w:numPr>
        <w:tabs>
          <w:tab w:val="clear" w:pos="0"/>
        </w:tabs>
        <w:ind w:left="1247" w:firstLine="0"/>
        <w:rPr>
          <w:lang w:val="es-ES"/>
        </w:rPr>
      </w:pPr>
      <w:r w:rsidRPr="002261B9">
        <w:rPr>
          <w:lang w:val="es-ES"/>
        </w:rPr>
        <w:t xml:space="preserve">El Comité, de conformidad con el párrafo 9 del artículo 8 del Convenio, recomienda que la Conferencia de las Partes en el Convenio de Estocolmo </w:t>
      </w:r>
      <w:r w:rsidR="004547D8" w:rsidRPr="002261B9">
        <w:rPr>
          <w:lang w:val="es-ES"/>
        </w:rPr>
        <w:t>examine</w:t>
      </w:r>
      <w:r w:rsidRPr="002261B9">
        <w:rPr>
          <w:lang w:val="es-ES"/>
        </w:rPr>
        <w:t xml:space="preserve"> la posibilidad de incluir el PFOA, sus sales y compuestos conexos y de especificar las medidas de control correspondientes</w:t>
      </w:r>
      <w:r w:rsidR="00715D27" w:rsidRPr="002261B9">
        <w:rPr>
          <w:lang w:val="es-ES"/>
        </w:rPr>
        <w:t>.</w:t>
      </w:r>
      <w:r w:rsidRPr="002261B9">
        <w:rPr>
          <w:lang w:val="es-ES"/>
        </w:rPr>
        <w:t xml:space="preserve"> </w:t>
      </w:r>
    </w:p>
    <w:p w14:paraId="3B5B1804" w14:textId="36BD8344" w:rsidR="00715D27" w:rsidRPr="002261B9" w:rsidRDefault="00715D27" w:rsidP="00F45508">
      <w:pPr>
        <w:pStyle w:val="Paralevel1"/>
        <w:numPr>
          <w:ilvl w:val="0"/>
          <w:numId w:val="23"/>
        </w:numPr>
        <w:tabs>
          <w:tab w:val="clear" w:pos="0"/>
        </w:tabs>
        <w:ind w:left="1247" w:firstLine="0"/>
        <w:rPr>
          <w:lang w:val="es-ES"/>
        </w:rPr>
      </w:pPr>
      <w:r w:rsidRPr="002261B9">
        <w:rPr>
          <w:lang w:val="es-ES"/>
        </w:rPr>
        <w:t>S</w:t>
      </w:r>
      <w:r w:rsidR="004B7403" w:rsidRPr="002261B9">
        <w:rPr>
          <w:lang w:val="es-ES"/>
        </w:rPr>
        <w:t xml:space="preserve">obre la base de la evaluación de los usos y la eficiencia y eficacia de las posibles medidas de control, el Comité recomienda </w:t>
      </w:r>
      <w:r w:rsidRPr="002261B9">
        <w:rPr>
          <w:lang w:val="es-ES"/>
        </w:rPr>
        <w:t xml:space="preserve">a </w:t>
      </w:r>
      <w:r w:rsidR="004B7403" w:rsidRPr="002261B9">
        <w:rPr>
          <w:lang w:val="es-ES"/>
        </w:rPr>
        <w:t xml:space="preserve">la Conferencia de las Partes </w:t>
      </w:r>
      <w:r w:rsidRPr="002261B9">
        <w:rPr>
          <w:lang w:val="es-ES"/>
        </w:rPr>
        <w:t xml:space="preserve">que </w:t>
      </w:r>
      <w:r w:rsidR="004547D8" w:rsidRPr="002261B9">
        <w:rPr>
          <w:lang w:val="es-ES"/>
        </w:rPr>
        <w:t>examine la posibilidad</w:t>
      </w:r>
      <w:r w:rsidR="004B7403" w:rsidRPr="002261B9">
        <w:rPr>
          <w:lang w:val="es-ES"/>
        </w:rPr>
        <w:t xml:space="preserve"> de </w:t>
      </w:r>
      <w:r w:rsidRPr="002261B9">
        <w:rPr>
          <w:lang w:val="es-ES"/>
        </w:rPr>
        <w:t xml:space="preserve">incluir el ácido pentadecafluorooctanoico (núm. de CAS: 335-67-1, PFOA, ácido perfluorooctanoico), sus sales y compuestos conexos del </w:t>
      </w:r>
      <w:r w:rsidR="007463CB" w:rsidRPr="002261B9">
        <w:rPr>
          <w:lang w:val="es-ES"/>
        </w:rPr>
        <w:t>PFOA en</w:t>
      </w:r>
      <w:r w:rsidRPr="002261B9">
        <w:rPr>
          <w:lang w:val="es-ES"/>
        </w:rPr>
        <w:t xml:space="preserve"> el anexo A o B del Convenio con</w:t>
      </w:r>
      <w:r w:rsidR="004B7403" w:rsidRPr="002261B9">
        <w:rPr>
          <w:lang w:val="es-ES"/>
        </w:rPr>
        <w:t xml:space="preserve"> exenciones </w:t>
      </w:r>
      <w:r w:rsidRPr="002261B9">
        <w:rPr>
          <w:lang w:val="es-ES"/>
        </w:rPr>
        <w:t xml:space="preserve">específicas </w:t>
      </w:r>
      <w:r w:rsidR="004B7403" w:rsidRPr="002261B9">
        <w:rPr>
          <w:lang w:val="es-ES"/>
        </w:rPr>
        <w:t>para los siguientes usos</w:t>
      </w:r>
      <w:r w:rsidRPr="002261B9">
        <w:rPr>
          <w:lang w:val="es-ES"/>
        </w:rPr>
        <w:t>:</w:t>
      </w:r>
    </w:p>
    <w:p w14:paraId="30B52526" w14:textId="09662D9E" w:rsidR="00715D27" w:rsidRPr="002261B9" w:rsidRDefault="00715D27" w:rsidP="00E1011E">
      <w:pPr>
        <w:pStyle w:val="Style1"/>
      </w:pPr>
      <w:r w:rsidRPr="002261B9">
        <w:t>a)</w:t>
      </w:r>
      <w:r w:rsidRPr="002261B9">
        <w:tab/>
        <w:t>Durante cinco años a partir de la fecha de entrada en v</w:t>
      </w:r>
      <w:r w:rsidR="001E397C">
        <w:t>igor de la enmienda conforme al </w:t>
      </w:r>
      <w:r w:rsidRPr="002261B9">
        <w:t>artículo 4:</w:t>
      </w:r>
    </w:p>
    <w:p w14:paraId="305EF886" w14:textId="5E2C8ACF" w:rsidR="002751B7" w:rsidRPr="002261B9" w:rsidRDefault="002560D0" w:rsidP="00E1011E">
      <w:pPr>
        <w:pStyle w:val="Style1"/>
        <w:ind w:left="1871"/>
      </w:pPr>
      <w:r w:rsidRPr="002261B9">
        <w:tab/>
      </w:r>
      <w:r w:rsidR="00715D27" w:rsidRPr="002261B9">
        <w:t>i)</w:t>
      </w:r>
      <w:r w:rsidR="00715D27" w:rsidRPr="002261B9">
        <w:tab/>
        <w:t>Fabricación de semiconductores o dispositivos electrónicos conexos</w:t>
      </w:r>
      <w:r w:rsidR="002751B7" w:rsidRPr="002261B9">
        <w:t>:</w:t>
      </w:r>
    </w:p>
    <w:p w14:paraId="4670FEBA" w14:textId="4F054B7A" w:rsidR="002751B7" w:rsidRPr="002261B9" w:rsidRDefault="002751B7" w:rsidP="00E1011E">
      <w:pPr>
        <w:pStyle w:val="Style1"/>
        <w:ind w:left="3744" w:hanging="624"/>
      </w:pPr>
      <w:r w:rsidRPr="002261B9">
        <w:t>a.</w:t>
      </w:r>
      <w:r w:rsidRPr="002261B9">
        <w:tab/>
        <w:t>Equipo o infraestructura relacionada con plantas de fabricación que contengan fluoropolímeros o fluoroelastómeros con residuos de PFOA;</w:t>
      </w:r>
    </w:p>
    <w:p w14:paraId="77E8FB6F" w14:textId="192D565F" w:rsidR="002751B7" w:rsidRPr="002261B9" w:rsidRDefault="002751B7" w:rsidP="00E1011E">
      <w:pPr>
        <w:pStyle w:val="Style1"/>
        <w:ind w:left="3744" w:hanging="624"/>
      </w:pPr>
      <w:r w:rsidRPr="002261B9">
        <w:t>b.</w:t>
      </w:r>
      <w:r w:rsidRPr="002261B9">
        <w:tab/>
        <w:t>Equipos o infraestructura relacionada con plantas de fabricación obsoleta: mantenimiento;</w:t>
      </w:r>
    </w:p>
    <w:p w14:paraId="4002D7AC" w14:textId="7B574630" w:rsidR="002751B7" w:rsidRPr="002261B9" w:rsidRDefault="002751B7" w:rsidP="00E1011E">
      <w:pPr>
        <w:pStyle w:val="Style1"/>
        <w:ind w:left="3744" w:hanging="624"/>
      </w:pPr>
      <w:r w:rsidRPr="002261B9">
        <w:t>c.</w:t>
      </w:r>
      <w:r w:rsidRPr="002261B9">
        <w:tab/>
        <w:t>Fotolitografía o procesos de grabado;</w:t>
      </w:r>
    </w:p>
    <w:p w14:paraId="4818AF2F" w14:textId="28B17E09" w:rsidR="002751B7" w:rsidRPr="002261B9" w:rsidRDefault="002560D0" w:rsidP="00E1011E">
      <w:pPr>
        <w:pStyle w:val="Style1"/>
        <w:ind w:left="1871"/>
      </w:pPr>
      <w:r w:rsidRPr="002261B9">
        <w:tab/>
      </w:r>
      <w:r w:rsidR="002751B7" w:rsidRPr="002261B9">
        <w:t>ii)</w:t>
      </w:r>
      <w:r w:rsidR="002751B7" w:rsidRPr="002261B9">
        <w:tab/>
        <w:t>Recubrimientos fotográficos aplicados a películas;</w:t>
      </w:r>
    </w:p>
    <w:p w14:paraId="760585C6" w14:textId="5247D489" w:rsidR="0059395A" w:rsidRPr="002261B9" w:rsidRDefault="002751B7" w:rsidP="00E1011E">
      <w:pPr>
        <w:pStyle w:val="Style1"/>
        <w:ind w:left="3119" w:hanging="624"/>
      </w:pPr>
      <w:r w:rsidRPr="002261B9">
        <w:t>iii)</w:t>
      </w:r>
      <w:r w:rsidRPr="002261B9">
        <w:tab/>
        <w:t xml:space="preserve">Textiles oleófugos e hidrófugos para la protección de líquidos peligrosos </w:t>
      </w:r>
      <w:r w:rsidR="0059395A" w:rsidRPr="002261B9">
        <w:t>con vistas a la protección de los trabajadores contra los riesgos para su salud y seguridad;</w:t>
      </w:r>
    </w:p>
    <w:p w14:paraId="4CE9E5C1" w14:textId="18FC005F" w:rsidR="0059395A" w:rsidRPr="002261B9" w:rsidRDefault="002560D0" w:rsidP="00E1011E">
      <w:pPr>
        <w:pStyle w:val="Style1"/>
      </w:pPr>
      <w:r w:rsidRPr="002261B9">
        <w:tab/>
      </w:r>
      <w:r w:rsidR="0059395A" w:rsidRPr="002261B9">
        <w:t>b)</w:t>
      </w:r>
      <w:r w:rsidR="0059395A" w:rsidRPr="002261B9">
        <w:tab/>
        <w:t xml:space="preserve">Durante 10 años a partir del momento de la entrada en vigor de la enmienda para la fabricación de </w:t>
      </w:r>
      <w:r w:rsidR="007463CB" w:rsidRPr="002261B9">
        <w:t>semiconductores</w:t>
      </w:r>
      <w:r w:rsidR="0059395A" w:rsidRPr="002261B9">
        <w:t xml:space="preserve"> o dispositivos electrónicos conexos: piezas de reemplazo que contengan fluoropolímeros o fluoroelastómero</w:t>
      </w:r>
      <w:r w:rsidR="00C409B0" w:rsidRPr="002261B9">
        <w:t>s</w:t>
      </w:r>
      <w:r w:rsidR="0059395A" w:rsidRPr="002261B9">
        <w:t xml:space="preserve"> con residuos de PFOA respecto de equipos obsoletos o piezas de reemplazo obsoletas;</w:t>
      </w:r>
    </w:p>
    <w:p w14:paraId="441FFB73" w14:textId="12B1A6C4" w:rsidR="0059395A" w:rsidRPr="002261B9" w:rsidRDefault="002560D0" w:rsidP="00E1011E">
      <w:pPr>
        <w:pStyle w:val="Style1"/>
      </w:pPr>
      <w:r w:rsidRPr="002261B9">
        <w:tab/>
      </w:r>
      <w:r w:rsidR="0059395A" w:rsidRPr="002261B9">
        <w:t>c)</w:t>
      </w:r>
      <w:r w:rsidR="0059395A" w:rsidRPr="002261B9">
        <w:tab/>
        <w:t xml:space="preserve">Para el uso del yoduro de perfluorooctano, la producción de bromuro de perfluorooctano </w:t>
      </w:r>
      <w:r w:rsidR="000233FB" w:rsidRPr="002261B9">
        <w:t>con el fin de elaborar productos farmacéuticos revisando de manera sistemática la necesidad de exenciones. En cualquier caso, las exenciones específicas deberán expirar a más tardar en</w:t>
      </w:r>
      <w:r w:rsidR="008A715D" w:rsidRPr="002261B9">
        <w:t> </w:t>
      </w:r>
      <w:r w:rsidR="000233FB" w:rsidRPr="002261B9">
        <w:t>2036.</w:t>
      </w:r>
    </w:p>
    <w:p w14:paraId="19FE388E" w14:textId="22BAD2A8" w:rsidR="0059395A" w:rsidRPr="002261B9" w:rsidRDefault="000233FB" w:rsidP="00F45508">
      <w:pPr>
        <w:pStyle w:val="Paralevel1"/>
        <w:numPr>
          <w:ilvl w:val="0"/>
          <w:numId w:val="23"/>
        </w:numPr>
        <w:tabs>
          <w:tab w:val="clear" w:pos="0"/>
        </w:tabs>
        <w:ind w:left="1247" w:firstLine="0"/>
        <w:rPr>
          <w:lang w:val="es-ES"/>
        </w:rPr>
      </w:pPr>
      <w:r w:rsidRPr="002261B9">
        <w:rPr>
          <w:lang w:val="es-ES"/>
        </w:rPr>
        <w:t>El Com</w:t>
      </w:r>
      <w:r w:rsidR="0059395A" w:rsidRPr="002261B9">
        <w:rPr>
          <w:lang w:val="es-ES"/>
        </w:rPr>
        <w:t>it</w:t>
      </w:r>
      <w:r w:rsidRPr="002261B9">
        <w:rPr>
          <w:lang w:val="es-ES"/>
        </w:rPr>
        <w:t>é</w:t>
      </w:r>
      <w:r w:rsidR="0059395A" w:rsidRPr="002261B9">
        <w:rPr>
          <w:lang w:val="es-ES"/>
        </w:rPr>
        <w:t xml:space="preserve"> invit</w:t>
      </w:r>
      <w:r w:rsidRPr="002261B9">
        <w:rPr>
          <w:lang w:val="es-ES"/>
        </w:rPr>
        <w:t>a a la</w:t>
      </w:r>
      <w:r w:rsidR="0059395A" w:rsidRPr="002261B9">
        <w:rPr>
          <w:lang w:val="es-ES"/>
        </w:rPr>
        <w:t xml:space="preserve">s Partes </w:t>
      </w:r>
      <w:r w:rsidRPr="002261B9">
        <w:rPr>
          <w:lang w:val="es-ES"/>
        </w:rPr>
        <w:t xml:space="preserve">y los observadores, entre ellos a las industrias pertinentes, a que faciliten información que </w:t>
      </w:r>
      <w:r w:rsidR="00C409B0" w:rsidRPr="002261B9">
        <w:rPr>
          <w:lang w:val="es-ES"/>
        </w:rPr>
        <w:t xml:space="preserve">permita al </w:t>
      </w:r>
      <w:r w:rsidRPr="002261B9">
        <w:rPr>
          <w:lang w:val="es-ES"/>
        </w:rPr>
        <w:t>Comité definir las exenciones específicas respecto de la producción y el uso del PFOA, sus sales y los compuestos conexos del PFOA, en particular en las aplicaciones siguientes</w:t>
      </w:r>
      <w:r w:rsidR="0059395A" w:rsidRPr="002261B9">
        <w:rPr>
          <w:lang w:val="es-ES"/>
        </w:rPr>
        <w:t>:</w:t>
      </w:r>
    </w:p>
    <w:p w14:paraId="48CC67E4" w14:textId="3C734FAD" w:rsidR="0059395A"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a)</w:t>
      </w:r>
      <w:r w:rsidR="0059395A" w:rsidRPr="002261B9">
        <w:rPr>
          <w:sz w:val="20"/>
          <w:szCs w:val="20"/>
          <w:lang w:val="es-ES"/>
        </w:rPr>
        <w:tab/>
        <w:t>Membran</w:t>
      </w:r>
      <w:r w:rsidR="000233FB" w:rsidRPr="002261B9">
        <w:rPr>
          <w:sz w:val="20"/>
          <w:szCs w:val="20"/>
          <w:lang w:val="es-ES"/>
        </w:rPr>
        <w:t>as destinadas a usarse en los productos textiles de uso médico, la filtración en el tratamiento de aguas, los procesos de producción y el tratamiento de efluentes</w:t>
      </w:r>
      <w:r w:rsidR="0059395A" w:rsidRPr="002261B9">
        <w:rPr>
          <w:sz w:val="20"/>
          <w:szCs w:val="20"/>
          <w:lang w:val="es-ES"/>
        </w:rPr>
        <w:t>: informa</w:t>
      </w:r>
      <w:r w:rsidR="000233FB" w:rsidRPr="002261B9">
        <w:rPr>
          <w:sz w:val="20"/>
          <w:szCs w:val="20"/>
          <w:lang w:val="es-ES"/>
        </w:rPr>
        <w:t xml:space="preserve">ción sobre el ámbito de las </w:t>
      </w:r>
      <w:r w:rsidR="0059395A" w:rsidRPr="002261B9">
        <w:rPr>
          <w:sz w:val="20"/>
          <w:szCs w:val="20"/>
          <w:lang w:val="es-ES"/>
        </w:rPr>
        <w:t>aplica</w:t>
      </w:r>
      <w:r w:rsidR="000233FB" w:rsidRPr="002261B9">
        <w:rPr>
          <w:sz w:val="20"/>
          <w:szCs w:val="20"/>
          <w:lang w:val="es-ES"/>
        </w:rPr>
        <w:t>ciones</w:t>
      </w:r>
      <w:r w:rsidR="0059395A" w:rsidRPr="002261B9">
        <w:rPr>
          <w:sz w:val="20"/>
          <w:szCs w:val="20"/>
          <w:lang w:val="es-ES"/>
        </w:rPr>
        <w:t xml:space="preserve">, </w:t>
      </w:r>
      <w:r w:rsidR="000233FB" w:rsidRPr="002261B9">
        <w:rPr>
          <w:sz w:val="20"/>
          <w:szCs w:val="20"/>
          <w:lang w:val="es-ES"/>
        </w:rPr>
        <w:t xml:space="preserve">las cantidades utilizadas, la disponibilidad de </w:t>
      </w:r>
      <w:r w:rsidR="0059395A" w:rsidRPr="002261B9">
        <w:rPr>
          <w:sz w:val="20"/>
          <w:szCs w:val="20"/>
          <w:lang w:val="es-ES"/>
        </w:rPr>
        <w:t>alternativ</w:t>
      </w:r>
      <w:r w:rsidR="000233FB" w:rsidRPr="002261B9">
        <w:rPr>
          <w:sz w:val="20"/>
          <w:szCs w:val="20"/>
          <w:lang w:val="es-ES"/>
        </w:rPr>
        <w:t>a</w:t>
      </w:r>
      <w:r w:rsidR="0059395A" w:rsidRPr="002261B9">
        <w:rPr>
          <w:sz w:val="20"/>
          <w:szCs w:val="20"/>
          <w:lang w:val="es-ES"/>
        </w:rPr>
        <w:t xml:space="preserve">s </w:t>
      </w:r>
      <w:r w:rsidR="000233FB" w:rsidRPr="002261B9">
        <w:rPr>
          <w:sz w:val="20"/>
          <w:szCs w:val="20"/>
          <w:lang w:val="es-ES"/>
        </w:rPr>
        <w:t>y aspectos s</w:t>
      </w:r>
      <w:r w:rsidR="0059395A" w:rsidRPr="002261B9">
        <w:rPr>
          <w:sz w:val="20"/>
          <w:szCs w:val="20"/>
          <w:lang w:val="es-ES"/>
        </w:rPr>
        <w:t>ocioecon</w:t>
      </w:r>
      <w:r w:rsidR="000233FB" w:rsidRPr="002261B9">
        <w:rPr>
          <w:sz w:val="20"/>
          <w:szCs w:val="20"/>
          <w:lang w:val="es-ES"/>
        </w:rPr>
        <w:t>ómicos</w:t>
      </w:r>
      <w:r w:rsidR="0059395A" w:rsidRPr="002261B9">
        <w:rPr>
          <w:sz w:val="20"/>
          <w:szCs w:val="20"/>
          <w:lang w:val="es-ES"/>
        </w:rPr>
        <w:t>;</w:t>
      </w:r>
    </w:p>
    <w:p w14:paraId="64BA7A88" w14:textId="511CA9FC" w:rsidR="0059395A"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b)</w:t>
      </w:r>
      <w:r w:rsidR="0059395A" w:rsidRPr="002261B9">
        <w:rPr>
          <w:sz w:val="20"/>
          <w:szCs w:val="20"/>
          <w:lang w:val="es-ES"/>
        </w:rPr>
        <w:tab/>
        <w:t>Transporte</w:t>
      </w:r>
      <w:r w:rsidR="000233FB" w:rsidRPr="002261B9">
        <w:rPr>
          <w:sz w:val="20"/>
          <w:szCs w:val="20"/>
          <w:lang w:val="es-ES"/>
        </w:rPr>
        <w:t xml:space="preserve"> de </w:t>
      </w:r>
      <w:r w:rsidR="001F413C" w:rsidRPr="002261B9">
        <w:rPr>
          <w:sz w:val="20"/>
          <w:szCs w:val="20"/>
          <w:lang w:val="es-ES"/>
        </w:rPr>
        <w:t>sustancias intermedias aisl</w:t>
      </w:r>
      <w:r w:rsidR="004904E9" w:rsidRPr="002261B9">
        <w:rPr>
          <w:sz w:val="20"/>
          <w:szCs w:val="20"/>
          <w:lang w:val="es-ES"/>
        </w:rPr>
        <w:t xml:space="preserve">adas con el fin de facilitar el </w:t>
      </w:r>
      <w:r w:rsidR="001F413C" w:rsidRPr="002261B9">
        <w:rPr>
          <w:sz w:val="20"/>
          <w:szCs w:val="20"/>
          <w:lang w:val="es-ES"/>
        </w:rPr>
        <w:t xml:space="preserve">reprocesamiento en otra instalación distinta de la instalación de producción: </w:t>
      </w:r>
      <w:r w:rsidR="0059395A" w:rsidRPr="002261B9">
        <w:rPr>
          <w:sz w:val="20"/>
          <w:szCs w:val="20"/>
          <w:lang w:val="es-ES"/>
        </w:rPr>
        <w:t>informa</w:t>
      </w:r>
      <w:r w:rsidR="001F413C" w:rsidRPr="002261B9">
        <w:rPr>
          <w:sz w:val="20"/>
          <w:szCs w:val="20"/>
          <w:lang w:val="es-ES"/>
        </w:rPr>
        <w:t>ción sobre las cantidades utilizadas, la duración del transporte y los riesgos, y sobre los usos</w:t>
      </w:r>
      <w:r w:rsidR="0059395A" w:rsidRPr="002261B9">
        <w:rPr>
          <w:sz w:val="20"/>
          <w:szCs w:val="20"/>
          <w:lang w:val="es-ES"/>
        </w:rPr>
        <w:t>;</w:t>
      </w:r>
    </w:p>
    <w:p w14:paraId="60FB920A" w14:textId="122D6927" w:rsidR="0059395A"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c)</w:t>
      </w:r>
      <w:r w:rsidR="0059395A" w:rsidRPr="002261B9">
        <w:rPr>
          <w:sz w:val="20"/>
          <w:szCs w:val="20"/>
          <w:lang w:val="es-ES"/>
        </w:rPr>
        <w:tab/>
      </w:r>
      <w:r w:rsidR="001F413C" w:rsidRPr="002261B9">
        <w:rPr>
          <w:sz w:val="20"/>
          <w:szCs w:val="20"/>
          <w:lang w:val="es-ES"/>
        </w:rPr>
        <w:t>Dispositivos médicos</w:t>
      </w:r>
      <w:r w:rsidR="0059395A" w:rsidRPr="002261B9">
        <w:rPr>
          <w:sz w:val="20"/>
          <w:szCs w:val="20"/>
          <w:lang w:val="es-ES"/>
        </w:rPr>
        <w:t>: informa</w:t>
      </w:r>
      <w:r w:rsidR="001F413C" w:rsidRPr="002261B9">
        <w:rPr>
          <w:sz w:val="20"/>
          <w:szCs w:val="20"/>
          <w:lang w:val="es-ES"/>
        </w:rPr>
        <w:t xml:space="preserve">ción sobre </w:t>
      </w:r>
      <w:r w:rsidR="0059395A" w:rsidRPr="002261B9">
        <w:rPr>
          <w:sz w:val="20"/>
          <w:szCs w:val="20"/>
          <w:lang w:val="es-ES"/>
        </w:rPr>
        <w:t>aplica</w:t>
      </w:r>
      <w:r w:rsidR="001F413C" w:rsidRPr="002261B9">
        <w:rPr>
          <w:sz w:val="20"/>
          <w:szCs w:val="20"/>
          <w:lang w:val="es-ES"/>
        </w:rPr>
        <w:t>cio</w:t>
      </w:r>
      <w:r w:rsidR="0059395A" w:rsidRPr="002261B9">
        <w:rPr>
          <w:sz w:val="20"/>
          <w:szCs w:val="20"/>
          <w:lang w:val="es-ES"/>
        </w:rPr>
        <w:t>n</w:t>
      </w:r>
      <w:r w:rsidR="001F413C" w:rsidRPr="002261B9">
        <w:rPr>
          <w:sz w:val="20"/>
          <w:szCs w:val="20"/>
          <w:lang w:val="es-ES"/>
        </w:rPr>
        <w:t>e</w:t>
      </w:r>
      <w:r w:rsidR="0059395A" w:rsidRPr="002261B9">
        <w:rPr>
          <w:sz w:val="20"/>
          <w:szCs w:val="20"/>
          <w:lang w:val="es-ES"/>
        </w:rPr>
        <w:t>s</w:t>
      </w:r>
      <w:r w:rsidR="001F413C" w:rsidRPr="002261B9">
        <w:rPr>
          <w:sz w:val="20"/>
          <w:szCs w:val="20"/>
          <w:lang w:val="es-ES"/>
        </w:rPr>
        <w:t xml:space="preserve"> y usos específicos, y sobre las fechas en que se prevén aplicar las posibles exenciones afines</w:t>
      </w:r>
      <w:r w:rsidR="0059395A" w:rsidRPr="002261B9">
        <w:rPr>
          <w:sz w:val="20"/>
          <w:szCs w:val="20"/>
          <w:lang w:val="es-ES"/>
        </w:rPr>
        <w:t>;</w:t>
      </w:r>
    </w:p>
    <w:p w14:paraId="2E1E7348" w14:textId="779113D8" w:rsidR="0059395A"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d)</w:t>
      </w:r>
      <w:r w:rsidR="0059395A" w:rsidRPr="002261B9">
        <w:rPr>
          <w:sz w:val="20"/>
          <w:szCs w:val="20"/>
          <w:lang w:val="es-ES"/>
        </w:rPr>
        <w:tab/>
      </w:r>
      <w:r w:rsidR="001F413C" w:rsidRPr="002261B9">
        <w:rPr>
          <w:sz w:val="20"/>
          <w:szCs w:val="20"/>
          <w:lang w:val="es-ES"/>
        </w:rPr>
        <w:t>Dispositivos médicos i</w:t>
      </w:r>
      <w:r w:rsidR="0059395A" w:rsidRPr="002261B9">
        <w:rPr>
          <w:sz w:val="20"/>
          <w:szCs w:val="20"/>
          <w:lang w:val="es-ES"/>
        </w:rPr>
        <w:t>mplantable</w:t>
      </w:r>
      <w:r w:rsidR="001F413C" w:rsidRPr="002261B9">
        <w:rPr>
          <w:sz w:val="20"/>
          <w:szCs w:val="20"/>
          <w:lang w:val="es-ES"/>
        </w:rPr>
        <w:t>s</w:t>
      </w:r>
      <w:r w:rsidR="0059395A" w:rsidRPr="002261B9">
        <w:rPr>
          <w:sz w:val="20"/>
          <w:szCs w:val="20"/>
          <w:lang w:val="es-ES"/>
        </w:rPr>
        <w:t>: informa</w:t>
      </w:r>
      <w:r w:rsidR="001F413C" w:rsidRPr="002261B9">
        <w:rPr>
          <w:sz w:val="20"/>
          <w:szCs w:val="20"/>
          <w:lang w:val="es-ES"/>
        </w:rPr>
        <w:t>ción sobre las cantidades utilizadas, la duración del transporte y los riesgos, y sobre los usos</w:t>
      </w:r>
      <w:r w:rsidR="0059395A" w:rsidRPr="002261B9">
        <w:rPr>
          <w:sz w:val="20"/>
          <w:szCs w:val="20"/>
          <w:lang w:val="es-ES"/>
        </w:rPr>
        <w:t>;</w:t>
      </w:r>
    </w:p>
    <w:p w14:paraId="61396F57" w14:textId="24303F3C" w:rsidR="0059395A" w:rsidRPr="002261B9" w:rsidRDefault="002560D0" w:rsidP="00E1011E">
      <w:pPr>
        <w:spacing w:after="120"/>
        <w:ind w:left="1247" w:firstLine="624"/>
        <w:rPr>
          <w:sz w:val="20"/>
          <w:szCs w:val="20"/>
          <w:lang w:val="es-ES"/>
        </w:rPr>
      </w:pPr>
      <w:r w:rsidRPr="002261B9">
        <w:rPr>
          <w:sz w:val="20"/>
          <w:szCs w:val="20"/>
          <w:lang w:val="es-ES"/>
        </w:rPr>
        <w:lastRenderedPageBreak/>
        <w:tab/>
      </w:r>
      <w:r w:rsidR="0059395A" w:rsidRPr="002261B9">
        <w:rPr>
          <w:sz w:val="20"/>
          <w:szCs w:val="20"/>
          <w:lang w:val="es-ES"/>
        </w:rPr>
        <w:t>e)</w:t>
      </w:r>
      <w:r w:rsidR="0059395A" w:rsidRPr="002261B9">
        <w:rPr>
          <w:sz w:val="20"/>
          <w:szCs w:val="20"/>
          <w:lang w:val="es-ES"/>
        </w:rPr>
        <w:tab/>
      </w:r>
      <w:r w:rsidR="001F413C" w:rsidRPr="002261B9">
        <w:rPr>
          <w:sz w:val="20"/>
          <w:szCs w:val="20"/>
          <w:lang w:val="es-ES"/>
        </w:rPr>
        <w:t>Sector de imágenes fotográficas</w:t>
      </w:r>
      <w:r w:rsidR="0059395A" w:rsidRPr="002261B9">
        <w:rPr>
          <w:sz w:val="20"/>
          <w:szCs w:val="20"/>
          <w:lang w:val="es-ES"/>
        </w:rPr>
        <w:t>: informa</w:t>
      </w:r>
      <w:r w:rsidR="001F413C" w:rsidRPr="002261B9">
        <w:rPr>
          <w:sz w:val="20"/>
          <w:szCs w:val="20"/>
          <w:lang w:val="es-ES"/>
        </w:rPr>
        <w:t>ción relativa al papel y la impresión</w:t>
      </w:r>
      <w:r w:rsidR="0059395A" w:rsidRPr="002261B9">
        <w:rPr>
          <w:sz w:val="20"/>
          <w:szCs w:val="20"/>
          <w:lang w:val="es-ES"/>
        </w:rPr>
        <w:t xml:space="preserve">, </w:t>
      </w:r>
      <w:r w:rsidR="001F413C" w:rsidRPr="002261B9">
        <w:rPr>
          <w:sz w:val="20"/>
          <w:szCs w:val="20"/>
          <w:lang w:val="es-ES"/>
        </w:rPr>
        <w:t>e información pertinente para los países en desarrollo</w:t>
      </w:r>
      <w:r w:rsidR="0059395A" w:rsidRPr="002261B9">
        <w:rPr>
          <w:sz w:val="20"/>
          <w:szCs w:val="20"/>
          <w:lang w:val="es-ES"/>
        </w:rPr>
        <w:t>;</w:t>
      </w:r>
    </w:p>
    <w:p w14:paraId="737142CE" w14:textId="1D395C4A" w:rsidR="0059395A"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f)</w:t>
      </w:r>
      <w:r w:rsidR="0059395A" w:rsidRPr="002261B9">
        <w:rPr>
          <w:sz w:val="20"/>
          <w:szCs w:val="20"/>
          <w:lang w:val="es-ES"/>
        </w:rPr>
        <w:tab/>
      </w:r>
      <w:r w:rsidR="001F413C" w:rsidRPr="002261B9">
        <w:rPr>
          <w:sz w:val="20"/>
          <w:szCs w:val="20"/>
          <w:lang w:val="es-ES"/>
        </w:rPr>
        <w:t>Industria a</w:t>
      </w:r>
      <w:r w:rsidR="0059395A" w:rsidRPr="002261B9">
        <w:rPr>
          <w:sz w:val="20"/>
          <w:szCs w:val="20"/>
          <w:lang w:val="es-ES"/>
        </w:rPr>
        <w:t>utomot</w:t>
      </w:r>
      <w:r w:rsidR="001F413C" w:rsidRPr="002261B9">
        <w:rPr>
          <w:sz w:val="20"/>
          <w:szCs w:val="20"/>
          <w:lang w:val="es-ES"/>
        </w:rPr>
        <w:t>riz</w:t>
      </w:r>
      <w:r w:rsidR="0059395A" w:rsidRPr="002261B9">
        <w:rPr>
          <w:sz w:val="20"/>
          <w:szCs w:val="20"/>
          <w:lang w:val="es-ES"/>
        </w:rPr>
        <w:t>: informa</w:t>
      </w:r>
      <w:r w:rsidR="001F413C" w:rsidRPr="002261B9">
        <w:rPr>
          <w:sz w:val="20"/>
          <w:szCs w:val="20"/>
          <w:lang w:val="es-ES"/>
        </w:rPr>
        <w:t xml:space="preserve">ción sobre piezas </w:t>
      </w:r>
      <w:r w:rsidR="009155F7" w:rsidRPr="002261B9">
        <w:rPr>
          <w:sz w:val="20"/>
          <w:szCs w:val="20"/>
          <w:lang w:val="es-ES"/>
        </w:rPr>
        <w:t>de repuesto</w:t>
      </w:r>
      <w:r w:rsidR="0059395A" w:rsidRPr="002261B9">
        <w:rPr>
          <w:sz w:val="20"/>
          <w:szCs w:val="20"/>
          <w:lang w:val="es-ES"/>
        </w:rPr>
        <w:t>;</w:t>
      </w:r>
    </w:p>
    <w:p w14:paraId="5B1CCFBF" w14:textId="24452619" w:rsidR="009155F7" w:rsidRPr="002261B9" w:rsidRDefault="002560D0" w:rsidP="00E1011E">
      <w:pPr>
        <w:spacing w:after="120"/>
        <w:ind w:left="1247" w:firstLine="624"/>
        <w:rPr>
          <w:sz w:val="20"/>
          <w:szCs w:val="20"/>
          <w:lang w:val="es-ES"/>
        </w:rPr>
      </w:pPr>
      <w:r w:rsidRPr="002261B9">
        <w:rPr>
          <w:sz w:val="20"/>
          <w:szCs w:val="20"/>
          <w:lang w:val="es-ES"/>
        </w:rPr>
        <w:tab/>
      </w:r>
      <w:r w:rsidR="0059395A" w:rsidRPr="002261B9">
        <w:rPr>
          <w:sz w:val="20"/>
          <w:szCs w:val="20"/>
          <w:lang w:val="es-ES"/>
        </w:rPr>
        <w:t>g)</w:t>
      </w:r>
      <w:r w:rsidR="0059395A" w:rsidRPr="002261B9">
        <w:rPr>
          <w:sz w:val="20"/>
          <w:szCs w:val="20"/>
          <w:lang w:val="es-ES"/>
        </w:rPr>
        <w:tab/>
      </w:r>
      <w:r w:rsidR="001F413C" w:rsidRPr="002261B9">
        <w:rPr>
          <w:sz w:val="20"/>
          <w:szCs w:val="20"/>
          <w:lang w:val="es-ES"/>
        </w:rPr>
        <w:t>Espumas contra incendios</w:t>
      </w:r>
      <w:r w:rsidR="0059395A" w:rsidRPr="002261B9">
        <w:rPr>
          <w:sz w:val="20"/>
          <w:szCs w:val="20"/>
          <w:lang w:val="es-ES"/>
        </w:rPr>
        <w:t>: informa</w:t>
      </w:r>
      <w:r w:rsidR="001F413C" w:rsidRPr="002261B9">
        <w:rPr>
          <w:sz w:val="20"/>
          <w:szCs w:val="20"/>
          <w:lang w:val="es-ES"/>
        </w:rPr>
        <w:t xml:space="preserve">ción sobre la composición química de las mezclas y los </w:t>
      </w:r>
      <w:r w:rsidR="009155F7" w:rsidRPr="002261B9">
        <w:rPr>
          <w:sz w:val="20"/>
          <w:szCs w:val="20"/>
          <w:lang w:val="es-ES"/>
        </w:rPr>
        <w:t>volúmenes</w:t>
      </w:r>
      <w:r w:rsidR="001F413C" w:rsidRPr="002261B9">
        <w:rPr>
          <w:sz w:val="20"/>
          <w:szCs w:val="20"/>
          <w:lang w:val="es-ES"/>
        </w:rPr>
        <w:t xml:space="preserve"> de las cantidades</w:t>
      </w:r>
      <w:r w:rsidR="009155F7" w:rsidRPr="002261B9">
        <w:rPr>
          <w:sz w:val="20"/>
          <w:szCs w:val="20"/>
          <w:lang w:val="es-ES"/>
        </w:rPr>
        <w:t xml:space="preserve"> cargadas con anterioridad de mezclas de espumas contra incendios</w:t>
      </w:r>
      <w:r w:rsidR="00833A59" w:rsidRPr="002261B9">
        <w:rPr>
          <w:sz w:val="20"/>
          <w:szCs w:val="20"/>
          <w:lang w:val="es-ES"/>
        </w:rPr>
        <w:t>.</w:t>
      </w:r>
    </w:p>
    <w:p w14:paraId="7B5AB66A" w14:textId="115BEF49" w:rsidR="0059395A" w:rsidRPr="002261B9" w:rsidRDefault="009155F7" w:rsidP="00F45508">
      <w:pPr>
        <w:pStyle w:val="Paralevel1"/>
        <w:numPr>
          <w:ilvl w:val="0"/>
          <w:numId w:val="23"/>
        </w:numPr>
        <w:tabs>
          <w:tab w:val="clear" w:pos="0"/>
        </w:tabs>
        <w:ind w:left="1247" w:firstLine="0"/>
        <w:rPr>
          <w:lang w:val="es-ES"/>
        </w:rPr>
      </w:pPr>
      <w:r w:rsidRPr="002261B9">
        <w:rPr>
          <w:lang w:val="es-ES"/>
        </w:rPr>
        <w:t xml:space="preserve">Respecto de las aplicaciones antes mencionadas, se acogerá con agrado toda </w:t>
      </w:r>
      <w:r w:rsidR="0059395A" w:rsidRPr="002261B9">
        <w:rPr>
          <w:lang w:val="es-ES"/>
        </w:rPr>
        <w:t>informa</w:t>
      </w:r>
      <w:r w:rsidRPr="002261B9">
        <w:rPr>
          <w:lang w:val="es-ES"/>
        </w:rPr>
        <w:t xml:space="preserve">ción sobre los aspectos </w:t>
      </w:r>
      <w:r w:rsidR="0059395A" w:rsidRPr="002261B9">
        <w:rPr>
          <w:lang w:val="es-ES"/>
        </w:rPr>
        <w:t>socioecon</w:t>
      </w:r>
      <w:r w:rsidRPr="002261B9">
        <w:rPr>
          <w:lang w:val="es-ES"/>
        </w:rPr>
        <w:t>ó</w:t>
      </w:r>
      <w:r w:rsidR="0059395A" w:rsidRPr="002261B9">
        <w:rPr>
          <w:lang w:val="es-ES"/>
        </w:rPr>
        <w:t>mic</w:t>
      </w:r>
      <w:r w:rsidRPr="002261B9">
        <w:rPr>
          <w:lang w:val="es-ES"/>
        </w:rPr>
        <w:t>os y cualquier otra información pertinente que se considere necesaria.</w:t>
      </w:r>
    </w:p>
    <w:p w14:paraId="57DAD9B1" w14:textId="6ACC918E" w:rsidR="00923713" w:rsidRPr="002261B9" w:rsidRDefault="009155F7" w:rsidP="00F45508">
      <w:pPr>
        <w:pStyle w:val="Paralevel1"/>
        <w:numPr>
          <w:ilvl w:val="0"/>
          <w:numId w:val="23"/>
        </w:numPr>
        <w:tabs>
          <w:tab w:val="clear" w:pos="0"/>
        </w:tabs>
        <w:ind w:left="1247" w:firstLine="0"/>
        <w:rPr>
          <w:lang w:val="es-ES"/>
        </w:rPr>
      </w:pPr>
      <w:r w:rsidRPr="002261B9">
        <w:rPr>
          <w:lang w:val="es-ES"/>
        </w:rPr>
        <w:t>Además</w:t>
      </w:r>
      <w:r w:rsidR="0059395A" w:rsidRPr="002261B9">
        <w:rPr>
          <w:lang w:val="es-ES"/>
        </w:rPr>
        <w:t xml:space="preserve">, </w:t>
      </w:r>
      <w:r w:rsidRPr="002261B9">
        <w:rPr>
          <w:lang w:val="es-ES"/>
        </w:rPr>
        <w:t xml:space="preserve">el Comité reunirá y evaluará en el período entre reuniones información adicional que le presenten las Partes y los observadores con vistas a la posible inclusión del </w:t>
      </w:r>
      <w:r w:rsidR="0059395A" w:rsidRPr="002261B9">
        <w:rPr>
          <w:lang w:val="es-ES"/>
        </w:rPr>
        <w:t xml:space="preserve">PFOA </w:t>
      </w:r>
      <w:r w:rsidRPr="002261B9">
        <w:rPr>
          <w:lang w:val="es-ES"/>
        </w:rPr>
        <w:t xml:space="preserve">en el anexo C, que facilite la evaluación del </w:t>
      </w:r>
      <w:r w:rsidR="0059395A" w:rsidRPr="002261B9">
        <w:rPr>
          <w:lang w:val="es-ES"/>
        </w:rPr>
        <w:t xml:space="preserve">PFOA, </w:t>
      </w:r>
      <w:r w:rsidRPr="002261B9">
        <w:rPr>
          <w:lang w:val="es-ES"/>
        </w:rPr>
        <w:t xml:space="preserve">sus sales y los compuestos conexos del </w:t>
      </w:r>
      <w:r w:rsidR="0059395A" w:rsidRPr="002261B9">
        <w:rPr>
          <w:lang w:val="es-ES"/>
        </w:rPr>
        <w:t>PFOA</w:t>
      </w:r>
      <w:r w:rsidRPr="002261B9">
        <w:rPr>
          <w:lang w:val="es-ES"/>
        </w:rPr>
        <w:t xml:space="preserve"> en relación con su formación y liberación no intencionales, e</w:t>
      </w:r>
      <w:r w:rsidR="0059395A" w:rsidRPr="002261B9">
        <w:rPr>
          <w:lang w:val="es-ES"/>
        </w:rPr>
        <w:t xml:space="preserve">n particular </w:t>
      </w:r>
      <w:r w:rsidRPr="002261B9">
        <w:rPr>
          <w:lang w:val="es-ES"/>
        </w:rPr>
        <w:t>derivadas de la producción primaria de aluminio y de la combustión incompleta</w:t>
      </w:r>
      <w:r w:rsidR="0059395A" w:rsidRPr="002261B9">
        <w:rPr>
          <w:lang w:val="es-ES"/>
        </w:rPr>
        <w:t xml:space="preserve">. </w:t>
      </w:r>
      <w:r w:rsidRPr="002261B9">
        <w:rPr>
          <w:lang w:val="es-ES"/>
        </w:rPr>
        <w:t xml:space="preserve">En ese sentido, se invita especialmente a los expertos pertinentes que colaboran en los distintos procesos </w:t>
      </w:r>
      <w:r w:rsidR="0059395A" w:rsidRPr="002261B9">
        <w:rPr>
          <w:lang w:val="es-ES"/>
        </w:rPr>
        <w:t>t</w:t>
      </w:r>
      <w:r w:rsidRPr="002261B9">
        <w:rPr>
          <w:lang w:val="es-ES"/>
        </w:rPr>
        <w:t>écnicos y científicos en el marco del Convenio de Estocolmo y el Convenio de Basil</w:t>
      </w:r>
      <w:r w:rsidR="0059395A" w:rsidRPr="002261B9">
        <w:rPr>
          <w:lang w:val="es-ES"/>
        </w:rPr>
        <w:t>e</w:t>
      </w:r>
      <w:r w:rsidRPr="002261B9">
        <w:rPr>
          <w:lang w:val="es-ES"/>
        </w:rPr>
        <w:t xml:space="preserve">a, conforme a lo estipulado en la decisión </w:t>
      </w:r>
      <w:r w:rsidR="0059395A" w:rsidRPr="002261B9">
        <w:rPr>
          <w:lang w:val="es-ES"/>
        </w:rPr>
        <w:t>SC-8/21</w:t>
      </w:r>
      <w:r w:rsidRPr="002261B9">
        <w:rPr>
          <w:lang w:val="es-ES"/>
        </w:rPr>
        <w:t>, a que realicen aportaciones.</w:t>
      </w:r>
    </w:p>
    <w:p w14:paraId="01DE440E" w14:textId="338CADDB" w:rsidR="008D4C8F" w:rsidRPr="002261B9" w:rsidRDefault="00B80BE0" w:rsidP="00F45508">
      <w:pPr>
        <w:pStyle w:val="Heading1"/>
        <w:keepNext w:val="0"/>
        <w:pageBreakBefore w:val="0"/>
        <w:numPr>
          <w:ilvl w:val="0"/>
          <w:numId w:val="24"/>
        </w:numPr>
        <w:spacing w:before="120" w:after="120" w:line="240" w:lineRule="auto"/>
        <w:ind w:left="1248" w:hanging="624"/>
        <w:jc w:val="left"/>
        <w:rPr>
          <w:rFonts w:ascii="Times New Roman" w:hAnsi="Times New Roman"/>
          <w:sz w:val="24"/>
          <w:szCs w:val="24"/>
          <w:lang w:val="es-ES"/>
        </w:rPr>
      </w:pPr>
      <w:bookmarkStart w:id="4" w:name="_Toc501099190"/>
      <w:r w:rsidRPr="002261B9">
        <w:rPr>
          <w:rFonts w:ascii="Times New Roman" w:hAnsi="Times New Roman"/>
          <w:sz w:val="24"/>
          <w:szCs w:val="24"/>
          <w:lang w:val="es-ES"/>
        </w:rPr>
        <w:t>Introducción</w:t>
      </w:r>
      <w:bookmarkEnd w:id="4"/>
    </w:p>
    <w:p w14:paraId="196AA546" w14:textId="0706FA29" w:rsidR="0067557B" w:rsidRPr="002261B9" w:rsidRDefault="00B4152E" w:rsidP="00F45508">
      <w:pPr>
        <w:pStyle w:val="Paralevel1"/>
        <w:numPr>
          <w:ilvl w:val="0"/>
          <w:numId w:val="23"/>
        </w:numPr>
        <w:tabs>
          <w:tab w:val="clear" w:pos="0"/>
        </w:tabs>
        <w:ind w:left="1247" w:firstLine="0"/>
        <w:rPr>
          <w:lang w:val="es-ES"/>
        </w:rPr>
      </w:pPr>
      <w:r w:rsidRPr="002261B9">
        <w:rPr>
          <w:lang w:val="es-ES"/>
        </w:rPr>
        <w:t xml:space="preserve">En junio de 2015, la Unión Europea </w:t>
      </w:r>
      <w:r w:rsidR="00851C71" w:rsidRPr="002261B9">
        <w:rPr>
          <w:lang w:val="es-ES"/>
        </w:rPr>
        <w:t xml:space="preserve">(UE) </w:t>
      </w:r>
      <w:r w:rsidRPr="002261B9">
        <w:rPr>
          <w:lang w:val="es-ES"/>
        </w:rPr>
        <w:t xml:space="preserve">y sus Estados miembros presentaron una propuesta de inclusión del ácido pentadecafluorooctanoico (núm. de CAS: 335-67-1, PFOA, ácido perfluorooctanoico), sus sales y compuestos conexos del PFOA en los anexos A, B o C del Convenio de Estocolmo (UNEP/POPS/POPRC.11/5). Esa propuesta fue examinada por el Comité de Examen de los </w:t>
      </w:r>
      <w:r w:rsidR="00614F37" w:rsidRPr="002261B9">
        <w:rPr>
          <w:lang w:val="es-ES"/>
        </w:rPr>
        <w:t>Contaminantes</w:t>
      </w:r>
      <w:r w:rsidRPr="002261B9">
        <w:rPr>
          <w:lang w:val="es-ES"/>
        </w:rPr>
        <w:t xml:space="preserve"> Orgánicos Persistentes en su 11</w:t>
      </w:r>
      <w:r w:rsidR="00694928" w:rsidRPr="002261B9">
        <w:rPr>
          <w:lang w:val="es-ES"/>
        </w:rPr>
        <w:t>ª</w:t>
      </w:r>
      <w:r w:rsidRPr="002261B9">
        <w:rPr>
          <w:lang w:val="es-ES"/>
        </w:rPr>
        <w:t xml:space="preserve"> reunión</w:t>
      </w:r>
      <w:r w:rsidR="0041698B" w:rsidRPr="002261B9">
        <w:rPr>
          <w:lang w:val="es-ES"/>
        </w:rPr>
        <w:t>,</w:t>
      </w:r>
      <w:r w:rsidRPr="002261B9">
        <w:rPr>
          <w:lang w:val="es-ES"/>
        </w:rPr>
        <w:t xml:space="preserve"> celebrada en octubre de 2015, en la que el Comité llegó a la conclusión de que el PFOA cumplía los criterios de selección establecidos en el anexo D y que las cuestiones relacionadas con la inclusión de los compuestos conexos del PFOA que podían degradar a PFOA y la inclusión de las sales de PFOA debería</w:t>
      </w:r>
      <w:r w:rsidR="00694928" w:rsidRPr="002261B9">
        <w:rPr>
          <w:lang w:val="es-ES"/>
        </w:rPr>
        <w:t>n</w:t>
      </w:r>
      <w:r w:rsidRPr="002261B9">
        <w:rPr>
          <w:lang w:val="es-ES"/>
        </w:rPr>
        <w:t xml:space="preserve"> abordarse en el proyecto de perfil de riesgos </w:t>
      </w:r>
      <w:r w:rsidR="0067557B" w:rsidRPr="002261B9">
        <w:rPr>
          <w:lang w:val="es-ES"/>
        </w:rPr>
        <w:t>(véase la decisión POPRC-11/4).</w:t>
      </w:r>
    </w:p>
    <w:p w14:paraId="55F8ED78" w14:textId="30458A3A" w:rsidR="0067557B" w:rsidRPr="002261B9" w:rsidRDefault="00B4152E" w:rsidP="00F45508">
      <w:pPr>
        <w:pStyle w:val="Paralevel1"/>
        <w:numPr>
          <w:ilvl w:val="0"/>
          <w:numId w:val="23"/>
        </w:numPr>
        <w:tabs>
          <w:tab w:val="clear" w:pos="0"/>
        </w:tabs>
        <w:ind w:left="1247" w:firstLine="0"/>
        <w:rPr>
          <w:lang w:val="es-ES"/>
        </w:rPr>
      </w:pPr>
      <w:r w:rsidRPr="002261B9">
        <w:rPr>
          <w:lang w:val="es-ES"/>
        </w:rPr>
        <w:t>El perfil de riesgo abarca al PFOA e incluye sus isómeros, sus sales y los compuestos conexos</w:t>
      </w:r>
      <w:r w:rsidR="00A5157B" w:rsidRPr="002261B9">
        <w:rPr>
          <w:lang w:val="es-ES"/>
        </w:rPr>
        <w:t> </w:t>
      </w:r>
      <w:r w:rsidRPr="002261B9">
        <w:rPr>
          <w:lang w:val="es-ES"/>
        </w:rPr>
        <w:t>del PFOA. En su 12ª reunión, celebrada en septiembre de 2016, el Comité, en su decisión</w:t>
      </w:r>
      <w:r w:rsidR="002261B9">
        <w:rPr>
          <w:lang w:val="es-ES"/>
        </w:rPr>
        <w:t> </w:t>
      </w:r>
      <w:r w:rsidRPr="002261B9">
        <w:rPr>
          <w:lang w:val="es-ES"/>
        </w:rPr>
        <w:t>POPRC</w:t>
      </w:r>
      <w:r w:rsidR="00A5157B" w:rsidRPr="002261B9">
        <w:rPr>
          <w:lang w:val="es-ES"/>
        </w:rPr>
        <w:noBreakHyphen/>
      </w:r>
      <w:r w:rsidRPr="002261B9">
        <w:rPr>
          <w:lang w:val="es-ES"/>
        </w:rPr>
        <w:t>12/2, aprobó el perfil de riesgo (UNEP/POPS/POPRC.12/11/Add.2) y decidió establecer un grupo de trabajo entre reuniones encargado de preparar una evaluación de la gestión de los riesgos que incluyera un análisis de las posibles medidas de control aplicables al PFOA, sus sales y los compuestos conexos del PFOA de conformidad con el anexo F del Convenio. Además, el Comité invitó a las Partes y a los observadores a que presentaran a la Secretaría la información especificada en el anexo F antes del 8 de diciembre de 2016.</w:t>
      </w:r>
    </w:p>
    <w:p w14:paraId="0606D4A9" w14:textId="2D9B3FEE" w:rsidR="008020B6" w:rsidRPr="002261B9" w:rsidRDefault="007837ED" w:rsidP="00F45508">
      <w:pPr>
        <w:pStyle w:val="Paralevel1"/>
        <w:numPr>
          <w:ilvl w:val="0"/>
          <w:numId w:val="23"/>
        </w:numPr>
        <w:tabs>
          <w:tab w:val="clear" w:pos="0"/>
        </w:tabs>
        <w:ind w:left="1247" w:firstLine="0"/>
        <w:rPr>
          <w:lang w:val="es-ES"/>
        </w:rPr>
      </w:pPr>
      <w:r w:rsidRPr="002261B9">
        <w:rPr>
          <w:lang w:val="es-ES"/>
        </w:rPr>
        <w:t xml:space="preserve">En consonancia con el perfil de riesgo, la evaluación de la gestión de los riesgos se centra en el PFOA, incluidos los isómeros, sus sales y los compuestos conexos del PFOA. Junto con la presente evaluación de la gestión de los riesgos figura un documento de antecedentes (UNEP/POPS/POPRC.13/INF/6) y para ayudar en la identificación de los compuestos conexos del PFOA </w:t>
      </w:r>
      <w:r w:rsidR="00694928" w:rsidRPr="002261B9">
        <w:rPr>
          <w:lang w:val="es-ES"/>
        </w:rPr>
        <w:t xml:space="preserve">se incluye también </w:t>
      </w:r>
      <w:r w:rsidRPr="002261B9">
        <w:rPr>
          <w:lang w:val="es-ES"/>
        </w:rPr>
        <w:t>una lista no exhaustiva de sustancias comprendidas o no en la evaluación de la gestión de los riesgos (UNEP/POPS/POPRC.13/INF/6/Add.1)</w:t>
      </w:r>
      <w:r w:rsidR="002261B9" w:rsidRPr="002261B9">
        <w:rPr>
          <w:lang w:val="es-ES"/>
        </w:rPr>
        <w:t>.</w:t>
      </w:r>
    </w:p>
    <w:p w14:paraId="4F190FF7" w14:textId="27B1EDC7" w:rsidR="00895FF7" w:rsidRPr="002261B9" w:rsidRDefault="00E1011E" w:rsidP="00E1011E">
      <w:pPr>
        <w:pStyle w:val="StyleHeading2u2h2ABC2ChptTimesNewRomanLinespaci"/>
        <w:tabs>
          <w:tab w:val="num" w:pos="756"/>
        </w:tabs>
        <w:ind w:left="1248" w:hanging="624"/>
        <w:rPr>
          <w:sz w:val="22"/>
          <w:szCs w:val="22"/>
          <w:lang w:val="es-ES"/>
        </w:rPr>
      </w:pPr>
      <w:bookmarkStart w:id="5" w:name="_Toc501099191"/>
      <w:r w:rsidRPr="002261B9">
        <w:rPr>
          <w:sz w:val="22"/>
          <w:szCs w:val="22"/>
          <w:lang w:val="es-ES"/>
        </w:rPr>
        <w:t>1.1</w:t>
      </w:r>
      <w:r w:rsidRPr="002261B9">
        <w:rPr>
          <w:sz w:val="22"/>
          <w:szCs w:val="22"/>
          <w:lang w:val="es-ES"/>
        </w:rPr>
        <w:tab/>
      </w:r>
      <w:r w:rsidR="00895FF7" w:rsidRPr="002261B9">
        <w:rPr>
          <w:sz w:val="22"/>
          <w:szCs w:val="22"/>
          <w:lang w:val="es-ES"/>
        </w:rPr>
        <w:t>Identidad qu</w:t>
      </w:r>
      <w:r w:rsidR="00447AAB" w:rsidRPr="002261B9">
        <w:rPr>
          <w:sz w:val="22"/>
          <w:szCs w:val="22"/>
          <w:lang w:val="es-ES"/>
        </w:rPr>
        <w:t>í</w:t>
      </w:r>
      <w:r w:rsidR="00895FF7" w:rsidRPr="002261B9">
        <w:rPr>
          <w:sz w:val="22"/>
          <w:szCs w:val="22"/>
          <w:lang w:val="es-ES"/>
        </w:rPr>
        <w:t>mica del PFOA, sus sales y los compuestos conexos del PFOA.</w:t>
      </w:r>
      <w:bookmarkEnd w:id="5"/>
    </w:p>
    <w:p w14:paraId="0F8655E5" w14:textId="5C9E8C50" w:rsidR="005A2F06" w:rsidRPr="002261B9" w:rsidRDefault="005A2F06" w:rsidP="00F45508">
      <w:pPr>
        <w:pStyle w:val="Paralevel1"/>
        <w:numPr>
          <w:ilvl w:val="0"/>
          <w:numId w:val="23"/>
        </w:numPr>
        <w:tabs>
          <w:tab w:val="clear" w:pos="0"/>
        </w:tabs>
        <w:ind w:left="1247" w:firstLine="0"/>
        <w:rPr>
          <w:lang w:val="es-ES"/>
        </w:rPr>
      </w:pPr>
      <w:bookmarkStart w:id="6" w:name="_Toc130616636"/>
      <w:bookmarkStart w:id="7" w:name="_Toc153938442"/>
      <w:r w:rsidRPr="002261B9">
        <w:rPr>
          <w:lang w:val="es-ES"/>
        </w:rPr>
        <w:t xml:space="preserve">El PFOA, sus sales y los compuestos conexos del PFOA pertenecen a una familia de perfluoroalquilos y polifluoroalquilos (PFAS). Los ácidos perfluorados, como el PFOA, no se degradan en el medio ambiente </w:t>
      </w:r>
      <w:r w:rsidR="0041698B" w:rsidRPr="002261B9">
        <w:rPr>
          <w:lang w:val="es-ES"/>
        </w:rPr>
        <w:t>ni</w:t>
      </w:r>
      <w:r w:rsidRPr="002261B9">
        <w:rPr>
          <w:lang w:val="es-ES"/>
        </w:rPr>
        <w:t xml:space="preserve"> en la biota (que incluye a los seres humanos)</w:t>
      </w:r>
      <w:r w:rsidR="0041698B" w:rsidRPr="002261B9">
        <w:rPr>
          <w:lang w:val="es-ES"/>
        </w:rPr>
        <w:t>.</w:t>
      </w:r>
      <w:r w:rsidRPr="002261B9">
        <w:rPr>
          <w:lang w:val="es-ES"/>
        </w:rPr>
        <w:t xml:space="preserve"> En determinadas condiciones ambientales, algunas sustancias polifluoradas pueden degradarse a sustancias perfluoradas persistentes, como el PFOA y, por consiguiente, son precursoras. A los PFAS que pueden degradarse a PFOA en el medio ambiente y en la biota se les denomina compuestos conexos del PFOA.</w:t>
      </w:r>
    </w:p>
    <w:p w14:paraId="2F99D988" w14:textId="52F51A6E" w:rsidR="00B41E5B" w:rsidRPr="002261B9" w:rsidRDefault="00B4152E" w:rsidP="00F45508">
      <w:pPr>
        <w:pStyle w:val="Paralevel1"/>
        <w:numPr>
          <w:ilvl w:val="0"/>
          <w:numId w:val="23"/>
        </w:numPr>
        <w:tabs>
          <w:tab w:val="clear" w:pos="0"/>
        </w:tabs>
        <w:ind w:left="1247" w:firstLine="0"/>
        <w:rPr>
          <w:lang w:val="es-ES"/>
        </w:rPr>
      </w:pPr>
      <w:bookmarkStart w:id="8" w:name="_Ref475970615"/>
      <w:r w:rsidRPr="002261B9">
        <w:rPr>
          <w:lang w:val="es-ES"/>
        </w:rPr>
        <w:t>La evaluación de la gestión de los riesgos contempla:</w:t>
      </w:r>
      <w:bookmarkEnd w:id="8"/>
    </w:p>
    <w:p w14:paraId="58C3BBC0" w14:textId="4E474766" w:rsidR="00540128" w:rsidRPr="002261B9" w:rsidRDefault="00540128" w:rsidP="00F45508">
      <w:pPr>
        <w:pStyle w:val="ListParagraph"/>
        <w:numPr>
          <w:ilvl w:val="0"/>
          <w:numId w:val="15"/>
        </w:numPr>
        <w:snapToGrid w:val="0"/>
        <w:spacing w:after="120"/>
        <w:ind w:left="1247" w:firstLine="624"/>
        <w:contextualSpacing w:val="0"/>
        <w:rPr>
          <w:sz w:val="20"/>
          <w:szCs w:val="20"/>
          <w:lang w:val="es-ES"/>
        </w:rPr>
      </w:pPr>
      <w:r w:rsidRPr="002261B9">
        <w:rPr>
          <w:sz w:val="20"/>
          <w:szCs w:val="20"/>
          <w:lang w:val="es-ES"/>
        </w:rPr>
        <w:t xml:space="preserve">El </w:t>
      </w:r>
      <w:r w:rsidR="00D24D8E" w:rsidRPr="002261B9">
        <w:rPr>
          <w:sz w:val="20"/>
          <w:szCs w:val="20"/>
          <w:lang w:val="es-ES"/>
        </w:rPr>
        <w:t>PFOA (ácido pentadecafluorooctanoico (núm. de CAS: 335-67-1, EC No:</w:t>
      </w:r>
      <w:r w:rsidR="00A5157B" w:rsidRPr="002261B9">
        <w:rPr>
          <w:sz w:val="20"/>
          <w:szCs w:val="20"/>
          <w:lang w:val="es-ES"/>
        </w:rPr>
        <w:t> </w:t>
      </w:r>
      <w:r w:rsidR="00D24D8E" w:rsidRPr="002261B9">
        <w:rPr>
          <w:sz w:val="20"/>
          <w:szCs w:val="20"/>
          <w:lang w:val="es-ES"/>
        </w:rPr>
        <w:t>206</w:t>
      </w:r>
      <w:r w:rsidR="00A5157B" w:rsidRPr="002261B9">
        <w:rPr>
          <w:sz w:val="20"/>
          <w:szCs w:val="20"/>
          <w:lang w:val="es-ES"/>
        </w:rPr>
        <w:noBreakHyphen/>
      </w:r>
      <w:r w:rsidR="00D24D8E" w:rsidRPr="002261B9">
        <w:rPr>
          <w:sz w:val="20"/>
          <w:szCs w:val="20"/>
          <w:lang w:val="es-ES"/>
        </w:rPr>
        <w:t>397</w:t>
      </w:r>
      <w:r w:rsidR="00A5157B" w:rsidRPr="002261B9">
        <w:rPr>
          <w:sz w:val="20"/>
          <w:szCs w:val="20"/>
          <w:lang w:val="es-ES"/>
        </w:rPr>
        <w:noBreakHyphen/>
      </w:r>
      <w:r w:rsidR="00D24D8E" w:rsidRPr="002261B9">
        <w:rPr>
          <w:sz w:val="20"/>
          <w:szCs w:val="20"/>
          <w:lang w:val="es-ES"/>
        </w:rPr>
        <w:t>9), incluidos sus isómeros ramificados;</w:t>
      </w:r>
    </w:p>
    <w:p w14:paraId="18DCE11A" w14:textId="77777777" w:rsidR="00540128" w:rsidRPr="002261B9" w:rsidRDefault="00D24D8E" w:rsidP="00F45508">
      <w:pPr>
        <w:pStyle w:val="ListParagraph"/>
        <w:numPr>
          <w:ilvl w:val="0"/>
          <w:numId w:val="15"/>
        </w:numPr>
        <w:snapToGrid w:val="0"/>
        <w:spacing w:after="120"/>
        <w:ind w:left="1247" w:firstLine="624"/>
        <w:contextualSpacing w:val="0"/>
        <w:rPr>
          <w:sz w:val="20"/>
          <w:szCs w:val="20"/>
          <w:lang w:val="es-ES"/>
        </w:rPr>
      </w:pPr>
      <w:r w:rsidRPr="002261B9">
        <w:rPr>
          <w:sz w:val="20"/>
          <w:szCs w:val="20"/>
          <w:lang w:val="es-ES"/>
        </w:rPr>
        <w:t>sus sales; y</w:t>
      </w:r>
    </w:p>
    <w:p w14:paraId="39428F18" w14:textId="50639F23" w:rsidR="00D24D8E" w:rsidRPr="002261B9" w:rsidRDefault="00D24D8E" w:rsidP="00F45508">
      <w:pPr>
        <w:pStyle w:val="ListParagraph"/>
        <w:numPr>
          <w:ilvl w:val="0"/>
          <w:numId w:val="15"/>
        </w:numPr>
        <w:snapToGrid w:val="0"/>
        <w:spacing w:after="120"/>
        <w:ind w:left="1247" w:firstLine="624"/>
        <w:contextualSpacing w:val="0"/>
        <w:rPr>
          <w:sz w:val="20"/>
          <w:szCs w:val="20"/>
          <w:lang w:val="es-ES"/>
        </w:rPr>
      </w:pPr>
      <w:r w:rsidRPr="002261B9">
        <w:rPr>
          <w:sz w:val="20"/>
          <w:szCs w:val="20"/>
          <w:lang w:val="es-ES"/>
        </w:rPr>
        <w:t xml:space="preserve">los compuestos conexos del PFOA que, a los efectos de la presente evaluación de la gestión de los riesgos, sean cualquier otra sustancia que se convierta en PFOA al degradarse, incluida toda sustancia (sales y polímeros incluidos) con un grupo perfluoroheptilo lineal o ramificado </w:t>
      </w:r>
      <w:r w:rsidR="00DD32EA" w:rsidRPr="002261B9">
        <w:rPr>
          <w:sz w:val="20"/>
          <w:szCs w:val="20"/>
          <w:lang w:val="es-ES"/>
        </w:rPr>
        <w:t>en el que el grupo funcional</w:t>
      </w:r>
      <w:r w:rsidRPr="002261B9">
        <w:rPr>
          <w:sz w:val="20"/>
          <w:szCs w:val="20"/>
          <w:lang w:val="es-ES"/>
        </w:rPr>
        <w:t xml:space="preserve"> (C</w:t>
      </w:r>
      <w:r w:rsidRPr="002261B9">
        <w:rPr>
          <w:sz w:val="20"/>
          <w:szCs w:val="20"/>
          <w:vertAlign w:val="subscript"/>
          <w:lang w:val="es-ES"/>
        </w:rPr>
        <w:t>7</w:t>
      </w:r>
      <w:r w:rsidRPr="002261B9">
        <w:rPr>
          <w:sz w:val="20"/>
          <w:szCs w:val="20"/>
          <w:lang w:val="es-ES"/>
        </w:rPr>
        <w:t>F</w:t>
      </w:r>
      <w:r w:rsidR="004904E9" w:rsidRPr="002261B9">
        <w:rPr>
          <w:sz w:val="20"/>
          <w:szCs w:val="20"/>
          <w:vertAlign w:val="subscript"/>
          <w:lang w:val="es-ES"/>
        </w:rPr>
        <w:t>15</w:t>
      </w:r>
      <w:r w:rsidR="004904E9" w:rsidRPr="002261B9">
        <w:rPr>
          <w:sz w:val="20"/>
          <w:szCs w:val="20"/>
          <w:lang w:val="es-ES"/>
        </w:rPr>
        <w:t>) C</w:t>
      </w:r>
      <w:r w:rsidR="00DD32EA" w:rsidRPr="002261B9">
        <w:rPr>
          <w:sz w:val="20"/>
          <w:szCs w:val="20"/>
          <w:lang w:val="es-ES"/>
        </w:rPr>
        <w:t xml:space="preserve"> sea uno de los elementos estructurales</w:t>
      </w:r>
      <w:r w:rsidRPr="002261B9">
        <w:rPr>
          <w:sz w:val="20"/>
          <w:szCs w:val="20"/>
          <w:lang w:val="es-ES"/>
        </w:rPr>
        <w:t>, por ejemplo:</w:t>
      </w:r>
    </w:p>
    <w:p w14:paraId="57859B1F" w14:textId="77777777" w:rsidR="00540128" w:rsidRPr="002261B9" w:rsidRDefault="00447AAB" w:rsidP="00F45508">
      <w:pPr>
        <w:pStyle w:val="Paralevel2"/>
        <w:numPr>
          <w:ilvl w:val="0"/>
          <w:numId w:val="16"/>
        </w:numPr>
      </w:pPr>
      <w:r w:rsidRPr="002261B9">
        <w:lastRenderedPageBreak/>
        <w:t>p</w:t>
      </w:r>
      <w:r w:rsidR="00D24D8E" w:rsidRPr="002261B9">
        <w:t xml:space="preserve">olímeros de perfluoroalquilo </w:t>
      </w:r>
      <w:r w:rsidRPr="002261B9">
        <w:t xml:space="preserve">con cadenas laterales </w:t>
      </w:r>
      <w:r w:rsidR="00D24D8E" w:rsidRPr="002261B9">
        <w:t>de base ≥C</w:t>
      </w:r>
      <w:r w:rsidR="00D24D8E" w:rsidRPr="002261B9">
        <w:rPr>
          <w:vertAlign w:val="subscript"/>
        </w:rPr>
        <w:t>8</w:t>
      </w:r>
      <w:r w:rsidR="00D24D8E" w:rsidRPr="002261B9">
        <w:rPr>
          <w:rStyle w:val="FootnoteReference"/>
          <w:lang w:val="es-ES"/>
        </w:rPr>
        <w:footnoteReference w:id="2"/>
      </w:r>
      <w:r w:rsidRPr="002261B9">
        <w:t>;</w:t>
      </w:r>
    </w:p>
    <w:p w14:paraId="0DD5F988" w14:textId="77777777" w:rsidR="00540128" w:rsidRPr="002261B9" w:rsidRDefault="004F11F4" w:rsidP="00F45508">
      <w:pPr>
        <w:pStyle w:val="Paralevel2"/>
        <w:numPr>
          <w:ilvl w:val="0"/>
          <w:numId w:val="16"/>
        </w:numPr>
      </w:pPr>
      <w:r w:rsidRPr="002261B9">
        <w:t>compuestos fluoroteloméricos 8:2;</w:t>
      </w:r>
    </w:p>
    <w:p w14:paraId="0F2ACCED" w14:textId="31CFD974" w:rsidR="004F11F4" w:rsidRPr="002261B9" w:rsidRDefault="004F11F4" w:rsidP="00F45508">
      <w:pPr>
        <w:pStyle w:val="Paralevel2"/>
        <w:numPr>
          <w:ilvl w:val="0"/>
          <w:numId w:val="16"/>
        </w:numPr>
      </w:pPr>
      <w:r w:rsidRPr="002261B9">
        <w:t>compuestos fluoroteloméricos 10:2.</w:t>
      </w:r>
    </w:p>
    <w:p w14:paraId="78045BE3" w14:textId="77777777" w:rsidR="004F11F4" w:rsidRPr="002261B9" w:rsidRDefault="00495843" w:rsidP="00973408">
      <w:pPr>
        <w:snapToGrid w:val="0"/>
        <w:spacing w:after="120"/>
        <w:ind w:left="1247"/>
        <w:rPr>
          <w:sz w:val="20"/>
          <w:szCs w:val="20"/>
          <w:lang w:val="es-ES"/>
        </w:rPr>
      </w:pPr>
      <w:r w:rsidRPr="002261B9">
        <w:rPr>
          <w:sz w:val="20"/>
          <w:szCs w:val="20"/>
          <w:lang w:val="es-ES"/>
        </w:rPr>
        <w:t>Los compuestos que se indican a continuación no degradan a PFOA y, por lo tanto, no se incluyen como compuestos conexos del PFOA:</w:t>
      </w:r>
    </w:p>
    <w:p w14:paraId="43A7B856" w14:textId="77777777" w:rsidR="00540128" w:rsidRPr="002261B9" w:rsidRDefault="004F11F4" w:rsidP="00F45508">
      <w:pPr>
        <w:pStyle w:val="Paralevel2"/>
        <w:numPr>
          <w:ilvl w:val="0"/>
          <w:numId w:val="17"/>
        </w:numPr>
      </w:pPr>
      <w:bookmarkStart w:id="9" w:name="_Ref483929621"/>
      <w:r w:rsidRPr="002261B9">
        <w:t>C</w:t>
      </w:r>
      <w:r w:rsidRPr="002261B9">
        <w:rPr>
          <w:vertAlign w:val="subscript"/>
        </w:rPr>
        <w:t>8</w:t>
      </w:r>
      <w:r w:rsidRPr="002261B9">
        <w:t>F</w:t>
      </w:r>
      <w:r w:rsidRPr="002261B9">
        <w:rPr>
          <w:vertAlign w:val="subscript"/>
        </w:rPr>
        <w:t>17</w:t>
      </w:r>
      <w:r w:rsidRPr="002261B9">
        <w:t>-X, donde X=F, Cl, Br;</w:t>
      </w:r>
      <w:bookmarkEnd w:id="9"/>
    </w:p>
    <w:p w14:paraId="22852E3B" w14:textId="0FCA3CFF" w:rsidR="00540128" w:rsidRPr="002261B9" w:rsidRDefault="004F11F4" w:rsidP="00F45508">
      <w:pPr>
        <w:pStyle w:val="Paralevel2"/>
        <w:numPr>
          <w:ilvl w:val="0"/>
          <w:numId w:val="17"/>
        </w:numPr>
      </w:pPr>
      <w:r w:rsidRPr="002261B9">
        <w:t>Fluoropolímeros</w:t>
      </w:r>
      <w:r w:rsidR="002701C1" w:rsidRPr="002261B9">
        <w:rPr>
          <w:rStyle w:val="FootnoteReference"/>
          <w:lang w:val="es-ES"/>
        </w:rPr>
        <w:footnoteReference w:id="3"/>
      </w:r>
      <w:r w:rsidRPr="002261B9">
        <w:t xml:space="preserve"> recubiertos de CF</w:t>
      </w:r>
      <w:r w:rsidRPr="002261B9">
        <w:rPr>
          <w:vertAlign w:val="subscript"/>
        </w:rPr>
        <w:t>3</w:t>
      </w:r>
      <w:r w:rsidRPr="002261B9">
        <w:t>[CF</w:t>
      </w:r>
      <w:r w:rsidRPr="002261B9">
        <w:rPr>
          <w:vertAlign w:val="subscript"/>
        </w:rPr>
        <w:t>2</w:t>
      </w:r>
      <w:r w:rsidRPr="002261B9">
        <w:t>]n-R’, donde R’=cualquier grupo, n&gt;16</w:t>
      </w:r>
      <w:r w:rsidR="00473E5D" w:rsidRPr="002261B9">
        <w:rPr>
          <w:rStyle w:val="FootnoteReference"/>
          <w:lang w:val="es-ES"/>
        </w:rPr>
        <w:footnoteReference w:id="4"/>
      </w:r>
      <w:r w:rsidR="002701C1" w:rsidRPr="002261B9">
        <w:t>;</w:t>
      </w:r>
    </w:p>
    <w:p w14:paraId="3263CDC8" w14:textId="3D7B2E67" w:rsidR="00540128" w:rsidRPr="002261B9" w:rsidRDefault="000F2481" w:rsidP="00F45508">
      <w:pPr>
        <w:pStyle w:val="Paralevel2"/>
        <w:numPr>
          <w:ilvl w:val="0"/>
          <w:numId w:val="17"/>
        </w:numPr>
      </w:pPr>
      <w:r w:rsidRPr="002261B9">
        <w:t>Ácidos carboxílico y fosfónico perfluoroalquilo (incluidos sus</w:t>
      </w:r>
      <w:r w:rsidR="006F566E" w:rsidRPr="002261B9">
        <w:t xml:space="preserve"> sales y ésteres, haluros y anhí</w:t>
      </w:r>
      <w:r w:rsidRPr="002261B9">
        <w:t>dridos) con carbonos perfluorados</w:t>
      </w:r>
      <w:r w:rsidR="001973BF" w:rsidRPr="002261B9">
        <w:t xml:space="preserve"> </w:t>
      </w:r>
      <w:r w:rsidR="001E397C">
        <w:t>≥</w:t>
      </w:r>
      <w:r w:rsidR="001973BF" w:rsidRPr="002261B9">
        <w:t>8</w:t>
      </w:r>
      <w:r w:rsidRPr="002261B9">
        <w:t>;</w:t>
      </w:r>
    </w:p>
    <w:p w14:paraId="1A2109E4" w14:textId="3089F105" w:rsidR="00540128" w:rsidRPr="002261B9" w:rsidRDefault="00540128" w:rsidP="00F45508">
      <w:pPr>
        <w:pStyle w:val="Paralevel2"/>
        <w:numPr>
          <w:ilvl w:val="0"/>
          <w:numId w:val="17"/>
        </w:numPr>
      </w:pPr>
      <w:r w:rsidRPr="002261B9">
        <w:t>Á</w:t>
      </w:r>
      <w:r w:rsidR="000F2481" w:rsidRPr="002261B9">
        <w:t>cidos sulfónicos perfluoroalcanos (incluidos sus</w:t>
      </w:r>
      <w:r w:rsidR="006F566E" w:rsidRPr="002261B9">
        <w:t xml:space="preserve"> sales y ésteres, haluros y anhí</w:t>
      </w:r>
      <w:r w:rsidR="000F2481" w:rsidRPr="002261B9">
        <w:t>dridos) con carbonos perfluorados</w:t>
      </w:r>
      <w:r w:rsidR="004E0680" w:rsidRPr="002261B9">
        <w:t xml:space="preserve"> </w:t>
      </w:r>
      <w:r w:rsidR="001E397C">
        <w:t>≥</w:t>
      </w:r>
      <w:r w:rsidR="004E0680" w:rsidRPr="002261B9">
        <w:t>9</w:t>
      </w:r>
      <w:r w:rsidR="000F2481" w:rsidRPr="002261B9">
        <w:t>;</w:t>
      </w:r>
    </w:p>
    <w:p w14:paraId="2F4A9AEA" w14:textId="054744A4" w:rsidR="004F11F4" w:rsidRPr="002261B9" w:rsidRDefault="006B44FF" w:rsidP="00F45508">
      <w:pPr>
        <w:pStyle w:val="Paralevel2"/>
        <w:numPr>
          <w:ilvl w:val="0"/>
          <w:numId w:val="17"/>
        </w:numPr>
      </w:pPr>
      <w:r w:rsidRPr="002261B9">
        <w:t>Ácido sulfónico perfluorooctano (PFOS), sus sales y fluoruro de perfluorooctano sulfonilo (PFOSF), incluidos en el anexo B del Convenio de Estocolmo</w:t>
      </w:r>
      <w:r w:rsidR="001973BF" w:rsidRPr="002261B9">
        <w:t>.</w:t>
      </w:r>
      <w:r w:rsidRPr="002261B9">
        <w:t xml:space="preserve"> </w:t>
      </w:r>
    </w:p>
    <w:p w14:paraId="5C25CA1D" w14:textId="23EA394B" w:rsidR="000C5C6B" w:rsidRPr="002261B9" w:rsidRDefault="007F32F7" w:rsidP="00F45508">
      <w:pPr>
        <w:pStyle w:val="Paralevel1"/>
        <w:numPr>
          <w:ilvl w:val="0"/>
          <w:numId w:val="23"/>
        </w:numPr>
        <w:tabs>
          <w:tab w:val="clear" w:pos="0"/>
        </w:tabs>
        <w:ind w:left="1247" w:firstLine="0"/>
        <w:rPr>
          <w:lang w:val="es-ES"/>
        </w:rPr>
      </w:pPr>
      <w:r w:rsidRPr="002261B9">
        <w:rPr>
          <w:lang w:val="es-ES"/>
        </w:rPr>
        <w:t>En los cuadros 1 y 2 figura un resumen de los datos sobre el PFOA</w:t>
      </w:r>
      <w:r w:rsidR="00851C71" w:rsidRPr="002261B9">
        <w:rPr>
          <w:rStyle w:val="FootnoteReference"/>
          <w:lang w:val="es-ES"/>
        </w:rPr>
        <w:footnoteReference w:id="5"/>
      </w:r>
      <w:r w:rsidRPr="002261B9">
        <w:rPr>
          <w:lang w:val="es-ES"/>
        </w:rPr>
        <w:t>. En un documento de antecedentes del perfil de riesgo (véase la sección 1</w:t>
      </w:r>
      <w:r w:rsidR="000151B2" w:rsidRPr="002261B9">
        <w:rPr>
          <w:lang w:val="es-ES"/>
        </w:rPr>
        <w:t>.</w:t>
      </w:r>
      <w:r w:rsidRPr="002261B9">
        <w:rPr>
          <w:lang w:val="es-ES"/>
        </w:rPr>
        <w:t xml:space="preserve">1 del documento UNEP/POPS/POPRC.12/INF/5) figuran los cuadros con datos relativos a las sales de PFOA y los compuestos conexos del PFOA. </w:t>
      </w:r>
    </w:p>
    <w:p w14:paraId="30C7A2D6" w14:textId="77777777" w:rsidR="000C5C6B" w:rsidRPr="002261B9" w:rsidRDefault="00E869AB" w:rsidP="00A5157B">
      <w:pPr>
        <w:pStyle w:val="Caption"/>
        <w:tabs>
          <w:tab w:val="left" w:pos="624"/>
          <w:tab w:val="left" w:pos="1247"/>
          <w:tab w:val="left" w:pos="1440"/>
        </w:tabs>
        <w:spacing w:after="60"/>
        <w:ind w:left="1247"/>
        <w:jc w:val="both"/>
        <w:rPr>
          <w:color w:val="auto"/>
          <w:sz w:val="20"/>
          <w:szCs w:val="20"/>
          <w:lang w:val="es-ES"/>
        </w:rPr>
      </w:pPr>
      <w:r w:rsidRPr="002261B9">
        <w:rPr>
          <w:color w:val="auto"/>
          <w:sz w:val="20"/>
          <w:szCs w:val="20"/>
          <w:lang w:val="es-ES"/>
        </w:rPr>
        <w:t xml:space="preserve">Cuadro 1: Información relativa a la identidad química del PFOA </w:t>
      </w:r>
    </w:p>
    <w:tbl>
      <w:tblPr>
        <w:tblW w:w="4231" w:type="pct"/>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5954"/>
      </w:tblGrid>
      <w:tr w:rsidR="00FE696C" w:rsidRPr="002261B9" w14:paraId="7DA698C1" w14:textId="77777777" w:rsidTr="00A5157B">
        <w:tc>
          <w:tcPr>
            <w:tcW w:w="1291" w:type="pct"/>
          </w:tcPr>
          <w:p w14:paraId="75BEBF96"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Número de CAS:</w:t>
            </w:r>
          </w:p>
        </w:tc>
        <w:tc>
          <w:tcPr>
            <w:tcW w:w="3709" w:type="pct"/>
          </w:tcPr>
          <w:p w14:paraId="31C8C126"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335-67-1</w:t>
            </w:r>
          </w:p>
        </w:tc>
      </w:tr>
      <w:tr w:rsidR="00FE696C" w:rsidRPr="002261B9" w14:paraId="7F01C3A6" w14:textId="77777777" w:rsidTr="00A5157B">
        <w:tc>
          <w:tcPr>
            <w:tcW w:w="1291" w:type="pct"/>
          </w:tcPr>
          <w:p w14:paraId="7B3F2F07"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Nombre CAS:</w:t>
            </w:r>
          </w:p>
        </w:tc>
        <w:tc>
          <w:tcPr>
            <w:tcW w:w="3709" w:type="pct"/>
          </w:tcPr>
          <w:p w14:paraId="41FC16C1"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Ácido pentadecafluorooctanoico 2,2,3,3,4,4,5,5,6,6,7,7,8,8,8</w:t>
            </w:r>
          </w:p>
        </w:tc>
      </w:tr>
      <w:tr w:rsidR="00FE696C" w:rsidRPr="002261B9" w14:paraId="173D2E4D" w14:textId="77777777" w:rsidTr="00A5157B">
        <w:tc>
          <w:tcPr>
            <w:tcW w:w="1291" w:type="pct"/>
          </w:tcPr>
          <w:p w14:paraId="01BBB9D5"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Nombre en la UIQPA:</w:t>
            </w:r>
          </w:p>
        </w:tc>
        <w:tc>
          <w:tcPr>
            <w:tcW w:w="3709" w:type="pct"/>
          </w:tcPr>
          <w:p w14:paraId="19D4E40B"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Ácido pentadecafluorooctanoico</w:t>
            </w:r>
          </w:p>
        </w:tc>
      </w:tr>
      <w:tr w:rsidR="00FE696C" w:rsidRPr="002261B9" w14:paraId="1F5915A1" w14:textId="77777777" w:rsidTr="00A5157B">
        <w:tc>
          <w:tcPr>
            <w:tcW w:w="1291" w:type="pct"/>
          </w:tcPr>
          <w:p w14:paraId="21260236"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Número EC:</w:t>
            </w:r>
          </w:p>
        </w:tc>
        <w:tc>
          <w:tcPr>
            <w:tcW w:w="3709" w:type="pct"/>
          </w:tcPr>
          <w:p w14:paraId="4A2F9AF9"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206-397-9</w:t>
            </w:r>
          </w:p>
        </w:tc>
      </w:tr>
      <w:tr w:rsidR="00FE696C" w:rsidRPr="002261B9" w14:paraId="4E22470A" w14:textId="77777777" w:rsidTr="00A5157B">
        <w:tc>
          <w:tcPr>
            <w:tcW w:w="1291" w:type="pct"/>
          </w:tcPr>
          <w:p w14:paraId="379F8CCB"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Nombre EC:</w:t>
            </w:r>
          </w:p>
        </w:tc>
        <w:tc>
          <w:tcPr>
            <w:tcW w:w="3709" w:type="pct"/>
          </w:tcPr>
          <w:p w14:paraId="7EE91046"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Ácido pentadecafluorooctanoico</w:t>
            </w:r>
          </w:p>
        </w:tc>
      </w:tr>
      <w:tr w:rsidR="00FE696C" w:rsidRPr="002261B9" w14:paraId="0A1027D1" w14:textId="77777777" w:rsidTr="00A5157B">
        <w:tc>
          <w:tcPr>
            <w:tcW w:w="1291" w:type="pct"/>
          </w:tcPr>
          <w:p w14:paraId="140C1CFB"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Fórmula molecular</w:t>
            </w:r>
          </w:p>
        </w:tc>
        <w:tc>
          <w:tcPr>
            <w:tcW w:w="3709" w:type="pct"/>
          </w:tcPr>
          <w:p w14:paraId="2FC09490"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C</w:t>
            </w:r>
            <w:r w:rsidRPr="002261B9">
              <w:rPr>
                <w:sz w:val="20"/>
                <w:szCs w:val="20"/>
                <w:vertAlign w:val="subscript"/>
                <w:lang w:val="es-ES"/>
              </w:rPr>
              <w:t>8</w:t>
            </w:r>
            <w:r w:rsidRPr="002261B9">
              <w:rPr>
                <w:sz w:val="20"/>
                <w:szCs w:val="20"/>
                <w:lang w:val="es-ES"/>
              </w:rPr>
              <w:t>HF</w:t>
            </w:r>
            <w:r w:rsidRPr="002261B9">
              <w:rPr>
                <w:sz w:val="20"/>
                <w:szCs w:val="20"/>
                <w:vertAlign w:val="subscript"/>
                <w:lang w:val="es-ES"/>
              </w:rPr>
              <w:t>15</w:t>
            </w:r>
            <w:r w:rsidRPr="002261B9">
              <w:rPr>
                <w:sz w:val="20"/>
                <w:szCs w:val="20"/>
                <w:lang w:val="es-ES"/>
              </w:rPr>
              <w:t>O</w:t>
            </w:r>
            <w:r w:rsidRPr="002261B9">
              <w:rPr>
                <w:sz w:val="20"/>
                <w:szCs w:val="20"/>
                <w:vertAlign w:val="subscript"/>
                <w:lang w:val="es-ES"/>
              </w:rPr>
              <w:t>2</w:t>
            </w:r>
          </w:p>
        </w:tc>
      </w:tr>
      <w:tr w:rsidR="00FE696C" w:rsidRPr="002261B9" w14:paraId="12AE7262" w14:textId="77777777" w:rsidTr="00A5157B">
        <w:tc>
          <w:tcPr>
            <w:tcW w:w="1291" w:type="pct"/>
          </w:tcPr>
          <w:p w14:paraId="28D425B0" w14:textId="77777777" w:rsidR="000C5C6B" w:rsidRPr="002261B9" w:rsidRDefault="000C5C6B" w:rsidP="00D005B6">
            <w:pPr>
              <w:tabs>
                <w:tab w:val="left" w:pos="624"/>
                <w:tab w:val="left" w:pos="1247"/>
                <w:tab w:val="left" w:pos="1440"/>
              </w:tabs>
              <w:spacing w:before="40"/>
              <w:jc w:val="both"/>
              <w:rPr>
                <w:sz w:val="20"/>
                <w:szCs w:val="20"/>
                <w:lang w:val="es-ES"/>
              </w:rPr>
            </w:pPr>
            <w:r w:rsidRPr="002261B9">
              <w:rPr>
                <w:sz w:val="20"/>
                <w:szCs w:val="20"/>
                <w:lang w:val="es-ES"/>
              </w:rPr>
              <w:t>Peso molecular</w:t>
            </w:r>
          </w:p>
        </w:tc>
        <w:tc>
          <w:tcPr>
            <w:tcW w:w="3709" w:type="pct"/>
          </w:tcPr>
          <w:p w14:paraId="6DB6A395" w14:textId="77777777" w:rsidR="000C5C6B" w:rsidRPr="002261B9" w:rsidRDefault="000C5C6B" w:rsidP="00A5157B">
            <w:pPr>
              <w:tabs>
                <w:tab w:val="left" w:pos="624"/>
                <w:tab w:val="left" w:pos="1247"/>
                <w:tab w:val="left" w:pos="1440"/>
              </w:tabs>
              <w:spacing w:before="40"/>
              <w:rPr>
                <w:sz w:val="20"/>
                <w:szCs w:val="20"/>
                <w:lang w:val="es-ES"/>
              </w:rPr>
            </w:pPr>
            <w:r w:rsidRPr="002261B9">
              <w:rPr>
                <w:sz w:val="20"/>
                <w:szCs w:val="20"/>
                <w:lang w:val="es-ES"/>
              </w:rPr>
              <w:t>414,07 g/mol</w:t>
            </w:r>
          </w:p>
        </w:tc>
      </w:tr>
      <w:tr w:rsidR="00FE696C" w:rsidRPr="002261B9" w14:paraId="0F63BCA0" w14:textId="77777777" w:rsidTr="00A5157B">
        <w:tc>
          <w:tcPr>
            <w:tcW w:w="1291" w:type="pct"/>
          </w:tcPr>
          <w:p w14:paraId="4966D8C4" w14:textId="77777777" w:rsidR="00163CB8" w:rsidRPr="002261B9" w:rsidRDefault="00163CB8" w:rsidP="00D005B6">
            <w:pPr>
              <w:tabs>
                <w:tab w:val="left" w:pos="624"/>
                <w:tab w:val="left" w:pos="1247"/>
                <w:tab w:val="left" w:pos="1440"/>
              </w:tabs>
              <w:spacing w:before="40"/>
              <w:jc w:val="both"/>
              <w:rPr>
                <w:sz w:val="20"/>
                <w:szCs w:val="20"/>
                <w:lang w:val="es-ES"/>
              </w:rPr>
            </w:pPr>
            <w:r w:rsidRPr="002261B9">
              <w:rPr>
                <w:sz w:val="20"/>
                <w:szCs w:val="20"/>
                <w:lang w:val="es-ES"/>
              </w:rPr>
              <w:t>Sinónimos:</w:t>
            </w:r>
          </w:p>
        </w:tc>
        <w:tc>
          <w:tcPr>
            <w:tcW w:w="3709" w:type="pct"/>
          </w:tcPr>
          <w:p w14:paraId="0996B5C4" w14:textId="77777777" w:rsidR="00163CB8" w:rsidRPr="002261B9" w:rsidRDefault="00163CB8" w:rsidP="00A5157B">
            <w:pPr>
              <w:keepNext/>
              <w:keepLines/>
              <w:tabs>
                <w:tab w:val="left" w:pos="624"/>
                <w:tab w:val="left" w:pos="1247"/>
                <w:tab w:val="left" w:pos="1440"/>
                <w:tab w:val="left" w:pos="1814"/>
                <w:tab w:val="left" w:pos="2381"/>
                <w:tab w:val="left" w:pos="2948"/>
                <w:tab w:val="left" w:pos="3515"/>
                <w:tab w:val="left" w:pos="4082"/>
              </w:tabs>
              <w:spacing w:before="40" w:after="20"/>
              <w:rPr>
                <w:sz w:val="20"/>
                <w:szCs w:val="20"/>
                <w:lang w:val="es-ES"/>
              </w:rPr>
            </w:pPr>
            <w:r w:rsidRPr="002261B9">
              <w:rPr>
                <w:sz w:val="20"/>
                <w:szCs w:val="20"/>
                <w:lang w:val="es-ES"/>
              </w:rPr>
              <w:t xml:space="preserve">Ácido perfluorooctanoico; PFOA ácido pentadecafluoro-1-octanoico ácido perfluorocaprílico ácido perfluoro-n-octanoico; ácido pentadecafluoro-n-octanoico; ácido pentadecafluorooctanoico; </w:t>
            </w:r>
          </w:p>
          <w:p w14:paraId="75C7DC84" w14:textId="77777777" w:rsidR="00163CB8" w:rsidRPr="002261B9" w:rsidRDefault="00163CB8" w:rsidP="00A5157B">
            <w:pPr>
              <w:tabs>
                <w:tab w:val="left" w:pos="624"/>
                <w:tab w:val="left" w:pos="1247"/>
                <w:tab w:val="left" w:pos="1440"/>
              </w:tabs>
              <w:spacing w:before="40"/>
              <w:rPr>
                <w:sz w:val="20"/>
                <w:szCs w:val="20"/>
                <w:lang w:val="es-ES"/>
              </w:rPr>
            </w:pPr>
            <w:r w:rsidRPr="002261B9">
              <w:rPr>
                <w:sz w:val="20"/>
                <w:szCs w:val="20"/>
                <w:lang w:val="es-ES"/>
              </w:rPr>
              <w:t>ácido n-perfluorooctanoico; ácido pentadecafluoro-1-octanoico 2,2,3,3,4,4,5,5,6,6,7,7,8,8,8</w:t>
            </w:r>
          </w:p>
        </w:tc>
      </w:tr>
    </w:tbl>
    <w:bookmarkEnd w:id="6"/>
    <w:bookmarkEnd w:id="7"/>
    <w:p w14:paraId="00480598" w14:textId="77777777" w:rsidR="00C151FB" w:rsidRPr="002261B9" w:rsidRDefault="00E869AB" w:rsidP="00A5157B">
      <w:pPr>
        <w:pStyle w:val="Caption"/>
        <w:tabs>
          <w:tab w:val="left" w:pos="624"/>
          <w:tab w:val="left" w:pos="1247"/>
          <w:tab w:val="left" w:pos="1440"/>
        </w:tabs>
        <w:spacing w:before="120" w:after="60"/>
        <w:ind w:left="1247"/>
        <w:jc w:val="both"/>
        <w:rPr>
          <w:color w:val="auto"/>
          <w:sz w:val="20"/>
          <w:szCs w:val="20"/>
          <w:lang w:val="es-ES"/>
        </w:rPr>
      </w:pPr>
      <w:r w:rsidRPr="002261B9">
        <w:rPr>
          <w:color w:val="auto"/>
          <w:sz w:val="20"/>
          <w:szCs w:val="20"/>
          <w:lang w:val="es-ES"/>
        </w:rPr>
        <w:t xml:space="preserve">Cuadro 2: Sinopsis de las propiedades fisicoquímicas importantes del PFOA </w:t>
      </w:r>
    </w:p>
    <w:tbl>
      <w:tblPr>
        <w:tblW w:w="4250" w:type="pct"/>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3282"/>
        <w:gridCol w:w="3067"/>
      </w:tblGrid>
      <w:tr w:rsidR="00FE696C" w:rsidRPr="002261B9" w14:paraId="67728DA2" w14:textId="77777777" w:rsidTr="00A5157B">
        <w:trPr>
          <w:tblHeader/>
        </w:trPr>
        <w:tc>
          <w:tcPr>
            <w:tcW w:w="1063" w:type="pct"/>
            <w:vAlign w:val="center"/>
          </w:tcPr>
          <w:p w14:paraId="660B45EC" w14:textId="77777777" w:rsidR="000C5C6B" w:rsidRPr="002261B9" w:rsidRDefault="000C5C6B" w:rsidP="00A5157B">
            <w:pPr>
              <w:tabs>
                <w:tab w:val="left" w:pos="624"/>
                <w:tab w:val="left" w:pos="1247"/>
                <w:tab w:val="left" w:pos="1440"/>
              </w:tabs>
              <w:rPr>
                <w:b/>
                <w:sz w:val="20"/>
                <w:szCs w:val="20"/>
                <w:lang w:val="es-ES"/>
              </w:rPr>
            </w:pPr>
            <w:r w:rsidRPr="002261B9">
              <w:rPr>
                <w:b/>
                <w:sz w:val="20"/>
                <w:szCs w:val="20"/>
                <w:lang w:val="es-ES"/>
              </w:rPr>
              <w:t>Propiedad</w:t>
            </w:r>
          </w:p>
        </w:tc>
        <w:tc>
          <w:tcPr>
            <w:tcW w:w="2035" w:type="pct"/>
            <w:vAlign w:val="center"/>
          </w:tcPr>
          <w:p w14:paraId="5986674B" w14:textId="77777777" w:rsidR="000C5C6B" w:rsidRPr="002261B9" w:rsidRDefault="000C5C6B" w:rsidP="00A5157B">
            <w:pPr>
              <w:tabs>
                <w:tab w:val="left" w:pos="624"/>
                <w:tab w:val="left" w:pos="1247"/>
                <w:tab w:val="left" w:pos="1440"/>
              </w:tabs>
              <w:rPr>
                <w:b/>
                <w:sz w:val="20"/>
                <w:szCs w:val="20"/>
                <w:lang w:val="es-ES"/>
              </w:rPr>
            </w:pPr>
            <w:r w:rsidRPr="002261B9">
              <w:rPr>
                <w:b/>
                <w:sz w:val="20"/>
                <w:szCs w:val="20"/>
                <w:lang w:val="es-ES"/>
              </w:rPr>
              <w:t>Valor</w:t>
            </w:r>
          </w:p>
        </w:tc>
        <w:tc>
          <w:tcPr>
            <w:tcW w:w="1902" w:type="pct"/>
          </w:tcPr>
          <w:p w14:paraId="14359A71" w14:textId="4169482D" w:rsidR="000C5C6B" w:rsidRPr="002261B9" w:rsidRDefault="000C5C6B" w:rsidP="00A5157B">
            <w:pPr>
              <w:tabs>
                <w:tab w:val="left" w:pos="624"/>
                <w:tab w:val="left" w:pos="1247"/>
                <w:tab w:val="left" w:pos="1440"/>
              </w:tabs>
              <w:rPr>
                <w:b/>
                <w:sz w:val="20"/>
                <w:szCs w:val="20"/>
                <w:lang w:val="es-ES"/>
              </w:rPr>
            </w:pPr>
            <w:r w:rsidRPr="002261B9">
              <w:rPr>
                <w:b/>
                <w:sz w:val="20"/>
                <w:szCs w:val="20"/>
                <w:lang w:val="es-ES"/>
              </w:rPr>
              <w:t>Referencia/</w:t>
            </w:r>
            <w:r w:rsidR="007F0459" w:rsidRPr="002261B9">
              <w:rPr>
                <w:b/>
                <w:sz w:val="20"/>
                <w:szCs w:val="20"/>
                <w:lang w:val="es-ES"/>
              </w:rPr>
              <w:t>Observaciones</w:t>
            </w:r>
          </w:p>
        </w:tc>
      </w:tr>
      <w:tr w:rsidR="00FE696C" w:rsidRPr="002261B9" w14:paraId="49347BF7" w14:textId="77777777" w:rsidTr="00A5157B">
        <w:tc>
          <w:tcPr>
            <w:tcW w:w="1063" w:type="pct"/>
          </w:tcPr>
          <w:p w14:paraId="30B05C9D" w14:textId="77777777" w:rsidR="000C5C6B" w:rsidRPr="002261B9" w:rsidRDefault="00BA56B3" w:rsidP="00A5157B">
            <w:pPr>
              <w:tabs>
                <w:tab w:val="left" w:pos="624"/>
                <w:tab w:val="left" w:pos="1247"/>
                <w:tab w:val="left" w:pos="1440"/>
              </w:tabs>
              <w:rPr>
                <w:sz w:val="20"/>
                <w:szCs w:val="20"/>
                <w:lang w:val="es-ES"/>
              </w:rPr>
            </w:pPr>
            <w:r w:rsidRPr="002261B9">
              <w:rPr>
                <w:sz w:val="20"/>
                <w:szCs w:val="20"/>
                <w:lang w:val="es-ES"/>
              </w:rPr>
              <w:t>Estado físico a 20</w:t>
            </w:r>
            <w:r w:rsidR="000E359B" w:rsidRPr="002261B9">
              <w:rPr>
                <w:sz w:val="20"/>
                <w:szCs w:val="20"/>
                <w:lang w:val="es-ES"/>
              </w:rPr>
              <w:t>ºC</w:t>
            </w:r>
            <w:r w:rsidRPr="002261B9">
              <w:rPr>
                <w:sz w:val="20"/>
                <w:szCs w:val="20"/>
                <w:lang w:val="es-ES"/>
              </w:rPr>
              <w:t xml:space="preserve"> y 101,3 kPa</w:t>
            </w:r>
          </w:p>
        </w:tc>
        <w:tc>
          <w:tcPr>
            <w:tcW w:w="2035" w:type="pct"/>
          </w:tcPr>
          <w:p w14:paraId="78DDC7ED" w14:textId="77777777" w:rsidR="000C5C6B" w:rsidRPr="002261B9" w:rsidRDefault="000C5C6B" w:rsidP="00A5157B">
            <w:pPr>
              <w:tabs>
                <w:tab w:val="left" w:pos="624"/>
                <w:tab w:val="left" w:pos="1247"/>
                <w:tab w:val="left" w:pos="1440"/>
              </w:tabs>
              <w:spacing w:after="240"/>
              <w:rPr>
                <w:sz w:val="20"/>
                <w:szCs w:val="20"/>
                <w:lang w:val="es-ES"/>
              </w:rPr>
            </w:pPr>
            <w:r w:rsidRPr="002261B9">
              <w:rPr>
                <w:sz w:val="20"/>
                <w:szCs w:val="20"/>
                <w:lang w:val="es-ES"/>
              </w:rPr>
              <w:t>Sólido</w:t>
            </w:r>
          </w:p>
        </w:tc>
        <w:tc>
          <w:tcPr>
            <w:tcW w:w="1902" w:type="pct"/>
          </w:tcPr>
          <w:p w14:paraId="6F4BC794" w14:textId="2540BDE2" w:rsidR="000C5C6B" w:rsidRPr="002261B9" w:rsidRDefault="00250D59" w:rsidP="00A5157B">
            <w:pPr>
              <w:tabs>
                <w:tab w:val="left" w:pos="624"/>
                <w:tab w:val="left" w:pos="1247"/>
                <w:tab w:val="left" w:pos="1440"/>
              </w:tabs>
              <w:rPr>
                <w:sz w:val="20"/>
                <w:szCs w:val="20"/>
                <w:lang w:val="es-ES"/>
              </w:rPr>
            </w:pPr>
            <w:r w:rsidRPr="002261B9">
              <w:rPr>
                <w:sz w:val="20"/>
                <w:szCs w:val="20"/>
                <w:lang w:val="es-ES"/>
              </w:rPr>
              <w:t xml:space="preserve">(Kirk </w:t>
            </w:r>
            <w:r w:rsidR="006F712F" w:rsidRPr="002261B9">
              <w:rPr>
                <w:sz w:val="20"/>
                <w:szCs w:val="20"/>
                <w:lang w:val="es-ES"/>
              </w:rPr>
              <w:t>(</w:t>
            </w:r>
            <w:r w:rsidRPr="002261B9">
              <w:rPr>
                <w:sz w:val="20"/>
                <w:szCs w:val="20"/>
                <w:lang w:val="es-ES"/>
              </w:rPr>
              <w:t>1995</w:t>
            </w:r>
            <w:r w:rsidR="00452DB2" w:rsidRPr="002261B9">
              <w:rPr>
                <w:sz w:val="20"/>
                <w:szCs w:val="20"/>
                <w:lang w:val="es-ES"/>
              </w:rPr>
              <w:t>)</w:t>
            </w:r>
          </w:p>
        </w:tc>
      </w:tr>
      <w:tr w:rsidR="00FE696C" w:rsidRPr="002261B9" w14:paraId="775141F4" w14:textId="77777777" w:rsidTr="00A5157B">
        <w:tc>
          <w:tcPr>
            <w:tcW w:w="1063" w:type="pct"/>
          </w:tcPr>
          <w:p w14:paraId="7D848EAA" w14:textId="77777777" w:rsidR="000C5C6B" w:rsidRPr="002261B9" w:rsidRDefault="000C5C6B" w:rsidP="00A5157B">
            <w:pPr>
              <w:tabs>
                <w:tab w:val="left" w:pos="624"/>
                <w:tab w:val="left" w:pos="1247"/>
                <w:tab w:val="left" w:pos="1440"/>
              </w:tabs>
              <w:spacing w:after="240"/>
              <w:rPr>
                <w:sz w:val="20"/>
                <w:szCs w:val="20"/>
                <w:lang w:val="es-ES"/>
              </w:rPr>
            </w:pPr>
            <w:r w:rsidRPr="002261B9">
              <w:rPr>
                <w:sz w:val="20"/>
                <w:szCs w:val="20"/>
                <w:lang w:val="es-ES"/>
              </w:rPr>
              <w:t>Punto de fusión/congelación</w:t>
            </w:r>
          </w:p>
        </w:tc>
        <w:tc>
          <w:tcPr>
            <w:tcW w:w="2035" w:type="pct"/>
          </w:tcPr>
          <w:p w14:paraId="61620B17" w14:textId="77777777" w:rsidR="000C5C6B" w:rsidRPr="002261B9" w:rsidRDefault="000C5C6B" w:rsidP="00A5157B">
            <w:pPr>
              <w:tabs>
                <w:tab w:val="left" w:pos="624"/>
                <w:tab w:val="left" w:pos="1247"/>
                <w:tab w:val="left" w:pos="1440"/>
              </w:tabs>
              <w:rPr>
                <w:sz w:val="20"/>
                <w:szCs w:val="20"/>
                <w:lang w:val="es-ES"/>
              </w:rPr>
            </w:pPr>
            <w:r w:rsidRPr="002261B9">
              <w:rPr>
                <w:sz w:val="20"/>
                <w:szCs w:val="20"/>
                <w:lang w:val="es-ES"/>
              </w:rPr>
              <w:t>54,3</w:t>
            </w:r>
            <w:r w:rsidR="007712BB" w:rsidRPr="002261B9">
              <w:rPr>
                <w:sz w:val="20"/>
                <w:szCs w:val="20"/>
                <w:lang w:val="es-ES"/>
              </w:rPr>
              <w:t>ºC</w:t>
            </w:r>
          </w:p>
          <w:p w14:paraId="09504A99" w14:textId="77777777" w:rsidR="000C5C6B" w:rsidRPr="002261B9" w:rsidRDefault="000C5C6B" w:rsidP="00A5157B">
            <w:pPr>
              <w:tabs>
                <w:tab w:val="left" w:pos="624"/>
                <w:tab w:val="left" w:pos="1247"/>
                <w:tab w:val="left" w:pos="1440"/>
              </w:tabs>
              <w:rPr>
                <w:sz w:val="20"/>
                <w:szCs w:val="20"/>
                <w:lang w:val="es-ES"/>
              </w:rPr>
            </w:pPr>
            <w:r w:rsidRPr="002261B9">
              <w:rPr>
                <w:sz w:val="20"/>
                <w:szCs w:val="20"/>
                <w:lang w:val="es-ES"/>
              </w:rPr>
              <w:t>44</w:t>
            </w:r>
            <w:r w:rsidR="007712BB" w:rsidRPr="002261B9">
              <w:rPr>
                <w:sz w:val="20"/>
                <w:szCs w:val="20"/>
                <w:lang w:val="es-ES"/>
              </w:rPr>
              <w:t>ºC</w:t>
            </w:r>
            <w:r w:rsidRPr="002261B9">
              <w:rPr>
                <w:sz w:val="20"/>
                <w:szCs w:val="20"/>
                <w:lang w:val="es-ES"/>
              </w:rPr>
              <w:t xml:space="preserve"> a 56,5</w:t>
            </w:r>
            <w:r w:rsidR="007712BB" w:rsidRPr="002261B9">
              <w:rPr>
                <w:sz w:val="20"/>
                <w:szCs w:val="20"/>
                <w:lang w:val="es-ES"/>
              </w:rPr>
              <w:t>ºC</w:t>
            </w:r>
          </w:p>
        </w:tc>
        <w:tc>
          <w:tcPr>
            <w:tcW w:w="1902" w:type="pct"/>
          </w:tcPr>
          <w:p w14:paraId="684A8FDE" w14:textId="5509CD9C" w:rsidR="000C5C6B" w:rsidRPr="002261B9" w:rsidRDefault="00250D59" w:rsidP="00A5157B">
            <w:pPr>
              <w:tabs>
                <w:tab w:val="left" w:pos="624"/>
                <w:tab w:val="left" w:pos="1247"/>
                <w:tab w:val="left" w:pos="1440"/>
              </w:tabs>
              <w:rPr>
                <w:sz w:val="20"/>
                <w:szCs w:val="20"/>
                <w:lang w:val="es-ES"/>
              </w:rPr>
            </w:pPr>
            <w:r w:rsidRPr="002261B9">
              <w:rPr>
                <w:sz w:val="20"/>
                <w:szCs w:val="20"/>
                <w:lang w:val="es-ES"/>
              </w:rPr>
              <w:t>(</w:t>
            </w:r>
            <w:r w:rsidR="004904E9" w:rsidRPr="002261B9">
              <w:rPr>
                <w:sz w:val="20"/>
                <w:szCs w:val="20"/>
                <w:lang w:val="es-ES"/>
              </w:rPr>
              <w:t>Lide,</w:t>
            </w:r>
            <w:r w:rsidR="007D0A73" w:rsidRPr="002261B9">
              <w:rPr>
                <w:sz w:val="20"/>
                <w:szCs w:val="20"/>
                <w:lang w:val="es-ES"/>
              </w:rPr>
              <w:t xml:space="preserve"> 2</w:t>
            </w:r>
            <w:r w:rsidRPr="002261B9">
              <w:rPr>
                <w:sz w:val="20"/>
                <w:szCs w:val="20"/>
                <w:lang w:val="es-ES"/>
              </w:rPr>
              <w:t>003</w:t>
            </w:r>
            <w:r w:rsidR="00452DB2" w:rsidRPr="002261B9">
              <w:rPr>
                <w:sz w:val="20"/>
                <w:szCs w:val="20"/>
                <w:lang w:val="es-ES"/>
              </w:rPr>
              <w:t>)</w:t>
            </w:r>
          </w:p>
          <w:p w14:paraId="0F7E3202" w14:textId="6F0D5E45" w:rsidR="00163CB8" w:rsidRPr="002261B9" w:rsidRDefault="00250D59" w:rsidP="00A5157B">
            <w:pPr>
              <w:tabs>
                <w:tab w:val="left" w:pos="624"/>
                <w:tab w:val="left" w:pos="1247"/>
                <w:tab w:val="left" w:pos="1440"/>
              </w:tabs>
              <w:rPr>
                <w:sz w:val="20"/>
                <w:szCs w:val="20"/>
                <w:lang w:val="es-ES"/>
              </w:rPr>
            </w:pPr>
            <w:r w:rsidRPr="002261B9">
              <w:rPr>
                <w:sz w:val="20"/>
                <w:szCs w:val="20"/>
                <w:lang w:val="es-ES"/>
              </w:rPr>
              <w:t>(</w:t>
            </w:r>
            <w:r w:rsidR="004904E9" w:rsidRPr="002261B9">
              <w:rPr>
                <w:sz w:val="20"/>
                <w:szCs w:val="20"/>
                <w:lang w:val="es-ES"/>
              </w:rPr>
              <w:t>Beilstein,</w:t>
            </w:r>
            <w:r w:rsidR="007D0A73" w:rsidRPr="002261B9">
              <w:rPr>
                <w:sz w:val="20"/>
                <w:szCs w:val="20"/>
                <w:lang w:val="es-ES"/>
              </w:rPr>
              <w:t xml:space="preserve"> 2</w:t>
            </w:r>
            <w:r w:rsidRPr="002261B9">
              <w:rPr>
                <w:sz w:val="20"/>
                <w:szCs w:val="20"/>
                <w:lang w:val="es-ES"/>
              </w:rPr>
              <w:t>005</w:t>
            </w:r>
            <w:r w:rsidR="00452DB2" w:rsidRPr="002261B9">
              <w:rPr>
                <w:sz w:val="20"/>
                <w:szCs w:val="20"/>
                <w:lang w:val="es-ES"/>
              </w:rPr>
              <w:t>)</w:t>
            </w:r>
            <w:r w:rsidRPr="002261B9">
              <w:rPr>
                <w:sz w:val="20"/>
                <w:szCs w:val="20"/>
                <w:lang w:val="es-ES"/>
              </w:rPr>
              <w:t xml:space="preserve"> citado en </w:t>
            </w:r>
            <w:r w:rsidR="004904E9" w:rsidRPr="002261B9">
              <w:rPr>
                <w:sz w:val="20"/>
                <w:szCs w:val="20"/>
                <w:lang w:val="es-ES"/>
              </w:rPr>
              <w:t>ECHA,</w:t>
            </w:r>
            <w:r w:rsidR="007D0A73" w:rsidRPr="002261B9">
              <w:rPr>
                <w:sz w:val="20"/>
                <w:szCs w:val="20"/>
                <w:lang w:val="es-ES"/>
              </w:rPr>
              <w:t xml:space="preserve"> 2</w:t>
            </w:r>
            <w:r w:rsidRPr="002261B9">
              <w:rPr>
                <w:sz w:val="20"/>
                <w:szCs w:val="20"/>
                <w:lang w:val="es-ES"/>
              </w:rPr>
              <w:t>013a</w:t>
            </w:r>
            <w:r w:rsidR="006F712F" w:rsidRPr="002261B9">
              <w:rPr>
                <w:sz w:val="20"/>
                <w:szCs w:val="20"/>
                <w:lang w:val="es-ES"/>
              </w:rPr>
              <w:t>)</w:t>
            </w:r>
          </w:p>
        </w:tc>
      </w:tr>
      <w:tr w:rsidR="00FE696C" w:rsidRPr="002261B9" w14:paraId="6DEE036F" w14:textId="77777777" w:rsidTr="00A5157B">
        <w:tc>
          <w:tcPr>
            <w:tcW w:w="1063" w:type="pct"/>
            <w:vAlign w:val="center"/>
          </w:tcPr>
          <w:p w14:paraId="035C1592" w14:textId="77777777" w:rsidR="000C5C6B" w:rsidRPr="002261B9" w:rsidRDefault="00163CB8" w:rsidP="00A5157B">
            <w:pPr>
              <w:tabs>
                <w:tab w:val="left" w:pos="624"/>
                <w:tab w:val="left" w:pos="1247"/>
                <w:tab w:val="left" w:pos="1440"/>
              </w:tabs>
              <w:rPr>
                <w:sz w:val="20"/>
                <w:szCs w:val="20"/>
                <w:lang w:val="es-ES"/>
              </w:rPr>
            </w:pPr>
            <w:r w:rsidRPr="002261B9">
              <w:rPr>
                <w:sz w:val="20"/>
                <w:szCs w:val="20"/>
                <w:lang w:val="es-ES"/>
              </w:rPr>
              <w:t>Punto de ebullición</w:t>
            </w:r>
          </w:p>
        </w:tc>
        <w:tc>
          <w:tcPr>
            <w:tcW w:w="2035" w:type="pct"/>
            <w:vAlign w:val="center"/>
          </w:tcPr>
          <w:p w14:paraId="7EB4331D" w14:textId="77777777" w:rsidR="000C5C6B" w:rsidRPr="002261B9" w:rsidRDefault="00163CB8" w:rsidP="00A5157B">
            <w:pPr>
              <w:tabs>
                <w:tab w:val="left" w:pos="624"/>
                <w:tab w:val="left" w:pos="1247"/>
                <w:tab w:val="left" w:pos="1440"/>
              </w:tabs>
              <w:rPr>
                <w:sz w:val="20"/>
                <w:szCs w:val="20"/>
                <w:lang w:val="es-ES"/>
              </w:rPr>
            </w:pPr>
            <w:r w:rsidRPr="002261B9">
              <w:rPr>
                <w:sz w:val="20"/>
                <w:szCs w:val="20"/>
                <w:lang w:val="es-ES"/>
              </w:rPr>
              <w:t>188</w:t>
            </w:r>
            <w:r w:rsidR="007712BB" w:rsidRPr="002261B9">
              <w:rPr>
                <w:sz w:val="20"/>
                <w:szCs w:val="20"/>
                <w:lang w:val="es-ES"/>
              </w:rPr>
              <w:t>ºC</w:t>
            </w:r>
            <w:r w:rsidRPr="002261B9">
              <w:rPr>
                <w:sz w:val="20"/>
                <w:szCs w:val="20"/>
                <w:lang w:val="es-ES"/>
              </w:rPr>
              <w:t xml:space="preserve"> (1013,25 hPa)</w:t>
            </w:r>
          </w:p>
          <w:p w14:paraId="6219DEC3" w14:textId="77777777" w:rsidR="00163CB8" w:rsidRPr="002261B9" w:rsidRDefault="00163CB8" w:rsidP="00A5157B">
            <w:pPr>
              <w:tabs>
                <w:tab w:val="left" w:pos="624"/>
                <w:tab w:val="left" w:pos="1247"/>
                <w:tab w:val="left" w:pos="1440"/>
              </w:tabs>
              <w:rPr>
                <w:sz w:val="20"/>
                <w:szCs w:val="20"/>
                <w:lang w:val="es-ES"/>
              </w:rPr>
            </w:pPr>
            <w:r w:rsidRPr="002261B9">
              <w:rPr>
                <w:sz w:val="20"/>
                <w:szCs w:val="20"/>
                <w:lang w:val="es-ES"/>
              </w:rPr>
              <w:t>189</w:t>
            </w:r>
            <w:r w:rsidR="007712BB" w:rsidRPr="002261B9">
              <w:rPr>
                <w:sz w:val="20"/>
                <w:szCs w:val="20"/>
                <w:lang w:val="es-ES"/>
              </w:rPr>
              <w:t>ºC</w:t>
            </w:r>
            <w:r w:rsidRPr="002261B9">
              <w:rPr>
                <w:sz w:val="20"/>
                <w:szCs w:val="20"/>
                <w:lang w:val="es-ES"/>
              </w:rPr>
              <w:t xml:space="preserve"> (981 hPa)</w:t>
            </w:r>
          </w:p>
        </w:tc>
        <w:tc>
          <w:tcPr>
            <w:tcW w:w="1902" w:type="pct"/>
          </w:tcPr>
          <w:p w14:paraId="1583C92A" w14:textId="1E2B742D" w:rsidR="000C5C6B" w:rsidRPr="002261B9" w:rsidRDefault="00250D59" w:rsidP="00A5157B">
            <w:pPr>
              <w:tabs>
                <w:tab w:val="left" w:pos="624"/>
                <w:tab w:val="left" w:pos="1247"/>
                <w:tab w:val="left" w:pos="1440"/>
              </w:tabs>
              <w:rPr>
                <w:sz w:val="20"/>
                <w:szCs w:val="20"/>
                <w:lang w:val="es-ES"/>
              </w:rPr>
            </w:pPr>
            <w:r w:rsidRPr="002261B9">
              <w:rPr>
                <w:sz w:val="20"/>
                <w:szCs w:val="20"/>
                <w:lang w:val="es-ES"/>
              </w:rPr>
              <w:t>(</w:t>
            </w:r>
            <w:r w:rsidR="004904E9" w:rsidRPr="002261B9">
              <w:rPr>
                <w:sz w:val="20"/>
                <w:szCs w:val="20"/>
                <w:lang w:val="es-ES"/>
              </w:rPr>
              <w:t>Lide,</w:t>
            </w:r>
            <w:r w:rsidR="007D0A73" w:rsidRPr="002261B9">
              <w:rPr>
                <w:sz w:val="20"/>
                <w:szCs w:val="20"/>
                <w:lang w:val="es-ES"/>
              </w:rPr>
              <w:t xml:space="preserve"> 2</w:t>
            </w:r>
            <w:r w:rsidRPr="002261B9">
              <w:rPr>
                <w:sz w:val="20"/>
                <w:szCs w:val="20"/>
                <w:lang w:val="es-ES"/>
              </w:rPr>
              <w:t>003</w:t>
            </w:r>
            <w:r w:rsidR="00452DB2" w:rsidRPr="002261B9">
              <w:rPr>
                <w:sz w:val="20"/>
                <w:szCs w:val="20"/>
                <w:lang w:val="es-ES"/>
              </w:rPr>
              <w:t>)</w:t>
            </w:r>
          </w:p>
          <w:p w14:paraId="7BC9206E" w14:textId="40068909" w:rsidR="00163CB8" w:rsidRPr="002261B9" w:rsidRDefault="00250D59" w:rsidP="00A5157B">
            <w:pPr>
              <w:tabs>
                <w:tab w:val="left" w:pos="624"/>
                <w:tab w:val="left" w:pos="1247"/>
                <w:tab w:val="left" w:pos="1440"/>
              </w:tabs>
              <w:rPr>
                <w:sz w:val="20"/>
                <w:szCs w:val="20"/>
                <w:lang w:val="es-ES"/>
              </w:rPr>
            </w:pPr>
            <w:r w:rsidRPr="002261B9">
              <w:rPr>
                <w:sz w:val="20"/>
                <w:szCs w:val="20"/>
                <w:lang w:val="es-ES"/>
              </w:rPr>
              <w:t>(Kauck y Diesslin</w:t>
            </w:r>
            <w:r w:rsidR="004904E9" w:rsidRPr="002261B9">
              <w:rPr>
                <w:sz w:val="20"/>
                <w:szCs w:val="20"/>
                <w:lang w:val="es-ES"/>
              </w:rPr>
              <w:t xml:space="preserve">, </w:t>
            </w:r>
            <w:r w:rsidR="006F712F" w:rsidRPr="002261B9">
              <w:rPr>
                <w:sz w:val="20"/>
                <w:szCs w:val="20"/>
                <w:lang w:val="es-ES"/>
              </w:rPr>
              <w:t>1</w:t>
            </w:r>
            <w:r w:rsidRPr="002261B9">
              <w:rPr>
                <w:sz w:val="20"/>
                <w:szCs w:val="20"/>
                <w:lang w:val="es-ES"/>
              </w:rPr>
              <w:t>951</w:t>
            </w:r>
            <w:r w:rsidR="00452DB2" w:rsidRPr="002261B9">
              <w:rPr>
                <w:sz w:val="20"/>
                <w:szCs w:val="20"/>
                <w:lang w:val="es-ES"/>
              </w:rPr>
              <w:t>)</w:t>
            </w:r>
          </w:p>
        </w:tc>
      </w:tr>
      <w:tr w:rsidR="00FE696C" w:rsidRPr="002261B9" w14:paraId="15800306" w14:textId="77777777" w:rsidTr="00A5157B">
        <w:tc>
          <w:tcPr>
            <w:tcW w:w="1063" w:type="pct"/>
          </w:tcPr>
          <w:p w14:paraId="5F06B3AE" w14:textId="77777777" w:rsidR="000C5C6B" w:rsidRPr="002261B9" w:rsidRDefault="00163CB8" w:rsidP="00A5157B">
            <w:pPr>
              <w:tabs>
                <w:tab w:val="left" w:pos="624"/>
                <w:tab w:val="left" w:pos="1247"/>
                <w:tab w:val="left" w:pos="1440"/>
              </w:tabs>
              <w:rPr>
                <w:sz w:val="20"/>
                <w:szCs w:val="20"/>
                <w:lang w:val="es-ES"/>
              </w:rPr>
            </w:pPr>
            <w:r w:rsidRPr="002261B9">
              <w:rPr>
                <w:sz w:val="20"/>
                <w:szCs w:val="20"/>
                <w:lang w:val="es-ES"/>
              </w:rPr>
              <w:t>Presión de vapor</w:t>
            </w:r>
          </w:p>
        </w:tc>
        <w:tc>
          <w:tcPr>
            <w:tcW w:w="2035" w:type="pct"/>
          </w:tcPr>
          <w:p w14:paraId="1F280BE1" w14:textId="77777777" w:rsidR="000C5C6B" w:rsidRPr="002261B9" w:rsidRDefault="00BA56B3" w:rsidP="00A5157B">
            <w:pPr>
              <w:tabs>
                <w:tab w:val="left" w:pos="624"/>
                <w:tab w:val="left" w:pos="1247"/>
                <w:tab w:val="left" w:pos="1440"/>
              </w:tabs>
              <w:rPr>
                <w:sz w:val="20"/>
                <w:szCs w:val="20"/>
                <w:lang w:val="es-ES"/>
              </w:rPr>
            </w:pPr>
            <w:r w:rsidRPr="002261B9">
              <w:rPr>
                <w:sz w:val="20"/>
                <w:szCs w:val="20"/>
                <w:lang w:val="es-ES"/>
              </w:rPr>
              <w:t>4,2 Pa (25</w:t>
            </w:r>
            <w:r w:rsidR="007712BB" w:rsidRPr="002261B9">
              <w:rPr>
                <w:sz w:val="20"/>
                <w:szCs w:val="20"/>
                <w:lang w:val="es-ES"/>
              </w:rPr>
              <w:t>ºC</w:t>
            </w:r>
            <w:r w:rsidRPr="002261B9">
              <w:rPr>
                <w:sz w:val="20"/>
                <w:szCs w:val="20"/>
                <w:lang w:val="es-ES"/>
              </w:rPr>
              <w:t>) para el PFO; extrapolados de datos medidos</w:t>
            </w:r>
          </w:p>
          <w:p w14:paraId="5E5C7F44" w14:textId="77777777" w:rsidR="00163CB8" w:rsidRPr="002261B9" w:rsidRDefault="00BA56B3" w:rsidP="00A5157B">
            <w:pPr>
              <w:tabs>
                <w:tab w:val="left" w:pos="624"/>
                <w:tab w:val="left" w:pos="1247"/>
                <w:tab w:val="left" w:pos="1440"/>
              </w:tabs>
              <w:rPr>
                <w:sz w:val="20"/>
                <w:szCs w:val="20"/>
                <w:lang w:val="es-ES"/>
              </w:rPr>
            </w:pPr>
            <w:r w:rsidRPr="002261B9">
              <w:rPr>
                <w:sz w:val="20"/>
                <w:szCs w:val="20"/>
                <w:lang w:val="es-ES"/>
              </w:rPr>
              <w:t>2</w:t>
            </w:r>
            <w:r w:rsidR="000151B2" w:rsidRPr="002261B9">
              <w:rPr>
                <w:sz w:val="20"/>
                <w:szCs w:val="20"/>
                <w:lang w:val="es-ES"/>
              </w:rPr>
              <w:t>,</w:t>
            </w:r>
            <w:r w:rsidRPr="002261B9">
              <w:rPr>
                <w:sz w:val="20"/>
                <w:szCs w:val="20"/>
                <w:lang w:val="es-ES"/>
              </w:rPr>
              <w:t>3 Pa (20</w:t>
            </w:r>
            <w:r w:rsidR="007712BB" w:rsidRPr="002261B9">
              <w:rPr>
                <w:sz w:val="20"/>
                <w:szCs w:val="20"/>
                <w:lang w:val="es-ES"/>
              </w:rPr>
              <w:t>ºC</w:t>
            </w:r>
            <w:r w:rsidRPr="002261B9">
              <w:rPr>
                <w:sz w:val="20"/>
                <w:szCs w:val="20"/>
                <w:lang w:val="es-ES"/>
              </w:rPr>
              <w:t>) para el PFO; extrapolados de datos medidos</w:t>
            </w:r>
          </w:p>
          <w:p w14:paraId="1D8B4D50" w14:textId="77777777" w:rsidR="00163CB8" w:rsidRPr="002261B9" w:rsidRDefault="00BA56B3" w:rsidP="00A5157B">
            <w:pPr>
              <w:tabs>
                <w:tab w:val="left" w:pos="624"/>
                <w:tab w:val="left" w:pos="1247"/>
                <w:tab w:val="left" w:pos="1440"/>
              </w:tabs>
              <w:rPr>
                <w:sz w:val="20"/>
                <w:szCs w:val="20"/>
                <w:lang w:val="es-ES"/>
              </w:rPr>
            </w:pPr>
            <w:r w:rsidRPr="002261B9">
              <w:rPr>
                <w:sz w:val="20"/>
                <w:szCs w:val="20"/>
                <w:lang w:val="es-ES"/>
              </w:rPr>
              <w:t>128 Pa (59,3</w:t>
            </w:r>
            <w:r w:rsidR="007712BB" w:rsidRPr="002261B9">
              <w:rPr>
                <w:sz w:val="20"/>
                <w:szCs w:val="20"/>
                <w:lang w:val="es-ES"/>
              </w:rPr>
              <w:t>ºC</w:t>
            </w:r>
            <w:r w:rsidRPr="002261B9">
              <w:rPr>
                <w:sz w:val="20"/>
                <w:szCs w:val="20"/>
                <w:lang w:val="es-ES"/>
              </w:rPr>
              <w:t>) para el PFO; medido</w:t>
            </w:r>
          </w:p>
        </w:tc>
        <w:tc>
          <w:tcPr>
            <w:tcW w:w="1902" w:type="pct"/>
          </w:tcPr>
          <w:p w14:paraId="0421C856" w14:textId="0D70E19F" w:rsidR="000C5C6B" w:rsidRPr="002261B9" w:rsidRDefault="00250D59" w:rsidP="00A5157B">
            <w:pPr>
              <w:tabs>
                <w:tab w:val="left" w:pos="624"/>
                <w:tab w:val="left" w:pos="1247"/>
                <w:tab w:val="left" w:pos="1440"/>
              </w:tabs>
              <w:rPr>
                <w:sz w:val="20"/>
                <w:szCs w:val="20"/>
                <w:lang w:val="es-ES"/>
              </w:rPr>
            </w:pPr>
            <w:r w:rsidRPr="002261B9">
              <w:rPr>
                <w:sz w:val="20"/>
                <w:szCs w:val="20"/>
                <w:lang w:val="es-ES"/>
              </w:rPr>
              <w:t xml:space="preserve">(Kaiser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005</w:t>
            </w:r>
            <w:r w:rsidR="00452DB2" w:rsidRPr="002261B9">
              <w:rPr>
                <w:sz w:val="20"/>
                <w:szCs w:val="20"/>
                <w:lang w:val="es-ES"/>
              </w:rPr>
              <w:t>)</w:t>
            </w:r>
            <w:r w:rsidRPr="002261B9">
              <w:rPr>
                <w:sz w:val="20"/>
                <w:szCs w:val="20"/>
                <w:lang w:val="es-ES"/>
              </w:rPr>
              <w:t xml:space="preserve">; (Washburn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005</w:t>
            </w:r>
            <w:r w:rsidR="00452DB2" w:rsidRPr="002261B9">
              <w:rPr>
                <w:sz w:val="20"/>
                <w:szCs w:val="20"/>
                <w:lang w:val="es-ES"/>
              </w:rPr>
              <w:t>)</w:t>
            </w:r>
          </w:p>
          <w:p w14:paraId="1F0F4FA7" w14:textId="7DBC1A4B" w:rsidR="00163CB8" w:rsidRPr="002261B9" w:rsidRDefault="00250D59" w:rsidP="00A5157B">
            <w:pPr>
              <w:tabs>
                <w:tab w:val="left" w:pos="624"/>
                <w:tab w:val="left" w:pos="1247"/>
                <w:tab w:val="left" w:pos="1440"/>
              </w:tabs>
              <w:rPr>
                <w:sz w:val="20"/>
                <w:szCs w:val="20"/>
                <w:lang w:val="es-ES"/>
              </w:rPr>
            </w:pPr>
            <w:r w:rsidRPr="002261B9">
              <w:rPr>
                <w:sz w:val="20"/>
                <w:szCs w:val="20"/>
                <w:lang w:val="es-ES"/>
              </w:rPr>
              <w:t xml:space="preserve">(Washburn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005</w:t>
            </w:r>
            <w:r w:rsidR="00452DB2" w:rsidRPr="002261B9">
              <w:rPr>
                <w:sz w:val="20"/>
                <w:szCs w:val="20"/>
                <w:lang w:val="es-ES"/>
              </w:rPr>
              <w:t>)</w:t>
            </w:r>
          </w:p>
          <w:p w14:paraId="296F8D4A" w14:textId="77777777" w:rsidR="00C104B2" w:rsidRPr="002261B9" w:rsidRDefault="00C104B2" w:rsidP="00A5157B">
            <w:pPr>
              <w:tabs>
                <w:tab w:val="left" w:pos="624"/>
                <w:tab w:val="left" w:pos="1247"/>
                <w:tab w:val="left" w:pos="1440"/>
              </w:tabs>
              <w:rPr>
                <w:sz w:val="20"/>
                <w:szCs w:val="20"/>
                <w:lang w:val="es-ES"/>
              </w:rPr>
            </w:pPr>
          </w:p>
          <w:p w14:paraId="378C1EA2" w14:textId="69C1DB14" w:rsidR="00163CB8" w:rsidRPr="002261B9" w:rsidRDefault="00250D59" w:rsidP="00A5157B">
            <w:pPr>
              <w:tabs>
                <w:tab w:val="left" w:pos="624"/>
                <w:tab w:val="left" w:pos="1247"/>
                <w:tab w:val="left" w:pos="1440"/>
              </w:tabs>
              <w:rPr>
                <w:sz w:val="20"/>
                <w:szCs w:val="20"/>
                <w:lang w:val="es-ES"/>
              </w:rPr>
            </w:pPr>
            <w:r w:rsidRPr="002261B9">
              <w:rPr>
                <w:sz w:val="20"/>
                <w:szCs w:val="20"/>
                <w:lang w:val="es-ES"/>
              </w:rPr>
              <w:t xml:space="preserve">(Washburn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005</w:t>
            </w:r>
            <w:r w:rsidR="00452DB2" w:rsidRPr="002261B9">
              <w:rPr>
                <w:sz w:val="20"/>
                <w:szCs w:val="20"/>
                <w:lang w:val="es-ES"/>
              </w:rPr>
              <w:t>)</w:t>
            </w:r>
          </w:p>
        </w:tc>
      </w:tr>
      <w:tr w:rsidR="00FE696C" w:rsidRPr="002261B9" w14:paraId="41C577B4" w14:textId="77777777" w:rsidTr="00A5157B">
        <w:tc>
          <w:tcPr>
            <w:tcW w:w="1063" w:type="pct"/>
          </w:tcPr>
          <w:p w14:paraId="6B00AC4F" w14:textId="77777777" w:rsidR="000C5C6B" w:rsidRPr="002261B9" w:rsidRDefault="00163CB8" w:rsidP="00CF5271">
            <w:pPr>
              <w:keepNext/>
              <w:keepLines/>
              <w:tabs>
                <w:tab w:val="left" w:pos="624"/>
                <w:tab w:val="left" w:pos="1247"/>
                <w:tab w:val="left" w:pos="1440"/>
              </w:tabs>
              <w:rPr>
                <w:sz w:val="20"/>
                <w:szCs w:val="20"/>
                <w:lang w:val="es-ES"/>
              </w:rPr>
            </w:pPr>
            <w:r w:rsidRPr="002261B9">
              <w:rPr>
                <w:sz w:val="20"/>
                <w:szCs w:val="20"/>
                <w:lang w:val="es-ES"/>
              </w:rPr>
              <w:lastRenderedPageBreak/>
              <w:t>Solubilidad en el agua</w:t>
            </w:r>
          </w:p>
        </w:tc>
        <w:tc>
          <w:tcPr>
            <w:tcW w:w="2035" w:type="pct"/>
          </w:tcPr>
          <w:p w14:paraId="13DF3635" w14:textId="77777777" w:rsidR="000C5C6B" w:rsidRPr="002261B9" w:rsidRDefault="00BA56B3" w:rsidP="00CF5271">
            <w:pPr>
              <w:keepNext/>
              <w:keepLines/>
              <w:tabs>
                <w:tab w:val="left" w:pos="624"/>
                <w:tab w:val="left" w:pos="1247"/>
                <w:tab w:val="left" w:pos="1440"/>
              </w:tabs>
              <w:rPr>
                <w:sz w:val="20"/>
                <w:szCs w:val="20"/>
                <w:lang w:val="es-ES"/>
              </w:rPr>
            </w:pPr>
            <w:r w:rsidRPr="002261B9">
              <w:rPr>
                <w:sz w:val="20"/>
                <w:szCs w:val="20"/>
                <w:lang w:val="es-ES"/>
              </w:rPr>
              <w:t>9</w:t>
            </w:r>
            <w:r w:rsidR="000151B2" w:rsidRPr="002261B9">
              <w:rPr>
                <w:sz w:val="20"/>
                <w:szCs w:val="20"/>
                <w:lang w:val="es-ES"/>
              </w:rPr>
              <w:t>,</w:t>
            </w:r>
            <w:r w:rsidRPr="002261B9">
              <w:rPr>
                <w:sz w:val="20"/>
                <w:szCs w:val="20"/>
                <w:lang w:val="es-ES"/>
              </w:rPr>
              <w:t>5 g/l (25</w:t>
            </w:r>
            <w:r w:rsidR="007712BB" w:rsidRPr="002261B9">
              <w:rPr>
                <w:sz w:val="20"/>
                <w:szCs w:val="20"/>
                <w:lang w:val="es-ES"/>
              </w:rPr>
              <w:t>ºC</w:t>
            </w:r>
            <w:r w:rsidRPr="002261B9">
              <w:rPr>
                <w:sz w:val="20"/>
                <w:szCs w:val="20"/>
                <w:lang w:val="es-ES"/>
              </w:rPr>
              <w:t>)</w:t>
            </w:r>
          </w:p>
          <w:p w14:paraId="752F4B1E" w14:textId="77777777" w:rsidR="00163CB8" w:rsidRPr="002261B9" w:rsidRDefault="00163CB8" w:rsidP="00CF5271">
            <w:pPr>
              <w:keepNext/>
              <w:keepLines/>
              <w:tabs>
                <w:tab w:val="left" w:pos="624"/>
                <w:tab w:val="left" w:pos="1247"/>
                <w:tab w:val="left" w:pos="1440"/>
              </w:tabs>
              <w:rPr>
                <w:sz w:val="20"/>
                <w:szCs w:val="20"/>
                <w:lang w:val="es-ES"/>
              </w:rPr>
            </w:pPr>
            <w:r w:rsidRPr="002261B9">
              <w:rPr>
                <w:sz w:val="20"/>
                <w:szCs w:val="20"/>
                <w:lang w:val="es-ES"/>
              </w:rPr>
              <w:t>4</w:t>
            </w:r>
            <w:r w:rsidR="000151B2" w:rsidRPr="002261B9">
              <w:rPr>
                <w:sz w:val="20"/>
                <w:szCs w:val="20"/>
                <w:lang w:val="es-ES"/>
              </w:rPr>
              <w:t>,</w:t>
            </w:r>
            <w:r w:rsidRPr="002261B9">
              <w:rPr>
                <w:sz w:val="20"/>
                <w:szCs w:val="20"/>
                <w:lang w:val="es-ES"/>
              </w:rPr>
              <w:t>14 g/l (22</w:t>
            </w:r>
            <w:r w:rsidR="007712BB" w:rsidRPr="002261B9">
              <w:rPr>
                <w:sz w:val="20"/>
                <w:szCs w:val="20"/>
                <w:lang w:val="es-ES"/>
              </w:rPr>
              <w:t>ºC</w:t>
            </w:r>
            <w:r w:rsidRPr="002261B9">
              <w:rPr>
                <w:sz w:val="20"/>
                <w:szCs w:val="20"/>
                <w:lang w:val="es-ES"/>
              </w:rPr>
              <w:t>)</w:t>
            </w:r>
          </w:p>
        </w:tc>
        <w:tc>
          <w:tcPr>
            <w:tcW w:w="1902" w:type="pct"/>
          </w:tcPr>
          <w:p w14:paraId="3261C31F" w14:textId="071886B2" w:rsidR="000C5C6B" w:rsidRPr="002261B9" w:rsidRDefault="00250D59" w:rsidP="00CF5271">
            <w:pPr>
              <w:keepNext/>
              <w:keepLines/>
              <w:tabs>
                <w:tab w:val="left" w:pos="624"/>
                <w:tab w:val="left" w:pos="1247"/>
                <w:tab w:val="left" w:pos="1440"/>
              </w:tabs>
              <w:rPr>
                <w:sz w:val="20"/>
                <w:szCs w:val="20"/>
                <w:lang w:val="es-ES"/>
              </w:rPr>
            </w:pPr>
            <w:r w:rsidRPr="002261B9">
              <w:rPr>
                <w:sz w:val="20"/>
                <w:szCs w:val="20"/>
                <w:lang w:val="es-ES"/>
              </w:rPr>
              <w:t>(Kauck y Diesslin</w:t>
            </w:r>
            <w:r w:rsidR="006F712F" w:rsidRPr="002261B9">
              <w:rPr>
                <w:sz w:val="20"/>
                <w:szCs w:val="20"/>
                <w:lang w:val="es-ES"/>
              </w:rPr>
              <w:t xml:space="preserve"> (1</w:t>
            </w:r>
            <w:r w:rsidRPr="002261B9">
              <w:rPr>
                <w:sz w:val="20"/>
                <w:szCs w:val="20"/>
                <w:lang w:val="es-ES"/>
              </w:rPr>
              <w:t>951</w:t>
            </w:r>
            <w:r w:rsidR="00452DB2" w:rsidRPr="002261B9">
              <w:rPr>
                <w:sz w:val="20"/>
                <w:szCs w:val="20"/>
                <w:lang w:val="es-ES"/>
              </w:rPr>
              <w:t>)</w:t>
            </w:r>
          </w:p>
          <w:p w14:paraId="6B87549A" w14:textId="52F4060C" w:rsidR="005A777E" w:rsidRPr="002261B9" w:rsidRDefault="00250D59" w:rsidP="00CF5271">
            <w:pPr>
              <w:keepNext/>
              <w:keepLines/>
              <w:tabs>
                <w:tab w:val="left" w:pos="624"/>
                <w:tab w:val="left" w:pos="1247"/>
                <w:tab w:val="left" w:pos="1440"/>
              </w:tabs>
              <w:rPr>
                <w:sz w:val="20"/>
                <w:szCs w:val="20"/>
                <w:lang w:val="es-ES"/>
              </w:rPr>
            </w:pPr>
            <w:r w:rsidRPr="002261B9">
              <w:rPr>
                <w:sz w:val="20"/>
                <w:szCs w:val="20"/>
                <w:lang w:val="es-ES"/>
              </w:rPr>
              <w:t>(Prokop y otros</w:t>
            </w:r>
            <w:r w:rsidR="006F712F" w:rsidRPr="002261B9">
              <w:rPr>
                <w:sz w:val="20"/>
                <w:szCs w:val="20"/>
                <w:lang w:val="es-ES"/>
              </w:rPr>
              <w:t xml:space="preserve"> (1</w:t>
            </w:r>
            <w:r w:rsidRPr="002261B9">
              <w:rPr>
                <w:sz w:val="20"/>
                <w:szCs w:val="20"/>
                <w:lang w:val="es-ES"/>
              </w:rPr>
              <w:t>989</w:t>
            </w:r>
            <w:r w:rsidR="00452DB2" w:rsidRPr="002261B9">
              <w:rPr>
                <w:sz w:val="20"/>
                <w:szCs w:val="20"/>
                <w:lang w:val="es-ES"/>
              </w:rPr>
              <w:t>)</w:t>
            </w:r>
          </w:p>
        </w:tc>
      </w:tr>
      <w:tr w:rsidR="00FE696C" w:rsidRPr="002261B9" w14:paraId="63E42FB5" w14:textId="77777777" w:rsidTr="00A5157B">
        <w:tc>
          <w:tcPr>
            <w:tcW w:w="1063" w:type="pct"/>
          </w:tcPr>
          <w:p w14:paraId="4F8E13A0" w14:textId="77777777" w:rsidR="000C5C6B" w:rsidRPr="002261B9" w:rsidRDefault="005A777E" w:rsidP="00CF5271">
            <w:pPr>
              <w:keepNext/>
              <w:keepLines/>
              <w:tabs>
                <w:tab w:val="left" w:pos="624"/>
                <w:tab w:val="left" w:pos="1247"/>
                <w:tab w:val="left" w:pos="1440"/>
              </w:tabs>
              <w:rPr>
                <w:sz w:val="20"/>
                <w:szCs w:val="20"/>
                <w:lang w:val="es-ES"/>
              </w:rPr>
            </w:pPr>
            <w:r w:rsidRPr="002261B9">
              <w:rPr>
                <w:sz w:val="20"/>
                <w:szCs w:val="20"/>
                <w:lang w:val="es-ES"/>
              </w:rPr>
              <w:t>Constante de disociación</w:t>
            </w:r>
          </w:p>
        </w:tc>
        <w:tc>
          <w:tcPr>
            <w:tcW w:w="2035" w:type="pct"/>
          </w:tcPr>
          <w:p w14:paraId="1893B5CC" w14:textId="77777777" w:rsidR="007D4673" w:rsidRPr="002261B9" w:rsidRDefault="007D4673" w:rsidP="00CF5271">
            <w:pPr>
              <w:keepNext/>
              <w:keepLines/>
              <w:tabs>
                <w:tab w:val="left" w:pos="624"/>
                <w:tab w:val="left" w:pos="1247"/>
                <w:tab w:val="left" w:pos="1440"/>
              </w:tabs>
              <w:rPr>
                <w:sz w:val="20"/>
                <w:szCs w:val="20"/>
                <w:lang w:val="es-ES"/>
              </w:rPr>
            </w:pPr>
            <w:r w:rsidRPr="002261B9">
              <w:rPr>
                <w:sz w:val="20"/>
                <w:szCs w:val="20"/>
                <w:lang w:val="es-ES"/>
              </w:rPr>
              <w:t>alrededor de 0,5</w:t>
            </w:r>
          </w:p>
          <w:p w14:paraId="75B21053" w14:textId="77777777" w:rsidR="000C5C6B" w:rsidRPr="002261B9" w:rsidRDefault="009D4FB8" w:rsidP="00CF5271">
            <w:pPr>
              <w:keepNext/>
              <w:keepLines/>
              <w:tabs>
                <w:tab w:val="left" w:pos="624"/>
                <w:tab w:val="left" w:pos="1247"/>
                <w:tab w:val="left" w:pos="1440"/>
              </w:tabs>
              <w:rPr>
                <w:sz w:val="20"/>
                <w:szCs w:val="20"/>
                <w:lang w:val="es-ES"/>
              </w:rPr>
            </w:pPr>
            <w:r w:rsidRPr="002261B9">
              <w:rPr>
                <w:sz w:val="20"/>
                <w:szCs w:val="20"/>
                <w:lang w:val="es-ES"/>
              </w:rPr>
              <w:t>&lt;1,6; por ejemplo 0,5</w:t>
            </w:r>
          </w:p>
          <w:p w14:paraId="4B29295A" w14:textId="77777777" w:rsidR="005A777E" w:rsidRPr="002261B9" w:rsidRDefault="005A777E" w:rsidP="00CF5271">
            <w:pPr>
              <w:keepNext/>
              <w:keepLines/>
              <w:tabs>
                <w:tab w:val="left" w:pos="624"/>
                <w:tab w:val="left" w:pos="1247"/>
                <w:tab w:val="left" w:pos="1440"/>
              </w:tabs>
              <w:rPr>
                <w:sz w:val="20"/>
                <w:szCs w:val="20"/>
                <w:lang w:val="es-ES"/>
              </w:rPr>
            </w:pPr>
            <w:r w:rsidRPr="002261B9">
              <w:rPr>
                <w:sz w:val="20"/>
                <w:szCs w:val="20"/>
                <w:lang w:val="es-ES"/>
              </w:rPr>
              <w:t>1,5 a 2,8</w:t>
            </w:r>
          </w:p>
        </w:tc>
        <w:tc>
          <w:tcPr>
            <w:tcW w:w="1902" w:type="pct"/>
          </w:tcPr>
          <w:p w14:paraId="05243C70" w14:textId="63DC67CD" w:rsidR="007D4673" w:rsidRPr="002261B9" w:rsidRDefault="007D4673" w:rsidP="00CF5271">
            <w:pPr>
              <w:keepNext/>
              <w:keepLines/>
              <w:tabs>
                <w:tab w:val="left" w:pos="624"/>
                <w:tab w:val="left" w:pos="1247"/>
                <w:tab w:val="left" w:pos="1440"/>
              </w:tabs>
              <w:rPr>
                <w:sz w:val="20"/>
                <w:szCs w:val="20"/>
                <w:lang w:val="es-ES"/>
              </w:rPr>
            </w:pPr>
            <w:r w:rsidRPr="002261B9">
              <w:rPr>
                <w:sz w:val="20"/>
                <w:szCs w:val="20"/>
                <w:lang w:val="es-ES"/>
              </w:rPr>
              <w:t xml:space="preserve">(Johansson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017</w:t>
            </w:r>
            <w:r w:rsidR="00452DB2" w:rsidRPr="002261B9">
              <w:rPr>
                <w:sz w:val="20"/>
                <w:szCs w:val="20"/>
                <w:lang w:val="es-ES"/>
              </w:rPr>
              <w:t>)</w:t>
            </w:r>
          </w:p>
          <w:p w14:paraId="5A2F46E3" w14:textId="37AC9AB2" w:rsidR="000C5C6B" w:rsidRPr="002261B9" w:rsidRDefault="00250D59" w:rsidP="00CF5271">
            <w:pPr>
              <w:keepNext/>
              <w:keepLines/>
              <w:tabs>
                <w:tab w:val="left" w:pos="624"/>
                <w:tab w:val="left" w:pos="1247"/>
                <w:tab w:val="left" w:pos="1440"/>
              </w:tabs>
              <w:rPr>
                <w:sz w:val="20"/>
                <w:szCs w:val="20"/>
                <w:lang w:val="es-ES"/>
              </w:rPr>
            </w:pPr>
            <w:r w:rsidRPr="002261B9">
              <w:rPr>
                <w:sz w:val="20"/>
                <w:szCs w:val="20"/>
                <w:lang w:val="es-ES"/>
              </w:rPr>
              <w:t xml:space="preserve">(Vierke y </w:t>
            </w:r>
            <w:r w:rsidR="004904E9" w:rsidRPr="002261B9">
              <w:rPr>
                <w:sz w:val="20"/>
                <w:szCs w:val="20"/>
                <w:lang w:val="es-ES"/>
              </w:rPr>
              <w:t>otros,</w:t>
            </w:r>
            <w:r w:rsidR="007D0A73" w:rsidRPr="002261B9">
              <w:rPr>
                <w:sz w:val="20"/>
                <w:szCs w:val="20"/>
                <w:lang w:val="es-ES"/>
              </w:rPr>
              <w:t xml:space="preserve"> 2</w:t>
            </w:r>
            <w:r w:rsidRPr="002261B9">
              <w:rPr>
                <w:sz w:val="20"/>
                <w:szCs w:val="20"/>
                <w:lang w:val="es-ES"/>
              </w:rPr>
              <w:t>013</w:t>
            </w:r>
            <w:r w:rsidR="00452DB2" w:rsidRPr="002261B9">
              <w:rPr>
                <w:sz w:val="20"/>
                <w:szCs w:val="20"/>
                <w:lang w:val="es-ES"/>
              </w:rPr>
              <w:t>)</w:t>
            </w:r>
          </w:p>
          <w:p w14:paraId="62BF6720" w14:textId="4B0F919C" w:rsidR="005A777E" w:rsidRPr="002261B9" w:rsidRDefault="00250D59" w:rsidP="00CF5271">
            <w:pPr>
              <w:keepNext/>
              <w:keepLines/>
              <w:tabs>
                <w:tab w:val="left" w:pos="624"/>
                <w:tab w:val="left" w:pos="1247"/>
                <w:tab w:val="left" w:pos="1440"/>
              </w:tabs>
              <w:rPr>
                <w:sz w:val="20"/>
                <w:szCs w:val="20"/>
                <w:lang w:val="es-ES"/>
              </w:rPr>
            </w:pPr>
            <w:r w:rsidRPr="002261B9">
              <w:rPr>
                <w:sz w:val="20"/>
                <w:szCs w:val="20"/>
                <w:lang w:val="es-ES"/>
              </w:rPr>
              <w:t>(</w:t>
            </w:r>
            <w:r w:rsidR="004904E9" w:rsidRPr="002261B9">
              <w:rPr>
                <w:sz w:val="20"/>
                <w:szCs w:val="20"/>
                <w:lang w:val="es-ES"/>
              </w:rPr>
              <w:t>Kissa,</w:t>
            </w:r>
            <w:r w:rsidR="007D0A73" w:rsidRPr="002261B9">
              <w:rPr>
                <w:sz w:val="20"/>
                <w:szCs w:val="20"/>
                <w:lang w:val="es-ES"/>
              </w:rPr>
              <w:t xml:space="preserve"> 2</w:t>
            </w:r>
            <w:r w:rsidRPr="002261B9">
              <w:rPr>
                <w:sz w:val="20"/>
                <w:szCs w:val="20"/>
                <w:lang w:val="es-ES"/>
              </w:rPr>
              <w:t>001</w:t>
            </w:r>
            <w:r w:rsidR="00452DB2" w:rsidRPr="002261B9">
              <w:rPr>
                <w:sz w:val="20"/>
                <w:szCs w:val="20"/>
                <w:lang w:val="es-ES"/>
              </w:rPr>
              <w:t>)</w:t>
            </w:r>
          </w:p>
        </w:tc>
      </w:tr>
      <w:tr w:rsidR="0093050C" w:rsidRPr="002261B9" w14:paraId="2E8471B9" w14:textId="77777777" w:rsidTr="00A5157B">
        <w:tc>
          <w:tcPr>
            <w:tcW w:w="1063" w:type="pct"/>
          </w:tcPr>
          <w:p w14:paraId="440720F9" w14:textId="77777777" w:rsidR="000C5C6B" w:rsidRPr="002261B9" w:rsidRDefault="005A777E" w:rsidP="00CF5271">
            <w:pPr>
              <w:keepNext/>
              <w:keepLines/>
              <w:tabs>
                <w:tab w:val="left" w:pos="624"/>
                <w:tab w:val="left" w:pos="1247"/>
                <w:tab w:val="left" w:pos="1440"/>
              </w:tabs>
              <w:rPr>
                <w:sz w:val="20"/>
                <w:szCs w:val="20"/>
                <w:lang w:val="es-ES"/>
              </w:rPr>
            </w:pPr>
            <w:r w:rsidRPr="002261B9">
              <w:rPr>
                <w:sz w:val="20"/>
                <w:szCs w:val="20"/>
                <w:lang w:val="es-ES"/>
              </w:rPr>
              <w:t>Valor del pH</w:t>
            </w:r>
          </w:p>
        </w:tc>
        <w:tc>
          <w:tcPr>
            <w:tcW w:w="2035" w:type="pct"/>
          </w:tcPr>
          <w:p w14:paraId="6088D1B6" w14:textId="77777777" w:rsidR="000C5C6B" w:rsidRPr="002261B9" w:rsidRDefault="00BA56B3" w:rsidP="00CF5271">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lang w:val="es-ES"/>
              </w:rPr>
            </w:pPr>
            <w:r w:rsidRPr="002261B9">
              <w:rPr>
                <w:sz w:val="20"/>
                <w:szCs w:val="20"/>
                <w:lang w:val="es-ES"/>
              </w:rPr>
              <w:t>2</w:t>
            </w:r>
            <w:r w:rsidR="000151B2" w:rsidRPr="002261B9">
              <w:rPr>
                <w:sz w:val="20"/>
                <w:szCs w:val="20"/>
                <w:lang w:val="es-ES"/>
              </w:rPr>
              <w:t>,</w:t>
            </w:r>
            <w:r w:rsidRPr="002261B9">
              <w:rPr>
                <w:sz w:val="20"/>
                <w:szCs w:val="20"/>
                <w:lang w:val="es-ES"/>
              </w:rPr>
              <w:t>6 (1 g/l a 20</w:t>
            </w:r>
            <w:r w:rsidR="007712BB" w:rsidRPr="002261B9">
              <w:rPr>
                <w:sz w:val="20"/>
                <w:szCs w:val="20"/>
                <w:lang w:val="es-ES"/>
              </w:rPr>
              <w:t>ºC</w:t>
            </w:r>
            <w:r w:rsidRPr="002261B9">
              <w:rPr>
                <w:sz w:val="20"/>
                <w:szCs w:val="20"/>
                <w:lang w:val="es-ES"/>
              </w:rPr>
              <w:t>)</w:t>
            </w:r>
          </w:p>
        </w:tc>
        <w:tc>
          <w:tcPr>
            <w:tcW w:w="1902" w:type="pct"/>
          </w:tcPr>
          <w:p w14:paraId="7BE22A7A" w14:textId="2A5935E8" w:rsidR="000C5C6B" w:rsidRPr="002261B9" w:rsidRDefault="00250D59" w:rsidP="00CF5271">
            <w:pPr>
              <w:keepNext/>
              <w:keepLines/>
              <w:tabs>
                <w:tab w:val="left" w:pos="624"/>
                <w:tab w:val="left" w:pos="1247"/>
                <w:tab w:val="left" w:pos="1440"/>
                <w:tab w:val="left" w:pos="1814"/>
                <w:tab w:val="left" w:pos="2381"/>
                <w:tab w:val="left" w:pos="2948"/>
                <w:tab w:val="left" w:pos="3515"/>
                <w:tab w:val="left" w:pos="4082"/>
              </w:tabs>
              <w:spacing w:before="20" w:after="20"/>
              <w:rPr>
                <w:sz w:val="20"/>
                <w:szCs w:val="20"/>
                <w:lang w:val="es-ES"/>
              </w:rPr>
            </w:pPr>
            <w:r w:rsidRPr="002261B9">
              <w:rPr>
                <w:sz w:val="20"/>
                <w:szCs w:val="20"/>
                <w:lang w:val="es-ES"/>
              </w:rPr>
              <w:t>(ECHA 2015a</w:t>
            </w:r>
            <w:r w:rsidR="00452DB2" w:rsidRPr="002261B9">
              <w:rPr>
                <w:sz w:val="20"/>
                <w:szCs w:val="20"/>
                <w:lang w:val="es-ES"/>
              </w:rPr>
              <w:t>)</w:t>
            </w:r>
            <w:r w:rsidRPr="002261B9">
              <w:rPr>
                <w:sz w:val="20"/>
                <w:szCs w:val="20"/>
                <w:lang w:val="es-ES"/>
              </w:rPr>
              <w:t xml:space="preserve"> (no puede atribuirse fiabilidad)</w:t>
            </w:r>
          </w:p>
        </w:tc>
      </w:tr>
    </w:tbl>
    <w:p w14:paraId="64D7CE0B" w14:textId="77777777" w:rsidR="00A5157B" w:rsidRPr="002261B9" w:rsidRDefault="00A5157B" w:rsidP="00A5157B">
      <w:pPr>
        <w:pStyle w:val="Paralevel1"/>
        <w:numPr>
          <w:ilvl w:val="0"/>
          <w:numId w:val="0"/>
        </w:numPr>
        <w:tabs>
          <w:tab w:val="clear" w:pos="0"/>
        </w:tabs>
        <w:ind w:left="887"/>
        <w:rPr>
          <w:lang w:val="es-ES"/>
        </w:rPr>
      </w:pPr>
    </w:p>
    <w:p w14:paraId="2A0B9329" w14:textId="0CEE9906" w:rsidR="00DC01E8" w:rsidRPr="002261B9" w:rsidRDefault="00DC01E8" w:rsidP="00F45508">
      <w:pPr>
        <w:pStyle w:val="Paralevel1"/>
        <w:numPr>
          <w:ilvl w:val="0"/>
          <w:numId w:val="23"/>
        </w:numPr>
        <w:tabs>
          <w:tab w:val="clear" w:pos="0"/>
        </w:tabs>
        <w:ind w:left="1247" w:firstLine="0"/>
        <w:rPr>
          <w:lang w:val="es-ES"/>
        </w:rPr>
      </w:pPr>
      <w:r w:rsidRPr="002261B9">
        <w:rPr>
          <w:lang w:val="es-ES"/>
        </w:rPr>
        <w:t xml:space="preserve">Las principales rutas de síntesis de sustancias basadas en fluorotelómeros, que incluyen los polímeros fluorados de cadena lateral, así como una sinopsis de las rutas de síntesis de los principales fluoropolímeros </w:t>
      </w:r>
      <w:r w:rsidRPr="002261B9">
        <w:rPr>
          <w:bCs/>
          <w:lang w:val="es-ES"/>
        </w:rPr>
        <w:t xml:space="preserve">se </w:t>
      </w:r>
      <w:r w:rsidRPr="002261B9">
        <w:rPr>
          <w:lang w:val="es-ES"/>
        </w:rPr>
        <w:t>ilustran</w:t>
      </w:r>
      <w:r w:rsidRPr="002261B9">
        <w:rPr>
          <w:bCs/>
          <w:lang w:val="es-ES"/>
        </w:rPr>
        <w:t xml:space="preserve"> en dos cifras de la </w:t>
      </w:r>
      <w:r w:rsidRPr="002261B9">
        <w:rPr>
          <w:lang w:val="es-ES"/>
        </w:rPr>
        <w:t>información</w:t>
      </w:r>
      <w:r w:rsidRPr="002261B9">
        <w:rPr>
          <w:bCs/>
          <w:lang w:val="es-ES"/>
        </w:rPr>
        <w:t xml:space="preserve"> complementaria proporcionada por la Oficina Federal Suiza para el Medio Ambiente (véase la sección I de </w:t>
      </w:r>
      <w:r w:rsidR="004904E9" w:rsidRPr="002261B9">
        <w:rPr>
          <w:bCs/>
          <w:lang w:val="es-ES"/>
        </w:rPr>
        <w:t>FOEN,</w:t>
      </w:r>
      <w:r w:rsidR="007D0A73" w:rsidRPr="002261B9">
        <w:rPr>
          <w:bCs/>
          <w:lang w:val="es-ES"/>
        </w:rPr>
        <w:t xml:space="preserve"> 2</w:t>
      </w:r>
      <w:r w:rsidRPr="002261B9">
        <w:rPr>
          <w:bCs/>
          <w:lang w:val="es-ES"/>
        </w:rPr>
        <w:t>017</w:t>
      </w:r>
      <w:r w:rsidR="00452DB2" w:rsidRPr="002261B9">
        <w:rPr>
          <w:bCs/>
          <w:lang w:val="es-ES"/>
        </w:rPr>
        <w:t>)</w:t>
      </w:r>
      <w:r w:rsidRPr="002261B9">
        <w:rPr>
          <w:lang w:val="es-ES"/>
        </w:rPr>
        <w:t>. Además, en ese documento se resume información específica relativa a la transformación/degradación de fluorotelómeros a PFOA (véase la sección II de</w:t>
      </w:r>
      <w:r w:rsidR="000151B2" w:rsidRPr="002261B9">
        <w:rPr>
          <w:lang w:val="es-ES"/>
        </w:rPr>
        <w:t xml:space="preserve"> la</w:t>
      </w:r>
      <w:r w:rsidRPr="002261B9">
        <w:rPr>
          <w:lang w:val="es-ES"/>
        </w:rPr>
        <w:t xml:space="preserve"> </w:t>
      </w:r>
      <w:r w:rsidR="004904E9" w:rsidRPr="002261B9">
        <w:rPr>
          <w:lang w:val="es-ES"/>
        </w:rPr>
        <w:t>FOEN,</w:t>
      </w:r>
      <w:r w:rsidR="007D0A73" w:rsidRPr="002261B9">
        <w:rPr>
          <w:lang w:val="es-ES"/>
        </w:rPr>
        <w:t xml:space="preserve"> 2</w:t>
      </w:r>
      <w:r w:rsidRPr="002261B9">
        <w:rPr>
          <w:lang w:val="es-ES"/>
        </w:rPr>
        <w:t>017</w:t>
      </w:r>
      <w:r w:rsidR="00452DB2" w:rsidRPr="002261B9">
        <w:rPr>
          <w:lang w:val="es-ES"/>
        </w:rPr>
        <w:t>)</w:t>
      </w:r>
      <w:r w:rsidRPr="002261B9">
        <w:rPr>
          <w:lang w:val="es-ES"/>
        </w:rPr>
        <w:t>.</w:t>
      </w:r>
    </w:p>
    <w:p w14:paraId="19195447" w14:textId="24DA7C8E" w:rsidR="008578D1" w:rsidRPr="002261B9" w:rsidRDefault="008578D1" w:rsidP="00F45508">
      <w:pPr>
        <w:pStyle w:val="Paralevel1"/>
        <w:numPr>
          <w:ilvl w:val="0"/>
          <w:numId w:val="23"/>
        </w:numPr>
        <w:tabs>
          <w:tab w:val="clear" w:pos="0"/>
        </w:tabs>
        <w:ind w:left="1247" w:firstLine="0"/>
        <w:rPr>
          <w:lang w:val="es-ES"/>
        </w:rPr>
      </w:pPr>
      <w:r w:rsidRPr="002261B9">
        <w:rPr>
          <w:lang w:val="es-ES"/>
        </w:rPr>
        <w:t>Son dos los procesos de fabricación para producir el PFOA, sus sales y los compuestos conexos del PFOA: fluoración electroquímica (FEQ) y telomerización. Desde 1947 hasta 2002, el</w:t>
      </w:r>
      <w:r w:rsidR="00A5157B" w:rsidRPr="002261B9">
        <w:rPr>
          <w:lang w:val="es-ES"/>
        </w:rPr>
        <w:t> </w:t>
      </w:r>
      <w:r w:rsidRPr="002261B9">
        <w:rPr>
          <w:lang w:val="es-ES"/>
        </w:rPr>
        <w:t>proceso de fluoración electroquímica se utilizó principalmente para la fabricación de perfluorooctanoato de amonio (APFO; sal de amonio del PFOA) en todo el mundo (80% a 90% en</w:t>
      </w:r>
      <w:r w:rsidR="00A5157B" w:rsidRPr="002261B9">
        <w:rPr>
          <w:lang w:val="es-ES"/>
        </w:rPr>
        <w:t> </w:t>
      </w:r>
      <w:r w:rsidRPr="002261B9">
        <w:rPr>
          <w:lang w:val="es-ES"/>
        </w:rPr>
        <w:t xml:space="preserve">2000) que da por resultado una mezcla de isómeros ramificados y lineales (78% de isómeros lineales y 22% de isómeros ramificados). En el proceso de FEQ, el fluoruro octanoilo se suele utilizar para producir fluoruro perfluorooctanoilo que se hace reaccionar </w:t>
      </w:r>
      <w:r w:rsidR="00614F37" w:rsidRPr="002261B9">
        <w:rPr>
          <w:lang w:val="es-ES"/>
        </w:rPr>
        <w:t>después</w:t>
      </w:r>
      <w:r w:rsidRPr="002261B9">
        <w:rPr>
          <w:lang w:val="es-ES"/>
        </w:rPr>
        <w:t xml:space="preserve"> para producir el PFOA y sus sales (Buck y </w:t>
      </w:r>
      <w:r w:rsidR="004904E9" w:rsidRPr="002261B9">
        <w:rPr>
          <w:lang w:val="es-ES"/>
        </w:rPr>
        <w:t>otros,</w:t>
      </w:r>
      <w:r w:rsidR="007D0A73" w:rsidRPr="002261B9">
        <w:rPr>
          <w:lang w:val="es-ES"/>
        </w:rPr>
        <w:t xml:space="preserve"> 2</w:t>
      </w:r>
      <w:r w:rsidRPr="002261B9">
        <w:rPr>
          <w:lang w:val="es-ES"/>
        </w:rPr>
        <w:t>011</w:t>
      </w:r>
      <w:r w:rsidR="00452DB2" w:rsidRPr="002261B9">
        <w:rPr>
          <w:lang w:val="es-ES"/>
        </w:rPr>
        <w:t>)</w:t>
      </w:r>
      <w:r w:rsidRPr="002261B9">
        <w:rPr>
          <w:lang w:val="es-ES"/>
        </w:rPr>
        <w:t>. Además, algunos fabricantes utilizan el proceso de telomerización para producir PFOA lineal y los compuestos conexos. En el proceso de telomerización, el yoduro perfluoroalquilo inicial (telógeno) reacciona con el tetrafluoroetileno (taxógeno) para producir una mezcla de yoduros perfluoroalquilos con diferentes longitudes de cadena del perfluoroalquilo (telómero A). El telómero A</w:t>
      </w:r>
      <w:r w:rsidR="00851C71" w:rsidRPr="002261B9">
        <w:rPr>
          <w:lang w:val="es-ES"/>
        </w:rPr>
        <w:t>are</w:t>
      </w:r>
      <w:r w:rsidRPr="002261B9">
        <w:rPr>
          <w:lang w:val="es-ES"/>
        </w:rPr>
        <w:t xml:space="preserve"> se hace reaccionar posteriormente para insertar etileno y crear yoduros fluoroteloméricos (telómero B), que se utilizan entonces para fabricar muy diversos productos a base de fluorotelómeros. En otro estudio se da a entender que algunos fabricantes de China todavía utilizan la fluoración electroquímica (Jiang y </w:t>
      </w:r>
      <w:r w:rsidR="004904E9" w:rsidRPr="002261B9">
        <w:rPr>
          <w:lang w:val="es-ES"/>
        </w:rPr>
        <w:t>otros,</w:t>
      </w:r>
      <w:r w:rsidR="007D0A73" w:rsidRPr="002261B9">
        <w:rPr>
          <w:lang w:val="es-ES"/>
        </w:rPr>
        <w:t xml:space="preserve"> 2</w:t>
      </w:r>
      <w:r w:rsidRPr="002261B9">
        <w:rPr>
          <w:lang w:val="es-ES"/>
        </w:rPr>
        <w:t>015</w:t>
      </w:r>
      <w:r w:rsidR="00452DB2" w:rsidRPr="002261B9">
        <w:rPr>
          <w:lang w:val="es-ES"/>
        </w:rPr>
        <w:t>)</w:t>
      </w:r>
      <w:r w:rsidRPr="002261B9">
        <w:rPr>
          <w:lang w:val="es-ES"/>
        </w:rPr>
        <w:t>. Todavía se sigue produciendo PFOA mediante FEQ en todo el mundo, mientras que la mayoría de los fabricantes que utilizan la telomerización han dejado de producir PFOA y c</w:t>
      </w:r>
      <w:r w:rsidR="00ED259B" w:rsidRPr="002261B9">
        <w:rPr>
          <w:lang w:val="es-ES"/>
        </w:rPr>
        <w:t xml:space="preserve">ompuestos conexos (Wang y </w:t>
      </w:r>
      <w:r w:rsidR="004904E9" w:rsidRPr="002261B9">
        <w:rPr>
          <w:lang w:val="es-ES"/>
        </w:rPr>
        <w:t>otros,</w:t>
      </w:r>
      <w:r w:rsidR="007D0A73" w:rsidRPr="002261B9">
        <w:rPr>
          <w:lang w:val="es-ES"/>
        </w:rPr>
        <w:t xml:space="preserve"> 2</w:t>
      </w:r>
      <w:r w:rsidRPr="002261B9">
        <w:rPr>
          <w:lang w:val="es-ES"/>
        </w:rPr>
        <w:t>014a</w:t>
      </w:r>
      <w:r w:rsidR="00452DB2" w:rsidRPr="002261B9">
        <w:rPr>
          <w:lang w:val="es-ES"/>
        </w:rPr>
        <w:t>)</w:t>
      </w:r>
      <w:r w:rsidR="00ED259B" w:rsidRPr="002261B9">
        <w:rPr>
          <w:lang w:val="es-ES"/>
        </w:rPr>
        <w:t>.</w:t>
      </w:r>
    </w:p>
    <w:p w14:paraId="7BC2ED19" w14:textId="7C8BBA70" w:rsidR="00D35A84" w:rsidRPr="002261B9" w:rsidRDefault="0095387A" w:rsidP="00F45508">
      <w:pPr>
        <w:pStyle w:val="Paralevel1"/>
        <w:numPr>
          <w:ilvl w:val="0"/>
          <w:numId w:val="23"/>
        </w:numPr>
        <w:tabs>
          <w:tab w:val="clear" w:pos="0"/>
        </w:tabs>
        <w:ind w:left="1247" w:firstLine="0"/>
        <w:rPr>
          <w:lang w:val="es-ES"/>
        </w:rPr>
      </w:pPr>
      <w:r w:rsidRPr="002261B9">
        <w:rPr>
          <w:lang w:val="es-ES"/>
        </w:rPr>
        <w:t xml:space="preserve">La norma ISO 25101:2009 especifica un método para la determinación de los isómeros lineales de PFOA en muestras no filtradas de agua potable, aguas subterráneas y aguas superficiales (agua dulce y agua de mar), que utiliza la espectrometría de masas en </w:t>
      </w:r>
      <w:r w:rsidR="00614F37" w:rsidRPr="002261B9">
        <w:rPr>
          <w:lang w:val="es-ES"/>
        </w:rPr>
        <w:t>tándem</w:t>
      </w:r>
      <w:r w:rsidRPr="002261B9">
        <w:rPr>
          <w:lang w:val="es-ES"/>
        </w:rPr>
        <w:t xml:space="preserve"> con la cromatografía líquida de alto rendimiento (HPLC MS/MS) El método es aplicable a un rango de concentración de 10 </w:t>
      </w:r>
      <w:r w:rsidR="004904E9" w:rsidRPr="002261B9">
        <w:rPr>
          <w:lang w:val="es-ES"/>
        </w:rPr>
        <w:t>ng</w:t>
      </w:r>
      <w:r w:rsidRPr="002261B9">
        <w:rPr>
          <w:lang w:val="es-ES"/>
        </w:rPr>
        <w:t>/l a 10.000 ng/l para el PFOA. Según la matriz, el método también p</w:t>
      </w:r>
      <w:r w:rsidR="00CC30C6" w:rsidRPr="002261B9">
        <w:rPr>
          <w:lang w:val="es-ES"/>
        </w:rPr>
        <w:t>uede</w:t>
      </w:r>
      <w:r w:rsidRPr="002261B9">
        <w:rPr>
          <w:lang w:val="es-ES"/>
        </w:rPr>
        <w:t xml:space="preserve"> ser aplica</w:t>
      </w:r>
      <w:r w:rsidR="002E5455" w:rsidRPr="002261B9">
        <w:rPr>
          <w:lang w:val="es-ES"/>
        </w:rPr>
        <w:t>ble a concentraciones más altas,</w:t>
      </w:r>
      <w:r w:rsidRPr="002261B9">
        <w:rPr>
          <w:lang w:val="es-ES"/>
        </w:rPr>
        <w:t xml:space="preserve"> que fluctúan entre 100 ng/l y 200.000 ng/l después de la dilución adecuada de la muestra o la reducción del tamaño de la muestra (ISO 2009). Según un resumen de </w:t>
      </w:r>
      <w:r w:rsidR="00614F37" w:rsidRPr="002261B9">
        <w:rPr>
          <w:lang w:val="es-ES"/>
        </w:rPr>
        <w:t>métodos</w:t>
      </w:r>
      <w:r w:rsidRPr="002261B9">
        <w:rPr>
          <w:lang w:val="es-ES"/>
        </w:rPr>
        <w:t xml:space="preserve"> para el PFOA </w:t>
      </w:r>
      <w:r w:rsidR="00E8298B" w:rsidRPr="002261B9">
        <w:rPr>
          <w:lang w:val="es-ES"/>
        </w:rPr>
        <w:t>(</w:t>
      </w:r>
      <w:r w:rsidR="004904E9" w:rsidRPr="002261B9">
        <w:rPr>
          <w:lang w:val="es-ES"/>
        </w:rPr>
        <w:t>ECHA,</w:t>
      </w:r>
      <w:r w:rsidR="007D0A73" w:rsidRPr="002261B9">
        <w:rPr>
          <w:lang w:val="es-ES"/>
        </w:rPr>
        <w:t xml:space="preserve"> 2</w:t>
      </w:r>
      <w:r w:rsidRPr="002261B9">
        <w:rPr>
          <w:lang w:val="es-ES"/>
        </w:rPr>
        <w:t>015a</w:t>
      </w:r>
      <w:r w:rsidR="00452DB2" w:rsidRPr="002261B9">
        <w:rPr>
          <w:lang w:val="es-ES"/>
        </w:rPr>
        <w:t>)</w:t>
      </w:r>
      <w:r w:rsidRPr="002261B9">
        <w:rPr>
          <w:lang w:val="es-ES"/>
        </w:rPr>
        <w:t>, los límites de cuantificación varían de 1 ppb a 2000 ppb</w:t>
      </w:r>
      <w:r w:rsidR="00E8298B" w:rsidRPr="002261B9">
        <w:rPr>
          <w:lang w:val="es-ES"/>
        </w:rPr>
        <w:t>, en función del método</w:t>
      </w:r>
      <w:r w:rsidRPr="002261B9">
        <w:rPr>
          <w:lang w:val="es-ES"/>
        </w:rPr>
        <w:t xml:space="preserve"> (para más detalles, véase </w:t>
      </w:r>
      <w:r w:rsidR="004904E9" w:rsidRPr="002261B9">
        <w:rPr>
          <w:lang w:val="es-ES"/>
        </w:rPr>
        <w:t>ECHA,</w:t>
      </w:r>
      <w:r w:rsidR="007D0A73" w:rsidRPr="002261B9">
        <w:rPr>
          <w:lang w:val="es-ES"/>
        </w:rPr>
        <w:t xml:space="preserve"> 2</w:t>
      </w:r>
      <w:r w:rsidRPr="002261B9">
        <w:rPr>
          <w:lang w:val="es-ES"/>
        </w:rPr>
        <w:t>015a, b, c</w:t>
      </w:r>
      <w:r w:rsidR="00452DB2" w:rsidRPr="002261B9">
        <w:rPr>
          <w:lang w:val="es-ES"/>
        </w:rPr>
        <w:t>)</w:t>
      </w:r>
      <w:r w:rsidRPr="002261B9">
        <w:rPr>
          <w:lang w:val="es-ES"/>
        </w:rPr>
        <w:t>. Las singulares propiedades químicas y físicas del PFOA impiden que se</w:t>
      </w:r>
      <w:r w:rsidR="00E8298B" w:rsidRPr="002261B9">
        <w:rPr>
          <w:lang w:val="es-ES"/>
        </w:rPr>
        <w:t>a</w:t>
      </w:r>
      <w:r w:rsidRPr="002261B9">
        <w:rPr>
          <w:lang w:val="es-ES"/>
        </w:rPr>
        <w:t xml:space="preserve"> m</w:t>
      </w:r>
      <w:r w:rsidR="00E8298B" w:rsidRPr="002261B9">
        <w:rPr>
          <w:lang w:val="es-ES"/>
        </w:rPr>
        <w:t>e</w:t>
      </w:r>
      <w:r w:rsidRPr="002261B9">
        <w:rPr>
          <w:lang w:val="es-ES"/>
        </w:rPr>
        <w:t>d</w:t>
      </w:r>
      <w:r w:rsidR="00E8298B" w:rsidRPr="002261B9">
        <w:rPr>
          <w:lang w:val="es-ES"/>
        </w:rPr>
        <w:t>ido</w:t>
      </w:r>
      <w:r w:rsidRPr="002261B9">
        <w:rPr>
          <w:lang w:val="es-ES"/>
        </w:rPr>
        <w:t xml:space="preserve"> usando el análisis convencional. Las técnicas analíticas más complejas que utilizan la cromatografía líquida y la espectrometría de masa en tándem (LC/MS-MS) han demostrado ser las más fiables para analizar el PFOA en muestras biológicas y ambientales y, por consiguiente, son los métodos analíticos preferentes (Xu y </w:t>
      </w:r>
      <w:r w:rsidR="004904E9" w:rsidRPr="002261B9">
        <w:rPr>
          <w:lang w:val="es-ES"/>
        </w:rPr>
        <w:t>otros,</w:t>
      </w:r>
      <w:r w:rsidR="007D0A73" w:rsidRPr="002261B9">
        <w:rPr>
          <w:lang w:val="es-ES"/>
        </w:rPr>
        <w:t xml:space="preserve"> 2</w:t>
      </w:r>
      <w:r w:rsidRPr="002261B9">
        <w:rPr>
          <w:lang w:val="es-ES"/>
        </w:rPr>
        <w:t>013</w:t>
      </w:r>
      <w:r w:rsidR="006F712F" w:rsidRPr="002261B9">
        <w:rPr>
          <w:lang w:val="es-ES"/>
        </w:rPr>
        <w:t>)</w:t>
      </w:r>
      <w:r w:rsidRPr="002261B9">
        <w:rPr>
          <w:lang w:val="es-ES"/>
        </w:rPr>
        <w:t>; EFSA</w:t>
      </w:r>
      <w:r w:rsidR="004904E9" w:rsidRPr="002261B9">
        <w:rPr>
          <w:lang w:val="es-ES"/>
        </w:rPr>
        <w:t>,</w:t>
      </w:r>
      <w:r w:rsidR="007D0A73" w:rsidRPr="002261B9">
        <w:rPr>
          <w:lang w:val="es-ES"/>
        </w:rPr>
        <w:t xml:space="preserve"> 2</w:t>
      </w:r>
      <w:r w:rsidRPr="002261B9">
        <w:rPr>
          <w:lang w:val="es-ES"/>
        </w:rPr>
        <w:t>008</w:t>
      </w:r>
      <w:r w:rsidR="006F712F" w:rsidRPr="002261B9">
        <w:rPr>
          <w:lang w:val="es-ES"/>
        </w:rPr>
        <w:t>)</w:t>
      </w:r>
      <w:r w:rsidRPr="002261B9">
        <w:rPr>
          <w:lang w:val="es-ES"/>
        </w:rPr>
        <w:t>; Loos y otros</w:t>
      </w:r>
      <w:r w:rsidR="004904E9" w:rsidRPr="002261B9">
        <w:rPr>
          <w:lang w:val="es-ES"/>
        </w:rPr>
        <w:t>,</w:t>
      </w:r>
      <w:r w:rsidR="007D0A73" w:rsidRPr="002261B9">
        <w:rPr>
          <w:lang w:val="es-ES"/>
        </w:rPr>
        <w:t xml:space="preserve"> 2</w:t>
      </w:r>
      <w:r w:rsidRPr="002261B9">
        <w:rPr>
          <w:lang w:val="es-ES"/>
        </w:rPr>
        <w:t>007</w:t>
      </w:r>
      <w:r w:rsidR="00452DB2" w:rsidRPr="002261B9">
        <w:rPr>
          <w:lang w:val="es-ES"/>
        </w:rPr>
        <w:t>)</w:t>
      </w:r>
      <w:r w:rsidRPr="002261B9">
        <w:rPr>
          <w:lang w:val="es-ES"/>
        </w:rPr>
        <w:t>. Este tipo de análisis ha p</w:t>
      </w:r>
      <w:r w:rsidR="00294302" w:rsidRPr="002261B9">
        <w:rPr>
          <w:lang w:val="es-ES"/>
        </w:rPr>
        <w:t xml:space="preserve">ermitido la determinación sensible de </w:t>
      </w:r>
      <w:r w:rsidRPr="002261B9">
        <w:rPr>
          <w:lang w:val="es-ES"/>
        </w:rPr>
        <w:t>muchos de los PFAS, entre ellos el PFOA, en el aire, el agua y el suelo (ATSDR</w:t>
      </w:r>
      <w:r w:rsidR="004904E9" w:rsidRPr="002261B9">
        <w:rPr>
          <w:lang w:val="es-ES"/>
        </w:rPr>
        <w:t>,</w:t>
      </w:r>
      <w:r w:rsidR="007D0A73" w:rsidRPr="002261B9">
        <w:rPr>
          <w:lang w:val="es-ES"/>
        </w:rPr>
        <w:t xml:space="preserve"> 2</w:t>
      </w:r>
      <w:r w:rsidRPr="002261B9">
        <w:rPr>
          <w:lang w:val="es-ES"/>
        </w:rPr>
        <w:t>015</w:t>
      </w:r>
      <w:r w:rsidR="00452DB2" w:rsidRPr="002261B9">
        <w:rPr>
          <w:lang w:val="es-ES"/>
        </w:rPr>
        <w:t>)</w:t>
      </w:r>
      <w:r w:rsidRPr="002261B9">
        <w:rPr>
          <w:lang w:val="es-ES"/>
        </w:rPr>
        <w:t>.</w:t>
      </w:r>
    </w:p>
    <w:p w14:paraId="000ED8F7" w14:textId="72973C82" w:rsidR="00C151FB" w:rsidRPr="002261B9" w:rsidRDefault="00540128" w:rsidP="00630BB2">
      <w:pPr>
        <w:pStyle w:val="StyleHeading2u2h2ABC2ChptTimesNewRomanLinespaci"/>
        <w:tabs>
          <w:tab w:val="clear" w:pos="1247"/>
          <w:tab w:val="clear" w:pos="1440"/>
        </w:tabs>
        <w:ind w:left="1248" w:hanging="624"/>
        <w:rPr>
          <w:sz w:val="22"/>
          <w:szCs w:val="22"/>
          <w:lang w:val="es-ES"/>
        </w:rPr>
      </w:pPr>
      <w:bookmarkStart w:id="10" w:name="_Toc501099192"/>
      <w:r w:rsidRPr="002261B9">
        <w:rPr>
          <w:sz w:val="22"/>
          <w:szCs w:val="22"/>
          <w:lang w:val="es-ES"/>
        </w:rPr>
        <w:t>1.2</w:t>
      </w:r>
      <w:r w:rsidRPr="002261B9">
        <w:rPr>
          <w:sz w:val="22"/>
          <w:szCs w:val="22"/>
          <w:lang w:val="es-ES"/>
        </w:rPr>
        <w:tab/>
      </w:r>
      <w:r w:rsidR="00C151FB" w:rsidRPr="002261B9">
        <w:rPr>
          <w:sz w:val="22"/>
          <w:szCs w:val="22"/>
          <w:lang w:val="es-ES"/>
        </w:rPr>
        <w:t>Conclusiones del Comité de Examen de los Contaminantes Orgánicos Persistentes en relación con la información solicitada en el anexo E</w:t>
      </w:r>
      <w:bookmarkEnd w:id="10"/>
    </w:p>
    <w:p w14:paraId="54A61907" w14:textId="75F941D0" w:rsidR="00813250" w:rsidRPr="002261B9" w:rsidRDefault="0005200D" w:rsidP="00F45508">
      <w:pPr>
        <w:pStyle w:val="Paralevel1"/>
        <w:numPr>
          <w:ilvl w:val="0"/>
          <w:numId w:val="23"/>
        </w:numPr>
        <w:tabs>
          <w:tab w:val="clear" w:pos="0"/>
        </w:tabs>
        <w:ind w:left="1247" w:firstLine="0"/>
        <w:rPr>
          <w:lang w:val="es-ES"/>
        </w:rPr>
      </w:pPr>
      <w:r w:rsidRPr="002261B9">
        <w:rPr>
          <w:lang w:val="es-ES"/>
        </w:rPr>
        <w:t>En su 11ª reunión (decisión POPRC -11/4), el Comité llegó a la conclusión de que la propuesta de la U</w:t>
      </w:r>
      <w:r w:rsidR="00851C71" w:rsidRPr="002261B9">
        <w:rPr>
          <w:lang w:val="es-ES"/>
        </w:rPr>
        <w:t>E</w:t>
      </w:r>
      <w:r w:rsidRPr="002261B9">
        <w:rPr>
          <w:lang w:val="es-ES"/>
        </w:rPr>
        <w:t xml:space="preserve"> de incluir el ácido pentadecafluorooctanoico (núm. de CAS: 335-67-1, PFOA, ácido perfluorooctanoico), sus sales y </w:t>
      </w:r>
      <w:r w:rsidR="00294302" w:rsidRPr="002261B9">
        <w:rPr>
          <w:lang w:val="es-ES"/>
        </w:rPr>
        <w:t>l</w:t>
      </w:r>
      <w:r w:rsidRPr="002261B9">
        <w:rPr>
          <w:lang w:val="es-ES"/>
        </w:rPr>
        <w:t>os compuestos conexos del PFOA cumplía los criterios establecidos en el anexo D del Convenio (UNEP/POPS/POPRC.12/11).</w:t>
      </w:r>
    </w:p>
    <w:p w14:paraId="031AFC36" w14:textId="1E824518" w:rsidR="002E5DE0" w:rsidRPr="002261B9" w:rsidRDefault="00954E8A" w:rsidP="00F45508">
      <w:pPr>
        <w:pStyle w:val="Paralevel1"/>
        <w:numPr>
          <w:ilvl w:val="0"/>
          <w:numId w:val="23"/>
        </w:numPr>
        <w:tabs>
          <w:tab w:val="clear" w:pos="0"/>
        </w:tabs>
        <w:ind w:left="1247" w:firstLine="0"/>
        <w:rPr>
          <w:lang w:val="es-ES"/>
        </w:rPr>
      </w:pPr>
      <w:r w:rsidRPr="002261B9">
        <w:rPr>
          <w:lang w:val="es-ES"/>
        </w:rPr>
        <w:t xml:space="preserve">Sobre la base del proyecto de perfil de riesgo del ácido pentadecafluorooctanoico (núm. de CAS: 335-67-1, PFOA, ácido perfluorooctanoico), sus sales y compuestos conexos del PFOA de conformidad con el párrafo 6 del artículo 8 del Convenio (UNEP/POPS/POPRC.12/11), el Comité aprobó el perfil de riesgo del ácido pentadecafluorooctanoico (núm. de CAS: 335-67-1, PFOA, ácido </w:t>
      </w:r>
      <w:r w:rsidRPr="002261B9">
        <w:rPr>
          <w:lang w:val="es-ES"/>
        </w:rPr>
        <w:lastRenderedPageBreak/>
        <w:t>perfluorooctanoico), sus sales y los compuestos conexos del PFOA (UNEP/POPS/POPRC.12/11/Add.2.) y:</w:t>
      </w:r>
    </w:p>
    <w:p w14:paraId="3D4A5C7D" w14:textId="77777777" w:rsidR="002E5DE0" w:rsidRPr="002261B9" w:rsidRDefault="00CB3CEE" w:rsidP="00CF5271">
      <w:pPr>
        <w:pStyle w:val="Style3"/>
        <w:spacing w:after="120"/>
        <w:ind w:left="1247" w:firstLine="624"/>
        <w:rPr>
          <w:sz w:val="20"/>
          <w:szCs w:val="20"/>
        </w:rPr>
      </w:pPr>
      <w:r w:rsidRPr="002261B9">
        <w:t>a)</w:t>
      </w:r>
      <w:r w:rsidRPr="002261B9">
        <w:tab/>
      </w:r>
      <w:r w:rsidR="002775F4" w:rsidRPr="002261B9">
        <w:rPr>
          <w:sz w:val="20"/>
          <w:szCs w:val="20"/>
        </w:rPr>
        <w:t xml:space="preserve">Decidió, de conformidad con el párrafo 7 a) del artículo 8 del Convenio, que era probable que el ácido pentadecafluorooctanoico (núm. de CAS: 335-67-1, PFOA, ácido perfluorooctanoico), sus sales y compuestos conexos del PFOA, </w:t>
      </w:r>
      <w:r w:rsidR="002775F4" w:rsidRPr="002261B9">
        <w:rPr>
          <w:bCs/>
          <w:sz w:val="20"/>
          <w:szCs w:val="20"/>
        </w:rPr>
        <w:t xml:space="preserve">como resultado de su transporte a larga distancia en el medio ambiente, tuvieran efectos adversos importantes </w:t>
      </w:r>
      <w:r w:rsidR="00E8298B" w:rsidRPr="002261B9">
        <w:rPr>
          <w:bCs/>
          <w:sz w:val="20"/>
          <w:szCs w:val="20"/>
        </w:rPr>
        <w:t xml:space="preserve">sobre </w:t>
      </w:r>
      <w:r w:rsidR="002775F4" w:rsidRPr="002261B9">
        <w:rPr>
          <w:bCs/>
          <w:sz w:val="20"/>
          <w:szCs w:val="20"/>
        </w:rPr>
        <w:t>la salud humana y el medio ambiente que justificara</w:t>
      </w:r>
      <w:r w:rsidRPr="002261B9">
        <w:rPr>
          <w:bCs/>
          <w:sz w:val="20"/>
          <w:szCs w:val="20"/>
        </w:rPr>
        <w:t>n</w:t>
      </w:r>
      <w:r w:rsidR="002775F4" w:rsidRPr="002261B9">
        <w:rPr>
          <w:bCs/>
          <w:sz w:val="20"/>
          <w:szCs w:val="20"/>
        </w:rPr>
        <w:t xml:space="preserve"> la adopción de medidas a nivel mundial;</w:t>
      </w:r>
    </w:p>
    <w:p w14:paraId="68CAFC14" w14:textId="77777777" w:rsidR="002775F4" w:rsidRPr="002261B9" w:rsidRDefault="00CB3CEE" w:rsidP="00CF5271">
      <w:pPr>
        <w:pStyle w:val="Style3"/>
        <w:spacing w:after="120"/>
        <w:ind w:left="1247" w:firstLine="624"/>
        <w:rPr>
          <w:sz w:val="20"/>
          <w:szCs w:val="20"/>
        </w:rPr>
      </w:pPr>
      <w:r w:rsidRPr="002261B9">
        <w:rPr>
          <w:sz w:val="20"/>
          <w:szCs w:val="20"/>
        </w:rPr>
        <w:t>b)</w:t>
      </w:r>
      <w:r w:rsidRPr="002261B9">
        <w:rPr>
          <w:sz w:val="20"/>
          <w:szCs w:val="20"/>
        </w:rPr>
        <w:tab/>
      </w:r>
      <w:r w:rsidR="002775F4" w:rsidRPr="002261B9">
        <w:rPr>
          <w:sz w:val="20"/>
          <w:szCs w:val="20"/>
        </w:rPr>
        <w:t>Decidió también, de conformidad con el párrafo 7 a) del artículo 8 del Convenio y el párrafo 29 del anexo de la decisión SC-1/7 de la Conferencia de las Partes, establecer un grupo de trabajo entre reuniones encargado de preparar una evaluación de la gestión de los riesgos, que incluyera un análisis de las posibles medidas de control aplicables al ácido pentadecafluorooctanoico (núm. de CAS: 335-67-1, PFOA, ácido perfluorooctanoico), sus sales y compuestos conexos del PFOA, de conformidad con el anexo F del Convenio;</w:t>
      </w:r>
    </w:p>
    <w:p w14:paraId="4E3585D9" w14:textId="6D66E953" w:rsidR="002775F4" w:rsidRPr="002261B9" w:rsidRDefault="00CB3CEE" w:rsidP="00CF5271">
      <w:pPr>
        <w:pStyle w:val="Style3"/>
        <w:spacing w:after="120"/>
        <w:ind w:left="1247" w:firstLine="624"/>
        <w:rPr>
          <w:sz w:val="20"/>
          <w:szCs w:val="20"/>
        </w:rPr>
      </w:pPr>
      <w:r w:rsidRPr="002261B9">
        <w:rPr>
          <w:sz w:val="20"/>
          <w:szCs w:val="20"/>
        </w:rPr>
        <w:t>c)</w:t>
      </w:r>
      <w:r w:rsidRPr="002261B9">
        <w:rPr>
          <w:sz w:val="20"/>
          <w:szCs w:val="20"/>
        </w:rPr>
        <w:tab/>
      </w:r>
      <w:r w:rsidR="002775F4" w:rsidRPr="002261B9">
        <w:rPr>
          <w:sz w:val="20"/>
          <w:szCs w:val="20"/>
        </w:rPr>
        <w:t>Invitó a las Partes y a los observadores, de conformidad con el párrafo 7 a) del artículo</w:t>
      </w:r>
      <w:r w:rsidR="00630BB2" w:rsidRPr="002261B9">
        <w:rPr>
          <w:sz w:val="20"/>
          <w:szCs w:val="20"/>
        </w:rPr>
        <w:t> </w:t>
      </w:r>
      <w:r w:rsidR="002775F4" w:rsidRPr="002261B9">
        <w:rPr>
          <w:sz w:val="20"/>
          <w:szCs w:val="20"/>
        </w:rPr>
        <w:t>8 del Convenio, a que antes del 9 de diciembre de 2016 presentaran a la Secretaría la información especificada en el anexo F.</w:t>
      </w:r>
    </w:p>
    <w:p w14:paraId="765CB5F6" w14:textId="1F5A54CA" w:rsidR="00C151FB" w:rsidRPr="002261B9" w:rsidRDefault="00540128" w:rsidP="00630BB2">
      <w:pPr>
        <w:pStyle w:val="StyleHeading2u2h2ABC2ChptTimesNewRomanLinespaci"/>
        <w:tabs>
          <w:tab w:val="num" w:pos="756"/>
        </w:tabs>
        <w:ind w:left="1248" w:hanging="624"/>
        <w:rPr>
          <w:sz w:val="22"/>
          <w:szCs w:val="22"/>
          <w:lang w:val="es-ES"/>
        </w:rPr>
      </w:pPr>
      <w:bookmarkStart w:id="11" w:name="_Toc501099193"/>
      <w:r w:rsidRPr="002261B9">
        <w:rPr>
          <w:sz w:val="22"/>
          <w:szCs w:val="22"/>
          <w:lang w:val="es-ES"/>
        </w:rPr>
        <w:t>1.3</w:t>
      </w:r>
      <w:r w:rsidRPr="002261B9">
        <w:rPr>
          <w:sz w:val="22"/>
          <w:szCs w:val="22"/>
          <w:lang w:val="es-ES"/>
        </w:rPr>
        <w:tab/>
      </w:r>
      <w:r w:rsidR="00C151FB" w:rsidRPr="002261B9">
        <w:rPr>
          <w:sz w:val="22"/>
          <w:szCs w:val="22"/>
          <w:lang w:val="es-ES"/>
        </w:rPr>
        <w:t>Fuentes de datos</w:t>
      </w:r>
      <w:bookmarkEnd w:id="11"/>
    </w:p>
    <w:p w14:paraId="5DBDA04B" w14:textId="40342435" w:rsidR="00C151FB" w:rsidRPr="002261B9" w:rsidRDefault="00C151FB" w:rsidP="00F45508">
      <w:pPr>
        <w:pStyle w:val="StyleHeading3h3123SecTimesNewRomanBold"/>
        <w:numPr>
          <w:ilvl w:val="2"/>
          <w:numId w:val="18"/>
        </w:numPr>
        <w:autoSpaceDE w:val="0"/>
        <w:autoSpaceDN w:val="0"/>
        <w:adjustRightInd w:val="0"/>
        <w:ind w:left="1248" w:hanging="624"/>
        <w:rPr>
          <w:rFonts w:eastAsia="Times New Roman"/>
          <w:bCs w:val="0"/>
          <w:iCs w:val="0"/>
          <w:szCs w:val="20"/>
          <w:lang w:val="es-ES" w:eastAsia="en-US"/>
        </w:rPr>
      </w:pPr>
      <w:bookmarkStart w:id="12" w:name="_Toc501099194"/>
      <w:r w:rsidRPr="002261B9">
        <w:rPr>
          <w:rFonts w:eastAsia="Times New Roman"/>
          <w:bCs w:val="0"/>
          <w:iCs w:val="0"/>
          <w:szCs w:val="20"/>
          <w:lang w:val="es-ES" w:eastAsia="en-US"/>
        </w:rPr>
        <w:t>Sinopsis de los datos presentados por las Partes y los observadores</w:t>
      </w:r>
      <w:bookmarkEnd w:id="12"/>
    </w:p>
    <w:p w14:paraId="717153B1" w14:textId="77777777" w:rsidR="00540128" w:rsidRPr="002261B9" w:rsidRDefault="007162E0" w:rsidP="00F45508">
      <w:pPr>
        <w:pStyle w:val="Paralevel1"/>
        <w:numPr>
          <w:ilvl w:val="0"/>
          <w:numId w:val="23"/>
        </w:numPr>
        <w:tabs>
          <w:tab w:val="clear" w:pos="0"/>
        </w:tabs>
        <w:ind w:left="1247" w:firstLine="0"/>
        <w:rPr>
          <w:lang w:val="es-ES"/>
        </w:rPr>
      </w:pPr>
      <w:r w:rsidRPr="002261B9">
        <w:rPr>
          <w:lang w:val="es-ES"/>
        </w:rPr>
        <w:t>Esta evaluación de la gestión de los riesgos se basa primordialmente en la información que ha sido proporcionada por las Partes en el Convenio y por observadores. La información especificada en los formularios del anexo F fue presentada por las Partes que se mencionan a continuación:</w:t>
      </w:r>
    </w:p>
    <w:p w14:paraId="7F0F1ABB" w14:textId="5DD2717B" w:rsidR="000D3C58" w:rsidRPr="002261B9" w:rsidRDefault="00630BB2" w:rsidP="00CF5271">
      <w:pPr>
        <w:pStyle w:val="Paralevel2"/>
        <w:widowControl/>
        <w:autoSpaceDE/>
        <w:autoSpaceDN/>
        <w:adjustRightInd/>
        <w:ind w:left="1247" w:right="0" w:firstLine="624"/>
      </w:pPr>
      <w:r w:rsidRPr="002261B9">
        <w:t>a)</w:t>
      </w:r>
      <w:r w:rsidRPr="002261B9">
        <w:tab/>
      </w:r>
      <w:r w:rsidR="00B040C0" w:rsidRPr="002261B9">
        <w:t xml:space="preserve">Partes: Australia, Austria, Azerbaiyán, </w:t>
      </w:r>
      <w:r w:rsidR="0067557B" w:rsidRPr="002261B9">
        <w:t xml:space="preserve">el </w:t>
      </w:r>
      <w:r w:rsidR="00B040C0" w:rsidRPr="002261B9">
        <w:t>Canadá, China, Colombia, Dinamarca,</w:t>
      </w:r>
      <w:r w:rsidR="0067557B" w:rsidRPr="002261B9">
        <w:t xml:space="preserve"> la</w:t>
      </w:r>
      <w:r w:rsidR="00B040C0" w:rsidRPr="002261B9">
        <w:t xml:space="preserve"> India, </w:t>
      </w:r>
      <w:r w:rsidR="0067557B" w:rsidRPr="002261B9">
        <w:t xml:space="preserve">el </w:t>
      </w:r>
      <w:r w:rsidR="00B040C0" w:rsidRPr="002261B9">
        <w:t>Japón, Mauricio, Mónaco, Noruega, Serbia;</w:t>
      </w:r>
    </w:p>
    <w:p w14:paraId="01816CE7" w14:textId="7DE55750" w:rsidR="008316DE" w:rsidRPr="002261B9" w:rsidRDefault="00630BB2" w:rsidP="00CF5271">
      <w:pPr>
        <w:pStyle w:val="Paralevel2"/>
        <w:widowControl/>
        <w:autoSpaceDE/>
        <w:autoSpaceDN/>
        <w:adjustRightInd/>
        <w:ind w:left="1247" w:right="0" w:firstLine="624"/>
      </w:pPr>
      <w:r w:rsidRPr="002261B9">
        <w:t>b)</w:t>
      </w:r>
      <w:r w:rsidRPr="002261B9">
        <w:tab/>
      </w:r>
      <w:r w:rsidR="008316DE" w:rsidRPr="002261B9">
        <w:t xml:space="preserve">Observadores: Asociación de Textiles y Prendas de Vestir de Baviera (VTB) en colaboración con la Asociación Sudoccidental de Textiles (SWT), Confederación Europea de Prendas de Vestir y Textiles (Euratex), Global Industry Council for Fluoro Technology (FluoroCouncil), Confederación de la Industria Textil y de la Moda de Alemania, Asociación de </w:t>
      </w:r>
      <w:r w:rsidR="0053577E" w:rsidRPr="002261B9">
        <w:t>Creación de I</w:t>
      </w:r>
      <w:r w:rsidR="008316DE" w:rsidRPr="002261B9">
        <w:t xml:space="preserve">mágenes e </w:t>
      </w:r>
      <w:r w:rsidR="0053577E" w:rsidRPr="002261B9">
        <w:t>I</w:t>
      </w:r>
      <w:r w:rsidR="008316DE" w:rsidRPr="002261B9">
        <w:t>mpresión (</w:t>
      </w:r>
      <w:r w:rsidR="00422DDC" w:rsidRPr="002261B9">
        <w:t>I&amp;P Europe</w:t>
      </w:r>
      <w:r w:rsidR="008316DE" w:rsidRPr="002261B9">
        <w:t>), Red Internacional de Eliminación de COP</w:t>
      </w:r>
      <w:r w:rsidR="004904E9" w:rsidRPr="002261B9">
        <w:t>,</w:t>
      </w:r>
      <w:r w:rsidR="008316DE" w:rsidRPr="002261B9">
        <w:t xml:space="preserve"> Asociación de la Industria de Semiconductores (SIA).</w:t>
      </w:r>
    </w:p>
    <w:p w14:paraId="5D3B7BDC" w14:textId="493937C3" w:rsidR="00C151FB" w:rsidRPr="002261B9" w:rsidRDefault="00540128" w:rsidP="00CF5271">
      <w:pPr>
        <w:pStyle w:val="StyleHeading3h3123SecTimesNewRomanBold"/>
        <w:autoSpaceDE w:val="0"/>
        <w:autoSpaceDN w:val="0"/>
        <w:adjustRightInd w:val="0"/>
        <w:ind w:left="1248" w:hanging="624"/>
        <w:rPr>
          <w:rFonts w:eastAsia="Times New Roman"/>
          <w:bCs w:val="0"/>
          <w:iCs w:val="0"/>
          <w:szCs w:val="20"/>
          <w:lang w:eastAsia="en-US"/>
        </w:rPr>
      </w:pPr>
      <w:bookmarkStart w:id="13" w:name="_Toc501099195"/>
      <w:r w:rsidRPr="002261B9">
        <w:rPr>
          <w:rFonts w:eastAsia="Times New Roman"/>
          <w:bCs w:val="0"/>
          <w:iCs w:val="0"/>
          <w:szCs w:val="20"/>
          <w:lang w:eastAsia="en-US"/>
        </w:rPr>
        <w:t>1.3.2</w:t>
      </w:r>
      <w:r w:rsidRPr="002261B9">
        <w:rPr>
          <w:rFonts w:eastAsia="Times New Roman"/>
          <w:bCs w:val="0"/>
          <w:iCs w:val="0"/>
          <w:szCs w:val="20"/>
          <w:lang w:eastAsia="en-US"/>
        </w:rPr>
        <w:tab/>
      </w:r>
      <w:r w:rsidR="00ED73BE" w:rsidRPr="002261B9">
        <w:rPr>
          <w:rFonts w:eastAsia="Times New Roman"/>
          <w:bCs w:val="0"/>
          <w:iCs w:val="0"/>
          <w:szCs w:val="20"/>
          <w:lang w:eastAsia="en-US"/>
        </w:rPr>
        <w:t>Otras fuentes de datos fundamentales</w:t>
      </w:r>
      <w:bookmarkEnd w:id="13"/>
    </w:p>
    <w:p w14:paraId="4E0B8BA0" w14:textId="769FE0A7" w:rsidR="00ED73BE" w:rsidRPr="002261B9" w:rsidRDefault="00ED73BE" w:rsidP="00F45508">
      <w:pPr>
        <w:pStyle w:val="Paralevel1"/>
        <w:numPr>
          <w:ilvl w:val="0"/>
          <w:numId w:val="23"/>
        </w:numPr>
        <w:tabs>
          <w:tab w:val="clear" w:pos="0"/>
        </w:tabs>
        <w:ind w:left="1247" w:firstLine="0"/>
        <w:rPr>
          <w:lang w:val="es-ES"/>
        </w:rPr>
      </w:pPr>
      <w:r w:rsidRPr="002261B9">
        <w:rPr>
          <w:lang w:val="es-ES"/>
        </w:rPr>
        <w:t>Además de las referencias mencionadas y las observaciones recibidas de las Partes y los observadores</w:t>
      </w:r>
      <w:r w:rsidR="002701C1" w:rsidRPr="002261B9">
        <w:rPr>
          <w:rStyle w:val="FootnoteReference"/>
          <w:lang w:val="es-ES"/>
        </w:rPr>
        <w:footnoteReference w:id="6"/>
      </w:r>
      <w:r w:rsidRPr="002261B9">
        <w:rPr>
          <w:lang w:val="es-ES"/>
        </w:rPr>
        <w:t xml:space="preserve">, se ha utilizado información de fuentes de información </w:t>
      </w:r>
      <w:r w:rsidR="00E8298B" w:rsidRPr="002261B9">
        <w:rPr>
          <w:lang w:val="es-ES"/>
        </w:rPr>
        <w:t>públicas</w:t>
      </w:r>
      <w:r w:rsidRPr="002261B9">
        <w:rPr>
          <w:lang w:val="es-ES"/>
        </w:rPr>
        <w:t>, así como publicaciones científicas (véase la lista de referencias)</w:t>
      </w:r>
      <w:r w:rsidR="002701C1" w:rsidRPr="002261B9">
        <w:rPr>
          <w:lang w:val="es-ES"/>
        </w:rPr>
        <w:t>.</w:t>
      </w:r>
      <w:r w:rsidRPr="002261B9">
        <w:rPr>
          <w:lang w:val="es-ES"/>
        </w:rPr>
        <w:t xml:space="preserve"> Se utilizaron las siguientes referencias fundamentales como base para elaborar el presente documento:</w:t>
      </w:r>
    </w:p>
    <w:p w14:paraId="4C9989B3" w14:textId="77777777" w:rsidR="00F443BD" w:rsidRPr="002261B9" w:rsidRDefault="00ED73BE" w:rsidP="00F45508">
      <w:pPr>
        <w:pStyle w:val="ListParagraph"/>
        <w:widowControl w:val="0"/>
        <w:numPr>
          <w:ilvl w:val="0"/>
          <w:numId w:val="20"/>
        </w:numPr>
        <w:tabs>
          <w:tab w:val="left" w:pos="624"/>
        </w:tabs>
        <w:snapToGrid w:val="0"/>
        <w:spacing w:after="120"/>
        <w:ind w:left="1247" w:firstLine="624"/>
        <w:contextualSpacing w:val="0"/>
        <w:rPr>
          <w:sz w:val="20"/>
          <w:szCs w:val="20"/>
          <w:lang w:val="es-ES"/>
        </w:rPr>
      </w:pPr>
      <w:r w:rsidRPr="002261B9">
        <w:rPr>
          <w:sz w:val="20"/>
          <w:szCs w:val="20"/>
          <w:lang w:val="es-ES"/>
        </w:rPr>
        <w:t>El perfil de riesgo sobre el PFOA, sus sales y los compuestos relacionados con el PFOA (UNEP/POPS/POPRC.12/11/Add.2);</w:t>
      </w:r>
    </w:p>
    <w:p w14:paraId="5F1496A8" w14:textId="77777777" w:rsidR="00F443BD" w:rsidRPr="002261B9" w:rsidRDefault="000151B2" w:rsidP="00F45508">
      <w:pPr>
        <w:pStyle w:val="ListParagraph"/>
        <w:widowControl w:val="0"/>
        <w:numPr>
          <w:ilvl w:val="0"/>
          <w:numId w:val="20"/>
        </w:numPr>
        <w:tabs>
          <w:tab w:val="left" w:pos="624"/>
        </w:tabs>
        <w:snapToGrid w:val="0"/>
        <w:spacing w:after="120"/>
        <w:ind w:left="1247" w:firstLine="624"/>
        <w:contextualSpacing w:val="0"/>
        <w:rPr>
          <w:sz w:val="20"/>
          <w:szCs w:val="20"/>
          <w:lang w:val="es-ES"/>
        </w:rPr>
      </w:pPr>
      <w:r w:rsidRPr="002261B9">
        <w:rPr>
          <w:sz w:val="20"/>
          <w:szCs w:val="20"/>
          <w:lang w:val="es-ES"/>
        </w:rPr>
        <w:t xml:space="preserve">La declaración sobre los análisis del </w:t>
      </w:r>
      <w:r w:rsidR="00EB2E2E" w:rsidRPr="002261B9">
        <w:rPr>
          <w:sz w:val="20"/>
          <w:szCs w:val="20"/>
          <w:lang w:val="es-ES"/>
        </w:rPr>
        <w:t>impacto regulatorio relacionada con el enfoque canadiense de la gestión de los riesgos</w:t>
      </w:r>
      <w:r w:rsidR="00B27262" w:rsidRPr="002261B9">
        <w:rPr>
          <w:sz w:val="20"/>
          <w:szCs w:val="20"/>
          <w:lang w:val="es-ES"/>
        </w:rPr>
        <w:t xml:space="preserve"> (Canadá</w:t>
      </w:r>
      <w:r w:rsidR="004904E9" w:rsidRPr="002261B9">
        <w:rPr>
          <w:sz w:val="20"/>
          <w:szCs w:val="20"/>
          <w:lang w:val="es-ES"/>
        </w:rPr>
        <w:t>,</w:t>
      </w:r>
      <w:r w:rsidR="007D0A73" w:rsidRPr="002261B9">
        <w:rPr>
          <w:sz w:val="20"/>
          <w:szCs w:val="20"/>
          <w:lang w:val="es-ES"/>
        </w:rPr>
        <w:t xml:space="preserve"> 2</w:t>
      </w:r>
      <w:r w:rsidR="00B27262" w:rsidRPr="002261B9">
        <w:rPr>
          <w:sz w:val="20"/>
          <w:szCs w:val="20"/>
          <w:lang w:val="es-ES"/>
        </w:rPr>
        <w:t>016c</w:t>
      </w:r>
      <w:r w:rsidR="00452DB2" w:rsidRPr="002261B9">
        <w:rPr>
          <w:sz w:val="20"/>
          <w:szCs w:val="20"/>
          <w:lang w:val="es-ES"/>
        </w:rPr>
        <w:t>)</w:t>
      </w:r>
      <w:r w:rsidR="00B27262" w:rsidRPr="002261B9">
        <w:rPr>
          <w:sz w:val="20"/>
          <w:szCs w:val="20"/>
          <w:lang w:val="es-ES"/>
        </w:rPr>
        <w:t>;</w:t>
      </w:r>
    </w:p>
    <w:p w14:paraId="6406CE14" w14:textId="5F5F1E27" w:rsidR="00ED73BE" w:rsidRPr="002261B9" w:rsidRDefault="00ED73BE" w:rsidP="00F45508">
      <w:pPr>
        <w:pStyle w:val="ListParagraph"/>
        <w:widowControl w:val="0"/>
        <w:numPr>
          <w:ilvl w:val="0"/>
          <w:numId w:val="20"/>
        </w:numPr>
        <w:tabs>
          <w:tab w:val="left" w:pos="624"/>
        </w:tabs>
        <w:snapToGrid w:val="0"/>
        <w:spacing w:after="120"/>
        <w:ind w:left="1247" w:firstLine="624"/>
        <w:contextualSpacing w:val="0"/>
        <w:rPr>
          <w:sz w:val="20"/>
          <w:szCs w:val="20"/>
          <w:lang w:val="es-ES"/>
        </w:rPr>
      </w:pPr>
      <w:r w:rsidRPr="002261B9">
        <w:rPr>
          <w:sz w:val="20"/>
          <w:szCs w:val="20"/>
          <w:lang w:val="es-ES"/>
        </w:rPr>
        <w:t>El informe sobre la propuesta de la UE relativa a una restricción del PFOA, sus sales y las sustancias relacionadas con el PFOA (ECHA</w:t>
      </w:r>
      <w:r w:rsidR="004904E9" w:rsidRPr="002261B9">
        <w:rPr>
          <w:sz w:val="20"/>
          <w:szCs w:val="20"/>
          <w:lang w:val="es-ES"/>
        </w:rPr>
        <w:t>,</w:t>
      </w:r>
      <w:r w:rsidR="007D0A73" w:rsidRPr="002261B9">
        <w:rPr>
          <w:sz w:val="20"/>
          <w:szCs w:val="20"/>
          <w:lang w:val="es-ES"/>
        </w:rPr>
        <w:t xml:space="preserve"> 2</w:t>
      </w:r>
      <w:r w:rsidRPr="002261B9">
        <w:rPr>
          <w:sz w:val="20"/>
          <w:szCs w:val="20"/>
          <w:lang w:val="es-ES"/>
        </w:rPr>
        <w:t>014a</w:t>
      </w:r>
      <w:r w:rsidR="00452DB2" w:rsidRPr="002261B9">
        <w:rPr>
          <w:sz w:val="20"/>
          <w:szCs w:val="20"/>
          <w:lang w:val="es-ES"/>
        </w:rPr>
        <w:t>)</w:t>
      </w:r>
      <w:r w:rsidRPr="002261B9">
        <w:rPr>
          <w:sz w:val="20"/>
          <w:szCs w:val="20"/>
          <w:lang w:val="es-ES"/>
        </w:rPr>
        <w:t xml:space="preserve"> y las opiniones de los comités científicos de la Unión Europea (ECHA</w:t>
      </w:r>
      <w:r w:rsidR="004904E9" w:rsidRPr="002261B9">
        <w:rPr>
          <w:sz w:val="20"/>
          <w:szCs w:val="20"/>
          <w:lang w:val="es-ES"/>
        </w:rPr>
        <w:t>,</w:t>
      </w:r>
      <w:r w:rsidR="007D0A73" w:rsidRPr="002261B9">
        <w:rPr>
          <w:sz w:val="20"/>
          <w:szCs w:val="20"/>
          <w:lang w:val="es-ES"/>
        </w:rPr>
        <w:t xml:space="preserve"> 2</w:t>
      </w:r>
      <w:r w:rsidRPr="002261B9">
        <w:rPr>
          <w:sz w:val="20"/>
          <w:szCs w:val="20"/>
          <w:lang w:val="es-ES"/>
        </w:rPr>
        <w:t>015b, 2015c</w:t>
      </w:r>
      <w:r w:rsidR="00452DB2" w:rsidRPr="002261B9">
        <w:rPr>
          <w:sz w:val="20"/>
          <w:szCs w:val="20"/>
          <w:lang w:val="es-ES"/>
        </w:rPr>
        <w:t>)</w:t>
      </w:r>
      <w:r w:rsidRPr="002261B9">
        <w:rPr>
          <w:sz w:val="20"/>
          <w:szCs w:val="20"/>
          <w:lang w:val="es-ES"/>
        </w:rPr>
        <w:t>, la versión enmendada del informe (ECHA</w:t>
      </w:r>
      <w:r w:rsidR="004904E9" w:rsidRPr="002261B9">
        <w:rPr>
          <w:sz w:val="20"/>
          <w:szCs w:val="20"/>
          <w:lang w:val="es-ES"/>
        </w:rPr>
        <w:t>,</w:t>
      </w:r>
      <w:r w:rsidR="007D0A73" w:rsidRPr="002261B9">
        <w:rPr>
          <w:sz w:val="20"/>
          <w:szCs w:val="20"/>
          <w:lang w:val="es-ES"/>
        </w:rPr>
        <w:t xml:space="preserve"> 2</w:t>
      </w:r>
      <w:r w:rsidRPr="002261B9">
        <w:rPr>
          <w:sz w:val="20"/>
          <w:szCs w:val="20"/>
          <w:lang w:val="es-ES"/>
        </w:rPr>
        <w:t>015a</w:t>
      </w:r>
      <w:r w:rsidR="00452DB2" w:rsidRPr="002261B9">
        <w:rPr>
          <w:sz w:val="20"/>
          <w:szCs w:val="20"/>
          <w:lang w:val="es-ES"/>
        </w:rPr>
        <w:t>)</w:t>
      </w:r>
      <w:r w:rsidRPr="002261B9">
        <w:rPr>
          <w:sz w:val="20"/>
          <w:szCs w:val="20"/>
          <w:lang w:val="es-ES"/>
        </w:rPr>
        <w:t xml:space="preserve"> y la restricción vigente en la Unión Europea (Comisión Europea</w:t>
      </w:r>
      <w:r w:rsidR="004904E9" w:rsidRPr="002261B9">
        <w:rPr>
          <w:sz w:val="20"/>
          <w:szCs w:val="20"/>
          <w:lang w:val="es-ES"/>
        </w:rPr>
        <w:t>,</w:t>
      </w:r>
      <w:r w:rsidR="007D0A73" w:rsidRPr="002261B9">
        <w:rPr>
          <w:sz w:val="20"/>
          <w:szCs w:val="20"/>
          <w:lang w:val="es-ES"/>
        </w:rPr>
        <w:t xml:space="preserve"> 2</w:t>
      </w:r>
      <w:r w:rsidRPr="002261B9">
        <w:rPr>
          <w:sz w:val="20"/>
          <w:szCs w:val="20"/>
          <w:lang w:val="es-ES"/>
        </w:rPr>
        <w:t>017</w:t>
      </w:r>
      <w:r w:rsidR="00452DB2" w:rsidRPr="002261B9">
        <w:rPr>
          <w:sz w:val="20"/>
          <w:szCs w:val="20"/>
          <w:lang w:val="es-ES"/>
        </w:rPr>
        <w:t>)</w:t>
      </w:r>
      <w:r w:rsidRPr="002261B9">
        <w:rPr>
          <w:sz w:val="20"/>
          <w:szCs w:val="20"/>
          <w:lang w:val="es-ES"/>
        </w:rPr>
        <w:t>.</w:t>
      </w:r>
    </w:p>
    <w:p w14:paraId="741CCE92" w14:textId="63A7C32F" w:rsidR="00AE1A36" w:rsidRPr="002261B9" w:rsidRDefault="00F443BD" w:rsidP="00630BB2">
      <w:pPr>
        <w:pStyle w:val="StyleHeading2u2h2ABC2ChptTimesNewRoman12ptLin"/>
        <w:tabs>
          <w:tab w:val="clear" w:pos="1247"/>
          <w:tab w:val="clear" w:pos="1440"/>
          <w:tab w:val="num" w:pos="624"/>
        </w:tabs>
        <w:spacing w:after="120"/>
        <w:ind w:left="1248" w:hanging="624"/>
        <w:rPr>
          <w:iCs w:val="0"/>
          <w:sz w:val="22"/>
          <w:szCs w:val="22"/>
          <w:lang w:val="es-ES"/>
        </w:rPr>
      </w:pPr>
      <w:bookmarkStart w:id="14" w:name="_Toc166913976"/>
      <w:bookmarkStart w:id="15" w:name="_Toc501099196"/>
      <w:bookmarkStart w:id="16" w:name="_Ref252538701"/>
      <w:bookmarkEnd w:id="14"/>
      <w:r w:rsidRPr="002261B9">
        <w:rPr>
          <w:iCs w:val="0"/>
          <w:sz w:val="22"/>
          <w:szCs w:val="22"/>
          <w:lang w:val="es-ES"/>
        </w:rPr>
        <w:t>1.4</w:t>
      </w:r>
      <w:r w:rsidRPr="002261B9">
        <w:rPr>
          <w:iCs w:val="0"/>
          <w:sz w:val="22"/>
          <w:szCs w:val="22"/>
          <w:lang w:val="es-ES"/>
        </w:rPr>
        <w:tab/>
      </w:r>
      <w:r w:rsidR="00C151FB" w:rsidRPr="002261B9">
        <w:rPr>
          <w:iCs w:val="0"/>
          <w:sz w:val="22"/>
          <w:szCs w:val="22"/>
          <w:lang w:val="es-ES"/>
        </w:rPr>
        <w:t xml:space="preserve">Situación del producto químico en convenios </w:t>
      </w:r>
      <w:r w:rsidR="00C409B0" w:rsidRPr="002261B9">
        <w:rPr>
          <w:iCs w:val="0"/>
          <w:sz w:val="22"/>
          <w:szCs w:val="22"/>
          <w:lang w:val="es-ES"/>
        </w:rPr>
        <w:t xml:space="preserve">y marcos </w:t>
      </w:r>
      <w:r w:rsidR="00C151FB" w:rsidRPr="002261B9">
        <w:rPr>
          <w:iCs w:val="0"/>
          <w:sz w:val="22"/>
          <w:szCs w:val="22"/>
          <w:lang w:val="es-ES"/>
        </w:rPr>
        <w:t>internacionales</w:t>
      </w:r>
      <w:bookmarkEnd w:id="15"/>
      <w:r w:rsidR="00C151FB" w:rsidRPr="002261B9">
        <w:rPr>
          <w:iCs w:val="0"/>
          <w:sz w:val="22"/>
          <w:szCs w:val="22"/>
          <w:lang w:val="es-ES"/>
        </w:rPr>
        <w:t xml:space="preserve"> </w:t>
      </w:r>
      <w:bookmarkEnd w:id="16"/>
    </w:p>
    <w:p w14:paraId="454BB24D" w14:textId="27306C41" w:rsidR="00C151FB" w:rsidRPr="002261B9" w:rsidRDefault="00FD7803" w:rsidP="00F45508">
      <w:pPr>
        <w:pStyle w:val="Paralevel1"/>
        <w:numPr>
          <w:ilvl w:val="0"/>
          <w:numId w:val="23"/>
        </w:numPr>
        <w:tabs>
          <w:tab w:val="clear" w:pos="0"/>
        </w:tabs>
        <w:ind w:left="1247" w:firstLine="0"/>
        <w:rPr>
          <w:lang w:val="es-ES"/>
        </w:rPr>
      </w:pPr>
      <w:r w:rsidRPr="002261B9">
        <w:rPr>
          <w:lang w:val="es-ES"/>
        </w:rPr>
        <w:t>En e</w:t>
      </w:r>
      <w:r w:rsidR="00CC30C6" w:rsidRPr="002261B9">
        <w:rPr>
          <w:lang w:val="es-ES"/>
        </w:rPr>
        <w:t>l marco de la Comisión Oslo/Parí</w:t>
      </w:r>
      <w:r w:rsidRPr="002261B9">
        <w:rPr>
          <w:lang w:val="es-ES"/>
        </w:rPr>
        <w:t xml:space="preserve">s para la Protección del Medio Marino del Atlántico Nordeste (OSPAR) se realizó un examen del PFOS y el PFOA a fin de determinar sus posibles efectos </w:t>
      </w:r>
      <w:r w:rsidR="00E8298B" w:rsidRPr="002261B9">
        <w:rPr>
          <w:lang w:val="es-ES"/>
        </w:rPr>
        <w:t>sobre</w:t>
      </w:r>
      <w:r w:rsidRPr="002261B9">
        <w:rPr>
          <w:lang w:val="es-ES"/>
        </w:rPr>
        <w:t xml:space="preserve"> el medio ambiente. El resultado fue la inclusión del PFOS en la lista de productos químicos que requerían medidas prioritarias en 2003, aunque en ese momento no se incluyó </w:t>
      </w:r>
      <w:r w:rsidR="00E8298B" w:rsidRPr="002261B9">
        <w:rPr>
          <w:lang w:val="es-ES"/>
        </w:rPr>
        <w:t>e</w:t>
      </w:r>
      <w:r w:rsidRPr="002261B9">
        <w:rPr>
          <w:lang w:val="es-ES"/>
        </w:rPr>
        <w:t>l PFOA en la lista (OSPAR</w:t>
      </w:r>
      <w:r w:rsidR="004904E9" w:rsidRPr="002261B9">
        <w:rPr>
          <w:lang w:val="es-ES"/>
        </w:rPr>
        <w:t>,</w:t>
      </w:r>
      <w:r w:rsidR="007D0A73" w:rsidRPr="002261B9">
        <w:rPr>
          <w:lang w:val="es-ES"/>
        </w:rPr>
        <w:t xml:space="preserve"> 2</w:t>
      </w:r>
      <w:r w:rsidRPr="002261B9">
        <w:rPr>
          <w:lang w:val="es-ES"/>
        </w:rPr>
        <w:t>006</w:t>
      </w:r>
      <w:r w:rsidR="00452DB2" w:rsidRPr="002261B9">
        <w:rPr>
          <w:lang w:val="es-ES"/>
        </w:rPr>
        <w:t>)</w:t>
      </w:r>
      <w:r w:rsidRPr="002261B9">
        <w:rPr>
          <w:lang w:val="es-ES"/>
        </w:rPr>
        <w:t>.</w:t>
      </w:r>
    </w:p>
    <w:p w14:paraId="04041409" w14:textId="2A85106C" w:rsidR="00851C71" w:rsidRPr="002261B9" w:rsidRDefault="00D20115" w:rsidP="00F45508">
      <w:pPr>
        <w:pStyle w:val="Paralevel1"/>
        <w:numPr>
          <w:ilvl w:val="0"/>
          <w:numId w:val="23"/>
        </w:numPr>
        <w:tabs>
          <w:tab w:val="clear" w:pos="0"/>
        </w:tabs>
        <w:ind w:left="1247" w:firstLine="0"/>
        <w:rPr>
          <w:lang w:val="es-ES"/>
        </w:rPr>
      </w:pPr>
      <w:r w:rsidRPr="002261B9">
        <w:rPr>
          <w:lang w:val="es-ES"/>
        </w:rPr>
        <w:lastRenderedPageBreak/>
        <w:t xml:space="preserve">Los productos químicos perfluorados y la transición hacia alternativas más seguras son una de las cuestiones </w:t>
      </w:r>
      <w:r w:rsidR="00E8298B" w:rsidRPr="002261B9">
        <w:rPr>
          <w:lang w:val="es-ES"/>
        </w:rPr>
        <w:t xml:space="preserve">de </w:t>
      </w:r>
      <w:r w:rsidRPr="002261B9">
        <w:rPr>
          <w:lang w:val="es-ES"/>
        </w:rPr>
        <w:t xml:space="preserve">interés reconocidas en el Enfoque Estratégico para la Gestión de Productos Químicos a </w:t>
      </w:r>
      <w:r w:rsidR="00C16DF5" w:rsidRPr="002261B9">
        <w:rPr>
          <w:lang w:val="es-ES"/>
        </w:rPr>
        <w:t>Nivel</w:t>
      </w:r>
      <w:r w:rsidRPr="002261B9">
        <w:rPr>
          <w:lang w:val="es-ES"/>
        </w:rPr>
        <w:t xml:space="preserve"> Internacional</w:t>
      </w:r>
      <w:r w:rsidR="00EB2E2E" w:rsidRPr="002261B9">
        <w:rPr>
          <w:lang w:val="es-ES"/>
        </w:rPr>
        <w:t>.</w:t>
      </w:r>
      <w:r w:rsidRPr="002261B9">
        <w:rPr>
          <w:lang w:val="es-ES"/>
        </w:rPr>
        <w:t xml:space="preserve"> Las actividades del Enfoque Estratégico se centran en reunir e intercambiar información sobre los productos químicos perfluorados y en apoyar la transición hacia alternativas más seguras. Esta labor ha sido coordinada por el Grupo </w:t>
      </w:r>
      <w:r w:rsidR="004761AA" w:rsidRPr="002261B9">
        <w:rPr>
          <w:lang w:val="es-ES"/>
        </w:rPr>
        <w:t>M</w:t>
      </w:r>
      <w:r w:rsidRPr="002261B9">
        <w:rPr>
          <w:lang w:val="es-ES"/>
        </w:rPr>
        <w:t xml:space="preserve">undial sobre </w:t>
      </w:r>
      <w:r w:rsidR="004761AA" w:rsidRPr="002261B9">
        <w:rPr>
          <w:lang w:val="es-ES"/>
        </w:rPr>
        <w:t>P</w:t>
      </w:r>
      <w:r w:rsidRPr="002261B9">
        <w:rPr>
          <w:lang w:val="es-ES"/>
        </w:rPr>
        <w:t xml:space="preserve">roductos </w:t>
      </w:r>
      <w:r w:rsidR="004761AA" w:rsidRPr="002261B9">
        <w:rPr>
          <w:lang w:val="es-ES"/>
        </w:rPr>
        <w:t>Q</w:t>
      </w:r>
      <w:r w:rsidRPr="002261B9">
        <w:rPr>
          <w:lang w:val="es-ES"/>
        </w:rPr>
        <w:t xml:space="preserve">uímicos </w:t>
      </w:r>
      <w:r w:rsidR="004761AA" w:rsidRPr="002261B9">
        <w:rPr>
          <w:lang w:val="es-ES"/>
        </w:rPr>
        <w:t>P</w:t>
      </w:r>
      <w:r w:rsidRPr="002261B9">
        <w:rPr>
          <w:lang w:val="es-ES"/>
        </w:rPr>
        <w:t>erfluorados, que cuenta con el apoyo de la Organización de Cooperación y Desarrol</w:t>
      </w:r>
      <w:r w:rsidR="002701C1" w:rsidRPr="002261B9">
        <w:rPr>
          <w:lang w:val="es-ES"/>
        </w:rPr>
        <w:t>lo Económicos (OCDE) y el PNUMA</w:t>
      </w:r>
      <w:r w:rsidR="00851C71" w:rsidRPr="002261B9">
        <w:rPr>
          <w:lang w:val="es-ES"/>
        </w:rPr>
        <w:t>.</w:t>
      </w:r>
    </w:p>
    <w:p w14:paraId="2B814B80" w14:textId="5C965A30" w:rsidR="00851C71" w:rsidRPr="002261B9" w:rsidRDefault="00F443BD" w:rsidP="00630BB2">
      <w:pPr>
        <w:pStyle w:val="StyleHeading2u2h2ABC2ChptTimesNewRoman12ptLin"/>
        <w:tabs>
          <w:tab w:val="num" w:pos="128"/>
        </w:tabs>
        <w:spacing w:after="120"/>
        <w:ind w:left="1248" w:hanging="624"/>
        <w:rPr>
          <w:iCs w:val="0"/>
          <w:sz w:val="22"/>
          <w:szCs w:val="22"/>
          <w:lang w:val="es-ES"/>
        </w:rPr>
      </w:pPr>
      <w:bookmarkStart w:id="17" w:name="_Toc501099197"/>
      <w:r w:rsidRPr="002261B9">
        <w:rPr>
          <w:iCs w:val="0"/>
          <w:sz w:val="22"/>
          <w:szCs w:val="22"/>
          <w:lang w:val="es-ES"/>
        </w:rPr>
        <w:t>1.5</w:t>
      </w:r>
      <w:r w:rsidRPr="002261B9">
        <w:rPr>
          <w:iCs w:val="0"/>
          <w:sz w:val="22"/>
          <w:szCs w:val="22"/>
          <w:lang w:val="es-ES"/>
        </w:rPr>
        <w:tab/>
      </w:r>
      <w:r w:rsidRPr="002261B9">
        <w:rPr>
          <w:iCs w:val="0"/>
          <w:sz w:val="22"/>
          <w:szCs w:val="22"/>
          <w:lang w:val="es-ES"/>
        </w:rPr>
        <w:tab/>
      </w:r>
      <w:r w:rsidR="00851C71" w:rsidRPr="002261B9">
        <w:rPr>
          <w:iCs w:val="0"/>
          <w:sz w:val="22"/>
          <w:szCs w:val="22"/>
          <w:lang w:val="es-ES"/>
        </w:rPr>
        <w:t>Medidas de control adoptadas a nivel nacional o regional</w:t>
      </w:r>
      <w:bookmarkEnd w:id="17"/>
    </w:p>
    <w:p w14:paraId="1A3A4A1D" w14:textId="7CAD905A" w:rsidR="00851C71" w:rsidRPr="002261B9" w:rsidRDefault="00851C71" w:rsidP="00F45508">
      <w:pPr>
        <w:pStyle w:val="Paralevel1"/>
        <w:numPr>
          <w:ilvl w:val="0"/>
          <w:numId w:val="23"/>
        </w:numPr>
        <w:tabs>
          <w:tab w:val="clear" w:pos="0"/>
        </w:tabs>
        <w:ind w:left="1247" w:firstLine="0"/>
        <w:rPr>
          <w:lang w:val="es-ES"/>
        </w:rPr>
      </w:pPr>
      <w:r w:rsidRPr="002261B9">
        <w:rPr>
          <w:lang w:val="es-ES"/>
        </w:rPr>
        <w:t>La OCDE presentó una sinopsis de los criterios sobre reducción de los riesgos en el caso de los</w:t>
      </w:r>
      <w:r w:rsidR="00CF5271" w:rsidRPr="002261B9">
        <w:rPr>
          <w:lang w:val="es-ES"/>
        </w:rPr>
        <w:t> </w:t>
      </w:r>
      <w:r w:rsidRPr="002261B9">
        <w:rPr>
          <w:lang w:val="es-ES"/>
        </w:rPr>
        <w:t>PFAS (OCDE</w:t>
      </w:r>
      <w:r w:rsidR="004904E9" w:rsidRPr="002261B9">
        <w:rPr>
          <w:lang w:val="es-ES"/>
        </w:rPr>
        <w:t>,</w:t>
      </w:r>
      <w:r w:rsidR="007D0A73" w:rsidRPr="002261B9">
        <w:rPr>
          <w:lang w:val="es-ES"/>
        </w:rPr>
        <w:t xml:space="preserve"> 2</w:t>
      </w:r>
      <w:r w:rsidRPr="002261B9">
        <w:rPr>
          <w:lang w:val="es-ES"/>
        </w:rPr>
        <w:t>015</w:t>
      </w:r>
      <w:r w:rsidR="00452DB2" w:rsidRPr="002261B9">
        <w:rPr>
          <w:lang w:val="es-ES"/>
        </w:rPr>
        <w:t>)</w:t>
      </w:r>
      <w:r w:rsidRPr="002261B9">
        <w:rPr>
          <w:lang w:val="es-ES"/>
        </w:rPr>
        <w:t>. El documento incluye información sobre los criterios existentes relativos a</w:t>
      </w:r>
      <w:r w:rsidR="00CF5271" w:rsidRPr="002261B9">
        <w:rPr>
          <w:lang w:val="es-ES"/>
        </w:rPr>
        <w:t> </w:t>
      </w:r>
      <w:r w:rsidRPr="002261B9">
        <w:rPr>
          <w:lang w:val="es-ES"/>
        </w:rPr>
        <w:t>la reducción de los riesgos en los países, en particular las medidas de carácter voluntario para la</w:t>
      </w:r>
      <w:r w:rsidR="00CF5271" w:rsidRPr="002261B9">
        <w:rPr>
          <w:lang w:val="es-ES"/>
        </w:rPr>
        <w:t> </w:t>
      </w:r>
      <w:r w:rsidRPr="002261B9">
        <w:rPr>
          <w:lang w:val="es-ES"/>
        </w:rPr>
        <w:t>reducción de los riesgos adoptadas por las grandes empresas (véanse las páginas 61 a 64 en</w:t>
      </w:r>
      <w:r w:rsidR="00CF5271" w:rsidRPr="002261B9">
        <w:rPr>
          <w:lang w:val="es-ES"/>
        </w:rPr>
        <w:t> </w:t>
      </w:r>
      <w:r w:rsidRPr="002261B9">
        <w:rPr>
          <w:lang w:val="es-ES"/>
        </w:rPr>
        <w:t>OCDE</w:t>
      </w:r>
      <w:r w:rsidR="004904E9" w:rsidRPr="002261B9">
        <w:rPr>
          <w:lang w:val="es-ES"/>
        </w:rPr>
        <w:t>,</w:t>
      </w:r>
      <w:r w:rsidR="00CF5271" w:rsidRPr="002261B9">
        <w:rPr>
          <w:lang w:val="es-ES"/>
        </w:rPr>
        <w:t> </w:t>
      </w:r>
      <w:r w:rsidR="007D0A73" w:rsidRPr="002261B9">
        <w:rPr>
          <w:lang w:val="es-ES"/>
        </w:rPr>
        <w:t>2</w:t>
      </w:r>
      <w:r w:rsidRPr="002261B9">
        <w:rPr>
          <w:lang w:val="es-ES"/>
        </w:rPr>
        <w:t>015). Con arreglo a las comunicaciones sobre perfiles de riesgos (UNEP/POPS/POPRC.12/11/Add.2) y el anexo F, los reglamentos nacionales o regionales relacionados con el PFOA son los siguientes:</w:t>
      </w:r>
      <w:r w:rsidRPr="002261B9">
        <w:rPr>
          <w:lang w:val="es-ES"/>
        </w:rPr>
        <w:tab/>
      </w:r>
    </w:p>
    <w:p w14:paraId="4FFC9703" w14:textId="5F0E654F"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a)</w:t>
      </w:r>
      <w:r w:rsidRPr="002261B9">
        <w:rPr>
          <w:sz w:val="20"/>
          <w:szCs w:val="20"/>
          <w:lang w:val="es-ES"/>
        </w:rPr>
        <w:tab/>
      </w:r>
      <w:r w:rsidR="00ED73BE" w:rsidRPr="002261B9">
        <w:rPr>
          <w:sz w:val="20"/>
          <w:szCs w:val="20"/>
          <w:lang w:val="es-ES"/>
        </w:rPr>
        <w:t xml:space="preserve">En 2013, la UE clasificó tanto </w:t>
      </w:r>
      <w:r w:rsidR="00D91D9E" w:rsidRPr="002261B9">
        <w:rPr>
          <w:sz w:val="20"/>
          <w:szCs w:val="20"/>
          <w:lang w:val="es-ES"/>
        </w:rPr>
        <w:t>e</w:t>
      </w:r>
      <w:r w:rsidR="00ED73BE" w:rsidRPr="002261B9">
        <w:rPr>
          <w:sz w:val="20"/>
          <w:szCs w:val="20"/>
          <w:lang w:val="es-ES"/>
        </w:rPr>
        <w:t>l PFOA como su sal amoniacal (APFO) como sustancias</w:t>
      </w:r>
      <w:r w:rsidR="00CC30C6" w:rsidRPr="002261B9">
        <w:rPr>
          <w:sz w:val="20"/>
          <w:szCs w:val="20"/>
          <w:lang w:val="es-ES"/>
        </w:rPr>
        <w:t xml:space="preserve"> que suscitan gran preocupación</w:t>
      </w:r>
      <w:r w:rsidR="00ED73BE" w:rsidRPr="002261B9">
        <w:rPr>
          <w:sz w:val="20"/>
          <w:szCs w:val="20"/>
          <w:lang w:val="es-ES"/>
        </w:rPr>
        <w:t xml:space="preserve"> debido a sus propiedades de persistencia, bioacumulación y toxicidad, y los incluyó en la </w:t>
      </w:r>
      <w:r w:rsidR="00D91D9E" w:rsidRPr="002261B9">
        <w:rPr>
          <w:sz w:val="20"/>
          <w:szCs w:val="20"/>
          <w:lang w:val="es-ES"/>
        </w:rPr>
        <w:t>l</w:t>
      </w:r>
      <w:r w:rsidR="00ED73BE" w:rsidRPr="002261B9">
        <w:rPr>
          <w:sz w:val="20"/>
          <w:szCs w:val="20"/>
          <w:lang w:val="es-ES"/>
        </w:rPr>
        <w:t>ista REACH de productos propuestos (ECHA</w:t>
      </w:r>
      <w:r w:rsidR="004904E9" w:rsidRPr="002261B9">
        <w:rPr>
          <w:sz w:val="20"/>
          <w:szCs w:val="20"/>
          <w:lang w:val="es-ES"/>
        </w:rPr>
        <w:t>,</w:t>
      </w:r>
      <w:r w:rsidR="007D0A73" w:rsidRPr="002261B9">
        <w:rPr>
          <w:sz w:val="20"/>
          <w:szCs w:val="20"/>
          <w:lang w:val="es-ES"/>
        </w:rPr>
        <w:t xml:space="preserve"> 2</w:t>
      </w:r>
      <w:r w:rsidR="00ED73BE" w:rsidRPr="002261B9">
        <w:rPr>
          <w:sz w:val="20"/>
          <w:szCs w:val="20"/>
          <w:lang w:val="es-ES"/>
        </w:rPr>
        <w:t>013a, 2013b</w:t>
      </w:r>
      <w:r w:rsidR="00452DB2" w:rsidRPr="002261B9">
        <w:rPr>
          <w:sz w:val="20"/>
          <w:szCs w:val="20"/>
          <w:lang w:val="es-ES"/>
        </w:rPr>
        <w:t>)</w:t>
      </w:r>
      <w:r w:rsidR="00ED73BE" w:rsidRPr="002261B9">
        <w:rPr>
          <w:sz w:val="20"/>
          <w:szCs w:val="20"/>
          <w:lang w:val="es-ES"/>
        </w:rPr>
        <w:t xml:space="preserve">. La industria está en la obligación de informar, previa solicitud, a los consumidores sobre la presencia en los artículos de consumo de las sustancias incluidas en la lista, si en esos artículos está presente alguna SSGP en una concentración de más de 0,1% </w:t>
      </w:r>
      <w:r w:rsidR="00ED73BE" w:rsidRPr="002261B9">
        <w:rPr>
          <w:bCs/>
          <w:sz w:val="20"/>
          <w:szCs w:val="20"/>
          <w:lang w:val="es-ES"/>
        </w:rPr>
        <w:t>(</w:t>
      </w:r>
      <w:r w:rsidR="00D91D9E" w:rsidRPr="002261B9">
        <w:rPr>
          <w:bCs/>
          <w:sz w:val="20"/>
          <w:szCs w:val="20"/>
          <w:lang w:val="es-ES"/>
        </w:rPr>
        <w:t>peso húmedo</w:t>
      </w:r>
      <w:r w:rsidR="00ED73BE" w:rsidRPr="002261B9">
        <w:rPr>
          <w:bCs/>
          <w:sz w:val="20"/>
          <w:szCs w:val="20"/>
          <w:lang w:val="es-ES"/>
        </w:rPr>
        <w:t>)</w:t>
      </w:r>
      <w:r w:rsidR="00ED73BE" w:rsidRPr="002261B9">
        <w:rPr>
          <w:sz w:val="20"/>
          <w:szCs w:val="20"/>
          <w:lang w:val="es-ES"/>
        </w:rPr>
        <w:t>. En el caso de suministro a los consumidores, quedan restringidos el PFOA y su sal amoniacal como sustancia o en una mezcla conforme al reglamento (UE) 317/2014;</w:t>
      </w:r>
    </w:p>
    <w:p w14:paraId="57AB455D" w14:textId="77777777"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b)</w:t>
      </w:r>
      <w:r w:rsidRPr="002261B9">
        <w:rPr>
          <w:sz w:val="20"/>
          <w:szCs w:val="20"/>
          <w:lang w:val="es-ES"/>
        </w:rPr>
        <w:tab/>
      </w:r>
      <w:r w:rsidR="009F0B94" w:rsidRPr="002261B9">
        <w:rPr>
          <w:sz w:val="20"/>
          <w:szCs w:val="20"/>
          <w:lang w:val="es-ES"/>
        </w:rPr>
        <w:t>En 2014, Alemania y Noruega presentaron una propuesta conjunta de restricción relativa a la inclusión del PFOA en el anexo XVII (restricciones) del reglamento REACH en la Unión Europea (ECHA</w:t>
      </w:r>
      <w:r w:rsidR="004904E9" w:rsidRPr="002261B9">
        <w:rPr>
          <w:sz w:val="20"/>
          <w:szCs w:val="20"/>
          <w:lang w:val="es-ES"/>
        </w:rPr>
        <w:t>,</w:t>
      </w:r>
      <w:r w:rsidR="007D0A73" w:rsidRPr="002261B9">
        <w:rPr>
          <w:sz w:val="20"/>
          <w:szCs w:val="20"/>
          <w:lang w:val="es-ES"/>
        </w:rPr>
        <w:t xml:space="preserve"> 2</w:t>
      </w:r>
      <w:r w:rsidR="009F0B94" w:rsidRPr="002261B9">
        <w:rPr>
          <w:sz w:val="20"/>
          <w:szCs w:val="20"/>
          <w:lang w:val="es-ES"/>
        </w:rPr>
        <w:t>014a</w:t>
      </w:r>
      <w:r w:rsidR="00452DB2" w:rsidRPr="002261B9">
        <w:rPr>
          <w:sz w:val="20"/>
          <w:szCs w:val="20"/>
          <w:lang w:val="es-ES"/>
        </w:rPr>
        <w:t>)</w:t>
      </w:r>
      <w:r w:rsidR="009F0B94" w:rsidRPr="002261B9">
        <w:rPr>
          <w:sz w:val="20"/>
          <w:szCs w:val="20"/>
          <w:lang w:val="es-ES"/>
        </w:rPr>
        <w:t>. El objetivo de la propuesta era la prohibición total de la fabricación, la comercialización y el uso (incluida la importación) del PFOA y sus sales, incluidas las sustancias que pueden degradar a PFOA (compuestos conexos del PFOA). La restricción abarca también los artículos que contengan esas sustancias. La restricción de la UE entró en vigor el 4 de julio de 2017. La restricción se aplica desde el 4 de julio de 2020 (Comisión Europea</w:t>
      </w:r>
      <w:r w:rsidR="004904E9" w:rsidRPr="002261B9">
        <w:rPr>
          <w:sz w:val="20"/>
          <w:szCs w:val="20"/>
          <w:lang w:val="es-ES"/>
        </w:rPr>
        <w:t>,</w:t>
      </w:r>
      <w:r w:rsidR="007D0A73" w:rsidRPr="002261B9">
        <w:rPr>
          <w:sz w:val="20"/>
          <w:szCs w:val="20"/>
          <w:lang w:val="es-ES"/>
        </w:rPr>
        <w:t xml:space="preserve"> 2</w:t>
      </w:r>
      <w:r w:rsidR="009F0B94" w:rsidRPr="002261B9">
        <w:rPr>
          <w:sz w:val="20"/>
          <w:szCs w:val="20"/>
          <w:lang w:val="es-ES"/>
        </w:rPr>
        <w:t>017</w:t>
      </w:r>
      <w:r w:rsidR="00452DB2" w:rsidRPr="002261B9">
        <w:rPr>
          <w:sz w:val="20"/>
          <w:szCs w:val="20"/>
          <w:lang w:val="es-ES"/>
        </w:rPr>
        <w:t>)</w:t>
      </w:r>
      <w:r w:rsidR="009F0B94" w:rsidRPr="002261B9">
        <w:rPr>
          <w:sz w:val="20"/>
          <w:szCs w:val="20"/>
          <w:lang w:val="es-ES"/>
        </w:rPr>
        <w:t>;</w:t>
      </w:r>
    </w:p>
    <w:p w14:paraId="438967F0" w14:textId="026FFC3C"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c)</w:t>
      </w:r>
      <w:r w:rsidRPr="002261B9">
        <w:rPr>
          <w:sz w:val="20"/>
          <w:szCs w:val="20"/>
          <w:lang w:val="es-ES"/>
        </w:rPr>
        <w:tab/>
      </w:r>
      <w:r w:rsidR="00007B08" w:rsidRPr="002261B9">
        <w:rPr>
          <w:sz w:val="20"/>
          <w:szCs w:val="20"/>
          <w:lang w:val="es-ES"/>
        </w:rPr>
        <w:t>El PFOA fue incluido en el anexo VI del Reglamento sobre clasificación</w:t>
      </w:r>
      <w:r w:rsidR="00D91D9E" w:rsidRPr="002261B9">
        <w:rPr>
          <w:sz w:val="20"/>
          <w:szCs w:val="20"/>
          <w:lang w:val="es-ES"/>
        </w:rPr>
        <w:t xml:space="preserve"> y</w:t>
      </w:r>
      <w:r w:rsidR="00007B08" w:rsidRPr="002261B9">
        <w:rPr>
          <w:sz w:val="20"/>
          <w:szCs w:val="20"/>
          <w:lang w:val="es-ES"/>
        </w:rPr>
        <w:t xml:space="preserve"> etiquetado (Reglamento (CE) núm. 1272/2008) en virtud del Reglamento de la Comisión (UE) núm. 944/2013, de</w:t>
      </w:r>
      <w:r w:rsidR="00630BB2" w:rsidRPr="002261B9">
        <w:rPr>
          <w:sz w:val="20"/>
          <w:szCs w:val="20"/>
          <w:lang w:val="es-ES"/>
        </w:rPr>
        <w:t> </w:t>
      </w:r>
      <w:r w:rsidR="00007B08" w:rsidRPr="002261B9">
        <w:rPr>
          <w:sz w:val="20"/>
          <w:szCs w:val="20"/>
          <w:lang w:val="es-ES"/>
        </w:rPr>
        <w:t xml:space="preserve">2 de octubre de 2013 (número de índice: 607-704-00-2). El PFOA ha sido clasificado como </w:t>
      </w:r>
      <w:r w:rsidR="00883BA8" w:rsidRPr="002261B9">
        <w:rPr>
          <w:sz w:val="20"/>
          <w:szCs w:val="20"/>
          <w:lang w:val="es-ES"/>
        </w:rPr>
        <w:t>Carc.</w:t>
      </w:r>
      <w:r w:rsidR="00630BB2" w:rsidRPr="002261B9">
        <w:rPr>
          <w:sz w:val="20"/>
          <w:szCs w:val="20"/>
          <w:lang w:val="es-ES"/>
        </w:rPr>
        <w:t> </w:t>
      </w:r>
      <w:r w:rsidR="00007B08" w:rsidRPr="002261B9">
        <w:rPr>
          <w:sz w:val="20"/>
          <w:szCs w:val="20"/>
          <w:lang w:val="es-ES"/>
        </w:rPr>
        <w:t>2</w:t>
      </w:r>
      <w:r w:rsidR="00630BB2" w:rsidRPr="002261B9">
        <w:rPr>
          <w:sz w:val="20"/>
          <w:szCs w:val="20"/>
          <w:lang w:val="es-ES"/>
        </w:rPr>
        <w:t> </w:t>
      </w:r>
      <w:r w:rsidR="00007B08" w:rsidRPr="002261B9">
        <w:rPr>
          <w:sz w:val="20"/>
          <w:szCs w:val="20"/>
          <w:lang w:val="es-ES"/>
        </w:rPr>
        <w:t xml:space="preserve">H351, </w:t>
      </w:r>
      <w:r w:rsidR="00883BA8" w:rsidRPr="002261B9">
        <w:rPr>
          <w:sz w:val="20"/>
          <w:szCs w:val="20"/>
          <w:lang w:val="es-ES"/>
        </w:rPr>
        <w:t xml:space="preserve">Repr. </w:t>
      </w:r>
      <w:r w:rsidR="00007B08" w:rsidRPr="002261B9">
        <w:rPr>
          <w:sz w:val="20"/>
          <w:szCs w:val="20"/>
          <w:lang w:val="es-ES"/>
        </w:rPr>
        <w:t>1B H360D</w:t>
      </w:r>
      <w:r w:rsidR="00883BA8" w:rsidRPr="002261B9">
        <w:rPr>
          <w:sz w:val="20"/>
          <w:szCs w:val="20"/>
          <w:lang w:val="es-ES"/>
        </w:rPr>
        <w:t>,</w:t>
      </w:r>
      <w:r w:rsidR="00007B08" w:rsidRPr="002261B9">
        <w:rPr>
          <w:sz w:val="20"/>
          <w:szCs w:val="20"/>
          <w:lang w:val="es-ES"/>
        </w:rPr>
        <w:t xml:space="preserve"> Lact</w:t>
      </w:r>
      <w:r w:rsidR="00883BA8" w:rsidRPr="002261B9">
        <w:rPr>
          <w:sz w:val="20"/>
          <w:szCs w:val="20"/>
          <w:lang w:val="es-ES"/>
        </w:rPr>
        <w:t>.</w:t>
      </w:r>
      <w:r w:rsidR="00007B08" w:rsidRPr="002261B9">
        <w:rPr>
          <w:sz w:val="20"/>
          <w:szCs w:val="20"/>
          <w:lang w:val="es-ES"/>
        </w:rPr>
        <w:t xml:space="preserve"> H362, STOT </w:t>
      </w:r>
      <w:r w:rsidR="00883BA8" w:rsidRPr="002261B9">
        <w:rPr>
          <w:sz w:val="20"/>
          <w:szCs w:val="20"/>
          <w:lang w:val="es-ES"/>
        </w:rPr>
        <w:t>repe.</w:t>
      </w:r>
      <w:r w:rsidR="00007B08" w:rsidRPr="002261B9">
        <w:rPr>
          <w:sz w:val="20"/>
          <w:szCs w:val="20"/>
          <w:lang w:val="es-ES"/>
        </w:rPr>
        <w:t xml:space="preserve"> 1 (hígado) H372, toxicidad aguda 4 H332, toxicidad aguda 4 H302 y daño ocular 1 H318;</w:t>
      </w:r>
    </w:p>
    <w:p w14:paraId="59771812" w14:textId="77777777"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d)</w:t>
      </w:r>
      <w:r w:rsidRPr="002261B9">
        <w:rPr>
          <w:sz w:val="20"/>
          <w:szCs w:val="20"/>
          <w:lang w:val="es-ES"/>
        </w:rPr>
        <w:tab/>
      </w:r>
      <w:r w:rsidR="00384BA4" w:rsidRPr="002261B9">
        <w:rPr>
          <w:sz w:val="20"/>
          <w:szCs w:val="20"/>
          <w:lang w:val="es-ES"/>
        </w:rPr>
        <w:t xml:space="preserve">El Organismo Noruego para el Medio Ambiente publicó en 2014 una enmienda al reglamento de los productos de consumo, por la que se prohibió el uso del PFOA en productos de consumo y textiles. Se ha incluido un período de transición, en el que se permite la importación y venta de productos fabricados antes de la eliminación, Desde el 1 de junio de 2014, quedó prohibida la fabricación, importación, exportación y </w:t>
      </w:r>
      <w:r w:rsidR="00614F37" w:rsidRPr="002261B9">
        <w:rPr>
          <w:sz w:val="20"/>
          <w:szCs w:val="20"/>
          <w:lang w:val="es-ES"/>
        </w:rPr>
        <w:t>comercialización</w:t>
      </w:r>
      <w:r w:rsidR="00284890" w:rsidRPr="002261B9">
        <w:rPr>
          <w:sz w:val="20"/>
          <w:szCs w:val="20"/>
          <w:lang w:val="es-ES"/>
        </w:rPr>
        <w:t xml:space="preserve"> </w:t>
      </w:r>
      <w:r w:rsidR="00384BA4" w:rsidRPr="002261B9">
        <w:rPr>
          <w:sz w:val="20"/>
          <w:szCs w:val="20"/>
          <w:lang w:val="es-ES"/>
        </w:rPr>
        <w:t>de textiles, alfombras, otros productos de consumo recubiertos y productos de consumo que contengan PFOA</w:t>
      </w:r>
      <w:r w:rsidR="00284890" w:rsidRPr="002261B9">
        <w:rPr>
          <w:sz w:val="20"/>
          <w:szCs w:val="20"/>
          <w:lang w:val="es-ES"/>
        </w:rPr>
        <w:t xml:space="preserve"> </w:t>
      </w:r>
      <w:r w:rsidR="00691DE1" w:rsidRPr="002261B9">
        <w:rPr>
          <w:sz w:val="20"/>
          <w:szCs w:val="20"/>
          <w:lang w:val="es-ES"/>
        </w:rPr>
        <w:t>y sales y ésteres de </w:t>
      </w:r>
      <w:r w:rsidR="00384BA4" w:rsidRPr="002261B9">
        <w:rPr>
          <w:sz w:val="20"/>
          <w:szCs w:val="20"/>
          <w:lang w:val="es-ES"/>
        </w:rPr>
        <w:t>PFOA</w:t>
      </w:r>
      <w:r w:rsidR="00883BA8" w:rsidRPr="002261B9">
        <w:rPr>
          <w:sz w:val="20"/>
          <w:szCs w:val="20"/>
          <w:lang w:val="es-ES"/>
        </w:rPr>
        <w:t xml:space="preserve"> específicos</w:t>
      </w:r>
      <w:r w:rsidR="00384BA4" w:rsidRPr="002261B9">
        <w:rPr>
          <w:sz w:val="20"/>
          <w:szCs w:val="20"/>
          <w:lang w:val="es-ES"/>
        </w:rPr>
        <w:t>, con determinadas exenciones (Noruega</w:t>
      </w:r>
      <w:r w:rsidR="004904E9" w:rsidRPr="002261B9">
        <w:rPr>
          <w:sz w:val="20"/>
          <w:szCs w:val="20"/>
          <w:lang w:val="es-ES"/>
        </w:rPr>
        <w:t>,</w:t>
      </w:r>
      <w:r w:rsidR="007D0A73" w:rsidRPr="002261B9">
        <w:rPr>
          <w:sz w:val="20"/>
          <w:szCs w:val="20"/>
          <w:lang w:val="es-ES"/>
        </w:rPr>
        <w:t xml:space="preserve"> 2</w:t>
      </w:r>
      <w:r w:rsidR="00384BA4" w:rsidRPr="002261B9">
        <w:rPr>
          <w:sz w:val="20"/>
          <w:szCs w:val="20"/>
          <w:lang w:val="es-ES"/>
        </w:rPr>
        <w:t>016</w:t>
      </w:r>
      <w:r w:rsidR="006F712F" w:rsidRPr="002261B9">
        <w:rPr>
          <w:sz w:val="20"/>
          <w:szCs w:val="20"/>
          <w:lang w:val="es-ES"/>
        </w:rPr>
        <w:t>)</w:t>
      </w:r>
      <w:r w:rsidR="00384BA4" w:rsidRPr="002261B9">
        <w:rPr>
          <w:sz w:val="20"/>
          <w:szCs w:val="20"/>
          <w:lang w:val="es-ES"/>
        </w:rPr>
        <w:t xml:space="preserve">; para más detalles, véase la sección 2,2); </w:t>
      </w:r>
    </w:p>
    <w:p w14:paraId="6D4D914C" w14:textId="1D209F59"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e)</w:t>
      </w:r>
      <w:r w:rsidRPr="002261B9">
        <w:rPr>
          <w:sz w:val="20"/>
          <w:szCs w:val="20"/>
          <w:lang w:val="es-ES"/>
        </w:rPr>
        <w:tab/>
      </w:r>
      <w:r w:rsidR="00384BA4" w:rsidRPr="002261B9">
        <w:rPr>
          <w:sz w:val="20"/>
          <w:szCs w:val="20"/>
          <w:lang w:val="es-ES"/>
        </w:rPr>
        <w:t>En junio de 2006, el Gobierno del Canadá publicó un Aviso de Plan de Acción para la evaluación y la gestión de ácidos perfluorocarboxílicos y sus precursores.</w:t>
      </w:r>
      <w:r w:rsidR="00284890" w:rsidRPr="002261B9">
        <w:rPr>
          <w:sz w:val="20"/>
          <w:szCs w:val="20"/>
          <w:lang w:val="es-ES"/>
        </w:rPr>
        <w:t xml:space="preserve"> </w:t>
      </w:r>
      <w:r w:rsidR="00C16DF5" w:rsidRPr="002261B9">
        <w:rPr>
          <w:sz w:val="20"/>
          <w:szCs w:val="20"/>
          <w:lang w:val="es-ES"/>
        </w:rPr>
        <w:t xml:space="preserve">En el Plan de Acción se incluyeron medidas </w:t>
      </w:r>
      <w:r w:rsidR="00883BA8" w:rsidRPr="002261B9">
        <w:rPr>
          <w:sz w:val="20"/>
          <w:szCs w:val="20"/>
          <w:lang w:val="es-ES"/>
        </w:rPr>
        <w:t>concebidas para</w:t>
      </w:r>
      <w:r w:rsidR="00C16DF5" w:rsidRPr="002261B9">
        <w:rPr>
          <w:sz w:val="20"/>
          <w:szCs w:val="20"/>
          <w:lang w:val="es-ES"/>
        </w:rPr>
        <w:t xml:space="preserve"> prevenir la introducción de nuevas sustancias en el Canadá que contribuyeran a aumentar el nivel de ácidos </w:t>
      </w:r>
      <w:r w:rsidR="004904E9" w:rsidRPr="002261B9">
        <w:rPr>
          <w:sz w:val="20"/>
          <w:szCs w:val="20"/>
          <w:lang w:val="es-ES"/>
        </w:rPr>
        <w:t>perfluorocarboxílicos en</w:t>
      </w:r>
      <w:r w:rsidR="00C16DF5" w:rsidRPr="002261B9">
        <w:rPr>
          <w:sz w:val="20"/>
          <w:szCs w:val="20"/>
          <w:lang w:val="es-ES"/>
        </w:rPr>
        <w:t xml:space="preserve"> el medio ambiente y </w:t>
      </w:r>
      <w:r w:rsidR="00883BA8" w:rsidRPr="002261B9">
        <w:rPr>
          <w:sz w:val="20"/>
          <w:szCs w:val="20"/>
          <w:lang w:val="es-ES"/>
        </w:rPr>
        <w:t>para</w:t>
      </w:r>
      <w:r w:rsidR="00C16DF5" w:rsidRPr="002261B9">
        <w:rPr>
          <w:sz w:val="20"/>
          <w:szCs w:val="20"/>
          <w:lang w:val="es-ES"/>
        </w:rPr>
        <w:t xml:space="preserve"> tratar de que la industria pusiera límites a las fuentes de </w:t>
      </w:r>
      <w:r w:rsidR="00384BA4" w:rsidRPr="002261B9">
        <w:rPr>
          <w:sz w:val="20"/>
          <w:szCs w:val="20"/>
          <w:lang w:val="es-ES"/>
        </w:rPr>
        <w:t>PFCA</w:t>
      </w:r>
      <w:r w:rsidR="00C16DF5" w:rsidRPr="002261B9">
        <w:rPr>
          <w:sz w:val="20"/>
          <w:szCs w:val="20"/>
          <w:lang w:val="es-ES"/>
        </w:rPr>
        <w:t xml:space="preserve"> ya existentes en el comercio canadiense</w:t>
      </w:r>
      <w:r w:rsidR="00384BA4" w:rsidRPr="002261B9">
        <w:rPr>
          <w:sz w:val="20"/>
          <w:szCs w:val="20"/>
          <w:lang w:val="es-ES"/>
        </w:rPr>
        <w:t xml:space="preserve">. </w:t>
      </w:r>
      <w:r w:rsidR="00C16DF5" w:rsidRPr="002261B9">
        <w:rPr>
          <w:sz w:val="20"/>
          <w:szCs w:val="20"/>
          <w:lang w:val="es-ES"/>
        </w:rPr>
        <w:t xml:space="preserve">Con ese fin, el 30 de marzo de 2010 se firmó un </w:t>
      </w:r>
      <w:r w:rsidR="0028752D" w:rsidRPr="002261B9">
        <w:rPr>
          <w:sz w:val="20"/>
          <w:szCs w:val="20"/>
          <w:lang w:val="es-ES"/>
        </w:rPr>
        <w:t>Acuerdo sob</w:t>
      </w:r>
      <w:r w:rsidR="00915A19" w:rsidRPr="002261B9">
        <w:rPr>
          <w:sz w:val="20"/>
          <w:szCs w:val="20"/>
          <w:lang w:val="es-ES"/>
        </w:rPr>
        <w:t>r</w:t>
      </w:r>
      <w:r w:rsidR="0028752D" w:rsidRPr="002261B9">
        <w:rPr>
          <w:sz w:val="20"/>
          <w:szCs w:val="20"/>
          <w:lang w:val="es-ES"/>
        </w:rPr>
        <w:t xml:space="preserve">e el </w:t>
      </w:r>
      <w:r w:rsidR="00915A19" w:rsidRPr="002261B9">
        <w:rPr>
          <w:sz w:val="20"/>
          <w:szCs w:val="20"/>
          <w:lang w:val="es-ES"/>
        </w:rPr>
        <w:t>Desempeño Ambiental</w:t>
      </w:r>
      <w:r w:rsidR="00384BA4" w:rsidRPr="002261B9">
        <w:rPr>
          <w:sz w:val="20"/>
          <w:szCs w:val="20"/>
          <w:lang w:val="es-ES"/>
        </w:rPr>
        <w:t xml:space="preserve"> </w:t>
      </w:r>
      <w:r w:rsidR="00C16DF5" w:rsidRPr="002261B9">
        <w:rPr>
          <w:sz w:val="20"/>
          <w:szCs w:val="20"/>
          <w:lang w:val="es-ES"/>
        </w:rPr>
        <w:t>de carácter voluntario</w:t>
      </w:r>
      <w:r w:rsidR="00384BA4" w:rsidRPr="002261B9">
        <w:rPr>
          <w:sz w:val="20"/>
          <w:szCs w:val="20"/>
          <w:lang w:val="es-ES"/>
        </w:rPr>
        <w:t>.</w:t>
      </w:r>
      <w:r w:rsidR="00284890" w:rsidRPr="002261B9">
        <w:rPr>
          <w:sz w:val="20"/>
          <w:szCs w:val="20"/>
          <w:lang w:val="es-ES"/>
        </w:rPr>
        <w:t xml:space="preserve"> </w:t>
      </w:r>
      <w:r w:rsidR="00C16DF5" w:rsidRPr="002261B9">
        <w:rPr>
          <w:sz w:val="20"/>
          <w:szCs w:val="20"/>
          <w:lang w:val="es-ES"/>
        </w:rPr>
        <w:t>Los signatarios de ese Acuerdo convinieron en reducir en 95% la cantidad de PFOA y de ácidos perfluorocarboxílicos de cadena larga en los productos químicos fluorados en la red comercial canadiense antes del 31 de diciembre de 2010 y prácticamente eliminarl</w:t>
      </w:r>
      <w:r w:rsidR="00691DE1" w:rsidRPr="002261B9">
        <w:rPr>
          <w:sz w:val="20"/>
          <w:szCs w:val="20"/>
          <w:lang w:val="es-ES"/>
        </w:rPr>
        <w:t>os antes del 31 de diciembre de </w:t>
      </w:r>
      <w:r w:rsidR="00C16DF5" w:rsidRPr="002261B9">
        <w:rPr>
          <w:sz w:val="20"/>
          <w:szCs w:val="20"/>
          <w:lang w:val="es-ES"/>
        </w:rPr>
        <w:t xml:space="preserve">2015. </w:t>
      </w:r>
      <w:r w:rsidR="00384BA4" w:rsidRPr="002261B9">
        <w:rPr>
          <w:sz w:val="20"/>
          <w:szCs w:val="20"/>
          <w:lang w:val="es-ES"/>
        </w:rPr>
        <w:t>Las empresas participantes cumplieron los objetivos del Acuerdo y el informe final se publicó el 1 de junio de 2017</w:t>
      </w:r>
      <w:r w:rsidR="00672F8D" w:rsidRPr="002261B9">
        <w:rPr>
          <w:vertAlign w:val="superscript"/>
          <w:lang w:val="es-ES"/>
        </w:rPr>
        <w:footnoteReference w:id="7"/>
      </w:r>
      <w:r w:rsidR="00C16DF5" w:rsidRPr="002261B9">
        <w:rPr>
          <w:sz w:val="20"/>
          <w:szCs w:val="20"/>
          <w:lang w:val="es-ES"/>
        </w:rPr>
        <w:t>.</w:t>
      </w:r>
      <w:r w:rsidR="00284890" w:rsidRPr="002261B9">
        <w:rPr>
          <w:sz w:val="20"/>
          <w:szCs w:val="20"/>
          <w:lang w:val="es-ES"/>
        </w:rPr>
        <w:t xml:space="preserve"> </w:t>
      </w:r>
      <w:r w:rsidR="0028752D" w:rsidRPr="002261B9">
        <w:rPr>
          <w:sz w:val="20"/>
          <w:szCs w:val="20"/>
          <w:lang w:val="es-ES"/>
        </w:rPr>
        <w:t xml:space="preserve">En el Canadá, después de la evaluación exploratoria realizada en 2012, se consideró que el PFOA, sus sales y precursores cumplían </w:t>
      </w:r>
      <w:r w:rsidR="00FC03FC" w:rsidRPr="002261B9">
        <w:rPr>
          <w:sz w:val="20"/>
          <w:szCs w:val="20"/>
          <w:lang w:val="es-ES"/>
        </w:rPr>
        <w:t>el criterio establecido en el artículo</w:t>
      </w:r>
      <w:r w:rsidR="0028752D" w:rsidRPr="002261B9">
        <w:rPr>
          <w:sz w:val="20"/>
          <w:szCs w:val="20"/>
          <w:lang w:val="es-ES"/>
        </w:rPr>
        <w:t xml:space="preserve"> 64</w:t>
      </w:r>
      <w:r w:rsidR="002701C1" w:rsidRPr="002261B9">
        <w:rPr>
          <w:sz w:val="20"/>
          <w:szCs w:val="20"/>
          <w:lang w:val="es-ES"/>
        </w:rPr>
        <w:t xml:space="preserve"> a)</w:t>
      </w:r>
      <w:r w:rsidR="0028752D" w:rsidRPr="002261B9">
        <w:rPr>
          <w:sz w:val="20"/>
          <w:szCs w:val="20"/>
          <w:lang w:val="es-ES"/>
        </w:rPr>
        <w:t xml:space="preserve"> de la Ley</w:t>
      </w:r>
      <w:r w:rsidR="00C16DF5" w:rsidRPr="002261B9">
        <w:rPr>
          <w:sz w:val="20"/>
          <w:szCs w:val="20"/>
          <w:lang w:val="es-ES"/>
        </w:rPr>
        <w:t xml:space="preserve"> </w:t>
      </w:r>
      <w:r w:rsidR="0028752D" w:rsidRPr="002261B9">
        <w:rPr>
          <w:sz w:val="20"/>
          <w:szCs w:val="20"/>
          <w:lang w:val="es-ES"/>
        </w:rPr>
        <w:t>de Protección Ambiental de 1999 (CEPA) del país y se añadieron a la Lista de Sustancias Tóxicas del Anexo 1 de la Ley</w:t>
      </w:r>
      <w:r w:rsidR="006F712F" w:rsidRPr="002261B9">
        <w:rPr>
          <w:sz w:val="20"/>
          <w:szCs w:val="20"/>
          <w:lang w:val="es-ES"/>
        </w:rPr>
        <w:t xml:space="preserve">. </w:t>
      </w:r>
      <w:r w:rsidR="00B202A0" w:rsidRPr="002261B9">
        <w:rPr>
          <w:sz w:val="20"/>
          <w:szCs w:val="20"/>
          <w:lang w:val="es-ES"/>
        </w:rPr>
        <w:t xml:space="preserve">Además, en octubre de 2016, se publicó en el Canadá el Reglamento </w:t>
      </w:r>
      <w:r w:rsidR="00B202A0" w:rsidRPr="002261B9">
        <w:rPr>
          <w:sz w:val="20"/>
          <w:szCs w:val="20"/>
          <w:lang w:val="es-ES"/>
        </w:rPr>
        <w:lastRenderedPageBreak/>
        <w:t>por el que se enmienda el Reglamento relativo a la prohibición de determinadas sustancias tóxicas de</w:t>
      </w:r>
      <w:r w:rsidR="00630BB2" w:rsidRPr="002261B9">
        <w:rPr>
          <w:sz w:val="20"/>
          <w:szCs w:val="20"/>
          <w:lang w:val="es-ES"/>
        </w:rPr>
        <w:t> </w:t>
      </w:r>
      <w:r w:rsidR="00384BA4" w:rsidRPr="002261B9">
        <w:rPr>
          <w:sz w:val="20"/>
          <w:szCs w:val="20"/>
          <w:lang w:val="es-ES"/>
        </w:rPr>
        <w:t>2012</w:t>
      </w:r>
      <w:r w:rsidR="00B202A0" w:rsidRPr="002261B9">
        <w:rPr>
          <w:sz w:val="20"/>
          <w:szCs w:val="20"/>
          <w:lang w:val="es-ES"/>
        </w:rPr>
        <w:t>.</w:t>
      </w:r>
      <w:r w:rsidR="00284890" w:rsidRPr="002261B9">
        <w:rPr>
          <w:sz w:val="20"/>
          <w:szCs w:val="20"/>
          <w:lang w:val="es-ES"/>
        </w:rPr>
        <w:t xml:space="preserve"> </w:t>
      </w:r>
      <w:r w:rsidR="00B202A0" w:rsidRPr="002261B9">
        <w:rPr>
          <w:sz w:val="20"/>
          <w:szCs w:val="20"/>
          <w:lang w:val="es-ES"/>
        </w:rPr>
        <w:t>A partir del 23 de diciembre de 2016 queda</w:t>
      </w:r>
      <w:r w:rsidR="00883BA8" w:rsidRPr="002261B9">
        <w:rPr>
          <w:sz w:val="20"/>
          <w:szCs w:val="20"/>
          <w:lang w:val="es-ES"/>
        </w:rPr>
        <w:t>ro</w:t>
      </w:r>
      <w:r w:rsidR="00B202A0" w:rsidRPr="002261B9">
        <w:rPr>
          <w:sz w:val="20"/>
          <w:szCs w:val="20"/>
          <w:lang w:val="es-ES"/>
        </w:rPr>
        <w:t>n prohibidos</w:t>
      </w:r>
      <w:r w:rsidR="00691DE1" w:rsidRPr="002261B9">
        <w:rPr>
          <w:sz w:val="20"/>
          <w:szCs w:val="20"/>
          <w:lang w:val="es-ES"/>
        </w:rPr>
        <w:t xml:space="preserve"> en virtud de esas enmiendas el </w:t>
      </w:r>
      <w:r w:rsidR="00B202A0" w:rsidRPr="002261B9">
        <w:rPr>
          <w:sz w:val="20"/>
          <w:szCs w:val="20"/>
          <w:lang w:val="es-ES"/>
        </w:rPr>
        <w:t>PFOA, sus sales y precursores y los productos que los contengan, a menos que estén presentes en artículos manufacturados</w:t>
      </w:r>
      <w:r w:rsidR="00664464" w:rsidRPr="002261B9">
        <w:rPr>
          <w:vertAlign w:val="superscript"/>
          <w:lang w:val="es-ES"/>
        </w:rPr>
        <w:footnoteReference w:id="8"/>
      </w:r>
      <w:r w:rsidR="00B202A0" w:rsidRPr="002261B9">
        <w:rPr>
          <w:sz w:val="20"/>
          <w:szCs w:val="20"/>
          <w:lang w:val="es-ES"/>
        </w:rPr>
        <w:t>.</w:t>
      </w:r>
      <w:r w:rsidR="00284890" w:rsidRPr="002261B9">
        <w:rPr>
          <w:sz w:val="20"/>
          <w:szCs w:val="20"/>
          <w:lang w:val="es-ES"/>
        </w:rPr>
        <w:t xml:space="preserve"> </w:t>
      </w:r>
      <w:r w:rsidR="00B202A0" w:rsidRPr="002261B9">
        <w:rPr>
          <w:sz w:val="20"/>
          <w:szCs w:val="20"/>
          <w:lang w:val="es-ES"/>
        </w:rPr>
        <w:t>Por otra parte, en las enmiendas se prevén exenciones temporales y usos habituales permitidos en el caso de determinadas aplicaciones para las cuales se están creando alternativas o para las que en estos momentos no existen alternativas conocidas</w:t>
      </w:r>
      <w:r w:rsidR="00384BA4" w:rsidRPr="002261B9">
        <w:rPr>
          <w:sz w:val="20"/>
          <w:szCs w:val="20"/>
          <w:lang w:val="es-ES"/>
        </w:rPr>
        <w:t xml:space="preserve"> (Canad</w:t>
      </w:r>
      <w:r w:rsidR="00EB2E2E" w:rsidRPr="002261B9">
        <w:rPr>
          <w:sz w:val="20"/>
          <w:szCs w:val="20"/>
          <w:lang w:val="es-ES"/>
        </w:rPr>
        <w:t>á</w:t>
      </w:r>
      <w:r w:rsidR="004904E9" w:rsidRPr="002261B9">
        <w:rPr>
          <w:sz w:val="20"/>
          <w:szCs w:val="20"/>
          <w:lang w:val="es-ES"/>
        </w:rPr>
        <w:t>,</w:t>
      </w:r>
      <w:r w:rsidR="007D0A73" w:rsidRPr="002261B9">
        <w:rPr>
          <w:sz w:val="20"/>
          <w:szCs w:val="20"/>
          <w:lang w:val="es-ES"/>
        </w:rPr>
        <w:t xml:space="preserve"> 2</w:t>
      </w:r>
      <w:r w:rsidR="00384BA4" w:rsidRPr="002261B9">
        <w:rPr>
          <w:sz w:val="20"/>
          <w:szCs w:val="20"/>
          <w:lang w:val="es-ES"/>
        </w:rPr>
        <w:t>016c</w:t>
      </w:r>
      <w:r w:rsidR="006F712F" w:rsidRPr="002261B9">
        <w:rPr>
          <w:sz w:val="20"/>
          <w:szCs w:val="20"/>
          <w:lang w:val="es-ES"/>
        </w:rPr>
        <w:t>)</w:t>
      </w:r>
      <w:r w:rsidR="00384BA4" w:rsidRPr="002261B9">
        <w:rPr>
          <w:sz w:val="20"/>
          <w:szCs w:val="20"/>
          <w:lang w:val="es-ES"/>
        </w:rPr>
        <w:t>; para más detalles, véase la sección 2</w:t>
      </w:r>
      <w:r w:rsidR="00FC03FC" w:rsidRPr="002261B9">
        <w:rPr>
          <w:sz w:val="20"/>
          <w:szCs w:val="20"/>
          <w:lang w:val="es-ES"/>
        </w:rPr>
        <w:t>.</w:t>
      </w:r>
      <w:r w:rsidR="00384BA4" w:rsidRPr="002261B9">
        <w:rPr>
          <w:sz w:val="20"/>
          <w:szCs w:val="20"/>
          <w:lang w:val="es-ES"/>
        </w:rPr>
        <w:t>2);</w:t>
      </w:r>
    </w:p>
    <w:p w14:paraId="0B58CFA4" w14:textId="72336117" w:rsidR="00F443BD"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f)</w:t>
      </w:r>
      <w:r w:rsidRPr="002261B9">
        <w:rPr>
          <w:sz w:val="20"/>
          <w:szCs w:val="20"/>
          <w:lang w:val="es-ES"/>
        </w:rPr>
        <w:tab/>
      </w:r>
      <w:r w:rsidR="00007B08" w:rsidRPr="002261B9">
        <w:rPr>
          <w:sz w:val="20"/>
          <w:szCs w:val="20"/>
          <w:lang w:val="es-ES"/>
        </w:rPr>
        <w:t>En los Estados Unidos</w:t>
      </w:r>
      <w:r w:rsidR="00AF2385" w:rsidRPr="002261B9">
        <w:rPr>
          <w:sz w:val="20"/>
          <w:szCs w:val="20"/>
          <w:lang w:val="es-ES"/>
        </w:rPr>
        <w:t>,</w:t>
      </w:r>
      <w:r w:rsidR="00007B08" w:rsidRPr="002261B9">
        <w:rPr>
          <w:sz w:val="20"/>
          <w:szCs w:val="20"/>
          <w:lang w:val="es-ES"/>
        </w:rPr>
        <w:t xml:space="preserve"> la Agencia </w:t>
      </w:r>
      <w:r w:rsidR="004A7A47" w:rsidRPr="002261B9">
        <w:rPr>
          <w:sz w:val="20"/>
          <w:szCs w:val="20"/>
          <w:lang w:val="es-ES"/>
        </w:rPr>
        <w:t xml:space="preserve">de Protección Ambiental </w:t>
      </w:r>
      <w:r w:rsidR="00007B08" w:rsidRPr="002261B9">
        <w:rPr>
          <w:sz w:val="20"/>
          <w:szCs w:val="20"/>
          <w:lang w:val="es-ES"/>
        </w:rPr>
        <w:t>estableció en 2006 el Programa de Gestión Administrativa del PFOA. Este programa incluye a los ocho principales fabricantes de PFOA, sus sales y compuestos conexos del PFOA</w:t>
      </w:r>
      <w:r w:rsidR="00284890" w:rsidRPr="002261B9">
        <w:rPr>
          <w:sz w:val="20"/>
          <w:szCs w:val="20"/>
          <w:lang w:val="es-ES"/>
        </w:rPr>
        <w:t xml:space="preserve"> </w:t>
      </w:r>
      <w:r w:rsidR="00007B08" w:rsidRPr="002261B9">
        <w:rPr>
          <w:sz w:val="20"/>
          <w:szCs w:val="20"/>
          <w:lang w:val="es-ES"/>
        </w:rPr>
        <w:t>en la OCDE (Arkema, Asahi, BASF, Clariant, Daikin, 3M/Dyneon, DuPont y Solvay Solexis). El programa fue una iniciativa de carácter voluntario para la eliminación sustancial de la fabricación y el uso de PFOA, sus precursores y sustancias homólogas conexas con más carbonos (</w:t>
      </w:r>
      <w:r w:rsidR="005C3021" w:rsidRPr="002261B9">
        <w:rPr>
          <w:sz w:val="20"/>
          <w:szCs w:val="20"/>
          <w:lang w:val="es-ES"/>
        </w:rPr>
        <w:t>USEPA</w:t>
      </w:r>
      <w:r w:rsidR="004904E9" w:rsidRPr="002261B9">
        <w:rPr>
          <w:sz w:val="20"/>
          <w:szCs w:val="20"/>
          <w:lang w:val="es-ES"/>
        </w:rPr>
        <w:t>,</w:t>
      </w:r>
      <w:r w:rsidR="007D0A73" w:rsidRPr="002261B9">
        <w:rPr>
          <w:sz w:val="20"/>
          <w:szCs w:val="20"/>
          <w:lang w:val="es-ES"/>
        </w:rPr>
        <w:t xml:space="preserve"> 2</w:t>
      </w:r>
      <w:r w:rsidR="00007B08" w:rsidRPr="002261B9">
        <w:rPr>
          <w:sz w:val="20"/>
          <w:szCs w:val="20"/>
          <w:lang w:val="es-ES"/>
        </w:rPr>
        <w:t>015</w:t>
      </w:r>
      <w:r w:rsidR="00452DB2" w:rsidRPr="002261B9">
        <w:rPr>
          <w:sz w:val="20"/>
          <w:szCs w:val="20"/>
          <w:lang w:val="es-ES"/>
        </w:rPr>
        <w:t>)</w:t>
      </w:r>
      <w:r w:rsidR="00007B08" w:rsidRPr="002261B9">
        <w:rPr>
          <w:sz w:val="20"/>
          <w:szCs w:val="20"/>
          <w:lang w:val="es-ES"/>
        </w:rPr>
        <w:t xml:space="preserve">. El programa concluyó con todo éxito a finales de 2015. </w:t>
      </w:r>
      <w:r w:rsidR="009476C0" w:rsidRPr="002261B9">
        <w:rPr>
          <w:sz w:val="20"/>
          <w:szCs w:val="20"/>
          <w:lang w:val="es-ES"/>
        </w:rPr>
        <w:t xml:space="preserve">El 21 de enero de </w:t>
      </w:r>
      <w:r w:rsidR="00007B08" w:rsidRPr="002261B9">
        <w:rPr>
          <w:sz w:val="20"/>
          <w:szCs w:val="20"/>
          <w:lang w:val="es-ES"/>
        </w:rPr>
        <w:t xml:space="preserve">2015, </w:t>
      </w:r>
      <w:r w:rsidR="009476C0" w:rsidRPr="002261B9">
        <w:rPr>
          <w:sz w:val="20"/>
          <w:szCs w:val="20"/>
          <w:lang w:val="es-ES"/>
        </w:rPr>
        <w:t xml:space="preserve">la </w:t>
      </w:r>
      <w:r w:rsidR="002560D0" w:rsidRPr="002261B9">
        <w:rPr>
          <w:sz w:val="20"/>
          <w:szCs w:val="20"/>
          <w:lang w:val="es-ES"/>
        </w:rPr>
        <w:t>Agencia</w:t>
      </w:r>
      <w:r w:rsidR="00D27EF9" w:rsidRPr="002261B9">
        <w:rPr>
          <w:sz w:val="20"/>
          <w:szCs w:val="20"/>
          <w:lang w:val="es-ES"/>
        </w:rPr>
        <w:t xml:space="preserve"> </w:t>
      </w:r>
      <w:r w:rsidR="00007B08" w:rsidRPr="002261B9">
        <w:rPr>
          <w:sz w:val="20"/>
          <w:szCs w:val="20"/>
          <w:lang w:val="es-ES"/>
        </w:rPr>
        <w:t>prop</w:t>
      </w:r>
      <w:r w:rsidR="009476C0" w:rsidRPr="002261B9">
        <w:rPr>
          <w:sz w:val="20"/>
          <w:szCs w:val="20"/>
          <w:lang w:val="es-ES"/>
        </w:rPr>
        <w:t xml:space="preserve">uso una </w:t>
      </w:r>
      <w:r w:rsidR="0078032D" w:rsidRPr="002261B9">
        <w:rPr>
          <w:sz w:val="20"/>
          <w:szCs w:val="20"/>
          <w:lang w:val="es-ES"/>
        </w:rPr>
        <w:t>n</w:t>
      </w:r>
      <w:r w:rsidR="00CB3CEE" w:rsidRPr="002261B9">
        <w:rPr>
          <w:sz w:val="20"/>
          <w:szCs w:val="20"/>
          <w:lang w:val="es-ES"/>
        </w:rPr>
        <w:t>orm</w:t>
      </w:r>
      <w:r w:rsidR="0078032D" w:rsidRPr="002261B9">
        <w:rPr>
          <w:sz w:val="20"/>
          <w:szCs w:val="20"/>
          <w:lang w:val="es-ES"/>
        </w:rPr>
        <w:t>a sobre nuevos usos importantes</w:t>
      </w:r>
      <w:r w:rsidR="00CB3CEE" w:rsidRPr="002261B9">
        <w:rPr>
          <w:sz w:val="20"/>
          <w:szCs w:val="20"/>
          <w:lang w:val="es-ES"/>
        </w:rPr>
        <w:t xml:space="preserve"> </w:t>
      </w:r>
      <w:r w:rsidR="00B73A31" w:rsidRPr="002261B9">
        <w:rPr>
          <w:sz w:val="20"/>
          <w:szCs w:val="20"/>
          <w:lang w:val="es-ES"/>
        </w:rPr>
        <w:t xml:space="preserve">en </w:t>
      </w:r>
      <w:r w:rsidR="00CB3CEE" w:rsidRPr="002261B9">
        <w:rPr>
          <w:sz w:val="20"/>
          <w:szCs w:val="20"/>
          <w:lang w:val="es-ES"/>
        </w:rPr>
        <w:t xml:space="preserve">el marco de la </w:t>
      </w:r>
      <w:r w:rsidR="00B73A31" w:rsidRPr="002261B9">
        <w:rPr>
          <w:sz w:val="20"/>
          <w:szCs w:val="20"/>
          <w:lang w:val="es-ES"/>
        </w:rPr>
        <w:t>Ley sobre el Control de Sustancias Tóxicas</w:t>
      </w:r>
      <w:r w:rsidR="00007B08" w:rsidRPr="002261B9">
        <w:rPr>
          <w:sz w:val="20"/>
          <w:szCs w:val="20"/>
          <w:lang w:val="es-ES"/>
        </w:rPr>
        <w:t xml:space="preserve"> </w:t>
      </w:r>
      <w:r w:rsidR="009476C0" w:rsidRPr="002261B9">
        <w:rPr>
          <w:sz w:val="20"/>
          <w:szCs w:val="20"/>
          <w:lang w:val="es-ES"/>
        </w:rPr>
        <w:t xml:space="preserve">a fin de exigir a los fabricantes de </w:t>
      </w:r>
      <w:r w:rsidR="00007B08" w:rsidRPr="002261B9">
        <w:rPr>
          <w:sz w:val="20"/>
          <w:szCs w:val="20"/>
          <w:lang w:val="es-ES"/>
        </w:rPr>
        <w:t xml:space="preserve">PFOA </w:t>
      </w:r>
      <w:r w:rsidR="009476C0" w:rsidRPr="002261B9">
        <w:rPr>
          <w:sz w:val="20"/>
          <w:szCs w:val="20"/>
          <w:lang w:val="es-ES"/>
        </w:rPr>
        <w:t xml:space="preserve">y productos químicos conexos del </w:t>
      </w:r>
      <w:r w:rsidR="00007B08" w:rsidRPr="002261B9">
        <w:rPr>
          <w:sz w:val="20"/>
          <w:szCs w:val="20"/>
          <w:lang w:val="es-ES"/>
        </w:rPr>
        <w:t>PFOA, inclu</w:t>
      </w:r>
      <w:r w:rsidR="009476C0" w:rsidRPr="002261B9">
        <w:rPr>
          <w:sz w:val="20"/>
          <w:szCs w:val="20"/>
          <w:lang w:val="es-ES"/>
        </w:rPr>
        <w:t>so como parte de artículos</w:t>
      </w:r>
      <w:r w:rsidR="00007B08" w:rsidRPr="002261B9">
        <w:rPr>
          <w:sz w:val="20"/>
          <w:szCs w:val="20"/>
          <w:lang w:val="es-ES"/>
        </w:rPr>
        <w:t xml:space="preserve">, </w:t>
      </w:r>
      <w:r w:rsidR="009476C0" w:rsidRPr="002261B9">
        <w:rPr>
          <w:sz w:val="20"/>
          <w:szCs w:val="20"/>
          <w:lang w:val="es-ES"/>
        </w:rPr>
        <w:t xml:space="preserve">y a los procesadores de estos productos químicos que notifiquen a la </w:t>
      </w:r>
      <w:r w:rsidR="00D27EF9" w:rsidRPr="002261B9">
        <w:rPr>
          <w:sz w:val="20"/>
          <w:szCs w:val="20"/>
          <w:lang w:val="es-ES"/>
        </w:rPr>
        <w:t>Agencia de Protección Ambiental</w:t>
      </w:r>
      <w:r w:rsidR="009476C0" w:rsidRPr="002261B9">
        <w:rPr>
          <w:sz w:val="20"/>
          <w:szCs w:val="20"/>
          <w:lang w:val="es-ES"/>
        </w:rPr>
        <w:t xml:space="preserve"> como mínimo </w:t>
      </w:r>
      <w:r w:rsidR="00007B08" w:rsidRPr="002261B9">
        <w:rPr>
          <w:sz w:val="20"/>
          <w:szCs w:val="20"/>
          <w:lang w:val="es-ES"/>
        </w:rPr>
        <w:t>90 d</w:t>
      </w:r>
      <w:r w:rsidR="009476C0" w:rsidRPr="002261B9">
        <w:rPr>
          <w:sz w:val="20"/>
          <w:szCs w:val="20"/>
          <w:lang w:val="es-ES"/>
        </w:rPr>
        <w:t>ías antes de comenzar o reanudar nuevos usos de esos productos químicos en cualquier producto</w:t>
      </w:r>
      <w:r w:rsidR="00007B08" w:rsidRPr="002261B9">
        <w:rPr>
          <w:sz w:val="20"/>
          <w:szCs w:val="20"/>
          <w:lang w:val="es-ES"/>
        </w:rPr>
        <w:t xml:space="preserve">. </w:t>
      </w:r>
      <w:r w:rsidR="009476C0" w:rsidRPr="002261B9">
        <w:rPr>
          <w:sz w:val="20"/>
          <w:szCs w:val="20"/>
          <w:lang w:val="es-ES"/>
        </w:rPr>
        <w:t xml:space="preserve">Esta notificación daría a la </w:t>
      </w:r>
      <w:r w:rsidR="00D27EF9" w:rsidRPr="002261B9">
        <w:rPr>
          <w:sz w:val="20"/>
          <w:szCs w:val="20"/>
          <w:lang w:val="es-ES"/>
        </w:rPr>
        <w:t>Agencia de Protección Ambiental</w:t>
      </w:r>
      <w:r w:rsidR="00007B08" w:rsidRPr="002261B9">
        <w:rPr>
          <w:sz w:val="20"/>
          <w:szCs w:val="20"/>
          <w:lang w:val="es-ES"/>
        </w:rPr>
        <w:t xml:space="preserve"> </w:t>
      </w:r>
      <w:r w:rsidR="009476C0" w:rsidRPr="002261B9">
        <w:rPr>
          <w:sz w:val="20"/>
          <w:szCs w:val="20"/>
          <w:lang w:val="es-ES"/>
        </w:rPr>
        <w:t xml:space="preserve">la oportunidad de evaluar el nuevo uso y, de ser necesario, </w:t>
      </w:r>
      <w:r w:rsidR="00B73A31" w:rsidRPr="002261B9">
        <w:rPr>
          <w:sz w:val="20"/>
          <w:szCs w:val="20"/>
          <w:lang w:val="es-ES"/>
        </w:rPr>
        <w:t>adoptar medidas para prohibir o limitar la actividad</w:t>
      </w:r>
      <w:r w:rsidR="008A686A" w:rsidRPr="002261B9">
        <w:rPr>
          <w:vertAlign w:val="superscript"/>
          <w:lang w:val="es-ES"/>
        </w:rPr>
        <w:footnoteReference w:id="9"/>
      </w:r>
      <w:r w:rsidR="00B73A31" w:rsidRPr="002261B9">
        <w:rPr>
          <w:sz w:val="20"/>
          <w:szCs w:val="20"/>
          <w:lang w:val="es-ES"/>
        </w:rPr>
        <w:t>.</w:t>
      </w:r>
      <w:r w:rsidR="00B202A0" w:rsidRPr="002261B9">
        <w:rPr>
          <w:sz w:val="20"/>
          <w:szCs w:val="20"/>
          <w:lang w:val="es-ES"/>
        </w:rPr>
        <w:t xml:space="preserve"> Pese a que, en general, los polímeros que cumplan los requisitos están exentos de todo el proceso de notificación previa y examen del nuevo producto químico antes de la fabricación,</w:t>
      </w:r>
      <w:r w:rsidR="00D36544" w:rsidRPr="002261B9">
        <w:rPr>
          <w:sz w:val="20"/>
          <w:szCs w:val="20"/>
          <w:lang w:val="es-ES"/>
        </w:rPr>
        <w:t xml:space="preserve"> </w:t>
      </w:r>
      <w:r w:rsidR="00B202A0" w:rsidRPr="002261B9">
        <w:rPr>
          <w:sz w:val="20"/>
          <w:szCs w:val="20"/>
          <w:lang w:val="es-ES"/>
        </w:rPr>
        <w:t xml:space="preserve">con efecto a partir del </w:t>
      </w:r>
      <w:r w:rsidR="00D36544" w:rsidRPr="002261B9">
        <w:rPr>
          <w:sz w:val="20"/>
          <w:szCs w:val="20"/>
          <w:lang w:val="es-ES"/>
        </w:rPr>
        <w:t xml:space="preserve">26 </w:t>
      </w:r>
      <w:r w:rsidR="00B202A0" w:rsidRPr="002261B9">
        <w:rPr>
          <w:sz w:val="20"/>
          <w:szCs w:val="20"/>
          <w:lang w:val="es-ES"/>
        </w:rPr>
        <w:t xml:space="preserve">de enero de </w:t>
      </w:r>
      <w:r w:rsidR="00D36544" w:rsidRPr="002261B9">
        <w:rPr>
          <w:sz w:val="20"/>
          <w:szCs w:val="20"/>
          <w:lang w:val="es-ES"/>
        </w:rPr>
        <w:t>2010</w:t>
      </w:r>
      <w:r w:rsidR="00B202A0" w:rsidRPr="002261B9">
        <w:rPr>
          <w:sz w:val="20"/>
          <w:szCs w:val="20"/>
          <w:lang w:val="es-ES"/>
        </w:rPr>
        <w:t xml:space="preserve">, la </w:t>
      </w:r>
      <w:r w:rsidR="005C3021" w:rsidRPr="002261B9">
        <w:rPr>
          <w:sz w:val="20"/>
          <w:szCs w:val="20"/>
          <w:lang w:val="es-ES"/>
        </w:rPr>
        <w:t>USEPA</w:t>
      </w:r>
      <w:r w:rsidR="00B202A0" w:rsidRPr="002261B9">
        <w:rPr>
          <w:sz w:val="20"/>
          <w:szCs w:val="20"/>
          <w:lang w:val="es-ES"/>
        </w:rPr>
        <w:t xml:space="preserve"> anuló la exención para los polímeros que contuvieran como parte integrante de su composición, a menos que fueran impurezas, determinados perfluoroalquilos combinados con una longitud de cadena de </w:t>
      </w:r>
      <w:r w:rsidR="00DF05D7" w:rsidRPr="002261B9">
        <w:rPr>
          <w:sz w:val="20"/>
          <w:szCs w:val="20"/>
          <w:lang w:val="es-ES"/>
        </w:rPr>
        <w:t xml:space="preserve">al menos </w:t>
      </w:r>
      <w:r w:rsidR="00D36544" w:rsidRPr="002261B9">
        <w:rPr>
          <w:sz w:val="20"/>
          <w:szCs w:val="20"/>
          <w:lang w:val="es-ES"/>
        </w:rPr>
        <w:t>CF</w:t>
      </w:r>
      <w:r w:rsidR="00DF05D7" w:rsidRPr="002261B9">
        <w:rPr>
          <w:sz w:val="20"/>
          <w:szCs w:val="20"/>
          <w:vertAlign w:val="subscript"/>
          <w:lang w:val="es-ES"/>
        </w:rPr>
        <w:t>3</w:t>
      </w:r>
      <w:r w:rsidR="0078032D" w:rsidRPr="002261B9">
        <w:rPr>
          <w:sz w:val="20"/>
          <w:szCs w:val="20"/>
          <w:lang w:val="es-ES"/>
        </w:rPr>
        <w:t>-</w:t>
      </w:r>
      <w:r w:rsidR="00D36544" w:rsidRPr="002261B9">
        <w:rPr>
          <w:sz w:val="20"/>
          <w:szCs w:val="20"/>
          <w:lang w:val="es-ES"/>
        </w:rPr>
        <w:t>.</w:t>
      </w:r>
      <w:r w:rsidR="00B202A0" w:rsidRPr="002261B9">
        <w:rPr>
          <w:sz w:val="20"/>
          <w:szCs w:val="20"/>
          <w:lang w:val="es-ES"/>
        </w:rPr>
        <w:t xml:space="preserve"> </w:t>
      </w:r>
      <w:r w:rsidR="00B73A31" w:rsidRPr="002261B9">
        <w:rPr>
          <w:sz w:val="20"/>
          <w:szCs w:val="20"/>
          <w:lang w:val="es-ES"/>
        </w:rPr>
        <w:t xml:space="preserve">Esta </w:t>
      </w:r>
      <w:r w:rsidR="007D6188" w:rsidRPr="002261B9">
        <w:rPr>
          <w:sz w:val="20"/>
          <w:szCs w:val="20"/>
          <w:lang w:val="es-ES"/>
        </w:rPr>
        <w:t>exclusió</w:t>
      </w:r>
      <w:r w:rsidR="00B73A31" w:rsidRPr="002261B9">
        <w:rPr>
          <w:sz w:val="20"/>
          <w:szCs w:val="20"/>
          <w:lang w:val="es-ES"/>
        </w:rPr>
        <w:t xml:space="preserve">n </w:t>
      </w:r>
      <w:r w:rsidR="0074450D" w:rsidRPr="002261B9">
        <w:rPr>
          <w:sz w:val="20"/>
          <w:szCs w:val="20"/>
          <w:lang w:val="es-ES"/>
        </w:rPr>
        <w:t xml:space="preserve">abarca a </w:t>
      </w:r>
      <w:r w:rsidR="00B73A31" w:rsidRPr="002261B9">
        <w:rPr>
          <w:sz w:val="20"/>
          <w:szCs w:val="20"/>
          <w:lang w:val="es-ES"/>
        </w:rPr>
        <w:t>los polímeros que contienen uno o más de los productos qu</w:t>
      </w:r>
      <w:r w:rsidR="007D6188" w:rsidRPr="002261B9">
        <w:rPr>
          <w:sz w:val="20"/>
          <w:szCs w:val="20"/>
          <w:lang w:val="es-ES"/>
        </w:rPr>
        <w:t>ím</w:t>
      </w:r>
      <w:r w:rsidR="00B73A31" w:rsidRPr="002261B9">
        <w:rPr>
          <w:sz w:val="20"/>
          <w:szCs w:val="20"/>
          <w:lang w:val="es-ES"/>
        </w:rPr>
        <w:t>icos</w:t>
      </w:r>
      <w:r w:rsidR="00D27EF9" w:rsidRPr="002261B9">
        <w:rPr>
          <w:sz w:val="20"/>
          <w:szCs w:val="20"/>
          <w:lang w:val="es-ES"/>
        </w:rPr>
        <w:t xml:space="preserve"> siguientes</w:t>
      </w:r>
      <w:r w:rsidR="00007B08" w:rsidRPr="002261B9">
        <w:rPr>
          <w:sz w:val="20"/>
          <w:szCs w:val="20"/>
          <w:lang w:val="es-ES"/>
        </w:rPr>
        <w:t xml:space="preserve">: </w:t>
      </w:r>
      <w:r w:rsidR="00B73A31" w:rsidRPr="002261B9">
        <w:rPr>
          <w:sz w:val="20"/>
          <w:szCs w:val="20"/>
          <w:lang w:val="es-ES"/>
        </w:rPr>
        <w:t>sulfonatos perfluoroalquilos</w:t>
      </w:r>
      <w:r w:rsidR="00007B08" w:rsidRPr="002261B9">
        <w:rPr>
          <w:sz w:val="20"/>
          <w:szCs w:val="20"/>
          <w:lang w:val="es-ES"/>
        </w:rPr>
        <w:t xml:space="preserve"> (PFAS), </w:t>
      </w:r>
      <w:r w:rsidR="00B73A31" w:rsidRPr="002261B9">
        <w:rPr>
          <w:sz w:val="20"/>
          <w:szCs w:val="20"/>
          <w:lang w:val="es-ES"/>
        </w:rPr>
        <w:t>carboxilatos perfluoroalquilos</w:t>
      </w:r>
      <w:r w:rsidR="00007B08" w:rsidRPr="002261B9">
        <w:rPr>
          <w:sz w:val="20"/>
          <w:szCs w:val="20"/>
          <w:lang w:val="es-ES"/>
        </w:rPr>
        <w:t xml:space="preserve"> (PFAC), fluorotel</w:t>
      </w:r>
      <w:r w:rsidR="00B73A31" w:rsidRPr="002261B9">
        <w:rPr>
          <w:sz w:val="20"/>
          <w:szCs w:val="20"/>
          <w:lang w:val="es-ES"/>
        </w:rPr>
        <w:t>ómeros</w:t>
      </w:r>
      <w:r w:rsidR="00007B08" w:rsidRPr="002261B9">
        <w:rPr>
          <w:sz w:val="20"/>
          <w:szCs w:val="20"/>
          <w:lang w:val="es-ES"/>
        </w:rPr>
        <w:t xml:space="preserve"> o </w:t>
      </w:r>
      <w:r w:rsidR="007D2A3C" w:rsidRPr="002261B9">
        <w:rPr>
          <w:sz w:val="20"/>
          <w:szCs w:val="20"/>
          <w:lang w:val="es-ES"/>
        </w:rPr>
        <w:t xml:space="preserve">grupos funcionales </w:t>
      </w:r>
      <w:r w:rsidR="00B73A31" w:rsidRPr="002261B9">
        <w:rPr>
          <w:sz w:val="20"/>
          <w:szCs w:val="20"/>
          <w:lang w:val="es-ES"/>
        </w:rPr>
        <w:t xml:space="preserve">de perfluoroalquilos que </w:t>
      </w:r>
      <w:r w:rsidR="007D2A3C" w:rsidRPr="002261B9">
        <w:rPr>
          <w:sz w:val="20"/>
          <w:szCs w:val="20"/>
          <w:lang w:val="es-ES"/>
        </w:rPr>
        <w:t>está</w:t>
      </w:r>
      <w:r w:rsidR="00AE3CEF" w:rsidRPr="002261B9">
        <w:rPr>
          <w:sz w:val="20"/>
          <w:szCs w:val="20"/>
          <w:lang w:val="es-ES"/>
        </w:rPr>
        <w:t>n</w:t>
      </w:r>
      <w:r w:rsidR="007D2A3C" w:rsidRPr="002261B9">
        <w:rPr>
          <w:sz w:val="20"/>
          <w:szCs w:val="20"/>
          <w:lang w:val="es-ES"/>
        </w:rPr>
        <w:t xml:space="preserve"> unidos mediante un enlace </w:t>
      </w:r>
      <w:r w:rsidR="007D6188" w:rsidRPr="002261B9">
        <w:rPr>
          <w:sz w:val="20"/>
          <w:szCs w:val="20"/>
          <w:lang w:val="es-ES"/>
        </w:rPr>
        <w:t>covalente</w:t>
      </w:r>
      <w:r w:rsidR="00007B08" w:rsidRPr="002261B9">
        <w:rPr>
          <w:sz w:val="20"/>
          <w:szCs w:val="20"/>
          <w:lang w:val="es-ES"/>
        </w:rPr>
        <w:t xml:space="preserve"> </w:t>
      </w:r>
      <w:r w:rsidR="00B73A31" w:rsidRPr="002261B9">
        <w:rPr>
          <w:sz w:val="20"/>
          <w:szCs w:val="20"/>
          <w:lang w:val="es-ES"/>
        </w:rPr>
        <w:t xml:space="preserve">con un átomo de carbono o de azufre, </w:t>
      </w:r>
      <w:r w:rsidR="007D2A3C" w:rsidRPr="002261B9">
        <w:rPr>
          <w:sz w:val="20"/>
          <w:szCs w:val="20"/>
          <w:lang w:val="es-ES"/>
        </w:rPr>
        <w:t>donde el</w:t>
      </w:r>
      <w:r w:rsidR="00B73A31" w:rsidRPr="002261B9">
        <w:rPr>
          <w:sz w:val="20"/>
          <w:szCs w:val="20"/>
          <w:lang w:val="es-ES"/>
        </w:rPr>
        <w:t xml:space="preserve"> carbono o el azufre </w:t>
      </w:r>
      <w:r w:rsidR="007D2A3C" w:rsidRPr="002261B9">
        <w:rPr>
          <w:sz w:val="20"/>
          <w:szCs w:val="20"/>
          <w:lang w:val="es-ES"/>
        </w:rPr>
        <w:t>son</w:t>
      </w:r>
      <w:r w:rsidR="00B73A31" w:rsidRPr="002261B9">
        <w:rPr>
          <w:sz w:val="20"/>
          <w:szCs w:val="20"/>
          <w:lang w:val="es-ES"/>
        </w:rPr>
        <w:t xml:space="preserve"> parte integrante de la molécula del polímero</w:t>
      </w:r>
      <w:r w:rsidR="00007B08" w:rsidRPr="002261B9">
        <w:rPr>
          <w:sz w:val="20"/>
          <w:szCs w:val="20"/>
          <w:lang w:val="es-ES"/>
        </w:rPr>
        <w:t xml:space="preserve"> (FR 2010 01</w:t>
      </w:r>
      <w:r w:rsidR="00D27EF9" w:rsidRPr="002261B9">
        <w:rPr>
          <w:sz w:val="20"/>
          <w:szCs w:val="20"/>
          <w:lang w:val="es-ES"/>
        </w:rPr>
        <w:t xml:space="preserve"> a </w:t>
      </w:r>
      <w:r w:rsidR="00007B08" w:rsidRPr="002261B9">
        <w:rPr>
          <w:sz w:val="20"/>
          <w:szCs w:val="20"/>
          <w:lang w:val="es-ES"/>
        </w:rPr>
        <w:t>27);</w:t>
      </w:r>
      <w:bookmarkStart w:id="18" w:name="_Ref488140467"/>
    </w:p>
    <w:p w14:paraId="74950066" w14:textId="18852148" w:rsidR="004127F3" w:rsidRPr="002261B9" w:rsidRDefault="00F443BD" w:rsidP="00630BB2">
      <w:pPr>
        <w:pStyle w:val="ListParagraph"/>
        <w:widowControl w:val="0"/>
        <w:tabs>
          <w:tab w:val="left" w:pos="624"/>
        </w:tabs>
        <w:snapToGrid w:val="0"/>
        <w:spacing w:after="120"/>
        <w:ind w:left="1247" w:firstLine="624"/>
        <w:contextualSpacing w:val="0"/>
        <w:rPr>
          <w:sz w:val="20"/>
          <w:szCs w:val="20"/>
          <w:lang w:val="es-ES"/>
        </w:rPr>
      </w:pPr>
      <w:r w:rsidRPr="002261B9">
        <w:rPr>
          <w:sz w:val="20"/>
          <w:szCs w:val="20"/>
          <w:lang w:val="es-ES"/>
        </w:rPr>
        <w:t>g)</w:t>
      </w:r>
      <w:r w:rsidRPr="002261B9">
        <w:rPr>
          <w:sz w:val="20"/>
          <w:szCs w:val="20"/>
          <w:lang w:val="es-ES"/>
        </w:rPr>
        <w:tab/>
      </w:r>
      <w:r w:rsidR="00EB2E2E" w:rsidRPr="002261B9">
        <w:rPr>
          <w:sz w:val="20"/>
          <w:szCs w:val="20"/>
          <w:lang w:val="es-ES"/>
        </w:rPr>
        <w:t>E</w:t>
      </w:r>
      <w:r w:rsidR="004127F3" w:rsidRPr="002261B9">
        <w:rPr>
          <w:sz w:val="20"/>
          <w:szCs w:val="20"/>
          <w:lang w:val="es-ES"/>
        </w:rPr>
        <w:t>n China</w:t>
      </w:r>
      <w:r w:rsidR="00EB2E2E" w:rsidRPr="002261B9">
        <w:rPr>
          <w:sz w:val="20"/>
          <w:szCs w:val="20"/>
          <w:lang w:val="es-ES"/>
        </w:rPr>
        <w:t xml:space="preserve"> se adoptaron diversas medidas nacionales en </w:t>
      </w:r>
      <w:r w:rsidR="004127F3" w:rsidRPr="002261B9">
        <w:rPr>
          <w:sz w:val="20"/>
          <w:szCs w:val="20"/>
          <w:lang w:val="es-ES"/>
        </w:rPr>
        <w:t xml:space="preserve">2011 </w:t>
      </w:r>
      <w:r w:rsidR="00EB2E2E" w:rsidRPr="002261B9">
        <w:rPr>
          <w:sz w:val="20"/>
          <w:szCs w:val="20"/>
          <w:lang w:val="es-ES"/>
        </w:rPr>
        <w:t xml:space="preserve">para restringir la instalación de nuevas plantas de producción de </w:t>
      </w:r>
      <w:r w:rsidR="004127F3" w:rsidRPr="002261B9">
        <w:rPr>
          <w:sz w:val="20"/>
          <w:szCs w:val="20"/>
          <w:lang w:val="es-ES"/>
        </w:rPr>
        <w:t>PFOA</w:t>
      </w:r>
      <w:r w:rsidR="00EB2E2E" w:rsidRPr="002261B9">
        <w:rPr>
          <w:sz w:val="20"/>
          <w:szCs w:val="20"/>
          <w:lang w:val="es-ES"/>
        </w:rPr>
        <w:t xml:space="preserve"> a fin de eliminar las pinturas que los contienen</w:t>
      </w:r>
      <w:r w:rsidR="004127F3" w:rsidRPr="002261B9">
        <w:rPr>
          <w:sz w:val="20"/>
          <w:szCs w:val="20"/>
          <w:lang w:val="es-ES"/>
        </w:rPr>
        <w:t xml:space="preserve"> </w:t>
      </w:r>
      <w:r w:rsidR="009476C0" w:rsidRPr="002261B9">
        <w:rPr>
          <w:sz w:val="20"/>
          <w:szCs w:val="20"/>
          <w:lang w:val="es-ES"/>
        </w:rPr>
        <w:t>y los</w:t>
      </w:r>
      <w:r w:rsidR="004127F3" w:rsidRPr="002261B9">
        <w:rPr>
          <w:sz w:val="20"/>
          <w:szCs w:val="20"/>
          <w:lang w:val="es-ES"/>
        </w:rPr>
        <w:t xml:space="preserve"> </w:t>
      </w:r>
      <w:r w:rsidR="006333A5" w:rsidRPr="002261B9">
        <w:rPr>
          <w:sz w:val="20"/>
          <w:szCs w:val="20"/>
          <w:lang w:val="es-ES"/>
        </w:rPr>
        <w:t>fluoropol</w:t>
      </w:r>
      <w:r w:rsidR="009476C0" w:rsidRPr="002261B9">
        <w:rPr>
          <w:sz w:val="20"/>
          <w:szCs w:val="20"/>
          <w:lang w:val="es-ES"/>
        </w:rPr>
        <w:t>í</w:t>
      </w:r>
      <w:r w:rsidR="006333A5" w:rsidRPr="002261B9">
        <w:rPr>
          <w:sz w:val="20"/>
          <w:szCs w:val="20"/>
          <w:lang w:val="es-ES"/>
        </w:rPr>
        <w:t>meros</w:t>
      </w:r>
      <w:r w:rsidR="004127F3" w:rsidRPr="002261B9">
        <w:rPr>
          <w:sz w:val="20"/>
          <w:szCs w:val="20"/>
          <w:lang w:val="es-ES"/>
        </w:rPr>
        <w:t xml:space="preserve"> </w:t>
      </w:r>
      <w:r w:rsidR="009476C0" w:rsidRPr="002261B9">
        <w:rPr>
          <w:sz w:val="20"/>
          <w:szCs w:val="20"/>
          <w:lang w:val="es-ES"/>
        </w:rPr>
        <w:t xml:space="preserve">que usan </w:t>
      </w:r>
      <w:r w:rsidR="004127F3" w:rsidRPr="002261B9">
        <w:rPr>
          <w:sz w:val="20"/>
          <w:szCs w:val="20"/>
          <w:lang w:val="es-ES"/>
        </w:rPr>
        <w:t xml:space="preserve">PFOA </w:t>
      </w:r>
      <w:r w:rsidR="009476C0" w:rsidRPr="002261B9">
        <w:rPr>
          <w:sz w:val="20"/>
          <w:szCs w:val="20"/>
          <w:lang w:val="es-ES"/>
        </w:rPr>
        <w:t>e</w:t>
      </w:r>
      <w:r w:rsidR="004127F3" w:rsidRPr="002261B9">
        <w:rPr>
          <w:sz w:val="20"/>
          <w:szCs w:val="20"/>
          <w:lang w:val="es-ES"/>
        </w:rPr>
        <w:t xml:space="preserve">n </w:t>
      </w:r>
      <w:r w:rsidR="009476C0" w:rsidRPr="002261B9">
        <w:rPr>
          <w:sz w:val="20"/>
          <w:szCs w:val="20"/>
          <w:lang w:val="es-ES"/>
        </w:rPr>
        <w:t>la polimerización</w:t>
      </w:r>
      <w:r w:rsidR="0078032D" w:rsidRPr="002261B9">
        <w:rPr>
          <w:sz w:val="20"/>
          <w:szCs w:val="20"/>
          <w:lang w:val="es-ES"/>
        </w:rPr>
        <w:t>, así como de</w:t>
      </w:r>
      <w:r w:rsidR="009476C0" w:rsidRPr="002261B9">
        <w:rPr>
          <w:sz w:val="20"/>
          <w:szCs w:val="20"/>
          <w:lang w:val="es-ES"/>
        </w:rPr>
        <w:t xml:space="preserve"> alentar la creación de alternativas al </w:t>
      </w:r>
      <w:r w:rsidR="004127F3" w:rsidRPr="002261B9">
        <w:rPr>
          <w:sz w:val="20"/>
          <w:szCs w:val="20"/>
          <w:lang w:val="es-ES"/>
        </w:rPr>
        <w:t xml:space="preserve">PFOA. </w:t>
      </w:r>
      <w:r w:rsidR="009476C0" w:rsidRPr="002261B9">
        <w:rPr>
          <w:sz w:val="20"/>
          <w:szCs w:val="20"/>
          <w:lang w:val="es-ES"/>
        </w:rPr>
        <w:t>E</w:t>
      </w:r>
      <w:r w:rsidR="004127F3" w:rsidRPr="002261B9">
        <w:rPr>
          <w:sz w:val="20"/>
          <w:szCs w:val="20"/>
          <w:lang w:val="es-ES"/>
        </w:rPr>
        <w:t xml:space="preserve">n 2013, </w:t>
      </w:r>
      <w:r w:rsidR="009476C0" w:rsidRPr="002261B9">
        <w:rPr>
          <w:sz w:val="20"/>
          <w:szCs w:val="20"/>
          <w:lang w:val="es-ES"/>
        </w:rPr>
        <w:t>los recubrimientos a base de fluoropolímeros para sartenes, utensilios de cocina y procesadores de alimentos antiadherentes que usan</w:t>
      </w:r>
      <w:r w:rsidR="004127F3" w:rsidRPr="002261B9">
        <w:rPr>
          <w:sz w:val="20"/>
          <w:szCs w:val="20"/>
          <w:lang w:val="es-ES"/>
        </w:rPr>
        <w:t xml:space="preserve"> PFOA </w:t>
      </w:r>
      <w:r w:rsidR="009476C0" w:rsidRPr="002261B9">
        <w:rPr>
          <w:sz w:val="20"/>
          <w:szCs w:val="20"/>
          <w:lang w:val="es-ES"/>
        </w:rPr>
        <w:t>e</w:t>
      </w:r>
      <w:r w:rsidR="004127F3" w:rsidRPr="002261B9">
        <w:rPr>
          <w:sz w:val="20"/>
          <w:szCs w:val="20"/>
          <w:lang w:val="es-ES"/>
        </w:rPr>
        <w:t xml:space="preserve">n </w:t>
      </w:r>
      <w:r w:rsidR="009476C0" w:rsidRPr="002261B9">
        <w:rPr>
          <w:sz w:val="20"/>
          <w:szCs w:val="20"/>
          <w:lang w:val="es-ES"/>
        </w:rPr>
        <w:t>la polimerización</w:t>
      </w:r>
      <w:r w:rsidR="004127F3" w:rsidRPr="002261B9">
        <w:rPr>
          <w:sz w:val="20"/>
          <w:szCs w:val="20"/>
          <w:lang w:val="es-ES"/>
        </w:rPr>
        <w:t xml:space="preserve"> </w:t>
      </w:r>
      <w:r w:rsidR="009476C0" w:rsidRPr="002261B9">
        <w:rPr>
          <w:sz w:val="20"/>
          <w:szCs w:val="20"/>
          <w:lang w:val="es-ES"/>
        </w:rPr>
        <w:t>se clasificaron como productos muy contaminantes y con alto riesgo de contaminación en el Catálogo</w:t>
      </w:r>
      <w:r w:rsidR="004127F3" w:rsidRPr="002261B9">
        <w:rPr>
          <w:sz w:val="20"/>
          <w:szCs w:val="20"/>
          <w:lang w:val="es-ES"/>
        </w:rPr>
        <w:t xml:space="preserve"> Comp</w:t>
      </w:r>
      <w:r w:rsidR="009476C0" w:rsidRPr="002261B9">
        <w:rPr>
          <w:sz w:val="20"/>
          <w:szCs w:val="20"/>
          <w:lang w:val="es-ES"/>
        </w:rPr>
        <w:t>leto</w:t>
      </w:r>
      <w:r w:rsidR="004127F3" w:rsidRPr="002261B9">
        <w:rPr>
          <w:sz w:val="20"/>
          <w:szCs w:val="20"/>
          <w:lang w:val="es-ES"/>
        </w:rPr>
        <w:t xml:space="preserve"> </w:t>
      </w:r>
      <w:r w:rsidR="009476C0" w:rsidRPr="002261B9">
        <w:rPr>
          <w:sz w:val="20"/>
          <w:szCs w:val="20"/>
          <w:lang w:val="es-ES"/>
        </w:rPr>
        <w:t>para la Protección Ambiental</w:t>
      </w:r>
      <w:r w:rsidR="004127F3" w:rsidRPr="002261B9">
        <w:rPr>
          <w:sz w:val="20"/>
          <w:szCs w:val="20"/>
          <w:lang w:val="es-ES"/>
        </w:rPr>
        <w:t xml:space="preserve">. </w:t>
      </w:r>
      <w:r w:rsidR="009476C0" w:rsidRPr="002261B9">
        <w:rPr>
          <w:sz w:val="20"/>
          <w:szCs w:val="20"/>
          <w:lang w:val="es-ES"/>
        </w:rPr>
        <w:t>E</w:t>
      </w:r>
      <w:r w:rsidR="004127F3" w:rsidRPr="002261B9">
        <w:rPr>
          <w:sz w:val="20"/>
          <w:szCs w:val="20"/>
          <w:lang w:val="es-ES"/>
        </w:rPr>
        <w:t xml:space="preserve">n </w:t>
      </w:r>
      <w:r w:rsidR="009476C0" w:rsidRPr="002261B9">
        <w:rPr>
          <w:sz w:val="20"/>
          <w:szCs w:val="20"/>
          <w:lang w:val="es-ES"/>
        </w:rPr>
        <w:t xml:space="preserve">enero de </w:t>
      </w:r>
      <w:r w:rsidR="004127F3" w:rsidRPr="002261B9">
        <w:rPr>
          <w:sz w:val="20"/>
          <w:szCs w:val="20"/>
          <w:lang w:val="es-ES"/>
        </w:rPr>
        <w:t xml:space="preserve">2017 </w:t>
      </w:r>
      <w:r w:rsidR="009476C0" w:rsidRPr="002261B9">
        <w:rPr>
          <w:sz w:val="20"/>
          <w:szCs w:val="20"/>
          <w:lang w:val="es-ES"/>
        </w:rPr>
        <w:t>entraron en vigor los nuevos requisitos técnicos para los productos textiles</w:t>
      </w:r>
      <w:r w:rsidR="004127F3" w:rsidRPr="002261B9">
        <w:rPr>
          <w:sz w:val="20"/>
          <w:szCs w:val="20"/>
          <w:lang w:val="es-ES"/>
        </w:rPr>
        <w:t xml:space="preserve">, </w:t>
      </w:r>
      <w:r w:rsidR="009476C0" w:rsidRPr="002261B9">
        <w:rPr>
          <w:sz w:val="20"/>
          <w:szCs w:val="20"/>
          <w:lang w:val="es-ES"/>
        </w:rPr>
        <w:t>e</w:t>
      </w:r>
      <w:r w:rsidR="004127F3" w:rsidRPr="002261B9">
        <w:rPr>
          <w:sz w:val="20"/>
          <w:szCs w:val="20"/>
          <w:lang w:val="es-ES"/>
        </w:rPr>
        <w:t xml:space="preserve">n particular </w:t>
      </w:r>
      <w:r w:rsidR="009476C0" w:rsidRPr="002261B9">
        <w:rPr>
          <w:sz w:val="20"/>
          <w:szCs w:val="20"/>
          <w:lang w:val="es-ES"/>
        </w:rPr>
        <w:t xml:space="preserve">mediante el establecimiento de límites a los niveles de </w:t>
      </w:r>
      <w:r w:rsidR="004127F3" w:rsidRPr="002261B9">
        <w:rPr>
          <w:sz w:val="20"/>
          <w:szCs w:val="20"/>
          <w:lang w:val="es-ES"/>
        </w:rPr>
        <w:t xml:space="preserve">PFOA </w:t>
      </w:r>
      <w:r w:rsidR="009476C0" w:rsidRPr="002261B9">
        <w:rPr>
          <w:sz w:val="20"/>
          <w:szCs w:val="20"/>
          <w:lang w:val="es-ES"/>
        </w:rPr>
        <w:t>en</w:t>
      </w:r>
      <w:r w:rsidR="004127F3" w:rsidRPr="002261B9">
        <w:rPr>
          <w:sz w:val="20"/>
          <w:szCs w:val="20"/>
          <w:lang w:val="es-ES"/>
        </w:rPr>
        <w:t xml:space="preserve"> 0</w:t>
      </w:r>
      <w:r w:rsidR="009476C0" w:rsidRPr="002261B9">
        <w:rPr>
          <w:sz w:val="20"/>
          <w:szCs w:val="20"/>
          <w:lang w:val="es-ES"/>
        </w:rPr>
        <w:t>,</w:t>
      </w:r>
      <w:r w:rsidR="004127F3" w:rsidRPr="002261B9">
        <w:rPr>
          <w:sz w:val="20"/>
          <w:szCs w:val="20"/>
          <w:lang w:val="es-ES"/>
        </w:rPr>
        <w:t xml:space="preserve">05 mg/kg </w:t>
      </w:r>
      <w:r w:rsidR="009476C0" w:rsidRPr="002261B9">
        <w:rPr>
          <w:sz w:val="20"/>
          <w:szCs w:val="20"/>
          <w:lang w:val="es-ES"/>
        </w:rPr>
        <w:t>e</w:t>
      </w:r>
      <w:r w:rsidR="004127F3" w:rsidRPr="002261B9">
        <w:rPr>
          <w:sz w:val="20"/>
          <w:szCs w:val="20"/>
          <w:lang w:val="es-ES"/>
        </w:rPr>
        <w:t>n</w:t>
      </w:r>
      <w:r w:rsidR="009476C0" w:rsidRPr="002261B9">
        <w:rPr>
          <w:sz w:val="20"/>
          <w:szCs w:val="20"/>
          <w:lang w:val="es-ES"/>
        </w:rPr>
        <w:t xml:space="preserve"> los productos textiles recubiertos que usan los bebés y a </w:t>
      </w:r>
      <w:r w:rsidR="004127F3" w:rsidRPr="002261B9">
        <w:rPr>
          <w:sz w:val="20"/>
          <w:szCs w:val="20"/>
          <w:lang w:val="es-ES"/>
        </w:rPr>
        <w:t>0</w:t>
      </w:r>
      <w:r w:rsidR="009476C0" w:rsidRPr="002261B9">
        <w:rPr>
          <w:sz w:val="20"/>
          <w:szCs w:val="20"/>
          <w:lang w:val="es-ES"/>
        </w:rPr>
        <w:t>,</w:t>
      </w:r>
      <w:r w:rsidR="004127F3" w:rsidRPr="002261B9">
        <w:rPr>
          <w:sz w:val="20"/>
          <w:szCs w:val="20"/>
          <w:lang w:val="es-ES"/>
        </w:rPr>
        <w:t xml:space="preserve">1 mg/kg </w:t>
      </w:r>
      <w:r w:rsidR="009476C0" w:rsidRPr="002261B9">
        <w:rPr>
          <w:sz w:val="20"/>
          <w:szCs w:val="20"/>
          <w:lang w:val="es-ES"/>
        </w:rPr>
        <w:t>e</w:t>
      </w:r>
      <w:r w:rsidR="004127F3" w:rsidRPr="002261B9">
        <w:rPr>
          <w:sz w:val="20"/>
          <w:szCs w:val="20"/>
          <w:lang w:val="es-ES"/>
        </w:rPr>
        <w:t xml:space="preserve">n </w:t>
      </w:r>
      <w:r w:rsidR="009476C0" w:rsidRPr="002261B9">
        <w:rPr>
          <w:sz w:val="20"/>
          <w:szCs w:val="20"/>
          <w:lang w:val="es-ES"/>
        </w:rPr>
        <w:t>todos los demás productos textiles recubiertos</w:t>
      </w:r>
      <w:r w:rsidR="004127F3" w:rsidRPr="002261B9">
        <w:rPr>
          <w:sz w:val="20"/>
          <w:szCs w:val="20"/>
          <w:lang w:val="es-ES"/>
        </w:rPr>
        <w:t>, respectiv</w:t>
      </w:r>
      <w:r w:rsidR="009476C0" w:rsidRPr="002261B9">
        <w:rPr>
          <w:sz w:val="20"/>
          <w:szCs w:val="20"/>
          <w:lang w:val="es-ES"/>
        </w:rPr>
        <w:t>amente</w:t>
      </w:r>
      <w:r w:rsidR="004127F3" w:rsidRPr="002261B9">
        <w:rPr>
          <w:sz w:val="20"/>
          <w:szCs w:val="20"/>
          <w:lang w:val="es-ES"/>
        </w:rPr>
        <w:t xml:space="preserve"> (</w:t>
      </w:r>
      <w:r w:rsidR="009476C0" w:rsidRPr="002261B9">
        <w:rPr>
          <w:sz w:val="20"/>
          <w:szCs w:val="20"/>
          <w:lang w:val="es-ES"/>
        </w:rPr>
        <w:t>véase la sección</w:t>
      </w:r>
      <w:r w:rsidR="004127F3" w:rsidRPr="002261B9">
        <w:rPr>
          <w:sz w:val="20"/>
          <w:szCs w:val="20"/>
          <w:lang w:val="es-ES"/>
        </w:rPr>
        <w:t xml:space="preserve"> VI </w:t>
      </w:r>
      <w:r w:rsidR="009476C0" w:rsidRPr="002261B9">
        <w:rPr>
          <w:sz w:val="20"/>
          <w:szCs w:val="20"/>
          <w:lang w:val="es-ES"/>
        </w:rPr>
        <w:t>de</w:t>
      </w:r>
      <w:r w:rsidR="004127F3" w:rsidRPr="002261B9">
        <w:rPr>
          <w:sz w:val="20"/>
          <w:szCs w:val="20"/>
          <w:lang w:val="es-ES"/>
        </w:rPr>
        <w:t xml:space="preserve"> FOEN</w:t>
      </w:r>
      <w:r w:rsidR="004904E9" w:rsidRPr="002261B9">
        <w:rPr>
          <w:sz w:val="20"/>
          <w:szCs w:val="20"/>
          <w:lang w:val="es-ES"/>
        </w:rPr>
        <w:t>,</w:t>
      </w:r>
      <w:r w:rsidR="007D0A73" w:rsidRPr="002261B9">
        <w:rPr>
          <w:sz w:val="20"/>
          <w:szCs w:val="20"/>
          <w:lang w:val="es-ES"/>
        </w:rPr>
        <w:t xml:space="preserve"> 2</w:t>
      </w:r>
      <w:r w:rsidR="004127F3" w:rsidRPr="002261B9">
        <w:rPr>
          <w:sz w:val="20"/>
          <w:szCs w:val="20"/>
          <w:lang w:val="es-ES"/>
        </w:rPr>
        <w:t>017</w:t>
      </w:r>
      <w:r w:rsidR="00452DB2" w:rsidRPr="002261B9">
        <w:rPr>
          <w:sz w:val="20"/>
          <w:szCs w:val="20"/>
          <w:lang w:val="es-ES"/>
        </w:rPr>
        <w:t>)</w:t>
      </w:r>
      <w:r w:rsidR="004127F3" w:rsidRPr="002261B9">
        <w:rPr>
          <w:sz w:val="20"/>
          <w:szCs w:val="20"/>
          <w:lang w:val="es-ES"/>
        </w:rPr>
        <w:t>.</w:t>
      </w:r>
      <w:bookmarkEnd w:id="18"/>
    </w:p>
    <w:p w14:paraId="133D33AE" w14:textId="02BD466B" w:rsidR="00C151FB" w:rsidRPr="002261B9" w:rsidRDefault="00F443BD" w:rsidP="00630BB2">
      <w:pPr>
        <w:pStyle w:val="Heading1"/>
        <w:keepNext w:val="0"/>
        <w:pageBreakBefore w:val="0"/>
        <w:spacing w:before="240" w:after="120" w:line="240" w:lineRule="auto"/>
        <w:ind w:left="1248" w:hanging="624"/>
        <w:jc w:val="left"/>
        <w:rPr>
          <w:rFonts w:ascii="Times New Roman" w:hAnsi="Times New Roman"/>
          <w:sz w:val="24"/>
          <w:szCs w:val="24"/>
          <w:lang w:val="es-ES"/>
        </w:rPr>
      </w:pPr>
      <w:bookmarkStart w:id="19" w:name="_Toc501099198"/>
      <w:r w:rsidRPr="002261B9">
        <w:rPr>
          <w:rFonts w:ascii="Times New Roman" w:hAnsi="Times New Roman"/>
          <w:sz w:val="24"/>
          <w:szCs w:val="24"/>
          <w:lang w:val="es-ES"/>
        </w:rPr>
        <w:t>2</w:t>
      </w:r>
      <w:r w:rsidRPr="002261B9">
        <w:rPr>
          <w:rFonts w:ascii="Times New Roman" w:hAnsi="Times New Roman"/>
          <w:sz w:val="24"/>
          <w:szCs w:val="24"/>
          <w:lang w:val="es-ES"/>
        </w:rPr>
        <w:tab/>
      </w:r>
      <w:r w:rsidR="00C151FB" w:rsidRPr="002261B9">
        <w:rPr>
          <w:rFonts w:ascii="Times New Roman" w:hAnsi="Times New Roman"/>
          <w:sz w:val="24"/>
          <w:szCs w:val="24"/>
          <w:lang w:val="es-ES"/>
        </w:rPr>
        <w:t>Información resumida relativa a la evaluación de la gestión de los riesgos</w:t>
      </w:r>
      <w:bookmarkEnd w:id="19"/>
    </w:p>
    <w:p w14:paraId="2DF45FF8" w14:textId="6E870046" w:rsidR="0039260F" w:rsidRPr="002261B9" w:rsidRDefault="00AE3CEF" w:rsidP="00F45508">
      <w:pPr>
        <w:pStyle w:val="Paralevel1"/>
        <w:numPr>
          <w:ilvl w:val="0"/>
          <w:numId w:val="23"/>
        </w:numPr>
        <w:tabs>
          <w:tab w:val="clear" w:pos="0"/>
        </w:tabs>
        <w:ind w:left="1247" w:firstLine="0"/>
        <w:rPr>
          <w:lang w:val="es-ES"/>
        </w:rPr>
      </w:pPr>
      <w:r w:rsidRPr="002261B9">
        <w:rPr>
          <w:lang w:val="es-ES"/>
        </w:rPr>
        <w:t xml:space="preserve">El </w:t>
      </w:r>
      <w:r w:rsidR="000501C5" w:rsidRPr="002261B9">
        <w:rPr>
          <w:lang w:val="es-ES"/>
        </w:rPr>
        <w:t xml:space="preserve">PFOA </w:t>
      </w:r>
      <w:r w:rsidRPr="002261B9">
        <w:rPr>
          <w:lang w:val="es-ES"/>
        </w:rPr>
        <w:t xml:space="preserve">y sus sales son, o han sido, los más utilizados como agentes de procesos en la producción de </w:t>
      </w:r>
      <w:r w:rsidR="006333A5" w:rsidRPr="002261B9">
        <w:rPr>
          <w:lang w:val="es-ES"/>
        </w:rPr>
        <w:t>fluoroelastómeros</w:t>
      </w:r>
      <w:r w:rsidR="000501C5" w:rsidRPr="002261B9">
        <w:rPr>
          <w:lang w:val="es-ES"/>
        </w:rPr>
        <w:t xml:space="preserve"> </w:t>
      </w:r>
      <w:r w:rsidRPr="002261B9">
        <w:rPr>
          <w:lang w:val="es-ES"/>
        </w:rPr>
        <w:t>y</w:t>
      </w:r>
      <w:r w:rsidR="000501C5" w:rsidRPr="002261B9">
        <w:rPr>
          <w:lang w:val="es-ES"/>
        </w:rPr>
        <w:t xml:space="preserve"> </w:t>
      </w:r>
      <w:r w:rsidR="009321C2" w:rsidRPr="002261B9">
        <w:rPr>
          <w:lang w:val="es-ES"/>
        </w:rPr>
        <w:t>fluoropolímeros</w:t>
      </w:r>
      <w:r w:rsidR="000501C5" w:rsidRPr="002261B9">
        <w:rPr>
          <w:lang w:val="es-ES"/>
        </w:rPr>
        <w:t xml:space="preserve">, </w:t>
      </w:r>
      <w:r w:rsidRPr="002261B9">
        <w:rPr>
          <w:lang w:val="es-ES"/>
        </w:rPr>
        <w:t xml:space="preserve">siendo el politetrafluoroetileno </w:t>
      </w:r>
      <w:r w:rsidR="000501C5" w:rsidRPr="002261B9">
        <w:rPr>
          <w:lang w:val="es-ES"/>
        </w:rPr>
        <w:t xml:space="preserve">(PTFE) </w:t>
      </w:r>
      <w:r w:rsidRPr="002261B9">
        <w:rPr>
          <w:lang w:val="es-ES"/>
        </w:rPr>
        <w:t>uno de los fluoropolímeros importantes</w:t>
      </w:r>
      <w:r w:rsidR="000501C5" w:rsidRPr="002261B9">
        <w:rPr>
          <w:lang w:val="es-ES"/>
        </w:rPr>
        <w:t xml:space="preserve">. </w:t>
      </w:r>
      <w:r w:rsidRPr="002261B9">
        <w:rPr>
          <w:lang w:val="es-ES"/>
        </w:rPr>
        <w:t xml:space="preserve">Los compuestos conexos del </w:t>
      </w:r>
      <w:r w:rsidR="000501C5" w:rsidRPr="002261B9">
        <w:rPr>
          <w:lang w:val="es-ES"/>
        </w:rPr>
        <w:t>PFOA</w:t>
      </w:r>
      <w:r w:rsidR="006B709F" w:rsidRPr="002261B9">
        <w:rPr>
          <w:lang w:val="es-ES"/>
        </w:rPr>
        <w:t xml:space="preserve">, </w:t>
      </w:r>
      <w:r w:rsidRPr="002261B9">
        <w:rPr>
          <w:lang w:val="es-ES"/>
        </w:rPr>
        <w:t>entre ellos los</w:t>
      </w:r>
      <w:r w:rsidR="009E750C" w:rsidRPr="002261B9">
        <w:rPr>
          <w:lang w:val="es-ES"/>
        </w:rPr>
        <w:t xml:space="preserve"> polímeros fluorados </w:t>
      </w:r>
      <w:r w:rsidRPr="002261B9">
        <w:rPr>
          <w:lang w:val="es-ES"/>
        </w:rPr>
        <w:t>de cadena lateral</w:t>
      </w:r>
      <w:r w:rsidR="006B709F" w:rsidRPr="002261B9">
        <w:rPr>
          <w:lang w:val="es-ES"/>
        </w:rPr>
        <w:t>,</w:t>
      </w:r>
      <w:r w:rsidR="000501C5" w:rsidRPr="002261B9">
        <w:rPr>
          <w:lang w:val="es-ES"/>
        </w:rPr>
        <w:t xml:space="preserve"> </w:t>
      </w:r>
      <w:r w:rsidRPr="002261B9">
        <w:rPr>
          <w:lang w:val="es-ES"/>
        </w:rPr>
        <w:t xml:space="preserve">se usan como </w:t>
      </w:r>
      <w:r w:rsidR="00614F37" w:rsidRPr="002261B9">
        <w:rPr>
          <w:lang w:val="es-ES"/>
        </w:rPr>
        <w:t>surfactantes</w:t>
      </w:r>
      <w:r w:rsidRPr="002261B9">
        <w:rPr>
          <w:lang w:val="es-ES"/>
        </w:rPr>
        <w:t xml:space="preserve"> y como agentes para el tratamiento de superficies</w:t>
      </w:r>
      <w:r w:rsidR="000501C5" w:rsidRPr="002261B9">
        <w:rPr>
          <w:lang w:val="es-ES"/>
        </w:rPr>
        <w:t xml:space="preserve"> (</w:t>
      </w:r>
      <w:r w:rsidRPr="002261B9">
        <w:rPr>
          <w:lang w:val="es-ES"/>
        </w:rPr>
        <w:t>por ejemplo, en productos textiles, papel y pinturas, espumas ignífugas</w:t>
      </w:r>
      <w:r w:rsidR="000501C5" w:rsidRPr="002261B9">
        <w:rPr>
          <w:lang w:val="es-ES"/>
        </w:rPr>
        <w:t xml:space="preserve">). </w:t>
      </w:r>
      <w:r w:rsidRPr="002261B9">
        <w:rPr>
          <w:lang w:val="es-ES"/>
        </w:rPr>
        <w:t xml:space="preserve">El </w:t>
      </w:r>
      <w:r w:rsidR="000501C5" w:rsidRPr="002261B9">
        <w:rPr>
          <w:lang w:val="es-ES"/>
        </w:rPr>
        <w:t xml:space="preserve">PFOA, </w:t>
      </w:r>
      <w:r w:rsidRPr="002261B9">
        <w:rPr>
          <w:lang w:val="es-ES"/>
        </w:rPr>
        <w:t xml:space="preserve">sus sales y los compuestos conexos del </w:t>
      </w:r>
      <w:r w:rsidR="000501C5" w:rsidRPr="002261B9">
        <w:rPr>
          <w:lang w:val="es-ES"/>
        </w:rPr>
        <w:t>PFOA</w:t>
      </w:r>
      <w:r w:rsidRPr="002261B9">
        <w:rPr>
          <w:lang w:val="es-ES"/>
        </w:rPr>
        <w:t xml:space="preserve"> se usan en muy diversas aplicaciones y productos de </w:t>
      </w:r>
      <w:r w:rsidR="00386F8F" w:rsidRPr="002261B9">
        <w:rPr>
          <w:lang w:val="es-ES"/>
        </w:rPr>
        <w:t>consumo</w:t>
      </w:r>
      <w:r w:rsidRPr="002261B9">
        <w:rPr>
          <w:lang w:val="es-ES"/>
        </w:rPr>
        <w:t xml:space="preserve"> en muchos sectores</w:t>
      </w:r>
      <w:r w:rsidR="000501C5" w:rsidRPr="002261B9">
        <w:rPr>
          <w:lang w:val="es-ES"/>
        </w:rPr>
        <w:t xml:space="preserve"> (UNEP/POPS/POPRC.12/11/Add.2). </w:t>
      </w:r>
    </w:p>
    <w:p w14:paraId="26484BF9" w14:textId="77777777" w:rsidR="001E397C" w:rsidRDefault="001E397C">
      <w:pPr>
        <w:rPr>
          <w:rFonts w:eastAsia="Times New Roman"/>
          <w:sz w:val="20"/>
          <w:szCs w:val="20"/>
          <w:lang w:val="es-ES" w:eastAsia="en-US"/>
        </w:rPr>
      </w:pPr>
      <w:r>
        <w:rPr>
          <w:lang w:val="es-ES"/>
        </w:rPr>
        <w:br w:type="page"/>
      </w:r>
    </w:p>
    <w:p w14:paraId="13128B0F" w14:textId="1E43B375" w:rsidR="00A51CB8" w:rsidRPr="002261B9" w:rsidRDefault="00625606" w:rsidP="00F45508">
      <w:pPr>
        <w:pStyle w:val="Paralevel1"/>
        <w:numPr>
          <w:ilvl w:val="0"/>
          <w:numId w:val="23"/>
        </w:numPr>
        <w:tabs>
          <w:tab w:val="clear" w:pos="0"/>
        </w:tabs>
        <w:ind w:left="1247" w:firstLine="0"/>
        <w:rPr>
          <w:lang w:val="es-ES"/>
        </w:rPr>
      </w:pPr>
      <w:r w:rsidRPr="002261B9">
        <w:rPr>
          <w:lang w:val="es-ES"/>
        </w:rPr>
        <w:lastRenderedPageBreak/>
        <w:t>Las liberaciones emanan de la producción, el uso y la eliminación</w:t>
      </w:r>
      <w:r w:rsidR="0078032D" w:rsidRPr="002261B9">
        <w:rPr>
          <w:lang w:val="es-ES"/>
        </w:rPr>
        <w:t xml:space="preserve"> presentes y pretéritos</w:t>
      </w:r>
      <w:r w:rsidRPr="002261B9">
        <w:rPr>
          <w:lang w:val="es-ES"/>
        </w:rPr>
        <w:t>. Las liberaciones directas de PFOA y de sus compuestos conexos al medio ambiente son generadas por la producción de</w:t>
      </w:r>
      <w:r w:rsidR="00284890" w:rsidRPr="002261B9">
        <w:rPr>
          <w:lang w:val="es-ES"/>
        </w:rPr>
        <w:t xml:space="preserve"> </w:t>
      </w:r>
      <w:r w:rsidRPr="002261B9">
        <w:rPr>
          <w:lang w:val="es-ES"/>
        </w:rPr>
        <w:t>sustancias crudas (en este caso, el PFOA como impureza en la fabricación de compuestos conexos del PFOA y de algunas alternativas), durante el procesamiento, el uso y la eliminación del producto químico a partir de artículos tratados y de productos contaminados con PFOA. Los principales vectores de las emisiones de PFOA y sus sales son las aguas residuales y las partículas</w:t>
      </w:r>
      <w:r w:rsidR="00C75773" w:rsidRPr="002261B9">
        <w:rPr>
          <w:lang w:val="es-ES"/>
        </w:rPr>
        <w:t xml:space="preserve"> de polvo</w:t>
      </w:r>
      <w:r w:rsidRPr="002261B9">
        <w:rPr>
          <w:lang w:val="es-ES"/>
        </w:rPr>
        <w:t xml:space="preserve">. </w:t>
      </w:r>
      <w:r w:rsidR="00C75773" w:rsidRPr="002261B9">
        <w:rPr>
          <w:lang w:val="es-ES"/>
        </w:rPr>
        <w:t>las partículas de polvo. Se dispone de datos sobre las liberaciones históricas al medio ambiente de la fabricación de PFOA de una planta de los Estados Unidos al aire y al agua entre</w:t>
      </w:r>
      <w:r w:rsidR="00630BB2" w:rsidRPr="002261B9">
        <w:rPr>
          <w:lang w:val="es-ES"/>
        </w:rPr>
        <w:t> </w:t>
      </w:r>
      <w:r w:rsidR="00C75773" w:rsidRPr="002261B9">
        <w:rPr>
          <w:lang w:val="es-ES"/>
        </w:rPr>
        <w:t>1951 y 2003. Se han hecho algunas estimaciones de liberaciones durante la eliminación de productos químicos, en particular de plantas de tratamiento de aguas negras, plantas de tratamiento de aguas residuales y vertederos.</w:t>
      </w:r>
      <w:r w:rsidR="00284890" w:rsidRPr="002261B9">
        <w:rPr>
          <w:lang w:val="es-ES"/>
        </w:rPr>
        <w:t xml:space="preserve"> </w:t>
      </w:r>
      <w:r w:rsidR="00C75773" w:rsidRPr="002261B9">
        <w:rPr>
          <w:lang w:val="es-ES"/>
        </w:rPr>
        <w:t>Se producen liberaciones indirectas a partir de la degradación o transformación de los precursores. Los compuestos conexos del PFOA son liberados al aire, al agua, el suelo y los desechos sólidos y se degradarán a PFOA en el medio ambiente y los organismos. En una evaluación de las fuentes de PFOA en el Mar Báltico se calculó que el 30% de las liberaciones obedecía a la transformación de fluorotelómeros. De ahí que las liberaciones de PFOA a causa de la degradación de compuestos conexos del PFOA aporten una contribución sustancial a las liberaciones de PFOA al medio ambiente (UNEP/POPS/POPRC.12/11/Add.2).</w:t>
      </w:r>
      <w:r w:rsidR="0078032D" w:rsidRPr="002261B9">
        <w:rPr>
          <w:lang w:val="es-ES"/>
        </w:rPr>
        <w:t xml:space="preserve"> </w:t>
      </w:r>
      <w:r w:rsidR="00DC24B5" w:rsidRPr="002261B9">
        <w:rPr>
          <w:lang w:val="es-ES"/>
        </w:rPr>
        <w:t>E</w:t>
      </w:r>
      <w:r w:rsidR="002D1464" w:rsidRPr="002261B9">
        <w:rPr>
          <w:lang w:val="es-ES"/>
        </w:rPr>
        <w:t>n la sección II de FOEN</w:t>
      </w:r>
      <w:r w:rsidR="004904E9" w:rsidRPr="002261B9">
        <w:rPr>
          <w:lang w:val="es-ES"/>
        </w:rPr>
        <w:t>,</w:t>
      </w:r>
      <w:r w:rsidR="007D0A73" w:rsidRPr="002261B9">
        <w:rPr>
          <w:lang w:val="es-ES"/>
        </w:rPr>
        <w:t xml:space="preserve"> 2</w:t>
      </w:r>
      <w:r w:rsidR="002D1464" w:rsidRPr="002261B9">
        <w:rPr>
          <w:lang w:val="es-ES"/>
        </w:rPr>
        <w:t>017</w:t>
      </w:r>
      <w:r w:rsidR="00EB701F" w:rsidRPr="002261B9">
        <w:rPr>
          <w:lang w:val="es-ES"/>
        </w:rPr>
        <w:t>)</w:t>
      </w:r>
      <w:r w:rsidR="002D1464" w:rsidRPr="002261B9">
        <w:rPr>
          <w:lang w:val="es-ES"/>
        </w:rPr>
        <w:t xml:space="preserve"> se resume la información adicional sobre la transformación/degradación de fluorotelómeros a </w:t>
      </w:r>
      <w:r w:rsidR="00762A77" w:rsidRPr="002261B9">
        <w:rPr>
          <w:lang w:val="es-ES"/>
        </w:rPr>
        <w:t xml:space="preserve">PFOA. </w:t>
      </w:r>
      <w:r w:rsidR="00310C3D" w:rsidRPr="002261B9">
        <w:rPr>
          <w:lang w:val="es-ES"/>
        </w:rPr>
        <w:t>En la sección 3.1 figura un resumen de la información adicional sobre el perfil de riesgo</w:t>
      </w:r>
      <w:r w:rsidR="008A4DB2" w:rsidRPr="002261B9">
        <w:rPr>
          <w:lang w:val="es-ES"/>
        </w:rPr>
        <w:t>.</w:t>
      </w:r>
      <w:r w:rsidR="004E6D80" w:rsidRPr="002261B9">
        <w:rPr>
          <w:lang w:val="es-ES"/>
        </w:rPr>
        <w:t xml:space="preserve"> </w:t>
      </w:r>
      <w:r w:rsidR="00310C3D" w:rsidRPr="002261B9">
        <w:rPr>
          <w:lang w:val="es-ES"/>
        </w:rPr>
        <w:t xml:space="preserve">Según un estudio realizado en </w:t>
      </w:r>
      <w:r w:rsidR="00891FF0" w:rsidRPr="002261B9">
        <w:rPr>
          <w:lang w:val="es-ES"/>
        </w:rPr>
        <w:t xml:space="preserve">2008, </w:t>
      </w:r>
      <w:r w:rsidR="00310C3D" w:rsidRPr="002261B9">
        <w:rPr>
          <w:lang w:val="es-ES"/>
        </w:rPr>
        <w:t xml:space="preserve">se ha generalizado el uso de </w:t>
      </w:r>
      <w:r w:rsidR="006B17B7" w:rsidRPr="002261B9">
        <w:rPr>
          <w:lang w:val="es-ES"/>
        </w:rPr>
        <w:t>perfluorocarbon</w:t>
      </w:r>
      <w:r w:rsidR="00310C3D" w:rsidRPr="002261B9">
        <w:rPr>
          <w:lang w:val="es-ES"/>
        </w:rPr>
        <w:t>o</w:t>
      </w:r>
      <w:r w:rsidR="006B17B7" w:rsidRPr="002261B9">
        <w:rPr>
          <w:lang w:val="es-ES"/>
        </w:rPr>
        <w:t>s (</w:t>
      </w:r>
      <w:r w:rsidR="00891FF0" w:rsidRPr="002261B9">
        <w:rPr>
          <w:lang w:val="es-ES"/>
        </w:rPr>
        <w:t>PFC</w:t>
      </w:r>
      <w:r w:rsidR="006B17B7" w:rsidRPr="002261B9">
        <w:rPr>
          <w:lang w:val="es-ES"/>
        </w:rPr>
        <w:t>)</w:t>
      </w:r>
      <w:r w:rsidR="00891FF0" w:rsidRPr="002261B9">
        <w:rPr>
          <w:lang w:val="es-ES"/>
        </w:rPr>
        <w:t xml:space="preserve"> </w:t>
      </w:r>
      <w:r w:rsidR="00310C3D" w:rsidRPr="002261B9">
        <w:rPr>
          <w:lang w:val="es-ES"/>
        </w:rPr>
        <w:t xml:space="preserve">en la producción de aluminio y se registran emisiones de </w:t>
      </w:r>
      <w:r w:rsidR="00891FF0" w:rsidRPr="002261B9">
        <w:rPr>
          <w:lang w:val="es-ES"/>
        </w:rPr>
        <w:t>PFC (</w:t>
      </w:r>
      <w:r w:rsidR="00310C3D" w:rsidRPr="002261B9">
        <w:rPr>
          <w:lang w:val="es-ES"/>
        </w:rPr>
        <w:t xml:space="preserve">que posiblemente incluyan </w:t>
      </w:r>
      <w:r w:rsidR="00891FF0" w:rsidRPr="002261B9">
        <w:rPr>
          <w:lang w:val="es-ES"/>
        </w:rPr>
        <w:t xml:space="preserve">PFOA; </w:t>
      </w:r>
      <w:r w:rsidR="00310C3D" w:rsidRPr="002261B9">
        <w:rPr>
          <w:lang w:val="es-ES"/>
        </w:rPr>
        <w:t>no especificado en el estudio</w:t>
      </w:r>
      <w:r w:rsidR="00891FF0" w:rsidRPr="002261B9">
        <w:rPr>
          <w:lang w:val="es-ES"/>
        </w:rPr>
        <w:t xml:space="preserve">) </w:t>
      </w:r>
      <w:r w:rsidR="00310C3D" w:rsidRPr="002261B9">
        <w:rPr>
          <w:lang w:val="es-ES"/>
        </w:rPr>
        <w:t>durante procesos de electrólisis específicos en la fabricación de aluminio</w:t>
      </w:r>
      <w:r w:rsidR="00891FF0" w:rsidRPr="002261B9">
        <w:rPr>
          <w:lang w:val="es-ES"/>
        </w:rPr>
        <w:t xml:space="preserve"> (</w:t>
      </w:r>
      <w:r w:rsidR="00310C3D" w:rsidRPr="002261B9">
        <w:rPr>
          <w:lang w:val="es-ES"/>
        </w:rPr>
        <w:t>véase</w:t>
      </w:r>
      <w:r w:rsidR="00B14538" w:rsidRPr="002261B9">
        <w:rPr>
          <w:lang w:val="es-ES"/>
        </w:rPr>
        <w:t xml:space="preserve"> EP</w:t>
      </w:r>
      <w:r w:rsidR="004904E9" w:rsidRPr="002261B9">
        <w:rPr>
          <w:lang w:val="es-ES"/>
        </w:rPr>
        <w:t>,</w:t>
      </w:r>
      <w:r w:rsidR="007D0A73" w:rsidRPr="002261B9">
        <w:rPr>
          <w:lang w:val="es-ES"/>
        </w:rPr>
        <w:t xml:space="preserve"> 2</w:t>
      </w:r>
      <w:r w:rsidR="00891FF0" w:rsidRPr="002261B9">
        <w:rPr>
          <w:lang w:val="es-ES"/>
        </w:rPr>
        <w:t>008</w:t>
      </w:r>
      <w:r w:rsidR="00452DB2" w:rsidRPr="002261B9">
        <w:rPr>
          <w:lang w:val="es-ES"/>
        </w:rPr>
        <w:t>)</w:t>
      </w:r>
      <w:r w:rsidR="00891FF0" w:rsidRPr="002261B9">
        <w:rPr>
          <w:lang w:val="es-ES"/>
        </w:rPr>
        <w:t>.</w:t>
      </w:r>
    </w:p>
    <w:p w14:paraId="496D6962" w14:textId="21289026" w:rsidR="00E5299D" w:rsidRPr="002261B9" w:rsidRDefault="00E5299D" w:rsidP="00F45508">
      <w:pPr>
        <w:pStyle w:val="Paralevel1"/>
        <w:numPr>
          <w:ilvl w:val="0"/>
          <w:numId w:val="23"/>
        </w:numPr>
        <w:tabs>
          <w:tab w:val="clear" w:pos="0"/>
        </w:tabs>
        <w:ind w:left="1247" w:firstLine="0"/>
        <w:rPr>
          <w:lang w:val="es-ES"/>
        </w:rPr>
      </w:pPr>
      <w:r w:rsidRPr="002261B9">
        <w:rPr>
          <w:lang w:val="es-ES"/>
        </w:rPr>
        <w:t>S</w:t>
      </w:r>
      <w:r w:rsidR="009E750C" w:rsidRPr="002261B9">
        <w:rPr>
          <w:lang w:val="es-ES"/>
        </w:rPr>
        <w:t xml:space="preserve">uiza </w:t>
      </w:r>
      <w:r w:rsidR="00CC30C6" w:rsidRPr="002261B9">
        <w:rPr>
          <w:lang w:val="es-ES"/>
        </w:rPr>
        <w:t xml:space="preserve">proporcionó </w:t>
      </w:r>
      <w:r w:rsidR="009E750C" w:rsidRPr="002261B9">
        <w:rPr>
          <w:lang w:val="es-ES"/>
        </w:rPr>
        <w:t xml:space="preserve">información sobre la formación no intencional de PFOA a partir de la incineración indebida de los </w:t>
      </w:r>
      <w:r w:rsidR="006333A5" w:rsidRPr="002261B9">
        <w:rPr>
          <w:lang w:val="es-ES"/>
        </w:rPr>
        <w:t>fluoropol</w:t>
      </w:r>
      <w:r w:rsidR="009E750C" w:rsidRPr="002261B9">
        <w:rPr>
          <w:lang w:val="es-ES"/>
        </w:rPr>
        <w:t>í</w:t>
      </w:r>
      <w:r w:rsidR="006333A5" w:rsidRPr="002261B9">
        <w:rPr>
          <w:lang w:val="es-ES"/>
        </w:rPr>
        <w:t>meros</w:t>
      </w:r>
      <w:r w:rsidR="009E750C" w:rsidRPr="002261B9">
        <w:rPr>
          <w:lang w:val="es-ES"/>
        </w:rPr>
        <w:t>, por ejemplo, durante la incineración de desechos sólidos municipales en instalaciones de incineración inapropiadas o a cielo abierto y temperaturas moderadas</w:t>
      </w:r>
      <w:r w:rsidRPr="002261B9">
        <w:rPr>
          <w:lang w:val="es-ES"/>
        </w:rPr>
        <w:t xml:space="preserve">. </w:t>
      </w:r>
      <w:r w:rsidR="009E750C" w:rsidRPr="002261B9">
        <w:rPr>
          <w:lang w:val="es-ES"/>
        </w:rPr>
        <w:t xml:space="preserve">En algunos estudios recientes se ha demostrado cualitativamente que se pueden generar cantidades pequeñas, pero medibles, de PFOA y una amplia diversidad de otros homólogos de PFCA durante la termólisis de PTFE no funcionalizado </w:t>
      </w:r>
      <w:r w:rsidR="002C4653" w:rsidRPr="002261B9">
        <w:rPr>
          <w:lang w:val="es-ES"/>
        </w:rPr>
        <w:t xml:space="preserve">(Ellis </w:t>
      </w:r>
      <w:r w:rsidR="009E750C" w:rsidRPr="002261B9">
        <w:rPr>
          <w:lang w:val="es-ES"/>
        </w:rPr>
        <w:t>y otro</w:t>
      </w:r>
      <w:r w:rsidR="006F712F" w:rsidRPr="002261B9">
        <w:rPr>
          <w:lang w:val="es-ES"/>
        </w:rPr>
        <w:t>s</w:t>
      </w:r>
      <w:r w:rsidR="004904E9" w:rsidRPr="002261B9">
        <w:rPr>
          <w:lang w:val="es-ES"/>
        </w:rPr>
        <w:t>,</w:t>
      </w:r>
      <w:r w:rsidR="007D0A73" w:rsidRPr="002261B9">
        <w:rPr>
          <w:lang w:val="es-ES"/>
        </w:rPr>
        <w:t xml:space="preserve"> 2</w:t>
      </w:r>
      <w:r w:rsidR="002C4653" w:rsidRPr="002261B9">
        <w:rPr>
          <w:lang w:val="es-ES"/>
        </w:rPr>
        <w:t>001, 2003</w:t>
      </w:r>
      <w:r w:rsidR="006F712F" w:rsidRPr="002261B9">
        <w:rPr>
          <w:lang w:val="es-ES"/>
        </w:rPr>
        <w:t>)</w:t>
      </w:r>
      <w:r w:rsidR="002C4653" w:rsidRPr="002261B9">
        <w:rPr>
          <w:lang w:val="es-ES"/>
        </w:rPr>
        <w:t>; Schlummer</w:t>
      </w:r>
      <w:r w:rsidR="004904E9" w:rsidRPr="002261B9">
        <w:rPr>
          <w:lang w:val="es-ES"/>
        </w:rPr>
        <w:t>,</w:t>
      </w:r>
      <w:r w:rsidR="007D0A73" w:rsidRPr="002261B9">
        <w:rPr>
          <w:lang w:val="es-ES"/>
        </w:rPr>
        <w:t xml:space="preserve"> 2</w:t>
      </w:r>
      <w:r w:rsidR="002C4653" w:rsidRPr="002261B9">
        <w:rPr>
          <w:lang w:val="es-ES"/>
        </w:rPr>
        <w:t>015</w:t>
      </w:r>
      <w:r w:rsidR="00452DB2" w:rsidRPr="002261B9">
        <w:rPr>
          <w:lang w:val="es-ES"/>
        </w:rPr>
        <w:t>)</w:t>
      </w:r>
      <w:r w:rsidR="002C4653" w:rsidRPr="002261B9">
        <w:rPr>
          <w:lang w:val="es-ES"/>
        </w:rPr>
        <w:t xml:space="preserve"> </w:t>
      </w:r>
      <w:r w:rsidR="009E750C" w:rsidRPr="002261B9">
        <w:rPr>
          <w:lang w:val="es-ES"/>
        </w:rPr>
        <w:t xml:space="preserve">y PTFE funcionalizado </w:t>
      </w:r>
      <w:r w:rsidR="002C4653" w:rsidRPr="002261B9">
        <w:rPr>
          <w:lang w:val="es-ES"/>
        </w:rPr>
        <w:t xml:space="preserve">(Feng </w:t>
      </w:r>
      <w:r w:rsidR="009E750C" w:rsidRPr="002261B9">
        <w:rPr>
          <w:lang w:val="es-ES"/>
        </w:rPr>
        <w:t>y otros</w:t>
      </w:r>
      <w:r w:rsidR="004904E9" w:rsidRPr="002261B9">
        <w:rPr>
          <w:lang w:val="es-ES"/>
        </w:rPr>
        <w:t>,</w:t>
      </w:r>
      <w:r w:rsidR="007D0A73" w:rsidRPr="002261B9">
        <w:rPr>
          <w:lang w:val="es-ES"/>
        </w:rPr>
        <w:t xml:space="preserve"> 2</w:t>
      </w:r>
      <w:r w:rsidR="002C4653" w:rsidRPr="002261B9">
        <w:rPr>
          <w:lang w:val="es-ES"/>
        </w:rPr>
        <w:t>015</w:t>
      </w:r>
      <w:r w:rsidR="00452DB2" w:rsidRPr="002261B9">
        <w:rPr>
          <w:lang w:val="es-ES"/>
        </w:rPr>
        <w:t>)</w:t>
      </w:r>
      <w:r w:rsidR="002C4653" w:rsidRPr="002261B9">
        <w:rPr>
          <w:lang w:val="es-ES"/>
        </w:rPr>
        <w:t xml:space="preserve"> a</w:t>
      </w:r>
      <w:r w:rsidR="009E750C" w:rsidRPr="002261B9">
        <w:rPr>
          <w:lang w:val="es-ES"/>
        </w:rPr>
        <w:t xml:space="preserve"> temperaturas entre</w:t>
      </w:r>
      <w:r w:rsidR="002C4653" w:rsidRPr="002261B9">
        <w:rPr>
          <w:lang w:val="es-ES"/>
        </w:rPr>
        <w:t xml:space="preserve"> </w:t>
      </w:r>
      <w:r w:rsidR="00C104B2" w:rsidRPr="002261B9">
        <w:rPr>
          <w:lang w:val="es-ES"/>
        </w:rPr>
        <w:t>250</w:t>
      </w:r>
      <w:r w:rsidR="007712BB" w:rsidRPr="002261B9">
        <w:rPr>
          <w:lang w:val="es-ES"/>
        </w:rPr>
        <w:t>ºC</w:t>
      </w:r>
      <w:r w:rsidR="002C4653" w:rsidRPr="002261B9">
        <w:rPr>
          <w:lang w:val="es-ES"/>
        </w:rPr>
        <w:t xml:space="preserve"> </w:t>
      </w:r>
      <w:r w:rsidR="009E750C" w:rsidRPr="002261B9">
        <w:rPr>
          <w:lang w:val="es-ES"/>
        </w:rPr>
        <w:t>y</w:t>
      </w:r>
      <w:r w:rsidR="002C4653" w:rsidRPr="002261B9">
        <w:rPr>
          <w:lang w:val="es-ES"/>
        </w:rPr>
        <w:t xml:space="preserve"> 600</w:t>
      </w:r>
      <w:r w:rsidR="007712BB" w:rsidRPr="002261B9">
        <w:rPr>
          <w:lang w:val="es-ES"/>
        </w:rPr>
        <w:t>ºC</w:t>
      </w:r>
      <w:r w:rsidR="002C4653" w:rsidRPr="002261B9">
        <w:rPr>
          <w:lang w:val="es-ES"/>
        </w:rPr>
        <w:t xml:space="preserve">. </w:t>
      </w:r>
      <w:r w:rsidR="009E750C" w:rsidRPr="002261B9">
        <w:rPr>
          <w:lang w:val="es-ES"/>
        </w:rPr>
        <w:t xml:space="preserve">Esto puede ser especialmente </w:t>
      </w:r>
      <w:r w:rsidR="00EB701F" w:rsidRPr="002261B9">
        <w:rPr>
          <w:lang w:val="es-ES"/>
        </w:rPr>
        <w:t>decisivo</w:t>
      </w:r>
      <w:r w:rsidR="009E750C" w:rsidRPr="002261B9">
        <w:rPr>
          <w:lang w:val="es-ES"/>
        </w:rPr>
        <w:t xml:space="preserve"> en el caso de los países en desarrollo y los países con economías en transición, donde los desechos no se suelen incinerar a temperaturas suficientemente altas ni los gases de escape reciben el tratamiento apropiado debido a la falta de instalaciones adecuadas</w:t>
      </w:r>
      <w:r w:rsidR="00D54A50" w:rsidRPr="002261B9">
        <w:rPr>
          <w:lang w:val="es-ES"/>
        </w:rPr>
        <w:t xml:space="preserve"> (</w:t>
      </w:r>
      <w:r w:rsidR="00F13B21" w:rsidRPr="002261B9">
        <w:rPr>
          <w:lang w:val="es-ES"/>
        </w:rPr>
        <w:t>véase</w:t>
      </w:r>
      <w:r w:rsidR="00D54A50" w:rsidRPr="002261B9">
        <w:rPr>
          <w:lang w:val="es-ES"/>
        </w:rPr>
        <w:t xml:space="preserve"> FOEN</w:t>
      </w:r>
      <w:r w:rsidR="004904E9" w:rsidRPr="002261B9">
        <w:rPr>
          <w:lang w:val="es-ES"/>
        </w:rPr>
        <w:t>,</w:t>
      </w:r>
      <w:r w:rsidR="007D0A73" w:rsidRPr="002261B9">
        <w:rPr>
          <w:lang w:val="es-ES"/>
        </w:rPr>
        <w:t xml:space="preserve"> 2</w:t>
      </w:r>
      <w:r w:rsidR="00D54A50" w:rsidRPr="002261B9">
        <w:rPr>
          <w:lang w:val="es-ES"/>
        </w:rPr>
        <w:t>017</w:t>
      </w:r>
      <w:r w:rsidR="00452DB2" w:rsidRPr="002261B9">
        <w:rPr>
          <w:lang w:val="es-ES"/>
        </w:rPr>
        <w:t>)</w:t>
      </w:r>
      <w:r w:rsidRPr="002261B9">
        <w:rPr>
          <w:lang w:val="es-ES"/>
        </w:rPr>
        <w:t>.</w:t>
      </w:r>
    </w:p>
    <w:p w14:paraId="0570B184" w14:textId="288A230D" w:rsidR="005B41D5" w:rsidRPr="002261B9" w:rsidRDefault="0074450D" w:rsidP="00F45508">
      <w:pPr>
        <w:pStyle w:val="Paralevel1"/>
        <w:numPr>
          <w:ilvl w:val="0"/>
          <w:numId w:val="23"/>
        </w:numPr>
        <w:tabs>
          <w:tab w:val="clear" w:pos="0"/>
        </w:tabs>
        <w:ind w:left="1247" w:firstLine="0"/>
        <w:rPr>
          <w:lang w:val="es-ES"/>
        </w:rPr>
      </w:pPr>
      <w:r w:rsidRPr="002261B9">
        <w:rPr>
          <w:lang w:val="es-ES"/>
        </w:rPr>
        <w:t xml:space="preserve">Las medidas de control </w:t>
      </w:r>
      <w:r w:rsidR="00087B22" w:rsidRPr="002261B9">
        <w:rPr>
          <w:lang w:val="es-ES"/>
        </w:rPr>
        <w:t xml:space="preserve">a nivel </w:t>
      </w:r>
      <w:r w:rsidRPr="002261B9">
        <w:rPr>
          <w:lang w:val="es-ES"/>
        </w:rPr>
        <w:t xml:space="preserve">nacional y regional difieren en cuanto a su </w:t>
      </w:r>
      <w:r w:rsidR="00F13B21" w:rsidRPr="002261B9">
        <w:rPr>
          <w:lang w:val="es-ES"/>
        </w:rPr>
        <w:t>alcance químico</w:t>
      </w:r>
      <w:r w:rsidR="005B41D5" w:rsidRPr="002261B9">
        <w:rPr>
          <w:lang w:val="es-ES"/>
        </w:rPr>
        <w:t xml:space="preserve"> </w:t>
      </w:r>
      <w:r w:rsidRPr="002261B9">
        <w:rPr>
          <w:lang w:val="es-ES"/>
        </w:rPr>
        <w:t>y a las exenciones</w:t>
      </w:r>
      <w:r w:rsidR="005B41D5" w:rsidRPr="002261B9">
        <w:rPr>
          <w:lang w:val="es-ES"/>
        </w:rPr>
        <w:t xml:space="preserve"> </w:t>
      </w:r>
      <w:r w:rsidR="003B504C" w:rsidRPr="002261B9">
        <w:rPr>
          <w:lang w:val="es-ES"/>
        </w:rPr>
        <w:t>(</w:t>
      </w:r>
      <w:r w:rsidRPr="002261B9">
        <w:rPr>
          <w:lang w:val="es-ES"/>
        </w:rPr>
        <w:t>véase el cuadro</w:t>
      </w:r>
      <w:r w:rsidR="00A57097" w:rsidRPr="002261B9">
        <w:rPr>
          <w:lang w:val="es-ES"/>
        </w:rPr>
        <w:t xml:space="preserve"> 3</w:t>
      </w:r>
      <w:r w:rsidR="005B41D5" w:rsidRPr="002261B9">
        <w:rPr>
          <w:lang w:val="es-ES"/>
        </w:rPr>
        <w:t xml:space="preserve">). </w:t>
      </w:r>
      <w:r w:rsidRPr="002261B9">
        <w:rPr>
          <w:lang w:val="es-ES"/>
        </w:rPr>
        <w:t xml:space="preserve">El </w:t>
      </w:r>
      <w:r w:rsidR="00F13B21" w:rsidRPr="002261B9">
        <w:rPr>
          <w:lang w:val="es-ES"/>
        </w:rPr>
        <w:t>alcance químico</w:t>
      </w:r>
      <w:r w:rsidR="005B41D5" w:rsidRPr="002261B9">
        <w:rPr>
          <w:lang w:val="es-ES"/>
        </w:rPr>
        <w:t xml:space="preserve"> </w:t>
      </w:r>
      <w:r w:rsidRPr="002261B9">
        <w:rPr>
          <w:lang w:val="es-ES"/>
        </w:rPr>
        <w:t xml:space="preserve">de las posibles medidas examinadas en la presente evaluación de la gestión de los riesgos es diferente del de otros </w:t>
      </w:r>
      <w:r w:rsidR="00862864" w:rsidRPr="002261B9">
        <w:rPr>
          <w:lang w:val="es-ES"/>
        </w:rPr>
        <w:t>mecanismos</w:t>
      </w:r>
      <w:r w:rsidRPr="002261B9">
        <w:rPr>
          <w:lang w:val="es-ES"/>
        </w:rPr>
        <w:t xml:space="preserve"> reglamentarios de gestión de los riesgos y se basa en los principios y las obligaciones del Convenio de Estocolmo</w:t>
      </w:r>
      <w:r w:rsidR="005B41D5" w:rsidRPr="002261B9">
        <w:rPr>
          <w:lang w:val="es-ES"/>
        </w:rPr>
        <w:t>.</w:t>
      </w:r>
      <w:r w:rsidR="00284890" w:rsidRPr="002261B9">
        <w:rPr>
          <w:lang w:val="es-ES"/>
        </w:rPr>
        <w:t xml:space="preserve"> </w:t>
      </w:r>
      <w:r w:rsidR="00DC24B5" w:rsidRPr="002261B9">
        <w:rPr>
          <w:lang w:val="es-ES"/>
        </w:rPr>
        <w:t>Vale la pena señalar que los compuestos conexos del PFOA, a los efectos de la presente evaluación de la gestión de los riesgos, abarca</w:t>
      </w:r>
      <w:r w:rsidR="00EB701F" w:rsidRPr="002261B9">
        <w:rPr>
          <w:lang w:val="es-ES"/>
        </w:rPr>
        <w:t>n</w:t>
      </w:r>
      <w:r w:rsidR="00DC24B5" w:rsidRPr="002261B9">
        <w:rPr>
          <w:lang w:val="es-ES"/>
        </w:rPr>
        <w:t xml:space="preserve"> la degradación a PFOA de los PFAS de cadena larga con más de ocho átomos de carbono perfluorado, con excepción de los que están explícitamente excluidos de la definición de compuestos conexos del PFOA debido a que no degradan a </w:t>
      </w:r>
      <w:r w:rsidR="00C2509D" w:rsidRPr="002261B9">
        <w:rPr>
          <w:lang w:val="es-ES"/>
        </w:rPr>
        <w:t xml:space="preserve">PFOA </w:t>
      </w:r>
      <w:r w:rsidR="00DC24B5" w:rsidRPr="002261B9">
        <w:rPr>
          <w:lang w:val="es-ES"/>
        </w:rPr>
        <w:t>en condiciones naturales</w:t>
      </w:r>
      <w:r w:rsidR="00F13B21" w:rsidRPr="002261B9">
        <w:rPr>
          <w:lang w:val="es-ES"/>
        </w:rPr>
        <w:t xml:space="preserve"> (véase el párrafo </w:t>
      </w:r>
      <w:r w:rsidR="00A57097" w:rsidRPr="002261B9">
        <w:rPr>
          <w:lang w:val="es-ES"/>
        </w:rPr>
        <w:t>17</w:t>
      </w:r>
      <w:r w:rsidR="005B7E1D" w:rsidRPr="002261B9">
        <w:rPr>
          <w:lang w:val="es-ES"/>
        </w:rPr>
        <w:t>)</w:t>
      </w:r>
      <w:r w:rsidR="005B41D5" w:rsidRPr="002261B9">
        <w:rPr>
          <w:lang w:val="es-ES"/>
        </w:rPr>
        <w:t>.</w:t>
      </w:r>
      <w:r w:rsidR="002741E1" w:rsidRPr="002261B9">
        <w:rPr>
          <w:lang w:val="es-ES"/>
        </w:rPr>
        <w:t xml:space="preserve"> Esto va más allá del procedimiento de evaluación de los riesgos de la </w:t>
      </w:r>
      <w:r w:rsidR="00BD4B48" w:rsidRPr="002261B9">
        <w:rPr>
          <w:lang w:val="es-ES"/>
        </w:rPr>
        <w:t>UE, que no contempla la degradación a PFOA de los PFAS de cadena larga.</w:t>
      </w:r>
      <w:r w:rsidR="005B41D5" w:rsidRPr="002261B9">
        <w:rPr>
          <w:lang w:val="es-ES"/>
        </w:rPr>
        <w:t xml:space="preserve"> </w:t>
      </w:r>
      <w:r w:rsidR="00DC24B5" w:rsidRPr="002261B9">
        <w:rPr>
          <w:lang w:val="es-ES"/>
        </w:rPr>
        <w:t>La degradación de los PFAS de cadena larga tampoco se considera en el procedimiento de gestión de los riesgos de Noruega</w:t>
      </w:r>
      <w:r w:rsidR="005B41D5" w:rsidRPr="002261B9">
        <w:rPr>
          <w:lang w:val="es-ES"/>
        </w:rPr>
        <w:t>.</w:t>
      </w:r>
      <w:r w:rsidR="00454165" w:rsidRPr="002261B9">
        <w:rPr>
          <w:lang w:val="es-ES"/>
        </w:rPr>
        <w:t xml:space="preserve"> </w:t>
      </w:r>
      <w:r w:rsidR="00DC24B5" w:rsidRPr="002261B9">
        <w:rPr>
          <w:lang w:val="es-ES"/>
        </w:rPr>
        <w:t>El procedimiento de gestión de los riesgos del Canadá también se aplica a los PFCA de cadena larga</w:t>
      </w:r>
      <w:r w:rsidR="00454165" w:rsidRPr="002261B9">
        <w:rPr>
          <w:lang w:val="es-ES"/>
        </w:rPr>
        <w:t xml:space="preserve">, </w:t>
      </w:r>
      <w:r w:rsidR="00DC24B5" w:rsidRPr="002261B9">
        <w:rPr>
          <w:lang w:val="es-ES"/>
        </w:rPr>
        <w:t>sus sales y precursores</w:t>
      </w:r>
      <w:r w:rsidR="00454165" w:rsidRPr="002261B9">
        <w:rPr>
          <w:lang w:val="es-ES"/>
        </w:rPr>
        <w:t>.</w:t>
      </w:r>
      <w:r w:rsidR="001835FF" w:rsidRPr="002261B9">
        <w:rPr>
          <w:lang w:val="es-ES"/>
        </w:rPr>
        <w:t xml:space="preserve"> </w:t>
      </w:r>
      <w:r w:rsidR="00DC24B5" w:rsidRPr="002261B9">
        <w:rPr>
          <w:lang w:val="es-ES"/>
        </w:rPr>
        <w:t xml:space="preserve">Ahora bien, Noruega ha incluido los PFAS de cadena larga en una lista prioritaria de sustancias cuya liberación al medio ambiente debería eliminarse a más tardar en </w:t>
      </w:r>
      <w:r w:rsidR="001835FF" w:rsidRPr="002261B9">
        <w:rPr>
          <w:lang w:val="es-ES"/>
        </w:rPr>
        <w:t xml:space="preserve">2020, </w:t>
      </w:r>
      <w:r w:rsidR="002741E1" w:rsidRPr="002261B9">
        <w:rPr>
          <w:lang w:val="es-ES"/>
        </w:rPr>
        <w:t xml:space="preserve">y también se incluyen en el </w:t>
      </w:r>
      <w:r w:rsidR="001835FF" w:rsidRPr="002261B9">
        <w:rPr>
          <w:lang w:val="es-ES"/>
        </w:rPr>
        <w:t xml:space="preserve">US Stewardship </w:t>
      </w:r>
      <w:r w:rsidR="00BC5139" w:rsidRPr="002261B9">
        <w:rPr>
          <w:lang w:val="es-ES"/>
        </w:rPr>
        <w:t>P</w:t>
      </w:r>
      <w:r w:rsidR="001835FF" w:rsidRPr="002261B9">
        <w:rPr>
          <w:lang w:val="es-ES"/>
        </w:rPr>
        <w:t>rogram (</w:t>
      </w:r>
      <w:r w:rsidR="002741E1" w:rsidRPr="002261B9">
        <w:rPr>
          <w:lang w:val="es-ES"/>
        </w:rPr>
        <w:t>Observaci</w:t>
      </w:r>
      <w:r w:rsidR="00AF2385" w:rsidRPr="002261B9">
        <w:rPr>
          <w:lang w:val="es-ES"/>
        </w:rPr>
        <w:t>ones de la Red de Eliminación de COP</w:t>
      </w:r>
      <w:r w:rsidR="001835FF" w:rsidRPr="002261B9">
        <w:rPr>
          <w:lang w:val="es-ES"/>
        </w:rPr>
        <w:t xml:space="preserve"> </w:t>
      </w:r>
      <w:r w:rsidR="002741E1" w:rsidRPr="002261B9">
        <w:rPr>
          <w:lang w:val="es-ES"/>
        </w:rPr>
        <w:t>sobre el segundo proyecto de evaluación de la gestión de los riesgos</w:t>
      </w:r>
      <w:r w:rsidR="00452DB2" w:rsidRPr="002261B9">
        <w:rPr>
          <w:lang w:val="es-ES"/>
        </w:rPr>
        <w:t>)</w:t>
      </w:r>
      <w:r w:rsidR="001835FF" w:rsidRPr="002261B9">
        <w:rPr>
          <w:lang w:val="es-ES"/>
        </w:rPr>
        <w:t>.</w:t>
      </w:r>
      <w:r w:rsidR="002741E1" w:rsidRPr="002261B9">
        <w:rPr>
          <w:lang w:val="es-ES"/>
        </w:rPr>
        <w:t xml:space="preserve"> La OCDE ha establecido una definición general de los </w:t>
      </w:r>
      <w:r w:rsidR="00E1011E" w:rsidRPr="002261B9">
        <w:rPr>
          <w:lang w:val="es-ES"/>
        </w:rPr>
        <w:t>“</w:t>
      </w:r>
      <w:r w:rsidR="00074F43" w:rsidRPr="002261B9">
        <w:rPr>
          <w:lang w:val="es-ES"/>
        </w:rPr>
        <w:t>PFCA</w:t>
      </w:r>
      <w:r w:rsidR="002741E1" w:rsidRPr="002261B9">
        <w:rPr>
          <w:lang w:val="es-ES"/>
        </w:rPr>
        <w:t xml:space="preserve"> de cadena larga</w:t>
      </w:r>
      <w:r w:rsidR="00E1011E" w:rsidRPr="002261B9">
        <w:rPr>
          <w:lang w:val="es-ES"/>
        </w:rPr>
        <w:t>”</w:t>
      </w:r>
      <w:r w:rsidR="00074F43" w:rsidRPr="002261B9">
        <w:rPr>
          <w:lang w:val="es-ES"/>
        </w:rPr>
        <w:t xml:space="preserve"> (C</w:t>
      </w:r>
      <w:r w:rsidR="00074F43" w:rsidRPr="002261B9">
        <w:rPr>
          <w:vertAlign w:val="subscript"/>
          <w:lang w:val="es-ES"/>
        </w:rPr>
        <w:t>n</w:t>
      </w:r>
      <w:r w:rsidR="00074F43" w:rsidRPr="002261B9">
        <w:rPr>
          <w:lang w:val="es-ES"/>
        </w:rPr>
        <w:t>F</w:t>
      </w:r>
      <w:r w:rsidR="00074F43" w:rsidRPr="002261B9">
        <w:rPr>
          <w:vertAlign w:val="subscript"/>
          <w:lang w:val="es-ES"/>
        </w:rPr>
        <w:t>2n+1</w:t>
      </w:r>
      <w:r w:rsidR="00074F43" w:rsidRPr="002261B9">
        <w:rPr>
          <w:lang w:val="es-ES"/>
        </w:rPr>
        <w:t>COOH, n ≥7) (OCD</w:t>
      </w:r>
      <w:r w:rsidR="00D27EF9" w:rsidRPr="002261B9">
        <w:rPr>
          <w:lang w:val="es-ES"/>
        </w:rPr>
        <w:t>E</w:t>
      </w:r>
      <w:r w:rsidR="004904E9" w:rsidRPr="002261B9">
        <w:rPr>
          <w:lang w:val="es-ES"/>
        </w:rPr>
        <w:t>,</w:t>
      </w:r>
      <w:r w:rsidR="007D0A73" w:rsidRPr="002261B9">
        <w:rPr>
          <w:lang w:val="es-ES"/>
        </w:rPr>
        <w:t xml:space="preserve"> 2</w:t>
      </w:r>
      <w:r w:rsidR="00074F43" w:rsidRPr="002261B9">
        <w:rPr>
          <w:lang w:val="es-ES"/>
        </w:rPr>
        <w:t>017</w:t>
      </w:r>
      <w:r w:rsidR="00452DB2" w:rsidRPr="002261B9">
        <w:rPr>
          <w:lang w:val="es-ES"/>
        </w:rPr>
        <w:t>)</w:t>
      </w:r>
      <w:r w:rsidR="00074F43" w:rsidRPr="002261B9">
        <w:rPr>
          <w:lang w:val="es-ES"/>
        </w:rPr>
        <w:t>.</w:t>
      </w:r>
      <w:r w:rsidR="00640DB0" w:rsidRPr="002261B9">
        <w:rPr>
          <w:lang w:val="es-ES"/>
        </w:rPr>
        <w:t xml:space="preserve"> </w:t>
      </w:r>
      <w:r w:rsidR="002741E1" w:rsidRPr="002261B9">
        <w:rPr>
          <w:lang w:val="es-ES"/>
        </w:rPr>
        <w:t>Como resultado de los procesos de producción existentes, las sustancias fluoroteloméricas se han fabricado en general como mezclas de sustancias homólogas con diversas longitudes de cadena de perfluoroalquilos</w:t>
      </w:r>
      <w:r w:rsidR="00DF4FD2" w:rsidRPr="002261B9">
        <w:rPr>
          <w:lang w:val="es-ES"/>
        </w:rPr>
        <w:t xml:space="preserve"> (</w:t>
      </w:r>
      <w:r w:rsidR="002741E1" w:rsidRPr="002261B9">
        <w:rPr>
          <w:lang w:val="es-ES"/>
        </w:rPr>
        <w:t>por ejemplo</w:t>
      </w:r>
      <w:r w:rsidR="00DF4FD2" w:rsidRPr="002261B9">
        <w:rPr>
          <w:lang w:val="es-ES"/>
        </w:rPr>
        <w:t xml:space="preserve">, </w:t>
      </w:r>
      <w:r w:rsidR="00F13B21" w:rsidRPr="002261B9">
        <w:rPr>
          <w:lang w:val="es-ES"/>
        </w:rPr>
        <w:t>véase</w:t>
      </w:r>
      <w:r w:rsidR="00DF4FD2" w:rsidRPr="002261B9">
        <w:rPr>
          <w:lang w:val="es-ES"/>
        </w:rPr>
        <w:t xml:space="preserve"> DuPont</w:t>
      </w:r>
      <w:r w:rsidR="00033E30" w:rsidRPr="002261B9">
        <w:rPr>
          <w:lang w:val="es-ES"/>
        </w:rPr>
        <w:t xml:space="preserve">, </w:t>
      </w:r>
      <w:r w:rsidR="00DF4FD2" w:rsidRPr="002261B9">
        <w:rPr>
          <w:lang w:val="es-ES"/>
        </w:rPr>
        <w:t xml:space="preserve">1998, </w:t>
      </w:r>
      <w:r w:rsidR="002741E1" w:rsidRPr="002261B9">
        <w:rPr>
          <w:lang w:val="es-ES"/>
        </w:rPr>
        <w:t xml:space="preserve">en particular las que tienen más de ocho átomos de carbono </w:t>
      </w:r>
      <w:r w:rsidR="00DF4FD2" w:rsidRPr="002261B9">
        <w:rPr>
          <w:lang w:val="es-ES"/>
        </w:rPr>
        <w:t>perfluora</w:t>
      </w:r>
      <w:r w:rsidR="002741E1" w:rsidRPr="002261B9">
        <w:rPr>
          <w:lang w:val="es-ES"/>
        </w:rPr>
        <w:t>dos</w:t>
      </w:r>
      <w:r w:rsidR="00DF4FD2" w:rsidRPr="002261B9">
        <w:rPr>
          <w:rStyle w:val="FootnoteReference"/>
          <w:lang w:val="es-ES"/>
        </w:rPr>
        <w:footnoteReference w:id="10"/>
      </w:r>
      <w:r w:rsidR="002741E1" w:rsidRPr="002261B9">
        <w:rPr>
          <w:lang w:val="es-ES"/>
        </w:rPr>
        <w:t>.</w:t>
      </w:r>
      <w:r w:rsidR="00284890" w:rsidRPr="002261B9">
        <w:rPr>
          <w:lang w:val="es-ES"/>
        </w:rPr>
        <w:t xml:space="preserve"> </w:t>
      </w:r>
      <w:r w:rsidR="002741E1" w:rsidRPr="002261B9">
        <w:rPr>
          <w:lang w:val="es-ES"/>
        </w:rPr>
        <w:t>Por esa razón, la información proporcionada en la presente evaluación de los riesgos abarca hasta cierto punto también a las sustancias a base de fluorotelómeros con PFAS de cadenas más largas</w:t>
      </w:r>
      <w:r w:rsidR="00DF4FD2" w:rsidRPr="002261B9">
        <w:rPr>
          <w:lang w:val="es-ES"/>
        </w:rPr>
        <w:t xml:space="preserve"> (</w:t>
      </w:r>
      <w:r w:rsidR="002741E1" w:rsidRPr="002261B9">
        <w:rPr>
          <w:lang w:val="es-ES"/>
        </w:rPr>
        <w:t>de m</w:t>
      </w:r>
      <w:r w:rsidR="00BD4B48" w:rsidRPr="002261B9">
        <w:rPr>
          <w:lang w:val="es-ES"/>
        </w:rPr>
        <w:t>á</w:t>
      </w:r>
      <w:r w:rsidR="002741E1" w:rsidRPr="002261B9">
        <w:rPr>
          <w:lang w:val="es-ES"/>
        </w:rPr>
        <w:t xml:space="preserve">s de </w:t>
      </w:r>
      <w:r w:rsidR="00DF4FD2" w:rsidRPr="002261B9">
        <w:rPr>
          <w:lang w:val="es-ES"/>
        </w:rPr>
        <w:t>8:2).</w:t>
      </w:r>
      <w:r w:rsidR="00284890" w:rsidRPr="002261B9">
        <w:rPr>
          <w:lang w:val="es-ES"/>
        </w:rPr>
        <w:t xml:space="preserve"> </w:t>
      </w:r>
    </w:p>
    <w:p w14:paraId="31954FCB" w14:textId="77777777" w:rsidR="001E397C" w:rsidRDefault="001E397C">
      <w:pPr>
        <w:rPr>
          <w:rFonts w:eastAsia="Times New Roman"/>
          <w:sz w:val="20"/>
          <w:szCs w:val="20"/>
          <w:lang w:val="es-ES" w:eastAsia="en-US"/>
        </w:rPr>
      </w:pPr>
      <w:r>
        <w:rPr>
          <w:lang w:val="es-ES"/>
        </w:rPr>
        <w:br w:type="page"/>
      </w:r>
    </w:p>
    <w:p w14:paraId="4F56D16B" w14:textId="5B3594AB" w:rsidR="00BD08E7" w:rsidRPr="002261B9" w:rsidRDefault="001835FF" w:rsidP="00F45508">
      <w:pPr>
        <w:pStyle w:val="Paralevel1"/>
        <w:numPr>
          <w:ilvl w:val="0"/>
          <w:numId w:val="23"/>
        </w:numPr>
        <w:tabs>
          <w:tab w:val="clear" w:pos="0"/>
        </w:tabs>
        <w:ind w:left="1247" w:firstLine="0"/>
        <w:rPr>
          <w:lang w:val="es-ES"/>
        </w:rPr>
      </w:pPr>
      <w:r w:rsidRPr="002261B9">
        <w:rPr>
          <w:lang w:val="es-ES"/>
        </w:rPr>
        <w:lastRenderedPageBreak/>
        <w:t>E</w:t>
      </w:r>
      <w:r w:rsidR="00BD4B48" w:rsidRPr="002261B9">
        <w:rPr>
          <w:lang w:val="es-ES"/>
        </w:rPr>
        <w:t>n el cuadro 3 se ofrece una sin</w:t>
      </w:r>
      <w:r w:rsidRPr="002261B9">
        <w:rPr>
          <w:lang w:val="es-ES"/>
        </w:rPr>
        <w:t>o</w:t>
      </w:r>
      <w:r w:rsidR="00BD4B48" w:rsidRPr="002261B9">
        <w:rPr>
          <w:lang w:val="es-ES"/>
        </w:rPr>
        <w:t>p</w:t>
      </w:r>
      <w:r w:rsidRPr="002261B9">
        <w:rPr>
          <w:lang w:val="es-ES"/>
        </w:rPr>
        <w:t xml:space="preserve">sis de los métodos reglamentarios de gestión de los riesgos y las </w:t>
      </w:r>
      <w:r w:rsidR="004904E9" w:rsidRPr="002261B9">
        <w:rPr>
          <w:lang w:val="es-ES"/>
        </w:rPr>
        <w:t>exenciones en</w:t>
      </w:r>
      <w:r w:rsidRPr="002261B9">
        <w:rPr>
          <w:lang w:val="es-ES"/>
        </w:rPr>
        <w:t xml:space="preserve"> el Canadá, la Unión Europea y Noruega. En la sección 3 del documento de antecedentes (UNEP/POPS/POPRC.13/INF/6) figuran más detalles sobre los enfoques legislativos de esos países.</w:t>
      </w:r>
    </w:p>
    <w:p w14:paraId="50ACE61D" w14:textId="07754078" w:rsidR="00BD08E7" w:rsidRPr="002261B9" w:rsidRDefault="00BD08E7" w:rsidP="00630BB2">
      <w:pPr>
        <w:pStyle w:val="Caption"/>
        <w:keepNext/>
        <w:keepLines/>
        <w:tabs>
          <w:tab w:val="left" w:pos="624"/>
          <w:tab w:val="left" w:pos="1247"/>
          <w:tab w:val="left" w:pos="1440"/>
        </w:tabs>
        <w:spacing w:after="120"/>
        <w:ind w:left="1247"/>
        <w:rPr>
          <w:color w:val="auto"/>
          <w:sz w:val="20"/>
          <w:szCs w:val="20"/>
          <w:lang w:val="es-ES"/>
        </w:rPr>
      </w:pPr>
      <w:bookmarkStart w:id="20" w:name="_Ref481061525"/>
      <w:r w:rsidRPr="002261B9">
        <w:rPr>
          <w:color w:val="auto"/>
          <w:sz w:val="20"/>
          <w:szCs w:val="20"/>
          <w:lang w:val="es-ES"/>
        </w:rPr>
        <w:t xml:space="preserve">Cuadro 3: Sinopsis de los </w:t>
      </w:r>
      <w:r w:rsidR="00862864" w:rsidRPr="002261B9">
        <w:rPr>
          <w:color w:val="auto"/>
          <w:sz w:val="20"/>
          <w:szCs w:val="20"/>
          <w:lang w:val="es-ES"/>
        </w:rPr>
        <w:t>mecanismos</w:t>
      </w:r>
      <w:r w:rsidR="00F31943" w:rsidRPr="002261B9">
        <w:rPr>
          <w:color w:val="auto"/>
          <w:sz w:val="20"/>
          <w:szCs w:val="20"/>
          <w:lang w:val="es-ES"/>
        </w:rPr>
        <w:t xml:space="preserve"> </w:t>
      </w:r>
      <w:r w:rsidRPr="002261B9">
        <w:rPr>
          <w:color w:val="auto"/>
          <w:sz w:val="20"/>
          <w:szCs w:val="20"/>
          <w:lang w:val="es-ES"/>
        </w:rPr>
        <w:t>reglamentarios de gestión de los riesgos, los productos químicos a los que se aplican y las exenciones de uso relacionados con el PFOA, sus sales y los compuestos conexos del PFOA en el Canadá, la Unión Europea y Noruega (para más detalles véase Canadá</w:t>
      </w:r>
      <w:r w:rsidR="004904E9" w:rsidRPr="002261B9">
        <w:rPr>
          <w:color w:val="auto"/>
          <w:sz w:val="20"/>
          <w:szCs w:val="20"/>
          <w:lang w:val="es-ES"/>
        </w:rPr>
        <w:t>,</w:t>
      </w:r>
      <w:r w:rsidR="007D0A73" w:rsidRPr="002261B9">
        <w:rPr>
          <w:color w:val="auto"/>
          <w:sz w:val="20"/>
          <w:szCs w:val="20"/>
          <w:lang w:val="es-ES"/>
        </w:rPr>
        <w:t xml:space="preserve"> 2</w:t>
      </w:r>
      <w:r w:rsidRPr="002261B9">
        <w:rPr>
          <w:color w:val="auto"/>
          <w:sz w:val="20"/>
          <w:szCs w:val="20"/>
          <w:lang w:val="es-ES"/>
        </w:rPr>
        <w:t>016c</w:t>
      </w:r>
      <w:r w:rsidR="00EB701F" w:rsidRPr="002261B9">
        <w:rPr>
          <w:color w:val="auto"/>
          <w:sz w:val="20"/>
          <w:szCs w:val="20"/>
          <w:lang w:val="es-ES"/>
        </w:rPr>
        <w:t>)</w:t>
      </w:r>
      <w:r w:rsidRPr="002261B9">
        <w:rPr>
          <w:color w:val="auto"/>
          <w:sz w:val="20"/>
          <w:szCs w:val="20"/>
          <w:lang w:val="es-ES"/>
        </w:rPr>
        <w:t>, Comisión Europea</w:t>
      </w:r>
      <w:r w:rsidR="004904E9" w:rsidRPr="002261B9">
        <w:rPr>
          <w:color w:val="auto"/>
          <w:sz w:val="20"/>
          <w:szCs w:val="20"/>
          <w:lang w:val="es-ES"/>
        </w:rPr>
        <w:t>,</w:t>
      </w:r>
      <w:r w:rsidR="007D0A73" w:rsidRPr="002261B9">
        <w:rPr>
          <w:color w:val="auto"/>
          <w:sz w:val="20"/>
          <w:szCs w:val="20"/>
          <w:lang w:val="es-ES"/>
        </w:rPr>
        <w:t xml:space="preserve"> 2</w:t>
      </w:r>
      <w:r w:rsidRPr="002261B9">
        <w:rPr>
          <w:color w:val="auto"/>
          <w:sz w:val="20"/>
          <w:szCs w:val="20"/>
          <w:lang w:val="es-ES"/>
        </w:rPr>
        <w:t>017</w:t>
      </w:r>
      <w:r w:rsidR="00EB701F" w:rsidRPr="002261B9">
        <w:rPr>
          <w:color w:val="auto"/>
          <w:sz w:val="20"/>
          <w:szCs w:val="20"/>
          <w:lang w:val="es-ES"/>
        </w:rPr>
        <w:t>)</w:t>
      </w:r>
      <w:r w:rsidRPr="002261B9">
        <w:rPr>
          <w:color w:val="auto"/>
          <w:sz w:val="20"/>
          <w:szCs w:val="20"/>
          <w:lang w:val="es-ES"/>
        </w:rPr>
        <w:t xml:space="preserve"> y Noruega</w:t>
      </w:r>
      <w:r w:rsidR="004904E9" w:rsidRPr="002261B9">
        <w:rPr>
          <w:color w:val="auto"/>
          <w:sz w:val="20"/>
          <w:szCs w:val="20"/>
          <w:lang w:val="es-ES"/>
        </w:rPr>
        <w:t>,</w:t>
      </w:r>
      <w:r w:rsidR="007D0A73" w:rsidRPr="002261B9">
        <w:rPr>
          <w:color w:val="auto"/>
          <w:sz w:val="20"/>
          <w:szCs w:val="20"/>
          <w:lang w:val="es-ES"/>
        </w:rPr>
        <w:t xml:space="preserve"> 2</w:t>
      </w:r>
      <w:r w:rsidRPr="002261B9">
        <w:rPr>
          <w:color w:val="auto"/>
          <w:sz w:val="20"/>
          <w:szCs w:val="20"/>
          <w:lang w:val="es-ES"/>
        </w:rPr>
        <w:t>016</w:t>
      </w:r>
      <w:bookmarkEnd w:id="20"/>
      <w:r w:rsidR="00452DB2" w:rsidRPr="002261B9">
        <w:rPr>
          <w:color w:val="auto"/>
          <w:sz w:val="20"/>
          <w:szCs w:val="20"/>
          <w:lang w:val="es-ES"/>
        </w:rPr>
        <w:t>)</w:t>
      </w:r>
    </w:p>
    <w:tbl>
      <w:tblPr>
        <w:tblStyle w:val="TableGrid"/>
        <w:tblW w:w="4303" w:type="pct"/>
        <w:tblInd w:w="1247" w:type="dxa"/>
        <w:tblLayout w:type="fixed"/>
        <w:tblLook w:val="04A0" w:firstRow="1" w:lastRow="0" w:firstColumn="1" w:lastColumn="0" w:noHBand="0" w:noVBand="1"/>
      </w:tblPr>
      <w:tblGrid>
        <w:gridCol w:w="1455"/>
        <w:gridCol w:w="2279"/>
        <w:gridCol w:w="2222"/>
        <w:gridCol w:w="2208"/>
      </w:tblGrid>
      <w:tr w:rsidR="00FE696C" w:rsidRPr="002261B9" w14:paraId="69060D86" w14:textId="77777777" w:rsidTr="001E397C">
        <w:trPr>
          <w:tblHeader/>
        </w:trPr>
        <w:tc>
          <w:tcPr>
            <w:tcW w:w="891" w:type="pct"/>
            <w:shd w:val="clear" w:color="auto" w:fill="D9D9D9" w:themeFill="background1" w:themeFillShade="D9"/>
          </w:tcPr>
          <w:p w14:paraId="1404C420" w14:textId="77777777" w:rsidR="00BD08E7" w:rsidRPr="002261B9" w:rsidRDefault="00BD08E7" w:rsidP="001E397C">
            <w:pPr>
              <w:pStyle w:val="Paralevel2"/>
              <w:keepNext/>
              <w:keepLines/>
              <w:spacing w:before="60" w:after="60"/>
              <w:ind w:left="-57" w:right="0"/>
              <w:rPr>
                <w:sz w:val="18"/>
                <w:szCs w:val="18"/>
              </w:rPr>
            </w:pPr>
          </w:p>
        </w:tc>
        <w:tc>
          <w:tcPr>
            <w:tcW w:w="1396" w:type="pct"/>
            <w:shd w:val="clear" w:color="auto" w:fill="D9D9D9" w:themeFill="background1" w:themeFillShade="D9"/>
          </w:tcPr>
          <w:p w14:paraId="15E4AE15" w14:textId="77777777" w:rsidR="00BD08E7" w:rsidRPr="002261B9" w:rsidRDefault="00BD08E7" w:rsidP="001E397C">
            <w:pPr>
              <w:pStyle w:val="Paralevel2"/>
              <w:keepNext/>
              <w:keepLines/>
              <w:spacing w:before="60" w:after="60"/>
              <w:ind w:left="-57" w:right="0"/>
              <w:rPr>
                <w:b/>
                <w:sz w:val="18"/>
                <w:szCs w:val="18"/>
              </w:rPr>
            </w:pPr>
            <w:r w:rsidRPr="002261B9">
              <w:rPr>
                <w:b/>
                <w:sz w:val="18"/>
                <w:szCs w:val="18"/>
              </w:rPr>
              <w:t>Canadá</w:t>
            </w:r>
          </w:p>
        </w:tc>
        <w:tc>
          <w:tcPr>
            <w:tcW w:w="1361" w:type="pct"/>
            <w:shd w:val="clear" w:color="auto" w:fill="D9D9D9" w:themeFill="background1" w:themeFillShade="D9"/>
          </w:tcPr>
          <w:p w14:paraId="00F726C9" w14:textId="77777777" w:rsidR="00BD08E7" w:rsidRPr="002261B9" w:rsidRDefault="00BD08E7" w:rsidP="001E397C">
            <w:pPr>
              <w:pStyle w:val="Paralevel2"/>
              <w:keepNext/>
              <w:keepLines/>
              <w:spacing w:before="60" w:after="60"/>
              <w:ind w:left="-57" w:right="0"/>
              <w:rPr>
                <w:b/>
                <w:sz w:val="18"/>
                <w:szCs w:val="18"/>
              </w:rPr>
            </w:pPr>
            <w:r w:rsidRPr="002261B9">
              <w:rPr>
                <w:b/>
                <w:sz w:val="18"/>
                <w:szCs w:val="18"/>
              </w:rPr>
              <w:t>UE</w:t>
            </w:r>
          </w:p>
        </w:tc>
        <w:tc>
          <w:tcPr>
            <w:tcW w:w="1352" w:type="pct"/>
            <w:shd w:val="clear" w:color="auto" w:fill="D9D9D9" w:themeFill="background1" w:themeFillShade="D9"/>
          </w:tcPr>
          <w:p w14:paraId="2497A79E" w14:textId="77777777" w:rsidR="00BD08E7" w:rsidRPr="002261B9" w:rsidRDefault="00BD08E7" w:rsidP="001E397C">
            <w:pPr>
              <w:pStyle w:val="Paralevel2"/>
              <w:keepNext/>
              <w:keepLines/>
              <w:spacing w:before="60" w:after="60"/>
              <w:ind w:left="-57" w:right="0"/>
              <w:rPr>
                <w:b/>
                <w:sz w:val="18"/>
                <w:szCs w:val="18"/>
              </w:rPr>
            </w:pPr>
            <w:r w:rsidRPr="002261B9">
              <w:rPr>
                <w:b/>
                <w:sz w:val="18"/>
                <w:szCs w:val="18"/>
              </w:rPr>
              <w:t>Noruega</w:t>
            </w:r>
          </w:p>
        </w:tc>
      </w:tr>
      <w:tr w:rsidR="00FE696C" w:rsidRPr="002261B9" w14:paraId="6B850E3B" w14:textId="77777777" w:rsidTr="001E397C">
        <w:tc>
          <w:tcPr>
            <w:tcW w:w="891" w:type="pct"/>
          </w:tcPr>
          <w:p w14:paraId="2841AAB4" w14:textId="77777777" w:rsidR="00BD08E7" w:rsidRPr="002261B9" w:rsidRDefault="00BD08E7" w:rsidP="001E397C">
            <w:pPr>
              <w:pStyle w:val="Paralevel2"/>
              <w:keepNext/>
              <w:keepLines/>
              <w:spacing w:before="60" w:after="60"/>
              <w:ind w:left="-57" w:right="0"/>
              <w:rPr>
                <w:sz w:val="18"/>
                <w:szCs w:val="18"/>
              </w:rPr>
            </w:pPr>
          </w:p>
        </w:tc>
        <w:tc>
          <w:tcPr>
            <w:tcW w:w="1396" w:type="pct"/>
          </w:tcPr>
          <w:p w14:paraId="7A3E9574" w14:textId="1BF27650" w:rsidR="00BD08E7" w:rsidRPr="002261B9" w:rsidRDefault="00BD08E7" w:rsidP="001E397C">
            <w:pPr>
              <w:pStyle w:val="Paralevel2"/>
              <w:keepNext/>
              <w:keepLines/>
              <w:spacing w:before="60" w:after="60"/>
              <w:ind w:left="-57" w:right="0"/>
              <w:rPr>
                <w:sz w:val="18"/>
                <w:szCs w:val="18"/>
              </w:rPr>
            </w:pPr>
            <w:r w:rsidRPr="002261B9">
              <w:rPr>
                <w:sz w:val="18"/>
                <w:szCs w:val="18"/>
              </w:rPr>
              <w:t>Prohibir la fabricación, el uso, la venta, la oferta d</w:t>
            </w:r>
            <w:r w:rsidR="002560D0" w:rsidRPr="002261B9">
              <w:rPr>
                <w:sz w:val="18"/>
                <w:szCs w:val="18"/>
              </w:rPr>
              <w:t xml:space="preserve">e venta o la importación de </w:t>
            </w:r>
            <w:r w:rsidRPr="002261B9">
              <w:rPr>
                <w:sz w:val="18"/>
                <w:szCs w:val="18"/>
              </w:rPr>
              <w:t>sustancias y productos que contengan esas sustancias</w:t>
            </w:r>
          </w:p>
        </w:tc>
        <w:tc>
          <w:tcPr>
            <w:tcW w:w="1361" w:type="pct"/>
          </w:tcPr>
          <w:p w14:paraId="4DF869B8"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Prohibir la fabricación, el uso o la comercialización 1) como sustancias, como constituyentes de otras sustancias y 2) artículos o partes de ellos que contengan una de las sustancias</w:t>
            </w:r>
          </w:p>
        </w:tc>
        <w:tc>
          <w:tcPr>
            <w:tcW w:w="1352" w:type="pct"/>
          </w:tcPr>
          <w:p w14:paraId="4DFC84F2"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Prohibir la fabricación, importación, expor</w:t>
            </w:r>
            <w:r w:rsidR="00B14538" w:rsidRPr="002261B9">
              <w:rPr>
                <w:sz w:val="18"/>
                <w:szCs w:val="18"/>
              </w:rPr>
              <w:t>tación y comercialización de 1) </w:t>
            </w:r>
            <w:r w:rsidRPr="002261B9">
              <w:rPr>
                <w:sz w:val="18"/>
                <w:szCs w:val="18"/>
              </w:rPr>
              <w:t>productos textiles,</w:t>
            </w:r>
            <w:r w:rsidR="00B14538" w:rsidRPr="002261B9">
              <w:rPr>
                <w:sz w:val="18"/>
                <w:szCs w:val="18"/>
              </w:rPr>
              <w:t> </w:t>
            </w:r>
            <w:r w:rsidRPr="002261B9">
              <w:rPr>
                <w:sz w:val="18"/>
                <w:szCs w:val="18"/>
              </w:rPr>
              <w:t>alfombras y otro</w:t>
            </w:r>
            <w:r w:rsidR="005D07C9" w:rsidRPr="002261B9">
              <w:rPr>
                <w:sz w:val="18"/>
                <w:szCs w:val="18"/>
              </w:rPr>
              <w:t>s productos de consumo con reve</w:t>
            </w:r>
            <w:r w:rsidRPr="002261B9">
              <w:rPr>
                <w:sz w:val="18"/>
                <w:szCs w:val="18"/>
              </w:rPr>
              <w:t>stimientos que contengan esas sustancias y 2) los productos de consumo que contengan esas sustancias</w:t>
            </w:r>
          </w:p>
        </w:tc>
      </w:tr>
      <w:tr w:rsidR="00FE696C" w:rsidRPr="002261B9" w14:paraId="0DCAEB5F" w14:textId="77777777" w:rsidTr="001E397C">
        <w:tc>
          <w:tcPr>
            <w:tcW w:w="891" w:type="pct"/>
          </w:tcPr>
          <w:p w14:paraId="6A7FD0DC" w14:textId="77777777" w:rsidR="00BD08E7" w:rsidRPr="002261B9" w:rsidRDefault="00D27EF9" w:rsidP="001E397C">
            <w:pPr>
              <w:pStyle w:val="Paralevel2"/>
              <w:keepNext/>
              <w:keepLines/>
              <w:spacing w:before="60" w:after="60"/>
              <w:ind w:left="-57" w:right="0"/>
              <w:rPr>
                <w:sz w:val="18"/>
                <w:szCs w:val="18"/>
              </w:rPr>
            </w:pPr>
            <w:r w:rsidRPr="002261B9">
              <w:rPr>
                <w:sz w:val="18"/>
                <w:szCs w:val="18"/>
              </w:rPr>
              <w:t>Descripción del producto químico</w:t>
            </w:r>
          </w:p>
        </w:tc>
        <w:tc>
          <w:tcPr>
            <w:tcW w:w="1396" w:type="pct"/>
          </w:tcPr>
          <w:p w14:paraId="447C899F"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PFOA </w:t>
            </w:r>
            <w:r w:rsidR="00BC7F6D" w:rsidRPr="002261B9">
              <w:rPr>
                <w:sz w:val="18"/>
                <w:szCs w:val="18"/>
              </w:rPr>
              <w:t>y sus sales</w:t>
            </w:r>
            <w:r w:rsidRPr="002261B9">
              <w:rPr>
                <w:sz w:val="18"/>
                <w:szCs w:val="18"/>
              </w:rPr>
              <w:t>;</w:t>
            </w:r>
          </w:p>
          <w:p w14:paraId="78B882B5" w14:textId="31204034" w:rsidR="00BD08E7" w:rsidRPr="002261B9" w:rsidRDefault="00BD08E7" w:rsidP="001E397C">
            <w:pPr>
              <w:pStyle w:val="Paralevel2"/>
              <w:keepNext/>
              <w:keepLines/>
              <w:spacing w:before="60" w:after="60"/>
              <w:ind w:left="-57" w:right="0"/>
              <w:rPr>
                <w:sz w:val="18"/>
                <w:szCs w:val="18"/>
              </w:rPr>
            </w:pPr>
            <w:r w:rsidRPr="002261B9">
              <w:rPr>
                <w:sz w:val="18"/>
                <w:szCs w:val="18"/>
                <w:lang w:eastAsia="en-US"/>
              </w:rPr>
              <w:t>Comp</w:t>
            </w:r>
            <w:r w:rsidR="00BC7F6D" w:rsidRPr="002261B9">
              <w:rPr>
                <w:sz w:val="18"/>
                <w:szCs w:val="18"/>
                <w:lang w:eastAsia="en-US"/>
              </w:rPr>
              <w:t>uestos que consisten en un grupo</w:t>
            </w:r>
            <w:r w:rsidR="00EB701F" w:rsidRPr="002261B9">
              <w:rPr>
                <w:sz w:val="18"/>
                <w:szCs w:val="18"/>
                <w:lang w:eastAsia="en-US"/>
              </w:rPr>
              <w:t xml:space="preserve"> </w:t>
            </w:r>
            <w:r w:rsidR="00BC7F6D" w:rsidRPr="002261B9">
              <w:rPr>
                <w:sz w:val="18"/>
                <w:szCs w:val="18"/>
                <w:lang w:eastAsia="en-US"/>
              </w:rPr>
              <w:t xml:space="preserve">perfluoroalquilo que tiene la formula </w:t>
            </w:r>
            <w:r w:rsidRPr="002261B9">
              <w:rPr>
                <w:sz w:val="18"/>
                <w:szCs w:val="18"/>
                <w:lang w:eastAsia="en-US"/>
              </w:rPr>
              <w:t>molecular C</w:t>
            </w:r>
            <w:r w:rsidRPr="002261B9">
              <w:rPr>
                <w:sz w:val="18"/>
                <w:szCs w:val="18"/>
                <w:vertAlign w:val="subscript"/>
                <w:lang w:eastAsia="en-US"/>
              </w:rPr>
              <w:t>n</w:t>
            </w:r>
            <w:r w:rsidRPr="002261B9">
              <w:rPr>
                <w:sz w:val="18"/>
                <w:szCs w:val="18"/>
                <w:lang w:eastAsia="en-US"/>
              </w:rPr>
              <w:t>F</w:t>
            </w:r>
            <w:r w:rsidRPr="002261B9">
              <w:rPr>
                <w:sz w:val="18"/>
                <w:szCs w:val="18"/>
                <w:vertAlign w:val="subscript"/>
                <w:lang w:eastAsia="en-US"/>
              </w:rPr>
              <w:t>2n+1</w:t>
            </w:r>
            <w:r w:rsidR="004904E9" w:rsidRPr="002261B9">
              <w:rPr>
                <w:sz w:val="18"/>
                <w:szCs w:val="18"/>
                <w:vertAlign w:val="subscript"/>
                <w:lang w:eastAsia="en-US"/>
              </w:rPr>
              <w:t>,</w:t>
            </w:r>
            <w:r w:rsidR="00BC7F6D" w:rsidRPr="002261B9">
              <w:rPr>
                <w:sz w:val="18"/>
                <w:szCs w:val="18"/>
                <w:lang w:eastAsia="en-US"/>
              </w:rPr>
              <w:t xml:space="preserve"> en la que</w:t>
            </w:r>
            <w:r w:rsidRPr="002261B9">
              <w:rPr>
                <w:sz w:val="18"/>
                <w:szCs w:val="18"/>
                <w:lang w:eastAsia="en-US"/>
              </w:rPr>
              <w:t xml:space="preserve"> n=7 </w:t>
            </w:r>
            <w:r w:rsidR="00BC7F6D" w:rsidRPr="002261B9">
              <w:rPr>
                <w:sz w:val="18"/>
                <w:szCs w:val="18"/>
                <w:lang w:eastAsia="en-US"/>
              </w:rPr>
              <w:t>u</w:t>
            </w:r>
            <w:r w:rsidRPr="002261B9">
              <w:rPr>
                <w:sz w:val="18"/>
                <w:szCs w:val="18"/>
                <w:lang w:eastAsia="en-US"/>
              </w:rPr>
              <w:t xml:space="preserve"> 8 </w:t>
            </w:r>
            <w:r w:rsidR="00BC7F6D" w:rsidRPr="002261B9">
              <w:rPr>
                <w:sz w:val="18"/>
                <w:szCs w:val="18"/>
                <w:lang w:eastAsia="en-US"/>
              </w:rPr>
              <w:t>y</w:t>
            </w:r>
            <w:r w:rsidRPr="002261B9">
              <w:rPr>
                <w:sz w:val="18"/>
                <w:szCs w:val="18"/>
                <w:lang w:eastAsia="en-US"/>
              </w:rPr>
              <w:t xml:space="preserve"> </w:t>
            </w:r>
            <w:r w:rsidR="00BC7F6D" w:rsidRPr="002261B9">
              <w:rPr>
                <w:sz w:val="18"/>
                <w:szCs w:val="18"/>
                <w:lang w:eastAsia="en-US"/>
              </w:rPr>
              <w:t>está unida directamente a un grupo funcional químico que no sea un átomo de flúor, cloro o bromo</w:t>
            </w:r>
            <w:r w:rsidRPr="002261B9">
              <w:rPr>
                <w:sz w:val="18"/>
                <w:szCs w:val="18"/>
              </w:rPr>
              <w:t>;</w:t>
            </w:r>
            <w:r w:rsidR="00284890" w:rsidRPr="002261B9">
              <w:rPr>
                <w:sz w:val="18"/>
                <w:szCs w:val="18"/>
              </w:rPr>
              <w:t xml:space="preserve"> </w:t>
            </w:r>
          </w:p>
          <w:p w14:paraId="597B53D0" w14:textId="77777777" w:rsidR="00BD08E7" w:rsidRPr="002261B9" w:rsidRDefault="00BC7F6D" w:rsidP="001E397C">
            <w:pPr>
              <w:pStyle w:val="Paralevel2"/>
              <w:keepNext/>
              <w:keepLines/>
              <w:spacing w:before="60" w:after="60"/>
              <w:ind w:left="-57" w:right="0"/>
              <w:rPr>
                <w:sz w:val="18"/>
                <w:szCs w:val="18"/>
              </w:rPr>
            </w:pPr>
            <w:r w:rsidRPr="002261B9">
              <w:rPr>
                <w:sz w:val="18"/>
                <w:szCs w:val="18"/>
              </w:rPr>
              <w:t>Ácidos p</w:t>
            </w:r>
            <w:r w:rsidR="00BD08E7" w:rsidRPr="002261B9">
              <w:rPr>
                <w:sz w:val="18"/>
                <w:szCs w:val="18"/>
              </w:rPr>
              <w:t>erfluorocarbox</w:t>
            </w:r>
            <w:r w:rsidRPr="002261B9">
              <w:rPr>
                <w:sz w:val="18"/>
                <w:szCs w:val="18"/>
              </w:rPr>
              <w:t>ílicos que tengan la fórmula</w:t>
            </w:r>
            <w:r w:rsidR="00BD08E7" w:rsidRPr="002261B9">
              <w:rPr>
                <w:sz w:val="18"/>
                <w:szCs w:val="18"/>
              </w:rPr>
              <w:t xml:space="preserve"> molecular C</w:t>
            </w:r>
            <w:r w:rsidR="00BD08E7" w:rsidRPr="002261B9">
              <w:rPr>
                <w:sz w:val="18"/>
                <w:szCs w:val="18"/>
                <w:vertAlign w:val="subscript"/>
              </w:rPr>
              <w:t>n</w:t>
            </w:r>
            <w:r w:rsidR="00BD08E7" w:rsidRPr="002261B9">
              <w:rPr>
                <w:sz w:val="18"/>
                <w:szCs w:val="18"/>
              </w:rPr>
              <w:t>F</w:t>
            </w:r>
            <w:r w:rsidR="00BD08E7" w:rsidRPr="002261B9">
              <w:rPr>
                <w:sz w:val="18"/>
                <w:szCs w:val="18"/>
                <w:vertAlign w:val="subscript"/>
              </w:rPr>
              <w:t>2n+1</w:t>
            </w:r>
            <w:r w:rsidR="00BD08E7" w:rsidRPr="002261B9">
              <w:rPr>
                <w:sz w:val="18"/>
                <w:szCs w:val="18"/>
              </w:rPr>
              <w:t>CO</w:t>
            </w:r>
            <w:r w:rsidR="00BD08E7" w:rsidRPr="002261B9">
              <w:rPr>
                <w:sz w:val="18"/>
                <w:szCs w:val="18"/>
                <w:vertAlign w:val="subscript"/>
              </w:rPr>
              <w:t>2</w:t>
            </w:r>
            <w:r w:rsidR="00BD08E7" w:rsidRPr="002261B9">
              <w:rPr>
                <w:sz w:val="18"/>
                <w:szCs w:val="18"/>
              </w:rPr>
              <w:t>H</w:t>
            </w:r>
            <w:r w:rsidRPr="002261B9">
              <w:rPr>
                <w:sz w:val="18"/>
                <w:szCs w:val="18"/>
              </w:rPr>
              <w:t>, en la que</w:t>
            </w:r>
            <w:r w:rsidR="00BD08E7" w:rsidRPr="002261B9">
              <w:rPr>
                <w:sz w:val="18"/>
                <w:szCs w:val="18"/>
              </w:rPr>
              <w:t xml:space="preserve"> 8 ≤ n ≤ 20, </w:t>
            </w:r>
            <w:r w:rsidRPr="002261B9">
              <w:rPr>
                <w:sz w:val="18"/>
                <w:szCs w:val="18"/>
              </w:rPr>
              <w:t>y sus sales</w:t>
            </w:r>
            <w:r w:rsidR="00BD08E7" w:rsidRPr="002261B9">
              <w:rPr>
                <w:sz w:val="18"/>
                <w:szCs w:val="18"/>
              </w:rPr>
              <w:t xml:space="preserve">; </w:t>
            </w:r>
          </w:p>
          <w:p w14:paraId="6B4B285A" w14:textId="77777777" w:rsidR="00357A45" w:rsidRPr="002261B9" w:rsidRDefault="00BD08E7" w:rsidP="001E397C">
            <w:pPr>
              <w:pStyle w:val="Paralevel2"/>
              <w:keepNext/>
              <w:keepLines/>
              <w:spacing w:before="60" w:after="60"/>
              <w:ind w:left="-57" w:right="0"/>
              <w:rPr>
                <w:sz w:val="18"/>
                <w:szCs w:val="18"/>
              </w:rPr>
            </w:pPr>
            <w:r w:rsidRPr="002261B9">
              <w:rPr>
                <w:sz w:val="18"/>
                <w:szCs w:val="18"/>
              </w:rPr>
              <w:t>Compuestos que consisten en un grupo perfluoroalquilo que tiene la fórmula molecular C</w:t>
            </w:r>
            <w:r w:rsidRPr="002261B9">
              <w:rPr>
                <w:sz w:val="18"/>
                <w:szCs w:val="18"/>
                <w:vertAlign w:val="subscript"/>
              </w:rPr>
              <w:t>n</w:t>
            </w:r>
            <w:r w:rsidRPr="002261B9">
              <w:rPr>
                <w:sz w:val="18"/>
                <w:szCs w:val="18"/>
              </w:rPr>
              <w:t>F</w:t>
            </w:r>
            <w:r w:rsidRPr="002261B9">
              <w:rPr>
                <w:sz w:val="18"/>
                <w:szCs w:val="18"/>
                <w:vertAlign w:val="subscript"/>
              </w:rPr>
              <w:t>2n+1</w:t>
            </w:r>
            <w:r w:rsidRPr="002261B9">
              <w:rPr>
                <w:sz w:val="18"/>
                <w:szCs w:val="18"/>
              </w:rPr>
              <w:t>, en la que 8 ≤ N ≤ 20 y está directamente asociada a cualquier</w:t>
            </w:r>
            <w:r w:rsidR="00284890" w:rsidRPr="002261B9">
              <w:rPr>
                <w:sz w:val="18"/>
                <w:szCs w:val="18"/>
              </w:rPr>
              <w:t xml:space="preserve"> </w:t>
            </w:r>
            <w:r w:rsidRPr="002261B9">
              <w:rPr>
                <w:sz w:val="18"/>
                <w:szCs w:val="18"/>
              </w:rPr>
              <w:t>segmento químico que no sea un átomo de flúor, cloro o bromo.</w:t>
            </w:r>
          </w:p>
          <w:p w14:paraId="3D580413" w14:textId="216224D3" w:rsidR="00BD08E7" w:rsidRPr="002261B9" w:rsidRDefault="00BD08E7" w:rsidP="001E397C">
            <w:pPr>
              <w:pStyle w:val="Paralevel2"/>
              <w:keepNext/>
              <w:keepLines/>
              <w:spacing w:before="60" w:after="60"/>
              <w:ind w:left="-57" w:right="0"/>
              <w:rPr>
                <w:sz w:val="18"/>
                <w:szCs w:val="18"/>
              </w:rPr>
            </w:pPr>
            <w:r w:rsidRPr="002261B9">
              <w:rPr>
                <w:sz w:val="18"/>
                <w:szCs w:val="18"/>
              </w:rPr>
              <w:t>(véase Canadá</w:t>
            </w:r>
            <w:r w:rsidR="004904E9" w:rsidRPr="002261B9">
              <w:rPr>
                <w:sz w:val="18"/>
                <w:szCs w:val="18"/>
              </w:rPr>
              <w:t>,</w:t>
            </w:r>
            <w:r w:rsidR="007D0A73" w:rsidRPr="002261B9">
              <w:rPr>
                <w:sz w:val="18"/>
                <w:szCs w:val="18"/>
              </w:rPr>
              <w:t xml:space="preserve"> 2</w:t>
            </w:r>
            <w:r w:rsidRPr="002261B9">
              <w:rPr>
                <w:sz w:val="18"/>
                <w:szCs w:val="18"/>
              </w:rPr>
              <w:t>016c</w:t>
            </w:r>
            <w:r w:rsidR="00452DB2" w:rsidRPr="002261B9">
              <w:rPr>
                <w:sz w:val="18"/>
                <w:szCs w:val="18"/>
              </w:rPr>
              <w:t>)</w:t>
            </w:r>
          </w:p>
        </w:tc>
        <w:tc>
          <w:tcPr>
            <w:tcW w:w="1361" w:type="pct"/>
          </w:tcPr>
          <w:p w14:paraId="74A11EA5"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PFOA y sus sales</w:t>
            </w:r>
          </w:p>
          <w:p w14:paraId="6421A6A9"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Cualquier sustancia conexa (incluidos sus sales y polímeros) que tenga un grupo perfluoroheptilo lineal o ramificado con la fórmula C</w:t>
            </w:r>
            <w:r w:rsidRPr="002261B9">
              <w:rPr>
                <w:sz w:val="18"/>
                <w:szCs w:val="18"/>
                <w:vertAlign w:val="subscript"/>
              </w:rPr>
              <w:t>7</w:t>
            </w:r>
            <w:r w:rsidRPr="002261B9">
              <w:rPr>
                <w:sz w:val="18"/>
                <w:szCs w:val="18"/>
              </w:rPr>
              <w:t>F</w:t>
            </w:r>
            <w:r w:rsidRPr="002261B9">
              <w:rPr>
                <w:sz w:val="18"/>
                <w:szCs w:val="18"/>
                <w:vertAlign w:val="subscript"/>
              </w:rPr>
              <w:t>15</w:t>
            </w:r>
            <w:r w:rsidRPr="002261B9">
              <w:rPr>
                <w:sz w:val="18"/>
                <w:szCs w:val="18"/>
              </w:rPr>
              <w:t xml:space="preserve"> directamente asociada con otro átomo de carbono entre sus elementos estructurales.</w:t>
            </w:r>
          </w:p>
          <w:p w14:paraId="7A039202"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Cualquier sustancia conexa (incluidos sus sales y polímeros) que tenga un</w:t>
            </w:r>
            <w:r w:rsidR="00284890" w:rsidRPr="002261B9">
              <w:rPr>
                <w:sz w:val="18"/>
                <w:szCs w:val="18"/>
              </w:rPr>
              <w:t xml:space="preserve"> </w:t>
            </w:r>
            <w:r w:rsidRPr="002261B9">
              <w:rPr>
                <w:sz w:val="18"/>
                <w:szCs w:val="18"/>
              </w:rPr>
              <w:t>grupo perfluorooctilo lineal o ramificado con la fórmula C</w:t>
            </w:r>
            <w:r w:rsidRPr="002261B9">
              <w:rPr>
                <w:sz w:val="18"/>
                <w:szCs w:val="18"/>
                <w:vertAlign w:val="subscript"/>
              </w:rPr>
              <w:t>8</w:t>
            </w:r>
            <w:r w:rsidRPr="002261B9">
              <w:rPr>
                <w:sz w:val="18"/>
                <w:szCs w:val="18"/>
              </w:rPr>
              <w:t>F</w:t>
            </w:r>
            <w:r w:rsidRPr="002261B9">
              <w:rPr>
                <w:sz w:val="18"/>
                <w:szCs w:val="18"/>
                <w:vertAlign w:val="subscript"/>
              </w:rPr>
              <w:t>17</w:t>
            </w:r>
            <w:r w:rsidRPr="002261B9">
              <w:rPr>
                <w:sz w:val="18"/>
                <w:szCs w:val="18"/>
              </w:rPr>
              <w:t xml:space="preserve"> entre sus elementos estructurales.</w:t>
            </w:r>
          </w:p>
          <w:p w14:paraId="76055727"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Exclusiones:</w:t>
            </w:r>
          </w:p>
          <w:p w14:paraId="45ED59E5"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C</w:t>
            </w:r>
            <w:r w:rsidRPr="002261B9">
              <w:rPr>
                <w:sz w:val="18"/>
                <w:szCs w:val="18"/>
                <w:vertAlign w:val="subscript"/>
              </w:rPr>
              <w:t>8</w:t>
            </w:r>
            <w:r w:rsidRPr="002261B9">
              <w:rPr>
                <w:sz w:val="18"/>
                <w:szCs w:val="18"/>
              </w:rPr>
              <w:t>F</w:t>
            </w:r>
            <w:r w:rsidRPr="002261B9">
              <w:rPr>
                <w:sz w:val="18"/>
                <w:szCs w:val="18"/>
                <w:vertAlign w:val="subscript"/>
              </w:rPr>
              <w:t>17</w:t>
            </w:r>
            <w:r w:rsidRPr="002261B9">
              <w:rPr>
                <w:sz w:val="18"/>
                <w:szCs w:val="18"/>
              </w:rPr>
              <w:t>-X, donde X=F, Cl, Br;</w:t>
            </w:r>
          </w:p>
          <w:p w14:paraId="3D9E813B"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C</w:t>
            </w:r>
            <w:r w:rsidRPr="002261B9">
              <w:rPr>
                <w:sz w:val="18"/>
                <w:szCs w:val="18"/>
                <w:vertAlign w:val="subscript"/>
              </w:rPr>
              <w:t>8</w:t>
            </w:r>
            <w:r w:rsidRPr="002261B9">
              <w:rPr>
                <w:sz w:val="18"/>
                <w:szCs w:val="18"/>
              </w:rPr>
              <w:t>F</w:t>
            </w:r>
            <w:r w:rsidRPr="002261B9">
              <w:rPr>
                <w:sz w:val="18"/>
                <w:szCs w:val="18"/>
                <w:vertAlign w:val="subscript"/>
              </w:rPr>
              <w:t>17</w:t>
            </w:r>
            <w:r w:rsidRPr="002261B9">
              <w:rPr>
                <w:sz w:val="18"/>
                <w:szCs w:val="18"/>
              </w:rPr>
              <w:t>-C(=O)OH, C</w:t>
            </w:r>
            <w:r w:rsidRPr="002261B9">
              <w:rPr>
                <w:sz w:val="18"/>
                <w:szCs w:val="18"/>
                <w:vertAlign w:val="subscript"/>
              </w:rPr>
              <w:t>8</w:t>
            </w:r>
            <w:r w:rsidRPr="002261B9">
              <w:rPr>
                <w:sz w:val="18"/>
                <w:szCs w:val="18"/>
              </w:rPr>
              <w:t>F</w:t>
            </w:r>
            <w:r w:rsidRPr="002261B9">
              <w:rPr>
                <w:sz w:val="18"/>
                <w:szCs w:val="18"/>
                <w:vertAlign w:val="subscript"/>
              </w:rPr>
              <w:t>17</w:t>
            </w:r>
            <w:r w:rsidRPr="002261B9">
              <w:rPr>
                <w:sz w:val="18"/>
                <w:szCs w:val="18"/>
              </w:rPr>
              <w:t>-C(=O)O-X' o C</w:t>
            </w:r>
            <w:r w:rsidRPr="002261B9">
              <w:rPr>
                <w:sz w:val="18"/>
                <w:szCs w:val="18"/>
                <w:vertAlign w:val="subscript"/>
              </w:rPr>
              <w:t>8</w:t>
            </w:r>
            <w:r w:rsidRPr="002261B9">
              <w:rPr>
                <w:sz w:val="18"/>
                <w:szCs w:val="18"/>
              </w:rPr>
              <w:t>F</w:t>
            </w:r>
            <w:r w:rsidRPr="002261B9">
              <w:rPr>
                <w:sz w:val="18"/>
                <w:szCs w:val="18"/>
                <w:vertAlign w:val="subscript"/>
              </w:rPr>
              <w:t>17</w:t>
            </w:r>
            <w:r w:rsidRPr="002261B9">
              <w:rPr>
                <w:sz w:val="18"/>
                <w:szCs w:val="18"/>
              </w:rPr>
              <w:t>-CF</w:t>
            </w:r>
            <w:r w:rsidRPr="002261B9">
              <w:rPr>
                <w:sz w:val="18"/>
                <w:szCs w:val="18"/>
                <w:vertAlign w:val="subscript"/>
              </w:rPr>
              <w:t>2</w:t>
            </w:r>
            <w:r w:rsidRPr="002261B9">
              <w:rPr>
                <w:sz w:val="18"/>
                <w:szCs w:val="18"/>
              </w:rPr>
              <w:t>-X' (donde X'=cualquier grupo, incluidas las sales).</w:t>
            </w:r>
          </w:p>
          <w:p w14:paraId="04D08283" w14:textId="77777777" w:rsidR="00F31943" w:rsidRPr="002261B9" w:rsidRDefault="00BD08E7" w:rsidP="001E397C">
            <w:pPr>
              <w:pStyle w:val="Paralevel2"/>
              <w:keepNext/>
              <w:keepLines/>
              <w:spacing w:before="60" w:after="60"/>
              <w:ind w:left="-57" w:right="0"/>
              <w:rPr>
                <w:sz w:val="18"/>
                <w:szCs w:val="18"/>
              </w:rPr>
            </w:pPr>
            <w:r w:rsidRPr="002261B9">
              <w:rPr>
                <w:sz w:val="18"/>
                <w:szCs w:val="18"/>
              </w:rPr>
              <w:t xml:space="preserve">No se aplica al PFOS y sus derivados, que se incluyen en la parte A del anexo I del Reglamento de </w:t>
            </w:r>
            <w:r w:rsidR="00F31943" w:rsidRPr="002261B9">
              <w:rPr>
                <w:sz w:val="18"/>
                <w:szCs w:val="18"/>
              </w:rPr>
              <w:t>la Comisión (CE) núm. 850/2004</w:t>
            </w:r>
            <w:r w:rsidR="00284890" w:rsidRPr="002261B9">
              <w:rPr>
                <w:sz w:val="18"/>
                <w:szCs w:val="18"/>
              </w:rPr>
              <w:t xml:space="preserve"> </w:t>
            </w:r>
          </w:p>
          <w:p w14:paraId="4E2B9968" w14:textId="1A5AB3B7" w:rsidR="00BD08E7" w:rsidRPr="002261B9" w:rsidRDefault="00BD08E7" w:rsidP="001E397C">
            <w:pPr>
              <w:pStyle w:val="Paralevel2"/>
              <w:keepNext/>
              <w:keepLines/>
              <w:spacing w:before="60" w:after="60"/>
              <w:ind w:left="-57" w:right="0"/>
              <w:rPr>
                <w:sz w:val="18"/>
                <w:szCs w:val="18"/>
              </w:rPr>
            </w:pPr>
            <w:r w:rsidRPr="002261B9">
              <w:rPr>
                <w:sz w:val="18"/>
                <w:szCs w:val="18"/>
              </w:rPr>
              <w:t>(véase Comisión Europea</w:t>
            </w:r>
            <w:r w:rsidR="004904E9" w:rsidRPr="002261B9">
              <w:rPr>
                <w:sz w:val="18"/>
                <w:szCs w:val="18"/>
              </w:rPr>
              <w:t>,</w:t>
            </w:r>
            <w:r w:rsidR="007D0A73" w:rsidRPr="002261B9">
              <w:rPr>
                <w:sz w:val="18"/>
                <w:szCs w:val="18"/>
              </w:rPr>
              <w:t xml:space="preserve"> 2</w:t>
            </w:r>
            <w:r w:rsidRPr="002261B9">
              <w:rPr>
                <w:sz w:val="18"/>
                <w:szCs w:val="18"/>
              </w:rPr>
              <w:t>017</w:t>
            </w:r>
            <w:r w:rsidR="00452DB2" w:rsidRPr="002261B9">
              <w:rPr>
                <w:sz w:val="18"/>
                <w:szCs w:val="18"/>
              </w:rPr>
              <w:t>)</w:t>
            </w:r>
          </w:p>
          <w:p w14:paraId="79A8FEFF"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PFOA&lt;25 ppb, compuestos conexos &lt;1.000 ppb </w:t>
            </w:r>
          </w:p>
        </w:tc>
        <w:tc>
          <w:tcPr>
            <w:tcW w:w="1352" w:type="pct"/>
          </w:tcPr>
          <w:p w14:paraId="634B8322"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PFOA y determinadas sales y ésteres del PFOA (núm. de CAS. 335-67-1, 3825-26-1, 335-95-5, 2395-00-8, 335-93-3, 335-66-0, 376-27-2, 3108-24-5)</w:t>
            </w:r>
          </w:p>
          <w:p w14:paraId="62F28AFD" w14:textId="275A29BE" w:rsidR="00BD08E7" w:rsidRPr="002261B9" w:rsidRDefault="00BD08E7" w:rsidP="001E397C">
            <w:pPr>
              <w:pStyle w:val="Paralevel2"/>
              <w:keepNext/>
              <w:keepLines/>
              <w:spacing w:before="60" w:after="60"/>
              <w:ind w:left="-57" w:right="0"/>
              <w:rPr>
                <w:sz w:val="18"/>
                <w:szCs w:val="18"/>
              </w:rPr>
            </w:pPr>
            <w:r w:rsidRPr="002261B9">
              <w:rPr>
                <w:sz w:val="18"/>
                <w:szCs w:val="18"/>
              </w:rPr>
              <w:t>(Véase Noruega</w:t>
            </w:r>
            <w:r w:rsidR="00F443BD" w:rsidRPr="002261B9">
              <w:rPr>
                <w:sz w:val="18"/>
                <w:szCs w:val="18"/>
              </w:rPr>
              <w:t>,</w:t>
            </w:r>
            <w:r w:rsidRPr="002261B9">
              <w:rPr>
                <w:sz w:val="18"/>
                <w:szCs w:val="18"/>
              </w:rPr>
              <w:t xml:space="preserve"> 2016)</w:t>
            </w:r>
          </w:p>
        </w:tc>
      </w:tr>
      <w:tr w:rsidR="00FE696C" w:rsidRPr="002261B9" w14:paraId="396D0D58" w14:textId="77777777" w:rsidTr="001E397C">
        <w:tc>
          <w:tcPr>
            <w:tcW w:w="891" w:type="pct"/>
          </w:tcPr>
          <w:p w14:paraId="3CB45EB9" w14:textId="77777777" w:rsidR="00BD08E7" w:rsidRPr="002261B9" w:rsidRDefault="00BD08E7" w:rsidP="001E397C">
            <w:pPr>
              <w:pStyle w:val="Paralevel2"/>
              <w:spacing w:before="60" w:after="60"/>
              <w:ind w:left="-57" w:right="0"/>
              <w:rPr>
                <w:sz w:val="18"/>
                <w:szCs w:val="18"/>
              </w:rPr>
            </w:pPr>
            <w:r w:rsidRPr="002261B9">
              <w:rPr>
                <w:sz w:val="18"/>
                <w:szCs w:val="18"/>
              </w:rPr>
              <w:t>E</w:t>
            </w:r>
            <w:r w:rsidR="00D27EF9" w:rsidRPr="002261B9">
              <w:rPr>
                <w:sz w:val="18"/>
                <w:szCs w:val="18"/>
              </w:rPr>
              <w:t>xenciones</w:t>
            </w:r>
            <w:r w:rsidRPr="002261B9">
              <w:rPr>
                <w:sz w:val="18"/>
                <w:szCs w:val="18"/>
              </w:rPr>
              <w:t xml:space="preserve"> para imágenes fotográficas.</w:t>
            </w:r>
          </w:p>
        </w:tc>
        <w:tc>
          <w:tcPr>
            <w:tcW w:w="1396" w:type="pct"/>
          </w:tcPr>
          <w:p w14:paraId="6EA2B66C" w14:textId="77777777" w:rsidR="00BD08E7" w:rsidRPr="002261B9" w:rsidRDefault="00992CA7" w:rsidP="001E397C">
            <w:pPr>
              <w:pStyle w:val="Paralevel2"/>
              <w:spacing w:before="60" w:after="60"/>
              <w:ind w:left="-57" w:right="0"/>
              <w:rPr>
                <w:sz w:val="18"/>
                <w:szCs w:val="18"/>
              </w:rPr>
            </w:pPr>
            <w:r w:rsidRPr="002261B9">
              <w:rPr>
                <w:sz w:val="18"/>
                <w:szCs w:val="18"/>
              </w:rPr>
              <w:t>Recubrimientos</w:t>
            </w:r>
            <w:r w:rsidR="00BD08E7" w:rsidRPr="002261B9">
              <w:rPr>
                <w:sz w:val="18"/>
                <w:szCs w:val="18"/>
              </w:rPr>
              <w:t xml:space="preserve"> para materiales fotográficos hasta el 31 d</w:t>
            </w:r>
            <w:r w:rsidR="00B14538" w:rsidRPr="002261B9">
              <w:rPr>
                <w:sz w:val="18"/>
                <w:szCs w:val="18"/>
              </w:rPr>
              <w:t>e diciembre de </w:t>
            </w:r>
            <w:r w:rsidR="00BD08E7" w:rsidRPr="002261B9">
              <w:rPr>
                <w:sz w:val="18"/>
                <w:szCs w:val="18"/>
              </w:rPr>
              <w:t>2016</w:t>
            </w:r>
          </w:p>
          <w:p w14:paraId="733D378E" w14:textId="77777777" w:rsidR="00BD08E7" w:rsidRPr="002261B9" w:rsidRDefault="00BD08E7" w:rsidP="001E397C">
            <w:pPr>
              <w:pStyle w:val="Paralevel2"/>
              <w:spacing w:before="60" w:after="60"/>
              <w:ind w:left="-57" w:right="0"/>
              <w:rPr>
                <w:sz w:val="18"/>
                <w:szCs w:val="18"/>
              </w:rPr>
            </w:pPr>
            <w:r w:rsidRPr="002261B9">
              <w:rPr>
                <w:sz w:val="18"/>
                <w:szCs w:val="18"/>
              </w:rPr>
              <w:t>Desde entonces quedaron parcialmente incluidos en las exenciones aplicables a artículos manufacturados</w:t>
            </w:r>
          </w:p>
        </w:tc>
        <w:tc>
          <w:tcPr>
            <w:tcW w:w="1361" w:type="pct"/>
          </w:tcPr>
          <w:p w14:paraId="0E893933" w14:textId="77777777" w:rsidR="00BD08E7" w:rsidRPr="002261B9" w:rsidRDefault="00992CA7" w:rsidP="001E397C">
            <w:pPr>
              <w:pStyle w:val="Paralevel2"/>
              <w:spacing w:before="60" w:after="60"/>
              <w:ind w:left="-57" w:right="0"/>
              <w:rPr>
                <w:sz w:val="18"/>
                <w:szCs w:val="18"/>
              </w:rPr>
            </w:pPr>
            <w:r w:rsidRPr="002261B9">
              <w:rPr>
                <w:sz w:val="18"/>
                <w:szCs w:val="18"/>
              </w:rPr>
              <w:t>Recubrimientos</w:t>
            </w:r>
            <w:r w:rsidR="00BD08E7" w:rsidRPr="002261B9">
              <w:rPr>
                <w:sz w:val="18"/>
                <w:szCs w:val="18"/>
              </w:rPr>
              <w:t xml:space="preserve"> fotográficos aplicados a películas, papeles o </w:t>
            </w:r>
            <w:r w:rsidR="00BB03F9" w:rsidRPr="002261B9">
              <w:rPr>
                <w:sz w:val="18"/>
                <w:szCs w:val="18"/>
              </w:rPr>
              <w:t>planchas tipográficas</w:t>
            </w:r>
          </w:p>
        </w:tc>
        <w:tc>
          <w:tcPr>
            <w:tcW w:w="1352" w:type="pct"/>
          </w:tcPr>
          <w:p w14:paraId="416421AF" w14:textId="77777777" w:rsidR="00BD08E7" w:rsidRPr="002261B9" w:rsidRDefault="00992CA7" w:rsidP="001E397C">
            <w:pPr>
              <w:pStyle w:val="Paralevel2"/>
              <w:spacing w:before="60" w:after="60"/>
              <w:ind w:left="-57" w:right="0"/>
              <w:rPr>
                <w:sz w:val="18"/>
                <w:szCs w:val="18"/>
              </w:rPr>
            </w:pPr>
            <w:r w:rsidRPr="002261B9">
              <w:rPr>
                <w:sz w:val="18"/>
                <w:szCs w:val="18"/>
              </w:rPr>
              <w:t>Recubrimiento</w:t>
            </w:r>
            <w:r w:rsidR="00BD08E7" w:rsidRPr="002261B9">
              <w:rPr>
                <w:sz w:val="18"/>
                <w:szCs w:val="18"/>
              </w:rPr>
              <w:t xml:space="preserve">s fotográficos de películas, papel o </w:t>
            </w:r>
            <w:r w:rsidR="00BB03F9" w:rsidRPr="002261B9">
              <w:rPr>
                <w:sz w:val="18"/>
                <w:szCs w:val="18"/>
              </w:rPr>
              <w:t>planchas tipográficas</w:t>
            </w:r>
            <w:r w:rsidR="00BD08E7" w:rsidRPr="002261B9">
              <w:rPr>
                <w:sz w:val="18"/>
                <w:szCs w:val="18"/>
              </w:rPr>
              <w:t xml:space="preserve"> hasta 2016</w:t>
            </w:r>
          </w:p>
        </w:tc>
      </w:tr>
      <w:tr w:rsidR="00FE696C" w:rsidRPr="002261B9" w14:paraId="61708A41" w14:textId="77777777" w:rsidTr="001E397C">
        <w:tc>
          <w:tcPr>
            <w:tcW w:w="891" w:type="pct"/>
          </w:tcPr>
          <w:p w14:paraId="27A5A97C" w14:textId="77777777" w:rsidR="00BD08E7" w:rsidRPr="002261B9" w:rsidRDefault="00BD08E7" w:rsidP="001E397C">
            <w:pPr>
              <w:pStyle w:val="Paralevel2"/>
              <w:spacing w:before="60" w:after="60"/>
              <w:ind w:left="-57" w:right="0"/>
              <w:rPr>
                <w:sz w:val="18"/>
                <w:szCs w:val="18"/>
              </w:rPr>
            </w:pPr>
            <w:r w:rsidRPr="002261B9">
              <w:rPr>
                <w:sz w:val="18"/>
                <w:szCs w:val="18"/>
              </w:rPr>
              <w:t>Exe</w:t>
            </w:r>
            <w:r w:rsidR="00D27EF9" w:rsidRPr="002261B9">
              <w:rPr>
                <w:sz w:val="18"/>
                <w:szCs w:val="18"/>
              </w:rPr>
              <w:t>nciones para la industria de</w:t>
            </w:r>
            <w:r w:rsidR="00284890" w:rsidRPr="002261B9">
              <w:rPr>
                <w:sz w:val="18"/>
                <w:szCs w:val="18"/>
              </w:rPr>
              <w:t xml:space="preserve"> </w:t>
            </w:r>
            <w:r w:rsidRPr="002261B9">
              <w:rPr>
                <w:spacing w:val="-6"/>
                <w:sz w:val="18"/>
                <w:szCs w:val="18"/>
              </w:rPr>
              <w:lastRenderedPageBreak/>
              <w:t>semiconductores</w:t>
            </w:r>
          </w:p>
        </w:tc>
        <w:tc>
          <w:tcPr>
            <w:tcW w:w="1396" w:type="pct"/>
          </w:tcPr>
          <w:p w14:paraId="1963BC96" w14:textId="77777777" w:rsidR="00BD08E7" w:rsidRPr="002261B9" w:rsidRDefault="00BD08E7" w:rsidP="001E397C">
            <w:pPr>
              <w:pStyle w:val="Paralevel2"/>
              <w:spacing w:before="60" w:after="60"/>
              <w:ind w:left="-57" w:right="0"/>
              <w:rPr>
                <w:sz w:val="18"/>
                <w:szCs w:val="18"/>
              </w:rPr>
            </w:pPr>
            <w:r w:rsidRPr="002261B9">
              <w:rPr>
                <w:sz w:val="18"/>
                <w:szCs w:val="18"/>
              </w:rPr>
              <w:lastRenderedPageBreak/>
              <w:t xml:space="preserve">Parcialmente incluidos en las exenciones aplicables a </w:t>
            </w:r>
            <w:r w:rsidRPr="002261B9">
              <w:rPr>
                <w:sz w:val="18"/>
                <w:szCs w:val="18"/>
              </w:rPr>
              <w:lastRenderedPageBreak/>
              <w:t>artículos manufacturados</w:t>
            </w:r>
          </w:p>
        </w:tc>
        <w:tc>
          <w:tcPr>
            <w:tcW w:w="1361" w:type="pct"/>
          </w:tcPr>
          <w:p w14:paraId="2246855C" w14:textId="77777777" w:rsidR="00BD08E7" w:rsidRPr="002261B9" w:rsidRDefault="00BD08E7" w:rsidP="001E397C">
            <w:pPr>
              <w:pStyle w:val="Paralevel2"/>
              <w:spacing w:before="60" w:after="60"/>
              <w:ind w:left="-57" w:right="0"/>
              <w:rPr>
                <w:sz w:val="18"/>
                <w:szCs w:val="18"/>
              </w:rPr>
            </w:pPr>
            <w:r w:rsidRPr="002261B9">
              <w:rPr>
                <w:sz w:val="18"/>
                <w:szCs w:val="18"/>
              </w:rPr>
              <w:lastRenderedPageBreak/>
              <w:t xml:space="preserve">- Equipo utilizado en la fabricación de </w:t>
            </w:r>
            <w:r w:rsidR="00F31943" w:rsidRPr="002261B9">
              <w:rPr>
                <w:sz w:val="18"/>
                <w:szCs w:val="18"/>
              </w:rPr>
              <w:lastRenderedPageBreak/>
              <w:t>se</w:t>
            </w:r>
            <w:r w:rsidRPr="002261B9">
              <w:rPr>
                <w:sz w:val="18"/>
                <w:szCs w:val="18"/>
              </w:rPr>
              <w:t>micond</w:t>
            </w:r>
            <w:r w:rsidR="00B14538" w:rsidRPr="002261B9">
              <w:rPr>
                <w:sz w:val="18"/>
                <w:szCs w:val="18"/>
              </w:rPr>
              <w:t>uctores (hasta el 4 de julio de </w:t>
            </w:r>
            <w:r w:rsidRPr="002261B9">
              <w:rPr>
                <w:sz w:val="18"/>
                <w:szCs w:val="18"/>
              </w:rPr>
              <w:t>2022);</w:t>
            </w:r>
          </w:p>
          <w:p w14:paraId="0676DD1D" w14:textId="77777777" w:rsidR="00BD08E7" w:rsidRPr="002261B9" w:rsidRDefault="00BD08E7" w:rsidP="001E397C">
            <w:pPr>
              <w:pStyle w:val="Paralevel2"/>
              <w:spacing w:before="60" w:after="60"/>
              <w:ind w:left="-57" w:right="0"/>
              <w:rPr>
                <w:sz w:val="18"/>
                <w:szCs w:val="18"/>
              </w:rPr>
            </w:pPr>
            <w:r w:rsidRPr="002261B9">
              <w:rPr>
                <w:sz w:val="18"/>
                <w:szCs w:val="18"/>
              </w:rPr>
              <w:t>- Procesos de fotolitografía para semiconductores o en procesos de grabado para</w:t>
            </w:r>
            <w:r w:rsidR="00284890" w:rsidRPr="002261B9">
              <w:rPr>
                <w:sz w:val="18"/>
                <w:szCs w:val="18"/>
              </w:rPr>
              <w:t xml:space="preserve"> </w:t>
            </w:r>
            <w:r w:rsidRPr="002261B9">
              <w:rPr>
                <w:sz w:val="18"/>
                <w:szCs w:val="18"/>
              </w:rPr>
              <w:t>semiconductores compuestos;</w:t>
            </w:r>
          </w:p>
          <w:p w14:paraId="190D47FA" w14:textId="77777777" w:rsidR="00AF2B61" w:rsidRPr="002261B9" w:rsidRDefault="00AF2B61" w:rsidP="001E397C">
            <w:pPr>
              <w:pStyle w:val="Paralevel2"/>
              <w:spacing w:before="60" w:after="60"/>
              <w:ind w:left="-57" w:right="0"/>
              <w:rPr>
                <w:sz w:val="18"/>
                <w:szCs w:val="18"/>
              </w:rPr>
            </w:pPr>
            <w:r w:rsidRPr="002261B9">
              <w:rPr>
                <w:sz w:val="18"/>
                <w:szCs w:val="18"/>
              </w:rPr>
              <w:t xml:space="preserve">- semiconductores o semiconductores compuestos. </w:t>
            </w:r>
          </w:p>
        </w:tc>
        <w:tc>
          <w:tcPr>
            <w:tcW w:w="1352" w:type="pct"/>
          </w:tcPr>
          <w:p w14:paraId="2D8EFC44" w14:textId="77777777" w:rsidR="00BD08E7" w:rsidRPr="002261B9" w:rsidRDefault="00BD08E7" w:rsidP="001E397C">
            <w:pPr>
              <w:pStyle w:val="Paralevel2"/>
              <w:spacing w:before="60" w:after="60"/>
              <w:ind w:left="-57" w:right="0"/>
              <w:rPr>
                <w:sz w:val="18"/>
                <w:szCs w:val="18"/>
              </w:rPr>
            </w:pPr>
            <w:r w:rsidRPr="002261B9">
              <w:rPr>
                <w:sz w:val="18"/>
                <w:szCs w:val="18"/>
              </w:rPr>
              <w:lastRenderedPageBreak/>
              <w:t xml:space="preserve">Adhesivos, </w:t>
            </w:r>
            <w:r w:rsidRPr="002261B9">
              <w:rPr>
                <w:bCs/>
                <w:sz w:val="18"/>
                <w:szCs w:val="18"/>
              </w:rPr>
              <w:t>papel de aluminio</w:t>
            </w:r>
            <w:r w:rsidRPr="002261B9">
              <w:rPr>
                <w:sz w:val="18"/>
                <w:szCs w:val="18"/>
              </w:rPr>
              <w:t xml:space="preserve"> o cinta </w:t>
            </w:r>
            <w:r w:rsidR="00F31943" w:rsidRPr="002261B9">
              <w:rPr>
                <w:sz w:val="18"/>
                <w:szCs w:val="18"/>
              </w:rPr>
              <w:t xml:space="preserve">adhesiva </w:t>
            </w:r>
            <w:r w:rsidR="00B14538" w:rsidRPr="002261B9">
              <w:rPr>
                <w:sz w:val="18"/>
                <w:szCs w:val="18"/>
              </w:rPr>
              <w:lastRenderedPageBreak/>
              <w:t>en semiconductores hasta </w:t>
            </w:r>
            <w:r w:rsidRPr="002261B9">
              <w:rPr>
                <w:sz w:val="18"/>
                <w:szCs w:val="18"/>
              </w:rPr>
              <w:t xml:space="preserve">2016 </w:t>
            </w:r>
          </w:p>
        </w:tc>
      </w:tr>
      <w:tr w:rsidR="00FE696C" w:rsidRPr="002261B9" w14:paraId="4B0E927D" w14:textId="77777777" w:rsidTr="001E397C">
        <w:tc>
          <w:tcPr>
            <w:tcW w:w="891" w:type="pct"/>
          </w:tcPr>
          <w:p w14:paraId="3574B961" w14:textId="77777777" w:rsidR="00BD08E7" w:rsidRPr="002261B9" w:rsidRDefault="00F31943" w:rsidP="001E397C">
            <w:pPr>
              <w:pStyle w:val="Paralevel2"/>
              <w:keepNext/>
              <w:keepLines/>
              <w:spacing w:before="60" w:after="60"/>
              <w:ind w:left="-57" w:right="0"/>
              <w:rPr>
                <w:sz w:val="18"/>
                <w:szCs w:val="18"/>
              </w:rPr>
            </w:pPr>
            <w:r w:rsidRPr="002261B9">
              <w:rPr>
                <w:sz w:val="18"/>
                <w:szCs w:val="18"/>
              </w:rPr>
              <w:lastRenderedPageBreak/>
              <w:t xml:space="preserve">Exenciones en la extinción de </w:t>
            </w:r>
            <w:r w:rsidR="00BD08E7" w:rsidRPr="002261B9">
              <w:rPr>
                <w:sz w:val="18"/>
                <w:szCs w:val="18"/>
              </w:rPr>
              <w:t>incendios</w:t>
            </w:r>
          </w:p>
        </w:tc>
        <w:tc>
          <w:tcPr>
            <w:tcW w:w="1396" w:type="pct"/>
          </w:tcPr>
          <w:p w14:paraId="59F888F1"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Espumas acuosas formadoras de películas utilizadas en aplicaciones </w:t>
            </w:r>
            <w:r w:rsidR="00F31943" w:rsidRPr="002261B9">
              <w:rPr>
                <w:sz w:val="18"/>
                <w:szCs w:val="18"/>
              </w:rPr>
              <w:t>de extinción de</w:t>
            </w:r>
            <w:r w:rsidRPr="002261B9">
              <w:rPr>
                <w:sz w:val="18"/>
                <w:szCs w:val="18"/>
              </w:rPr>
              <w:t xml:space="preserve"> incendios</w:t>
            </w:r>
          </w:p>
        </w:tc>
        <w:tc>
          <w:tcPr>
            <w:tcW w:w="1361" w:type="pct"/>
          </w:tcPr>
          <w:p w14:paraId="2EAA6310"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 Mezclas de espumas ignífugas concentradas que </w:t>
            </w:r>
            <w:r w:rsidR="00F31943" w:rsidRPr="002261B9">
              <w:rPr>
                <w:sz w:val="18"/>
                <w:szCs w:val="18"/>
              </w:rPr>
              <w:t xml:space="preserve">hayan sido </w:t>
            </w:r>
            <w:r w:rsidRPr="002261B9">
              <w:rPr>
                <w:sz w:val="18"/>
                <w:szCs w:val="18"/>
              </w:rPr>
              <w:t xml:space="preserve">comercializadas antes del 4 de julio de 2020 y se </w:t>
            </w:r>
            <w:r w:rsidR="00F31943" w:rsidRPr="002261B9">
              <w:rPr>
                <w:sz w:val="18"/>
                <w:szCs w:val="18"/>
              </w:rPr>
              <w:t xml:space="preserve">vayan a </w:t>
            </w:r>
            <w:r w:rsidRPr="002261B9">
              <w:rPr>
                <w:sz w:val="18"/>
                <w:szCs w:val="18"/>
              </w:rPr>
              <w:t>utilizar, o se utili</w:t>
            </w:r>
            <w:r w:rsidR="00F31943" w:rsidRPr="002261B9">
              <w:rPr>
                <w:sz w:val="18"/>
                <w:szCs w:val="18"/>
              </w:rPr>
              <w:t>ce</w:t>
            </w:r>
            <w:r w:rsidRPr="002261B9">
              <w:rPr>
                <w:sz w:val="18"/>
                <w:szCs w:val="18"/>
              </w:rPr>
              <w:t>n, en la producción de otras mezclas espumosas ignífugas;</w:t>
            </w:r>
          </w:p>
          <w:p w14:paraId="59A72AA9"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 Mezclas de espumas ignífugas que </w:t>
            </w:r>
            <w:r w:rsidR="00F31943" w:rsidRPr="002261B9">
              <w:rPr>
                <w:sz w:val="18"/>
                <w:szCs w:val="18"/>
              </w:rPr>
              <w:t>hayan sido</w:t>
            </w:r>
            <w:r w:rsidRPr="002261B9">
              <w:rPr>
                <w:sz w:val="18"/>
                <w:szCs w:val="18"/>
              </w:rPr>
              <w:t xml:space="preserve">: a) comercializadas antes del 4 de julio de 2020; o b) producidas con arreglo a lo dispuesto en el párrafo 4 e), siempre y cuando, en el lugar donde se utilicen con fines de </w:t>
            </w:r>
            <w:r w:rsidR="004556E0" w:rsidRPr="002261B9">
              <w:rPr>
                <w:sz w:val="18"/>
                <w:szCs w:val="18"/>
              </w:rPr>
              <w:t>entrenamiento</w:t>
            </w:r>
            <w:r w:rsidRPr="002261B9">
              <w:rPr>
                <w:sz w:val="18"/>
                <w:szCs w:val="18"/>
              </w:rPr>
              <w:t xml:space="preserve">, </w:t>
            </w:r>
            <w:r w:rsidR="00F31943" w:rsidRPr="002261B9">
              <w:rPr>
                <w:sz w:val="18"/>
                <w:szCs w:val="18"/>
              </w:rPr>
              <w:t xml:space="preserve">se reduzcan al mínimo </w:t>
            </w:r>
            <w:r w:rsidRPr="002261B9">
              <w:rPr>
                <w:sz w:val="18"/>
                <w:szCs w:val="18"/>
              </w:rPr>
              <w:t xml:space="preserve">las emisiones y </w:t>
            </w:r>
            <w:r w:rsidR="00F31943" w:rsidRPr="002261B9">
              <w:rPr>
                <w:sz w:val="18"/>
                <w:szCs w:val="18"/>
              </w:rPr>
              <w:t xml:space="preserve">se eliminen </w:t>
            </w:r>
            <w:r w:rsidRPr="002261B9">
              <w:rPr>
                <w:sz w:val="18"/>
                <w:szCs w:val="18"/>
              </w:rPr>
              <w:t>los efluentes recogidos en condiciones seguras.</w:t>
            </w:r>
          </w:p>
        </w:tc>
        <w:tc>
          <w:tcPr>
            <w:tcW w:w="1352" w:type="pct"/>
          </w:tcPr>
          <w:p w14:paraId="7D1C8B07" w14:textId="77777777" w:rsidR="00BD08E7" w:rsidRPr="002261B9" w:rsidRDefault="00AA2D25" w:rsidP="001E397C">
            <w:pPr>
              <w:pStyle w:val="Paralevel2"/>
              <w:keepNext/>
              <w:keepLines/>
              <w:spacing w:before="60" w:after="60"/>
              <w:ind w:left="-57" w:right="0"/>
              <w:rPr>
                <w:sz w:val="18"/>
                <w:szCs w:val="18"/>
              </w:rPr>
            </w:pPr>
            <w:r w:rsidRPr="002261B9">
              <w:rPr>
                <w:sz w:val="18"/>
                <w:szCs w:val="18"/>
              </w:rPr>
              <w:t>A las que no se aplica la restricción</w:t>
            </w:r>
          </w:p>
        </w:tc>
      </w:tr>
      <w:tr w:rsidR="00FE696C" w:rsidRPr="002261B9" w14:paraId="2DB6AEB5" w14:textId="77777777" w:rsidTr="001E397C">
        <w:tc>
          <w:tcPr>
            <w:tcW w:w="891" w:type="pct"/>
          </w:tcPr>
          <w:p w14:paraId="0916A47F" w14:textId="77777777" w:rsidR="00BD08E7" w:rsidRPr="002261B9" w:rsidRDefault="00CD0B50" w:rsidP="001E397C">
            <w:pPr>
              <w:pStyle w:val="Paralevel2"/>
              <w:keepNext/>
              <w:keepLines/>
              <w:spacing w:before="60" w:after="60"/>
              <w:ind w:left="-57" w:right="0"/>
              <w:rPr>
                <w:sz w:val="18"/>
                <w:szCs w:val="18"/>
              </w:rPr>
            </w:pPr>
            <w:r w:rsidRPr="002261B9">
              <w:rPr>
                <w:sz w:val="18"/>
                <w:szCs w:val="18"/>
              </w:rPr>
              <w:t>Exenciones para usos médicos</w:t>
            </w:r>
          </w:p>
        </w:tc>
        <w:tc>
          <w:tcPr>
            <w:tcW w:w="1396" w:type="pct"/>
          </w:tcPr>
          <w:p w14:paraId="44B162DE"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Parcialmente incluidos en las exenciones aplicables a artículos manufacturados </w:t>
            </w:r>
          </w:p>
        </w:tc>
        <w:tc>
          <w:tcPr>
            <w:tcW w:w="1361" w:type="pct"/>
          </w:tcPr>
          <w:p w14:paraId="642ACA78"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 Dispositivos </w:t>
            </w:r>
            <w:r w:rsidR="00F7496D" w:rsidRPr="002261B9">
              <w:rPr>
                <w:sz w:val="18"/>
                <w:szCs w:val="18"/>
              </w:rPr>
              <w:t>médicos (hasta el 4 de julio de </w:t>
            </w:r>
            <w:r w:rsidRPr="002261B9">
              <w:rPr>
                <w:sz w:val="18"/>
                <w:szCs w:val="18"/>
              </w:rPr>
              <w:t xml:space="preserve">2032); </w:t>
            </w:r>
          </w:p>
          <w:p w14:paraId="58A6460B"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 Producción de dispositivos médicos implantables dentro del ámbito de aplicación de la Directiva 93/42/EEC. </w:t>
            </w:r>
          </w:p>
        </w:tc>
        <w:tc>
          <w:tcPr>
            <w:tcW w:w="1352" w:type="pct"/>
          </w:tcPr>
          <w:p w14:paraId="7DD9F5C6" w14:textId="77777777" w:rsidR="00BD08E7" w:rsidRPr="002261B9" w:rsidRDefault="00BD08E7" w:rsidP="001E397C">
            <w:pPr>
              <w:pStyle w:val="Paralevel2"/>
              <w:keepNext/>
              <w:keepLines/>
              <w:spacing w:before="60" w:after="60"/>
              <w:ind w:left="-57" w:right="0"/>
              <w:rPr>
                <w:sz w:val="18"/>
                <w:szCs w:val="18"/>
              </w:rPr>
            </w:pPr>
            <w:r w:rsidRPr="002261B9">
              <w:rPr>
                <w:sz w:val="18"/>
                <w:szCs w:val="18"/>
              </w:rPr>
              <w:t xml:space="preserve">Los dispositivos médicos están exentos de las restricciones </w:t>
            </w:r>
          </w:p>
        </w:tc>
      </w:tr>
      <w:tr w:rsidR="00FE696C" w:rsidRPr="002261B9" w14:paraId="20F9D4B5" w14:textId="77777777" w:rsidTr="001E397C">
        <w:tc>
          <w:tcPr>
            <w:tcW w:w="891" w:type="pct"/>
          </w:tcPr>
          <w:p w14:paraId="5459204F" w14:textId="77777777" w:rsidR="00BD08E7" w:rsidRPr="002261B9" w:rsidRDefault="00CD0B50" w:rsidP="001E397C">
            <w:pPr>
              <w:pStyle w:val="Paralevel2"/>
              <w:spacing w:before="60" w:after="60"/>
              <w:ind w:left="-57" w:right="0"/>
              <w:rPr>
                <w:sz w:val="18"/>
                <w:szCs w:val="18"/>
              </w:rPr>
            </w:pPr>
            <w:r w:rsidRPr="002261B9">
              <w:rPr>
                <w:sz w:val="18"/>
                <w:szCs w:val="18"/>
              </w:rPr>
              <w:t>Exenciones para productos textiles</w:t>
            </w:r>
          </w:p>
        </w:tc>
        <w:tc>
          <w:tcPr>
            <w:tcW w:w="1396" w:type="pct"/>
          </w:tcPr>
          <w:p w14:paraId="7A394645" w14:textId="77777777" w:rsidR="00BD08E7" w:rsidRPr="002261B9" w:rsidRDefault="00376731" w:rsidP="001E397C">
            <w:pPr>
              <w:pStyle w:val="Paralevel2"/>
              <w:spacing w:before="60" w:after="60"/>
              <w:ind w:left="-57" w:right="0"/>
              <w:rPr>
                <w:sz w:val="18"/>
                <w:szCs w:val="18"/>
              </w:rPr>
            </w:pPr>
            <w:r w:rsidRPr="002261B9">
              <w:rPr>
                <w:sz w:val="18"/>
                <w:szCs w:val="18"/>
              </w:rPr>
              <w:t>Parcialmente incluidos en </w:t>
            </w:r>
            <w:r w:rsidR="00BD08E7" w:rsidRPr="002261B9">
              <w:rPr>
                <w:sz w:val="18"/>
                <w:szCs w:val="18"/>
              </w:rPr>
              <w:t xml:space="preserve">las exenciones aplicables a artículos manufacturados </w:t>
            </w:r>
          </w:p>
        </w:tc>
        <w:tc>
          <w:tcPr>
            <w:tcW w:w="1361" w:type="pct"/>
          </w:tcPr>
          <w:p w14:paraId="0249C187" w14:textId="77777777" w:rsidR="00BD08E7" w:rsidRPr="002261B9" w:rsidRDefault="00BD08E7" w:rsidP="001E397C">
            <w:pPr>
              <w:pStyle w:val="Paralevel2"/>
              <w:spacing w:before="60" w:after="60"/>
              <w:ind w:left="-57" w:right="0"/>
              <w:rPr>
                <w:sz w:val="18"/>
                <w:szCs w:val="18"/>
              </w:rPr>
            </w:pPr>
            <w:r w:rsidRPr="002261B9">
              <w:rPr>
                <w:sz w:val="18"/>
                <w:szCs w:val="18"/>
              </w:rPr>
              <w:t>- Productos textiles para la protección de los trabajadores contra los riesgos para su salud y su seguridad (hasta el 4 de julio de</w:t>
            </w:r>
            <w:r w:rsidR="00B14538" w:rsidRPr="002261B9">
              <w:rPr>
                <w:sz w:val="18"/>
                <w:szCs w:val="18"/>
              </w:rPr>
              <w:t> </w:t>
            </w:r>
            <w:r w:rsidRPr="002261B9">
              <w:rPr>
                <w:sz w:val="18"/>
                <w:szCs w:val="18"/>
              </w:rPr>
              <w:t>2023);</w:t>
            </w:r>
          </w:p>
          <w:p w14:paraId="62920047" w14:textId="77777777" w:rsidR="00BD08E7" w:rsidRPr="002261B9" w:rsidRDefault="00BD08E7" w:rsidP="001E397C">
            <w:pPr>
              <w:pStyle w:val="Paralevel2"/>
              <w:spacing w:before="60" w:after="60"/>
              <w:ind w:left="-57" w:right="0"/>
              <w:rPr>
                <w:sz w:val="18"/>
                <w:szCs w:val="18"/>
              </w:rPr>
            </w:pPr>
            <w:r w:rsidRPr="002261B9">
              <w:rPr>
                <w:sz w:val="18"/>
                <w:szCs w:val="18"/>
              </w:rPr>
              <w:t xml:space="preserve">- Membranas destinadas a usarse en los textiles de uso médico, la filtración en el tratamiento de </w:t>
            </w:r>
            <w:r w:rsidR="0056244C" w:rsidRPr="002261B9">
              <w:rPr>
                <w:sz w:val="18"/>
                <w:szCs w:val="18"/>
              </w:rPr>
              <w:t>agua</w:t>
            </w:r>
            <w:r w:rsidR="003937E3" w:rsidRPr="002261B9">
              <w:rPr>
                <w:sz w:val="18"/>
                <w:szCs w:val="18"/>
              </w:rPr>
              <w:t>s</w:t>
            </w:r>
            <w:r w:rsidRPr="002261B9">
              <w:rPr>
                <w:sz w:val="18"/>
                <w:szCs w:val="18"/>
              </w:rPr>
              <w:t xml:space="preserve">, los procesos de producción y el tratamiento de efluentes (hasta el 4 de julio de 2023). </w:t>
            </w:r>
          </w:p>
        </w:tc>
        <w:tc>
          <w:tcPr>
            <w:tcW w:w="1352" w:type="pct"/>
          </w:tcPr>
          <w:p w14:paraId="16219264" w14:textId="77777777" w:rsidR="00BD08E7" w:rsidRPr="002261B9" w:rsidRDefault="00BD08E7" w:rsidP="001E397C">
            <w:pPr>
              <w:pStyle w:val="Paralevel2"/>
              <w:spacing w:before="60" w:after="60"/>
              <w:ind w:left="-57" w:right="0"/>
              <w:rPr>
                <w:sz w:val="18"/>
                <w:szCs w:val="18"/>
              </w:rPr>
            </w:pPr>
            <w:r w:rsidRPr="002261B9">
              <w:rPr>
                <w:sz w:val="18"/>
                <w:szCs w:val="18"/>
              </w:rPr>
              <w:t>Se restring</w:t>
            </w:r>
            <w:r w:rsidR="00B14538" w:rsidRPr="002261B9">
              <w:rPr>
                <w:sz w:val="18"/>
                <w:szCs w:val="18"/>
              </w:rPr>
              <w:t>en los textiles para uso de los </w:t>
            </w:r>
            <w:r w:rsidRPr="002261B9">
              <w:rPr>
                <w:sz w:val="18"/>
                <w:szCs w:val="18"/>
              </w:rPr>
              <w:t>consumidores cuando la concentración</w:t>
            </w:r>
            <w:r w:rsidR="00B14538" w:rsidRPr="002261B9">
              <w:rPr>
                <w:sz w:val="18"/>
                <w:szCs w:val="18"/>
              </w:rPr>
              <w:t xml:space="preserve"> de PFOA sea superior a </w:t>
            </w:r>
            <w:r w:rsidR="00B14538" w:rsidRPr="002261B9">
              <w:rPr>
                <w:bCs/>
                <w:sz w:val="18"/>
                <w:szCs w:val="18"/>
              </w:rPr>
              <w:t>1 </w:t>
            </w:r>
            <w:r w:rsidR="00051883" w:rsidRPr="002261B9">
              <w:rPr>
                <w:bCs/>
                <w:sz w:val="18"/>
                <w:szCs w:val="18"/>
              </w:rPr>
              <w:t>μ</w:t>
            </w:r>
            <w:r w:rsidRPr="002261B9">
              <w:rPr>
                <w:bCs/>
                <w:sz w:val="18"/>
                <w:szCs w:val="18"/>
              </w:rPr>
              <w:t>g/m</w:t>
            </w:r>
            <w:r w:rsidRPr="002261B9">
              <w:rPr>
                <w:bCs/>
                <w:sz w:val="18"/>
                <w:szCs w:val="18"/>
                <w:vertAlign w:val="superscript"/>
              </w:rPr>
              <w:t>2</w:t>
            </w:r>
            <w:r w:rsidR="00B14538" w:rsidRPr="002261B9">
              <w:rPr>
                <w:sz w:val="18"/>
                <w:szCs w:val="18"/>
              </w:rPr>
              <w:t xml:space="preserve"> en cualquier parte del </w:t>
            </w:r>
            <w:r w:rsidRPr="002261B9">
              <w:rPr>
                <w:sz w:val="18"/>
                <w:szCs w:val="18"/>
              </w:rPr>
              <w:t xml:space="preserve">producto. </w:t>
            </w:r>
          </w:p>
        </w:tc>
      </w:tr>
      <w:tr w:rsidR="00FE696C" w:rsidRPr="002261B9" w14:paraId="686C1420" w14:textId="77777777" w:rsidTr="001E397C">
        <w:tc>
          <w:tcPr>
            <w:tcW w:w="891" w:type="pct"/>
          </w:tcPr>
          <w:p w14:paraId="2B61D715" w14:textId="77777777" w:rsidR="00BD08E7" w:rsidRPr="002261B9" w:rsidRDefault="006B17B7" w:rsidP="001E397C">
            <w:pPr>
              <w:pStyle w:val="Paralevel2"/>
              <w:spacing w:before="60" w:after="60"/>
              <w:ind w:left="-57" w:right="0"/>
              <w:rPr>
                <w:sz w:val="18"/>
                <w:szCs w:val="18"/>
              </w:rPr>
            </w:pPr>
            <w:r w:rsidRPr="002261B9">
              <w:rPr>
                <w:sz w:val="18"/>
                <w:szCs w:val="18"/>
              </w:rPr>
              <w:t xml:space="preserve">Exenciones para tintas </w:t>
            </w:r>
          </w:p>
        </w:tc>
        <w:tc>
          <w:tcPr>
            <w:tcW w:w="1396" w:type="pct"/>
          </w:tcPr>
          <w:p w14:paraId="6385045D" w14:textId="77777777" w:rsidR="00BD08E7" w:rsidRPr="002261B9" w:rsidRDefault="00BD08E7" w:rsidP="001E397C">
            <w:pPr>
              <w:pStyle w:val="Paralevel2"/>
              <w:spacing w:before="60" w:after="60"/>
              <w:ind w:left="-57" w:right="0"/>
              <w:rPr>
                <w:sz w:val="18"/>
                <w:szCs w:val="18"/>
              </w:rPr>
            </w:pPr>
            <w:r w:rsidRPr="002261B9">
              <w:rPr>
                <w:sz w:val="18"/>
                <w:szCs w:val="18"/>
              </w:rPr>
              <w:t>Tintas a base de agua hasta el 31 de diciembre de 2016</w:t>
            </w:r>
          </w:p>
        </w:tc>
        <w:tc>
          <w:tcPr>
            <w:tcW w:w="1361" w:type="pct"/>
          </w:tcPr>
          <w:p w14:paraId="0105456C" w14:textId="77777777" w:rsidR="00BD08E7" w:rsidRPr="002261B9" w:rsidRDefault="00BD08E7" w:rsidP="001E397C">
            <w:pPr>
              <w:pStyle w:val="Paralevel2"/>
              <w:spacing w:before="60" w:after="60"/>
              <w:ind w:left="-57" w:right="0"/>
              <w:rPr>
                <w:sz w:val="18"/>
                <w:szCs w:val="18"/>
              </w:rPr>
            </w:pPr>
            <w:r w:rsidRPr="002261B9">
              <w:rPr>
                <w:sz w:val="18"/>
                <w:szCs w:val="18"/>
              </w:rPr>
              <w:t xml:space="preserve">Tintas de impresión </w:t>
            </w:r>
            <w:r w:rsidR="00DE1421" w:rsidRPr="002261B9">
              <w:rPr>
                <w:sz w:val="18"/>
                <w:szCs w:val="18"/>
              </w:rPr>
              <w:t>con</w:t>
            </w:r>
            <w:r w:rsidRPr="002261B9">
              <w:rPr>
                <w:sz w:val="18"/>
                <w:szCs w:val="18"/>
              </w:rPr>
              <w:t xml:space="preserve"> látex (hasta el 4 de julio de 2022) </w:t>
            </w:r>
          </w:p>
        </w:tc>
        <w:tc>
          <w:tcPr>
            <w:tcW w:w="1352" w:type="pct"/>
          </w:tcPr>
          <w:p w14:paraId="4244E759" w14:textId="77777777" w:rsidR="00BD08E7" w:rsidRPr="002261B9" w:rsidRDefault="00BD08E7" w:rsidP="001E397C">
            <w:pPr>
              <w:pStyle w:val="Paralevel2"/>
              <w:spacing w:before="60" w:after="60"/>
              <w:ind w:left="-57" w:right="0"/>
              <w:rPr>
                <w:sz w:val="18"/>
                <w:szCs w:val="18"/>
              </w:rPr>
            </w:pPr>
          </w:p>
        </w:tc>
      </w:tr>
      <w:tr w:rsidR="00FE696C" w:rsidRPr="002261B9" w14:paraId="71E19323" w14:textId="77777777" w:rsidTr="001E397C">
        <w:tc>
          <w:tcPr>
            <w:tcW w:w="891" w:type="pct"/>
          </w:tcPr>
          <w:p w14:paraId="154D1048" w14:textId="77777777" w:rsidR="00BD08E7" w:rsidRPr="002261B9" w:rsidRDefault="006B17B7" w:rsidP="001E397C">
            <w:pPr>
              <w:pStyle w:val="Paralevel2"/>
              <w:spacing w:before="60" w:after="60"/>
              <w:ind w:left="-57" w:right="0"/>
              <w:rPr>
                <w:sz w:val="18"/>
                <w:szCs w:val="18"/>
              </w:rPr>
            </w:pPr>
            <w:r w:rsidRPr="002261B9">
              <w:rPr>
                <w:sz w:val="18"/>
                <w:szCs w:val="18"/>
              </w:rPr>
              <w:t>Exenciones para nano</w:t>
            </w:r>
            <w:r w:rsidR="00EB701F" w:rsidRPr="002261B9">
              <w:rPr>
                <w:sz w:val="18"/>
                <w:szCs w:val="18"/>
              </w:rPr>
              <w:t>r</w:t>
            </w:r>
            <w:r w:rsidR="00992CA7" w:rsidRPr="002261B9">
              <w:rPr>
                <w:sz w:val="18"/>
                <w:szCs w:val="18"/>
              </w:rPr>
              <w:t>recubrimiento</w:t>
            </w:r>
            <w:r w:rsidRPr="002261B9">
              <w:rPr>
                <w:sz w:val="18"/>
                <w:szCs w:val="18"/>
              </w:rPr>
              <w:t>s</w:t>
            </w:r>
          </w:p>
        </w:tc>
        <w:tc>
          <w:tcPr>
            <w:tcW w:w="1396" w:type="pct"/>
          </w:tcPr>
          <w:p w14:paraId="487648E9" w14:textId="77777777" w:rsidR="00BD08E7" w:rsidRPr="002261B9" w:rsidRDefault="00BD08E7" w:rsidP="001E397C">
            <w:pPr>
              <w:pStyle w:val="Paralevel2"/>
              <w:spacing w:before="60" w:after="60"/>
              <w:ind w:left="-57" w:right="0"/>
              <w:rPr>
                <w:sz w:val="18"/>
                <w:szCs w:val="18"/>
              </w:rPr>
            </w:pPr>
            <w:r w:rsidRPr="002261B9">
              <w:rPr>
                <w:sz w:val="18"/>
                <w:szCs w:val="18"/>
              </w:rPr>
              <w:t>Parcialmente incluidos en las exenciones aplicables a artículos manufacturados</w:t>
            </w:r>
          </w:p>
        </w:tc>
        <w:tc>
          <w:tcPr>
            <w:tcW w:w="1361" w:type="pct"/>
          </w:tcPr>
          <w:p w14:paraId="7CD7F9AB" w14:textId="77777777" w:rsidR="00BD08E7" w:rsidRPr="002261B9" w:rsidRDefault="00BD08E7" w:rsidP="001E397C">
            <w:pPr>
              <w:pStyle w:val="Paralevel2"/>
              <w:spacing w:before="60" w:after="60"/>
              <w:ind w:left="-57" w:right="0"/>
              <w:rPr>
                <w:sz w:val="18"/>
                <w:szCs w:val="18"/>
              </w:rPr>
            </w:pPr>
            <w:r w:rsidRPr="002261B9">
              <w:rPr>
                <w:sz w:val="18"/>
                <w:szCs w:val="18"/>
              </w:rPr>
              <w:t>Nano</w:t>
            </w:r>
            <w:r w:rsidR="00EB701F" w:rsidRPr="002261B9">
              <w:rPr>
                <w:sz w:val="18"/>
                <w:szCs w:val="18"/>
              </w:rPr>
              <w:t>r</w:t>
            </w:r>
            <w:r w:rsidR="00992CA7" w:rsidRPr="002261B9">
              <w:rPr>
                <w:sz w:val="18"/>
                <w:szCs w:val="18"/>
              </w:rPr>
              <w:t>recubrimiento</w:t>
            </w:r>
            <w:r w:rsidRPr="002261B9">
              <w:rPr>
                <w:sz w:val="18"/>
                <w:szCs w:val="18"/>
              </w:rPr>
              <w:t xml:space="preserve">s </w:t>
            </w:r>
            <w:r w:rsidR="0065573D" w:rsidRPr="002261B9">
              <w:rPr>
                <w:sz w:val="18"/>
                <w:szCs w:val="18"/>
              </w:rPr>
              <w:t>con plasma</w:t>
            </w:r>
            <w:r w:rsidRPr="002261B9">
              <w:rPr>
                <w:sz w:val="18"/>
                <w:szCs w:val="18"/>
              </w:rPr>
              <w:t xml:space="preserve"> (hasta el 4 de julio de 2023)</w:t>
            </w:r>
          </w:p>
        </w:tc>
        <w:tc>
          <w:tcPr>
            <w:tcW w:w="1352" w:type="pct"/>
          </w:tcPr>
          <w:p w14:paraId="04920BF6" w14:textId="77777777" w:rsidR="00BD08E7" w:rsidRPr="002261B9" w:rsidRDefault="00BD08E7" w:rsidP="001E397C">
            <w:pPr>
              <w:pStyle w:val="Paralevel2"/>
              <w:spacing w:before="60" w:after="60"/>
              <w:ind w:left="-57" w:right="0"/>
              <w:rPr>
                <w:sz w:val="18"/>
                <w:szCs w:val="18"/>
              </w:rPr>
            </w:pPr>
          </w:p>
        </w:tc>
      </w:tr>
      <w:tr w:rsidR="0093050C" w:rsidRPr="002261B9" w14:paraId="74134A26" w14:textId="77777777" w:rsidTr="001E397C">
        <w:tc>
          <w:tcPr>
            <w:tcW w:w="891" w:type="pct"/>
          </w:tcPr>
          <w:p w14:paraId="75D69D73" w14:textId="77777777" w:rsidR="00BD08E7" w:rsidRPr="002261B9" w:rsidRDefault="006B17B7" w:rsidP="001E397C">
            <w:pPr>
              <w:pStyle w:val="Paralevel2"/>
              <w:spacing w:before="60" w:after="60"/>
              <w:ind w:left="-57" w:right="0"/>
              <w:rPr>
                <w:sz w:val="18"/>
                <w:szCs w:val="18"/>
              </w:rPr>
            </w:pPr>
            <w:r w:rsidRPr="002261B9">
              <w:rPr>
                <w:sz w:val="18"/>
                <w:szCs w:val="18"/>
              </w:rPr>
              <w:t xml:space="preserve">Exenciones para </w:t>
            </w:r>
            <w:r w:rsidR="001969D6" w:rsidRPr="002261B9">
              <w:rPr>
                <w:sz w:val="18"/>
                <w:szCs w:val="18"/>
              </w:rPr>
              <w:t xml:space="preserve">el envasado </w:t>
            </w:r>
            <w:r w:rsidRPr="002261B9">
              <w:rPr>
                <w:sz w:val="18"/>
                <w:szCs w:val="18"/>
              </w:rPr>
              <w:t xml:space="preserve">de alimentos </w:t>
            </w:r>
          </w:p>
        </w:tc>
        <w:tc>
          <w:tcPr>
            <w:tcW w:w="1396" w:type="pct"/>
          </w:tcPr>
          <w:p w14:paraId="456328CE" w14:textId="77777777" w:rsidR="00BD08E7" w:rsidRPr="002261B9" w:rsidRDefault="00BD08E7" w:rsidP="001E397C">
            <w:pPr>
              <w:pStyle w:val="Paralevel2"/>
              <w:spacing w:before="60" w:after="60"/>
              <w:ind w:left="-57" w:right="0"/>
              <w:rPr>
                <w:sz w:val="18"/>
                <w:szCs w:val="18"/>
              </w:rPr>
            </w:pPr>
            <w:r w:rsidRPr="002261B9">
              <w:rPr>
                <w:sz w:val="18"/>
                <w:szCs w:val="18"/>
              </w:rPr>
              <w:t xml:space="preserve">Parcialmente incluidos en las exenciones aplicables a artículos manufacturados </w:t>
            </w:r>
          </w:p>
        </w:tc>
        <w:tc>
          <w:tcPr>
            <w:tcW w:w="1361" w:type="pct"/>
          </w:tcPr>
          <w:p w14:paraId="08215390" w14:textId="77777777" w:rsidR="00BD08E7" w:rsidRPr="002261B9" w:rsidRDefault="00BD08E7" w:rsidP="001E397C">
            <w:pPr>
              <w:pStyle w:val="Paralevel2"/>
              <w:spacing w:before="60" w:after="60"/>
              <w:ind w:left="-57" w:right="0"/>
              <w:rPr>
                <w:sz w:val="18"/>
                <w:szCs w:val="18"/>
              </w:rPr>
            </w:pPr>
          </w:p>
        </w:tc>
        <w:tc>
          <w:tcPr>
            <w:tcW w:w="1352" w:type="pct"/>
          </w:tcPr>
          <w:p w14:paraId="018F5DEF" w14:textId="77777777" w:rsidR="00BD08E7" w:rsidRPr="002261B9" w:rsidRDefault="00BD08E7" w:rsidP="001E397C">
            <w:pPr>
              <w:pStyle w:val="Paralevel2"/>
              <w:spacing w:before="60" w:after="60"/>
              <w:ind w:left="-57" w:right="0"/>
              <w:rPr>
                <w:sz w:val="18"/>
                <w:szCs w:val="18"/>
              </w:rPr>
            </w:pPr>
            <w:r w:rsidRPr="002261B9">
              <w:rPr>
                <w:sz w:val="18"/>
                <w:szCs w:val="18"/>
              </w:rPr>
              <w:t>Se exime de esta norma a los envases de alimentos y los materiales que entran en contacto con alimentos</w:t>
            </w:r>
          </w:p>
        </w:tc>
      </w:tr>
    </w:tbl>
    <w:p w14:paraId="1FD3F669" w14:textId="77777777" w:rsidR="0086269E" w:rsidRPr="002261B9" w:rsidRDefault="0086269E" w:rsidP="0086269E">
      <w:pPr>
        <w:pStyle w:val="Paralevel1"/>
        <w:numPr>
          <w:ilvl w:val="0"/>
          <w:numId w:val="0"/>
        </w:numPr>
        <w:tabs>
          <w:tab w:val="clear" w:pos="0"/>
        </w:tabs>
        <w:ind w:left="887"/>
        <w:rPr>
          <w:lang w:val="es-ES"/>
        </w:rPr>
      </w:pPr>
    </w:p>
    <w:p w14:paraId="23109A14" w14:textId="413848DE" w:rsidR="00131C32" w:rsidRPr="002261B9" w:rsidRDefault="005B41D5" w:rsidP="00F45508">
      <w:pPr>
        <w:pStyle w:val="Paralevel1"/>
        <w:numPr>
          <w:ilvl w:val="0"/>
          <w:numId w:val="23"/>
        </w:numPr>
        <w:tabs>
          <w:tab w:val="clear" w:pos="0"/>
        </w:tabs>
        <w:ind w:left="1247" w:firstLine="0"/>
        <w:rPr>
          <w:lang w:val="es-ES"/>
        </w:rPr>
      </w:pPr>
      <w:r w:rsidRPr="002261B9">
        <w:rPr>
          <w:lang w:val="es-ES"/>
        </w:rPr>
        <w:lastRenderedPageBreak/>
        <w:t>En las comunicaciones de las Partes y observadores en relación con el anexo F no se presentó a la Secretaría información específica sobre los PFAS de cadena larga. Es más, en las evaluaciones socioeconómicas de los enfoques reglamentarios de la gestión de los riesgos de la UE y Noruega no se consideran los PFAS de cadena larga. En consecuencia, la información que figura en la presente evaluación de la gestión de los riesgos no abarca explícitamente hasta el momento los PFAS de cadena larga. En la UE, Alemania y Suecia prepara</w:t>
      </w:r>
      <w:r w:rsidR="00AF2385" w:rsidRPr="002261B9">
        <w:rPr>
          <w:lang w:val="es-ES"/>
        </w:rPr>
        <w:t>ro</w:t>
      </w:r>
      <w:r w:rsidRPr="002261B9">
        <w:rPr>
          <w:lang w:val="es-ES"/>
        </w:rPr>
        <w:t>n una propuesta de restricción r</w:t>
      </w:r>
      <w:r w:rsidR="00C409B0" w:rsidRPr="002261B9">
        <w:rPr>
          <w:lang w:val="es-ES"/>
        </w:rPr>
        <w:t xml:space="preserve">especto de </w:t>
      </w:r>
      <w:r w:rsidRPr="002261B9">
        <w:rPr>
          <w:lang w:val="es-ES"/>
        </w:rPr>
        <w:t>los PFCA de cadena larga con una longitud de entre 9 y 14 átomos de carbono y las sustancias conexas</w:t>
      </w:r>
      <w:r w:rsidR="00D12FE7" w:rsidRPr="002261B9">
        <w:rPr>
          <w:rStyle w:val="FootnoteReference"/>
          <w:lang w:val="es-ES"/>
        </w:rPr>
        <w:footnoteReference w:id="11"/>
      </w:r>
      <w:r w:rsidR="00554436" w:rsidRPr="002261B9">
        <w:rPr>
          <w:lang w:val="es-ES"/>
        </w:rPr>
        <w:t>.</w:t>
      </w:r>
      <w:r w:rsidRPr="002261B9">
        <w:rPr>
          <w:lang w:val="es-ES"/>
        </w:rPr>
        <w:t xml:space="preserve"> </w:t>
      </w:r>
      <w:r w:rsidR="00AF2385" w:rsidRPr="002261B9">
        <w:rPr>
          <w:lang w:val="es-ES"/>
        </w:rPr>
        <w:t>La conclusión de la evaluación de los riesgos es que, a pesar de que hasta la fecha no se identificaron usos intencionales en la UE, se justifica una restricción a nivel de toda la Unión con vistas a reducir la</w:t>
      </w:r>
      <w:r w:rsidR="004737FC" w:rsidRPr="002261B9">
        <w:rPr>
          <w:lang w:val="es-ES"/>
        </w:rPr>
        <w:t>s</w:t>
      </w:r>
      <w:r w:rsidR="00AF2385" w:rsidRPr="002261B9">
        <w:rPr>
          <w:lang w:val="es-ES"/>
        </w:rPr>
        <w:t xml:space="preserve"> liberaciones de esas sustancias al medio ambiente y prevenir su posible fabricación, comercialización y utilización en el futuro. </w:t>
      </w:r>
      <w:r w:rsidR="004737FC" w:rsidRPr="002261B9">
        <w:rPr>
          <w:lang w:val="es-ES"/>
        </w:rPr>
        <w:t>La restricción a nivel de toda la Unión Europea podría ser un primer paso hacia una acción de alcance mundial.</w:t>
      </w:r>
    </w:p>
    <w:p w14:paraId="4EF3C376" w14:textId="08ED5C48" w:rsidR="00C151FB" w:rsidRPr="002261B9" w:rsidRDefault="00F443BD" w:rsidP="0086269E">
      <w:pPr>
        <w:pStyle w:val="StyleHeading2u2h2ABC2ChptTimesNewRoman12ptLin"/>
        <w:tabs>
          <w:tab w:val="num" w:pos="128"/>
        </w:tabs>
        <w:spacing w:after="120"/>
        <w:ind w:left="1248" w:hanging="624"/>
        <w:rPr>
          <w:iCs w:val="0"/>
          <w:sz w:val="22"/>
          <w:szCs w:val="22"/>
          <w:lang w:val="es-ES"/>
        </w:rPr>
      </w:pPr>
      <w:bookmarkStart w:id="21" w:name="_Toc501099199"/>
      <w:bookmarkStart w:id="22" w:name="_Ref254208193"/>
      <w:r w:rsidRPr="002261B9">
        <w:rPr>
          <w:iCs w:val="0"/>
          <w:sz w:val="22"/>
          <w:szCs w:val="22"/>
          <w:lang w:val="es-ES"/>
        </w:rPr>
        <w:t>2.1</w:t>
      </w:r>
      <w:r w:rsidRPr="002261B9">
        <w:rPr>
          <w:iCs w:val="0"/>
          <w:sz w:val="22"/>
          <w:szCs w:val="22"/>
          <w:lang w:val="es-ES"/>
        </w:rPr>
        <w:tab/>
      </w:r>
      <w:r w:rsidR="00AF431D" w:rsidRPr="002261B9">
        <w:rPr>
          <w:iCs w:val="0"/>
          <w:sz w:val="22"/>
          <w:szCs w:val="22"/>
          <w:lang w:val="es-ES"/>
        </w:rPr>
        <w:t>Determinación de la</w:t>
      </w:r>
      <w:r w:rsidR="00C151FB" w:rsidRPr="002261B9">
        <w:rPr>
          <w:iCs w:val="0"/>
          <w:sz w:val="22"/>
          <w:szCs w:val="22"/>
          <w:lang w:val="es-ES"/>
        </w:rPr>
        <w:t>s medidas de control que pueden adoptarse</w:t>
      </w:r>
      <w:bookmarkEnd w:id="21"/>
      <w:r w:rsidR="00C151FB" w:rsidRPr="002261B9">
        <w:rPr>
          <w:iCs w:val="0"/>
          <w:sz w:val="22"/>
          <w:szCs w:val="22"/>
          <w:lang w:val="es-ES"/>
        </w:rPr>
        <w:t xml:space="preserve"> </w:t>
      </w:r>
      <w:bookmarkEnd w:id="22"/>
    </w:p>
    <w:p w14:paraId="7048C339" w14:textId="3BD263B2" w:rsidR="004D5B0D" w:rsidRPr="002261B9" w:rsidRDefault="00BD4B48" w:rsidP="00F45508">
      <w:pPr>
        <w:pStyle w:val="Paralevel1"/>
        <w:numPr>
          <w:ilvl w:val="0"/>
          <w:numId w:val="23"/>
        </w:numPr>
        <w:tabs>
          <w:tab w:val="clear" w:pos="0"/>
        </w:tabs>
        <w:ind w:left="1247" w:firstLine="0"/>
        <w:rPr>
          <w:lang w:val="es-ES"/>
        </w:rPr>
      </w:pPr>
      <w:r w:rsidRPr="002261B9">
        <w:rPr>
          <w:lang w:val="es-ES"/>
        </w:rPr>
        <w:t xml:space="preserve">La medida de </w:t>
      </w:r>
      <w:r w:rsidR="004904E9" w:rsidRPr="002261B9">
        <w:rPr>
          <w:lang w:val="es-ES"/>
        </w:rPr>
        <w:t>control se</w:t>
      </w:r>
      <w:r w:rsidR="00773043" w:rsidRPr="002261B9">
        <w:rPr>
          <w:lang w:val="es-ES"/>
        </w:rPr>
        <w:t xml:space="preserve"> puede lograr de diferentes maneras en el marco del Convenio</w:t>
      </w:r>
      <w:r w:rsidR="00CD5936" w:rsidRPr="002261B9">
        <w:rPr>
          <w:lang w:val="es-ES"/>
        </w:rPr>
        <w:t>:</w:t>
      </w:r>
    </w:p>
    <w:p w14:paraId="78CD35C1" w14:textId="23EF184D" w:rsidR="00F443BD" w:rsidRPr="002261B9" w:rsidRDefault="00773043" w:rsidP="00F45508">
      <w:pPr>
        <w:pStyle w:val="ListParagraph"/>
        <w:numPr>
          <w:ilvl w:val="0"/>
          <w:numId w:val="21"/>
        </w:numPr>
        <w:tabs>
          <w:tab w:val="left" w:pos="624"/>
        </w:tabs>
        <w:snapToGrid w:val="0"/>
        <w:spacing w:after="120"/>
        <w:ind w:left="1247" w:firstLine="624"/>
        <w:contextualSpacing w:val="0"/>
        <w:rPr>
          <w:sz w:val="20"/>
          <w:szCs w:val="20"/>
          <w:lang w:val="es-ES"/>
        </w:rPr>
      </w:pPr>
      <w:r w:rsidRPr="002261B9">
        <w:rPr>
          <w:sz w:val="20"/>
          <w:szCs w:val="20"/>
          <w:lang w:val="es-ES"/>
        </w:rPr>
        <w:t xml:space="preserve">El </w:t>
      </w:r>
      <w:r w:rsidR="004D5B0D" w:rsidRPr="002261B9">
        <w:rPr>
          <w:sz w:val="20"/>
          <w:szCs w:val="20"/>
          <w:lang w:val="es-ES"/>
        </w:rPr>
        <w:t xml:space="preserve">PFOA, </w:t>
      </w:r>
      <w:r w:rsidRPr="002261B9">
        <w:rPr>
          <w:sz w:val="20"/>
          <w:szCs w:val="20"/>
          <w:lang w:val="es-ES"/>
        </w:rPr>
        <w:t xml:space="preserve">sus sales y los compuestos conexos del </w:t>
      </w:r>
      <w:r w:rsidR="004D5B0D" w:rsidRPr="002261B9">
        <w:rPr>
          <w:sz w:val="20"/>
          <w:szCs w:val="20"/>
          <w:lang w:val="es-ES"/>
        </w:rPr>
        <w:t>PFOA</w:t>
      </w:r>
      <w:r w:rsidRPr="002261B9">
        <w:rPr>
          <w:sz w:val="20"/>
          <w:szCs w:val="20"/>
          <w:lang w:val="es-ES"/>
        </w:rPr>
        <w:t xml:space="preserve"> se podrán incluir en el anexo</w:t>
      </w:r>
      <w:r w:rsidR="001E397C">
        <w:rPr>
          <w:sz w:val="20"/>
          <w:szCs w:val="20"/>
          <w:lang w:val="es-ES"/>
        </w:rPr>
        <w:t> </w:t>
      </w:r>
      <w:r w:rsidR="004D5B0D" w:rsidRPr="002261B9">
        <w:rPr>
          <w:sz w:val="20"/>
          <w:szCs w:val="20"/>
          <w:lang w:val="es-ES"/>
        </w:rPr>
        <w:t xml:space="preserve">A, </w:t>
      </w:r>
      <w:r w:rsidRPr="002261B9">
        <w:rPr>
          <w:sz w:val="20"/>
          <w:szCs w:val="20"/>
          <w:lang w:val="es-ES"/>
        </w:rPr>
        <w:t>con exenciones específicas o sin ellas, acompañadas de una parte específica del Anexo A, en la que se detallen medidas específicas</w:t>
      </w:r>
      <w:r w:rsidR="004D5B0D" w:rsidRPr="002261B9">
        <w:rPr>
          <w:sz w:val="20"/>
          <w:szCs w:val="20"/>
          <w:lang w:val="es-ES"/>
        </w:rPr>
        <w:t>; o</w:t>
      </w:r>
    </w:p>
    <w:p w14:paraId="224C0DE7" w14:textId="500FFF7A" w:rsidR="00F443BD" w:rsidRPr="002261B9" w:rsidRDefault="00773043" w:rsidP="00F45508">
      <w:pPr>
        <w:pStyle w:val="ListParagraph"/>
        <w:numPr>
          <w:ilvl w:val="0"/>
          <w:numId w:val="21"/>
        </w:numPr>
        <w:tabs>
          <w:tab w:val="left" w:pos="624"/>
        </w:tabs>
        <w:snapToGrid w:val="0"/>
        <w:spacing w:after="120"/>
        <w:ind w:left="1247" w:firstLine="624"/>
        <w:contextualSpacing w:val="0"/>
        <w:rPr>
          <w:sz w:val="20"/>
          <w:szCs w:val="20"/>
          <w:lang w:val="es-ES"/>
        </w:rPr>
      </w:pPr>
      <w:r w:rsidRPr="002261B9">
        <w:rPr>
          <w:sz w:val="20"/>
          <w:szCs w:val="20"/>
          <w:lang w:val="es-ES"/>
        </w:rPr>
        <w:t xml:space="preserve">El </w:t>
      </w:r>
      <w:r w:rsidR="004D5B0D" w:rsidRPr="002261B9">
        <w:rPr>
          <w:sz w:val="20"/>
          <w:szCs w:val="20"/>
          <w:lang w:val="es-ES"/>
        </w:rPr>
        <w:t xml:space="preserve">PFOA, </w:t>
      </w:r>
      <w:r w:rsidRPr="002261B9">
        <w:rPr>
          <w:sz w:val="20"/>
          <w:szCs w:val="20"/>
          <w:lang w:val="es-ES"/>
        </w:rPr>
        <w:t xml:space="preserve">sus sales y los compuestos conexos del </w:t>
      </w:r>
      <w:r w:rsidR="004D5B0D" w:rsidRPr="002261B9">
        <w:rPr>
          <w:sz w:val="20"/>
          <w:szCs w:val="20"/>
          <w:lang w:val="es-ES"/>
        </w:rPr>
        <w:t>PFOA</w:t>
      </w:r>
      <w:r w:rsidRPr="002261B9">
        <w:rPr>
          <w:sz w:val="20"/>
          <w:szCs w:val="20"/>
          <w:lang w:val="es-ES"/>
        </w:rPr>
        <w:t xml:space="preserve"> se podrán incluir en el anexo</w:t>
      </w:r>
      <w:r w:rsidR="001E397C">
        <w:rPr>
          <w:sz w:val="20"/>
          <w:szCs w:val="20"/>
          <w:lang w:val="es-ES"/>
        </w:rPr>
        <w:t> </w:t>
      </w:r>
      <w:r w:rsidR="004D5B0D" w:rsidRPr="002261B9">
        <w:rPr>
          <w:sz w:val="20"/>
          <w:szCs w:val="20"/>
          <w:lang w:val="es-ES"/>
        </w:rPr>
        <w:t xml:space="preserve">B, </w:t>
      </w:r>
      <w:r w:rsidRPr="002261B9">
        <w:rPr>
          <w:sz w:val="20"/>
          <w:szCs w:val="20"/>
          <w:lang w:val="es-ES"/>
        </w:rPr>
        <w:t>con fines aceptables</w:t>
      </w:r>
      <w:r w:rsidR="004D5B0D" w:rsidRPr="002261B9">
        <w:rPr>
          <w:sz w:val="20"/>
          <w:szCs w:val="20"/>
          <w:lang w:val="es-ES"/>
        </w:rPr>
        <w:t>/</w:t>
      </w:r>
      <w:r w:rsidRPr="002261B9">
        <w:rPr>
          <w:sz w:val="20"/>
          <w:szCs w:val="20"/>
          <w:lang w:val="es-ES"/>
        </w:rPr>
        <w:t>exenciones específicas, acompañadas de una parte específica del anexo</w:t>
      </w:r>
      <w:r w:rsidR="001E397C">
        <w:rPr>
          <w:sz w:val="20"/>
          <w:szCs w:val="20"/>
          <w:lang w:val="es-ES"/>
        </w:rPr>
        <w:t> </w:t>
      </w:r>
      <w:r w:rsidR="004D5B0D" w:rsidRPr="002261B9">
        <w:rPr>
          <w:sz w:val="20"/>
          <w:szCs w:val="20"/>
          <w:lang w:val="es-ES"/>
        </w:rPr>
        <w:t>B</w:t>
      </w:r>
      <w:r w:rsidRPr="002261B9">
        <w:rPr>
          <w:sz w:val="20"/>
          <w:szCs w:val="20"/>
          <w:lang w:val="es-ES"/>
        </w:rPr>
        <w:t>, en la que se detallen medidas específicas</w:t>
      </w:r>
      <w:r w:rsidR="004D5B0D" w:rsidRPr="002261B9">
        <w:rPr>
          <w:sz w:val="20"/>
          <w:szCs w:val="20"/>
          <w:lang w:val="es-ES"/>
        </w:rPr>
        <w:t xml:space="preserve">; </w:t>
      </w:r>
      <w:r w:rsidR="00C47674" w:rsidRPr="002261B9">
        <w:rPr>
          <w:sz w:val="20"/>
          <w:szCs w:val="20"/>
          <w:lang w:val="es-ES"/>
        </w:rPr>
        <w:t>y</w:t>
      </w:r>
    </w:p>
    <w:p w14:paraId="7B1B724D" w14:textId="1068DF52" w:rsidR="004D5B0D" w:rsidRPr="002261B9" w:rsidRDefault="00773043" w:rsidP="00F45508">
      <w:pPr>
        <w:pStyle w:val="ListParagraph"/>
        <w:numPr>
          <w:ilvl w:val="0"/>
          <w:numId w:val="21"/>
        </w:numPr>
        <w:tabs>
          <w:tab w:val="left" w:pos="624"/>
        </w:tabs>
        <w:snapToGrid w:val="0"/>
        <w:spacing w:after="120"/>
        <w:ind w:left="1247" w:firstLine="624"/>
        <w:contextualSpacing w:val="0"/>
        <w:rPr>
          <w:sz w:val="20"/>
          <w:szCs w:val="20"/>
          <w:lang w:val="es-ES"/>
        </w:rPr>
      </w:pPr>
      <w:r w:rsidRPr="002261B9">
        <w:rPr>
          <w:sz w:val="20"/>
          <w:szCs w:val="20"/>
          <w:lang w:val="es-ES"/>
        </w:rPr>
        <w:t xml:space="preserve">El </w:t>
      </w:r>
      <w:r w:rsidR="004D5B0D" w:rsidRPr="002261B9">
        <w:rPr>
          <w:sz w:val="20"/>
          <w:szCs w:val="20"/>
          <w:lang w:val="es-ES"/>
        </w:rPr>
        <w:t xml:space="preserve">PFOA </w:t>
      </w:r>
      <w:r w:rsidRPr="002261B9">
        <w:rPr>
          <w:sz w:val="20"/>
          <w:szCs w:val="20"/>
          <w:lang w:val="es-ES"/>
        </w:rPr>
        <w:t>se podrá incluir en el anexo</w:t>
      </w:r>
      <w:r w:rsidR="004D5B0D" w:rsidRPr="002261B9">
        <w:rPr>
          <w:sz w:val="20"/>
          <w:szCs w:val="20"/>
          <w:lang w:val="es-ES"/>
        </w:rPr>
        <w:t xml:space="preserve"> C </w:t>
      </w:r>
      <w:r w:rsidRPr="002261B9">
        <w:rPr>
          <w:sz w:val="20"/>
          <w:szCs w:val="20"/>
          <w:lang w:val="es-ES"/>
        </w:rPr>
        <w:t xml:space="preserve">como </w:t>
      </w:r>
      <w:r w:rsidR="004737FC" w:rsidRPr="002261B9">
        <w:rPr>
          <w:sz w:val="20"/>
          <w:szCs w:val="20"/>
          <w:lang w:val="es-ES"/>
        </w:rPr>
        <w:t>contaminante orgánico persistente</w:t>
      </w:r>
      <w:r w:rsidRPr="002261B9">
        <w:rPr>
          <w:sz w:val="20"/>
          <w:szCs w:val="20"/>
          <w:lang w:val="es-ES"/>
        </w:rPr>
        <w:t xml:space="preserve"> de </w:t>
      </w:r>
      <w:r w:rsidR="001737EA" w:rsidRPr="002261B9">
        <w:rPr>
          <w:sz w:val="20"/>
          <w:szCs w:val="20"/>
          <w:lang w:val="es-ES"/>
        </w:rPr>
        <w:t>formación</w:t>
      </w:r>
      <w:r w:rsidRPr="002261B9">
        <w:rPr>
          <w:sz w:val="20"/>
          <w:szCs w:val="20"/>
          <w:lang w:val="es-ES"/>
        </w:rPr>
        <w:t xml:space="preserve"> no intencional </w:t>
      </w:r>
      <w:r w:rsidR="001737EA" w:rsidRPr="002261B9">
        <w:rPr>
          <w:sz w:val="20"/>
          <w:szCs w:val="20"/>
          <w:lang w:val="es-ES"/>
        </w:rPr>
        <w:t>para captar la posible formación y la liberación no intencional a partir de fuentes antropógenas</w:t>
      </w:r>
      <w:r w:rsidR="004737FC" w:rsidRPr="002261B9">
        <w:rPr>
          <w:sz w:val="20"/>
          <w:szCs w:val="20"/>
          <w:lang w:val="es-ES"/>
        </w:rPr>
        <w:t>.</w:t>
      </w:r>
    </w:p>
    <w:p w14:paraId="66FCF838" w14:textId="464AD860" w:rsidR="00377623" w:rsidRPr="002261B9" w:rsidRDefault="00DD20C7" w:rsidP="00F45508">
      <w:pPr>
        <w:pStyle w:val="Paralevel1"/>
        <w:numPr>
          <w:ilvl w:val="0"/>
          <w:numId w:val="23"/>
        </w:numPr>
        <w:tabs>
          <w:tab w:val="clear" w:pos="0"/>
        </w:tabs>
        <w:ind w:left="1247" w:firstLine="0"/>
        <w:rPr>
          <w:lang w:val="es-ES"/>
        </w:rPr>
      </w:pPr>
      <w:r w:rsidRPr="002261B9">
        <w:rPr>
          <w:lang w:val="es-ES"/>
        </w:rPr>
        <w:t>Las medidas de control podrían ser</w:t>
      </w:r>
      <w:r w:rsidR="004737FC" w:rsidRPr="002261B9">
        <w:rPr>
          <w:lang w:val="es-ES"/>
        </w:rPr>
        <w:t>:</w:t>
      </w:r>
      <w:r w:rsidR="001737EA" w:rsidRPr="002261B9">
        <w:rPr>
          <w:lang w:val="es-ES"/>
        </w:rPr>
        <w:t xml:space="preserve"> </w:t>
      </w:r>
      <w:r w:rsidR="00377623" w:rsidRPr="002261B9">
        <w:rPr>
          <w:lang w:val="es-ES"/>
        </w:rPr>
        <w:t xml:space="preserve">1) </w:t>
      </w:r>
      <w:r w:rsidRPr="002261B9">
        <w:rPr>
          <w:lang w:val="es-ES"/>
        </w:rPr>
        <w:t xml:space="preserve">la prohibición o restricción de la producción, el uso, la importación </w:t>
      </w:r>
      <w:r w:rsidR="0056244C" w:rsidRPr="002261B9">
        <w:rPr>
          <w:lang w:val="es-ES"/>
        </w:rPr>
        <w:t>y</w:t>
      </w:r>
      <w:r w:rsidRPr="002261B9">
        <w:rPr>
          <w:lang w:val="es-ES"/>
        </w:rPr>
        <w:t xml:space="preserve"> la exportación</w:t>
      </w:r>
      <w:r w:rsidR="001737EA" w:rsidRPr="002261B9">
        <w:rPr>
          <w:lang w:val="es-ES"/>
        </w:rPr>
        <w:t xml:space="preserve">, </w:t>
      </w:r>
      <w:r w:rsidR="00377623" w:rsidRPr="002261B9">
        <w:rPr>
          <w:lang w:val="es-ES"/>
        </w:rPr>
        <w:t>2)</w:t>
      </w:r>
      <w:r w:rsidRPr="002261B9">
        <w:rPr>
          <w:lang w:val="es-ES"/>
        </w:rPr>
        <w:t xml:space="preserve"> </w:t>
      </w:r>
      <w:r w:rsidR="004737FC" w:rsidRPr="002261B9">
        <w:rPr>
          <w:lang w:val="es-ES"/>
        </w:rPr>
        <w:t xml:space="preserve">la restricción de la producción, el uso, la importación y la exportación, 3) </w:t>
      </w:r>
      <w:r w:rsidRPr="002261B9">
        <w:rPr>
          <w:lang w:val="es-ES"/>
        </w:rPr>
        <w:t>el control de las descargas o emisiones</w:t>
      </w:r>
      <w:r w:rsidR="001737EA" w:rsidRPr="002261B9">
        <w:rPr>
          <w:lang w:val="es-ES"/>
        </w:rPr>
        <w:t xml:space="preserve">, </w:t>
      </w:r>
      <w:r w:rsidR="004737FC" w:rsidRPr="002261B9">
        <w:rPr>
          <w:lang w:val="es-ES"/>
        </w:rPr>
        <w:t>4</w:t>
      </w:r>
      <w:r w:rsidR="00377623" w:rsidRPr="002261B9">
        <w:rPr>
          <w:lang w:val="es-ES"/>
        </w:rPr>
        <w:t xml:space="preserve">) </w:t>
      </w:r>
      <w:r w:rsidRPr="002261B9">
        <w:rPr>
          <w:lang w:val="es-ES"/>
        </w:rPr>
        <w:t>la sustitución de los productos químicos por alternativas</w:t>
      </w:r>
      <w:r w:rsidR="001737EA" w:rsidRPr="002261B9">
        <w:rPr>
          <w:lang w:val="es-ES"/>
        </w:rPr>
        <w:t xml:space="preserve">, </w:t>
      </w:r>
      <w:r w:rsidR="004737FC" w:rsidRPr="002261B9">
        <w:rPr>
          <w:lang w:val="es-ES"/>
        </w:rPr>
        <w:t>5</w:t>
      </w:r>
      <w:r w:rsidR="00377623" w:rsidRPr="002261B9">
        <w:rPr>
          <w:lang w:val="es-ES"/>
        </w:rPr>
        <w:t xml:space="preserve">) </w:t>
      </w:r>
      <w:r w:rsidRPr="002261B9">
        <w:rPr>
          <w:lang w:val="es-ES"/>
        </w:rPr>
        <w:t>la limpieza de los lugares contaminados</w:t>
      </w:r>
      <w:r w:rsidR="00377623" w:rsidRPr="002261B9">
        <w:rPr>
          <w:lang w:val="es-ES"/>
        </w:rPr>
        <w:t xml:space="preserve">, </w:t>
      </w:r>
      <w:r w:rsidR="004737FC" w:rsidRPr="002261B9">
        <w:rPr>
          <w:lang w:val="es-ES"/>
        </w:rPr>
        <w:t>6</w:t>
      </w:r>
      <w:r w:rsidR="00377623" w:rsidRPr="002261B9">
        <w:rPr>
          <w:lang w:val="es-ES"/>
        </w:rPr>
        <w:t xml:space="preserve">) </w:t>
      </w:r>
      <w:r w:rsidRPr="002261B9">
        <w:rPr>
          <w:lang w:val="es-ES"/>
        </w:rPr>
        <w:t>la gestión ambientalmente racional de las reservas obsoletas</w:t>
      </w:r>
      <w:r w:rsidR="00377623" w:rsidRPr="002261B9">
        <w:rPr>
          <w:lang w:val="es-ES"/>
        </w:rPr>
        <w:t xml:space="preserve">, </w:t>
      </w:r>
      <w:r w:rsidR="004737FC" w:rsidRPr="002261B9">
        <w:rPr>
          <w:lang w:val="es-ES"/>
        </w:rPr>
        <w:t>7</w:t>
      </w:r>
      <w:r w:rsidR="00377623" w:rsidRPr="002261B9">
        <w:rPr>
          <w:lang w:val="es-ES"/>
        </w:rPr>
        <w:t>)</w:t>
      </w:r>
      <w:r w:rsidRPr="002261B9">
        <w:rPr>
          <w:lang w:val="es-ES"/>
        </w:rPr>
        <w:t xml:space="preserve"> la prohibición de reutilizar y reciclar desechos y reservas</w:t>
      </w:r>
      <w:r w:rsidR="00051883" w:rsidRPr="002261B9">
        <w:rPr>
          <w:lang w:val="es-ES"/>
        </w:rPr>
        <w:t>,</w:t>
      </w:r>
      <w:r w:rsidR="00377623" w:rsidRPr="002261B9">
        <w:rPr>
          <w:lang w:val="es-ES"/>
        </w:rPr>
        <w:t xml:space="preserve"> </w:t>
      </w:r>
      <w:r w:rsidR="004737FC" w:rsidRPr="002261B9">
        <w:rPr>
          <w:lang w:val="es-ES"/>
        </w:rPr>
        <w:t>8</w:t>
      </w:r>
      <w:r w:rsidR="00377623" w:rsidRPr="002261B9">
        <w:rPr>
          <w:lang w:val="es-ES"/>
        </w:rPr>
        <w:t xml:space="preserve">) </w:t>
      </w:r>
      <w:r w:rsidRPr="002261B9">
        <w:rPr>
          <w:lang w:val="es-ES"/>
        </w:rPr>
        <w:t>el establecimiento de límites de exposición en el lugar de trabajo y</w:t>
      </w:r>
      <w:r w:rsidR="00377623" w:rsidRPr="002261B9">
        <w:rPr>
          <w:lang w:val="es-ES"/>
        </w:rPr>
        <w:t xml:space="preserve"> </w:t>
      </w:r>
      <w:r w:rsidR="004737FC" w:rsidRPr="002261B9">
        <w:rPr>
          <w:lang w:val="es-ES"/>
        </w:rPr>
        <w:t>9</w:t>
      </w:r>
      <w:r w:rsidR="00377623" w:rsidRPr="002261B9">
        <w:rPr>
          <w:lang w:val="es-ES"/>
        </w:rPr>
        <w:t xml:space="preserve">) </w:t>
      </w:r>
      <w:r w:rsidRPr="002261B9">
        <w:rPr>
          <w:lang w:val="es-ES"/>
        </w:rPr>
        <w:t>el establecimiento de umbrales o límites máximos de los residuos en el agua, el suelo, los sedimentos o los alimentos</w:t>
      </w:r>
      <w:r w:rsidR="00377623" w:rsidRPr="002261B9">
        <w:rPr>
          <w:lang w:val="es-ES"/>
        </w:rPr>
        <w:t>.</w:t>
      </w:r>
    </w:p>
    <w:p w14:paraId="45E05F42" w14:textId="6BE9D88E" w:rsidR="00860528" w:rsidRPr="002261B9" w:rsidRDefault="00DD20C7" w:rsidP="00F45508">
      <w:pPr>
        <w:pStyle w:val="Paralevel1"/>
        <w:numPr>
          <w:ilvl w:val="0"/>
          <w:numId w:val="23"/>
        </w:numPr>
        <w:tabs>
          <w:tab w:val="clear" w:pos="0"/>
        </w:tabs>
        <w:ind w:left="1247" w:firstLine="0"/>
        <w:rPr>
          <w:lang w:val="es-ES"/>
        </w:rPr>
      </w:pPr>
      <w:r w:rsidRPr="002261B9">
        <w:rPr>
          <w:lang w:val="es-ES"/>
        </w:rPr>
        <w:t xml:space="preserve">El </w:t>
      </w:r>
      <w:r w:rsidR="00360345" w:rsidRPr="002261B9">
        <w:rPr>
          <w:lang w:val="es-ES"/>
        </w:rPr>
        <w:t xml:space="preserve">PFOA </w:t>
      </w:r>
      <w:r w:rsidRPr="002261B9">
        <w:rPr>
          <w:lang w:val="es-ES"/>
        </w:rPr>
        <w:t>se presenta como impureza no intencional en la fabricación</w:t>
      </w:r>
      <w:r w:rsidR="00C409B0" w:rsidRPr="002261B9">
        <w:rPr>
          <w:lang w:val="es-ES"/>
        </w:rPr>
        <w:t xml:space="preserve"> de productos químicos fluorados</w:t>
      </w:r>
      <w:r w:rsidR="00360345" w:rsidRPr="002261B9">
        <w:rPr>
          <w:lang w:val="es-ES"/>
        </w:rPr>
        <w:t xml:space="preserve">. </w:t>
      </w:r>
      <w:r w:rsidR="001737EA" w:rsidRPr="002261B9">
        <w:rPr>
          <w:lang w:val="es-ES"/>
        </w:rPr>
        <w:t xml:space="preserve">Sin embargo, </w:t>
      </w:r>
      <w:r w:rsidRPr="002261B9">
        <w:rPr>
          <w:lang w:val="es-ES"/>
        </w:rPr>
        <w:t xml:space="preserve">se puede hallar solución a </w:t>
      </w:r>
      <w:r w:rsidR="001737EA" w:rsidRPr="002261B9">
        <w:rPr>
          <w:lang w:val="es-ES"/>
        </w:rPr>
        <w:t xml:space="preserve">la generación no intencional durante la fabricación </w:t>
      </w:r>
      <w:r w:rsidRPr="002261B9">
        <w:rPr>
          <w:lang w:val="es-ES"/>
        </w:rPr>
        <w:t>estableciendo niveles de concentración apropiados en la recomendación que se haga en el anexo</w:t>
      </w:r>
      <w:r w:rsidR="00877EED" w:rsidRPr="002261B9">
        <w:rPr>
          <w:lang w:val="es-ES"/>
        </w:rPr>
        <w:t xml:space="preserve"> A o B </w:t>
      </w:r>
      <w:r w:rsidRPr="002261B9">
        <w:rPr>
          <w:lang w:val="es-ES"/>
        </w:rPr>
        <w:t xml:space="preserve">en relación con el </w:t>
      </w:r>
      <w:r w:rsidR="00877EED" w:rsidRPr="002261B9">
        <w:rPr>
          <w:lang w:val="es-ES"/>
        </w:rPr>
        <w:t xml:space="preserve">PFOA, </w:t>
      </w:r>
      <w:r w:rsidRPr="002261B9">
        <w:rPr>
          <w:lang w:val="es-ES"/>
        </w:rPr>
        <w:t>sus sal</w:t>
      </w:r>
      <w:r w:rsidR="00376731" w:rsidRPr="002261B9">
        <w:rPr>
          <w:lang w:val="es-ES"/>
        </w:rPr>
        <w:t>es y los compuestos conexos del </w:t>
      </w:r>
      <w:r w:rsidR="00877EED" w:rsidRPr="002261B9">
        <w:rPr>
          <w:lang w:val="es-ES"/>
        </w:rPr>
        <w:t>PFOA</w:t>
      </w:r>
      <w:r w:rsidRPr="002261B9">
        <w:rPr>
          <w:lang w:val="es-ES"/>
        </w:rPr>
        <w:t xml:space="preserve"> en la fabricación de alternativas</w:t>
      </w:r>
      <w:r w:rsidR="00877EED" w:rsidRPr="002261B9">
        <w:rPr>
          <w:lang w:val="es-ES"/>
        </w:rPr>
        <w:t xml:space="preserve">. </w:t>
      </w:r>
    </w:p>
    <w:p w14:paraId="4BB3307B" w14:textId="08700F70" w:rsidR="004D5B0D" w:rsidRPr="002261B9" w:rsidRDefault="00F443BD" w:rsidP="0086269E">
      <w:pPr>
        <w:pStyle w:val="StyleHeading2u2h2ABC2ChptTimesNewRoman12ptLin"/>
        <w:tabs>
          <w:tab w:val="num" w:pos="128"/>
        </w:tabs>
        <w:spacing w:after="120"/>
        <w:ind w:left="1248" w:hanging="624"/>
        <w:rPr>
          <w:iCs w:val="0"/>
          <w:sz w:val="22"/>
          <w:szCs w:val="22"/>
          <w:lang w:val="es-ES"/>
        </w:rPr>
      </w:pPr>
      <w:bookmarkStart w:id="23" w:name="_Toc501099200"/>
      <w:r w:rsidRPr="002261B9">
        <w:rPr>
          <w:iCs w:val="0"/>
          <w:sz w:val="22"/>
          <w:szCs w:val="22"/>
          <w:lang w:val="es-ES"/>
        </w:rPr>
        <w:t>2.2</w:t>
      </w:r>
      <w:r w:rsidRPr="002261B9">
        <w:rPr>
          <w:iCs w:val="0"/>
          <w:sz w:val="22"/>
          <w:szCs w:val="22"/>
          <w:lang w:val="es-ES"/>
        </w:rPr>
        <w:tab/>
      </w:r>
      <w:r w:rsidR="004D5B0D" w:rsidRPr="002261B9">
        <w:rPr>
          <w:iCs w:val="0"/>
          <w:sz w:val="22"/>
          <w:szCs w:val="22"/>
          <w:lang w:val="es-ES"/>
        </w:rPr>
        <w:t>Eficacia y eficiencia de las medidas de control que pueden adoptarse para lograr la reducción de los riesgos</w:t>
      </w:r>
      <w:bookmarkEnd w:id="23"/>
    </w:p>
    <w:p w14:paraId="3457BFCB" w14:textId="7D6E5A41" w:rsidR="004D5B0D" w:rsidRPr="002261B9" w:rsidRDefault="00006176" w:rsidP="00F45508">
      <w:pPr>
        <w:pStyle w:val="Paralevel1"/>
        <w:numPr>
          <w:ilvl w:val="0"/>
          <w:numId w:val="23"/>
        </w:numPr>
        <w:tabs>
          <w:tab w:val="clear" w:pos="0"/>
        </w:tabs>
        <w:ind w:left="1247" w:firstLine="0"/>
        <w:rPr>
          <w:lang w:val="es-ES"/>
        </w:rPr>
      </w:pPr>
      <w:r w:rsidRPr="002261B9">
        <w:rPr>
          <w:lang w:val="es-ES"/>
        </w:rPr>
        <w:t>Con arreglo a la información presentad</w:t>
      </w:r>
      <w:r w:rsidR="004D6A78" w:rsidRPr="002261B9">
        <w:rPr>
          <w:lang w:val="es-ES"/>
        </w:rPr>
        <w:t xml:space="preserve">a por </w:t>
      </w:r>
      <w:r w:rsidRPr="002261B9">
        <w:rPr>
          <w:lang w:val="es-ES"/>
        </w:rPr>
        <w:t>l</w:t>
      </w:r>
      <w:r w:rsidR="004D6A78" w:rsidRPr="002261B9">
        <w:rPr>
          <w:lang w:val="es-ES"/>
        </w:rPr>
        <w:t>a</w:t>
      </w:r>
      <w:r w:rsidRPr="002261B9">
        <w:rPr>
          <w:lang w:val="es-ES"/>
        </w:rPr>
        <w:t xml:space="preserve"> </w:t>
      </w:r>
      <w:r w:rsidR="00946899" w:rsidRPr="002261B9">
        <w:rPr>
          <w:lang w:val="es-ES"/>
        </w:rPr>
        <w:t>Red de Eliminación de COP</w:t>
      </w:r>
      <w:r w:rsidR="004D6B19" w:rsidRPr="002261B9">
        <w:rPr>
          <w:lang w:val="es-ES"/>
        </w:rPr>
        <w:t xml:space="preserve">, </w:t>
      </w:r>
      <w:r w:rsidRPr="002261B9">
        <w:rPr>
          <w:lang w:val="es-ES"/>
        </w:rPr>
        <w:t>la medida de control más factible y eficaz en función de los costos en el caso del</w:t>
      </w:r>
      <w:r w:rsidR="004D5B0D" w:rsidRPr="002261B9">
        <w:rPr>
          <w:lang w:val="es-ES"/>
        </w:rPr>
        <w:t xml:space="preserve"> PFOA </w:t>
      </w:r>
      <w:r w:rsidRPr="002261B9">
        <w:rPr>
          <w:lang w:val="es-ES"/>
        </w:rPr>
        <w:t xml:space="preserve">y los compuestos conexos del </w:t>
      </w:r>
      <w:r w:rsidR="004D5B0D" w:rsidRPr="002261B9">
        <w:rPr>
          <w:lang w:val="es-ES"/>
        </w:rPr>
        <w:t>PFOA</w:t>
      </w:r>
      <w:r w:rsidRPr="002261B9">
        <w:rPr>
          <w:lang w:val="es-ES"/>
        </w:rPr>
        <w:t xml:space="preserve"> es la prohibición de toda producción, uso, importación y exportación</w:t>
      </w:r>
      <w:r w:rsidR="007E6FF3" w:rsidRPr="002261B9">
        <w:rPr>
          <w:lang w:val="es-ES"/>
        </w:rPr>
        <w:t xml:space="preserve">, </w:t>
      </w:r>
      <w:r w:rsidRPr="002261B9">
        <w:rPr>
          <w:lang w:val="es-ES"/>
        </w:rPr>
        <w:t>lo cual tiene especial importancia en los países en desarrollo y los países con economías en transición que carecen de la infraestructura reglamentaria y coercitiva adecuada</w:t>
      </w:r>
      <w:r w:rsidR="004D5B0D" w:rsidRPr="002261B9">
        <w:rPr>
          <w:lang w:val="es-ES"/>
        </w:rPr>
        <w:t>.</w:t>
      </w:r>
      <w:r w:rsidR="00E64629" w:rsidRPr="002261B9">
        <w:rPr>
          <w:lang w:val="es-ES"/>
        </w:rPr>
        <w:t xml:space="preserve"> Según</w:t>
      </w:r>
      <w:r w:rsidR="004D6A78" w:rsidRPr="002261B9">
        <w:rPr>
          <w:lang w:val="es-ES"/>
        </w:rPr>
        <w:t xml:space="preserve"> la información presentada por </w:t>
      </w:r>
      <w:r w:rsidR="00E64629" w:rsidRPr="002261B9">
        <w:rPr>
          <w:lang w:val="es-ES"/>
        </w:rPr>
        <w:t>l</w:t>
      </w:r>
      <w:r w:rsidR="004D6A78" w:rsidRPr="002261B9">
        <w:rPr>
          <w:lang w:val="es-ES"/>
        </w:rPr>
        <w:t>a</w:t>
      </w:r>
      <w:r w:rsidR="00E64629" w:rsidRPr="002261B9">
        <w:rPr>
          <w:lang w:val="es-ES"/>
        </w:rPr>
        <w:t xml:space="preserve"> </w:t>
      </w:r>
      <w:r w:rsidR="00946899" w:rsidRPr="002261B9">
        <w:rPr>
          <w:lang w:val="es-ES"/>
        </w:rPr>
        <w:t>Red de Eliminación de COP</w:t>
      </w:r>
      <w:r w:rsidR="00A51F4B" w:rsidRPr="002261B9">
        <w:rPr>
          <w:lang w:val="es-ES"/>
        </w:rPr>
        <w:t xml:space="preserve">, </w:t>
      </w:r>
      <w:r w:rsidR="00E64629" w:rsidRPr="002261B9">
        <w:rPr>
          <w:lang w:val="es-ES"/>
        </w:rPr>
        <w:t xml:space="preserve">la mejor manera de lograr esto es la inclusión del </w:t>
      </w:r>
      <w:r w:rsidR="004D5B0D" w:rsidRPr="002261B9">
        <w:rPr>
          <w:lang w:val="es-ES"/>
        </w:rPr>
        <w:t xml:space="preserve">PFOA, </w:t>
      </w:r>
      <w:r w:rsidR="00E64629" w:rsidRPr="002261B9">
        <w:rPr>
          <w:lang w:val="es-ES"/>
        </w:rPr>
        <w:t xml:space="preserve">sus sales y los compuestos conexos del </w:t>
      </w:r>
      <w:r w:rsidR="004D5B0D" w:rsidRPr="002261B9">
        <w:rPr>
          <w:lang w:val="es-ES"/>
        </w:rPr>
        <w:t>PFOA</w:t>
      </w:r>
      <w:r w:rsidR="00E64629" w:rsidRPr="002261B9">
        <w:rPr>
          <w:lang w:val="es-ES"/>
        </w:rPr>
        <w:t xml:space="preserve"> en el anexo </w:t>
      </w:r>
      <w:r w:rsidR="004D5B0D" w:rsidRPr="002261B9">
        <w:rPr>
          <w:lang w:val="es-ES"/>
        </w:rPr>
        <w:t xml:space="preserve">A </w:t>
      </w:r>
      <w:r w:rsidR="00E64629" w:rsidRPr="002261B9">
        <w:rPr>
          <w:lang w:val="es-ES"/>
        </w:rPr>
        <w:t>del Convenio de Estocolmo sin exenciones</w:t>
      </w:r>
      <w:r w:rsidR="004D5B0D" w:rsidRPr="002261B9">
        <w:rPr>
          <w:lang w:val="es-ES"/>
        </w:rPr>
        <w:t xml:space="preserve">. </w:t>
      </w:r>
      <w:r w:rsidR="00E64629" w:rsidRPr="002261B9">
        <w:rPr>
          <w:lang w:val="es-ES"/>
        </w:rPr>
        <w:t xml:space="preserve">Las medidas previstas en el artículo </w:t>
      </w:r>
      <w:r w:rsidR="004D5B0D" w:rsidRPr="002261B9">
        <w:rPr>
          <w:lang w:val="es-ES"/>
        </w:rPr>
        <w:t xml:space="preserve">6 </w:t>
      </w:r>
      <w:r w:rsidR="00E64629" w:rsidRPr="002261B9">
        <w:rPr>
          <w:lang w:val="es-ES"/>
        </w:rPr>
        <w:t>abordarían la limpieza de los lugares contaminados, como son las plantas de fabricación y sus cercanías, los aeropuertos, las bases militares y otras fuentes, así como la gestión ambientalmente racional de las reservas y los desechos</w:t>
      </w:r>
      <w:r w:rsidR="004D5B0D" w:rsidRPr="002261B9">
        <w:rPr>
          <w:lang w:val="es-ES"/>
        </w:rPr>
        <w:t xml:space="preserve"> (</w:t>
      </w:r>
      <w:r w:rsidR="004737FC" w:rsidRPr="002261B9">
        <w:rPr>
          <w:lang w:val="es-ES"/>
        </w:rPr>
        <w:t>O</w:t>
      </w:r>
      <w:r w:rsidR="00E64629" w:rsidRPr="002261B9">
        <w:rPr>
          <w:lang w:val="es-ES"/>
        </w:rPr>
        <w:t>bservaci</w:t>
      </w:r>
      <w:r w:rsidR="004737FC" w:rsidRPr="002261B9">
        <w:rPr>
          <w:lang w:val="es-ES"/>
        </w:rPr>
        <w:t>o</w:t>
      </w:r>
      <w:r w:rsidR="00E64629" w:rsidRPr="002261B9">
        <w:rPr>
          <w:lang w:val="es-ES"/>
        </w:rPr>
        <w:t>n</w:t>
      </w:r>
      <w:r w:rsidR="004737FC" w:rsidRPr="002261B9">
        <w:rPr>
          <w:lang w:val="es-ES"/>
        </w:rPr>
        <w:t xml:space="preserve">es </w:t>
      </w:r>
      <w:r w:rsidR="00E64629" w:rsidRPr="002261B9">
        <w:rPr>
          <w:lang w:val="es-ES"/>
        </w:rPr>
        <w:t>de</w:t>
      </w:r>
      <w:r w:rsidR="004D6A78" w:rsidRPr="002261B9">
        <w:rPr>
          <w:lang w:val="es-ES"/>
        </w:rPr>
        <w:t xml:space="preserve"> </w:t>
      </w:r>
      <w:r w:rsidR="00E64629" w:rsidRPr="002261B9">
        <w:rPr>
          <w:lang w:val="es-ES"/>
        </w:rPr>
        <w:t>l</w:t>
      </w:r>
      <w:r w:rsidR="004D6A78" w:rsidRPr="002261B9">
        <w:rPr>
          <w:lang w:val="es-ES"/>
        </w:rPr>
        <w:t>a</w:t>
      </w:r>
      <w:r w:rsidR="004D5B0D" w:rsidRPr="002261B9">
        <w:rPr>
          <w:lang w:val="es-ES"/>
        </w:rPr>
        <w:t xml:space="preserve"> </w:t>
      </w:r>
      <w:r w:rsidR="004737FC" w:rsidRPr="002261B9">
        <w:rPr>
          <w:lang w:val="es-ES"/>
        </w:rPr>
        <w:t>Red de Eliminación de COP</w:t>
      </w:r>
      <w:r w:rsidR="00A92B72" w:rsidRPr="002261B9">
        <w:rPr>
          <w:lang w:val="es-ES"/>
        </w:rPr>
        <w:t xml:space="preserve"> </w:t>
      </w:r>
      <w:r w:rsidR="00E64629" w:rsidRPr="002261B9">
        <w:rPr>
          <w:lang w:val="es-ES"/>
        </w:rPr>
        <w:t>sobre el primer proyecto de evaluación de la gestión de los riesgos</w:t>
      </w:r>
      <w:r w:rsidR="00CA2FCC" w:rsidRPr="002261B9">
        <w:rPr>
          <w:lang w:val="es-ES"/>
        </w:rPr>
        <w:t>)</w:t>
      </w:r>
      <w:r w:rsidR="002A4800" w:rsidRPr="002261B9">
        <w:rPr>
          <w:lang w:val="es-ES"/>
        </w:rPr>
        <w:t>.</w:t>
      </w:r>
    </w:p>
    <w:p w14:paraId="256591CF" w14:textId="1F035B75" w:rsidR="004D5B0D" w:rsidRPr="002261B9" w:rsidRDefault="00E64629" w:rsidP="00F45508">
      <w:pPr>
        <w:pStyle w:val="Paralevel1"/>
        <w:numPr>
          <w:ilvl w:val="0"/>
          <w:numId w:val="23"/>
        </w:numPr>
        <w:tabs>
          <w:tab w:val="clear" w:pos="0"/>
        </w:tabs>
        <w:ind w:left="1247" w:firstLine="0"/>
        <w:rPr>
          <w:lang w:val="es-ES"/>
        </w:rPr>
      </w:pPr>
      <w:r w:rsidRPr="002261B9">
        <w:rPr>
          <w:lang w:val="es-ES"/>
        </w:rPr>
        <w:t>La información recibida de los interesados en el procedimiento reglamentario de la UE indica que es imprescindible establecer exenciones para el uso cuando las alternativas no sean económica ni técnicamente viables</w:t>
      </w:r>
      <w:r w:rsidR="004D5B0D" w:rsidRPr="002261B9">
        <w:rPr>
          <w:lang w:val="es-ES"/>
        </w:rPr>
        <w:t xml:space="preserve"> (ECHA</w:t>
      </w:r>
      <w:r w:rsidR="004904E9" w:rsidRPr="002261B9">
        <w:rPr>
          <w:lang w:val="es-ES"/>
        </w:rPr>
        <w:t>,</w:t>
      </w:r>
      <w:r w:rsidR="007D0A73" w:rsidRPr="002261B9">
        <w:rPr>
          <w:lang w:val="es-ES"/>
        </w:rPr>
        <w:t xml:space="preserve"> 2</w:t>
      </w:r>
      <w:r w:rsidR="004D5B0D" w:rsidRPr="002261B9">
        <w:rPr>
          <w:lang w:val="es-ES"/>
        </w:rPr>
        <w:t>014a</w:t>
      </w:r>
      <w:r w:rsidR="00051883" w:rsidRPr="002261B9">
        <w:rPr>
          <w:lang w:val="es-ES"/>
        </w:rPr>
        <w:t>)</w:t>
      </w:r>
      <w:r w:rsidR="004904E9" w:rsidRPr="002261B9">
        <w:rPr>
          <w:lang w:val="es-ES"/>
        </w:rPr>
        <w:t>,</w:t>
      </w:r>
      <w:r w:rsidR="007D0A73" w:rsidRPr="002261B9">
        <w:rPr>
          <w:lang w:val="es-ES"/>
        </w:rPr>
        <w:t xml:space="preserve"> 2</w:t>
      </w:r>
      <w:r w:rsidR="004D5B0D" w:rsidRPr="002261B9">
        <w:rPr>
          <w:lang w:val="es-ES"/>
        </w:rPr>
        <w:t>015a</w:t>
      </w:r>
      <w:r w:rsidR="00452DB2" w:rsidRPr="002261B9">
        <w:rPr>
          <w:lang w:val="es-ES"/>
        </w:rPr>
        <w:t>)</w:t>
      </w:r>
      <w:r w:rsidR="004D5B0D" w:rsidRPr="002261B9">
        <w:rPr>
          <w:lang w:val="es-ES"/>
        </w:rPr>
        <w:t xml:space="preserve">. </w:t>
      </w:r>
    </w:p>
    <w:p w14:paraId="44977B7B" w14:textId="75AD8252" w:rsidR="004D5B0D" w:rsidRPr="002261B9" w:rsidRDefault="00156E3D" w:rsidP="00F45508">
      <w:pPr>
        <w:pStyle w:val="Paralevel1"/>
        <w:numPr>
          <w:ilvl w:val="0"/>
          <w:numId w:val="23"/>
        </w:numPr>
        <w:tabs>
          <w:tab w:val="clear" w:pos="0"/>
        </w:tabs>
        <w:ind w:left="1247" w:firstLine="0"/>
        <w:rPr>
          <w:lang w:val="es-ES"/>
        </w:rPr>
      </w:pPr>
      <w:r w:rsidRPr="002261B9">
        <w:rPr>
          <w:lang w:val="es-ES"/>
        </w:rPr>
        <w:t>El</w:t>
      </w:r>
      <w:r w:rsidR="00E64629" w:rsidRPr="002261B9">
        <w:rPr>
          <w:lang w:val="es-ES"/>
        </w:rPr>
        <w:t xml:space="preserve"> </w:t>
      </w:r>
      <w:r w:rsidR="00527560" w:rsidRPr="002261B9">
        <w:rPr>
          <w:lang w:val="es-ES"/>
        </w:rPr>
        <w:t>C</w:t>
      </w:r>
      <w:r w:rsidR="00E64629" w:rsidRPr="002261B9">
        <w:rPr>
          <w:lang w:val="es-ES"/>
        </w:rPr>
        <w:t xml:space="preserve">omité de Evaluación de los Riesgos y </w:t>
      </w:r>
      <w:r w:rsidRPr="002261B9">
        <w:rPr>
          <w:lang w:val="es-ES"/>
        </w:rPr>
        <w:t xml:space="preserve">el Comité </w:t>
      </w:r>
      <w:r w:rsidR="00E64629" w:rsidRPr="002261B9">
        <w:rPr>
          <w:lang w:val="es-ES"/>
        </w:rPr>
        <w:t xml:space="preserve">de Análisis Socioeconómico de la </w:t>
      </w:r>
      <w:r w:rsidR="004D5B0D" w:rsidRPr="002261B9">
        <w:rPr>
          <w:lang w:val="es-ES"/>
        </w:rPr>
        <w:t>E</w:t>
      </w:r>
      <w:r w:rsidR="00DB4EF1" w:rsidRPr="002261B9">
        <w:rPr>
          <w:lang w:val="es-ES"/>
        </w:rPr>
        <w:t>CHA</w:t>
      </w:r>
      <w:r w:rsidR="004D5B0D" w:rsidRPr="002261B9">
        <w:rPr>
          <w:lang w:val="es-ES"/>
        </w:rPr>
        <w:t xml:space="preserve"> </w:t>
      </w:r>
      <w:r w:rsidR="00E64629" w:rsidRPr="002261B9">
        <w:rPr>
          <w:lang w:val="es-ES"/>
        </w:rPr>
        <w:t xml:space="preserve">consideraron que la restricción del </w:t>
      </w:r>
      <w:r w:rsidR="004D5B0D" w:rsidRPr="002261B9">
        <w:rPr>
          <w:lang w:val="es-ES"/>
        </w:rPr>
        <w:t xml:space="preserve">PFOA, </w:t>
      </w:r>
      <w:r w:rsidR="00E64629" w:rsidRPr="002261B9">
        <w:rPr>
          <w:lang w:val="es-ES"/>
        </w:rPr>
        <w:t>sus sales y</w:t>
      </w:r>
      <w:r w:rsidR="004D5B0D" w:rsidRPr="002261B9">
        <w:rPr>
          <w:lang w:val="es-ES"/>
        </w:rPr>
        <w:t xml:space="preserve"> </w:t>
      </w:r>
      <w:r w:rsidR="00E64629" w:rsidRPr="002261B9">
        <w:rPr>
          <w:lang w:val="es-ES"/>
        </w:rPr>
        <w:t>las sustancias conexas del PFOA</w:t>
      </w:r>
      <w:r w:rsidR="004D5B0D" w:rsidRPr="002261B9">
        <w:rPr>
          <w:lang w:val="es-ES"/>
        </w:rPr>
        <w:t xml:space="preserve"> </w:t>
      </w:r>
      <w:r w:rsidR="00E64629" w:rsidRPr="002261B9">
        <w:rPr>
          <w:lang w:val="es-ES"/>
        </w:rPr>
        <w:t xml:space="preserve">es la medida </w:t>
      </w:r>
      <w:r w:rsidR="00E64629" w:rsidRPr="002261B9">
        <w:rPr>
          <w:lang w:val="es-ES"/>
        </w:rPr>
        <w:lastRenderedPageBreak/>
        <w:t>más apropiada en toda la Unión Europea para hacer frente a los riesgos señalados</w:t>
      </w:r>
      <w:r w:rsidR="00C409B0" w:rsidRPr="002261B9">
        <w:rPr>
          <w:lang w:val="es-ES"/>
        </w:rPr>
        <w:t xml:space="preserve">. La </w:t>
      </w:r>
      <w:r w:rsidR="001E397C">
        <w:rPr>
          <w:lang w:val="es-ES"/>
        </w:rPr>
        <w:t>restricción de la </w:t>
      </w:r>
      <w:r w:rsidR="00E64629" w:rsidRPr="002261B9">
        <w:rPr>
          <w:lang w:val="es-ES"/>
        </w:rPr>
        <w:t>UE se ajust</w:t>
      </w:r>
      <w:r w:rsidR="00C409B0" w:rsidRPr="002261B9">
        <w:rPr>
          <w:lang w:val="es-ES"/>
        </w:rPr>
        <w:t>ó</w:t>
      </w:r>
      <w:r w:rsidR="00E64629" w:rsidRPr="002261B9">
        <w:rPr>
          <w:lang w:val="es-ES"/>
        </w:rPr>
        <w:t xml:space="preserve"> a la </w:t>
      </w:r>
      <w:r w:rsidR="00C409B0" w:rsidRPr="002261B9">
        <w:rPr>
          <w:lang w:val="es-ES"/>
        </w:rPr>
        <w:t>ocurrencia en</w:t>
      </w:r>
      <w:r w:rsidR="00E64629" w:rsidRPr="002261B9">
        <w:rPr>
          <w:lang w:val="es-ES"/>
        </w:rPr>
        <w:t xml:space="preserve"> concentraciones iguales o mayores de </w:t>
      </w:r>
      <w:r w:rsidR="00D25596" w:rsidRPr="002261B9">
        <w:rPr>
          <w:lang w:val="es-ES"/>
        </w:rPr>
        <w:t xml:space="preserve">25 ppb </w:t>
      </w:r>
      <w:r w:rsidR="00E64629" w:rsidRPr="002261B9">
        <w:rPr>
          <w:lang w:val="es-ES"/>
        </w:rPr>
        <w:t>de</w:t>
      </w:r>
      <w:r w:rsidR="00D25596" w:rsidRPr="002261B9">
        <w:rPr>
          <w:lang w:val="es-ES"/>
        </w:rPr>
        <w:t xml:space="preserve"> PFOA</w:t>
      </w:r>
      <w:r w:rsidR="00DA2618" w:rsidRPr="002261B9">
        <w:rPr>
          <w:lang w:val="es-ES"/>
        </w:rPr>
        <w:t>, incluidas sus sales, o</w:t>
      </w:r>
      <w:r w:rsidR="00D25596" w:rsidRPr="002261B9">
        <w:rPr>
          <w:lang w:val="es-ES"/>
        </w:rPr>
        <w:t xml:space="preserve"> 1000 ppb </w:t>
      </w:r>
      <w:r w:rsidR="00DA2618" w:rsidRPr="002261B9">
        <w:rPr>
          <w:lang w:val="es-ES"/>
        </w:rPr>
        <w:t xml:space="preserve">de una de las </w:t>
      </w:r>
      <w:r w:rsidR="00E64629" w:rsidRPr="002261B9">
        <w:rPr>
          <w:lang w:val="es-ES"/>
        </w:rPr>
        <w:t>sustancias conexas del PFOA</w:t>
      </w:r>
      <w:r w:rsidR="00DA2618" w:rsidRPr="002261B9">
        <w:rPr>
          <w:lang w:val="es-ES"/>
        </w:rPr>
        <w:t xml:space="preserve"> o de una combinación de ellas</w:t>
      </w:r>
      <w:r w:rsidR="00D25596" w:rsidRPr="002261B9">
        <w:rPr>
          <w:lang w:val="es-ES"/>
        </w:rPr>
        <w:t xml:space="preserve">. </w:t>
      </w:r>
      <w:r w:rsidR="00DA2618" w:rsidRPr="002261B9">
        <w:rPr>
          <w:lang w:val="es-ES"/>
        </w:rPr>
        <w:t>Estos valores límite reflejan la posible presencia de impurezas inevitables y contaminantes no intencionales y tienen en cuenta la</w:t>
      </w:r>
      <w:r w:rsidR="00051883" w:rsidRPr="002261B9">
        <w:rPr>
          <w:lang w:val="es-ES"/>
        </w:rPr>
        <w:t>s</w:t>
      </w:r>
      <w:r w:rsidR="00DA2618" w:rsidRPr="002261B9">
        <w:rPr>
          <w:lang w:val="es-ES"/>
        </w:rPr>
        <w:t xml:space="preserve"> capacidades de los métodos analíticos </w:t>
      </w:r>
      <w:r w:rsidR="007F1B86" w:rsidRPr="002261B9">
        <w:rPr>
          <w:lang w:val="es-ES"/>
        </w:rPr>
        <w:t>(</w:t>
      </w:r>
      <w:r w:rsidR="00F13B21" w:rsidRPr="002261B9">
        <w:rPr>
          <w:lang w:val="es-ES"/>
        </w:rPr>
        <w:t>véase</w:t>
      </w:r>
      <w:r w:rsidR="007F1B86" w:rsidRPr="002261B9">
        <w:rPr>
          <w:lang w:val="es-ES"/>
        </w:rPr>
        <w:t xml:space="preserve"> </w:t>
      </w:r>
      <w:r w:rsidR="00912204" w:rsidRPr="002261B9">
        <w:rPr>
          <w:lang w:val="es-ES"/>
        </w:rPr>
        <w:t>Comisión Europea</w:t>
      </w:r>
      <w:r w:rsidR="004904E9" w:rsidRPr="002261B9">
        <w:rPr>
          <w:lang w:val="es-ES"/>
        </w:rPr>
        <w:t>,</w:t>
      </w:r>
      <w:r w:rsidR="007D0A73" w:rsidRPr="002261B9">
        <w:rPr>
          <w:lang w:val="es-ES"/>
        </w:rPr>
        <w:t xml:space="preserve"> 2</w:t>
      </w:r>
      <w:r w:rsidR="007F1B86" w:rsidRPr="002261B9">
        <w:rPr>
          <w:lang w:val="es-ES"/>
        </w:rPr>
        <w:t>017</w:t>
      </w:r>
      <w:r w:rsidR="00452DB2" w:rsidRPr="002261B9">
        <w:rPr>
          <w:lang w:val="es-ES"/>
        </w:rPr>
        <w:t>)</w:t>
      </w:r>
      <w:r w:rsidR="007F1B86" w:rsidRPr="002261B9">
        <w:rPr>
          <w:lang w:val="es-ES"/>
        </w:rPr>
        <w:t>.</w:t>
      </w:r>
      <w:r w:rsidR="004D5B0D" w:rsidRPr="002261B9">
        <w:rPr>
          <w:lang w:val="es-ES"/>
        </w:rPr>
        <w:t xml:space="preserve"> </w:t>
      </w:r>
      <w:r w:rsidR="00DA2618" w:rsidRPr="002261B9">
        <w:rPr>
          <w:lang w:val="es-ES"/>
        </w:rPr>
        <w:t xml:space="preserve">Los pormenores de las modificaciones propuestas por los comités científicos de la UE </w:t>
      </w:r>
      <w:r w:rsidR="00051883" w:rsidRPr="002261B9">
        <w:rPr>
          <w:lang w:val="es-ES"/>
        </w:rPr>
        <w:t>aparecen documentadas en</w:t>
      </w:r>
      <w:r w:rsidR="00DA2618" w:rsidRPr="002261B9">
        <w:rPr>
          <w:lang w:val="es-ES"/>
        </w:rPr>
        <w:t xml:space="preserve"> </w:t>
      </w:r>
      <w:r w:rsidR="004D5B0D" w:rsidRPr="002261B9">
        <w:rPr>
          <w:lang w:val="es-ES"/>
        </w:rPr>
        <w:t>ECHA</w:t>
      </w:r>
      <w:r w:rsidR="004904E9" w:rsidRPr="002261B9">
        <w:rPr>
          <w:lang w:val="es-ES"/>
        </w:rPr>
        <w:t>,</w:t>
      </w:r>
      <w:r w:rsidR="007D0A73" w:rsidRPr="002261B9">
        <w:rPr>
          <w:lang w:val="es-ES"/>
        </w:rPr>
        <w:t xml:space="preserve"> 2</w:t>
      </w:r>
      <w:r w:rsidR="004D5B0D" w:rsidRPr="002261B9">
        <w:rPr>
          <w:lang w:val="es-ES"/>
        </w:rPr>
        <w:t xml:space="preserve">015c. </w:t>
      </w:r>
    </w:p>
    <w:p w14:paraId="0268E9E4" w14:textId="60C1A202" w:rsidR="004D5B0D" w:rsidRPr="002261B9" w:rsidRDefault="00DA2618" w:rsidP="00F45508">
      <w:pPr>
        <w:pStyle w:val="Paralevel1"/>
        <w:numPr>
          <w:ilvl w:val="0"/>
          <w:numId w:val="23"/>
        </w:numPr>
        <w:tabs>
          <w:tab w:val="clear" w:pos="0"/>
        </w:tabs>
        <w:ind w:left="1247" w:firstLine="0"/>
        <w:rPr>
          <w:lang w:val="es-ES"/>
        </w:rPr>
      </w:pPr>
      <w:r w:rsidRPr="002261B9">
        <w:rPr>
          <w:lang w:val="es-ES"/>
        </w:rPr>
        <w:t xml:space="preserve">En el proceso de elaboración de los </w:t>
      </w:r>
      <w:r w:rsidR="00862864" w:rsidRPr="002261B9">
        <w:rPr>
          <w:lang w:val="es-ES"/>
        </w:rPr>
        <w:t>mecanismos</w:t>
      </w:r>
      <w:r w:rsidRPr="002261B9">
        <w:rPr>
          <w:lang w:val="es-ES"/>
        </w:rPr>
        <w:t xml:space="preserve"> reglamentarios de gestión de los riesgos en el </w:t>
      </w:r>
      <w:r w:rsidR="00D547E9" w:rsidRPr="002261B9">
        <w:rPr>
          <w:lang w:val="es-ES"/>
        </w:rPr>
        <w:t>Canad</w:t>
      </w:r>
      <w:r w:rsidRPr="002261B9">
        <w:rPr>
          <w:lang w:val="es-ES"/>
        </w:rPr>
        <w:t>á</w:t>
      </w:r>
      <w:r w:rsidR="00D547E9" w:rsidRPr="002261B9">
        <w:rPr>
          <w:lang w:val="es-ES"/>
        </w:rPr>
        <w:t xml:space="preserve">, </w:t>
      </w:r>
      <w:r w:rsidR="003F3A09" w:rsidRPr="002261B9">
        <w:rPr>
          <w:lang w:val="es-ES"/>
        </w:rPr>
        <w:t>Noruega</w:t>
      </w:r>
      <w:r w:rsidR="00D547E9" w:rsidRPr="002261B9">
        <w:rPr>
          <w:lang w:val="es-ES"/>
        </w:rPr>
        <w:t xml:space="preserve"> </w:t>
      </w:r>
      <w:r w:rsidRPr="002261B9">
        <w:rPr>
          <w:lang w:val="es-ES"/>
        </w:rPr>
        <w:t xml:space="preserve">y la Unión Europea en relación con el </w:t>
      </w:r>
      <w:r w:rsidR="004D5B0D" w:rsidRPr="002261B9">
        <w:rPr>
          <w:lang w:val="es-ES"/>
        </w:rPr>
        <w:t xml:space="preserve">PFOA, </w:t>
      </w:r>
      <w:r w:rsidR="00E64629" w:rsidRPr="002261B9">
        <w:rPr>
          <w:lang w:val="es-ES"/>
        </w:rPr>
        <w:t>sus sales y</w:t>
      </w:r>
      <w:r w:rsidR="004D5B0D" w:rsidRPr="002261B9">
        <w:rPr>
          <w:lang w:val="es-ES"/>
        </w:rPr>
        <w:t xml:space="preserve"> </w:t>
      </w:r>
      <w:r w:rsidR="001E397C">
        <w:rPr>
          <w:lang w:val="es-ES"/>
        </w:rPr>
        <w:t>los compuestos conexos del </w:t>
      </w:r>
      <w:r w:rsidR="004D5B0D" w:rsidRPr="002261B9">
        <w:rPr>
          <w:lang w:val="es-ES"/>
        </w:rPr>
        <w:t xml:space="preserve">PFOA, </w:t>
      </w:r>
      <w:r w:rsidRPr="002261B9">
        <w:rPr>
          <w:lang w:val="es-ES"/>
        </w:rPr>
        <w:t>se ha tomado en consideración la información técnica y socioeconómica como fundamento de una decisión que prevea exenciones de carácter general o específico</w:t>
      </w:r>
      <w:r w:rsidR="004D5B0D" w:rsidRPr="002261B9">
        <w:rPr>
          <w:lang w:val="es-ES"/>
        </w:rPr>
        <w:t>.</w:t>
      </w:r>
      <w:r w:rsidR="00284890" w:rsidRPr="002261B9">
        <w:rPr>
          <w:lang w:val="es-ES"/>
        </w:rPr>
        <w:t xml:space="preserve"> </w:t>
      </w:r>
      <w:r w:rsidRPr="002261B9">
        <w:rPr>
          <w:lang w:val="es-ES"/>
        </w:rPr>
        <w:t xml:space="preserve">En consecuencia, las exenciones previstas en los </w:t>
      </w:r>
      <w:r w:rsidR="00862864" w:rsidRPr="002261B9">
        <w:rPr>
          <w:lang w:val="es-ES"/>
        </w:rPr>
        <w:t>mecanismos</w:t>
      </w:r>
      <w:r w:rsidRPr="002261B9">
        <w:rPr>
          <w:lang w:val="es-ES"/>
        </w:rPr>
        <w:t xml:space="preserve"> reglamentarios de gestión de los riesgos </w:t>
      </w:r>
      <w:r w:rsidR="00862864" w:rsidRPr="002261B9">
        <w:rPr>
          <w:lang w:val="es-ES"/>
        </w:rPr>
        <w:t xml:space="preserve">existentes son </w:t>
      </w:r>
      <w:r w:rsidRPr="002261B9">
        <w:rPr>
          <w:lang w:val="es-ES"/>
        </w:rPr>
        <w:t xml:space="preserve">indicios de la determinación de </w:t>
      </w:r>
      <w:r w:rsidR="00862864" w:rsidRPr="002261B9">
        <w:rPr>
          <w:lang w:val="es-ES"/>
        </w:rPr>
        <w:t xml:space="preserve">los </w:t>
      </w:r>
      <w:r w:rsidRPr="002261B9">
        <w:rPr>
          <w:lang w:val="es-ES"/>
        </w:rPr>
        <w:t>usos para los cuales tal vez no existan altern</w:t>
      </w:r>
      <w:r w:rsidR="00051883" w:rsidRPr="002261B9">
        <w:rPr>
          <w:lang w:val="es-ES"/>
        </w:rPr>
        <w:t xml:space="preserve">ativas químicas o no químicas </w:t>
      </w:r>
      <w:r w:rsidRPr="002261B9">
        <w:rPr>
          <w:lang w:val="es-ES"/>
        </w:rPr>
        <w:t>disponibles, basándose en consideraciones técnicas y socioeconómicas</w:t>
      </w:r>
      <w:r w:rsidR="004D5B0D" w:rsidRPr="002261B9">
        <w:rPr>
          <w:lang w:val="es-ES"/>
        </w:rPr>
        <w:t>.</w:t>
      </w:r>
    </w:p>
    <w:p w14:paraId="1DE78AFD" w14:textId="47B4F82B" w:rsidR="00F50503" w:rsidRPr="002261B9" w:rsidRDefault="00BB7049" w:rsidP="00F45508">
      <w:pPr>
        <w:pStyle w:val="Paralevel1"/>
        <w:numPr>
          <w:ilvl w:val="0"/>
          <w:numId w:val="23"/>
        </w:numPr>
        <w:tabs>
          <w:tab w:val="clear" w:pos="0"/>
        </w:tabs>
        <w:ind w:left="1247" w:firstLine="0"/>
        <w:rPr>
          <w:lang w:val="es-ES"/>
        </w:rPr>
      </w:pPr>
      <w:r w:rsidRPr="002261B9">
        <w:rPr>
          <w:lang w:val="es-ES"/>
        </w:rPr>
        <w:t xml:space="preserve">En la actualidad, en los países en desarrollo se suele practicar la incineración controlada a altas temperaturas de </w:t>
      </w:r>
      <w:r w:rsidR="00F50503" w:rsidRPr="002261B9">
        <w:rPr>
          <w:lang w:val="es-ES"/>
        </w:rPr>
        <w:t>850</w:t>
      </w:r>
      <w:r w:rsidR="007712BB" w:rsidRPr="002261B9">
        <w:rPr>
          <w:lang w:val="es-ES"/>
        </w:rPr>
        <w:t>ºC</w:t>
      </w:r>
      <w:r w:rsidR="00F50503" w:rsidRPr="002261B9">
        <w:rPr>
          <w:lang w:val="es-ES"/>
        </w:rPr>
        <w:t xml:space="preserve"> o</w:t>
      </w:r>
      <w:r w:rsidRPr="002261B9">
        <w:rPr>
          <w:lang w:val="es-ES"/>
        </w:rPr>
        <w:t xml:space="preserve"> más en incineradores de desechos</w:t>
      </w:r>
      <w:r w:rsidR="00F50503" w:rsidRPr="002261B9">
        <w:rPr>
          <w:lang w:val="es-ES"/>
        </w:rPr>
        <w:t xml:space="preserve">. </w:t>
      </w:r>
      <w:r w:rsidRPr="002261B9">
        <w:rPr>
          <w:lang w:val="es-ES"/>
        </w:rPr>
        <w:t>La incineración a altas temperaturas</w:t>
      </w:r>
      <w:r w:rsidR="005B45C1" w:rsidRPr="002261B9">
        <w:rPr>
          <w:lang w:val="es-ES"/>
        </w:rPr>
        <w:t xml:space="preserve"> (</w:t>
      </w:r>
      <w:r w:rsidRPr="002261B9">
        <w:rPr>
          <w:lang w:val="es-ES"/>
        </w:rPr>
        <w:t xml:space="preserve">por ejemplo, a </w:t>
      </w:r>
      <w:r w:rsidR="005B45C1" w:rsidRPr="002261B9">
        <w:rPr>
          <w:lang w:val="es-ES"/>
        </w:rPr>
        <w:t>1000</w:t>
      </w:r>
      <w:r w:rsidR="007712BB" w:rsidRPr="002261B9">
        <w:rPr>
          <w:lang w:val="es-ES"/>
        </w:rPr>
        <w:t>ºC</w:t>
      </w:r>
      <w:r w:rsidR="00F50503" w:rsidRPr="002261B9">
        <w:rPr>
          <w:lang w:val="es-ES"/>
        </w:rPr>
        <w:t xml:space="preserve">) </w:t>
      </w:r>
      <w:r w:rsidRPr="002261B9">
        <w:rPr>
          <w:lang w:val="es-ES"/>
        </w:rPr>
        <w:t>e</w:t>
      </w:r>
      <w:r w:rsidR="00F50503" w:rsidRPr="002261B9">
        <w:rPr>
          <w:lang w:val="es-ES"/>
        </w:rPr>
        <w:t>s ef</w:t>
      </w:r>
      <w:r w:rsidRPr="002261B9">
        <w:rPr>
          <w:lang w:val="es-ES"/>
        </w:rPr>
        <w:t xml:space="preserve">icaz para destruir el </w:t>
      </w:r>
      <w:r w:rsidR="00F50503" w:rsidRPr="002261B9">
        <w:rPr>
          <w:lang w:val="es-ES"/>
        </w:rPr>
        <w:t xml:space="preserve">PFOA </w:t>
      </w:r>
      <w:r w:rsidRPr="002261B9">
        <w:rPr>
          <w:lang w:val="es-ES"/>
        </w:rPr>
        <w:t xml:space="preserve">y prevenir la formación de </w:t>
      </w:r>
      <w:r w:rsidR="00F50503" w:rsidRPr="002261B9">
        <w:rPr>
          <w:lang w:val="es-ES"/>
        </w:rPr>
        <w:t xml:space="preserve">PFOA </w:t>
      </w:r>
      <w:r w:rsidRPr="002261B9">
        <w:rPr>
          <w:lang w:val="es-ES"/>
        </w:rPr>
        <w:t>a partir de la termólisis de polímeros altamente fluorados</w:t>
      </w:r>
      <w:r w:rsidR="00F50503" w:rsidRPr="002261B9">
        <w:rPr>
          <w:lang w:val="es-ES"/>
        </w:rPr>
        <w:t xml:space="preserve"> (</w:t>
      </w:r>
      <w:r w:rsidR="00F13B21" w:rsidRPr="002261B9">
        <w:rPr>
          <w:lang w:val="es-ES"/>
        </w:rPr>
        <w:t>véa</w:t>
      </w:r>
      <w:r w:rsidR="00033E30" w:rsidRPr="002261B9">
        <w:rPr>
          <w:lang w:val="es-ES"/>
        </w:rPr>
        <w:t>n</w:t>
      </w:r>
      <w:r w:rsidR="00F13B21" w:rsidRPr="002261B9">
        <w:rPr>
          <w:lang w:val="es-ES"/>
        </w:rPr>
        <w:t>se</w:t>
      </w:r>
      <w:r w:rsidR="00F50503" w:rsidRPr="002261B9">
        <w:rPr>
          <w:lang w:val="es-ES"/>
        </w:rPr>
        <w:t xml:space="preserve"> Taylor</w:t>
      </w:r>
      <w:r w:rsidR="004904E9" w:rsidRPr="002261B9">
        <w:rPr>
          <w:lang w:val="es-ES"/>
        </w:rPr>
        <w:t>,</w:t>
      </w:r>
      <w:r w:rsidR="007D0A73" w:rsidRPr="002261B9">
        <w:rPr>
          <w:lang w:val="es-ES"/>
        </w:rPr>
        <w:t xml:space="preserve"> 2</w:t>
      </w:r>
      <w:r w:rsidR="00F50503" w:rsidRPr="002261B9">
        <w:rPr>
          <w:lang w:val="es-ES"/>
        </w:rPr>
        <w:t>009</w:t>
      </w:r>
      <w:bookmarkStart w:id="24" w:name="_DV_C407"/>
      <w:r w:rsidR="004737FC" w:rsidRPr="002261B9">
        <w:rPr>
          <w:rStyle w:val="DeltaViewInsertion"/>
          <w:color w:val="auto"/>
          <w:u w:val="none"/>
          <w:lang w:val="es-ES"/>
        </w:rPr>
        <w:t xml:space="preserve">, Taylor y otros. </w:t>
      </w:r>
      <w:bookmarkEnd w:id="24"/>
      <w:r w:rsidR="004904E9" w:rsidRPr="002261B9">
        <w:rPr>
          <w:rStyle w:val="DeltaViewInsertion"/>
          <w:color w:val="auto"/>
          <w:u w:val="none"/>
          <w:lang w:val="es-ES"/>
        </w:rPr>
        <w:t>2014</w:t>
      </w:r>
      <w:r w:rsidR="004904E9" w:rsidRPr="002261B9">
        <w:rPr>
          <w:lang w:val="es-ES"/>
        </w:rPr>
        <w:t xml:space="preserve"> y</w:t>
      </w:r>
      <w:r w:rsidR="00F50503" w:rsidRPr="002261B9">
        <w:rPr>
          <w:lang w:val="es-ES"/>
        </w:rPr>
        <w:t xml:space="preserve"> Yamada </w:t>
      </w:r>
      <w:r w:rsidR="003134EC" w:rsidRPr="002261B9">
        <w:rPr>
          <w:lang w:val="es-ES"/>
        </w:rPr>
        <w:t>y otros</w:t>
      </w:r>
      <w:r w:rsidR="004904E9" w:rsidRPr="002261B9">
        <w:rPr>
          <w:lang w:val="es-ES"/>
        </w:rPr>
        <w:t>,</w:t>
      </w:r>
      <w:r w:rsidR="007D0A73" w:rsidRPr="002261B9">
        <w:rPr>
          <w:lang w:val="es-ES"/>
        </w:rPr>
        <w:t xml:space="preserve"> 2</w:t>
      </w:r>
      <w:r w:rsidR="00F50503" w:rsidRPr="002261B9">
        <w:rPr>
          <w:lang w:val="es-ES"/>
        </w:rPr>
        <w:t>005</w:t>
      </w:r>
      <w:r w:rsidR="00452DB2" w:rsidRPr="002261B9">
        <w:rPr>
          <w:lang w:val="es-ES"/>
        </w:rPr>
        <w:t>)</w:t>
      </w:r>
      <w:r w:rsidR="00F50503" w:rsidRPr="002261B9">
        <w:rPr>
          <w:lang w:val="es-ES"/>
        </w:rPr>
        <w:t xml:space="preserve">. </w:t>
      </w:r>
      <w:r w:rsidRPr="002261B9">
        <w:rPr>
          <w:lang w:val="es-ES"/>
        </w:rPr>
        <w:t xml:space="preserve">En estos momentos no está claro hasta qué punto se puede formar </w:t>
      </w:r>
      <w:r w:rsidR="00F50503" w:rsidRPr="002261B9">
        <w:rPr>
          <w:lang w:val="es-ES"/>
        </w:rPr>
        <w:t xml:space="preserve">PFOA </w:t>
      </w:r>
      <w:r w:rsidRPr="002261B9">
        <w:rPr>
          <w:lang w:val="es-ES"/>
        </w:rPr>
        <w:t>en los incineradores de desechos municipales donde</w:t>
      </w:r>
      <w:r w:rsidR="00F50503" w:rsidRPr="002261B9">
        <w:rPr>
          <w:lang w:val="es-ES"/>
        </w:rPr>
        <w:t xml:space="preserve"> </w:t>
      </w:r>
      <w:r w:rsidR="001C0845" w:rsidRPr="002261B9">
        <w:rPr>
          <w:lang w:val="es-ES"/>
        </w:rPr>
        <w:t>1</w:t>
      </w:r>
      <w:r w:rsidR="00F50503" w:rsidRPr="002261B9">
        <w:rPr>
          <w:lang w:val="es-ES"/>
        </w:rPr>
        <w:t xml:space="preserve">) </w:t>
      </w:r>
      <w:r w:rsidRPr="002261B9">
        <w:rPr>
          <w:lang w:val="es-ES"/>
        </w:rPr>
        <w:t xml:space="preserve">los gases de escape </w:t>
      </w:r>
      <w:r w:rsidR="003B740F" w:rsidRPr="002261B9">
        <w:rPr>
          <w:lang w:val="es-ES"/>
        </w:rPr>
        <w:t>pueden alcanzar temperaturas de </w:t>
      </w:r>
      <w:r w:rsidR="00BA56B3" w:rsidRPr="002261B9">
        <w:rPr>
          <w:lang w:val="es-ES"/>
        </w:rPr>
        <w:t>850</w:t>
      </w:r>
      <w:r w:rsidR="007712BB" w:rsidRPr="002261B9">
        <w:rPr>
          <w:lang w:val="es-ES"/>
        </w:rPr>
        <w:t>ºC</w:t>
      </w:r>
      <w:r w:rsidR="00F50503" w:rsidRPr="002261B9">
        <w:rPr>
          <w:lang w:val="es-ES"/>
        </w:rPr>
        <w:t xml:space="preserve"> o</w:t>
      </w:r>
      <w:r w:rsidRPr="002261B9">
        <w:rPr>
          <w:lang w:val="es-ES"/>
        </w:rPr>
        <w:t xml:space="preserve"> más, que pueden dar por resultado diferentes productos de la degradación</w:t>
      </w:r>
      <w:r w:rsidR="00F50503" w:rsidRPr="002261B9">
        <w:rPr>
          <w:lang w:val="es-ES"/>
        </w:rPr>
        <w:t xml:space="preserve"> (García </w:t>
      </w:r>
      <w:r w:rsidR="00051883" w:rsidRPr="002261B9">
        <w:rPr>
          <w:lang w:val="es-ES"/>
        </w:rPr>
        <w:t>y otros</w:t>
      </w:r>
      <w:r w:rsidR="004904E9" w:rsidRPr="002261B9">
        <w:rPr>
          <w:lang w:val="es-ES"/>
        </w:rPr>
        <w:t>,</w:t>
      </w:r>
      <w:r w:rsidR="008958ED" w:rsidRPr="002261B9">
        <w:rPr>
          <w:lang w:val="es-ES"/>
        </w:rPr>
        <w:t> </w:t>
      </w:r>
      <w:r w:rsidR="007D0A73" w:rsidRPr="002261B9">
        <w:rPr>
          <w:lang w:val="es-ES"/>
        </w:rPr>
        <w:t>2</w:t>
      </w:r>
      <w:r w:rsidR="00F50503" w:rsidRPr="002261B9">
        <w:rPr>
          <w:lang w:val="es-ES"/>
        </w:rPr>
        <w:t>007</w:t>
      </w:r>
      <w:r w:rsidR="00452DB2" w:rsidRPr="002261B9">
        <w:rPr>
          <w:lang w:val="es-ES"/>
        </w:rPr>
        <w:t>)</w:t>
      </w:r>
      <w:r w:rsidR="00F50503" w:rsidRPr="002261B9">
        <w:rPr>
          <w:lang w:val="es-ES"/>
        </w:rPr>
        <w:t xml:space="preserve">; </w:t>
      </w:r>
      <w:r w:rsidR="001C0845" w:rsidRPr="002261B9">
        <w:rPr>
          <w:lang w:val="es-ES"/>
        </w:rPr>
        <w:t>2</w:t>
      </w:r>
      <w:r w:rsidR="00F50503" w:rsidRPr="002261B9">
        <w:rPr>
          <w:lang w:val="es-ES"/>
        </w:rPr>
        <w:t xml:space="preserve">) </w:t>
      </w:r>
      <w:r w:rsidRPr="002261B9">
        <w:rPr>
          <w:lang w:val="es-ES"/>
        </w:rPr>
        <w:t>coexisten otras sustancias que pueden interferir con la termólisis de los</w:t>
      </w:r>
      <w:r w:rsidR="00F50503" w:rsidRPr="002261B9">
        <w:rPr>
          <w:lang w:val="es-ES"/>
        </w:rPr>
        <w:t xml:space="preserve"> </w:t>
      </w:r>
      <w:r w:rsidR="006333A5" w:rsidRPr="002261B9">
        <w:rPr>
          <w:lang w:val="es-ES"/>
        </w:rPr>
        <w:t>fluoropol</w:t>
      </w:r>
      <w:r w:rsidRPr="002261B9">
        <w:rPr>
          <w:lang w:val="es-ES"/>
        </w:rPr>
        <w:t>í</w:t>
      </w:r>
      <w:r w:rsidR="006333A5" w:rsidRPr="002261B9">
        <w:rPr>
          <w:lang w:val="es-ES"/>
        </w:rPr>
        <w:t>meros</w:t>
      </w:r>
      <w:r w:rsidR="00F50503" w:rsidRPr="002261B9">
        <w:rPr>
          <w:lang w:val="es-ES"/>
        </w:rPr>
        <w:t xml:space="preserve"> (</w:t>
      </w:r>
      <w:r w:rsidRPr="002261B9">
        <w:rPr>
          <w:lang w:val="es-ES"/>
        </w:rPr>
        <w:t xml:space="preserve">por ejemplo, en una atmósfera de hidrógeno o de cloro se inhibe la termólisis del </w:t>
      </w:r>
      <w:r w:rsidR="00F50503" w:rsidRPr="002261B9">
        <w:rPr>
          <w:lang w:val="es-ES"/>
        </w:rPr>
        <w:t xml:space="preserve">PTFE </w:t>
      </w:r>
      <w:r w:rsidR="00862864" w:rsidRPr="002261B9">
        <w:rPr>
          <w:lang w:val="es-ES"/>
        </w:rPr>
        <w:t xml:space="preserve">lo que no ocurre con </w:t>
      </w:r>
      <w:r w:rsidRPr="002261B9">
        <w:rPr>
          <w:lang w:val="es-ES"/>
        </w:rPr>
        <w:t>el vapor, el oxígeno o el dióxido de azufre</w:t>
      </w:r>
      <w:r w:rsidR="00F50503" w:rsidRPr="002261B9">
        <w:rPr>
          <w:lang w:val="es-ES"/>
        </w:rPr>
        <w:t xml:space="preserve">, </w:t>
      </w:r>
      <w:r w:rsidRPr="002261B9">
        <w:rPr>
          <w:lang w:val="es-ES"/>
        </w:rPr>
        <w:t>que aceleran la descomposición</w:t>
      </w:r>
      <w:r w:rsidR="00F50503" w:rsidRPr="002261B9">
        <w:rPr>
          <w:lang w:val="es-ES"/>
        </w:rPr>
        <w:t xml:space="preserve"> </w:t>
      </w:r>
      <w:r w:rsidRPr="002261B9">
        <w:rPr>
          <w:lang w:val="es-ES"/>
        </w:rPr>
        <w:t>(</w:t>
      </w:r>
      <w:r w:rsidR="00F50503" w:rsidRPr="002261B9">
        <w:rPr>
          <w:lang w:val="es-ES"/>
        </w:rPr>
        <w:t xml:space="preserve">Simon </w:t>
      </w:r>
      <w:r w:rsidRPr="002261B9">
        <w:rPr>
          <w:lang w:val="es-ES"/>
        </w:rPr>
        <w:t>y</w:t>
      </w:r>
      <w:r w:rsidR="00F50503" w:rsidRPr="002261B9">
        <w:rPr>
          <w:lang w:val="es-ES"/>
        </w:rPr>
        <w:t xml:space="preserve"> Kaminsky</w:t>
      </w:r>
      <w:r w:rsidR="004904E9" w:rsidRPr="002261B9">
        <w:rPr>
          <w:lang w:val="es-ES"/>
        </w:rPr>
        <w:t xml:space="preserve">, </w:t>
      </w:r>
      <w:r w:rsidR="00F50503" w:rsidRPr="002261B9">
        <w:rPr>
          <w:lang w:val="es-ES"/>
        </w:rPr>
        <w:t xml:space="preserve">1998; </w:t>
      </w:r>
      <w:r w:rsidRPr="002261B9">
        <w:rPr>
          <w:lang w:val="es-ES"/>
        </w:rPr>
        <w:t xml:space="preserve">y </w:t>
      </w:r>
      <w:r w:rsidR="001C0845" w:rsidRPr="002261B9">
        <w:rPr>
          <w:lang w:val="es-ES"/>
        </w:rPr>
        <w:t>3</w:t>
      </w:r>
      <w:r w:rsidR="00F50503" w:rsidRPr="002261B9">
        <w:rPr>
          <w:lang w:val="es-ES"/>
        </w:rPr>
        <w:t xml:space="preserve">) </w:t>
      </w:r>
      <w:r w:rsidRPr="002261B9">
        <w:rPr>
          <w:lang w:val="es-ES"/>
        </w:rPr>
        <w:t xml:space="preserve">se pueden instalar tecnologías como la inyección de carbón activado </w:t>
      </w:r>
      <w:r w:rsidR="00F50503" w:rsidRPr="002261B9">
        <w:rPr>
          <w:lang w:val="es-ES"/>
        </w:rPr>
        <w:t>(I</w:t>
      </w:r>
      <w:r w:rsidRPr="002261B9">
        <w:rPr>
          <w:lang w:val="es-ES"/>
        </w:rPr>
        <w:t>CA</w:t>
      </w:r>
      <w:r w:rsidR="00F50503" w:rsidRPr="002261B9">
        <w:rPr>
          <w:lang w:val="es-ES"/>
        </w:rPr>
        <w:t xml:space="preserve">) </w:t>
      </w:r>
      <w:r w:rsidRPr="002261B9">
        <w:rPr>
          <w:lang w:val="es-ES"/>
        </w:rPr>
        <w:t>combinada con la filtración de bolsas</w:t>
      </w:r>
      <w:r w:rsidR="00F50503" w:rsidRPr="002261B9">
        <w:rPr>
          <w:lang w:val="es-ES"/>
        </w:rPr>
        <w:t xml:space="preserve"> (F</w:t>
      </w:r>
      <w:r w:rsidRPr="002261B9">
        <w:rPr>
          <w:lang w:val="es-ES"/>
        </w:rPr>
        <w:t>B</w:t>
      </w:r>
      <w:r w:rsidR="00F50503" w:rsidRPr="002261B9">
        <w:rPr>
          <w:lang w:val="es-ES"/>
        </w:rPr>
        <w:t xml:space="preserve">) </w:t>
      </w:r>
      <w:r w:rsidRPr="002261B9">
        <w:rPr>
          <w:lang w:val="es-ES"/>
        </w:rPr>
        <w:t>para eliminar la</w:t>
      </w:r>
      <w:r w:rsidR="0084509A" w:rsidRPr="002261B9">
        <w:rPr>
          <w:lang w:val="es-ES"/>
        </w:rPr>
        <w:t xml:space="preserve"> dioxina o el mercurio, que también puede atrapar los </w:t>
      </w:r>
      <w:r w:rsidR="00F50503" w:rsidRPr="002261B9">
        <w:rPr>
          <w:lang w:val="es-ES"/>
        </w:rPr>
        <w:t>PFCA (</w:t>
      </w:r>
      <w:r w:rsidR="0084509A" w:rsidRPr="002261B9">
        <w:rPr>
          <w:lang w:val="es-ES"/>
        </w:rPr>
        <w:t>Comisión de la UE</w:t>
      </w:r>
      <w:r w:rsidR="004904E9" w:rsidRPr="002261B9">
        <w:rPr>
          <w:lang w:val="es-ES"/>
        </w:rPr>
        <w:t>,</w:t>
      </w:r>
      <w:r w:rsidR="007D0A73" w:rsidRPr="002261B9">
        <w:rPr>
          <w:lang w:val="es-ES"/>
        </w:rPr>
        <w:t xml:space="preserve"> 2</w:t>
      </w:r>
      <w:r w:rsidR="00F50503" w:rsidRPr="002261B9">
        <w:rPr>
          <w:lang w:val="es-ES"/>
        </w:rPr>
        <w:t>006</w:t>
      </w:r>
      <w:r w:rsidR="00452DB2" w:rsidRPr="002261B9">
        <w:rPr>
          <w:lang w:val="es-ES"/>
        </w:rPr>
        <w:t>)</w:t>
      </w:r>
      <w:r w:rsidR="00F50503" w:rsidRPr="002261B9">
        <w:rPr>
          <w:lang w:val="es-ES"/>
        </w:rPr>
        <w:t xml:space="preserve">. </w:t>
      </w:r>
      <w:r w:rsidR="0084509A" w:rsidRPr="002261B9">
        <w:rPr>
          <w:lang w:val="es-ES"/>
        </w:rPr>
        <w:t xml:space="preserve">En un reciente estudio se encontró </w:t>
      </w:r>
      <w:r w:rsidR="00F50503" w:rsidRPr="002261B9">
        <w:rPr>
          <w:lang w:val="es-ES"/>
        </w:rPr>
        <w:t xml:space="preserve">PFOA </w:t>
      </w:r>
      <w:r w:rsidR="0084509A" w:rsidRPr="002261B9">
        <w:rPr>
          <w:lang w:val="es-ES"/>
        </w:rPr>
        <w:t xml:space="preserve">en los gases de escape del incinerador de </w:t>
      </w:r>
      <w:r w:rsidR="00F50503" w:rsidRPr="002261B9">
        <w:rPr>
          <w:lang w:val="es-ES"/>
        </w:rPr>
        <w:t>Harlingen</w:t>
      </w:r>
      <w:r w:rsidR="0084509A" w:rsidRPr="002261B9">
        <w:rPr>
          <w:lang w:val="es-ES"/>
        </w:rPr>
        <w:t xml:space="preserve"> (Países Bajos)</w:t>
      </w:r>
      <w:r w:rsidR="00F50503" w:rsidRPr="002261B9">
        <w:rPr>
          <w:lang w:val="es-ES"/>
        </w:rPr>
        <w:t>.</w:t>
      </w:r>
      <w:r w:rsidR="004737FC" w:rsidRPr="002261B9">
        <w:rPr>
          <w:lang w:val="es-ES"/>
        </w:rPr>
        <w:t xml:space="preserve"> Sin embargo, Taylor y otros, 2014, llegaron a la conclusión de que la incineración de desechos de polímeros a base de fluorotelómeros no llevaba a la formación de niveles detectables de PFOA en condiciones representativas de instalaciones municipales de incineración de desechos en los Estados Unidos.</w:t>
      </w:r>
    </w:p>
    <w:p w14:paraId="56CBD351" w14:textId="6CBEB945" w:rsidR="0049315A" w:rsidRPr="002261B9" w:rsidRDefault="0084509A" w:rsidP="00F45508">
      <w:pPr>
        <w:pStyle w:val="Paralevel1"/>
        <w:numPr>
          <w:ilvl w:val="0"/>
          <w:numId w:val="23"/>
        </w:numPr>
        <w:tabs>
          <w:tab w:val="clear" w:pos="0"/>
        </w:tabs>
        <w:ind w:left="1247" w:firstLine="0"/>
        <w:rPr>
          <w:lang w:val="es-ES"/>
        </w:rPr>
      </w:pPr>
      <w:r w:rsidRPr="002261B9">
        <w:rPr>
          <w:lang w:val="es-ES"/>
        </w:rPr>
        <w:t xml:space="preserve">El </w:t>
      </w:r>
      <w:r w:rsidR="00953486" w:rsidRPr="002261B9">
        <w:rPr>
          <w:lang w:val="es-ES"/>
        </w:rPr>
        <w:t>PFOA o</w:t>
      </w:r>
      <w:r w:rsidRPr="002261B9">
        <w:rPr>
          <w:lang w:val="es-ES"/>
        </w:rPr>
        <w:t xml:space="preserve"> sus sales se pueden extraer de los efluentes gaseosos depurándolos con soluciones acuosas de </w:t>
      </w:r>
      <w:r w:rsidR="00953486" w:rsidRPr="002261B9">
        <w:rPr>
          <w:lang w:val="es-ES"/>
        </w:rPr>
        <w:t xml:space="preserve">NaOH (Sulzbach </w:t>
      </w:r>
      <w:r w:rsidR="003134EC" w:rsidRPr="002261B9">
        <w:rPr>
          <w:lang w:val="es-ES"/>
        </w:rPr>
        <w:t>y otros</w:t>
      </w:r>
      <w:r w:rsidR="00252899" w:rsidRPr="002261B9">
        <w:rPr>
          <w:lang w:val="es-ES"/>
        </w:rPr>
        <w:t>,</w:t>
      </w:r>
      <w:r w:rsidR="00953486" w:rsidRPr="002261B9">
        <w:rPr>
          <w:lang w:val="es-ES"/>
        </w:rPr>
        <w:t xml:space="preserve"> 1999) </w:t>
      </w:r>
      <w:r w:rsidRPr="002261B9">
        <w:rPr>
          <w:lang w:val="es-ES"/>
        </w:rPr>
        <w:t xml:space="preserve">y </w:t>
      </w:r>
      <w:r w:rsidR="00953486" w:rsidRPr="002261B9">
        <w:rPr>
          <w:lang w:val="es-ES"/>
        </w:rPr>
        <w:t>K</w:t>
      </w:r>
      <w:r w:rsidR="00953486" w:rsidRPr="002261B9">
        <w:rPr>
          <w:vertAlign w:val="subscript"/>
          <w:lang w:val="es-ES"/>
        </w:rPr>
        <w:t>2</w:t>
      </w:r>
      <w:r w:rsidR="00953486" w:rsidRPr="002261B9">
        <w:rPr>
          <w:lang w:val="es-ES"/>
        </w:rPr>
        <w:t>CO</w:t>
      </w:r>
      <w:r w:rsidR="00953486" w:rsidRPr="002261B9">
        <w:rPr>
          <w:vertAlign w:val="subscript"/>
          <w:lang w:val="es-ES"/>
        </w:rPr>
        <w:t>3</w:t>
      </w:r>
      <w:r w:rsidR="00953486" w:rsidRPr="002261B9">
        <w:rPr>
          <w:lang w:val="es-ES"/>
        </w:rPr>
        <w:t xml:space="preserve"> (Sulzbach </w:t>
      </w:r>
      <w:r w:rsidR="00051883" w:rsidRPr="002261B9">
        <w:rPr>
          <w:lang w:val="es-ES"/>
        </w:rPr>
        <w:t>y otros</w:t>
      </w:r>
      <w:r w:rsidR="00252899" w:rsidRPr="002261B9">
        <w:rPr>
          <w:lang w:val="es-ES"/>
        </w:rPr>
        <w:t>,</w:t>
      </w:r>
      <w:r w:rsidR="00051883" w:rsidRPr="002261B9">
        <w:rPr>
          <w:lang w:val="es-ES"/>
        </w:rPr>
        <w:t xml:space="preserve"> </w:t>
      </w:r>
      <w:r w:rsidR="00953486" w:rsidRPr="002261B9">
        <w:rPr>
          <w:lang w:val="es-ES"/>
        </w:rPr>
        <w:t>2001)</w:t>
      </w:r>
      <w:r w:rsidR="00252899" w:rsidRPr="002261B9">
        <w:rPr>
          <w:lang w:val="es-ES"/>
        </w:rPr>
        <w:t xml:space="preserve"> y otros métodos de tratamiento</w:t>
      </w:r>
      <w:r w:rsidR="00953486" w:rsidRPr="002261B9">
        <w:rPr>
          <w:lang w:val="es-ES"/>
        </w:rPr>
        <w:t xml:space="preserve">. </w:t>
      </w:r>
    </w:p>
    <w:p w14:paraId="6476A83C" w14:textId="77777777" w:rsidR="00953486" w:rsidRPr="002261B9" w:rsidRDefault="0084509A" w:rsidP="00F45508">
      <w:pPr>
        <w:pStyle w:val="Paralevel1"/>
        <w:numPr>
          <w:ilvl w:val="0"/>
          <w:numId w:val="23"/>
        </w:numPr>
        <w:tabs>
          <w:tab w:val="clear" w:pos="0"/>
        </w:tabs>
        <w:ind w:left="1247" w:firstLine="0"/>
        <w:rPr>
          <w:lang w:val="es-ES"/>
        </w:rPr>
      </w:pPr>
      <w:r w:rsidRPr="002261B9">
        <w:rPr>
          <w:lang w:val="es-ES"/>
        </w:rPr>
        <w:t>Pese a que la incineración controlada y la depuración de efluentes gaseosos se puede utilizar en los países en desarrollo, posiblemente no sea la opción más eficaz en función de los costos ni más accesible en todos los países</w:t>
      </w:r>
      <w:r w:rsidR="00953486" w:rsidRPr="002261B9">
        <w:rPr>
          <w:lang w:val="es-ES"/>
        </w:rPr>
        <w:t xml:space="preserve">. </w:t>
      </w:r>
    </w:p>
    <w:p w14:paraId="3720EF86" w14:textId="6BD66AD9" w:rsidR="00526EDE" w:rsidRPr="002261B9" w:rsidRDefault="00F509AB" w:rsidP="00F45508">
      <w:pPr>
        <w:pStyle w:val="Paralevel1"/>
        <w:numPr>
          <w:ilvl w:val="0"/>
          <w:numId w:val="23"/>
        </w:numPr>
        <w:tabs>
          <w:tab w:val="clear" w:pos="0"/>
        </w:tabs>
        <w:ind w:left="1247" w:firstLine="0"/>
        <w:rPr>
          <w:lang w:val="es-ES"/>
        </w:rPr>
      </w:pPr>
      <w:r w:rsidRPr="002261B9">
        <w:rPr>
          <w:lang w:val="es-ES"/>
        </w:rPr>
        <w:t>En el caso del PFOA formado como subproducto en los procesos de incineración, existe una relación con las liberaciones no intencionales de dibenzo-</w:t>
      </w:r>
      <w:r w:rsidRPr="002261B9">
        <w:rPr>
          <w:i/>
          <w:lang w:val="es-ES"/>
        </w:rPr>
        <w:t>p</w:t>
      </w:r>
      <w:r w:rsidRPr="002261B9">
        <w:rPr>
          <w:lang w:val="es-ES"/>
        </w:rPr>
        <w:t xml:space="preserve">-dioxinas policloradas y dibenzofuranos policlorados (PCDD/PCDF) y otros </w:t>
      </w:r>
      <w:r w:rsidR="00252899" w:rsidRPr="002261B9">
        <w:rPr>
          <w:lang w:val="es-ES"/>
        </w:rPr>
        <w:t>contaminantes orgánicos persistentes (</w:t>
      </w:r>
      <w:r w:rsidRPr="002261B9">
        <w:rPr>
          <w:lang w:val="es-ES"/>
        </w:rPr>
        <w:t>COP</w:t>
      </w:r>
      <w:r w:rsidR="00252899" w:rsidRPr="002261B9">
        <w:rPr>
          <w:lang w:val="es-ES"/>
        </w:rPr>
        <w:t>)</w:t>
      </w:r>
      <w:r w:rsidRPr="002261B9">
        <w:rPr>
          <w:lang w:val="es-ES"/>
        </w:rPr>
        <w:t xml:space="preserve">, formadas por la combustión. Las mejores técnicas disponibles y las mejores prácticas ambientales aplicables a los COP de producción no intencional por diversos tipos de incineradores y otras fuentes térmicas se describen en las Directrices del </w:t>
      </w:r>
      <w:r w:rsidR="00252899" w:rsidRPr="002261B9">
        <w:rPr>
          <w:lang w:val="es-ES"/>
        </w:rPr>
        <w:t>Convenio de Estocolmo</w:t>
      </w:r>
      <w:r w:rsidRPr="002261B9">
        <w:rPr>
          <w:lang w:val="es-ES"/>
        </w:rPr>
        <w:t xml:space="preserve"> sobre las mejores técnicas disponibles y las mejores prácticas ambientales, elaboradas de conformidad con el artículo 5 y las secciones V.A, VI.A y VI.C del anexo C, que incluyen la creación de condiciones apropiadas para la incineración, la reducción de la quema al aire libre y el tratamiento de los gases de escape</w:t>
      </w:r>
      <w:r w:rsidR="00526EDE" w:rsidRPr="002261B9">
        <w:rPr>
          <w:lang w:val="es-ES"/>
        </w:rPr>
        <w:t xml:space="preserve">. </w:t>
      </w:r>
      <w:r w:rsidR="0047068F" w:rsidRPr="002261B9">
        <w:rPr>
          <w:lang w:val="es-ES"/>
        </w:rPr>
        <w:t>En el caso de otras sustancias de producción no intencional, como el hexaclorobenceno (HCB), el pentaclorobenceno (PeCB), los bifenilos policlorados (PCB) y los PCDD/PCDF, se están aplicando las mejores técnicas disponibles y las mejores prácticas ambientales descritas en esos documentos pertinentes, que se aplicarán también, en cierta medida al PFOA</w:t>
      </w:r>
      <w:r w:rsidR="00526EDE" w:rsidRPr="002261B9">
        <w:rPr>
          <w:lang w:val="es-ES"/>
        </w:rPr>
        <w:t xml:space="preserve">. </w:t>
      </w:r>
      <w:r w:rsidR="0047068F" w:rsidRPr="002261B9">
        <w:rPr>
          <w:lang w:val="es-ES"/>
        </w:rPr>
        <w:t>Dicho de otro modo</w:t>
      </w:r>
      <w:r w:rsidR="00E74A03" w:rsidRPr="002261B9">
        <w:rPr>
          <w:lang w:val="es-ES"/>
        </w:rPr>
        <w:t>: ya son necesarias</w:t>
      </w:r>
      <w:r w:rsidR="0047068F" w:rsidRPr="002261B9">
        <w:rPr>
          <w:lang w:val="es-ES"/>
        </w:rPr>
        <w:t>, hasta cierto punto, medidas técnicas para reducir al mínimo las liberaciones de PFOA de producción no intencional resultantes de la incineración, conforme a las mejores técnicas disponibles y las mejores prácticas ambientales aplicables a los procesos de incineración</w:t>
      </w:r>
      <w:r w:rsidR="00526EDE" w:rsidRPr="002261B9">
        <w:rPr>
          <w:lang w:val="es-ES"/>
        </w:rPr>
        <w:t xml:space="preserve">. </w:t>
      </w:r>
      <w:r w:rsidR="0047068F" w:rsidRPr="002261B9">
        <w:rPr>
          <w:lang w:val="es-ES"/>
        </w:rPr>
        <w:t>Por consiguiente, se consideran bajos los costos adicionales que entraña la aplicación de medidas para la reducción de las liberaciones de PFOA y las actividades de cumplimiento y supervisión, en vista de que ya se están aplicando las medidas de control aprobadas para otros COP de producción no intencional</w:t>
      </w:r>
      <w:r w:rsidR="00526EDE" w:rsidRPr="002261B9">
        <w:rPr>
          <w:lang w:val="es-ES"/>
        </w:rPr>
        <w:t>.</w:t>
      </w:r>
    </w:p>
    <w:p w14:paraId="3C1E5799" w14:textId="77777777" w:rsidR="001E397C" w:rsidRDefault="001E397C">
      <w:pPr>
        <w:rPr>
          <w:rFonts w:eastAsia="Times New Roman"/>
          <w:sz w:val="20"/>
          <w:szCs w:val="20"/>
          <w:lang w:val="es-ES" w:eastAsia="en-US"/>
        </w:rPr>
      </w:pPr>
      <w:r>
        <w:rPr>
          <w:lang w:val="es-ES"/>
        </w:rPr>
        <w:br w:type="page"/>
      </w:r>
    </w:p>
    <w:p w14:paraId="0591A679" w14:textId="73526CA1" w:rsidR="00526EDE" w:rsidRPr="002261B9" w:rsidRDefault="00D32F58" w:rsidP="00F45508">
      <w:pPr>
        <w:pStyle w:val="Paralevel1"/>
        <w:numPr>
          <w:ilvl w:val="0"/>
          <w:numId w:val="23"/>
        </w:numPr>
        <w:tabs>
          <w:tab w:val="clear" w:pos="0"/>
        </w:tabs>
        <w:ind w:left="1247" w:firstLine="0"/>
        <w:rPr>
          <w:lang w:val="es-ES"/>
        </w:rPr>
      </w:pPr>
      <w:r w:rsidRPr="002261B9">
        <w:rPr>
          <w:lang w:val="es-ES"/>
        </w:rPr>
        <w:lastRenderedPageBreak/>
        <w:t xml:space="preserve">La monitorización del </w:t>
      </w:r>
      <w:r w:rsidR="00526EDE" w:rsidRPr="002261B9">
        <w:rPr>
          <w:lang w:val="es-ES"/>
        </w:rPr>
        <w:t xml:space="preserve">PFOA, </w:t>
      </w:r>
      <w:r w:rsidRPr="002261B9">
        <w:rPr>
          <w:lang w:val="es-ES"/>
        </w:rPr>
        <w:t>específicamente a los efectos del análisis químico</w:t>
      </w:r>
      <w:r w:rsidR="00526EDE" w:rsidRPr="002261B9">
        <w:rPr>
          <w:lang w:val="es-ES"/>
        </w:rPr>
        <w:t xml:space="preserve">, </w:t>
      </w:r>
      <w:r w:rsidRPr="002261B9">
        <w:rPr>
          <w:lang w:val="es-ES"/>
        </w:rPr>
        <w:t>traerá consigo costos adicionales</w:t>
      </w:r>
      <w:r w:rsidR="00526EDE" w:rsidRPr="002261B9">
        <w:rPr>
          <w:lang w:val="es-ES"/>
        </w:rPr>
        <w:t xml:space="preserve">, </w:t>
      </w:r>
      <w:r w:rsidRPr="002261B9">
        <w:rPr>
          <w:lang w:val="es-ES"/>
        </w:rPr>
        <w:t>aunque ya se hayan establecido programas de monitorización de otros contaminantes orgánicos persistentes</w:t>
      </w:r>
      <w:r w:rsidR="00526EDE" w:rsidRPr="002261B9">
        <w:rPr>
          <w:lang w:val="es-ES"/>
        </w:rPr>
        <w:t xml:space="preserve"> (</w:t>
      </w:r>
      <w:r w:rsidRPr="002261B9">
        <w:rPr>
          <w:lang w:val="es-ES"/>
        </w:rPr>
        <w:t xml:space="preserve">por ejemplo, </w:t>
      </w:r>
      <w:r w:rsidR="00526EDE" w:rsidRPr="002261B9">
        <w:rPr>
          <w:lang w:val="es-ES"/>
        </w:rPr>
        <w:t xml:space="preserve">PCDD/PCDF, HCB </w:t>
      </w:r>
      <w:r w:rsidRPr="002261B9">
        <w:rPr>
          <w:lang w:val="es-ES"/>
        </w:rPr>
        <w:t>y</w:t>
      </w:r>
      <w:r w:rsidR="00526EDE" w:rsidRPr="002261B9">
        <w:rPr>
          <w:lang w:val="es-ES"/>
        </w:rPr>
        <w:t xml:space="preserve"> PCB).</w:t>
      </w:r>
      <w:r w:rsidR="00284890" w:rsidRPr="002261B9">
        <w:rPr>
          <w:lang w:val="es-ES"/>
        </w:rPr>
        <w:t xml:space="preserve"> </w:t>
      </w:r>
      <w:r w:rsidRPr="002261B9">
        <w:rPr>
          <w:lang w:val="es-ES"/>
        </w:rPr>
        <w:t xml:space="preserve">Los países en desarrollo y los países con economías en transición necesitan contar con capacidad de monitorización del </w:t>
      </w:r>
      <w:r w:rsidR="00526EDE" w:rsidRPr="002261B9">
        <w:rPr>
          <w:lang w:val="es-ES"/>
        </w:rPr>
        <w:t>PFOA.</w:t>
      </w:r>
    </w:p>
    <w:p w14:paraId="3FAC2BAD" w14:textId="77777777" w:rsidR="004D5B0D" w:rsidRPr="002261B9" w:rsidRDefault="004D5B0D" w:rsidP="0086269E">
      <w:pPr>
        <w:tabs>
          <w:tab w:val="left" w:pos="624"/>
          <w:tab w:val="left" w:pos="1247"/>
          <w:tab w:val="left" w:pos="1440"/>
        </w:tabs>
        <w:spacing w:after="120"/>
        <w:ind w:left="1247"/>
        <w:rPr>
          <w:b/>
          <w:i/>
          <w:sz w:val="20"/>
          <w:lang w:val="es-ES"/>
        </w:rPr>
      </w:pPr>
      <w:r w:rsidRPr="002261B9">
        <w:rPr>
          <w:b/>
          <w:i/>
          <w:sz w:val="20"/>
          <w:lang w:val="es-ES"/>
        </w:rPr>
        <w:t>Ot</w:t>
      </w:r>
      <w:r w:rsidR="00D32F58" w:rsidRPr="002261B9">
        <w:rPr>
          <w:b/>
          <w:i/>
          <w:sz w:val="20"/>
          <w:lang w:val="es-ES"/>
        </w:rPr>
        <w:t xml:space="preserve">ras medidas de </w:t>
      </w:r>
      <w:r w:rsidRPr="002261B9">
        <w:rPr>
          <w:b/>
          <w:i/>
          <w:sz w:val="20"/>
          <w:lang w:val="es-ES"/>
        </w:rPr>
        <w:t>control</w:t>
      </w:r>
    </w:p>
    <w:p w14:paraId="4B145CC5" w14:textId="0182588C" w:rsidR="004D5B0D" w:rsidRPr="002261B9" w:rsidRDefault="00077D2F" w:rsidP="00F45508">
      <w:pPr>
        <w:pStyle w:val="Paralevel1"/>
        <w:numPr>
          <w:ilvl w:val="0"/>
          <w:numId w:val="23"/>
        </w:numPr>
        <w:tabs>
          <w:tab w:val="clear" w:pos="0"/>
        </w:tabs>
        <w:ind w:left="1247" w:firstLine="0"/>
        <w:rPr>
          <w:lang w:val="es-ES"/>
        </w:rPr>
      </w:pPr>
      <w:r w:rsidRPr="002261B9">
        <w:rPr>
          <w:lang w:val="es-ES"/>
        </w:rPr>
        <w:t xml:space="preserve">La </w:t>
      </w:r>
      <w:r w:rsidR="002560D0" w:rsidRPr="002261B9">
        <w:rPr>
          <w:lang w:val="es-ES"/>
        </w:rPr>
        <w:t>Agencia de Protección Ambiental de los Estados Unidos</w:t>
      </w:r>
      <w:r w:rsidRPr="002261B9">
        <w:rPr>
          <w:lang w:val="es-ES"/>
        </w:rPr>
        <w:t xml:space="preserve"> usa una combinación de procedimientos reglamentarios y voluntarios</w:t>
      </w:r>
      <w:r w:rsidR="004D5B0D" w:rsidRPr="002261B9">
        <w:rPr>
          <w:lang w:val="es-ES"/>
        </w:rPr>
        <w:t xml:space="preserve">, </w:t>
      </w:r>
      <w:r w:rsidRPr="002261B9">
        <w:rPr>
          <w:lang w:val="es-ES"/>
        </w:rPr>
        <w:t xml:space="preserve">entre ellos </w:t>
      </w:r>
      <w:r w:rsidR="00CB3CEE" w:rsidRPr="002261B9">
        <w:rPr>
          <w:lang w:val="es-ES"/>
        </w:rPr>
        <w:t xml:space="preserve">la aplicación voluntaria de la </w:t>
      </w:r>
      <w:r w:rsidR="0075751D" w:rsidRPr="002261B9">
        <w:rPr>
          <w:lang w:val="es-ES"/>
        </w:rPr>
        <w:t>Norma sobre nuevos usos importantes</w:t>
      </w:r>
      <w:r w:rsidRPr="002261B9">
        <w:rPr>
          <w:lang w:val="es-ES"/>
        </w:rPr>
        <w:t xml:space="preserve"> y </w:t>
      </w:r>
      <w:r w:rsidR="0075751D" w:rsidRPr="002261B9">
        <w:rPr>
          <w:lang w:val="es-ES"/>
        </w:rPr>
        <w:t>d</w:t>
      </w:r>
      <w:r w:rsidRPr="002261B9">
        <w:rPr>
          <w:lang w:val="es-ES"/>
        </w:rPr>
        <w:t xml:space="preserve">el </w:t>
      </w:r>
      <w:r w:rsidR="0075751D" w:rsidRPr="002261B9">
        <w:rPr>
          <w:lang w:val="es-ES"/>
        </w:rPr>
        <w:t>Programa de Gestión Administrativa</w:t>
      </w:r>
      <w:r w:rsidRPr="002261B9">
        <w:rPr>
          <w:lang w:val="es-ES"/>
        </w:rPr>
        <w:t xml:space="preserve"> </w:t>
      </w:r>
      <w:r w:rsidR="00CB3CEE" w:rsidRPr="002261B9">
        <w:rPr>
          <w:lang w:val="es-ES"/>
        </w:rPr>
        <w:t xml:space="preserve">en relación con el </w:t>
      </w:r>
      <w:r w:rsidR="004D5B0D" w:rsidRPr="002261B9">
        <w:rPr>
          <w:lang w:val="es-ES"/>
        </w:rPr>
        <w:t>PFOA (O</w:t>
      </w:r>
      <w:r w:rsidRPr="002261B9">
        <w:rPr>
          <w:lang w:val="es-ES"/>
        </w:rPr>
        <w:t>CD</w:t>
      </w:r>
      <w:r w:rsidR="004D5B0D" w:rsidRPr="002261B9">
        <w:rPr>
          <w:lang w:val="es-ES"/>
        </w:rPr>
        <w:t>E</w:t>
      </w:r>
      <w:r w:rsidR="004904E9" w:rsidRPr="002261B9">
        <w:rPr>
          <w:lang w:val="es-ES"/>
        </w:rPr>
        <w:t>,</w:t>
      </w:r>
      <w:r w:rsidR="0086269E" w:rsidRPr="002261B9">
        <w:rPr>
          <w:lang w:val="es-ES"/>
        </w:rPr>
        <w:t> </w:t>
      </w:r>
      <w:r w:rsidR="007D0A73" w:rsidRPr="002261B9">
        <w:rPr>
          <w:lang w:val="es-ES"/>
        </w:rPr>
        <w:t>2</w:t>
      </w:r>
      <w:r w:rsidR="004D5B0D" w:rsidRPr="002261B9">
        <w:rPr>
          <w:lang w:val="es-ES"/>
        </w:rPr>
        <w:t>015</w:t>
      </w:r>
      <w:r w:rsidR="00452DB2" w:rsidRPr="002261B9">
        <w:rPr>
          <w:lang w:val="es-ES"/>
        </w:rPr>
        <w:t>)</w:t>
      </w:r>
      <w:r w:rsidR="004D5B0D" w:rsidRPr="002261B9">
        <w:rPr>
          <w:lang w:val="es-ES"/>
        </w:rPr>
        <w:t xml:space="preserve">. </w:t>
      </w:r>
      <w:r w:rsidR="004904E9" w:rsidRPr="002261B9">
        <w:rPr>
          <w:lang w:val="es-ES"/>
        </w:rPr>
        <w:t xml:space="preserve">La </w:t>
      </w:r>
      <w:r w:rsidR="002560D0" w:rsidRPr="002261B9">
        <w:rPr>
          <w:lang w:val="es-ES"/>
        </w:rPr>
        <w:t>Agencia</w:t>
      </w:r>
      <w:r w:rsidR="00A7104E" w:rsidRPr="002261B9">
        <w:rPr>
          <w:lang w:val="es-ES"/>
        </w:rPr>
        <w:t xml:space="preserve"> ha</w:t>
      </w:r>
      <w:r w:rsidRPr="002261B9">
        <w:rPr>
          <w:lang w:val="es-ES"/>
        </w:rPr>
        <w:t xml:space="preserve"> establecido </w:t>
      </w:r>
      <w:r w:rsidR="0075751D" w:rsidRPr="002261B9">
        <w:rPr>
          <w:lang w:val="es-ES"/>
        </w:rPr>
        <w:t xml:space="preserve">en </w:t>
      </w:r>
      <w:r w:rsidR="00825A3C" w:rsidRPr="002261B9">
        <w:rPr>
          <w:lang w:val="es-ES"/>
        </w:rPr>
        <w:t xml:space="preserve">70 ppt </w:t>
      </w:r>
      <w:r w:rsidRPr="002261B9">
        <w:rPr>
          <w:lang w:val="es-ES"/>
        </w:rPr>
        <w:t xml:space="preserve">los niveles aconsejables de </w:t>
      </w:r>
      <w:r w:rsidR="00A7104E" w:rsidRPr="002261B9">
        <w:rPr>
          <w:lang w:val="es-ES"/>
        </w:rPr>
        <w:t xml:space="preserve">PFOA </w:t>
      </w:r>
      <w:r w:rsidRPr="002261B9">
        <w:rPr>
          <w:lang w:val="es-ES"/>
        </w:rPr>
        <w:t xml:space="preserve">y </w:t>
      </w:r>
      <w:r w:rsidR="00AA2D25" w:rsidRPr="002261B9">
        <w:rPr>
          <w:lang w:val="es-ES"/>
        </w:rPr>
        <w:t xml:space="preserve">PFOS </w:t>
      </w:r>
      <w:r w:rsidRPr="002261B9">
        <w:rPr>
          <w:lang w:val="es-ES"/>
        </w:rPr>
        <w:t>para</w:t>
      </w:r>
      <w:r w:rsidR="0086269E" w:rsidRPr="002261B9">
        <w:rPr>
          <w:lang w:val="es-ES"/>
        </w:rPr>
        <w:t> </w:t>
      </w:r>
      <w:r w:rsidRPr="002261B9">
        <w:rPr>
          <w:lang w:val="es-ES"/>
        </w:rPr>
        <w:t xml:space="preserve">la salud en el agua potable </w:t>
      </w:r>
      <w:r w:rsidR="00A7104E" w:rsidRPr="002261B9">
        <w:rPr>
          <w:lang w:val="es-ES"/>
        </w:rPr>
        <w:t>(FR 2016 05-25)</w:t>
      </w:r>
      <w:r w:rsidR="00AA2D25" w:rsidRPr="002261B9">
        <w:rPr>
          <w:lang w:val="es-ES"/>
        </w:rPr>
        <w:t>.</w:t>
      </w:r>
      <w:r w:rsidR="001F35B1" w:rsidRPr="002261B9">
        <w:rPr>
          <w:lang w:val="es-ES"/>
        </w:rPr>
        <w:t xml:space="preserve"> </w:t>
      </w:r>
      <w:r w:rsidR="00825A3C" w:rsidRPr="002261B9">
        <w:rPr>
          <w:lang w:val="es-ES"/>
        </w:rPr>
        <w:t xml:space="preserve">En el Estado de </w:t>
      </w:r>
      <w:r w:rsidR="001F35B1" w:rsidRPr="002261B9">
        <w:rPr>
          <w:lang w:val="es-ES"/>
        </w:rPr>
        <w:t>Vermont</w:t>
      </w:r>
      <w:r w:rsidR="00825A3C" w:rsidRPr="002261B9">
        <w:rPr>
          <w:lang w:val="es-ES"/>
        </w:rPr>
        <w:t xml:space="preserve"> (EE.UU.)</w:t>
      </w:r>
      <w:r w:rsidR="001F35B1" w:rsidRPr="002261B9">
        <w:rPr>
          <w:lang w:val="es-ES"/>
        </w:rPr>
        <w:t xml:space="preserve">, </w:t>
      </w:r>
      <w:r w:rsidR="00825A3C" w:rsidRPr="002261B9">
        <w:rPr>
          <w:lang w:val="es-ES"/>
        </w:rPr>
        <w:t xml:space="preserve">el nivel aconsejable de PFOA para la salud en el agua potable es de </w:t>
      </w:r>
      <w:r w:rsidR="001F35B1" w:rsidRPr="002261B9">
        <w:rPr>
          <w:lang w:val="es-ES"/>
        </w:rPr>
        <w:t>20 ppt</w:t>
      </w:r>
      <w:r w:rsidR="001F35B1" w:rsidRPr="002261B9">
        <w:rPr>
          <w:rStyle w:val="FootnoteReference"/>
          <w:lang w:val="es-ES"/>
        </w:rPr>
        <w:footnoteReference w:id="12"/>
      </w:r>
      <w:r w:rsidR="00825A3C" w:rsidRPr="002261B9">
        <w:rPr>
          <w:lang w:val="es-ES"/>
        </w:rPr>
        <w:t>.</w:t>
      </w:r>
      <w:r w:rsidR="001F35B1" w:rsidRPr="002261B9">
        <w:rPr>
          <w:lang w:val="es-ES"/>
        </w:rPr>
        <w:t xml:space="preserve"> </w:t>
      </w:r>
      <w:r w:rsidR="00825A3C" w:rsidRPr="002261B9">
        <w:rPr>
          <w:lang w:val="es-ES"/>
        </w:rPr>
        <w:t>En el Estado de Nueva Jersey</w:t>
      </w:r>
      <w:r w:rsidR="001F35B1" w:rsidRPr="002261B9">
        <w:rPr>
          <w:lang w:val="es-ES"/>
        </w:rPr>
        <w:t xml:space="preserve">, </w:t>
      </w:r>
      <w:r w:rsidR="00825A3C" w:rsidRPr="002261B9">
        <w:rPr>
          <w:lang w:val="es-ES"/>
        </w:rPr>
        <w:t>ese nivel es de</w:t>
      </w:r>
      <w:r w:rsidR="0086269E" w:rsidRPr="002261B9">
        <w:rPr>
          <w:lang w:val="es-ES"/>
        </w:rPr>
        <w:t> </w:t>
      </w:r>
      <w:r w:rsidR="001F35B1" w:rsidRPr="002261B9">
        <w:rPr>
          <w:lang w:val="es-ES"/>
        </w:rPr>
        <w:t>40</w:t>
      </w:r>
      <w:r w:rsidR="0086269E" w:rsidRPr="002261B9">
        <w:rPr>
          <w:lang w:val="es-ES"/>
        </w:rPr>
        <w:t> </w:t>
      </w:r>
      <w:r w:rsidR="001F35B1" w:rsidRPr="002261B9">
        <w:rPr>
          <w:lang w:val="es-ES"/>
        </w:rPr>
        <w:t>ppt</w:t>
      </w:r>
      <w:r w:rsidR="001F35B1" w:rsidRPr="002261B9">
        <w:rPr>
          <w:rStyle w:val="FootnoteReference"/>
          <w:lang w:val="es-ES"/>
        </w:rPr>
        <w:footnoteReference w:id="13"/>
      </w:r>
      <w:r w:rsidR="00825A3C" w:rsidRPr="002261B9">
        <w:rPr>
          <w:lang w:val="es-ES"/>
        </w:rPr>
        <w:t>.</w:t>
      </w:r>
      <w:r w:rsidR="00E1011E" w:rsidRPr="002261B9">
        <w:rPr>
          <w:lang w:val="es-ES"/>
        </w:rPr>
        <w:t xml:space="preserve"> </w:t>
      </w:r>
      <w:r w:rsidR="00825A3C" w:rsidRPr="002261B9">
        <w:rPr>
          <w:lang w:val="es-ES"/>
        </w:rPr>
        <w:t>En China se adoptaron diversas medidas para restringir la producción de</w:t>
      </w:r>
      <w:r w:rsidR="00812363" w:rsidRPr="002261B9">
        <w:rPr>
          <w:lang w:val="es-ES"/>
        </w:rPr>
        <w:t xml:space="preserve"> PFOA </w:t>
      </w:r>
      <w:r w:rsidR="00825A3C" w:rsidRPr="002261B9">
        <w:rPr>
          <w:lang w:val="es-ES"/>
        </w:rPr>
        <w:t>o productos que lo contengan y alentar la creación de alternativa</w:t>
      </w:r>
      <w:r w:rsidR="0075751D" w:rsidRPr="002261B9">
        <w:rPr>
          <w:lang w:val="es-ES"/>
        </w:rPr>
        <w:t>s</w:t>
      </w:r>
      <w:r w:rsidR="00825A3C" w:rsidRPr="002261B9">
        <w:rPr>
          <w:lang w:val="es-ES"/>
        </w:rPr>
        <w:t xml:space="preserve"> al</w:t>
      </w:r>
      <w:r w:rsidR="00812363" w:rsidRPr="002261B9">
        <w:rPr>
          <w:lang w:val="es-ES"/>
        </w:rPr>
        <w:t xml:space="preserve"> PFOA (</w:t>
      </w:r>
      <w:r w:rsidR="00F13B21" w:rsidRPr="002261B9">
        <w:rPr>
          <w:lang w:val="es-ES"/>
        </w:rPr>
        <w:t>véase</w:t>
      </w:r>
      <w:r w:rsidR="00812363" w:rsidRPr="002261B9">
        <w:rPr>
          <w:lang w:val="es-ES"/>
        </w:rPr>
        <w:t xml:space="preserve"> </w:t>
      </w:r>
      <w:r w:rsidR="00E74A03" w:rsidRPr="002261B9">
        <w:rPr>
          <w:lang w:val="es-ES"/>
        </w:rPr>
        <w:t>párr.</w:t>
      </w:r>
      <w:r w:rsidR="003D6107" w:rsidRPr="002261B9">
        <w:rPr>
          <w:lang w:val="es-ES"/>
        </w:rPr>
        <w:t xml:space="preserve"> </w:t>
      </w:r>
      <w:r w:rsidR="00252899" w:rsidRPr="002261B9">
        <w:rPr>
          <w:lang w:val="es-ES"/>
        </w:rPr>
        <w:t>37 g</w:t>
      </w:r>
      <w:r w:rsidR="00452DB2" w:rsidRPr="002261B9">
        <w:rPr>
          <w:lang w:val="es-ES"/>
        </w:rPr>
        <w:t>)</w:t>
      </w:r>
      <w:r w:rsidR="00F443BD" w:rsidRPr="002261B9">
        <w:rPr>
          <w:lang w:val="es-ES"/>
        </w:rPr>
        <w:t>)</w:t>
      </w:r>
      <w:r w:rsidR="00812363" w:rsidRPr="002261B9">
        <w:rPr>
          <w:lang w:val="es-ES"/>
        </w:rPr>
        <w:t>.</w:t>
      </w:r>
    </w:p>
    <w:p w14:paraId="6737D1FF" w14:textId="20927DFE" w:rsidR="004D5B0D" w:rsidRPr="002261B9" w:rsidRDefault="004D5B0D" w:rsidP="00F45508">
      <w:pPr>
        <w:pStyle w:val="Paralevel1"/>
        <w:numPr>
          <w:ilvl w:val="0"/>
          <w:numId w:val="23"/>
        </w:numPr>
        <w:tabs>
          <w:tab w:val="clear" w:pos="0"/>
        </w:tabs>
        <w:ind w:left="1247" w:firstLine="0"/>
        <w:rPr>
          <w:lang w:val="es-ES"/>
        </w:rPr>
      </w:pPr>
      <w:r w:rsidRPr="002261B9">
        <w:rPr>
          <w:lang w:val="es-ES"/>
        </w:rPr>
        <w:t xml:space="preserve">El </w:t>
      </w:r>
      <w:r w:rsidR="0075751D" w:rsidRPr="002261B9">
        <w:rPr>
          <w:lang w:val="es-ES"/>
        </w:rPr>
        <w:t>mecanismo establecido por</w:t>
      </w:r>
      <w:r w:rsidRPr="002261B9">
        <w:rPr>
          <w:lang w:val="es-ES"/>
        </w:rPr>
        <w:t xml:space="preserve"> Australia para reducir el riesgo es una combinación de medidas </w:t>
      </w:r>
      <w:r w:rsidR="0075751D" w:rsidRPr="002261B9">
        <w:rPr>
          <w:lang w:val="es-ES"/>
        </w:rPr>
        <w:t>reglamentarias y medidas de carácter voluntario</w:t>
      </w:r>
      <w:r w:rsidRPr="002261B9">
        <w:rPr>
          <w:lang w:val="es-ES"/>
        </w:rPr>
        <w:t xml:space="preserve">. </w:t>
      </w:r>
      <w:r w:rsidR="00D32F58" w:rsidRPr="002261B9">
        <w:rPr>
          <w:lang w:val="es-ES"/>
        </w:rPr>
        <w:t xml:space="preserve">El </w:t>
      </w:r>
      <w:r w:rsidR="0075751D" w:rsidRPr="002261B9">
        <w:rPr>
          <w:lang w:val="es-ES"/>
        </w:rPr>
        <w:t>mecanismo</w:t>
      </w:r>
      <w:r w:rsidR="00D32F58" w:rsidRPr="002261B9">
        <w:rPr>
          <w:lang w:val="es-ES"/>
        </w:rPr>
        <w:t xml:space="preserve"> reglamentario aplicado en relación con la Ley de Productos Químicos Industriales</w:t>
      </w:r>
      <w:r w:rsidRPr="002261B9">
        <w:rPr>
          <w:lang w:val="es-ES"/>
        </w:rPr>
        <w:t xml:space="preserve"> (Notifica</w:t>
      </w:r>
      <w:r w:rsidR="00D32F58" w:rsidRPr="002261B9">
        <w:rPr>
          <w:lang w:val="es-ES"/>
        </w:rPr>
        <w:t>ción y Evaluación</w:t>
      </w:r>
      <w:r w:rsidRPr="002261B9">
        <w:rPr>
          <w:lang w:val="es-ES"/>
        </w:rPr>
        <w:t xml:space="preserve">) </w:t>
      </w:r>
      <w:r w:rsidR="00D32F58" w:rsidRPr="002261B9">
        <w:rPr>
          <w:lang w:val="es-ES"/>
        </w:rPr>
        <w:t>de</w:t>
      </w:r>
      <w:r w:rsidRPr="002261B9">
        <w:rPr>
          <w:lang w:val="es-ES"/>
        </w:rPr>
        <w:t xml:space="preserve"> 1989 </w:t>
      </w:r>
      <w:r w:rsidR="00D32F58" w:rsidRPr="002261B9">
        <w:rPr>
          <w:lang w:val="es-ES"/>
        </w:rPr>
        <w:t xml:space="preserve">obliga a la industria a proporcionar datos sobre toxicidad en relación con las nuevas sustancias, en </w:t>
      </w:r>
      <w:r w:rsidR="0075751D" w:rsidRPr="002261B9">
        <w:rPr>
          <w:lang w:val="es-ES"/>
        </w:rPr>
        <w:t>particular,</w:t>
      </w:r>
      <w:r w:rsidR="00D32F58" w:rsidRPr="002261B9">
        <w:rPr>
          <w:lang w:val="es-ES"/>
        </w:rPr>
        <w:t xml:space="preserve"> los </w:t>
      </w:r>
      <w:r w:rsidRPr="002261B9">
        <w:rPr>
          <w:lang w:val="es-ES"/>
        </w:rPr>
        <w:t>PFAS</w:t>
      </w:r>
      <w:r w:rsidR="00D32F58" w:rsidRPr="002261B9">
        <w:rPr>
          <w:lang w:val="es-ES"/>
        </w:rPr>
        <w:t xml:space="preserve"> o los productos que contengan nuevos</w:t>
      </w:r>
      <w:r w:rsidRPr="002261B9">
        <w:rPr>
          <w:lang w:val="es-ES"/>
        </w:rPr>
        <w:t xml:space="preserve"> PFAS</w:t>
      </w:r>
      <w:r w:rsidR="00D32F58" w:rsidRPr="002261B9">
        <w:rPr>
          <w:lang w:val="es-ES"/>
        </w:rPr>
        <w:t xml:space="preserve">, que se introduzcan en </w:t>
      </w:r>
      <w:r w:rsidRPr="002261B9">
        <w:rPr>
          <w:lang w:val="es-ES"/>
        </w:rPr>
        <w:t xml:space="preserve">Australia. </w:t>
      </w:r>
      <w:r w:rsidR="00D32F58" w:rsidRPr="002261B9">
        <w:rPr>
          <w:lang w:val="es-ES"/>
        </w:rPr>
        <w:t>Además</w:t>
      </w:r>
      <w:r w:rsidRPr="002261B9">
        <w:rPr>
          <w:lang w:val="es-ES"/>
        </w:rPr>
        <w:t>, Australia ha</w:t>
      </w:r>
      <w:r w:rsidR="00932EF1" w:rsidRPr="002261B9">
        <w:rPr>
          <w:lang w:val="es-ES"/>
        </w:rPr>
        <w:t xml:space="preserve"> estado monitorizando la fabricación, la importación y el uso de los </w:t>
      </w:r>
      <w:r w:rsidRPr="002261B9">
        <w:rPr>
          <w:lang w:val="es-ES"/>
        </w:rPr>
        <w:t>PFAS (</w:t>
      </w:r>
      <w:r w:rsidR="00932EF1" w:rsidRPr="002261B9">
        <w:rPr>
          <w:lang w:val="es-ES"/>
        </w:rPr>
        <w:t xml:space="preserve">en particular las sustancias conexas del </w:t>
      </w:r>
      <w:r w:rsidRPr="002261B9">
        <w:rPr>
          <w:lang w:val="es-ES"/>
        </w:rPr>
        <w:t xml:space="preserve">PFOA) </w:t>
      </w:r>
      <w:r w:rsidR="00932EF1" w:rsidRPr="002261B9">
        <w:rPr>
          <w:lang w:val="es-ES"/>
        </w:rPr>
        <w:t>sobre la base de la información solicitada a la industria y</w:t>
      </w:r>
      <w:r w:rsidRPr="002261B9">
        <w:rPr>
          <w:lang w:val="es-ES"/>
        </w:rPr>
        <w:t xml:space="preserve"> </w:t>
      </w:r>
      <w:r w:rsidR="00932EF1" w:rsidRPr="002261B9">
        <w:rPr>
          <w:lang w:val="es-ES"/>
        </w:rPr>
        <w:t xml:space="preserve">sensibilizando a la industria y al público en general acerca del producto químico mediante la publicación de alertas sobre los PFAS de cadena larga desde </w:t>
      </w:r>
      <w:r w:rsidRPr="002261B9">
        <w:rPr>
          <w:lang w:val="es-ES"/>
        </w:rPr>
        <w:t xml:space="preserve">2002. </w:t>
      </w:r>
      <w:r w:rsidR="00932EF1" w:rsidRPr="002261B9">
        <w:rPr>
          <w:lang w:val="es-ES"/>
        </w:rPr>
        <w:t>Por otra parte, hace falta establecer requisitos sobre presentación de datos adicionales para los nuevos productos químicos perfluorados y polifluorados</w:t>
      </w:r>
      <w:r w:rsidRPr="002261B9">
        <w:rPr>
          <w:lang w:val="es-ES"/>
        </w:rPr>
        <w:t xml:space="preserve"> </w:t>
      </w:r>
      <w:r w:rsidR="00932EF1" w:rsidRPr="002261B9">
        <w:rPr>
          <w:lang w:val="es-ES"/>
        </w:rPr>
        <w:t xml:space="preserve">con miras a evaluarlos antes de su introducción en </w:t>
      </w:r>
      <w:r w:rsidRPr="002261B9">
        <w:rPr>
          <w:lang w:val="es-ES"/>
        </w:rPr>
        <w:t>Australia.</w:t>
      </w:r>
      <w:r w:rsidR="00C2049D" w:rsidRPr="002261B9">
        <w:rPr>
          <w:lang w:val="es-ES"/>
        </w:rPr>
        <w:t xml:space="preserve"> Se han </w:t>
      </w:r>
      <w:r w:rsidR="0075751D" w:rsidRPr="002261B9">
        <w:rPr>
          <w:lang w:val="es-ES"/>
        </w:rPr>
        <w:t>formulado</w:t>
      </w:r>
      <w:r w:rsidR="00C2049D" w:rsidRPr="002261B9">
        <w:rPr>
          <w:lang w:val="es-ES"/>
        </w:rPr>
        <w:t xml:space="preserve"> recomendaciones sobre la evaluación para los nuevos </w:t>
      </w:r>
      <w:r w:rsidRPr="002261B9">
        <w:rPr>
          <w:lang w:val="es-ES"/>
        </w:rPr>
        <w:t xml:space="preserve">PFAS </w:t>
      </w:r>
      <w:r w:rsidR="003B740F" w:rsidRPr="002261B9">
        <w:rPr>
          <w:lang w:val="es-ES"/>
        </w:rPr>
        <w:t>y se han reevaluado los </w:t>
      </w:r>
      <w:r w:rsidRPr="002261B9">
        <w:rPr>
          <w:lang w:val="es-ES"/>
        </w:rPr>
        <w:t>PFAS</w:t>
      </w:r>
      <w:r w:rsidR="00C2049D" w:rsidRPr="002261B9">
        <w:rPr>
          <w:lang w:val="es-ES"/>
        </w:rPr>
        <w:t xml:space="preserve"> existentes</w:t>
      </w:r>
      <w:r w:rsidRPr="002261B9">
        <w:rPr>
          <w:lang w:val="es-ES"/>
        </w:rPr>
        <w:t>.</w:t>
      </w:r>
      <w:r w:rsidR="0075751D" w:rsidRPr="002261B9">
        <w:rPr>
          <w:lang w:val="es-ES"/>
        </w:rPr>
        <w:t xml:space="preserve"> </w:t>
      </w:r>
      <w:r w:rsidR="00C2049D" w:rsidRPr="002261B9">
        <w:rPr>
          <w:lang w:val="es-ES"/>
        </w:rPr>
        <w:t>Se está gestionando la importación de nuevos productos químicos perfluorados con perfiles de riesgo mejorados, pero que no dejan de ser persistentes</w:t>
      </w:r>
      <w:r w:rsidRPr="002261B9">
        <w:rPr>
          <w:lang w:val="es-ES"/>
        </w:rPr>
        <w:t xml:space="preserve"> (Australia</w:t>
      </w:r>
      <w:r w:rsidR="004904E9" w:rsidRPr="002261B9">
        <w:rPr>
          <w:lang w:val="es-ES"/>
        </w:rPr>
        <w:t>,</w:t>
      </w:r>
      <w:r w:rsidR="006F57D4" w:rsidRPr="002261B9">
        <w:rPr>
          <w:lang w:val="es-ES"/>
        </w:rPr>
        <w:t xml:space="preserve"> 2</w:t>
      </w:r>
      <w:r w:rsidRPr="002261B9">
        <w:rPr>
          <w:lang w:val="es-ES"/>
        </w:rPr>
        <w:t>016</w:t>
      </w:r>
      <w:r w:rsidR="00C976F1" w:rsidRPr="002261B9">
        <w:rPr>
          <w:lang w:val="es-ES"/>
        </w:rPr>
        <w:t>)</w:t>
      </w:r>
      <w:r w:rsidRPr="002261B9">
        <w:rPr>
          <w:lang w:val="es-ES"/>
        </w:rPr>
        <w:t xml:space="preserve">). Australia </w:t>
      </w:r>
      <w:r w:rsidR="00C2049D" w:rsidRPr="002261B9">
        <w:rPr>
          <w:lang w:val="es-ES"/>
        </w:rPr>
        <w:t xml:space="preserve">también ha establecido </w:t>
      </w:r>
      <w:r w:rsidRPr="002261B9">
        <w:rPr>
          <w:lang w:val="es-ES"/>
        </w:rPr>
        <w:t xml:space="preserve">18 </w:t>
      </w:r>
      <w:r w:rsidR="00C2049D" w:rsidRPr="002261B9">
        <w:rPr>
          <w:lang w:val="es-ES"/>
        </w:rPr>
        <w:t xml:space="preserve">lugares de alta prioridad que requieren protección, donde las aguas subterráneas se han contaminado con </w:t>
      </w:r>
      <w:r w:rsidRPr="002261B9">
        <w:rPr>
          <w:lang w:val="es-ES"/>
        </w:rPr>
        <w:t>PFAS</w:t>
      </w:r>
      <w:r w:rsidR="00C2049D" w:rsidRPr="002261B9">
        <w:rPr>
          <w:lang w:val="es-ES"/>
        </w:rPr>
        <w:t xml:space="preserve">, en particular </w:t>
      </w:r>
      <w:r w:rsidRPr="002261B9">
        <w:rPr>
          <w:lang w:val="es-ES"/>
        </w:rPr>
        <w:t>PFOA (</w:t>
      </w:r>
      <w:r w:rsidR="00252899" w:rsidRPr="002261B9">
        <w:rPr>
          <w:lang w:val="es-ES"/>
        </w:rPr>
        <w:t>O</w:t>
      </w:r>
      <w:r w:rsidR="00C2049D" w:rsidRPr="002261B9">
        <w:rPr>
          <w:lang w:val="es-ES"/>
        </w:rPr>
        <w:t>bservaci</w:t>
      </w:r>
      <w:r w:rsidR="00252899" w:rsidRPr="002261B9">
        <w:rPr>
          <w:lang w:val="es-ES"/>
        </w:rPr>
        <w:t>ones de la Red de Eliminación de COP</w:t>
      </w:r>
      <w:r w:rsidR="00C2049D" w:rsidRPr="002261B9">
        <w:rPr>
          <w:lang w:val="es-ES"/>
        </w:rPr>
        <w:t xml:space="preserve"> sobre el primer borrador de la evaluación de la gestión de los riesgos</w:t>
      </w:r>
      <w:r w:rsidRPr="002261B9">
        <w:rPr>
          <w:lang w:val="es-ES"/>
        </w:rPr>
        <w:t xml:space="preserve">). </w:t>
      </w:r>
      <w:r w:rsidR="00C2049D" w:rsidRPr="002261B9">
        <w:rPr>
          <w:lang w:val="es-ES"/>
        </w:rPr>
        <w:t xml:space="preserve">En el caso del </w:t>
      </w:r>
      <w:r w:rsidRPr="002261B9">
        <w:rPr>
          <w:lang w:val="es-ES"/>
        </w:rPr>
        <w:t xml:space="preserve">PFOS, </w:t>
      </w:r>
      <w:r w:rsidR="00C2049D" w:rsidRPr="002261B9">
        <w:rPr>
          <w:lang w:val="es-ES"/>
        </w:rPr>
        <w:t xml:space="preserve">el </w:t>
      </w:r>
      <w:r w:rsidRPr="002261B9">
        <w:rPr>
          <w:lang w:val="es-ES"/>
        </w:rPr>
        <w:t xml:space="preserve">PFOA </w:t>
      </w:r>
      <w:r w:rsidR="00C2049D" w:rsidRPr="002261B9">
        <w:rPr>
          <w:lang w:val="es-ES"/>
        </w:rPr>
        <w:t>y el</w:t>
      </w:r>
      <w:r w:rsidRPr="002261B9">
        <w:rPr>
          <w:lang w:val="es-ES"/>
        </w:rPr>
        <w:t xml:space="preserve"> PFHxS, Australia ha</w:t>
      </w:r>
      <w:r w:rsidR="00C2049D" w:rsidRPr="002261B9">
        <w:rPr>
          <w:lang w:val="es-ES"/>
        </w:rPr>
        <w:t xml:space="preserve"> aplicado valores de orientación </w:t>
      </w:r>
      <w:r w:rsidR="005F0613" w:rsidRPr="002261B9">
        <w:rPr>
          <w:lang w:val="es-ES"/>
        </w:rPr>
        <w:t>cautelares</w:t>
      </w:r>
      <w:r w:rsidR="00176876" w:rsidRPr="002261B9">
        <w:rPr>
          <w:lang w:val="es-ES"/>
        </w:rPr>
        <w:t xml:space="preserve"> basados en la salud</w:t>
      </w:r>
      <w:r w:rsidRPr="002261B9">
        <w:rPr>
          <w:lang w:val="es-ES"/>
        </w:rPr>
        <w:t>, expres</w:t>
      </w:r>
      <w:r w:rsidR="00176876" w:rsidRPr="002261B9">
        <w:rPr>
          <w:lang w:val="es-ES"/>
        </w:rPr>
        <w:t xml:space="preserve">ados como ingesta diaria </w:t>
      </w:r>
      <w:r w:rsidRPr="002261B9">
        <w:rPr>
          <w:lang w:val="es-ES"/>
        </w:rPr>
        <w:t>tolerable (</w:t>
      </w:r>
      <w:r w:rsidR="00176876" w:rsidRPr="002261B9">
        <w:rPr>
          <w:lang w:val="es-ES"/>
        </w:rPr>
        <w:t>I</w:t>
      </w:r>
      <w:r w:rsidRPr="002261B9">
        <w:rPr>
          <w:lang w:val="es-ES"/>
        </w:rPr>
        <w:t>D</w:t>
      </w:r>
      <w:r w:rsidR="00176876" w:rsidRPr="002261B9">
        <w:rPr>
          <w:lang w:val="es-ES"/>
        </w:rPr>
        <w:t>T</w:t>
      </w:r>
      <w:r w:rsidRPr="002261B9">
        <w:rPr>
          <w:lang w:val="es-ES"/>
        </w:rPr>
        <w:t xml:space="preserve">), </w:t>
      </w:r>
      <w:r w:rsidR="00E6528A" w:rsidRPr="002261B9">
        <w:rPr>
          <w:lang w:val="es-ES"/>
        </w:rPr>
        <w:t xml:space="preserve">para </w:t>
      </w:r>
      <w:r w:rsidR="00176876" w:rsidRPr="002261B9">
        <w:rPr>
          <w:lang w:val="es-ES"/>
        </w:rPr>
        <w:t>que se us</w:t>
      </w:r>
      <w:r w:rsidR="00E6528A" w:rsidRPr="002261B9">
        <w:rPr>
          <w:lang w:val="es-ES"/>
        </w:rPr>
        <w:t>en</w:t>
      </w:r>
      <w:r w:rsidR="00176876" w:rsidRPr="002261B9">
        <w:rPr>
          <w:lang w:val="es-ES"/>
        </w:rPr>
        <w:t xml:space="preserve"> cuando se investig</w:t>
      </w:r>
      <w:r w:rsidR="00E6528A" w:rsidRPr="002261B9">
        <w:rPr>
          <w:lang w:val="es-ES"/>
        </w:rPr>
        <w:t>ue</w:t>
      </w:r>
      <w:r w:rsidR="00176876" w:rsidRPr="002261B9">
        <w:rPr>
          <w:lang w:val="es-ES"/>
        </w:rPr>
        <w:t>n sitios contaminados</w:t>
      </w:r>
      <w:r w:rsidR="00284890" w:rsidRPr="002261B9">
        <w:rPr>
          <w:lang w:val="es-ES"/>
        </w:rPr>
        <w:t xml:space="preserve"> </w:t>
      </w:r>
      <w:r w:rsidR="00176876" w:rsidRPr="002261B9">
        <w:rPr>
          <w:lang w:val="es-ES"/>
        </w:rPr>
        <w:t>y se llev</w:t>
      </w:r>
      <w:r w:rsidR="00E6528A" w:rsidRPr="002261B9">
        <w:rPr>
          <w:lang w:val="es-ES"/>
        </w:rPr>
        <w:t>e</w:t>
      </w:r>
      <w:r w:rsidR="00176876" w:rsidRPr="002261B9">
        <w:rPr>
          <w:lang w:val="es-ES"/>
        </w:rPr>
        <w:t xml:space="preserve">n a cabo determinaciones del riesgo para la salud humana </w:t>
      </w:r>
      <w:r w:rsidRPr="002261B9">
        <w:rPr>
          <w:lang w:val="es-ES"/>
        </w:rPr>
        <w:t>(</w:t>
      </w:r>
      <w:r w:rsidR="00176876" w:rsidRPr="002261B9">
        <w:rPr>
          <w:lang w:val="es-ES"/>
        </w:rPr>
        <w:t xml:space="preserve">Gobierno de </w:t>
      </w:r>
      <w:r w:rsidRPr="002261B9">
        <w:rPr>
          <w:lang w:val="es-ES"/>
        </w:rPr>
        <w:t>Australia</w:t>
      </w:r>
      <w:r w:rsidR="00252899" w:rsidRPr="002261B9">
        <w:rPr>
          <w:lang w:val="es-ES"/>
        </w:rPr>
        <w:t xml:space="preserve">, </w:t>
      </w:r>
      <w:r w:rsidRPr="002261B9">
        <w:rPr>
          <w:lang w:val="es-ES"/>
        </w:rPr>
        <w:t>201</w:t>
      </w:r>
      <w:r w:rsidR="00252899" w:rsidRPr="002261B9">
        <w:rPr>
          <w:lang w:val="es-ES"/>
        </w:rPr>
        <w:t>7</w:t>
      </w:r>
      <w:r w:rsidR="00452DB2" w:rsidRPr="002261B9">
        <w:rPr>
          <w:lang w:val="es-ES"/>
        </w:rPr>
        <w:t>)</w:t>
      </w:r>
      <w:r w:rsidRPr="002261B9">
        <w:rPr>
          <w:lang w:val="es-ES"/>
        </w:rPr>
        <w:t xml:space="preserve">. </w:t>
      </w:r>
      <w:r w:rsidR="00176876" w:rsidRPr="002261B9">
        <w:rPr>
          <w:lang w:val="es-ES"/>
        </w:rPr>
        <w:t>E</w:t>
      </w:r>
      <w:r w:rsidRPr="002261B9">
        <w:rPr>
          <w:lang w:val="es-ES"/>
        </w:rPr>
        <w:t xml:space="preserve">n Australia, </w:t>
      </w:r>
      <w:r w:rsidR="00176876" w:rsidRPr="002261B9">
        <w:rPr>
          <w:lang w:val="es-ES"/>
        </w:rPr>
        <w:t>la IDT de</w:t>
      </w:r>
      <w:r w:rsidR="00C131D4" w:rsidRPr="002261B9">
        <w:rPr>
          <w:lang w:val="es-ES"/>
        </w:rPr>
        <w:t>l</w:t>
      </w:r>
      <w:r w:rsidRPr="002261B9">
        <w:rPr>
          <w:lang w:val="es-ES"/>
        </w:rPr>
        <w:t xml:space="preserve"> PFOA </w:t>
      </w:r>
      <w:r w:rsidR="00176876" w:rsidRPr="002261B9">
        <w:rPr>
          <w:lang w:val="es-ES"/>
        </w:rPr>
        <w:t>e</w:t>
      </w:r>
      <w:r w:rsidRPr="002261B9">
        <w:rPr>
          <w:lang w:val="es-ES"/>
        </w:rPr>
        <w:t xml:space="preserve">s </w:t>
      </w:r>
      <w:r w:rsidR="00176876" w:rsidRPr="002261B9">
        <w:rPr>
          <w:lang w:val="es-ES"/>
        </w:rPr>
        <w:t xml:space="preserve">de </w:t>
      </w:r>
      <w:r w:rsidRPr="002261B9">
        <w:rPr>
          <w:lang w:val="es-ES"/>
        </w:rPr>
        <w:t>0</w:t>
      </w:r>
      <w:r w:rsidR="00176876" w:rsidRPr="002261B9">
        <w:rPr>
          <w:lang w:val="es-ES"/>
        </w:rPr>
        <w:t>,</w:t>
      </w:r>
      <w:r w:rsidRPr="002261B9">
        <w:rPr>
          <w:lang w:val="es-ES"/>
        </w:rPr>
        <w:t xml:space="preserve">16µg/kg </w:t>
      </w:r>
      <w:r w:rsidR="00176876" w:rsidRPr="002261B9">
        <w:rPr>
          <w:lang w:val="es-ES"/>
        </w:rPr>
        <w:t>de peso corporal</w:t>
      </w:r>
      <w:r w:rsidRPr="002261B9">
        <w:rPr>
          <w:lang w:val="es-ES"/>
        </w:rPr>
        <w:t>.</w:t>
      </w:r>
      <w:r w:rsidR="00176876" w:rsidRPr="002261B9">
        <w:rPr>
          <w:lang w:val="es-ES"/>
        </w:rPr>
        <w:t xml:space="preserve"> El </w:t>
      </w:r>
      <w:r w:rsidR="00252899" w:rsidRPr="002261B9">
        <w:rPr>
          <w:lang w:val="es-ES"/>
        </w:rPr>
        <w:t xml:space="preserve">valor de calidad </w:t>
      </w:r>
      <w:r w:rsidR="004904E9" w:rsidRPr="002261B9">
        <w:rPr>
          <w:lang w:val="es-ES"/>
        </w:rPr>
        <w:t>del agua</w:t>
      </w:r>
      <w:r w:rsidR="00176876" w:rsidRPr="002261B9">
        <w:rPr>
          <w:lang w:val="es-ES"/>
        </w:rPr>
        <w:t xml:space="preserve"> potable es de </w:t>
      </w:r>
      <w:r w:rsidRPr="002261B9">
        <w:rPr>
          <w:lang w:val="es-ES"/>
        </w:rPr>
        <w:t>0</w:t>
      </w:r>
      <w:r w:rsidR="00176876" w:rsidRPr="002261B9">
        <w:rPr>
          <w:lang w:val="es-ES"/>
        </w:rPr>
        <w:t>,</w:t>
      </w:r>
      <w:r w:rsidRPr="002261B9">
        <w:rPr>
          <w:lang w:val="es-ES"/>
        </w:rPr>
        <w:t>56µg/</w:t>
      </w:r>
      <w:r w:rsidR="00176876" w:rsidRPr="002261B9">
        <w:rPr>
          <w:lang w:val="es-ES"/>
        </w:rPr>
        <w:t>l</w:t>
      </w:r>
      <w:r w:rsidRPr="002261B9">
        <w:rPr>
          <w:lang w:val="es-ES"/>
        </w:rPr>
        <w:t xml:space="preserve"> </w:t>
      </w:r>
      <w:r w:rsidR="003B740F" w:rsidRPr="002261B9">
        <w:rPr>
          <w:lang w:val="es-ES"/>
        </w:rPr>
        <w:t>para el </w:t>
      </w:r>
      <w:r w:rsidRPr="002261B9">
        <w:rPr>
          <w:lang w:val="es-ES"/>
        </w:rPr>
        <w:t>PFOA (</w:t>
      </w:r>
      <w:r w:rsidR="00176876" w:rsidRPr="002261B9">
        <w:rPr>
          <w:lang w:val="es-ES"/>
        </w:rPr>
        <w:t>Departamento de Salud de Australia</w:t>
      </w:r>
      <w:r w:rsidR="00252899" w:rsidRPr="002261B9">
        <w:rPr>
          <w:lang w:val="es-ES"/>
        </w:rPr>
        <w:t>,</w:t>
      </w:r>
      <w:r w:rsidR="0086269E" w:rsidRPr="002261B9">
        <w:rPr>
          <w:lang w:val="es-ES"/>
        </w:rPr>
        <w:t xml:space="preserve"> </w:t>
      </w:r>
      <w:r w:rsidRPr="002261B9">
        <w:rPr>
          <w:lang w:val="es-ES"/>
        </w:rPr>
        <w:t>201</w:t>
      </w:r>
      <w:r w:rsidR="00252899" w:rsidRPr="002261B9">
        <w:rPr>
          <w:lang w:val="es-ES"/>
        </w:rPr>
        <w:t>7</w:t>
      </w:r>
      <w:r w:rsidR="00452DB2" w:rsidRPr="002261B9">
        <w:rPr>
          <w:lang w:val="es-ES"/>
        </w:rPr>
        <w:t>)</w:t>
      </w:r>
      <w:r w:rsidRPr="002261B9">
        <w:rPr>
          <w:lang w:val="es-ES"/>
        </w:rPr>
        <w:t xml:space="preserve">. </w:t>
      </w:r>
      <w:r w:rsidR="00176876" w:rsidRPr="002261B9">
        <w:rPr>
          <w:lang w:val="es-ES"/>
        </w:rPr>
        <w:t>En un informe reciente se describen las opciones de descontaminación</w:t>
      </w:r>
      <w:r w:rsidRPr="002261B9">
        <w:rPr>
          <w:lang w:val="es-ES"/>
        </w:rPr>
        <w:t xml:space="preserve"> </w:t>
      </w:r>
      <w:r w:rsidR="00176876" w:rsidRPr="002261B9">
        <w:rPr>
          <w:lang w:val="es-ES"/>
        </w:rPr>
        <w:t xml:space="preserve">en el caso del </w:t>
      </w:r>
      <w:r w:rsidRPr="002261B9">
        <w:rPr>
          <w:lang w:val="es-ES"/>
        </w:rPr>
        <w:t xml:space="preserve">PFOA </w:t>
      </w:r>
      <w:r w:rsidR="00176876" w:rsidRPr="002261B9">
        <w:rPr>
          <w:lang w:val="es-ES"/>
        </w:rPr>
        <w:t xml:space="preserve">y el </w:t>
      </w:r>
      <w:r w:rsidRPr="002261B9">
        <w:rPr>
          <w:lang w:val="es-ES"/>
        </w:rPr>
        <w:t>PFO</w:t>
      </w:r>
      <w:r w:rsidR="00176876" w:rsidRPr="002261B9">
        <w:rPr>
          <w:lang w:val="es-ES"/>
        </w:rPr>
        <w:t>S</w:t>
      </w:r>
      <w:r w:rsidRPr="002261B9">
        <w:rPr>
          <w:lang w:val="es-ES"/>
        </w:rPr>
        <w:t xml:space="preserve"> (CRCCARE</w:t>
      </w:r>
      <w:r w:rsidR="004904E9" w:rsidRPr="002261B9">
        <w:rPr>
          <w:lang w:val="es-ES"/>
        </w:rPr>
        <w:t>,</w:t>
      </w:r>
      <w:r w:rsidR="006F57D4" w:rsidRPr="002261B9">
        <w:rPr>
          <w:lang w:val="es-ES"/>
        </w:rPr>
        <w:t xml:space="preserve"> 2</w:t>
      </w:r>
      <w:r w:rsidRPr="002261B9">
        <w:rPr>
          <w:lang w:val="es-ES"/>
        </w:rPr>
        <w:t>017</w:t>
      </w:r>
      <w:r w:rsidR="00452DB2" w:rsidRPr="002261B9">
        <w:rPr>
          <w:lang w:val="es-ES"/>
        </w:rPr>
        <w:t>)</w:t>
      </w:r>
      <w:r w:rsidRPr="002261B9">
        <w:rPr>
          <w:lang w:val="es-ES"/>
        </w:rPr>
        <w:t>.</w:t>
      </w:r>
    </w:p>
    <w:p w14:paraId="63801B12" w14:textId="386E5EC8" w:rsidR="004D5B0D" w:rsidRPr="002261B9" w:rsidRDefault="004D5B0D" w:rsidP="00F45508">
      <w:pPr>
        <w:pStyle w:val="Paralevel1"/>
        <w:numPr>
          <w:ilvl w:val="0"/>
          <w:numId w:val="23"/>
        </w:numPr>
        <w:tabs>
          <w:tab w:val="clear" w:pos="0"/>
        </w:tabs>
        <w:ind w:left="1247" w:firstLine="0"/>
        <w:rPr>
          <w:lang w:val="es-ES"/>
        </w:rPr>
      </w:pPr>
      <w:r w:rsidRPr="002261B9">
        <w:rPr>
          <w:lang w:val="es-ES"/>
        </w:rPr>
        <w:t xml:space="preserve">La Comisión alemana para la </w:t>
      </w:r>
      <w:r w:rsidR="00932EF1" w:rsidRPr="002261B9">
        <w:rPr>
          <w:lang w:val="es-ES"/>
        </w:rPr>
        <w:t>monitorización biológica</w:t>
      </w:r>
      <w:r w:rsidRPr="002261B9">
        <w:rPr>
          <w:lang w:val="es-ES"/>
        </w:rPr>
        <w:t xml:space="preserve"> humana ha obtenido nuevos valores </w:t>
      </w:r>
      <w:r w:rsidR="00C131D4" w:rsidRPr="002261B9">
        <w:rPr>
          <w:lang w:val="es-ES"/>
        </w:rPr>
        <w:t>de HBM-I</w:t>
      </w:r>
      <w:r w:rsidR="004D691A" w:rsidRPr="002261B9">
        <w:rPr>
          <w:vertAlign w:val="superscript"/>
          <w:lang w:val="es-ES"/>
        </w:rPr>
        <w:footnoteReference w:id="14"/>
      </w:r>
      <w:r w:rsidR="00C131D4" w:rsidRPr="002261B9">
        <w:rPr>
          <w:lang w:val="es-ES"/>
        </w:rPr>
        <w:t xml:space="preserve"> para el PFOS y el PFOA.</w:t>
      </w:r>
      <w:r w:rsidRPr="002261B9">
        <w:rPr>
          <w:lang w:val="es-ES"/>
        </w:rPr>
        <w:t xml:space="preserve"> </w:t>
      </w:r>
      <w:r w:rsidR="00E6528A" w:rsidRPr="002261B9">
        <w:rPr>
          <w:lang w:val="es-ES"/>
        </w:rPr>
        <w:t xml:space="preserve">Basándose en </w:t>
      </w:r>
      <w:r w:rsidR="00932EF1" w:rsidRPr="002261B9">
        <w:rPr>
          <w:lang w:val="es-ES"/>
        </w:rPr>
        <w:t>una evaluación de publicaciones sobre estudios epidemiológicos de animales y seres humanos</w:t>
      </w:r>
      <w:r w:rsidR="00E6528A" w:rsidRPr="002261B9">
        <w:rPr>
          <w:lang w:val="es-ES"/>
        </w:rPr>
        <w:t xml:space="preserve">, </w:t>
      </w:r>
      <w:r w:rsidR="00932EF1" w:rsidRPr="002261B9">
        <w:rPr>
          <w:lang w:val="es-ES"/>
        </w:rPr>
        <w:t xml:space="preserve">que </w:t>
      </w:r>
      <w:r w:rsidR="00E6528A" w:rsidRPr="002261B9">
        <w:rPr>
          <w:lang w:val="es-ES"/>
        </w:rPr>
        <w:t xml:space="preserve">se </w:t>
      </w:r>
      <w:r w:rsidR="00932EF1" w:rsidRPr="002261B9">
        <w:rPr>
          <w:lang w:val="es-ES"/>
        </w:rPr>
        <w:t>examinó durante s</w:t>
      </w:r>
      <w:r w:rsidRPr="002261B9">
        <w:rPr>
          <w:lang w:val="es-ES"/>
        </w:rPr>
        <w:t>u</w:t>
      </w:r>
      <w:r w:rsidR="00932EF1" w:rsidRPr="002261B9">
        <w:rPr>
          <w:lang w:val="es-ES"/>
        </w:rPr>
        <w:t xml:space="preserve"> última reunión celebrada en mayo de </w:t>
      </w:r>
      <w:r w:rsidRPr="002261B9">
        <w:rPr>
          <w:lang w:val="es-ES"/>
        </w:rPr>
        <w:t xml:space="preserve">2016, </w:t>
      </w:r>
      <w:r w:rsidR="00932EF1" w:rsidRPr="002261B9">
        <w:rPr>
          <w:lang w:val="es-ES"/>
        </w:rPr>
        <w:t>y luego de dejar en claro abiertamente algunos detalles</w:t>
      </w:r>
      <w:r w:rsidRPr="002261B9">
        <w:rPr>
          <w:lang w:val="es-ES"/>
        </w:rPr>
        <w:t xml:space="preserve">, </w:t>
      </w:r>
      <w:r w:rsidR="00932EF1" w:rsidRPr="002261B9">
        <w:rPr>
          <w:lang w:val="es-ES"/>
        </w:rPr>
        <w:t xml:space="preserve">la Comisión sobre el </w:t>
      </w:r>
      <w:r w:rsidRPr="002261B9">
        <w:rPr>
          <w:lang w:val="es-ES"/>
        </w:rPr>
        <w:t>HBM decid</w:t>
      </w:r>
      <w:r w:rsidR="00932EF1" w:rsidRPr="002261B9">
        <w:rPr>
          <w:lang w:val="es-ES"/>
        </w:rPr>
        <w:t>ió establecer valores</w:t>
      </w:r>
      <w:r w:rsidRPr="002261B9">
        <w:rPr>
          <w:lang w:val="es-ES"/>
        </w:rPr>
        <w:t xml:space="preserve"> HBM I </w:t>
      </w:r>
      <w:r w:rsidR="00932EF1" w:rsidRPr="002261B9">
        <w:rPr>
          <w:lang w:val="es-ES"/>
        </w:rPr>
        <w:t xml:space="preserve">para el </w:t>
      </w:r>
      <w:r w:rsidRPr="002261B9">
        <w:rPr>
          <w:lang w:val="es-ES"/>
        </w:rPr>
        <w:t xml:space="preserve">PFOA </w:t>
      </w:r>
      <w:r w:rsidR="00932EF1" w:rsidRPr="002261B9">
        <w:rPr>
          <w:lang w:val="es-ES"/>
        </w:rPr>
        <w:t xml:space="preserve">y el </w:t>
      </w:r>
      <w:r w:rsidRPr="002261B9">
        <w:rPr>
          <w:lang w:val="es-ES"/>
        </w:rPr>
        <w:t xml:space="preserve">PFOS </w:t>
      </w:r>
      <w:r w:rsidR="00932EF1" w:rsidRPr="002261B9">
        <w:rPr>
          <w:lang w:val="es-ES"/>
        </w:rPr>
        <w:t>e</w:t>
      </w:r>
      <w:r w:rsidRPr="002261B9">
        <w:rPr>
          <w:lang w:val="es-ES"/>
        </w:rPr>
        <w:t xml:space="preserve">n </w:t>
      </w:r>
      <w:r w:rsidR="00932EF1" w:rsidRPr="002261B9">
        <w:rPr>
          <w:lang w:val="es-ES"/>
        </w:rPr>
        <w:t>el plasma sanguíneo de</w:t>
      </w:r>
      <w:r w:rsidRPr="002261B9">
        <w:rPr>
          <w:lang w:val="es-ES"/>
        </w:rPr>
        <w:t xml:space="preserve"> 2 ng </w:t>
      </w:r>
      <w:r w:rsidR="00932EF1" w:rsidRPr="002261B9">
        <w:rPr>
          <w:lang w:val="es-ES"/>
        </w:rPr>
        <w:t xml:space="preserve">de </w:t>
      </w:r>
      <w:r w:rsidRPr="002261B9">
        <w:rPr>
          <w:lang w:val="es-ES"/>
        </w:rPr>
        <w:t xml:space="preserve">PFOA/ml </w:t>
      </w:r>
      <w:r w:rsidR="00932EF1" w:rsidRPr="002261B9">
        <w:rPr>
          <w:lang w:val="es-ES"/>
        </w:rPr>
        <w:t>y</w:t>
      </w:r>
      <w:r w:rsidRPr="002261B9">
        <w:rPr>
          <w:lang w:val="es-ES"/>
        </w:rPr>
        <w:t xml:space="preserve"> 5 ng </w:t>
      </w:r>
      <w:r w:rsidR="00932EF1" w:rsidRPr="002261B9">
        <w:rPr>
          <w:lang w:val="es-ES"/>
        </w:rPr>
        <w:t xml:space="preserve">de </w:t>
      </w:r>
      <w:r w:rsidRPr="002261B9">
        <w:rPr>
          <w:lang w:val="es-ES"/>
        </w:rPr>
        <w:t>PFOS/ml (UBA</w:t>
      </w:r>
      <w:r w:rsidR="004904E9" w:rsidRPr="002261B9">
        <w:rPr>
          <w:lang w:val="es-ES"/>
        </w:rPr>
        <w:t>,</w:t>
      </w:r>
      <w:r w:rsidR="006F57D4" w:rsidRPr="002261B9">
        <w:rPr>
          <w:lang w:val="es-ES"/>
        </w:rPr>
        <w:t xml:space="preserve"> 2</w:t>
      </w:r>
      <w:r w:rsidRPr="002261B9">
        <w:rPr>
          <w:lang w:val="es-ES"/>
        </w:rPr>
        <w:t>016</w:t>
      </w:r>
      <w:r w:rsidR="00452DB2" w:rsidRPr="002261B9">
        <w:rPr>
          <w:lang w:val="es-ES"/>
        </w:rPr>
        <w:t>)</w:t>
      </w:r>
      <w:r w:rsidRPr="002261B9">
        <w:rPr>
          <w:lang w:val="es-ES"/>
        </w:rPr>
        <w:t xml:space="preserve">. </w:t>
      </w:r>
    </w:p>
    <w:p w14:paraId="449B6FE9" w14:textId="76D4B29A" w:rsidR="004D5B0D" w:rsidRPr="002261B9" w:rsidRDefault="004D5B0D" w:rsidP="00F45508">
      <w:pPr>
        <w:pStyle w:val="Paralevel1"/>
        <w:numPr>
          <w:ilvl w:val="0"/>
          <w:numId w:val="23"/>
        </w:numPr>
        <w:tabs>
          <w:tab w:val="clear" w:pos="0"/>
        </w:tabs>
        <w:ind w:left="1247" w:firstLine="0"/>
        <w:rPr>
          <w:lang w:val="es-ES"/>
        </w:rPr>
      </w:pPr>
      <w:r w:rsidRPr="002261B9">
        <w:rPr>
          <w:lang w:val="es-ES"/>
        </w:rPr>
        <w:t xml:space="preserve">En 2006, el Canadá emprendió el </w:t>
      </w:r>
      <w:r w:rsidR="00E1011E" w:rsidRPr="002261B9">
        <w:rPr>
          <w:lang w:val="es-ES"/>
        </w:rPr>
        <w:t>“</w:t>
      </w:r>
      <w:r w:rsidRPr="002261B9">
        <w:rPr>
          <w:lang w:val="es-ES"/>
        </w:rPr>
        <w:t xml:space="preserve">Plan de acción para la evaluación y la gestión de </w:t>
      </w:r>
      <w:r w:rsidR="00E6528A" w:rsidRPr="002261B9">
        <w:rPr>
          <w:lang w:val="es-ES"/>
        </w:rPr>
        <w:t xml:space="preserve">los </w:t>
      </w:r>
      <w:r w:rsidRPr="002261B9">
        <w:rPr>
          <w:lang w:val="es-ES"/>
        </w:rPr>
        <w:t>ácidos perfluorocarboxílicos y sus precursores</w:t>
      </w:r>
      <w:r w:rsidR="00E1011E" w:rsidRPr="002261B9">
        <w:rPr>
          <w:lang w:val="es-ES"/>
        </w:rPr>
        <w:t>”</w:t>
      </w:r>
      <w:r w:rsidRPr="002261B9">
        <w:rPr>
          <w:lang w:val="es-ES"/>
        </w:rPr>
        <w:t xml:space="preserve">. </w:t>
      </w:r>
      <w:r w:rsidR="00E10461" w:rsidRPr="002261B9">
        <w:rPr>
          <w:lang w:val="es-ES"/>
        </w:rPr>
        <w:t xml:space="preserve">Como resultado, el Canadá aplicó una combinación de medidas reglamentarias y de carácter voluntario para reducir el riesgo que plantea el PFOA y determinados PFAS de cadena larga. La </w:t>
      </w:r>
      <w:r w:rsidR="00C409B0" w:rsidRPr="002261B9">
        <w:rPr>
          <w:lang w:val="es-ES"/>
        </w:rPr>
        <w:t>primera medida aplicada en materia de</w:t>
      </w:r>
      <w:r w:rsidR="00912AF5" w:rsidRPr="002261B9">
        <w:rPr>
          <w:lang w:val="es-ES"/>
        </w:rPr>
        <w:t xml:space="preserve"> gestión de los </w:t>
      </w:r>
      <w:r w:rsidR="00C409B0" w:rsidRPr="002261B9">
        <w:rPr>
          <w:lang w:val="es-ES"/>
        </w:rPr>
        <w:t>riesgos previa</w:t>
      </w:r>
      <w:r w:rsidR="00912AF5" w:rsidRPr="002261B9">
        <w:rPr>
          <w:lang w:val="es-ES"/>
        </w:rPr>
        <w:t xml:space="preserve"> a la evaluación final de los </w:t>
      </w:r>
      <w:r w:rsidR="004904E9" w:rsidRPr="002261B9">
        <w:rPr>
          <w:lang w:val="es-ES"/>
        </w:rPr>
        <w:t>riesgos</w:t>
      </w:r>
      <w:r w:rsidR="00C409B0" w:rsidRPr="002261B9">
        <w:rPr>
          <w:lang w:val="es-ES"/>
        </w:rPr>
        <w:t xml:space="preserve"> fue</w:t>
      </w:r>
      <w:r w:rsidR="004904E9" w:rsidRPr="002261B9">
        <w:rPr>
          <w:lang w:val="es-ES"/>
        </w:rPr>
        <w:t xml:space="preserve"> un</w:t>
      </w:r>
      <w:r w:rsidRPr="002261B9">
        <w:rPr>
          <w:lang w:val="es-ES"/>
        </w:rPr>
        <w:t xml:space="preserve"> </w:t>
      </w:r>
      <w:r w:rsidR="00C409B0" w:rsidRPr="002261B9">
        <w:rPr>
          <w:lang w:val="es-ES"/>
        </w:rPr>
        <w:t>a</w:t>
      </w:r>
      <w:r w:rsidRPr="002261B9">
        <w:rPr>
          <w:lang w:val="es-ES"/>
        </w:rPr>
        <w:t>cuerdo de carácter voluntario con fabricantes de PF</w:t>
      </w:r>
      <w:r w:rsidR="00912AF5" w:rsidRPr="002261B9">
        <w:rPr>
          <w:lang w:val="es-ES"/>
        </w:rPr>
        <w:t>OA y LC-PF</w:t>
      </w:r>
      <w:r w:rsidRPr="002261B9">
        <w:rPr>
          <w:lang w:val="es-ES"/>
        </w:rPr>
        <w:t>CA</w:t>
      </w:r>
      <w:r w:rsidR="00C409B0" w:rsidRPr="002261B9">
        <w:rPr>
          <w:lang w:val="es-ES"/>
        </w:rPr>
        <w:t xml:space="preserve"> en relación con el desempeño ambiental</w:t>
      </w:r>
      <w:r w:rsidRPr="002261B9">
        <w:rPr>
          <w:lang w:val="es-ES"/>
        </w:rPr>
        <w:t>. Los signatarios del Acuerdo convinieron en reducir en un 95% la cantidad de PFOA y de PFCA (C</w:t>
      </w:r>
      <w:r w:rsidRPr="002261B9">
        <w:rPr>
          <w:vertAlign w:val="subscript"/>
          <w:lang w:val="es-ES"/>
        </w:rPr>
        <w:t>9</w:t>
      </w:r>
      <w:r w:rsidRPr="002261B9">
        <w:rPr>
          <w:lang w:val="es-ES"/>
        </w:rPr>
        <w:t xml:space="preserve"> a C</w:t>
      </w:r>
      <w:r w:rsidRPr="002261B9">
        <w:rPr>
          <w:vertAlign w:val="subscript"/>
          <w:lang w:val="es-ES"/>
        </w:rPr>
        <w:t>20</w:t>
      </w:r>
      <w:r w:rsidRPr="002261B9">
        <w:rPr>
          <w:lang w:val="es-ES"/>
        </w:rPr>
        <w:t>) de cadena larga presente</w:t>
      </w:r>
      <w:r w:rsidR="00BF4A8A" w:rsidRPr="002261B9">
        <w:rPr>
          <w:lang w:val="es-ES"/>
        </w:rPr>
        <w:t>s</w:t>
      </w:r>
      <w:r w:rsidRPr="002261B9">
        <w:rPr>
          <w:lang w:val="es-ES"/>
        </w:rPr>
        <w:t xml:space="preserve"> en los productos químicos perfluorados en el sector comercial antes del 31 de diciembre de 2010, y eliminarlos a más tardar el 31 de diciembre de 2015. El objetivo de reducción de</w:t>
      </w:r>
      <w:r w:rsidR="00860847" w:rsidRPr="002261B9">
        <w:rPr>
          <w:lang w:val="es-ES"/>
        </w:rPr>
        <w:t> </w:t>
      </w:r>
      <w:r w:rsidRPr="002261B9">
        <w:rPr>
          <w:lang w:val="es-ES"/>
        </w:rPr>
        <w:t xml:space="preserve">2010 fue cumplido por todos los signatarios y en el informe final quedó consignado que el objetivo fijado para 2015 se </w:t>
      </w:r>
      <w:r w:rsidRPr="002261B9">
        <w:rPr>
          <w:lang w:val="es-ES"/>
        </w:rPr>
        <w:lastRenderedPageBreak/>
        <w:t xml:space="preserve">había cumplido. </w:t>
      </w:r>
      <w:r w:rsidR="00912AF5" w:rsidRPr="002261B9">
        <w:rPr>
          <w:lang w:val="es-ES"/>
        </w:rPr>
        <w:t xml:space="preserve">En 2016, se prohibió el PFOA con arreglo al Reglamento de Prohibición de Ciertas Sustancias Tóxicas, con un número limitado de exenciones </w:t>
      </w:r>
      <w:r w:rsidRPr="002261B9">
        <w:rPr>
          <w:lang w:val="es-ES"/>
        </w:rPr>
        <w:t>(Canadá</w:t>
      </w:r>
      <w:r w:rsidR="00912AF5" w:rsidRPr="002261B9">
        <w:rPr>
          <w:lang w:val="es-ES"/>
        </w:rPr>
        <w:t>,</w:t>
      </w:r>
      <w:r w:rsidR="00860847" w:rsidRPr="002261B9">
        <w:rPr>
          <w:lang w:val="es-ES"/>
        </w:rPr>
        <w:t xml:space="preserve"> </w:t>
      </w:r>
      <w:r w:rsidRPr="002261B9">
        <w:rPr>
          <w:lang w:val="es-ES"/>
        </w:rPr>
        <w:t>2016c</w:t>
      </w:r>
      <w:r w:rsidR="00452DB2" w:rsidRPr="002261B9">
        <w:rPr>
          <w:lang w:val="es-ES"/>
        </w:rPr>
        <w:t>)</w:t>
      </w:r>
      <w:r w:rsidRPr="002261B9">
        <w:rPr>
          <w:lang w:val="es-ES"/>
        </w:rPr>
        <w:t xml:space="preserve">. </w:t>
      </w:r>
    </w:p>
    <w:p w14:paraId="1A21067A" w14:textId="58092E56" w:rsidR="004D5B0D" w:rsidRPr="002261B9" w:rsidRDefault="004D5B0D" w:rsidP="00F45508">
      <w:pPr>
        <w:pStyle w:val="Paralevel1"/>
        <w:numPr>
          <w:ilvl w:val="0"/>
          <w:numId w:val="23"/>
        </w:numPr>
        <w:tabs>
          <w:tab w:val="clear" w:pos="0"/>
        </w:tabs>
        <w:ind w:left="1247" w:firstLine="0"/>
        <w:rPr>
          <w:lang w:val="es-ES"/>
        </w:rPr>
      </w:pPr>
      <w:r w:rsidRPr="002261B9">
        <w:rPr>
          <w:lang w:val="es-ES"/>
        </w:rPr>
        <w:t xml:space="preserve">En 2014, el Organismo Danés de Protección Ambiental publicó un estudio sobre la contaminación de las aguas subterráneas causada por fuentes puntuales de </w:t>
      </w:r>
      <w:r w:rsidR="0056244C" w:rsidRPr="002261B9">
        <w:rPr>
          <w:lang w:val="es-ES"/>
        </w:rPr>
        <w:t>sustancias</w:t>
      </w:r>
      <w:r w:rsidRPr="002261B9">
        <w:rPr>
          <w:lang w:val="es-ES"/>
        </w:rPr>
        <w:t xml:space="preserve"> perfluoroalquílicas, entre ellas el PFOA y los compuestos conexos del PFOA. A raíz del descubrimiento de la contaminación de las aguas subterráneas, se encargó la realización de un estudio para evaluar y proponer criterios de calidad basados en la salud. Este estudio propició el establecimiento de un valor límite en el agua potable para 12 PFAS basado en una suma de criterios. El valor límite es de 0,1 µg/l de agua </w:t>
      </w:r>
      <w:r w:rsidR="0056244C" w:rsidRPr="002261B9">
        <w:rPr>
          <w:lang w:val="es-ES"/>
        </w:rPr>
        <w:t>potable y</w:t>
      </w:r>
      <w:r w:rsidRPr="002261B9">
        <w:rPr>
          <w:lang w:val="es-ES"/>
        </w:rPr>
        <w:t xml:space="preserve"> es una suma de criterios relativos a la presencia del total de 12 PFAS. El mismo valor límite basado en la suma de criterios es válido para las aguas subterráneas, además se ha establecido un valor </w:t>
      </w:r>
      <w:r w:rsidR="0056244C" w:rsidRPr="002261B9">
        <w:rPr>
          <w:lang w:val="es-ES"/>
        </w:rPr>
        <w:t>límite</w:t>
      </w:r>
      <w:r w:rsidRPr="002261B9">
        <w:rPr>
          <w:lang w:val="es-ES"/>
        </w:rPr>
        <w:t xml:space="preserve"> basado en la suma de criterios para los mismos PFAS presentes en el suelo de 0,4 µg</w:t>
      </w:r>
      <w:r w:rsidR="001E397C">
        <w:rPr>
          <w:lang w:val="es-ES"/>
        </w:rPr>
        <w:t>/l</w:t>
      </w:r>
      <w:r w:rsidRPr="002261B9">
        <w:rPr>
          <w:lang w:val="es-ES"/>
        </w:rPr>
        <w:t xml:space="preserve"> (suelo seco) (Dinamarca</w:t>
      </w:r>
      <w:r w:rsidR="004904E9" w:rsidRPr="002261B9">
        <w:rPr>
          <w:lang w:val="es-ES"/>
        </w:rPr>
        <w:t>,</w:t>
      </w:r>
      <w:r w:rsidR="006F57D4" w:rsidRPr="002261B9">
        <w:rPr>
          <w:lang w:val="es-ES"/>
        </w:rPr>
        <w:t xml:space="preserve"> 2</w:t>
      </w:r>
      <w:r w:rsidRPr="002261B9">
        <w:rPr>
          <w:lang w:val="es-ES"/>
        </w:rPr>
        <w:t>016</w:t>
      </w:r>
      <w:r w:rsidR="00452DB2" w:rsidRPr="002261B9">
        <w:rPr>
          <w:lang w:val="es-ES"/>
        </w:rPr>
        <w:t>)</w:t>
      </w:r>
      <w:r w:rsidRPr="002261B9">
        <w:rPr>
          <w:lang w:val="es-ES"/>
        </w:rPr>
        <w:t>. El Gobierno de Dinamarca ha publicado también un límite aconsejable para los PFC en materiales para envasar alimentos de 0,35 microgramos/cm</w:t>
      </w:r>
      <w:r w:rsidRPr="002261B9">
        <w:rPr>
          <w:vertAlign w:val="superscript"/>
          <w:lang w:val="es-ES"/>
        </w:rPr>
        <w:t>2</w:t>
      </w:r>
      <w:r w:rsidRPr="002261B9">
        <w:rPr>
          <w:lang w:val="es-ES"/>
        </w:rPr>
        <w:t xml:space="preserve"> de material de embalaje que, en la práctica, ha resultado ser una prohibición</w:t>
      </w:r>
      <w:r w:rsidR="00403A9A" w:rsidRPr="002261B9">
        <w:rPr>
          <w:vertAlign w:val="superscript"/>
          <w:lang w:val="es-ES"/>
        </w:rPr>
        <w:footnoteReference w:id="15"/>
      </w:r>
      <w:r w:rsidR="00BF4A8A" w:rsidRPr="002261B9">
        <w:rPr>
          <w:lang w:val="es-ES"/>
        </w:rPr>
        <w:t>.</w:t>
      </w:r>
    </w:p>
    <w:p w14:paraId="00023F14" w14:textId="05265F6F" w:rsidR="004D5B0D" w:rsidRPr="002261B9" w:rsidRDefault="004D5B0D" w:rsidP="00F45508">
      <w:pPr>
        <w:pStyle w:val="Paralevel1"/>
        <w:numPr>
          <w:ilvl w:val="0"/>
          <w:numId w:val="23"/>
        </w:numPr>
        <w:tabs>
          <w:tab w:val="clear" w:pos="0"/>
        </w:tabs>
        <w:ind w:left="1247" w:firstLine="0"/>
        <w:rPr>
          <w:lang w:val="es-ES"/>
        </w:rPr>
      </w:pPr>
      <w:r w:rsidRPr="002261B9">
        <w:rPr>
          <w:lang w:val="es-ES"/>
        </w:rPr>
        <w:t xml:space="preserve">Desde 2014, el Organismo Nacional Sueco para la Alimentación </w:t>
      </w:r>
      <w:r w:rsidR="005D07C9" w:rsidRPr="002261B9">
        <w:rPr>
          <w:lang w:val="es-ES"/>
        </w:rPr>
        <w:t>ha establecido</w:t>
      </w:r>
      <w:r w:rsidRPr="002261B9">
        <w:rPr>
          <w:lang w:val="es-ES"/>
        </w:rPr>
        <w:t xml:space="preserve"> valores de orientación basados en la salud para todos los PFAS de uso común (incluido el PFOA) presentes en el agua potable (NFA</w:t>
      </w:r>
      <w:r w:rsidR="004904E9" w:rsidRPr="002261B9">
        <w:rPr>
          <w:lang w:val="es-ES"/>
        </w:rPr>
        <w:t>,</w:t>
      </w:r>
      <w:r w:rsidR="006F57D4" w:rsidRPr="002261B9">
        <w:rPr>
          <w:lang w:val="es-ES"/>
        </w:rPr>
        <w:t xml:space="preserve"> 2</w:t>
      </w:r>
      <w:r w:rsidRPr="002261B9">
        <w:rPr>
          <w:lang w:val="es-ES"/>
        </w:rPr>
        <w:t>017</w:t>
      </w:r>
      <w:r w:rsidR="00452DB2" w:rsidRPr="002261B9">
        <w:rPr>
          <w:lang w:val="es-ES"/>
        </w:rPr>
        <w:t>)</w:t>
      </w:r>
      <w:r w:rsidRPr="002261B9">
        <w:rPr>
          <w:lang w:val="es-ES"/>
        </w:rPr>
        <w:t xml:space="preserve">. </w:t>
      </w:r>
      <w:r w:rsidR="003B740F" w:rsidRPr="002261B9">
        <w:rPr>
          <w:lang w:val="es-ES"/>
        </w:rPr>
        <w:t>Desde </w:t>
      </w:r>
      <w:r w:rsidRPr="002261B9">
        <w:rPr>
          <w:lang w:val="es-ES"/>
        </w:rPr>
        <w:t xml:space="preserve">2016 se han incluido en total 11 PFAS en el valor de </w:t>
      </w:r>
      <w:r w:rsidR="0056244C" w:rsidRPr="002261B9">
        <w:rPr>
          <w:lang w:val="es-ES"/>
        </w:rPr>
        <w:t>orientación</w:t>
      </w:r>
      <w:r w:rsidRPr="002261B9">
        <w:rPr>
          <w:lang w:val="es-ES"/>
        </w:rPr>
        <w:t>. Si la suma de PFAS excede de 90 ng/l, se recomiendan medidas para reducir en todo lo posible los niveles por debajo de este valor. Si la suma de PFAS supera los 900 ng/</w:t>
      </w:r>
      <w:r w:rsidR="00BF4A8A" w:rsidRPr="002261B9">
        <w:rPr>
          <w:lang w:val="es-ES"/>
        </w:rPr>
        <w:t>l</w:t>
      </w:r>
      <w:r w:rsidRPr="002261B9">
        <w:rPr>
          <w:lang w:val="es-ES"/>
        </w:rPr>
        <w:t>, no se recomienda usar el agua para el consumo ni para cocinar.</w:t>
      </w:r>
      <w:r w:rsidR="002A6F28" w:rsidRPr="002261B9">
        <w:rPr>
          <w:lang w:val="es-ES"/>
        </w:rPr>
        <w:t xml:space="preserve"> El Departamento de Salud de Australia determinó los valores de </w:t>
      </w:r>
      <w:r w:rsidR="00912AF5" w:rsidRPr="002261B9">
        <w:rPr>
          <w:lang w:val="es-ES"/>
        </w:rPr>
        <w:t xml:space="preserve">calidad del consumo respecto </w:t>
      </w:r>
      <w:r w:rsidR="004904E9" w:rsidRPr="002261B9">
        <w:rPr>
          <w:lang w:val="es-ES"/>
        </w:rPr>
        <w:t>del PFOA</w:t>
      </w:r>
      <w:r w:rsidR="002A6F28" w:rsidRPr="002261B9">
        <w:rPr>
          <w:lang w:val="es-ES"/>
        </w:rPr>
        <w:t xml:space="preserve"> y el </w:t>
      </w:r>
      <w:r w:rsidR="007F0459" w:rsidRPr="002261B9">
        <w:rPr>
          <w:lang w:val="es-ES"/>
        </w:rPr>
        <w:t>PFOS/</w:t>
      </w:r>
      <w:r w:rsidR="002A6F28" w:rsidRPr="002261B9">
        <w:rPr>
          <w:lang w:val="es-ES"/>
        </w:rPr>
        <w:t xml:space="preserve">PFHxS basados en </w:t>
      </w:r>
      <w:r w:rsidR="00C207F7" w:rsidRPr="002261B9">
        <w:rPr>
          <w:lang w:val="es-ES"/>
        </w:rPr>
        <w:t>l</w:t>
      </w:r>
      <w:r w:rsidR="007F0459" w:rsidRPr="002261B9">
        <w:rPr>
          <w:lang w:val="es-ES"/>
        </w:rPr>
        <w:t>os valores de orientación definitivos respecto de l</w:t>
      </w:r>
      <w:r w:rsidR="00C207F7" w:rsidRPr="002261B9">
        <w:rPr>
          <w:lang w:val="es-ES"/>
        </w:rPr>
        <w:t xml:space="preserve">a salud. </w:t>
      </w:r>
      <w:r w:rsidR="002A6F28" w:rsidRPr="002261B9">
        <w:rPr>
          <w:lang w:val="es-ES"/>
        </w:rPr>
        <w:t>Esos valores se utilizarán al realizar evaluaciones de los riesgos para la salud humana en todo el país</w:t>
      </w:r>
      <w:r w:rsidRPr="002261B9">
        <w:rPr>
          <w:lang w:val="es-ES"/>
        </w:rPr>
        <w:t xml:space="preserve"> (</w:t>
      </w:r>
      <w:r w:rsidR="00F13B21" w:rsidRPr="002261B9">
        <w:rPr>
          <w:lang w:val="es-ES"/>
        </w:rPr>
        <w:t>véase</w:t>
      </w:r>
      <w:r w:rsidRPr="002261B9">
        <w:rPr>
          <w:lang w:val="es-ES"/>
        </w:rPr>
        <w:t xml:space="preserve"> </w:t>
      </w:r>
      <w:r w:rsidR="002A6F28" w:rsidRPr="002261B9">
        <w:rPr>
          <w:lang w:val="es-ES"/>
        </w:rPr>
        <w:t>Dep</w:t>
      </w:r>
      <w:r w:rsidR="0057533C" w:rsidRPr="002261B9">
        <w:rPr>
          <w:lang w:val="es-ES"/>
        </w:rPr>
        <w:t>ar</w:t>
      </w:r>
      <w:r w:rsidR="002A6F28" w:rsidRPr="002261B9">
        <w:rPr>
          <w:lang w:val="es-ES"/>
        </w:rPr>
        <w:t>t</w:t>
      </w:r>
      <w:r w:rsidR="0057533C" w:rsidRPr="002261B9">
        <w:rPr>
          <w:lang w:val="es-ES"/>
        </w:rPr>
        <w:t>amento</w:t>
      </w:r>
      <w:r w:rsidR="002A6F28" w:rsidRPr="002261B9">
        <w:rPr>
          <w:lang w:val="es-ES"/>
        </w:rPr>
        <w:t xml:space="preserve"> de Salud de Australia</w:t>
      </w:r>
      <w:r w:rsidR="004904E9" w:rsidRPr="002261B9">
        <w:rPr>
          <w:lang w:val="es-ES"/>
        </w:rPr>
        <w:t>,</w:t>
      </w:r>
      <w:r w:rsidR="006F57D4" w:rsidRPr="002261B9">
        <w:rPr>
          <w:lang w:val="es-ES"/>
        </w:rPr>
        <w:t xml:space="preserve"> 2</w:t>
      </w:r>
      <w:r w:rsidRPr="002261B9">
        <w:rPr>
          <w:lang w:val="es-ES"/>
        </w:rPr>
        <w:t>017</w:t>
      </w:r>
      <w:r w:rsidR="00452DB2" w:rsidRPr="002261B9">
        <w:rPr>
          <w:lang w:val="es-ES"/>
        </w:rPr>
        <w:t>)</w:t>
      </w:r>
      <w:r w:rsidRPr="002261B9">
        <w:rPr>
          <w:lang w:val="es-ES"/>
        </w:rPr>
        <w:t xml:space="preserve">. </w:t>
      </w:r>
      <w:r w:rsidR="004904E9" w:rsidRPr="002261B9">
        <w:rPr>
          <w:lang w:val="es-ES"/>
        </w:rPr>
        <w:t xml:space="preserve">La </w:t>
      </w:r>
      <w:r w:rsidR="002560D0" w:rsidRPr="002261B9">
        <w:rPr>
          <w:lang w:val="es-ES"/>
        </w:rPr>
        <w:t>Agencia de Protección Ambiental</w:t>
      </w:r>
      <w:r w:rsidR="00912AF5" w:rsidRPr="002261B9">
        <w:rPr>
          <w:lang w:val="es-ES"/>
        </w:rPr>
        <w:t xml:space="preserve"> </w:t>
      </w:r>
      <w:r w:rsidRPr="002261B9">
        <w:rPr>
          <w:lang w:val="es-ES"/>
        </w:rPr>
        <w:t>establ</w:t>
      </w:r>
      <w:r w:rsidR="002A6F28" w:rsidRPr="002261B9">
        <w:rPr>
          <w:lang w:val="es-ES"/>
        </w:rPr>
        <w:t>eció niveles</w:t>
      </w:r>
      <w:r w:rsidR="000E33DC" w:rsidRPr="002261B9">
        <w:rPr>
          <w:lang w:val="es-ES"/>
        </w:rPr>
        <w:t xml:space="preserve"> de PFOA y PFOS en el agua potable</w:t>
      </w:r>
      <w:r w:rsidR="002A6F28" w:rsidRPr="002261B9">
        <w:rPr>
          <w:lang w:val="es-ES"/>
        </w:rPr>
        <w:t xml:space="preserve"> aconsejables para la salud </w:t>
      </w:r>
      <w:r w:rsidRPr="002261B9">
        <w:rPr>
          <w:lang w:val="es-ES"/>
        </w:rPr>
        <w:t>(</w:t>
      </w:r>
      <w:r w:rsidR="004904E9" w:rsidRPr="002261B9">
        <w:rPr>
          <w:lang w:val="es-ES"/>
        </w:rPr>
        <w:t xml:space="preserve">véase </w:t>
      </w:r>
      <w:r w:rsidR="005C3021" w:rsidRPr="002261B9">
        <w:rPr>
          <w:lang w:val="es-ES"/>
        </w:rPr>
        <w:t>USEPA</w:t>
      </w:r>
      <w:r w:rsidR="00912AF5" w:rsidRPr="002261B9">
        <w:rPr>
          <w:lang w:val="es-ES"/>
        </w:rPr>
        <w:t xml:space="preserve">, </w:t>
      </w:r>
      <w:r w:rsidRPr="002261B9">
        <w:rPr>
          <w:lang w:val="es-ES"/>
        </w:rPr>
        <w:t>2016</w:t>
      </w:r>
      <w:r w:rsidR="00452DB2" w:rsidRPr="002261B9">
        <w:rPr>
          <w:lang w:val="es-ES"/>
        </w:rPr>
        <w:t>)</w:t>
      </w:r>
      <w:r w:rsidRPr="002261B9">
        <w:rPr>
          <w:lang w:val="es-ES"/>
        </w:rPr>
        <w:t xml:space="preserve">. </w:t>
      </w:r>
      <w:r w:rsidR="002A6F28" w:rsidRPr="002261B9">
        <w:rPr>
          <w:lang w:val="es-ES"/>
        </w:rPr>
        <w:t xml:space="preserve">La Dirección Europea de Seguridad Alimentaria está actualizando los valores de orientación </w:t>
      </w:r>
      <w:r w:rsidR="000E33DC" w:rsidRPr="002261B9">
        <w:rPr>
          <w:lang w:val="es-ES"/>
        </w:rPr>
        <w:t xml:space="preserve">sanitaria </w:t>
      </w:r>
      <w:r w:rsidR="002A6F28" w:rsidRPr="002261B9">
        <w:rPr>
          <w:lang w:val="es-ES"/>
        </w:rPr>
        <w:t xml:space="preserve">en relación con el </w:t>
      </w:r>
      <w:r w:rsidRPr="002261B9">
        <w:rPr>
          <w:lang w:val="es-ES"/>
        </w:rPr>
        <w:t>PFOA (EFSA</w:t>
      </w:r>
      <w:r w:rsidR="004904E9" w:rsidRPr="002261B9">
        <w:rPr>
          <w:lang w:val="es-ES"/>
        </w:rPr>
        <w:t>,</w:t>
      </w:r>
      <w:r w:rsidR="006F57D4" w:rsidRPr="002261B9">
        <w:rPr>
          <w:lang w:val="es-ES"/>
        </w:rPr>
        <w:t xml:space="preserve"> 2</w:t>
      </w:r>
      <w:r w:rsidRPr="002261B9">
        <w:rPr>
          <w:lang w:val="es-ES"/>
        </w:rPr>
        <w:t>017</w:t>
      </w:r>
      <w:r w:rsidR="00452DB2" w:rsidRPr="002261B9">
        <w:rPr>
          <w:lang w:val="es-ES"/>
        </w:rPr>
        <w:t>)</w:t>
      </w:r>
      <w:r w:rsidRPr="002261B9">
        <w:rPr>
          <w:lang w:val="es-ES"/>
        </w:rPr>
        <w:t>.</w:t>
      </w:r>
    </w:p>
    <w:p w14:paraId="713AA40D" w14:textId="20259E5F" w:rsidR="004D5B0D" w:rsidRPr="002261B9" w:rsidRDefault="00176876" w:rsidP="00F45508">
      <w:pPr>
        <w:pStyle w:val="Paralevel1"/>
        <w:numPr>
          <w:ilvl w:val="0"/>
          <w:numId w:val="23"/>
        </w:numPr>
        <w:tabs>
          <w:tab w:val="clear" w:pos="0"/>
        </w:tabs>
        <w:ind w:left="1247" w:firstLine="0"/>
        <w:rPr>
          <w:lang w:val="es-ES"/>
        </w:rPr>
      </w:pPr>
      <w:r w:rsidRPr="002261B9">
        <w:rPr>
          <w:lang w:val="es-ES"/>
        </w:rPr>
        <w:t xml:space="preserve">Noruega está realizando labores de descontaminación de </w:t>
      </w:r>
      <w:r w:rsidR="00163880" w:rsidRPr="002261B9">
        <w:rPr>
          <w:lang w:val="es-ES"/>
        </w:rPr>
        <w:t xml:space="preserve">los </w:t>
      </w:r>
      <w:r w:rsidRPr="002261B9">
        <w:rPr>
          <w:lang w:val="es-ES"/>
        </w:rPr>
        <w:t xml:space="preserve">suelos contaminados con </w:t>
      </w:r>
      <w:r w:rsidR="004D5B0D" w:rsidRPr="002261B9">
        <w:rPr>
          <w:lang w:val="es-ES"/>
        </w:rPr>
        <w:t xml:space="preserve">PFAS </w:t>
      </w:r>
      <w:r w:rsidR="00163880" w:rsidRPr="002261B9">
        <w:rPr>
          <w:lang w:val="es-ES"/>
        </w:rPr>
        <w:t xml:space="preserve">como consecuencia del </w:t>
      </w:r>
      <w:r w:rsidRPr="002261B9">
        <w:rPr>
          <w:lang w:val="es-ES"/>
        </w:rPr>
        <w:t xml:space="preserve">uso de espumas acuosas formadoras de películas </w:t>
      </w:r>
      <w:r w:rsidR="002C5746" w:rsidRPr="002261B9">
        <w:rPr>
          <w:lang w:val="es-ES"/>
        </w:rPr>
        <w:t>(</w:t>
      </w:r>
      <w:r w:rsidRPr="002261B9">
        <w:rPr>
          <w:lang w:val="es-ES"/>
        </w:rPr>
        <w:t>E</w:t>
      </w:r>
      <w:r w:rsidR="004D5B0D" w:rsidRPr="002261B9">
        <w:rPr>
          <w:lang w:val="es-ES"/>
        </w:rPr>
        <w:t>AF</w:t>
      </w:r>
      <w:r w:rsidRPr="002261B9">
        <w:rPr>
          <w:lang w:val="es-ES"/>
        </w:rPr>
        <w:t>P</w:t>
      </w:r>
      <w:r w:rsidR="002C5746" w:rsidRPr="002261B9">
        <w:rPr>
          <w:lang w:val="es-ES"/>
        </w:rPr>
        <w:t>)</w:t>
      </w:r>
      <w:r w:rsidR="004D5B0D" w:rsidRPr="002261B9">
        <w:rPr>
          <w:lang w:val="es-ES"/>
        </w:rPr>
        <w:t xml:space="preserve"> </w:t>
      </w:r>
      <w:r w:rsidRPr="002261B9">
        <w:rPr>
          <w:lang w:val="es-ES"/>
        </w:rPr>
        <w:t xml:space="preserve">en los aeropuertos y las zonas de entrenamiento </w:t>
      </w:r>
      <w:r w:rsidR="004E437C" w:rsidRPr="002261B9">
        <w:rPr>
          <w:lang w:val="es-ES"/>
        </w:rPr>
        <w:t>en lucha contra incendios</w:t>
      </w:r>
      <w:r w:rsidR="004D5B0D" w:rsidRPr="002261B9">
        <w:rPr>
          <w:lang w:val="es-ES"/>
        </w:rPr>
        <w:t xml:space="preserve"> (Nor</w:t>
      </w:r>
      <w:r w:rsidRPr="002261B9">
        <w:rPr>
          <w:lang w:val="es-ES"/>
        </w:rPr>
        <w:t>uega</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 xml:space="preserve">. </w:t>
      </w:r>
    </w:p>
    <w:p w14:paraId="71B472FE" w14:textId="45867122" w:rsidR="00A71DCB" w:rsidRPr="002261B9" w:rsidRDefault="00EA5AA8" w:rsidP="00F45508">
      <w:pPr>
        <w:pStyle w:val="Paralevel1"/>
        <w:numPr>
          <w:ilvl w:val="0"/>
          <w:numId w:val="23"/>
        </w:numPr>
        <w:tabs>
          <w:tab w:val="clear" w:pos="0"/>
        </w:tabs>
        <w:ind w:left="1247" w:firstLine="0"/>
        <w:rPr>
          <w:lang w:val="es-ES"/>
        </w:rPr>
      </w:pPr>
      <w:r w:rsidRPr="002261B9">
        <w:rPr>
          <w:lang w:val="es-ES"/>
        </w:rPr>
        <w:t xml:space="preserve">El Organismo Sueco de Productos Químicos publicó una estrategia para reducir el uso de los </w:t>
      </w:r>
      <w:r w:rsidR="00A71DCB" w:rsidRPr="002261B9">
        <w:rPr>
          <w:lang w:val="es-ES"/>
        </w:rPr>
        <w:t>PFAS (</w:t>
      </w:r>
      <w:r w:rsidRPr="002261B9">
        <w:rPr>
          <w:lang w:val="es-ES"/>
        </w:rPr>
        <w:t>Organismo Sueco de Productos Químicos</w:t>
      </w:r>
      <w:r w:rsidR="004904E9" w:rsidRPr="002261B9">
        <w:rPr>
          <w:lang w:val="es-ES"/>
        </w:rPr>
        <w:t>,</w:t>
      </w:r>
      <w:r w:rsidR="006F57D4" w:rsidRPr="002261B9">
        <w:rPr>
          <w:lang w:val="es-ES"/>
        </w:rPr>
        <w:t xml:space="preserve"> 2</w:t>
      </w:r>
      <w:r w:rsidR="00A71DCB" w:rsidRPr="002261B9">
        <w:rPr>
          <w:lang w:val="es-ES"/>
        </w:rPr>
        <w:t>016b</w:t>
      </w:r>
      <w:r w:rsidR="00452DB2" w:rsidRPr="002261B9">
        <w:rPr>
          <w:lang w:val="es-ES"/>
        </w:rPr>
        <w:t>)</w:t>
      </w:r>
      <w:r w:rsidR="00A71DCB" w:rsidRPr="002261B9">
        <w:rPr>
          <w:lang w:val="es-ES"/>
        </w:rPr>
        <w:t xml:space="preserve">. </w:t>
      </w:r>
      <w:r w:rsidR="000151B2" w:rsidRPr="002261B9">
        <w:rPr>
          <w:lang w:val="es-ES"/>
        </w:rPr>
        <w:t xml:space="preserve">Se deberían reducir al mínimo y, </w:t>
      </w:r>
      <w:r w:rsidR="000E33DC" w:rsidRPr="002261B9">
        <w:rPr>
          <w:lang w:val="es-ES"/>
        </w:rPr>
        <w:t>a la larga,</w:t>
      </w:r>
      <w:r w:rsidR="000151B2" w:rsidRPr="002261B9">
        <w:rPr>
          <w:lang w:val="es-ES"/>
        </w:rPr>
        <w:t xml:space="preserve"> </w:t>
      </w:r>
      <w:r w:rsidR="000E33DC" w:rsidRPr="002261B9">
        <w:rPr>
          <w:lang w:val="es-ES"/>
        </w:rPr>
        <w:t xml:space="preserve">eliminar </w:t>
      </w:r>
      <w:r w:rsidR="000151B2" w:rsidRPr="002261B9">
        <w:rPr>
          <w:lang w:val="es-ES"/>
        </w:rPr>
        <w:t xml:space="preserve">las aplicaciones de </w:t>
      </w:r>
      <w:r w:rsidR="00A71DCB" w:rsidRPr="002261B9">
        <w:rPr>
          <w:lang w:val="es-ES"/>
        </w:rPr>
        <w:t>PFAS</w:t>
      </w:r>
      <w:r w:rsidR="000151B2" w:rsidRPr="002261B9">
        <w:rPr>
          <w:lang w:val="es-ES"/>
        </w:rPr>
        <w:t xml:space="preserve"> que pudieran </w:t>
      </w:r>
      <w:r w:rsidR="000E33DC" w:rsidRPr="002261B9">
        <w:rPr>
          <w:lang w:val="es-ES"/>
        </w:rPr>
        <w:t>contaminar el medio ambiente</w:t>
      </w:r>
      <w:r w:rsidR="00A71DCB" w:rsidRPr="002261B9">
        <w:rPr>
          <w:lang w:val="es-ES"/>
        </w:rPr>
        <w:t xml:space="preserve">. </w:t>
      </w:r>
      <w:r w:rsidR="000E33DC" w:rsidRPr="002261B9">
        <w:rPr>
          <w:lang w:val="es-ES"/>
        </w:rPr>
        <w:t>Para lograr es</w:t>
      </w:r>
      <w:r w:rsidR="000151B2" w:rsidRPr="002261B9">
        <w:rPr>
          <w:lang w:val="es-ES"/>
        </w:rPr>
        <w:t xml:space="preserve">e objetivo se podría priorizar la aplicación de medidas relacionadas con los usos que puedan dar lugar a liberaciones directas </w:t>
      </w:r>
      <w:r w:rsidR="000E33DC" w:rsidRPr="002261B9">
        <w:rPr>
          <w:lang w:val="es-ES"/>
        </w:rPr>
        <w:t>significativas</w:t>
      </w:r>
      <w:r w:rsidR="000151B2" w:rsidRPr="002261B9">
        <w:rPr>
          <w:lang w:val="es-ES"/>
        </w:rPr>
        <w:t xml:space="preserve"> al medio ambiente</w:t>
      </w:r>
      <w:r w:rsidR="000E33DC" w:rsidRPr="002261B9">
        <w:rPr>
          <w:lang w:val="es-ES"/>
        </w:rPr>
        <w:t xml:space="preserve">, así como las actividades a escala </w:t>
      </w:r>
      <w:r w:rsidR="000151B2" w:rsidRPr="002261B9">
        <w:rPr>
          <w:lang w:val="es-ES"/>
        </w:rPr>
        <w:t xml:space="preserve">mundial, </w:t>
      </w:r>
      <w:r w:rsidR="000E33DC" w:rsidRPr="002261B9">
        <w:rPr>
          <w:lang w:val="es-ES"/>
        </w:rPr>
        <w:t xml:space="preserve">incluso en el marco del </w:t>
      </w:r>
      <w:r w:rsidR="000151B2" w:rsidRPr="002261B9">
        <w:rPr>
          <w:lang w:val="es-ES"/>
        </w:rPr>
        <w:t>Convenio de Estocolmo</w:t>
      </w:r>
      <w:r w:rsidR="00A71DCB" w:rsidRPr="002261B9">
        <w:rPr>
          <w:lang w:val="es-ES"/>
        </w:rPr>
        <w:t xml:space="preserve">. </w:t>
      </w:r>
      <w:r w:rsidRPr="002261B9">
        <w:rPr>
          <w:lang w:val="es-ES"/>
        </w:rPr>
        <w:t>Se ha propuesto la recogida y destrucción</w:t>
      </w:r>
      <w:r w:rsidR="000E33DC" w:rsidRPr="002261B9">
        <w:rPr>
          <w:lang w:val="es-ES"/>
        </w:rPr>
        <w:t>, una vez utilizadas,</w:t>
      </w:r>
      <w:r w:rsidRPr="002261B9">
        <w:rPr>
          <w:lang w:val="es-ES"/>
        </w:rPr>
        <w:t xml:space="preserve"> de las espumas ignífugas </w:t>
      </w:r>
      <w:r w:rsidR="000E33DC" w:rsidRPr="002261B9">
        <w:rPr>
          <w:lang w:val="es-ES"/>
        </w:rPr>
        <w:t>a base de</w:t>
      </w:r>
      <w:r w:rsidRPr="002261B9">
        <w:rPr>
          <w:lang w:val="es-ES"/>
        </w:rPr>
        <w:t xml:space="preserve"> </w:t>
      </w:r>
      <w:r w:rsidR="00A71DCB" w:rsidRPr="002261B9">
        <w:rPr>
          <w:lang w:val="es-ES"/>
        </w:rPr>
        <w:t>PFAS (</w:t>
      </w:r>
      <w:r w:rsidRPr="002261B9">
        <w:rPr>
          <w:lang w:val="es-ES"/>
        </w:rPr>
        <w:t>con algunas exenciones</w:t>
      </w:r>
      <w:r w:rsidR="00A71DCB" w:rsidRPr="002261B9">
        <w:rPr>
          <w:lang w:val="es-ES"/>
        </w:rPr>
        <w:t>) (</w:t>
      </w:r>
      <w:r w:rsidRPr="002261B9">
        <w:rPr>
          <w:lang w:val="es-ES"/>
        </w:rPr>
        <w:t>Observaci</w:t>
      </w:r>
      <w:r w:rsidR="007F0459" w:rsidRPr="002261B9">
        <w:rPr>
          <w:lang w:val="es-ES"/>
        </w:rPr>
        <w:t>ones</w:t>
      </w:r>
      <w:r w:rsidRPr="002261B9">
        <w:rPr>
          <w:lang w:val="es-ES"/>
        </w:rPr>
        <w:t xml:space="preserve"> de Suecia</w:t>
      </w:r>
      <w:r w:rsidR="00A71DCB" w:rsidRPr="002261B9">
        <w:rPr>
          <w:lang w:val="es-ES"/>
        </w:rPr>
        <w:t xml:space="preserve"> </w:t>
      </w:r>
      <w:r w:rsidRPr="002261B9">
        <w:rPr>
          <w:lang w:val="es-ES"/>
        </w:rPr>
        <w:t>sobre el tercer proyecto de evaluación de la gestión de los riesgos</w:t>
      </w:r>
      <w:r w:rsidR="00452DB2" w:rsidRPr="002261B9">
        <w:rPr>
          <w:lang w:val="es-ES"/>
        </w:rPr>
        <w:t>)</w:t>
      </w:r>
      <w:r w:rsidR="00A71DCB" w:rsidRPr="002261B9">
        <w:rPr>
          <w:lang w:val="es-ES"/>
        </w:rPr>
        <w:t>.</w:t>
      </w:r>
    </w:p>
    <w:p w14:paraId="32AC7408" w14:textId="35770C6C" w:rsidR="00A529E5" w:rsidRPr="002261B9" w:rsidRDefault="00176876" w:rsidP="00F45508">
      <w:pPr>
        <w:pStyle w:val="Paralevel1"/>
        <w:numPr>
          <w:ilvl w:val="0"/>
          <w:numId w:val="23"/>
        </w:numPr>
        <w:tabs>
          <w:tab w:val="clear" w:pos="0"/>
        </w:tabs>
        <w:ind w:left="1247" w:firstLine="0"/>
        <w:rPr>
          <w:lang w:val="es-ES"/>
        </w:rPr>
      </w:pPr>
      <w:r w:rsidRPr="002261B9">
        <w:rPr>
          <w:lang w:val="es-ES"/>
        </w:rPr>
        <w:t>El uso de las EAFP</w:t>
      </w:r>
      <w:r w:rsidR="00587C92" w:rsidRPr="002261B9">
        <w:rPr>
          <w:lang w:val="es-ES"/>
        </w:rPr>
        <w:t xml:space="preserve"> </w:t>
      </w:r>
      <w:r w:rsidR="00EA5AA8" w:rsidRPr="002261B9">
        <w:rPr>
          <w:lang w:val="es-ES"/>
        </w:rPr>
        <w:t>puede dar lugar a filtraciones en la tierra y a la contaminación del suelo y las aguas subterráneas</w:t>
      </w:r>
      <w:r w:rsidR="00A529E5" w:rsidRPr="002261B9">
        <w:rPr>
          <w:lang w:val="es-ES"/>
        </w:rPr>
        <w:t xml:space="preserve">. </w:t>
      </w:r>
      <w:r w:rsidR="00EA5AA8" w:rsidRPr="002261B9">
        <w:rPr>
          <w:lang w:val="es-ES"/>
        </w:rPr>
        <w:t>En vista de ello, el Organismo Sueco de Productos Químicos</w:t>
      </w:r>
      <w:r w:rsidR="00587C92" w:rsidRPr="002261B9">
        <w:rPr>
          <w:lang w:val="es-ES"/>
        </w:rPr>
        <w:t xml:space="preserve">, </w:t>
      </w:r>
      <w:r w:rsidR="00912204" w:rsidRPr="002261B9">
        <w:rPr>
          <w:lang w:val="es-ES"/>
        </w:rPr>
        <w:t xml:space="preserve">el Organismo Sueco de Contingencias </w:t>
      </w:r>
      <w:r w:rsidR="00587C92" w:rsidRPr="002261B9">
        <w:rPr>
          <w:lang w:val="es-ES"/>
        </w:rPr>
        <w:t>Civil</w:t>
      </w:r>
      <w:r w:rsidR="00912204" w:rsidRPr="002261B9">
        <w:rPr>
          <w:lang w:val="es-ES"/>
        </w:rPr>
        <w:t>es</w:t>
      </w:r>
      <w:r w:rsidR="00587C92" w:rsidRPr="002261B9">
        <w:rPr>
          <w:lang w:val="es-ES"/>
        </w:rPr>
        <w:t xml:space="preserve"> </w:t>
      </w:r>
      <w:r w:rsidR="00EA5AA8" w:rsidRPr="002261B9">
        <w:rPr>
          <w:lang w:val="es-ES"/>
        </w:rPr>
        <w:t>y el Organismo Sueco de Protección Ambiental</w:t>
      </w:r>
      <w:r w:rsidR="00587C92" w:rsidRPr="002261B9">
        <w:rPr>
          <w:lang w:val="es-ES"/>
        </w:rPr>
        <w:t xml:space="preserve"> </w:t>
      </w:r>
      <w:r w:rsidR="00A4179D" w:rsidRPr="002261B9">
        <w:rPr>
          <w:lang w:val="es-ES"/>
        </w:rPr>
        <w:t>ha</w:t>
      </w:r>
      <w:r w:rsidR="00EA5AA8" w:rsidRPr="002261B9">
        <w:rPr>
          <w:lang w:val="es-ES"/>
        </w:rPr>
        <w:t>n publicado un folleto para los Servicios de Salvamento de Suecia con recomendaciones para reducir el uso de espumas acuosas formadoras de películas</w:t>
      </w:r>
      <w:r w:rsidR="00587C92" w:rsidRPr="002261B9">
        <w:rPr>
          <w:lang w:val="es-ES"/>
        </w:rPr>
        <w:t xml:space="preserve"> (</w:t>
      </w:r>
      <w:r w:rsidR="00EA5AA8" w:rsidRPr="002261B9">
        <w:rPr>
          <w:lang w:val="es-ES"/>
        </w:rPr>
        <w:t>Organismo Sueco de Productos Químicos</w:t>
      </w:r>
      <w:r w:rsidR="004904E9" w:rsidRPr="002261B9">
        <w:rPr>
          <w:lang w:val="es-ES"/>
        </w:rPr>
        <w:t>,</w:t>
      </w:r>
      <w:r w:rsidR="006F57D4" w:rsidRPr="002261B9">
        <w:rPr>
          <w:lang w:val="es-ES"/>
        </w:rPr>
        <w:t xml:space="preserve"> 2</w:t>
      </w:r>
      <w:r w:rsidR="00587C92" w:rsidRPr="002261B9">
        <w:rPr>
          <w:lang w:val="es-ES"/>
        </w:rPr>
        <w:t>017</w:t>
      </w:r>
      <w:r w:rsidR="00452DB2" w:rsidRPr="002261B9">
        <w:rPr>
          <w:lang w:val="es-ES"/>
        </w:rPr>
        <w:t>)</w:t>
      </w:r>
      <w:r w:rsidR="00587C92" w:rsidRPr="002261B9">
        <w:rPr>
          <w:lang w:val="es-ES"/>
        </w:rPr>
        <w:t xml:space="preserve">. </w:t>
      </w:r>
      <w:r w:rsidR="00EA5AA8" w:rsidRPr="002261B9">
        <w:rPr>
          <w:lang w:val="es-ES"/>
        </w:rPr>
        <w:t xml:space="preserve">El Organismo Sueco de Productos Químicos también ha invertido, junto con el </w:t>
      </w:r>
      <w:r w:rsidR="00912204" w:rsidRPr="002261B9">
        <w:rPr>
          <w:lang w:val="es-ES"/>
        </w:rPr>
        <w:t>Organismo Sueco de Contingencias Civiles</w:t>
      </w:r>
      <w:r w:rsidR="00EA5AA8" w:rsidRPr="002261B9">
        <w:rPr>
          <w:lang w:val="es-ES"/>
        </w:rPr>
        <w:t xml:space="preserve">, en </w:t>
      </w:r>
      <w:r w:rsidR="004556E0" w:rsidRPr="002261B9">
        <w:rPr>
          <w:lang w:val="es-ES"/>
        </w:rPr>
        <w:t>e</w:t>
      </w:r>
      <w:r w:rsidR="00EA5AA8" w:rsidRPr="002261B9">
        <w:rPr>
          <w:lang w:val="es-ES"/>
        </w:rPr>
        <w:t>l</w:t>
      </w:r>
      <w:r w:rsidR="004556E0" w:rsidRPr="002261B9">
        <w:rPr>
          <w:lang w:val="es-ES"/>
        </w:rPr>
        <w:t xml:space="preserve"> entrenamiento </w:t>
      </w:r>
      <w:r w:rsidR="00EA5AA8" w:rsidRPr="002261B9">
        <w:rPr>
          <w:lang w:val="es-ES"/>
        </w:rPr>
        <w:t>y la divulgación de información a los servicios de salvamento</w:t>
      </w:r>
      <w:r w:rsidR="002E4A8E" w:rsidRPr="002261B9">
        <w:rPr>
          <w:lang w:val="es-ES"/>
        </w:rPr>
        <w:t xml:space="preserve">. </w:t>
      </w:r>
      <w:r w:rsidR="00EA5AA8" w:rsidRPr="002261B9">
        <w:rPr>
          <w:lang w:val="es-ES"/>
        </w:rPr>
        <w:t>Se han celebrado seminarios destinados a ofrecer a los servicios de salvamento los instrumentos para la extinción de incendios de manera que se reduzca al mínimo cualquier efecto en el medio ambiente</w:t>
      </w:r>
      <w:r w:rsidR="002E4A8E" w:rsidRPr="002261B9" w:rsidDel="002E4A8E">
        <w:rPr>
          <w:lang w:val="es-ES"/>
        </w:rPr>
        <w:t xml:space="preserve"> </w:t>
      </w:r>
      <w:r w:rsidR="00587C92" w:rsidRPr="002261B9">
        <w:rPr>
          <w:lang w:val="es-ES"/>
        </w:rPr>
        <w:t>(</w:t>
      </w:r>
      <w:r w:rsidR="007F0459" w:rsidRPr="002261B9">
        <w:rPr>
          <w:lang w:val="es-ES"/>
        </w:rPr>
        <w:t>O</w:t>
      </w:r>
      <w:r w:rsidRPr="002261B9">
        <w:rPr>
          <w:lang w:val="es-ES"/>
        </w:rPr>
        <w:t>bservaci</w:t>
      </w:r>
      <w:r w:rsidR="007F0459" w:rsidRPr="002261B9">
        <w:rPr>
          <w:lang w:val="es-ES"/>
        </w:rPr>
        <w:t>ones</w:t>
      </w:r>
      <w:r w:rsidRPr="002261B9">
        <w:rPr>
          <w:lang w:val="es-ES"/>
        </w:rPr>
        <w:t xml:space="preserve"> de Suecia sobre el tercer proyecto de evaluación de la gestión de los </w:t>
      </w:r>
      <w:r w:rsidR="004904E9" w:rsidRPr="002261B9">
        <w:rPr>
          <w:lang w:val="es-ES"/>
        </w:rPr>
        <w:t>riesgos)</w:t>
      </w:r>
      <w:r w:rsidR="00587C92" w:rsidRPr="002261B9">
        <w:rPr>
          <w:lang w:val="es-ES"/>
        </w:rPr>
        <w:t xml:space="preserve">. </w:t>
      </w:r>
      <w:r w:rsidR="00EA5AA8" w:rsidRPr="002261B9">
        <w:rPr>
          <w:lang w:val="es-ES"/>
        </w:rPr>
        <w:t xml:space="preserve">Los aeropuertos comerciales de Suecia han sustituido el </w:t>
      </w:r>
      <w:r w:rsidR="003C3098" w:rsidRPr="002261B9">
        <w:rPr>
          <w:lang w:val="es-ES"/>
        </w:rPr>
        <w:t xml:space="preserve">PFAS </w:t>
      </w:r>
      <w:r w:rsidR="00EA5AA8" w:rsidRPr="002261B9">
        <w:rPr>
          <w:lang w:val="es-ES"/>
        </w:rPr>
        <w:t>con alternativas no fluoradas que han degradado a dióxido de carbono y agua al ser usadas</w:t>
      </w:r>
      <w:r w:rsidR="003C3098" w:rsidRPr="002261B9">
        <w:rPr>
          <w:lang w:val="es-ES"/>
        </w:rPr>
        <w:t xml:space="preserve"> (</w:t>
      </w:r>
      <w:r w:rsidR="00E10461" w:rsidRPr="002261B9">
        <w:rPr>
          <w:lang w:val="es-ES"/>
        </w:rPr>
        <w:t>Observaciones de la Red de Eliminación de COP</w:t>
      </w:r>
      <w:r w:rsidR="007F0459" w:rsidRPr="002261B9">
        <w:rPr>
          <w:lang w:val="es-ES"/>
        </w:rPr>
        <w:t xml:space="preserve"> </w:t>
      </w:r>
      <w:r w:rsidR="002E5A2B" w:rsidRPr="002261B9">
        <w:rPr>
          <w:lang w:val="es-ES"/>
        </w:rPr>
        <w:t xml:space="preserve">sobre el segundo proyecto de evaluación de la gestión de los </w:t>
      </w:r>
      <w:r w:rsidR="004904E9" w:rsidRPr="002261B9">
        <w:rPr>
          <w:lang w:val="es-ES"/>
        </w:rPr>
        <w:t>riesgos)</w:t>
      </w:r>
      <w:r w:rsidR="003C3098" w:rsidRPr="002261B9">
        <w:rPr>
          <w:lang w:val="es-ES"/>
        </w:rPr>
        <w:t xml:space="preserve">. </w:t>
      </w:r>
      <w:r w:rsidR="002E5A2B" w:rsidRPr="002261B9">
        <w:rPr>
          <w:lang w:val="es-ES"/>
        </w:rPr>
        <w:t>La</w:t>
      </w:r>
      <w:r w:rsidR="00333E57" w:rsidRPr="002261B9">
        <w:rPr>
          <w:lang w:val="es-ES"/>
        </w:rPr>
        <w:t xml:space="preserve"> </w:t>
      </w:r>
      <w:r w:rsidR="002E5A2B" w:rsidRPr="002261B9">
        <w:rPr>
          <w:lang w:val="es-ES"/>
        </w:rPr>
        <w:t xml:space="preserve">Coalición sobre Espumas Ignífugas publicó </w:t>
      </w:r>
      <w:r w:rsidR="00E1011E" w:rsidRPr="002261B9">
        <w:rPr>
          <w:lang w:val="es-ES"/>
        </w:rPr>
        <w:t>“</w:t>
      </w:r>
      <w:r w:rsidR="00333E57" w:rsidRPr="002261B9">
        <w:rPr>
          <w:lang w:val="es-ES"/>
        </w:rPr>
        <w:t>Best Practice Guidance for Use of Class B Firefighting Foams</w:t>
      </w:r>
      <w:r w:rsidR="00E1011E" w:rsidRPr="002261B9">
        <w:rPr>
          <w:lang w:val="es-ES"/>
        </w:rPr>
        <w:t>”</w:t>
      </w:r>
      <w:r w:rsidR="0057533C" w:rsidRPr="002261B9">
        <w:rPr>
          <w:lang w:val="es-ES"/>
        </w:rPr>
        <w:t xml:space="preserve"> (Orientacio</w:t>
      </w:r>
      <w:r w:rsidR="002E5A2B" w:rsidRPr="002261B9">
        <w:rPr>
          <w:lang w:val="es-ES"/>
        </w:rPr>
        <w:t>n</w:t>
      </w:r>
      <w:r w:rsidR="0057533C" w:rsidRPr="002261B9">
        <w:rPr>
          <w:lang w:val="es-ES"/>
        </w:rPr>
        <w:t>es</w:t>
      </w:r>
      <w:r w:rsidR="002E5A2B" w:rsidRPr="002261B9">
        <w:rPr>
          <w:lang w:val="es-ES"/>
        </w:rPr>
        <w:t xml:space="preserve"> sobre las mejores prácticas para el uso de espumas ignífugas de clase B), que incluye una orientación sobre la selección de las espumas adecuadas, la restricción y eliminación de la descarga de espumas y la eliminación de espumas y de las aguas </w:t>
      </w:r>
      <w:r w:rsidR="00EA5AA8" w:rsidRPr="002261B9">
        <w:rPr>
          <w:lang w:val="es-ES"/>
        </w:rPr>
        <w:t xml:space="preserve">usadas </w:t>
      </w:r>
      <w:r w:rsidR="002E5A2B" w:rsidRPr="002261B9">
        <w:rPr>
          <w:lang w:val="es-ES"/>
        </w:rPr>
        <w:t>para combatir incendios</w:t>
      </w:r>
      <w:r w:rsidR="00333E57" w:rsidRPr="002261B9">
        <w:rPr>
          <w:lang w:val="es-ES"/>
        </w:rPr>
        <w:t xml:space="preserve"> (FFFC)</w:t>
      </w:r>
      <w:r w:rsidR="007F0459" w:rsidRPr="002261B9">
        <w:rPr>
          <w:rStyle w:val="FootnoteReference"/>
          <w:lang w:val="es-ES"/>
        </w:rPr>
        <w:footnoteReference w:id="16"/>
      </w:r>
      <w:r w:rsidR="00333E57" w:rsidRPr="002261B9">
        <w:rPr>
          <w:lang w:val="es-ES"/>
        </w:rPr>
        <w:t xml:space="preserve">. </w:t>
      </w:r>
      <w:r w:rsidR="002E5A2B" w:rsidRPr="002261B9">
        <w:rPr>
          <w:lang w:val="es-ES"/>
        </w:rPr>
        <w:t xml:space="preserve">Recomienda, entre otras cosas, que </w:t>
      </w:r>
      <w:r w:rsidR="00033E30" w:rsidRPr="002261B9">
        <w:rPr>
          <w:lang w:val="es-ES"/>
        </w:rPr>
        <w:t xml:space="preserve">en las actividades de capacitación o entrenamiento </w:t>
      </w:r>
      <w:r w:rsidR="002E5A2B" w:rsidRPr="002261B9">
        <w:rPr>
          <w:lang w:val="es-ES"/>
        </w:rPr>
        <w:t xml:space="preserve">se utilicen espumas que no contengan </w:t>
      </w:r>
      <w:r w:rsidR="00333E57" w:rsidRPr="002261B9">
        <w:rPr>
          <w:lang w:val="es-ES"/>
        </w:rPr>
        <w:t>fluorosurfactant</w:t>
      </w:r>
      <w:r w:rsidR="002E5A2B" w:rsidRPr="002261B9">
        <w:rPr>
          <w:lang w:val="es-ES"/>
        </w:rPr>
        <w:t>e</w:t>
      </w:r>
      <w:r w:rsidR="00333E57" w:rsidRPr="002261B9">
        <w:rPr>
          <w:lang w:val="es-ES"/>
        </w:rPr>
        <w:t>s</w:t>
      </w:r>
      <w:r w:rsidR="00033E30" w:rsidRPr="002261B9">
        <w:rPr>
          <w:lang w:val="es-ES"/>
        </w:rPr>
        <w:t>.</w:t>
      </w:r>
    </w:p>
    <w:p w14:paraId="1CEC3731" w14:textId="4A4784BF" w:rsidR="004D5B0D" w:rsidRPr="002261B9" w:rsidRDefault="00FD6EE0" w:rsidP="00F45508">
      <w:pPr>
        <w:pStyle w:val="Paralevel1"/>
        <w:numPr>
          <w:ilvl w:val="0"/>
          <w:numId w:val="23"/>
        </w:numPr>
        <w:tabs>
          <w:tab w:val="clear" w:pos="0"/>
        </w:tabs>
        <w:ind w:left="1247" w:firstLine="0"/>
        <w:rPr>
          <w:lang w:val="es-ES"/>
        </w:rPr>
      </w:pPr>
      <w:r w:rsidRPr="002261B9">
        <w:rPr>
          <w:lang w:val="es-ES"/>
        </w:rPr>
        <w:lastRenderedPageBreak/>
        <w:t xml:space="preserve">La campaña de desintoxicación y el Programa de Descarga </w:t>
      </w:r>
      <w:r w:rsidR="009423F3" w:rsidRPr="002261B9">
        <w:rPr>
          <w:lang w:val="es-ES"/>
        </w:rPr>
        <w:t xml:space="preserve">Cero </w:t>
      </w:r>
      <w:r w:rsidRPr="002261B9">
        <w:rPr>
          <w:lang w:val="es-ES"/>
        </w:rPr>
        <w:t xml:space="preserve">de Productos Químicos Peligrosos de </w:t>
      </w:r>
      <w:r w:rsidR="00954BE1" w:rsidRPr="002261B9">
        <w:rPr>
          <w:lang w:val="es-ES"/>
        </w:rPr>
        <w:t xml:space="preserve">Greenpeace </w:t>
      </w:r>
      <w:r w:rsidRPr="002261B9">
        <w:rPr>
          <w:lang w:val="es-ES"/>
        </w:rPr>
        <w:t>se centran en reduc</w:t>
      </w:r>
      <w:r w:rsidR="00954BE1" w:rsidRPr="002261B9">
        <w:rPr>
          <w:lang w:val="es-ES"/>
        </w:rPr>
        <w:t>ir</w:t>
      </w:r>
      <w:r w:rsidRPr="002261B9">
        <w:rPr>
          <w:lang w:val="es-ES"/>
        </w:rPr>
        <w:t xml:space="preserve"> las emisiones en las aguas residuales</w:t>
      </w:r>
      <w:r w:rsidR="004D5B0D" w:rsidRPr="002261B9">
        <w:rPr>
          <w:lang w:val="es-ES"/>
        </w:rPr>
        <w:t xml:space="preserve">. </w:t>
      </w:r>
      <w:r w:rsidRPr="002261B9">
        <w:rPr>
          <w:lang w:val="es-ES"/>
        </w:rPr>
        <w:t xml:space="preserve">Ya se han recomendado límites </w:t>
      </w:r>
      <w:r w:rsidR="007F0459" w:rsidRPr="002261B9">
        <w:rPr>
          <w:lang w:val="es-ES"/>
        </w:rPr>
        <w:t xml:space="preserve">voluntarios </w:t>
      </w:r>
      <w:r w:rsidRPr="002261B9">
        <w:rPr>
          <w:lang w:val="es-ES"/>
        </w:rPr>
        <w:t>máximos a los residuos</w:t>
      </w:r>
      <w:r w:rsidR="00954BE1" w:rsidRPr="002261B9">
        <w:rPr>
          <w:lang w:val="es-ES"/>
        </w:rPr>
        <w:t xml:space="preserve">, los cuales están siendo aplicados por </w:t>
      </w:r>
      <w:r w:rsidRPr="002261B9">
        <w:rPr>
          <w:lang w:val="es-ES"/>
        </w:rPr>
        <w:t>muchas empresas</w:t>
      </w:r>
      <w:r w:rsidR="004D5B0D" w:rsidRPr="002261B9">
        <w:rPr>
          <w:lang w:val="es-ES"/>
        </w:rPr>
        <w:t xml:space="preserve"> (</w:t>
      </w:r>
      <w:r w:rsidRPr="002261B9">
        <w:rPr>
          <w:lang w:val="es-ES"/>
        </w:rPr>
        <w:t>por ejemplo,</w:t>
      </w:r>
      <w:r w:rsidR="004D5B0D" w:rsidRPr="002261B9">
        <w:rPr>
          <w:lang w:val="es-ES"/>
        </w:rPr>
        <w:t xml:space="preserve"> H&amp;M, Adidas, Esprit, etc.) (TM</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 xml:space="preserve">. </w:t>
      </w:r>
    </w:p>
    <w:p w14:paraId="106C6870" w14:textId="58D4AE7D" w:rsidR="004D5B0D" w:rsidRPr="002261B9" w:rsidRDefault="00CB3CEE" w:rsidP="00F45508">
      <w:pPr>
        <w:pStyle w:val="Paralevel1"/>
        <w:numPr>
          <w:ilvl w:val="0"/>
          <w:numId w:val="23"/>
        </w:numPr>
        <w:tabs>
          <w:tab w:val="clear" w:pos="0"/>
        </w:tabs>
        <w:ind w:left="1247" w:firstLine="0"/>
        <w:rPr>
          <w:lang w:val="es-ES"/>
        </w:rPr>
      </w:pPr>
      <w:r w:rsidRPr="002261B9">
        <w:rPr>
          <w:lang w:val="es-ES"/>
        </w:rPr>
        <w:t xml:space="preserve">El Comité de Examen de los Contaminantes Orgánicos Persistentes elaboró un conjunto de recomendaciones sobre la manera de hacer frente a las </w:t>
      </w:r>
      <w:r w:rsidR="007F0459" w:rsidRPr="002261B9">
        <w:rPr>
          <w:lang w:val="es-ES"/>
        </w:rPr>
        <w:t>c</w:t>
      </w:r>
      <w:r w:rsidRPr="002261B9">
        <w:rPr>
          <w:lang w:val="es-ES"/>
        </w:rPr>
        <w:t xml:space="preserve">orrientes de desechos de </w:t>
      </w:r>
      <w:r w:rsidR="004D5B0D" w:rsidRPr="002261B9">
        <w:rPr>
          <w:lang w:val="es-ES"/>
        </w:rPr>
        <w:t xml:space="preserve">PFOS </w:t>
      </w:r>
      <w:r w:rsidRPr="002261B9">
        <w:rPr>
          <w:lang w:val="es-ES"/>
        </w:rPr>
        <w:t>que se pueden aplicar</w:t>
      </w:r>
      <w:r w:rsidR="00A70E0C" w:rsidRPr="002261B9">
        <w:rPr>
          <w:lang w:val="es-ES"/>
        </w:rPr>
        <w:t>,</w:t>
      </w:r>
      <w:r w:rsidRPr="002261B9">
        <w:rPr>
          <w:lang w:val="es-ES"/>
        </w:rPr>
        <w:t xml:space="preserve"> en gran medida</w:t>
      </w:r>
      <w:r w:rsidR="00A70E0C" w:rsidRPr="002261B9">
        <w:rPr>
          <w:lang w:val="es-ES"/>
        </w:rPr>
        <w:t>,</w:t>
      </w:r>
      <w:r w:rsidRPr="002261B9">
        <w:rPr>
          <w:lang w:val="es-ES"/>
        </w:rPr>
        <w:t xml:space="preserve"> al </w:t>
      </w:r>
      <w:r w:rsidR="004D5B0D" w:rsidRPr="002261B9">
        <w:rPr>
          <w:lang w:val="es-ES"/>
        </w:rPr>
        <w:t>PFOA</w:t>
      </w:r>
      <w:r w:rsidR="007F0459" w:rsidRPr="002261B9">
        <w:rPr>
          <w:lang w:val="es-ES"/>
        </w:rPr>
        <w:t xml:space="preserve">, sus sales y compuestos conexos </w:t>
      </w:r>
      <w:r w:rsidR="00E10A0E" w:rsidRPr="002261B9">
        <w:rPr>
          <w:lang w:val="es-ES"/>
        </w:rPr>
        <w:t xml:space="preserve">que se utilicen con fines </w:t>
      </w:r>
      <w:r w:rsidR="007F0459" w:rsidRPr="002261B9">
        <w:rPr>
          <w:lang w:val="es-ES"/>
        </w:rPr>
        <w:t>similares</w:t>
      </w:r>
      <w:r w:rsidR="004D5B0D" w:rsidRPr="002261B9">
        <w:rPr>
          <w:lang w:val="es-ES"/>
        </w:rPr>
        <w:t>.</w:t>
      </w:r>
      <w:r w:rsidRPr="002261B9">
        <w:rPr>
          <w:lang w:val="es-ES"/>
        </w:rPr>
        <w:t xml:space="preserve"> </w:t>
      </w:r>
      <w:r w:rsidR="004D5B0D" w:rsidRPr="002261B9">
        <w:rPr>
          <w:lang w:val="es-ES"/>
        </w:rPr>
        <w:t>(</w:t>
      </w:r>
      <w:r w:rsidR="00FE04EE" w:rsidRPr="002261B9">
        <w:rPr>
          <w:lang w:val="es-ES"/>
        </w:rPr>
        <w:t xml:space="preserve">para más información, </w:t>
      </w:r>
      <w:r w:rsidR="00F13B21" w:rsidRPr="002261B9">
        <w:rPr>
          <w:lang w:val="es-ES"/>
        </w:rPr>
        <w:t>véa</w:t>
      </w:r>
      <w:r w:rsidR="00FE04EE" w:rsidRPr="002261B9">
        <w:rPr>
          <w:lang w:val="es-ES"/>
        </w:rPr>
        <w:t>n</w:t>
      </w:r>
      <w:r w:rsidR="00F13B21" w:rsidRPr="002261B9">
        <w:rPr>
          <w:lang w:val="es-ES"/>
        </w:rPr>
        <w:t>se</w:t>
      </w:r>
      <w:r w:rsidR="00F73333" w:rsidRPr="002261B9">
        <w:rPr>
          <w:lang w:val="es-ES"/>
        </w:rPr>
        <w:t xml:space="preserve"> </w:t>
      </w:r>
      <w:r w:rsidR="004D5B0D" w:rsidRPr="002261B9">
        <w:rPr>
          <w:lang w:val="es-ES"/>
        </w:rPr>
        <w:t>POPRC-6/2</w:t>
      </w:r>
      <w:r w:rsidR="009F1290" w:rsidRPr="002261B9">
        <w:rPr>
          <w:lang w:val="es-ES"/>
        </w:rPr>
        <w:t xml:space="preserve"> </w:t>
      </w:r>
      <w:r w:rsidR="00FE04EE" w:rsidRPr="002261B9">
        <w:rPr>
          <w:lang w:val="es-ES"/>
        </w:rPr>
        <w:t>y</w:t>
      </w:r>
      <w:r w:rsidR="009F1290" w:rsidRPr="002261B9">
        <w:rPr>
          <w:lang w:val="es-ES"/>
        </w:rPr>
        <w:t xml:space="preserve"> </w:t>
      </w:r>
      <w:r w:rsidR="007F0459" w:rsidRPr="002261B9">
        <w:rPr>
          <w:lang w:val="es-ES"/>
        </w:rPr>
        <w:t xml:space="preserve">PNUMA, </w:t>
      </w:r>
      <w:r w:rsidR="009F1290" w:rsidRPr="002261B9">
        <w:rPr>
          <w:lang w:val="es-ES"/>
        </w:rPr>
        <w:t>2017</w:t>
      </w:r>
      <w:r w:rsidR="00452DB2" w:rsidRPr="002261B9">
        <w:rPr>
          <w:lang w:val="es-ES"/>
        </w:rPr>
        <w:t>)</w:t>
      </w:r>
      <w:r w:rsidR="004D5B0D" w:rsidRPr="002261B9">
        <w:rPr>
          <w:lang w:val="es-ES"/>
        </w:rPr>
        <w:t xml:space="preserve">. </w:t>
      </w:r>
    </w:p>
    <w:p w14:paraId="5E2D4D5D" w14:textId="4B44DBC2" w:rsidR="007C16B6" w:rsidRPr="002261B9" w:rsidRDefault="00A76D63" w:rsidP="00F45508">
      <w:pPr>
        <w:pStyle w:val="Paralevel1"/>
        <w:numPr>
          <w:ilvl w:val="0"/>
          <w:numId w:val="23"/>
        </w:numPr>
        <w:tabs>
          <w:tab w:val="clear" w:pos="0"/>
        </w:tabs>
        <w:ind w:left="1247" w:firstLine="0"/>
        <w:rPr>
          <w:lang w:val="es-ES"/>
        </w:rPr>
      </w:pPr>
      <w:r w:rsidRPr="002261B9">
        <w:rPr>
          <w:lang w:val="es-ES"/>
        </w:rPr>
        <w:t>E</w:t>
      </w:r>
      <w:r w:rsidR="004D5B0D" w:rsidRPr="002261B9">
        <w:rPr>
          <w:lang w:val="es-ES"/>
        </w:rPr>
        <w:t xml:space="preserve">n 2015, </w:t>
      </w:r>
      <w:r w:rsidRPr="002261B9">
        <w:rPr>
          <w:lang w:val="es-ES"/>
        </w:rPr>
        <w:t>el Organismo Sueco de Protección Ambiental realizó un estudio inicial de los</w:t>
      </w:r>
      <w:r w:rsidR="004D5B0D" w:rsidRPr="002261B9">
        <w:rPr>
          <w:lang w:val="es-ES"/>
        </w:rPr>
        <w:t xml:space="preserve"> PFAS (</w:t>
      </w:r>
      <w:r w:rsidR="00D85B93" w:rsidRPr="002261B9">
        <w:rPr>
          <w:lang w:val="es-ES"/>
        </w:rPr>
        <w:t>en particular el </w:t>
      </w:r>
      <w:r w:rsidR="004D5B0D" w:rsidRPr="002261B9">
        <w:rPr>
          <w:lang w:val="es-ES"/>
        </w:rPr>
        <w:t xml:space="preserve">PFOA) </w:t>
      </w:r>
      <w:r w:rsidRPr="002261B9">
        <w:rPr>
          <w:lang w:val="es-ES"/>
        </w:rPr>
        <w:t xml:space="preserve">en unas </w:t>
      </w:r>
      <w:r w:rsidR="004D5B0D" w:rsidRPr="002261B9">
        <w:rPr>
          <w:lang w:val="es-ES"/>
        </w:rPr>
        <w:t xml:space="preserve">500 </w:t>
      </w:r>
      <w:r w:rsidRPr="002261B9">
        <w:rPr>
          <w:lang w:val="es-ES"/>
        </w:rPr>
        <w:t>muestras de agua</w:t>
      </w:r>
      <w:r w:rsidR="004D5B0D" w:rsidRPr="002261B9">
        <w:rPr>
          <w:lang w:val="es-ES"/>
        </w:rPr>
        <w:t xml:space="preserve">, </w:t>
      </w:r>
      <w:r w:rsidRPr="002261B9">
        <w:rPr>
          <w:lang w:val="es-ES"/>
        </w:rPr>
        <w:t>en particular las aguas subterráneas, las aguas superficiales, el material lixiviado de los vertedero</w:t>
      </w:r>
      <w:r w:rsidR="009423F3" w:rsidRPr="002261B9">
        <w:rPr>
          <w:lang w:val="es-ES"/>
        </w:rPr>
        <w:t>s</w:t>
      </w:r>
      <w:r w:rsidRPr="002261B9">
        <w:rPr>
          <w:lang w:val="es-ES"/>
        </w:rPr>
        <w:t xml:space="preserve"> y los efluentes de plantas de tratamiento de aguas residuales</w:t>
      </w:r>
      <w:r w:rsidR="004D5B0D" w:rsidRPr="002261B9">
        <w:rPr>
          <w:lang w:val="es-ES"/>
        </w:rPr>
        <w:t xml:space="preserve"> (</w:t>
      </w:r>
      <w:r w:rsidRPr="002261B9">
        <w:rPr>
          <w:lang w:val="es-ES"/>
        </w:rPr>
        <w:t>Organismo Sueco de Protección Ambiental</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w:t>
      </w:r>
      <w:r w:rsidR="00284890" w:rsidRPr="002261B9">
        <w:rPr>
          <w:lang w:val="es-ES"/>
        </w:rPr>
        <w:t xml:space="preserve"> </w:t>
      </w:r>
      <w:r w:rsidR="00E2747F" w:rsidRPr="002261B9">
        <w:rPr>
          <w:lang w:val="es-ES"/>
        </w:rPr>
        <w:t>Las fuentes puntuales más importantes detectadas fueron las zonas donde se habían usado espumas ignífugas</w:t>
      </w:r>
      <w:r w:rsidR="004D5B0D" w:rsidRPr="002261B9">
        <w:rPr>
          <w:lang w:val="es-ES"/>
        </w:rPr>
        <w:t xml:space="preserve"> (a</w:t>
      </w:r>
      <w:r w:rsidR="00E2747F" w:rsidRPr="002261B9">
        <w:rPr>
          <w:lang w:val="es-ES"/>
        </w:rPr>
        <w:t>eropuertos y l</w:t>
      </w:r>
      <w:r w:rsidR="004E437C" w:rsidRPr="002261B9">
        <w:rPr>
          <w:lang w:val="es-ES"/>
        </w:rPr>
        <w:t>ugares</w:t>
      </w:r>
      <w:r w:rsidR="00E2747F" w:rsidRPr="002261B9">
        <w:rPr>
          <w:lang w:val="es-ES"/>
        </w:rPr>
        <w:t xml:space="preserve"> de </w:t>
      </w:r>
      <w:r w:rsidR="004556E0" w:rsidRPr="002261B9">
        <w:rPr>
          <w:lang w:val="es-ES"/>
        </w:rPr>
        <w:t>entrenamiento en lucha contra incendios</w:t>
      </w:r>
      <w:r w:rsidR="004D5B0D" w:rsidRPr="002261B9">
        <w:rPr>
          <w:lang w:val="es-ES"/>
        </w:rPr>
        <w:t>)</w:t>
      </w:r>
      <w:r w:rsidR="00E2747F" w:rsidRPr="002261B9">
        <w:rPr>
          <w:lang w:val="es-ES"/>
        </w:rPr>
        <w:t>, así como plantas de tratamiento de desechos y aguas residuales</w:t>
      </w:r>
      <w:r w:rsidR="004D5B0D" w:rsidRPr="002261B9">
        <w:rPr>
          <w:lang w:val="es-ES"/>
        </w:rPr>
        <w:t xml:space="preserve">. </w:t>
      </w:r>
      <w:r w:rsidR="00E2747F" w:rsidRPr="002261B9">
        <w:rPr>
          <w:lang w:val="es-ES"/>
        </w:rPr>
        <w:t>Las medidas de reducción del riesgo recomendadas son</w:t>
      </w:r>
      <w:r w:rsidR="004D5B0D" w:rsidRPr="002261B9">
        <w:rPr>
          <w:lang w:val="es-ES"/>
        </w:rPr>
        <w:t>: restric</w:t>
      </w:r>
      <w:r w:rsidR="00E2747F" w:rsidRPr="002261B9">
        <w:rPr>
          <w:lang w:val="es-ES"/>
        </w:rPr>
        <w:t>ción de la liberación de</w:t>
      </w:r>
      <w:r w:rsidR="004D5B0D" w:rsidRPr="002261B9">
        <w:rPr>
          <w:lang w:val="es-ES"/>
        </w:rPr>
        <w:t xml:space="preserve"> PFAS</w:t>
      </w:r>
      <w:r w:rsidR="00E2747F" w:rsidRPr="002261B9">
        <w:rPr>
          <w:lang w:val="es-ES"/>
        </w:rPr>
        <w:t xml:space="preserve"> de las </w:t>
      </w:r>
      <w:r w:rsidR="009423F3" w:rsidRPr="002261B9">
        <w:rPr>
          <w:lang w:val="es-ES"/>
        </w:rPr>
        <w:t>f</w:t>
      </w:r>
      <w:r w:rsidR="00E2747F" w:rsidRPr="002261B9">
        <w:rPr>
          <w:lang w:val="es-ES"/>
        </w:rPr>
        <w:t>uentes puntuales</w:t>
      </w:r>
      <w:r w:rsidR="004D5B0D" w:rsidRPr="002261B9">
        <w:rPr>
          <w:lang w:val="es-ES"/>
        </w:rPr>
        <w:t xml:space="preserve">, </w:t>
      </w:r>
      <w:r w:rsidR="009423F3" w:rsidRPr="002261B9">
        <w:rPr>
          <w:lang w:val="es-ES"/>
        </w:rPr>
        <w:t xml:space="preserve">limitación del </w:t>
      </w:r>
      <w:r w:rsidR="00E2747F" w:rsidRPr="002261B9">
        <w:rPr>
          <w:lang w:val="es-ES"/>
        </w:rPr>
        <w:t xml:space="preserve">uso de espumas ignífugas que contengan </w:t>
      </w:r>
      <w:r w:rsidR="004D5B0D" w:rsidRPr="002261B9">
        <w:rPr>
          <w:lang w:val="es-ES"/>
        </w:rPr>
        <w:t xml:space="preserve">PFAS, </w:t>
      </w:r>
      <w:r w:rsidR="00584CE9" w:rsidRPr="002261B9">
        <w:rPr>
          <w:lang w:val="es-ES"/>
        </w:rPr>
        <w:t xml:space="preserve">gestiones a nivel internacional para limitar el uso y las emisiones de </w:t>
      </w:r>
      <w:r w:rsidR="004D5B0D" w:rsidRPr="002261B9">
        <w:rPr>
          <w:lang w:val="es-ES"/>
        </w:rPr>
        <w:t xml:space="preserve">PFAS </w:t>
      </w:r>
      <w:r w:rsidR="00E2747F" w:rsidRPr="002261B9">
        <w:rPr>
          <w:lang w:val="es-ES"/>
        </w:rPr>
        <w:t xml:space="preserve">en locales industriales y elaboración de técnicas de </w:t>
      </w:r>
      <w:r w:rsidR="00584CE9" w:rsidRPr="002261B9">
        <w:rPr>
          <w:lang w:val="es-ES"/>
        </w:rPr>
        <w:t>descontaminación</w:t>
      </w:r>
      <w:r w:rsidR="00284890" w:rsidRPr="002261B9">
        <w:rPr>
          <w:lang w:val="es-ES"/>
        </w:rPr>
        <w:t xml:space="preserve"> </w:t>
      </w:r>
      <w:r w:rsidR="00584CE9" w:rsidRPr="002261B9">
        <w:rPr>
          <w:lang w:val="es-ES"/>
        </w:rPr>
        <w:t>para los</w:t>
      </w:r>
      <w:r w:rsidR="004D5B0D" w:rsidRPr="002261B9">
        <w:rPr>
          <w:lang w:val="es-ES"/>
        </w:rPr>
        <w:t xml:space="preserve"> PFAS. </w:t>
      </w:r>
      <w:r w:rsidR="00584CE9" w:rsidRPr="002261B9">
        <w:rPr>
          <w:lang w:val="es-ES"/>
        </w:rPr>
        <w:t>E</w:t>
      </w:r>
      <w:r w:rsidR="004D5B0D" w:rsidRPr="002261B9">
        <w:rPr>
          <w:lang w:val="es-ES"/>
        </w:rPr>
        <w:t>n S</w:t>
      </w:r>
      <w:r w:rsidR="00584CE9" w:rsidRPr="002261B9">
        <w:rPr>
          <w:lang w:val="es-ES"/>
        </w:rPr>
        <w:t>uecia</w:t>
      </w:r>
      <w:r w:rsidR="009F321B" w:rsidRPr="002261B9">
        <w:rPr>
          <w:lang w:val="es-ES"/>
        </w:rPr>
        <w:t>,</w:t>
      </w:r>
      <w:r w:rsidR="004D5B0D" w:rsidRPr="002261B9">
        <w:rPr>
          <w:lang w:val="es-ES"/>
        </w:rPr>
        <w:t xml:space="preserve"> </w:t>
      </w:r>
      <w:r w:rsidR="00584CE9" w:rsidRPr="002261B9">
        <w:rPr>
          <w:lang w:val="es-ES"/>
        </w:rPr>
        <w:t xml:space="preserve">se estableció en 2014 una red de todas las autoridades pertinentes encargada de prestar apoyo y suministrar información a las demás autoridades, a los condados, gobiernos municipales, productores de agua y otros interesados sobre cuestiones relacionadas con los </w:t>
      </w:r>
      <w:r w:rsidR="004D5B0D" w:rsidRPr="002261B9">
        <w:rPr>
          <w:lang w:val="es-ES"/>
        </w:rPr>
        <w:t>PFAS (</w:t>
      </w:r>
      <w:r w:rsidR="00584CE9" w:rsidRPr="002261B9">
        <w:rPr>
          <w:lang w:val="es-ES"/>
        </w:rPr>
        <w:t xml:space="preserve">en particular, el </w:t>
      </w:r>
      <w:r w:rsidR="004D5B0D" w:rsidRPr="002261B9">
        <w:rPr>
          <w:lang w:val="es-ES"/>
        </w:rPr>
        <w:t>PFOA)</w:t>
      </w:r>
      <w:r w:rsidR="00584CE9" w:rsidRPr="002261B9">
        <w:rPr>
          <w:lang w:val="es-ES"/>
        </w:rPr>
        <w:t>, como</w:t>
      </w:r>
      <w:r w:rsidR="001E397C">
        <w:rPr>
          <w:lang w:val="es-ES"/>
        </w:rPr>
        <w:t xml:space="preserve"> la evaluación y gestión de los </w:t>
      </w:r>
      <w:r w:rsidR="00584CE9" w:rsidRPr="002261B9">
        <w:rPr>
          <w:lang w:val="es-ES"/>
        </w:rPr>
        <w:t>riesgo</w:t>
      </w:r>
      <w:r w:rsidR="009423F3" w:rsidRPr="002261B9">
        <w:rPr>
          <w:lang w:val="es-ES"/>
        </w:rPr>
        <w:t>s</w:t>
      </w:r>
      <w:r w:rsidR="00013881" w:rsidRPr="002261B9">
        <w:rPr>
          <w:lang w:val="es-ES"/>
        </w:rPr>
        <w:t xml:space="preserve"> (</w:t>
      </w:r>
      <w:r w:rsidR="007F0459" w:rsidRPr="002261B9">
        <w:rPr>
          <w:lang w:val="es-ES"/>
        </w:rPr>
        <w:t>O</w:t>
      </w:r>
      <w:r w:rsidR="00584CE9" w:rsidRPr="002261B9">
        <w:rPr>
          <w:lang w:val="es-ES"/>
        </w:rPr>
        <w:t>bservaci</w:t>
      </w:r>
      <w:r w:rsidR="007F0459" w:rsidRPr="002261B9">
        <w:rPr>
          <w:lang w:val="es-ES"/>
        </w:rPr>
        <w:t>o</w:t>
      </w:r>
      <w:r w:rsidR="00584CE9" w:rsidRPr="002261B9">
        <w:rPr>
          <w:lang w:val="es-ES"/>
        </w:rPr>
        <w:t>n</w:t>
      </w:r>
      <w:r w:rsidR="007F0459" w:rsidRPr="002261B9">
        <w:rPr>
          <w:lang w:val="es-ES"/>
        </w:rPr>
        <w:t>es</w:t>
      </w:r>
      <w:r w:rsidR="00584CE9" w:rsidRPr="002261B9">
        <w:rPr>
          <w:lang w:val="es-ES"/>
        </w:rPr>
        <w:t xml:space="preserve"> de Suecia </w:t>
      </w:r>
      <w:r w:rsidRPr="002261B9">
        <w:rPr>
          <w:lang w:val="es-ES"/>
        </w:rPr>
        <w:t xml:space="preserve">sobre el segundo proyecto de </w:t>
      </w:r>
      <w:r w:rsidR="001E397C">
        <w:rPr>
          <w:lang w:val="es-ES"/>
        </w:rPr>
        <w:t>evaluación de la gestión de los </w:t>
      </w:r>
      <w:r w:rsidRPr="002261B9">
        <w:rPr>
          <w:lang w:val="es-ES"/>
        </w:rPr>
        <w:t>riesgos</w:t>
      </w:r>
      <w:r w:rsidR="00013881" w:rsidRPr="002261B9">
        <w:rPr>
          <w:lang w:val="es-ES"/>
        </w:rPr>
        <w:t>)</w:t>
      </w:r>
      <w:r w:rsidR="004D5B0D" w:rsidRPr="002261B9">
        <w:rPr>
          <w:lang w:val="es-ES"/>
        </w:rPr>
        <w:t xml:space="preserve">. </w:t>
      </w:r>
    </w:p>
    <w:p w14:paraId="0AFDD3C9" w14:textId="10924800" w:rsidR="004D5B0D" w:rsidRPr="002261B9" w:rsidRDefault="00E2747F" w:rsidP="00F45508">
      <w:pPr>
        <w:pStyle w:val="Paralevel1"/>
        <w:numPr>
          <w:ilvl w:val="0"/>
          <w:numId w:val="23"/>
        </w:numPr>
        <w:tabs>
          <w:tab w:val="clear" w:pos="0"/>
        </w:tabs>
        <w:ind w:left="1247" w:firstLine="0"/>
        <w:rPr>
          <w:lang w:val="es-ES"/>
        </w:rPr>
      </w:pPr>
      <w:r w:rsidRPr="002261B9">
        <w:rPr>
          <w:lang w:val="es-ES"/>
        </w:rPr>
        <w:t>Cabe suponer que la degradación</w:t>
      </w:r>
      <w:r w:rsidR="004D5B0D" w:rsidRPr="002261B9">
        <w:rPr>
          <w:lang w:val="es-ES"/>
        </w:rPr>
        <w:t xml:space="preserve"> </w:t>
      </w:r>
      <w:r w:rsidRPr="002261B9">
        <w:rPr>
          <w:lang w:val="es-ES"/>
        </w:rPr>
        <w:t>de productos poliméricos a base de fluorotelómeros</w:t>
      </w:r>
      <w:r w:rsidR="004D5B0D" w:rsidRPr="002261B9">
        <w:rPr>
          <w:lang w:val="es-ES"/>
        </w:rPr>
        <w:t xml:space="preserve"> represent</w:t>
      </w:r>
      <w:r w:rsidRPr="002261B9">
        <w:rPr>
          <w:lang w:val="es-ES"/>
        </w:rPr>
        <w:t>a</w:t>
      </w:r>
      <w:r w:rsidR="004D5B0D" w:rsidRPr="002261B9">
        <w:rPr>
          <w:lang w:val="es-ES"/>
        </w:rPr>
        <w:t xml:space="preserve"> </w:t>
      </w:r>
      <w:r w:rsidRPr="002261B9">
        <w:rPr>
          <w:lang w:val="es-ES"/>
        </w:rPr>
        <w:t>una posible fuente indirecta de</w:t>
      </w:r>
      <w:r w:rsidR="004D5B0D" w:rsidRPr="002261B9">
        <w:rPr>
          <w:lang w:val="es-ES"/>
        </w:rPr>
        <w:t xml:space="preserve"> PFCA </w:t>
      </w:r>
      <w:r w:rsidRPr="002261B9">
        <w:rPr>
          <w:lang w:val="es-ES"/>
        </w:rPr>
        <w:t>de la degradación durante el uso</w:t>
      </w:r>
      <w:r w:rsidR="004D5B0D" w:rsidRPr="002261B9">
        <w:rPr>
          <w:lang w:val="es-ES"/>
        </w:rPr>
        <w:t xml:space="preserve"> (</w:t>
      </w:r>
      <w:r w:rsidRPr="002261B9">
        <w:rPr>
          <w:lang w:val="es-ES"/>
        </w:rPr>
        <w:t>por ejemplo, los lodos de las plantas de tratamiento de aguas residuales resultantes del lavado de materiales textiles</w:t>
      </w:r>
      <w:r w:rsidR="004D5B0D" w:rsidRPr="002261B9">
        <w:rPr>
          <w:lang w:val="es-ES"/>
        </w:rPr>
        <w:t>) o</w:t>
      </w:r>
      <w:r w:rsidRPr="002261B9">
        <w:rPr>
          <w:lang w:val="es-ES"/>
        </w:rPr>
        <w:t xml:space="preserve"> la eliminación</w:t>
      </w:r>
      <w:r w:rsidR="004D5B0D" w:rsidRPr="002261B9">
        <w:rPr>
          <w:lang w:val="es-ES"/>
        </w:rPr>
        <w:t xml:space="preserve"> (</w:t>
      </w:r>
      <w:r w:rsidRPr="002261B9">
        <w:rPr>
          <w:lang w:val="es-ES"/>
        </w:rPr>
        <w:t>por ejemplo, vertederos o incineración</w:t>
      </w:r>
      <w:r w:rsidR="004D5B0D" w:rsidRPr="002261B9">
        <w:rPr>
          <w:lang w:val="es-ES"/>
        </w:rPr>
        <w:t>) (</w:t>
      </w:r>
      <w:r w:rsidR="00F13B21" w:rsidRPr="002261B9">
        <w:rPr>
          <w:lang w:val="es-ES"/>
        </w:rPr>
        <w:t>véa</w:t>
      </w:r>
      <w:r w:rsidR="00033E30" w:rsidRPr="002261B9">
        <w:rPr>
          <w:lang w:val="es-ES"/>
        </w:rPr>
        <w:t>n</w:t>
      </w:r>
      <w:r w:rsidR="00F13B21" w:rsidRPr="002261B9">
        <w:rPr>
          <w:lang w:val="es-ES"/>
        </w:rPr>
        <w:t>se</w:t>
      </w:r>
      <w:r w:rsidR="004935DB" w:rsidRPr="002261B9">
        <w:rPr>
          <w:lang w:val="es-ES"/>
        </w:rPr>
        <w:t xml:space="preserve"> </w:t>
      </w:r>
      <w:r w:rsidR="004D5B0D" w:rsidRPr="002261B9">
        <w:rPr>
          <w:lang w:val="es-ES"/>
        </w:rPr>
        <w:t xml:space="preserve">Prevedouros </w:t>
      </w:r>
      <w:r w:rsidR="003134EC" w:rsidRPr="002261B9">
        <w:rPr>
          <w:lang w:val="es-ES"/>
        </w:rPr>
        <w:t>y otros</w:t>
      </w:r>
      <w:r w:rsidR="004904E9" w:rsidRPr="002261B9">
        <w:rPr>
          <w:lang w:val="es-ES"/>
        </w:rPr>
        <w:t>,</w:t>
      </w:r>
      <w:r w:rsidR="006F57D4" w:rsidRPr="002261B9">
        <w:rPr>
          <w:lang w:val="es-ES"/>
        </w:rPr>
        <w:t xml:space="preserve"> 2</w:t>
      </w:r>
      <w:r w:rsidR="004D5B0D" w:rsidRPr="002261B9">
        <w:rPr>
          <w:lang w:val="es-ES"/>
        </w:rPr>
        <w:t>006</w:t>
      </w:r>
      <w:r w:rsidR="004935DB" w:rsidRPr="002261B9">
        <w:rPr>
          <w:lang w:val="es-ES"/>
        </w:rPr>
        <w:t xml:space="preserve">, Wang </w:t>
      </w:r>
      <w:r w:rsidR="003134EC" w:rsidRPr="002261B9">
        <w:rPr>
          <w:lang w:val="es-ES"/>
        </w:rPr>
        <w:t>y otros</w:t>
      </w:r>
      <w:r w:rsidR="004904E9" w:rsidRPr="002261B9">
        <w:rPr>
          <w:lang w:val="es-ES"/>
        </w:rPr>
        <w:t>,</w:t>
      </w:r>
      <w:r w:rsidR="006F57D4" w:rsidRPr="002261B9">
        <w:rPr>
          <w:lang w:val="es-ES"/>
        </w:rPr>
        <w:t xml:space="preserve"> 2</w:t>
      </w:r>
      <w:r w:rsidR="004935DB" w:rsidRPr="002261B9">
        <w:rPr>
          <w:lang w:val="es-ES"/>
        </w:rPr>
        <w:t>014a</w:t>
      </w:r>
      <w:r w:rsidR="00194000" w:rsidRPr="002261B9">
        <w:rPr>
          <w:lang w:val="es-ES"/>
        </w:rPr>
        <w:t>)</w:t>
      </w:r>
      <w:r w:rsidR="004935DB" w:rsidRPr="002261B9">
        <w:rPr>
          <w:lang w:val="es-ES"/>
        </w:rPr>
        <w:t xml:space="preserve">, Wang </w:t>
      </w:r>
      <w:r w:rsidR="003134EC" w:rsidRPr="002261B9">
        <w:rPr>
          <w:lang w:val="es-ES"/>
        </w:rPr>
        <w:t>y otros</w:t>
      </w:r>
      <w:r w:rsidR="004904E9" w:rsidRPr="002261B9">
        <w:rPr>
          <w:lang w:val="es-ES"/>
        </w:rPr>
        <w:t>,</w:t>
      </w:r>
      <w:r w:rsidR="006F57D4" w:rsidRPr="002261B9">
        <w:rPr>
          <w:lang w:val="es-ES"/>
        </w:rPr>
        <w:t xml:space="preserve"> 2</w:t>
      </w:r>
      <w:r w:rsidR="004935DB" w:rsidRPr="002261B9">
        <w:rPr>
          <w:lang w:val="es-ES"/>
        </w:rPr>
        <w:t>014</w:t>
      </w:r>
      <w:r w:rsidR="00A4214F" w:rsidRPr="002261B9">
        <w:rPr>
          <w:lang w:val="es-ES"/>
        </w:rPr>
        <w:t>b</w:t>
      </w:r>
      <w:r w:rsidR="00452DB2" w:rsidRPr="002261B9">
        <w:rPr>
          <w:lang w:val="es-ES"/>
        </w:rPr>
        <w:t>)</w:t>
      </w:r>
      <w:r w:rsidR="004D5B0D" w:rsidRPr="002261B9">
        <w:rPr>
          <w:lang w:val="es-ES"/>
        </w:rPr>
        <w:t>.</w:t>
      </w:r>
    </w:p>
    <w:p w14:paraId="46B2882E" w14:textId="3B23AF79" w:rsidR="008F69F8" w:rsidRPr="002261B9" w:rsidRDefault="004127F3" w:rsidP="00F45508">
      <w:pPr>
        <w:pStyle w:val="Paralevel1"/>
        <w:numPr>
          <w:ilvl w:val="0"/>
          <w:numId w:val="23"/>
        </w:numPr>
        <w:tabs>
          <w:tab w:val="clear" w:pos="0"/>
        </w:tabs>
        <w:ind w:left="1247" w:firstLine="0"/>
        <w:rPr>
          <w:lang w:val="es-ES"/>
        </w:rPr>
      </w:pPr>
      <w:r w:rsidRPr="002261B9">
        <w:rPr>
          <w:lang w:val="es-ES"/>
        </w:rPr>
        <w:t>A</w:t>
      </w:r>
      <w:r w:rsidR="00584CE9" w:rsidRPr="002261B9">
        <w:rPr>
          <w:lang w:val="es-ES"/>
        </w:rPr>
        <w:t xml:space="preserve">lgunos productores de </w:t>
      </w:r>
      <w:r w:rsidRPr="002261B9">
        <w:rPr>
          <w:lang w:val="es-ES"/>
        </w:rPr>
        <w:t>fluoropol</w:t>
      </w:r>
      <w:r w:rsidR="00584CE9" w:rsidRPr="002261B9">
        <w:rPr>
          <w:lang w:val="es-ES"/>
        </w:rPr>
        <w:t xml:space="preserve">ímeros y </w:t>
      </w:r>
      <w:r w:rsidRPr="002261B9">
        <w:rPr>
          <w:lang w:val="es-ES"/>
        </w:rPr>
        <w:t>fluoroelast</w:t>
      </w:r>
      <w:r w:rsidR="00584CE9" w:rsidRPr="002261B9">
        <w:rPr>
          <w:lang w:val="es-ES"/>
        </w:rPr>
        <w:t>ó</w:t>
      </w:r>
      <w:r w:rsidRPr="002261B9">
        <w:rPr>
          <w:lang w:val="es-ES"/>
        </w:rPr>
        <w:t>mer</w:t>
      </w:r>
      <w:r w:rsidR="00584CE9" w:rsidRPr="002261B9">
        <w:rPr>
          <w:lang w:val="es-ES"/>
        </w:rPr>
        <w:t xml:space="preserve">os de muchas partes del mundo han creado y aplicado tecnologías diversas para recuperar y reciclar el </w:t>
      </w:r>
      <w:r w:rsidRPr="002261B9">
        <w:rPr>
          <w:lang w:val="es-ES"/>
        </w:rPr>
        <w:t xml:space="preserve">PFOA </w:t>
      </w:r>
      <w:r w:rsidR="00584CE9" w:rsidRPr="002261B9">
        <w:rPr>
          <w:lang w:val="es-ES"/>
        </w:rPr>
        <w:t>y otros emulsificadores fluorados en sus procesos de producción</w:t>
      </w:r>
      <w:r w:rsidRPr="002261B9">
        <w:rPr>
          <w:lang w:val="es-ES"/>
        </w:rPr>
        <w:t xml:space="preserve">, </w:t>
      </w:r>
      <w:r w:rsidR="00584CE9" w:rsidRPr="002261B9">
        <w:rPr>
          <w:lang w:val="es-ES"/>
        </w:rPr>
        <w:t>incluido el tratamiento de los efluentes gaseosos</w:t>
      </w:r>
      <w:r w:rsidRPr="002261B9">
        <w:rPr>
          <w:lang w:val="es-ES"/>
        </w:rPr>
        <w:t xml:space="preserve">, </w:t>
      </w:r>
      <w:r w:rsidR="00584CE9" w:rsidRPr="002261B9">
        <w:rPr>
          <w:lang w:val="es-ES"/>
        </w:rPr>
        <w:t>las corrientes de aguas residuales y las dispersiones de fluoropolímeros</w:t>
      </w:r>
      <w:r w:rsidRPr="002261B9">
        <w:rPr>
          <w:lang w:val="es-ES"/>
        </w:rPr>
        <w:t xml:space="preserve">, </w:t>
      </w:r>
      <w:r w:rsidR="00194000" w:rsidRPr="002261B9">
        <w:rPr>
          <w:lang w:val="es-ES"/>
        </w:rPr>
        <w:t>a fin</w:t>
      </w:r>
      <w:r w:rsidR="00584CE9" w:rsidRPr="002261B9">
        <w:rPr>
          <w:lang w:val="es-ES"/>
        </w:rPr>
        <w:t xml:space="preserve"> de reducir las emisiones y la exposición a ellas</w:t>
      </w:r>
      <w:r w:rsidRPr="002261B9">
        <w:rPr>
          <w:lang w:val="es-ES"/>
        </w:rPr>
        <w:t xml:space="preserve">. </w:t>
      </w:r>
      <w:r w:rsidR="00584CE9" w:rsidRPr="002261B9">
        <w:rPr>
          <w:lang w:val="es-ES"/>
        </w:rPr>
        <w:t>Estas tecnologías</w:t>
      </w:r>
      <w:r w:rsidRPr="002261B9">
        <w:rPr>
          <w:lang w:val="es-ES"/>
        </w:rPr>
        <w:t xml:space="preserve"> </w:t>
      </w:r>
      <w:r w:rsidR="00D80AD9" w:rsidRPr="002261B9">
        <w:rPr>
          <w:lang w:val="es-ES"/>
        </w:rPr>
        <w:t>(</w:t>
      </w:r>
      <w:r w:rsidR="00584CE9" w:rsidRPr="002261B9">
        <w:rPr>
          <w:lang w:val="es-ES"/>
        </w:rPr>
        <w:t>mejores técnicas ambientales</w:t>
      </w:r>
      <w:r w:rsidR="00D80AD9" w:rsidRPr="002261B9">
        <w:rPr>
          <w:lang w:val="es-ES"/>
        </w:rPr>
        <w:t>/</w:t>
      </w:r>
      <w:r w:rsidR="00584CE9" w:rsidRPr="002261B9">
        <w:rPr>
          <w:lang w:val="es-ES"/>
        </w:rPr>
        <w:t>mejores prácticas ambientales</w:t>
      </w:r>
      <w:r w:rsidR="00D80AD9" w:rsidRPr="002261B9">
        <w:rPr>
          <w:lang w:val="es-ES"/>
        </w:rPr>
        <w:t xml:space="preserve">) </w:t>
      </w:r>
      <w:r w:rsidR="00584CE9" w:rsidRPr="002261B9">
        <w:rPr>
          <w:lang w:val="es-ES"/>
        </w:rPr>
        <w:t>se resumen en la sección</w:t>
      </w:r>
      <w:r w:rsidR="008F69F8" w:rsidRPr="002261B9">
        <w:rPr>
          <w:lang w:val="es-ES"/>
        </w:rPr>
        <w:t xml:space="preserve"> IV </w:t>
      </w:r>
      <w:r w:rsidR="00584CE9" w:rsidRPr="002261B9">
        <w:rPr>
          <w:lang w:val="es-ES"/>
        </w:rPr>
        <w:t>de</w:t>
      </w:r>
      <w:r w:rsidRPr="002261B9">
        <w:rPr>
          <w:lang w:val="es-ES"/>
        </w:rPr>
        <w:t xml:space="preserve"> FOEN</w:t>
      </w:r>
      <w:r w:rsidR="004904E9" w:rsidRPr="002261B9">
        <w:rPr>
          <w:lang w:val="es-ES"/>
        </w:rPr>
        <w:t>,</w:t>
      </w:r>
      <w:r w:rsidR="006F57D4" w:rsidRPr="002261B9">
        <w:rPr>
          <w:lang w:val="es-ES"/>
        </w:rPr>
        <w:t xml:space="preserve"> 2</w:t>
      </w:r>
      <w:r w:rsidRPr="002261B9">
        <w:rPr>
          <w:lang w:val="es-ES"/>
        </w:rPr>
        <w:t>017</w:t>
      </w:r>
      <w:r w:rsidR="00194000" w:rsidRPr="002261B9">
        <w:rPr>
          <w:lang w:val="es-ES"/>
        </w:rPr>
        <w:t>)</w:t>
      </w:r>
      <w:r w:rsidRPr="002261B9">
        <w:rPr>
          <w:lang w:val="es-ES"/>
        </w:rPr>
        <w:t xml:space="preserve">. </w:t>
      </w:r>
      <w:r w:rsidR="00584CE9" w:rsidRPr="002261B9">
        <w:rPr>
          <w:lang w:val="es-ES"/>
        </w:rPr>
        <w:t>Algunas de estas tecnologías se pueden usar también para tratar corrientes de desechos y productos de otras industrias pertinente</w:t>
      </w:r>
      <w:r w:rsidR="00194000" w:rsidRPr="002261B9">
        <w:rPr>
          <w:lang w:val="es-ES"/>
        </w:rPr>
        <w:t>s</w:t>
      </w:r>
      <w:r w:rsidR="00D85B93" w:rsidRPr="002261B9">
        <w:rPr>
          <w:lang w:val="es-ES"/>
        </w:rPr>
        <w:t xml:space="preserve"> para </w:t>
      </w:r>
      <w:r w:rsidR="00584CE9" w:rsidRPr="002261B9">
        <w:rPr>
          <w:lang w:val="es-ES"/>
        </w:rPr>
        <w:t>reducir</w:t>
      </w:r>
      <w:r w:rsidRPr="002261B9">
        <w:rPr>
          <w:lang w:val="es-ES"/>
        </w:rPr>
        <w:t xml:space="preserve"> </w:t>
      </w:r>
      <w:r w:rsidR="00584CE9" w:rsidRPr="002261B9">
        <w:rPr>
          <w:lang w:val="es-ES"/>
        </w:rPr>
        <w:t xml:space="preserve">las emisiones de </w:t>
      </w:r>
      <w:r w:rsidRPr="002261B9">
        <w:rPr>
          <w:lang w:val="es-ES"/>
        </w:rPr>
        <w:t xml:space="preserve">PFOA </w:t>
      </w:r>
      <w:r w:rsidR="00584CE9" w:rsidRPr="002261B9">
        <w:rPr>
          <w:lang w:val="es-ES"/>
        </w:rPr>
        <w:t xml:space="preserve">y compuestos conexos y la exposición a estos </w:t>
      </w:r>
      <w:r w:rsidR="004646B3" w:rsidRPr="002261B9">
        <w:rPr>
          <w:lang w:val="es-ES"/>
        </w:rPr>
        <w:t>(FOEN</w:t>
      </w:r>
      <w:r w:rsidR="004904E9" w:rsidRPr="002261B9">
        <w:rPr>
          <w:lang w:val="es-ES"/>
        </w:rPr>
        <w:t>,</w:t>
      </w:r>
      <w:r w:rsidR="006F57D4" w:rsidRPr="002261B9">
        <w:rPr>
          <w:lang w:val="es-ES"/>
        </w:rPr>
        <w:t xml:space="preserve"> 2</w:t>
      </w:r>
      <w:r w:rsidR="004646B3" w:rsidRPr="002261B9">
        <w:rPr>
          <w:lang w:val="es-ES"/>
        </w:rPr>
        <w:t>017</w:t>
      </w:r>
      <w:r w:rsidR="00452DB2" w:rsidRPr="002261B9">
        <w:rPr>
          <w:lang w:val="es-ES"/>
        </w:rPr>
        <w:t>)</w:t>
      </w:r>
      <w:r w:rsidRPr="002261B9">
        <w:rPr>
          <w:lang w:val="es-ES"/>
        </w:rPr>
        <w:t>.</w:t>
      </w:r>
    </w:p>
    <w:p w14:paraId="4A1F3576" w14:textId="3A0837FF" w:rsidR="004127F3" w:rsidRPr="002261B9" w:rsidRDefault="00584CE9" w:rsidP="00F45508">
      <w:pPr>
        <w:pStyle w:val="Paralevel1"/>
        <w:numPr>
          <w:ilvl w:val="0"/>
          <w:numId w:val="23"/>
        </w:numPr>
        <w:tabs>
          <w:tab w:val="clear" w:pos="0"/>
        </w:tabs>
        <w:ind w:left="1247" w:firstLine="0"/>
        <w:rPr>
          <w:lang w:val="es-ES"/>
        </w:rPr>
      </w:pPr>
      <w:r w:rsidRPr="002261B9">
        <w:rPr>
          <w:lang w:val="en-GB"/>
        </w:rPr>
        <w:t>E</w:t>
      </w:r>
      <w:r w:rsidR="008F69F8" w:rsidRPr="002261B9">
        <w:rPr>
          <w:lang w:val="en-GB"/>
        </w:rPr>
        <w:t>n 2014, Fluoro</w:t>
      </w:r>
      <w:r w:rsidR="006105DC" w:rsidRPr="002261B9">
        <w:rPr>
          <w:lang w:val="en-GB"/>
        </w:rPr>
        <w:t>C</w:t>
      </w:r>
      <w:r w:rsidR="008F69F8" w:rsidRPr="002261B9">
        <w:rPr>
          <w:lang w:val="en-GB"/>
        </w:rPr>
        <w:t>ouncil publi</w:t>
      </w:r>
      <w:r w:rsidR="00976B30" w:rsidRPr="002261B9">
        <w:rPr>
          <w:lang w:val="en-GB"/>
        </w:rPr>
        <w:t xml:space="preserve">có la </w:t>
      </w:r>
      <w:r w:rsidR="00194000" w:rsidRPr="002261B9">
        <w:rPr>
          <w:lang w:val="en-GB"/>
        </w:rPr>
        <w:t xml:space="preserve">orientación </w:t>
      </w:r>
      <w:r w:rsidR="00E1011E" w:rsidRPr="002261B9">
        <w:rPr>
          <w:lang w:val="en-GB"/>
        </w:rPr>
        <w:t>“</w:t>
      </w:r>
      <w:r w:rsidR="00D40D3F" w:rsidRPr="002261B9">
        <w:rPr>
          <w:lang w:val="en-GB"/>
        </w:rPr>
        <w:t>Guidance for Best Environmental Practices (BEP) for the Global Apparel Industry – including focus on fluorinated repellent products</w:t>
      </w:r>
      <w:r w:rsidR="00E1011E" w:rsidRPr="002261B9">
        <w:rPr>
          <w:lang w:val="en-GB"/>
        </w:rPr>
        <w:t>”</w:t>
      </w:r>
      <w:r w:rsidR="00D40D3F" w:rsidRPr="002261B9">
        <w:rPr>
          <w:lang w:val="en-GB"/>
        </w:rPr>
        <w:t xml:space="preserve"> </w:t>
      </w:r>
      <w:r w:rsidR="00333E57" w:rsidRPr="002261B9">
        <w:rPr>
          <w:lang w:val="en-GB"/>
        </w:rPr>
        <w:t>(Fluoro</w:t>
      </w:r>
      <w:r w:rsidR="006105DC" w:rsidRPr="002261B9">
        <w:rPr>
          <w:lang w:val="en-GB"/>
        </w:rPr>
        <w:t>C</w:t>
      </w:r>
      <w:r w:rsidR="00333E57" w:rsidRPr="002261B9">
        <w:rPr>
          <w:lang w:val="en-GB"/>
        </w:rPr>
        <w:t>ouncil</w:t>
      </w:r>
      <w:r w:rsidR="004904E9" w:rsidRPr="002261B9">
        <w:rPr>
          <w:lang w:val="en-GB"/>
        </w:rPr>
        <w:t>,</w:t>
      </w:r>
      <w:r w:rsidR="006F57D4" w:rsidRPr="002261B9">
        <w:rPr>
          <w:lang w:val="en-GB"/>
        </w:rPr>
        <w:t xml:space="preserve"> 2</w:t>
      </w:r>
      <w:r w:rsidR="00333E57" w:rsidRPr="002261B9">
        <w:rPr>
          <w:lang w:val="en-GB"/>
        </w:rPr>
        <w:t>014</w:t>
      </w:r>
      <w:r w:rsidR="00452DB2" w:rsidRPr="002261B9">
        <w:rPr>
          <w:lang w:val="en-GB"/>
        </w:rPr>
        <w:t>)</w:t>
      </w:r>
      <w:r w:rsidR="008F69F8" w:rsidRPr="002261B9">
        <w:rPr>
          <w:lang w:val="en-GB"/>
        </w:rPr>
        <w:t xml:space="preserve">. </w:t>
      </w:r>
      <w:r w:rsidR="00976B30" w:rsidRPr="002261B9">
        <w:rPr>
          <w:lang w:val="es-ES"/>
        </w:rPr>
        <w:t xml:space="preserve">En la orientación se recomienda un conjunto de medidas básicas en las siguientes esferas esquemáticas para las mejores práctica ambientales de los productos </w:t>
      </w:r>
      <w:r w:rsidR="001179A2" w:rsidRPr="002261B9">
        <w:rPr>
          <w:lang w:val="es-ES"/>
        </w:rPr>
        <w:t xml:space="preserve">hidrófugos </w:t>
      </w:r>
      <w:r w:rsidR="00976B30" w:rsidRPr="002261B9">
        <w:rPr>
          <w:lang w:val="es-ES"/>
        </w:rPr>
        <w:t>fluorados duraderos</w:t>
      </w:r>
      <w:r w:rsidR="0012793E" w:rsidRPr="002261B9">
        <w:rPr>
          <w:lang w:val="es-ES"/>
        </w:rPr>
        <w:t>:</w:t>
      </w:r>
      <w:r w:rsidR="00284890" w:rsidRPr="002261B9">
        <w:rPr>
          <w:lang w:val="es-ES"/>
        </w:rPr>
        <w:t xml:space="preserve"> </w:t>
      </w:r>
      <w:r w:rsidR="0012793E" w:rsidRPr="002261B9">
        <w:rPr>
          <w:lang w:val="es-ES"/>
        </w:rPr>
        <w:t xml:space="preserve">1) </w:t>
      </w:r>
      <w:r w:rsidR="00976B30" w:rsidRPr="002261B9">
        <w:rPr>
          <w:lang w:val="es-ES"/>
        </w:rPr>
        <w:t>sensibilizar a todos los empleados acerca de los riesgos ambientales</w:t>
      </w:r>
      <w:r w:rsidR="0012793E" w:rsidRPr="002261B9">
        <w:rPr>
          <w:lang w:val="es-ES"/>
        </w:rPr>
        <w:t xml:space="preserve">; </w:t>
      </w:r>
      <w:r w:rsidR="00976B30" w:rsidRPr="002261B9">
        <w:rPr>
          <w:lang w:val="es-ES"/>
        </w:rPr>
        <w:t>2) seguir los consejos de la Ficha descriptiva sobre seguridad y la Ficha descriptiva técnica del producto</w:t>
      </w:r>
      <w:r w:rsidR="0012793E" w:rsidRPr="002261B9">
        <w:rPr>
          <w:lang w:val="es-ES"/>
        </w:rPr>
        <w:t>; 3) us</w:t>
      </w:r>
      <w:r w:rsidR="00976B30" w:rsidRPr="002261B9">
        <w:rPr>
          <w:lang w:val="es-ES"/>
        </w:rPr>
        <w:t>ar el producto solo en caso necesario para obtener los efectos deseados</w:t>
      </w:r>
      <w:r w:rsidR="0012793E" w:rsidRPr="002261B9">
        <w:rPr>
          <w:lang w:val="es-ES"/>
        </w:rPr>
        <w:t>; 4) us</w:t>
      </w:r>
      <w:r w:rsidR="00976B30" w:rsidRPr="002261B9">
        <w:rPr>
          <w:lang w:val="es-ES"/>
        </w:rPr>
        <w:t>ar solo la cantidad necesaria</w:t>
      </w:r>
      <w:r w:rsidR="0012793E" w:rsidRPr="002261B9">
        <w:rPr>
          <w:lang w:val="es-ES"/>
        </w:rPr>
        <w:t xml:space="preserve">: </w:t>
      </w:r>
      <w:r w:rsidR="00976B30" w:rsidRPr="002261B9">
        <w:rPr>
          <w:lang w:val="es-ES"/>
        </w:rPr>
        <w:t>consultar con el proveedor del producto químico para determinar la cantidad</w:t>
      </w:r>
      <w:r w:rsidR="0012793E" w:rsidRPr="002261B9">
        <w:rPr>
          <w:lang w:val="es-ES"/>
        </w:rPr>
        <w:t xml:space="preserve">; 5) </w:t>
      </w:r>
      <w:r w:rsidR="00976B30" w:rsidRPr="002261B9">
        <w:rPr>
          <w:lang w:val="es-ES"/>
        </w:rPr>
        <w:t>mezclar solo lo que se va a usar en el turno programado</w:t>
      </w:r>
      <w:r w:rsidR="0012793E" w:rsidRPr="002261B9">
        <w:rPr>
          <w:lang w:val="es-ES"/>
        </w:rPr>
        <w:t xml:space="preserve">; 6) </w:t>
      </w:r>
      <w:r w:rsidR="00976B30" w:rsidRPr="002261B9">
        <w:rPr>
          <w:lang w:val="es-ES"/>
        </w:rPr>
        <w:t>programar los turnos para evitar cambios de baño y</w:t>
      </w:r>
      <w:r w:rsidR="0086269E" w:rsidRPr="002261B9">
        <w:rPr>
          <w:lang w:val="es-ES"/>
        </w:rPr>
        <w:t> </w:t>
      </w:r>
      <w:r w:rsidR="00976B30" w:rsidRPr="002261B9">
        <w:rPr>
          <w:lang w:val="es-ES"/>
        </w:rPr>
        <w:t>desperdicio de licores</w:t>
      </w:r>
      <w:r w:rsidR="0012793E" w:rsidRPr="002261B9">
        <w:rPr>
          <w:lang w:val="es-ES"/>
        </w:rPr>
        <w:t>; 7) reu</w:t>
      </w:r>
      <w:r w:rsidR="00976B30" w:rsidRPr="002261B9">
        <w:rPr>
          <w:lang w:val="es-ES"/>
        </w:rPr>
        <w:t>tilizar</w:t>
      </w:r>
      <w:r w:rsidR="0012793E" w:rsidRPr="002261B9">
        <w:rPr>
          <w:lang w:val="es-ES"/>
        </w:rPr>
        <w:t>/rec</w:t>
      </w:r>
      <w:r w:rsidR="00976B30" w:rsidRPr="002261B9">
        <w:rPr>
          <w:lang w:val="es-ES"/>
        </w:rPr>
        <w:t>iclar los licores residuale</w:t>
      </w:r>
      <w:r w:rsidR="0012793E" w:rsidRPr="002261B9">
        <w:rPr>
          <w:lang w:val="es-ES"/>
        </w:rPr>
        <w:t>s/</w:t>
      </w:r>
      <w:r w:rsidR="00976B30" w:rsidRPr="002261B9">
        <w:rPr>
          <w:lang w:val="es-ES"/>
        </w:rPr>
        <w:t>licores sobrantes, de poder hacerlo, sin poner en peligro la calidad</w:t>
      </w:r>
      <w:r w:rsidR="0012793E" w:rsidRPr="002261B9">
        <w:rPr>
          <w:lang w:val="es-ES"/>
        </w:rPr>
        <w:t>; 8) ma</w:t>
      </w:r>
      <w:r w:rsidR="00976B30" w:rsidRPr="002261B9">
        <w:rPr>
          <w:lang w:val="es-ES"/>
        </w:rPr>
        <w:t xml:space="preserve">ntener todo el equipo en </w:t>
      </w:r>
      <w:r w:rsidR="00194000" w:rsidRPr="002261B9">
        <w:rPr>
          <w:lang w:val="es-ES"/>
        </w:rPr>
        <w:t>excelente condición</w:t>
      </w:r>
      <w:r w:rsidR="00976B30" w:rsidRPr="002261B9">
        <w:rPr>
          <w:lang w:val="es-ES"/>
        </w:rPr>
        <w:t xml:space="preserve"> y realizar auditorías</w:t>
      </w:r>
      <w:r w:rsidR="00860847" w:rsidRPr="002261B9">
        <w:rPr>
          <w:lang w:val="es-ES"/>
        </w:rPr>
        <w:t> </w:t>
      </w:r>
      <w:r w:rsidR="00976B30" w:rsidRPr="002261B9">
        <w:rPr>
          <w:lang w:val="es-ES"/>
        </w:rPr>
        <w:t>periódicas de las operaciones</w:t>
      </w:r>
      <w:r w:rsidR="0012793E" w:rsidRPr="002261B9">
        <w:rPr>
          <w:lang w:val="es-ES"/>
        </w:rPr>
        <w:t>; 9) optimiz</w:t>
      </w:r>
      <w:r w:rsidR="00976B30" w:rsidRPr="002261B9">
        <w:rPr>
          <w:lang w:val="es-ES"/>
        </w:rPr>
        <w:t>ar las condiciones de secado y curación en el bastidor</w:t>
      </w:r>
      <w:r w:rsidR="0012793E" w:rsidRPr="002261B9">
        <w:rPr>
          <w:lang w:val="es-ES"/>
        </w:rPr>
        <w:t xml:space="preserve">; 10) </w:t>
      </w:r>
      <w:r w:rsidR="00976B30" w:rsidRPr="002261B9">
        <w:rPr>
          <w:lang w:val="es-ES"/>
        </w:rPr>
        <w:t>eliminar los productos químicos de manera apropiada</w:t>
      </w:r>
      <w:r w:rsidR="0012793E" w:rsidRPr="002261B9">
        <w:rPr>
          <w:lang w:val="es-ES"/>
        </w:rPr>
        <w:t xml:space="preserve">; 11) </w:t>
      </w:r>
      <w:r w:rsidR="0082368C" w:rsidRPr="002261B9">
        <w:rPr>
          <w:lang w:val="es-ES"/>
        </w:rPr>
        <w:t>considerar la posibilidad de</w:t>
      </w:r>
      <w:r w:rsidR="0012793E" w:rsidRPr="002261B9">
        <w:rPr>
          <w:lang w:val="es-ES"/>
        </w:rPr>
        <w:t xml:space="preserve"> </w:t>
      </w:r>
      <w:r w:rsidR="00F96DE7" w:rsidRPr="002261B9">
        <w:rPr>
          <w:lang w:val="es-ES"/>
        </w:rPr>
        <w:t xml:space="preserve">crear </w:t>
      </w:r>
      <w:r w:rsidR="0082368C" w:rsidRPr="002261B9">
        <w:rPr>
          <w:lang w:val="es-ES"/>
        </w:rPr>
        <w:t xml:space="preserve">oportunidades </w:t>
      </w:r>
      <w:r w:rsidR="00F96DE7" w:rsidRPr="002261B9">
        <w:rPr>
          <w:lang w:val="es-ES"/>
        </w:rPr>
        <w:t>adicionales para</w:t>
      </w:r>
      <w:r w:rsidR="0082368C" w:rsidRPr="002261B9">
        <w:rPr>
          <w:lang w:val="es-ES"/>
        </w:rPr>
        <w:t xml:space="preserve"> reducir al mínimo los desechos y las emisiones</w:t>
      </w:r>
      <w:r w:rsidR="0012793E" w:rsidRPr="002261B9">
        <w:rPr>
          <w:lang w:val="es-ES"/>
        </w:rPr>
        <w:t xml:space="preserve"> (</w:t>
      </w:r>
      <w:r w:rsidR="00F13B21" w:rsidRPr="002261B9">
        <w:rPr>
          <w:lang w:val="es-ES"/>
        </w:rPr>
        <w:t>véase</w:t>
      </w:r>
      <w:r w:rsidR="0012793E" w:rsidRPr="002261B9">
        <w:rPr>
          <w:lang w:val="es-ES"/>
        </w:rPr>
        <w:t xml:space="preserve"> Fluoro</w:t>
      </w:r>
      <w:r w:rsidR="006105DC" w:rsidRPr="002261B9">
        <w:rPr>
          <w:lang w:val="es-ES"/>
        </w:rPr>
        <w:t>C</w:t>
      </w:r>
      <w:r w:rsidR="0012793E" w:rsidRPr="002261B9">
        <w:rPr>
          <w:lang w:val="es-ES"/>
        </w:rPr>
        <w:t>ouncil</w:t>
      </w:r>
      <w:r w:rsidR="004904E9" w:rsidRPr="002261B9">
        <w:rPr>
          <w:lang w:val="es-ES"/>
        </w:rPr>
        <w:t>,</w:t>
      </w:r>
      <w:r w:rsidR="00860847" w:rsidRPr="002261B9">
        <w:rPr>
          <w:lang w:val="es-ES"/>
        </w:rPr>
        <w:t> </w:t>
      </w:r>
      <w:r w:rsidR="006F57D4" w:rsidRPr="002261B9">
        <w:rPr>
          <w:lang w:val="es-ES"/>
        </w:rPr>
        <w:t>2</w:t>
      </w:r>
      <w:r w:rsidR="0012793E" w:rsidRPr="002261B9">
        <w:rPr>
          <w:lang w:val="es-ES"/>
        </w:rPr>
        <w:t>014</w:t>
      </w:r>
      <w:r w:rsidR="00452DB2" w:rsidRPr="002261B9">
        <w:rPr>
          <w:lang w:val="es-ES"/>
        </w:rPr>
        <w:t>)</w:t>
      </w:r>
      <w:r w:rsidR="0012793E" w:rsidRPr="002261B9">
        <w:rPr>
          <w:lang w:val="es-ES"/>
        </w:rPr>
        <w:t>.</w:t>
      </w:r>
    </w:p>
    <w:p w14:paraId="2A52C729" w14:textId="4B8ACDDF" w:rsidR="004D5B0D" w:rsidRPr="002261B9" w:rsidRDefault="00584CE9" w:rsidP="00F45508">
      <w:pPr>
        <w:pStyle w:val="Paralevel1"/>
        <w:numPr>
          <w:ilvl w:val="0"/>
          <w:numId w:val="23"/>
        </w:numPr>
        <w:tabs>
          <w:tab w:val="clear" w:pos="0"/>
        </w:tabs>
        <w:ind w:left="1247" w:firstLine="0"/>
        <w:rPr>
          <w:lang w:val="es-ES"/>
        </w:rPr>
      </w:pPr>
      <w:r w:rsidRPr="002261B9">
        <w:rPr>
          <w:lang w:val="es-ES"/>
        </w:rPr>
        <w:t xml:space="preserve">Los interesados de la industria han señalado que la mayoría de los productos </w:t>
      </w:r>
      <w:r w:rsidR="0082368C" w:rsidRPr="002261B9">
        <w:rPr>
          <w:lang w:val="es-ES"/>
        </w:rPr>
        <w:t xml:space="preserve">de </w:t>
      </w:r>
      <w:r w:rsidR="008A275C" w:rsidRPr="002261B9">
        <w:rPr>
          <w:lang w:val="es-ES"/>
        </w:rPr>
        <w:t>foto-imagen no</w:t>
      </w:r>
      <w:r w:rsidR="0082368C" w:rsidRPr="002261B9">
        <w:rPr>
          <w:lang w:val="es-ES"/>
        </w:rPr>
        <w:t xml:space="preserve"> contienen</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004D5B0D" w:rsidRPr="002261B9">
        <w:rPr>
          <w:lang w:val="es-ES"/>
        </w:rPr>
        <w:t xml:space="preserve">. </w:t>
      </w:r>
      <w:r w:rsidR="0082368C" w:rsidRPr="002261B9">
        <w:rPr>
          <w:lang w:val="es-ES"/>
        </w:rPr>
        <w:t>Los materiales de desecho</w:t>
      </w:r>
      <w:r w:rsidR="004D5B0D" w:rsidRPr="002261B9">
        <w:rPr>
          <w:lang w:val="es-ES"/>
        </w:rPr>
        <w:t xml:space="preserve">, </w:t>
      </w:r>
      <w:r w:rsidR="0082368C" w:rsidRPr="002261B9">
        <w:rPr>
          <w:lang w:val="es-ES"/>
        </w:rPr>
        <w:t xml:space="preserve">que guardan relación con la fabricación de un pequeño número de películas que contienen </w:t>
      </w:r>
      <w:r w:rsidR="009321C2" w:rsidRPr="002261B9">
        <w:rPr>
          <w:lang w:val="es-ES"/>
        </w:rPr>
        <w:t>compuestos</w:t>
      </w:r>
      <w:r w:rsidR="00E61FF0" w:rsidRPr="002261B9">
        <w:rPr>
          <w:lang w:val="es-ES"/>
        </w:rPr>
        <w:t xml:space="preserve"> conexos del PFOA</w:t>
      </w:r>
      <w:r w:rsidR="004D5B0D" w:rsidRPr="002261B9">
        <w:rPr>
          <w:lang w:val="es-ES"/>
        </w:rPr>
        <w:t xml:space="preserve">, </w:t>
      </w:r>
      <w:r w:rsidR="0082368C" w:rsidRPr="002261B9">
        <w:rPr>
          <w:lang w:val="es-ES"/>
        </w:rPr>
        <w:t>por regla general se eliminan mediante incineración a altas temperaturas y</w:t>
      </w:r>
      <w:r w:rsidR="004D5B0D" w:rsidRPr="002261B9">
        <w:rPr>
          <w:lang w:val="es-ES"/>
        </w:rPr>
        <w:t xml:space="preserve"> </w:t>
      </w:r>
      <w:r w:rsidR="0082368C" w:rsidRPr="002261B9">
        <w:rPr>
          <w:lang w:val="es-ES"/>
        </w:rPr>
        <w:t>las formulaciones con recubrimientos en exceso se pueden remitir para recuperar la plata</w:t>
      </w:r>
      <w:r w:rsidR="004D5B0D" w:rsidRPr="002261B9">
        <w:rPr>
          <w:lang w:val="es-ES"/>
        </w:rPr>
        <w:t xml:space="preserve">. </w:t>
      </w:r>
      <w:r w:rsidR="0082368C" w:rsidRPr="002261B9">
        <w:rPr>
          <w:lang w:val="es-ES"/>
        </w:rPr>
        <w:t>De esta manera</w:t>
      </w:r>
      <w:r w:rsidR="00D40D3F" w:rsidRPr="002261B9">
        <w:rPr>
          <w:lang w:val="es-ES"/>
        </w:rPr>
        <w:t>,</w:t>
      </w:r>
      <w:r w:rsidR="0082368C" w:rsidRPr="002261B9">
        <w:rPr>
          <w:lang w:val="es-ES"/>
        </w:rPr>
        <w:t xml:space="preserve"> los residuos </w:t>
      </w:r>
      <w:r w:rsidR="00D40D3F" w:rsidRPr="002261B9">
        <w:rPr>
          <w:lang w:val="es-ES"/>
        </w:rPr>
        <w:t xml:space="preserve">se incineran </w:t>
      </w:r>
      <w:r w:rsidR="0082368C" w:rsidRPr="002261B9">
        <w:rPr>
          <w:lang w:val="es-ES"/>
        </w:rPr>
        <w:t>a altas temperaturas</w:t>
      </w:r>
      <w:r w:rsidR="004D5B0D" w:rsidRPr="002261B9">
        <w:rPr>
          <w:lang w:val="es-ES"/>
        </w:rPr>
        <w:t xml:space="preserve"> (</w:t>
      </w:r>
      <w:r w:rsidR="00422DDC" w:rsidRPr="002261B9">
        <w:rPr>
          <w:lang w:val="es-ES"/>
        </w:rPr>
        <w:t>I&amp;P Europe</w:t>
      </w:r>
      <w:r w:rsidR="004904E9" w:rsidRPr="002261B9">
        <w:rPr>
          <w:lang w:val="es-ES"/>
        </w:rPr>
        <w:t>,</w:t>
      </w:r>
      <w:r w:rsidR="006F57D4" w:rsidRPr="002261B9">
        <w:rPr>
          <w:lang w:val="es-ES"/>
        </w:rPr>
        <w:t xml:space="preserve"> 2</w:t>
      </w:r>
      <w:r w:rsidR="004D5B0D" w:rsidRPr="002261B9">
        <w:rPr>
          <w:lang w:val="es-ES"/>
        </w:rPr>
        <w:t>016a</w:t>
      </w:r>
      <w:r w:rsidR="00452DB2" w:rsidRPr="002261B9">
        <w:rPr>
          <w:lang w:val="es-ES"/>
        </w:rPr>
        <w:t>)</w:t>
      </w:r>
      <w:r w:rsidR="00D40D3F" w:rsidRPr="002261B9">
        <w:rPr>
          <w:lang w:val="es-ES"/>
        </w:rPr>
        <w:t xml:space="preserve">. Esta es una representación de la </w:t>
      </w:r>
      <w:r w:rsidR="0082368C" w:rsidRPr="002261B9">
        <w:rPr>
          <w:lang w:val="es-ES"/>
        </w:rPr>
        <w:t>situación en Europa</w:t>
      </w:r>
      <w:r w:rsidR="00B456CC" w:rsidRPr="002261B9">
        <w:rPr>
          <w:lang w:val="es-ES"/>
        </w:rPr>
        <w:t xml:space="preserve"> (</w:t>
      </w:r>
      <w:r w:rsidR="00E10461" w:rsidRPr="002261B9">
        <w:rPr>
          <w:lang w:val="es-ES"/>
        </w:rPr>
        <w:t>Observaciones de la Red de Eliminación de COP</w:t>
      </w:r>
      <w:r w:rsidR="007F0459" w:rsidRPr="002261B9">
        <w:rPr>
          <w:lang w:val="es-ES"/>
        </w:rPr>
        <w:t xml:space="preserve"> </w:t>
      </w:r>
      <w:r w:rsidR="0082368C" w:rsidRPr="002261B9">
        <w:rPr>
          <w:lang w:val="es-ES"/>
        </w:rPr>
        <w:t xml:space="preserve">sobre el primer proyecto de evaluación de la gestión de los </w:t>
      </w:r>
      <w:r w:rsidR="004904E9" w:rsidRPr="002261B9">
        <w:rPr>
          <w:lang w:val="es-ES"/>
        </w:rPr>
        <w:t>riesgos)</w:t>
      </w:r>
      <w:r w:rsidR="00B456CC" w:rsidRPr="002261B9">
        <w:rPr>
          <w:lang w:val="es-ES"/>
        </w:rPr>
        <w:t>.</w:t>
      </w:r>
    </w:p>
    <w:p w14:paraId="44AF3AD3" w14:textId="6ABF6548" w:rsidR="004D5B0D" w:rsidRPr="002261B9" w:rsidRDefault="004D5B0D" w:rsidP="00F45508">
      <w:pPr>
        <w:pStyle w:val="Paralevel1"/>
        <w:numPr>
          <w:ilvl w:val="0"/>
          <w:numId w:val="23"/>
        </w:numPr>
        <w:tabs>
          <w:tab w:val="clear" w:pos="0"/>
        </w:tabs>
        <w:ind w:left="1247" w:firstLine="0"/>
        <w:rPr>
          <w:lang w:val="es-ES"/>
        </w:rPr>
      </w:pPr>
      <w:r w:rsidRPr="002261B9">
        <w:rPr>
          <w:lang w:val="es-ES"/>
        </w:rPr>
        <w:lastRenderedPageBreak/>
        <w:t xml:space="preserve">Tras la inclusión del PFOA; sus sales y los compuestos conexos del PFOA en el Convenio de Estocolmo se establecería un nivel de concentración para un bajo contenido de COP en cooperación con el Convenio de Basilea, </w:t>
      </w:r>
      <w:r w:rsidR="004904E9" w:rsidRPr="002261B9">
        <w:rPr>
          <w:lang w:val="es-ES"/>
        </w:rPr>
        <w:t>que,</w:t>
      </w:r>
      <w:r w:rsidRPr="002261B9">
        <w:rPr>
          <w:lang w:val="es-ES"/>
        </w:rPr>
        <w:t xml:space="preserve"> a su vez, también según costumbre, se encargaría de determinar los métodos que constituyen una eliminación ambientalmente racional. Con la introducción de medidas de gestión de los desechos, en particular en relación con los productos y artículos cuando se convierten en desechos, de conformidad con el artículo 6 del Convenio, se lograría la eliminación eficaz y eficiente de desechos que contengan PFOA, sus sales y compuestos conexos del PFOA en concentraciones superiores a un bajo contenido de COP, de manera que ese contenido de COP sea destruido o, en todo caso, eliminado de manera ambientalmente racional. En esas medidas se determinaría también la manera adecuada de manipular, recoger, transportar y almacenar los des</w:t>
      </w:r>
      <w:r w:rsidR="001E397C">
        <w:rPr>
          <w:lang w:val="es-ES"/>
        </w:rPr>
        <w:t>echos y se garantizaría que las </w:t>
      </w:r>
      <w:r w:rsidRPr="002261B9">
        <w:rPr>
          <w:lang w:val="es-ES"/>
        </w:rPr>
        <w:t>emisiones y las consiguientes exposiciones al PFO, sus sales y</w:t>
      </w:r>
      <w:r w:rsidR="001E397C">
        <w:rPr>
          <w:lang w:val="es-ES"/>
        </w:rPr>
        <w:t xml:space="preserve"> compuestos conexos del PFOA se </w:t>
      </w:r>
      <w:r w:rsidRPr="002261B9">
        <w:rPr>
          <w:lang w:val="es-ES"/>
        </w:rPr>
        <w:t>redujeran al mínimo. El establecimiento de un bajo valor de COP y</w:t>
      </w:r>
      <w:r w:rsidR="001E397C">
        <w:rPr>
          <w:lang w:val="es-ES"/>
        </w:rPr>
        <w:t xml:space="preserve"> las directrices elaboradas con </w:t>
      </w:r>
      <w:r w:rsidRPr="002261B9">
        <w:rPr>
          <w:lang w:val="es-ES"/>
        </w:rPr>
        <w:t>cooperación con el Convenio de Basilea ayudarían a las Partes a elim</w:t>
      </w:r>
      <w:r w:rsidR="001E397C">
        <w:rPr>
          <w:lang w:val="es-ES"/>
        </w:rPr>
        <w:t>inar los desechos que contengan </w:t>
      </w:r>
      <w:r w:rsidRPr="002261B9">
        <w:rPr>
          <w:lang w:val="es-ES"/>
        </w:rPr>
        <w:t>PFOA, sus sales y compuestos conexos del PFOA de manera ambientalmente racional (véase Canadá</w:t>
      </w:r>
      <w:r w:rsidR="004904E9" w:rsidRPr="002261B9">
        <w:rPr>
          <w:lang w:val="es-ES"/>
        </w:rPr>
        <w:t>,</w:t>
      </w:r>
      <w:r w:rsidR="001E397C">
        <w:rPr>
          <w:lang w:val="es-ES"/>
        </w:rPr>
        <w:t> </w:t>
      </w:r>
      <w:r w:rsidR="006F57D4" w:rsidRPr="002261B9">
        <w:rPr>
          <w:lang w:val="es-ES"/>
        </w:rPr>
        <w:t>2</w:t>
      </w:r>
      <w:r w:rsidRPr="002261B9">
        <w:rPr>
          <w:lang w:val="es-ES"/>
        </w:rPr>
        <w:t>016a</w:t>
      </w:r>
      <w:r w:rsidR="00452DB2" w:rsidRPr="002261B9">
        <w:rPr>
          <w:lang w:val="es-ES"/>
        </w:rPr>
        <w:t>)</w:t>
      </w:r>
      <w:r w:rsidRPr="002261B9">
        <w:rPr>
          <w:lang w:val="es-ES"/>
        </w:rPr>
        <w:t xml:space="preserve">. </w:t>
      </w:r>
    </w:p>
    <w:p w14:paraId="11707CB5" w14:textId="1D2C97DE" w:rsidR="004D5B0D" w:rsidRPr="002261B9" w:rsidRDefault="000833BF" w:rsidP="00860847">
      <w:pPr>
        <w:pStyle w:val="StyleHeading3h3123SecTimesNewRomanBold"/>
        <w:ind w:left="1248" w:hanging="624"/>
        <w:rPr>
          <w:lang w:val="es-ES"/>
        </w:rPr>
      </w:pPr>
      <w:bookmarkStart w:id="25" w:name="_Ref254284666"/>
      <w:bookmarkStart w:id="26" w:name="_Toc501099201"/>
      <w:r w:rsidRPr="002261B9">
        <w:rPr>
          <w:lang w:val="es-ES"/>
        </w:rPr>
        <w:t>2.2.1</w:t>
      </w:r>
      <w:r w:rsidRPr="002261B9">
        <w:rPr>
          <w:lang w:val="es-ES"/>
        </w:rPr>
        <w:tab/>
      </w:r>
      <w:r w:rsidR="00AF431D" w:rsidRPr="002261B9">
        <w:rPr>
          <w:lang w:val="es-ES"/>
        </w:rPr>
        <w:t>Determinación</w:t>
      </w:r>
      <w:r w:rsidR="00F61420" w:rsidRPr="002261B9">
        <w:rPr>
          <w:lang w:val="es-ES"/>
        </w:rPr>
        <w:t xml:space="preserve"> de los usos y </w:t>
      </w:r>
      <w:r w:rsidR="007F0459" w:rsidRPr="002261B9">
        <w:rPr>
          <w:lang w:val="es-ES"/>
        </w:rPr>
        <w:t>la producción de alternativas fluoradas de cadena corta</w:t>
      </w:r>
      <w:bookmarkEnd w:id="25"/>
      <w:bookmarkEnd w:id="26"/>
    </w:p>
    <w:p w14:paraId="236CED3E" w14:textId="77777777" w:rsidR="00F94AE2" w:rsidRPr="002261B9" w:rsidRDefault="00F61420" w:rsidP="00F45508">
      <w:pPr>
        <w:pStyle w:val="Paralevel1"/>
        <w:numPr>
          <w:ilvl w:val="0"/>
          <w:numId w:val="23"/>
        </w:numPr>
        <w:tabs>
          <w:tab w:val="clear" w:pos="0"/>
        </w:tabs>
        <w:ind w:left="1247" w:firstLine="0"/>
        <w:rPr>
          <w:lang w:val="es-ES"/>
        </w:rPr>
      </w:pPr>
      <w:r w:rsidRPr="002261B9">
        <w:rPr>
          <w:lang w:val="es-ES"/>
        </w:rPr>
        <w:t xml:space="preserve">La evaluación tiene por objeto determinar los usos que son necesarios para la sociedad y para los cuales posiblemente no se disponga de alternativas químicas o no químicas. </w:t>
      </w:r>
      <w:r w:rsidR="002A6F28" w:rsidRPr="002261B9">
        <w:rPr>
          <w:lang w:val="es-ES"/>
        </w:rPr>
        <w:t xml:space="preserve">Las exenciones establecidas en los </w:t>
      </w:r>
      <w:r w:rsidR="00BD6134" w:rsidRPr="002261B9">
        <w:rPr>
          <w:lang w:val="es-ES"/>
        </w:rPr>
        <w:t>mecanismos reglamentarios de gestión de los riesgos</w:t>
      </w:r>
      <w:r w:rsidRPr="002261B9">
        <w:rPr>
          <w:lang w:val="es-ES"/>
        </w:rPr>
        <w:t xml:space="preserve"> (</w:t>
      </w:r>
      <w:r w:rsidR="00F13B21" w:rsidRPr="002261B9">
        <w:rPr>
          <w:lang w:val="es-ES"/>
        </w:rPr>
        <w:t>véase</w:t>
      </w:r>
      <w:r w:rsidRPr="002261B9">
        <w:rPr>
          <w:lang w:val="es-ES"/>
        </w:rPr>
        <w:t xml:space="preserve"> </w:t>
      </w:r>
      <w:r w:rsidR="004C62AE" w:rsidRPr="002261B9">
        <w:rPr>
          <w:lang w:val="es-ES"/>
        </w:rPr>
        <w:t>el cuadro</w:t>
      </w:r>
      <w:r w:rsidRPr="002261B9">
        <w:rPr>
          <w:lang w:val="es-ES"/>
        </w:rPr>
        <w:t xml:space="preserve"> 3) </w:t>
      </w:r>
      <w:r w:rsidR="002A6F28" w:rsidRPr="002261B9">
        <w:rPr>
          <w:lang w:val="es-ES"/>
        </w:rPr>
        <w:t>son un indicio para determinar esos usos sobre la base de consideraciones técnicas y socioeconómicas</w:t>
      </w:r>
      <w:r w:rsidRPr="002261B9">
        <w:rPr>
          <w:lang w:val="es-ES"/>
        </w:rPr>
        <w:t>.</w:t>
      </w:r>
    </w:p>
    <w:p w14:paraId="24D633EC" w14:textId="1FCDB7A4" w:rsidR="004D5B0D" w:rsidRPr="002261B9" w:rsidRDefault="00EC480D" w:rsidP="0086269E">
      <w:pPr>
        <w:tabs>
          <w:tab w:val="left" w:pos="624"/>
        </w:tabs>
        <w:spacing w:after="120"/>
        <w:ind w:left="1248" w:hanging="624"/>
        <w:rPr>
          <w:b/>
          <w:i/>
          <w:sz w:val="20"/>
          <w:szCs w:val="20"/>
          <w:lang w:val="es-ES"/>
        </w:rPr>
      </w:pPr>
      <w:r w:rsidRPr="002261B9">
        <w:rPr>
          <w:b/>
          <w:i/>
          <w:sz w:val="20"/>
          <w:szCs w:val="20"/>
          <w:lang w:val="es-ES"/>
        </w:rPr>
        <w:t xml:space="preserve">A. </w:t>
      </w:r>
      <w:r w:rsidR="0086269E" w:rsidRPr="002261B9">
        <w:rPr>
          <w:b/>
          <w:i/>
          <w:sz w:val="20"/>
          <w:szCs w:val="20"/>
          <w:lang w:val="es-ES"/>
        </w:rPr>
        <w:tab/>
      </w:r>
      <w:r w:rsidRPr="002261B9">
        <w:rPr>
          <w:b/>
          <w:i/>
          <w:sz w:val="20"/>
          <w:szCs w:val="20"/>
          <w:lang w:val="es-ES"/>
        </w:rPr>
        <w:t>Industria de semiconductores</w:t>
      </w:r>
    </w:p>
    <w:p w14:paraId="79B45027" w14:textId="77777777" w:rsidR="00E0442E" w:rsidRPr="002261B9" w:rsidRDefault="00DE7369" w:rsidP="00F45508">
      <w:pPr>
        <w:pStyle w:val="Paralevel1"/>
        <w:numPr>
          <w:ilvl w:val="0"/>
          <w:numId w:val="23"/>
        </w:numPr>
        <w:tabs>
          <w:tab w:val="clear" w:pos="0"/>
        </w:tabs>
        <w:ind w:left="1247" w:firstLine="0"/>
        <w:rPr>
          <w:lang w:val="es-ES"/>
        </w:rPr>
      </w:pPr>
      <w:r w:rsidRPr="002261B9">
        <w:rPr>
          <w:lang w:val="es-ES"/>
        </w:rPr>
        <w:t>Los industriales interesados han señalado que el uso en la industria de semiconductores posiblemente sea cr</w:t>
      </w:r>
      <w:r w:rsidR="00EF2AC1" w:rsidRPr="002261B9">
        <w:rPr>
          <w:lang w:val="es-ES"/>
        </w:rPr>
        <w:t>ítico</w:t>
      </w:r>
      <w:r w:rsidRPr="002261B9">
        <w:rPr>
          <w:lang w:val="es-ES"/>
        </w:rPr>
        <w:t>.</w:t>
      </w:r>
      <w:r w:rsidR="00284890" w:rsidRPr="002261B9">
        <w:rPr>
          <w:lang w:val="es-ES"/>
        </w:rPr>
        <w:t xml:space="preserve"> </w:t>
      </w:r>
      <w:r w:rsidR="008A275C" w:rsidRPr="002261B9">
        <w:rPr>
          <w:lang w:val="es-ES"/>
        </w:rPr>
        <w:t>La Asociación de la Industria de Semiconductores</w:t>
      </w:r>
      <w:r w:rsidRPr="002261B9">
        <w:rPr>
          <w:lang w:val="es-ES"/>
        </w:rPr>
        <w:t xml:space="preserve"> (SIA) </w:t>
      </w:r>
      <w:r w:rsidR="008A275C" w:rsidRPr="002261B9">
        <w:rPr>
          <w:lang w:val="es-ES"/>
        </w:rPr>
        <w:t xml:space="preserve">realizó un </w:t>
      </w:r>
      <w:r w:rsidR="00D46F5C" w:rsidRPr="002261B9">
        <w:rPr>
          <w:lang w:val="es-ES"/>
        </w:rPr>
        <w:t>estudio</w:t>
      </w:r>
      <w:r w:rsidR="008A275C" w:rsidRPr="002261B9">
        <w:rPr>
          <w:lang w:val="es-ES"/>
        </w:rPr>
        <w:t xml:space="preserve"> entre las empresas que son miembros y llegó a la conclusión de que varias empresas seguían usando </w:t>
      </w:r>
      <w:r w:rsidRPr="002261B9">
        <w:rPr>
          <w:lang w:val="es-ES"/>
        </w:rPr>
        <w:t xml:space="preserve">PFOA </w:t>
      </w:r>
      <w:r w:rsidR="008A275C" w:rsidRPr="002261B9">
        <w:rPr>
          <w:lang w:val="es-ES"/>
        </w:rPr>
        <w:t>y sustancias químicas conexas en el proceso fotolitográfico</w:t>
      </w:r>
      <w:r w:rsidRPr="002261B9">
        <w:rPr>
          <w:lang w:val="es-ES"/>
        </w:rPr>
        <w:t xml:space="preserve">, </w:t>
      </w:r>
      <w:r w:rsidR="008A275C" w:rsidRPr="002261B9">
        <w:rPr>
          <w:lang w:val="es-ES"/>
        </w:rPr>
        <w:t>etapa fundamental en el proceso de fabricación para producir semiconductores avanzado</w:t>
      </w:r>
      <w:r w:rsidRPr="002261B9">
        <w:rPr>
          <w:lang w:val="es-ES"/>
        </w:rPr>
        <w:t>s (</w:t>
      </w:r>
      <w:r w:rsidR="007F0459" w:rsidRPr="002261B9">
        <w:rPr>
          <w:lang w:val="es-ES"/>
        </w:rPr>
        <w:t>O</w:t>
      </w:r>
      <w:r w:rsidR="008A275C" w:rsidRPr="002261B9">
        <w:rPr>
          <w:lang w:val="es-ES"/>
        </w:rPr>
        <w:t>bservaci</w:t>
      </w:r>
      <w:r w:rsidR="007F0459" w:rsidRPr="002261B9">
        <w:rPr>
          <w:lang w:val="es-ES"/>
        </w:rPr>
        <w:t>o</w:t>
      </w:r>
      <w:r w:rsidR="008A275C" w:rsidRPr="002261B9">
        <w:rPr>
          <w:lang w:val="es-ES"/>
        </w:rPr>
        <w:t>n</w:t>
      </w:r>
      <w:r w:rsidR="007F0459" w:rsidRPr="002261B9">
        <w:rPr>
          <w:lang w:val="es-ES"/>
        </w:rPr>
        <w:t>es</w:t>
      </w:r>
      <w:r w:rsidR="008A275C" w:rsidRPr="002261B9">
        <w:rPr>
          <w:lang w:val="es-ES"/>
        </w:rPr>
        <w:t xml:space="preserve"> de la </w:t>
      </w:r>
      <w:r w:rsidRPr="002261B9">
        <w:rPr>
          <w:lang w:val="es-ES"/>
        </w:rPr>
        <w:t xml:space="preserve">SIA </w:t>
      </w:r>
      <w:r w:rsidR="008A275C" w:rsidRPr="002261B9">
        <w:rPr>
          <w:lang w:val="es-ES"/>
        </w:rPr>
        <w:t xml:space="preserve">sobre el primer proyecto de evaluación de la gestión de los </w:t>
      </w:r>
      <w:r w:rsidR="004904E9" w:rsidRPr="002261B9">
        <w:rPr>
          <w:lang w:val="es-ES"/>
        </w:rPr>
        <w:t>riesgos)</w:t>
      </w:r>
      <w:r w:rsidRPr="002261B9">
        <w:rPr>
          <w:lang w:val="es-ES"/>
        </w:rPr>
        <w:t>.</w:t>
      </w:r>
      <w:r w:rsidR="00284890" w:rsidRPr="002261B9">
        <w:rPr>
          <w:lang w:val="es-ES"/>
        </w:rPr>
        <w:t xml:space="preserve"> </w:t>
      </w:r>
      <w:r w:rsidR="003A6328" w:rsidRPr="002261B9">
        <w:rPr>
          <w:lang w:val="es-ES"/>
        </w:rPr>
        <w:t xml:space="preserve">Este sector es responsable de un porcentaje muy bajo del total de emisiones de </w:t>
      </w:r>
      <w:r w:rsidRPr="002261B9">
        <w:rPr>
          <w:lang w:val="es-ES"/>
        </w:rPr>
        <w:t xml:space="preserve">PFOA </w:t>
      </w:r>
      <w:r w:rsidR="003A6328" w:rsidRPr="002261B9">
        <w:rPr>
          <w:lang w:val="es-ES"/>
        </w:rPr>
        <w:t>y</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Pr="002261B9">
        <w:rPr>
          <w:lang w:val="es-ES"/>
        </w:rPr>
        <w:t xml:space="preserve">. </w:t>
      </w:r>
      <w:r w:rsidR="003A6328" w:rsidRPr="002261B9">
        <w:rPr>
          <w:lang w:val="es-ES"/>
        </w:rPr>
        <w:t>El volumen utilizado en este sector es una parte muy pequeña</w:t>
      </w:r>
      <w:r w:rsidRPr="002261B9">
        <w:rPr>
          <w:lang w:val="es-ES"/>
        </w:rPr>
        <w:t xml:space="preserve"> </w:t>
      </w:r>
      <w:r w:rsidR="003A6328" w:rsidRPr="002261B9">
        <w:rPr>
          <w:lang w:val="es-ES"/>
        </w:rPr>
        <w:t>del volumen total usado en la UE y, según informes, las sustancias se utilizan en condiciones de control riguroso</w:t>
      </w:r>
      <w:r w:rsidRPr="002261B9">
        <w:rPr>
          <w:lang w:val="es-ES"/>
        </w:rPr>
        <w:t>.</w:t>
      </w:r>
      <w:r w:rsidR="00284890" w:rsidRPr="002261B9">
        <w:rPr>
          <w:lang w:val="es-ES"/>
        </w:rPr>
        <w:t xml:space="preserve"> </w:t>
      </w:r>
      <w:r w:rsidR="008215DF" w:rsidRPr="002261B9">
        <w:rPr>
          <w:lang w:val="es-ES"/>
        </w:rPr>
        <w:t xml:space="preserve">Las medidas de control típicas se describen en documentos como el </w:t>
      </w:r>
      <w:r w:rsidR="00B8799D" w:rsidRPr="002261B9">
        <w:rPr>
          <w:lang w:val="es-ES"/>
        </w:rPr>
        <w:t xml:space="preserve">número 9 del </w:t>
      </w:r>
      <w:r w:rsidRPr="002261B9">
        <w:rPr>
          <w:i/>
          <w:lang w:val="es-ES"/>
        </w:rPr>
        <w:t>Emissions Scenario Document</w:t>
      </w:r>
      <w:r w:rsidR="00B8799D" w:rsidRPr="002261B9">
        <w:rPr>
          <w:lang w:val="es-ES"/>
        </w:rPr>
        <w:t>,</w:t>
      </w:r>
      <w:r w:rsidRPr="002261B9">
        <w:rPr>
          <w:lang w:val="es-ES"/>
        </w:rPr>
        <w:t xml:space="preserve"> </w:t>
      </w:r>
      <w:r w:rsidR="008215DF" w:rsidRPr="002261B9">
        <w:rPr>
          <w:lang w:val="es-ES"/>
        </w:rPr>
        <w:t>de la OCDE</w:t>
      </w:r>
      <w:r w:rsidR="00194000" w:rsidRPr="002261B9">
        <w:rPr>
          <w:lang w:val="es-ES"/>
        </w:rPr>
        <w:t>,</w:t>
      </w:r>
      <w:r w:rsidR="00B8799D" w:rsidRPr="002261B9">
        <w:rPr>
          <w:lang w:val="es-ES"/>
        </w:rPr>
        <w:t xml:space="preserve"> sobre</w:t>
      </w:r>
      <w:r w:rsidRPr="002261B9">
        <w:rPr>
          <w:lang w:val="es-ES"/>
        </w:rPr>
        <w:t xml:space="preserve"> </w:t>
      </w:r>
      <w:r w:rsidR="00B8799D" w:rsidRPr="002261B9">
        <w:rPr>
          <w:lang w:val="es-ES"/>
        </w:rPr>
        <w:t>u</w:t>
      </w:r>
      <w:r w:rsidR="00D46F5C" w:rsidRPr="002261B9">
        <w:rPr>
          <w:lang w:val="es-ES"/>
        </w:rPr>
        <w:t>sos de la fotorresistencia en la fabricación de semiconductores</w:t>
      </w:r>
      <w:r w:rsidRPr="002261B9">
        <w:rPr>
          <w:lang w:val="es-ES"/>
        </w:rPr>
        <w:t xml:space="preserve"> (O</w:t>
      </w:r>
      <w:r w:rsidR="008215DF" w:rsidRPr="002261B9">
        <w:rPr>
          <w:lang w:val="es-ES"/>
        </w:rPr>
        <w:t>CD</w:t>
      </w:r>
      <w:r w:rsidRPr="002261B9">
        <w:rPr>
          <w:lang w:val="es-ES"/>
        </w:rPr>
        <w:t>E</w:t>
      </w:r>
      <w:r w:rsidR="004904E9" w:rsidRPr="002261B9">
        <w:rPr>
          <w:lang w:val="es-ES"/>
        </w:rPr>
        <w:t>,</w:t>
      </w:r>
      <w:r w:rsidR="006F57D4" w:rsidRPr="002261B9">
        <w:rPr>
          <w:lang w:val="es-ES"/>
        </w:rPr>
        <w:t xml:space="preserve"> 2</w:t>
      </w:r>
      <w:r w:rsidRPr="002261B9">
        <w:rPr>
          <w:lang w:val="es-ES"/>
        </w:rPr>
        <w:t>010</w:t>
      </w:r>
      <w:r w:rsidR="00194000" w:rsidRPr="002261B9">
        <w:rPr>
          <w:lang w:val="es-ES"/>
        </w:rPr>
        <w:t>)</w:t>
      </w:r>
      <w:r w:rsidRPr="002261B9">
        <w:rPr>
          <w:lang w:val="es-ES"/>
        </w:rPr>
        <w:t>; SIA</w:t>
      </w:r>
      <w:r w:rsidR="004904E9" w:rsidRPr="002261B9">
        <w:rPr>
          <w:lang w:val="es-ES"/>
        </w:rPr>
        <w:t>,</w:t>
      </w:r>
      <w:r w:rsidR="006F57D4" w:rsidRPr="002261B9">
        <w:rPr>
          <w:lang w:val="es-ES"/>
        </w:rPr>
        <w:t xml:space="preserve"> 2</w:t>
      </w:r>
      <w:r w:rsidRPr="002261B9">
        <w:rPr>
          <w:lang w:val="es-ES"/>
        </w:rPr>
        <w:t>016</w:t>
      </w:r>
      <w:r w:rsidR="00452DB2" w:rsidRPr="002261B9">
        <w:rPr>
          <w:lang w:val="es-ES"/>
        </w:rPr>
        <w:t>)</w:t>
      </w:r>
      <w:r w:rsidRPr="002261B9">
        <w:rPr>
          <w:lang w:val="es-ES"/>
        </w:rPr>
        <w:t>.</w:t>
      </w:r>
    </w:p>
    <w:p w14:paraId="1CE56FA9" w14:textId="77777777" w:rsidR="00E0442E" w:rsidRPr="002261B9" w:rsidRDefault="008215DF" w:rsidP="00F45508">
      <w:pPr>
        <w:pStyle w:val="Paralevel1"/>
        <w:numPr>
          <w:ilvl w:val="0"/>
          <w:numId w:val="23"/>
        </w:numPr>
        <w:tabs>
          <w:tab w:val="clear" w:pos="0"/>
        </w:tabs>
        <w:ind w:left="1247" w:firstLine="0"/>
        <w:rPr>
          <w:lang w:val="es-ES"/>
        </w:rPr>
      </w:pPr>
      <w:r w:rsidRPr="002261B9">
        <w:rPr>
          <w:lang w:val="es-ES"/>
        </w:rPr>
        <w:t xml:space="preserve">La información presentada por el sector tiende a demostrar que la sustitución es imposible en estos momentos y que </w:t>
      </w:r>
      <w:r w:rsidR="00B8799D" w:rsidRPr="002261B9">
        <w:rPr>
          <w:lang w:val="es-ES"/>
        </w:rPr>
        <w:t xml:space="preserve">son largos </w:t>
      </w:r>
      <w:r w:rsidRPr="002261B9">
        <w:rPr>
          <w:lang w:val="es-ES"/>
        </w:rPr>
        <w:t xml:space="preserve">los plazos para la sustitución </w:t>
      </w:r>
      <w:r w:rsidR="00DE7369" w:rsidRPr="002261B9">
        <w:rPr>
          <w:lang w:val="es-ES"/>
        </w:rPr>
        <w:t xml:space="preserve">(10 </w:t>
      </w:r>
      <w:r w:rsidRPr="002261B9">
        <w:rPr>
          <w:lang w:val="es-ES"/>
        </w:rPr>
        <w:t>años</w:t>
      </w:r>
      <w:r w:rsidR="00DE7369" w:rsidRPr="002261B9">
        <w:rPr>
          <w:lang w:val="es-ES"/>
        </w:rPr>
        <w:t xml:space="preserve">). </w:t>
      </w:r>
    </w:p>
    <w:p w14:paraId="32DBEAD8" w14:textId="77777777" w:rsidR="00E0442E" w:rsidRPr="002261B9" w:rsidRDefault="008215DF" w:rsidP="00F45508">
      <w:pPr>
        <w:pStyle w:val="Paralevel1"/>
        <w:numPr>
          <w:ilvl w:val="0"/>
          <w:numId w:val="23"/>
        </w:numPr>
        <w:tabs>
          <w:tab w:val="clear" w:pos="0"/>
        </w:tabs>
        <w:ind w:left="1247" w:firstLine="0"/>
        <w:rPr>
          <w:lang w:val="es-ES"/>
        </w:rPr>
      </w:pPr>
      <w:r w:rsidRPr="002261B9">
        <w:rPr>
          <w:lang w:val="es-ES"/>
        </w:rPr>
        <w:t>Las consultas públicas en la UE confirmaron que se incurriría en costos elevados si no se derogaba este uso</w:t>
      </w:r>
      <w:r w:rsidR="00DE7369" w:rsidRPr="002261B9">
        <w:rPr>
          <w:lang w:val="es-ES"/>
        </w:rPr>
        <w:t xml:space="preserve">. </w:t>
      </w:r>
      <w:r w:rsidR="003A6328" w:rsidRPr="002261B9">
        <w:rPr>
          <w:lang w:val="es-ES"/>
        </w:rPr>
        <w:t>Debido a las pocas cantidades usadas y a que cabe esperar que las emisiones sean bajas, en la restricción de la UE se establece una derogación temporal</w:t>
      </w:r>
      <w:r w:rsidR="00DE7369" w:rsidRPr="002261B9">
        <w:rPr>
          <w:lang w:val="es-ES"/>
        </w:rPr>
        <w:t xml:space="preserve"> (</w:t>
      </w:r>
      <w:r w:rsidR="003A6328" w:rsidRPr="002261B9">
        <w:rPr>
          <w:lang w:val="es-ES"/>
        </w:rPr>
        <w:t xml:space="preserve">hasta el </w:t>
      </w:r>
      <w:r w:rsidR="00DE7369" w:rsidRPr="002261B9">
        <w:rPr>
          <w:lang w:val="es-ES"/>
        </w:rPr>
        <w:t xml:space="preserve">4 </w:t>
      </w:r>
      <w:r w:rsidR="003A6328" w:rsidRPr="002261B9">
        <w:rPr>
          <w:lang w:val="es-ES"/>
        </w:rPr>
        <w:t xml:space="preserve">de julio de </w:t>
      </w:r>
      <w:r w:rsidR="00DE7369" w:rsidRPr="002261B9">
        <w:rPr>
          <w:lang w:val="es-ES"/>
        </w:rPr>
        <w:t xml:space="preserve">2022) </w:t>
      </w:r>
      <w:r w:rsidR="003A6328" w:rsidRPr="002261B9">
        <w:rPr>
          <w:lang w:val="es-ES"/>
        </w:rPr>
        <w:t>para el equipo usado en la fabricación de semiconductores</w:t>
      </w:r>
      <w:r w:rsidR="00DE7369" w:rsidRPr="002261B9">
        <w:rPr>
          <w:lang w:val="es-ES"/>
        </w:rPr>
        <w:t xml:space="preserve">. </w:t>
      </w:r>
    </w:p>
    <w:p w14:paraId="000F054E" w14:textId="6A8A08CF" w:rsidR="00E0442E" w:rsidRPr="002261B9" w:rsidRDefault="003A6328" w:rsidP="00F45508">
      <w:pPr>
        <w:pStyle w:val="Paralevel1"/>
        <w:numPr>
          <w:ilvl w:val="0"/>
          <w:numId w:val="23"/>
        </w:numPr>
        <w:tabs>
          <w:tab w:val="clear" w:pos="0"/>
        </w:tabs>
        <w:ind w:left="1247" w:firstLine="0"/>
        <w:rPr>
          <w:lang w:val="es-ES"/>
        </w:rPr>
      </w:pPr>
      <w:r w:rsidRPr="002261B9">
        <w:rPr>
          <w:lang w:val="es-ES"/>
        </w:rPr>
        <w:t xml:space="preserve">Además, </w:t>
      </w:r>
      <w:r w:rsidR="008215DF" w:rsidRPr="002261B9">
        <w:rPr>
          <w:lang w:val="es-ES"/>
        </w:rPr>
        <w:t xml:space="preserve">se ha establecido una derogación sin límite de tiempo para los procesos fotolitográficos en el caso de semiconductores o los procesos de grabado </w:t>
      </w:r>
      <w:r w:rsidRPr="002261B9">
        <w:rPr>
          <w:lang w:val="es-ES"/>
        </w:rPr>
        <w:t xml:space="preserve">de </w:t>
      </w:r>
      <w:r w:rsidR="008215DF" w:rsidRPr="002261B9">
        <w:rPr>
          <w:lang w:val="es-ES"/>
        </w:rPr>
        <w:t>semiconductores compuestos, así como para los semiconductores o semiconductores compuestos e</w:t>
      </w:r>
      <w:r w:rsidR="001E397C">
        <w:rPr>
          <w:lang w:val="es-ES"/>
        </w:rPr>
        <w:t>n la restricción de la </w:t>
      </w:r>
      <w:r w:rsidR="008215DF" w:rsidRPr="002261B9">
        <w:rPr>
          <w:lang w:val="es-ES"/>
        </w:rPr>
        <w:t>UE</w:t>
      </w:r>
      <w:r w:rsidRPr="002261B9">
        <w:rPr>
          <w:lang w:val="es-ES"/>
        </w:rPr>
        <w:t xml:space="preserve"> </w:t>
      </w:r>
      <w:r w:rsidR="00DE7369" w:rsidRPr="002261B9">
        <w:rPr>
          <w:lang w:val="es-ES"/>
        </w:rPr>
        <w:t>(</w:t>
      </w:r>
      <w:r w:rsidR="00F13B21" w:rsidRPr="002261B9">
        <w:rPr>
          <w:lang w:val="es-ES"/>
        </w:rPr>
        <w:t>véa</w:t>
      </w:r>
      <w:r w:rsidR="00033E30" w:rsidRPr="002261B9">
        <w:rPr>
          <w:lang w:val="es-ES"/>
        </w:rPr>
        <w:t>n</w:t>
      </w:r>
      <w:r w:rsidR="00F13B21" w:rsidRPr="002261B9">
        <w:rPr>
          <w:lang w:val="es-ES"/>
        </w:rPr>
        <w:t>se</w:t>
      </w:r>
      <w:r w:rsidR="00DE7369" w:rsidRPr="002261B9">
        <w:rPr>
          <w:lang w:val="es-ES"/>
        </w:rPr>
        <w:t xml:space="preserve"> ECHA</w:t>
      </w:r>
      <w:r w:rsidR="004904E9" w:rsidRPr="002261B9">
        <w:rPr>
          <w:lang w:val="es-ES"/>
        </w:rPr>
        <w:t>,</w:t>
      </w:r>
      <w:r w:rsidR="006F57D4" w:rsidRPr="002261B9">
        <w:rPr>
          <w:lang w:val="es-ES"/>
        </w:rPr>
        <w:t xml:space="preserve"> 2</w:t>
      </w:r>
      <w:r w:rsidR="00DE7369" w:rsidRPr="002261B9">
        <w:rPr>
          <w:lang w:val="es-ES"/>
        </w:rPr>
        <w:t>015c</w:t>
      </w:r>
      <w:r w:rsidR="00194000" w:rsidRPr="002261B9">
        <w:rPr>
          <w:lang w:val="es-ES"/>
        </w:rPr>
        <w:t>)</w:t>
      </w:r>
      <w:r w:rsidR="00DE7369" w:rsidRPr="002261B9">
        <w:rPr>
          <w:lang w:val="es-ES"/>
        </w:rPr>
        <w:t xml:space="preserve"> </w:t>
      </w:r>
      <w:r w:rsidRPr="002261B9">
        <w:rPr>
          <w:lang w:val="es-ES"/>
        </w:rPr>
        <w:t>y</w:t>
      </w:r>
      <w:r w:rsidR="004C62AE" w:rsidRPr="002261B9">
        <w:rPr>
          <w:lang w:val="es-ES"/>
        </w:rPr>
        <w:t xml:space="preserve"> </w:t>
      </w:r>
      <w:r w:rsidR="00912204" w:rsidRPr="002261B9">
        <w:rPr>
          <w:lang w:val="es-ES"/>
        </w:rPr>
        <w:t>Comisión Europea</w:t>
      </w:r>
      <w:r w:rsidR="004904E9" w:rsidRPr="002261B9">
        <w:rPr>
          <w:lang w:val="es-ES"/>
        </w:rPr>
        <w:t>,</w:t>
      </w:r>
      <w:r w:rsidR="006F57D4" w:rsidRPr="002261B9">
        <w:rPr>
          <w:lang w:val="es-ES"/>
        </w:rPr>
        <w:t xml:space="preserve"> 2</w:t>
      </w:r>
      <w:r w:rsidR="004C62AE" w:rsidRPr="002261B9">
        <w:rPr>
          <w:lang w:val="es-ES"/>
        </w:rPr>
        <w:t>017</w:t>
      </w:r>
      <w:r w:rsidR="00452DB2" w:rsidRPr="002261B9">
        <w:rPr>
          <w:lang w:val="es-ES"/>
        </w:rPr>
        <w:t>)</w:t>
      </w:r>
      <w:r w:rsidR="004C62AE" w:rsidRPr="002261B9">
        <w:rPr>
          <w:lang w:val="es-ES"/>
        </w:rPr>
        <w:t xml:space="preserve">. </w:t>
      </w:r>
    </w:p>
    <w:p w14:paraId="1FE0507C" w14:textId="77777777" w:rsidR="00E0442E" w:rsidRPr="002261B9" w:rsidRDefault="004C62AE" w:rsidP="00F45508">
      <w:pPr>
        <w:pStyle w:val="Paralevel1"/>
        <w:numPr>
          <w:ilvl w:val="0"/>
          <w:numId w:val="23"/>
        </w:numPr>
        <w:tabs>
          <w:tab w:val="clear" w:pos="0"/>
        </w:tabs>
        <w:ind w:left="1247" w:firstLine="0"/>
        <w:rPr>
          <w:lang w:val="es-ES"/>
        </w:rPr>
      </w:pPr>
      <w:r w:rsidRPr="002261B9">
        <w:rPr>
          <w:lang w:val="es-ES"/>
        </w:rPr>
        <w:t>E</w:t>
      </w:r>
      <w:r w:rsidR="00DE7369" w:rsidRPr="002261B9">
        <w:rPr>
          <w:lang w:val="es-ES"/>
        </w:rPr>
        <w:t xml:space="preserve">n </w:t>
      </w:r>
      <w:r w:rsidRPr="002261B9">
        <w:rPr>
          <w:lang w:val="es-ES"/>
        </w:rPr>
        <w:t xml:space="preserve">el </w:t>
      </w:r>
      <w:r w:rsidR="00DE7369" w:rsidRPr="002261B9">
        <w:rPr>
          <w:lang w:val="es-ES"/>
        </w:rPr>
        <w:t>Canad</w:t>
      </w:r>
      <w:r w:rsidRPr="002261B9">
        <w:rPr>
          <w:lang w:val="es-ES"/>
        </w:rPr>
        <w:t>á</w:t>
      </w:r>
      <w:r w:rsidR="00DE7369" w:rsidRPr="002261B9">
        <w:rPr>
          <w:lang w:val="es-ES"/>
        </w:rPr>
        <w:t xml:space="preserve">, </w:t>
      </w:r>
      <w:r w:rsidR="003A6328" w:rsidRPr="002261B9">
        <w:rPr>
          <w:lang w:val="es-ES"/>
        </w:rPr>
        <w:t xml:space="preserve">están exentos los </w:t>
      </w:r>
      <w:r w:rsidR="00DE7369" w:rsidRPr="002261B9">
        <w:rPr>
          <w:lang w:val="es-ES"/>
        </w:rPr>
        <w:t>semiconductor</w:t>
      </w:r>
      <w:r w:rsidR="003A6328" w:rsidRPr="002261B9">
        <w:rPr>
          <w:lang w:val="es-ES"/>
        </w:rPr>
        <w:t>e</w:t>
      </w:r>
      <w:r w:rsidR="00DE7369" w:rsidRPr="002261B9">
        <w:rPr>
          <w:lang w:val="es-ES"/>
        </w:rPr>
        <w:t xml:space="preserve">s </w:t>
      </w:r>
      <w:r w:rsidR="003A6328" w:rsidRPr="002261B9">
        <w:rPr>
          <w:lang w:val="es-ES"/>
        </w:rPr>
        <w:t>incorporados en artículos manufacturados</w:t>
      </w:r>
      <w:r w:rsidR="00DE7369" w:rsidRPr="002261B9">
        <w:rPr>
          <w:lang w:val="es-ES"/>
        </w:rPr>
        <w:t xml:space="preserve">, </w:t>
      </w:r>
      <w:r w:rsidR="003A6328" w:rsidRPr="002261B9">
        <w:rPr>
          <w:lang w:val="es-ES"/>
        </w:rPr>
        <w:t xml:space="preserve">mientras que en </w:t>
      </w:r>
      <w:r w:rsidR="003F3A09" w:rsidRPr="002261B9">
        <w:rPr>
          <w:lang w:val="es-ES"/>
        </w:rPr>
        <w:t>Noruega</w:t>
      </w:r>
      <w:r w:rsidR="00DE7369" w:rsidRPr="002261B9">
        <w:rPr>
          <w:lang w:val="es-ES"/>
        </w:rPr>
        <w:t xml:space="preserve"> </w:t>
      </w:r>
      <w:r w:rsidR="003A6328" w:rsidRPr="002261B9">
        <w:rPr>
          <w:lang w:val="es-ES"/>
        </w:rPr>
        <w:t xml:space="preserve">la exención para adhesivos, papel aluminio o cinta en los semiconductores caducó en </w:t>
      </w:r>
      <w:r w:rsidR="00DE7369" w:rsidRPr="002261B9">
        <w:rPr>
          <w:lang w:val="es-ES"/>
        </w:rPr>
        <w:t xml:space="preserve">2016. </w:t>
      </w:r>
    </w:p>
    <w:p w14:paraId="4892BAC0" w14:textId="74399809" w:rsidR="004D5B0D" w:rsidRPr="002261B9" w:rsidRDefault="0065573D" w:rsidP="00F45508">
      <w:pPr>
        <w:pStyle w:val="Paralevel1"/>
        <w:numPr>
          <w:ilvl w:val="0"/>
          <w:numId w:val="23"/>
        </w:numPr>
        <w:tabs>
          <w:tab w:val="clear" w:pos="0"/>
        </w:tabs>
        <w:ind w:left="1247" w:firstLine="0"/>
        <w:rPr>
          <w:lang w:val="es-ES"/>
        </w:rPr>
      </w:pPr>
      <w:r w:rsidRPr="002261B9">
        <w:rPr>
          <w:lang w:val="es-ES"/>
        </w:rPr>
        <w:t xml:space="preserve">La </w:t>
      </w:r>
      <w:r w:rsidR="00DE7369" w:rsidRPr="002261B9">
        <w:rPr>
          <w:lang w:val="es-ES"/>
        </w:rPr>
        <w:t>SEMI (</w:t>
      </w:r>
      <w:r w:rsidR="003A6328" w:rsidRPr="002261B9">
        <w:rPr>
          <w:lang w:val="es-ES"/>
        </w:rPr>
        <w:t>una asociación mundial de la industria</w:t>
      </w:r>
      <w:r w:rsidR="00DE7369" w:rsidRPr="002261B9">
        <w:rPr>
          <w:lang w:val="es-ES"/>
        </w:rPr>
        <w:t xml:space="preserve"> </w:t>
      </w:r>
      <w:r w:rsidR="003A6328" w:rsidRPr="002261B9">
        <w:rPr>
          <w:lang w:val="es-ES"/>
        </w:rPr>
        <w:t>que presta servicios a la cadena de suministros a los fabricantes para las industrias micro</w:t>
      </w:r>
      <w:r w:rsidR="00194000" w:rsidRPr="002261B9">
        <w:rPr>
          <w:lang w:val="es-ES"/>
        </w:rPr>
        <w:t>-</w:t>
      </w:r>
      <w:r w:rsidR="003A6328" w:rsidRPr="002261B9">
        <w:rPr>
          <w:lang w:val="es-ES"/>
        </w:rPr>
        <w:t xml:space="preserve"> y nanoelectrónicas</w:t>
      </w:r>
      <w:r w:rsidR="00DE7369" w:rsidRPr="002261B9">
        <w:rPr>
          <w:lang w:val="es-ES"/>
        </w:rPr>
        <w:t xml:space="preserve">) </w:t>
      </w:r>
      <w:r w:rsidR="003A6328" w:rsidRPr="002261B9">
        <w:rPr>
          <w:lang w:val="es-ES"/>
        </w:rPr>
        <w:t xml:space="preserve">apoya la exención para los procesos fotolitográficos para la fabricación de semiconductores y subraya que la exención debe adoptar la forma de </w:t>
      </w:r>
      <w:r w:rsidR="00E1011E" w:rsidRPr="002261B9">
        <w:rPr>
          <w:lang w:val="es-ES"/>
        </w:rPr>
        <w:t>“</w:t>
      </w:r>
      <w:r w:rsidR="003A6328" w:rsidRPr="002261B9">
        <w:rPr>
          <w:lang w:val="es-ES"/>
        </w:rPr>
        <w:t>finalidad aceptable</w:t>
      </w:r>
      <w:r w:rsidR="00E1011E" w:rsidRPr="002261B9">
        <w:rPr>
          <w:lang w:val="es-ES"/>
        </w:rPr>
        <w:t>”</w:t>
      </w:r>
      <w:r w:rsidR="00DE7369" w:rsidRPr="002261B9">
        <w:rPr>
          <w:lang w:val="es-ES"/>
        </w:rPr>
        <w:t xml:space="preserve"> (</w:t>
      </w:r>
      <w:r w:rsidR="004C62AE" w:rsidRPr="002261B9">
        <w:rPr>
          <w:lang w:val="es-ES"/>
        </w:rPr>
        <w:t xml:space="preserve">Observaciones de </w:t>
      </w:r>
      <w:r w:rsidRPr="002261B9">
        <w:rPr>
          <w:lang w:val="es-ES"/>
        </w:rPr>
        <w:t xml:space="preserve">la </w:t>
      </w:r>
      <w:r w:rsidR="00DE7369" w:rsidRPr="002261B9">
        <w:rPr>
          <w:lang w:val="es-ES"/>
        </w:rPr>
        <w:t xml:space="preserve">SEMI </w:t>
      </w:r>
      <w:r w:rsidR="004C62AE" w:rsidRPr="002261B9">
        <w:rPr>
          <w:lang w:val="es-ES"/>
        </w:rPr>
        <w:t xml:space="preserve">sobre el segundo proyecto de evaluación de la gestión de los </w:t>
      </w:r>
      <w:r w:rsidR="004904E9" w:rsidRPr="002261B9">
        <w:rPr>
          <w:lang w:val="es-ES"/>
        </w:rPr>
        <w:t>riesgos)</w:t>
      </w:r>
      <w:r w:rsidR="00DE7369" w:rsidRPr="002261B9">
        <w:rPr>
          <w:lang w:val="es-ES"/>
        </w:rPr>
        <w:t>.</w:t>
      </w:r>
    </w:p>
    <w:p w14:paraId="401345AC" w14:textId="2291DC89" w:rsidR="004D5B0D" w:rsidRPr="002261B9" w:rsidRDefault="003C315C" w:rsidP="00F45508">
      <w:pPr>
        <w:pStyle w:val="Paralevel1"/>
        <w:numPr>
          <w:ilvl w:val="0"/>
          <w:numId w:val="23"/>
        </w:numPr>
        <w:tabs>
          <w:tab w:val="clear" w:pos="0"/>
        </w:tabs>
        <w:ind w:left="1247" w:firstLine="0"/>
        <w:rPr>
          <w:lang w:val="es-ES"/>
        </w:rPr>
      </w:pPr>
      <w:r w:rsidRPr="002261B9">
        <w:rPr>
          <w:lang w:val="es-ES"/>
        </w:rPr>
        <w:t xml:space="preserve">Además, </w:t>
      </w:r>
      <w:r w:rsidR="0065573D" w:rsidRPr="002261B9">
        <w:rPr>
          <w:lang w:val="es-ES"/>
        </w:rPr>
        <w:t xml:space="preserve">la </w:t>
      </w:r>
      <w:r w:rsidR="007B32FA" w:rsidRPr="002261B9">
        <w:rPr>
          <w:lang w:val="es-ES"/>
        </w:rPr>
        <w:t>SEMI p</w:t>
      </w:r>
      <w:r w:rsidRPr="002261B9">
        <w:rPr>
          <w:lang w:val="es-ES"/>
        </w:rPr>
        <w:t>lantea algunas otras propuestas de exenciones y fines aceptables</w:t>
      </w:r>
      <w:r w:rsidR="007B32FA" w:rsidRPr="002261B9">
        <w:rPr>
          <w:lang w:val="es-ES"/>
        </w:rPr>
        <w:t xml:space="preserve">. </w:t>
      </w:r>
      <w:r w:rsidRPr="002261B9">
        <w:rPr>
          <w:lang w:val="es-ES"/>
        </w:rPr>
        <w:t>Además del equipo de fabricación, se propone una exención sin límite de tiempo para sustituir el equipo y sus piezas de repuesto</w:t>
      </w:r>
      <w:r w:rsidR="007B32FA" w:rsidRPr="002261B9">
        <w:rPr>
          <w:lang w:val="es-ES"/>
        </w:rPr>
        <w:t xml:space="preserve">. </w:t>
      </w:r>
      <w:r w:rsidR="00C804FD" w:rsidRPr="002261B9">
        <w:rPr>
          <w:lang w:val="es-ES"/>
        </w:rPr>
        <w:t>Además, la </w:t>
      </w:r>
      <w:r w:rsidR="007B32FA" w:rsidRPr="002261B9">
        <w:rPr>
          <w:lang w:val="es-ES"/>
        </w:rPr>
        <w:t>SEMI propo</w:t>
      </w:r>
      <w:r w:rsidRPr="002261B9">
        <w:rPr>
          <w:lang w:val="es-ES"/>
        </w:rPr>
        <w:t>ne una exención por cinco años para los sistemas de control y distribución de productos químicos, gas y aire en las instalaciones para las plantas de fabricación de semiconductores, así como una exención por cinco años para los sistemas de contenedores de productos químicos destinados al almacenamiento, el traslado y el transporte</w:t>
      </w:r>
      <w:r w:rsidR="007B32FA" w:rsidRPr="002261B9">
        <w:rPr>
          <w:lang w:val="es-ES"/>
        </w:rPr>
        <w:t xml:space="preserve"> </w:t>
      </w:r>
      <w:r w:rsidRPr="002261B9">
        <w:rPr>
          <w:lang w:val="es-ES"/>
        </w:rPr>
        <w:t xml:space="preserve">de </w:t>
      </w:r>
      <w:r w:rsidRPr="002261B9">
        <w:rPr>
          <w:lang w:val="es-ES"/>
        </w:rPr>
        <w:lastRenderedPageBreak/>
        <w:t>sustancias o mezclas</w:t>
      </w:r>
      <w:r w:rsidR="007B32FA" w:rsidRPr="002261B9">
        <w:rPr>
          <w:lang w:val="es-ES"/>
        </w:rPr>
        <w:t xml:space="preserve"> (</w:t>
      </w:r>
      <w:r w:rsidRPr="002261B9">
        <w:rPr>
          <w:lang w:val="es-ES"/>
        </w:rPr>
        <w:t xml:space="preserve">Observaciones de la </w:t>
      </w:r>
      <w:r w:rsidR="007B32FA" w:rsidRPr="002261B9">
        <w:rPr>
          <w:lang w:val="es-ES"/>
        </w:rPr>
        <w:t xml:space="preserve">SEMI </w:t>
      </w:r>
      <w:r w:rsidRPr="002261B9">
        <w:rPr>
          <w:lang w:val="es-ES"/>
        </w:rPr>
        <w:t xml:space="preserve">sobre el segundo proyecto de evaluación de la gestión de los </w:t>
      </w:r>
      <w:r w:rsidR="004904E9" w:rsidRPr="002261B9">
        <w:rPr>
          <w:lang w:val="es-ES"/>
        </w:rPr>
        <w:t>riesgos)</w:t>
      </w:r>
      <w:r w:rsidR="007B32FA" w:rsidRPr="002261B9">
        <w:rPr>
          <w:lang w:val="es-ES"/>
        </w:rPr>
        <w:t xml:space="preserve">. </w:t>
      </w:r>
      <w:r w:rsidRPr="002261B9">
        <w:rPr>
          <w:lang w:val="es-ES"/>
        </w:rPr>
        <w:t>Por otra parte</w:t>
      </w:r>
      <w:r w:rsidR="004D5B0D" w:rsidRPr="002261B9">
        <w:rPr>
          <w:lang w:val="es-ES"/>
        </w:rPr>
        <w:t xml:space="preserve">, </w:t>
      </w:r>
      <w:r w:rsidR="004C62AE" w:rsidRPr="002261B9">
        <w:rPr>
          <w:lang w:val="es-ES"/>
        </w:rPr>
        <w:t xml:space="preserve">la </w:t>
      </w:r>
      <w:r w:rsidR="004D5B0D" w:rsidRPr="002261B9">
        <w:rPr>
          <w:lang w:val="es-ES"/>
        </w:rPr>
        <w:t xml:space="preserve">SIA </w:t>
      </w:r>
      <w:r w:rsidR="004C62AE" w:rsidRPr="002261B9">
        <w:rPr>
          <w:lang w:val="es-ES"/>
        </w:rPr>
        <w:t xml:space="preserve">solicita que se apruebe para los proveedores una exención para fines aceptables con arreglo al anexo </w:t>
      </w:r>
      <w:r w:rsidR="004D5B0D" w:rsidRPr="002261B9">
        <w:rPr>
          <w:lang w:val="es-ES"/>
        </w:rPr>
        <w:t xml:space="preserve">B </w:t>
      </w:r>
      <w:r w:rsidR="004C62AE" w:rsidRPr="002261B9">
        <w:rPr>
          <w:lang w:val="es-ES"/>
        </w:rPr>
        <w:t xml:space="preserve">para que usen </w:t>
      </w:r>
      <w:r w:rsidR="004D5B0D" w:rsidRPr="002261B9">
        <w:rPr>
          <w:lang w:val="es-ES"/>
        </w:rPr>
        <w:t xml:space="preserve">PFOA </w:t>
      </w:r>
      <w:r w:rsidR="004C62AE" w:rsidRPr="002261B9">
        <w:rPr>
          <w:lang w:val="es-ES"/>
        </w:rPr>
        <w:t xml:space="preserve">y compuestos conexos en la fabricación de </w:t>
      </w:r>
      <w:r w:rsidR="00E1011E" w:rsidRPr="002261B9">
        <w:rPr>
          <w:lang w:val="es-ES"/>
        </w:rPr>
        <w:t>“</w:t>
      </w:r>
      <w:r w:rsidR="004C62AE" w:rsidRPr="002261B9">
        <w:rPr>
          <w:lang w:val="es-ES"/>
        </w:rPr>
        <w:t>herramientas</w:t>
      </w:r>
      <w:r w:rsidR="00E1011E" w:rsidRPr="002261B9">
        <w:rPr>
          <w:lang w:val="es-ES"/>
        </w:rPr>
        <w:t>”</w:t>
      </w:r>
      <w:r w:rsidR="004D5B0D" w:rsidRPr="002261B9">
        <w:rPr>
          <w:lang w:val="es-ES"/>
        </w:rPr>
        <w:t xml:space="preserve"> </w:t>
      </w:r>
      <w:r w:rsidR="004C62AE" w:rsidRPr="002261B9">
        <w:rPr>
          <w:lang w:val="es-ES"/>
        </w:rPr>
        <w:t>y piezas auxiliares</w:t>
      </w:r>
      <w:r w:rsidR="004D5B0D" w:rsidRPr="002261B9">
        <w:rPr>
          <w:lang w:val="es-ES"/>
        </w:rPr>
        <w:t xml:space="preserve">. </w:t>
      </w:r>
      <w:r w:rsidR="00915A19" w:rsidRPr="002261B9">
        <w:rPr>
          <w:lang w:val="es-ES"/>
        </w:rPr>
        <w:t>Hace falta in</w:t>
      </w:r>
      <w:r w:rsidR="001E397C">
        <w:rPr>
          <w:lang w:val="es-ES"/>
        </w:rPr>
        <w:t>corporar pequeñas cantidades de </w:t>
      </w:r>
      <w:r w:rsidR="004D5B0D" w:rsidRPr="002261B9">
        <w:rPr>
          <w:lang w:val="es-ES"/>
        </w:rPr>
        <w:t xml:space="preserve">PFOA </w:t>
      </w:r>
      <w:r w:rsidR="00915A19" w:rsidRPr="002261B9">
        <w:rPr>
          <w:lang w:val="es-ES"/>
        </w:rPr>
        <w:t xml:space="preserve">y compuestos conexos en los </w:t>
      </w:r>
      <w:r w:rsidR="006333A5" w:rsidRPr="002261B9">
        <w:rPr>
          <w:lang w:val="es-ES"/>
        </w:rPr>
        <w:t>fluoropol</w:t>
      </w:r>
      <w:r w:rsidR="00915A19" w:rsidRPr="002261B9">
        <w:rPr>
          <w:lang w:val="es-ES"/>
        </w:rPr>
        <w:t>í</w:t>
      </w:r>
      <w:r w:rsidR="006333A5" w:rsidRPr="002261B9">
        <w:rPr>
          <w:lang w:val="es-ES"/>
        </w:rPr>
        <w:t>meros</w:t>
      </w:r>
      <w:r w:rsidR="004D5B0D" w:rsidRPr="002261B9">
        <w:rPr>
          <w:lang w:val="es-ES"/>
        </w:rPr>
        <w:t xml:space="preserve"> us</w:t>
      </w:r>
      <w:r w:rsidR="00915A19" w:rsidRPr="002261B9">
        <w:rPr>
          <w:lang w:val="es-ES"/>
        </w:rPr>
        <w:t>ados en l</w:t>
      </w:r>
      <w:r w:rsidR="004C62AE" w:rsidRPr="002261B9">
        <w:rPr>
          <w:lang w:val="es-ES"/>
        </w:rPr>
        <w:t>a</w:t>
      </w:r>
      <w:r w:rsidR="00915A19" w:rsidRPr="002261B9">
        <w:rPr>
          <w:lang w:val="es-ES"/>
        </w:rPr>
        <w:t xml:space="preserve">s </w:t>
      </w:r>
      <w:r w:rsidR="004C62AE" w:rsidRPr="002261B9">
        <w:rPr>
          <w:lang w:val="es-ES"/>
        </w:rPr>
        <w:t>herramientas</w:t>
      </w:r>
      <w:r w:rsidR="00915A19" w:rsidRPr="002261B9">
        <w:rPr>
          <w:lang w:val="es-ES"/>
        </w:rPr>
        <w:t xml:space="preserve"> y l</w:t>
      </w:r>
      <w:r w:rsidR="004C62AE" w:rsidRPr="002261B9">
        <w:rPr>
          <w:lang w:val="es-ES"/>
        </w:rPr>
        <w:t>a</w:t>
      </w:r>
      <w:r w:rsidR="00915A19" w:rsidRPr="002261B9">
        <w:rPr>
          <w:lang w:val="es-ES"/>
        </w:rPr>
        <w:t xml:space="preserve">s </w:t>
      </w:r>
      <w:r w:rsidR="004C62AE" w:rsidRPr="002261B9">
        <w:rPr>
          <w:lang w:val="es-ES"/>
        </w:rPr>
        <w:t>piezas</w:t>
      </w:r>
      <w:r w:rsidR="00915A19" w:rsidRPr="002261B9">
        <w:rPr>
          <w:lang w:val="es-ES"/>
        </w:rPr>
        <w:t xml:space="preserve"> auxiliares</w:t>
      </w:r>
      <w:r w:rsidR="004D5B0D" w:rsidRPr="002261B9">
        <w:rPr>
          <w:lang w:val="es-ES"/>
        </w:rPr>
        <w:t xml:space="preserve">, </w:t>
      </w:r>
      <w:r w:rsidR="00915A19" w:rsidRPr="002261B9">
        <w:rPr>
          <w:lang w:val="es-ES"/>
        </w:rPr>
        <w:t>entre ell</w:t>
      </w:r>
      <w:r w:rsidR="004C62AE" w:rsidRPr="002261B9">
        <w:rPr>
          <w:lang w:val="es-ES"/>
        </w:rPr>
        <w:t>a</w:t>
      </w:r>
      <w:r w:rsidR="00915A19" w:rsidRPr="002261B9">
        <w:rPr>
          <w:lang w:val="es-ES"/>
        </w:rPr>
        <w:t>s</w:t>
      </w:r>
      <w:r w:rsidR="004D5B0D" w:rsidRPr="002261B9">
        <w:rPr>
          <w:lang w:val="es-ES"/>
        </w:rPr>
        <w:t xml:space="preserve"> </w:t>
      </w:r>
      <w:r w:rsidR="004C62AE" w:rsidRPr="002261B9">
        <w:rPr>
          <w:lang w:val="es-ES"/>
        </w:rPr>
        <w:t>obturadores</w:t>
      </w:r>
      <w:r w:rsidR="004D5B0D" w:rsidRPr="002261B9">
        <w:rPr>
          <w:lang w:val="es-ES"/>
        </w:rPr>
        <w:t xml:space="preserve">, </w:t>
      </w:r>
      <w:r w:rsidR="00915A19" w:rsidRPr="002261B9">
        <w:rPr>
          <w:lang w:val="es-ES"/>
        </w:rPr>
        <w:t>recubrimientos</w:t>
      </w:r>
      <w:r w:rsidR="004D5B0D" w:rsidRPr="002261B9">
        <w:rPr>
          <w:lang w:val="es-ES"/>
        </w:rPr>
        <w:t>, v</w:t>
      </w:r>
      <w:r w:rsidR="00915A19" w:rsidRPr="002261B9">
        <w:rPr>
          <w:lang w:val="es-ES"/>
        </w:rPr>
        <w:t>álvulas</w:t>
      </w:r>
      <w:r w:rsidR="004D5B0D" w:rsidRPr="002261B9">
        <w:rPr>
          <w:lang w:val="es-ES"/>
        </w:rPr>
        <w:t xml:space="preserve">, </w:t>
      </w:r>
      <w:r w:rsidR="004C62AE" w:rsidRPr="002261B9">
        <w:rPr>
          <w:lang w:val="es-ES"/>
        </w:rPr>
        <w:t>juntas</w:t>
      </w:r>
      <w:r w:rsidR="00915A19" w:rsidRPr="002261B9">
        <w:rPr>
          <w:lang w:val="es-ES"/>
        </w:rPr>
        <w:t xml:space="preserve"> y contenedores</w:t>
      </w:r>
      <w:r w:rsidR="004D5B0D" w:rsidRPr="002261B9">
        <w:rPr>
          <w:lang w:val="es-ES"/>
        </w:rPr>
        <w:t xml:space="preserve">, </w:t>
      </w:r>
      <w:r w:rsidR="00915A19" w:rsidRPr="002261B9">
        <w:rPr>
          <w:lang w:val="es-ES"/>
        </w:rPr>
        <w:t xml:space="preserve">que </w:t>
      </w:r>
      <w:r w:rsidR="00C804FD" w:rsidRPr="002261B9">
        <w:rPr>
          <w:lang w:val="es-ES"/>
        </w:rPr>
        <w:t>son </w:t>
      </w:r>
      <w:r w:rsidR="004C62AE" w:rsidRPr="002261B9">
        <w:rPr>
          <w:lang w:val="es-ES"/>
        </w:rPr>
        <w:t xml:space="preserve">partes </w:t>
      </w:r>
      <w:r w:rsidR="00915A19" w:rsidRPr="002261B9">
        <w:rPr>
          <w:lang w:val="es-ES"/>
        </w:rPr>
        <w:t>en esos equipos</w:t>
      </w:r>
      <w:r w:rsidR="004D5B0D" w:rsidRPr="002261B9">
        <w:rPr>
          <w:lang w:val="es-ES"/>
        </w:rPr>
        <w:t>, as</w:t>
      </w:r>
      <w:r w:rsidR="00915A19" w:rsidRPr="002261B9">
        <w:rPr>
          <w:lang w:val="es-ES"/>
        </w:rPr>
        <w:t>í como en las piezas de repuesto,</w:t>
      </w:r>
      <w:r w:rsidR="004D5B0D" w:rsidRPr="002261B9">
        <w:rPr>
          <w:lang w:val="es-ES"/>
        </w:rPr>
        <w:t xml:space="preserve"> </w:t>
      </w:r>
      <w:r w:rsidR="00915A19" w:rsidRPr="002261B9">
        <w:rPr>
          <w:lang w:val="es-ES"/>
        </w:rPr>
        <w:t>para lograr requisitos funcionales y de desempeño cruciales</w:t>
      </w:r>
      <w:r w:rsidR="004D5B0D" w:rsidRPr="002261B9">
        <w:rPr>
          <w:lang w:val="es-ES"/>
        </w:rPr>
        <w:t xml:space="preserve">. </w:t>
      </w:r>
      <w:r w:rsidR="00915A19" w:rsidRPr="002261B9">
        <w:rPr>
          <w:lang w:val="es-ES"/>
        </w:rPr>
        <w:t>Estas complejas piezas de los equipos se usan en las plantas de fabricación con posibilidades mínimas de exposición</w:t>
      </w:r>
      <w:r w:rsidR="004D5B0D" w:rsidRPr="002261B9">
        <w:rPr>
          <w:lang w:val="es-ES"/>
        </w:rPr>
        <w:t xml:space="preserve">. </w:t>
      </w:r>
      <w:r w:rsidR="00915A19" w:rsidRPr="002261B9">
        <w:rPr>
          <w:lang w:val="es-ES"/>
        </w:rPr>
        <w:t>E</w:t>
      </w:r>
      <w:r w:rsidR="004D5B0D" w:rsidRPr="002261B9">
        <w:rPr>
          <w:lang w:val="es-ES"/>
        </w:rPr>
        <w:t>n conclusi</w:t>
      </w:r>
      <w:r w:rsidR="00915A19" w:rsidRPr="002261B9">
        <w:rPr>
          <w:lang w:val="es-ES"/>
        </w:rPr>
        <w:t>ó</w:t>
      </w:r>
      <w:r w:rsidR="004D5B0D" w:rsidRPr="002261B9">
        <w:rPr>
          <w:lang w:val="es-ES"/>
        </w:rPr>
        <w:t xml:space="preserve">n, </w:t>
      </w:r>
      <w:r w:rsidR="004C62AE" w:rsidRPr="002261B9">
        <w:rPr>
          <w:lang w:val="es-ES"/>
        </w:rPr>
        <w:t xml:space="preserve">la </w:t>
      </w:r>
      <w:r w:rsidR="004D5B0D" w:rsidRPr="002261B9">
        <w:rPr>
          <w:lang w:val="es-ES"/>
        </w:rPr>
        <w:t xml:space="preserve">SIA </w:t>
      </w:r>
      <w:r w:rsidR="004C62AE" w:rsidRPr="002261B9">
        <w:rPr>
          <w:lang w:val="es-ES"/>
        </w:rPr>
        <w:t xml:space="preserve">pide una exención </w:t>
      </w:r>
      <w:r w:rsidR="00915A19" w:rsidRPr="002261B9">
        <w:rPr>
          <w:lang w:val="es-ES"/>
        </w:rPr>
        <w:t>a tenor del anexo</w:t>
      </w:r>
      <w:r w:rsidR="004D5B0D" w:rsidRPr="002261B9">
        <w:rPr>
          <w:lang w:val="es-ES"/>
        </w:rPr>
        <w:t xml:space="preserve"> B </w:t>
      </w:r>
      <w:r w:rsidR="00915A19" w:rsidRPr="002261B9">
        <w:rPr>
          <w:lang w:val="es-ES"/>
        </w:rPr>
        <w:t>del Convenio</w:t>
      </w:r>
      <w:r w:rsidR="004D5B0D" w:rsidRPr="002261B9">
        <w:rPr>
          <w:lang w:val="es-ES"/>
        </w:rPr>
        <w:t xml:space="preserve"> </w:t>
      </w:r>
      <w:r w:rsidR="00C804FD" w:rsidRPr="002261B9">
        <w:rPr>
          <w:lang w:val="es-ES"/>
        </w:rPr>
        <w:t>para los usos industriales del </w:t>
      </w:r>
      <w:r w:rsidR="004D5B0D" w:rsidRPr="002261B9">
        <w:rPr>
          <w:lang w:val="es-ES"/>
        </w:rPr>
        <w:t xml:space="preserve">PFOA </w:t>
      </w:r>
      <w:r w:rsidR="00915A19" w:rsidRPr="002261B9">
        <w:rPr>
          <w:lang w:val="es-ES"/>
        </w:rPr>
        <w:t xml:space="preserve">y los compuestos conexos en sus procesos de fabricación y el uso de estos productos químicos en los equipos de fabricación </w:t>
      </w:r>
      <w:r w:rsidR="004D5B0D" w:rsidRPr="002261B9">
        <w:rPr>
          <w:lang w:val="es-ES"/>
        </w:rPr>
        <w:t>avan</w:t>
      </w:r>
      <w:r w:rsidR="00915A19" w:rsidRPr="002261B9">
        <w:rPr>
          <w:lang w:val="es-ES"/>
        </w:rPr>
        <w:t xml:space="preserve">zados </w:t>
      </w:r>
      <w:r w:rsidR="004D5B0D" w:rsidRPr="002261B9">
        <w:rPr>
          <w:lang w:val="es-ES"/>
        </w:rPr>
        <w:t>(</w:t>
      </w:r>
      <w:r w:rsidR="007F0459" w:rsidRPr="002261B9">
        <w:rPr>
          <w:lang w:val="es-ES"/>
        </w:rPr>
        <w:t xml:space="preserve">Observaciones </w:t>
      </w:r>
      <w:r w:rsidR="00915A19" w:rsidRPr="002261B9">
        <w:rPr>
          <w:lang w:val="es-ES"/>
        </w:rPr>
        <w:t xml:space="preserve">de </w:t>
      </w:r>
      <w:r w:rsidR="0065573D" w:rsidRPr="002261B9">
        <w:rPr>
          <w:lang w:val="es-ES"/>
        </w:rPr>
        <w:t xml:space="preserve">la </w:t>
      </w:r>
      <w:r w:rsidR="004D5B0D" w:rsidRPr="002261B9">
        <w:rPr>
          <w:lang w:val="es-ES"/>
        </w:rPr>
        <w:t xml:space="preserve">SIA </w:t>
      </w:r>
      <w:r w:rsidR="00915A19" w:rsidRPr="002261B9">
        <w:rPr>
          <w:lang w:val="es-ES"/>
        </w:rPr>
        <w:t xml:space="preserve">sobre el </w:t>
      </w:r>
      <w:r w:rsidR="00D46F5C" w:rsidRPr="002261B9">
        <w:rPr>
          <w:lang w:val="es-ES"/>
        </w:rPr>
        <w:t>primer</w:t>
      </w:r>
      <w:r w:rsidR="00915A19" w:rsidRPr="002261B9">
        <w:rPr>
          <w:lang w:val="es-ES"/>
        </w:rPr>
        <w:t xml:space="preserve"> proyecto de evaluación de la gestión de los riesgos</w:t>
      </w:r>
      <w:r w:rsidR="004D5B0D" w:rsidRPr="002261B9">
        <w:rPr>
          <w:lang w:val="es-ES"/>
        </w:rPr>
        <w:t xml:space="preserve">). </w:t>
      </w:r>
    </w:p>
    <w:p w14:paraId="3E649CDE" w14:textId="001BB5F8" w:rsidR="004D5B0D" w:rsidRPr="002261B9" w:rsidRDefault="00EC480D" w:rsidP="0086269E">
      <w:pPr>
        <w:tabs>
          <w:tab w:val="left" w:pos="624"/>
        </w:tabs>
        <w:spacing w:after="120"/>
        <w:ind w:left="1248" w:hanging="624"/>
        <w:rPr>
          <w:b/>
          <w:i/>
          <w:sz w:val="20"/>
          <w:szCs w:val="20"/>
          <w:lang w:val="es-ES"/>
        </w:rPr>
      </w:pPr>
      <w:r w:rsidRPr="002261B9">
        <w:rPr>
          <w:b/>
          <w:bCs/>
          <w:i/>
          <w:iCs/>
          <w:sz w:val="20"/>
          <w:szCs w:val="20"/>
          <w:lang w:val="es-ES"/>
        </w:rPr>
        <w:t>B.</w:t>
      </w:r>
      <w:r w:rsidR="00E0442E" w:rsidRPr="002261B9">
        <w:rPr>
          <w:sz w:val="20"/>
          <w:szCs w:val="20"/>
          <w:lang w:val="es-ES"/>
        </w:rPr>
        <w:tab/>
      </w:r>
      <w:r w:rsidR="00EF2AC1" w:rsidRPr="002261B9">
        <w:rPr>
          <w:b/>
          <w:i/>
          <w:sz w:val="20"/>
          <w:szCs w:val="20"/>
          <w:lang w:val="es-ES"/>
        </w:rPr>
        <w:t>Productos</w:t>
      </w:r>
      <w:r w:rsidR="00EF2AC1" w:rsidRPr="002261B9">
        <w:rPr>
          <w:b/>
          <w:bCs/>
          <w:i/>
          <w:iCs/>
          <w:sz w:val="20"/>
          <w:szCs w:val="20"/>
          <w:lang w:val="es-ES"/>
        </w:rPr>
        <w:t xml:space="preserve"> t</w:t>
      </w:r>
      <w:r w:rsidRPr="002261B9">
        <w:rPr>
          <w:b/>
          <w:bCs/>
          <w:i/>
          <w:iCs/>
          <w:sz w:val="20"/>
          <w:szCs w:val="20"/>
          <w:lang w:val="es-ES"/>
        </w:rPr>
        <w:t>extiles</w:t>
      </w:r>
      <w:r w:rsidR="00EF2AC1" w:rsidRPr="002261B9">
        <w:rPr>
          <w:b/>
          <w:bCs/>
          <w:i/>
          <w:iCs/>
          <w:sz w:val="20"/>
          <w:szCs w:val="20"/>
          <w:lang w:val="es-ES"/>
        </w:rPr>
        <w:t xml:space="preserve"> de uso</w:t>
      </w:r>
      <w:r w:rsidRPr="002261B9">
        <w:rPr>
          <w:b/>
          <w:bCs/>
          <w:i/>
          <w:iCs/>
          <w:sz w:val="20"/>
          <w:szCs w:val="20"/>
          <w:lang w:val="es-ES"/>
        </w:rPr>
        <w:t xml:space="preserve"> técnico</w:t>
      </w:r>
      <w:r w:rsidR="00610BE7" w:rsidRPr="002261B9">
        <w:rPr>
          <w:b/>
          <w:i/>
          <w:sz w:val="20"/>
          <w:szCs w:val="20"/>
          <w:vertAlign w:val="superscript"/>
          <w:lang w:val="es-ES"/>
        </w:rPr>
        <w:footnoteReference w:id="17"/>
      </w:r>
    </w:p>
    <w:p w14:paraId="34E2D222" w14:textId="77777777" w:rsidR="00946899" w:rsidRPr="002261B9" w:rsidRDefault="00DC147A" w:rsidP="00F45508">
      <w:pPr>
        <w:pStyle w:val="Paralevel1"/>
        <w:numPr>
          <w:ilvl w:val="0"/>
          <w:numId w:val="23"/>
        </w:numPr>
        <w:tabs>
          <w:tab w:val="clear" w:pos="0"/>
        </w:tabs>
        <w:ind w:left="1247" w:firstLine="0"/>
        <w:rPr>
          <w:lang w:val="es-ES"/>
        </w:rPr>
      </w:pPr>
      <w:r w:rsidRPr="002261B9">
        <w:rPr>
          <w:lang w:val="es-ES"/>
        </w:rPr>
        <w:t>Para los productos textiles de uso no técnico en aplicaciones a la intemperie</w:t>
      </w:r>
      <w:r w:rsidR="002E4A8E" w:rsidRPr="002261B9">
        <w:rPr>
          <w:lang w:val="es-ES"/>
        </w:rPr>
        <w:t xml:space="preserve"> (</w:t>
      </w:r>
      <w:r w:rsidR="00915A19" w:rsidRPr="002261B9">
        <w:rPr>
          <w:lang w:val="es-ES"/>
        </w:rPr>
        <w:t>por ejemplo,</w:t>
      </w:r>
      <w:r w:rsidR="002E4A8E" w:rsidRPr="002261B9">
        <w:rPr>
          <w:lang w:val="es-ES"/>
        </w:rPr>
        <w:t xml:space="preserve"> </w:t>
      </w:r>
      <w:r w:rsidRPr="002261B9">
        <w:rPr>
          <w:lang w:val="es-ES"/>
        </w:rPr>
        <w:t>toldos</w:t>
      </w:r>
      <w:r w:rsidR="002E4A8E" w:rsidRPr="002261B9">
        <w:rPr>
          <w:lang w:val="es-ES"/>
        </w:rPr>
        <w:t xml:space="preserve"> </w:t>
      </w:r>
      <w:r w:rsidR="00915A19" w:rsidRPr="002261B9">
        <w:rPr>
          <w:lang w:val="es-ES"/>
        </w:rPr>
        <w:t>y</w:t>
      </w:r>
      <w:r w:rsidR="002E4A8E" w:rsidRPr="002261B9">
        <w:rPr>
          <w:lang w:val="es-ES"/>
        </w:rPr>
        <w:t xml:space="preserve"> </w:t>
      </w:r>
      <w:r w:rsidRPr="002261B9">
        <w:rPr>
          <w:lang w:val="es-ES"/>
        </w:rPr>
        <w:t>muebles para exteriores</w:t>
      </w:r>
      <w:r w:rsidR="002E4A8E" w:rsidRPr="002261B9">
        <w:rPr>
          <w:lang w:val="es-ES"/>
        </w:rPr>
        <w:t xml:space="preserve">, </w:t>
      </w:r>
      <w:r w:rsidRPr="002261B9">
        <w:rPr>
          <w:lang w:val="es-ES"/>
        </w:rPr>
        <w:t>equipo para acampar</w:t>
      </w:r>
      <w:r w:rsidR="002E4A8E" w:rsidRPr="002261B9">
        <w:rPr>
          <w:lang w:val="es-ES"/>
        </w:rPr>
        <w:t xml:space="preserve">), </w:t>
      </w:r>
      <w:r w:rsidR="00A4172E" w:rsidRPr="002261B9">
        <w:rPr>
          <w:lang w:val="es-ES"/>
        </w:rPr>
        <w:t xml:space="preserve">se dispone de alternativas y el establecimiento de </w:t>
      </w:r>
      <w:r w:rsidRPr="002261B9">
        <w:rPr>
          <w:lang w:val="es-ES"/>
        </w:rPr>
        <w:t>una exención en la UE</w:t>
      </w:r>
      <w:r w:rsidR="00A4172E" w:rsidRPr="002261B9">
        <w:rPr>
          <w:lang w:val="es-ES"/>
        </w:rPr>
        <w:t xml:space="preserve"> no está justificado</w:t>
      </w:r>
      <w:r w:rsidR="002E4A8E" w:rsidRPr="002261B9">
        <w:rPr>
          <w:lang w:val="es-ES"/>
        </w:rPr>
        <w:t xml:space="preserve">. </w:t>
      </w:r>
    </w:p>
    <w:p w14:paraId="458D1BBC" w14:textId="73E66D5C" w:rsidR="00E0442E" w:rsidRPr="002261B9" w:rsidRDefault="00A4172E" w:rsidP="00F45508">
      <w:pPr>
        <w:pStyle w:val="Paralevel1"/>
        <w:numPr>
          <w:ilvl w:val="0"/>
          <w:numId w:val="23"/>
        </w:numPr>
        <w:tabs>
          <w:tab w:val="clear" w:pos="0"/>
        </w:tabs>
        <w:ind w:left="1247" w:firstLine="0"/>
        <w:rPr>
          <w:lang w:val="es-ES"/>
        </w:rPr>
      </w:pPr>
      <w:r w:rsidRPr="002261B9">
        <w:rPr>
          <w:lang w:val="es-ES"/>
        </w:rPr>
        <w:t xml:space="preserve">En el caso de </w:t>
      </w:r>
      <w:r w:rsidR="00DC147A" w:rsidRPr="002261B9">
        <w:rPr>
          <w:lang w:val="es-ES"/>
        </w:rPr>
        <w:t>los materiales para filtrar aceites y combustibles, algunas empresas afirman que</w:t>
      </w:r>
      <w:r w:rsidR="0086269E" w:rsidRPr="002261B9">
        <w:rPr>
          <w:lang w:val="es-ES"/>
        </w:rPr>
        <w:t> </w:t>
      </w:r>
      <w:r w:rsidR="00DC147A" w:rsidRPr="002261B9">
        <w:rPr>
          <w:lang w:val="es-ES"/>
        </w:rPr>
        <w:t>no se dispone de alternativas</w:t>
      </w:r>
      <w:r w:rsidR="000F25F0" w:rsidRPr="002261B9">
        <w:rPr>
          <w:lang w:val="es-ES"/>
        </w:rPr>
        <w:t xml:space="preserve">. </w:t>
      </w:r>
      <w:r w:rsidR="00DC147A" w:rsidRPr="002261B9">
        <w:rPr>
          <w:lang w:val="es-ES"/>
        </w:rPr>
        <w:t xml:space="preserve">Sin embargo, otras empresas informan de la disponibilidad de alternativas </w:t>
      </w:r>
      <w:r w:rsidR="004D5B0D" w:rsidRPr="002261B9">
        <w:rPr>
          <w:lang w:val="es-ES"/>
        </w:rPr>
        <w:t>(</w:t>
      </w:r>
      <w:r w:rsidR="00DC147A" w:rsidRPr="002261B9">
        <w:rPr>
          <w:lang w:val="es-ES"/>
        </w:rPr>
        <w:t>productos químicos fluorados de cadena corta</w:t>
      </w:r>
      <w:r w:rsidR="008C4B89" w:rsidRPr="002261B9">
        <w:rPr>
          <w:lang w:val="es-ES"/>
        </w:rPr>
        <w:t>) en esferas de alto rendimiento</w:t>
      </w:r>
      <w:r w:rsidR="004D5B0D" w:rsidRPr="002261B9">
        <w:rPr>
          <w:lang w:val="es-ES"/>
        </w:rPr>
        <w:t xml:space="preserve"> (ECHA</w:t>
      </w:r>
      <w:r w:rsidR="004904E9" w:rsidRPr="002261B9">
        <w:rPr>
          <w:lang w:val="es-ES"/>
        </w:rPr>
        <w:t>,</w:t>
      </w:r>
      <w:r w:rsidR="0086269E" w:rsidRPr="002261B9">
        <w:rPr>
          <w:lang w:val="es-ES"/>
        </w:rPr>
        <w:t> </w:t>
      </w:r>
      <w:r w:rsidR="006F57D4" w:rsidRPr="002261B9">
        <w:rPr>
          <w:lang w:val="es-ES"/>
        </w:rPr>
        <w:t>2</w:t>
      </w:r>
      <w:r w:rsidR="004D5B0D" w:rsidRPr="002261B9">
        <w:rPr>
          <w:lang w:val="es-ES"/>
        </w:rPr>
        <w:t>014a</w:t>
      </w:r>
      <w:r w:rsidR="004904E9" w:rsidRPr="002261B9">
        <w:rPr>
          <w:lang w:val="es-ES"/>
        </w:rPr>
        <w:t>),</w:t>
      </w:r>
      <w:r w:rsidR="006F57D4" w:rsidRPr="002261B9">
        <w:rPr>
          <w:lang w:val="es-ES"/>
        </w:rPr>
        <w:t xml:space="preserve"> 2</w:t>
      </w:r>
      <w:r w:rsidR="004D5B0D" w:rsidRPr="002261B9">
        <w:rPr>
          <w:lang w:val="es-ES"/>
        </w:rPr>
        <w:t>015a</w:t>
      </w:r>
      <w:r w:rsidR="00452DB2" w:rsidRPr="002261B9">
        <w:rPr>
          <w:lang w:val="es-ES"/>
        </w:rPr>
        <w:t>)</w:t>
      </w:r>
      <w:r w:rsidR="004D5B0D" w:rsidRPr="002261B9">
        <w:rPr>
          <w:lang w:val="es-ES"/>
        </w:rPr>
        <w:t xml:space="preserve">. </w:t>
      </w:r>
      <w:r w:rsidR="00DC147A" w:rsidRPr="002261B9">
        <w:rPr>
          <w:lang w:val="es-ES"/>
        </w:rPr>
        <w:t>En general</w:t>
      </w:r>
      <w:r w:rsidR="004D5B0D" w:rsidRPr="002261B9">
        <w:rPr>
          <w:lang w:val="es-ES"/>
        </w:rPr>
        <w:t xml:space="preserve">, </w:t>
      </w:r>
      <w:r w:rsidR="00C804FD" w:rsidRPr="002261B9">
        <w:rPr>
          <w:lang w:val="es-ES"/>
        </w:rPr>
        <w:t>no se puede </w:t>
      </w:r>
      <w:r w:rsidR="00DC147A" w:rsidRPr="002261B9">
        <w:rPr>
          <w:lang w:val="es-ES"/>
        </w:rPr>
        <w:t>determinar del todo si se justifica establecer una exención en el sector profesional debido a la falta de datos fundamentalmente sobre volúmenes, usos y sustancias específicos</w:t>
      </w:r>
      <w:r w:rsidR="004D5B0D" w:rsidRPr="002261B9">
        <w:rPr>
          <w:lang w:val="es-ES"/>
        </w:rPr>
        <w:t xml:space="preserve">. </w:t>
      </w:r>
      <w:r w:rsidR="00DC147A" w:rsidRPr="002261B9">
        <w:rPr>
          <w:lang w:val="es-ES"/>
        </w:rPr>
        <w:t xml:space="preserve">Se podría convenir en </w:t>
      </w:r>
      <w:r w:rsidR="004D691A" w:rsidRPr="002261B9">
        <w:rPr>
          <w:lang w:val="es-ES"/>
        </w:rPr>
        <w:t>establecer</w:t>
      </w:r>
      <w:r w:rsidR="00DC147A" w:rsidRPr="002261B9">
        <w:rPr>
          <w:lang w:val="es-ES"/>
        </w:rPr>
        <w:t xml:space="preserve"> un período de transición para los us</w:t>
      </w:r>
      <w:r w:rsidR="008C4B89" w:rsidRPr="002261B9">
        <w:rPr>
          <w:lang w:val="es-ES"/>
        </w:rPr>
        <w:t>os restantes en el sector profe</w:t>
      </w:r>
      <w:r w:rsidR="00DC147A" w:rsidRPr="002261B9">
        <w:rPr>
          <w:lang w:val="es-ES"/>
        </w:rPr>
        <w:t>sional, ya que el equipo de protección personal tiene que cumplir requisitos específicos</w:t>
      </w:r>
      <w:r w:rsidR="004D5B0D" w:rsidRPr="002261B9">
        <w:rPr>
          <w:lang w:val="es-ES"/>
        </w:rPr>
        <w:t>,</w:t>
      </w:r>
      <w:r w:rsidR="00DC147A" w:rsidRPr="002261B9">
        <w:rPr>
          <w:lang w:val="es-ES"/>
        </w:rPr>
        <w:t xml:space="preserve"> que se establecen en las respectivas normas</w:t>
      </w:r>
      <w:r w:rsidR="004D5B0D" w:rsidRPr="002261B9">
        <w:rPr>
          <w:lang w:val="es-ES"/>
        </w:rPr>
        <w:t xml:space="preserve"> (</w:t>
      </w:r>
      <w:r w:rsidR="00DC147A" w:rsidRPr="002261B9">
        <w:rPr>
          <w:lang w:val="es-ES"/>
        </w:rPr>
        <w:t xml:space="preserve">por ejemplo, la norma </w:t>
      </w:r>
      <w:r w:rsidR="004D5B0D" w:rsidRPr="002261B9">
        <w:rPr>
          <w:lang w:val="es-ES"/>
        </w:rPr>
        <w:t xml:space="preserve">EN 13034 </w:t>
      </w:r>
      <w:r w:rsidR="00DC147A" w:rsidRPr="002261B9">
        <w:rPr>
          <w:lang w:val="es-ES"/>
        </w:rPr>
        <w:t>para la indumentaria de protección</w:t>
      </w:r>
      <w:r w:rsidR="004D5B0D" w:rsidRPr="002261B9">
        <w:rPr>
          <w:lang w:val="es-ES"/>
        </w:rPr>
        <w:t xml:space="preserve">). </w:t>
      </w:r>
    </w:p>
    <w:p w14:paraId="0085DF8E" w14:textId="77777777" w:rsidR="002C245B" w:rsidRDefault="00946899" w:rsidP="00F45508">
      <w:pPr>
        <w:pStyle w:val="Paralevel1"/>
        <w:numPr>
          <w:ilvl w:val="0"/>
          <w:numId w:val="23"/>
        </w:numPr>
        <w:tabs>
          <w:tab w:val="clear" w:pos="0"/>
        </w:tabs>
        <w:ind w:left="1247" w:firstLine="0"/>
        <w:rPr>
          <w:lang w:val="es-ES"/>
        </w:rPr>
      </w:pPr>
      <w:r w:rsidRPr="002261B9">
        <w:rPr>
          <w:lang w:val="es-ES"/>
        </w:rPr>
        <w:t>Para los productos textiles destinados a la protección de trabajadores contra los riesgos para su</w:t>
      </w:r>
      <w:r w:rsidR="00C4377D" w:rsidRPr="002261B9">
        <w:rPr>
          <w:lang w:val="es-ES"/>
        </w:rPr>
        <w:t> </w:t>
      </w:r>
      <w:r w:rsidRPr="002261B9">
        <w:rPr>
          <w:lang w:val="es-ES"/>
        </w:rPr>
        <w:t>salud y su seguridad, se ha establecido en la UE una derogación a plazo fijo (hasta el 4 de julio de</w:t>
      </w:r>
      <w:r w:rsidR="00C4377D" w:rsidRPr="002261B9">
        <w:rPr>
          <w:lang w:val="es-ES"/>
        </w:rPr>
        <w:t> </w:t>
      </w:r>
      <w:r w:rsidRPr="002261B9">
        <w:rPr>
          <w:lang w:val="es-ES"/>
        </w:rPr>
        <w:t>2023). El Comité de Análisis Socioeconómico de la ECHA propone una exención análoga para las</w:t>
      </w:r>
      <w:r w:rsidR="00C4377D" w:rsidRPr="002261B9">
        <w:rPr>
          <w:lang w:val="es-ES"/>
        </w:rPr>
        <w:t> </w:t>
      </w:r>
      <w:r w:rsidRPr="002261B9">
        <w:rPr>
          <w:lang w:val="es-ES"/>
        </w:rPr>
        <w:t>membranas destinadas a ser usadas en los productos textiles de uso médico, la filtración en el tratamiento de aguas, los procesos de producción y el tratamiento de efluentes (Comisión Europea,</w:t>
      </w:r>
      <w:r w:rsidR="00C4377D" w:rsidRPr="002261B9">
        <w:rPr>
          <w:lang w:val="es-ES"/>
        </w:rPr>
        <w:t> </w:t>
      </w:r>
      <w:r w:rsidRPr="002261B9">
        <w:rPr>
          <w:lang w:val="es-ES"/>
        </w:rPr>
        <w:t xml:space="preserve">2017). </w:t>
      </w:r>
    </w:p>
    <w:p w14:paraId="1E3BCCCD" w14:textId="0D85E06A" w:rsidR="00946899" w:rsidRPr="002261B9" w:rsidRDefault="00946899" w:rsidP="00F45508">
      <w:pPr>
        <w:pStyle w:val="Paralevel1"/>
        <w:numPr>
          <w:ilvl w:val="0"/>
          <w:numId w:val="23"/>
        </w:numPr>
        <w:tabs>
          <w:tab w:val="clear" w:pos="0"/>
        </w:tabs>
        <w:ind w:left="1247" w:firstLine="0"/>
        <w:rPr>
          <w:lang w:val="es-ES"/>
        </w:rPr>
      </w:pPr>
      <w:r w:rsidRPr="002261B9">
        <w:rPr>
          <w:lang w:val="es-ES"/>
        </w:rPr>
        <w:t>En Noruega, solo están restringidos los textiles para uso de los consumidores, no así los textiles para uso profesional. El método canadiense no se aplica a los artículos manufacturados; es decir, Canadá no impone restricción alguna a la importación, el uso, la venta y la oferta de venta de textiles que contengan PFOA, sus sales y sus precursores.</w:t>
      </w:r>
    </w:p>
    <w:p w14:paraId="772C9941" w14:textId="50F79613" w:rsidR="004D5B0D" w:rsidRPr="002261B9" w:rsidRDefault="003C558F" w:rsidP="00F45508">
      <w:pPr>
        <w:pStyle w:val="Paralevel1"/>
        <w:numPr>
          <w:ilvl w:val="0"/>
          <w:numId w:val="23"/>
        </w:numPr>
        <w:tabs>
          <w:tab w:val="clear" w:pos="0"/>
        </w:tabs>
        <w:ind w:left="1247" w:firstLine="0"/>
        <w:rPr>
          <w:lang w:val="es-ES"/>
        </w:rPr>
      </w:pPr>
      <w:r w:rsidRPr="002261B9">
        <w:rPr>
          <w:lang w:val="es-ES"/>
        </w:rPr>
        <w:t>Según la información presentada por la Asociación de Productos Textiles y Prendas de Vestir de Baviera y la Asociación Textil Sudoccidental</w:t>
      </w:r>
      <w:r w:rsidR="004D5B0D" w:rsidRPr="002261B9">
        <w:rPr>
          <w:lang w:val="es-ES"/>
        </w:rPr>
        <w:t xml:space="preserve"> (VTB SWT), </w:t>
      </w:r>
      <w:r w:rsidRPr="002261B9">
        <w:rPr>
          <w:lang w:val="es-ES"/>
        </w:rPr>
        <w:t xml:space="preserve">el </w:t>
      </w:r>
      <w:r w:rsidR="004D5B0D" w:rsidRPr="002261B9">
        <w:rPr>
          <w:lang w:val="es-ES"/>
        </w:rPr>
        <w:t xml:space="preserve">PFOA </w:t>
      </w:r>
      <w:r w:rsidRPr="002261B9">
        <w:rPr>
          <w:lang w:val="es-ES"/>
        </w:rPr>
        <w:t>puede estar presente como impureza de la producción de polímeros fluorados de cadena lateral</w:t>
      </w:r>
      <w:r w:rsidR="004D5B0D" w:rsidRPr="002261B9">
        <w:rPr>
          <w:lang w:val="es-ES"/>
        </w:rPr>
        <w:t xml:space="preserve">, </w:t>
      </w:r>
      <w:r w:rsidRPr="002261B9">
        <w:rPr>
          <w:lang w:val="es-ES"/>
        </w:rPr>
        <w:t>que se usan como formulaciones</w:t>
      </w:r>
      <w:r w:rsidR="00CE21B5" w:rsidRPr="002261B9">
        <w:rPr>
          <w:lang w:val="es-ES"/>
        </w:rPr>
        <w:t xml:space="preserve"> o </w:t>
      </w:r>
      <w:r w:rsidR="004D5B0D" w:rsidRPr="002261B9">
        <w:rPr>
          <w:lang w:val="es-ES"/>
        </w:rPr>
        <w:t>m</w:t>
      </w:r>
      <w:r w:rsidRPr="002261B9">
        <w:rPr>
          <w:lang w:val="es-ES"/>
        </w:rPr>
        <w:t>ezclas</w:t>
      </w:r>
      <w:r w:rsidR="004D5B0D" w:rsidRPr="002261B9">
        <w:rPr>
          <w:lang w:val="es-ES"/>
        </w:rPr>
        <w:t xml:space="preserve"> </w:t>
      </w:r>
      <w:r w:rsidRPr="002261B9">
        <w:rPr>
          <w:lang w:val="es-ES"/>
        </w:rPr>
        <w:t xml:space="preserve">para el acabado repelente </w:t>
      </w:r>
      <w:r w:rsidR="00B63373" w:rsidRPr="002261B9">
        <w:rPr>
          <w:lang w:val="es-ES"/>
        </w:rPr>
        <w:t>de</w:t>
      </w:r>
      <w:r w:rsidRPr="002261B9">
        <w:rPr>
          <w:lang w:val="es-ES"/>
        </w:rPr>
        <w:t>l a</w:t>
      </w:r>
      <w:r w:rsidR="001179A2" w:rsidRPr="002261B9">
        <w:rPr>
          <w:lang w:val="es-ES"/>
        </w:rPr>
        <w:t>gua, el aceite</w:t>
      </w:r>
      <w:r w:rsidRPr="002261B9">
        <w:rPr>
          <w:lang w:val="es-ES"/>
        </w:rPr>
        <w:t xml:space="preserve"> y los productos químicos en materiales textiles</w:t>
      </w:r>
      <w:r w:rsidR="004D5B0D" w:rsidRPr="002261B9">
        <w:rPr>
          <w:lang w:val="es-ES"/>
        </w:rPr>
        <w:t xml:space="preserve">. </w:t>
      </w:r>
      <w:r w:rsidR="009D7148" w:rsidRPr="002261B9">
        <w:rPr>
          <w:lang w:val="es-ES"/>
        </w:rPr>
        <w:t>La técnica de aplicación se pone en práctica con el estándar más alto y</w:t>
      </w:r>
      <w:r w:rsidR="004D5B0D" w:rsidRPr="002261B9">
        <w:rPr>
          <w:lang w:val="es-ES"/>
        </w:rPr>
        <w:t xml:space="preserve">, </w:t>
      </w:r>
      <w:r w:rsidR="009D7148" w:rsidRPr="002261B9">
        <w:rPr>
          <w:lang w:val="es-ES"/>
        </w:rPr>
        <w:t>en todo caso</w:t>
      </w:r>
      <w:r w:rsidR="004D5B0D" w:rsidRPr="002261B9">
        <w:rPr>
          <w:lang w:val="es-ES"/>
        </w:rPr>
        <w:t xml:space="preserve">, </w:t>
      </w:r>
      <w:r w:rsidR="009D7148" w:rsidRPr="002261B9">
        <w:rPr>
          <w:lang w:val="es-ES"/>
        </w:rPr>
        <w:t>solo trazas de</w:t>
      </w:r>
      <w:r w:rsidR="00847649">
        <w:rPr>
          <w:lang w:val="es-ES"/>
        </w:rPr>
        <w:t> </w:t>
      </w:r>
      <w:r w:rsidR="004D5B0D" w:rsidRPr="002261B9">
        <w:rPr>
          <w:lang w:val="es-ES"/>
        </w:rPr>
        <w:t xml:space="preserve">PFOA </w:t>
      </w:r>
      <w:r w:rsidR="009D7148" w:rsidRPr="002261B9">
        <w:rPr>
          <w:lang w:val="es-ES"/>
        </w:rPr>
        <w:t>se transfieren mediante impregnación</w:t>
      </w:r>
      <w:r w:rsidR="004D5B0D" w:rsidRPr="002261B9">
        <w:rPr>
          <w:lang w:val="es-ES"/>
        </w:rPr>
        <w:t xml:space="preserve">. </w:t>
      </w:r>
      <w:r w:rsidR="009D7148" w:rsidRPr="002261B9">
        <w:rPr>
          <w:lang w:val="es-ES"/>
        </w:rPr>
        <w:t>Por ser una industria que atañe a todas las demás</w:t>
      </w:r>
      <w:r w:rsidR="003A3055" w:rsidRPr="002261B9">
        <w:rPr>
          <w:lang w:val="es-ES"/>
        </w:rPr>
        <w:t>,</w:t>
      </w:r>
      <w:r w:rsidR="004D5B0D" w:rsidRPr="002261B9">
        <w:rPr>
          <w:lang w:val="es-ES"/>
        </w:rPr>
        <w:t xml:space="preserve"> </w:t>
      </w:r>
      <w:r w:rsidR="009D7148" w:rsidRPr="002261B9">
        <w:rPr>
          <w:lang w:val="es-ES"/>
        </w:rPr>
        <w:t xml:space="preserve">el sector de textiles de uso </w:t>
      </w:r>
      <w:r w:rsidR="004D5B0D" w:rsidRPr="002261B9">
        <w:rPr>
          <w:lang w:val="es-ES"/>
        </w:rPr>
        <w:t>profesional, t</w:t>
      </w:r>
      <w:r w:rsidR="009D7148" w:rsidRPr="002261B9">
        <w:rPr>
          <w:lang w:val="es-ES"/>
        </w:rPr>
        <w:t xml:space="preserve">écnico y de protección de la industria textil tiene que cumplir muchas normas de rendimiento diferente, en particular la protección médica, química y ambiental, así como las normas de seguridad </w:t>
      </w:r>
      <w:r w:rsidR="001179A2" w:rsidRPr="002261B9">
        <w:rPr>
          <w:lang w:val="es-ES"/>
        </w:rPr>
        <w:t xml:space="preserve">relativas a la repelencia a </w:t>
      </w:r>
      <w:r w:rsidR="009D7148" w:rsidRPr="002261B9">
        <w:rPr>
          <w:lang w:val="es-ES"/>
        </w:rPr>
        <w:t>los combustibles para las industrias automotriz y aeronáutica</w:t>
      </w:r>
      <w:r w:rsidR="004D5B0D" w:rsidRPr="002261B9">
        <w:rPr>
          <w:lang w:val="es-ES"/>
        </w:rPr>
        <w:t xml:space="preserve">. </w:t>
      </w:r>
      <w:r w:rsidR="00952090" w:rsidRPr="002261B9">
        <w:rPr>
          <w:lang w:val="es-ES"/>
        </w:rPr>
        <w:t xml:space="preserve">Casi todos estos </w:t>
      </w:r>
      <w:r w:rsidR="004D5B0D" w:rsidRPr="002261B9">
        <w:rPr>
          <w:lang w:val="es-ES"/>
        </w:rPr>
        <w:t xml:space="preserve">textiles </w:t>
      </w:r>
      <w:r w:rsidR="00952090" w:rsidRPr="002261B9">
        <w:rPr>
          <w:lang w:val="es-ES"/>
        </w:rPr>
        <w:t>tienen que ser certificados en</w:t>
      </w:r>
      <w:r w:rsidR="004D5B0D" w:rsidRPr="002261B9">
        <w:rPr>
          <w:lang w:val="es-ES"/>
        </w:rPr>
        <w:t xml:space="preserve"> </w:t>
      </w:r>
      <w:r w:rsidR="00952090" w:rsidRPr="002261B9">
        <w:rPr>
          <w:lang w:val="es-ES"/>
        </w:rPr>
        <w:t>procedimientos prolongados</w:t>
      </w:r>
      <w:r w:rsidR="006C7F00" w:rsidRPr="002261B9">
        <w:rPr>
          <w:lang w:val="es-ES"/>
        </w:rPr>
        <w:t>,</w:t>
      </w:r>
      <w:r w:rsidR="004D5B0D" w:rsidRPr="002261B9">
        <w:rPr>
          <w:lang w:val="es-ES"/>
        </w:rPr>
        <w:t xml:space="preserve"> </w:t>
      </w:r>
      <w:r w:rsidR="00952090" w:rsidRPr="002261B9">
        <w:rPr>
          <w:lang w:val="es-ES"/>
        </w:rPr>
        <w:t>que podrían demorar años</w:t>
      </w:r>
      <w:r w:rsidR="00B63373" w:rsidRPr="002261B9">
        <w:rPr>
          <w:lang w:val="es-ES"/>
        </w:rPr>
        <w:t xml:space="preserve">; </w:t>
      </w:r>
      <w:r w:rsidR="0061722B" w:rsidRPr="002261B9">
        <w:rPr>
          <w:lang w:val="es-ES"/>
        </w:rPr>
        <w:t>además</w:t>
      </w:r>
      <w:r w:rsidR="00B63373" w:rsidRPr="002261B9">
        <w:rPr>
          <w:lang w:val="es-ES"/>
        </w:rPr>
        <w:t>,</w:t>
      </w:r>
      <w:r w:rsidR="0061722B" w:rsidRPr="002261B9">
        <w:rPr>
          <w:lang w:val="es-ES"/>
        </w:rPr>
        <w:t xml:space="preserve"> los distintos </w:t>
      </w:r>
      <w:r w:rsidR="009D7148" w:rsidRPr="002261B9">
        <w:rPr>
          <w:lang w:val="es-ES"/>
        </w:rPr>
        <w:t xml:space="preserve">productos textiles están </w:t>
      </w:r>
      <w:r w:rsidR="0061722B" w:rsidRPr="002261B9">
        <w:rPr>
          <w:lang w:val="es-ES"/>
        </w:rPr>
        <w:t>regulados por distintas leyes nacionales y otros reglamentos de la UE, que se complementan con normas y reglamentos de las distintas empresas, que</w:t>
      </w:r>
      <w:r w:rsidR="00952090" w:rsidRPr="002261B9">
        <w:rPr>
          <w:lang w:val="es-ES"/>
        </w:rPr>
        <w:t xml:space="preserve"> en Alemania llaman </w:t>
      </w:r>
      <w:r w:rsidR="00E1011E" w:rsidRPr="002261B9">
        <w:rPr>
          <w:lang w:val="es-ES"/>
        </w:rPr>
        <w:t>“</w:t>
      </w:r>
      <w:r w:rsidR="004D5B0D" w:rsidRPr="002261B9">
        <w:rPr>
          <w:lang w:val="es-ES"/>
        </w:rPr>
        <w:t>TL</w:t>
      </w:r>
      <w:r w:rsidR="00E1011E" w:rsidRPr="002261B9">
        <w:rPr>
          <w:lang w:val="es-ES"/>
        </w:rPr>
        <w:t>”</w:t>
      </w:r>
      <w:r w:rsidR="004D5B0D" w:rsidRPr="002261B9">
        <w:rPr>
          <w:lang w:val="es-ES"/>
        </w:rPr>
        <w:t xml:space="preserve"> </w:t>
      </w:r>
      <w:r w:rsidR="0061722B" w:rsidRPr="002261B9">
        <w:rPr>
          <w:lang w:val="es-ES"/>
        </w:rPr>
        <w:t>lo que podría traducirse como, por ejemplo,</w:t>
      </w:r>
      <w:r w:rsidR="004D5B0D" w:rsidRPr="002261B9">
        <w:rPr>
          <w:lang w:val="es-ES"/>
        </w:rPr>
        <w:t xml:space="preserve"> </w:t>
      </w:r>
      <w:r w:rsidR="0061722B" w:rsidRPr="002261B9">
        <w:rPr>
          <w:lang w:val="es-ES"/>
        </w:rPr>
        <w:t>perfil de rendimiento técnico</w:t>
      </w:r>
      <w:r w:rsidR="004D5B0D" w:rsidRPr="002261B9">
        <w:rPr>
          <w:lang w:val="es-ES"/>
        </w:rPr>
        <w:t xml:space="preserve">. </w:t>
      </w:r>
      <w:r w:rsidR="00952090" w:rsidRPr="002261B9">
        <w:rPr>
          <w:lang w:val="es-ES"/>
        </w:rPr>
        <w:t>El personal de la industria textil alemana</w:t>
      </w:r>
      <w:r w:rsidR="004D5B0D" w:rsidRPr="002261B9">
        <w:rPr>
          <w:lang w:val="es-ES"/>
        </w:rPr>
        <w:t xml:space="preserve"> </w:t>
      </w:r>
      <w:r w:rsidR="00952090" w:rsidRPr="002261B9">
        <w:rPr>
          <w:lang w:val="es-ES"/>
        </w:rPr>
        <w:t xml:space="preserve">ha recibido la capacitación adecuada y las normas de salud e higiene del trabajo </w:t>
      </w:r>
      <w:r w:rsidR="0061722B" w:rsidRPr="002261B9">
        <w:rPr>
          <w:lang w:val="es-ES"/>
        </w:rPr>
        <w:t>se cumplen y monitorizan con rigor</w:t>
      </w:r>
      <w:r w:rsidR="00847649">
        <w:rPr>
          <w:lang w:val="es-ES"/>
        </w:rPr>
        <w:t> </w:t>
      </w:r>
      <w:r w:rsidR="004D5B0D" w:rsidRPr="002261B9">
        <w:rPr>
          <w:lang w:val="es-ES"/>
        </w:rPr>
        <w:t>(VTB SWT</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 xml:space="preserve">. </w:t>
      </w:r>
      <w:r w:rsidR="00EF2682" w:rsidRPr="002261B9">
        <w:rPr>
          <w:lang w:val="es-ES"/>
        </w:rPr>
        <w:t xml:space="preserve">Se podrían elaborar normas técnicas como las que se aplican en </w:t>
      </w:r>
      <w:r w:rsidR="00952090" w:rsidRPr="002261B9">
        <w:rPr>
          <w:lang w:val="es-ES"/>
        </w:rPr>
        <w:t xml:space="preserve">Alemania </w:t>
      </w:r>
      <w:r w:rsidR="0013156F" w:rsidRPr="002261B9">
        <w:rPr>
          <w:lang w:val="es-ES"/>
        </w:rPr>
        <w:t>como ejemplos de buenas prácticas</w:t>
      </w:r>
      <w:r w:rsidR="00C444E5" w:rsidRPr="002261B9">
        <w:rPr>
          <w:lang w:val="es-ES"/>
        </w:rPr>
        <w:t xml:space="preserve"> (</w:t>
      </w:r>
      <w:r w:rsidR="007F0459" w:rsidRPr="002261B9">
        <w:rPr>
          <w:lang w:val="es-ES"/>
        </w:rPr>
        <w:t xml:space="preserve">Observaciones </w:t>
      </w:r>
      <w:r w:rsidRPr="002261B9">
        <w:rPr>
          <w:lang w:val="es-ES"/>
        </w:rPr>
        <w:t>de</w:t>
      </w:r>
      <w:r w:rsidR="0013156F" w:rsidRPr="002261B9">
        <w:rPr>
          <w:lang w:val="es-ES"/>
        </w:rPr>
        <w:t xml:space="preserve"> los Países Bajos</w:t>
      </w:r>
      <w:r w:rsidR="00B63373" w:rsidRPr="002261B9">
        <w:rPr>
          <w:lang w:val="es-ES"/>
        </w:rPr>
        <w:t xml:space="preserve"> </w:t>
      </w:r>
      <w:r w:rsidR="0013156F" w:rsidRPr="002261B9">
        <w:rPr>
          <w:lang w:val="es-ES"/>
        </w:rPr>
        <w:t xml:space="preserve">sobre el segundo proyecto de evaluación de la gestión de los </w:t>
      </w:r>
      <w:r w:rsidR="004904E9" w:rsidRPr="002261B9">
        <w:rPr>
          <w:lang w:val="es-ES"/>
        </w:rPr>
        <w:t>riesgos)</w:t>
      </w:r>
      <w:r w:rsidR="00C444E5" w:rsidRPr="002261B9">
        <w:rPr>
          <w:lang w:val="es-ES"/>
        </w:rPr>
        <w:t xml:space="preserve">. </w:t>
      </w:r>
      <w:r w:rsidR="00952090" w:rsidRPr="002261B9">
        <w:rPr>
          <w:lang w:val="es-ES"/>
        </w:rPr>
        <w:t>Sin embargo</w:t>
      </w:r>
      <w:r w:rsidR="004D5B0D" w:rsidRPr="002261B9">
        <w:rPr>
          <w:lang w:val="es-ES"/>
        </w:rPr>
        <w:t xml:space="preserve">, </w:t>
      </w:r>
      <w:r w:rsidR="00952090" w:rsidRPr="002261B9">
        <w:rPr>
          <w:lang w:val="es-ES"/>
        </w:rPr>
        <w:t xml:space="preserve">se desconocen </w:t>
      </w:r>
      <w:r w:rsidR="009D7148" w:rsidRPr="002261B9">
        <w:rPr>
          <w:lang w:val="es-ES"/>
        </w:rPr>
        <w:t xml:space="preserve">tanto </w:t>
      </w:r>
      <w:r w:rsidR="00952090" w:rsidRPr="002261B9">
        <w:rPr>
          <w:lang w:val="es-ES"/>
        </w:rPr>
        <w:t xml:space="preserve">las cantidades de </w:t>
      </w:r>
      <w:r w:rsidR="004D5B0D" w:rsidRPr="002261B9">
        <w:rPr>
          <w:lang w:val="es-ES"/>
        </w:rPr>
        <w:t xml:space="preserve">PFOA </w:t>
      </w:r>
      <w:r w:rsidR="009D7148" w:rsidRPr="002261B9">
        <w:rPr>
          <w:lang w:val="es-ES"/>
        </w:rPr>
        <w:t>como</w:t>
      </w:r>
      <w:r w:rsidR="00952090" w:rsidRPr="002261B9">
        <w:rPr>
          <w:lang w:val="es-ES"/>
        </w:rPr>
        <w:t xml:space="preserve"> el proceso y las condiciones de fabricación</w:t>
      </w:r>
      <w:r w:rsidR="0013156F" w:rsidRPr="002261B9">
        <w:rPr>
          <w:lang w:val="es-ES"/>
        </w:rPr>
        <w:t xml:space="preserve"> e</w:t>
      </w:r>
      <w:r w:rsidR="00952090" w:rsidRPr="002261B9">
        <w:rPr>
          <w:lang w:val="es-ES"/>
        </w:rPr>
        <w:t>n otros países y regiones</w:t>
      </w:r>
      <w:r w:rsidR="009D7148" w:rsidRPr="002261B9">
        <w:rPr>
          <w:lang w:val="es-ES"/>
        </w:rPr>
        <w:t>, que</w:t>
      </w:r>
      <w:r w:rsidR="00952090" w:rsidRPr="002261B9">
        <w:rPr>
          <w:lang w:val="es-ES"/>
        </w:rPr>
        <w:t xml:space="preserve"> podrían ser </w:t>
      </w:r>
      <w:r w:rsidR="00952090" w:rsidRPr="002261B9">
        <w:rPr>
          <w:lang w:val="es-ES"/>
        </w:rPr>
        <w:lastRenderedPageBreak/>
        <w:t>importantes</w:t>
      </w:r>
      <w:r w:rsidR="0013156F" w:rsidRPr="002261B9">
        <w:rPr>
          <w:lang w:val="es-ES"/>
        </w:rPr>
        <w:t xml:space="preserve"> y dar lugar a la exposición humana y a liberaciones al medio ambiente</w:t>
      </w:r>
      <w:r w:rsidR="004D5B0D" w:rsidRPr="002261B9">
        <w:rPr>
          <w:lang w:val="es-ES"/>
        </w:rPr>
        <w:t xml:space="preserve"> (</w:t>
      </w:r>
      <w:r w:rsidR="00E10461" w:rsidRPr="002261B9">
        <w:rPr>
          <w:lang w:val="es-ES"/>
        </w:rPr>
        <w:t>Observaciones de la Red de Eliminación de COP</w:t>
      </w:r>
      <w:r w:rsidR="00946899" w:rsidRPr="002261B9">
        <w:rPr>
          <w:lang w:val="es-ES"/>
        </w:rPr>
        <w:t xml:space="preserve"> </w:t>
      </w:r>
      <w:r w:rsidR="008A275C" w:rsidRPr="002261B9">
        <w:rPr>
          <w:lang w:val="es-ES"/>
        </w:rPr>
        <w:t>sobre el primer proyecto de evaluación de la gestión de los riesgos</w:t>
      </w:r>
      <w:r w:rsidR="004D5B0D" w:rsidRPr="002261B9">
        <w:rPr>
          <w:lang w:val="es-ES"/>
        </w:rPr>
        <w:t xml:space="preserve">). </w:t>
      </w:r>
    </w:p>
    <w:p w14:paraId="05004914" w14:textId="4D64E1BF" w:rsidR="004D5B0D" w:rsidRPr="002261B9" w:rsidRDefault="008B4771" w:rsidP="00F45508">
      <w:pPr>
        <w:pStyle w:val="Paralevel1"/>
        <w:numPr>
          <w:ilvl w:val="0"/>
          <w:numId w:val="23"/>
        </w:numPr>
        <w:tabs>
          <w:tab w:val="clear" w:pos="0"/>
        </w:tabs>
        <w:ind w:left="1247" w:firstLine="0"/>
        <w:rPr>
          <w:lang w:val="es-ES"/>
        </w:rPr>
      </w:pPr>
      <w:r w:rsidRPr="002261B9">
        <w:rPr>
          <w:lang w:val="es-ES"/>
        </w:rPr>
        <w:t xml:space="preserve">Los polímeros fluorados de cadena lateral que están basados en sustancias conexas del PFOA (por ejemplo, el 8:2 fluorotelómero de acrilato) utilizados para el tratamiento de textiles contienen 2% de residuos sueltos de sustancias conexas del PFOA (Russel y otros, 2008). Esos residuos sueltos pueden liberarse al medio ambiente a través del aire </w:t>
      </w:r>
      <w:r w:rsidR="00E10A0E" w:rsidRPr="002261B9">
        <w:rPr>
          <w:lang w:val="es-ES"/>
        </w:rPr>
        <w:t>y</w:t>
      </w:r>
      <w:r w:rsidRPr="002261B9">
        <w:rPr>
          <w:lang w:val="es-ES"/>
        </w:rPr>
        <w:t xml:space="preserve"> el agua durante las fases de utilización y de desecho del textil tratado. </w:t>
      </w:r>
      <w:r w:rsidR="00E10A0E" w:rsidRPr="002261B9">
        <w:rPr>
          <w:lang w:val="es-ES"/>
        </w:rPr>
        <w:t xml:space="preserve">Las sustancias conexas del PFOA pueden ser utilizadas además en agentes de impregnación. </w:t>
      </w:r>
      <w:r w:rsidR="00952090" w:rsidRPr="002261B9">
        <w:rPr>
          <w:lang w:val="es-ES"/>
        </w:rPr>
        <w:t xml:space="preserve">La Confederación </w:t>
      </w:r>
      <w:r w:rsidR="004D5B0D" w:rsidRPr="002261B9">
        <w:rPr>
          <w:lang w:val="es-ES"/>
        </w:rPr>
        <w:t>Europea</w:t>
      </w:r>
      <w:r w:rsidR="00952090" w:rsidRPr="002261B9">
        <w:rPr>
          <w:lang w:val="es-ES"/>
        </w:rPr>
        <w:t xml:space="preserve"> de Prendas de Vestir y Textiles</w:t>
      </w:r>
      <w:r w:rsidR="004D5B0D" w:rsidRPr="002261B9">
        <w:rPr>
          <w:lang w:val="es-ES"/>
        </w:rPr>
        <w:t xml:space="preserve"> (EURATEX) </w:t>
      </w:r>
      <w:r w:rsidR="00EF2682" w:rsidRPr="002261B9">
        <w:rPr>
          <w:lang w:val="es-ES"/>
        </w:rPr>
        <w:t>considera crucial la inclusión de una exención para la seguridad del trabajo relativa a la re</w:t>
      </w:r>
      <w:r w:rsidR="001179A2" w:rsidRPr="002261B9">
        <w:rPr>
          <w:lang w:val="es-ES"/>
        </w:rPr>
        <w:t>pelencia</w:t>
      </w:r>
      <w:r w:rsidR="00EF2682" w:rsidRPr="002261B9">
        <w:rPr>
          <w:lang w:val="es-ES"/>
        </w:rPr>
        <w:t xml:space="preserve"> al agua, el aceite y los productos químicos</w:t>
      </w:r>
      <w:r w:rsidR="004D5B0D" w:rsidRPr="002261B9">
        <w:rPr>
          <w:lang w:val="es-ES"/>
        </w:rPr>
        <w:t xml:space="preserve">. </w:t>
      </w:r>
      <w:r w:rsidR="00EF2682" w:rsidRPr="002261B9">
        <w:rPr>
          <w:lang w:val="es-ES"/>
        </w:rPr>
        <w:t xml:space="preserve">El período de transición de </w:t>
      </w:r>
      <w:r w:rsidR="004D5B0D" w:rsidRPr="002261B9">
        <w:rPr>
          <w:lang w:val="es-ES"/>
        </w:rPr>
        <w:t xml:space="preserve">6 </w:t>
      </w:r>
      <w:r w:rsidR="00EF2682" w:rsidRPr="002261B9">
        <w:rPr>
          <w:lang w:val="es-ES"/>
        </w:rPr>
        <w:t xml:space="preserve">años permitiría a los proyectos nuevos y en marcha </w:t>
      </w:r>
      <w:r w:rsidR="005E40BB" w:rsidRPr="002261B9">
        <w:rPr>
          <w:lang w:val="es-ES"/>
        </w:rPr>
        <w:t xml:space="preserve">lograr resultados para mejorar el rendimiento y </w:t>
      </w:r>
      <w:r w:rsidR="00156E3D" w:rsidRPr="002261B9">
        <w:rPr>
          <w:lang w:val="es-ES"/>
        </w:rPr>
        <w:t>las</w:t>
      </w:r>
      <w:r w:rsidR="005E40BB" w:rsidRPr="002261B9">
        <w:rPr>
          <w:lang w:val="es-ES"/>
        </w:rPr>
        <w:t xml:space="preserve"> alternativas a base de polímeros fluorados y no fluorados inocuas para el medio ambiente</w:t>
      </w:r>
      <w:r w:rsidR="004D5B0D" w:rsidRPr="002261B9">
        <w:rPr>
          <w:lang w:val="es-ES"/>
        </w:rPr>
        <w:t xml:space="preserve"> </w:t>
      </w:r>
      <w:r w:rsidRPr="002261B9">
        <w:rPr>
          <w:lang w:val="es-ES"/>
        </w:rPr>
        <w:t xml:space="preserve">en el marco del proceso REACH europeo </w:t>
      </w:r>
      <w:r w:rsidR="004D5B0D" w:rsidRPr="002261B9">
        <w:rPr>
          <w:lang w:val="es-ES"/>
        </w:rPr>
        <w:t>(Euratex</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 xml:space="preserve">. </w:t>
      </w:r>
    </w:p>
    <w:p w14:paraId="77003E7B" w14:textId="127CDD5E" w:rsidR="004D5B0D" w:rsidRPr="002261B9" w:rsidRDefault="00952090" w:rsidP="00F45508">
      <w:pPr>
        <w:pStyle w:val="Paralevel1"/>
        <w:numPr>
          <w:ilvl w:val="0"/>
          <w:numId w:val="23"/>
        </w:numPr>
        <w:tabs>
          <w:tab w:val="clear" w:pos="0"/>
        </w:tabs>
        <w:ind w:left="1247" w:firstLine="0"/>
        <w:rPr>
          <w:lang w:val="es-ES"/>
        </w:rPr>
      </w:pPr>
      <w:r w:rsidRPr="002261B9">
        <w:rPr>
          <w:lang w:val="es-ES"/>
        </w:rPr>
        <w:t xml:space="preserve">Según la asociación </w:t>
      </w:r>
      <w:r w:rsidR="004D5B0D" w:rsidRPr="002261B9">
        <w:rPr>
          <w:lang w:val="es-ES"/>
        </w:rPr>
        <w:t xml:space="preserve">Textile+Mode, </w:t>
      </w:r>
      <w:r w:rsidR="0061722B" w:rsidRPr="002261B9">
        <w:rPr>
          <w:lang w:val="es-ES"/>
        </w:rPr>
        <w:t>mucho se puede hacer para lograr los objetivos de reducción del riesgo</w:t>
      </w:r>
      <w:r w:rsidR="004D5B0D" w:rsidRPr="002261B9">
        <w:rPr>
          <w:lang w:val="es-ES"/>
        </w:rPr>
        <w:t xml:space="preserve">. </w:t>
      </w:r>
      <w:r w:rsidR="0061722B" w:rsidRPr="002261B9">
        <w:rPr>
          <w:lang w:val="es-ES"/>
        </w:rPr>
        <w:t>Una práctica común es la tecnología de</w:t>
      </w:r>
      <w:r w:rsidR="004D5B0D" w:rsidRPr="002261B9">
        <w:rPr>
          <w:lang w:val="es-ES"/>
        </w:rPr>
        <w:t xml:space="preserve"> </w:t>
      </w:r>
      <w:r w:rsidR="0061722B" w:rsidRPr="002261B9">
        <w:rPr>
          <w:lang w:val="es-ES"/>
        </w:rPr>
        <w:t>contención, que permite el reciclado de</w:t>
      </w:r>
      <w:r w:rsidR="00547A47" w:rsidRPr="002261B9">
        <w:rPr>
          <w:lang w:val="es-ES"/>
        </w:rPr>
        <w:t> </w:t>
      </w:r>
      <w:r w:rsidR="004D5B0D" w:rsidRPr="002261B9">
        <w:rPr>
          <w:lang w:val="es-ES"/>
        </w:rPr>
        <w:t xml:space="preserve">PFOA </w:t>
      </w:r>
      <w:r w:rsidR="0061722B" w:rsidRPr="002261B9">
        <w:rPr>
          <w:lang w:val="es-ES"/>
        </w:rPr>
        <w:t>y la reutilización durante la polimerización y la retención del aire contaminado y las aguas residuales de los procesos</w:t>
      </w:r>
      <w:r w:rsidR="004D5B0D" w:rsidRPr="002261B9">
        <w:rPr>
          <w:lang w:val="es-ES"/>
        </w:rPr>
        <w:t xml:space="preserve">. </w:t>
      </w:r>
      <w:r w:rsidR="005E40BB" w:rsidRPr="002261B9">
        <w:rPr>
          <w:lang w:val="es-ES"/>
        </w:rPr>
        <w:t>En el proceso de refinamiento textil</w:t>
      </w:r>
      <w:r w:rsidR="004D5B0D" w:rsidRPr="002261B9">
        <w:rPr>
          <w:lang w:val="es-ES"/>
        </w:rPr>
        <w:t xml:space="preserve">, </w:t>
      </w:r>
      <w:r w:rsidR="0061722B" w:rsidRPr="002261B9">
        <w:rPr>
          <w:lang w:val="es-ES"/>
        </w:rPr>
        <w:t>la minimización de las emisiones es una práctica común</w:t>
      </w:r>
      <w:r w:rsidR="004D5B0D" w:rsidRPr="002261B9">
        <w:rPr>
          <w:lang w:val="es-ES"/>
        </w:rPr>
        <w:t xml:space="preserve">. </w:t>
      </w:r>
      <w:r w:rsidR="0061722B" w:rsidRPr="002261B9">
        <w:rPr>
          <w:lang w:val="es-ES"/>
        </w:rPr>
        <w:t xml:space="preserve">El uso de las mejores prácticas ambientales en la producción es un elemento fundamental para evitar las emisiones </w:t>
      </w:r>
      <w:r w:rsidR="00C47674" w:rsidRPr="002261B9">
        <w:rPr>
          <w:lang w:val="es-ES"/>
        </w:rPr>
        <w:t>y</w:t>
      </w:r>
      <w:r w:rsidR="0061722B" w:rsidRPr="002261B9">
        <w:rPr>
          <w:lang w:val="es-ES"/>
        </w:rPr>
        <w:t xml:space="preserve"> reducirlas</w:t>
      </w:r>
      <w:r w:rsidR="004D5B0D" w:rsidRPr="002261B9">
        <w:rPr>
          <w:lang w:val="es-ES"/>
        </w:rPr>
        <w:t xml:space="preserve"> </w:t>
      </w:r>
      <w:r w:rsidR="0061722B" w:rsidRPr="002261B9">
        <w:rPr>
          <w:lang w:val="es-ES"/>
        </w:rPr>
        <w:t>a un nivel muy bajo</w:t>
      </w:r>
      <w:r w:rsidR="004D5B0D" w:rsidRPr="002261B9">
        <w:rPr>
          <w:lang w:val="es-ES"/>
        </w:rPr>
        <w:t xml:space="preserve">. </w:t>
      </w:r>
      <w:r w:rsidR="0061722B" w:rsidRPr="002261B9">
        <w:rPr>
          <w:lang w:val="es-ES"/>
        </w:rPr>
        <w:t>En la UE, los textiles de uso técnico se producen respetando las mejores prácticas ambientales</w:t>
      </w:r>
      <w:r w:rsidR="00BE708D" w:rsidRPr="002261B9">
        <w:rPr>
          <w:lang w:val="es-ES"/>
        </w:rPr>
        <w:t xml:space="preserve">. </w:t>
      </w:r>
      <w:r w:rsidR="0061722B" w:rsidRPr="002261B9">
        <w:rPr>
          <w:lang w:val="es-ES"/>
        </w:rPr>
        <w:t>El tratamiento con productos fluorados tiene el objetivo de minimizar la influencia del medio ambiente</w:t>
      </w:r>
      <w:r w:rsidR="004D5B0D" w:rsidRPr="002261B9">
        <w:rPr>
          <w:lang w:val="es-ES"/>
        </w:rPr>
        <w:t xml:space="preserve"> </w:t>
      </w:r>
      <w:r w:rsidR="005E40BB" w:rsidRPr="002261B9">
        <w:rPr>
          <w:lang w:val="es-ES"/>
        </w:rPr>
        <w:t xml:space="preserve">mediante la </w:t>
      </w:r>
      <w:r w:rsidR="001179A2" w:rsidRPr="002261B9">
        <w:rPr>
          <w:lang w:val="es-ES"/>
        </w:rPr>
        <w:t>repelencia</w:t>
      </w:r>
      <w:r w:rsidR="005E40BB" w:rsidRPr="002261B9">
        <w:rPr>
          <w:lang w:val="es-ES"/>
        </w:rPr>
        <w:t xml:space="preserve"> al aceite y al agua</w:t>
      </w:r>
      <w:r w:rsidR="004D5B0D" w:rsidRPr="002261B9">
        <w:rPr>
          <w:lang w:val="es-ES"/>
        </w:rPr>
        <w:t xml:space="preserve">. </w:t>
      </w:r>
      <w:r w:rsidR="005E40BB" w:rsidRPr="002261B9">
        <w:rPr>
          <w:lang w:val="es-ES"/>
        </w:rPr>
        <w:t>Se han creado propiedades que se han optimizado en los últimos decenios para alcanzar y mantener este alto nivel de protección</w:t>
      </w:r>
      <w:r w:rsidR="004D5B0D" w:rsidRPr="002261B9">
        <w:rPr>
          <w:lang w:val="es-ES"/>
        </w:rPr>
        <w:t xml:space="preserve">. </w:t>
      </w:r>
      <w:r w:rsidR="005E40BB" w:rsidRPr="002261B9">
        <w:rPr>
          <w:lang w:val="es-ES"/>
        </w:rPr>
        <w:t>Por eso, se considera indispensable una exención para los textiles de uso profesional, técnico y de protección</w:t>
      </w:r>
      <w:r w:rsidR="005E5B7F" w:rsidRPr="002261B9">
        <w:rPr>
          <w:lang w:val="es-ES"/>
        </w:rPr>
        <w:t>,</w:t>
      </w:r>
      <w:r w:rsidR="004D5B0D" w:rsidRPr="002261B9">
        <w:rPr>
          <w:lang w:val="es-ES"/>
        </w:rPr>
        <w:t xml:space="preserve"> </w:t>
      </w:r>
      <w:r w:rsidR="005E40BB" w:rsidRPr="002261B9">
        <w:rPr>
          <w:lang w:val="es-ES"/>
        </w:rPr>
        <w:t>que deben cumplir normas de re</w:t>
      </w:r>
      <w:r w:rsidR="009E0CE3" w:rsidRPr="002261B9">
        <w:rPr>
          <w:lang w:val="es-ES"/>
        </w:rPr>
        <w:t>pelen</w:t>
      </w:r>
      <w:r w:rsidR="005E40BB" w:rsidRPr="002261B9">
        <w:rPr>
          <w:lang w:val="es-ES"/>
        </w:rPr>
        <w:t>cia perdurables</w:t>
      </w:r>
      <w:r w:rsidR="004D5B0D" w:rsidRPr="002261B9">
        <w:rPr>
          <w:lang w:val="es-ES"/>
        </w:rPr>
        <w:t xml:space="preserve"> (TM</w:t>
      </w:r>
      <w:r w:rsidR="004904E9" w:rsidRPr="002261B9">
        <w:rPr>
          <w:lang w:val="es-ES"/>
        </w:rPr>
        <w:t>,</w:t>
      </w:r>
      <w:r w:rsidR="006F57D4" w:rsidRPr="002261B9">
        <w:rPr>
          <w:lang w:val="es-ES"/>
        </w:rPr>
        <w:t xml:space="preserve"> 2</w:t>
      </w:r>
      <w:r w:rsidR="004D5B0D" w:rsidRPr="002261B9">
        <w:rPr>
          <w:lang w:val="es-ES"/>
        </w:rPr>
        <w:t>016</w:t>
      </w:r>
      <w:r w:rsidR="00452DB2" w:rsidRPr="002261B9">
        <w:rPr>
          <w:lang w:val="es-ES"/>
        </w:rPr>
        <w:t>)</w:t>
      </w:r>
      <w:r w:rsidR="004D5B0D" w:rsidRPr="002261B9">
        <w:rPr>
          <w:lang w:val="es-ES"/>
        </w:rPr>
        <w:t>.</w:t>
      </w:r>
    </w:p>
    <w:p w14:paraId="5F69FA0E" w14:textId="7BDC75AF" w:rsidR="004D5B0D" w:rsidRPr="002261B9" w:rsidRDefault="00EC480D" w:rsidP="00547A47">
      <w:pPr>
        <w:tabs>
          <w:tab w:val="left" w:pos="624"/>
        </w:tabs>
        <w:spacing w:after="120"/>
        <w:ind w:left="1248" w:hanging="624"/>
        <w:rPr>
          <w:b/>
          <w:i/>
          <w:sz w:val="20"/>
          <w:szCs w:val="20"/>
          <w:lang w:val="es-ES"/>
        </w:rPr>
      </w:pPr>
      <w:r w:rsidRPr="002261B9">
        <w:rPr>
          <w:b/>
          <w:i/>
          <w:sz w:val="20"/>
          <w:szCs w:val="20"/>
          <w:lang w:val="es-ES"/>
        </w:rPr>
        <w:t>C.</w:t>
      </w:r>
      <w:r w:rsidR="00547A47" w:rsidRPr="002261B9">
        <w:rPr>
          <w:b/>
          <w:i/>
          <w:sz w:val="20"/>
          <w:szCs w:val="20"/>
          <w:lang w:val="es-ES"/>
        </w:rPr>
        <w:tab/>
      </w:r>
      <w:r w:rsidRPr="002261B9">
        <w:rPr>
          <w:b/>
          <w:i/>
          <w:sz w:val="20"/>
          <w:szCs w:val="20"/>
          <w:lang w:val="es-ES"/>
        </w:rPr>
        <w:t>Algunas tintas de impresión</w:t>
      </w:r>
    </w:p>
    <w:p w14:paraId="7FAAD136" w14:textId="65DC337D" w:rsidR="004D5B0D" w:rsidRPr="002261B9" w:rsidRDefault="003C558F" w:rsidP="00F45508">
      <w:pPr>
        <w:pStyle w:val="Paralevel1"/>
        <w:numPr>
          <w:ilvl w:val="0"/>
          <w:numId w:val="23"/>
        </w:numPr>
        <w:tabs>
          <w:tab w:val="clear" w:pos="0"/>
        </w:tabs>
        <w:ind w:left="1247" w:firstLine="0"/>
        <w:rPr>
          <w:lang w:val="es-ES"/>
        </w:rPr>
      </w:pPr>
      <w:r w:rsidRPr="002261B9">
        <w:rPr>
          <w:lang w:val="es-ES"/>
        </w:rPr>
        <w:t>Observaciones de la industria</w:t>
      </w:r>
      <w:r w:rsidR="004D5B0D" w:rsidRPr="002261B9">
        <w:rPr>
          <w:lang w:val="es-ES"/>
        </w:rPr>
        <w:t xml:space="preserve"> </w:t>
      </w:r>
      <w:r w:rsidRPr="002261B9">
        <w:rPr>
          <w:lang w:val="es-ES"/>
        </w:rPr>
        <w:t>formuladas durante la consulta pública celebrada en la UE</w:t>
      </w:r>
      <w:r w:rsidR="004D5B0D" w:rsidRPr="002261B9">
        <w:rPr>
          <w:lang w:val="es-ES"/>
        </w:rPr>
        <w:t xml:space="preserve"> indica</w:t>
      </w:r>
      <w:r w:rsidRPr="002261B9">
        <w:rPr>
          <w:lang w:val="es-ES"/>
        </w:rPr>
        <w:t xml:space="preserve">n que el </w:t>
      </w:r>
      <w:r w:rsidR="00C41F4E" w:rsidRPr="002261B9">
        <w:rPr>
          <w:lang w:val="es-ES"/>
        </w:rPr>
        <w:t xml:space="preserve">PFOA </w:t>
      </w:r>
      <w:r w:rsidRPr="002261B9">
        <w:rPr>
          <w:lang w:val="es-ES"/>
        </w:rPr>
        <w:t>y los compuestos conexos están presentes en las tintas de látex</w:t>
      </w:r>
      <w:r w:rsidR="004D5B0D" w:rsidRPr="002261B9">
        <w:rPr>
          <w:lang w:val="es-ES"/>
        </w:rPr>
        <w:t xml:space="preserve"> us</w:t>
      </w:r>
      <w:r w:rsidRPr="002261B9">
        <w:rPr>
          <w:lang w:val="es-ES"/>
        </w:rPr>
        <w:t>adas en las impresoras profesionales</w:t>
      </w:r>
      <w:r w:rsidR="004D5B0D" w:rsidRPr="002261B9">
        <w:rPr>
          <w:lang w:val="es-ES"/>
        </w:rPr>
        <w:t xml:space="preserve">. </w:t>
      </w:r>
      <w:r w:rsidRPr="002261B9">
        <w:rPr>
          <w:lang w:val="es-ES"/>
        </w:rPr>
        <w:t>E</w:t>
      </w:r>
      <w:r w:rsidR="000833BF" w:rsidRPr="002261B9">
        <w:rPr>
          <w:lang w:val="es-ES"/>
        </w:rPr>
        <w:t xml:space="preserve">stas tintas solo se utilizan en </w:t>
      </w:r>
      <w:r w:rsidRPr="002261B9">
        <w:rPr>
          <w:lang w:val="es-ES"/>
        </w:rPr>
        <w:t xml:space="preserve">impresoras que ya han dejado de fabricarse usando y por </w:t>
      </w:r>
      <w:r w:rsidR="00B63373" w:rsidRPr="002261B9">
        <w:rPr>
          <w:lang w:val="es-ES"/>
        </w:rPr>
        <w:t xml:space="preserve">ese motivo </w:t>
      </w:r>
      <w:r w:rsidRPr="002261B9">
        <w:rPr>
          <w:lang w:val="es-ES"/>
        </w:rPr>
        <w:t>ya están en vías de elimina</w:t>
      </w:r>
      <w:r w:rsidR="00B63373" w:rsidRPr="002261B9">
        <w:rPr>
          <w:lang w:val="es-ES"/>
        </w:rPr>
        <w:t>ción</w:t>
      </w:r>
      <w:r w:rsidR="004D5B0D" w:rsidRPr="002261B9">
        <w:rPr>
          <w:lang w:val="es-ES"/>
        </w:rPr>
        <w:t xml:space="preserve">. </w:t>
      </w:r>
      <w:r w:rsidRPr="002261B9">
        <w:rPr>
          <w:lang w:val="es-ES"/>
        </w:rPr>
        <w:t xml:space="preserve">Todo parece indicar que hay una clara tendencia a que disminuyan </w:t>
      </w:r>
      <w:r w:rsidR="000833BF" w:rsidRPr="002261B9">
        <w:rPr>
          <w:lang w:val="es-ES"/>
        </w:rPr>
        <w:t xml:space="preserve">tanto </w:t>
      </w:r>
      <w:r w:rsidRPr="002261B9">
        <w:rPr>
          <w:lang w:val="es-ES"/>
        </w:rPr>
        <w:t>la</w:t>
      </w:r>
      <w:r w:rsidR="000833BF" w:rsidRPr="002261B9">
        <w:rPr>
          <w:lang w:val="es-ES"/>
        </w:rPr>
        <w:t>s</w:t>
      </w:r>
      <w:r w:rsidRPr="002261B9">
        <w:rPr>
          <w:lang w:val="es-ES"/>
        </w:rPr>
        <w:t xml:space="preserve"> cantidad</w:t>
      </w:r>
      <w:r w:rsidR="000833BF" w:rsidRPr="002261B9">
        <w:rPr>
          <w:lang w:val="es-ES"/>
        </w:rPr>
        <w:t>es</w:t>
      </w:r>
      <w:r w:rsidRPr="002261B9">
        <w:rPr>
          <w:lang w:val="es-ES"/>
        </w:rPr>
        <w:t xml:space="preserve"> usada</w:t>
      </w:r>
      <w:r w:rsidR="000833BF" w:rsidRPr="002261B9">
        <w:rPr>
          <w:lang w:val="es-ES"/>
        </w:rPr>
        <w:t>s como</w:t>
      </w:r>
      <w:r w:rsidRPr="002261B9">
        <w:rPr>
          <w:lang w:val="es-ES"/>
        </w:rPr>
        <w:t xml:space="preserve"> las emisiones conexas</w:t>
      </w:r>
      <w:r w:rsidR="004D5B0D" w:rsidRPr="002261B9">
        <w:rPr>
          <w:lang w:val="es-ES"/>
        </w:rPr>
        <w:t xml:space="preserve">. </w:t>
      </w:r>
      <w:r w:rsidR="00952090" w:rsidRPr="002261B9">
        <w:rPr>
          <w:lang w:val="es-ES"/>
        </w:rPr>
        <w:t>La empresa que fabrica</w:t>
      </w:r>
      <w:r w:rsidR="000833BF" w:rsidRPr="002261B9">
        <w:rPr>
          <w:lang w:val="es-ES"/>
        </w:rPr>
        <w:t xml:space="preserve"> ese tipo de impresoras y las tintas que se utilizan</w:t>
      </w:r>
      <w:r w:rsidR="00952090" w:rsidRPr="002261B9">
        <w:rPr>
          <w:lang w:val="es-ES"/>
        </w:rPr>
        <w:t xml:space="preserve"> afirma que, </w:t>
      </w:r>
      <w:r w:rsidR="0093050C" w:rsidRPr="002261B9">
        <w:rPr>
          <w:lang w:val="es-ES"/>
        </w:rPr>
        <w:t xml:space="preserve">habida cuenta de </w:t>
      </w:r>
      <w:r w:rsidR="00952090" w:rsidRPr="002261B9">
        <w:rPr>
          <w:lang w:val="es-ES"/>
        </w:rPr>
        <w:t>que no se ha establecido un período de transición de</w:t>
      </w:r>
      <w:r w:rsidR="00B63373" w:rsidRPr="002261B9">
        <w:rPr>
          <w:lang w:val="es-ES"/>
        </w:rPr>
        <w:t xml:space="preserve"> cinco</w:t>
      </w:r>
      <w:r w:rsidR="00952090" w:rsidRPr="002261B9">
        <w:rPr>
          <w:lang w:val="es-ES"/>
        </w:rPr>
        <w:t xml:space="preserve"> años</w:t>
      </w:r>
      <w:r w:rsidR="004D5B0D" w:rsidRPr="002261B9">
        <w:rPr>
          <w:lang w:val="es-ES"/>
        </w:rPr>
        <w:t xml:space="preserve">, </w:t>
      </w:r>
      <w:r w:rsidR="0013156F" w:rsidRPr="002261B9">
        <w:rPr>
          <w:lang w:val="es-ES"/>
        </w:rPr>
        <w:t xml:space="preserve">habría que proceder a la sustitución prematura de las impresoras que están en uso y los costos serían elevados porque se perdería en calidad de la imagen. El comité científico de la UE llegó a la conclusión de que se justificaba aceptar un período de transición de </w:t>
      </w:r>
      <w:r w:rsidR="00B63373" w:rsidRPr="002261B9">
        <w:rPr>
          <w:lang w:val="es-ES"/>
        </w:rPr>
        <w:t>cinco</w:t>
      </w:r>
      <w:r w:rsidR="0013156F" w:rsidRPr="002261B9">
        <w:rPr>
          <w:lang w:val="es-ES"/>
        </w:rPr>
        <w:t xml:space="preserve"> años para la impresión con látex</w:t>
      </w:r>
      <w:r w:rsidR="0058218F" w:rsidRPr="002261B9">
        <w:rPr>
          <w:lang w:val="es-ES"/>
        </w:rPr>
        <w:t xml:space="preserve"> </w:t>
      </w:r>
      <w:r w:rsidR="004D5B0D" w:rsidRPr="002261B9">
        <w:rPr>
          <w:lang w:val="es-ES"/>
        </w:rPr>
        <w:t>(ECHA</w:t>
      </w:r>
      <w:r w:rsidR="004904E9" w:rsidRPr="002261B9">
        <w:rPr>
          <w:lang w:val="es-ES"/>
        </w:rPr>
        <w:t>,</w:t>
      </w:r>
      <w:r w:rsidR="006F57D4" w:rsidRPr="002261B9">
        <w:rPr>
          <w:lang w:val="es-ES"/>
        </w:rPr>
        <w:t xml:space="preserve"> 2</w:t>
      </w:r>
      <w:r w:rsidR="004D5B0D" w:rsidRPr="002261B9">
        <w:rPr>
          <w:lang w:val="es-ES"/>
        </w:rPr>
        <w:t>015c</w:t>
      </w:r>
      <w:r w:rsidR="00452DB2" w:rsidRPr="002261B9">
        <w:rPr>
          <w:lang w:val="es-ES"/>
        </w:rPr>
        <w:t>)</w:t>
      </w:r>
      <w:r w:rsidR="0013156F" w:rsidRPr="002261B9">
        <w:rPr>
          <w:lang w:val="es-ES"/>
        </w:rPr>
        <w:t xml:space="preserve">, </w:t>
      </w:r>
      <w:r w:rsidR="00B63373" w:rsidRPr="002261B9">
        <w:rPr>
          <w:lang w:val="es-ES"/>
        </w:rPr>
        <w:t xml:space="preserve">a fin de que </w:t>
      </w:r>
      <w:r w:rsidR="0013156F" w:rsidRPr="002261B9">
        <w:rPr>
          <w:lang w:val="es-ES"/>
        </w:rPr>
        <w:t xml:space="preserve">en la UE </w:t>
      </w:r>
      <w:r w:rsidR="00B63373" w:rsidRPr="002261B9">
        <w:rPr>
          <w:lang w:val="es-ES"/>
        </w:rPr>
        <w:t xml:space="preserve">se establezca </w:t>
      </w:r>
      <w:r w:rsidR="0013156F" w:rsidRPr="002261B9">
        <w:rPr>
          <w:lang w:val="es-ES"/>
        </w:rPr>
        <w:t xml:space="preserve">una derogación temporal </w:t>
      </w:r>
      <w:r w:rsidR="004D5B0D" w:rsidRPr="002261B9">
        <w:rPr>
          <w:lang w:val="es-ES"/>
        </w:rPr>
        <w:t>(</w:t>
      </w:r>
      <w:r w:rsidR="0013156F" w:rsidRPr="002261B9">
        <w:rPr>
          <w:lang w:val="es-ES"/>
        </w:rPr>
        <w:t xml:space="preserve">hasta el </w:t>
      </w:r>
      <w:r w:rsidR="007F05EB" w:rsidRPr="002261B9">
        <w:rPr>
          <w:lang w:val="es-ES"/>
        </w:rPr>
        <w:t xml:space="preserve">4 </w:t>
      </w:r>
      <w:r w:rsidR="0013156F" w:rsidRPr="002261B9">
        <w:rPr>
          <w:lang w:val="es-ES"/>
        </w:rPr>
        <w:t xml:space="preserve">de julio de </w:t>
      </w:r>
      <w:r w:rsidR="007F05EB" w:rsidRPr="002261B9">
        <w:rPr>
          <w:lang w:val="es-ES"/>
        </w:rPr>
        <w:t>2022</w:t>
      </w:r>
      <w:r w:rsidR="004D5B0D" w:rsidRPr="002261B9">
        <w:rPr>
          <w:lang w:val="es-ES"/>
        </w:rPr>
        <w:t>)</w:t>
      </w:r>
      <w:r w:rsidR="0013156F" w:rsidRPr="002261B9">
        <w:rPr>
          <w:lang w:val="es-ES"/>
        </w:rPr>
        <w:t xml:space="preserve"> </w:t>
      </w:r>
      <w:r w:rsidR="004D5B0D" w:rsidRPr="002261B9">
        <w:rPr>
          <w:lang w:val="es-ES"/>
        </w:rPr>
        <w:t>(</w:t>
      </w:r>
      <w:r w:rsidR="00912204" w:rsidRPr="002261B9">
        <w:rPr>
          <w:lang w:val="es-ES"/>
        </w:rPr>
        <w:t>Comisión Europea</w:t>
      </w:r>
      <w:r w:rsidR="004904E9" w:rsidRPr="002261B9">
        <w:rPr>
          <w:lang w:val="es-ES"/>
        </w:rPr>
        <w:t>,</w:t>
      </w:r>
      <w:r w:rsidR="006F57D4" w:rsidRPr="002261B9">
        <w:rPr>
          <w:lang w:val="es-ES"/>
        </w:rPr>
        <w:t xml:space="preserve"> 2</w:t>
      </w:r>
      <w:r w:rsidR="004D5B0D" w:rsidRPr="002261B9">
        <w:rPr>
          <w:lang w:val="es-ES"/>
        </w:rPr>
        <w:t>017</w:t>
      </w:r>
      <w:r w:rsidR="00452DB2" w:rsidRPr="002261B9">
        <w:rPr>
          <w:lang w:val="es-ES"/>
        </w:rPr>
        <w:t>)</w:t>
      </w:r>
      <w:r w:rsidR="004D5B0D" w:rsidRPr="002261B9">
        <w:rPr>
          <w:lang w:val="es-ES"/>
        </w:rPr>
        <w:t xml:space="preserve">. </w:t>
      </w:r>
      <w:r w:rsidR="005E40BB" w:rsidRPr="002261B9">
        <w:rPr>
          <w:lang w:val="es-ES"/>
        </w:rPr>
        <w:t xml:space="preserve">En el Canadá se estableció una exención temporal para las tintas a base de agua </w:t>
      </w:r>
      <w:r w:rsidR="004D5B0D" w:rsidRPr="002261B9">
        <w:rPr>
          <w:lang w:val="es-ES"/>
        </w:rPr>
        <w:t>(</w:t>
      </w:r>
      <w:r w:rsidR="005E40BB" w:rsidRPr="002261B9">
        <w:rPr>
          <w:lang w:val="es-ES"/>
        </w:rPr>
        <w:t xml:space="preserve">hasta el </w:t>
      </w:r>
      <w:r w:rsidR="009E1008" w:rsidRPr="002261B9">
        <w:rPr>
          <w:lang w:val="es-ES"/>
        </w:rPr>
        <w:t xml:space="preserve">31 </w:t>
      </w:r>
      <w:r w:rsidR="005E40BB" w:rsidRPr="002261B9">
        <w:rPr>
          <w:lang w:val="es-ES"/>
        </w:rPr>
        <w:t>de diciembre de</w:t>
      </w:r>
      <w:r w:rsidR="00AF1392" w:rsidRPr="002261B9">
        <w:rPr>
          <w:lang w:val="es-ES"/>
        </w:rPr>
        <w:t> </w:t>
      </w:r>
      <w:r w:rsidR="004D5B0D" w:rsidRPr="002261B9">
        <w:rPr>
          <w:lang w:val="es-ES"/>
        </w:rPr>
        <w:t>2016) (</w:t>
      </w:r>
      <w:r w:rsidR="007F0459" w:rsidRPr="002261B9">
        <w:rPr>
          <w:lang w:val="es-ES"/>
        </w:rPr>
        <w:t xml:space="preserve">Observaciones </w:t>
      </w:r>
      <w:r w:rsidR="00AD7C9F" w:rsidRPr="002261B9">
        <w:rPr>
          <w:lang w:val="es-ES"/>
        </w:rPr>
        <w:t>d</w:t>
      </w:r>
      <w:r w:rsidR="009321C2" w:rsidRPr="002261B9">
        <w:rPr>
          <w:lang w:val="es-ES"/>
        </w:rPr>
        <w:t>el Canadá</w:t>
      </w:r>
      <w:r w:rsidR="004D5B0D" w:rsidRPr="002261B9">
        <w:rPr>
          <w:lang w:val="es-ES"/>
        </w:rPr>
        <w:t xml:space="preserve"> </w:t>
      </w:r>
      <w:r w:rsidR="008A275C" w:rsidRPr="002261B9">
        <w:rPr>
          <w:lang w:val="es-ES"/>
        </w:rPr>
        <w:t>sobre el primer proyecto de evaluación de la gestión de los riesgos</w:t>
      </w:r>
      <w:r w:rsidR="00452DB2" w:rsidRPr="002261B9">
        <w:rPr>
          <w:lang w:val="es-ES"/>
        </w:rPr>
        <w:t>)</w:t>
      </w:r>
      <w:r w:rsidR="004D5B0D" w:rsidRPr="002261B9">
        <w:rPr>
          <w:lang w:val="es-ES"/>
        </w:rPr>
        <w:t xml:space="preserve">. </w:t>
      </w:r>
      <w:r w:rsidR="005E40BB" w:rsidRPr="002261B9">
        <w:rPr>
          <w:lang w:val="es-ES"/>
        </w:rPr>
        <w:t>Sin embargo, el método de gestión de los riesgos de Noruega solo se aplica a productos de consumo y</w:t>
      </w:r>
      <w:r w:rsidR="00284890" w:rsidRPr="002261B9">
        <w:rPr>
          <w:lang w:val="es-ES"/>
        </w:rPr>
        <w:t xml:space="preserve"> </w:t>
      </w:r>
      <w:r w:rsidR="005E40BB" w:rsidRPr="002261B9">
        <w:rPr>
          <w:lang w:val="es-ES"/>
        </w:rPr>
        <w:t xml:space="preserve">no restringe el uso del </w:t>
      </w:r>
      <w:r w:rsidR="004D5B0D" w:rsidRPr="002261B9">
        <w:rPr>
          <w:lang w:val="es-ES"/>
        </w:rPr>
        <w:t xml:space="preserve">PFOA </w:t>
      </w:r>
      <w:r w:rsidR="005E40BB" w:rsidRPr="002261B9">
        <w:rPr>
          <w:lang w:val="es-ES"/>
        </w:rPr>
        <w:t>en las tintas de uso profesional</w:t>
      </w:r>
      <w:r w:rsidR="00B63373" w:rsidRPr="002261B9">
        <w:rPr>
          <w:lang w:val="es-ES"/>
        </w:rPr>
        <w:t xml:space="preserve"> o </w:t>
      </w:r>
      <w:r w:rsidR="005E40BB" w:rsidRPr="002261B9">
        <w:rPr>
          <w:lang w:val="es-ES"/>
        </w:rPr>
        <w:t>en impresoras</w:t>
      </w:r>
      <w:r w:rsidR="005B45C1" w:rsidRPr="002261B9">
        <w:rPr>
          <w:lang w:val="es-ES"/>
        </w:rPr>
        <w:t>.</w:t>
      </w:r>
    </w:p>
    <w:p w14:paraId="5728F48F" w14:textId="29530C48" w:rsidR="004D5B0D" w:rsidRPr="002261B9" w:rsidRDefault="00EC480D" w:rsidP="00547A47">
      <w:pPr>
        <w:tabs>
          <w:tab w:val="left" w:pos="624"/>
        </w:tabs>
        <w:spacing w:after="120"/>
        <w:ind w:left="1248" w:hanging="624"/>
        <w:rPr>
          <w:b/>
          <w:i/>
          <w:sz w:val="20"/>
          <w:szCs w:val="20"/>
          <w:lang w:val="es-ES"/>
        </w:rPr>
      </w:pPr>
      <w:r w:rsidRPr="002261B9">
        <w:rPr>
          <w:b/>
          <w:i/>
          <w:sz w:val="20"/>
          <w:szCs w:val="20"/>
          <w:lang w:val="es-ES"/>
        </w:rPr>
        <w:t>D.</w:t>
      </w:r>
      <w:r w:rsidR="0093050C" w:rsidRPr="002261B9">
        <w:rPr>
          <w:b/>
          <w:i/>
          <w:sz w:val="20"/>
          <w:szCs w:val="20"/>
          <w:lang w:val="es-ES"/>
        </w:rPr>
        <w:tab/>
      </w:r>
      <w:r w:rsidRPr="002261B9">
        <w:rPr>
          <w:b/>
          <w:i/>
          <w:sz w:val="20"/>
          <w:szCs w:val="20"/>
          <w:lang w:val="es-ES"/>
        </w:rPr>
        <w:t>Producción de alternativas fluoradas de cadena corta</w:t>
      </w:r>
    </w:p>
    <w:p w14:paraId="469C5D39" w14:textId="26956958" w:rsidR="00485CB1" w:rsidRPr="002261B9" w:rsidRDefault="00912204" w:rsidP="00F45508">
      <w:pPr>
        <w:pStyle w:val="Paralevel1"/>
        <w:numPr>
          <w:ilvl w:val="0"/>
          <w:numId w:val="23"/>
        </w:numPr>
        <w:tabs>
          <w:tab w:val="clear" w:pos="0"/>
        </w:tabs>
        <w:ind w:left="1247" w:firstLine="0"/>
        <w:rPr>
          <w:lang w:val="es-ES"/>
        </w:rPr>
      </w:pPr>
      <w:bookmarkStart w:id="27" w:name="_Ref487022881"/>
      <w:r w:rsidRPr="002261B9">
        <w:rPr>
          <w:lang w:val="es-ES"/>
        </w:rPr>
        <w:t>Según</w:t>
      </w:r>
      <w:r w:rsidR="00485CB1" w:rsidRPr="002261B9">
        <w:rPr>
          <w:lang w:val="es-ES"/>
        </w:rPr>
        <w:t xml:space="preserve"> FluoroCouncil, </w:t>
      </w:r>
      <w:r w:rsidR="00845EA9" w:rsidRPr="002261B9">
        <w:rPr>
          <w:lang w:val="es-ES"/>
        </w:rPr>
        <w:t xml:space="preserve">la industria puede encargarse del reprocesamiento de </w:t>
      </w:r>
      <w:r w:rsidR="00D66227" w:rsidRPr="002261B9">
        <w:rPr>
          <w:lang w:val="es-ES"/>
        </w:rPr>
        <w:t>una fracción inevitable de PFOA y de sustancias conexas del PFOA como sustancias</w:t>
      </w:r>
      <w:r w:rsidR="00845EA9" w:rsidRPr="002261B9">
        <w:rPr>
          <w:lang w:val="es-ES"/>
        </w:rPr>
        <w:t xml:space="preserve"> intermedi</w:t>
      </w:r>
      <w:r w:rsidR="00D66227" w:rsidRPr="002261B9">
        <w:rPr>
          <w:lang w:val="es-ES"/>
        </w:rPr>
        <w:t>as</w:t>
      </w:r>
      <w:r w:rsidR="00845EA9" w:rsidRPr="002261B9">
        <w:rPr>
          <w:lang w:val="es-ES"/>
        </w:rPr>
        <w:t xml:space="preserve"> aislad</w:t>
      </w:r>
      <w:r w:rsidR="00D66227" w:rsidRPr="002261B9">
        <w:rPr>
          <w:lang w:val="es-ES"/>
        </w:rPr>
        <w:t>a</w:t>
      </w:r>
      <w:r w:rsidR="00845EA9" w:rsidRPr="002261B9">
        <w:rPr>
          <w:lang w:val="es-ES"/>
        </w:rPr>
        <w:t xml:space="preserve">s </w:t>
      </w:r>
      <w:r w:rsidR="00E10A0E" w:rsidRPr="002261B9">
        <w:rPr>
          <w:lang w:val="es-ES"/>
        </w:rPr>
        <w:t>para producir alternativas al fluorotelómero C</w:t>
      </w:r>
      <w:r w:rsidR="00E10A0E" w:rsidRPr="002261B9">
        <w:rPr>
          <w:vertAlign w:val="subscript"/>
          <w:lang w:val="es-ES"/>
        </w:rPr>
        <w:t xml:space="preserve">6 </w:t>
      </w:r>
      <w:r w:rsidR="00845EA9" w:rsidRPr="002261B9">
        <w:rPr>
          <w:lang w:val="es-ES"/>
        </w:rPr>
        <w:t>en otro lugar</w:t>
      </w:r>
      <w:r w:rsidR="00E10A0E" w:rsidRPr="002261B9">
        <w:rPr>
          <w:lang w:val="es-ES"/>
        </w:rPr>
        <w:t xml:space="preserve"> distinto del sitio de producción</w:t>
      </w:r>
      <w:r w:rsidR="00845EA9" w:rsidRPr="002261B9">
        <w:rPr>
          <w:lang w:val="es-ES"/>
        </w:rPr>
        <w:t xml:space="preserve"> y, por e</w:t>
      </w:r>
      <w:r w:rsidR="00E10A0E" w:rsidRPr="002261B9">
        <w:rPr>
          <w:lang w:val="es-ES"/>
        </w:rPr>
        <w:t>llo</w:t>
      </w:r>
      <w:r w:rsidR="00845EA9" w:rsidRPr="002261B9">
        <w:rPr>
          <w:lang w:val="es-ES"/>
        </w:rPr>
        <w:t>, es necesaria una exención para los productos intermedios aislados transportados</w:t>
      </w:r>
      <w:r w:rsidR="00485CB1" w:rsidRPr="002261B9">
        <w:rPr>
          <w:lang w:val="es-ES"/>
        </w:rPr>
        <w:t xml:space="preserve"> (</w:t>
      </w:r>
      <w:r w:rsidR="003C558F" w:rsidRPr="002261B9">
        <w:rPr>
          <w:lang w:val="es-ES"/>
        </w:rPr>
        <w:t>Observaci</w:t>
      </w:r>
      <w:r w:rsidR="00845EA9" w:rsidRPr="002261B9">
        <w:rPr>
          <w:lang w:val="es-ES"/>
        </w:rPr>
        <w:t>ones de</w:t>
      </w:r>
      <w:r w:rsidR="00485CB1" w:rsidRPr="002261B9">
        <w:rPr>
          <w:lang w:val="es-ES"/>
        </w:rPr>
        <w:t xml:space="preserve"> FluoroCouncil </w:t>
      </w:r>
      <w:r w:rsidR="0013156F" w:rsidRPr="002261B9">
        <w:rPr>
          <w:lang w:val="es-ES"/>
        </w:rPr>
        <w:t>sobre el segundo proyecto de evaluación de la gestión de los riesgos</w:t>
      </w:r>
      <w:r w:rsidR="00485CB1" w:rsidRPr="002261B9">
        <w:rPr>
          <w:lang w:val="es-ES"/>
        </w:rPr>
        <w:t xml:space="preserve">). </w:t>
      </w:r>
      <w:r w:rsidR="001E397C">
        <w:rPr>
          <w:lang w:val="es-ES"/>
        </w:rPr>
        <w:t>Según su párrafo </w:t>
      </w:r>
      <w:r w:rsidR="00845EA9" w:rsidRPr="002261B9">
        <w:rPr>
          <w:lang w:val="es-ES"/>
        </w:rPr>
        <w:t xml:space="preserve">4 c), en la restricción de la UE se prevé una exención para los productos intermedios aislados transportados sin límite de tiempo, siempre y cuando se cumplan las condiciones establecidas en los incisos </w:t>
      </w:r>
      <w:r w:rsidR="00485CB1" w:rsidRPr="002261B9">
        <w:rPr>
          <w:lang w:val="es-ES"/>
        </w:rPr>
        <w:t xml:space="preserve">a) </w:t>
      </w:r>
      <w:r w:rsidR="00845EA9" w:rsidRPr="002261B9">
        <w:rPr>
          <w:lang w:val="es-ES"/>
        </w:rPr>
        <w:t xml:space="preserve">a </w:t>
      </w:r>
      <w:r w:rsidR="00485CB1" w:rsidRPr="002261B9">
        <w:rPr>
          <w:lang w:val="es-ES"/>
        </w:rPr>
        <w:t xml:space="preserve">f) </w:t>
      </w:r>
      <w:r w:rsidR="00845EA9" w:rsidRPr="002261B9">
        <w:rPr>
          <w:lang w:val="es-ES"/>
        </w:rPr>
        <w:t xml:space="preserve">del </w:t>
      </w:r>
      <w:r w:rsidR="00B63373" w:rsidRPr="002261B9">
        <w:rPr>
          <w:lang w:val="es-ES"/>
        </w:rPr>
        <w:t xml:space="preserve">párrafo 4) del </w:t>
      </w:r>
      <w:r w:rsidR="00845EA9" w:rsidRPr="002261B9">
        <w:rPr>
          <w:lang w:val="es-ES"/>
        </w:rPr>
        <w:t xml:space="preserve">artículo </w:t>
      </w:r>
      <w:r w:rsidR="00485CB1" w:rsidRPr="002261B9">
        <w:rPr>
          <w:lang w:val="es-ES"/>
        </w:rPr>
        <w:t xml:space="preserve">18 </w:t>
      </w:r>
      <w:r w:rsidR="00845EA9" w:rsidRPr="002261B9">
        <w:rPr>
          <w:lang w:val="es-ES"/>
        </w:rPr>
        <w:t>del Reglamento de la UE</w:t>
      </w:r>
      <w:r w:rsidR="00485CB1" w:rsidRPr="002261B9">
        <w:rPr>
          <w:lang w:val="es-ES"/>
        </w:rPr>
        <w:t xml:space="preserve"> (EC) </w:t>
      </w:r>
      <w:r w:rsidR="00845EA9" w:rsidRPr="002261B9">
        <w:rPr>
          <w:lang w:val="es-ES"/>
        </w:rPr>
        <w:t>núm.</w:t>
      </w:r>
      <w:r w:rsidR="00485CB1" w:rsidRPr="002261B9">
        <w:rPr>
          <w:lang w:val="es-ES"/>
        </w:rPr>
        <w:t xml:space="preserve"> 1907/2006 (</w:t>
      </w:r>
      <w:r w:rsidRPr="002261B9">
        <w:rPr>
          <w:lang w:val="es-ES"/>
        </w:rPr>
        <w:t>Comisión Europea</w:t>
      </w:r>
      <w:r w:rsidR="004904E9" w:rsidRPr="002261B9">
        <w:rPr>
          <w:lang w:val="es-ES"/>
        </w:rPr>
        <w:t>,</w:t>
      </w:r>
      <w:r w:rsidR="006F57D4" w:rsidRPr="002261B9">
        <w:rPr>
          <w:lang w:val="es-ES"/>
        </w:rPr>
        <w:t xml:space="preserve"> 2</w:t>
      </w:r>
      <w:r w:rsidR="00485CB1" w:rsidRPr="002261B9">
        <w:rPr>
          <w:lang w:val="es-ES"/>
        </w:rPr>
        <w:t>017</w:t>
      </w:r>
      <w:r w:rsidR="00B63373" w:rsidRPr="002261B9">
        <w:rPr>
          <w:lang w:val="es-ES"/>
        </w:rPr>
        <w:t>)</w:t>
      </w:r>
      <w:r w:rsidR="00485CB1" w:rsidRPr="002261B9">
        <w:rPr>
          <w:lang w:val="es-ES"/>
        </w:rPr>
        <w:t>).</w:t>
      </w:r>
      <w:r w:rsidR="00845EA9" w:rsidRPr="002261B9">
        <w:rPr>
          <w:lang w:val="es-ES"/>
        </w:rPr>
        <w:t xml:space="preserve"> Se debería </w:t>
      </w:r>
      <w:r w:rsidR="0057533C" w:rsidRPr="002261B9">
        <w:rPr>
          <w:lang w:val="es-ES"/>
        </w:rPr>
        <w:t>considerar</w:t>
      </w:r>
      <w:r w:rsidR="00845EA9" w:rsidRPr="002261B9">
        <w:rPr>
          <w:lang w:val="es-ES"/>
        </w:rPr>
        <w:t xml:space="preserve"> también</w:t>
      </w:r>
      <w:r w:rsidR="0057533C" w:rsidRPr="002261B9">
        <w:rPr>
          <w:lang w:val="es-ES"/>
        </w:rPr>
        <w:t>,</w:t>
      </w:r>
      <w:r w:rsidR="00845EA9" w:rsidRPr="002261B9">
        <w:rPr>
          <w:lang w:val="es-ES"/>
        </w:rPr>
        <w:t xml:space="preserve"> en el marco del Convenio de Estocolmo, una exención para los productos intermedios aislados transportados de manera que se puedan reprocesar en un lugar distinto del de producción</w:t>
      </w:r>
      <w:r w:rsidR="00485CB1" w:rsidRPr="002261B9">
        <w:rPr>
          <w:lang w:val="es-ES"/>
        </w:rPr>
        <w:t xml:space="preserve">. </w:t>
      </w:r>
      <w:r w:rsidR="00845EA9" w:rsidRPr="002261B9">
        <w:rPr>
          <w:lang w:val="es-ES"/>
        </w:rPr>
        <w:t>Las condiciones podrían ser análogas a las que se establecen en el procedimiento de gestión de los riesgos de la UE</w:t>
      </w:r>
      <w:r w:rsidR="00FB706F" w:rsidRPr="002261B9">
        <w:rPr>
          <w:lang w:val="es-ES"/>
        </w:rPr>
        <w:t xml:space="preserve">, </w:t>
      </w:r>
      <w:r w:rsidR="00845EA9" w:rsidRPr="002261B9">
        <w:rPr>
          <w:lang w:val="es-ES"/>
        </w:rPr>
        <w:t xml:space="preserve">vale decir, que la síntesis de otra(s) sustancia(s) a partir de un </w:t>
      </w:r>
      <w:r w:rsidR="00DB5AC5" w:rsidRPr="002261B9">
        <w:rPr>
          <w:lang w:val="es-ES"/>
        </w:rPr>
        <w:t xml:space="preserve">producto </w:t>
      </w:r>
      <w:r w:rsidR="00B11364" w:rsidRPr="002261B9">
        <w:rPr>
          <w:lang w:val="es-ES"/>
        </w:rPr>
        <w:t>intermedio</w:t>
      </w:r>
      <w:r w:rsidR="00845EA9" w:rsidRPr="002261B9">
        <w:rPr>
          <w:lang w:val="es-ES"/>
        </w:rPr>
        <w:t xml:space="preserve"> tenga lugar en otra parte</w:t>
      </w:r>
      <w:r w:rsidR="00BE1FD2" w:rsidRPr="002261B9">
        <w:rPr>
          <w:lang w:val="es-ES"/>
        </w:rPr>
        <w:t xml:space="preserve"> </w:t>
      </w:r>
      <w:r w:rsidR="00845EA9" w:rsidRPr="002261B9">
        <w:rPr>
          <w:lang w:val="es-ES"/>
        </w:rPr>
        <w:t>en las condiciones estrictamente controladas que se indican a continuación</w:t>
      </w:r>
      <w:r w:rsidR="00BE1FD2" w:rsidRPr="002261B9">
        <w:rPr>
          <w:lang w:val="es-ES"/>
        </w:rPr>
        <w:t xml:space="preserve">: </w:t>
      </w:r>
      <w:r w:rsidR="00C4742B" w:rsidRPr="002261B9">
        <w:rPr>
          <w:lang w:val="es-ES"/>
        </w:rPr>
        <w:t>1</w:t>
      </w:r>
      <w:r w:rsidR="00BE1FD2" w:rsidRPr="002261B9">
        <w:rPr>
          <w:lang w:val="es-ES"/>
        </w:rPr>
        <w:t xml:space="preserve">) </w:t>
      </w:r>
      <w:r w:rsidR="00845EA9" w:rsidRPr="002261B9">
        <w:rPr>
          <w:lang w:val="es-ES"/>
        </w:rPr>
        <w:t>la sustancia está rigurosamente contenida por medios técnicos</w:t>
      </w:r>
      <w:r w:rsidR="00BE1FD2" w:rsidRPr="002261B9">
        <w:rPr>
          <w:lang w:val="es-ES"/>
        </w:rPr>
        <w:t xml:space="preserve"> </w:t>
      </w:r>
      <w:r w:rsidR="00845EA9" w:rsidRPr="002261B9">
        <w:rPr>
          <w:lang w:val="es-ES"/>
        </w:rPr>
        <w:t xml:space="preserve">durante todo su ciclo de vida, </w:t>
      </w:r>
      <w:r w:rsidR="0060120D" w:rsidRPr="002261B9">
        <w:rPr>
          <w:lang w:val="es-ES"/>
        </w:rPr>
        <w:t xml:space="preserve">que incluye fabricación, purificación, limpieza y mantenimiento del equipo, muestreo, análisis, carga y descarga del equipo o los </w:t>
      </w:r>
      <w:r w:rsidR="004D691A" w:rsidRPr="002261B9">
        <w:rPr>
          <w:lang w:val="es-ES"/>
        </w:rPr>
        <w:t>contenedores</w:t>
      </w:r>
      <w:r w:rsidR="00BE1FD2" w:rsidRPr="002261B9">
        <w:rPr>
          <w:lang w:val="es-ES"/>
        </w:rPr>
        <w:t xml:space="preserve">, </w:t>
      </w:r>
      <w:r w:rsidR="0060120D" w:rsidRPr="002261B9">
        <w:rPr>
          <w:lang w:val="es-ES"/>
        </w:rPr>
        <w:t xml:space="preserve">eliminación o purificación de los desechos y almacenamiento; </w:t>
      </w:r>
      <w:r w:rsidR="00C4742B" w:rsidRPr="002261B9">
        <w:rPr>
          <w:lang w:val="es-ES"/>
        </w:rPr>
        <w:t>2</w:t>
      </w:r>
      <w:r w:rsidR="00BE1FD2" w:rsidRPr="002261B9">
        <w:rPr>
          <w:lang w:val="es-ES"/>
        </w:rPr>
        <w:t xml:space="preserve">) </w:t>
      </w:r>
      <w:r w:rsidR="0060120D" w:rsidRPr="002261B9">
        <w:rPr>
          <w:lang w:val="es-ES"/>
        </w:rPr>
        <w:t xml:space="preserve">se usarán tecnologías de procedimiento y control que reduzcan </w:t>
      </w:r>
      <w:r w:rsidR="0060120D" w:rsidRPr="002261B9">
        <w:rPr>
          <w:lang w:val="es-ES"/>
        </w:rPr>
        <w:lastRenderedPageBreak/>
        <w:t>al mínimo las emisiones y cualquier exposición resultante</w:t>
      </w:r>
      <w:r w:rsidR="00BE1FD2" w:rsidRPr="002261B9">
        <w:rPr>
          <w:lang w:val="es-ES"/>
        </w:rPr>
        <w:t xml:space="preserve">; </w:t>
      </w:r>
      <w:r w:rsidR="00C4742B" w:rsidRPr="002261B9">
        <w:rPr>
          <w:lang w:val="es-ES"/>
        </w:rPr>
        <w:t>3</w:t>
      </w:r>
      <w:r w:rsidR="00BE1FD2" w:rsidRPr="002261B9">
        <w:rPr>
          <w:lang w:val="es-ES"/>
        </w:rPr>
        <w:t xml:space="preserve">) </w:t>
      </w:r>
      <w:r w:rsidR="0060120D" w:rsidRPr="002261B9">
        <w:rPr>
          <w:lang w:val="es-ES"/>
        </w:rPr>
        <w:t>solo personal debidamente adiestrado y certificado manipulará la sustancia</w:t>
      </w:r>
      <w:r w:rsidR="00BE1FD2" w:rsidRPr="002261B9">
        <w:rPr>
          <w:lang w:val="es-ES"/>
        </w:rPr>
        <w:t xml:space="preserve">; </w:t>
      </w:r>
      <w:r w:rsidR="00C4742B" w:rsidRPr="002261B9">
        <w:rPr>
          <w:lang w:val="es-ES"/>
        </w:rPr>
        <w:t>4</w:t>
      </w:r>
      <w:r w:rsidR="00BE1FD2" w:rsidRPr="002261B9">
        <w:rPr>
          <w:lang w:val="es-ES"/>
        </w:rPr>
        <w:t xml:space="preserve">) </w:t>
      </w:r>
      <w:r w:rsidR="0060120D" w:rsidRPr="002261B9">
        <w:rPr>
          <w:lang w:val="es-ES"/>
        </w:rPr>
        <w:t>en el caso de tareas de limpieza y mantenimiento</w:t>
      </w:r>
      <w:r w:rsidR="00BE1FD2" w:rsidRPr="002261B9">
        <w:rPr>
          <w:lang w:val="es-ES"/>
        </w:rPr>
        <w:t xml:space="preserve">, </w:t>
      </w:r>
      <w:r w:rsidR="0060120D" w:rsidRPr="002261B9">
        <w:rPr>
          <w:lang w:val="es-ES"/>
        </w:rPr>
        <w:t xml:space="preserve">se aplicarán procedimientos especiales como </w:t>
      </w:r>
      <w:r w:rsidR="00BE1FD2" w:rsidRPr="002261B9">
        <w:rPr>
          <w:lang w:val="es-ES"/>
        </w:rPr>
        <w:t>purg</w:t>
      </w:r>
      <w:r w:rsidR="0060120D" w:rsidRPr="002261B9">
        <w:rPr>
          <w:lang w:val="es-ES"/>
        </w:rPr>
        <w:t>a</w:t>
      </w:r>
      <w:r w:rsidR="00BE1FD2" w:rsidRPr="002261B9">
        <w:rPr>
          <w:lang w:val="es-ES"/>
        </w:rPr>
        <w:t xml:space="preserve"> </w:t>
      </w:r>
      <w:r w:rsidR="0060120D" w:rsidRPr="002261B9">
        <w:rPr>
          <w:lang w:val="es-ES"/>
        </w:rPr>
        <w:t xml:space="preserve">y lavado antes de abrir e ingresar en el sistema; </w:t>
      </w:r>
      <w:r w:rsidR="00C4742B" w:rsidRPr="002261B9">
        <w:rPr>
          <w:lang w:val="es-ES"/>
        </w:rPr>
        <w:t>5</w:t>
      </w:r>
      <w:r w:rsidR="00BE1FD2" w:rsidRPr="002261B9">
        <w:rPr>
          <w:lang w:val="es-ES"/>
        </w:rPr>
        <w:t xml:space="preserve">) </w:t>
      </w:r>
      <w:r w:rsidR="0060120D" w:rsidRPr="002261B9">
        <w:rPr>
          <w:lang w:val="es-ES"/>
        </w:rPr>
        <w:t>e</w:t>
      </w:r>
      <w:r w:rsidR="00BE1FD2" w:rsidRPr="002261B9">
        <w:rPr>
          <w:lang w:val="es-ES"/>
        </w:rPr>
        <w:t>n cas</w:t>
      </w:r>
      <w:r w:rsidR="0060120D" w:rsidRPr="002261B9">
        <w:rPr>
          <w:lang w:val="es-ES"/>
        </w:rPr>
        <w:t>o</w:t>
      </w:r>
      <w:r w:rsidR="00BE1FD2" w:rsidRPr="002261B9">
        <w:rPr>
          <w:lang w:val="es-ES"/>
        </w:rPr>
        <w:t xml:space="preserve"> </w:t>
      </w:r>
      <w:r w:rsidR="0060120D" w:rsidRPr="002261B9">
        <w:rPr>
          <w:lang w:val="es-ES"/>
        </w:rPr>
        <w:t>de</w:t>
      </w:r>
      <w:r w:rsidR="00BE1FD2" w:rsidRPr="002261B9">
        <w:rPr>
          <w:lang w:val="es-ES"/>
        </w:rPr>
        <w:t xml:space="preserve"> accident</w:t>
      </w:r>
      <w:r w:rsidR="0060120D" w:rsidRPr="002261B9">
        <w:rPr>
          <w:lang w:val="es-ES"/>
        </w:rPr>
        <w:t>es</w:t>
      </w:r>
      <w:r w:rsidR="00BE1FD2" w:rsidRPr="002261B9">
        <w:rPr>
          <w:lang w:val="es-ES"/>
        </w:rPr>
        <w:t xml:space="preserve"> </w:t>
      </w:r>
      <w:r w:rsidR="0060120D" w:rsidRPr="002261B9">
        <w:rPr>
          <w:lang w:val="es-ES"/>
        </w:rPr>
        <w:t xml:space="preserve">y cuando se generen desechos, se usarán tecnologías de procedimiento o control, o ambas, para minimizar las emisiones y la exposición resultante durante la </w:t>
      </w:r>
      <w:r w:rsidR="00BE1FD2" w:rsidRPr="002261B9">
        <w:rPr>
          <w:lang w:val="es-ES"/>
        </w:rPr>
        <w:t>purifica</w:t>
      </w:r>
      <w:r w:rsidR="0060120D" w:rsidRPr="002261B9">
        <w:rPr>
          <w:lang w:val="es-ES"/>
        </w:rPr>
        <w:t>ción</w:t>
      </w:r>
      <w:r w:rsidR="00BE1FD2" w:rsidRPr="002261B9">
        <w:rPr>
          <w:lang w:val="es-ES"/>
        </w:rPr>
        <w:t xml:space="preserve"> o</w:t>
      </w:r>
      <w:r w:rsidR="0060120D" w:rsidRPr="002261B9">
        <w:rPr>
          <w:lang w:val="es-ES"/>
        </w:rPr>
        <w:t xml:space="preserve"> limpieza y procedimientos de mantenimiento</w:t>
      </w:r>
      <w:r w:rsidR="00BE1FD2" w:rsidRPr="002261B9">
        <w:rPr>
          <w:lang w:val="es-ES"/>
        </w:rPr>
        <w:t xml:space="preserve">; </w:t>
      </w:r>
      <w:r w:rsidR="00C4742B" w:rsidRPr="002261B9">
        <w:rPr>
          <w:lang w:val="es-ES"/>
        </w:rPr>
        <w:t>6</w:t>
      </w:r>
      <w:r w:rsidR="00BE1FD2" w:rsidRPr="002261B9">
        <w:rPr>
          <w:lang w:val="es-ES"/>
        </w:rPr>
        <w:t xml:space="preserve">) </w:t>
      </w:r>
      <w:r w:rsidR="0060120D" w:rsidRPr="002261B9">
        <w:rPr>
          <w:lang w:val="es-ES"/>
        </w:rPr>
        <w:t>los procedimientos de manipulación de la sustancia estarán bien documentados y el operador de la planta se ocupará de supervisarlos estrictamente</w:t>
      </w:r>
      <w:r w:rsidR="00BE1FD2" w:rsidRPr="002261B9">
        <w:rPr>
          <w:lang w:val="es-ES"/>
        </w:rPr>
        <w:t>.</w:t>
      </w:r>
      <w:bookmarkEnd w:id="27"/>
    </w:p>
    <w:p w14:paraId="77B13B7B" w14:textId="2FE50A52" w:rsidR="004D5B0D" w:rsidRPr="002261B9" w:rsidRDefault="00EC480D" w:rsidP="00547A47">
      <w:pPr>
        <w:tabs>
          <w:tab w:val="left" w:pos="624"/>
        </w:tabs>
        <w:spacing w:after="120"/>
        <w:ind w:left="1248" w:hanging="624"/>
        <w:rPr>
          <w:b/>
          <w:i/>
          <w:sz w:val="20"/>
          <w:szCs w:val="20"/>
          <w:lang w:val="es-ES"/>
        </w:rPr>
      </w:pPr>
      <w:r w:rsidRPr="002261B9">
        <w:rPr>
          <w:b/>
          <w:i/>
          <w:sz w:val="20"/>
          <w:szCs w:val="20"/>
          <w:lang w:val="es-ES"/>
        </w:rPr>
        <w:t>E.</w:t>
      </w:r>
      <w:r w:rsidR="0093050C" w:rsidRPr="002261B9">
        <w:rPr>
          <w:b/>
          <w:i/>
          <w:sz w:val="20"/>
          <w:szCs w:val="20"/>
          <w:lang w:val="es-ES"/>
        </w:rPr>
        <w:tab/>
      </w:r>
      <w:r w:rsidRPr="002261B9">
        <w:rPr>
          <w:b/>
          <w:i/>
          <w:sz w:val="20"/>
          <w:szCs w:val="20"/>
          <w:lang w:val="es-ES"/>
        </w:rPr>
        <w:t xml:space="preserve">Creación de imágenes ópticas </w:t>
      </w:r>
    </w:p>
    <w:p w14:paraId="6543CD7A" w14:textId="4EB1A463" w:rsidR="004D5B0D" w:rsidRPr="002261B9" w:rsidRDefault="0060120D" w:rsidP="00F45508">
      <w:pPr>
        <w:pStyle w:val="Paralevel1"/>
        <w:numPr>
          <w:ilvl w:val="0"/>
          <w:numId w:val="23"/>
        </w:numPr>
        <w:tabs>
          <w:tab w:val="clear" w:pos="0"/>
        </w:tabs>
        <w:ind w:left="1247" w:firstLine="0"/>
        <w:rPr>
          <w:lang w:val="es-ES"/>
        </w:rPr>
      </w:pPr>
      <w:r w:rsidRPr="002261B9">
        <w:rPr>
          <w:lang w:val="es-ES"/>
        </w:rPr>
        <w:t xml:space="preserve">Según la Asociación de Creación de Imágenes e Impresión </w:t>
      </w:r>
      <w:r w:rsidR="00426657" w:rsidRPr="002261B9">
        <w:rPr>
          <w:lang w:val="es-ES"/>
        </w:rPr>
        <w:t>Europa</w:t>
      </w:r>
      <w:r w:rsidR="004D5B0D" w:rsidRPr="002261B9">
        <w:rPr>
          <w:lang w:val="es-ES"/>
        </w:rPr>
        <w:t xml:space="preserve"> (I&amp;P Europe), </w:t>
      </w:r>
      <w:r w:rsidRPr="002261B9">
        <w:rPr>
          <w:lang w:val="es-ES"/>
        </w:rPr>
        <w:t>la medida de control primordial adoptada con carácter voluntario ha sido tratar de crear alternativas</w:t>
      </w:r>
      <w:r w:rsidR="004D5B0D" w:rsidRPr="002261B9">
        <w:rPr>
          <w:lang w:val="es-ES"/>
        </w:rPr>
        <w:t xml:space="preserve">. </w:t>
      </w:r>
      <w:r w:rsidRPr="002261B9">
        <w:rPr>
          <w:lang w:val="es-ES"/>
        </w:rPr>
        <w:t>Desde</w:t>
      </w:r>
      <w:r w:rsidR="004D5B0D" w:rsidRPr="002261B9">
        <w:rPr>
          <w:lang w:val="es-ES"/>
        </w:rPr>
        <w:t xml:space="preserve"> 2000, </w:t>
      </w:r>
      <w:r w:rsidRPr="002261B9">
        <w:rPr>
          <w:lang w:val="es-ES"/>
        </w:rPr>
        <w:t>la industria ha reformulado</w:t>
      </w:r>
      <w:r w:rsidR="00B63373" w:rsidRPr="002261B9">
        <w:rPr>
          <w:lang w:val="es-ES"/>
        </w:rPr>
        <w:t xml:space="preserve"> </w:t>
      </w:r>
      <w:r w:rsidRPr="002261B9">
        <w:rPr>
          <w:lang w:val="es-ES"/>
        </w:rPr>
        <w:t>un gran número de productos</w:t>
      </w:r>
      <w:r w:rsidR="00B63373" w:rsidRPr="002261B9">
        <w:rPr>
          <w:lang w:val="es-ES"/>
        </w:rPr>
        <w:t xml:space="preserve"> o ha cesado en su producción</w:t>
      </w:r>
      <w:r w:rsidR="004D5B0D" w:rsidRPr="002261B9">
        <w:rPr>
          <w:lang w:val="es-ES"/>
        </w:rPr>
        <w:t xml:space="preserve">, </w:t>
      </w:r>
      <w:r w:rsidR="00EF4F36" w:rsidRPr="002261B9">
        <w:rPr>
          <w:lang w:val="es-ES"/>
        </w:rPr>
        <w:t xml:space="preserve">con el resultado de una reducción a nivel mundial del uso de </w:t>
      </w:r>
      <w:r w:rsidR="009321C2" w:rsidRPr="002261B9">
        <w:rPr>
          <w:lang w:val="es-ES"/>
        </w:rPr>
        <w:t>compuestos</w:t>
      </w:r>
      <w:r w:rsidR="00E61FF0" w:rsidRPr="002261B9">
        <w:rPr>
          <w:lang w:val="es-ES"/>
        </w:rPr>
        <w:t xml:space="preserve"> conexos del PFOA</w:t>
      </w:r>
      <w:r w:rsidR="004D5B0D" w:rsidRPr="002261B9">
        <w:rPr>
          <w:lang w:val="es-ES"/>
        </w:rPr>
        <w:t xml:space="preserve"> </w:t>
      </w:r>
      <w:r w:rsidR="00EF4F36" w:rsidRPr="002261B9">
        <w:rPr>
          <w:lang w:val="es-ES"/>
        </w:rPr>
        <w:t xml:space="preserve">en más del </w:t>
      </w:r>
      <w:r w:rsidR="004D5B0D" w:rsidRPr="002261B9">
        <w:rPr>
          <w:lang w:val="es-ES"/>
        </w:rPr>
        <w:t xml:space="preserve">95%. </w:t>
      </w:r>
      <w:r w:rsidR="00EF4F36" w:rsidRPr="002261B9">
        <w:rPr>
          <w:lang w:val="es-ES"/>
        </w:rPr>
        <w:t xml:space="preserve">Pese a que en estos momentos no existen </w:t>
      </w:r>
      <w:r w:rsidR="00B63373" w:rsidRPr="002261B9">
        <w:rPr>
          <w:lang w:val="es-ES"/>
        </w:rPr>
        <w:t xml:space="preserve">todavía </w:t>
      </w:r>
      <w:r w:rsidR="00EF4F36" w:rsidRPr="002261B9">
        <w:rPr>
          <w:lang w:val="es-ES"/>
        </w:rPr>
        <w:t>sustitutos para las pocas aplicaciones restantes, se prevé que continúe reduciéndose el uso de esas sustancias mientras continúa la transición hacia la creación de imágenes digitales</w:t>
      </w:r>
      <w:r w:rsidR="004D5B0D" w:rsidRPr="002261B9">
        <w:rPr>
          <w:lang w:val="es-ES"/>
        </w:rPr>
        <w:t xml:space="preserve">. I&amp;P Europe </w:t>
      </w:r>
      <w:r w:rsidR="00EF4F36" w:rsidRPr="002261B9">
        <w:rPr>
          <w:lang w:val="es-ES"/>
        </w:rPr>
        <w:t>considera que no es necesario adoptar nuevas medidas de control para los usos actuales</w:t>
      </w:r>
      <w:r w:rsidR="004D5B0D" w:rsidRPr="002261B9">
        <w:rPr>
          <w:lang w:val="es-ES"/>
        </w:rPr>
        <w:t xml:space="preserve"> (I&amp;P Europe</w:t>
      </w:r>
      <w:r w:rsidR="004904E9" w:rsidRPr="002261B9">
        <w:rPr>
          <w:lang w:val="es-ES"/>
        </w:rPr>
        <w:t>,</w:t>
      </w:r>
      <w:r w:rsidR="006F57D4" w:rsidRPr="002261B9">
        <w:rPr>
          <w:lang w:val="es-ES"/>
        </w:rPr>
        <w:t xml:space="preserve"> 2</w:t>
      </w:r>
      <w:r w:rsidR="004D5B0D" w:rsidRPr="002261B9">
        <w:rPr>
          <w:lang w:val="es-ES"/>
        </w:rPr>
        <w:t>016a</w:t>
      </w:r>
      <w:r w:rsidR="00452DB2" w:rsidRPr="002261B9">
        <w:rPr>
          <w:lang w:val="es-ES"/>
        </w:rPr>
        <w:t>)</w:t>
      </w:r>
      <w:r w:rsidR="004D5B0D" w:rsidRPr="002261B9">
        <w:rPr>
          <w:lang w:val="es-ES"/>
        </w:rPr>
        <w:t xml:space="preserve">. </w:t>
      </w:r>
    </w:p>
    <w:p w14:paraId="752E9B75" w14:textId="5A88B59A" w:rsidR="004D5B0D" w:rsidRPr="002261B9" w:rsidRDefault="00EF4F36" w:rsidP="00F45508">
      <w:pPr>
        <w:pStyle w:val="Paralevel1"/>
        <w:numPr>
          <w:ilvl w:val="0"/>
          <w:numId w:val="23"/>
        </w:numPr>
        <w:tabs>
          <w:tab w:val="clear" w:pos="0"/>
        </w:tabs>
        <w:ind w:left="1247" w:firstLine="0"/>
        <w:rPr>
          <w:lang w:val="es-ES"/>
        </w:rPr>
      </w:pPr>
      <w:r w:rsidRPr="002261B9">
        <w:rPr>
          <w:lang w:val="es-ES"/>
        </w:rPr>
        <w:t>Según</w:t>
      </w:r>
      <w:r w:rsidR="00B26CD6" w:rsidRPr="002261B9">
        <w:rPr>
          <w:lang w:val="es-ES"/>
        </w:rPr>
        <w:t xml:space="preserve"> </w:t>
      </w:r>
      <w:r w:rsidR="004D5B0D" w:rsidRPr="002261B9">
        <w:rPr>
          <w:lang w:val="es-ES"/>
        </w:rPr>
        <w:t>I&amp;P Europe</w:t>
      </w:r>
      <w:r w:rsidR="00B26CD6" w:rsidRPr="002261B9">
        <w:rPr>
          <w:lang w:val="es-ES"/>
        </w:rPr>
        <w:t>,</w:t>
      </w:r>
      <w:r w:rsidR="004D5B0D" w:rsidRPr="002261B9">
        <w:rPr>
          <w:lang w:val="es-ES"/>
        </w:rPr>
        <w:t xml:space="preserve"> </w:t>
      </w:r>
      <w:r w:rsidRPr="002261B9">
        <w:rPr>
          <w:lang w:val="es-ES"/>
        </w:rPr>
        <w:t xml:space="preserve">la no disponibilidad de </w:t>
      </w:r>
      <w:r w:rsidR="009321C2" w:rsidRPr="002261B9">
        <w:rPr>
          <w:lang w:val="es-ES"/>
        </w:rPr>
        <w:t>compuestos</w:t>
      </w:r>
      <w:r w:rsidR="00E61FF0" w:rsidRPr="002261B9">
        <w:rPr>
          <w:lang w:val="es-ES"/>
        </w:rPr>
        <w:t xml:space="preserve"> conexos del PFOA</w:t>
      </w:r>
      <w:r w:rsidR="004D5B0D" w:rsidRPr="002261B9">
        <w:rPr>
          <w:lang w:val="es-ES"/>
        </w:rPr>
        <w:t xml:space="preserve"> </w:t>
      </w:r>
      <w:r w:rsidRPr="002261B9">
        <w:rPr>
          <w:lang w:val="es-ES"/>
        </w:rPr>
        <w:t>para la fabricación de los productos pertinentes que aún quedan para la creación de imágenes afectará en sentido negativo también a grupos de usuarios interesados, como el sector de atención de la salud y los militares</w:t>
      </w:r>
      <w:r w:rsidR="004D5B0D" w:rsidRPr="002261B9">
        <w:rPr>
          <w:lang w:val="es-ES"/>
        </w:rPr>
        <w:t xml:space="preserve">. </w:t>
      </w:r>
      <w:r w:rsidRPr="002261B9">
        <w:rPr>
          <w:lang w:val="es-ES"/>
        </w:rPr>
        <w:t>A juicio del sector de atención de la salud, por ejemplo</w:t>
      </w:r>
      <w:r w:rsidR="004D5B0D" w:rsidRPr="002261B9">
        <w:rPr>
          <w:lang w:val="es-ES"/>
        </w:rPr>
        <w:t xml:space="preserve">, </w:t>
      </w:r>
      <w:r w:rsidR="00B63373" w:rsidRPr="002261B9">
        <w:rPr>
          <w:lang w:val="es-ES"/>
        </w:rPr>
        <w:t>para los hospitales y las consultas médicas que se ven restringidos por presupuestos limitados</w:t>
      </w:r>
      <w:r w:rsidRPr="002261B9">
        <w:rPr>
          <w:lang w:val="es-ES"/>
        </w:rPr>
        <w:t xml:space="preserve">, </w:t>
      </w:r>
      <w:r w:rsidR="004D5B0D" w:rsidRPr="002261B9">
        <w:rPr>
          <w:lang w:val="es-ES"/>
        </w:rPr>
        <w:t>inve</w:t>
      </w:r>
      <w:r w:rsidRPr="002261B9">
        <w:rPr>
          <w:lang w:val="es-ES"/>
        </w:rPr>
        <w:t xml:space="preserve">rtir </w:t>
      </w:r>
      <w:r w:rsidR="00C36E37" w:rsidRPr="002261B9">
        <w:rPr>
          <w:lang w:val="es-ES"/>
        </w:rPr>
        <w:t xml:space="preserve">forzosamente </w:t>
      </w:r>
      <w:r w:rsidRPr="002261B9">
        <w:rPr>
          <w:lang w:val="es-ES"/>
        </w:rPr>
        <w:t>en nuevas tecnologías porque ya no se fabri</w:t>
      </w:r>
      <w:r w:rsidR="00C36E37" w:rsidRPr="002261B9">
        <w:rPr>
          <w:lang w:val="es-ES"/>
        </w:rPr>
        <w:t>can</w:t>
      </w:r>
      <w:r w:rsidRPr="002261B9">
        <w:rPr>
          <w:lang w:val="es-ES"/>
        </w:rPr>
        <w:t xml:space="preserve"> los actuales productos fotográficos convencionales</w:t>
      </w:r>
      <w:r w:rsidR="00C36E37" w:rsidRPr="002261B9">
        <w:rPr>
          <w:lang w:val="es-ES"/>
        </w:rPr>
        <w:t xml:space="preserve"> podría ser un escollo financiero</w:t>
      </w:r>
      <w:r w:rsidR="004D5B0D" w:rsidRPr="002261B9">
        <w:rPr>
          <w:lang w:val="es-ES"/>
        </w:rPr>
        <w:t xml:space="preserve">. </w:t>
      </w:r>
      <w:r w:rsidR="00912204" w:rsidRPr="002261B9">
        <w:rPr>
          <w:lang w:val="es-ES"/>
        </w:rPr>
        <w:t>Cabe esperar que esos efectos sean más notables en los países en desarrollo y en determinados países de la UE en el sector médico,</w:t>
      </w:r>
      <w:r w:rsidR="004D5B0D" w:rsidRPr="002261B9">
        <w:rPr>
          <w:lang w:val="es-ES"/>
        </w:rPr>
        <w:t xml:space="preserve"> </w:t>
      </w:r>
      <w:r w:rsidR="00912204" w:rsidRPr="002261B9">
        <w:rPr>
          <w:lang w:val="es-ES"/>
        </w:rPr>
        <w:t>como Italia, España, Portugal, Grecia y algunos países de Europa oriental</w:t>
      </w:r>
      <w:r w:rsidR="004D5B0D" w:rsidRPr="002261B9">
        <w:rPr>
          <w:lang w:val="es-ES"/>
        </w:rPr>
        <w:t xml:space="preserve"> (</w:t>
      </w:r>
      <w:r w:rsidR="00422DDC" w:rsidRPr="002261B9">
        <w:rPr>
          <w:lang w:val="es-ES"/>
        </w:rPr>
        <w:t>I&amp;P Europe</w:t>
      </w:r>
      <w:r w:rsidR="004904E9" w:rsidRPr="002261B9">
        <w:rPr>
          <w:lang w:val="es-ES"/>
        </w:rPr>
        <w:t>,</w:t>
      </w:r>
      <w:r w:rsidR="006F57D4" w:rsidRPr="002261B9">
        <w:rPr>
          <w:lang w:val="es-ES"/>
        </w:rPr>
        <w:t xml:space="preserve"> 2</w:t>
      </w:r>
      <w:r w:rsidR="004D5B0D" w:rsidRPr="002261B9">
        <w:rPr>
          <w:lang w:val="es-ES"/>
        </w:rPr>
        <w:t>016a</w:t>
      </w:r>
      <w:r w:rsidR="00452DB2" w:rsidRPr="002261B9">
        <w:rPr>
          <w:lang w:val="es-ES"/>
        </w:rPr>
        <w:t>)</w:t>
      </w:r>
      <w:r w:rsidR="004D5B0D" w:rsidRPr="002261B9">
        <w:rPr>
          <w:lang w:val="es-ES"/>
        </w:rPr>
        <w:t xml:space="preserve">. </w:t>
      </w:r>
    </w:p>
    <w:p w14:paraId="180EC50D" w14:textId="5E5F5885" w:rsidR="004D5B0D" w:rsidRPr="002261B9" w:rsidRDefault="009F7711" w:rsidP="00F45508">
      <w:pPr>
        <w:pStyle w:val="Paralevel1"/>
        <w:numPr>
          <w:ilvl w:val="0"/>
          <w:numId w:val="23"/>
        </w:numPr>
        <w:tabs>
          <w:tab w:val="clear" w:pos="0"/>
        </w:tabs>
        <w:ind w:left="1247" w:firstLine="0"/>
        <w:rPr>
          <w:lang w:val="es-ES"/>
        </w:rPr>
      </w:pPr>
      <w:r w:rsidRPr="002261B9">
        <w:rPr>
          <w:lang w:val="es-ES"/>
        </w:rPr>
        <w:t>En el marco del procedimiento de gestión de los riesgos de la Unión Europea</w:t>
      </w:r>
      <w:r w:rsidR="002E2438" w:rsidRPr="002261B9">
        <w:rPr>
          <w:lang w:val="es-ES"/>
        </w:rPr>
        <w:t>,</w:t>
      </w:r>
      <w:r w:rsidR="004D5B0D" w:rsidRPr="002261B9">
        <w:rPr>
          <w:lang w:val="es-ES"/>
        </w:rPr>
        <w:t xml:space="preserve"> </w:t>
      </w:r>
      <w:r w:rsidRPr="002261B9">
        <w:rPr>
          <w:lang w:val="es-ES"/>
        </w:rPr>
        <w:t xml:space="preserve">se ha establecido una exención para los </w:t>
      </w:r>
      <w:r w:rsidR="00992CA7" w:rsidRPr="002261B9">
        <w:rPr>
          <w:lang w:val="es-ES"/>
        </w:rPr>
        <w:t>recubrimiento</w:t>
      </w:r>
      <w:r w:rsidRPr="002261B9">
        <w:rPr>
          <w:lang w:val="es-ES"/>
        </w:rPr>
        <w:t xml:space="preserve">s fotográficos aplicados a películas, papeles o </w:t>
      </w:r>
      <w:r w:rsidR="00BB03F9" w:rsidRPr="002261B9">
        <w:rPr>
          <w:lang w:val="es-ES"/>
        </w:rPr>
        <w:t>planchas tipográficas</w:t>
      </w:r>
      <w:r w:rsidR="004D5B0D" w:rsidRPr="002261B9">
        <w:rPr>
          <w:lang w:val="es-ES"/>
        </w:rPr>
        <w:t xml:space="preserve"> (</w:t>
      </w:r>
      <w:r w:rsidR="00912204" w:rsidRPr="002261B9">
        <w:rPr>
          <w:lang w:val="es-ES"/>
        </w:rPr>
        <w:t>Comisión Europea</w:t>
      </w:r>
      <w:r w:rsidR="004904E9" w:rsidRPr="002261B9">
        <w:rPr>
          <w:lang w:val="es-ES"/>
        </w:rPr>
        <w:t>,</w:t>
      </w:r>
      <w:r w:rsidR="006F57D4" w:rsidRPr="002261B9">
        <w:rPr>
          <w:lang w:val="es-ES"/>
        </w:rPr>
        <w:t xml:space="preserve"> 2</w:t>
      </w:r>
      <w:r w:rsidR="004D5B0D" w:rsidRPr="002261B9">
        <w:rPr>
          <w:lang w:val="es-ES"/>
        </w:rPr>
        <w:t>017</w:t>
      </w:r>
      <w:r w:rsidR="00452DB2" w:rsidRPr="002261B9">
        <w:rPr>
          <w:lang w:val="es-ES"/>
        </w:rPr>
        <w:t>)</w:t>
      </w:r>
      <w:r w:rsidR="004D5B0D" w:rsidRPr="002261B9">
        <w:rPr>
          <w:lang w:val="es-ES"/>
        </w:rPr>
        <w:t xml:space="preserve">. </w:t>
      </w:r>
      <w:r w:rsidRPr="002261B9">
        <w:rPr>
          <w:lang w:val="es-ES"/>
        </w:rPr>
        <w:t>En Noruega y el Canadá, las exenciones específicas para este uso expiraron en 2016. Sin embargo, el procedimiento de gestión de los riesgos en Noruega solo se aplica a los productos de consumo y el del Canadá no se aplica a los artículos manufacturados</w:t>
      </w:r>
      <w:r w:rsidR="004D5B0D" w:rsidRPr="002261B9">
        <w:rPr>
          <w:lang w:val="es-ES"/>
        </w:rPr>
        <w:t xml:space="preserve">. </w:t>
      </w:r>
      <w:r w:rsidRPr="002261B9">
        <w:rPr>
          <w:lang w:val="es-ES"/>
        </w:rPr>
        <w:t xml:space="preserve">De ahí que la importación, el uso, la venta y la oferta de venta de </w:t>
      </w:r>
      <w:r w:rsidR="00992CA7" w:rsidRPr="002261B9">
        <w:rPr>
          <w:lang w:val="es-ES"/>
        </w:rPr>
        <w:t>recubrimiento</w:t>
      </w:r>
      <w:r w:rsidRPr="002261B9">
        <w:rPr>
          <w:lang w:val="es-ES"/>
        </w:rPr>
        <w:t xml:space="preserve">s con medios fotográficos aplicados a películas, papeles o </w:t>
      </w:r>
      <w:r w:rsidR="00BB03F9" w:rsidRPr="002261B9">
        <w:rPr>
          <w:lang w:val="es-ES"/>
        </w:rPr>
        <w:t>planchas tipográficas</w:t>
      </w:r>
      <w:r w:rsidRPr="002261B9">
        <w:rPr>
          <w:lang w:val="es-ES"/>
        </w:rPr>
        <w:t xml:space="preserve"> no están restringidos en el </w:t>
      </w:r>
      <w:r w:rsidR="004D5B0D" w:rsidRPr="002261B9">
        <w:rPr>
          <w:lang w:val="es-ES"/>
        </w:rPr>
        <w:t>Canad</w:t>
      </w:r>
      <w:r w:rsidRPr="002261B9">
        <w:rPr>
          <w:lang w:val="es-ES"/>
        </w:rPr>
        <w:t>á</w:t>
      </w:r>
      <w:r w:rsidR="004D5B0D" w:rsidRPr="002261B9">
        <w:rPr>
          <w:lang w:val="es-ES"/>
        </w:rPr>
        <w:t xml:space="preserve">. </w:t>
      </w:r>
    </w:p>
    <w:p w14:paraId="09AA4CC8" w14:textId="6B2C00D6" w:rsidR="004D5B0D" w:rsidRPr="002261B9" w:rsidRDefault="00EC480D" w:rsidP="00547A47">
      <w:pPr>
        <w:keepNext/>
        <w:keepLines/>
        <w:tabs>
          <w:tab w:val="left" w:pos="624"/>
        </w:tabs>
        <w:spacing w:after="120"/>
        <w:ind w:left="1248" w:hanging="624"/>
        <w:rPr>
          <w:b/>
          <w:i/>
          <w:sz w:val="20"/>
          <w:szCs w:val="20"/>
          <w:lang w:val="es-ES"/>
        </w:rPr>
      </w:pPr>
      <w:r w:rsidRPr="002261B9">
        <w:rPr>
          <w:b/>
          <w:i/>
          <w:sz w:val="20"/>
          <w:szCs w:val="20"/>
          <w:lang w:val="es-ES"/>
        </w:rPr>
        <w:t>F.</w:t>
      </w:r>
      <w:r w:rsidR="0093050C" w:rsidRPr="002261B9">
        <w:rPr>
          <w:b/>
          <w:i/>
          <w:sz w:val="20"/>
          <w:szCs w:val="20"/>
          <w:lang w:val="es-ES"/>
        </w:rPr>
        <w:tab/>
      </w:r>
      <w:r w:rsidRPr="002261B9">
        <w:rPr>
          <w:b/>
          <w:i/>
          <w:sz w:val="20"/>
          <w:szCs w:val="20"/>
          <w:lang w:val="es-ES"/>
        </w:rPr>
        <w:t>Nano</w:t>
      </w:r>
      <w:r w:rsidR="00C36E37" w:rsidRPr="002261B9">
        <w:rPr>
          <w:b/>
          <w:i/>
          <w:sz w:val="20"/>
          <w:szCs w:val="20"/>
          <w:lang w:val="es-ES"/>
        </w:rPr>
        <w:t>r</w:t>
      </w:r>
      <w:r w:rsidR="00992CA7" w:rsidRPr="002261B9">
        <w:rPr>
          <w:b/>
          <w:i/>
          <w:sz w:val="20"/>
          <w:szCs w:val="20"/>
          <w:lang w:val="es-ES"/>
        </w:rPr>
        <w:t>recubrimiento</w:t>
      </w:r>
      <w:r w:rsidRPr="002261B9">
        <w:rPr>
          <w:b/>
          <w:i/>
          <w:sz w:val="20"/>
          <w:szCs w:val="20"/>
          <w:lang w:val="es-ES"/>
        </w:rPr>
        <w:t xml:space="preserve"> </w:t>
      </w:r>
    </w:p>
    <w:p w14:paraId="65504BF4" w14:textId="71E1AEAF" w:rsidR="004D5B0D" w:rsidRPr="002261B9" w:rsidRDefault="00844DEC" w:rsidP="00F45508">
      <w:pPr>
        <w:pStyle w:val="Paralevel1"/>
        <w:numPr>
          <w:ilvl w:val="0"/>
          <w:numId w:val="23"/>
        </w:numPr>
        <w:tabs>
          <w:tab w:val="clear" w:pos="0"/>
        </w:tabs>
        <w:ind w:left="1247" w:firstLine="0"/>
        <w:rPr>
          <w:lang w:val="es-ES"/>
        </w:rPr>
      </w:pPr>
      <w:r w:rsidRPr="002261B9">
        <w:rPr>
          <w:lang w:val="es-ES"/>
        </w:rPr>
        <w:t>Dur</w:t>
      </w:r>
      <w:r w:rsidR="00482339" w:rsidRPr="002261B9">
        <w:rPr>
          <w:lang w:val="es-ES"/>
        </w:rPr>
        <w:t>ante la consulta pública celebrada en la UE sobre el expediente de restricci</w:t>
      </w:r>
      <w:r w:rsidR="002B445D" w:rsidRPr="002261B9">
        <w:rPr>
          <w:lang w:val="es-ES"/>
        </w:rPr>
        <w:t>ón, solo una empresa que aplica </w:t>
      </w:r>
      <w:r w:rsidR="00482339" w:rsidRPr="002261B9">
        <w:rPr>
          <w:lang w:val="es-ES"/>
        </w:rPr>
        <w:t xml:space="preserve">recubrimiento para los fabricantes de teléfonos inteligentes pidió que se suspendiera por </w:t>
      </w:r>
      <w:r w:rsidR="00C36E37" w:rsidRPr="002261B9">
        <w:rPr>
          <w:lang w:val="es-ES"/>
        </w:rPr>
        <w:t>tres</w:t>
      </w:r>
      <w:r w:rsidRPr="002261B9">
        <w:rPr>
          <w:lang w:val="es-ES"/>
        </w:rPr>
        <w:t xml:space="preserve"> </w:t>
      </w:r>
      <w:r w:rsidR="00482339" w:rsidRPr="002261B9">
        <w:rPr>
          <w:lang w:val="es-ES"/>
        </w:rPr>
        <w:t>años el nano</w:t>
      </w:r>
      <w:r w:rsidR="00C36E37" w:rsidRPr="002261B9">
        <w:rPr>
          <w:lang w:val="es-ES"/>
        </w:rPr>
        <w:t>r</w:t>
      </w:r>
      <w:r w:rsidR="00992CA7" w:rsidRPr="002261B9">
        <w:rPr>
          <w:lang w:val="es-ES"/>
        </w:rPr>
        <w:t>recubrimiento</w:t>
      </w:r>
      <w:r w:rsidR="00482339" w:rsidRPr="002261B9">
        <w:rPr>
          <w:lang w:val="es-ES"/>
        </w:rPr>
        <w:t xml:space="preserve"> </w:t>
      </w:r>
      <w:r w:rsidR="0065573D" w:rsidRPr="002261B9">
        <w:rPr>
          <w:lang w:val="es-ES"/>
        </w:rPr>
        <w:t>con plasma</w:t>
      </w:r>
      <w:r w:rsidR="00482339" w:rsidRPr="002261B9">
        <w:rPr>
          <w:lang w:val="es-ES"/>
        </w:rPr>
        <w:t xml:space="preserve"> pulsado para poder empezar a usar un producto químico alternativo de </w:t>
      </w:r>
      <w:r w:rsidRPr="002261B9">
        <w:rPr>
          <w:lang w:val="es-ES"/>
        </w:rPr>
        <w:t>C6. (ECHA</w:t>
      </w:r>
      <w:r w:rsidR="004904E9" w:rsidRPr="002261B9">
        <w:rPr>
          <w:lang w:val="es-ES"/>
        </w:rPr>
        <w:t>,</w:t>
      </w:r>
      <w:r w:rsidR="006F57D4" w:rsidRPr="002261B9">
        <w:rPr>
          <w:lang w:val="es-ES"/>
        </w:rPr>
        <w:t xml:space="preserve"> 2</w:t>
      </w:r>
      <w:r w:rsidRPr="002261B9">
        <w:rPr>
          <w:lang w:val="es-ES"/>
        </w:rPr>
        <w:t>014a</w:t>
      </w:r>
      <w:r w:rsidR="00452DB2" w:rsidRPr="002261B9">
        <w:rPr>
          <w:lang w:val="es-ES"/>
        </w:rPr>
        <w:t>)</w:t>
      </w:r>
      <w:r w:rsidRPr="002261B9">
        <w:rPr>
          <w:lang w:val="es-ES"/>
        </w:rPr>
        <w:t>. En la Unión Europea se ha establecido por un tiempo limitado una exención para el nano</w:t>
      </w:r>
      <w:r w:rsidR="00C36E37" w:rsidRPr="002261B9">
        <w:rPr>
          <w:lang w:val="es-ES"/>
        </w:rPr>
        <w:t>r</w:t>
      </w:r>
      <w:r w:rsidRPr="002261B9">
        <w:rPr>
          <w:lang w:val="es-ES"/>
        </w:rPr>
        <w:t>re</w:t>
      </w:r>
      <w:r w:rsidR="00992CA7" w:rsidRPr="002261B9">
        <w:rPr>
          <w:lang w:val="es-ES"/>
        </w:rPr>
        <w:t>cubrimiento</w:t>
      </w:r>
      <w:r w:rsidRPr="002261B9">
        <w:rPr>
          <w:lang w:val="es-ES"/>
        </w:rPr>
        <w:t xml:space="preserve"> con plasma (hasta el 4 de julio de 2023) (Comisión Europea</w:t>
      </w:r>
      <w:r w:rsidR="004904E9" w:rsidRPr="002261B9">
        <w:rPr>
          <w:lang w:val="es-ES"/>
        </w:rPr>
        <w:t>,</w:t>
      </w:r>
      <w:r w:rsidR="006F57D4" w:rsidRPr="002261B9">
        <w:rPr>
          <w:lang w:val="es-ES"/>
        </w:rPr>
        <w:t xml:space="preserve"> 2</w:t>
      </w:r>
      <w:r w:rsidRPr="002261B9">
        <w:rPr>
          <w:lang w:val="es-ES"/>
        </w:rPr>
        <w:t>017</w:t>
      </w:r>
      <w:r w:rsidR="00452DB2" w:rsidRPr="002261B9">
        <w:rPr>
          <w:lang w:val="es-ES"/>
        </w:rPr>
        <w:t>)</w:t>
      </w:r>
      <w:r w:rsidRPr="002261B9">
        <w:rPr>
          <w:lang w:val="es-ES"/>
        </w:rPr>
        <w:t xml:space="preserve">. </w:t>
      </w:r>
      <w:r w:rsidR="00482339" w:rsidRPr="002261B9">
        <w:rPr>
          <w:lang w:val="es-ES"/>
        </w:rPr>
        <w:t>El procedimiento canadiense no se aplica a los artículos manufacturados</w:t>
      </w:r>
      <w:r w:rsidRPr="002261B9">
        <w:rPr>
          <w:lang w:val="es-ES"/>
        </w:rPr>
        <w:t xml:space="preserve">. </w:t>
      </w:r>
      <w:r w:rsidR="00482339" w:rsidRPr="002261B9">
        <w:rPr>
          <w:lang w:val="es-ES"/>
        </w:rPr>
        <w:t>Por eso, la importación, el uso</w:t>
      </w:r>
      <w:r w:rsidRPr="002261B9">
        <w:rPr>
          <w:lang w:val="es-ES"/>
        </w:rPr>
        <w:t xml:space="preserve">, </w:t>
      </w:r>
      <w:r w:rsidR="00482339" w:rsidRPr="002261B9">
        <w:rPr>
          <w:lang w:val="es-ES"/>
        </w:rPr>
        <w:t>la venta y la oferta de venta de revestimientos aplicados a los teléfonos inteligentes (u otros equipos electrónicos) no están restringidos en el Canadá</w:t>
      </w:r>
      <w:r w:rsidRPr="002261B9">
        <w:rPr>
          <w:lang w:val="es-ES"/>
        </w:rPr>
        <w:t xml:space="preserve">. </w:t>
      </w:r>
    </w:p>
    <w:p w14:paraId="547EAB6D" w14:textId="485DF648" w:rsidR="004D5B0D" w:rsidRPr="002261B9" w:rsidRDefault="00EC480D" w:rsidP="00547A47">
      <w:pPr>
        <w:spacing w:after="120"/>
        <w:ind w:firstLine="624"/>
        <w:jc w:val="both"/>
        <w:rPr>
          <w:b/>
          <w:i/>
          <w:sz w:val="20"/>
          <w:szCs w:val="20"/>
          <w:lang w:val="es-ES"/>
        </w:rPr>
      </w:pPr>
      <w:r w:rsidRPr="002261B9">
        <w:rPr>
          <w:b/>
          <w:i/>
          <w:sz w:val="20"/>
          <w:szCs w:val="20"/>
          <w:lang w:val="es-ES"/>
        </w:rPr>
        <w:t>G.</w:t>
      </w:r>
      <w:r w:rsidR="00547A47" w:rsidRPr="002261B9">
        <w:rPr>
          <w:b/>
          <w:i/>
          <w:sz w:val="20"/>
          <w:szCs w:val="20"/>
          <w:lang w:val="es-ES"/>
        </w:rPr>
        <w:tab/>
      </w:r>
      <w:r w:rsidRPr="002261B9">
        <w:rPr>
          <w:b/>
          <w:i/>
          <w:sz w:val="20"/>
          <w:szCs w:val="20"/>
          <w:lang w:val="es-ES"/>
        </w:rPr>
        <w:t xml:space="preserve">Piezas de repuesto </w:t>
      </w:r>
    </w:p>
    <w:p w14:paraId="1A8361FF" w14:textId="7D3D9566" w:rsidR="00D66227" w:rsidRPr="002261B9" w:rsidRDefault="00482339" w:rsidP="00F45508">
      <w:pPr>
        <w:pStyle w:val="Paralevel1"/>
        <w:numPr>
          <w:ilvl w:val="0"/>
          <w:numId w:val="23"/>
        </w:numPr>
        <w:tabs>
          <w:tab w:val="clear" w:pos="0"/>
        </w:tabs>
        <w:ind w:left="1247" w:firstLine="0"/>
        <w:rPr>
          <w:lang w:val="es-ES"/>
        </w:rPr>
      </w:pPr>
      <w:r w:rsidRPr="002261B9">
        <w:rPr>
          <w:lang w:val="es-ES"/>
        </w:rPr>
        <w:t>Los interesados de</w:t>
      </w:r>
      <w:r w:rsidR="0093050C" w:rsidRPr="002261B9">
        <w:rPr>
          <w:lang w:val="es-ES"/>
        </w:rPr>
        <w:t xml:space="preserve">l sector </w:t>
      </w:r>
      <w:r w:rsidRPr="002261B9">
        <w:rPr>
          <w:lang w:val="es-ES"/>
        </w:rPr>
        <w:t>industria</w:t>
      </w:r>
      <w:r w:rsidR="0093050C" w:rsidRPr="002261B9">
        <w:rPr>
          <w:lang w:val="es-ES"/>
        </w:rPr>
        <w:t>l</w:t>
      </w:r>
      <w:r w:rsidRPr="002261B9">
        <w:rPr>
          <w:lang w:val="es-ES"/>
        </w:rPr>
        <w:t xml:space="preserve"> de la Unión Europea solicitaron una exención para piezas de repuesto de varios tipos</w:t>
      </w:r>
      <w:r w:rsidR="004D5B0D" w:rsidRPr="002261B9">
        <w:rPr>
          <w:lang w:val="es-ES"/>
        </w:rPr>
        <w:t xml:space="preserve"> (</w:t>
      </w:r>
      <w:r w:rsidRPr="002261B9">
        <w:rPr>
          <w:lang w:val="es-ES"/>
        </w:rPr>
        <w:t xml:space="preserve">industrias </w:t>
      </w:r>
      <w:r w:rsidR="0098422E" w:rsidRPr="002261B9">
        <w:rPr>
          <w:lang w:val="es-ES"/>
        </w:rPr>
        <w:t>aeronáutica</w:t>
      </w:r>
      <w:r w:rsidRPr="002261B9">
        <w:rPr>
          <w:lang w:val="es-ES"/>
        </w:rPr>
        <w:t xml:space="preserve">, </w:t>
      </w:r>
      <w:r w:rsidR="0098422E" w:rsidRPr="002261B9">
        <w:rPr>
          <w:lang w:val="es-ES"/>
        </w:rPr>
        <w:t xml:space="preserve">de </w:t>
      </w:r>
      <w:r w:rsidRPr="002261B9">
        <w:rPr>
          <w:lang w:val="es-ES"/>
        </w:rPr>
        <w:t xml:space="preserve">telecomunicaciones, </w:t>
      </w:r>
      <w:r w:rsidR="0093050C" w:rsidRPr="002261B9">
        <w:rPr>
          <w:lang w:val="es-ES"/>
        </w:rPr>
        <w:t xml:space="preserve">de </w:t>
      </w:r>
      <w:r w:rsidRPr="002261B9">
        <w:rPr>
          <w:lang w:val="es-ES"/>
        </w:rPr>
        <w:t>semiconductores</w:t>
      </w:r>
      <w:r w:rsidR="004D5B0D" w:rsidRPr="002261B9">
        <w:rPr>
          <w:lang w:val="es-ES"/>
        </w:rPr>
        <w:t xml:space="preserve">, </w:t>
      </w:r>
      <w:r w:rsidRPr="002261B9">
        <w:rPr>
          <w:lang w:val="es-ES"/>
        </w:rPr>
        <w:t>tecnología de la información y las comunicaciones</w:t>
      </w:r>
      <w:r w:rsidR="004D5B0D" w:rsidRPr="002261B9">
        <w:rPr>
          <w:lang w:val="es-ES"/>
        </w:rPr>
        <w:t>).</w:t>
      </w:r>
      <w:r w:rsidR="0065573D" w:rsidRPr="002261B9">
        <w:rPr>
          <w:lang w:val="es-ES"/>
        </w:rPr>
        <w:t xml:space="preserve"> La preocupación gira en torno a la posibilidad de comercializar y usar en la UE las piezas de repuesto ya fabricadas en la fecha de entrada en vigor</w:t>
      </w:r>
      <w:r w:rsidR="0093050C" w:rsidRPr="002261B9">
        <w:rPr>
          <w:lang w:val="es-ES"/>
        </w:rPr>
        <w:t xml:space="preserve"> de la restricción</w:t>
      </w:r>
      <w:r w:rsidR="004D5B0D" w:rsidRPr="002261B9">
        <w:rPr>
          <w:lang w:val="es-ES"/>
        </w:rPr>
        <w:t xml:space="preserve">. </w:t>
      </w:r>
      <w:r w:rsidR="0065573D" w:rsidRPr="002261B9">
        <w:rPr>
          <w:lang w:val="es-ES"/>
        </w:rPr>
        <w:t>Según sus observaciones, en ausencia de una derogación</w:t>
      </w:r>
      <w:r w:rsidR="004D5B0D" w:rsidRPr="002261B9">
        <w:rPr>
          <w:lang w:val="es-ES"/>
        </w:rPr>
        <w:t xml:space="preserve">, </w:t>
      </w:r>
      <w:r w:rsidR="0065573D" w:rsidRPr="002261B9">
        <w:rPr>
          <w:lang w:val="es-ES"/>
        </w:rPr>
        <w:t>habría que destruir esas piezas de repuesto</w:t>
      </w:r>
      <w:r w:rsidR="004D5B0D" w:rsidRPr="002261B9">
        <w:rPr>
          <w:lang w:val="es-ES"/>
        </w:rPr>
        <w:t xml:space="preserve">, </w:t>
      </w:r>
      <w:r w:rsidR="0065573D" w:rsidRPr="002261B9">
        <w:rPr>
          <w:lang w:val="es-ES"/>
        </w:rPr>
        <w:t>lo que representaría una pérdida económica para los fabricantes de la UE</w:t>
      </w:r>
      <w:r w:rsidR="004D5B0D" w:rsidRPr="002261B9">
        <w:rPr>
          <w:lang w:val="es-ES"/>
        </w:rPr>
        <w:t xml:space="preserve">. </w:t>
      </w:r>
      <w:r w:rsidR="00156E3D" w:rsidRPr="002261B9">
        <w:rPr>
          <w:lang w:val="es-ES"/>
        </w:rPr>
        <w:t>El Comité de Evaluación de los Riesgos</w:t>
      </w:r>
      <w:r w:rsidR="005D0E23" w:rsidRPr="002261B9">
        <w:rPr>
          <w:lang w:val="es-ES"/>
        </w:rPr>
        <w:t xml:space="preserve"> </w:t>
      </w:r>
      <w:r w:rsidR="0065573D" w:rsidRPr="002261B9">
        <w:rPr>
          <w:lang w:val="es-ES"/>
        </w:rPr>
        <w:t>y</w:t>
      </w:r>
      <w:r w:rsidR="005D0E23" w:rsidRPr="002261B9">
        <w:rPr>
          <w:lang w:val="es-ES"/>
        </w:rPr>
        <w:t xml:space="preserve"> </w:t>
      </w:r>
      <w:r w:rsidR="00156E3D" w:rsidRPr="002261B9">
        <w:rPr>
          <w:lang w:val="es-ES"/>
        </w:rPr>
        <w:t xml:space="preserve">el Comité de Análisis Socioeconómico </w:t>
      </w:r>
      <w:r w:rsidR="0065573D" w:rsidRPr="002261B9">
        <w:rPr>
          <w:lang w:val="es-ES"/>
        </w:rPr>
        <w:t>de la ECHA</w:t>
      </w:r>
      <w:r w:rsidR="004D5B0D" w:rsidRPr="002261B9">
        <w:rPr>
          <w:lang w:val="es-ES"/>
        </w:rPr>
        <w:t xml:space="preserve"> </w:t>
      </w:r>
      <w:r w:rsidR="0065573D" w:rsidRPr="002261B9">
        <w:rPr>
          <w:lang w:val="es-ES"/>
        </w:rPr>
        <w:t>llegaron a la conclusión de que la derogación aplicable a las existencias de piezas de repuesto antes de la entrada en vigor de la restricción se justificaba para todas las aplicaciones, incluso en los casos mencionados anteriormente, así como en otros casos</w:t>
      </w:r>
      <w:r w:rsidR="004D5B0D" w:rsidRPr="002261B9">
        <w:rPr>
          <w:lang w:val="es-ES"/>
        </w:rPr>
        <w:t xml:space="preserve">, </w:t>
      </w:r>
      <w:r w:rsidR="0065573D" w:rsidRPr="002261B9">
        <w:rPr>
          <w:lang w:val="es-ES"/>
        </w:rPr>
        <w:t>habida cuenta de</w:t>
      </w:r>
      <w:r w:rsidR="0098422E" w:rsidRPr="002261B9">
        <w:rPr>
          <w:lang w:val="es-ES"/>
        </w:rPr>
        <w:t xml:space="preserve"> sus</w:t>
      </w:r>
      <w:r w:rsidR="0065573D" w:rsidRPr="002261B9">
        <w:rPr>
          <w:lang w:val="es-ES"/>
        </w:rPr>
        <w:t xml:space="preserve"> costos de eliminación y de las bajas emisiones </w:t>
      </w:r>
      <w:r w:rsidR="0098422E" w:rsidRPr="002261B9">
        <w:rPr>
          <w:lang w:val="es-ES"/>
        </w:rPr>
        <w:t>durante su larga</w:t>
      </w:r>
      <w:r w:rsidR="0065573D" w:rsidRPr="002261B9">
        <w:rPr>
          <w:lang w:val="es-ES"/>
        </w:rPr>
        <w:t xml:space="preserve"> vida</w:t>
      </w:r>
      <w:r w:rsidR="009F7711" w:rsidRPr="002261B9">
        <w:rPr>
          <w:lang w:val="es-ES"/>
        </w:rPr>
        <w:t xml:space="preserve"> (ECHA</w:t>
      </w:r>
      <w:r w:rsidR="004904E9" w:rsidRPr="002261B9">
        <w:rPr>
          <w:lang w:val="es-ES"/>
        </w:rPr>
        <w:t>,</w:t>
      </w:r>
      <w:r w:rsidR="006F57D4" w:rsidRPr="002261B9">
        <w:rPr>
          <w:lang w:val="es-ES"/>
        </w:rPr>
        <w:t xml:space="preserve"> 2</w:t>
      </w:r>
      <w:r w:rsidR="009F7711" w:rsidRPr="002261B9">
        <w:rPr>
          <w:lang w:val="es-ES"/>
        </w:rPr>
        <w:t>015c</w:t>
      </w:r>
      <w:r w:rsidR="00452DB2" w:rsidRPr="002261B9">
        <w:rPr>
          <w:lang w:val="es-ES"/>
        </w:rPr>
        <w:t>)</w:t>
      </w:r>
      <w:r w:rsidR="009F7711" w:rsidRPr="002261B9">
        <w:rPr>
          <w:lang w:val="es-ES"/>
        </w:rPr>
        <w:t>. En la restricción de la UE</w:t>
      </w:r>
      <w:r w:rsidR="004D5B0D" w:rsidRPr="002261B9">
        <w:rPr>
          <w:lang w:val="es-ES"/>
        </w:rPr>
        <w:t xml:space="preserve"> </w:t>
      </w:r>
      <w:r w:rsidR="009F7711" w:rsidRPr="002261B9">
        <w:rPr>
          <w:lang w:val="es-ES"/>
        </w:rPr>
        <w:t>no se establecen exenciones para las piezas de repuesto</w:t>
      </w:r>
      <w:r w:rsidR="004D5B0D" w:rsidRPr="002261B9">
        <w:rPr>
          <w:lang w:val="es-ES"/>
        </w:rPr>
        <w:t xml:space="preserve"> (</w:t>
      </w:r>
      <w:r w:rsidR="00912204" w:rsidRPr="002261B9">
        <w:rPr>
          <w:lang w:val="es-ES"/>
        </w:rPr>
        <w:t>Comisión Europea</w:t>
      </w:r>
      <w:r w:rsidR="00D66227" w:rsidRPr="002261B9">
        <w:rPr>
          <w:lang w:val="es-ES"/>
        </w:rPr>
        <w:t>,</w:t>
      </w:r>
      <w:r w:rsidR="004D5B0D" w:rsidRPr="002261B9">
        <w:rPr>
          <w:lang w:val="es-ES"/>
        </w:rPr>
        <w:t xml:space="preserve"> 2017).</w:t>
      </w:r>
    </w:p>
    <w:p w14:paraId="3D532E9B" w14:textId="00558D99" w:rsidR="004D5B0D" w:rsidRPr="002261B9" w:rsidRDefault="00156E3D" w:rsidP="00F45508">
      <w:pPr>
        <w:pStyle w:val="Paralevel1"/>
        <w:numPr>
          <w:ilvl w:val="0"/>
          <w:numId w:val="23"/>
        </w:numPr>
        <w:tabs>
          <w:tab w:val="clear" w:pos="0"/>
        </w:tabs>
        <w:ind w:left="1247" w:firstLine="0"/>
        <w:rPr>
          <w:lang w:val="es-ES"/>
        </w:rPr>
      </w:pPr>
      <w:r w:rsidRPr="002261B9">
        <w:rPr>
          <w:lang w:val="es-ES"/>
        </w:rPr>
        <w:t xml:space="preserve">Por otra parte, la </w:t>
      </w:r>
      <w:r w:rsidR="00023D31" w:rsidRPr="002261B9">
        <w:rPr>
          <w:lang w:val="es-ES"/>
        </w:rPr>
        <w:t>Vehicle Manufacturers</w:t>
      </w:r>
      <w:r w:rsidR="00EF4F36" w:rsidRPr="002261B9">
        <w:rPr>
          <w:lang w:val="es-ES"/>
        </w:rPr>
        <w:t xml:space="preserve">’ </w:t>
      </w:r>
      <w:r w:rsidR="00023D31" w:rsidRPr="002261B9">
        <w:rPr>
          <w:lang w:val="es-ES"/>
        </w:rPr>
        <w:t xml:space="preserve">Association </w:t>
      </w:r>
      <w:r w:rsidR="0098422E" w:rsidRPr="002261B9">
        <w:rPr>
          <w:lang w:val="es-ES"/>
        </w:rPr>
        <w:t xml:space="preserve">(Asociación de Fabricantes de Vehículos) (CVMA) </w:t>
      </w:r>
      <w:r w:rsidRPr="002261B9">
        <w:rPr>
          <w:lang w:val="es-ES"/>
        </w:rPr>
        <w:t>del Canadá solicita exenciones específicas para los servicios y las piezas de repuesto</w:t>
      </w:r>
      <w:r w:rsidR="0098422E" w:rsidRPr="002261B9">
        <w:rPr>
          <w:lang w:val="es-ES"/>
        </w:rPr>
        <w:t xml:space="preserve"> de automóviles</w:t>
      </w:r>
      <w:r w:rsidR="00023D31" w:rsidRPr="002261B9">
        <w:rPr>
          <w:lang w:val="es-ES"/>
        </w:rPr>
        <w:t xml:space="preserve">. </w:t>
      </w:r>
      <w:r w:rsidRPr="002261B9">
        <w:rPr>
          <w:lang w:val="es-ES"/>
        </w:rPr>
        <w:t xml:space="preserve">Según la </w:t>
      </w:r>
      <w:r w:rsidR="00B3342D" w:rsidRPr="002261B9">
        <w:rPr>
          <w:lang w:val="es-ES"/>
        </w:rPr>
        <w:t xml:space="preserve">CVMA, </w:t>
      </w:r>
      <w:r w:rsidR="00256F53" w:rsidRPr="002261B9">
        <w:rPr>
          <w:lang w:val="es-ES"/>
        </w:rPr>
        <w:t xml:space="preserve">la industria </w:t>
      </w:r>
      <w:r w:rsidR="00EC671A" w:rsidRPr="002261B9">
        <w:rPr>
          <w:lang w:val="es-ES"/>
        </w:rPr>
        <w:t xml:space="preserve">lleva algún tiempo </w:t>
      </w:r>
      <w:r w:rsidR="00256F53" w:rsidRPr="002261B9">
        <w:rPr>
          <w:lang w:val="es-ES"/>
        </w:rPr>
        <w:t>impulsa</w:t>
      </w:r>
      <w:r w:rsidR="00EC671A" w:rsidRPr="002261B9">
        <w:rPr>
          <w:lang w:val="es-ES"/>
        </w:rPr>
        <w:t>n</w:t>
      </w:r>
      <w:r w:rsidR="00256F53" w:rsidRPr="002261B9">
        <w:rPr>
          <w:lang w:val="es-ES"/>
        </w:rPr>
        <w:t>do activamente la eliminación del uso del PFOA</w:t>
      </w:r>
      <w:r w:rsidR="00EC671A" w:rsidRPr="002261B9">
        <w:rPr>
          <w:lang w:val="es-ES"/>
        </w:rPr>
        <w:t>. Sin embargo, es posible</w:t>
      </w:r>
      <w:r w:rsidR="00B3342D" w:rsidRPr="002261B9">
        <w:rPr>
          <w:lang w:val="es-ES"/>
        </w:rPr>
        <w:t xml:space="preserve"> </w:t>
      </w:r>
      <w:r w:rsidR="00EC671A" w:rsidRPr="002261B9">
        <w:rPr>
          <w:lang w:val="es-ES"/>
        </w:rPr>
        <w:t xml:space="preserve">que en las piezas de mantenimiento y </w:t>
      </w:r>
      <w:r w:rsidR="00256F53" w:rsidRPr="002261B9">
        <w:rPr>
          <w:lang w:val="es-ES"/>
        </w:rPr>
        <w:t xml:space="preserve">repuesto </w:t>
      </w:r>
      <w:r w:rsidR="00256F53" w:rsidRPr="002261B9">
        <w:rPr>
          <w:lang w:val="es-ES"/>
        </w:rPr>
        <w:lastRenderedPageBreak/>
        <w:t xml:space="preserve">siga </w:t>
      </w:r>
      <w:r w:rsidR="0098422E" w:rsidRPr="002261B9">
        <w:rPr>
          <w:lang w:val="es-ES"/>
        </w:rPr>
        <w:t>presente el</w:t>
      </w:r>
      <w:r w:rsidR="00256F53" w:rsidRPr="002261B9">
        <w:rPr>
          <w:lang w:val="es-ES"/>
        </w:rPr>
        <w:t xml:space="preserve"> </w:t>
      </w:r>
      <w:r w:rsidR="00B3342D" w:rsidRPr="002261B9">
        <w:rPr>
          <w:lang w:val="es-ES"/>
        </w:rPr>
        <w:t xml:space="preserve">PFOA. </w:t>
      </w:r>
      <w:r w:rsidR="00256F53" w:rsidRPr="002261B9">
        <w:rPr>
          <w:lang w:val="es-ES"/>
        </w:rPr>
        <w:t>Estas piezas representan u</w:t>
      </w:r>
      <w:r w:rsidR="0098422E" w:rsidRPr="002261B9">
        <w:rPr>
          <w:lang w:val="es-ES"/>
        </w:rPr>
        <w:t>n pequeño porcentaje del uso de</w:t>
      </w:r>
      <w:r w:rsidR="00256F53" w:rsidRPr="002261B9">
        <w:rPr>
          <w:lang w:val="es-ES"/>
        </w:rPr>
        <w:t xml:space="preserve"> PFOA, que disminuirá con el tiempo, como es natural, a medida que se renueve el parque de vehículos</w:t>
      </w:r>
      <w:r w:rsidR="00B3342D" w:rsidRPr="002261B9">
        <w:rPr>
          <w:lang w:val="es-ES"/>
        </w:rPr>
        <w:t xml:space="preserve">. </w:t>
      </w:r>
      <w:r w:rsidR="00256F53" w:rsidRPr="002261B9">
        <w:rPr>
          <w:lang w:val="es-ES"/>
        </w:rPr>
        <w:t xml:space="preserve">Los fabricantes de automóviles tienen que garantizar la disponibilidad de equipo y piezas de repuesto originales a fin de atender la demanda de los consumidores </w:t>
      </w:r>
      <w:r w:rsidR="00023D31" w:rsidRPr="002261B9">
        <w:rPr>
          <w:lang w:val="es-ES"/>
        </w:rPr>
        <w:t>(CVMA</w:t>
      </w:r>
      <w:r w:rsidR="00D66227" w:rsidRPr="002261B9">
        <w:rPr>
          <w:lang w:val="es-ES"/>
        </w:rPr>
        <w:t>,</w:t>
      </w:r>
      <w:r w:rsidR="00FB259A" w:rsidRPr="002261B9">
        <w:rPr>
          <w:lang w:val="es-ES"/>
        </w:rPr>
        <w:t xml:space="preserve"> </w:t>
      </w:r>
      <w:r w:rsidR="00023D31" w:rsidRPr="002261B9">
        <w:rPr>
          <w:lang w:val="es-ES"/>
        </w:rPr>
        <w:t>2017).</w:t>
      </w:r>
      <w:r w:rsidR="00B26CD6" w:rsidRPr="002261B9">
        <w:rPr>
          <w:lang w:val="es-ES"/>
        </w:rPr>
        <w:t xml:space="preserve"> </w:t>
      </w:r>
      <w:r w:rsidR="00256F53" w:rsidRPr="002261B9">
        <w:rPr>
          <w:lang w:val="es-ES"/>
        </w:rPr>
        <w:t xml:space="preserve">Según la información presentada por </w:t>
      </w:r>
      <w:r w:rsidR="00A63836" w:rsidRPr="002261B9">
        <w:rPr>
          <w:lang w:val="es-ES"/>
        </w:rPr>
        <w:t>la Red</w:t>
      </w:r>
      <w:r w:rsidR="00D66227" w:rsidRPr="002261B9">
        <w:rPr>
          <w:lang w:val="es-ES"/>
        </w:rPr>
        <w:t xml:space="preserve"> de Eliminación de COP</w:t>
      </w:r>
      <w:r w:rsidR="00B26CD6" w:rsidRPr="002261B9">
        <w:rPr>
          <w:lang w:val="es-ES"/>
        </w:rPr>
        <w:t xml:space="preserve">, </w:t>
      </w:r>
      <w:r w:rsidR="00256F53" w:rsidRPr="002261B9">
        <w:rPr>
          <w:lang w:val="es-ES"/>
        </w:rPr>
        <w:t xml:space="preserve">una exención daría lugar también </w:t>
      </w:r>
      <w:r w:rsidR="00B26CD6" w:rsidRPr="002261B9">
        <w:rPr>
          <w:lang w:val="es-ES"/>
        </w:rPr>
        <w:t>a</w:t>
      </w:r>
      <w:r w:rsidR="00256F53" w:rsidRPr="002261B9">
        <w:rPr>
          <w:lang w:val="es-ES"/>
        </w:rPr>
        <w:t xml:space="preserve"> liberaciones constantes </w:t>
      </w:r>
      <w:r w:rsidR="0098422E" w:rsidRPr="002261B9">
        <w:rPr>
          <w:lang w:val="es-ES"/>
        </w:rPr>
        <w:t xml:space="preserve">de PFOA, que afectarían </w:t>
      </w:r>
      <w:r w:rsidR="00256F53" w:rsidRPr="002261B9">
        <w:rPr>
          <w:lang w:val="es-ES"/>
        </w:rPr>
        <w:t xml:space="preserve">a los seres humanos y </w:t>
      </w:r>
      <w:r w:rsidR="0098422E" w:rsidRPr="002261B9">
        <w:rPr>
          <w:lang w:val="es-ES"/>
        </w:rPr>
        <w:t>a</w:t>
      </w:r>
      <w:r w:rsidR="00256F53" w:rsidRPr="002261B9">
        <w:rPr>
          <w:lang w:val="es-ES"/>
        </w:rPr>
        <w:t xml:space="preserve">l medio ambiente </w:t>
      </w:r>
      <w:r w:rsidR="0098422E" w:rsidRPr="002261B9">
        <w:rPr>
          <w:lang w:val="es-ES"/>
        </w:rPr>
        <w:t>debido a</w:t>
      </w:r>
      <w:r w:rsidR="00256F53" w:rsidRPr="002261B9">
        <w:rPr>
          <w:lang w:val="es-ES"/>
        </w:rPr>
        <w:t xml:space="preserve"> la producción y</w:t>
      </w:r>
      <w:r w:rsidR="00FB259A" w:rsidRPr="002261B9">
        <w:rPr>
          <w:lang w:val="es-ES"/>
        </w:rPr>
        <w:t> </w:t>
      </w:r>
      <w:r w:rsidR="0098422E" w:rsidRPr="002261B9">
        <w:rPr>
          <w:lang w:val="es-ES"/>
        </w:rPr>
        <w:t>a</w:t>
      </w:r>
      <w:r w:rsidR="00256F53" w:rsidRPr="002261B9">
        <w:rPr>
          <w:lang w:val="es-ES"/>
        </w:rPr>
        <w:t>l uso</w:t>
      </w:r>
      <w:r w:rsidR="00B26CD6" w:rsidRPr="002261B9">
        <w:rPr>
          <w:lang w:val="es-ES"/>
        </w:rPr>
        <w:t>.</w:t>
      </w:r>
      <w:r w:rsidR="00284890" w:rsidRPr="002261B9">
        <w:rPr>
          <w:lang w:val="es-ES"/>
        </w:rPr>
        <w:t xml:space="preserve"> </w:t>
      </w:r>
    </w:p>
    <w:p w14:paraId="3B2FC846" w14:textId="77777777" w:rsidR="00D66227" w:rsidRPr="002261B9" w:rsidRDefault="00D66227" w:rsidP="00F45508">
      <w:pPr>
        <w:pStyle w:val="Paralevel1"/>
        <w:numPr>
          <w:ilvl w:val="0"/>
          <w:numId w:val="23"/>
        </w:numPr>
        <w:tabs>
          <w:tab w:val="clear" w:pos="0"/>
        </w:tabs>
        <w:ind w:left="1247" w:firstLine="0"/>
        <w:rPr>
          <w:lang w:val="es-ES"/>
        </w:rPr>
      </w:pPr>
      <w:r w:rsidRPr="002261B9">
        <w:rPr>
          <w:lang w:val="es-ES"/>
        </w:rPr>
        <w:t>Según la SEMI, habría que establecer también un período de transición en la fabricación de equipo y la infraestructura conexa de la industria de semiconductores para el mantenimiento, las piezas de repuesto, reemplazo o piezas nuevas de equipo obsoleto o infraestructuras de plantas de fabricación obsoletas (Observaciones de la SEMI sobre el primer proyecto de evaluación de la gestión de los riesgos, 2017).</w:t>
      </w:r>
    </w:p>
    <w:p w14:paraId="332308B6" w14:textId="2FF20A2E" w:rsidR="004D5B0D" w:rsidRPr="002261B9" w:rsidRDefault="00EC480D" w:rsidP="00547A47">
      <w:pPr>
        <w:spacing w:after="120"/>
        <w:ind w:firstLine="624"/>
        <w:jc w:val="both"/>
        <w:rPr>
          <w:b/>
          <w:i/>
          <w:sz w:val="20"/>
          <w:szCs w:val="20"/>
          <w:lang w:val="es-ES"/>
        </w:rPr>
      </w:pPr>
      <w:r w:rsidRPr="002261B9">
        <w:rPr>
          <w:b/>
          <w:i/>
          <w:sz w:val="20"/>
          <w:szCs w:val="20"/>
          <w:lang w:val="es-ES"/>
        </w:rPr>
        <w:t>H.</w:t>
      </w:r>
      <w:r w:rsidR="00547A47" w:rsidRPr="002261B9">
        <w:rPr>
          <w:b/>
          <w:i/>
          <w:sz w:val="20"/>
          <w:szCs w:val="20"/>
          <w:lang w:val="es-ES"/>
        </w:rPr>
        <w:tab/>
      </w:r>
      <w:r w:rsidRPr="002261B9">
        <w:rPr>
          <w:b/>
          <w:i/>
          <w:sz w:val="20"/>
          <w:szCs w:val="20"/>
          <w:lang w:val="es-ES"/>
        </w:rPr>
        <w:t xml:space="preserve">Espumas ignífugas </w:t>
      </w:r>
    </w:p>
    <w:p w14:paraId="6211FB71" w14:textId="22AA4C3C" w:rsidR="009C43C7" w:rsidRPr="002261B9" w:rsidRDefault="004547D8" w:rsidP="00F45508">
      <w:pPr>
        <w:pStyle w:val="Paralevel1"/>
        <w:numPr>
          <w:ilvl w:val="0"/>
          <w:numId w:val="23"/>
        </w:numPr>
        <w:tabs>
          <w:tab w:val="clear" w:pos="0"/>
        </w:tabs>
        <w:ind w:left="1247" w:firstLine="0"/>
        <w:rPr>
          <w:lang w:val="es-ES"/>
        </w:rPr>
      </w:pPr>
      <w:r w:rsidRPr="002261B9">
        <w:rPr>
          <w:lang w:val="es-ES"/>
        </w:rPr>
        <w:t xml:space="preserve">Espumas acuosas formadoras de películas </w:t>
      </w:r>
      <w:r w:rsidR="00AF1730" w:rsidRPr="002261B9">
        <w:rPr>
          <w:lang w:val="es-ES"/>
        </w:rPr>
        <w:t xml:space="preserve">(EAFP) </w:t>
      </w:r>
      <w:r w:rsidRPr="002261B9">
        <w:rPr>
          <w:lang w:val="es-ES"/>
        </w:rPr>
        <w:t xml:space="preserve">es una expresión genérica para productos ignífugos o </w:t>
      </w:r>
      <w:r w:rsidR="00AF1730" w:rsidRPr="002261B9">
        <w:rPr>
          <w:lang w:val="es-ES"/>
        </w:rPr>
        <w:t xml:space="preserve">supresores </w:t>
      </w:r>
      <w:r w:rsidRPr="002261B9">
        <w:rPr>
          <w:lang w:val="es-ES"/>
        </w:rPr>
        <w:t xml:space="preserve">de </w:t>
      </w:r>
      <w:r w:rsidR="006C243D" w:rsidRPr="002261B9">
        <w:rPr>
          <w:lang w:val="es-ES"/>
        </w:rPr>
        <w:t>vapor</w:t>
      </w:r>
      <w:r w:rsidRPr="002261B9">
        <w:rPr>
          <w:lang w:val="es-ES"/>
        </w:rPr>
        <w:t xml:space="preserve"> que se usan en todo el mundo en la extinción de incendios</w:t>
      </w:r>
      <w:r w:rsidR="006C243D" w:rsidRPr="002261B9">
        <w:rPr>
          <w:lang w:val="es-ES"/>
        </w:rPr>
        <w:t xml:space="preserve">. </w:t>
      </w:r>
      <w:r w:rsidR="004920D8" w:rsidRPr="002261B9">
        <w:rPr>
          <w:lang w:val="es-ES"/>
        </w:rPr>
        <w:t>La finalidad de las EAFP</w:t>
      </w:r>
      <w:r w:rsidR="006C243D" w:rsidRPr="002261B9">
        <w:rPr>
          <w:lang w:val="es-ES"/>
        </w:rPr>
        <w:t xml:space="preserve"> </w:t>
      </w:r>
      <w:r w:rsidR="004920D8" w:rsidRPr="002261B9">
        <w:rPr>
          <w:lang w:val="es-ES"/>
        </w:rPr>
        <w:t xml:space="preserve">era ser especialmente eficaces </w:t>
      </w:r>
      <w:r w:rsidRPr="002261B9">
        <w:rPr>
          <w:lang w:val="es-ES"/>
        </w:rPr>
        <w:t>e</w:t>
      </w:r>
      <w:r w:rsidR="006C243D" w:rsidRPr="002261B9">
        <w:rPr>
          <w:lang w:val="es-ES"/>
        </w:rPr>
        <w:t>n</w:t>
      </w:r>
      <w:r w:rsidRPr="002261B9">
        <w:rPr>
          <w:lang w:val="es-ES"/>
        </w:rPr>
        <w:t xml:space="preserve"> la extinción de incendios </w:t>
      </w:r>
      <w:r w:rsidR="00AF1730" w:rsidRPr="002261B9">
        <w:rPr>
          <w:lang w:val="es-ES"/>
        </w:rPr>
        <w:t>c</w:t>
      </w:r>
      <w:r w:rsidRPr="002261B9">
        <w:rPr>
          <w:lang w:val="es-ES"/>
        </w:rPr>
        <w:t>lase B</w:t>
      </w:r>
      <w:r w:rsidR="006C243D" w:rsidRPr="002261B9">
        <w:rPr>
          <w:lang w:val="es-ES"/>
        </w:rPr>
        <w:t xml:space="preserve"> (</w:t>
      </w:r>
      <w:r w:rsidR="00AF1730" w:rsidRPr="002261B9">
        <w:rPr>
          <w:lang w:val="es-ES"/>
        </w:rPr>
        <w:t>líquidos inflamables</w:t>
      </w:r>
      <w:r w:rsidR="006C243D" w:rsidRPr="002261B9">
        <w:rPr>
          <w:lang w:val="es-ES"/>
        </w:rPr>
        <w:t>).</w:t>
      </w:r>
      <w:r w:rsidR="00284890" w:rsidRPr="002261B9">
        <w:rPr>
          <w:lang w:val="es-ES"/>
        </w:rPr>
        <w:t xml:space="preserve"> </w:t>
      </w:r>
      <w:r w:rsidR="004920D8" w:rsidRPr="002261B9">
        <w:rPr>
          <w:lang w:val="es-ES"/>
        </w:rPr>
        <w:t xml:space="preserve">Las EAFP pueden contener </w:t>
      </w:r>
      <w:r w:rsidR="00937081" w:rsidRPr="002261B9">
        <w:rPr>
          <w:lang w:val="es-ES"/>
        </w:rPr>
        <w:t xml:space="preserve">PFOA o </w:t>
      </w:r>
      <w:r w:rsidR="004920D8" w:rsidRPr="002261B9">
        <w:rPr>
          <w:lang w:val="es-ES"/>
        </w:rPr>
        <w:t xml:space="preserve">sustancias conexas del </w:t>
      </w:r>
      <w:r w:rsidR="00937081" w:rsidRPr="002261B9">
        <w:rPr>
          <w:lang w:val="es-ES"/>
        </w:rPr>
        <w:t xml:space="preserve">PFOA. </w:t>
      </w:r>
      <w:r w:rsidR="006C243D" w:rsidRPr="002261B9">
        <w:rPr>
          <w:lang w:val="es-ES"/>
        </w:rPr>
        <w:t>No</w:t>
      </w:r>
      <w:r w:rsidR="004920D8" w:rsidRPr="002261B9">
        <w:rPr>
          <w:lang w:val="es-ES"/>
        </w:rPr>
        <w:t xml:space="preserve"> en todas las situaciones ser</w:t>
      </w:r>
      <w:r w:rsidR="00EF2AC1" w:rsidRPr="002261B9">
        <w:rPr>
          <w:lang w:val="es-ES"/>
        </w:rPr>
        <w:t>á</w:t>
      </w:r>
      <w:r w:rsidR="004920D8" w:rsidRPr="002261B9">
        <w:rPr>
          <w:lang w:val="es-ES"/>
        </w:rPr>
        <w:t xml:space="preserve"> necesario usar espumas ignífugas obligadamente</w:t>
      </w:r>
      <w:r w:rsidR="006C243D" w:rsidRPr="002261B9">
        <w:rPr>
          <w:lang w:val="es-ES"/>
        </w:rPr>
        <w:t xml:space="preserve">. </w:t>
      </w:r>
      <w:r w:rsidR="00EF2AC1" w:rsidRPr="002261B9">
        <w:rPr>
          <w:lang w:val="es-ES"/>
        </w:rPr>
        <w:t>Solo con un examen cuidadoso de la situación específica de que se trate</w:t>
      </w:r>
      <w:r w:rsidR="006C243D" w:rsidRPr="002261B9">
        <w:rPr>
          <w:lang w:val="es-ES"/>
        </w:rPr>
        <w:t xml:space="preserve"> (</w:t>
      </w:r>
      <w:r w:rsidR="00EF2AC1" w:rsidRPr="002261B9">
        <w:rPr>
          <w:lang w:val="es-ES"/>
        </w:rPr>
        <w:t>situación de emergencia o diseño de un sistema de protección contra incendios</w:t>
      </w:r>
      <w:r w:rsidR="00EC671A" w:rsidRPr="002261B9">
        <w:rPr>
          <w:lang w:val="es-ES"/>
        </w:rPr>
        <w:t xml:space="preserve"> o </w:t>
      </w:r>
      <w:r w:rsidR="00EF2AC1" w:rsidRPr="002261B9">
        <w:rPr>
          <w:lang w:val="es-ES"/>
        </w:rPr>
        <w:t>de la propiedad</w:t>
      </w:r>
      <w:r w:rsidR="006C243D" w:rsidRPr="002261B9">
        <w:rPr>
          <w:lang w:val="es-ES"/>
        </w:rPr>
        <w:t xml:space="preserve">) </w:t>
      </w:r>
      <w:r w:rsidR="00EF2AC1" w:rsidRPr="002261B9">
        <w:rPr>
          <w:lang w:val="es-ES"/>
        </w:rPr>
        <w:t>y un examen de los códigos de construcción locales y otros reglamentos se puede determinar la selección del producto apropiado</w:t>
      </w:r>
      <w:r w:rsidR="00816508" w:rsidRPr="002261B9">
        <w:rPr>
          <w:lang w:val="es-ES"/>
        </w:rPr>
        <w:t xml:space="preserve">. </w:t>
      </w:r>
      <w:r w:rsidR="00AF1730" w:rsidRPr="002261B9">
        <w:rPr>
          <w:lang w:val="es-ES"/>
        </w:rPr>
        <w:t>Durante el último decenio</w:t>
      </w:r>
      <w:r w:rsidR="00816508" w:rsidRPr="002261B9">
        <w:rPr>
          <w:lang w:val="es-ES"/>
        </w:rPr>
        <w:t xml:space="preserve">, </w:t>
      </w:r>
      <w:r w:rsidR="00AF1730" w:rsidRPr="002261B9">
        <w:rPr>
          <w:lang w:val="es-ES"/>
        </w:rPr>
        <w:t>los fabricantes de EAFP</w:t>
      </w:r>
      <w:r w:rsidR="00816508" w:rsidRPr="002261B9">
        <w:rPr>
          <w:lang w:val="es-ES"/>
        </w:rPr>
        <w:t xml:space="preserve"> h</w:t>
      </w:r>
      <w:r w:rsidR="00AF1730" w:rsidRPr="002261B9">
        <w:rPr>
          <w:lang w:val="es-ES"/>
        </w:rPr>
        <w:t xml:space="preserve">an estado sustituyendo los productos que contiene </w:t>
      </w:r>
      <w:r w:rsidR="00816508" w:rsidRPr="002261B9">
        <w:rPr>
          <w:lang w:val="es-ES"/>
        </w:rPr>
        <w:t>PFOS</w:t>
      </w:r>
      <w:r w:rsidR="00AF1730" w:rsidRPr="002261B9">
        <w:rPr>
          <w:lang w:val="es-ES"/>
        </w:rPr>
        <w:t xml:space="preserve"> con fluorosurfactantes a base de fluorotelómeros</w:t>
      </w:r>
      <w:r w:rsidR="00816508" w:rsidRPr="002261B9">
        <w:rPr>
          <w:lang w:val="es-ES"/>
        </w:rPr>
        <w:t xml:space="preserve">. </w:t>
      </w:r>
      <w:r w:rsidR="00AF1730" w:rsidRPr="002261B9">
        <w:rPr>
          <w:lang w:val="es-ES"/>
        </w:rPr>
        <w:t>Hoy día, la mayoría de las espumas ignífugas se fabrican con fluorotelómeros a partir de una cadena de perfluorohexanos</w:t>
      </w:r>
      <w:r w:rsidR="00161A76" w:rsidRPr="002261B9">
        <w:rPr>
          <w:lang w:val="es-ES"/>
        </w:rPr>
        <w:t xml:space="preserve"> (C6) </w:t>
      </w:r>
      <w:r w:rsidR="006C243D" w:rsidRPr="002261B9">
        <w:rPr>
          <w:lang w:val="es-ES"/>
        </w:rPr>
        <w:t>(</w:t>
      </w:r>
      <w:r w:rsidR="00AF1730" w:rsidRPr="002261B9">
        <w:rPr>
          <w:lang w:val="es-ES"/>
        </w:rPr>
        <w:t xml:space="preserve">para más detalles, </w:t>
      </w:r>
      <w:r w:rsidR="00F13B21" w:rsidRPr="002261B9">
        <w:rPr>
          <w:lang w:val="es-ES"/>
        </w:rPr>
        <w:t>véase</w:t>
      </w:r>
      <w:r w:rsidR="006C243D" w:rsidRPr="002261B9">
        <w:rPr>
          <w:lang w:val="es-ES"/>
        </w:rPr>
        <w:t xml:space="preserve"> </w:t>
      </w:r>
      <w:r w:rsidR="00816508" w:rsidRPr="002261B9">
        <w:rPr>
          <w:lang w:val="es-ES"/>
        </w:rPr>
        <w:t>UNEP/POPS/POPRC.12/INF/15/Rev.1)</w:t>
      </w:r>
      <w:r w:rsidR="00B26CD6" w:rsidRPr="002261B9">
        <w:rPr>
          <w:lang w:val="es-ES"/>
        </w:rPr>
        <w:t xml:space="preserve">, </w:t>
      </w:r>
      <w:r w:rsidR="00AF1730" w:rsidRPr="002261B9">
        <w:rPr>
          <w:lang w:val="es-ES"/>
        </w:rPr>
        <w:t xml:space="preserve">pero hay espumas sin flúor u otros métodos alternativos de extinción disponibles que cumplen los requisitos de eficacia de muchas esferas de uso en los incendios clase </w:t>
      </w:r>
      <w:r w:rsidR="00B26CD6" w:rsidRPr="002261B9">
        <w:rPr>
          <w:lang w:val="es-ES"/>
        </w:rPr>
        <w:t>B (</w:t>
      </w:r>
      <w:r w:rsidR="00AF1730" w:rsidRPr="002261B9">
        <w:rPr>
          <w:lang w:val="es-ES"/>
        </w:rPr>
        <w:t>Organismo Sueco de Productos Químicos</w:t>
      </w:r>
      <w:r w:rsidR="004904E9" w:rsidRPr="002261B9">
        <w:rPr>
          <w:lang w:val="es-ES"/>
        </w:rPr>
        <w:t>,</w:t>
      </w:r>
      <w:r w:rsidR="006F57D4" w:rsidRPr="002261B9">
        <w:rPr>
          <w:lang w:val="es-ES"/>
        </w:rPr>
        <w:t xml:space="preserve"> 2</w:t>
      </w:r>
      <w:r w:rsidR="00B26CD6" w:rsidRPr="002261B9">
        <w:rPr>
          <w:lang w:val="es-ES"/>
        </w:rPr>
        <w:t>016a</w:t>
      </w:r>
      <w:r w:rsidR="00452DB2" w:rsidRPr="002261B9">
        <w:rPr>
          <w:lang w:val="es-ES"/>
        </w:rPr>
        <w:t>)</w:t>
      </w:r>
      <w:r w:rsidR="006C243D" w:rsidRPr="002261B9">
        <w:rPr>
          <w:lang w:val="es-ES"/>
        </w:rPr>
        <w:t xml:space="preserve">. </w:t>
      </w:r>
      <w:r w:rsidR="00AF1730" w:rsidRPr="002261B9">
        <w:rPr>
          <w:lang w:val="es-ES"/>
        </w:rPr>
        <w:t xml:space="preserve">En el caso de espumas ignífugas que contienen sustancias conexas del </w:t>
      </w:r>
      <w:r w:rsidR="00B87F20" w:rsidRPr="002261B9">
        <w:rPr>
          <w:lang w:val="es-ES"/>
        </w:rPr>
        <w:t>PFOA</w:t>
      </w:r>
      <w:r w:rsidR="004920D8" w:rsidRPr="002261B9">
        <w:rPr>
          <w:lang w:val="es-ES"/>
        </w:rPr>
        <w:t xml:space="preserve"> existen algunas alternativas</w:t>
      </w:r>
      <w:r w:rsidR="009C43C7" w:rsidRPr="002261B9">
        <w:rPr>
          <w:lang w:val="es-ES"/>
        </w:rPr>
        <w:t xml:space="preserve"> (</w:t>
      </w:r>
      <w:r w:rsidR="00F13B21" w:rsidRPr="002261B9">
        <w:rPr>
          <w:lang w:val="es-ES"/>
        </w:rPr>
        <w:t>véa</w:t>
      </w:r>
      <w:r w:rsidR="00AF1730" w:rsidRPr="002261B9">
        <w:rPr>
          <w:lang w:val="es-ES"/>
        </w:rPr>
        <w:t>n</w:t>
      </w:r>
      <w:r w:rsidR="00F13B21" w:rsidRPr="002261B9">
        <w:rPr>
          <w:lang w:val="es-ES"/>
        </w:rPr>
        <w:t>se</w:t>
      </w:r>
      <w:r w:rsidR="009C43C7" w:rsidRPr="002261B9">
        <w:rPr>
          <w:lang w:val="es-ES"/>
        </w:rPr>
        <w:t xml:space="preserve"> </w:t>
      </w:r>
      <w:r w:rsidR="00AF1730" w:rsidRPr="002261B9">
        <w:rPr>
          <w:lang w:val="es-ES"/>
        </w:rPr>
        <w:t xml:space="preserve">los párrafos </w:t>
      </w:r>
      <w:r w:rsidR="00A57097" w:rsidRPr="002261B9">
        <w:rPr>
          <w:lang w:val="es-ES"/>
        </w:rPr>
        <w:t>1</w:t>
      </w:r>
      <w:r w:rsidR="00D66227" w:rsidRPr="002261B9">
        <w:rPr>
          <w:lang w:val="es-ES"/>
        </w:rPr>
        <w:t>5</w:t>
      </w:r>
      <w:r w:rsidR="007D12BF">
        <w:rPr>
          <w:lang w:val="es-ES"/>
        </w:rPr>
        <w:t>5</w:t>
      </w:r>
      <w:r w:rsidR="009C43C7" w:rsidRPr="002261B9">
        <w:rPr>
          <w:lang w:val="es-ES"/>
        </w:rPr>
        <w:t xml:space="preserve"> </w:t>
      </w:r>
      <w:r w:rsidR="00AF1730" w:rsidRPr="002261B9">
        <w:rPr>
          <w:lang w:val="es-ES"/>
        </w:rPr>
        <w:t>a</w:t>
      </w:r>
      <w:r w:rsidR="009C43C7" w:rsidRPr="002261B9">
        <w:rPr>
          <w:lang w:val="es-ES"/>
        </w:rPr>
        <w:t xml:space="preserve"> </w:t>
      </w:r>
      <w:r w:rsidR="00A57097" w:rsidRPr="002261B9">
        <w:rPr>
          <w:lang w:val="es-ES"/>
        </w:rPr>
        <w:t>1</w:t>
      </w:r>
      <w:r w:rsidR="00D66227" w:rsidRPr="002261B9">
        <w:rPr>
          <w:lang w:val="es-ES"/>
        </w:rPr>
        <w:t>6</w:t>
      </w:r>
      <w:r w:rsidR="007D12BF">
        <w:rPr>
          <w:lang w:val="es-ES"/>
        </w:rPr>
        <w:t>2</w:t>
      </w:r>
      <w:r w:rsidR="009C43C7" w:rsidRPr="002261B9">
        <w:rPr>
          <w:lang w:val="es-ES"/>
        </w:rPr>
        <w:t>).</w:t>
      </w:r>
    </w:p>
    <w:p w14:paraId="66E80945" w14:textId="60FA39CF" w:rsidR="00057E94" w:rsidRPr="002261B9" w:rsidRDefault="008C4B89" w:rsidP="00F45508">
      <w:pPr>
        <w:pStyle w:val="Paralevel1"/>
        <w:numPr>
          <w:ilvl w:val="0"/>
          <w:numId w:val="23"/>
        </w:numPr>
        <w:tabs>
          <w:tab w:val="clear" w:pos="0"/>
        </w:tabs>
        <w:ind w:left="1247" w:firstLine="0"/>
        <w:rPr>
          <w:rStyle w:val="DeltaViewInsertion"/>
          <w:color w:val="auto"/>
          <w:u w:val="none"/>
          <w:lang w:val="es-ES"/>
        </w:rPr>
      </w:pPr>
      <w:r w:rsidRPr="002261B9">
        <w:rPr>
          <w:lang w:val="es-ES"/>
        </w:rPr>
        <w:t>Para ser coherentes con la exención que ya se está usando para las espumas y evitar tener que sustituir antes de tiempo las espumas exentas</w:t>
      </w:r>
      <w:r w:rsidR="004D5B0D" w:rsidRPr="002261B9">
        <w:rPr>
          <w:lang w:val="es-ES"/>
        </w:rPr>
        <w:t xml:space="preserve">, </w:t>
      </w:r>
      <w:r w:rsidRPr="002261B9">
        <w:rPr>
          <w:lang w:val="es-ES"/>
        </w:rPr>
        <w:t xml:space="preserve">el </w:t>
      </w:r>
      <w:r w:rsidR="004D5B0D" w:rsidRPr="002261B9">
        <w:rPr>
          <w:lang w:val="es-ES"/>
        </w:rPr>
        <w:t>SEAC prop</w:t>
      </w:r>
      <w:r w:rsidRPr="002261B9">
        <w:rPr>
          <w:lang w:val="es-ES"/>
        </w:rPr>
        <w:t xml:space="preserve">uso que se anularan estas mezclas de la restricción de la UE </w:t>
      </w:r>
      <w:r w:rsidR="00EC671A" w:rsidRPr="002261B9">
        <w:rPr>
          <w:lang w:val="es-ES"/>
        </w:rPr>
        <w:t xml:space="preserve">durante </w:t>
      </w:r>
      <w:r w:rsidR="004D5B0D" w:rsidRPr="002261B9">
        <w:rPr>
          <w:lang w:val="es-ES"/>
        </w:rPr>
        <w:t xml:space="preserve">20 </w:t>
      </w:r>
      <w:r w:rsidRPr="002261B9">
        <w:rPr>
          <w:lang w:val="es-ES"/>
        </w:rPr>
        <w:t>años</w:t>
      </w:r>
      <w:r w:rsidR="004D5B0D" w:rsidRPr="002261B9">
        <w:rPr>
          <w:lang w:val="es-ES"/>
        </w:rPr>
        <w:t xml:space="preserve">. </w:t>
      </w:r>
      <w:r w:rsidRPr="002261B9">
        <w:rPr>
          <w:lang w:val="es-ES"/>
        </w:rPr>
        <w:t>Este es el tiempo que normalmente duran las espumas ignífugas</w:t>
      </w:r>
      <w:r w:rsidR="004D5B0D" w:rsidRPr="002261B9">
        <w:rPr>
          <w:lang w:val="es-ES"/>
        </w:rPr>
        <w:t xml:space="preserve">, </w:t>
      </w:r>
      <w:r w:rsidR="0034528C" w:rsidRPr="002261B9">
        <w:rPr>
          <w:lang w:val="es-ES"/>
        </w:rPr>
        <w:t>y es el período que respaldan las observaciones formuladas en las consultas públicas</w:t>
      </w:r>
      <w:r w:rsidR="004D5B0D" w:rsidRPr="002261B9">
        <w:rPr>
          <w:lang w:val="es-ES"/>
        </w:rPr>
        <w:t xml:space="preserve"> (ECHA</w:t>
      </w:r>
      <w:r w:rsidR="00D66227" w:rsidRPr="002261B9">
        <w:rPr>
          <w:lang w:val="es-ES"/>
        </w:rPr>
        <w:t>,</w:t>
      </w:r>
      <w:r w:rsidR="004D5B0D" w:rsidRPr="002261B9">
        <w:rPr>
          <w:lang w:val="es-ES"/>
        </w:rPr>
        <w:t xml:space="preserve"> 2015c).</w:t>
      </w:r>
      <w:r w:rsidR="00B26CD6" w:rsidRPr="002261B9">
        <w:rPr>
          <w:lang w:val="es-ES"/>
        </w:rPr>
        <w:t xml:space="preserve"> </w:t>
      </w:r>
      <w:r w:rsidR="00D66227" w:rsidRPr="002261B9">
        <w:rPr>
          <w:lang w:val="es-ES"/>
        </w:rPr>
        <w:t xml:space="preserve">En el proceso europeo, a pesar de las inquietudes planteadas por algunos bomberos y fabricantes de espumas en cuanto a que, </w:t>
      </w:r>
      <w:r w:rsidR="00057E94" w:rsidRPr="002261B9">
        <w:rPr>
          <w:lang w:val="es-ES"/>
        </w:rPr>
        <w:t xml:space="preserve">en plantas químicas de alto riesgo y grandes extensiones de almacenamiento, sería necesario almacenar espumas que contienen flúor con un contenido de PFOA y sustancias conexas de hasta </w:t>
      </w:r>
      <w:r w:rsidR="00057E94" w:rsidRPr="002261B9">
        <w:rPr>
          <w:rStyle w:val="DeltaViewInsertion"/>
          <w:color w:val="auto"/>
          <w:u w:val="none"/>
          <w:lang w:val="es-ES"/>
        </w:rPr>
        <w:t>1</w:t>
      </w:r>
      <w:r w:rsidR="00FB259A" w:rsidRPr="002261B9">
        <w:rPr>
          <w:rStyle w:val="DeltaViewInsertion"/>
          <w:color w:val="auto"/>
          <w:u w:val="none"/>
          <w:lang w:val="es-ES"/>
        </w:rPr>
        <w:t>.</w:t>
      </w:r>
      <w:r w:rsidR="00057E94" w:rsidRPr="002261B9">
        <w:rPr>
          <w:rStyle w:val="DeltaViewInsertion"/>
          <w:color w:val="auto"/>
          <w:u w:val="none"/>
          <w:lang w:val="es-ES"/>
        </w:rPr>
        <w:t xml:space="preserve">000 ppb durante otros diez años, la Comisión Europea recibió información exhaustiva de dos fuentes diferentes, que demostraba la disponibilidad y eficacia de espumas sin ningún contenido de flúor. Además, ya se cuenta con espumas basadas en flúor de cadena </w:t>
      </w:r>
      <w:r w:rsidR="00057E94" w:rsidRPr="002261B9">
        <w:rPr>
          <w:lang w:val="es-ES"/>
        </w:rPr>
        <w:t>corta</w:t>
      </w:r>
      <w:r w:rsidR="00057E94" w:rsidRPr="002261B9">
        <w:rPr>
          <w:rStyle w:val="DeltaViewInsertion"/>
          <w:color w:val="auto"/>
          <w:u w:val="none"/>
          <w:lang w:val="es-ES"/>
        </w:rPr>
        <w:t xml:space="preserve">. En este caso, son las </w:t>
      </w:r>
      <w:r w:rsidR="00057E94" w:rsidRPr="002261B9">
        <w:rPr>
          <w:lang w:val="es-ES"/>
        </w:rPr>
        <w:t>impurezas</w:t>
      </w:r>
      <w:r w:rsidR="00057E94" w:rsidRPr="002261B9">
        <w:rPr>
          <w:rStyle w:val="DeltaViewInsertion"/>
          <w:color w:val="auto"/>
          <w:u w:val="none"/>
          <w:lang w:val="es-ES"/>
        </w:rPr>
        <w:t xml:space="preserve"> de PFOA y sustancias conexas del PFOA las que, al parecer plantean un problema para el rendimiento técnico, y no la presencia de esas sustancias.</w:t>
      </w:r>
      <w:r w:rsidR="00E1011E" w:rsidRPr="002261B9">
        <w:rPr>
          <w:rStyle w:val="DeltaViewInsertion"/>
          <w:color w:val="auto"/>
          <w:u w:val="none"/>
          <w:lang w:val="es-ES"/>
        </w:rPr>
        <w:t xml:space="preserve"> </w:t>
      </w:r>
      <w:r w:rsidR="00057E94" w:rsidRPr="002261B9">
        <w:rPr>
          <w:rStyle w:val="DeltaViewInsertion"/>
          <w:color w:val="auto"/>
          <w:u w:val="none"/>
          <w:lang w:val="es-ES"/>
        </w:rPr>
        <w:t xml:space="preserve">La Comisión consideró que la moratoria general de tres años debería representar un período razonable para que la industria de fabricación de espumas ignífugas </w:t>
      </w:r>
      <w:r w:rsidR="000C3C99" w:rsidRPr="002261B9">
        <w:rPr>
          <w:rStyle w:val="DeltaViewInsertion"/>
          <w:color w:val="auto"/>
          <w:u w:val="none"/>
          <w:lang w:val="es-ES"/>
        </w:rPr>
        <w:t>adecue sus formulaciones a la restricción.</w:t>
      </w:r>
      <w:r w:rsidR="00057E94" w:rsidRPr="002261B9">
        <w:rPr>
          <w:rStyle w:val="DeltaViewInsertion"/>
          <w:color w:val="auto"/>
          <w:u w:val="none"/>
          <w:lang w:val="es-ES"/>
        </w:rPr>
        <w:t xml:space="preserve"> </w:t>
      </w:r>
    </w:p>
    <w:p w14:paraId="6EB8997E" w14:textId="4CBD4EF5" w:rsidR="004D5B0D" w:rsidRPr="002261B9" w:rsidRDefault="0034528C" w:rsidP="00F45508">
      <w:pPr>
        <w:pStyle w:val="Paralevel1"/>
        <w:numPr>
          <w:ilvl w:val="0"/>
          <w:numId w:val="23"/>
        </w:numPr>
        <w:tabs>
          <w:tab w:val="clear" w:pos="0"/>
        </w:tabs>
        <w:ind w:left="1247" w:firstLine="0"/>
        <w:rPr>
          <w:lang w:val="es-ES"/>
        </w:rPr>
      </w:pPr>
      <w:r w:rsidRPr="002261B9">
        <w:rPr>
          <w:lang w:val="es-ES"/>
        </w:rPr>
        <w:t xml:space="preserve">Según la información presentada por la </w:t>
      </w:r>
      <w:r w:rsidR="00946899" w:rsidRPr="002261B9">
        <w:rPr>
          <w:lang w:val="es-ES"/>
        </w:rPr>
        <w:t>Red de Eliminación de COP</w:t>
      </w:r>
      <w:r w:rsidR="00B26CD6" w:rsidRPr="002261B9">
        <w:rPr>
          <w:lang w:val="es-ES"/>
        </w:rPr>
        <w:t xml:space="preserve">, </w:t>
      </w:r>
      <w:r w:rsidRPr="002261B9">
        <w:rPr>
          <w:lang w:val="es-ES"/>
        </w:rPr>
        <w:t>el ciclo de vida normal de las espumas ignífugas varía considerablemente con la temperatura y las condiciones de almacenamiento</w:t>
      </w:r>
      <w:r w:rsidR="00B26CD6" w:rsidRPr="002261B9">
        <w:rPr>
          <w:lang w:val="es-ES"/>
        </w:rPr>
        <w:t xml:space="preserve">. </w:t>
      </w:r>
      <w:r w:rsidRPr="002261B9">
        <w:rPr>
          <w:lang w:val="es-ES"/>
        </w:rPr>
        <w:t xml:space="preserve">Un plazo de </w:t>
      </w:r>
      <w:r w:rsidR="00B26CD6" w:rsidRPr="002261B9">
        <w:rPr>
          <w:lang w:val="es-ES"/>
        </w:rPr>
        <w:t xml:space="preserve">20 </w:t>
      </w:r>
      <w:r w:rsidRPr="002261B9">
        <w:rPr>
          <w:lang w:val="es-ES"/>
        </w:rPr>
        <w:t>años no es apropiado para que continúe el uso dispersivo de contaminantes orgánicos persistentes</w:t>
      </w:r>
      <w:r w:rsidR="00B26CD6" w:rsidRPr="002261B9">
        <w:rPr>
          <w:lang w:val="es-ES"/>
        </w:rPr>
        <w:t xml:space="preserve">, </w:t>
      </w:r>
      <w:r w:rsidRPr="002261B9">
        <w:rPr>
          <w:lang w:val="es-ES"/>
        </w:rPr>
        <w:t>que ya ha causado la contaminación masiva de las aguas subterráneas en muchos países</w:t>
      </w:r>
      <w:r w:rsidR="00B26CD6" w:rsidRPr="002261B9">
        <w:rPr>
          <w:lang w:val="es-ES"/>
        </w:rPr>
        <w:t>.</w:t>
      </w:r>
      <w:r w:rsidR="000E359B" w:rsidRPr="002261B9">
        <w:rPr>
          <w:lang w:val="es-ES"/>
        </w:rPr>
        <w:t xml:space="preserve"> </w:t>
      </w:r>
      <w:r w:rsidR="007C4822" w:rsidRPr="002261B9">
        <w:rPr>
          <w:lang w:val="es-ES"/>
        </w:rPr>
        <w:t xml:space="preserve">Alemania, con el apoyo de Austria, propone un período de transición corto en relación con el uso de espumas que ya están en el mercado, debido a que las espumas ignífugas son muy estables y se pueden almacenar durante un período muy prolongado hasta que se usen en caso de incendio. Para evitar las emisiones continuas de estas fuentes al medio ambiente, se deberían sustituir las espumas que se utilizan actualmente por alternativas sostenibles y adecuadas (Observaciones de Alemania sobre el primer proyecto de evaluación de la gestión de los riesgos); </w:t>
      </w:r>
      <w:r w:rsidR="00F353EF" w:rsidRPr="002261B9">
        <w:rPr>
          <w:lang w:val="es-ES"/>
        </w:rPr>
        <w:t>(</w:t>
      </w:r>
      <w:r w:rsidR="007C4822" w:rsidRPr="002261B9">
        <w:rPr>
          <w:lang w:val="es-ES"/>
        </w:rPr>
        <w:t>Observaciones de Austria sobre el segundo proyecto de evaluación de la gestión de los riesgos).</w:t>
      </w:r>
    </w:p>
    <w:p w14:paraId="3AE57986" w14:textId="57A3169B" w:rsidR="004D5B0D" w:rsidRPr="002261B9" w:rsidRDefault="00482339" w:rsidP="00F45508">
      <w:pPr>
        <w:pStyle w:val="Paralevel1"/>
        <w:numPr>
          <w:ilvl w:val="0"/>
          <w:numId w:val="23"/>
        </w:numPr>
        <w:tabs>
          <w:tab w:val="clear" w:pos="0"/>
        </w:tabs>
        <w:ind w:left="1247" w:firstLine="0"/>
        <w:rPr>
          <w:lang w:val="es-ES"/>
        </w:rPr>
      </w:pPr>
      <w:r w:rsidRPr="002261B9">
        <w:rPr>
          <w:lang w:val="es-ES"/>
        </w:rPr>
        <w:t>Respecto de la introducción en el mercado de nuevas espumas acuosas formadoras de películas para uso profesional</w:t>
      </w:r>
      <w:r w:rsidR="004D5B0D" w:rsidRPr="002261B9">
        <w:rPr>
          <w:lang w:val="es-ES"/>
        </w:rPr>
        <w:t xml:space="preserve">, </w:t>
      </w:r>
      <w:r w:rsidR="0034528C" w:rsidRPr="002261B9">
        <w:rPr>
          <w:lang w:val="es-ES"/>
        </w:rPr>
        <w:t xml:space="preserve">el </w:t>
      </w:r>
      <w:r w:rsidR="004D5B0D" w:rsidRPr="002261B9">
        <w:rPr>
          <w:lang w:val="es-ES"/>
        </w:rPr>
        <w:t xml:space="preserve">SEAC </w:t>
      </w:r>
      <w:r w:rsidR="0034528C" w:rsidRPr="002261B9">
        <w:rPr>
          <w:lang w:val="es-ES"/>
        </w:rPr>
        <w:t>señala que</w:t>
      </w:r>
      <w:r w:rsidR="00EC671A" w:rsidRPr="002261B9">
        <w:rPr>
          <w:lang w:val="es-ES"/>
        </w:rPr>
        <w:t>,</w:t>
      </w:r>
      <w:r w:rsidR="0034528C" w:rsidRPr="002261B9">
        <w:rPr>
          <w:lang w:val="es-ES"/>
        </w:rPr>
        <w:t xml:space="preserve"> durante las consultas públicas en la UE</w:t>
      </w:r>
      <w:r w:rsidR="004D5B0D" w:rsidRPr="002261B9">
        <w:rPr>
          <w:lang w:val="es-ES"/>
        </w:rPr>
        <w:t xml:space="preserve">, </w:t>
      </w:r>
      <w:r w:rsidR="0034528C" w:rsidRPr="002261B9">
        <w:rPr>
          <w:lang w:val="es-ES"/>
        </w:rPr>
        <w:t>algunos interesados</w:t>
      </w:r>
      <w:r w:rsidR="004D5B0D" w:rsidRPr="002261B9">
        <w:rPr>
          <w:lang w:val="es-ES"/>
        </w:rPr>
        <w:t xml:space="preserve"> (</w:t>
      </w:r>
      <w:r w:rsidR="0034528C" w:rsidRPr="002261B9">
        <w:rPr>
          <w:lang w:val="es-ES"/>
        </w:rPr>
        <w:t>servicios de extinción de incendios, fabricantes de espumas</w:t>
      </w:r>
      <w:r w:rsidR="004D5B0D" w:rsidRPr="002261B9">
        <w:rPr>
          <w:lang w:val="es-ES"/>
        </w:rPr>
        <w:t xml:space="preserve">) </w:t>
      </w:r>
      <w:r w:rsidR="0034528C" w:rsidRPr="002261B9">
        <w:rPr>
          <w:lang w:val="es-ES"/>
        </w:rPr>
        <w:t xml:space="preserve">habían solicitado límites de concentración más altos para el PFOA y </w:t>
      </w:r>
      <w:r w:rsidR="00E64629" w:rsidRPr="002261B9">
        <w:rPr>
          <w:lang w:val="es-ES"/>
        </w:rPr>
        <w:t>las sustancias conexas del PFOA</w:t>
      </w:r>
      <w:r w:rsidR="0034528C" w:rsidRPr="002261B9">
        <w:rPr>
          <w:lang w:val="es-ES"/>
        </w:rPr>
        <w:t xml:space="preserve"> </w:t>
      </w:r>
      <w:r w:rsidR="004D5B0D" w:rsidRPr="002261B9">
        <w:rPr>
          <w:lang w:val="es-ES"/>
        </w:rPr>
        <w:t>o</w:t>
      </w:r>
      <w:r w:rsidR="0034528C" w:rsidRPr="002261B9">
        <w:rPr>
          <w:lang w:val="es-ES"/>
        </w:rPr>
        <w:t xml:space="preserve"> la exención total de las espumas ignífugas</w:t>
      </w:r>
      <w:r w:rsidR="004D5B0D" w:rsidRPr="002261B9">
        <w:rPr>
          <w:lang w:val="es-ES"/>
        </w:rPr>
        <w:t xml:space="preserve">. </w:t>
      </w:r>
      <w:r w:rsidR="0034528C" w:rsidRPr="002261B9">
        <w:rPr>
          <w:lang w:val="es-ES"/>
        </w:rPr>
        <w:t xml:space="preserve">En general, habida cuenta de la información presentada, el </w:t>
      </w:r>
      <w:r w:rsidR="004D5B0D" w:rsidRPr="002261B9">
        <w:rPr>
          <w:lang w:val="es-ES"/>
        </w:rPr>
        <w:t>SEAC prop</w:t>
      </w:r>
      <w:r w:rsidR="0034528C" w:rsidRPr="002261B9">
        <w:rPr>
          <w:lang w:val="es-ES"/>
        </w:rPr>
        <w:t xml:space="preserve">uso que se aprobara un valor límite más alto de </w:t>
      </w:r>
      <w:r w:rsidR="004D5B0D" w:rsidRPr="002261B9">
        <w:rPr>
          <w:lang w:val="es-ES"/>
        </w:rPr>
        <w:t>1 000 ppb p</w:t>
      </w:r>
      <w:r w:rsidR="0034528C" w:rsidRPr="002261B9">
        <w:rPr>
          <w:lang w:val="es-ES"/>
        </w:rPr>
        <w:t>o</w:t>
      </w:r>
      <w:r w:rsidR="004D5B0D" w:rsidRPr="002261B9">
        <w:rPr>
          <w:lang w:val="es-ES"/>
        </w:rPr>
        <w:t>r sustanc</w:t>
      </w:r>
      <w:r w:rsidR="0034528C" w:rsidRPr="002261B9">
        <w:rPr>
          <w:lang w:val="es-ES"/>
        </w:rPr>
        <w:t>ia</w:t>
      </w:r>
      <w:r w:rsidR="001F617C" w:rsidRPr="002261B9">
        <w:rPr>
          <w:lang w:val="es-ES"/>
        </w:rPr>
        <w:t xml:space="preserve"> tanto para el </w:t>
      </w:r>
      <w:r w:rsidR="004D5B0D" w:rsidRPr="002261B9">
        <w:rPr>
          <w:lang w:val="es-ES"/>
        </w:rPr>
        <w:t xml:space="preserve">PFOA </w:t>
      </w:r>
      <w:r w:rsidR="001F617C" w:rsidRPr="002261B9">
        <w:rPr>
          <w:lang w:val="es-ES"/>
        </w:rPr>
        <w:t xml:space="preserve">como para cada una </w:t>
      </w:r>
      <w:r w:rsidR="001F617C" w:rsidRPr="002261B9">
        <w:rPr>
          <w:lang w:val="es-ES"/>
        </w:rPr>
        <w:lastRenderedPageBreak/>
        <w:t xml:space="preserve">de las sustancias conexas del </w:t>
      </w:r>
      <w:r w:rsidR="004D5B0D" w:rsidRPr="002261B9">
        <w:rPr>
          <w:lang w:val="es-ES"/>
        </w:rPr>
        <w:t>PFOA</w:t>
      </w:r>
      <w:r w:rsidR="001F617C" w:rsidRPr="002261B9">
        <w:rPr>
          <w:lang w:val="es-ES"/>
        </w:rPr>
        <w:t>, cuando se utilicen en concentrados de espumas ignífuga</w:t>
      </w:r>
      <w:r w:rsidR="004D5B0D" w:rsidRPr="002261B9">
        <w:rPr>
          <w:lang w:val="es-ES"/>
        </w:rPr>
        <w:t xml:space="preserve">s, </w:t>
      </w:r>
      <w:r w:rsidR="001F617C" w:rsidRPr="002261B9">
        <w:rPr>
          <w:lang w:val="es-ES"/>
        </w:rPr>
        <w:t xml:space="preserve">y volver a examinar este límite de concentración con el objetivo de reducirlo </w:t>
      </w:r>
      <w:r w:rsidR="00D17B4B" w:rsidRPr="002261B9">
        <w:rPr>
          <w:lang w:val="es-ES"/>
        </w:rPr>
        <w:t xml:space="preserve">durante el examen propuesto de </w:t>
      </w:r>
      <w:r w:rsidR="001F617C" w:rsidRPr="002261B9">
        <w:rPr>
          <w:lang w:val="es-ES"/>
        </w:rPr>
        <w:t>la restricción</w:t>
      </w:r>
      <w:r w:rsidR="00D17B4B" w:rsidRPr="002261B9">
        <w:rPr>
          <w:lang w:val="es-ES"/>
        </w:rPr>
        <w:t xml:space="preserve"> </w:t>
      </w:r>
      <w:r w:rsidR="001F617C" w:rsidRPr="002261B9">
        <w:rPr>
          <w:lang w:val="es-ES"/>
        </w:rPr>
        <w:t xml:space="preserve">al cabo de </w:t>
      </w:r>
      <w:r w:rsidR="00EC671A" w:rsidRPr="002261B9">
        <w:rPr>
          <w:lang w:val="es-ES"/>
        </w:rPr>
        <w:t>cinco años</w:t>
      </w:r>
      <w:r w:rsidR="001F617C" w:rsidRPr="002261B9">
        <w:rPr>
          <w:lang w:val="es-ES"/>
        </w:rPr>
        <w:t xml:space="preserve"> de haber entrado en vigor</w:t>
      </w:r>
      <w:r w:rsidR="004D5B0D" w:rsidRPr="002261B9">
        <w:rPr>
          <w:lang w:val="es-ES"/>
        </w:rPr>
        <w:t xml:space="preserve"> (ECHA</w:t>
      </w:r>
      <w:r w:rsidR="004904E9" w:rsidRPr="002261B9">
        <w:rPr>
          <w:lang w:val="es-ES"/>
        </w:rPr>
        <w:t>,</w:t>
      </w:r>
      <w:r w:rsidR="006F57D4" w:rsidRPr="002261B9">
        <w:rPr>
          <w:lang w:val="es-ES"/>
        </w:rPr>
        <w:t xml:space="preserve"> 2</w:t>
      </w:r>
      <w:r w:rsidR="004D5B0D" w:rsidRPr="002261B9">
        <w:rPr>
          <w:lang w:val="es-ES"/>
        </w:rPr>
        <w:t>015c</w:t>
      </w:r>
      <w:r w:rsidR="00452DB2" w:rsidRPr="002261B9">
        <w:rPr>
          <w:lang w:val="es-ES"/>
        </w:rPr>
        <w:t>)</w:t>
      </w:r>
      <w:r w:rsidR="004D5B0D" w:rsidRPr="002261B9">
        <w:rPr>
          <w:lang w:val="es-ES"/>
        </w:rPr>
        <w:t>.</w:t>
      </w:r>
      <w:r w:rsidR="008F6756" w:rsidRPr="002261B9">
        <w:rPr>
          <w:lang w:val="es-ES"/>
        </w:rPr>
        <w:t xml:space="preserve"> </w:t>
      </w:r>
    </w:p>
    <w:p w14:paraId="1073E22C" w14:textId="5E587E8D" w:rsidR="004D5B0D" w:rsidRPr="002261B9" w:rsidRDefault="004D4808" w:rsidP="00F45508">
      <w:pPr>
        <w:pStyle w:val="Paralevel1"/>
        <w:numPr>
          <w:ilvl w:val="0"/>
          <w:numId w:val="23"/>
        </w:numPr>
        <w:tabs>
          <w:tab w:val="clear" w:pos="0"/>
        </w:tabs>
        <w:ind w:left="1247" w:firstLine="0"/>
        <w:rPr>
          <w:lang w:val="es-ES"/>
        </w:rPr>
      </w:pPr>
      <w:r w:rsidRPr="002261B9">
        <w:rPr>
          <w:lang w:val="es-ES"/>
        </w:rPr>
        <w:t>En el contexto de la restricción de la UE</w:t>
      </w:r>
      <w:r w:rsidR="007C4822" w:rsidRPr="002261B9">
        <w:rPr>
          <w:lang w:val="es-ES"/>
        </w:rPr>
        <w:t xml:space="preserve"> con arreglo </w:t>
      </w:r>
      <w:r w:rsidR="0043051C" w:rsidRPr="002261B9">
        <w:rPr>
          <w:lang w:val="es-ES"/>
        </w:rPr>
        <w:t>a su párrafo 4 e</w:t>
      </w:r>
      <w:r w:rsidR="007C4822" w:rsidRPr="002261B9">
        <w:rPr>
          <w:lang w:val="es-ES"/>
        </w:rPr>
        <w:t>)</w:t>
      </w:r>
      <w:r w:rsidRPr="002261B9">
        <w:rPr>
          <w:lang w:val="es-ES"/>
        </w:rPr>
        <w:t xml:space="preserve">, se establece una exención para las mezclas concentradas de espumas ignífuga que se hayan comercializado antes del </w:t>
      </w:r>
      <w:r w:rsidR="00553C08" w:rsidRPr="002261B9">
        <w:rPr>
          <w:lang w:val="es-ES"/>
        </w:rPr>
        <w:t xml:space="preserve">4 </w:t>
      </w:r>
      <w:r w:rsidRPr="002261B9">
        <w:rPr>
          <w:lang w:val="es-ES"/>
        </w:rPr>
        <w:t xml:space="preserve">de julio de </w:t>
      </w:r>
      <w:r w:rsidR="00553C08" w:rsidRPr="002261B9">
        <w:rPr>
          <w:lang w:val="es-ES"/>
        </w:rPr>
        <w:t>2020</w:t>
      </w:r>
      <w:r w:rsidR="004D5B0D" w:rsidRPr="002261B9">
        <w:rPr>
          <w:lang w:val="es-ES"/>
        </w:rPr>
        <w:t xml:space="preserve"> </w:t>
      </w:r>
      <w:r w:rsidRPr="002261B9">
        <w:rPr>
          <w:lang w:val="es-ES"/>
        </w:rPr>
        <w:t>y se vayan a usar o se estén usando en la producción de otras mezclas de espumas ignífugas</w:t>
      </w:r>
      <w:r w:rsidR="004D5B0D" w:rsidRPr="002261B9">
        <w:rPr>
          <w:lang w:val="es-ES"/>
        </w:rPr>
        <w:t xml:space="preserve">. </w:t>
      </w:r>
      <w:r w:rsidRPr="002261B9">
        <w:rPr>
          <w:lang w:val="es-ES"/>
        </w:rPr>
        <w:t xml:space="preserve">Además, se establece una exención </w:t>
      </w:r>
      <w:r w:rsidR="00625E63" w:rsidRPr="002261B9">
        <w:rPr>
          <w:lang w:val="es-ES"/>
        </w:rPr>
        <w:t>par</w:t>
      </w:r>
      <w:r w:rsidRPr="002261B9">
        <w:rPr>
          <w:lang w:val="es-ES"/>
        </w:rPr>
        <w:t>a</w:t>
      </w:r>
      <w:r w:rsidR="00625E63" w:rsidRPr="002261B9">
        <w:rPr>
          <w:lang w:val="es-ES"/>
        </w:rPr>
        <w:t xml:space="preserve"> </w:t>
      </w:r>
      <w:r w:rsidRPr="002261B9">
        <w:rPr>
          <w:lang w:val="es-ES"/>
        </w:rPr>
        <w:t xml:space="preserve">las mezclas de espumas ignífugas </w:t>
      </w:r>
      <w:r w:rsidR="00AB5192" w:rsidRPr="002261B9">
        <w:rPr>
          <w:lang w:val="es-ES"/>
        </w:rPr>
        <w:t>1</w:t>
      </w:r>
      <w:r w:rsidR="004D5B0D" w:rsidRPr="002261B9">
        <w:rPr>
          <w:lang w:val="es-ES"/>
        </w:rPr>
        <w:t xml:space="preserve">) </w:t>
      </w:r>
      <w:r w:rsidRPr="002261B9">
        <w:rPr>
          <w:lang w:val="es-ES"/>
        </w:rPr>
        <w:t>introducidas en el mercado antes del</w:t>
      </w:r>
      <w:r w:rsidR="00553C08" w:rsidRPr="002261B9">
        <w:rPr>
          <w:lang w:val="es-ES"/>
        </w:rPr>
        <w:t xml:space="preserve"> 4</w:t>
      </w:r>
      <w:r w:rsidR="007F38AE" w:rsidRPr="002261B9">
        <w:rPr>
          <w:lang w:val="es-ES"/>
        </w:rPr>
        <w:t> </w:t>
      </w:r>
      <w:r w:rsidRPr="002261B9">
        <w:rPr>
          <w:lang w:val="es-ES"/>
        </w:rPr>
        <w:t xml:space="preserve">de julio de </w:t>
      </w:r>
      <w:r w:rsidR="00553C08" w:rsidRPr="002261B9">
        <w:rPr>
          <w:lang w:val="es-ES"/>
        </w:rPr>
        <w:t>2020</w:t>
      </w:r>
      <w:r w:rsidR="004D5B0D" w:rsidRPr="002261B9">
        <w:rPr>
          <w:lang w:val="es-ES"/>
        </w:rPr>
        <w:t xml:space="preserve"> o</w:t>
      </w:r>
      <w:r w:rsidRPr="002261B9">
        <w:rPr>
          <w:lang w:val="es-ES"/>
        </w:rPr>
        <w:t xml:space="preserve"> </w:t>
      </w:r>
      <w:r w:rsidR="00AB5192" w:rsidRPr="002261B9">
        <w:rPr>
          <w:lang w:val="es-ES"/>
        </w:rPr>
        <w:t>2</w:t>
      </w:r>
      <w:r w:rsidR="004D5B0D" w:rsidRPr="002261B9">
        <w:rPr>
          <w:lang w:val="es-ES"/>
        </w:rPr>
        <w:t>) produc</w:t>
      </w:r>
      <w:r w:rsidRPr="002261B9">
        <w:rPr>
          <w:lang w:val="es-ES"/>
        </w:rPr>
        <w:t>ida</w:t>
      </w:r>
      <w:r w:rsidR="00C804FD" w:rsidRPr="002261B9">
        <w:rPr>
          <w:lang w:val="es-ES"/>
        </w:rPr>
        <w:t>s de conformidad con el párrafo </w:t>
      </w:r>
      <w:r w:rsidR="004D5B0D" w:rsidRPr="002261B9">
        <w:rPr>
          <w:lang w:val="es-ES"/>
        </w:rPr>
        <w:t>4</w:t>
      </w:r>
      <w:r w:rsidR="00C804FD" w:rsidRPr="002261B9">
        <w:rPr>
          <w:lang w:val="es-ES"/>
        </w:rPr>
        <w:t> </w:t>
      </w:r>
      <w:r w:rsidR="004D5B0D" w:rsidRPr="002261B9">
        <w:rPr>
          <w:lang w:val="es-ES"/>
        </w:rPr>
        <w:t xml:space="preserve">e), </w:t>
      </w:r>
      <w:r w:rsidR="00EC671A" w:rsidRPr="002261B9">
        <w:rPr>
          <w:lang w:val="es-ES"/>
        </w:rPr>
        <w:t>siempre y cuando</w:t>
      </w:r>
      <w:r w:rsidR="00625E63" w:rsidRPr="002261B9">
        <w:rPr>
          <w:lang w:val="es-ES"/>
        </w:rPr>
        <w:t xml:space="preserve">, cuando se usen para fines de </w:t>
      </w:r>
      <w:r w:rsidR="004556E0" w:rsidRPr="002261B9">
        <w:rPr>
          <w:lang w:val="es-ES"/>
        </w:rPr>
        <w:t>entrenamiento</w:t>
      </w:r>
      <w:r w:rsidR="004D5B0D" w:rsidRPr="002261B9">
        <w:rPr>
          <w:lang w:val="es-ES"/>
        </w:rPr>
        <w:t>,</w:t>
      </w:r>
      <w:r w:rsidR="00625E63" w:rsidRPr="002261B9">
        <w:rPr>
          <w:lang w:val="es-ES"/>
        </w:rPr>
        <w:t xml:space="preserve"> se reduzcan al mínimo las emisiones al medio ambiente y se recojan y eliminen los efluentes en condiciones seguras</w:t>
      </w:r>
      <w:r w:rsidR="004D5B0D" w:rsidRPr="002261B9">
        <w:rPr>
          <w:lang w:val="es-ES"/>
        </w:rPr>
        <w:t xml:space="preserve"> (</w:t>
      </w:r>
      <w:r w:rsidR="00912204" w:rsidRPr="002261B9">
        <w:rPr>
          <w:lang w:val="es-ES"/>
        </w:rPr>
        <w:t>Comisión Europea</w:t>
      </w:r>
      <w:r w:rsidR="004904E9" w:rsidRPr="002261B9">
        <w:rPr>
          <w:lang w:val="es-ES"/>
        </w:rPr>
        <w:t>,</w:t>
      </w:r>
      <w:r w:rsidR="006F57D4" w:rsidRPr="002261B9">
        <w:rPr>
          <w:lang w:val="es-ES"/>
        </w:rPr>
        <w:t xml:space="preserve"> 2</w:t>
      </w:r>
      <w:r w:rsidR="004D5B0D" w:rsidRPr="002261B9">
        <w:rPr>
          <w:lang w:val="es-ES"/>
        </w:rPr>
        <w:t>017</w:t>
      </w:r>
      <w:r w:rsidR="00452DB2" w:rsidRPr="002261B9">
        <w:rPr>
          <w:lang w:val="es-ES"/>
        </w:rPr>
        <w:t>)</w:t>
      </w:r>
      <w:r w:rsidR="004D5B0D" w:rsidRPr="002261B9">
        <w:rPr>
          <w:lang w:val="es-ES"/>
        </w:rPr>
        <w:t>.</w:t>
      </w:r>
      <w:r w:rsidR="00625E63" w:rsidRPr="002261B9">
        <w:rPr>
          <w:lang w:val="es-ES"/>
        </w:rPr>
        <w:t xml:space="preserve"> En el Canadá, se ha establecido una exención para </w:t>
      </w:r>
      <w:r w:rsidR="007C4822" w:rsidRPr="002261B9">
        <w:rPr>
          <w:lang w:val="es-ES"/>
        </w:rPr>
        <w:t>las espumas acuosas formadoras</w:t>
      </w:r>
      <w:r w:rsidR="00625E63" w:rsidRPr="002261B9">
        <w:rPr>
          <w:lang w:val="es-ES"/>
        </w:rPr>
        <w:t xml:space="preserve"> de películas usadas en aplicaciones de la lucha contra incendios</w:t>
      </w:r>
      <w:r w:rsidR="004D5B0D" w:rsidRPr="002261B9">
        <w:rPr>
          <w:lang w:val="es-ES"/>
        </w:rPr>
        <w:t xml:space="preserve"> (Canad</w:t>
      </w:r>
      <w:r w:rsidR="00625E63" w:rsidRPr="002261B9">
        <w:rPr>
          <w:lang w:val="es-ES"/>
        </w:rPr>
        <w:t>á</w:t>
      </w:r>
      <w:r w:rsidR="004904E9" w:rsidRPr="002261B9">
        <w:rPr>
          <w:lang w:val="es-ES"/>
        </w:rPr>
        <w:t>,</w:t>
      </w:r>
      <w:r w:rsidR="006F57D4" w:rsidRPr="002261B9">
        <w:rPr>
          <w:lang w:val="es-ES"/>
        </w:rPr>
        <w:t xml:space="preserve"> 2</w:t>
      </w:r>
      <w:r w:rsidR="004D5B0D" w:rsidRPr="002261B9">
        <w:rPr>
          <w:lang w:val="es-ES"/>
        </w:rPr>
        <w:t>016c</w:t>
      </w:r>
      <w:r w:rsidR="00452DB2" w:rsidRPr="002261B9">
        <w:rPr>
          <w:lang w:val="es-ES"/>
        </w:rPr>
        <w:t>)</w:t>
      </w:r>
      <w:r w:rsidR="004D5B0D" w:rsidRPr="002261B9">
        <w:rPr>
          <w:lang w:val="es-ES"/>
        </w:rPr>
        <w:t xml:space="preserve">. </w:t>
      </w:r>
      <w:r w:rsidR="00625E63" w:rsidRPr="002261B9">
        <w:rPr>
          <w:lang w:val="es-ES"/>
        </w:rPr>
        <w:t xml:space="preserve">No existen exenciones para las espumas ignífugas en </w:t>
      </w:r>
      <w:r w:rsidR="003F3A09" w:rsidRPr="002261B9">
        <w:rPr>
          <w:lang w:val="es-ES"/>
        </w:rPr>
        <w:t>Noruega</w:t>
      </w:r>
      <w:r w:rsidR="00EC671A" w:rsidRPr="002261B9">
        <w:rPr>
          <w:lang w:val="es-ES"/>
        </w:rPr>
        <w:t>;</w:t>
      </w:r>
      <w:r w:rsidR="00D47B05" w:rsidRPr="002261B9">
        <w:rPr>
          <w:lang w:val="es-ES"/>
        </w:rPr>
        <w:t xml:space="preserve"> </w:t>
      </w:r>
      <w:r w:rsidR="00625E63" w:rsidRPr="002261B9">
        <w:rPr>
          <w:lang w:val="es-ES"/>
        </w:rPr>
        <w:t>sin embargo</w:t>
      </w:r>
      <w:r w:rsidR="00D47B05" w:rsidRPr="002261B9">
        <w:rPr>
          <w:lang w:val="es-ES"/>
        </w:rPr>
        <w:t xml:space="preserve">, </w:t>
      </w:r>
      <w:r w:rsidR="00625E63" w:rsidRPr="002261B9">
        <w:rPr>
          <w:lang w:val="es-ES"/>
        </w:rPr>
        <w:t>no se aplica el procedimiento de gestión de los riesgos porque atañe a los productos de consumo y las espumas acuosas formadoras de películas son de uso exclusivamente profesional</w:t>
      </w:r>
      <w:r w:rsidR="004D5B0D" w:rsidRPr="002261B9">
        <w:rPr>
          <w:lang w:val="es-ES"/>
        </w:rPr>
        <w:t xml:space="preserve">. </w:t>
      </w:r>
      <w:r w:rsidR="00625E63" w:rsidRPr="002261B9">
        <w:rPr>
          <w:lang w:val="es-ES"/>
        </w:rPr>
        <w:t>La Asociación Canadiense de Combustibles</w:t>
      </w:r>
      <w:r w:rsidR="00DB4925" w:rsidRPr="002261B9">
        <w:rPr>
          <w:lang w:val="es-ES"/>
        </w:rPr>
        <w:t xml:space="preserve"> (CFA) </w:t>
      </w:r>
      <w:r w:rsidR="00625E63" w:rsidRPr="002261B9">
        <w:rPr>
          <w:lang w:val="es-ES"/>
        </w:rPr>
        <w:t>apoya la exención de las espumas acuosas formadoras de películas como se propone en la evaluación de la gestión de los riesgo</w:t>
      </w:r>
      <w:r w:rsidR="00DB4925" w:rsidRPr="002261B9">
        <w:rPr>
          <w:lang w:val="es-ES"/>
        </w:rPr>
        <w:t>s (</w:t>
      </w:r>
      <w:r w:rsidR="007F0459" w:rsidRPr="002261B9">
        <w:rPr>
          <w:lang w:val="es-ES"/>
        </w:rPr>
        <w:t>Observaciones</w:t>
      </w:r>
      <w:r w:rsidR="00625E63" w:rsidRPr="002261B9">
        <w:rPr>
          <w:lang w:val="es-ES"/>
        </w:rPr>
        <w:t xml:space="preserve"> de la </w:t>
      </w:r>
      <w:r w:rsidR="00DB4925" w:rsidRPr="002261B9">
        <w:rPr>
          <w:lang w:val="es-ES"/>
        </w:rPr>
        <w:t xml:space="preserve">CFA </w:t>
      </w:r>
      <w:r w:rsidR="00625E63" w:rsidRPr="002261B9">
        <w:rPr>
          <w:lang w:val="es-ES"/>
        </w:rPr>
        <w:t>sobre el segundo proyecto de evaluación de la gestión de los riesgos</w:t>
      </w:r>
      <w:r w:rsidR="00DB4925" w:rsidRPr="002261B9">
        <w:rPr>
          <w:lang w:val="es-ES"/>
        </w:rPr>
        <w:t>).</w:t>
      </w:r>
    </w:p>
    <w:p w14:paraId="48B87951" w14:textId="092A530A" w:rsidR="004D5B0D" w:rsidRPr="002261B9" w:rsidRDefault="00EC480D" w:rsidP="00F45508">
      <w:pPr>
        <w:pStyle w:val="ListParagraph"/>
        <w:numPr>
          <w:ilvl w:val="0"/>
          <w:numId w:val="25"/>
        </w:numPr>
        <w:spacing w:after="120"/>
        <w:jc w:val="both"/>
        <w:rPr>
          <w:b/>
          <w:i/>
          <w:sz w:val="20"/>
          <w:szCs w:val="20"/>
          <w:lang w:val="es-ES"/>
        </w:rPr>
      </w:pPr>
      <w:r w:rsidRPr="002261B9">
        <w:rPr>
          <w:b/>
          <w:i/>
          <w:sz w:val="20"/>
          <w:szCs w:val="20"/>
          <w:lang w:val="es-ES"/>
        </w:rPr>
        <w:t xml:space="preserve">Dispositivos médicos </w:t>
      </w:r>
    </w:p>
    <w:p w14:paraId="6812EF44" w14:textId="72F364FC" w:rsidR="004D5B0D" w:rsidRPr="002261B9" w:rsidRDefault="004920D8" w:rsidP="00F45508">
      <w:pPr>
        <w:pStyle w:val="Paralevel1"/>
        <w:numPr>
          <w:ilvl w:val="0"/>
          <w:numId w:val="23"/>
        </w:numPr>
        <w:tabs>
          <w:tab w:val="clear" w:pos="0"/>
        </w:tabs>
        <w:ind w:left="1247" w:firstLine="0"/>
        <w:rPr>
          <w:lang w:val="es-ES"/>
        </w:rPr>
      </w:pPr>
      <w:r w:rsidRPr="002261B9">
        <w:rPr>
          <w:lang w:val="es-ES"/>
        </w:rPr>
        <w:t>En la consulta pública celebrada en la Unión Europea, los interesados señalaron que está en marcha la sustitución</w:t>
      </w:r>
      <w:r w:rsidR="00EC671A" w:rsidRPr="002261B9">
        <w:rPr>
          <w:lang w:val="es-ES"/>
        </w:rPr>
        <w:t>,</w:t>
      </w:r>
      <w:r w:rsidRPr="002261B9">
        <w:rPr>
          <w:lang w:val="es-ES"/>
        </w:rPr>
        <w:t xml:space="preserve"> pero </w:t>
      </w:r>
      <w:r w:rsidR="00EC671A" w:rsidRPr="002261B9">
        <w:rPr>
          <w:lang w:val="es-ES"/>
        </w:rPr>
        <w:t xml:space="preserve">que </w:t>
      </w:r>
      <w:r w:rsidRPr="002261B9">
        <w:rPr>
          <w:lang w:val="es-ES"/>
        </w:rPr>
        <w:t>se trata de un proceso lento, dada la complejidad de las cadenas de suministro y los procesos de certificación</w:t>
      </w:r>
      <w:r w:rsidR="004D5B0D" w:rsidRPr="002261B9">
        <w:rPr>
          <w:lang w:val="es-ES"/>
        </w:rPr>
        <w:t xml:space="preserve">. </w:t>
      </w:r>
      <w:r w:rsidRPr="002261B9">
        <w:rPr>
          <w:lang w:val="es-ES"/>
        </w:rPr>
        <w:t xml:space="preserve">Se solicitó un período de transición en general de </w:t>
      </w:r>
      <w:r w:rsidR="00EC671A" w:rsidRPr="002261B9">
        <w:rPr>
          <w:lang w:val="es-ES"/>
        </w:rPr>
        <w:t>cinco</w:t>
      </w:r>
      <w:r w:rsidRPr="002261B9">
        <w:rPr>
          <w:lang w:val="es-ES"/>
        </w:rPr>
        <w:t xml:space="preserve"> años como mínimo</w:t>
      </w:r>
      <w:r w:rsidR="004D5B0D" w:rsidRPr="002261B9">
        <w:rPr>
          <w:lang w:val="es-ES"/>
        </w:rPr>
        <w:t xml:space="preserve">, </w:t>
      </w:r>
      <w:r w:rsidRPr="002261B9">
        <w:rPr>
          <w:lang w:val="es-ES"/>
        </w:rPr>
        <w:t xml:space="preserve">pero en el caso de algunos dispositivos, este período de transición podría ser demasiado corto. En el caso específico de los dispositivos médicos implantables, un fabricante solicitó un período de transición de </w:t>
      </w:r>
      <w:r w:rsidR="004D5B0D" w:rsidRPr="002261B9">
        <w:rPr>
          <w:lang w:val="es-ES"/>
        </w:rPr>
        <w:t xml:space="preserve">15 </w:t>
      </w:r>
      <w:r w:rsidRPr="002261B9">
        <w:rPr>
          <w:lang w:val="es-ES"/>
        </w:rPr>
        <w:t>años</w:t>
      </w:r>
      <w:r w:rsidR="004D5B0D" w:rsidRPr="002261B9">
        <w:rPr>
          <w:lang w:val="es-ES"/>
        </w:rPr>
        <w:t xml:space="preserve"> (ECHA</w:t>
      </w:r>
      <w:r w:rsidR="004904E9" w:rsidRPr="002261B9">
        <w:rPr>
          <w:lang w:val="es-ES"/>
        </w:rPr>
        <w:t>,</w:t>
      </w:r>
      <w:r w:rsidR="006F57D4" w:rsidRPr="002261B9">
        <w:rPr>
          <w:lang w:val="es-ES"/>
        </w:rPr>
        <w:t xml:space="preserve"> 2</w:t>
      </w:r>
      <w:r w:rsidR="004D5B0D" w:rsidRPr="002261B9">
        <w:rPr>
          <w:lang w:val="es-ES"/>
        </w:rPr>
        <w:t>015c</w:t>
      </w:r>
      <w:r w:rsidR="00452DB2" w:rsidRPr="002261B9">
        <w:rPr>
          <w:lang w:val="es-ES"/>
        </w:rPr>
        <w:t>)</w:t>
      </w:r>
      <w:r w:rsidR="004D5B0D" w:rsidRPr="002261B9">
        <w:rPr>
          <w:lang w:val="es-ES"/>
        </w:rPr>
        <w:t xml:space="preserve">. </w:t>
      </w:r>
    </w:p>
    <w:p w14:paraId="3971F18C" w14:textId="145D085C" w:rsidR="004D5B0D" w:rsidRPr="002261B9" w:rsidRDefault="004920D8" w:rsidP="00F45508">
      <w:pPr>
        <w:pStyle w:val="Paralevel1"/>
        <w:numPr>
          <w:ilvl w:val="0"/>
          <w:numId w:val="23"/>
        </w:numPr>
        <w:tabs>
          <w:tab w:val="clear" w:pos="0"/>
        </w:tabs>
        <w:ind w:left="1247" w:firstLine="0"/>
        <w:rPr>
          <w:lang w:val="es-ES"/>
        </w:rPr>
      </w:pPr>
      <w:r w:rsidRPr="002261B9">
        <w:rPr>
          <w:lang w:val="es-ES"/>
        </w:rPr>
        <w:t>En el marco de la restricción de la Unión Europea, para los dispositivos médicos que no sean implantables</w:t>
      </w:r>
      <w:r w:rsidR="00575E9A" w:rsidRPr="002261B9">
        <w:rPr>
          <w:lang w:val="es-ES"/>
        </w:rPr>
        <w:t>,</w:t>
      </w:r>
      <w:r w:rsidRPr="002261B9">
        <w:rPr>
          <w:lang w:val="es-ES"/>
        </w:rPr>
        <w:t xml:space="preserve"> según lo dispuesto en la Directiva 93/42/EEC</w:t>
      </w:r>
      <w:r w:rsidR="00575E9A" w:rsidRPr="002261B9">
        <w:rPr>
          <w:lang w:val="es-ES"/>
        </w:rPr>
        <w:t>,</w:t>
      </w:r>
      <w:r w:rsidRPr="002261B9">
        <w:rPr>
          <w:lang w:val="es-ES"/>
        </w:rPr>
        <w:t xml:space="preserve"> se establece una exención por tiempo limitado</w:t>
      </w:r>
      <w:r w:rsidR="004D5B0D" w:rsidRPr="002261B9">
        <w:rPr>
          <w:lang w:val="es-ES"/>
        </w:rPr>
        <w:t xml:space="preserve"> (</w:t>
      </w:r>
      <w:r w:rsidR="00C804FD" w:rsidRPr="002261B9">
        <w:rPr>
          <w:lang w:val="es-ES"/>
        </w:rPr>
        <w:t>hasta el 4 de julio de </w:t>
      </w:r>
      <w:r w:rsidR="00553C08" w:rsidRPr="002261B9">
        <w:rPr>
          <w:lang w:val="es-ES"/>
        </w:rPr>
        <w:t>2032</w:t>
      </w:r>
      <w:r w:rsidR="004D5B0D" w:rsidRPr="002261B9">
        <w:rPr>
          <w:lang w:val="es-ES"/>
        </w:rPr>
        <w:t>)</w:t>
      </w:r>
      <w:r w:rsidRPr="002261B9">
        <w:rPr>
          <w:lang w:val="es-ES"/>
        </w:rPr>
        <w:t xml:space="preserve">. Además, se ha establecido una exención sin límite de tiempo </w:t>
      </w:r>
      <w:r w:rsidR="00575E9A" w:rsidRPr="002261B9">
        <w:rPr>
          <w:lang w:val="es-ES"/>
        </w:rPr>
        <w:t>para la producción de determinados dispositivos implantables</w:t>
      </w:r>
      <w:r w:rsidR="004D5B0D" w:rsidRPr="002261B9">
        <w:rPr>
          <w:lang w:val="es-ES"/>
        </w:rPr>
        <w:t xml:space="preserve"> (</w:t>
      </w:r>
      <w:r w:rsidR="00575E9A" w:rsidRPr="002261B9">
        <w:rPr>
          <w:lang w:val="es-ES"/>
        </w:rPr>
        <w:t xml:space="preserve">Comisión </w:t>
      </w:r>
      <w:r w:rsidR="004E7259" w:rsidRPr="002261B9">
        <w:rPr>
          <w:lang w:val="es-ES"/>
        </w:rPr>
        <w:t>Europea</w:t>
      </w:r>
      <w:r w:rsidR="004904E9" w:rsidRPr="002261B9">
        <w:rPr>
          <w:lang w:val="es-ES"/>
        </w:rPr>
        <w:t>,</w:t>
      </w:r>
      <w:r w:rsidR="006F57D4" w:rsidRPr="002261B9">
        <w:rPr>
          <w:lang w:val="es-ES"/>
        </w:rPr>
        <w:t xml:space="preserve"> 2</w:t>
      </w:r>
      <w:r w:rsidR="004D5B0D" w:rsidRPr="002261B9">
        <w:rPr>
          <w:lang w:val="es-ES"/>
        </w:rPr>
        <w:t>017</w:t>
      </w:r>
      <w:r w:rsidR="00452DB2" w:rsidRPr="002261B9">
        <w:rPr>
          <w:lang w:val="es-ES"/>
        </w:rPr>
        <w:t>)</w:t>
      </w:r>
      <w:r w:rsidR="004D5B0D" w:rsidRPr="002261B9">
        <w:rPr>
          <w:lang w:val="es-ES"/>
        </w:rPr>
        <w:t xml:space="preserve">. </w:t>
      </w:r>
      <w:r w:rsidR="00575E9A" w:rsidRPr="002261B9">
        <w:rPr>
          <w:lang w:val="es-ES"/>
        </w:rPr>
        <w:t xml:space="preserve">Noruega aplica una exención para los dispositivos médicos </w:t>
      </w:r>
      <w:r w:rsidR="0068299F" w:rsidRPr="002261B9">
        <w:rPr>
          <w:lang w:val="es-ES"/>
        </w:rPr>
        <w:t>(</w:t>
      </w:r>
      <w:r w:rsidR="00575E9A" w:rsidRPr="002261B9">
        <w:rPr>
          <w:lang w:val="es-ES"/>
        </w:rPr>
        <w:t>sin límite de tiempo</w:t>
      </w:r>
      <w:r w:rsidR="0068299F" w:rsidRPr="002261B9">
        <w:rPr>
          <w:lang w:val="es-ES"/>
        </w:rPr>
        <w:t>)</w:t>
      </w:r>
      <w:r w:rsidR="004D5B0D" w:rsidRPr="002261B9">
        <w:rPr>
          <w:lang w:val="es-ES"/>
        </w:rPr>
        <w:t xml:space="preserve">. </w:t>
      </w:r>
    </w:p>
    <w:p w14:paraId="634C6CA3" w14:textId="6149F5B5" w:rsidR="00BE708D" w:rsidRPr="002261B9" w:rsidRDefault="00EC480D" w:rsidP="00547A47">
      <w:pPr>
        <w:tabs>
          <w:tab w:val="left" w:pos="624"/>
        </w:tabs>
        <w:spacing w:after="120"/>
        <w:ind w:left="1248" w:hanging="624"/>
        <w:rPr>
          <w:b/>
          <w:i/>
          <w:sz w:val="20"/>
          <w:szCs w:val="20"/>
          <w:lang w:val="es-ES"/>
        </w:rPr>
      </w:pPr>
      <w:bookmarkStart w:id="28" w:name="_Ref483303706"/>
      <w:r w:rsidRPr="002261B9">
        <w:rPr>
          <w:b/>
          <w:i/>
          <w:sz w:val="20"/>
          <w:szCs w:val="20"/>
          <w:lang w:val="es-ES"/>
        </w:rPr>
        <w:t>J.</w:t>
      </w:r>
      <w:r w:rsidR="0093050C" w:rsidRPr="002261B9">
        <w:rPr>
          <w:b/>
          <w:i/>
          <w:sz w:val="20"/>
          <w:szCs w:val="20"/>
          <w:lang w:val="es-ES"/>
        </w:rPr>
        <w:tab/>
      </w:r>
      <w:r w:rsidR="00FF7378" w:rsidRPr="002261B9">
        <w:rPr>
          <w:b/>
          <w:i/>
          <w:sz w:val="20"/>
          <w:szCs w:val="20"/>
          <w:lang w:val="es-ES"/>
        </w:rPr>
        <w:t>Uso de sustancias intermedias transportadas</w:t>
      </w:r>
      <w:r w:rsidRPr="002261B9">
        <w:rPr>
          <w:b/>
          <w:i/>
          <w:sz w:val="20"/>
          <w:szCs w:val="20"/>
          <w:lang w:val="es-ES"/>
        </w:rPr>
        <w:t xml:space="preserve"> en la </w:t>
      </w:r>
      <w:r w:rsidR="00DF31A3" w:rsidRPr="002261B9">
        <w:rPr>
          <w:b/>
          <w:i/>
          <w:sz w:val="20"/>
          <w:szCs w:val="20"/>
          <w:lang w:val="es-ES"/>
        </w:rPr>
        <w:t>elaboración de productos farmacéuticos</w:t>
      </w:r>
    </w:p>
    <w:p w14:paraId="05F08ED2" w14:textId="5AEF26B3" w:rsidR="00934533" w:rsidRPr="002261B9" w:rsidRDefault="00D17B4B" w:rsidP="00F45508">
      <w:pPr>
        <w:pStyle w:val="Paralevel1"/>
        <w:numPr>
          <w:ilvl w:val="0"/>
          <w:numId w:val="23"/>
        </w:numPr>
        <w:tabs>
          <w:tab w:val="clear" w:pos="0"/>
        </w:tabs>
        <w:ind w:left="1247" w:firstLine="0"/>
        <w:rPr>
          <w:lang w:val="es-ES"/>
        </w:rPr>
      </w:pPr>
      <w:r w:rsidRPr="002261B9">
        <w:rPr>
          <w:lang w:val="es-ES"/>
        </w:rPr>
        <w:t xml:space="preserve">Según la industria química, no se han creado alternativas para todos los </w:t>
      </w:r>
      <w:r w:rsidR="00DF31A3" w:rsidRPr="002261B9">
        <w:rPr>
          <w:lang w:val="es-ES"/>
        </w:rPr>
        <w:t>productos farmacéuticos</w:t>
      </w:r>
      <w:r w:rsidRPr="002261B9">
        <w:rPr>
          <w:lang w:val="es-ES"/>
        </w:rPr>
        <w:t xml:space="preserve"> y algunos otros productos químicos muy especializados </w:t>
      </w:r>
      <w:r w:rsidR="00C47674" w:rsidRPr="002261B9">
        <w:rPr>
          <w:lang w:val="es-ES"/>
        </w:rPr>
        <w:t>y</w:t>
      </w:r>
      <w:r w:rsidRPr="002261B9">
        <w:rPr>
          <w:lang w:val="es-ES"/>
        </w:rPr>
        <w:t xml:space="preserve"> medios de procesamiento que usan compuestos conexos del PFOA como materia prima</w:t>
      </w:r>
      <w:r w:rsidR="00BE708D" w:rsidRPr="002261B9">
        <w:rPr>
          <w:lang w:val="es-ES"/>
        </w:rPr>
        <w:t xml:space="preserve"> </w:t>
      </w:r>
      <w:r w:rsidRPr="002261B9">
        <w:rPr>
          <w:lang w:val="es-ES"/>
        </w:rPr>
        <w:t>y que tienen un beneficio socioeconómico en determinadas normas de rendimiento</w:t>
      </w:r>
      <w:r w:rsidR="00BE708D" w:rsidRPr="002261B9">
        <w:rPr>
          <w:lang w:val="es-ES"/>
        </w:rPr>
        <w:t xml:space="preserve"> (FluoroCo</w:t>
      </w:r>
      <w:r w:rsidR="008C0DD9" w:rsidRPr="002261B9">
        <w:rPr>
          <w:lang w:val="es-ES"/>
        </w:rPr>
        <w:t>u</w:t>
      </w:r>
      <w:r w:rsidR="00BE708D" w:rsidRPr="002261B9">
        <w:rPr>
          <w:lang w:val="es-ES"/>
        </w:rPr>
        <w:t>ncil</w:t>
      </w:r>
      <w:r w:rsidR="004904E9" w:rsidRPr="002261B9">
        <w:rPr>
          <w:lang w:val="es-ES"/>
        </w:rPr>
        <w:t>,</w:t>
      </w:r>
      <w:r w:rsidR="006F57D4" w:rsidRPr="002261B9">
        <w:rPr>
          <w:lang w:val="es-ES"/>
        </w:rPr>
        <w:t xml:space="preserve"> 2</w:t>
      </w:r>
      <w:r w:rsidR="00BE708D" w:rsidRPr="002261B9">
        <w:rPr>
          <w:lang w:val="es-ES"/>
        </w:rPr>
        <w:t>016a</w:t>
      </w:r>
      <w:r w:rsidR="00452DB2" w:rsidRPr="002261B9">
        <w:rPr>
          <w:lang w:val="es-ES"/>
        </w:rPr>
        <w:t>)</w:t>
      </w:r>
      <w:r w:rsidR="00BE708D" w:rsidRPr="002261B9">
        <w:rPr>
          <w:lang w:val="es-ES"/>
        </w:rPr>
        <w:t xml:space="preserve">. </w:t>
      </w:r>
      <w:r w:rsidRPr="002261B9">
        <w:rPr>
          <w:lang w:val="es-ES"/>
        </w:rPr>
        <w:t>No hay información en la que se especifique</w:t>
      </w:r>
      <w:r w:rsidR="00DF31A3" w:rsidRPr="002261B9">
        <w:rPr>
          <w:lang w:val="es-ES"/>
        </w:rPr>
        <w:t>n</w:t>
      </w:r>
      <w:r w:rsidR="00BE708D" w:rsidRPr="002261B9">
        <w:rPr>
          <w:lang w:val="es-ES"/>
        </w:rPr>
        <w:t xml:space="preserve"> </w:t>
      </w:r>
      <w:r w:rsidR="00DF31A3" w:rsidRPr="002261B9">
        <w:rPr>
          <w:lang w:val="es-ES"/>
        </w:rPr>
        <w:t xml:space="preserve">esos </w:t>
      </w:r>
      <w:r w:rsidR="00E1011E" w:rsidRPr="002261B9">
        <w:rPr>
          <w:lang w:val="es-ES"/>
        </w:rPr>
        <w:t>“</w:t>
      </w:r>
      <w:r w:rsidR="00BE708D" w:rsidRPr="002261B9">
        <w:rPr>
          <w:lang w:val="es-ES"/>
        </w:rPr>
        <w:t>ot</w:t>
      </w:r>
      <w:r w:rsidR="00DF31A3" w:rsidRPr="002261B9">
        <w:rPr>
          <w:lang w:val="es-ES"/>
        </w:rPr>
        <w:t>ros productos químicos muy especializados</w:t>
      </w:r>
      <w:r w:rsidR="00E1011E" w:rsidRPr="002261B9">
        <w:rPr>
          <w:lang w:val="es-ES"/>
        </w:rPr>
        <w:t>”</w:t>
      </w:r>
      <w:r w:rsidR="00BE708D" w:rsidRPr="002261B9">
        <w:rPr>
          <w:lang w:val="es-ES"/>
        </w:rPr>
        <w:t xml:space="preserve">. </w:t>
      </w:r>
      <w:r w:rsidR="00DF31A3" w:rsidRPr="002261B9">
        <w:rPr>
          <w:lang w:val="es-ES"/>
        </w:rPr>
        <w:t>En el context</w:t>
      </w:r>
      <w:r w:rsidR="00C209C0" w:rsidRPr="002261B9">
        <w:rPr>
          <w:lang w:val="es-ES"/>
        </w:rPr>
        <w:t>o</w:t>
      </w:r>
      <w:r w:rsidR="00DF31A3" w:rsidRPr="002261B9">
        <w:rPr>
          <w:lang w:val="es-ES"/>
        </w:rPr>
        <w:t xml:space="preserve"> del Enfoque Estratégico,</w:t>
      </w:r>
      <w:r w:rsidR="00BE708D" w:rsidRPr="002261B9">
        <w:rPr>
          <w:lang w:val="es-ES"/>
        </w:rPr>
        <w:t xml:space="preserve"> </w:t>
      </w:r>
      <w:r w:rsidR="00DF31A3" w:rsidRPr="002261B9">
        <w:rPr>
          <w:lang w:val="es-ES"/>
        </w:rPr>
        <w:t>los contaminantes farmacéuticos persistentes en el medio ambiente</w:t>
      </w:r>
      <w:r w:rsidR="00BE708D" w:rsidRPr="002261B9">
        <w:rPr>
          <w:lang w:val="es-ES"/>
        </w:rPr>
        <w:t xml:space="preserve"> </w:t>
      </w:r>
      <w:r w:rsidR="00DF31A3" w:rsidRPr="002261B9">
        <w:rPr>
          <w:lang w:val="es-ES"/>
        </w:rPr>
        <w:t>figuran entre las nuevas cuestiones normativas a nivel mundial</w:t>
      </w:r>
      <w:r w:rsidR="00BE708D" w:rsidRPr="002261B9">
        <w:rPr>
          <w:lang w:val="es-ES"/>
        </w:rPr>
        <w:t xml:space="preserve">, </w:t>
      </w:r>
      <w:r w:rsidR="00DF31A3" w:rsidRPr="002261B9">
        <w:rPr>
          <w:lang w:val="es-ES"/>
        </w:rPr>
        <w:t xml:space="preserve">al tiempo que se reconoce que los productos farmacéuticos </w:t>
      </w:r>
      <w:r w:rsidR="00C209C0" w:rsidRPr="002261B9">
        <w:rPr>
          <w:lang w:val="es-ES"/>
        </w:rPr>
        <w:t>aportan grandes beneficios a la salud de los seres humanos y al bienestar de los animales</w:t>
      </w:r>
      <w:r w:rsidR="00DF31A3" w:rsidRPr="002261B9">
        <w:rPr>
          <w:lang w:val="es-ES"/>
        </w:rPr>
        <w:t>.</w:t>
      </w:r>
      <w:r w:rsidR="00BE708D" w:rsidRPr="002261B9">
        <w:rPr>
          <w:lang w:val="es-ES"/>
        </w:rPr>
        <w:t xml:space="preserve"> </w:t>
      </w:r>
      <w:r w:rsidR="00C209C0" w:rsidRPr="002261B9">
        <w:rPr>
          <w:lang w:val="es-ES"/>
        </w:rPr>
        <w:t xml:space="preserve">El bromuro de perfluorooctilo </w:t>
      </w:r>
      <w:r w:rsidR="00D86FFF" w:rsidRPr="002261B9">
        <w:rPr>
          <w:lang w:val="es-ES"/>
        </w:rPr>
        <w:t>(PFOB</w:t>
      </w:r>
      <w:r w:rsidR="00BE708D" w:rsidRPr="002261B9">
        <w:rPr>
          <w:lang w:val="es-ES"/>
        </w:rPr>
        <w:t xml:space="preserve">) </w:t>
      </w:r>
      <w:r w:rsidR="00C209C0" w:rsidRPr="002261B9">
        <w:rPr>
          <w:lang w:val="es-ES"/>
        </w:rPr>
        <w:t>se produce a partir del yoduro de perfluorooctilo</w:t>
      </w:r>
      <w:r w:rsidR="00D86FFF" w:rsidRPr="002261B9">
        <w:rPr>
          <w:lang w:val="es-ES"/>
        </w:rPr>
        <w:t xml:space="preserve"> (PFOI</w:t>
      </w:r>
      <w:r w:rsidR="00BE708D" w:rsidRPr="002261B9">
        <w:rPr>
          <w:lang w:val="es-ES"/>
        </w:rPr>
        <w:t xml:space="preserve">). </w:t>
      </w:r>
      <w:r w:rsidR="00C209C0" w:rsidRPr="002261B9">
        <w:rPr>
          <w:lang w:val="es-ES"/>
        </w:rPr>
        <w:t xml:space="preserve">El </w:t>
      </w:r>
      <w:r w:rsidR="00BE708D" w:rsidRPr="002261B9">
        <w:rPr>
          <w:lang w:val="es-ES"/>
        </w:rPr>
        <w:t xml:space="preserve">PFOI </w:t>
      </w:r>
      <w:r w:rsidR="00C209C0" w:rsidRPr="002261B9">
        <w:rPr>
          <w:lang w:val="es-ES"/>
        </w:rPr>
        <w:t>se produce en un solo lugar del Japó</w:t>
      </w:r>
      <w:r w:rsidR="00BE708D" w:rsidRPr="002261B9">
        <w:rPr>
          <w:lang w:val="es-ES"/>
        </w:rPr>
        <w:t>n dur</w:t>
      </w:r>
      <w:r w:rsidR="00C209C0" w:rsidRPr="002261B9">
        <w:rPr>
          <w:lang w:val="es-ES"/>
        </w:rPr>
        <w:t>ante la producción de susta</w:t>
      </w:r>
      <w:r w:rsidR="00C804FD" w:rsidRPr="002261B9">
        <w:rPr>
          <w:lang w:val="es-ES"/>
        </w:rPr>
        <w:t>ncias a base de fluorotelómeros </w:t>
      </w:r>
      <w:r w:rsidR="00C209C0" w:rsidRPr="002261B9">
        <w:rPr>
          <w:lang w:val="es-ES"/>
        </w:rPr>
        <w:t>6:2</w:t>
      </w:r>
      <w:r w:rsidR="00FF7378" w:rsidRPr="002261B9">
        <w:rPr>
          <w:lang w:val="es-ES"/>
        </w:rPr>
        <w:t xml:space="preserve"> (telomerización, separación y destilación en sistema cerrado)</w:t>
      </w:r>
      <w:r w:rsidR="00BE708D" w:rsidRPr="002261B9">
        <w:rPr>
          <w:lang w:val="es-ES"/>
        </w:rPr>
        <w:t xml:space="preserve">, </w:t>
      </w:r>
      <w:r w:rsidR="00C209C0" w:rsidRPr="002261B9">
        <w:rPr>
          <w:lang w:val="es-ES"/>
        </w:rPr>
        <w:t xml:space="preserve">y es transportado entonces como </w:t>
      </w:r>
      <w:r w:rsidR="00DB5AC5" w:rsidRPr="002261B9">
        <w:rPr>
          <w:lang w:val="es-ES"/>
        </w:rPr>
        <w:t>producto intermedio</w:t>
      </w:r>
      <w:r w:rsidR="00C209C0" w:rsidRPr="002261B9">
        <w:rPr>
          <w:lang w:val="es-ES"/>
        </w:rPr>
        <w:t xml:space="preserve"> aislado a otra planta del Japón para producir</w:t>
      </w:r>
      <w:r w:rsidR="00BE708D" w:rsidRPr="002261B9">
        <w:rPr>
          <w:lang w:val="es-ES"/>
        </w:rPr>
        <w:t xml:space="preserve"> PFOB. </w:t>
      </w:r>
      <w:r w:rsidR="00FF7378" w:rsidRPr="002261B9">
        <w:rPr>
          <w:lang w:val="es-ES"/>
        </w:rPr>
        <w:t xml:space="preserve">Todos los desechos generados de la producción de PFOI se recolectan en un sistema cerrado y se incineran. Cabe esperar la emisión de una pequeña cantidad al aire, que se estima sea inferior a 1 kg por año. </w:t>
      </w:r>
      <w:r w:rsidR="00C209C0" w:rsidRPr="002261B9">
        <w:rPr>
          <w:lang w:val="es-ES"/>
        </w:rPr>
        <w:t xml:space="preserve">Posteriormente, el </w:t>
      </w:r>
      <w:r w:rsidR="00BE708D" w:rsidRPr="002261B9">
        <w:rPr>
          <w:lang w:val="es-ES"/>
        </w:rPr>
        <w:t xml:space="preserve">PFOB </w:t>
      </w:r>
      <w:r w:rsidR="00C209C0" w:rsidRPr="002261B9">
        <w:rPr>
          <w:lang w:val="es-ES"/>
        </w:rPr>
        <w:t xml:space="preserve">se transporta a dos lugares </w:t>
      </w:r>
      <w:r w:rsidR="0043051C" w:rsidRPr="002261B9">
        <w:rPr>
          <w:lang w:val="es-ES"/>
        </w:rPr>
        <w:t>en</w:t>
      </w:r>
      <w:r w:rsidR="00C209C0" w:rsidRPr="002261B9">
        <w:rPr>
          <w:lang w:val="es-ES"/>
        </w:rPr>
        <w:t xml:space="preserve"> los Estados Unidos </w:t>
      </w:r>
      <w:r w:rsidR="0043051C" w:rsidRPr="002261B9">
        <w:rPr>
          <w:lang w:val="es-ES"/>
        </w:rPr>
        <w:t xml:space="preserve">y Suecia para elaborar </w:t>
      </w:r>
      <w:r w:rsidR="00C209C0" w:rsidRPr="002261B9">
        <w:rPr>
          <w:lang w:val="es-ES"/>
        </w:rPr>
        <w:t xml:space="preserve">los </w:t>
      </w:r>
      <w:r w:rsidR="00B03091" w:rsidRPr="002261B9">
        <w:rPr>
          <w:lang w:val="es-ES"/>
        </w:rPr>
        <w:t>productos farmacéuticos correspondientes</w:t>
      </w:r>
      <w:r w:rsidR="00BE708D" w:rsidRPr="002261B9">
        <w:rPr>
          <w:lang w:val="es-ES"/>
        </w:rPr>
        <w:t xml:space="preserve"> (</w:t>
      </w:r>
      <w:r w:rsidR="007F0459" w:rsidRPr="002261B9">
        <w:rPr>
          <w:lang w:val="es-ES"/>
        </w:rPr>
        <w:t>Observaciones</w:t>
      </w:r>
      <w:r w:rsidR="00AD7C9F" w:rsidRPr="002261B9">
        <w:rPr>
          <w:lang w:val="es-ES"/>
        </w:rPr>
        <w:t xml:space="preserve"> de</w:t>
      </w:r>
      <w:r w:rsidR="00C209C0" w:rsidRPr="002261B9">
        <w:rPr>
          <w:lang w:val="es-ES"/>
        </w:rPr>
        <w:t xml:space="preserve"> </w:t>
      </w:r>
      <w:r w:rsidR="00BE708D" w:rsidRPr="002261B9">
        <w:rPr>
          <w:lang w:val="es-ES"/>
        </w:rPr>
        <w:t xml:space="preserve">Daikin </w:t>
      </w:r>
      <w:r w:rsidR="0013156F" w:rsidRPr="002261B9">
        <w:rPr>
          <w:lang w:val="es-ES"/>
        </w:rPr>
        <w:t>sobre el segundo proyecto de evaluación de la gestión de los riesgos</w:t>
      </w:r>
      <w:r w:rsidR="00CC554E" w:rsidRPr="002261B9">
        <w:rPr>
          <w:lang w:val="es-ES"/>
        </w:rPr>
        <w:t xml:space="preserve"> </w:t>
      </w:r>
      <w:r w:rsidR="00FF7378" w:rsidRPr="002261B9">
        <w:rPr>
          <w:lang w:val="es-ES"/>
        </w:rPr>
        <w:t>e información de la IFPMA en la 13ª Reunión del Comité de Examen de los Contaminantes Orgánicos Persistentes</w:t>
      </w:r>
      <w:r w:rsidR="00BE708D" w:rsidRPr="002261B9">
        <w:rPr>
          <w:lang w:val="es-ES"/>
        </w:rPr>
        <w:t xml:space="preserve">). </w:t>
      </w:r>
    </w:p>
    <w:p w14:paraId="78A3CD73" w14:textId="2D2F9654" w:rsidR="00934533" w:rsidRPr="002261B9" w:rsidRDefault="00FD77F8" w:rsidP="00F45508">
      <w:pPr>
        <w:pStyle w:val="Paralevel1"/>
        <w:numPr>
          <w:ilvl w:val="0"/>
          <w:numId w:val="23"/>
        </w:numPr>
        <w:tabs>
          <w:tab w:val="clear" w:pos="0"/>
        </w:tabs>
        <w:ind w:left="1247" w:firstLine="0"/>
        <w:rPr>
          <w:lang w:val="es-ES"/>
        </w:rPr>
      </w:pPr>
      <w:bookmarkStart w:id="29" w:name="_DV_C693"/>
      <w:r w:rsidRPr="002261B9">
        <w:rPr>
          <w:rStyle w:val="DeltaViewInsertion"/>
          <w:color w:val="auto"/>
          <w:u w:val="none"/>
          <w:lang w:val="es-ES"/>
        </w:rPr>
        <w:t xml:space="preserve">El </w:t>
      </w:r>
      <w:r w:rsidR="00934533" w:rsidRPr="002261B9">
        <w:rPr>
          <w:rStyle w:val="DeltaViewInsertion"/>
          <w:color w:val="auto"/>
          <w:u w:val="none"/>
          <w:lang w:val="es-ES"/>
        </w:rPr>
        <w:t xml:space="preserve">PFOB </w:t>
      </w:r>
      <w:r w:rsidRPr="002261B9">
        <w:rPr>
          <w:rStyle w:val="DeltaViewInsertion"/>
          <w:color w:val="auto"/>
          <w:u w:val="none"/>
          <w:lang w:val="es-ES"/>
        </w:rPr>
        <w:t>se utiliza como agente para facilitar el proces</w:t>
      </w:r>
      <w:r w:rsidR="005D5288" w:rsidRPr="002261B9">
        <w:rPr>
          <w:rStyle w:val="DeltaViewInsertion"/>
          <w:color w:val="auto"/>
          <w:u w:val="none"/>
          <w:lang w:val="es-ES"/>
        </w:rPr>
        <w:t xml:space="preserve">o de fabricación de partículas </w:t>
      </w:r>
      <w:r w:rsidR="00E1011E" w:rsidRPr="002261B9">
        <w:rPr>
          <w:rStyle w:val="DeltaViewInsertion"/>
          <w:color w:val="auto"/>
          <w:u w:val="none"/>
          <w:lang w:val="es-ES"/>
        </w:rPr>
        <w:t>“</w:t>
      </w:r>
      <w:r w:rsidR="005D5288" w:rsidRPr="002261B9">
        <w:rPr>
          <w:rStyle w:val="DeltaViewInsertion"/>
          <w:color w:val="auto"/>
          <w:u w:val="none"/>
          <w:lang w:val="es-ES"/>
        </w:rPr>
        <w:t>microporosas</w:t>
      </w:r>
      <w:r w:rsidR="00E1011E" w:rsidRPr="002261B9">
        <w:rPr>
          <w:rStyle w:val="DeltaViewInsertion"/>
          <w:color w:val="auto"/>
          <w:u w:val="none"/>
          <w:lang w:val="es-ES"/>
        </w:rPr>
        <w:t>”</w:t>
      </w:r>
      <w:r w:rsidR="005D5288" w:rsidRPr="002261B9">
        <w:rPr>
          <w:rStyle w:val="DeltaViewInsertion"/>
          <w:color w:val="auto"/>
          <w:u w:val="none"/>
          <w:lang w:val="es-ES"/>
        </w:rPr>
        <w:t xml:space="preserve"> para aplicaciones farmacéuticas</w:t>
      </w:r>
      <w:r w:rsidR="00934533" w:rsidRPr="002261B9">
        <w:rPr>
          <w:rStyle w:val="DeltaViewInsertion"/>
          <w:color w:val="auto"/>
          <w:u w:val="none"/>
          <w:lang w:val="es-ES"/>
        </w:rPr>
        <w:t xml:space="preserve">. </w:t>
      </w:r>
      <w:r w:rsidR="005D5288" w:rsidRPr="002261B9">
        <w:rPr>
          <w:rStyle w:val="DeltaViewInsertion"/>
          <w:color w:val="auto"/>
          <w:u w:val="none"/>
          <w:lang w:val="es-ES"/>
        </w:rPr>
        <w:t xml:space="preserve">El </w:t>
      </w:r>
      <w:r w:rsidR="00934533" w:rsidRPr="002261B9">
        <w:rPr>
          <w:rStyle w:val="DeltaViewInsertion"/>
          <w:color w:val="auto"/>
          <w:u w:val="none"/>
          <w:lang w:val="es-ES"/>
        </w:rPr>
        <w:t xml:space="preserve">PFOB </w:t>
      </w:r>
      <w:r w:rsidR="005D5288" w:rsidRPr="002261B9">
        <w:rPr>
          <w:rStyle w:val="DeltaViewInsertion"/>
          <w:color w:val="auto"/>
          <w:u w:val="none"/>
          <w:lang w:val="es-ES"/>
        </w:rPr>
        <w:t xml:space="preserve">no es un compuesto conexo del </w:t>
      </w:r>
      <w:r w:rsidR="00934533" w:rsidRPr="002261B9">
        <w:rPr>
          <w:rStyle w:val="DeltaViewInsertion"/>
          <w:color w:val="auto"/>
          <w:u w:val="none"/>
          <w:lang w:val="es-ES"/>
        </w:rPr>
        <w:t xml:space="preserve">PFOA. </w:t>
      </w:r>
      <w:r w:rsidR="005D5288" w:rsidRPr="002261B9">
        <w:rPr>
          <w:rStyle w:val="DeltaViewInsertion"/>
          <w:color w:val="auto"/>
          <w:u w:val="none"/>
          <w:lang w:val="es-ES"/>
        </w:rPr>
        <w:t xml:space="preserve">Sin embargo, el </w:t>
      </w:r>
      <w:r w:rsidR="00934533" w:rsidRPr="002261B9">
        <w:rPr>
          <w:rStyle w:val="DeltaViewInsertion"/>
          <w:color w:val="auto"/>
          <w:u w:val="none"/>
          <w:lang w:val="es-ES"/>
        </w:rPr>
        <w:t xml:space="preserve">PFOB </w:t>
      </w:r>
      <w:r w:rsidR="005D5288" w:rsidRPr="002261B9">
        <w:rPr>
          <w:lang w:val="es-ES"/>
        </w:rPr>
        <w:t>s</w:t>
      </w:r>
      <w:r w:rsidR="0043051C" w:rsidRPr="002261B9">
        <w:rPr>
          <w:lang w:val="es-ES"/>
        </w:rPr>
        <w:t>í</w:t>
      </w:r>
      <w:r w:rsidR="005D5288" w:rsidRPr="002261B9">
        <w:rPr>
          <w:rStyle w:val="DeltaViewInsertion"/>
          <w:color w:val="auto"/>
          <w:u w:val="none"/>
          <w:lang w:val="es-ES"/>
        </w:rPr>
        <w:t xml:space="preserve"> contiene niveles de traza no intencionales de </w:t>
      </w:r>
      <w:r w:rsidR="00934533" w:rsidRPr="002261B9">
        <w:rPr>
          <w:rStyle w:val="DeltaViewInsertion"/>
          <w:color w:val="auto"/>
          <w:u w:val="none"/>
          <w:lang w:val="es-ES"/>
        </w:rPr>
        <w:t xml:space="preserve">PFOI, </w:t>
      </w:r>
      <w:r w:rsidR="005D5288" w:rsidRPr="002261B9">
        <w:rPr>
          <w:rStyle w:val="DeltaViewInsertion"/>
          <w:color w:val="auto"/>
          <w:u w:val="none"/>
          <w:lang w:val="es-ES"/>
        </w:rPr>
        <w:t xml:space="preserve">un compuesto conexo del </w:t>
      </w:r>
      <w:r w:rsidR="00934533" w:rsidRPr="002261B9">
        <w:rPr>
          <w:rStyle w:val="DeltaViewInsertion"/>
          <w:color w:val="auto"/>
          <w:u w:val="none"/>
          <w:lang w:val="es-ES"/>
        </w:rPr>
        <w:t xml:space="preserve">PFOA. </w:t>
      </w:r>
      <w:r w:rsidR="005D5288" w:rsidRPr="002261B9">
        <w:rPr>
          <w:rStyle w:val="DeltaViewInsertion"/>
          <w:color w:val="auto"/>
          <w:u w:val="none"/>
          <w:lang w:val="es-ES"/>
        </w:rPr>
        <w:t xml:space="preserve">El </w:t>
      </w:r>
      <w:r w:rsidR="00934533" w:rsidRPr="002261B9">
        <w:rPr>
          <w:rStyle w:val="DeltaViewInsertion"/>
          <w:color w:val="auto"/>
          <w:u w:val="none"/>
          <w:lang w:val="es-ES"/>
        </w:rPr>
        <w:t xml:space="preserve">PFOB </w:t>
      </w:r>
      <w:r w:rsidR="005D5288" w:rsidRPr="002261B9">
        <w:rPr>
          <w:rStyle w:val="DeltaViewInsertion"/>
          <w:color w:val="auto"/>
          <w:u w:val="none"/>
          <w:lang w:val="es-ES"/>
        </w:rPr>
        <w:t xml:space="preserve">residual en los </w:t>
      </w:r>
      <w:r w:rsidR="00A63836" w:rsidRPr="002261B9">
        <w:rPr>
          <w:rStyle w:val="DeltaViewInsertion"/>
          <w:color w:val="auto"/>
          <w:u w:val="none"/>
          <w:lang w:val="es-ES"/>
        </w:rPr>
        <w:t>productos</w:t>
      </w:r>
      <w:r w:rsidR="005D5288" w:rsidRPr="002261B9">
        <w:rPr>
          <w:rStyle w:val="DeltaViewInsertion"/>
          <w:color w:val="auto"/>
          <w:u w:val="none"/>
          <w:lang w:val="es-ES"/>
        </w:rPr>
        <w:t xml:space="preserve"> farmacéuticos </w:t>
      </w:r>
      <w:r w:rsidR="00E1011E" w:rsidRPr="002261B9">
        <w:rPr>
          <w:rStyle w:val="DeltaViewInsertion"/>
          <w:color w:val="auto"/>
          <w:u w:val="none"/>
          <w:lang w:val="es-ES"/>
        </w:rPr>
        <w:t>“</w:t>
      </w:r>
      <w:r w:rsidR="00934533" w:rsidRPr="002261B9">
        <w:rPr>
          <w:rStyle w:val="DeltaViewInsertion"/>
          <w:color w:val="auto"/>
          <w:u w:val="none"/>
          <w:lang w:val="es-ES"/>
        </w:rPr>
        <w:t>microporo</w:t>
      </w:r>
      <w:r w:rsidR="005D5288" w:rsidRPr="002261B9">
        <w:rPr>
          <w:rStyle w:val="DeltaViewInsertion"/>
          <w:color w:val="auto"/>
          <w:u w:val="none"/>
          <w:lang w:val="es-ES"/>
        </w:rPr>
        <w:t>sos</w:t>
      </w:r>
      <w:r w:rsidR="00E1011E" w:rsidRPr="002261B9">
        <w:rPr>
          <w:rStyle w:val="DeltaViewInsertion"/>
          <w:color w:val="auto"/>
          <w:u w:val="none"/>
          <w:lang w:val="es-ES"/>
        </w:rPr>
        <w:t>”</w:t>
      </w:r>
      <w:r w:rsidR="00934533" w:rsidRPr="002261B9">
        <w:rPr>
          <w:rStyle w:val="DeltaViewInsertion"/>
          <w:color w:val="auto"/>
          <w:u w:val="none"/>
          <w:lang w:val="es-ES"/>
        </w:rPr>
        <w:t xml:space="preserve"> </w:t>
      </w:r>
      <w:r w:rsidR="005D5288" w:rsidRPr="002261B9">
        <w:rPr>
          <w:rStyle w:val="DeltaViewInsertion"/>
          <w:color w:val="auto"/>
          <w:u w:val="none"/>
          <w:lang w:val="es-ES"/>
        </w:rPr>
        <w:t xml:space="preserve">terminados es por lo general del </w:t>
      </w:r>
      <w:r w:rsidR="00934533" w:rsidRPr="002261B9">
        <w:rPr>
          <w:rStyle w:val="DeltaViewInsertion"/>
          <w:color w:val="auto"/>
          <w:u w:val="none"/>
          <w:lang w:val="es-ES"/>
        </w:rPr>
        <w:t>0</w:t>
      </w:r>
      <w:r w:rsidR="005D5288" w:rsidRPr="002261B9">
        <w:rPr>
          <w:rStyle w:val="DeltaViewInsertion"/>
          <w:color w:val="auto"/>
          <w:u w:val="none"/>
          <w:lang w:val="es-ES"/>
        </w:rPr>
        <w:t>,</w:t>
      </w:r>
      <w:r w:rsidR="00934533" w:rsidRPr="002261B9">
        <w:rPr>
          <w:rStyle w:val="DeltaViewInsertion"/>
          <w:color w:val="auto"/>
          <w:u w:val="none"/>
          <w:lang w:val="es-ES"/>
        </w:rPr>
        <w:t xml:space="preserve">1%, </w:t>
      </w:r>
      <w:r w:rsidR="005D5288" w:rsidRPr="002261B9">
        <w:rPr>
          <w:rStyle w:val="DeltaViewInsertion"/>
          <w:color w:val="auto"/>
          <w:u w:val="none"/>
          <w:lang w:val="es-ES"/>
        </w:rPr>
        <w:t xml:space="preserve">lo cual se traduce en un </w:t>
      </w:r>
      <w:r w:rsidR="00934533" w:rsidRPr="002261B9">
        <w:rPr>
          <w:rStyle w:val="DeltaViewInsertion"/>
          <w:color w:val="auto"/>
          <w:u w:val="none"/>
          <w:lang w:val="es-ES"/>
        </w:rPr>
        <w:t xml:space="preserve">PFOI </w:t>
      </w:r>
      <w:r w:rsidR="005D5288" w:rsidRPr="002261B9">
        <w:rPr>
          <w:rStyle w:val="DeltaViewInsertion"/>
          <w:color w:val="auto"/>
          <w:u w:val="none"/>
          <w:lang w:val="es-ES"/>
        </w:rPr>
        <w:t xml:space="preserve">residual a niveles de </w:t>
      </w:r>
      <w:r w:rsidR="00934533" w:rsidRPr="002261B9">
        <w:rPr>
          <w:rStyle w:val="DeltaViewInsertion"/>
          <w:color w:val="auto"/>
          <w:u w:val="none"/>
          <w:lang w:val="es-ES"/>
        </w:rPr>
        <w:t>0</w:t>
      </w:r>
      <w:r w:rsidR="005D5288" w:rsidRPr="002261B9">
        <w:rPr>
          <w:rStyle w:val="DeltaViewInsertion"/>
          <w:color w:val="auto"/>
          <w:u w:val="none"/>
          <w:lang w:val="es-ES"/>
        </w:rPr>
        <w:t>,</w:t>
      </w:r>
      <w:r w:rsidR="00934533" w:rsidRPr="002261B9">
        <w:rPr>
          <w:rStyle w:val="DeltaViewInsertion"/>
          <w:color w:val="auto"/>
          <w:u w:val="none"/>
          <w:lang w:val="es-ES"/>
        </w:rPr>
        <w:t>1 ppm.</w:t>
      </w:r>
      <w:r w:rsidR="00E1011E" w:rsidRPr="002261B9">
        <w:rPr>
          <w:rStyle w:val="DeltaViewInsertion"/>
          <w:color w:val="auto"/>
          <w:u w:val="none"/>
          <w:lang w:val="es-ES"/>
        </w:rPr>
        <w:t xml:space="preserve"> </w:t>
      </w:r>
      <w:r w:rsidR="005D5288" w:rsidRPr="002261B9">
        <w:rPr>
          <w:rStyle w:val="DeltaViewInsertion"/>
          <w:color w:val="auto"/>
          <w:u w:val="none"/>
          <w:lang w:val="es-ES"/>
        </w:rPr>
        <w:t xml:space="preserve">El nivel de </w:t>
      </w:r>
      <w:r w:rsidR="00934533" w:rsidRPr="002261B9">
        <w:rPr>
          <w:rStyle w:val="DeltaViewInsertion"/>
          <w:color w:val="auto"/>
          <w:u w:val="none"/>
          <w:lang w:val="es-ES"/>
        </w:rPr>
        <w:t>detec</w:t>
      </w:r>
      <w:r w:rsidR="005D5288" w:rsidRPr="002261B9">
        <w:rPr>
          <w:rStyle w:val="DeltaViewInsertion"/>
          <w:color w:val="auto"/>
          <w:u w:val="none"/>
          <w:lang w:val="es-ES"/>
        </w:rPr>
        <w:t xml:space="preserve">ción del </w:t>
      </w:r>
      <w:r w:rsidR="00934533" w:rsidRPr="002261B9">
        <w:rPr>
          <w:rStyle w:val="DeltaViewInsertion"/>
          <w:color w:val="auto"/>
          <w:u w:val="none"/>
          <w:lang w:val="es-ES"/>
        </w:rPr>
        <w:t xml:space="preserve">PFOB </w:t>
      </w:r>
      <w:r w:rsidR="005D5288" w:rsidRPr="002261B9">
        <w:rPr>
          <w:rStyle w:val="DeltaViewInsertion"/>
          <w:color w:val="auto"/>
          <w:u w:val="none"/>
          <w:lang w:val="es-ES"/>
        </w:rPr>
        <w:t xml:space="preserve">en las partículas porosas es de </w:t>
      </w:r>
      <w:r w:rsidR="00934533" w:rsidRPr="002261B9">
        <w:rPr>
          <w:rStyle w:val="DeltaViewInsertion"/>
          <w:color w:val="auto"/>
          <w:u w:val="none"/>
          <w:lang w:val="es-ES"/>
        </w:rPr>
        <w:t>0</w:t>
      </w:r>
      <w:r w:rsidR="005D5288" w:rsidRPr="002261B9">
        <w:rPr>
          <w:rStyle w:val="DeltaViewInsertion"/>
          <w:color w:val="auto"/>
          <w:u w:val="none"/>
          <w:lang w:val="es-ES"/>
        </w:rPr>
        <w:t>,</w:t>
      </w:r>
      <w:r w:rsidR="00934533" w:rsidRPr="002261B9">
        <w:rPr>
          <w:rStyle w:val="DeltaViewInsertion"/>
          <w:color w:val="auto"/>
          <w:u w:val="none"/>
          <w:lang w:val="es-ES"/>
        </w:rPr>
        <w:t>1%.</w:t>
      </w:r>
      <w:r w:rsidR="00E1011E" w:rsidRPr="002261B9">
        <w:rPr>
          <w:rStyle w:val="DeltaViewInsertion"/>
          <w:color w:val="auto"/>
          <w:u w:val="none"/>
          <w:lang w:val="es-ES"/>
        </w:rPr>
        <w:t xml:space="preserve"> </w:t>
      </w:r>
      <w:r w:rsidR="005D5288" w:rsidRPr="002261B9">
        <w:rPr>
          <w:rStyle w:val="DeltaViewInsertion"/>
          <w:color w:val="auto"/>
          <w:u w:val="none"/>
          <w:lang w:val="es-ES"/>
        </w:rPr>
        <w:t>El PFOI residual e</w:t>
      </w:r>
      <w:r w:rsidR="00934533" w:rsidRPr="002261B9">
        <w:rPr>
          <w:rStyle w:val="DeltaViewInsertion"/>
          <w:color w:val="auto"/>
          <w:u w:val="none"/>
          <w:lang w:val="es-ES"/>
        </w:rPr>
        <w:t xml:space="preserve">n </w:t>
      </w:r>
      <w:r w:rsidR="005D5288" w:rsidRPr="002261B9">
        <w:rPr>
          <w:rStyle w:val="DeltaViewInsertion"/>
          <w:color w:val="auto"/>
          <w:u w:val="none"/>
          <w:lang w:val="es-ES"/>
        </w:rPr>
        <w:t xml:space="preserve">todos los productos farmacéuticos elaborados actualmente suma menos de </w:t>
      </w:r>
      <w:r w:rsidR="00934533" w:rsidRPr="002261B9">
        <w:rPr>
          <w:rStyle w:val="DeltaViewInsertion"/>
          <w:color w:val="auto"/>
          <w:u w:val="none"/>
          <w:lang w:val="es-ES"/>
        </w:rPr>
        <w:t>2</w:t>
      </w:r>
      <w:r w:rsidR="000142B5" w:rsidRPr="002261B9">
        <w:rPr>
          <w:rStyle w:val="DeltaViewInsertion"/>
          <w:color w:val="auto"/>
          <w:u w:val="none"/>
          <w:lang w:val="es-ES"/>
        </w:rPr>
        <w:t xml:space="preserve"> </w:t>
      </w:r>
      <w:r w:rsidR="00934533" w:rsidRPr="002261B9">
        <w:rPr>
          <w:rStyle w:val="DeltaViewInsertion"/>
          <w:color w:val="auto"/>
          <w:u w:val="none"/>
          <w:lang w:val="es-ES"/>
        </w:rPr>
        <w:t>g p</w:t>
      </w:r>
      <w:r w:rsidR="005D5288" w:rsidRPr="002261B9">
        <w:rPr>
          <w:rStyle w:val="DeltaViewInsertion"/>
          <w:color w:val="auto"/>
          <w:u w:val="none"/>
          <w:lang w:val="es-ES"/>
        </w:rPr>
        <w:t>or año.</w:t>
      </w:r>
      <w:r w:rsidR="00934533" w:rsidRPr="002261B9">
        <w:rPr>
          <w:rStyle w:val="DeltaViewInsertion"/>
          <w:color w:val="auto"/>
          <w:u w:val="none"/>
          <w:lang w:val="es-ES"/>
        </w:rPr>
        <w:t xml:space="preserve"> </w:t>
      </w:r>
      <w:r w:rsidR="005D5288" w:rsidRPr="002261B9">
        <w:rPr>
          <w:rStyle w:val="DeltaViewInsertion"/>
          <w:color w:val="auto"/>
          <w:u w:val="none"/>
          <w:lang w:val="es-ES"/>
        </w:rPr>
        <w:t>La emisión de P</w:t>
      </w:r>
      <w:r w:rsidR="00934533" w:rsidRPr="002261B9">
        <w:rPr>
          <w:rStyle w:val="DeltaViewInsertion"/>
          <w:color w:val="auto"/>
          <w:u w:val="none"/>
          <w:lang w:val="es-ES"/>
        </w:rPr>
        <w:t xml:space="preserve">FOI </w:t>
      </w:r>
      <w:r w:rsidR="005D5288" w:rsidRPr="002261B9">
        <w:rPr>
          <w:rStyle w:val="DeltaViewInsertion"/>
          <w:color w:val="auto"/>
          <w:u w:val="none"/>
          <w:lang w:val="es-ES"/>
        </w:rPr>
        <w:t xml:space="preserve">al medio ambiente proveniente de la fabricación de productos farmacéuticos es actualmente inferior a los </w:t>
      </w:r>
      <w:r w:rsidR="00934533" w:rsidRPr="002261B9">
        <w:rPr>
          <w:rStyle w:val="DeltaViewInsertion"/>
          <w:color w:val="auto"/>
          <w:u w:val="none"/>
          <w:lang w:val="es-ES"/>
        </w:rPr>
        <w:t>30</w:t>
      </w:r>
      <w:r w:rsidR="000142B5" w:rsidRPr="002261B9">
        <w:rPr>
          <w:rStyle w:val="DeltaViewInsertion"/>
          <w:color w:val="auto"/>
          <w:u w:val="none"/>
          <w:lang w:val="es-ES"/>
        </w:rPr>
        <w:t xml:space="preserve"> </w:t>
      </w:r>
      <w:r w:rsidR="00934533" w:rsidRPr="002261B9">
        <w:rPr>
          <w:rStyle w:val="DeltaViewInsertion"/>
          <w:color w:val="auto"/>
          <w:u w:val="none"/>
          <w:lang w:val="es-ES"/>
        </w:rPr>
        <w:t>g p</w:t>
      </w:r>
      <w:r w:rsidR="005D5288" w:rsidRPr="002261B9">
        <w:rPr>
          <w:rStyle w:val="DeltaViewInsertion"/>
          <w:color w:val="auto"/>
          <w:u w:val="none"/>
          <w:lang w:val="es-ES"/>
        </w:rPr>
        <w:t>or año</w:t>
      </w:r>
      <w:r w:rsidR="00934533" w:rsidRPr="002261B9">
        <w:rPr>
          <w:rStyle w:val="DeltaViewInsertion"/>
          <w:color w:val="auto"/>
          <w:u w:val="none"/>
          <w:lang w:val="es-ES"/>
        </w:rPr>
        <w:t xml:space="preserve">. </w:t>
      </w:r>
      <w:r w:rsidR="005D5288" w:rsidRPr="002261B9">
        <w:rPr>
          <w:rStyle w:val="DeltaViewInsertion"/>
          <w:color w:val="auto"/>
          <w:u w:val="none"/>
          <w:lang w:val="es-ES"/>
        </w:rPr>
        <w:t xml:space="preserve">El </w:t>
      </w:r>
      <w:r w:rsidR="00934533" w:rsidRPr="002261B9">
        <w:rPr>
          <w:rStyle w:val="DeltaViewInsertion"/>
          <w:color w:val="auto"/>
          <w:u w:val="none"/>
          <w:lang w:val="es-ES"/>
        </w:rPr>
        <w:t xml:space="preserve">PFOB </w:t>
      </w:r>
      <w:r w:rsidR="005D5288" w:rsidRPr="002261B9">
        <w:rPr>
          <w:rStyle w:val="DeltaViewInsertion"/>
          <w:color w:val="auto"/>
          <w:u w:val="none"/>
          <w:lang w:val="es-ES"/>
        </w:rPr>
        <w:t xml:space="preserve">en los desechos de procesos es capturado en lechos de </w:t>
      </w:r>
      <w:r w:rsidR="00A63836" w:rsidRPr="002261B9">
        <w:rPr>
          <w:rStyle w:val="DeltaViewInsertion"/>
          <w:color w:val="auto"/>
          <w:u w:val="none"/>
          <w:lang w:val="es-ES"/>
        </w:rPr>
        <w:t>carbón</w:t>
      </w:r>
      <w:r w:rsidR="005D5288" w:rsidRPr="002261B9">
        <w:rPr>
          <w:rStyle w:val="DeltaViewInsertion"/>
          <w:color w:val="auto"/>
          <w:u w:val="none"/>
          <w:lang w:val="es-ES"/>
        </w:rPr>
        <w:t xml:space="preserve"> activ</w:t>
      </w:r>
      <w:r w:rsidR="00FF7CA6" w:rsidRPr="002261B9">
        <w:rPr>
          <w:rStyle w:val="DeltaViewInsertion"/>
          <w:color w:val="auto"/>
          <w:u w:val="none"/>
          <w:lang w:val="es-ES"/>
        </w:rPr>
        <w:t xml:space="preserve">o en </w:t>
      </w:r>
      <w:r w:rsidR="00A63836" w:rsidRPr="002261B9">
        <w:rPr>
          <w:rStyle w:val="DeltaViewInsertion"/>
          <w:color w:val="auto"/>
          <w:u w:val="none"/>
          <w:lang w:val="es-ES"/>
        </w:rPr>
        <w:t>serie, que</w:t>
      </w:r>
      <w:r w:rsidR="00FF7CA6" w:rsidRPr="002261B9">
        <w:rPr>
          <w:rStyle w:val="DeltaViewInsertion"/>
          <w:color w:val="auto"/>
          <w:u w:val="none"/>
          <w:lang w:val="es-ES"/>
        </w:rPr>
        <w:t xml:space="preserve"> es la mejor tecnología disponible</w:t>
      </w:r>
      <w:r w:rsidR="00934533" w:rsidRPr="002261B9">
        <w:rPr>
          <w:rStyle w:val="DeltaViewInsertion"/>
          <w:color w:val="auto"/>
          <w:u w:val="none"/>
          <w:lang w:val="es-ES"/>
        </w:rPr>
        <w:t xml:space="preserve">, </w:t>
      </w:r>
      <w:r w:rsidR="00FF7CA6" w:rsidRPr="002261B9">
        <w:rPr>
          <w:rStyle w:val="DeltaViewInsertion"/>
          <w:color w:val="auto"/>
          <w:u w:val="none"/>
          <w:lang w:val="es-ES"/>
        </w:rPr>
        <w:t xml:space="preserve">que controla las emisiones a menos del </w:t>
      </w:r>
      <w:r w:rsidR="00934533" w:rsidRPr="002261B9">
        <w:rPr>
          <w:rStyle w:val="DeltaViewInsertion"/>
          <w:color w:val="auto"/>
          <w:u w:val="none"/>
          <w:lang w:val="es-ES"/>
        </w:rPr>
        <w:t xml:space="preserve">1% </w:t>
      </w:r>
      <w:r w:rsidR="00FF7CA6" w:rsidRPr="002261B9">
        <w:rPr>
          <w:rStyle w:val="DeltaViewInsertion"/>
          <w:color w:val="auto"/>
          <w:u w:val="none"/>
          <w:lang w:val="es-ES"/>
        </w:rPr>
        <w:t xml:space="preserve">y, por lo general a menos de un </w:t>
      </w:r>
      <w:r w:rsidR="00934533" w:rsidRPr="002261B9">
        <w:rPr>
          <w:rStyle w:val="DeltaViewInsertion"/>
          <w:color w:val="auto"/>
          <w:u w:val="none"/>
          <w:lang w:val="es-ES"/>
        </w:rPr>
        <w:t>0</w:t>
      </w:r>
      <w:r w:rsidR="00FF7CA6" w:rsidRPr="002261B9">
        <w:rPr>
          <w:rStyle w:val="DeltaViewInsertion"/>
          <w:color w:val="auto"/>
          <w:u w:val="none"/>
          <w:lang w:val="es-ES"/>
        </w:rPr>
        <w:t>,</w:t>
      </w:r>
      <w:r w:rsidR="00934533" w:rsidRPr="002261B9">
        <w:rPr>
          <w:rStyle w:val="DeltaViewInsertion"/>
          <w:color w:val="auto"/>
          <w:u w:val="none"/>
          <w:lang w:val="es-ES"/>
        </w:rPr>
        <w:t xml:space="preserve">1% </w:t>
      </w:r>
      <w:r w:rsidR="00934533" w:rsidRPr="002261B9">
        <w:rPr>
          <w:rStyle w:val="DeltaViewInsertion"/>
          <w:color w:val="auto"/>
          <w:u w:val="none"/>
          <w:lang w:val="es-ES"/>
        </w:rPr>
        <w:lastRenderedPageBreak/>
        <w:t>(Informa</w:t>
      </w:r>
      <w:r w:rsidR="00FF7CA6" w:rsidRPr="002261B9">
        <w:rPr>
          <w:rStyle w:val="DeltaViewInsertion"/>
          <w:color w:val="auto"/>
          <w:u w:val="none"/>
          <w:lang w:val="es-ES"/>
        </w:rPr>
        <w:t>ción del I</w:t>
      </w:r>
      <w:r w:rsidR="00934533" w:rsidRPr="002261B9">
        <w:rPr>
          <w:rStyle w:val="DeltaViewInsertion"/>
          <w:color w:val="auto"/>
          <w:u w:val="none"/>
          <w:lang w:val="es-ES"/>
        </w:rPr>
        <w:t xml:space="preserve">FPMA </w:t>
      </w:r>
      <w:r w:rsidR="00FF7CA6" w:rsidRPr="002261B9">
        <w:rPr>
          <w:rStyle w:val="DeltaViewInsertion"/>
          <w:color w:val="auto"/>
          <w:u w:val="none"/>
          <w:lang w:val="es-ES"/>
        </w:rPr>
        <w:t>en la 13ª reunión del Comité de Examen de los Contaminantes Orgánicos Persistentes</w:t>
      </w:r>
      <w:r w:rsidR="00934533" w:rsidRPr="002261B9">
        <w:rPr>
          <w:rStyle w:val="DeltaViewInsertion"/>
          <w:color w:val="auto"/>
          <w:u w:val="none"/>
          <w:lang w:val="es-ES"/>
        </w:rPr>
        <w:t xml:space="preserve">). </w:t>
      </w:r>
      <w:bookmarkStart w:id="30" w:name="_DV_C694"/>
      <w:bookmarkEnd w:id="29"/>
    </w:p>
    <w:p w14:paraId="3F0DB9B3" w14:textId="41F5583F" w:rsidR="00934533" w:rsidRPr="002261B9" w:rsidRDefault="00FF7CA6" w:rsidP="00F45508">
      <w:pPr>
        <w:pStyle w:val="Paralevel1"/>
        <w:numPr>
          <w:ilvl w:val="0"/>
          <w:numId w:val="23"/>
        </w:numPr>
        <w:tabs>
          <w:tab w:val="clear" w:pos="0"/>
        </w:tabs>
        <w:ind w:left="1247" w:firstLine="0"/>
        <w:rPr>
          <w:lang w:val="es-ES"/>
        </w:rPr>
      </w:pPr>
      <w:bookmarkStart w:id="31" w:name="_DV_C695"/>
      <w:bookmarkEnd w:id="30"/>
      <w:r w:rsidRPr="002261B9">
        <w:rPr>
          <w:rStyle w:val="DeltaViewInsertion"/>
          <w:color w:val="auto"/>
          <w:u w:val="none"/>
          <w:lang w:val="es-ES"/>
        </w:rPr>
        <w:t xml:space="preserve">Las partículas </w:t>
      </w:r>
      <w:r w:rsidR="00E1011E" w:rsidRPr="002261B9">
        <w:rPr>
          <w:rStyle w:val="DeltaViewInsertion"/>
          <w:color w:val="auto"/>
          <w:u w:val="none"/>
          <w:lang w:val="es-ES"/>
        </w:rPr>
        <w:t>“</w:t>
      </w:r>
      <w:r w:rsidR="00934533" w:rsidRPr="002261B9">
        <w:rPr>
          <w:rStyle w:val="DeltaViewInsertion"/>
          <w:color w:val="auto"/>
          <w:u w:val="none"/>
          <w:lang w:val="es-ES"/>
        </w:rPr>
        <w:t>microporo</w:t>
      </w:r>
      <w:r w:rsidRPr="002261B9">
        <w:rPr>
          <w:rStyle w:val="DeltaViewInsertion"/>
          <w:color w:val="auto"/>
          <w:u w:val="none"/>
          <w:lang w:val="es-ES"/>
        </w:rPr>
        <w:t>sa</w:t>
      </w:r>
      <w:r w:rsidR="00934533" w:rsidRPr="002261B9">
        <w:rPr>
          <w:rStyle w:val="DeltaViewInsertion"/>
          <w:color w:val="auto"/>
          <w:u w:val="none"/>
          <w:lang w:val="es-ES"/>
        </w:rPr>
        <w:t>s</w:t>
      </w:r>
      <w:r w:rsidR="00E1011E" w:rsidRPr="002261B9">
        <w:rPr>
          <w:rStyle w:val="DeltaViewInsertion"/>
          <w:color w:val="auto"/>
          <w:u w:val="none"/>
          <w:lang w:val="es-ES"/>
        </w:rPr>
        <w:t>”</w:t>
      </w:r>
      <w:r w:rsidR="00934533" w:rsidRPr="002261B9">
        <w:rPr>
          <w:rStyle w:val="DeltaViewInsertion"/>
          <w:color w:val="auto"/>
          <w:u w:val="none"/>
          <w:lang w:val="es-ES"/>
        </w:rPr>
        <w:t xml:space="preserve"> </w:t>
      </w:r>
      <w:r w:rsidRPr="002261B9">
        <w:rPr>
          <w:rStyle w:val="DeltaViewInsertion"/>
          <w:color w:val="auto"/>
          <w:u w:val="none"/>
          <w:lang w:val="es-ES"/>
        </w:rPr>
        <w:t>permiten la combinación de más de dos ingredientes farmacéuticos activos en un producto farmacéutico con proporciones deseables para maximizar el efecto.</w:t>
      </w:r>
      <w:bookmarkStart w:id="32" w:name="_DV_X681"/>
      <w:bookmarkStart w:id="33" w:name="_DV_C696"/>
      <w:bookmarkEnd w:id="31"/>
      <w:r w:rsidR="00934533" w:rsidRPr="002261B9">
        <w:rPr>
          <w:rStyle w:val="DeltaViewMoveDestination"/>
          <w:color w:val="auto"/>
          <w:u w:val="none"/>
          <w:lang w:val="es-ES"/>
        </w:rPr>
        <w:t xml:space="preserve"> </w:t>
      </w:r>
      <w:bookmarkStart w:id="34" w:name="_DV_C697"/>
      <w:bookmarkEnd w:id="32"/>
      <w:bookmarkEnd w:id="33"/>
      <w:r w:rsidRPr="002261B9">
        <w:rPr>
          <w:rStyle w:val="DeltaViewMoveDestination"/>
          <w:color w:val="auto"/>
          <w:u w:val="none"/>
          <w:lang w:val="es-ES"/>
        </w:rPr>
        <w:t xml:space="preserve">La </w:t>
      </w:r>
      <w:r w:rsidRPr="002261B9">
        <w:rPr>
          <w:lang w:val="es-ES"/>
        </w:rPr>
        <w:t>tecnología</w:t>
      </w:r>
      <w:r w:rsidRPr="002261B9">
        <w:rPr>
          <w:rStyle w:val="DeltaViewMoveDestination"/>
          <w:color w:val="auto"/>
          <w:u w:val="none"/>
          <w:lang w:val="es-ES"/>
        </w:rPr>
        <w:t xml:space="preserve"> de </w:t>
      </w:r>
      <w:r w:rsidRPr="002261B9">
        <w:rPr>
          <w:lang w:val="es-ES"/>
        </w:rPr>
        <w:t>partículas</w:t>
      </w:r>
      <w:r w:rsidRPr="002261B9">
        <w:rPr>
          <w:rStyle w:val="DeltaViewMoveDestination"/>
          <w:color w:val="auto"/>
          <w:u w:val="none"/>
          <w:lang w:val="es-ES"/>
        </w:rPr>
        <w:t xml:space="preserve"> </w:t>
      </w:r>
      <w:r w:rsidR="00A63836" w:rsidRPr="002261B9">
        <w:rPr>
          <w:rStyle w:val="DeltaViewInsertion"/>
          <w:color w:val="auto"/>
          <w:u w:val="none"/>
          <w:lang w:val="es-ES"/>
        </w:rPr>
        <w:t>microporosas permite</w:t>
      </w:r>
      <w:r w:rsidRPr="002261B9">
        <w:rPr>
          <w:rStyle w:val="DeltaViewInsertion"/>
          <w:color w:val="auto"/>
          <w:u w:val="none"/>
          <w:lang w:val="es-ES"/>
        </w:rPr>
        <w:t xml:space="preserve"> también </w:t>
      </w:r>
      <w:r w:rsidR="00A36790" w:rsidRPr="002261B9">
        <w:rPr>
          <w:rStyle w:val="DeltaViewInsertion"/>
          <w:color w:val="auto"/>
          <w:u w:val="none"/>
          <w:lang w:val="es-ES"/>
        </w:rPr>
        <w:t>lograr la eficiencia en la administración y la administración selectiva en los pulmones</w:t>
      </w:r>
      <w:r w:rsidR="00934533" w:rsidRPr="002261B9">
        <w:rPr>
          <w:rStyle w:val="DeltaViewInsertion"/>
          <w:color w:val="auto"/>
          <w:u w:val="none"/>
          <w:lang w:val="es-ES"/>
        </w:rPr>
        <w:t>.</w:t>
      </w:r>
      <w:r w:rsidR="00E1011E" w:rsidRPr="002261B9">
        <w:rPr>
          <w:rStyle w:val="DeltaViewInsertion"/>
          <w:color w:val="auto"/>
          <w:u w:val="none"/>
          <w:lang w:val="es-ES"/>
        </w:rPr>
        <w:t xml:space="preserve"> </w:t>
      </w:r>
      <w:r w:rsidR="00A36790" w:rsidRPr="002261B9">
        <w:rPr>
          <w:rStyle w:val="DeltaViewInsertion"/>
          <w:color w:val="auto"/>
          <w:u w:val="none"/>
          <w:lang w:val="es-ES"/>
        </w:rPr>
        <w:t xml:space="preserve">Los productos farmacéuticos fabricados con esta técnica que se comercializan en la actualidad </w:t>
      </w:r>
      <w:r w:rsidR="00A63836" w:rsidRPr="002261B9">
        <w:rPr>
          <w:rStyle w:val="DeltaViewInsertion"/>
          <w:color w:val="auto"/>
          <w:u w:val="none"/>
          <w:lang w:val="es-ES"/>
        </w:rPr>
        <w:t>están</w:t>
      </w:r>
      <w:r w:rsidR="00A36790" w:rsidRPr="002261B9">
        <w:rPr>
          <w:rStyle w:val="DeltaViewInsertion"/>
          <w:color w:val="auto"/>
          <w:u w:val="none"/>
          <w:lang w:val="es-ES"/>
        </w:rPr>
        <w:t xml:space="preserve"> destinados al tratamiento de pacientes </w:t>
      </w:r>
      <w:r w:rsidR="0043051C" w:rsidRPr="002261B9">
        <w:rPr>
          <w:rStyle w:val="DeltaViewInsertion"/>
          <w:color w:val="auto"/>
          <w:u w:val="none"/>
          <w:lang w:val="es-ES"/>
        </w:rPr>
        <w:t xml:space="preserve">que padecen </w:t>
      </w:r>
      <w:r w:rsidR="00A36790" w:rsidRPr="002261B9">
        <w:rPr>
          <w:rStyle w:val="DeltaViewInsertion"/>
          <w:color w:val="auto"/>
          <w:u w:val="none"/>
          <w:lang w:val="es-ES"/>
        </w:rPr>
        <w:t>enfermedades pulmonares crónicas y fibrosis cística</w:t>
      </w:r>
      <w:bookmarkStart w:id="35" w:name="_DV_C699"/>
      <w:bookmarkEnd w:id="34"/>
      <w:r w:rsidR="00934533" w:rsidRPr="002261B9">
        <w:rPr>
          <w:rStyle w:val="DeltaViewInsertion"/>
          <w:color w:val="auto"/>
          <w:u w:val="none"/>
          <w:lang w:val="es-ES"/>
        </w:rPr>
        <w:t>.</w:t>
      </w:r>
      <w:r w:rsidR="00E1011E" w:rsidRPr="002261B9">
        <w:rPr>
          <w:rStyle w:val="DeltaViewInsertion"/>
          <w:color w:val="auto"/>
          <w:u w:val="none"/>
          <w:lang w:val="es-ES"/>
        </w:rPr>
        <w:t xml:space="preserve"> </w:t>
      </w:r>
      <w:r w:rsidR="00A36790" w:rsidRPr="002261B9">
        <w:rPr>
          <w:rStyle w:val="DeltaViewInsertion"/>
          <w:color w:val="auto"/>
          <w:u w:val="none"/>
          <w:lang w:val="es-ES"/>
        </w:rPr>
        <w:t xml:space="preserve">Las investigaciones en curso </w:t>
      </w:r>
      <w:r w:rsidR="00A63836" w:rsidRPr="002261B9">
        <w:rPr>
          <w:rStyle w:val="DeltaViewInsertion"/>
          <w:color w:val="auto"/>
          <w:u w:val="none"/>
          <w:lang w:val="es-ES"/>
        </w:rPr>
        <w:t>respecto</w:t>
      </w:r>
      <w:r w:rsidR="00A36790" w:rsidRPr="002261B9">
        <w:rPr>
          <w:rStyle w:val="DeltaViewInsertion"/>
          <w:color w:val="auto"/>
          <w:u w:val="none"/>
          <w:lang w:val="es-ES"/>
        </w:rPr>
        <w:t xml:space="preserve"> de otras aplicaciones farmacéuticas se encuentran en fases iniciales y avanzadas de desarrollo</w:t>
      </w:r>
      <w:bookmarkStart w:id="36" w:name="_DV_C701"/>
      <w:bookmarkEnd w:id="35"/>
      <w:r w:rsidR="00934533" w:rsidRPr="002261B9">
        <w:rPr>
          <w:rStyle w:val="DeltaViewInsertion"/>
          <w:color w:val="auto"/>
          <w:u w:val="none"/>
          <w:lang w:val="es-ES"/>
        </w:rPr>
        <w:t xml:space="preserve"> (</w:t>
      </w:r>
      <w:r w:rsidR="00A36790" w:rsidRPr="002261B9">
        <w:rPr>
          <w:rStyle w:val="DeltaViewInsertion"/>
          <w:color w:val="auto"/>
          <w:u w:val="none"/>
          <w:lang w:val="es-ES"/>
        </w:rPr>
        <w:t>Información del IFPMA en la 13ª reunión del Comité de Examen de los Contaminantes Orgánicos Persistentes</w:t>
      </w:r>
      <w:r w:rsidR="00934533" w:rsidRPr="002261B9">
        <w:rPr>
          <w:rStyle w:val="DeltaViewInsertion"/>
          <w:color w:val="auto"/>
          <w:u w:val="none"/>
          <w:lang w:val="es-ES"/>
        </w:rPr>
        <w:t xml:space="preserve">). </w:t>
      </w:r>
      <w:bookmarkStart w:id="37" w:name="_DV_C702"/>
      <w:bookmarkEnd w:id="36"/>
    </w:p>
    <w:p w14:paraId="0C99EADC" w14:textId="150A706A" w:rsidR="00934533" w:rsidRPr="002261B9" w:rsidRDefault="00A36790" w:rsidP="00F45508">
      <w:pPr>
        <w:pStyle w:val="Paralevel1"/>
        <w:numPr>
          <w:ilvl w:val="0"/>
          <w:numId w:val="23"/>
        </w:numPr>
        <w:tabs>
          <w:tab w:val="clear" w:pos="0"/>
        </w:tabs>
        <w:ind w:left="1247" w:firstLine="0"/>
        <w:rPr>
          <w:lang w:val="es-ES"/>
        </w:rPr>
      </w:pPr>
      <w:bookmarkStart w:id="38" w:name="_DV_C703"/>
      <w:bookmarkEnd w:id="37"/>
      <w:r w:rsidRPr="002261B9">
        <w:rPr>
          <w:rStyle w:val="DeltaViewInsertion"/>
          <w:color w:val="auto"/>
          <w:u w:val="none"/>
          <w:lang w:val="es-ES"/>
        </w:rPr>
        <w:t xml:space="preserve">Se han desplegado ingentes esfuerzos por identificar agentes alternativos, y se han analizado al menos </w:t>
      </w:r>
      <w:r w:rsidR="00934533" w:rsidRPr="002261B9">
        <w:rPr>
          <w:rStyle w:val="DeltaViewInsertion"/>
          <w:color w:val="auto"/>
          <w:u w:val="none"/>
          <w:lang w:val="es-ES"/>
        </w:rPr>
        <w:t>15 agent</w:t>
      </w:r>
      <w:r w:rsidRPr="002261B9">
        <w:rPr>
          <w:rStyle w:val="DeltaViewInsertion"/>
          <w:color w:val="auto"/>
          <w:u w:val="none"/>
          <w:lang w:val="es-ES"/>
        </w:rPr>
        <w:t>e</w:t>
      </w:r>
      <w:r w:rsidR="00934533" w:rsidRPr="002261B9">
        <w:rPr>
          <w:rStyle w:val="DeltaViewInsertion"/>
          <w:color w:val="auto"/>
          <w:u w:val="none"/>
          <w:lang w:val="es-ES"/>
        </w:rPr>
        <w:t xml:space="preserve">s, </w:t>
      </w:r>
      <w:r w:rsidR="004D09F7" w:rsidRPr="002261B9">
        <w:rPr>
          <w:rStyle w:val="DeltaViewInsertion"/>
          <w:color w:val="auto"/>
          <w:u w:val="none"/>
          <w:lang w:val="es-ES"/>
        </w:rPr>
        <w:t>pero se determin</w:t>
      </w:r>
      <w:r w:rsidR="0043051C" w:rsidRPr="002261B9">
        <w:rPr>
          <w:rStyle w:val="DeltaViewInsertion"/>
          <w:color w:val="auto"/>
          <w:u w:val="none"/>
          <w:lang w:val="es-ES"/>
        </w:rPr>
        <w:t>ó</w:t>
      </w:r>
      <w:r w:rsidR="004D09F7" w:rsidRPr="002261B9">
        <w:rPr>
          <w:rStyle w:val="DeltaViewInsertion"/>
          <w:color w:val="auto"/>
          <w:u w:val="none"/>
          <w:lang w:val="es-ES"/>
        </w:rPr>
        <w:t xml:space="preserve"> que el </w:t>
      </w:r>
      <w:r w:rsidR="00934533" w:rsidRPr="002261B9">
        <w:rPr>
          <w:rStyle w:val="DeltaViewInsertion"/>
          <w:color w:val="auto"/>
          <w:u w:val="none"/>
          <w:lang w:val="es-ES"/>
        </w:rPr>
        <w:t xml:space="preserve">PFOB </w:t>
      </w:r>
      <w:r w:rsidR="004D09F7" w:rsidRPr="002261B9">
        <w:rPr>
          <w:rStyle w:val="DeltaViewInsertion"/>
          <w:color w:val="auto"/>
          <w:u w:val="none"/>
          <w:lang w:val="es-ES"/>
        </w:rPr>
        <w:t xml:space="preserve">era la única sustancia apropiada para la fabricación de productos farmacéuticos </w:t>
      </w:r>
      <w:r w:rsidR="00E1011E" w:rsidRPr="002261B9">
        <w:rPr>
          <w:rStyle w:val="DeltaViewInsertion"/>
          <w:color w:val="auto"/>
          <w:u w:val="none"/>
          <w:lang w:val="es-ES"/>
        </w:rPr>
        <w:t>“</w:t>
      </w:r>
      <w:r w:rsidR="00934533" w:rsidRPr="002261B9">
        <w:rPr>
          <w:rStyle w:val="DeltaViewInsertion"/>
          <w:color w:val="auto"/>
          <w:u w:val="none"/>
          <w:lang w:val="es-ES"/>
        </w:rPr>
        <w:t>microporo</w:t>
      </w:r>
      <w:r w:rsidR="004D09F7" w:rsidRPr="002261B9">
        <w:rPr>
          <w:rStyle w:val="DeltaViewInsertion"/>
          <w:color w:val="auto"/>
          <w:u w:val="none"/>
          <w:lang w:val="es-ES"/>
        </w:rPr>
        <w:t>so</w:t>
      </w:r>
      <w:r w:rsidR="00934533" w:rsidRPr="002261B9">
        <w:rPr>
          <w:rStyle w:val="DeltaViewInsertion"/>
          <w:color w:val="auto"/>
          <w:u w:val="none"/>
          <w:lang w:val="es-ES"/>
        </w:rPr>
        <w:t>s</w:t>
      </w:r>
      <w:r w:rsidR="00E1011E" w:rsidRPr="002261B9">
        <w:rPr>
          <w:rStyle w:val="DeltaViewInsertion"/>
          <w:color w:val="auto"/>
          <w:u w:val="none"/>
          <w:lang w:val="es-ES"/>
        </w:rPr>
        <w:t>”</w:t>
      </w:r>
      <w:r w:rsidR="00934533" w:rsidRPr="002261B9">
        <w:rPr>
          <w:rStyle w:val="DeltaViewInsertion"/>
          <w:color w:val="auto"/>
          <w:u w:val="none"/>
          <w:lang w:val="es-ES"/>
        </w:rPr>
        <w:t xml:space="preserve"> </w:t>
      </w:r>
      <w:r w:rsidR="004D09F7" w:rsidRPr="002261B9">
        <w:rPr>
          <w:rStyle w:val="DeltaViewInsertion"/>
          <w:color w:val="auto"/>
          <w:u w:val="none"/>
          <w:lang w:val="es-ES"/>
        </w:rPr>
        <w:t xml:space="preserve">y cuyo perfil </w:t>
      </w:r>
      <w:r w:rsidR="00934533" w:rsidRPr="002261B9">
        <w:rPr>
          <w:rStyle w:val="DeltaViewInsertion"/>
          <w:color w:val="auto"/>
          <w:u w:val="none"/>
          <w:lang w:val="es-ES"/>
        </w:rPr>
        <w:t>toxicol</w:t>
      </w:r>
      <w:r w:rsidR="004D09F7" w:rsidRPr="002261B9">
        <w:rPr>
          <w:rStyle w:val="DeltaViewInsertion"/>
          <w:color w:val="auto"/>
          <w:u w:val="none"/>
          <w:lang w:val="es-ES"/>
        </w:rPr>
        <w:t>ó</w:t>
      </w:r>
      <w:r w:rsidR="00934533" w:rsidRPr="002261B9">
        <w:rPr>
          <w:rStyle w:val="DeltaViewInsertion"/>
          <w:color w:val="auto"/>
          <w:u w:val="none"/>
          <w:lang w:val="es-ES"/>
        </w:rPr>
        <w:t>gic</w:t>
      </w:r>
      <w:r w:rsidR="004D09F7" w:rsidRPr="002261B9">
        <w:rPr>
          <w:rStyle w:val="DeltaViewInsertion"/>
          <w:color w:val="auto"/>
          <w:u w:val="none"/>
          <w:lang w:val="es-ES"/>
        </w:rPr>
        <w:t>o era seguro para su administración en humanos</w:t>
      </w:r>
      <w:r w:rsidR="00934533" w:rsidRPr="002261B9">
        <w:rPr>
          <w:rStyle w:val="DeltaViewInsertion"/>
          <w:color w:val="auto"/>
          <w:u w:val="none"/>
          <w:lang w:val="es-ES"/>
        </w:rPr>
        <w:t xml:space="preserve"> (NDA 020-091 FDA approval of Imagent®).</w:t>
      </w:r>
      <w:r w:rsidR="00E1011E" w:rsidRPr="002261B9">
        <w:rPr>
          <w:rStyle w:val="DeltaViewInsertion"/>
          <w:color w:val="auto"/>
          <w:u w:val="none"/>
          <w:lang w:val="es-ES"/>
        </w:rPr>
        <w:t xml:space="preserve"> </w:t>
      </w:r>
      <w:r w:rsidR="004D09F7" w:rsidRPr="002261B9">
        <w:rPr>
          <w:rStyle w:val="DeltaViewInsertion"/>
          <w:color w:val="auto"/>
          <w:u w:val="none"/>
          <w:lang w:val="es-ES"/>
        </w:rPr>
        <w:t>Habida cuenta de esos esfuerzos</w:t>
      </w:r>
      <w:r w:rsidR="00934533" w:rsidRPr="002261B9">
        <w:rPr>
          <w:rStyle w:val="DeltaViewInsertion"/>
          <w:color w:val="auto"/>
          <w:u w:val="none"/>
          <w:lang w:val="es-ES"/>
        </w:rPr>
        <w:t xml:space="preserve">, </w:t>
      </w:r>
      <w:r w:rsidR="004D09F7" w:rsidRPr="002261B9">
        <w:rPr>
          <w:rStyle w:val="DeltaViewInsertion"/>
          <w:color w:val="auto"/>
          <w:u w:val="none"/>
          <w:lang w:val="es-ES"/>
        </w:rPr>
        <w:t>es</w:t>
      </w:r>
      <w:r w:rsidR="00934533" w:rsidRPr="002261B9">
        <w:rPr>
          <w:rStyle w:val="DeltaViewInsertion"/>
          <w:color w:val="auto"/>
          <w:u w:val="none"/>
          <w:lang w:val="es-ES"/>
        </w:rPr>
        <w:t xml:space="preserve"> improbable </w:t>
      </w:r>
      <w:r w:rsidR="004D09F7" w:rsidRPr="002261B9">
        <w:rPr>
          <w:rStyle w:val="DeltaViewInsertion"/>
          <w:color w:val="auto"/>
          <w:u w:val="none"/>
          <w:lang w:val="es-ES"/>
        </w:rPr>
        <w:t xml:space="preserve">que se pueda identificar un agente </w:t>
      </w:r>
      <w:r w:rsidR="00A63836" w:rsidRPr="002261B9">
        <w:rPr>
          <w:rStyle w:val="DeltaViewInsertion"/>
          <w:color w:val="auto"/>
          <w:u w:val="none"/>
          <w:lang w:val="es-ES"/>
        </w:rPr>
        <w:t>alternativo</w:t>
      </w:r>
      <w:r w:rsidR="004D09F7" w:rsidRPr="002261B9">
        <w:rPr>
          <w:rStyle w:val="DeltaViewInsertion"/>
          <w:color w:val="auto"/>
          <w:u w:val="none"/>
          <w:lang w:val="es-ES"/>
        </w:rPr>
        <w:t xml:space="preserve"> sin comprometer las propiedades de las partículas </w:t>
      </w:r>
      <w:r w:rsidR="00E1011E" w:rsidRPr="002261B9">
        <w:rPr>
          <w:rStyle w:val="DeltaViewInsertion"/>
          <w:color w:val="auto"/>
          <w:u w:val="none"/>
          <w:lang w:val="es-ES"/>
        </w:rPr>
        <w:t>“</w:t>
      </w:r>
      <w:r w:rsidR="00934533" w:rsidRPr="002261B9">
        <w:rPr>
          <w:rStyle w:val="DeltaViewInsertion"/>
          <w:color w:val="auto"/>
          <w:u w:val="none"/>
          <w:lang w:val="es-ES"/>
        </w:rPr>
        <w:t>microporo</w:t>
      </w:r>
      <w:r w:rsidR="004D09F7" w:rsidRPr="002261B9">
        <w:rPr>
          <w:rStyle w:val="DeltaViewInsertion"/>
          <w:color w:val="auto"/>
          <w:u w:val="none"/>
          <w:lang w:val="es-ES"/>
        </w:rPr>
        <w:t>sa</w:t>
      </w:r>
      <w:r w:rsidR="00934533" w:rsidRPr="002261B9">
        <w:rPr>
          <w:rStyle w:val="DeltaViewInsertion"/>
          <w:color w:val="auto"/>
          <w:u w:val="none"/>
          <w:lang w:val="es-ES"/>
        </w:rPr>
        <w:t>s</w:t>
      </w:r>
      <w:r w:rsidR="00E1011E" w:rsidRPr="002261B9">
        <w:rPr>
          <w:rStyle w:val="DeltaViewInsertion"/>
          <w:color w:val="auto"/>
          <w:u w:val="none"/>
          <w:lang w:val="es-ES"/>
        </w:rPr>
        <w:t>”</w:t>
      </w:r>
      <w:r w:rsidR="00934533" w:rsidRPr="002261B9">
        <w:rPr>
          <w:rStyle w:val="DeltaViewInsertion"/>
          <w:color w:val="auto"/>
          <w:u w:val="none"/>
          <w:lang w:val="es-ES"/>
        </w:rPr>
        <w:t>.</w:t>
      </w:r>
      <w:r w:rsidR="00E1011E" w:rsidRPr="002261B9">
        <w:rPr>
          <w:rStyle w:val="DeltaViewInsertion"/>
          <w:color w:val="auto"/>
          <w:u w:val="none"/>
          <w:lang w:val="es-ES"/>
        </w:rPr>
        <w:t xml:space="preserve"> </w:t>
      </w:r>
      <w:r w:rsidR="00A63836" w:rsidRPr="002261B9">
        <w:rPr>
          <w:rStyle w:val="DeltaViewInsertion"/>
          <w:color w:val="auto"/>
          <w:u w:val="none"/>
          <w:lang w:val="es-ES"/>
        </w:rPr>
        <w:t>Aun</w:t>
      </w:r>
      <w:r w:rsidR="004D09F7" w:rsidRPr="002261B9">
        <w:rPr>
          <w:rStyle w:val="DeltaViewInsertion"/>
          <w:color w:val="auto"/>
          <w:u w:val="none"/>
          <w:lang w:val="es-ES"/>
        </w:rPr>
        <w:t xml:space="preserve"> cuando se encontrase un agente</w:t>
      </w:r>
      <w:r w:rsidR="00934533" w:rsidRPr="002261B9">
        <w:rPr>
          <w:rStyle w:val="DeltaViewInsertion"/>
          <w:color w:val="auto"/>
          <w:u w:val="none"/>
          <w:lang w:val="es-ES"/>
        </w:rPr>
        <w:t xml:space="preserve"> </w:t>
      </w:r>
      <w:r w:rsidR="00A63836" w:rsidRPr="002261B9">
        <w:rPr>
          <w:rStyle w:val="DeltaViewInsertion"/>
          <w:color w:val="auto"/>
          <w:u w:val="none"/>
          <w:lang w:val="es-ES"/>
        </w:rPr>
        <w:t>alternativo</w:t>
      </w:r>
      <w:r w:rsidR="004D09F7" w:rsidRPr="002261B9">
        <w:rPr>
          <w:rStyle w:val="DeltaViewInsertion"/>
          <w:color w:val="auto"/>
          <w:u w:val="none"/>
          <w:lang w:val="es-ES"/>
        </w:rPr>
        <w:t xml:space="preserve">, todavía sería </w:t>
      </w:r>
      <w:r w:rsidR="004D09F7" w:rsidRPr="002261B9">
        <w:rPr>
          <w:lang w:val="es-ES"/>
        </w:rPr>
        <w:t>preciso</w:t>
      </w:r>
      <w:r w:rsidR="004D09F7" w:rsidRPr="002261B9">
        <w:rPr>
          <w:rStyle w:val="DeltaViewInsertion"/>
          <w:color w:val="auto"/>
          <w:u w:val="none"/>
          <w:lang w:val="es-ES"/>
        </w:rPr>
        <w:t xml:space="preserve"> repetir los ensayos clínicos y reinscribir los productos, lo cual podría demorar al menos diez años. En el caso de este tipo de productos farmacéuticos existe la necesidad de garantizar su administración constante a los pacientes, de ahí que sea preciso </w:t>
      </w:r>
      <w:r w:rsidR="00A63836" w:rsidRPr="002261B9">
        <w:rPr>
          <w:rStyle w:val="DeltaViewInsertion"/>
          <w:color w:val="auto"/>
          <w:u w:val="none"/>
          <w:lang w:val="es-ES"/>
        </w:rPr>
        <w:t>examinar</w:t>
      </w:r>
      <w:r w:rsidR="004D09F7" w:rsidRPr="002261B9">
        <w:rPr>
          <w:rStyle w:val="DeltaViewInsertion"/>
          <w:color w:val="auto"/>
          <w:u w:val="none"/>
          <w:lang w:val="es-ES"/>
        </w:rPr>
        <w:t xml:space="preserve"> exhaustivamente las vías más adecuadas para abordar esta aplicación</w:t>
      </w:r>
      <w:r w:rsidR="00934533" w:rsidRPr="002261B9">
        <w:rPr>
          <w:rStyle w:val="DeltaViewInsertion"/>
          <w:color w:val="auto"/>
          <w:u w:val="none"/>
          <w:lang w:val="es-ES"/>
        </w:rPr>
        <w:t xml:space="preserve"> (</w:t>
      </w:r>
      <w:r w:rsidR="004D09F7" w:rsidRPr="002261B9">
        <w:rPr>
          <w:rStyle w:val="DeltaViewInsertion"/>
          <w:color w:val="auto"/>
          <w:u w:val="none"/>
          <w:lang w:val="es-ES"/>
        </w:rPr>
        <w:t>Información del IFPMA en la 13ª reunión del Comité de Examen de los Contaminantes Orgánicos Persistentes</w:t>
      </w:r>
      <w:r w:rsidR="00934533" w:rsidRPr="002261B9">
        <w:rPr>
          <w:rStyle w:val="DeltaViewInsertion"/>
          <w:color w:val="auto"/>
          <w:u w:val="none"/>
          <w:lang w:val="es-ES"/>
        </w:rPr>
        <w:t>).</w:t>
      </w:r>
      <w:bookmarkEnd w:id="38"/>
    </w:p>
    <w:p w14:paraId="07D3C3CE" w14:textId="538CF2C3" w:rsidR="00934533" w:rsidRPr="002261B9" w:rsidRDefault="00547A47" w:rsidP="00547A47">
      <w:pPr>
        <w:tabs>
          <w:tab w:val="left" w:pos="624"/>
        </w:tabs>
        <w:spacing w:after="120"/>
        <w:ind w:left="1248" w:hanging="624"/>
        <w:rPr>
          <w:b/>
          <w:i/>
          <w:sz w:val="20"/>
          <w:szCs w:val="20"/>
          <w:lang w:val="es-ES"/>
        </w:rPr>
      </w:pPr>
      <w:bookmarkStart w:id="39" w:name="_DV_C704"/>
      <w:r w:rsidRPr="002261B9">
        <w:rPr>
          <w:b/>
          <w:i/>
          <w:sz w:val="20"/>
          <w:szCs w:val="20"/>
          <w:lang w:val="es-ES"/>
        </w:rPr>
        <w:t>K.</w:t>
      </w:r>
      <w:r w:rsidRPr="002261B9">
        <w:rPr>
          <w:b/>
          <w:i/>
          <w:sz w:val="20"/>
          <w:szCs w:val="20"/>
          <w:lang w:val="es-ES"/>
        </w:rPr>
        <w:tab/>
      </w:r>
      <w:r w:rsidR="004D09F7" w:rsidRPr="002261B9">
        <w:rPr>
          <w:b/>
          <w:i/>
          <w:sz w:val="20"/>
          <w:szCs w:val="20"/>
          <w:lang w:val="es-ES"/>
        </w:rPr>
        <w:t xml:space="preserve">Uso de la </w:t>
      </w:r>
      <w:r w:rsidR="00934533" w:rsidRPr="002261B9">
        <w:rPr>
          <w:b/>
          <w:i/>
          <w:sz w:val="20"/>
          <w:szCs w:val="20"/>
          <w:lang w:val="es-ES"/>
        </w:rPr>
        <w:t>sulfluramid</w:t>
      </w:r>
      <w:bookmarkStart w:id="40" w:name="_DV_C705"/>
      <w:bookmarkEnd w:id="39"/>
      <w:r w:rsidR="004D09F7" w:rsidRPr="002261B9">
        <w:rPr>
          <w:b/>
          <w:i/>
          <w:sz w:val="20"/>
          <w:szCs w:val="20"/>
          <w:lang w:val="es-ES"/>
        </w:rPr>
        <w:t>a</w:t>
      </w:r>
    </w:p>
    <w:p w14:paraId="620B6D0E" w14:textId="1050D489" w:rsidR="00934533" w:rsidRPr="002261B9" w:rsidRDefault="00FC503E" w:rsidP="00F45508">
      <w:pPr>
        <w:pStyle w:val="Paralevel1"/>
        <w:numPr>
          <w:ilvl w:val="0"/>
          <w:numId w:val="23"/>
        </w:numPr>
        <w:tabs>
          <w:tab w:val="clear" w:pos="0"/>
        </w:tabs>
        <w:ind w:left="1247" w:firstLine="0"/>
        <w:rPr>
          <w:lang w:val="es-ES"/>
        </w:rPr>
      </w:pPr>
      <w:bookmarkStart w:id="41" w:name="_DV_C706"/>
      <w:bookmarkEnd w:id="40"/>
      <w:r w:rsidRPr="002261B9">
        <w:rPr>
          <w:rStyle w:val="DeltaViewInsertion"/>
          <w:color w:val="auto"/>
          <w:u w:val="none"/>
          <w:lang w:val="es-ES"/>
        </w:rPr>
        <w:t xml:space="preserve">El </w:t>
      </w:r>
      <w:r w:rsidRPr="002261B9">
        <w:rPr>
          <w:lang w:val="es-ES"/>
        </w:rPr>
        <w:t>Nsulfonamidoetanol pe</w:t>
      </w:r>
      <w:r w:rsidRPr="002261B9">
        <w:rPr>
          <w:bCs/>
          <w:lang w:val="es-ES"/>
        </w:rPr>
        <w:t>rfluorooctano etílico</w:t>
      </w:r>
      <w:r w:rsidR="00934533" w:rsidRPr="002261B9">
        <w:rPr>
          <w:rStyle w:val="DeltaViewInsertion"/>
          <w:color w:val="auto"/>
          <w:u w:val="none"/>
          <w:lang w:val="es-ES"/>
        </w:rPr>
        <w:t xml:space="preserve"> (</w:t>
      </w:r>
      <w:r w:rsidRPr="002261B9">
        <w:rPr>
          <w:rStyle w:val="DeltaViewInsertion"/>
          <w:color w:val="auto"/>
          <w:u w:val="none"/>
          <w:lang w:val="es-ES"/>
        </w:rPr>
        <w:t>conocido como s</w:t>
      </w:r>
      <w:r w:rsidR="00934533" w:rsidRPr="002261B9">
        <w:rPr>
          <w:rStyle w:val="DeltaViewInsertion"/>
          <w:color w:val="auto"/>
          <w:u w:val="none"/>
          <w:lang w:val="es-ES"/>
        </w:rPr>
        <w:t>ulfluramid</w:t>
      </w:r>
      <w:r w:rsidRPr="002261B9">
        <w:rPr>
          <w:rStyle w:val="DeltaViewInsertion"/>
          <w:color w:val="auto"/>
          <w:u w:val="none"/>
          <w:lang w:val="es-ES"/>
        </w:rPr>
        <w:t>a</w:t>
      </w:r>
      <w:r w:rsidR="00934533" w:rsidRPr="002261B9">
        <w:rPr>
          <w:rStyle w:val="DeltaViewInsertion"/>
          <w:color w:val="auto"/>
          <w:u w:val="none"/>
          <w:lang w:val="es-ES"/>
        </w:rPr>
        <w:t xml:space="preserve">; EtFOSA; </w:t>
      </w:r>
      <w:r w:rsidRPr="002261B9">
        <w:rPr>
          <w:rStyle w:val="DeltaViewInsertion"/>
          <w:color w:val="auto"/>
          <w:u w:val="none"/>
          <w:lang w:val="es-ES"/>
        </w:rPr>
        <w:t>núm. de CAS</w:t>
      </w:r>
      <w:r w:rsidR="00934533" w:rsidRPr="002261B9">
        <w:rPr>
          <w:rStyle w:val="DeltaViewInsertion"/>
          <w:color w:val="auto"/>
          <w:u w:val="none"/>
          <w:lang w:val="es-ES"/>
        </w:rPr>
        <w:t>: 4151-50-2) ha</w:t>
      </w:r>
      <w:r w:rsidRPr="002261B9">
        <w:rPr>
          <w:rStyle w:val="DeltaViewInsertion"/>
          <w:color w:val="auto"/>
          <w:u w:val="none"/>
          <w:lang w:val="es-ES"/>
        </w:rPr>
        <w:t xml:space="preserve"> </w:t>
      </w:r>
      <w:r w:rsidR="00934533" w:rsidRPr="002261B9">
        <w:rPr>
          <w:rStyle w:val="DeltaViewInsertion"/>
          <w:color w:val="auto"/>
          <w:u w:val="none"/>
          <w:lang w:val="es-ES"/>
        </w:rPr>
        <w:t>s</w:t>
      </w:r>
      <w:r w:rsidRPr="002261B9">
        <w:rPr>
          <w:rStyle w:val="DeltaViewInsertion"/>
          <w:color w:val="auto"/>
          <w:u w:val="none"/>
          <w:lang w:val="es-ES"/>
        </w:rPr>
        <w:t xml:space="preserve">ido utilizado como </w:t>
      </w:r>
      <w:r w:rsidR="00A63836" w:rsidRPr="002261B9">
        <w:rPr>
          <w:rStyle w:val="DeltaViewInsertion"/>
          <w:color w:val="auto"/>
          <w:u w:val="none"/>
          <w:lang w:val="es-ES"/>
        </w:rPr>
        <w:t>ingrediente</w:t>
      </w:r>
      <w:r w:rsidRPr="002261B9">
        <w:rPr>
          <w:rStyle w:val="DeltaViewInsertion"/>
          <w:color w:val="auto"/>
          <w:u w:val="none"/>
          <w:lang w:val="es-ES"/>
        </w:rPr>
        <w:t xml:space="preserve"> activo </w:t>
      </w:r>
      <w:r w:rsidR="00A63836" w:rsidRPr="002261B9">
        <w:rPr>
          <w:rStyle w:val="DeltaViewInsertion"/>
          <w:color w:val="auto"/>
          <w:u w:val="none"/>
          <w:lang w:val="es-ES"/>
        </w:rPr>
        <w:t>en cebos</w:t>
      </w:r>
      <w:r w:rsidRPr="002261B9">
        <w:rPr>
          <w:rStyle w:val="DeltaViewInsertion"/>
          <w:color w:val="auto"/>
          <w:u w:val="none"/>
          <w:lang w:val="es-ES"/>
        </w:rPr>
        <w:t xml:space="preserve"> para hormigas cortadoras de hojas</w:t>
      </w:r>
      <w:r w:rsidR="00A63836" w:rsidRPr="002261B9">
        <w:rPr>
          <w:rStyle w:val="DeltaViewInsertion"/>
          <w:color w:val="auto"/>
          <w:u w:val="none"/>
          <w:lang w:val="es-ES"/>
        </w:rPr>
        <w:t xml:space="preserve"> de</w:t>
      </w:r>
      <w:r w:rsidRPr="002261B9">
        <w:rPr>
          <w:rStyle w:val="DeltaViewInsertion"/>
          <w:color w:val="auto"/>
          <w:u w:val="none"/>
          <w:lang w:val="es-ES"/>
        </w:rPr>
        <w:t xml:space="preserve"> </w:t>
      </w:r>
      <w:r w:rsidR="00920F0E" w:rsidRPr="002261B9">
        <w:rPr>
          <w:rStyle w:val="DeltaViewInsertion"/>
          <w:i/>
          <w:color w:val="auto"/>
          <w:u w:val="none"/>
          <w:lang w:val="es-ES"/>
        </w:rPr>
        <w:t>Atta spp</w:t>
      </w:r>
      <w:r w:rsidR="00920F0E" w:rsidRPr="002261B9">
        <w:rPr>
          <w:rStyle w:val="DeltaViewInsertion"/>
          <w:color w:val="auto"/>
          <w:u w:val="none"/>
          <w:lang w:val="es-ES"/>
        </w:rPr>
        <w:t xml:space="preserve"> y</w:t>
      </w:r>
      <w:r w:rsidR="00934533" w:rsidRPr="002261B9">
        <w:rPr>
          <w:rStyle w:val="DeltaViewInsertion"/>
          <w:i/>
          <w:color w:val="auto"/>
          <w:u w:val="none"/>
          <w:lang w:val="es-ES"/>
        </w:rPr>
        <w:t xml:space="preserve"> Acromyrmex </w:t>
      </w:r>
      <w:r w:rsidR="00934533" w:rsidRPr="002261B9">
        <w:rPr>
          <w:rStyle w:val="DeltaViewInsertion"/>
          <w:color w:val="auto"/>
          <w:u w:val="none"/>
          <w:lang w:val="es-ES"/>
        </w:rPr>
        <w:t xml:space="preserve">spp. </w:t>
      </w:r>
      <w:r w:rsidR="00920F0E" w:rsidRPr="002261B9">
        <w:rPr>
          <w:rStyle w:val="DeltaViewInsertion"/>
          <w:color w:val="auto"/>
          <w:u w:val="none"/>
          <w:lang w:val="es-ES"/>
        </w:rPr>
        <w:t>En muchos países de Amé</w:t>
      </w:r>
      <w:r w:rsidR="00934533" w:rsidRPr="002261B9">
        <w:rPr>
          <w:rStyle w:val="DeltaViewInsertion"/>
          <w:color w:val="auto"/>
          <w:u w:val="none"/>
          <w:lang w:val="es-ES"/>
        </w:rPr>
        <w:t xml:space="preserve">rica </w:t>
      </w:r>
      <w:r w:rsidR="00920F0E" w:rsidRPr="002261B9">
        <w:rPr>
          <w:rStyle w:val="DeltaViewInsertion"/>
          <w:color w:val="auto"/>
          <w:u w:val="none"/>
          <w:lang w:val="es-ES"/>
        </w:rPr>
        <w:t>del Sur, así como para el control de l</w:t>
      </w:r>
      <w:r w:rsidR="00934533" w:rsidRPr="002261B9">
        <w:rPr>
          <w:rStyle w:val="DeltaViewInsertion"/>
          <w:color w:val="auto"/>
          <w:u w:val="none"/>
          <w:lang w:val="es-ES"/>
        </w:rPr>
        <w:t xml:space="preserve">as </w:t>
      </w:r>
      <w:r w:rsidR="00920F0E" w:rsidRPr="002261B9">
        <w:rPr>
          <w:rStyle w:val="DeltaViewInsertion"/>
          <w:color w:val="auto"/>
          <w:u w:val="none"/>
          <w:lang w:val="es-ES"/>
        </w:rPr>
        <w:t>hormigas rojas de fuego importadas, y las t</w:t>
      </w:r>
      <w:r w:rsidR="00934533" w:rsidRPr="002261B9">
        <w:rPr>
          <w:rStyle w:val="DeltaViewInsertion"/>
          <w:color w:val="auto"/>
          <w:u w:val="none"/>
          <w:lang w:val="es-ES"/>
        </w:rPr>
        <w:t>ermit</w:t>
      </w:r>
      <w:r w:rsidR="00920F0E" w:rsidRPr="002261B9">
        <w:rPr>
          <w:rStyle w:val="DeltaViewInsertion"/>
          <w:color w:val="auto"/>
          <w:u w:val="none"/>
          <w:lang w:val="es-ES"/>
        </w:rPr>
        <w:t>a</w:t>
      </w:r>
      <w:r w:rsidR="00934533" w:rsidRPr="002261B9">
        <w:rPr>
          <w:rStyle w:val="DeltaViewInsertion"/>
          <w:color w:val="auto"/>
          <w:u w:val="none"/>
          <w:lang w:val="es-ES"/>
        </w:rPr>
        <w:t xml:space="preserve">s (UNEP/POPS/POPRC.6/13/Add.3/Rev.1). </w:t>
      </w:r>
      <w:r w:rsidR="00920F0E" w:rsidRPr="002261B9">
        <w:rPr>
          <w:rStyle w:val="DeltaViewInsertion"/>
          <w:color w:val="auto"/>
          <w:u w:val="none"/>
          <w:lang w:val="es-ES"/>
        </w:rPr>
        <w:t>También pueden utilizarse f</w:t>
      </w:r>
      <w:r w:rsidR="00934533" w:rsidRPr="002261B9">
        <w:rPr>
          <w:rStyle w:val="DeltaViewInsertion"/>
          <w:color w:val="auto"/>
          <w:u w:val="none"/>
          <w:lang w:val="es-ES"/>
        </w:rPr>
        <w:t>luorosurfactant</w:t>
      </w:r>
      <w:r w:rsidR="00920F0E" w:rsidRPr="002261B9">
        <w:rPr>
          <w:rStyle w:val="DeltaViewInsertion"/>
          <w:color w:val="auto"/>
          <w:u w:val="none"/>
          <w:lang w:val="es-ES"/>
        </w:rPr>
        <w:t>e</w:t>
      </w:r>
      <w:r w:rsidR="00934533" w:rsidRPr="002261B9">
        <w:rPr>
          <w:rStyle w:val="DeltaViewInsertion"/>
          <w:color w:val="auto"/>
          <w:u w:val="none"/>
          <w:lang w:val="es-ES"/>
        </w:rPr>
        <w:t xml:space="preserve">s </w:t>
      </w:r>
      <w:r w:rsidR="00920F0E" w:rsidRPr="002261B9">
        <w:rPr>
          <w:rStyle w:val="DeltaViewInsertion"/>
          <w:color w:val="auto"/>
          <w:u w:val="none"/>
          <w:lang w:val="es-ES"/>
        </w:rPr>
        <w:t xml:space="preserve">como surfactantes </w:t>
      </w:r>
      <w:r w:rsidR="00E1011E" w:rsidRPr="002261B9">
        <w:rPr>
          <w:rStyle w:val="DeltaViewInsertion"/>
          <w:color w:val="auto"/>
          <w:u w:val="none"/>
          <w:lang w:val="es-ES"/>
        </w:rPr>
        <w:t>“</w:t>
      </w:r>
      <w:r w:rsidR="00934533" w:rsidRPr="002261B9">
        <w:rPr>
          <w:rStyle w:val="DeltaViewInsertion"/>
          <w:color w:val="auto"/>
          <w:u w:val="none"/>
          <w:lang w:val="es-ES"/>
        </w:rPr>
        <w:t>inert</w:t>
      </w:r>
      <w:r w:rsidR="00920F0E" w:rsidRPr="002261B9">
        <w:rPr>
          <w:rStyle w:val="DeltaViewInsertion"/>
          <w:color w:val="auto"/>
          <w:u w:val="none"/>
          <w:lang w:val="es-ES"/>
        </w:rPr>
        <w:t>es</w:t>
      </w:r>
      <w:r w:rsidR="00E1011E" w:rsidRPr="002261B9">
        <w:rPr>
          <w:rStyle w:val="DeltaViewInsertion"/>
          <w:color w:val="auto"/>
          <w:u w:val="none"/>
          <w:lang w:val="es-ES"/>
        </w:rPr>
        <w:t>”</w:t>
      </w:r>
      <w:r w:rsidR="00934533" w:rsidRPr="002261B9">
        <w:rPr>
          <w:rStyle w:val="DeltaViewInsertion"/>
          <w:color w:val="auto"/>
          <w:u w:val="none"/>
          <w:lang w:val="es-ES"/>
        </w:rPr>
        <w:t xml:space="preserve"> </w:t>
      </w:r>
      <w:r w:rsidR="0043051C" w:rsidRPr="002261B9">
        <w:rPr>
          <w:rStyle w:val="DeltaViewInsertion"/>
          <w:color w:val="auto"/>
          <w:u w:val="none"/>
          <w:lang w:val="es-ES"/>
        </w:rPr>
        <w:t>(</w:t>
      </w:r>
      <w:r w:rsidR="00920F0E" w:rsidRPr="002261B9">
        <w:rPr>
          <w:lang w:val="es-ES"/>
        </w:rPr>
        <w:t>potenciadores</w:t>
      </w:r>
      <w:r w:rsidR="00920F0E" w:rsidRPr="002261B9">
        <w:rPr>
          <w:rStyle w:val="DeltaViewInsertion"/>
          <w:color w:val="auto"/>
          <w:u w:val="none"/>
          <w:lang w:val="es-ES"/>
        </w:rPr>
        <w:t xml:space="preserve"> utilizados en formulaciones plaguicidas, pero </w:t>
      </w:r>
      <w:r w:rsidR="00920F0E" w:rsidRPr="002261B9">
        <w:rPr>
          <w:lang w:val="es-ES"/>
        </w:rPr>
        <w:t>que</w:t>
      </w:r>
      <w:r w:rsidR="00920F0E" w:rsidRPr="002261B9">
        <w:rPr>
          <w:rStyle w:val="DeltaViewInsertion"/>
          <w:color w:val="auto"/>
          <w:u w:val="none"/>
          <w:lang w:val="es-ES"/>
        </w:rPr>
        <w:t xml:space="preserve"> no constituyen ingredientes activos</w:t>
      </w:r>
      <w:r w:rsidR="00934533" w:rsidRPr="002261B9">
        <w:rPr>
          <w:rStyle w:val="DeltaViewInsertion"/>
          <w:color w:val="auto"/>
          <w:u w:val="none"/>
          <w:lang w:val="es-ES"/>
        </w:rPr>
        <w:t xml:space="preserve">) </w:t>
      </w:r>
      <w:r w:rsidR="00920F0E" w:rsidRPr="002261B9">
        <w:rPr>
          <w:rStyle w:val="DeltaViewInsertion"/>
          <w:color w:val="auto"/>
          <w:u w:val="none"/>
          <w:lang w:val="es-ES"/>
        </w:rPr>
        <w:t xml:space="preserve">en productos plaguicidas </w:t>
      </w:r>
      <w:bookmarkStart w:id="42" w:name="_DV_C707"/>
      <w:bookmarkEnd w:id="41"/>
      <w:r w:rsidR="00920F0E" w:rsidRPr="002261B9">
        <w:rPr>
          <w:rStyle w:val="DeltaViewInsertion"/>
          <w:color w:val="auto"/>
          <w:u w:val="none"/>
          <w:lang w:val="es-ES"/>
        </w:rPr>
        <w:t>(UNEP/POPS/POPRC.12/INF/15/Rev.1).</w:t>
      </w:r>
    </w:p>
    <w:p w14:paraId="6B63AD44" w14:textId="21589AF5" w:rsidR="00934533" w:rsidRPr="002261B9" w:rsidRDefault="00920F0E" w:rsidP="00F45508">
      <w:pPr>
        <w:pStyle w:val="Paralevel1"/>
        <w:numPr>
          <w:ilvl w:val="0"/>
          <w:numId w:val="23"/>
        </w:numPr>
        <w:tabs>
          <w:tab w:val="clear" w:pos="0"/>
        </w:tabs>
        <w:ind w:left="1247" w:firstLine="0"/>
        <w:rPr>
          <w:lang w:val="es-ES"/>
        </w:rPr>
      </w:pPr>
      <w:bookmarkStart w:id="43" w:name="_DV_C708"/>
      <w:bookmarkEnd w:id="42"/>
      <w:r w:rsidRPr="002261B9">
        <w:rPr>
          <w:rStyle w:val="DeltaViewInsertion"/>
          <w:color w:val="auto"/>
          <w:u w:val="none"/>
          <w:lang w:val="es-ES"/>
        </w:rPr>
        <w:t>La s</w:t>
      </w:r>
      <w:r w:rsidR="00934533" w:rsidRPr="002261B9">
        <w:rPr>
          <w:rStyle w:val="DeltaViewInsertion"/>
          <w:color w:val="auto"/>
          <w:u w:val="none"/>
          <w:lang w:val="es-ES"/>
        </w:rPr>
        <w:t>ulfluramid</w:t>
      </w:r>
      <w:r w:rsidRPr="002261B9">
        <w:rPr>
          <w:rStyle w:val="DeltaViewInsertion"/>
          <w:color w:val="auto"/>
          <w:u w:val="none"/>
          <w:lang w:val="es-ES"/>
        </w:rPr>
        <w:t>a se utiliza en cebos para el control de las hormigas cortadoras de hojas</w:t>
      </w:r>
      <w:r w:rsidR="00934533" w:rsidRPr="002261B9">
        <w:rPr>
          <w:rStyle w:val="DeltaViewInsertion"/>
          <w:color w:val="auto"/>
          <w:u w:val="none"/>
          <w:lang w:val="es-ES"/>
        </w:rPr>
        <w:t xml:space="preserve">, </w:t>
      </w:r>
      <w:r w:rsidRPr="002261B9">
        <w:rPr>
          <w:rStyle w:val="DeltaViewInsertion"/>
          <w:color w:val="auto"/>
          <w:u w:val="none"/>
          <w:lang w:val="es-ES"/>
        </w:rPr>
        <w:t xml:space="preserve">según la delegación del </w:t>
      </w:r>
      <w:r w:rsidR="00934533" w:rsidRPr="002261B9">
        <w:rPr>
          <w:rStyle w:val="DeltaViewInsertion"/>
          <w:color w:val="auto"/>
          <w:u w:val="none"/>
          <w:lang w:val="es-ES"/>
        </w:rPr>
        <w:t>Bra</w:t>
      </w:r>
      <w:r w:rsidRPr="002261B9">
        <w:rPr>
          <w:rStyle w:val="DeltaViewInsertion"/>
          <w:color w:val="auto"/>
          <w:u w:val="none"/>
          <w:lang w:val="es-ES"/>
        </w:rPr>
        <w:t>s</w:t>
      </w:r>
      <w:r w:rsidR="00934533" w:rsidRPr="002261B9">
        <w:rPr>
          <w:rStyle w:val="DeltaViewInsertion"/>
          <w:color w:val="auto"/>
          <w:u w:val="none"/>
          <w:lang w:val="es-ES"/>
        </w:rPr>
        <w:t xml:space="preserve">il </w:t>
      </w:r>
      <w:r w:rsidR="00A63836" w:rsidRPr="002261B9">
        <w:rPr>
          <w:rStyle w:val="DeltaViewInsertion"/>
          <w:color w:val="auto"/>
          <w:u w:val="none"/>
          <w:lang w:val="es-ES"/>
        </w:rPr>
        <w:t>el uso</w:t>
      </w:r>
      <w:r w:rsidRPr="002261B9">
        <w:rPr>
          <w:rStyle w:val="DeltaViewInsertion"/>
          <w:color w:val="auto"/>
          <w:u w:val="none"/>
          <w:lang w:val="es-ES"/>
        </w:rPr>
        <w:t xml:space="preserve"> de</w:t>
      </w:r>
      <w:r w:rsidR="00934533" w:rsidRPr="002261B9">
        <w:rPr>
          <w:rStyle w:val="DeltaViewInsertion"/>
          <w:color w:val="auto"/>
          <w:u w:val="none"/>
          <w:lang w:val="es-ES"/>
        </w:rPr>
        <w:t xml:space="preserve"> sulfluramid</w:t>
      </w:r>
      <w:r w:rsidRPr="002261B9">
        <w:rPr>
          <w:rStyle w:val="DeltaViewInsertion"/>
          <w:color w:val="auto"/>
          <w:u w:val="none"/>
          <w:lang w:val="es-ES"/>
        </w:rPr>
        <w:t xml:space="preserve">a en el Brasil evita daños que </w:t>
      </w:r>
      <w:r w:rsidR="00A63836" w:rsidRPr="002261B9">
        <w:rPr>
          <w:rStyle w:val="DeltaViewInsertion"/>
          <w:color w:val="auto"/>
          <w:u w:val="none"/>
          <w:lang w:val="es-ES"/>
        </w:rPr>
        <w:t>acarrearían</w:t>
      </w:r>
      <w:r w:rsidRPr="002261B9">
        <w:rPr>
          <w:rStyle w:val="DeltaViewInsertion"/>
          <w:color w:val="auto"/>
          <w:u w:val="none"/>
          <w:lang w:val="es-ES"/>
        </w:rPr>
        <w:t xml:space="preserve"> pérdidas de </w:t>
      </w:r>
      <w:r w:rsidR="00A63836" w:rsidRPr="002261B9">
        <w:rPr>
          <w:rStyle w:val="DeltaViewInsertion"/>
          <w:color w:val="auto"/>
          <w:u w:val="none"/>
          <w:lang w:val="es-ES"/>
        </w:rPr>
        <w:t>hasta el</w:t>
      </w:r>
      <w:r w:rsidRPr="002261B9">
        <w:rPr>
          <w:rStyle w:val="DeltaViewInsertion"/>
          <w:color w:val="auto"/>
          <w:u w:val="none"/>
          <w:lang w:val="es-ES"/>
        </w:rPr>
        <w:t xml:space="preserve"> </w:t>
      </w:r>
      <w:r w:rsidR="00934533" w:rsidRPr="002261B9">
        <w:rPr>
          <w:rStyle w:val="DeltaViewInsertion"/>
          <w:color w:val="auto"/>
          <w:u w:val="none"/>
          <w:lang w:val="es-ES"/>
        </w:rPr>
        <w:t>14</w:t>
      </w:r>
      <w:r w:rsidRPr="002261B9">
        <w:rPr>
          <w:rStyle w:val="DeltaViewInsertion"/>
          <w:color w:val="auto"/>
          <w:u w:val="none"/>
          <w:lang w:val="es-ES"/>
        </w:rPr>
        <w:t>,5</w:t>
      </w:r>
      <w:r w:rsidR="00A63836" w:rsidRPr="002261B9">
        <w:rPr>
          <w:rStyle w:val="DeltaViewInsertion"/>
          <w:color w:val="auto"/>
          <w:u w:val="none"/>
          <w:lang w:val="es-ES"/>
        </w:rPr>
        <w:t>% de</w:t>
      </w:r>
      <w:r w:rsidRPr="002261B9">
        <w:rPr>
          <w:rStyle w:val="DeltaViewInsertion"/>
          <w:color w:val="auto"/>
          <w:u w:val="none"/>
          <w:lang w:val="es-ES"/>
        </w:rPr>
        <w:t xml:space="preserve"> árboles por </w:t>
      </w:r>
      <w:r w:rsidR="00934533" w:rsidRPr="002261B9">
        <w:rPr>
          <w:rStyle w:val="DeltaViewInsertion"/>
          <w:color w:val="auto"/>
          <w:u w:val="none"/>
          <w:lang w:val="es-ES"/>
        </w:rPr>
        <w:t>hect</w:t>
      </w:r>
      <w:r w:rsidRPr="002261B9">
        <w:rPr>
          <w:rStyle w:val="DeltaViewInsertion"/>
          <w:color w:val="auto"/>
          <w:u w:val="none"/>
          <w:lang w:val="es-ES"/>
        </w:rPr>
        <w:t>área</w:t>
      </w:r>
      <w:r w:rsidR="00934533" w:rsidRPr="002261B9">
        <w:rPr>
          <w:rStyle w:val="DeltaViewInsertion"/>
          <w:color w:val="auto"/>
          <w:u w:val="none"/>
          <w:lang w:val="es-ES"/>
        </w:rPr>
        <w:t>. Ot</w:t>
      </w:r>
      <w:r w:rsidRPr="002261B9">
        <w:rPr>
          <w:rStyle w:val="DeltaViewInsertion"/>
          <w:color w:val="auto"/>
          <w:u w:val="none"/>
          <w:lang w:val="es-ES"/>
        </w:rPr>
        <w:t xml:space="preserve">ros productos agrícolas que podrían sufrir pérdidas costosas </w:t>
      </w:r>
      <w:r w:rsidR="0043051C" w:rsidRPr="002261B9">
        <w:rPr>
          <w:rStyle w:val="DeltaViewInsertion"/>
          <w:color w:val="auto"/>
          <w:u w:val="none"/>
          <w:lang w:val="es-ES"/>
        </w:rPr>
        <w:t>s</w:t>
      </w:r>
      <w:r w:rsidRPr="002261B9">
        <w:rPr>
          <w:rStyle w:val="DeltaViewInsertion"/>
          <w:color w:val="auto"/>
          <w:u w:val="none"/>
          <w:lang w:val="es-ES"/>
        </w:rPr>
        <w:t xml:space="preserve">on la soja y el </w:t>
      </w:r>
      <w:r w:rsidRPr="002261B9">
        <w:rPr>
          <w:lang w:val="es-ES"/>
        </w:rPr>
        <w:t>maíz</w:t>
      </w:r>
      <w:r w:rsidR="00934533" w:rsidRPr="002261B9">
        <w:rPr>
          <w:lang w:val="es-ES"/>
        </w:rPr>
        <w:t>.</w:t>
      </w:r>
      <w:r w:rsidR="00934533" w:rsidRPr="002261B9">
        <w:rPr>
          <w:rStyle w:val="DeltaViewInsertion"/>
          <w:color w:val="auto"/>
          <w:u w:val="none"/>
          <w:lang w:val="es-ES"/>
        </w:rPr>
        <w:t xml:space="preserve"> </w:t>
      </w:r>
      <w:r w:rsidRPr="002261B9">
        <w:rPr>
          <w:rStyle w:val="DeltaViewInsertion"/>
          <w:color w:val="auto"/>
          <w:u w:val="none"/>
          <w:lang w:val="es-ES"/>
        </w:rPr>
        <w:t xml:space="preserve">También, es probable que la capacidad por hectárea para el sustento del </w:t>
      </w:r>
      <w:r w:rsidR="00A63836" w:rsidRPr="002261B9">
        <w:rPr>
          <w:rStyle w:val="DeltaViewInsertion"/>
          <w:color w:val="auto"/>
          <w:u w:val="none"/>
          <w:lang w:val="es-ES"/>
        </w:rPr>
        <w:t>ganado</w:t>
      </w:r>
      <w:r w:rsidRPr="002261B9">
        <w:rPr>
          <w:rStyle w:val="DeltaViewInsertion"/>
          <w:color w:val="auto"/>
          <w:u w:val="none"/>
          <w:lang w:val="es-ES"/>
        </w:rPr>
        <w:t xml:space="preserve"> disminuya si las hormigas reducen el forraje para el ganado</w:t>
      </w:r>
      <w:r w:rsidR="00934533" w:rsidRPr="002261B9">
        <w:rPr>
          <w:rStyle w:val="DeltaViewInsertion"/>
          <w:color w:val="auto"/>
          <w:u w:val="none"/>
          <w:lang w:val="es-ES"/>
        </w:rPr>
        <w:t xml:space="preserve"> (U</w:t>
      </w:r>
      <w:r w:rsidR="0093050C" w:rsidRPr="002261B9">
        <w:rPr>
          <w:rStyle w:val="DeltaViewInsertion"/>
          <w:color w:val="auto"/>
          <w:u w:val="none"/>
          <w:lang w:val="es-ES"/>
        </w:rPr>
        <w:t>NEP/POPS/POPRC.12/INF/15/Rev.1)</w:t>
      </w:r>
      <w:r w:rsidR="00DB11FD" w:rsidRPr="002261B9">
        <w:rPr>
          <w:rStyle w:val="FootnoteReference"/>
          <w:lang w:val="es-ES"/>
        </w:rPr>
        <w:footnoteReference w:id="18"/>
      </w:r>
      <w:bookmarkStart w:id="45" w:name="_DV_C710"/>
      <w:bookmarkEnd w:id="43"/>
      <w:r w:rsidR="0093050C" w:rsidRPr="002261B9">
        <w:rPr>
          <w:rStyle w:val="DeltaViewInsertion"/>
          <w:color w:val="auto"/>
          <w:u w:val="none"/>
          <w:lang w:val="es-ES"/>
        </w:rPr>
        <w:t>.</w:t>
      </w:r>
    </w:p>
    <w:p w14:paraId="69FAFB38" w14:textId="39E72996" w:rsidR="00BE708D" w:rsidRPr="002261B9" w:rsidRDefault="00920F0E" w:rsidP="00F45508">
      <w:pPr>
        <w:pStyle w:val="Paralevel1"/>
        <w:numPr>
          <w:ilvl w:val="0"/>
          <w:numId w:val="23"/>
        </w:numPr>
        <w:tabs>
          <w:tab w:val="clear" w:pos="0"/>
        </w:tabs>
        <w:ind w:left="1247" w:firstLine="0"/>
        <w:rPr>
          <w:lang w:val="es-ES"/>
        </w:rPr>
      </w:pPr>
      <w:bookmarkStart w:id="46" w:name="_DV_C711"/>
      <w:bookmarkEnd w:id="45"/>
      <w:r w:rsidRPr="002261B9">
        <w:rPr>
          <w:rStyle w:val="DeltaViewInsertion"/>
          <w:color w:val="auto"/>
          <w:u w:val="none"/>
          <w:lang w:val="es-ES"/>
        </w:rPr>
        <w:t xml:space="preserve">Los cebos para </w:t>
      </w:r>
      <w:r w:rsidRPr="002261B9">
        <w:rPr>
          <w:lang w:val="es-ES"/>
        </w:rPr>
        <w:t>insectos</w:t>
      </w:r>
      <w:r w:rsidRPr="002261B9">
        <w:rPr>
          <w:rStyle w:val="DeltaViewInsertion"/>
          <w:color w:val="auto"/>
          <w:u w:val="none"/>
          <w:lang w:val="es-ES"/>
        </w:rPr>
        <w:t xml:space="preserve"> utilizados para el control de las hormigas cortadoras de hojas</w:t>
      </w:r>
      <w:r w:rsidR="00A63836" w:rsidRPr="002261B9">
        <w:rPr>
          <w:rStyle w:val="DeltaViewInsertion"/>
          <w:color w:val="auto"/>
          <w:u w:val="none"/>
          <w:lang w:val="es-ES"/>
        </w:rPr>
        <w:t xml:space="preserve"> de</w:t>
      </w:r>
      <w:r w:rsidR="00934533" w:rsidRPr="002261B9">
        <w:rPr>
          <w:rStyle w:val="DeltaViewInsertion"/>
          <w:color w:val="auto"/>
          <w:u w:val="none"/>
          <w:lang w:val="es-ES"/>
        </w:rPr>
        <w:t xml:space="preserve"> </w:t>
      </w:r>
      <w:r w:rsidR="00934533" w:rsidRPr="002261B9">
        <w:rPr>
          <w:rStyle w:val="DeltaViewInsertion"/>
          <w:i/>
          <w:color w:val="auto"/>
          <w:u w:val="none"/>
          <w:lang w:val="es-ES"/>
        </w:rPr>
        <w:t>Atta spp.</w:t>
      </w:r>
      <w:r w:rsidR="00934533" w:rsidRPr="002261B9">
        <w:rPr>
          <w:rStyle w:val="DeltaViewInsertion"/>
          <w:color w:val="auto"/>
          <w:u w:val="none"/>
          <w:lang w:val="es-ES"/>
        </w:rPr>
        <w:t xml:space="preserve"> </w:t>
      </w:r>
      <w:r w:rsidR="002748F8" w:rsidRPr="002261B9">
        <w:rPr>
          <w:rStyle w:val="DeltaViewInsertion"/>
          <w:color w:val="auto"/>
          <w:u w:val="none"/>
          <w:lang w:val="es-ES"/>
        </w:rPr>
        <w:t>y</w:t>
      </w:r>
      <w:r w:rsidRPr="002261B9">
        <w:rPr>
          <w:rStyle w:val="DeltaViewInsertion"/>
          <w:color w:val="auto"/>
          <w:u w:val="none"/>
          <w:lang w:val="es-ES"/>
        </w:rPr>
        <w:t xml:space="preserve"> </w:t>
      </w:r>
      <w:r w:rsidR="00230F05" w:rsidRPr="002261B9">
        <w:rPr>
          <w:rStyle w:val="DeltaViewInsertion"/>
          <w:i/>
          <w:color w:val="auto"/>
          <w:u w:val="none"/>
          <w:lang w:val="es-ES"/>
        </w:rPr>
        <w:t>Acromyrmex spp,</w:t>
      </w:r>
      <w:r w:rsidR="00A63836" w:rsidRPr="002261B9">
        <w:rPr>
          <w:rStyle w:val="DeltaViewInsertion"/>
          <w:i/>
          <w:color w:val="auto"/>
          <w:u w:val="none"/>
          <w:lang w:val="es-ES"/>
        </w:rPr>
        <w:t xml:space="preserve"> </w:t>
      </w:r>
      <w:r w:rsidR="00230F05" w:rsidRPr="002261B9">
        <w:rPr>
          <w:rStyle w:val="DeltaViewInsertion"/>
          <w:color w:val="auto"/>
          <w:u w:val="none"/>
          <w:lang w:val="es-ES"/>
        </w:rPr>
        <w:t xml:space="preserve">clasifican como fines aceptables para la producción y el uso del </w:t>
      </w:r>
      <w:r w:rsidR="00934533" w:rsidRPr="002261B9">
        <w:rPr>
          <w:rStyle w:val="DeltaViewInsertion"/>
          <w:color w:val="auto"/>
          <w:u w:val="none"/>
          <w:lang w:val="es-ES"/>
        </w:rPr>
        <w:t xml:space="preserve">PFOS, </w:t>
      </w:r>
      <w:r w:rsidR="00230F05" w:rsidRPr="002261B9">
        <w:rPr>
          <w:rStyle w:val="DeltaViewInsertion"/>
          <w:color w:val="auto"/>
          <w:u w:val="none"/>
          <w:lang w:val="es-ES"/>
        </w:rPr>
        <w:t>sus sales y el PFOSF e</w:t>
      </w:r>
      <w:r w:rsidR="00934533" w:rsidRPr="002261B9">
        <w:rPr>
          <w:rStyle w:val="DeltaViewInsertion"/>
          <w:color w:val="auto"/>
          <w:u w:val="none"/>
          <w:lang w:val="es-ES"/>
        </w:rPr>
        <w:t xml:space="preserve">n </w:t>
      </w:r>
      <w:r w:rsidR="00230F05" w:rsidRPr="002261B9">
        <w:rPr>
          <w:rStyle w:val="DeltaViewInsertion"/>
          <w:color w:val="auto"/>
          <w:u w:val="none"/>
          <w:lang w:val="es-ES"/>
        </w:rPr>
        <w:t xml:space="preserve">el anexo </w:t>
      </w:r>
      <w:r w:rsidR="00934533" w:rsidRPr="002261B9">
        <w:rPr>
          <w:rStyle w:val="DeltaViewInsertion"/>
          <w:color w:val="auto"/>
          <w:u w:val="none"/>
          <w:lang w:val="es-ES"/>
        </w:rPr>
        <w:t>B (UNEP/POPS/POPRC.12/INF/15/Rev.1).</w:t>
      </w:r>
      <w:bookmarkEnd w:id="46"/>
      <w:r w:rsidR="00BE708D" w:rsidRPr="002261B9">
        <w:rPr>
          <w:lang w:val="es-ES"/>
        </w:rPr>
        <w:t xml:space="preserve"> </w:t>
      </w:r>
    </w:p>
    <w:p w14:paraId="5C847460" w14:textId="09B51BDA" w:rsidR="004D5B0D" w:rsidRPr="002261B9" w:rsidRDefault="0093050C" w:rsidP="000142B5">
      <w:pPr>
        <w:pStyle w:val="StyleHeading3h3123SecTimesNewRomanBold"/>
        <w:autoSpaceDE w:val="0"/>
        <w:autoSpaceDN w:val="0"/>
        <w:adjustRightInd w:val="0"/>
        <w:ind w:left="1248" w:hanging="624"/>
        <w:rPr>
          <w:lang w:val="es-ES"/>
        </w:rPr>
      </w:pPr>
      <w:bookmarkStart w:id="47" w:name="_Toc501099202"/>
      <w:r w:rsidRPr="002261B9">
        <w:rPr>
          <w:lang w:val="es-ES"/>
        </w:rPr>
        <w:t>2.2.2</w:t>
      </w:r>
      <w:r w:rsidRPr="002261B9">
        <w:rPr>
          <w:lang w:val="es-ES"/>
        </w:rPr>
        <w:tab/>
      </w:r>
      <w:r w:rsidR="004D5B0D" w:rsidRPr="002261B9">
        <w:rPr>
          <w:lang w:val="es-ES"/>
        </w:rPr>
        <w:t>Costos y beneficios de la aplicación de medidas de control</w:t>
      </w:r>
      <w:bookmarkEnd w:id="28"/>
      <w:bookmarkEnd w:id="47"/>
    </w:p>
    <w:p w14:paraId="60716954" w14:textId="4CB8B7E7" w:rsidR="00A3022F" w:rsidRPr="002261B9" w:rsidRDefault="006E767A" w:rsidP="00F45508">
      <w:pPr>
        <w:pStyle w:val="Paralevel1"/>
        <w:numPr>
          <w:ilvl w:val="0"/>
          <w:numId w:val="23"/>
        </w:numPr>
        <w:tabs>
          <w:tab w:val="clear" w:pos="0"/>
        </w:tabs>
        <w:ind w:left="1247" w:firstLine="0"/>
        <w:rPr>
          <w:lang w:val="es-ES"/>
        </w:rPr>
      </w:pPr>
      <w:r w:rsidRPr="002261B9">
        <w:rPr>
          <w:lang w:val="es-ES"/>
        </w:rPr>
        <w:t xml:space="preserve">En un informe de </w:t>
      </w:r>
      <w:r w:rsidR="00A3022F" w:rsidRPr="002261B9">
        <w:rPr>
          <w:lang w:val="es-ES"/>
        </w:rPr>
        <w:t>HELCOM</w:t>
      </w:r>
      <w:r w:rsidRPr="002261B9">
        <w:rPr>
          <w:lang w:val="es-ES"/>
        </w:rPr>
        <w:t>,</w:t>
      </w:r>
      <w:r w:rsidR="00A3022F" w:rsidRPr="002261B9">
        <w:rPr>
          <w:lang w:val="es-ES"/>
        </w:rPr>
        <w:t xml:space="preserve"> </w:t>
      </w:r>
      <w:r w:rsidRPr="002261B9">
        <w:rPr>
          <w:lang w:val="es-ES"/>
        </w:rPr>
        <w:t xml:space="preserve">se han evaluado opciones de gestión eficaces en función de los costos para reducir las descargas, emisiones y pérdidas de sustancias peligrosas, entre ellas el </w:t>
      </w:r>
      <w:r w:rsidR="00A3022F" w:rsidRPr="002261B9">
        <w:rPr>
          <w:lang w:val="es-ES"/>
        </w:rPr>
        <w:t xml:space="preserve">PFOA. </w:t>
      </w:r>
      <w:r w:rsidR="001B4032" w:rsidRPr="002261B9">
        <w:rPr>
          <w:lang w:val="es-ES"/>
        </w:rPr>
        <w:t xml:space="preserve">Además de aplicarse </w:t>
      </w:r>
      <w:r w:rsidR="00CC554E" w:rsidRPr="002261B9">
        <w:rPr>
          <w:lang w:val="es-ES"/>
        </w:rPr>
        <w:t>este extremo</w:t>
      </w:r>
      <w:r w:rsidR="001B4032" w:rsidRPr="002261B9">
        <w:rPr>
          <w:lang w:val="es-ES"/>
        </w:rPr>
        <w:t xml:space="preserve"> en las fuentes industriales</w:t>
      </w:r>
      <w:r w:rsidR="00A3022F" w:rsidRPr="002261B9">
        <w:rPr>
          <w:lang w:val="es-ES"/>
        </w:rPr>
        <w:t xml:space="preserve">, </w:t>
      </w:r>
      <w:r w:rsidR="00CC554E" w:rsidRPr="002261B9">
        <w:rPr>
          <w:lang w:val="es-ES"/>
        </w:rPr>
        <w:t xml:space="preserve">adoptar medidas </w:t>
      </w:r>
      <w:r w:rsidR="001B4032" w:rsidRPr="002261B9">
        <w:rPr>
          <w:lang w:val="es-ES"/>
        </w:rPr>
        <w:t xml:space="preserve">en las fuentes urbanas puede reducir también las emisiones de </w:t>
      </w:r>
      <w:r w:rsidR="00A3022F" w:rsidRPr="002261B9">
        <w:rPr>
          <w:lang w:val="es-ES"/>
        </w:rPr>
        <w:t>PFOS</w:t>
      </w:r>
      <w:r w:rsidR="00CC554E" w:rsidRPr="002261B9">
        <w:rPr>
          <w:lang w:val="es-ES"/>
        </w:rPr>
        <w:t xml:space="preserve"> o </w:t>
      </w:r>
      <w:r w:rsidR="00A3022F" w:rsidRPr="002261B9">
        <w:rPr>
          <w:lang w:val="es-ES"/>
        </w:rPr>
        <w:t xml:space="preserve">PFOA, </w:t>
      </w:r>
      <w:r w:rsidR="001B4032" w:rsidRPr="002261B9">
        <w:rPr>
          <w:lang w:val="es-ES"/>
        </w:rPr>
        <w:t xml:space="preserve">por ejemplo, </w:t>
      </w:r>
      <w:r w:rsidR="00CC554E" w:rsidRPr="002261B9">
        <w:rPr>
          <w:lang w:val="es-ES"/>
        </w:rPr>
        <w:t xml:space="preserve">mediante </w:t>
      </w:r>
      <w:r w:rsidR="001B4032" w:rsidRPr="002261B9">
        <w:rPr>
          <w:lang w:val="es-ES"/>
        </w:rPr>
        <w:t>el tratamiento avanzado de las aguas residuales municipales con carbón activado</w:t>
      </w:r>
      <w:r w:rsidR="00A3022F" w:rsidRPr="002261B9">
        <w:rPr>
          <w:lang w:val="es-ES"/>
        </w:rPr>
        <w:t xml:space="preserve"> (</w:t>
      </w:r>
      <w:r w:rsidR="001B4032" w:rsidRPr="002261B9">
        <w:rPr>
          <w:lang w:val="es-ES"/>
        </w:rPr>
        <w:t>para más detalles también sobre otras opciones, véase</w:t>
      </w:r>
      <w:r w:rsidR="00A3022F" w:rsidRPr="002261B9">
        <w:rPr>
          <w:lang w:val="es-ES"/>
        </w:rPr>
        <w:t xml:space="preserve"> HELCOM</w:t>
      </w:r>
      <w:r w:rsidR="004904E9" w:rsidRPr="002261B9">
        <w:rPr>
          <w:lang w:val="es-ES"/>
        </w:rPr>
        <w:t>,</w:t>
      </w:r>
      <w:r w:rsidR="006F57D4" w:rsidRPr="002261B9">
        <w:rPr>
          <w:lang w:val="es-ES"/>
        </w:rPr>
        <w:t xml:space="preserve"> 2</w:t>
      </w:r>
      <w:r w:rsidR="00A3022F" w:rsidRPr="002261B9">
        <w:rPr>
          <w:lang w:val="es-ES"/>
        </w:rPr>
        <w:t>013</w:t>
      </w:r>
      <w:r w:rsidR="00452DB2" w:rsidRPr="002261B9">
        <w:rPr>
          <w:lang w:val="es-ES"/>
        </w:rPr>
        <w:t>)</w:t>
      </w:r>
      <w:r w:rsidR="00A3022F" w:rsidRPr="002261B9">
        <w:rPr>
          <w:lang w:val="es-ES"/>
        </w:rPr>
        <w:t>.</w:t>
      </w:r>
    </w:p>
    <w:p w14:paraId="79E2AF47" w14:textId="2AA27742" w:rsidR="004D5B0D" w:rsidRPr="002261B9" w:rsidRDefault="001B4032" w:rsidP="00F45508">
      <w:pPr>
        <w:pStyle w:val="Paralevel1"/>
        <w:numPr>
          <w:ilvl w:val="0"/>
          <w:numId w:val="23"/>
        </w:numPr>
        <w:tabs>
          <w:tab w:val="clear" w:pos="0"/>
        </w:tabs>
        <w:ind w:left="1247" w:firstLine="0"/>
        <w:rPr>
          <w:lang w:val="es-ES"/>
        </w:rPr>
      </w:pPr>
      <w:r w:rsidRPr="002261B9">
        <w:rPr>
          <w:lang w:val="es-ES"/>
        </w:rPr>
        <w:t xml:space="preserve">El </w:t>
      </w:r>
      <w:r w:rsidR="004D5B0D" w:rsidRPr="002261B9">
        <w:rPr>
          <w:lang w:val="es-ES"/>
        </w:rPr>
        <w:t xml:space="preserve">PFOA </w:t>
      </w:r>
      <w:r w:rsidRPr="002261B9">
        <w:rPr>
          <w:lang w:val="es-ES"/>
        </w:rPr>
        <w:t xml:space="preserve">se ha eliminado ya en muchos usos y en muchos lugares, lo que indica que los costos de las alternativas no han sido obstáculo para sustituir el </w:t>
      </w:r>
      <w:r w:rsidR="004D5B0D" w:rsidRPr="002261B9">
        <w:rPr>
          <w:lang w:val="es-ES"/>
        </w:rPr>
        <w:t xml:space="preserve">PFOA. </w:t>
      </w:r>
      <w:r w:rsidR="00CC554E" w:rsidRPr="002261B9">
        <w:rPr>
          <w:lang w:val="es-ES"/>
        </w:rPr>
        <w:t xml:space="preserve">A </w:t>
      </w:r>
      <w:r w:rsidR="00FD77F8" w:rsidRPr="002261B9">
        <w:rPr>
          <w:lang w:val="es-ES"/>
        </w:rPr>
        <w:t>continuación,</w:t>
      </w:r>
      <w:r w:rsidR="00CC554E" w:rsidRPr="002261B9">
        <w:rPr>
          <w:lang w:val="es-ES"/>
        </w:rPr>
        <w:t xml:space="preserve"> se detallan algunos a</w:t>
      </w:r>
      <w:r w:rsidRPr="002261B9">
        <w:rPr>
          <w:lang w:val="es-ES"/>
        </w:rPr>
        <w:t>spectos importantes a considerar a la hora de evaluar los costos de las alternativas para cualquier producto</w:t>
      </w:r>
      <w:r w:rsidR="001420A8" w:rsidRPr="002261B9">
        <w:rPr>
          <w:lang w:val="es-ES"/>
        </w:rPr>
        <w:t>.</w:t>
      </w:r>
      <w:r w:rsidR="004D5B0D" w:rsidRPr="002261B9">
        <w:rPr>
          <w:lang w:val="es-ES"/>
        </w:rPr>
        <w:t xml:space="preserve"> </w:t>
      </w:r>
      <w:r w:rsidRPr="002261B9">
        <w:rPr>
          <w:lang w:val="es-ES"/>
        </w:rPr>
        <w:t>Las alternativas con un costo de adquisición inicial</w:t>
      </w:r>
      <w:r w:rsidR="00284890" w:rsidRPr="002261B9">
        <w:rPr>
          <w:lang w:val="es-ES"/>
        </w:rPr>
        <w:t xml:space="preserve"> </w:t>
      </w:r>
      <w:r w:rsidRPr="002261B9">
        <w:rPr>
          <w:lang w:val="es-ES"/>
        </w:rPr>
        <w:t>más alto puede</w:t>
      </w:r>
      <w:r w:rsidR="00CC554E" w:rsidRPr="002261B9">
        <w:rPr>
          <w:lang w:val="es-ES"/>
        </w:rPr>
        <w:t>n</w:t>
      </w:r>
      <w:r w:rsidRPr="002261B9">
        <w:rPr>
          <w:lang w:val="es-ES"/>
        </w:rPr>
        <w:t xml:space="preserve"> resultar en realidad más baratas en relación con todo el ciclo de vida del producto cuando se tienen en cuenta su </w:t>
      </w:r>
      <w:r w:rsidR="004D5B0D" w:rsidRPr="002261B9">
        <w:rPr>
          <w:lang w:val="es-ES"/>
        </w:rPr>
        <w:t>durabili</w:t>
      </w:r>
      <w:r w:rsidRPr="002261B9">
        <w:rPr>
          <w:lang w:val="es-ES"/>
        </w:rPr>
        <w:t>dad y otros factores</w:t>
      </w:r>
      <w:r w:rsidR="004D7E58" w:rsidRPr="002261B9">
        <w:rPr>
          <w:lang w:val="es-ES"/>
        </w:rPr>
        <w:t>.</w:t>
      </w:r>
      <w:r w:rsidR="004D5B0D" w:rsidRPr="002261B9">
        <w:rPr>
          <w:lang w:val="es-ES"/>
        </w:rPr>
        <w:t xml:space="preserve"> </w:t>
      </w:r>
      <w:r w:rsidRPr="002261B9">
        <w:rPr>
          <w:lang w:val="es-ES"/>
        </w:rPr>
        <w:t>La producción en masa de alternativas puede reducir sus costos considerablemente</w:t>
      </w:r>
      <w:r w:rsidR="00B67B92" w:rsidRPr="002261B9">
        <w:rPr>
          <w:lang w:val="es-ES"/>
        </w:rPr>
        <w:t>.</w:t>
      </w:r>
      <w:r w:rsidR="004D5B0D" w:rsidRPr="002261B9">
        <w:rPr>
          <w:lang w:val="es-ES"/>
        </w:rPr>
        <w:t xml:space="preserve"> </w:t>
      </w:r>
      <w:r w:rsidRPr="002261B9">
        <w:rPr>
          <w:lang w:val="es-ES"/>
        </w:rPr>
        <w:t>Con frecuencia los costos de las iniciativas para proteger la salud y el medio ambiente</w:t>
      </w:r>
      <w:r w:rsidR="00DE70CF" w:rsidRPr="002261B9">
        <w:rPr>
          <w:lang w:val="es-ES"/>
        </w:rPr>
        <w:t xml:space="preserve"> se sobreestiman de antemano, para después disminuir rápidamente tan pronto se aplican los reglamentos</w:t>
      </w:r>
      <w:r w:rsidR="004D5B0D" w:rsidRPr="002261B9">
        <w:rPr>
          <w:lang w:val="es-ES"/>
        </w:rPr>
        <w:t>.</w:t>
      </w:r>
      <w:r w:rsidR="008F6756" w:rsidRPr="002261B9">
        <w:rPr>
          <w:lang w:val="es-ES"/>
        </w:rPr>
        <w:t xml:space="preserve"> </w:t>
      </w:r>
      <w:r w:rsidR="00DE70CF" w:rsidRPr="002261B9">
        <w:rPr>
          <w:lang w:val="es-ES"/>
        </w:rPr>
        <w:t xml:space="preserve">Por último, los </w:t>
      </w:r>
      <w:r w:rsidR="00DE70CF" w:rsidRPr="002261B9">
        <w:rPr>
          <w:lang w:val="es-ES"/>
        </w:rPr>
        <w:lastRenderedPageBreak/>
        <w:t>costos de la eliminación ambientalmente racional de los productos al final de su vida útil son también un factor importante a tener en cuenta</w:t>
      </w:r>
      <w:r w:rsidR="008F6756" w:rsidRPr="002261B9">
        <w:rPr>
          <w:lang w:val="es-ES"/>
        </w:rPr>
        <w:t xml:space="preserve"> </w:t>
      </w:r>
      <w:r w:rsidR="00B26CD6" w:rsidRPr="002261B9">
        <w:rPr>
          <w:lang w:val="es-ES"/>
        </w:rPr>
        <w:t xml:space="preserve">(Ackermann </w:t>
      </w:r>
      <w:r w:rsidRPr="002261B9">
        <w:rPr>
          <w:lang w:val="es-ES"/>
        </w:rPr>
        <w:t>y</w:t>
      </w:r>
      <w:r w:rsidR="00B26CD6" w:rsidRPr="002261B9">
        <w:rPr>
          <w:lang w:val="es-ES"/>
        </w:rPr>
        <w:t xml:space="preserve"> Massey</w:t>
      </w:r>
      <w:r w:rsidR="004904E9" w:rsidRPr="002261B9">
        <w:rPr>
          <w:lang w:val="es-ES"/>
        </w:rPr>
        <w:t>,</w:t>
      </w:r>
      <w:r w:rsidR="006F57D4" w:rsidRPr="002261B9">
        <w:rPr>
          <w:lang w:val="es-ES"/>
        </w:rPr>
        <w:t xml:space="preserve"> 2</w:t>
      </w:r>
      <w:r w:rsidR="00B26CD6" w:rsidRPr="002261B9">
        <w:rPr>
          <w:lang w:val="es-ES"/>
        </w:rPr>
        <w:t>006</w:t>
      </w:r>
      <w:r w:rsidR="00452DB2" w:rsidRPr="002261B9">
        <w:rPr>
          <w:lang w:val="es-ES"/>
        </w:rPr>
        <w:t>)</w:t>
      </w:r>
      <w:r w:rsidR="00B26CD6" w:rsidRPr="002261B9">
        <w:rPr>
          <w:lang w:val="es-ES"/>
        </w:rPr>
        <w:t xml:space="preserve">. </w:t>
      </w:r>
    </w:p>
    <w:p w14:paraId="086B28FD" w14:textId="500CA0E6" w:rsidR="004D5B0D" w:rsidRPr="002261B9" w:rsidRDefault="00DE70CF" w:rsidP="00F45508">
      <w:pPr>
        <w:pStyle w:val="Paralevel1"/>
        <w:numPr>
          <w:ilvl w:val="0"/>
          <w:numId w:val="23"/>
        </w:numPr>
        <w:tabs>
          <w:tab w:val="clear" w:pos="0"/>
        </w:tabs>
        <w:ind w:left="1247" w:firstLine="0"/>
        <w:rPr>
          <w:lang w:val="es-ES"/>
        </w:rPr>
      </w:pPr>
      <w:r w:rsidRPr="002261B9">
        <w:rPr>
          <w:lang w:val="es-ES"/>
        </w:rPr>
        <w:t>En lo que atañe a la restricción de la U</w:t>
      </w:r>
      <w:r w:rsidR="004D5B0D" w:rsidRPr="002261B9">
        <w:rPr>
          <w:lang w:val="es-ES"/>
        </w:rPr>
        <w:t xml:space="preserve">E, </w:t>
      </w:r>
      <w:r w:rsidRPr="002261B9">
        <w:rPr>
          <w:lang w:val="es-ES"/>
        </w:rPr>
        <w:t>según la propuesta de la UE, los costos de sustitución para una restricción se han calculado en relación con</w:t>
      </w:r>
      <w:r w:rsidR="000142B5" w:rsidRPr="002261B9">
        <w:rPr>
          <w:lang w:val="es-ES"/>
        </w:rPr>
        <w:t>:</w:t>
      </w:r>
      <w:r w:rsidRPr="002261B9">
        <w:rPr>
          <w:lang w:val="es-ES"/>
        </w:rPr>
        <w:t xml:space="preserve"> </w:t>
      </w:r>
      <w:r w:rsidR="004D5B0D" w:rsidRPr="002261B9">
        <w:rPr>
          <w:lang w:val="es-ES"/>
        </w:rPr>
        <w:t xml:space="preserve">1) </w:t>
      </w:r>
      <w:r w:rsidRPr="002261B9">
        <w:rPr>
          <w:lang w:val="es-ES"/>
        </w:rPr>
        <w:t xml:space="preserve">la importación de </w:t>
      </w:r>
      <w:r w:rsidR="009E7F9A" w:rsidRPr="002261B9">
        <w:rPr>
          <w:lang w:val="es-ES"/>
        </w:rPr>
        <w:t>fluoropolímero</w:t>
      </w:r>
      <w:r w:rsidRPr="002261B9">
        <w:rPr>
          <w:lang w:val="es-ES"/>
        </w:rPr>
        <w:t xml:space="preserve"> y el uso de mezclas de </w:t>
      </w:r>
      <w:r w:rsidR="004D5B0D" w:rsidRPr="002261B9">
        <w:rPr>
          <w:lang w:val="es-ES"/>
        </w:rPr>
        <w:t>PTFE</w:t>
      </w:r>
      <w:r w:rsidR="00575EE5" w:rsidRPr="002261B9">
        <w:rPr>
          <w:lang w:val="es-ES"/>
        </w:rPr>
        <w:t>;</w:t>
      </w:r>
      <w:r w:rsidR="004D5B0D" w:rsidRPr="002261B9">
        <w:rPr>
          <w:lang w:val="es-ES"/>
        </w:rPr>
        <w:t xml:space="preserve"> 2) </w:t>
      </w:r>
      <w:r w:rsidRPr="002261B9">
        <w:rPr>
          <w:lang w:val="es-ES"/>
        </w:rPr>
        <w:t xml:space="preserve">el uso de </w:t>
      </w:r>
      <w:r w:rsidR="004D5B0D" w:rsidRPr="002261B9">
        <w:rPr>
          <w:lang w:val="es-ES"/>
        </w:rPr>
        <w:t xml:space="preserve">textiles </w:t>
      </w:r>
      <w:r w:rsidRPr="002261B9">
        <w:rPr>
          <w:lang w:val="es-ES"/>
        </w:rPr>
        <w:t>en la U</w:t>
      </w:r>
      <w:r w:rsidR="004D5B0D" w:rsidRPr="002261B9">
        <w:rPr>
          <w:lang w:val="es-ES"/>
        </w:rPr>
        <w:t>E</w:t>
      </w:r>
      <w:r w:rsidR="00575EE5" w:rsidRPr="002261B9">
        <w:rPr>
          <w:lang w:val="es-ES"/>
        </w:rPr>
        <w:t>;</w:t>
      </w:r>
      <w:r w:rsidR="004D5B0D" w:rsidRPr="002261B9">
        <w:rPr>
          <w:lang w:val="es-ES"/>
        </w:rPr>
        <w:t xml:space="preserve"> 3) </w:t>
      </w:r>
      <w:r w:rsidRPr="002261B9">
        <w:rPr>
          <w:lang w:val="es-ES"/>
        </w:rPr>
        <w:t xml:space="preserve">la importación de </w:t>
      </w:r>
      <w:r w:rsidR="004D5B0D" w:rsidRPr="002261B9">
        <w:rPr>
          <w:lang w:val="es-ES"/>
        </w:rPr>
        <w:t xml:space="preserve">textiles </w:t>
      </w:r>
      <w:r w:rsidRPr="002261B9">
        <w:rPr>
          <w:lang w:val="es-ES"/>
        </w:rPr>
        <w:t>en artículos</w:t>
      </w:r>
      <w:r w:rsidR="00575EE5" w:rsidRPr="002261B9">
        <w:rPr>
          <w:lang w:val="es-ES"/>
        </w:rPr>
        <w:t>;</w:t>
      </w:r>
      <w:r w:rsidR="004D5B0D" w:rsidRPr="002261B9">
        <w:rPr>
          <w:lang w:val="es-ES"/>
        </w:rPr>
        <w:t xml:space="preserve"> 4)</w:t>
      </w:r>
      <w:r w:rsidRPr="002261B9">
        <w:rPr>
          <w:lang w:val="es-ES"/>
        </w:rPr>
        <w:t xml:space="preserve"> las espumas ignífugas</w:t>
      </w:r>
      <w:r w:rsidR="00575EE5" w:rsidRPr="002261B9">
        <w:rPr>
          <w:lang w:val="es-ES"/>
        </w:rPr>
        <w:t>;</w:t>
      </w:r>
      <w:r w:rsidR="004D5B0D" w:rsidRPr="002261B9">
        <w:rPr>
          <w:lang w:val="es-ES"/>
        </w:rPr>
        <w:t xml:space="preserve"> 5)</w:t>
      </w:r>
      <w:r w:rsidRPr="002261B9">
        <w:rPr>
          <w:lang w:val="es-ES"/>
        </w:rPr>
        <w:t xml:space="preserve"> el papel y </w:t>
      </w:r>
      <w:r w:rsidR="004D5B0D" w:rsidRPr="002261B9">
        <w:rPr>
          <w:lang w:val="es-ES"/>
        </w:rPr>
        <w:t xml:space="preserve">6) </w:t>
      </w:r>
      <w:r w:rsidRPr="002261B9">
        <w:rPr>
          <w:lang w:val="es-ES"/>
        </w:rPr>
        <w:t>las pinturas y las tintas</w:t>
      </w:r>
      <w:r w:rsidR="004D5B0D" w:rsidRPr="002261B9">
        <w:rPr>
          <w:lang w:val="es-ES"/>
        </w:rPr>
        <w:t xml:space="preserve">. </w:t>
      </w:r>
      <w:r w:rsidRPr="002261B9">
        <w:rPr>
          <w:lang w:val="es-ES"/>
        </w:rPr>
        <w:t xml:space="preserve">La industria hizo estas estimaciones en relación con los usos actuales </w:t>
      </w:r>
      <w:r w:rsidR="004D5B0D" w:rsidRPr="002261B9">
        <w:rPr>
          <w:lang w:val="es-ES"/>
        </w:rPr>
        <w:t>(</w:t>
      </w:r>
      <w:r w:rsidR="001F48F2" w:rsidRPr="002261B9">
        <w:rPr>
          <w:lang w:val="es-ES"/>
        </w:rPr>
        <w:t>en el peor de los casos</w:t>
      </w:r>
      <w:r w:rsidR="004D5B0D" w:rsidRPr="002261B9">
        <w:rPr>
          <w:lang w:val="es-ES"/>
        </w:rPr>
        <w:t xml:space="preserve">) </w:t>
      </w:r>
      <w:r w:rsidRPr="002261B9">
        <w:rPr>
          <w:lang w:val="es-ES"/>
        </w:rPr>
        <w:t>y para el período después de que entre en vigor la restricción</w:t>
      </w:r>
      <w:r w:rsidR="004D5B0D" w:rsidRPr="002261B9">
        <w:rPr>
          <w:lang w:val="es-ES"/>
        </w:rPr>
        <w:t xml:space="preserve"> </w:t>
      </w:r>
      <w:r w:rsidR="00D522CF" w:rsidRPr="002261B9">
        <w:rPr>
          <w:lang w:val="es-ES"/>
        </w:rPr>
        <w:t>(</w:t>
      </w:r>
      <w:r w:rsidRPr="002261B9">
        <w:rPr>
          <w:lang w:val="es-ES"/>
        </w:rPr>
        <w:t>caso más realista</w:t>
      </w:r>
      <w:r w:rsidR="004D5B0D" w:rsidRPr="002261B9">
        <w:rPr>
          <w:lang w:val="es-ES"/>
        </w:rPr>
        <w:t xml:space="preserve">). </w:t>
      </w:r>
      <w:r w:rsidRPr="002261B9">
        <w:rPr>
          <w:lang w:val="es-ES"/>
        </w:rPr>
        <w:t>Debido a la falta de datos</w:t>
      </w:r>
      <w:r w:rsidR="005A44EB" w:rsidRPr="002261B9">
        <w:rPr>
          <w:lang w:val="es-ES"/>
        </w:rPr>
        <w:t>,</w:t>
      </w:r>
      <w:r w:rsidR="004D5B0D" w:rsidRPr="002261B9">
        <w:rPr>
          <w:lang w:val="es-ES"/>
        </w:rPr>
        <w:t xml:space="preserve"> </w:t>
      </w:r>
      <w:r w:rsidRPr="002261B9">
        <w:rPr>
          <w:lang w:val="es-ES"/>
        </w:rPr>
        <w:t xml:space="preserve">no se hicieron estimaciones en relación con la importación de </w:t>
      </w:r>
      <w:r w:rsidR="004D5B0D" w:rsidRPr="002261B9">
        <w:rPr>
          <w:lang w:val="es-ES"/>
        </w:rPr>
        <w:t xml:space="preserve">PFOA </w:t>
      </w:r>
      <w:r w:rsidRPr="002261B9">
        <w:rPr>
          <w:lang w:val="es-ES"/>
        </w:rPr>
        <w:t>e</w:t>
      </w:r>
      <w:r w:rsidR="004D5B0D" w:rsidRPr="002261B9">
        <w:rPr>
          <w:lang w:val="es-ES"/>
        </w:rPr>
        <w:t>n art</w:t>
      </w:r>
      <w:r w:rsidRPr="002261B9">
        <w:rPr>
          <w:lang w:val="es-ES"/>
        </w:rPr>
        <w:t>ículos</w:t>
      </w:r>
      <w:r w:rsidR="004D5B0D" w:rsidRPr="002261B9">
        <w:rPr>
          <w:lang w:val="es-ES"/>
        </w:rPr>
        <w:t xml:space="preserve">, </w:t>
      </w:r>
      <w:r w:rsidRPr="002261B9">
        <w:rPr>
          <w:lang w:val="es-ES"/>
        </w:rPr>
        <w:t xml:space="preserve">aplicaciones fotográficas y </w:t>
      </w:r>
      <w:r w:rsidR="004D5B0D" w:rsidRPr="002261B9">
        <w:rPr>
          <w:lang w:val="es-ES"/>
        </w:rPr>
        <w:t>semiconductor</w:t>
      </w:r>
      <w:r w:rsidRPr="002261B9">
        <w:rPr>
          <w:lang w:val="es-ES"/>
        </w:rPr>
        <w:t>e</w:t>
      </w:r>
      <w:r w:rsidR="004D5B0D" w:rsidRPr="002261B9">
        <w:rPr>
          <w:lang w:val="es-ES"/>
        </w:rPr>
        <w:t xml:space="preserve">s. </w:t>
      </w:r>
      <w:r w:rsidRPr="002261B9">
        <w:rPr>
          <w:lang w:val="es-ES"/>
        </w:rPr>
        <w:t xml:space="preserve">Los costos estimados de sustitución para la UE fluctuaron entre </w:t>
      </w:r>
      <w:r w:rsidR="004D5B0D" w:rsidRPr="002261B9">
        <w:rPr>
          <w:lang w:val="es-ES"/>
        </w:rPr>
        <w:t>1</w:t>
      </w:r>
      <w:r w:rsidRPr="002261B9">
        <w:rPr>
          <w:lang w:val="es-ES"/>
        </w:rPr>
        <w:t>,</w:t>
      </w:r>
      <w:r w:rsidR="004D5B0D" w:rsidRPr="002261B9">
        <w:rPr>
          <w:lang w:val="es-ES"/>
        </w:rPr>
        <w:t xml:space="preserve">39 </w:t>
      </w:r>
      <w:r w:rsidRPr="002261B9">
        <w:rPr>
          <w:lang w:val="es-ES"/>
        </w:rPr>
        <w:t>y</w:t>
      </w:r>
      <w:r w:rsidR="004D5B0D" w:rsidRPr="002261B9">
        <w:rPr>
          <w:lang w:val="es-ES"/>
        </w:rPr>
        <w:t xml:space="preserve"> 158</w:t>
      </w:r>
      <w:r w:rsidRPr="002261B9">
        <w:rPr>
          <w:lang w:val="es-ES"/>
        </w:rPr>
        <w:t>,</w:t>
      </w:r>
      <w:r w:rsidR="004D5B0D" w:rsidRPr="002261B9">
        <w:rPr>
          <w:lang w:val="es-ES"/>
        </w:rPr>
        <w:t>44 millon</w:t>
      </w:r>
      <w:r w:rsidRPr="002261B9">
        <w:rPr>
          <w:lang w:val="es-ES"/>
        </w:rPr>
        <w:t>es de</w:t>
      </w:r>
      <w:r w:rsidR="00C7133B" w:rsidRPr="002261B9">
        <w:rPr>
          <w:lang w:val="es-ES"/>
        </w:rPr>
        <w:t xml:space="preserve"> </w:t>
      </w:r>
      <w:r w:rsidR="003503C3" w:rsidRPr="002261B9">
        <w:rPr>
          <w:lang w:val="es-ES"/>
        </w:rPr>
        <w:t>euros</w:t>
      </w:r>
      <w:r w:rsidRPr="002261B9">
        <w:rPr>
          <w:lang w:val="es-ES"/>
        </w:rPr>
        <w:t xml:space="preserve">, con una estimación media </w:t>
      </w:r>
      <w:r w:rsidR="004D5B0D" w:rsidRPr="002261B9">
        <w:rPr>
          <w:lang w:val="es-ES"/>
        </w:rPr>
        <w:t>34</w:t>
      </w:r>
      <w:r w:rsidRPr="002261B9">
        <w:rPr>
          <w:lang w:val="es-ES"/>
        </w:rPr>
        <w:t>,</w:t>
      </w:r>
      <w:r w:rsidR="004D5B0D" w:rsidRPr="002261B9">
        <w:rPr>
          <w:lang w:val="es-ES"/>
        </w:rPr>
        <w:t>7 millon</w:t>
      </w:r>
      <w:r w:rsidRPr="002261B9">
        <w:rPr>
          <w:lang w:val="es-ES"/>
        </w:rPr>
        <w:t>es de</w:t>
      </w:r>
      <w:r w:rsidR="004D5B0D" w:rsidRPr="002261B9">
        <w:rPr>
          <w:lang w:val="es-ES"/>
        </w:rPr>
        <w:t xml:space="preserve"> </w:t>
      </w:r>
      <w:r w:rsidR="003503C3" w:rsidRPr="002261B9">
        <w:rPr>
          <w:lang w:val="es-ES"/>
        </w:rPr>
        <w:t>euros</w:t>
      </w:r>
      <w:r w:rsidR="00C7133B" w:rsidRPr="002261B9">
        <w:rPr>
          <w:lang w:val="es-ES"/>
        </w:rPr>
        <w:t xml:space="preserve"> </w:t>
      </w:r>
      <w:r w:rsidRPr="002261B9">
        <w:rPr>
          <w:lang w:val="es-ES"/>
        </w:rPr>
        <w:t xml:space="preserve">para el caso más realista </w:t>
      </w:r>
      <w:r w:rsidR="004D5B0D" w:rsidRPr="002261B9">
        <w:rPr>
          <w:lang w:val="es-ES"/>
        </w:rPr>
        <w:t>(</w:t>
      </w:r>
      <w:r w:rsidR="00F13B21" w:rsidRPr="002261B9">
        <w:rPr>
          <w:lang w:val="es-ES"/>
        </w:rPr>
        <w:t>véase</w:t>
      </w:r>
      <w:r w:rsidR="004D5B0D" w:rsidRPr="002261B9">
        <w:rPr>
          <w:lang w:val="es-ES"/>
        </w:rPr>
        <w:t xml:space="preserve"> </w:t>
      </w:r>
      <w:r w:rsidR="00A63836" w:rsidRPr="002261B9">
        <w:rPr>
          <w:lang w:val="es-ES"/>
        </w:rPr>
        <w:t>ECHA, 2015a</w:t>
      </w:r>
      <w:r w:rsidR="004D5B0D" w:rsidRPr="002261B9">
        <w:rPr>
          <w:lang w:val="es-ES"/>
        </w:rPr>
        <w:t xml:space="preserve">, </w:t>
      </w:r>
      <w:r w:rsidRPr="002261B9">
        <w:rPr>
          <w:lang w:val="es-ES"/>
        </w:rPr>
        <w:t>cuadro</w:t>
      </w:r>
      <w:r w:rsidR="004D5B0D" w:rsidRPr="002261B9">
        <w:rPr>
          <w:lang w:val="es-ES"/>
        </w:rPr>
        <w:t xml:space="preserve"> F.2-6).</w:t>
      </w:r>
      <w:r w:rsidR="008F6756" w:rsidRPr="002261B9">
        <w:rPr>
          <w:lang w:val="es-ES"/>
        </w:rPr>
        <w:t xml:space="preserve"> </w:t>
      </w:r>
    </w:p>
    <w:p w14:paraId="12101E7F" w14:textId="17739FFE" w:rsidR="004D5B0D" w:rsidRPr="002261B9" w:rsidRDefault="0098422E" w:rsidP="00F45508">
      <w:pPr>
        <w:pStyle w:val="Paralevel1"/>
        <w:numPr>
          <w:ilvl w:val="0"/>
          <w:numId w:val="23"/>
        </w:numPr>
        <w:tabs>
          <w:tab w:val="clear" w:pos="0"/>
        </w:tabs>
        <w:ind w:left="1247" w:firstLine="0"/>
        <w:rPr>
          <w:lang w:val="es-ES"/>
        </w:rPr>
      </w:pPr>
      <w:r w:rsidRPr="002261B9">
        <w:rPr>
          <w:lang w:val="es-ES"/>
        </w:rPr>
        <w:t>La consulta pública de la UE con la industria dejó en claro que los principales fabricantes de fluoropolímeros han creado ya varias alternativas para sustituir al</w:t>
      </w:r>
      <w:r w:rsidR="004D5B0D" w:rsidRPr="002261B9">
        <w:rPr>
          <w:lang w:val="es-ES"/>
        </w:rPr>
        <w:t xml:space="preserve"> PFOA. </w:t>
      </w:r>
      <w:r w:rsidRPr="002261B9">
        <w:rPr>
          <w:lang w:val="es-ES"/>
        </w:rPr>
        <w:t>Cada compañía suele ser el fabricante y usuario exclusivo de esas alternativas</w:t>
      </w:r>
      <w:r w:rsidR="004D5B0D" w:rsidRPr="002261B9">
        <w:rPr>
          <w:lang w:val="es-ES"/>
        </w:rPr>
        <w:t xml:space="preserve">. </w:t>
      </w:r>
      <w:r w:rsidRPr="002261B9">
        <w:rPr>
          <w:lang w:val="es-ES"/>
        </w:rPr>
        <w:t>Como consecuencia de ello</w:t>
      </w:r>
      <w:r w:rsidR="002F1232" w:rsidRPr="002261B9">
        <w:rPr>
          <w:lang w:val="es-ES"/>
        </w:rPr>
        <w:t>,</w:t>
      </w:r>
      <w:r w:rsidR="004D5B0D" w:rsidRPr="002261B9">
        <w:rPr>
          <w:lang w:val="es-ES"/>
        </w:rPr>
        <w:t xml:space="preserve"> </w:t>
      </w:r>
      <w:r w:rsidRPr="002261B9">
        <w:rPr>
          <w:lang w:val="es-ES"/>
        </w:rPr>
        <w:t>por regla general, no se dispone (aún) de precios de mercado</w:t>
      </w:r>
      <w:r w:rsidR="004D5B0D" w:rsidRPr="002261B9">
        <w:rPr>
          <w:lang w:val="es-ES"/>
        </w:rPr>
        <w:t xml:space="preserve">. </w:t>
      </w:r>
      <w:r w:rsidRPr="002261B9">
        <w:rPr>
          <w:lang w:val="es-ES"/>
        </w:rPr>
        <w:t>Sin embargo, existen algunos indicios del aumento de los costos de explotación</w:t>
      </w:r>
      <w:r w:rsidR="004D5B0D" w:rsidRPr="002261B9">
        <w:rPr>
          <w:lang w:val="es-ES"/>
        </w:rPr>
        <w:t xml:space="preserve">, </w:t>
      </w:r>
      <w:r w:rsidRPr="002261B9">
        <w:rPr>
          <w:lang w:val="es-ES"/>
        </w:rPr>
        <w:t>que se pueden usar para determin</w:t>
      </w:r>
      <w:r w:rsidR="00D91FBB" w:rsidRPr="002261B9">
        <w:rPr>
          <w:lang w:val="es-ES"/>
        </w:rPr>
        <w:t>a</w:t>
      </w:r>
      <w:r w:rsidRPr="002261B9">
        <w:rPr>
          <w:lang w:val="es-ES"/>
        </w:rPr>
        <w:t>r los costos de la restricción propuesta</w:t>
      </w:r>
      <w:r w:rsidR="00D91FBB" w:rsidRPr="002261B9">
        <w:rPr>
          <w:lang w:val="es-ES"/>
        </w:rPr>
        <w:t xml:space="preserve"> a los fabricantes de fluoropolímeros. En consecuencia, cabe suponer que el uso de alternativas induzca un incremento entre bajo y moderado de los costos de producción </w:t>
      </w:r>
      <w:r w:rsidR="004D5B0D" w:rsidRPr="002261B9">
        <w:rPr>
          <w:lang w:val="es-ES"/>
        </w:rPr>
        <w:t>(0</w:t>
      </w:r>
      <w:r w:rsidR="00D91FBB" w:rsidRPr="002261B9">
        <w:rPr>
          <w:lang w:val="es-ES"/>
        </w:rPr>
        <w:t xml:space="preserve"> a </w:t>
      </w:r>
      <w:r w:rsidR="004D5B0D" w:rsidRPr="002261B9">
        <w:rPr>
          <w:lang w:val="es-ES"/>
        </w:rPr>
        <w:t xml:space="preserve">20%). </w:t>
      </w:r>
      <w:r w:rsidR="00D91FBB" w:rsidRPr="002261B9">
        <w:rPr>
          <w:lang w:val="es-ES"/>
        </w:rPr>
        <w:t>Este incremento se debe al aumento de los costos o a la mayor cantidad de alternativas que se usarán, o a ambas cosas. La industria ha planteado que la calidad del</w:t>
      </w:r>
      <w:r w:rsidR="004D5B0D" w:rsidRPr="002261B9">
        <w:rPr>
          <w:lang w:val="es-ES"/>
        </w:rPr>
        <w:t xml:space="preserve"> PTFE </w:t>
      </w:r>
      <w:r w:rsidR="00D91FBB" w:rsidRPr="002261B9">
        <w:rPr>
          <w:lang w:val="es-ES"/>
        </w:rPr>
        <w:t>fabricado con las alternativas no ha sufrido cambios</w:t>
      </w:r>
      <w:r w:rsidR="004D5B0D" w:rsidRPr="002261B9">
        <w:rPr>
          <w:lang w:val="es-ES"/>
        </w:rPr>
        <w:t xml:space="preserve"> (ECHA</w:t>
      </w:r>
      <w:r w:rsidR="00934533" w:rsidRPr="002261B9">
        <w:rPr>
          <w:lang w:val="es-ES"/>
        </w:rPr>
        <w:t xml:space="preserve">, </w:t>
      </w:r>
      <w:r w:rsidR="004D5B0D" w:rsidRPr="002261B9">
        <w:rPr>
          <w:lang w:val="es-ES"/>
        </w:rPr>
        <w:t>2015a).</w:t>
      </w:r>
    </w:p>
    <w:p w14:paraId="0F6EA48A" w14:textId="43F030E1" w:rsidR="004D5B0D" w:rsidRPr="002261B9" w:rsidRDefault="00D91FBB" w:rsidP="00F45508">
      <w:pPr>
        <w:pStyle w:val="Paralevel1"/>
        <w:numPr>
          <w:ilvl w:val="0"/>
          <w:numId w:val="23"/>
        </w:numPr>
        <w:tabs>
          <w:tab w:val="clear" w:pos="0"/>
        </w:tabs>
        <w:ind w:left="1247" w:firstLine="0"/>
        <w:rPr>
          <w:lang w:val="es-ES"/>
        </w:rPr>
      </w:pPr>
      <w:r w:rsidRPr="002261B9">
        <w:rPr>
          <w:lang w:val="es-ES"/>
        </w:rPr>
        <w:t>En lo que respecta a los costos de inversión</w:t>
      </w:r>
      <w:r w:rsidR="004D5B0D" w:rsidRPr="002261B9">
        <w:rPr>
          <w:lang w:val="es-ES"/>
        </w:rPr>
        <w:t xml:space="preserve">, </w:t>
      </w:r>
      <w:r w:rsidRPr="002261B9">
        <w:rPr>
          <w:lang w:val="es-ES"/>
        </w:rPr>
        <w:t xml:space="preserve">fundamentalmente los </w:t>
      </w:r>
      <w:r w:rsidR="00AF1C10" w:rsidRPr="002261B9">
        <w:rPr>
          <w:lang w:val="es-ES"/>
        </w:rPr>
        <w:t>(</w:t>
      </w:r>
      <w:r w:rsidRPr="002261B9">
        <w:rPr>
          <w:lang w:val="es-ES"/>
        </w:rPr>
        <w:t>antiguos</w:t>
      </w:r>
      <w:r w:rsidR="00AF1C10" w:rsidRPr="002261B9">
        <w:rPr>
          <w:lang w:val="es-ES"/>
        </w:rPr>
        <w:t xml:space="preserve">) </w:t>
      </w:r>
      <w:r w:rsidRPr="002261B9">
        <w:rPr>
          <w:lang w:val="es-ES"/>
        </w:rPr>
        <w:t xml:space="preserve">fabricantes de la industria del </w:t>
      </w:r>
      <w:r w:rsidR="00AF1C10" w:rsidRPr="002261B9">
        <w:rPr>
          <w:lang w:val="es-ES"/>
        </w:rPr>
        <w:t xml:space="preserve">PFOA </w:t>
      </w:r>
      <w:r w:rsidRPr="002261B9">
        <w:rPr>
          <w:lang w:val="es-ES"/>
        </w:rPr>
        <w:t xml:space="preserve">y </w:t>
      </w:r>
      <w:r w:rsidR="00E64629" w:rsidRPr="002261B9">
        <w:rPr>
          <w:lang w:val="es-ES"/>
        </w:rPr>
        <w:t>sustancias conexas del PFOA</w:t>
      </w:r>
      <w:r w:rsidR="004D5B0D" w:rsidRPr="002261B9">
        <w:rPr>
          <w:lang w:val="es-ES"/>
        </w:rPr>
        <w:t xml:space="preserve"> </w:t>
      </w:r>
      <w:r w:rsidRPr="002261B9">
        <w:rPr>
          <w:lang w:val="es-ES"/>
        </w:rPr>
        <w:t>plantearon durante la preparación de la restricción de la UE</w:t>
      </w:r>
      <w:r w:rsidR="004D5B0D" w:rsidRPr="002261B9">
        <w:rPr>
          <w:lang w:val="es-ES"/>
        </w:rPr>
        <w:t xml:space="preserve"> </w:t>
      </w:r>
      <w:r w:rsidRPr="002261B9">
        <w:rPr>
          <w:lang w:val="es-ES"/>
        </w:rPr>
        <w:t>que la industria ya había invertido considerables recursos para crear PFAS de cadena corta en su labor de investigación y desarrollo</w:t>
      </w:r>
      <w:r w:rsidR="004D5B0D" w:rsidRPr="002261B9">
        <w:rPr>
          <w:lang w:val="es-ES"/>
        </w:rPr>
        <w:t xml:space="preserve"> </w:t>
      </w:r>
      <w:r w:rsidRPr="002261B9">
        <w:rPr>
          <w:lang w:val="es-ES"/>
        </w:rPr>
        <w:t>y capital</w:t>
      </w:r>
      <w:r w:rsidR="004D5B0D" w:rsidRPr="002261B9">
        <w:rPr>
          <w:lang w:val="es-ES"/>
        </w:rPr>
        <w:t xml:space="preserve"> (</w:t>
      </w:r>
      <w:r w:rsidRPr="002261B9">
        <w:rPr>
          <w:lang w:val="es-ES"/>
        </w:rPr>
        <w:t xml:space="preserve">se informó de más de </w:t>
      </w:r>
      <w:r w:rsidR="004D5B0D" w:rsidRPr="002261B9">
        <w:rPr>
          <w:lang w:val="es-ES"/>
        </w:rPr>
        <w:t>500 millon</w:t>
      </w:r>
      <w:r w:rsidRPr="002261B9">
        <w:rPr>
          <w:lang w:val="es-ES"/>
        </w:rPr>
        <w:t>es de</w:t>
      </w:r>
      <w:r w:rsidR="004D5B0D" w:rsidRPr="002261B9">
        <w:rPr>
          <w:lang w:val="es-ES"/>
        </w:rPr>
        <w:t xml:space="preserve"> </w:t>
      </w:r>
      <w:r w:rsidR="003503C3" w:rsidRPr="002261B9">
        <w:rPr>
          <w:lang w:val="es-ES"/>
        </w:rPr>
        <w:t>euros</w:t>
      </w:r>
      <w:r w:rsidR="004D5B0D" w:rsidRPr="002261B9">
        <w:rPr>
          <w:lang w:val="es-ES"/>
        </w:rPr>
        <w:t xml:space="preserve">, </w:t>
      </w:r>
      <w:r w:rsidRPr="002261B9">
        <w:rPr>
          <w:lang w:val="es-ES"/>
        </w:rPr>
        <w:t>algo que también se confirmó en la consulta pública de la UE</w:t>
      </w:r>
      <w:r w:rsidR="004D5B0D" w:rsidRPr="002261B9">
        <w:rPr>
          <w:lang w:val="es-ES"/>
        </w:rPr>
        <w:t xml:space="preserve">). </w:t>
      </w:r>
      <w:r w:rsidRPr="002261B9">
        <w:rPr>
          <w:lang w:val="es-ES"/>
        </w:rPr>
        <w:t>Para los usuarios de productos</w:t>
      </w:r>
      <w:r w:rsidR="00C22AAB" w:rsidRPr="002261B9">
        <w:rPr>
          <w:lang w:val="es-ES"/>
        </w:rPr>
        <w:t>,</w:t>
      </w:r>
      <w:r w:rsidR="004D5B0D" w:rsidRPr="002261B9">
        <w:rPr>
          <w:lang w:val="es-ES"/>
        </w:rPr>
        <w:t xml:space="preserve"> </w:t>
      </w:r>
      <w:r w:rsidRPr="002261B9">
        <w:rPr>
          <w:lang w:val="es-ES"/>
        </w:rPr>
        <w:t>cabe esperar que costos sustanciales pasen a las alternativas de cadena corta debido a la reformulación de productos, la adaptación de los procesos de producción y la realización de ensayos</w:t>
      </w:r>
      <w:r w:rsidR="004D5B0D" w:rsidRPr="002261B9">
        <w:rPr>
          <w:lang w:val="es-ES"/>
        </w:rPr>
        <w:t xml:space="preserve">. </w:t>
      </w:r>
      <w:r w:rsidRPr="002261B9">
        <w:rPr>
          <w:lang w:val="es-ES"/>
        </w:rPr>
        <w:t xml:space="preserve">En este sentido, se </w:t>
      </w:r>
      <w:r w:rsidR="00525455" w:rsidRPr="002261B9">
        <w:rPr>
          <w:lang w:val="es-ES"/>
        </w:rPr>
        <w:t xml:space="preserve">ha informado de hasta </w:t>
      </w:r>
      <w:r w:rsidR="00CC554E" w:rsidRPr="002261B9">
        <w:rPr>
          <w:lang w:val="es-ES"/>
        </w:rPr>
        <w:t>un</w:t>
      </w:r>
      <w:r w:rsidR="004D5B0D" w:rsidRPr="002261B9">
        <w:rPr>
          <w:lang w:val="es-ES"/>
        </w:rPr>
        <w:t xml:space="preserve"> mill</w:t>
      </w:r>
      <w:r w:rsidR="00525455" w:rsidRPr="002261B9">
        <w:rPr>
          <w:lang w:val="es-ES"/>
        </w:rPr>
        <w:t xml:space="preserve">ón de </w:t>
      </w:r>
      <w:r w:rsidR="003503C3" w:rsidRPr="002261B9">
        <w:rPr>
          <w:lang w:val="es-ES"/>
        </w:rPr>
        <w:t>euros</w:t>
      </w:r>
      <w:r w:rsidR="00EE1BBD" w:rsidRPr="002261B9">
        <w:rPr>
          <w:lang w:val="es-ES"/>
        </w:rPr>
        <w:t xml:space="preserve"> </w:t>
      </w:r>
      <w:r w:rsidR="004D5B0D" w:rsidRPr="002261B9">
        <w:rPr>
          <w:lang w:val="es-ES"/>
        </w:rPr>
        <w:t>p</w:t>
      </w:r>
      <w:r w:rsidR="00525455" w:rsidRPr="002261B9">
        <w:rPr>
          <w:lang w:val="es-ES"/>
        </w:rPr>
        <w:t>o</w:t>
      </w:r>
      <w:r w:rsidR="004D5B0D" w:rsidRPr="002261B9">
        <w:rPr>
          <w:lang w:val="es-ES"/>
        </w:rPr>
        <w:t xml:space="preserve">r </w:t>
      </w:r>
      <w:r w:rsidR="00525455" w:rsidRPr="002261B9">
        <w:rPr>
          <w:lang w:val="es-ES"/>
        </w:rPr>
        <w:t>empresa, según las condiciones específicas del caso de que se trate</w:t>
      </w:r>
      <w:r w:rsidR="004D5B0D" w:rsidRPr="002261B9">
        <w:rPr>
          <w:lang w:val="es-ES"/>
        </w:rPr>
        <w:t xml:space="preserve"> (ECHA</w:t>
      </w:r>
      <w:r w:rsidR="007D0A73" w:rsidRPr="002261B9">
        <w:rPr>
          <w:lang w:val="es-ES"/>
        </w:rPr>
        <w:t>,</w:t>
      </w:r>
      <w:r w:rsidR="004D5B0D" w:rsidRPr="002261B9">
        <w:rPr>
          <w:lang w:val="es-ES"/>
        </w:rPr>
        <w:t xml:space="preserve"> 2015a</w:t>
      </w:r>
      <w:r w:rsidR="00452DB2" w:rsidRPr="002261B9">
        <w:rPr>
          <w:lang w:val="es-ES"/>
        </w:rPr>
        <w:t>)</w:t>
      </w:r>
      <w:r w:rsidR="004D5B0D" w:rsidRPr="002261B9">
        <w:rPr>
          <w:lang w:val="es-ES"/>
        </w:rPr>
        <w:t>.</w:t>
      </w:r>
    </w:p>
    <w:p w14:paraId="22AAF0AA" w14:textId="5C9CBED6" w:rsidR="00FB11B6" w:rsidRPr="002261B9" w:rsidRDefault="00525455" w:rsidP="00F45508">
      <w:pPr>
        <w:pStyle w:val="Paralevel1"/>
        <w:numPr>
          <w:ilvl w:val="0"/>
          <w:numId w:val="23"/>
        </w:numPr>
        <w:tabs>
          <w:tab w:val="clear" w:pos="0"/>
        </w:tabs>
        <w:ind w:left="1247" w:firstLine="0"/>
        <w:rPr>
          <w:lang w:val="es-ES"/>
        </w:rPr>
      </w:pPr>
      <w:r w:rsidRPr="002261B9">
        <w:rPr>
          <w:lang w:val="es-ES"/>
        </w:rPr>
        <w:t>Según</w:t>
      </w:r>
      <w:r w:rsidR="00FB11B6" w:rsidRPr="002261B9">
        <w:rPr>
          <w:lang w:val="es-ES"/>
        </w:rPr>
        <w:t xml:space="preserve"> I&amp;P Europe, </w:t>
      </w:r>
      <w:r w:rsidRPr="002261B9">
        <w:rPr>
          <w:lang w:val="es-ES"/>
        </w:rPr>
        <w:t xml:space="preserve">el obstáculo primordial para la total eliminación del uso de </w:t>
      </w:r>
      <w:r w:rsidR="009321C2" w:rsidRPr="002261B9">
        <w:rPr>
          <w:lang w:val="es-ES"/>
        </w:rPr>
        <w:t>compuestos</w:t>
      </w:r>
      <w:r w:rsidR="00E61FF0" w:rsidRPr="002261B9">
        <w:rPr>
          <w:lang w:val="es-ES"/>
        </w:rPr>
        <w:t xml:space="preserve"> conexos del PFOA</w:t>
      </w:r>
      <w:r w:rsidR="00FB11B6" w:rsidRPr="002261B9">
        <w:rPr>
          <w:lang w:val="es-ES"/>
        </w:rPr>
        <w:t xml:space="preserve"> </w:t>
      </w:r>
      <w:r w:rsidRPr="002261B9">
        <w:rPr>
          <w:lang w:val="es-ES"/>
        </w:rPr>
        <w:t>en estos momentos sigue siendo de carácter técnico</w:t>
      </w:r>
      <w:r w:rsidR="00FB11B6" w:rsidRPr="002261B9">
        <w:rPr>
          <w:lang w:val="es-ES"/>
        </w:rPr>
        <w:t xml:space="preserve">. </w:t>
      </w:r>
      <w:r w:rsidRPr="002261B9">
        <w:rPr>
          <w:lang w:val="es-ES"/>
        </w:rPr>
        <w:t>Sin embargo, los costos de investigación y desarrollo también son un factor importante a considerar</w:t>
      </w:r>
      <w:r w:rsidR="00FB11B6" w:rsidRPr="002261B9">
        <w:rPr>
          <w:lang w:val="es-ES"/>
        </w:rPr>
        <w:t xml:space="preserve">, </w:t>
      </w:r>
      <w:r w:rsidRPr="002261B9">
        <w:rPr>
          <w:lang w:val="es-ES"/>
        </w:rPr>
        <w:t>debido a que esa inversión puede representar una importante carga financiera durante el tiempo que la industria de creación de imágenes dedique su atención a la creación de tecnologías innovadoras de creación de imágenes digitales</w:t>
      </w:r>
      <w:r w:rsidR="00FB11B6" w:rsidRPr="002261B9">
        <w:rPr>
          <w:lang w:val="es-ES"/>
        </w:rPr>
        <w:t>.</w:t>
      </w:r>
      <w:r w:rsidRPr="002261B9">
        <w:rPr>
          <w:lang w:val="es-ES"/>
        </w:rPr>
        <w:t xml:space="preserve"> Los costos económicos relacionados con la sustitución de los</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00FB11B6" w:rsidRPr="002261B9">
        <w:rPr>
          <w:lang w:val="es-ES"/>
        </w:rPr>
        <w:t xml:space="preserve"> </w:t>
      </w:r>
      <w:r w:rsidRPr="002261B9">
        <w:rPr>
          <w:lang w:val="es-ES"/>
        </w:rPr>
        <w:t xml:space="preserve">en los </w:t>
      </w:r>
      <w:r w:rsidR="00422DDC" w:rsidRPr="002261B9">
        <w:rPr>
          <w:lang w:val="es-ES"/>
        </w:rPr>
        <w:t xml:space="preserve">pocos usos fotográficos pertinentes </w:t>
      </w:r>
      <w:r w:rsidRPr="002261B9">
        <w:rPr>
          <w:lang w:val="es-ES"/>
        </w:rPr>
        <w:t xml:space="preserve">que </w:t>
      </w:r>
      <w:r w:rsidR="00422DDC" w:rsidRPr="002261B9">
        <w:rPr>
          <w:lang w:val="es-ES"/>
        </w:rPr>
        <w:t xml:space="preserve">perduran </w:t>
      </w:r>
      <w:r w:rsidRPr="002261B9">
        <w:rPr>
          <w:lang w:val="es-ES"/>
        </w:rPr>
        <w:t>se han vuelto prohibitivos en la mayoría de los casos</w:t>
      </w:r>
      <w:r w:rsidR="00FB11B6" w:rsidRPr="002261B9">
        <w:rPr>
          <w:lang w:val="es-ES"/>
        </w:rPr>
        <w:t xml:space="preserve">. </w:t>
      </w:r>
      <w:r w:rsidRPr="002261B9">
        <w:rPr>
          <w:lang w:val="es-ES"/>
        </w:rPr>
        <w:t xml:space="preserve">Esos usos </w:t>
      </w:r>
      <w:r w:rsidR="00DB01B0" w:rsidRPr="002261B9">
        <w:rPr>
          <w:lang w:val="es-ES"/>
        </w:rPr>
        <w:t xml:space="preserve">atañen a </w:t>
      </w:r>
      <w:r w:rsidRPr="002261B9">
        <w:rPr>
          <w:lang w:val="es-ES"/>
        </w:rPr>
        <w:t xml:space="preserve">productos </w:t>
      </w:r>
      <w:r w:rsidR="00DB01B0" w:rsidRPr="002261B9">
        <w:rPr>
          <w:lang w:val="es-ES"/>
        </w:rPr>
        <w:t xml:space="preserve">de consumo limitado </w:t>
      </w:r>
      <w:r w:rsidRPr="002261B9">
        <w:rPr>
          <w:lang w:val="es-ES"/>
        </w:rPr>
        <w:t xml:space="preserve">en mercados que, según </w:t>
      </w:r>
      <w:r w:rsidR="008D6007" w:rsidRPr="002261B9">
        <w:rPr>
          <w:lang w:val="es-ES"/>
        </w:rPr>
        <w:t xml:space="preserve">proyecciones de </w:t>
      </w:r>
      <w:r w:rsidRPr="002261B9">
        <w:rPr>
          <w:lang w:val="es-ES"/>
        </w:rPr>
        <w:t xml:space="preserve">los miembros de </w:t>
      </w:r>
      <w:r w:rsidR="00FB11B6" w:rsidRPr="002261B9">
        <w:rPr>
          <w:lang w:val="es-ES"/>
        </w:rPr>
        <w:t>IP Europe</w:t>
      </w:r>
      <w:r w:rsidRPr="002261B9">
        <w:rPr>
          <w:lang w:val="es-ES"/>
        </w:rPr>
        <w:t xml:space="preserve">, </w:t>
      </w:r>
      <w:r w:rsidR="00422DDC" w:rsidRPr="002261B9">
        <w:rPr>
          <w:lang w:val="es-ES"/>
        </w:rPr>
        <w:t xml:space="preserve">irán </w:t>
      </w:r>
      <w:r w:rsidR="00DB01B0" w:rsidRPr="002261B9">
        <w:rPr>
          <w:lang w:val="es-ES"/>
        </w:rPr>
        <w:t xml:space="preserve">cada vez </w:t>
      </w:r>
      <w:r w:rsidR="00422DDC" w:rsidRPr="002261B9">
        <w:rPr>
          <w:lang w:val="es-ES"/>
        </w:rPr>
        <w:t xml:space="preserve">a </w:t>
      </w:r>
      <w:r w:rsidR="00DB01B0" w:rsidRPr="002261B9">
        <w:rPr>
          <w:lang w:val="es-ES"/>
        </w:rPr>
        <w:t>menos</w:t>
      </w:r>
      <w:r w:rsidR="00FB11B6" w:rsidRPr="002261B9">
        <w:rPr>
          <w:lang w:val="es-ES"/>
        </w:rPr>
        <w:t xml:space="preserve"> (I&amp;P Europe</w:t>
      </w:r>
      <w:r w:rsidR="007D0A73" w:rsidRPr="002261B9">
        <w:rPr>
          <w:lang w:val="es-ES"/>
        </w:rPr>
        <w:t>,</w:t>
      </w:r>
      <w:r w:rsidR="00FB11B6" w:rsidRPr="002261B9">
        <w:rPr>
          <w:lang w:val="es-ES"/>
        </w:rPr>
        <w:t xml:space="preserve"> 2016b). </w:t>
      </w:r>
    </w:p>
    <w:p w14:paraId="12DF7BE2" w14:textId="7A9072BD" w:rsidR="004D5B0D" w:rsidRPr="002261B9" w:rsidRDefault="00DB01B0" w:rsidP="00F45508">
      <w:pPr>
        <w:pStyle w:val="Paralevel1"/>
        <w:numPr>
          <w:ilvl w:val="0"/>
          <w:numId w:val="23"/>
        </w:numPr>
        <w:tabs>
          <w:tab w:val="clear" w:pos="0"/>
        </w:tabs>
        <w:ind w:left="1247" w:firstLine="0"/>
        <w:rPr>
          <w:lang w:val="es-ES"/>
        </w:rPr>
      </w:pPr>
      <w:r w:rsidRPr="002261B9">
        <w:rPr>
          <w:lang w:val="es-ES"/>
        </w:rPr>
        <w:t>Para la UE</w:t>
      </w:r>
      <w:r w:rsidR="004D5B0D" w:rsidRPr="002261B9">
        <w:rPr>
          <w:lang w:val="es-ES"/>
        </w:rPr>
        <w:t xml:space="preserve"> </w:t>
      </w:r>
      <w:r w:rsidRPr="002261B9">
        <w:rPr>
          <w:lang w:val="es-ES"/>
        </w:rPr>
        <w:t xml:space="preserve">ha quedado demostrado que la sociedad tiene que incurrir en gastos considerable en relación con la </w:t>
      </w:r>
      <w:r w:rsidR="004D5B0D" w:rsidRPr="002261B9">
        <w:rPr>
          <w:lang w:val="es-ES"/>
        </w:rPr>
        <w:t>h</w:t>
      </w:r>
      <w:r w:rsidRPr="002261B9">
        <w:rPr>
          <w:lang w:val="es-ES"/>
        </w:rPr>
        <w:t>i</w:t>
      </w:r>
      <w:r w:rsidR="004D5B0D" w:rsidRPr="002261B9">
        <w:rPr>
          <w:lang w:val="es-ES"/>
        </w:rPr>
        <w:t xml:space="preserve">percolesterolemia, </w:t>
      </w:r>
      <w:r w:rsidRPr="002261B9">
        <w:rPr>
          <w:lang w:val="es-ES"/>
        </w:rPr>
        <w:t>la toxicidad en el desarrollo y el cáncer</w:t>
      </w:r>
      <w:r w:rsidR="004D5B0D" w:rsidRPr="002261B9">
        <w:rPr>
          <w:lang w:val="es-ES"/>
        </w:rPr>
        <w:t xml:space="preserve">. </w:t>
      </w:r>
      <w:r w:rsidRPr="002261B9">
        <w:rPr>
          <w:lang w:val="es-ES"/>
        </w:rPr>
        <w:t>Estos costos se manifestarán en los gastos directos del tratamiento médico y en gastos indirectos como la pérdida de la calidad de vida de las personas afectadas</w:t>
      </w:r>
      <w:r w:rsidR="004D5B0D" w:rsidRPr="002261B9">
        <w:rPr>
          <w:lang w:val="es-ES"/>
        </w:rPr>
        <w:t xml:space="preserve">. </w:t>
      </w:r>
      <w:r w:rsidRPr="002261B9">
        <w:rPr>
          <w:lang w:val="es-ES"/>
        </w:rPr>
        <w:t>No se ha podido calcular qu</w:t>
      </w:r>
      <w:r w:rsidR="00422DDC" w:rsidRPr="002261B9">
        <w:rPr>
          <w:lang w:val="es-ES"/>
        </w:rPr>
        <w:t>é</w:t>
      </w:r>
      <w:r w:rsidRPr="002261B9">
        <w:rPr>
          <w:lang w:val="es-ES"/>
        </w:rPr>
        <w:t xml:space="preserve"> porcentaje cabe atribuir al PFOA y a las sustancias conexas del PFOA en la carga general de morbilidad</w:t>
      </w:r>
      <w:r w:rsidR="004D5B0D" w:rsidRPr="002261B9">
        <w:rPr>
          <w:lang w:val="es-ES"/>
        </w:rPr>
        <w:t xml:space="preserve">. </w:t>
      </w:r>
      <w:r w:rsidRPr="002261B9">
        <w:rPr>
          <w:lang w:val="es-ES"/>
        </w:rPr>
        <w:t>Sin embargo, los</w:t>
      </w:r>
      <w:r w:rsidR="004D5B0D" w:rsidRPr="002261B9">
        <w:rPr>
          <w:lang w:val="es-ES"/>
        </w:rPr>
        <w:t xml:space="preserve"> </w:t>
      </w:r>
      <w:r w:rsidR="00246C5E" w:rsidRPr="002261B9">
        <w:rPr>
          <w:lang w:val="es-ES"/>
        </w:rPr>
        <w:t>coeficientes de</w:t>
      </w:r>
      <w:r w:rsidR="00EF131E" w:rsidRPr="002261B9">
        <w:rPr>
          <w:lang w:val="es-ES"/>
        </w:rPr>
        <w:t xml:space="preserve"> caracterización de </w:t>
      </w:r>
      <w:r w:rsidR="00246C5E" w:rsidRPr="002261B9">
        <w:rPr>
          <w:lang w:val="es-ES"/>
        </w:rPr>
        <w:t>grandes</w:t>
      </w:r>
      <w:r w:rsidR="00EF131E" w:rsidRPr="002261B9">
        <w:rPr>
          <w:lang w:val="es-ES"/>
        </w:rPr>
        <w:t xml:space="preserve"> riesgos</w:t>
      </w:r>
      <w:r w:rsidR="004D5B0D" w:rsidRPr="002261B9">
        <w:rPr>
          <w:lang w:val="es-ES"/>
        </w:rPr>
        <w:t xml:space="preserve"> impl</w:t>
      </w:r>
      <w:r w:rsidRPr="002261B9">
        <w:rPr>
          <w:lang w:val="es-ES"/>
        </w:rPr>
        <w:t xml:space="preserve">ican que la restricción del PFOA y de </w:t>
      </w:r>
      <w:r w:rsidR="00E1011E" w:rsidRPr="002261B9">
        <w:rPr>
          <w:lang w:val="es-ES"/>
        </w:rPr>
        <w:t>“</w:t>
      </w:r>
      <w:r w:rsidRPr="002261B9">
        <w:rPr>
          <w:lang w:val="es-ES"/>
        </w:rPr>
        <w:t>las sustancias conexas del PFOA</w:t>
      </w:r>
      <w:r w:rsidR="00E1011E" w:rsidRPr="002261B9">
        <w:rPr>
          <w:lang w:val="es-ES"/>
        </w:rPr>
        <w:t>”</w:t>
      </w:r>
      <w:r w:rsidRPr="002261B9">
        <w:rPr>
          <w:lang w:val="es-ES"/>
        </w:rPr>
        <w:t xml:space="preserve"> </w:t>
      </w:r>
      <w:r w:rsidR="00246C5E" w:rsidRPr="002261B9">
        <w:rPr>
          <w:lang w:val="es-ES"/>
        </w:rPr>
        <w:t>traerá consigo</w:t>
      </w:r>
      <w:r w:rsidRPr="002261B9">
        <w:rPr>
          <w:lang w:val="es-ES"/>
        </w:rPr>
        <w:t xml:space="preserve"> importantes beneficios para la salud humana</w:t>
      </w:r>
      <w:r w:rsidR="004D5B0D" w:rsidRPr="002261B9">
        <w:rPr>
          <w:lang w:val="es-ES"/>
        </w:rPr>
        <w:t xml:space="preserve"> (ECHA</w:t>
      </w:r>
      <w:r w:rsidR="007D0A73" w:rsidRPr="002261B9">
        <w:rPr>
          <w:lang w:val="es-ES"/>
        </w:rPr>
        <w:t>,</w:t>
      </w:r>
      <w:r w:rsidR="00506E3A" w:rsidRPr="002261B9">
        <w:rPr>
          <w:lang w:val="es-ES"/>
        </w:rPr>
        <w:t> </w:t>
      </w:r>
      <w:r w:rsidR="004D5B0D" w:rsidRPr="002261B9">
        <w:rPr>
          <w:lang w:val="es-ES"/>
        </w:rPr>
        <w:t>2015a</w:t>
      </w:r>
      <w:r w:rsidR="00422DDC" w:rsidRPr="002261B9">
        <w:rPr>
          <w:lang w:val="es-ES"/>
        </w:rPr>
        <w:t>)</w:t>
      </w:r>
      <w:r w:rsidR="004D5B0D" w:rsidRPr="002261B9">
        <w:rPr>
          <w:lang w:val="es-ES"/>
        </w:rPr>
        <w:t xml:space="preserve">. </w:t>
      </w:r>
      <w:r w:rsidRPr="002261B9">
        <w:rPr>
          <w:lang w:val="es-ES"/>
        </w:rPr>
        <w:t xml:space="preserve">Según la información recibida de </w:t>
      </w:r>
      <w:r w:rsidR="003F3A09" w:rsidRPr="002261B9">
        <w:rPr>
          <w:lang w:val="es-ES"/>
        </w:rPr>
        <w:t>Noruega</w:t>
      </w:r>
      <w:r w:rsidR="004D5B0D" w:rsidRPr="002261B9">
        <w:rPr>
          <w:lang w:val="es-ES"/>
        </w:rPr>
        <w:t xml:space="preserve">, </w:t>
      </w:r>
      <w:r w:rsidRPr="002261B9">
        <w:rPr>
          <w:lang w:val="es-ES"/>
        </w:rPr>
        <w:t>en la evaluación socioeconómica de la UE se hace hincapié fundamentalmente en las propiedades persistentes, bioacumulativas y tóxicas del</w:t>
      </w:r>
      <w:r w:rsidR="004D5B0D" w:rsidRPr="002261B9">
        <w:rPr>
          <w:lang w:val="es-ES"/>
        </w:rPr>
        <w:t xml:space="preserve"> PFOA </w:t>
      </w:r>
      <w:r w:rsidR="00443DA8" w:rsidRPr="002261B9">
        <w:rPr>
          <w:lang w:val="es-ES"/>
        </w:rPr>
        <w:t>a los efectos de reducir las emisiones</w:t>
      </w:r>
      <w:r w:rsidR="004D5B0D" w:rsidRPr="002261B9">
        <w:rPr>
          <w:lang w:val="es-ES"/>
        </w:rPr>
        <w:t xml:space="preserve">. </w:t>
      </w:r>
      <w:r w:rsidR="00443DA8" w:rsidRPr="002261B9">
        <w:rPr>
          <w:lang w:val="es-ES"/>
        </w:rPr>
        <w:t xml:space="preserve">Estudios más recientes han demostrado también la correlación entre la exposición al </w:t>
      </w:r>
      <w:r w:rsidR="004867AF" w:rsidRPr="002261B9">
        <w:rPr>
          <w:lang w:val="es-ES"/>
        </w:rPr>
        <w:t xml:space="preserve">PFOA </w:t>
      </w:r>
      <w:r w:rsidR="00443DA8" w:rsidRPr="002261B9">
        <w:rPr>
          <w:lang w:val="es-ES"/>
        </w:rPr>
        <w:t xml:space="preserve">y la disminución de los efectos de las vacunas, por lo que cabe suponer que el </w:t>
      </w:r>
      <w:r w:rsidR="000F5D77" w:rsidRPr="002261B9">
        <w:rPr>
          <w:lang w:val="es-ES"/>
        </w:rPr>
        <w:t xml:space="preserve">PFOA </w:t>
      </w:r>
      <w:r w:rsidR="00443DA8" w:rsidRPr="002261B9">
        <w:rPr>
          <w:lang w:val="es-ES"/>
        </w:rPr>
        <w:t>representa un peligro para el sistema inmunológico de los seres humanos</w:t>
      </w:r>
      <w:r w:rsidR="00673207" w:rsidRPr="002261B9">
        <w:rPr>
          <w:lang w:val="es-ES"/>
        </w:rPr>
        <w:t xml:space="preserve"> (</w:t>
      </w:r>
      <w:r w:rsidR="00F13B21" w:rsidRPr="002261B9">
        <w:rPr>
          <w:lang w:val="es-ES"/>
        </w:rPr>
        <w:t>véase</w:t>
      </w:r>
      <w:r w:rsidR="00443DA8" w:rsidRPr="002261B9">
        <w:rPr>
          <w:lang w:val="es-ES"/>
        </w:rPr>
        <w:t>,</w:t>
      </w:r>
      <w:r w:rsidR="00673207" w:rsidRPr="002261B9">
        <w:rPr>
          <w:lang w:val="es-ES"/>
        </w:rPr>
        <w:t xml:space="preserve"> </w:t>
      </w:r>
      <w:r w:rsidR="00443DA8" w:rsidRPr="002261B9">
        <w:rPr>
          <w:lang w:val="es-ES"/>
        </w:rPr>
        <w:t>por ejemplo,</w:t>
      </w:r>
      <w:r w:rsidR="00673207" w:rsidRPr="002261B9">
        <w:rPr>
          <w:lang w:val="es-ES"/>
        </w:rPr>
        <w:t xml:space="preserve"> UNEP/POPS/POPRC.12/11/Add.2</w:t>
      </w:r>
      <w:r w:rsidR="004D5B0D" w:rsidRPr="002261B9">
        <w:rPr>
          <w:lang w:val="es-ES"/>
        </w:rPr>
        <w:t xml:space="preserve"> </w:t>
      </w:r>
      <w:r w:rsidR="00673207" w:rsidRPr="002261B9">
        <w:rPr>
          <w:lang w:val="es-ES"/>
        </w:rPr>
        <w:t>o NTP</w:t>
      </w:r>
      <w:r w:rsidR="00934533" w:rsidRPr="002261B9">
        <w:rPr>
          <w:lang w:val="es-ES"/>
        </w:rPr>
        <w:t>,</w:t>
      </w:r>
      <w:r w:rsidR="00673207" w:rsidRPr="002261B9">
        <w:rPr>
          <w:lang w:val="es-ES"/>
        </w:rPr>
        <w:t xml:space="preserve"> 2016</w:t>
      </w:r>
      <w:r w:rsidR="00422DDC" w:rsidRPr="002261B9">
        <w:rPr>
          <w:lang w:val="es-ES"/>
        </w:rPr>
        <w:t>)</w:t>
      </w:r>
      <w:r w:rsidR="00673207" w:rsidRPr="002261B9">
        <w:rPr>
          <w:lang w:val="es-ES"/>
        </w:rPr>
        <w:t>.</w:t>
      </w:r>
    </w:p>
    <w:p w14:paraId="22A04394" w14:textId="7344FD5A" w:rsidR="004D5B0D" w:rsidRPr="002261B9" w:rsidRDefault="00443DA8" w:rsidP="00F45508">
      <w:pPr>
        <w:pStyle w:val="Paralevel1"/>
        <w:numPr>
          <w:ilvl w:val="0"/>
          <w:numId w:val="23"/>
        </w:numPr>
        <w:tabs>
          <w:tab w:val="clear" w:pos="0"/>
        </w:tabs>
        <w:ind w:left="1247" w:firstLine="0"/>
        <w:rPr>
          <w:lang w:val="es-ES"/>
        </w:rPr>
      </w:pPr>
      <w:r w:rsidRPr="002261B9">
        <w:rPr>
          <w:lang w:val="es-ES"/>
        </w:rPr>
        <w:t xml:space="preserve">No cabe esperar grandes efectos económicos de la restricción de la UE en Europa debido a que el mercado ya ha ido avanzando en la sustitución del </w:t>
      </w:r>
      <w:r w:rsidR="004D5B0D" w:rsidRPr="002261B9">
        <w:rPr>
          <w:lang w:val="es-ES"/>
        </w:rPr>
        <w:t xml:space="preserve">PFOA </w:t>
      </w:r>
      <w:r w:rsidRPr="002261B9">
        <w:rPr>
          <w:lang w:val="es-ES"/>
        </w:rPr>
        <w:t>y</w:t>
      </w:r>
      <w:r w:rsidR="004D5B0D" w:rsidRPr="002261B9">
        <w:rPr>
          <w:lang w:val="es-ES"/>
        </w:rPr>
        <w:t xml:space="preserve"> </w:t>
      </w:r>
      <w:r w:rsidR="00E64629" w:rsidRPr="002261B9">
        <w:rPr>
          <w:lang w:val="es-ES"/>
        </w:rPr>
        <w:t>las sustancias conexas del PFOA</w:t>
      </w:r>
      <w:r w:rsidR="004D5B0D" w:rsidRPr="002261B9">
        <w:rPr>
          <w:lang w:val="es-ES"/>
        </w:rPr>
        <w:t xml:space="preserve">. </w:t>
      </w:r>
      <w:r w:rsidRPr="002261B9">
        <w:rPr>
          <w:lang w:val="es-ES"/>
        </w:rPr>
        <w:t>Reflejo de ello son los moderados costos de cumplimiento estimados</w:t>
      </w:r>
      <w:r w:rsidR="004D5B0D" w:rsidRPr="002261B9">
        <w:rPr>
          <w:lang w:val="es-ES"/>
        </w:rPr>
        <w:t xml:space="preserve">. </w:t>
      </w:r>
      <w:r w:rsidRPr="002261B9">
        <w:rPr>
          <w:lang w:val="es-ES"/>
        </w:rPr>
        <w:t>Además, no cabe esperar que la restricción surta efe</w:t>
      </w:r>
      <w:r w:rsidR="00C804FD" w:rsidRPr="002261B9">
        <w:rPr>
          <w:lang w:val="es-ES"/>
        </w:rPr>
        <w:t>ctos en la competitividad de la </w:t>
      </w:r>
      <w:r w:rsidRPr="002261B9">
        <w:rPr>
          <w:lang w:val="es-ES"/>
        </w:rPr>
        <w:t>UE ni en la industria mundial, porque ambas tendrán que sustituir el</w:t>
      </w:r>
      <w:r w:rsidR="004D5B0D" w:rsidRPr="002261B9">
        <w:rPr>
          <w:lang w:val="es-ES"/>
        </w:rPr>
        <w:t xml:space="preserve"> PFOA </w:t>
      </w:r>
      <w:r w:rsidRPr="002261B9">
        <w:rPr>
          <w:lang w:val="es-ES"/>
        </w:rPr>
        <w:t>y</w:t>
      </w:r>
      <w:r w:rsidR="004D5B0D" w:rsidRPr="002261B9">
        <w:rPr>
          <w:lang w:val="es-ES"/>
        </w:rPr>
        <w:t xml:space="preserve"> </w:t>
      </w:r>
      <w:r w:rsidR="00E1011E" w:rsidRPr="002261B9">
        <w:rPr>
          <w:lang w:val="es-ES"/>
        </w:rPr>
        <w:t>“</w:t>
      </w:r>
      <w:r w:rsidR="00E64629" w:rsidRPr="002261B9">
        <w:rPr>
          <w:lang w:val="es-ES"/>
        </w:rPr>
        <w:t>las sustancias conexas del PFOA</w:t>
      </w:r>
      <w:r w:rsidR="00E1011E" w:rsidRPr="002261B9">
        <w:rPr>
          <w:lang w:val="es-ES"/>
        </w:rPr>
        <w:t>”</w:t>
      </w:r>
      <w:r w:rsidR="004D5B0D" w:rsidRPr="002261B9">
        <w:rPr>
          <w:lang w:val="es-ES"/>
        </w:rPr>
        <w:t xml:space="preserve"> </w:t>
      </w:r>
      <w:r w:rsidRPr="002261B9">
        <w:rPr>
          <w:lang w:val="es-ES"/>
        </w:rPr>
        <w:t>para cumplir esta restricción</w:t>
      </w:r>
      <w:r w:rsidR="004D5B0D" w:rsidRPr="002261B9">
        <w:rPr>
          <w:lang w:val="es-ES"/>
        </w:rPr>
        <w:t xml:space="preserve">. </w:t>
      </w:r>
      <w:r w:rsidR="002F1DC4" w:rsidRPr="002261B9">
        <w:rPr>
          <w:shd w:val="clear" w:color="auto" w:fill="FFFFFF"/>
          <w:lang w:val="es-ES"/>
        </w:rPr>
        <w:t>No</w:t>
      </w:r>
      <w:r w:rsidR="00B44C78" w:rsidRPr="002261B9">
        <w:rPr>
          <w:shd w:val="clear" w:color="auto" w:fill="FFFFFF"/>
          <w:lang w:val="es-ES"/>
        </w:rPr>
        <w:t> </w:t>
      </w:r>
      <w:r w:rsidR="002F1DC4" w:rsidRPr="002261B9">
        <w:rPr>
          <w:shd w:val="clear" w:color="auto" w:fill="FFFFFF"/>
          <w:lang w:val="es-ES"/>
        </w:rPr>
        <w:t>se prevé que la restricción surta efectos importantes en el empleo en la Unión Europea (ECHA</w:t>
      </w:r>
      <w:r w:rsidR="00934533" w:rsidRPr="002261B9">
        <w:rPr>
          <w:shd w:val="clear" w:color="auto" w:fill="FFFFFF"/>
          <w:lang w:val="es-ES"/>
        </w:rPr>
        <w:t>,</w:t>
      </w:r>
      <w:r w:rsidR="00B44C78" w:rsidRPr="002261B9">
        <w:rPr>
          <w:shd w:val="clear" w:color="auto" w:fill="FFFFFF"/>
          <w:lang w:val="es-ES"/>
        </w:rPr>
        <w:t> </w:t>
      </w:r>
      <w:r w:rsidR="002F1DC4" w:rsidRPr="002261B9">
        <w:rPr>
          <w:shd w:val="clear" w:color="auto" w:fill="FFFFFF"/>
          <w:lang w:val="es-ES"/>
        </w:rPr>
        <w:t>2015a)</w:t>
      </w:r>
      <w:r w:rsidR="004D5B0D" w:rsidRPr="002261B9">
        <w:rPr>
          <w:lang w:val="es-ES"/>
        </w:rPr>
        <w:t>.</w:t>
      </w:r>
    </w:p>
    <w:p w14:paraId="22C110B5" w14:textId="38408600" w:rsidR="00934533" w:rsidRPr="002261B9" w:rsidRDefault="00FD77F8" w:rsidP="00F45508">
      <w:pPr>
        <w:pStyle w:val="Paralevel1"/>
        <w:numPr>
          <w:ilvl w:val="0"/>
          <w:numId w:val="23"/>
        </w:numPr>
        <w:tabs>
          <w:tab w:val="clear" w:pos="0"/>
        </w:tabs>
        <w:ind w:left="1247" w:firstLine="0"/>
        <w:rPr>
          <w:lang w:val="es-ES"/>
        </w:rPr>
      </w:pPr>
      <w:bookmarkStart w:id="48" w:name="_DV_C737"/>
      <w:r w:rsidRPr="002261B9">
        <w:rPr>
          <w:rStyle w:val="DeltaViewInsertion"/>
          <w:color w:val="auto"/>
          <w:u w:val="none"/>
          <w:lang w:val="es-ES"/>
        </w:rPr>
        <w:lastRenderedPageBreak/>
        <w:t xml:space="preserve">Por lo general, se calcula que el costo de la eliminación y destrucción del </w:t>
      </w:r>
      <w:r w:rsidR="00934533" w:rsidRPr="002261B9">
        <w:rPr>
          <w:rStyle w:val="DeltaViewInsertion"/>
          <w:color w:val="auto"/>
          <w:u w:val="none"/>
          <w:lang w:val="es-ES"/>
        </w:rPr>
        <w:t>PFOS present</w:t>
      </w:r>
      <w:r w:rsidRPr="002261B9">
        <w:rPr>
          <w:rStyle w:val="DeltaViewInsertion"/>
          <w:color w:val="auto"/>
          <w:u w:val="none"/>
          <w:lang w:val="es-ES"/>
        </w:rPr>
        <w:t xml:space="preserve">e en productos </w:t>
      </w:r>
      <w:r w:rsidR="00934533" w:rsidRPr="002261B9">
        <w:rPr>
          <w:rStyle w:val="DeltaViewInsertion"/>
          <w:color w:val="auto"/>
          <w:u w:val="none"/>
          <w:lang w:val="es-ES"/>
        </w:rPr>
        <w:t>exist</w:t>
      </w:r>
      <w:r w:rsidRPr="002261B9">
        <w:rPr>
          <w:rStyle w:val="DeltaViewInsertion"/>
          <w:color w:val="auto"/>
          <w:u w:val="none"/>
          <w:lang w:val="es-ES"/>
        </w:rPr>
        <w:t>entes</w:t>
      </w:r>
      <w:r w:rsidR="00934533" w:rsidRPr="002261B9">
        <w:rPr>
          <w:rStyle w:val="DeltaViewInsertion"/>
          <w:color w:val="auto"/>
          <w:u w:val="none"/>
          <w:lang w:val="es-ES"/>
        </w:rPr>
        <w:t xml:space="preserve">, </w:t>
      </w:r>
      <w:r w:rsidRPr="002261B9">
        <w:rPr>
          <w:rStyle w:val="DeltaViewInsertion"/>
          <w:color w:val="auto"/>
          <w:u w:val="none"/>
          <w:lang w:val="es-ES"/>
        </w:rPr>
        <w:t xml:space="preserve">tales como sistemas contra incendios, está por debajo de los </w:t>
      </w:r>
      <w:r w:rsidR="00934533" w:rsidRPr="002261B9">
        <w:rPr>
          <w:rStyle w:val="DeltaViewInsertion"/>
          <w:color w:val="auto"/>
          <w:u w:val="none"/>
          <w:lang w:val="es-ES"/>
        </w:rPr>
        <w:t>1</w:t>
      </w:r>
      <w:r w:rsidRPr="002261B9">
        <w:rPr>
          <w:rStyle w:val="DeltaViewInsertion"/>
          <w:color w:val="auto"/>
          <w:u w:val="none"/>
          <w:lang w:val="es-ES"/>
        </w:rPr>
        <w:t>.</w:t>
      </w:r>
      <w:r w:rsidR="00934533" w:rsidRPr="002261B9">
        <w:rPr>
          <w:rStyle w:val="DeltaViewInsertion"/>
          <w:color w:val="auto"/>
          <w:u w:val="none"/>
          <w:lang w:val="es-ES"/>
        </w:rPr>
        <w:t>000 euros p</w:t>
      </w:r>
      <w:r w:rsidRPr="002261B9">
        <w:rPr>
          <w:rStyle w:val="DeltaViewInsertion"/>
          <w:color w:val="auto"/>
          <w:u w:val="none"/>
          <w:lang w:val="es-ES"/>
        </w:rPr>
        <w:t>or</w:t>
      </w:r>
      <w:r w:rsidR="00934533" w:rsidRPr="002261B9">
        <w:rPr>
          <w:rStyle w:val="DeltaViewInsertion"/>
          <w:color w:val="auto"/>
          <w:u w:val="none"/>
          <w:lang w:val="es-ES"/>
        </w:rPr>
        <w:t xml:space="preserve"> kilogram</w:t>
      </w:r>
      <w:r w:rsidRPr="002261B9">
        <w:rPr>
          <w:rStyle w:val="DeltaViewInsertion"/>
          <w:color w:val="auto"/>
          <w:u w:val="none"/>
          <w:lang w:val="es-ES"/>
        </w:rPr>
        <w:t>o</w:t>
      </w:r>
      <w:r w:rsidR="00934533" w:rsidRPr="002261B9">
        <w:rPr>
          <w:rStyle w:val="DeltaViewInsertion"/>
          <w:color w:val="auto"/>
          <w:u w:val="none"/>
          <w:lang w:val="es-ES"/>
        </w:rPr>
        <w:t>, a</w:t>
      </w:r>
      <w:r w:rsidRPr="002261B9">
        <w:rPr>
          <w:rStyle w:val="DeltaViewInsertion"/>
          <w:color w:val="auto"/>
          <w:u w:val="none"/>
          <w:lang w:val="es-ES"/>
        </w:rPr>
        <w:t xml:space="preserve">unque </w:t>
      </w:r>
      <w:r w:rsidRPr="002261B9">
        <w:rPr>
          <w:lang w:val="es-ES"/>
        </w:rPr>
        <w:t>puede</w:t>
      </w:r>
      <w:r w:rsidRPr="002261B9">
        <w:rPr>
          <w:rStyle w:val="DeltaViewInsertion"/>
          <w:color w:val="auto"/>
          <w:u w:val="none"/>
          <w:lang w:val="es-ES"/>
        </w:rPr>
        <w:t xml:space="preserve"> ser mucho más alto en algunos casos</w:t>
      </w:r>
      <w:r w:rsidR="00934533" w:rsidRPr="002261B9">
        <w:rPr>
          <w:rStyle w:val="DeltaViewInsertion"/>
          <w:color w:val="auto"/>
          <w:u w:val="none"/>
          <w:lang w:val="es-ES"/>
        </w:rPr>
        <w:t xml:space="preserve">. </w:t>
      </w:r>
      <w:r w:rsidRPr="002261B9">
        <w:rPr>
          <w:rStyle w:val="DeltaViewInsertion"/>
          <w:color w:val="auto"/>
          <w:u w:val="none"/>
          <w:lang w:val="es-ES"/>
        </w:rPr>
        <w:t xml:space="preserve">Un ejemplo es el túnel del ferrocarril de </w:t>
      </w:r>
      <w:r w:rsidR="00934533" w:rsidRPr="002261B9">
        <w:rPr>
          <w:lang w:val="es-ES"/>
        </w:rPr>
        <w:t>Barendrecht</w:t>
      </w:r>
      <w:r w:rsidR="00934533" w:rsidRPr="002261B9">
        <w:rPr>
          <w:rStyle w:val="DeltaViewInsertion"/>
          <w:color w:val="auto"/>
          <w:u w:val="none"/>
          <w:lang w:val="es-ES"/>
        </w:rPr>
        <w:t xml:space="preserve"> </w:t>
      </w:r>
      <w:r w:rsidRPr="002261B9">
        <w:rPr>
          <w:rStyle w:val="DeltaViewInsertion"/>
          <w:color w:val="auto"/>
          <w:u w:val="none"/>
          <w:lang w:val="es-ES"/>
        </w:rPr>
        <w:t xml:space="preserve">en los Países Bajos, donde se emplearon como mínimo </w:t>
      </w:r>
      <w:r w:rsidR="00934533" w:rsidRPr="002261B9">
        <w:rPr>
          <w:rStyle w:val="DeltaViewInsertion"/>
          <w:color w:val="auto"/>
          <w:u w:val="none"/>
          <w:lang w:val="es-ES"/>
        </w:rPr>
        <w:t>3</w:t>
      </w:r>
      <w:r w:rsidRPr="002261B9">
        <w:rPr>
          <w:rStyle w:val="DeltaViewInsertion"/>
          <w:color w:val="auto"/>
          <w:u w:val="none"/>
          <w:lang w:val="es-ES"/>
        </w:rPr>
        <w:t>.500 euros po</w:t>
      </w:r>
      <w:r w:rsidR="00934533" w:rsidRPr="002261B9">
        <w:rPr>
          <w:rStyle w:val="DeltaViewInsertion"/>
          <w:color w:val="auto"/>
          <w:u w:val="none"/>
          <w:lang w:val="es-ES"/>
        </w:rPr>
        <w:t>r kilogram</w:t>
      </w:r>
      <w:r w:rsidRPr="002261B9">
        <w:rPr>
          <w:rStyle w:val="DeltaViewInsertion"/>
          <w:color w:val="auto"/>
          <w:u w:val="none"/>
          <w:lang w:val="es-ES"/>
        </w:rPr>
        <w:t>o en la eliminación de</w:t>
      </w:r>
      <w:r w:rsidR="00934533" w:rsidRPr="002261B9">
        <w:rPr>
          <w:rStyle w:val="DeltaViewInsertion"/>
          <w:color w:val="auto"/>
          <w:u w:val="none"/>
          <w:lang w:val="es-ES"/>
        </w:rPr>
        <w:t xml:space="preserve"> PFOS </w:t>
      </w:r>
      <w:r w:rsidRPr="002261B9">
        <w:rPr>
          <w:rStyle w:val="DeltaViewInsertion"/>
          <w:color w:val="auto"/>
          <w:u w:val="none"/>
          <w:lang w:val="es-ES"/>
        </w:rPr>
        <w:t>del sistema contra incendios.</w:t>
      </w:r>
      <w:r w:rsidR="00934533" w:rsidRPr="002261B9">
        <w:rPr>
          <w:rStyle w:val="DeltaViewInsertion"/>
          <w:color w:val="auto"/>
          <w:u w:val="none"/>
          <w:lang w:val="es-ES"/>
        </w:rPr>
        <w:t xml:space="preserve"> </w:t>
      </w:r>
      <w:r w:rsidRPr="002261B9">
        <w:rPr>
          <w:rStyle w:val="DeltaViewInsertion"/>
          <w:color w:val="auto"/>
          <w:u w:val="none"/>
          <w:lang w:val="es-ES"/>
        </w:rPr>
        <w:t xml:space="preserve">En esa operación no se logró retirar todo el material, con lo cual se precisaría una segunda ronda de enjuague o sustitución de la tubería principal, lo que costaría al menos otros </w:t>
      </w:r>
      <w:r w:rsidR="00934533" w:rsidRPr="002261B9">
        <w:rPr>
          <w:rStyle w:val="DeltaViewInsertion"/>
          <w:color w:val="auto"/>
          <w:u w:val="none"/>
          <w:lang w:val="es-ES"/>
        </w:rPr>
        <w:t>400</w:t>
      </w:r>
      <w:r w:rsidRPr="002261B9">
        <w:rPr>
          <w:rStyle w:val="DeltaViewInsertion"/>
          <w:color w:val="auto"/>
          <w:u w:val="none"/>
          <w:lang w:val="es-ES"/>
        </w:rPr>
        <w:t>.</w:t>
      </w:r>
      <w:r w:rsidR="00934533" w:rsidRPr="002261B9">
        <w:rPr>
          <w:rStyle w:val="DeltaViewInsertion"/>
          <w:color w:val="auto"/>
          <w:u w:val="none"/>
          <w:lang w:val="es-ES"/>
        </w:rPr>
        <w:t>000 euros p</w:t>
      </w:r>
      <w:r w:rsidRPr="002261B9">
        <w:rPr>
          <w:rStyle w:val="DeltaViewInsertion"/>
          <w:color w:val="auto"/>
          <w:u w:val="none"/>
          <w:lang w:val="es-ES"/>
        </w:rPr>
        <w:t>o</w:t>
      </w:r>
      <w:r w:rsidR="00934533" w:rsidRPr="002261B9">
        <w:rPr>
          <w:rStyle w:val="DeltaViewInsertion"/>
          <w:color w:val="auto"/>
          <w:u w:val="none"/>
          <w:lang w:val="es-ES"/>
        </w:rPr>
        <w:t xml:space="preserve">r </w:t>
      </w:r>
      <w:r w:rsidR="00A63836" w:rsidRPr="002261B9">
        <w:rPr>
          <w:rStyle w:val="DeltaViewInsertion"/>
          <w:color w:val="auto"/>
          <w:u w:val="none"/>
          <w:lang w:val="es-ES"/>
        </w:rPr>
        <w:t>kilogramo</w:t>
      </w:r>
      <w:r w:rsidR="00934533" w:rsidRPr="002261B9">
        <w:rPr>
          <w:rStyle w:val="DeltaViewInsertion"/>
          <w:color w:val="auto"/>
          <w:u w:val="none"/>
          <w:lang w:val="es-ES"/>
        </w:rPr>
        <w:t xml:space="preserve"> </w:t>
      </w:r>
      <w:r w:rsidRPr="002261B9">
        <w:rPr>
          <w:rStyle w:val="DeltaViewInsertion"/>
          <w:color w:val="auto"/>
          <w:u w:val="none"/>
          <w:lang w:val="es-ES"/>
        </w:rPr>
        <w:t xml:space="preserve">del </w:t>
      </w:r>
      <w:r w:rsidR="00934533" w:rsidRPr="002261B9">
        <w:rPr>
          <w:rStyle w:val="DeltaViewInsertion"/>
          <w:color w:val="auto"/>
          <w:u w:val="none"/>
          <w:lang w:val="es-ES"/>
        </w:rPr>
        <w:t>PFOS</w:t>
      </w:r>
      <w:r w:rsidRPr="002261B9">
        <w:rPr>
          <w:rStyle w:val="DeltaViewInsertion"/>
          <w:color w:val="auto"/>
          <w:u w:val="none"/>
          <w:lang w:val="es-ES"/>
        </w:rPr>
        <w:t xml:space="preserve"> remanente</w:t>
      </w:r>
      <w:r w:rsidR="00934533" w:rsidRPr="002261B9">
        <w:rPr>
          <w:rStyle w:val="DeltaViewInsertion"/>
          <w:color w:val="auto"/>
          <w:u w:val="none"/>
          <w:lang w:val="es-ES"/>
        </w:rPr>
        <w:t xml:space="preserve">. </w:t>
      </w:r>
      <w:r w:rsidRPr="002261B9">
        <w:rPr>
          <w:rStyle w:val="DeltaViewInsertion"/>
          <w:color w:val="auto"/>
          <w:u w:val="none"/>
          <w:lang w:val="es-ES"/>
        </w:rPr>
        <w:t>El operador del ferrocarril no estaba obligado a realizar este procedimiento, lo cual podría interpretarse como una indicación de los desproporcionado del costo, aunque no se indicó explícitamente el motivo</w:t>
      </w:r>
      <w:r w:rsidR="00934533" w:rsidRPr="002261B9">
        <w:rPr>
          <w:rStyle w:val="DeltaViewInsertion"/>
          <w:color w:val="auto"/>
          <w:u w:val="none"/>
          <w:lang w:val="es-ES"/>
        </w:rPr>
        <w:t xml:space="preserve"> (Oosterhuis </w:t>
      </w:r>
      <w:r w:rsidR="007D0A73" w:rsidRPr="002261B9">
        <w:rPr>
          <w:rStyle w:val="DeltaViewInsertion"/>
          <w:color w:val="auto"/>
          <w:u w:val="none"/>
          <w:lang w:val="es-ES"/>
        </w:rPr>
        <w:t>y otros</w:t>
      </w:r>
      <w:r w:rsidR="00934533" w:rsidRPr="002261B9">
        <w:rPr>
          <w:rStyle w:val="DeltaViewInsertion"/>
          <w:color w:val="auto"/>
          <w:u w:val="none"/>
          <w:lang w:val="es-ES"/>
        </w:rPr>
        <w:t>, 2017).</w:t>
      </w:r>
      <w:bookmarkEnd w:id="48"/>
    </w:p>
    <w:p w14:paraId="63AAA6AD" w14:textId="5EBB5FE8" w:rsidR="004D5B0D" w:rsidRPr="002261B9" w:rsidRDefault="00443DA8" w:rsidP="00F45508">
      <w:pPr>
        <w:pStyle w:val="Paralevel1"/>
        <w:numPr>
          <w:ilvl w:val="0"/>
          <w:numId w:val="23"/>
        </w:numPr>
        <w:tabs>
          <w:tab w:val="clear" w:pos="0"/>
        </w:tabs>
        <w:ind w:left="1247" w:firstLine="0"/>
        <w:rPr>
          <w:lang w:val="es-ES"/>
        </w:rPr>
      </w:pPr>
      <w:r w:rsidRPr="002261B9">
        <w:rPr>
          <w:lang w:val="es-ES"/>
        </w:rPr>
        <w:t xml:space="preserve">Como parte del Plan de gestión de los productos químicos del Canadá se emprendió una </w:t>
      </w:r>
      <w:r w:rsidR="008F2360" w:rsidRPr="002261B9">
        <w:rPr>
          <w:lang w:val="es-ES"/>
        </w:rPr>
        <w:t xml:space="preserve">iniciativa </w:t>
      </w:r>
      <w:r w:rsidRPr="002261B9">
        <w:rPr>
          <w:lang w:val="es-ES"/>
        </w:rPr>
        <w:t>reglamentaria con el objetivo de proteger el medio ambiente contra los riesgos que entrañan la fabricación, el uso, la venta, la oferta de venta o la importación de</w:t>
      </w:r>
      <w:r w:rsidR="004D5B0D" w:rsidRPr="002261B9">
        <w:rPr>
          <w:lang w:val="es-ES"/>
        </w:rPr>
        <w:t xml:space="preserve"> </w:t>
      </w:r>
      <w:r w:rsidR="007F73CD" w:rsidRPr="002261B9">
        <w:rPr>
          <w:lang w:val="es-ES"/>
        </w:rPr>
        <w:t>(</w:t>
      </w:r>
      <w:r w:rsidRPr="002261B9">
        <w:rPr>
          <w:lang w:val="es-ES"/>
        </w:rPr>
        <w:t>entre otras sustancias</w:t>
      </w:r>
      <w:r w:rsidR="007F73CD" w:rsidRPr="002261B9">
        <w:rPr>
          <w:lang w:val="es-ES"/>
        </w:rPr>
        <w:t xml:space="preserve">) </w:t>
      </w:r>
      <w:r w:rsidR="00B7778D" w:rsidRPr="002261B9">
        <w:rPr>
          <w:lang w:val="es-ES"/>
        </w:rPr>
        <w:t xml:space="preserve">PFOA </w:t>
      </w:r>
      <w:r w:rsidRPr="002261B9">
        <w:rPr>
          <w:lang w:val="es-ES"/>
        </w:rPr>
        <w:t>y</w:t>
      </w:r>
      <w:r w:rsidR="00B7778D" w:rsidRPr="002261B9">
        <w:rPr>
          <w:lang w:val="es-ES"/>
        </w:rPr>
        <w:t xml:space="preserve"> PFCA</w:t>
      </w:r>
      <w:r w:rsidRPr="002261B9">
        <w:rPr>
          <w:lang w:val="es-ES"/>
        </w:rPr>
        <w:t xml:space="preserve"> de cadena larga</w:t>
      </w:r>
      <w:r w:rsidR="004D5B0D" w:rsidRPr="002261B9">
        <w:rPr>
          <w:lang w:val="es-ES"/>
        </w:rPr>
        <w:t xml:space="preserve">. </w:t>
      </w:r>
      <w:r w:rsidRPr="002261B9">
        <w:rPr>
          <w:lang w:val="es-ES"/>
        </w:rPr>
        <w:t xml:space="preserve">En el procedimiento de gestión de los riesgos del </w:t>
      </w:r>
      <w:r w:rsidR="00354D66" w:rsidRPr="002261B9">
        <w:rPr>
          <w:lang w:val="es-ES"/>
        </w:rPr>
        <w:t>Canad</w:t>
      </w:r>
      <w:r w:rsidRPr="002261B9">
        <w:rPr>
          <w:lang w:val="es-ES"/>
        </w:rPr>
        <w:t>á</w:t>
      </w:r>
      <w:r w:rsidR="00354D66" w:rsidRPr="002261B9">
        <w:rPr>
          <w:lang w:val="es-ES"/>
        </w:rPr>
        <w:t xml:space="preserve">, </w:t>
      </w:r>
      <w:r w:rsidRPr="002261B9">
        <w:rPr>
          <w:lang w:val="es-ES"/>
        </w:rPr>
        <w:t xml:space="preserve">las pruebas científicas han demostrado que el </w:t>
      </w:r>
      <w:r w:rsidR="00354D66" w:rsidRPr="002261B9">
        <w:rPr>
          <w:lang w:val="es-ES"/>
        </w:rPr>
        <w:t xml:space="preserve">PFOA </w:t>
      </w:r>
      <w:r w:rsidRPr="002261B9">
        <w:rPr>
          <w:lang w:val="es-ES"/>
        </w:rPr>
        <w:t xml:space="preserve">y los </w:t>
      </w:r>
      <w:r w:rsidR="00354D66" w:rsidRPr="002261B9">
        <w:rPr>
          <w:lang w:val="es-ES"/>
        </w:rPr>
        <w:t>PFCA</w:t>
      </w:r>
      <w:r w:rsidRPr="002261B9">
        <w:rPr>
          <w:lang w:val="es-ES"/>
        </w:rPr>
        <w:t xml:space="preserve"> de cadena larga son persistentes, se acumulan y biomagnifican en los animales terrestres y marinos y son tóxicos para el medio ambiente </w:t>
      </w:r>
      <w:r w:rsidR="008F2360" w:rsidRPr="002261B9">
        <w:rPr>
          <w:lang w:val="es-ES"/>
        </w:rPr>
        <w:t>tal como se estipula en la Ley de Protección Ambiental del Canadá</w:t>
      </w:r>
      <w:r w:rsidR="007D0A73" w:rsidRPr="002261B9">
        <w:rPr>
          <w:lang w:val="es-ES"/>
        </w:rPr>
        <w:t xml:space="preserve"> de</w:t>
      </w:r>
      <w:r w:rsidR="004D5B0D" w:rsidRPr="002261B9">
        <w:rPr>
          <w:lang w:val="es-ES"/>
        </w:rPr>
        <w:t xml:space="preserve">1999. </w:t>
      </w:r>
      <w:r w:rsidR="008F2360" w:rsidRPr="002261B9">
        <w:rPr>
          <w:lang w:val="es-ES"/>
        </w:rPr>
        <w:t xml:space="preserve">Pese a que no se ha realizado ningún análisis cuantitativo de los beneficios de esta iniciativa, los controles reglamentarios del </w:t>
      </w:r>
      <w:r w:rsidR="00E83869" w:rsidRPr="002261B9">
        <w:rPr>
          <w:lang w:val="es-ES"/>
        </w:rPr>
        <w:t xml:space="preserve">PFOA </w:t>
      </w:r>
      <w:r w:rsidR="008F2360" w:rsidRPr="002261B9">
        <w:rPr>
          <w:lang w:val="es-ES"/>
        </w:rPr>
        <w:t xml:space="preserve">y los </w:t>
      </w:r>
      <w:r w:rsidR="00E83869" w:rsidRPr="002261B9">
        <w:rPr>
          <w:lang w:val="es-ES"/>
        </w:rPr>
        <w:t>PFCA</w:t>
      </w:r>
      <w:r w:rsidR="008F2360" w:rsidRPr="002261B9">
        <w:rPr>
          <w:lang w:val="es-ES"/>
        </w:rPr>
        <w:t xml:space="preserve"> de cadena larga en el </w:t>
      </w:r>
      <w:r w:rsidR="009321C2" w:rsidRPr="002261B9">
        <w:rPr>
          <w:lang w:val="es-ES"/>
        </w:rPr>
        <w:t>Canadá</w:t>
      </w:r>
      <w:r w:rsidR="008F2360" w:rsidRPr="002261B9">
        <w:rPr>
          <w:lang w:val="es-ES"/>
        </w:rPr>
        <w:t xml:space="preserve"> protegerán el medio ambiente</w:t>
      </w:r>
      <w:r w:rsidR="004D5B0D" w:rsidRPr="002261B9">
        <w:rPr>
          <w:lang w:val="es-ES"/>
        </w:rPr>
        <w:t xml:space="preserve">. </w:t>
      </w:r>
      <w:r w:rsidR="008F2360" w:rsidRPr="002261B9">
        <w:rPr>
          <w:lang w:val="es-ES"/>
        </w:rPr>
        <w:t>Cabe esperar una mejora en la calidad del medio ambiente gracias al control de estas sustancias</w:t>
      </w:r>
      <w:r w:rsidR="00B7778D" w:rsidRPr="002261B9">
        <w:rPr>
          <w:lang w:val="es-ES"/>
        </w:rPr>
        <w:t>.</w:t>
      </w:r>
      <w:r w:rsidR="004D5B0D" w:rsidRPr="002261B9">
        <w:rPr>
          <w:lang w:val="es-ES"/>
        </w:rPr>
        <w:t xml:space="preserve"> </w:t>
      </w:r>
    </w:p>
    <w:p w14:paraId="24C91A29" w14:textId="4EFC2015" w:rsidR="005D0E23" w:rsidRPr="002261B9" w:rsidRDefault="003F3A09" w:rsidP="00F45508">
      <w:pPr>
        <w:pStyle w:val="Paralevel1"/>
        <w:numPr>
          <w:ilvl w:val="0"/>
          <w:numId w:val="23"/>
        </w:numPr>
        <w:tabs>
          <w:tab w:val="clear" w:pos="0"/>
        </w:tabs>
        <w:ind w:left="1247" w:firstLine="0"/>
        <w:rPr>
          <w:lang w:val="es-ES"/>
        </w:rPr>
      </w:pPr>
      <w:r w:rsidRPr="002261B9">
        <w:rPr>
          <w:lang w:val="es-ES"/>
        </w:rPr>
        <w:t>Noruega</w:t>
      </w:r>
      <w:r w:rsidR="00045F2B" w:rsidRPr="002261B9">
        <w:rPr>
          <w:lang w:val="es-ES"/>
        </w:rPr>
        <w:t xml:space="preserve"> plantea que las medidas de control surtirán efectos positivos en la salud humana, dado que todavía estamos expuestos al </w:t>
      </w:r>
      <w:r w:rsidR="004D5B0D" w:rsidRPr="002261B9">
        <w:rPr>
          <w:lang w:val="es-ES"/>
        </w:rPr>
        <w:t xml:space="preserve">PFAS </w:t>
      </w:r>
      <w:r w:rsidR="00045F2B" w:rsidRPr="002261B9">
        <w:rPr>
          <w:lang w:val="es-ES"/>
        </w:rPr>
        <w:t>en nuestro entorno todos los días</w:t>
      </w:r>
      <w:r w:rsidR="004D5B0D" w:rsidRPr="002261B9">
        <w:rPr>
          <w:lang w:val="es-ES"/>
        </w:rPr>
        <w:t xml:space="preserve"> (</w:t>
      </w:r>
      <w:r w:rsidRPr="002261B9">
        <w:rPr>
          <w:lang w:val="es-ES"/>
        </w:rPr>
        <w:t>Noruega</w:t>
      </w:r>
      <w:r w:rsidR="007D0A73" w:rsidRPr="002261B9">
        <w:rPr>
          <w:lang w:val="es-ES"/>
        </w:rPr>
        <w:t>,</w:t>
      </w:r>
      <w:r w:rsidR="004D5B0D" w:rsidRPr="002261B9">
        <w:rPr>
          <w:lang w:val="es-ES"/>
        </w:rPr>
        <w:t xml:space="preserve"> 2016). </w:t>
      </w:r>
      <w:r w:rsidR="00045F2B" w:rsidRPr="002261B9">
        <w:rPr>
          <w:lang w:val="es-ES"/>
        </w:rPr>
        <w:t xml:space="preserve">El número de productos de </w:t>
      </w:r>
      <w:r w:rsidR="00386F8F" w:rsidRPr="002261B9">
        <w:rPr>
          <w:lang w:val="es-ES"/>
        </w:rPr>
        <w:t>consumo</w:t>
      </w:r>
      <w:r w:rsidR="00045F2B" w:rsidRPr="002261B9">
        <w:rPr>
          <w:lang w:val="es-ES"/>
        </w:rPr>
        <w:t xml:space="preserve"> que contienen </w:t>
      </w:r>
      <w:r w:rsidR="004D5B0D" w:rsidRPr="002261B9">
        <w:rPr>
          <w:lang w:val="es-ES"/>
        </w:rPr>
        <w:t>PFOA ha</w:t>
      </w:r>
      <w:r w:rsidR="00045F2B" w:rsidRPr="002261B9">
        <w:rPr>
          <w:lang w:val="es-ES"/>
        </w:rPr>
        <w:t xml:space="preserve"> disminuido</w:t>
      </w:r>
      <w:r w:rsidR="000F008D" w:rsidRPr="002261B9">
        <w:rPr>
          <w:lang w:val="es-ES"/>
        </w:rPr>
        <w:t>,</w:t>
      </w:r>
      <w:r w:rsidR="004D5B0D" w:rsidRPr="002261B9">
        <w:rPr>
          <w:lang w:val="es-ES"/>
        </w:rPr>
        <w:t xml:space="preserve"> </w:t>
      </w:r>
      <w:r w:rsidR="00045F2B" w:rsidRPr="002261B9">
        <w:rPr>
          <w:lang w:val="es-ES"/>
        </w:rPr>
        <w:t xml:space="preserve">y los niveles en la ropa para todo tipo de clima han disminuido después de la introducción de una norma nacional sobre el </w:t>
      </w:r>
      <w:r w:rsidR="00BE4AB6" w:rsidRPr="002261B9">
        <w:rPr>
          <w:lang w:val="es-ES"/>
        </w:rPr>
        <w:t xml:space="preserve">PFOA </w:t>
      </w:r>
      <w:r w:rsidR="00293651" w:rsidRPr="002261B9">
        <w:rPr>
          <w:lang w:val="es-ES"/>
        </w:rPr>
        <w:t>en</w:t>
      </w:r>
      <w:r w:rsidR="00045F2B" w:rsidRPr="002261B9">
        <w:rPr>
          <w:lang w:val="es-ES"/>
        </w:rPr>
        <w:t xml:space="preserve"> los productos de consumo en </w:t>
      </w:r>
      <w:r w:rsidR="00BE4AB6" w:rsidRPr="002261B9">
        <w:rPr>
          <w:lang w:val="es-ES"/>
        </w:rPr>
        <w:t>2013</w:t>
      </w:r>
      <w:r w:rsidR="004D5B0D" w:rsidRPr="002261B9">
        <w:rPr>
          <w:lang w:val="es-ES"/>
        </w:rPr>
        <w:t xml:space="preserve"> (</w:t>
      </w:r>
      <w:r w:rsidR="007F0459" w:rsidRPr="002261B9">
        <w:rPr>
          <w:lang w:val="es-ES"/>
        </w:rPr>
        <w:t>Observaciones</w:t>
      </w:r>
      <w:r w:rsidR="00045F2B" w:rsidRPr="002261B9">
        <w:rPr>
          <w:lang w:val="es-ES"/>
        </w:rPr>
        <w:t xml:space="preserve"> de </w:t>
      </w:r>
      <w:r w:rsidRPr="002261B9">
        <w:rPr>
          <w:lang w:val="es-ES"/>
        </w:rPr>
        <w:t>Noruega</w:t>
      </w:r>
      <w:r w:rsidR="004D5B0D" w:rsidRPr="002261B9">
        <w:rPr>
          <w:lang w:val="es-ES"/>
        </w:rPr>
        <w:t xml:space="preserve"> </w:t>
      </w:r>
      <w:r w:rsidR="00045F2B" w:rsidRPr="002261B9">
        <w:rPr>
          <w:lang w:val="es-ES"/>
        </w:rPr>
        <w:t xml:space="preserve">sobre el segundo proyecto de evaluación de la gestión de los </w:t>
      </w:r>
      <w:r w:rsidR="00A63836" w:rsidRPr="002261B9">
        <w:rPr>
          <w:lang w:val="es-ES"/>
        </w:rPr>
        <w:t>riesgos)</w:t>
      </w:r>
      <w:r w:rsidR="004D5B0D" w:rsidRPr="002261B9">
        <w:rPr>
          <w:lang w:val="es-ES"/>
        </w:rPr>
        <w:t>.</w:t>
      </w:r>
    </w:p>
    <w:p w14:paraId="51FD4C2B" w14:textId="264F94DE" w:rsidR="004D5B0D" w:rsidRPr="002261B9" w:rsidRDefault="00045F2B" w:rsidP="00F45508">
      <w:pPr>
        <w:pStyle w:val="Paralevel1"/>
        <w:numPr>
          <w:ilvl w:val="0"/>
          <w:numId w:val="23"/>
        </w:numPr>
        <w:tabs>
          <w:tab w:val="clear" w:pos="0"/>
        </w:tabs>
        <w:ind w:left="1247" w:firstLine="0"/>
        <w:rPr>
          <w:lang w:val="es-ES"/>
        </w:rPr>
      </w:pPr>
      <w:r w:rsidRPr="002261B9">
        <w:rPr>
          <w:lang w:val="es-ES"/>
        </w:rPr>
        <w:t>En</w:t>
      </w:r>
      <w:r w:rsidR="004D5B0D" w:rsidRPr="002261B9">
        <w:rPr>
          <w:lang w:val="es-ES"/>
        </w:rPr>
        <w:t xml:space="preserve"> Australia, </w:t>
      </w:r>
      <w:r w:rsidR="008F2360" w:rsidRPr="002261B9">
        <w:rPr>
          <w:lang w:val="es-ES"/>
        </w:rPr>
        <w:t xml:space="preserve">los efectos del </w:t>
      </w:r>
      <w:r w:rsidR="004D5B0D" w:rsidRPr="002261B9">
        <w:rPr>
          <w:lang w:val="es-ES"/>
        </w:rPr>
        <w:t>PFOA</w:t>
      </w:r>
      <w:r w:rsidR="008F2360" w:rsidRPr="002261B9">
        <w:rPr>
          <w:lang w:val="es-ES"/>
        </w:rPr>
        <w:t xml:space="preserve"> en la sociedad</w:t>
      </w:r>
      <w:r w:rsidR="004D5B0D" w:rsidRPr="002261B9">
        <w:rPr>
          <w:lang w:val="es-ES"/>
        </w:rPr>
        <w:t xml:space="preserve"> </w:t>
      </w:r>
      <w:r w:rsidR="008F2360" w:rsidRPr="002261B9">
        <w:rPr>
          <w:lang w:val="es-ES"/>
        </w:rPr>
        <w:t>saltaron a la palestra hace poco cuando se detectó la existencia de algunos lugares contaminados por el uso histórico de espumas acuosas formadoras de películas en los aeropuertos y campos de entrenamiento sobre extinción de incendios para combatir incendios de combustible líquido</w:t>
      </w:r>
      <w:r w:rsidR="004D5B0D" w:rsidRPr="002261B9">
        <w:rPr>
          <w:lang w:val="es-ES"/>
        </w:rPr>
        <w:t xml:space="preserve">. </w:t>
      </w:r>
      <w:r w:rsidR="008F2360" w:rsidRPr="002261B9">
        <w:rPr>
          <w:lang w:val="es-ES"/>
        </w:rPr>
        <w:t xml:space="preserve">Se han eliminado las espumas ignífugas que contienen </w:t>
      </w:r>
      <w:r w:rsidR="004D5B0D" w:rsidRPr="002261B9">
        <w:rPr>
          <w:lang w:val="es-ES"/>
        </w:rPr>
        <w:t xml:space="preserve">PFOA, PFOS </w:t>
      </w:r>
      <w:r w:rsidR="00A63836" w:rsidRPr="002261B9">
        <w:rPr>
          <w:lang w:val="es-ES"/>
        </w:rPr>
        <w:t>y PFHxS</w:t>
      </w:r>
      <w:r w:rsidR="004D5B0D" w:rsidRPr="002261B9">
        <w:rPr>
          <w:lang w:val="es-ES"/>
        </w:rPr>
        <w:t xml:space="preserve"> </w:t>
      </w:r>
      <w:r w:rsidR="008F2360" w:rsidRPr="002261B9">
        <w:rPr>
          <w:lang w:val="es-ES"/>
        </w:rPr>
        <w:t>en diversos usos</w:t>
      </w:r>
      <w:r w:rsidR="004D5B0D" w:rsidRPr="002261B9">
        <w:rPr>
          <w:lang w:val="es-ES"/>
        </w:rPr>
        <w:t xml:space="preserve">. </w:t>
      </w:r>
      <w:r w:rsidR="008F2360" w:rsidRPr="002261B9">
        <w:rPr>
          <w:lang w:val="es-ES"/>
        </w:rPr>
        <w:t xml:space="preserve">Cabe señalar que el uso habitual de </w:t>
      </w:r>
      <w:r w:rsidR="00163880" w:rsidRPr="002261B9">
        <w:rPr>
          <w:lang w:val="es-ES"/>
        </w:rPr>
        <w:t>EAFP</w:t>
      </w:r>
      <w:r w:rsidR="008F2360" w:rsidRPr="002261B9">
        <w:rPr>
          <w:lang w:val="es-ES"/>
        </w:rPr>
        <w:t xml:space="preserve"> ha contaminado algunos aeropuertos civiles e instalaciones de defensa y esa contaminación ha migrado en algunos casos hacia las aguas superficiales y subterráneas</w:t>
      </w:r>
      <w:r w:rsidR="004D5B0D" w:rsidRPr="002261B9">
        <w:rPr>
          <w:lang w:val="es-ES"/>
        </w:rPr>
        <w:t xml:space="preserve">. </w:t>
      </w:r>
      <w:r w:rsidR="008F2360" w:rsidRPr="002261B9">
        <w:rPr>
          <w:lang w:val="es-ES"/>
        </w:rPr>
        <w:t xml:space="preserve">La migración de </w:t>
      </w:r>
      <w:r w:rsidR="004D5B0D" w:rsidRPr="002261B9">
        <w:rPr>
          <w:lang w:val="es-ES"/>
        </w:rPr>
        <w:t xml:space="preserve">PFOA </w:t>
      </w:r>
      <w:r w:rsidR="008F2360" w:rsidRPr="002261B9">
        <w:rPr>
          <w:lang w:val="es-ES"/>
        </w:rPr>
        <w:t xml:space="preserve">desde el lugar donde se ha usado ha causado la contaminación de las aguas subterráneas y superficiales en las zonas aledañas que, </w:t>
      </w:r>
      <w:r w:rsidR="00933E33" w:rsidRPr="002261B9">
        <w:rPr>
          <w:lang w:val="es-ES"/>
        </w:rPr>
        <w:t>e</w:t>
      </w:r>
      <w:r w:rsidR="008F2360" w:rsidRPr="002261B9">
        <w:rPr>
          <w:lang w:val="es-ES"/>
        </w:rPr>
        <w:t>n algunos casos, se han usado para consumo humano y para fines agrícolas</w:t>
      </w:r>
      <w:r w:rsidR="004D5B0D" w:rsidRPr="002261B9">
        <w:rPr>
          <w:lang w:val="es-ES"/>
        </w:rPr>
        <w:t xml:space="preserve">. </w:t>
      </w:r>
      <w:r w:rsidR="00933E33" w:rsidRPr="002261B9">
        <w:rPr>
          <w:lang w:val="es-ES"/>
        </w:rPr>
        <w:t>En lugares donde se ha contaminado el agua potable</w:t>
      </w:r>
      <w:r w:rsidR="004D5B0D" w:rsidRPr="002261B9">
        <w:rPr>
          <w:lang w:val="es-ES"/>
        </w:rPr>
        <w:t xml:space="preserve">, </w:t>
      </w:r>
      <w:r w:rsidR="00933E33" w:rsidRPr="002261B9">
        <w:rPr>
          <w:lang w:val="es-ES"/>
        </w:rPr>
        <w:t>se ha proporcionado una fuente alternativa</w:t>
      </w:r>
      <w:r w:rsidR="004D5B0D" w:rsidRPr="002261B9">
        <w:rPr>
          <w:lang w:val="es-ES"/>
        </w:rPr>
        <w:t xml:space="preserve">. </w:t>
      </w:r>
      <w:r w:rsidR="00933E33" w:rsidRPr="002261B9">
        <w:rPr>
          <w:lang w:val="es-ES"/>
        </w:rPr>
        <w:t>Algunas actividades agrícolas se han visto afectadas</w:t>
      </w:r>
      <w:r w:rsidR="004D5B0D" w:rsidRPr="002261B9">
        <w:rPr>
          <w:lang w:val="es-ES"/>
        </w:rPr>
        <w:t xml:space="preserve">, </w:t>
      </w:r>
      <w:r w:rsidR="00933E33" w:rsidRPr="002261B9">
        <w:rPr>
          <w:lang w:val="es-ES"/>
        </w:rPr>
        <w:t xml:space="preserve">por ejemplo, los huertos y la producción de aves y huevos en pequeña escala, donde el </w:t>
      </w:r>
      <w:r w:rsidR="004D5B0D" w:rsidRPr="002261B9">
        <w:rPr>
          <w:lang w:val="es-ES"/>
        </w:rPr>
        <w:t>PFOA ha contamina</w:t>
      </w:r>
      <w:r w:rsidR="00933E33" w:rsidRPr="002261B9">
        <w:rPr>
          <w:lang w:val="es-ES"/>
        </w:rPr>
        <w:t>do el agua que antes se usaba para esos fines</w:t>
      </w:r>
      <w:r w:rsidR="004D5B0D" w:rsidRPr="002261B9">
        <w:rPr>
          <w:lang w:val="es-ES"/>
        </w:rPr>
        <w:t xml:space="preserve">. </w:t>
      </w:r>
      <w:r w:rsidR="00934533" w:rsidRPr="002261B9">
        <w:rPr>
          <w:lang w:val="es-ES"/>
        </w:rPr>
        <w:t>E</w:t>
      </w:r>
      <w:r w:rsidR="00933E33" w:rsidRPr="002261B9">
        <w:rPr>
          <w:lang w:val="es-ES"/>
        </w:rPr>
        <w:t>l estigma de ser un entorno contaminado ha hecho que el valor de los bienes raíces y las empresas disminuya y que algunos propietarios de tierras y negocios hayan perdido ingresos</w:t>
      </w:r>
      <w:r w:rsidR="00934533" w:rsidRPr="002261B9">
        <w:rPr>
          <w:lang w:val="es-ES"/>
        </w:rPr>
        <w:t>.</w:t>
      </w:r>
      <w:r w:rsidR="004D5B0D" w:rsidRPr="002261B9">
        <w:rPr>
          <w:lang w:val="es-ES"/>
        </w:rPr>
        <w:t xml:space="preserve"> </w:t>
      </w:r>
      <w:r w:rsidR="00934533" w:rsidRPr="002261B9">
        <w:rPr>
          <w:lang w:val="es-ES"/>
        </w:rPr>
        <w:t>Ello a su</w:t>
      </w:r>
      <w:r w:rsidR="0043051C" w:rsidRPr="002261B9">
        <w:rPr>
          <w:lang w:val="es-ES"/>
        </w:rPr>
        <w:t xml:space="preserve"> vez</w:t>
      </w:r>
      <w:r w:rsidR="00934533" w:rsidRPr="002261B9">
        <w:rPr>
          <w:lang w:val="es-ES"/>
        </w:rPr>
        <w:t xml:space="preserve"> ha ocasionado niveles de estrés y ansiedad en las comunidades afectadas, que se ven agravados por la incertidumbre en relación con las consecuencias para los residentes en materia de salud. </w:t>
      </w:r>
      <w:r w:rsidR="00D654AE" w:rsidRPr="002261B9">
        <w:rPr>
          <w:lang w:val="es-ES"/>
        </w:rPr>
        <w:t xml:space="preserve">Si bien los efectos en </w:t>
      </w:r>
      <w:r w:rsidR="004D5B0D" w:rsidRPr="002261B9">
        <w:rPr>
          <w:lang w:val="es-ES"/>
        </w:rPr>
        <w:t>Australia</w:t>
      </w:r>
      <w:r w:rsidR="00D654AE" w:rsidRPr="002261B9">
        <w:rPr>
          <w:lang w:val="es-ES"/>
        </w:rPr>
        <w:t xml:space="preserve"> obedecen, en gran medida, al uso h</w:t>
      </w:r>
      <w:r w:rsidR="00163880" w:rsidRPr="002261B9">
        <w:rPr>
          <w:lang w:val="es-ES"/>
        </w:rPr>
        <w:t xml:space="preserve">istórico </w:t>
      </w:r>
      <w:r w:rsidR="00D654AE" w:rsidRPr="002261B9">
        <w:rPr>
          <w:lang w:val="es-ES"/>
        </w:rPr>
        <w:t xml:space="preserve">de </w:t>
      </w:r>
      <w:r w:rsidR="006A3E9B" w:rsidRPr="002261B9">
        <w:rPr>
          <w:lang w:val="es-ES"/>
        </w:rPr>
        <w:t xml:space="preserve">ESFP </w:t>
      </w:r>
      <w:r w:rsidR="00D654AE" w:rsidRPr="002261B9">
        <w:rPr>
          <w:lang w:val="es-ES"/>
        </w:rPr>
        <w:t xml:space="preserve">que contienen </w:t>
      </w:r>
      <w:r w:rsidR="004D5B0D" w:rsidRPr="002261B9">
        <w:rPr>
          <w:lang w:val="es-ES"/>
        </w:rPr>
        <w:t xml:space="preserve">PFOA, </w:t>
      </w:r>
      <w:r w:rsidR="00D654AE" w:rsidRPr="002261B9">
        <w:rPr>
          <w:lang w:val="es-ES"/>
        </w:rPr>
        <w:t>la aplicación de medidas de control dará más seguridades a las comunidades australianas de que irán reduciéndose al mínimo las posibilidad</w:t>
      </w:r>
      <w:r w:rsidR="00422DDC" w:rsidRPr="002261B9">
        <w:rPr>
          <w:lang w:val="es-ES"/>
        </w:rPr>
        <w:t>es</w:t>
      </w:r>
      <w:r w:rsidR="00D654AE" w:rsidRPr="002261B9">
        <w:rPr>
          <w:lang w:val="es-ES"/>
        </w:rPr>
        <w:t xml:space="preserve"> de contaminación actuales y futuras</w:t>
      </w:r>
      <w:r w:rsidR="004D5B0D" w:rsidRPr="002261B9">
        <w:rPr>
          <w:lang w:val="es-ES"/>
        </w:rPr>
        <w:t xml:space="preserve"> (Australia</w:t>
      </w:r>
      <w:r w:rsidR="007D0A73" w:rsidRPr="002261B9">
        <w:rPr>
          <w:lang w:val="es-ES"/>
        </w:rPr>
        <w:t>,</w:t>
      </w:r>
      <w:r w:rsidR="004D5B0D" w:rsidRPr="002261B9">
        <w:rPr>
          <w:lang w:val="es-ES"/>
        </w:rPr>
        <w:t xml:space="preserve"> 2016</w:t>
      </w:r>
      <w:r w:rsidR="00422DDC" w:rsidRPr="002261B9">
        <w:rPr>
          <w:lang w:val="es-ES"/>
        </w:rPr>
        <w:t>)</w:t>
      </w:r>
      <w:r w:rsidR="004D5B0D" w:rsidRPr="002261B9">
        <w:rPr>
          <w:lang w:val="es-ES"/>
        </w:rPr>
        <w:t>.</w:t>
      </w:r>
      <w:r w:rsidR="00180049" w:rsidRPr="002261B9">
        <w:rPr>
          <w:lang w:val="es-ES"/>
        </w:rPr>
        <w:t xml:space="preserve"> </w:t>
      </w:r>
      <w:r w:rsidR="001F48F2" w:rsidRPr="002261B9">
        <w:rPr>
          <w:lang w:val="es-ES"/>
        </w:rPr>
        <w:t>E</w:t>
      </w:r>
      <w:r w:rsidR="00180049" w:rsidRPr="002261B9">
        <w:rPr>
          <w:lang w:val="es-ES"/>
        </w:rPr>
        <w:t xml:space="preserve">n </w:t>
      </w:r>
      <w:r w:rsidR="001F48F2" w:rsidRPr="002261B9">
        <w:rPr>
          <w:lang w:val="es-ES"/>
        </w:rPr>
        <w:t>abril de</w:t>
      </w:r>
      <w:r w:rsidR="00180049" w:rsidRPr="002261B9">
        <w:rPr>
          <w:lang w:val="es-ES"/>
        </w:rPr>
        <w:t xml:space="preserve"> </w:t>
      </w:r>
      <w:r w:rsidR="00FF731F" w:rsidRPr="002261B9">
        <w:rPr>
          <w:lang w:val="es-ES"/>
        </w:rPr>
        <w:t xml:space="preserve">2017, </w:t>
      </w:r>
      <w:r w:rsidR="001F48F2" w:rsidRPr="002261B9">
        <w:rPr>
          <w:lang w:val="es-ES"/>
        </w:rPr>
        <w:t xml:space="preserve">en el aeropuerto de Brisbane se produjeron dos grandes derrames de </w:t>
      </w:r>
      <w:r w:rsidR="00FF731F" w:rsidRPr="002261B9">
        <w:rPr>
          <w:lang w:val="es-ES"/>
        </w:rPr>
        <w:t>PFOA (22</w:t>
      </w:r>
      <w:r w:rsidR="001F48F2" w:rsidRPr="002261B9">
        <w:rPr>
          <w:lang w:val="es-ES"/>
        </w:rPr>
        <w:t>.</w:t>
      </w:r>
      <w:r w:rsidR="00FF731F" w:rsidRPr="002261B9">
        <w:rPr>
          <w:lang w:val="es-ES"/>
        </w:rPr>
        <w:t xml:space="preserve">000 </w:t>
      </w:r>
      <w:r w:rsidR="001F48F2" w:rsidRPr="002261B9">
        <w:rPr>
          <w:lang w:val="es-ES"/>
        </w:rPr>
        <w:t>y</w:t>
      </w:r>
      <w:r w:rsidR="00506E3A" w:rsidRPr="002261B9">
        <w:rPr>
          <w:lang w:val="es-ES"/>
        </w:rPr>
        <w:t> </w:t>
      </w:r>
      <w:r w:rsidR="00FF731F" w:rsidRPr="002261B9">
        <w:rPr>
          <w:lang w:val="es-ES"/>
        </w:rPr>
        <w:t>5</w:t>
      </w:r>
      <w:r w:rsidR="001F48F2" w:rsidRPr="002261B9">
        <w:rPr>
          <w:lang w:val="es-ES"/>
        </w:rPr>
        <w:t>.</w:t>
      </w:r>
      <w:r w:rsidR="00FF731F" w:rsidRPr="002261B9">
        <w:rPr>
          <w:lang w:val="es-ES"/>
        </w:rPr>
        <w:t>000 litr</w:t>
      </w:r>
      <w:r w:rsidR="001F48F2" w:rsidRPr="002261B9">
        <w:rPr>
          <w:lang w:val="es-ES"/>
        </w:rPr>
        <w:t>o</w:t>
      </w:r>
      <w:r w:rsidR="00FF731F" w:rsidRPr="002261B9">
        <w:rPr>
          <w:lang w:val="es-ES"/>
        </w:rPr>
        <w:t xml:space="preserve">s) </w:t>
      </w:r>
      <w:r w:rsidR="001F48F2" w:rsidRPr="002261B9">
        <w:rPr>
          <w:lang w:val="es-ES"/>
        </w:rPr>
        <w:t>que contenían</w:t>
      </w:r>
      <w:r w:rsidR="00FF731F" w:rsidRPr="002261B9">
        <w:rPr>
          <w:lang w:val="es-ES"/>
        </w:rPr>
        <w:t xml:space="preserve"> </w:t>
      </w:r>
      <w:r w:rsidR="006A3E9B" w:rsidRPr="002261B9">
        <w:rPr>
          <w:lang w:val="es-ES"/>
        </w:rPr>
        <w:t>EAFP</w:t>
      </w:r>
      <w:r w:rsidR="001F48F2" w:rsidRPr="002261B9">
        <w:rPr>
          <w:lang w:val="es-ES"/>
        </w:rPr>
        <w:t>, que obligaron al gobierno a emitir alertas para evitar el consumo de pescado de los cursos de agua de la zona</w:t>
      </w:r>
      <w:r w:rsidR="00FF731F" w:rsidRPr="002261B9">
        <w:rPr>
          <w:lang w:val="es-ES"/>
        </w:rPr>
        <w:t xml:space="preserve"> (</w:t>
      </w:r>
      <w:r w:rsidR="00E10461" w:rsidRPr="002261B9">
        <w:rPr>
          <w:lang w:val="es-ES"/>
        </w:rPr>
        <w:t>Observaciones de la Red de Eliminación de COP</w:t>
      </w:r>
      <w:r w:rsidR="00934533" w:rsidRPr="002261B9">
        <w:rPr>
          <w:lang w:val="es-ES"/>
        </w:rPr>
        <w:t xml:space="preserve"> </w:t>
      </w:r>
      <w:r w:rsidR="0013156F" w:rsidRPr="002261B9">
        <w:rPr>
          <w:lang w:val="es-ES"/>
        </w:rPr>
        <w:t xml:space="preserve">sobre el segundo proyecto de evaluación de la gestión de los </w:t>
      </w:r>
      <w:r w:rsidR="00A63836" w:rsidRPr="002261B9">
        <w:rPr>
          <w:lang w:val="es-ES"/>
        </w:rPr>
        <w:t>riesgos)</w:t>
      </w:r>
      <w:r w:rsidR="00FF731F" w:rsidRPr="002261B9">
        <w:rPr>
          <w:lang w:val="es-ES"/>
        </w:rPr>
        <w:t>.</w:t>
      </w:r>
      <w:r w:rsidR="00F83840" w:rsidRPr="002261B9">
        <w:rPr>
          <w:lang w:val="es-ES"/>
        </w:rPr>
        <w:t xml:space="preserve"> </w:t>
      </w:r>
      <w:r w:rsidR="001F48F2" w:rsidRPr="002261B9">
        <w:rPr>
          <w:lang w:val="es-ES"/>
        </w:rPr>
        <w:t xml:space="preserve">El </w:t>
      </w:r>
      <w:r w:rsidR="00422DDC" w:rsidRPr="002261B9">
        <w:rPr>
          <w:lang w:val="es-ES"/>
        </w:rPr>
        <w:t>G</w:t>
      </w:r>
      <w:r w:rsidR="001F48F2" w:rsidRPr="002261B9">
        <w:rPr>
          <w:lang w:val="es-ES"/>
        </w:rPr>
        <w:t xml:space="preserve">obierno federal de Australia está elaborando una respuesta a nivel de todo el </w:t>
      </w:r>
      <w:r w:rsidR="00422DDC" w:rsidRPr="002261B9">
        <w:rPr>
          <w:lang w:val="es-ES"/>
        </w:rPr>
        <w:t>G</w:t>
      </w:r>
      <w:r w:rsidR="001F48F2" w:rsidRPr="002261B9">
        <w:rPr>
          <w:lang w:val="es-ES"/>
        </w:rPr>
        <w:t xml:space="preserve">obierno y también está trabajando en colaboración con los estados y territorios australianos con miras a la gestión y atención inmediata de la contaminación con </w:t>
      </w:r>
      <w:r w:rsidR="00F83840" w:rsidRPr="002261B9">
        <w:rPr>
          <w:lang w:val="es-ES"/>
        </w:rPr>
        <w:t>PFAS (</w:t>
      </w:r>
      <w:r w:rsidR="007F0459" w:rsidRPr="002261B9">
        <w:rPr>
          <w:lang w:val="es-ES"/>
        </w:rPr>
        <w:t>Observaciones</w:t>
      </w:r>
      <w:r w:rsidR="003C558F" w:rsidRPr="002261B9">
        <w:rPr>
          <w:lang w:val="es-ES"/>
        </w:rPr>
        <w:t xml:space="preserve"> de</w:t>
      </w:r>
      <w:r w:rsidR="00422DDC" w:rsidRPr="002261B9">
        <w:rPr>
          <w:lang w:val="es-ES"/>
        </w:rPr>
        <w:t xml:space="preserve"> Australia </w:t>
      </w:r>
      <w:r w:rsidR="0013156F" w:rsidRPr="002261B9">
        <w:rPr>
          <w:lang w:val="es-ES"/>
        </w:rPr>
        <w:t xml:space="preserve">sobre el segundo proyecto de </w:t>
      </w:r>
      <w:r w:rsidR="001E397C">
        <w:rPr>
          <w:lang w:val="es-ES"/>
        </w:rPr>
        <w:t>evaluación de la gestión de los </w:t>
      </w:r>
      <w:r w:rsidR="0013156F" w:rsidRPr="002261B9">
        <w:rPr>
          <w:lang w:val="es-ES"/>
        </w:rPr>
        <w:t>riesgos</w:t>
      </w:r>
      <w:r w:rsidR="00F83840" w:rsidRPr="002261B9">
        <w:rPr>
          <w:lang w:val="es-ES"/>
        </w:rPr>
        <w:t>).</w:t>
      </w:r>
    </w:p>
    <w:p w14:paraId="7D5FED14" w14:textId="40C8187C" w:rsidR="00DD463B" w:rsidRPr="002261B9" w:rsidRDefault="005037D6" w:rsidP="00F45508">
      <w:pPr>
        <w:pStyle w:val="Paralevel1"/>
        <w:numPr>
          <w:ilvl w:val="0"/>
          <w:numId w:val="23"/>
        </w:numPr>
        <w:tabs>
          <w:tab w:val="clear" w:pos="0"/>
        </w:tabs>
        <w:ind w:left="1247" w:firstLine="0"/>
        <w:rPr>
          <w:lang w:val="es-ES"/>
        </w:rPr>
      </w:pPr>
      <w:r w:rsidRPr="002261B9">
        <w:rPr>
          <w:lang w:val="es-ES"/>
        </w:rPr>
        <w:t xml:space="preserve">De continuar usándose el </w:t>
      </w:r>
      <w:r w:rsidR="00DD463B" w:rsidRPr="002261B9">
        <w:rPr>
          <w:lang w:val="es-ES"/>
        </w:rPr>
        <w:t xml:space="preserve">PFOA </w:t>
      </w:r>
      <w:r w:rsidRPr="002261B9">
        <w:rPr>
          <w:lang w:val="es-ES"/>
        </w:rPr>
        <w:t>e</w:t>
      </w:r>
      <w:r w:rsidR="00DD463B" w:rsidRPr="002261B9">
        <w:rPr>
          <w:lang w:val="es-ES"/>
        </w:rPr>
        <w:t xml:space="preserve">n </w:t>
      </w:r>
      <w:r w:rsidRPr="002261B9">
        <w:rPr>
          <w:lang w:val="es-ES"/>
        </w:rPr>
        <w:t>espumas ignífugas se seguirían contaminando las aguas subterráneas y el suelo en los alrededores de los campamentos militares y los aeropuertos de todo el mundo</w:t>
      </w:r>
      <w:r w:rsidR="00DD463B" w:rsidRPr="002261B9">
        <w:rPr>
          <w:lang w:val="es-ES"/>
        </w:rPr>
        <w:t xml:space="preserve">, </w:t>
      </w:r>
      <w:r w:rsidRPr="002261B9">
        <w:rPr>
          <w:lang w:val="es-ES"/>
        </w:rPr>
        <w:t>lo que acarrearía costos de descontaminación, indemnización y legales, además de daños a la salud humana y al medio ambiente</w:t>
      </w:r>
      <w:r w:rsidR="00DD463B" w:rsidRPr="002261B9">
        <w:rPr>
          <w:lang w:val="es-ES"/>
        </w:rPr>
        <w:t xml:space="preserve"> (Wang </w:t>
      </w:r>
      <w:r w:rsidR="003134EC" w:rsidRPr="002261B9">
        <w:rPr>
          <w:lang w:val="es-ES"/>
        </w:rPr>
        <w:t>y otros</w:t>
      </w:r>
      <w:r w:rsidR="007D0A73" w:rsidRPr="002261B9">
        <w:rPr>
          <w:lang w:val="es-ES"/>
        </w:rPr>
        <w:t>,</w:t>
      </w:r>
      <w:r w:rsidR="00DD463B" w:rsidRPr="002261B9">
        <w:rPr>
          <w:lang w:val="es-ES"/>
        </w:rPr>
        <w:t xml:space="preserve"> 2017; LaSalle</w:t>
      </w:r>
      <w:r w:rsidR="007D0A73" w:rsidRPr="002261B9">
        <w:rPr>
          <w:lang w:val="es-ES"/>
        </w:rPr>
        <w:t>,</w:t>
      </w:r>
      <w:r w:rsidR="00DD463B" w:rsidRPr="002261B9">
        <w:rPr>
          <w:lang w:val="es-ES"/>
        </w:rPr>
        <w:t xml:space="preserve"> 2016; The Senate Foreign Affairs, Defence and Trade</w:t>
      </w:r>
      <w:r w:rsidR="007D0A73" w:rsidRPr="002261B9">
        <w:rPr>
          <w:lang w:val="es-ES"/>
        </w:rPr>
        <w:t>,</w:t>
      </w:r>
      <w:r w:rsidR="00DD463B" w:rsidRPr="002261B9">
        <w:rPr>
          <w:lang w:val="es-ES"/>
        </w:rPr>
        <w:t xml:space="preserve"> 2016; Air Services Australia</w:t>
      </w:r>
      <w:r w:rsidR="007D0A73" w:rsidRPr="002261B9">
        <w:rPr>
          <w:lang w:val="es-ES"/>
        </w:rPr>
        <w:t>,</w:t>
      </w:r>
      <w:r w:rsidR="00DD463B" w:rsidRPr="002261B9">
        <w:rPr>
          <w:lang w:val="es-ES"/>
        </w:rPr>
        <w:t xml:space="preserve"> 2016; Filipovic y otros</w:t>
      </w:r>
      <w:r w:rsidR="007D0A73" w:rsidRPr="002261B9">
        <w:rPr>
          <w:lang w:val="es-ES"/>
        </w:rPr>
        <w:t>.</w:t>
      </w:r>
      <w:r w:rsidR="00DD463B" w:rsidRPr="002261B9">
        <w:rPr>
          <w:lang w:val="es-ES"/>
        </w:rPr>
        <w:t xml:space="preserve"> 2015; Houtz y otros</w:t>
      </w:r>
      <w:r w:rsidR="007D0A73" w:rsidRPr="002261B9">
        <w:rPr>
          <w:lang w:val="es-ES"/>
        </w:rPr>
        <w:t>,</w:t>
      </w:r>
      <w:r w:rsidR="00DD463B" w:rsidRPr="002261B9">
        <w:rPr>
          <w:lang w:val="es-ES"/>
        </w:rPr>
        <w:t>2016</w:t>
      </w:r>
      <w:r w:rsidR="00422DDC" w:rsidRPr="002261B9">
        <w:rPr>
          <w:lang w:val="es-ES"/>
        </w:rPr>
        <w:t>)</w:t>
      </w:r>
      <w:r w:rsidR="00DD463B" w:rsidRPr="002261B9">
        <w:rPr>
          <w:lang w:val="es-ES"/>
        </w:rPr>
        <w:t xml:space="preserve">. </w:t>
      </w:r>
      <w:r w:rsidRPr="002261B9">
        <w:rPr>
          <w:lang w:val="es-ES"/>
        </w:rPr>
        <w:t xml:space="preserve">Cálculos recientes de los costos totales de limpieza de las aguas subterráneas contaminadas con </w:t>
      </w:r>
      <w:r w:rsidR="00DD463B" w:rsidRPr="002261B9">
        <w:rPr>
          <w:lang w:val="es-ES"/>
        </w:rPr>
        <w:t xml:space="preserve">PFAS </w:t>
      </w:r>
      <w:r w:rsidRPr="002261B9">
        <w:rPr>
          <w:lang w:val="es-ES"/>
        </w:rPr>
        <w:t xml:space="preserve">alrededor de </w:t>
      </w:r>
      <w:r w:rsidR="004E437C" w:rsidRPr="002261B9">
        <w:rPr>
          <w:lang w:val="es-ES"/>
        </w:rPr>
        <w:t>lugares donde se han extinguido</w:t>
      </w:r>
      <w:r w:rsidRPr="002261B9">
        <w:rPr>
          <w:lang w:val="es-ES"/>
        </w:rPr>
        <w:t xml:space="preserve"> incendios en </w:t>
      </w:r>
      <w:r w:rsidR="003F3A09" w:rsidRPr="002261B9">
        <w:rPr>
          <w:lang w:val="es-ES"/>
        </w:rPr>
        <w:t>Noruega</w:t>
      </w:r>
      <w:r w:rsidR="00DD463B" w:rsidRPr="002261B9">
        <w:rPr>
          <w:lang w:val="es-ES"/>
        </w:rPr>
        <w:t xml:space="preserve"> </w:t>
      </w:r>
      <w:r w:rsidRPr="002261B9">
        <w:rPr>
          <w:lang w:val="es-ES"/>
        </w:rPr>
        <w:t xml:space="preserve">demuestran que hacen falta de </w:t>
      </w:r>
      <w:r w:rsidR="00DD463B" w:rsidRPr="002261B9">
        <w:rPr>
          <w:lang w:val="es-ES"/>
        </w:rPr>
        <w:t>3</w:t>
      </w:r>
      <w:r w:rsidRPr="002261B9">
        <w:rPr>
          <w:lang w:val="es-ES"/>
        </w:rPr>
        <w:t>,</w:t>
      </w:r>
      <w:r w:rsidR="00DD463B" w:rsidRPr="002261B9">
        <w:rPr>
          <w:lang w:val="es-ES"/>
        </w:rPr>
        <w:t>5</w:t>
      </w:r>
      <w:r w:rsidRPr="002261B9">
        <w:rPr>
          <w:lang w:val="es-ES"/>
        </w:rPr>
        <w:t xml:space="preserve"> </w:t>
      </w:r>
      <w:r w:rsidRPr="002261B9">
        <w:rPr>
          <w:lang w:val="es-ES"/>
        </w:rPr>
        <w:lastRenderedPageBreak/>
        <w:t xml:space="preserve">a </w:t>
      </w:r>
      <w:r w:rsidR="00DD463B" w:rsidRPr="002261B9">
        <w:rPr>
          <w:lang w:val="es-ES"/>
        </w:rPr>
        <w:t>5</w:t>
      </w:r>
      <w:r w:rsidRPr="002261B9">
        <w:rPr>
          <w:lang w:val="es-ES"/>
        </w:rPr>
        <w:t>,</w:t>
      </w:r>
      <w:r w:rsidR="00DD463B" w:rsidRPr="002261B9">
        <w:rPr>
          <w:lang w:val="es-ES"/>
        </w:rPr>
        <w:t>5 mill</w:t>
      </w:r>
      <w:r w:rsidRPr="002261B9">
        <w:rPr>
          <w:lang w:val="es-ES"/>
        </w:rPr>
        <w:t xml:space="preserve">ones de </w:t>
      </w:r>
      <w:r w:rsidR="00DD463B" w:rsidRPr="002261B9">
        <w:rPr>
          <w:lang w:val="es-ES"/>
        </w:rPr>
        <w:t xml:space="preserve">euros </w:t>
      </w:r>
      <w:r w:rsidRPr="002261B9">
        <w:rPr>
          <w:lang w:val="es-ES"/>
        </w:rPr>
        <w:t>por cada lugar de entrenamiento</w:t>
      </w:r>
      <w:r w:rsidR="00DD463B" w:rsidRPr="002261B9">
        <w:rPr>
          <w:lang w:val="es-ES"/>
        </w:rPr>
        <w:t xml:space="preserve">. </w:t>
      </w:r>
      <w:r w:rsidR="001F48F2" w:rsidRPr="002261B9">
        <w:rPr>
          <w:lang w:val="es-ES"/>
        </w:rPr>
        <w:t>Estas cifras incluyen las inversiones en los sistemas de limpieza de la</w:t>
      </w:r>
      <w:r w:rsidRPr="002261B9">
        <w:rPr>
          <w:lang w:val="es-ES"/>
        </w:rPr>
        <w:t>s</w:t>
      </w:r>
      <w:r w:rsidR="001F48F2" w:rsidRPr="002261B9">
        <w:rPr>
          <w:lang w:val="es-ES"/>
        </w:rPr>
        <w:t xml:space="preserve"> aguas subterráneas necesarios en algunos aeropuertos noruegos contaminados con los PFAS procedentes de las espumas ignífugas y el funcionamiento de esos sistemas</w:t>
      </w:r>
      <w:r w:rsidR="00DD463B" w:rsidRPr="002261B9">
        <w:rPr>
          <w:lang w:val="es-ES"/>
        </w:rPr>
        <w:t xml:space="preserve">. </w:t>
      </w:r>
      <w:r w:rsidRPr="002261B9">
        <w:rPr>
          <w:lang w:val="es-ES"/>
        </w:rPr>
        <w:t xml:space="preserve">Los análisis químicos demuestran que el </w:t>
      </w:r>
      <w:r w:rsidR="00DD463B" w:rsidRPr="002261B9">
        <w:rPr>
          <w:lang w:val="es-ES"/>
        </w:rPr>
        <w:t>PFOA migra</w:t>
      </w:r>
      <w:r w:rsidRPr="002261B9">
        <w:rPr>
          <w:lang w:val="es-ES"/>
        </w:rPr>
        <w:t xml:space="preserve"> hacia las aguas subterráneas en cantidades mayores que el </w:t>
      </w:r>
      <w:r w:rsidR="00DD463B" w:rsidRPr="002261B9">
        <w:rPr>
          <w:lang w:val="es-ES"/>
        </w:rPr>
        <w:t>PFOS (</w:t>
      </w:r>
      <w:r w:rsidR="007F0459" w:rsidRPr="002261B9">
        <w:rPr>
          <w:lang w:val="es-ES"/>
        </w:rPr>
        <w:t>Observaciones</w:t>
      </w:r>
      <w:r w:rsidR="00147F33" w:rsidRPr="002261B9">
        <w:rPr>
          <w:lang w:val="es-ES"/>
        </w:rPr>
        <w:t xml:space="preserve"> de </w:t>
      </w:r>
      <w:r w:rsidR="003F3A09" w:rsidRPr="002261B9">
        <w:rPr>
          <w:lang w:val="es-ES"/>
        </w:rPr>
        <w:t>Noruega</w:t>
      </w:r>
      <w:r w:rsidR="00DD463B" w:rsidRPr="002261B9">
        <w:rPr>
          <w:lang w:val="es-ES"/>
        </w:rPr>
        <w:t xml:space="preserve"> </w:t>
      </w:r>
      <w:r w:rsidR="00147F33" w:rsidRPr="002261B9">
        <w:rPr>
          <w:lang w:val="es-ES"/>
        </w:rPr>
        <w:t xml:space="preserve">sobre el tercer proyecto de evaluación de la gestión de los </w:t>
      </w:r>
      <w:r w:rsidR="00A63836" w:rsidRPr="002261B9">
        <w:rPr>
          <w:lang w:val="es-ES"/>
        </w:rPr>
        <w:t>riesgos)</w:t>
      </w:r>
      <w:r w:rsidR="00DD463B" w:rsidRPr="002261B9">
        <w:rPr>
          <w:lang w:val="es-ES"/>
        </w:rPr>
        <w:t xml:space="preserve">. </w:t>
      </w:r>
    </w:p>
    <w:p w14:paraId="641701D6" w14:textId="5877F3AB" w:rsidR="004B170B" w:rsidRPr="002261B9" w:rsidRDefault="00E62EF8" w:rsidP="00F45508">
      <w:pPr>
        <w:pStyle w:val="Paralevel1"/>
        <w:numPr>
          <w:ilvl w:val="0"/>
          <w:numId w:val="23"/>
        </w:numPr>
        <w:tabs>
          <w:tab w:val="clear" w:pos="0"/>
        </w:tabs>
        <w:ind w:left="1247" w:firstLine="0"/>
        <w:rPr>
          <w:lang w:val="es-ES"/>
        </w:rPr>
      </w:pPr>
      <w:r w:rsidRPr="002261B9">
        <w:rPr>
          <w:lang w:val="es-ES"/>
        </w:rPr>
        <w:t>E</w:t>
      </w:r>
      <w:r w:rsidR="004B170B" w:rsidRPr="002261B9">
        <w:rPr>
          <w:lang w:val="es-ES"/>
        </w:rPr>
        <w:t xml:space="preserve">n 2005 </w:t>
      </w:r>
      <w:r w:rsidRPr="002261B9">
        <w:rPr>
          <w:lang w:val="es-ES"/>
        </w:rPr>
        <w:t xml:space="preserve">se habían usado </w:t>
      </w:r>
      <w:r w:rsidR="004B170B" w:rsidRPr="002261B9">
        <w:rPr>
          <w:lang w:val="es-ES"/>
        </w:rPr>
        <w:t xml:space="preserve">PFAS </w:t>
      </w:r>
      <w:r w:rsidRPr="002261B9">
        <w:rPr>
          <w:lang w:val="es-ES"/>
        </w:rPr>
        <w:t xml:space="preserve">que contenían espumas ignífugas en el aeropuerto alemán de </w:t>
      </w:r>
      <w:r w:rsidR="004B170B" w:rsidRPr="002261B9">
        <w:rPr>
          <w:lang w:val="es-ES"/>
        </w:rPr>
        <w:t xml:space="preserve">Düsseldorf </w:t>
      </w:r>
      <w:r w:rsidRPr="002261B9">
        <w:rPr>
          <w:lang w:val="es-ES"/>
        </w:rPr>
        <w:t>a raíz de un accidente aéreo y durante los entrenamientos sobre extinción de incendios</w:t>
      </w:r>
      <w:r w:rsidR="004B170B" w:rsidRPr="002261B9">
        <w:rPr>
          <w:lang w:val="es-ES"/>
        </w:rPr>
        <w:t xml:space="preserve">. </w:t>
      </w:r>
      <w:r w:rsidRPr="002261B9">
        <w:rPr>
          <w:lang w:val="es-ES"/>
        </w:rPr>
        <w:t xml:space="preserve">Los </w:t>
      </w:r>
      <w:r w:rsidR="004B170B" w:rsidRPr="002261B9">
        <w:rPr>
          <w:lang w:val="es-ES"/>
        </w:rPr>
        <w:t>PFAS (</w:t>
      </w:r>
      <w:r w:rsidRPr="002261B9">
        <w:rPr>
          <w:lang w:val="es-ES"/>
        </w:rPr>
        <w:t xml:space="preserve">también el </w:t>
      </w:r>
      <w:r w:rsidR="004B170B" w:rsidRPr="002261B9">
        <w:rPr>
          <w:lang w:val="es-ES"/>
        </w:rPr>
        <w:t>PFOA), contamina</w:t>
      </w:r>
      <w:r w:rsidRPr="002261B9">
        <w:rPr>
          <w:lang w:val="es-ES"/>
        </w:rPr>
        <w:t>ron el suelo y se lixiviaron en las aguas subterráneas</w:t>
      </w:r>
      <w:r w:rsidR="004B170B" w:rsidRPr="002261B9">
        <w:rPr>
          <w:lang w:val="es-ES"/>
        </w:rPr>
        <w:t xml:space="preserve">. </w:t>
      </w:r>
      <w:r w:rsidRPr="002261B9">
        <w:rPr>
          <w:lang w:val="es-ES"/>
        </w:rPr>
        <w:t xml:space="preserve">Las aguas subterráneas contaminadas con </w:t>
      </w:r>
      <w:r w:rsidR="004B170B" w:rsidRPr="002261B9">
        <w:rPr>
          <w:lang w:val="es-ES"/>
        </w:rPr>
        <w:t>PFAS conta</w:t>
      </w:r>
      <w:r w:rsidRPr="002261B9">
        <w:rPr>
          <w:lang w:val="es-ES"/>
        </w:rPr>
        <w:t>minaron a su vez dos lagos cercanos, que están ahora cerrados al público</w:t>
      </w:r>
      <w:r w:rsidR="00422DDC" w:rsidRPr="002261B9">
        <w:rPr>
          <w:lang w:val="es-ES"/>
        </w:rPr>
        <w:t>;</w:t>
      </w:r>
      <w:r w:rsidR="004B170B" w:rsidRPr="002261B9">
        <w:rPr>
          <w:lang w:val="es-ES"/>
        </w:rPr>
        <w:t xml:space="preserve"> </w:t>
      </w:r>
      <w:r w:rsidR="00422DDC" w:rsidRPr="002261B9">
        <w:rPr>
          <w:lang w:val="es-ES"/>
        </w:rPr>
        <w:t xml:space="preserve">se prohibió también </w:t>
      </w:r>
      <w:r w:rsidRPr="002261B9">
        <w:rPr>
          <w:lang w:val="es-ES"/>
        </w:rPr>
        <w:t>el consumo de pescado</w:t>
      </w:r>
      <w:r w:rsidR="004B170B" w:rsidRPr="002261B9">
        <w:rPr>
          <w:lang w:val="es-ES"/>
        </w:rPr>
        <w:t xml:space="preserve">. </w:t>
      </w:r>
      <w:r w:rsidRPr="002261B9">
        <w:rPr>
          <w:lang w:val="es-ES"/>
        </w:rPr>
        <w:t>E</w:t>
      </w:r>
      <w:r w:rsidR="004B170B" w:rsidRPr="002261B9">
        <w:rPr>
          <w:lang w:val="es-ES"/>
        </w:rPr>
        <w:t>n 2007</w:t>
      </w:r>
      <w:r w:rsidRPr="002261B9">
        <w:rPr>
          <w:lang w:val="es-ES"/>
        </w:rPr>
        <w:t xml:space="preserve">, la autoridad local para el medio ambiente de </w:t>
      </w:r>
      <w:r w:rsidR="004B170B" w:rsidRPr="002261B9">
        <w:rPr>
          <w:lang w:val="es-ES"/>
        </w:rPr>
        <w:t xml:space="preserve">Düsseldorf </w:t>
      </w:r>
      <w:r w:rsidRPr="002261B9">
        <w:rPr>
          <w:lang w:val="es-ES"/>
        </w:rPr>
        <w:t xml:space="preserve">encontró altos niveles de </w:t>
      </w:r>
      <w:r w:rsidR="004B170B" w:rsidRPr="002261B9">
        <w:rPr>
          <w:lang w:val="es-ES"/>
        </w:rPr>
        <w:t xml:space="preserve">PFAS </w:t>
      </w:r>
      <w:r w:rsidRPr="002261B9">
        <w:rPr>
          <w:lang w:val="es-ES"/>
        </w:rPr>
        <w:t xml:space="preserve">en el norte de </w:t>
      </w:r>
      <w:r w:rsidR="004B170B" w:rsidRPr="002261B9">
        <w:rPr>
          <w:lang w:val="es-ES"/>
        </w:rPr>
        <w:t xml:space="preserve">Düsseldorf. </w:t>
      </w:r>
      <w:r w:rsidRPr="002261B9">
        <w:rPr>
          <w:lang w:val="es-ES"/>
        </w:rPr>
        <w:t>En los años siguientes, se determin</w:t>
      </w:r>
      <w:r w:rsidR="00422DDC" w:rsidRPr="002261B9">
        <w:rPr>
          <w:lang w:val="es-ES"/>
        </w:rPr>
        <w:t>ó</w:t>
      </w:r>
      <w:r w:rsidRPr="002261B9">
        <w:rPr>
          <w:lang w:val="es-ES"/>
        </w:rPr>
        <w:t xml:space="preserve"> que el aeropuerto</w:t>
      </w:r>
      <w:r w:rsidR="004B170B" w:rsidRPr="002261B9">
        <w:rPr>
          <w:lang w:val="es-ES"/>
        </w:rPr>
        <w:t xml:space="preserve"> </w:t>
      </w:r>
      <w:r w:rsidR="00422DDC" w:rsidRPr="002261B9">
        <w:rPr>
          <w:lang w:val="es-ES"/>
        </w:rPr>
        <w:t xml:space="preserve">de </w:t>
      </w:r>
      <w:r w:rsidR="004B170B" w:rsidRPr="002261B9">
        <w:rPr>
          <w:lang w:val="es-ES"/>
        </w:rPr>
        <w:t xml:space="preserve">Düsseldorf </w:t>
      </w:r>
      <w:r w:rsidRPr="002261B9">
        <w:rPr>
          <w:lang w:val="es-ES"/>
        </w:rPr>
        <w:t xml:space="preserve">era la principal fuente de </w:t>
      </w:r>
      <w:r w:rsidR="004B170B" w:rsidRPr="002261B9">
        <w:rPr>
          <w:lang w:val="es-ES"/>
        </w:rPr>
        <w:t xml:space="preserve">PFAS. </w:t>
      </w:r>
      <w:r w:rsidRPr="002261B9">
        <w:rPr>
          <w:lang w:val="es-ES"/>
        </w:rPr>
        <w:t>La descontaminación de las aguas subterráneas demorará años o incluso decenios</w:t>
      </w:r>
      <w:r w:rsidR="004B170B" w:rsidRPr="002261B9">
        <w:rPr>
          <w:lang w:val="es-ES"/>
        </w:rPr>
        <w:t xml:space="preserve">. </w:t>
      </w:r>
      <w:r w:rsidRPr="002261B9">
        <w:rPr>
          <w:lang w:val="es-ES"/>
        </w:rPr>
        <w:t xml:space="preserve">Además, se excavaron y eliminaron unas </w:t>
      </w:r>
      <w:r w:rsidR="004B170B" w:rsidRPr="002261B9">
        <w:rPr>
          <w:lang w:val="es-ES"/>
        </w:rPr>
        <w:t>3</w:t>
      </w:r>
      <w:r w:rsidR="00CB21B7" w:rsidRPr="002261B9">
        <w:rPr>
          <w:lang w:val="es-ES"/>
        </w:rPr>
        <w:t>.</w:t>
      </w:r>
      <w:r w:rsidR="004B170B" w:rsidRPr="002261B9">
        <w:rPr>
          <w:lang w:val="es-ES"/>
        </w:rPr>
        <w:t>000 ton</w:t>
      </w:r>
      <w:r w:rsidRPr="002261B9">
        <w:rPr>
          <w:lang w:val="es-ES"/>
        </w:rPr>
        <w:t>eladas de suelo contaminado con</w:t>
      </w:r>
      <w:r w:rsidR="004B170B" w:rsidRPr="002261B9">
        <w:rPr>
          <w:lang w:val="es-ES"/>
        </w:rPr>
        <w:t xml:space="preserve"> PFAS</w:t>
      </w:r>
      <w:r w:rsidR="004B170B" w:rsidRPr="002261B9">
        <w:rPr>
          <w:rStyle w:val="FootnoteReference"/>
          <w:lang w:val="es-ES"/>
        </w:rPr>
        <w:footnoteReference w:id="19"/>
      </w:r>
      <w:r w:rsidRPr="002261B9">
        <w:rPr>
          <w:lang w:val="es-ES"/>
        </w:rPr>
        <w:t>.</w:t>
      </w:r>
      <w:r w:rsidR="004B170B" w:rsidRPr="002261B9">
        <w:rPr>
          <w:lang w:val="es-ES"/>
        </w:rPr>
        <w:t xml:space="preserve"> Ot</w:t>
      </w:r>
      <w:r w:rsidRPr="002261B9">
        <w:rPr>
          <w:lang w:val="es-ES"/>
        </w:rPr>
        <w:t xml:space="preserve">ros aeropuertos de Alemania tienen zonas parecidas contaminadas con </w:t>
      </w:r>
      <w:r w:rsidR="004B170B" w:rsidRPr="002261B9">
        <w:rPr>
          <w:lang w:val="es-ES"/>
        </w:rPr>
        <w:t xml:space="preserve">PFC </w:t>
      </w:r>
      <w:r w:rsidRPr="002261B9">
        <w:rPr>
          <w:lang w:val="es-ES"/>
        </w:rPr>
        <w:t xml:space="preserve">debido al uso de </w:t>
      </w:r>
      <w:r w:rsidR="006A3E9B" w:rsidRPr="002261B9">
        <w:rPr>
          <w:lang w:val="es-ES"/>
        </w:rPr>
        <w:t>EAFP</w:t>
      </w:r>
      <w:r w:rsidRPr="002261B9">
        <w:rPr>
          <w:lang w:val="es-ES"/>
        </w:rPr>
        <w:t xml:space="preserve"> con fines de entrenamiento en el pasado</w:t>
      </w:r>
      <w:r w:rsidR="004B170B" w:rsidRPr="002261B9">
        <w:rPr>
          <w:lang w:val="es-ES"/>
        </w:rPr>
        <w:t xml:space="preserve"> (</w:t>
      </w:r>
      <w:r w:rsidRPr="002261B9">
        <w:rPr>
          <w:lang w:val="es-ES"/>
        </w:rPr>
        <w:t xml:space="preserve">por ejemplo, el aeropuerto de </w:t>
      </w:r>
      <w:r w:rsidR="004B170B" w:rsidRPr="002261B9">
        <w:rPr>
          <w:lang w:val="es-ES"/>
        </w:rPr>
        <w:t>Nür</w:t>
      </w:r>
      <w:r w:rsidRPr="002261B9">
        <w:rPr>
          <w:lang w:val="es-ES"/>
        </w:rPr>
        <w:t>e</w:t>
      </w:r>
      <w:r w:rsidR="004B170B" w:rsidRPr="002261B9">
        <w:rPr>
          <w:lang w:val="es-ES"/>
        </w:rPr>
        <w:t xml:space="preserve">nberg). </w:t>
      </w:r>
      <w:r w:rsidRPr="002261B9">
        <w:rPr>
          <w:lang w:val="es-ES"/>
        </w:rPr>
        <w:t xml:space="preserve">Los costos de esas medidas de descontaminación se analizan en </w:t>
      </w:r>
      <w:r w:rsidR="00827675" w:rsidRPr="002261B9">
        <w:rPr>
          <w:lang w:val="es-ES"/>
        </w:rPr>
        <w:t>ECHA</w:t>
      </w:r>
      <w:r w:rsidR="004904E9" w:rsidRPr="002261B9">
        <w:rPr>
          <w:lang w:val="es-ES"/>
        </w:rPr>
        <w:t>,</w:t>
      </w:r>
      <w:r w:rsidR="006F57D4" w:rsidRPr="002261B9">
        <w:rPr>
          <w:lang w:val="es-ES"/>
        </w:rPr>
        <w:t xml:space="preserve"> 2</w:t>
      </w:r>
      <w:r w:rsidR="00827675" w:rsidRPr="002261B9">
        <w:rPr>
          <w:lang w:val="es-ES"/>
        </w:rPr>
        <w:t>015a</w:t>
      </w:r>
      <w:r w:rsidR="00CB21B7" w:rsidRPr="002261B9">
        <w:rPr>
          <w:lang w:val="es-ES"/>
        </w:rPr>
        <w:t>)</w:t>
      </w:r>
      <w:r w:rsidR="00827675" w:rsidRPr="002261B9">
        <w:rPr>
          <w:lang w:val="es-ES"/>
        </w:rPr>
        <w:t xml:space="preserve"> (</w:t>
      </w:r>
      <w:r w:rsidR="007F0459" w:rsidRPr="002261B9">
        <w:rPr>
          <w:lang w:val="es-ES"/>
        </w:rPr>
        <w:t>Observaciones</w:t>
      </w:r>
      <w:r w:rsidR="003C558F" w:rsidRPr="002261B9">
        <w:rPr>
          <w:lang w:val="es-ES"/>
        </w:rPr>
        <w:t xml:space="preserve"> de</w:t>
      </w:r>
      <w:r w:rsidR="00827675" w:rsidRPr="002261B9">
        <w:rPr>
          <w:lang w:val="es-ES"/>
        </w:rPr>
        <w:t xml:space="preserve"> </w:t>
      </w:r>
      <w:r w:rsidRPr="002261B9">
        <w:rPr>
          <w:lang w:val="es-ES"/>
        </w:rPr>
        <w:t>Alemania</w:t>
      </w:r>
      <w:r w:rsidR="00827675" w:rsidRPr="002261B9">
        <w:rPr>
          <w:lang w:val="es-ES"/>
        </w:rPr>
        <w:t xml:space="preserve"> </w:t>
      </w:r>
      <w:r w:rsidRPr="002261B9">
        <w:rPr>
          <w:lang w:val="es-ES"/>
        </w:rPr>
        <w:t>sobre el tercer proyecto de evaluación de la gestión de los riesgos</w:t>
      </w:r>
      <w:r w:rsidR="00827675" w:rsidRPr="002261B9">
        <w:rPr>
          <w:lang w:val="es-ES"/>
        </w:rPr>
        <w:t>).</w:t>
      </w:r>
      <w:r w:rsidR="004B170B" w:rsidRPr="002261B9">
        <w:rPr>
          <w:lang w:val="es-ES"/>
        </w:rPr>
        <w:t xml:space="preserve"> </w:t>
      </w:r>
    </w:p>
    <w:p w14:paraId="61AE6C65" w14:textId="76339EA1" w:rsidR="004D5B0D" w:rsidRPr="002261B9" w:rsidRDefault="00DD7815" w:rsidP="00F45508">
      <w:pPr>
        <w:pStyle w:val="Paralevel1"/>
        <w:numPr>
          <w:ilvl w:val="0"/>
          <w:numId w:val="23"/>
        </w:numPr>
        <w:tabs>
          <w:tab w:val="clear" w:pos="0"/>
        </w:tabs>
        <w:ind w:left="1247" w:firstLine="0"/>
        <w:rPr>
          <w:lang w:val="es-ES"/>
        </w:rPr>
      </w:pPr>
      <w:r w:rsidRPr="002261B9">
        <w:rPr>
          <w:lang w:val="es-ES"/>
        </w:rPr>
        <w:t>En Alemania se dio un famoso caso que mostró las consecuencias de la eliminación (ilícita) de desechos/fangos en las tierras agrícolas. Como consecuencia de la eliminación de fangos industriales, el PFOA se lixivió en las aguas superficiales de los alrededores y un depósito de agua potable, el Lago Möhne, quedó contaminado (véa</w:t>
      </w:r>
      <w:r w:rsidR="00033E30" w:rsidRPr="002261B9">
        <w:rPr>
          <w:lang w:val="es-ES"/>
        </w:rPr>
        <w:t>n</w:t>
      </w:r>
      <w:r w:rsidRPr="002261B9">
        <w:rPr>
          <w:lang w:val="es-ES"/>
        </w:rPr>
        <w:t>se Skutlarek y otros</w:t>
      </w:r>
      <w:r w:rsidR="0049151C" w:rsidRPr="002261B9">
        <w:rPr>
          <w:lang w:val="es-ES"/>
        </w:rPr>
        <w:t>,</w:t>
      </w:r>
      <w:r w:rsidRPr="002261B9">
        <w:rPr>
          <w:lang w:val="es-ES"/>
        </w:rPr>
        <w:t xml:space="preserve"> 2006</w:t>
      </w:r>
      <w:r w:rsidR="00CB21B7" w:rsidRPr="002261B9">
        <w:rPr>
          <w:lang w:val="es-ES"/>
        </w:rPr>
        <w:t>;</w:t>
      </w:r>
      <w:r w:rsidRPr="002261B9">
        <w:rPr>
          <w:lang w:val="es-ES"/>
        </w:rPr>
        <w:t xml:space="preserve"> Wilhelm y otros</w:t>
      </w:r>
      <w:r w:rsidR="0049151C" w:rsidRPr="002261B9">
        <w:rPr>
          <w:lang w:val="es-ES"/>
        </w:rPr>
        <w:t>,</w:t>
      </w:r>
      <w:r w:rsidRPr="002261B9">
        <w:rPr>
          <w:lang w:val="es-ES"/>
        </w:rPr>
        <w:t xml:space="preserve"> 2009; Wilhelm y otros</w:t>
      </w:r>
      <w:r w:rsidR="0049151C" w:rsidRPr="002261B9">
        <w:rPr>
          <w:lang w:val="es-ES"/>
        </w:rPr>
        <w:t>,</w:t>
      </w:r>
      <w:r w:rsidR="00506E3A" w:rsidRPr="002261B9">
        <w:rPr>
          <w:lang w:val="es-ES"/>
        </w:rPr>
        <w:t> </w:t>
      </w:r>
      <w:r w:rsidRPr="002261B9">
        <w:rPr>
          <w:lang w:val="es-ES"/>
        </w:rPr>
        <w:t>2010</w:t>
      </w:r>
      <w:r w:rsidR="00CB21B7" w:rsidRPr="002261B9">
        <w:rPr>
          <w:lang w:val="es-ES"/>
        </w:rPr>
        <w:t>;</w:t>
      </w:r>
      <w:r w:rsidRPr="002261B9">
        <w:rPr>
          <w:lang w:val="es-ES"/>
        </w:rPr>
        <w:t xml:space="preserve"> Hölzer y otros</w:t>
      </w:r>
      <w:r w:rsidR="0049151C" w:rsidRPr="002261B9">
        <w:rPr>
          <w:lang w:val="es-ES"/>
        </w:rPr>
        <w:t>,</w:t>
      </w:r>
      <w:r w:rsidRPr="002261B9">
        <w:rPr>
          <w:lang w:val="es-ES"/>
        </w:rPr>
        <w:t xml:space="preserve"> 2008</w:t>
      </w:r>
      <w:r w:rsidR="00CB21B7" w:rsidRPr="002261B9">
        <w:rPr>
          <w:lang w:val="es-ES"/>
        </w:rPr>
        <w:t>;</w:t>
      </w:r>
      <w:r w:rsidRPr="002261B9">
        <w:rPr>
          <w:lang w:val="es-ES"/>
        </w:rPr>
        <w:t xml:space="preserve"> </w:t>
      </w:r>
      <w:r w:rsidR="00CB21B7" w:rsidRPr="002261B9">
        <w:rPr>
          <w:lang w:val="es-ES"/>
        </w:rPr>
        <w:t xml:space="preserve">y </w:t>
      </w:r>
      <w:r w:rsidRPr="002261B9">
        <w:rPr>
          <w:lang w:val="es-ES"/>
        </w:rPr>
        <w:t>Hölzer y otros</w:t>
      </w:r>
      <w:r w:rsidR="0049151C" w:rsidRPr="002261B9">
        <w:rPr>
          <w:lang w:val="es-ES"/>
        </w:rPr>
        <w:t>,</w:t>
      </w:r>
      <w:r w:rsidR="00CB21B7" w:rsidRPr="002261B9">
        <w:rPr>
          <w:lang w:val="es-ES"/>
        </w:rPr>
        <w:t xml:space="preserve"> </w:t>
      </w:r>
      <w:r w:rsidRPr="002261B9">
        <w:rPr>
          <w:lang w:val="es-ES"/>
        </w:rPr>
        <w:t>2009</w:t>
      </w:r>
      <w:r w:rsidR="00CB21B7" w:rsidRPr="002261B9">
        <w:rPr>
          <w:lang w:val="es-ES"/>
        </w:rPr>
        <w:t>)</w:t>
      </w:r>
      <w:r w:rsidRPr="002261B9">
        <w:rPr>
          <w:lang w:val="es-ES"/>
        </w:rPr>
        <w:t xml:space="preserve">. Por esa razón, el agua potable contenía elevados niveles de PFOA. </w:t>
      </w:r>
      <w:r w:rsidR="00657F8E" w:rsidRPr="002261B9">
        <w:rPr>
          <w:lang w:val="es-ES"/>
        </w:rPr>
        <w:t xml:space="preserve">De ahí que los estudios de biomonitorización humana arrojaran niveles de PFOA más altos en la sangre de las personas que vivían en </w:t>
      </w:r>
      <w:r w:rsidRPr="002261B9">
        <w:rPr>
          <w:lang w:val="es-ES"/>
        </w:rPr>
        <w:t xml:space="preserve">Arnsberg </w:t>
      </w:r>
      <w:r w:rsidR="00657F8E" w:rsidRPr="002261B9">
        <w:rPr>
          <w:lang w:val="es-ES"/>
        </w:rPr>
        <w:t>que en la de los habitantes de una zona cercana, que recibían agua potable de una fuente diferente</w:t>
      </w:r>
      <w:r w:rsidRPr="002261B9">
        <w:rPr>
          <w:lang w:val="es-ES"/>
        </w:rPr>
        <w:t xml:space="preserve">. </w:t>
      </w:r>
      <w:r w:rsidR="00657F8E" w:rsidRPr="002261B9">
        <w:rPr>
          <w:lang w:val="es-ES"/>
        </w:rPr>
        <w:t xml:space="preserve">Según la información dada a conocer en los medios de comunicación, desde 2006 se ha incurrido en costos de purificación de las aguas subterráneas que rondan los </w:t>
      </w:r>
      <w:r w:rsidRPr="002261B9">
        <w:rPr>
          <w:lang w:val="es-ES"/>
        </w:rPr>
        <w:t>2</w:t>
      </w:r>
      <w:r w:rsidR="00657F8E" w:rsidRPr="002261B9">
        <w:rPr>
          <w:lang w:val="es-ES"/>
        </w:rPr>
        <w:t>,</w:t>
      </w:r>
      <w:r w:rsidRPr="002261B9">
        <w:rPr>
          <w:lang w:val="es-ES"/>
        </w:rPr>
        <w:t>5 mill</w:t>
      </w:r>
      <w:r w:rsidR="00657F8E" w:rsidRPr="002261B9">
        <w:rPr>
          <w:lang w:val="es-ES"/>
        </w:rPr>
        <w:t xml:space="preserve">ones de </w:t>
      </w:r>
      <w:r w:rsidRPr="002261B9">
        <w:rPr>
          <w:lang w:val="es-ES"/>
        </w:rPr>
        <w:t xml:space="preserve">euros. </w:t>
      </w:r>
      <w:r w:rsidR="00657F8E" w:rsidRPr="002261B9">
        <w:rPr>
          <w:lang w:val="es-ES"/>
        </w:rPr>
        <w:t xml:space="preserve">La planta de purificación entrará en funciones en los próximos años y su costo de explotación será de unos </w:t>
      </w:r>
      <w:r w:rsidRPr="002261B9">
        <w:rPr>
          <w:lang w:val="es-ES"/>
        </w:rPr>
        <w:t>100</w:t>
      </w:r>
      <w:r w:rsidR="00657F8E" w:rsidRPr="002261B9">
        <w:rPr>
          <w:lang w:val="es-ES"/>
        </w:rPr>
        <w:t>.</w:t>
      </w:r>
      <w:r w:rsidRPr="002261B9">
        <w:rPr>
          <w:lang w:val="es-ES"/>
        </w:rPr>
        <w:t xml:space="preserve">000 euros </w:t>
      </w:r>
      <w:r w:rsidR="00657F8E" w:rsidRPr="002261B9">
        <w:rPr>
          <w:lang w:val="es-ES"/>
        </w:rPr>
        <w:t>anuales</w:t>
      </w:r>
      <w:r w:rsidRPr="002261B9">
        <w:rPr>
          <w:lang w:val="es-ES"/>
        </w:rPr>
        <w:t xml:space="preserve"> (</w:t>
      </w:r>
      <w:r w:rsidR="007F0459" w:rsidRPr="002261B9">
        <w:rPr>
          <w:lang w:val="es-ES"/>
        </w:rPr>
        <w:t>Observaciones</w:t>
      </w:r>
      <w:r w:rsidR="003C558F" w:rsidRPr="002261B9">
        <w:rPr>
          <w:lang w:val="es-ES"/>
        </w:rPr>
        <w:t xml:space="preserve"> de</w:t>
      </w:r>
      <w:r w:rsidRPr="002261B9">
        <w:rPr>
          <w:lang w:val="es-ES"/>
        </w:rPr>
        <w:t xml:space="preserve"> </w:t>
      </w:r>
      <w:r w:rsidR="00E62EF8" w:rsidRPr="002261B9">
        <w:rPr>
          <w:lang w:val="es-ES"/>
        </w:rPr>
        <w:t>Alemania</w:t>
      </w:r>
      <w:r w:rsidRPr="002261B9">
        <w:rPr>
          <w:lang w:val="es-ES"/>
        </w:rPr>
        <w:t xml:space="preserve"> </w:t>
      </w:r>
      <w:r w:rsidR="00E62EF8" w:rsidRPr="002261B9">
        <w:rPr>
          <w:lang w:val="es-ES"/>
        </w:rPr>
        <w:t xml:space="preserve">sobre el tercer proyecto de evaluación de la gestión de los </w:t>
      </w:r>
      <w:r w:rsidR="00A63836" w:rsidRPr="002261B9">
        <w:rPr>
          <w:lang w:val="es-ES"/>
        </w:rPr>
        <w:t>riesgos)</w:t>
      </w:r>
      <w:r w:rsidRPr="002261B9">
        <w:rPr>
          <w:rStyle w:val="FootnoteReference"/>
          <w:lang w:val="es-ES"/>
        </w:rPr>
        <w:footnoteReference w:id="20"/>
      </w:r>
      <w:r w:rsidR="00657F8E" w:rsidRPr="002261B9">
        <w:rPr>
          <w:lang w:val="es-ES"/>
        </w:rPr>
        <w:t>.</w:t>
      </w:r>
      <w:r w:rsidRPr="002261B9">
        <w:rPr>
          <w:lang w:val="es-ES"/>
        </w:rPr>
        <w:t xml:space="preserve"> </w:t>
      </w:r>
    </w:p>
    <w:p w14:paraId="7B814FFB" w14:textId="78015F09" w:rsidR="004D5B0D" w:rsidRPr="002261B9" w:rsidRDefault="00B408EE" w:rsidP="00F45508">
      <w:pPr>
        <w:pStyle w:val="Paralevel1"/>
        <w:numPr>
          <w:ilvl w:val="0"/>
          <w:numId w:val="23"/>
        </w:numPr>
        <w:tabs>
          <w:tab w:val="clear" w:pos="0"/>
        </w:tabs>
        <w:ind w:left="1247" w:firstLine="0"/>
        <w:rPr>
          <w:lang w:val="es-ES"/>
        </w:rPr>
      </w:pPr>
      <w:r w:rsidRPr="002261B9">
        <w:rPr>
          <w:lang w:val="es-ES"/>
        </w:rPr>
        <w:t xml:space="preserve">Desde 2011, se han detectado altos niveles de </w:t>
      </w:r>
      <w:r w:rsidR="004D5B0D" w:rsidRPr="002261B9">
        <w:rPr>
          <w:lang w:val="es-ES"/>
        </w:rPr>
        <w:t xml:space="preserve">PFAS </w:t>
      </w:r>
      <w:r w:rsidRPr="002261B9">
        <w:rPr>
          <w:lang w:val="es-ES"/>
        </w:rPr>
        <w:t>e</w:t>
      </w:r>
      <w:r w:rsidR="004D5B0D" w:rsidRPr="002261B9">
        <w:rPr>
          <w:lang w:val="es-ES"/>
        </w:rPr>
        <w:t xml:space="preserve">n </w:t>
      </w:r>
      <w:r w:rsidRPr="002261B9">
        <w:rPr>
          <w:lang w:val="es-ES"/>
        </w:rPr>
        <w:t>el agua potable</w:t>
      </w:r>
      <w:r w:rsidR="00D522CF" w:rsidRPr="002261B9">
        <w:rPr>
          <w:lang w:val="es-ES"/>
        </w:rPr>
        <w:t>,</w:t>
      </w:r>
      <w:r w:rsidR="004D5B0D" w:rsidRPr="002261B9">
        <w:rPr>
          <w:lang w:val="es-ES"/>
        </w:rPr>
        <w:t xml:space="preserve"> </w:t>
      </w:r>
      <w:r w:rsidRPr="002261B9">
        <w:rPr>
          <w:lang w:val="es-ES"/>
        </w:rPr>
        <w:t xml:space="preserve">del orden de </w:t>
      </w:r>
      <w:r w:rsidR="00D522CF" w:rsidRPr="002261B9">
        <w:rPr>
          <w:lang w:val="es-ES"/>
        </w:rPr>
        <w:t>µg/</w:t>
      </w:r>
      <w:r w:rsidR="00CB21B7" w:rsidRPr="002261B9">
        <w:rPr>
          <w:lang w:val="es-ES"/>
        </w:rPr>
        <w:t>l</w:t>
      </w:r>
      <w:r w:rsidR="00D522CF" w:rsidRPr="002261B9">
        <w:rPr>
          <w:lang w:val="es-ES"/>
        </w:rPr>
        <w:t xml:space="preserve">, </w:t>
      </w:r>
      <w:r w:rsidRPr="002261B9">
        <w:rPr>
          <w:lang w:val="es-ES"/>
        </w:rPr>
        <w:t>en algunos municipios de Suecia</w:t>
      </w:r>
      <w:r w:rsidR="00934533" w:rsidRPr="002261B9">
        <w:rPr>
          <w:lang w:val="es-ES"/>
        </w:rPr>
        <w:t>. Se indican los costos que se derivan de las actividades dirigidas a resolver la contaminación del agua potable con PFAS en algunas municipalidades</w:t>
      </w:r>
      <w:r w:rsidR="003B4AD6" w:rsidRPr="002261B9">
        <w:rPr>
          <w:lang w:val="es-ES"/>
        </w:rPr>
        <w:t>, por ejemplo, el uso de carbón para la filtración del agua en Uppsala (a un costo anual de un millón de euros) y un nuevo sistema de suministro de agua en Ronne (tres millones de euros)</w:t>
      </w:r>
      <w:r w:rsidR="00D522CF" w:rsidRPr="002261B9">
        <w:rPr>
          <w:lang w:val="es-ES"/>
        </w:rPr>
        <w:t xml:space="preserve"> (</w:t>
      </w:r>
      <w:r w:rsidRPr="002261B9">
        <w:rPr>
          <w:lang w:val="es-ES"/>
        </w:rPr>
        <w:t>Organismo Sueco de Protección Ambiental</w:t>
      </w:r>
      <w:r w:rsidR="003B4AD6" w:rsidRPr="002261B9">
        <w:rPr>
          <w:lang w:val="es-ES"/>
        </w:rPr>
        <w:t>,</w:t>
      </w:r>
      <w:r w:rsidR="00D522CF" w:rsidRPr="002261B9">
        <w:rPr>
          <w:lang w:val="es-ES"/>
        </w:rPr>
        <w:t xml:space="preserve"> 2016)</w:t>
      </w:r>
      <w:r w:rsidR="004D5B0D" w:rsidRPr="002261B9">
        <w:rPr>
          <w:lang w:val="es-ES"/>
        </w:rPr>
        <w:t>.</w:t>
      </w:r>
      <w:r w:rsidR="00284890" w:rsidRPr="002261B9">
        <w:rPr>
          <w:lang w:val="es-ES"/>
        </w:rPr>
        <w:t xml:space="preserve"> </w:t>
      </w:r>
      <w:r w:rsidRPr="002261B9">
        <w:rPr>
          <w:lang w:val="es-ES"/>
        </w:rPr>
        <w:t>Se ha demostrado que los lugares de entrenamiento sobre extinción de incendios son las principales fuentes de esta contaminación que</w:t>
      </w:r>
      <w:r w:rsidR="004D5B0D" w:rsidRPr="002261B9">
        <w:rPr>
          <w:lang w:val="es-ES"/>
        </w:rPr>
        <w:t xml:space="preserve">, </w:t>
      </w:r>
      <w:r w:rsidRPr="002261B9">
        <w:rPr>
          <w:lang w:val="es-ES"/>
        </w:rPr>
        <w:t>en algunos casos, ha obligado a cerrar las fuentes de abastecimiento de agua</w:t>
      </w:r>
      <w:r w:rsidR="004D5B0D" w:rsidRPr="002261B9">
        <w:rPr>
          <w:lang w:val="es-ES"/>
        </w:rPr>
        <w:t xml:space="preserve">. </w:t>
      </w:r>
      <w:r w:rsidRPr="002261B9">
        <w:rPr>
          <w:lang w:val="es-ES"/>
        </w:rPr>
        <w:t xml:space="preserve">Los gobiernos municipales han publicado información alertando </w:t>
      </w:r>
      <w:r w:rsidR="00CB21B7" w:rsidRPr="002261B9">
        <w:rPr>
          <w:lang w:val="es-ES"/>
        </w:rPr>
        <w:t>de</w:t>
      </w:r>
      <w:r w:rsidRPr="002261B9">
        <w:rPr>
          <w:lang w:val="es-ES"/>
        </w:rPr>
        <w:t xml:space="preserve"> que no se consuman con frecuencia los peces</w:t>
      </w:r>
      <w:r w:rsidR="004D5B0D" w:rsidRPr="002261B9">
        <w:rPr>
          <w:lang w:val="es-ES"/>
        </w:rPr>
        <w:t xml:space="preserve"> </w:t>
      </w:r>
      <w:r w:rsidR="002E2D79" w:rsidRPr="002261B9">
        <w:rPr>
          <w:lang w:val="es-ES"/>
        </w:rPr>
        <w:t>ca</w:t>
      </w:r>
      <w:r w:rsidRPr="002261B9">
        <w:rPr>
          <w:lang w:val="es-ES"/>
        </w:rPr>
        <w:t>pturados en los lagos a donde fluyen las aguas de la zona contaminada</w:t>
      </w:r>
      <w:r w:rsidR="004D5B0D" w:rsidRPr="002261B9">
        <w:rPr>
          <w:lang w:val="es-ES"/>
        </w:rPr>
        <w:t xml:space="preserve"> (</w:t>
      </w:r>
      <w:r w:rsidR="00A76D63" w:rsidRPr="002261B9">
        <w:rPr>
          <w:lang w:val="es-ES"/>
        </w:rPr>
        <w:t>Organismo Sueco de Productos Químicos</w:t>
      </w:r>
      <w:r w:rsidR="0049151C" w:rsidRPr="002261B9">
        <w:rPr>
          <w:lang w:val="es-ES"/>
        </w:rPr>
        <w:t>,</w:t>
      </w:r>
      <w:r w:rsidR="00DA18A3" w:rsidRPr="002261B9">
        <w:rPr>
          <w:lang w:val="es-ES"/>
        </w:rPr>
        <w:t xml:space="preserve"> 2013</w:t>
      </w:r>
      <w:r w:rsidR="004D5B0D" w:rsidRPr="002261B9">
        <w:rPr>
          <w:lang w:val="es-ES"/>
        </w:rPr>
        <w:t xml:space="preserve">). </w:t>
      </w:r>
      <w:r w:rsidRPr="002261B9">
        <w:rPr>
          <w:lang w:val="es-ES"/>
        </w:rPr>
        <w:t xml:space="preserve">Para el agua contaminada con </w:t>
      </w:r>
      <w:r w:rsidR="004D5B0D" w:rsidRPr="002261B9">
        <w:rPr>
          <w:lang w:val="es-ES"/>
        </w:rPr>
        <w:t>PFAS</w:t>
      </w:r>
      <w:r w:rsidRPr="002261B9">
        <w:rPr>
          <w:lang w:val="es-ES"/>
        </w:rPr>
        <w:t xml:space="preserve"> que fluye de una </w:t>
      </w:r>
      <w:r w:rsidR="005811B3" w:rsidRPr="002261B9">
        <w:rPr>
          <w:lang w:val="es-ES"/>
        </w:rPr>
        <w:t>cueva</w:t>
      </w:r>
      <w:r w:rsidRPr="002261B9">
        <w:rPr>
          <w:lang w:val="es-ES"/>
        </w:rPr>
        <w:t xml:space="preserve"> cercana al antiguo aeródromo</w:t>
      </w:r>
      <w:r w:rsidR="00E56BDE" w:rsidRPr="002261B9">
        <w:rPr>
          <w:lang w:val="es-ES"/>
        </w:rPr>
        <w:t>,</w:t>
      </w:r>
      <w:r w:rsidR="004D5B0D" w:rsidRPr="002261B9">
        <w:rPr>
          <w:lang w:val="es-ES"/>
        </w:rPr>
        <w:t xml:space="preserve"> </w:t>
      </w:r>
      <w:r w:rsidRPr="002261B9">
        <w:rPr>
          <w:lang w:val="es-ES"/>
        </w:rPr>
        <w:t>se ha instalado un sistema de filtros de carb</w:t>
      </w:r>
      <w:r w:rsidR="00716DBA" w:rsidRPr="002261B9">
        <w:rPr>
          <w:lang w:val="es-ES"/>
        </w:rPr>
        <w:t>o</w:t>
      </w:r>
      <w:r w:rsidRPr="002261B9">
        <w:rPr>
          <w:lang w:val="es-ES"/>
        </w:rPr>
        <w:t>n</w:t>
      </w:r>
      <w:r w:rsidR="00716DBA" w:rsidRPr="002261B9">
        <w:rPr>
          <w:lang w:val="es-ES"/>
        </w:rPr>
        <w:t>o</w:t>
      </w:r>
      <w:r w:rsidRPr="002261B9">
        <w:rPr>
          <w:lang w:val="es-ES"/>
        </w:rPr>
        <w:t xml:space="preserve"> que limpia entre </w:t>
      </w:r>
      <w:r w:rsidR="004D5B0D" w:rsidRPr="002261B9">
        <w:rPr>
          <w:lang w:val="es-ES"/>
        </w:rPr>
        <w:t>150</w:t>
      </w:r>
      <w:r w:rsidRPr="002261B9">
        <w:rPr>
          <w:lang w:val="es-ES"/>
        </w:rPr>
        <w:t xml:space="preserve"> y </w:t>
      </w:r>
      <w:r w:rsidR="004D5B0D" w:rsidRPr="002261B9">
        <w:rPr>
          <w:lang w:val="es-ES"/>
        </w:rPr>
        <w:t>200 m</w:t>
      </w:r>
      <w:r w:rsidR="004D5B0D" w:rsidRPr="002261B9">
        <w:rPr>
          <w:vertAlign w:val="superscript"/>
          <w:lang w:val="es-ES"/>
        </w:rPr>
        <w:t>3</w:t>
      </w:r>
      <w:r w:rsidR="004D5B0D" w:rsidRPr="002261B9">
        <w:rPr>
          <w:lang w:val="es-ES"/>
        </w:rPr>
        <w:t xml:space="preserve"> </w:t>
      </w:r>
      <w:r w:rsidRPr="002261B9">
        <w:rPr>
          <w:lang w:val="es-ES"/>
        </w:rPr>
        <w:t>de</w:t>
      </w:r>
      <w:r w:rsidR="005811B3" w:rsidRPr="002261B9">
        <w:rPr>
          <w:lang w:val="es-ES"/>
        </w:rPr>
        <w:t>l</w:t>
      </w:r>
      <w:r w:rsidRPr="002261B9">
        <w:rPr>
          <w:lang w:val="es-ES"/>
        </w:rPr>
        <w:t xml:space="preserve"> agua de la </w:t>
      </w:r>
      <w:r w:rsidR="005811B3" w:rsidRPr="002261B9">
        <w:rPr>
          <w:lang w:val="es-ES"/>
        </w:rPr>
        <w:t>cueva</w:t>
      </w:r>
      <w:r w:rsidRPr="002261B9">
        <w:rPr>
          <w:lang w:val="es-ES"/>
        </w:rPr>
        <w:t xml:space="preserve"> antes de que </w:t>
      </w:r>
      <w:r w:rsidR="00716DBA" w:rsidRPr="002261B9">
        <w:rPr>
          <w:lang w:val="es-ES"/>
        </w:rPr>
        <w:t>se vierta en los cursos de agua receptores</w:t>
      </w:r>
      <w:r w:rsidR="004D5B0D" w:rsidRPr="002261B9">
        <w:rPr>
          <w:lang w:val="es-ES"/>
        </w:rPr>
        <w:t xml:space="preserve"> (Defoort </w:t>
      </w:r>
      <w:r w:rsidRPr="002261B9">
        <w:rPr>
          <w:lang w:val="es-ES"/>
        </w:rPr>
        <w:t>y otros</w:t>
      </w:r>
      <w:r w:rsidR="0049151C" w:rsidRPr="002261B9">
        <w:rPr>
          <w:lang w:val="es-ES"/>
        </w:rPr>
        <w:t>,</w:t>
      </w:r>
      <w:r w:rsidR="004D5B0D" w:rsidRPr="002261B9">
        <w:rPr>
          <w:lang w:val="es-ES"/>
        </w:rPr>
        <w:t xml:space="preserve"> 2012). </w:t>
      </w:r>
      <w:r w:rsidRPr="002261B9">
        <w:rPr>
          <w:lang w:val="es-ES"/>
        </w:rPr>
        <w:t xml:space="preserve">El </w:t>
      </w:r>
      <w:r w:rsidR="00882B42" w:rsidRPr="002261B9">
        <w:rPr>
          <w:lang w:val="es-ES"/>
        </w:rPr>
        <w:t xml:space="preserve">PFAS </w:t>
      </w:r>
      <w:r w:rsidRPr="002261B9">
        <w:rPr>
          <w:lang w:val="es-ES"/>
        </w:rPr>
        <w:t xml:space="preserve">también ha contaminado el agua potable que consumen </w:t>
      </w:r>
      <w:r w:rsidR="00882B42" w:rsidRPr="002261B9">
        <w:rPr>
          <w:lang w:val="es-ES"/>
        </w:rPr>
        <w:t>15 mill</w:t>
      </w:r>
      <w:r w:rsidRPr="002261B9">
        <w:rPr>
          <w:lang w:val="es-ES"/>
        </w:rPr>
        <w:t xml:space="preserve">ones de habitantes y varios lugares de los EE.UU. </w:t>
      </w:r>
      <w:r w:rsidR="005811B3" w:rsidRPr="002261B9">
        <w:rPr>
          <w:lang w:val="es-ES"/>
        </w:rPr>
        <w:t>Aun así</w:t>
      </w:r>
      <w:r w:rsidRPr="002261B9">
        <w:rPr>
          <w:lang w:val="es-ES"/>
        </w:rPr>
        <w:t xml:space="preserve">, es posible que los sistemas a base de filtros de carbono no funcionen para todos los </w:t>
      </w:r>
      <w:r w:rsidR="008D4B30" w:rsidRPr="002261B9">
        <w:rPr>
          <w:lang w:val="es-ES"/>
        </w:rPr>
        <w:t xml:space="preserve">PFAS (Wang </w:t>
      </w:r>
      <w:r w:rsidR="00575E9A" w:rsidRPr="002261B9">
        <w:rPr>
          <w:lang w:val="es-ES"/>
        </w:rPr>
        <w:t>y otros</w:t>
      </w:r>
      <w:r w:rsidR="0049151C" w:rsidRPr="002261B9">
        <w:rPr>
          <w:lang w:val="es-ES"/>
        </w:rPr>
        <w:t>,</w:t>
      </w:r>
      <w:r w:rsidR="00CB21B7" w:rsidRPr="002261B9">
        <w:rPr>
          <w:lang w:val="es-ES"/>
        </w:rPr>
        <w:t xml:space="preserve"> 2017</w:t>
      </w:r>
      <w:r w:rsidR="008D4B30" w:rsidRPr="002261B9">
        <w:rPr>
          <w:lang w:val="es-ES"/>
        </w:rPr>
        <w:t xml:space="preserve">). </w:t>
      </w:r>
    </w:p>
    <w:p w14:paraId="2AE6429A" w14:textId="17146805" w:rsidR="004D5B0D" w:rsidRPr="002261B9" w:rsidRDefault="004D5B0D" w:rsidP="00F45508">
      <w:pPr>
        <w:pStyle w:val="Paralevel1"/>
        <w:numPr>
          <w:ilvl w:val="0"/>
          <w:numId w:val="23"/>
        </w:numPr>
        <w:tabs>
          <w:tab w:val="clear" w:pos="0"/>
        </w:tabs>
        <w:ind w:left="1247" w:firstLine="0"/>
        <w:rPr>
          <w:lang w:val="es-ES"/>
        </w:rPr>
      </w:pPr>
      <w:r w:rsidRPr="002261B9">
        <w:rPr>
          <w:lang w:val="es-ES"/>
        </w:rPr>
        <w:t>Re</w:t>
      </w:r>
      <w:r w:rsidR="00657F8E" w:rsidRPr="002261B9">
        <w:rPr>
          <w:lang w:val="es-ES"/>
        </w:rPr>
        <w:t>specto de los productos textiles de uso profesional, técnico y de protección, las ventas de los</w:t>
      </w:r>
      <w:r w:rsidR="00506E3A" w:rsidRPr="002261B9">
        <w:rPr>
          <w:lang w:val="es-ES"/>
        </w:rPr>
        <w:t> </w:t>
      </w:r>
      <w:r w:rsidR="00657F8E" w:rsidRPr="002261B9">
        <w:rPr>
          <w:lang w:val="es-ES"/>
        </w:rPr>
        <w:t xml:space="preserve">fabricantes alemanes en </w:t>
      </w:r>
      <w:r w:rsidRPr="002261B9">
        <w:rPr>
          <w:lang w:val="es-ES"/>
        </w:rPr>
        <w:t xml:space="preserve">2013 </w:t>
      </w:r>
      <w:r w:rsidR="00657F8E" w:rsidRPr="002261B9">
        <w:rPr>
          <w:lang w:val="es-ES"/>
        </w:rPr>
        <w:t xml:space="preserve">ascendieron a </w:t>
      </w:r>
      <w:r w:rsidR="00CB21B7" w:rsidRPr="002261B9">
        <w:rPr>
          <w:lang w:val="es-ES"/>
        </w:rPr>
        <w:t xml:space="preserve">6.000 </w:t>
      </w:r>
      <w:r w:rsidR="00657F8E" w:rsidRPr="002261B9">
        <w:rPr>
          <w:lang w:val="es-ES"/>
        </w:rPr>
        <w:t xml:space="preserve">millones de </w:t>
      </w:r>
      <w:r w:rsidR="003503C3" w:rsidRPr="002261B9">
        <w:rPr>
          <w:lang w:val="es-ES"/>
        </w:rPr>
        <w:t>euros</w:t>
      </w:r>
      <w:r w:rsidRPr="002261B9">
        <w:rPr>
          <w:lang w:val="es-ES"/>
        </w:rPr>
        <w:t>. (</w:t>
      </w:r>
      <w:r w:rsidR="00F13B21" w:rsidRPr="002261B9">
        <w:rPr>
          <w:lang w:val="es-ES"/>
        </w:rPr>
        <w:t>véase</w:t>
      </w:r>
      <w:r w:rsidRPr="002261B9">
        <w:rPr>
          <w:lang w:val="es-ES"/>
        </w:rPr>
        <w:t xml:space="preserve"> VTB SWT</w:t>
      </w:r>
      <w:r w:rsidR="0049151C" w:rsidRPr="002261B9">
        <w:rPr>
          <w:lang w:val="es-ES"/>
        </w:rPr>
        <w:t>,</w:t>
      </w:r>
      <w:r w:rsidRPr="002261B9">
        <w:rPr>
          <w:lang w:val="es-ES"/>
        </w:rPr>
        <w:t xml:space="preserve"> </w:t>
      </w:r>
      <w:r w:rsidR="00CB21B7" w:rsidRPr="002261B9">
        <w:rPr>
          <w:lang w:val="es-ES"/>
        </w:rPr>
        <w:t>201</w:t>
      </w:r>
      <w:r w:rsidR="00230F05" w:rsidRPr="002261B9">
        <w:rPr>
          <w:lang w:val="es-ES"/>
        </w:rPr>
        <w:t>6</w:t>
      </w:r>
      <w:r w:rsidR="00CB21B7" w:rsidRPr="002261B9">
        <w:rPr>
          <w:lang w:val="es-ES"/>
        </w:rPr>
        <w:t xml:space="preserve"> </w:t>
      </w:r>
      <w:r w:rsidR="00575E9A" w:rsidRPr="002261B9">
        <w:rPr>
          <w:lang w:val="es-ES"/>
        </w:rPr>
        <w:t>y</w:t>
      </w:r>
      <w:r w:rsidR="00506E3A" w:rsidRPr="002261B9">
        <w:rPr>
          <w:lang w:val="es-ES"/>
        </w:rPr>
        <w:t> </w:t>
      </w:r>
      <w:r w:rsidRPr="002261B9">
        <w:rPr>
          <w:lang w:val="es-ES"/>
        </w:rPr>
        <w:t>TM</w:t>
      </w:r>
      <w:r w:rsidR="0049151C" w:rsidRPr="002261B9">
        <w:rPr>
          <w:lang w:val="es-ES"/>
        </w:rPr>
        <w:t>,</w:t>
      </w:r>
      <w:r w:rsidR="00CB21B7" w:rsidRPr="002261B9">
        <w:rPr>
          <w:lang w:val="es-ES"/>
        </w:rPr>
        <w:t xml:space="preserve"> 201</w:t>
      </w:r>
      <w:r w:rsidR="00230F05" w:rsidRPr="002261B9">
        <w:rPr>
          <w:lang w:val="es-ES"/>
        </w:rPr>
        <w:t>6</w:t>
      </w:r>
      <w:r w:rsidRPr="002261B9">
        <w:rPr>
          <w:lang w:val="es-ES"/>
        </w:rPr>
        <w:t xml:space="preserve">). </w:t>
      </w:r>
    </w:p>
    <w:p w14:paraId="4C04494D" w14:textId="6DBEF3FB" w:rsidR="001E397C" w:rsidRDefault="005C3021" w:rsidP="00F45508">
      <w:pPr>
        <w:pStyle w:val="Paralevel1"/>
        <w:numPr>
          <w:ilvl w:val="0"/>
          <w:numId w:val="23"/>
        </w:numPr>
        <w:tabs>
          <w:tab w:val="clear" w:pos="0"/>
        </w:tabs>
        <w:ind w:left="1247" w:firstLine="0"/>
        <w:rPr>
          <w:lang w:val="es-ES"/>
        </w:rPr>
      </w:pPr>
      <w:r w:rsidRPr="002261B9">
        <w:rPr>
          <w:lang w:val="es-ES"/>
        </w:rPr>
        <w:t>Dada la accesibilidad o los costos de las tecnologías alternativas, es probable que pasen algunos años antes de que los países en desarrollo cuenten con algunas tecnologías alternativas respecto del PFOA.</w:t>
      </w:r>
    </w:p>
    <w:p w14:paraId="51A2CC68" w14:textId="77777777" w:rsidR="001E397C" w:rsidRDefault="001E397C">
      <w:pPr>
        <w:rPr>
          <w:rFonts w:eastAsia="Times New Roman"/>
          <w:sz w:val="20"/>
          <w:szCs w:val="20"/>
          <w:lang w:val="es-ES" w:eastAsia="en-US"/>
        </w:rPr>
      </w:pPr>
      <w:r>
        <w:rPr>
          <w:lang w:val="es-ES"/>
        </w:rPr>
        <w:br w:type="page"/>
      </w:r>
    </w:p>
    <w:p w14:paraId="5E95CF82" w14:textId="1BD97DED" w:rsidR="00C151FB" w:rsidRPr="002261B9" w:rsidRDefault="005C3021" w:rsidP="00506E3A">
      <w:pPr>
        <w:pStyle w:val="StyleHeading2u2h2ABC2ChptTimesNewRoman12ptBef"/>
        <w:keepNext w:val="0"/>
        <w:keepLines w:val="0"/>
        <w:tabs>
          <w:tab w:val="clear" w:pos="1247"/>
          <w:tab w:val="clear" w:pos="1440"/>
          <w:tab w:val="num" w:pos="624"/>
        </w:tabs>
        <w:spacing w:after="120"/>
        <w:ind w:left="1248" w:hanging="624"/>
        <w:rPr>
          <w:sz w:val="22"/>
          <w:szCs w:val="22"/>
          <w:lang w:val="es-ES"/>
        </w:rPr>
      </w:pPr>
      <w:bookmarkStart w:id="49" w:name="_Toc501099203"/>
      <w:r w:rsidRPr="002261B9">
        <w:rPr>
          <w:sz w:val="22"/>
          <w:szCs w:val="22"/>
          <w:lang w:val="es-ES"/>
        </w:rPr>
        <w:lastRenderedPageBreak/>
        <w:t>2.3</w:t>
      </w:r>
      <w:r w:rsidRPr="002261B9">
        <w:rPr>
          <w:sz w:val="22"/>
          <w:szCs w:val="22"/>
          <w:lang w:val="es-ES"/>
        </w:rPr>
        <w:tab/>
      </w:r>
      <w:r w:rsidR="00C151FB" w:rsidRPr="002261B9">
        <w:rPr>
          <w:sz w:val="22"/>
          <w:szCs w:val="22"/>
          <w:lang w:val="es-ES"/>
        </w:rPr>
        <w:t>Información sobre productos y procesos alternativos</w:t>
      </w:r>
      <w:bookmarkEnd w:id="49"/>
    </w:p>
    <w:p w14:paraId="34468598" w14:textId="4D84B967" w:rsidR="002E0DA8" w:rsidRPr="002261B9" w:rsidRDefault="005C3021" w:rsidP="00506E3A">
      <w:pPr>
        <w:pStyle w:val="StyleHeading3h3123SecTimesNewRomanBold"/>
        <w:ind w:left="1248" w:hanging="624"/>
        <w:rPr>
          <w:lang w:val="es-ES"/>
        </w:rPr>
      </w:pPr>
      <w:bookmarkStart w:id="50" w:name="_Toc501099204"/>
      <w:r w:rsidRPr="002261B9">
        <w:rPr>
          <w:lang w:val="es-ES"/>
        </w:rPr>
        <w:t>2.3.1</w:t>
      </w:r>
      <w:r w:rsidRPr="002261B9">
        <w:rPr>
          <w:lang w:val="es-ES"/>
        </w:rPr>
        <w:tab/>
      </w:r>
      <w:r w:rsidR="002E0DA8" w:rsidRPr="002261B9">
        <w:rPr>
          <w:lang w:val="es-ES"/>
        </w:rPr>
        <w:t>Resumen de las alternativas</w:t>
      </w:r>
      <w:bookmarkEnd w:id="50"/>
    </w:p>
    <w:p w14:paraId="107FEA1E" w14:textId="6B84748C" w:rsidR="00C770D2" w:rsidRPr="002261B9" w:rsidRDefault="00336E04" w:rsidP="00F45508">
      <w:pPr>
        <w:pStyle w:val="Paralevel1"/>
        <w:numPr>
          <w:ilvl w:val="0"/>
          <w:numId w:val="23"/>
        </w:numPr>
        <w:tabs>
          <w:tab w:val="clear" w:pos="0"/>
        </w:tabs>
        <w:ind w:left="1247" w:firstLine="0"/>
        <w:rPr>
          <w:lang w:val="es-ES"/>
        </w:rPr>
      </w:pPr>
      <w:r w:rsidRPr="002261B9">
        <w:rPr>
          <w:lang w:val="es-ES"/>
        </w:rPr>
        <w:t xml:space="preserve">Debido a que los efectos de los ácidos perfluoroalquilos (PFAA) de cadena larga en los seres humanos y el medio ambiente son motivo de preocupación, estos PFAA y sus precursores están siendo sustituidos en muchas aplicaciones por otras sustancias, entre ellas, alternativas fluoradas </w:t>
      </w:r>
      <w:r w:rsidR="009E7F9A" w:rsidRPr="002261B9">
        <w:rPr>
          <w:lang w:val="es-ES"/>
        </w:rPr>
        <w:t>que</w:t>
      </w:r>
      <w:r w:rsidRPr="002261B9">
        <w:rPr>
          <w:lang w:val="es-ES"/>
        </w:rPr>
        <w:t xml:space="preserve"> son estructuralmente parecidas a las sustancias que sustituyen</w:t>
      </w:r>
      <w:r w:rsidR="00B4799F" w:rsidRPr="002261B9">
        <w:rPr>
          <w:lang w:val="es-ES"/>
        </w:rPr>
        <w:t xml:space="preserve">. </w:t>
      </w:r>
      <w:r w:rsidRPr="002261B9">
        <w:rPr>
          <w:lang w:val="es-ES"/>
        </w:rPr>
        <w:t xml:space="preserve">Estas alternativas fluoradas son </w:t>
      </w:r>
      <w:r w:rsidR="00CB21B7" w:rsidRPr="002261B9">
        <w:rPr>
          <w:lang w:val="es-ES"/>
        </w:rPr>
        <w:t xml:space="preserve">en su mayoría </w:t>
      </w:r>
      <w:r w:rsidRPr="002261B9">
        <w:rPr>
          <w:lang w:val="es-ES"/>
        </w:rPr>
        <w:t>PFAA de cadena corta y perfluoropoliéteres funcionalizados</w:t>
      </w:r>
      <w:r w:rsidR="00B4799F" w:rsidRPr="002261B9">
        <w:rPr>
          <w:lang w:val="es-ES"/>
        </w:rPr>
        <w:t xml:space="preserve"> (PFPE)</w:t>
      </w:r>
      <w:r w:rsidR="00596045" w:rsidRPr="002261B9">
        <w:rPr>
          <w:lang w:val="es-ES"/>
        </w:rPr>
        <w:t xml:space="preserve">, </w:t>
      </w:r>
      <w:r w:rsidRPr="002261B9">
        <w:rPr>
          <w:lang w:val="es-ES"/>
        </w:rPr>
        <w:t>e</w:t>
      </w:r>
      <w:r w:rsidR="00596045" w:rsidRPr="002261B9">
        <w:rPr>
          <w:lang w:val="es-ES"/>
        </w:rPr>
        <w:t xml:space="preserve">n particular </w:t>
      </w:r>
      <w:r w:rsidRPr="002261B9">
        <w:rPr>
          <w:lang w:val="es-ES"/>
        </w:rPr>
        <w:t xml:space="preserve">ácidos carboxílicos </w:t>
      </w:r>
      <w:r w:rsidR="00E82DCB" w:rsidRPr="002261B9">
        <w:rPr>
          <w:lang w:val="es-ES"/>
        </w:rPr>
        <w:t>perfluoropoliéteres</w:t>
      </w:r>
      <w:r w:rsidRPr="002261B9">
        <w:rPr>
          <w:lang w:val="es-ES"/>
        </w:rPr>
        <w:t xml:space="preserve"> y </w:t>
      </w:r>
      <w:r w:rsidR="007628BE" w:rsidRPr="002261B9">
        <w:rPr>
          <w:lang w:val="es-ES"/>
        </w:rPr>
        <w:t>pol</w:t>
      </w:r>
      <w:r w:rsidRPr="002261B9">
        <w:rPr>
          <w:lang w:val="es-ES"/>
        </w:rPr>
        <w:t>ifluoroéteres</w:t>
      </w:r>
      <w:r w:rsidR="009D7964" w:rsidRPr="002261B9">
        <w:rPr>
          <w:lang w:val="es-ES"/>
        </w:rPr>
        <w:t xml:space="preserve"> </w:t>
      </w:r>
      <w:r w:rsidRPr="002261B9">
        <w:rPr>
          <w:lang w:val="es-ES"/>
        </w:rPr>
        <w:t>(PFECA</w:t>
      </w:r>
      <w:r w:rsidR="00596045" w:rsidRPr="002261B9">
        <w:rPr>
          <w:lang w:val="es-ES"/>
        </w:rPr>
        <w:t xml:space="preserve">) </w:t>
      </w:r>
      <w:r w:rsidRPr="002261B9">
        <w:rPr>
          <w:lang w:val="es-ES"/>
        </w:rPr>
        <w:t xml:space="preserve">y ácidos sulfónicos </w:t>
      </w:r>
      <w:r w:rsidR="00E82DCB" w:rsidRPr="002261B9">
        <w:rPr>
          <w:lang w:val="es-ES"/>
        </w:rPr>
        <w:t>perfluoropoliéteres</w:t>
      </w:r>
      <w:r w:rsidRPr="002261B9">
        <w:rPr>
          <w:lang w:val="es-ES"/>
        </w:rPr>
        <w:t xml:space="preserve"> y</w:t>
      </w:r>
      <w:r w:rsidR="009D7964" w:rsidRPr="002261B9">
        <w:rPr>
          <w:lang w:val="es-ES"/>
        </w:rPr>
        <w:t xml:space="preserve"> pol</w:t>
      </w:r>
      <w:r w:rsidRPr="002261B9">
        <w:rPr>
          <w:lang w:val="es-ES"/>
        </w:rPr>
        <w:t>i</w:t>
      </w:r>
      <w:r w:rsidR="009D7964" w:rsidRPr="002261B9">
        <w:rPr>
          <w:lang w:val="es-ES"/>
        </w:rPr>
        <w:t>fluoro</w:t>
      </w:r>
      <w:r w:rsidRPr="002261B9">
        <w:rPr>
          <w:lang w:val="es-ES"/>
        </w:rPr>
        <w:t>éteres</w:t>
      </w:r>
      <w:r w:rsidR="009D7964" w:rsidRPr="002261B9">
        <w:rPr>
          <w:lang w:val="es-ES"/>
        </w:rPr>
        <w:t xml:space="preserve"> </w:t>
      </w:r>
      <w:r w:rsidR="00596045" w:rsidRPr="002261B9">
        <w:rPr>
          <w:lang w:val="es-ES"/>
        </w:rPr>
        <w:t>(PFESA)</w:t>
      </w:r>
      <w:r w:rsidR="00A4214F" w:rsidRPr="002261B9">
        <w:rPr>
          <w:lang w:val="es-ES"/>
        </w:rPr>
        <w:t xml:space="preserve"> </w:t>
      </w:r>
      <w:r w:rsidRPr="002261B9">
        <w:rPr>
          <w:lang w:val="es-ES"/>
        </w:rPr>
        <w:t>que tienen un grupo funcional acídico</w:t>
      </w:r>
      <w:r w:rsidR="00596045" w:rsidRPr="002261B9">
        <w:rPr>
          <w:lang w:val="es-ES"/>
        </w:rPr>
        <w:t xml:space="preserve"> </w:t>
      </w:r>
      <w:r w:rsidRPr="002261B9">
        <w:rPr>
          <w:lang w:val="es-ES"/>
        </w:rPr>
        <w:t>unido a una cadena de per o polifuoroéteres en lugar de a una cadena de perfluoroalquilos</w:t>
      </w:r>
      <w:r w:rsidR="00B4799F" w:rsidRPr="002261B9">
        <w:rPr>
          <w:lang w:val="es-ES"/>
        </w:rPr>
        <w:t xml:space="preserve"> (Wang </w:t>
      </w:r>
      <w:r w:rsidR="003134EC" w:rsidRPr="002261B9">
        <w:rPr>
          <w:lang w:val="es-ES"/>
        </w:rPr>
        <w:t>y otros</w:t>
      </w:r>
      <w:r w:rsidR="0049151C" w:rsidRPr="002261B9">
        <w:rPr>
          <w:lang w:val="es-ES"/>
        </w:rPr>
        <w:t>,</w:t>
      </w:r>
      <w:r w:rsidR="00B4799F" w:rsidRPr="002261B9">
        <w:rPr>
          <w:lang w:val="es-ES"/>
        </w:rPr>
        <w:t xml:space="preserve"> 2015)</w:t>
      </w:r>
      <w:r w:rsidR="00B45423" w:rsidRPr="002261B9">
        <w:rPr>
          <w:lang w:val="es-ES"/>
        </w:rPr>
        <w:t>.</w:t>
      </w:r>
      <w:r w:rsidR="00B4799F" w:rsidRPr="002261B9">
        <w:rPr>
          <w:lang w:val="es-ES"/>
        </w:rPr>
        <w:t xml:space="preserve"> </w:t>
      </w:r>
      <w:r w:rsidRPr="002261B9">
        <w:rPr>
          <w:lang w:val="es-ES"/>
        </w:rPr>
        <w:t>En los documentos de referencia</w:t>
      </w:r>
      <w:r w:rsidR="000A54C3" w:rsidRPr="002261B9">
        <w:rPr>
          <w:lang w:val="es-ES"/>
        </w:rPr>
        <w:t xml:space="preserve"> </w:t>
      </w:r>
      <w:r w:rsidR="00C770D2" w:rsidRPr="002261B9">
        <w:rPr>
          <w:lang w:val="es-ES"/>
        </w:rPr>
        <w:t>(ECHA</w:t>
      </w:r>
      <w:r w:rsidR="0049151C" w:rsidRPr="002261B9">
        <w:rPr>
          <w:lang w:val="es-ES"/>
        </w:rPr>
        <w:t>,</w:t>
      </w:r>
      <w:r w:rsidR="00C770D2" w:rsidRPr="002261B9">
        <w:rPr>
          <w:lang w:val="es-ES"/>
        </w:rPr>
        <w:t xml:space="preserve"> 2015a, </w:t>
      </w:r>
      <w:r w:rsidR="00575E9A" w:rsidRPr="002261B9">
        <w:rPr>
          <w:lang w:val="es-ES"/>
        </w:rPr>
        <w:t xml:space="preserve">cuadro </w:t>
      </w:r>
      <w:r w:rsidR="00C770D2" w:rsidRPr="002261B9">
        <w:rPr>
          <w:lang w:val="es-ES"/>
        </w:rPr>
        <w:t>C.1-1</w:t>
      </w:r>
      <w:r w:rsidR="009A4F22" w:rsidRPr="002261B9">
        <w:rPr>
          <w:lang w:val="es-ES"/>
        </w:rPr>
        <w:t xml:space="preserve">; </w:t>
      </w:r>
      <w:r w:rsidR="00F13B21" w:rsidRPr="002261B9">
        <w:rPr>
          <w:lang w:val="es-ES"/>
        </w:rPr>
        <w:t>véa</w:t>
      </w:r>
      <w:r w:rsidR="00033E30" w:rsidRPr="002261B9">
        <w:rPr>
          <w:lang w:val="es-ES"/>
        </w:rPr>
        <w:t>n</w:t>
      </w:r>
      <w:r w:rsidR="00F13B21" w:rsidRPr="002261B9">
        <w:rPr>
          <w:lang w:val="es-ES"/>
        </w:rPr>
        <w:t>se</w:t>
      </w:r>
      <w:r w:rsidR="00C770D2" w:rsidRPr="002261B9">
        <w:rPr>
          <w:lang w:val="es-ES"/>
        </w:rPr>
        <w:t xml:space="preserve"> </w:t>
      </w:r>
      <w:r w:rsidR="00706756" w:rsidRPr="002261B9">
        <w:rPr>
          <w:lang w:val="es-ES"/>
        </w:rPr>
        <w:t>UNEP/POPS/POPRC.13/INF/6</w:t>
      </w:r>
      <w:r w:rsidR="00CB21B7" w:rsidRPr="002261B9">
        <w:rPr>
          <w:lang w:val="es-ES"/>
        </w:rPr>
        <w:t>,</w:t>
      </w:r>
      <w:r w:rsidR="00C770D2" w:rsidRPr="002261B9">
        <w:rPr>
          <w:lang w:val="es-ES"/>
        </w:rPr>
        <w:t xml:space="preserve"> </w:t>
      </w:r>
      <w:r w:rsidR="00575E9A" w:rsidRPr="002261B9">
        <w:rPr>
          <w:lang w:val="es-ES"/>
        </w:rPr>
        <w:t>s</w:t>
      </w:r>
      <w:r w:rsidR="00C770D2" w:rsidRPr="002261B9">
        <w:rPr>
          <w:lang w:val="es-ES"/>
        </w:rPr>
        <w:t>ec</w:t>
      </w:r>
      <w:r w:rsidR="00575E9A" w:rsidRPr="002261B9">
        <w:rPr>
          <w:lang w:val="es-ES"/>
        </w:rPr>
        <w:t xml:space="preserve">ción </w:t>
      </w:r>
      <w:r w:rsidR="00C770D2" w:rsidRPr="002261B9">
        <w:rPr>
          <w:lang w:val="es-ES"/>
        </w:rPr>
        <w:t>3</w:t>
      </w:r>
      <w:r w:rsidR="00033E30" w:rsidRPr="002261B9">
        <w:rPr>
          <w:lang w:val="es-ES"/>
        </w:rPr>
        <w:t>,</w:t>
      </w:r>
      <w:r w:rsidR="00330C42" w:rsidRPr="002261B9">
        <w:rPr>
          <w:lang w:val="es-ES"/>
        </w:rPr>
        <w:t xml:space="preserve"> </w:t>
      </w:r>
      <w:r w:rsidR="00575E9A" w:rsidRPr="002261B9">
        <w:rPr>
          <w:lang w:val="es-ES"/>
        </w:rPr>
        <w:t>y</w:t>
      </w:r>
      <w:r w:rsidR="00330C42" w:rsidRPr="002261B9">
        <w:rPr>
          <w:lang w:val="es-ES"/>
        </w:rPr>
        <w:t xml:space="preserve"> </w:t>
      </w:r>
      <w:r w:rsidR="00575E9A" w:rsidRPr="002261B9">
        <w:rPr>
          <w:lang w:val="es-ES"/>
        </w:rPr>
        <w:t>PNUMA</w:t>
      </w:r>
      <w:r w:rsidR="0049151C" w:rsidRPr="002261B9">
        <w:rPr>
          <w:lang w:val="es-ES"/>
        </w:rPr>
        <w:t>,</w:t>
      </w:r>
      <w:r w:rsidR="00330C42" w:rsidRPr="002261B9">
        <w:rPr>
          <w:lang w:val="es-ES"/>
        </w:rPr>
        <w:t xml:space="preserve"> </w:t>
      </w:r>
      <w:r w:rsidR="00CB21B7" w:rsidRPr="002261B9">
        <w:rPr>
          <w:lang w:val="es-ES"/>
        </w:rPr>
        <w:t>2017</w:t>
      </w:r>
      <w:r w:rsidR="007D7099" w:rsidRPr="002261B9">
        <w:rPr>
          <w:lang w:val="es-ES"/>
        </w:rPr>
        <w:t>)</w:t>
      </w:r>
      <w:r w:rsidRPr="002261B9">
        <w:rPr>
          <w:lang w:val="es-ES"/>
        </w:rPr>
        <w:t xml:space="preserve"> se ofrece una </w:t>
      </w:r>
      <w:r w:rsidR="009E7F9A" w:rsidRPr="002261B9">
        <w:rPr>
          <w:lang w:val="es-ES"/>
        </w:rPr>
        <w:t>sinopsis</w:t>
      </w:r>
      <w:r w:rsidRPr="002261B9">
        <w:rPr>
          <w:lang w:val="es-ES"/>
        </w:rPr>
        <w:t xml:space="preserve"> de algunas alternativas fluoradas y no fluoradas par</w:t>
      </w:r>
      <w:r w:rsidR="005811B3" w:rsidRPr="002261B9">
        <w:rPr>
          <w:lang w:val="es-ES"/>
        </w:rPr>
        <w:t>a</w:t>
      </w:r>
      <w:r w:rsidRPr="002261B9">
        <w:rPr>
          <w:lang w:val="es-ES"/>
        </w:rPr>
        <w:t xml:space="preserve"> diferentes ramas de la industria</w:t>
      </w:r>
      <w:r w:rsidR="00C770D2" w:rsidRPr="002261B9">
        <w:rPr>
          <w:lang w:val="es-ES"/>
        </w:rPr>
        <w:t>.</w:t>
      </w:r>
    </w:p>
    <w:p w14:paraId="164548D5" w14:textId="54D67BF8" w:rsidR="00201012" w:rsidRPr="002261B9" w:rsidRDefault="005C3021" w:rsidP="00506E3A">
      <w:pPr>
        <w:pStyle w:val="StyleHeading3h3123SecTimesNewRomanBold"/>
        <w:ind w:left="1248" w:hanging="624"/>
        <w:rPr>
          <w:lang w:val="es-ES"/>
        </w:rPr>
      </w:pPr>
      <w:bookmarkStart w:id="51" w:name="_Toc501099205"/>
      <w:r w:rsidRPr="002261B9">
        <w:rPr>
          <w:lang w:val="es-ES"/>
        </w:rPr>
        <w:t>2.3.2</w:t>
      </w:r>
      <w:r w:rsidRPr="002261B9">
        <w:rPr>
          <w:lang w:val="es-ES"/>
        </w:rPr>
        <w:tab/>
      </w:r>
      <w:r w:rsidR="00201012" w:rsidRPr="002261B9">
        <w:rPr>
          <w:lang w:val="es-ES"/>
        </w:rPr>
        <w:t>Aspectos sectoriales específicos</w:t>
      </w:r>
      <w:bookmarkEnd w:id="51"/>
    </w:p>
    <w:p w14:paraId="7B07D53D" w14:textId="77777777" w:rsidR="00B12B97" w:rsidRPr="002261B9" w:rsidRDefault="00B12B97" w:rsidP="00F45508">
      <w:pPr>
        <w:pStyle w:val="Paralevel1"/>
        <w:numPr>
          <w:ilvl w:val="0"/>
          <w:numId w:val="23"/>
        </w:numPr>
        <w:tabs>
          <w:tab w:val="clear" w:pos="0"/>
        </w:tabs>
        <w:ind w:left="1247" w:firstLine="0"/>
        <w:rPr>
          <w:lang w:val="es-ES"/>
        </w:rPr>
      </w:pPr>
      <w:r w:rsidRPr="002261B9">
        <w:rPr>
          <w:lang w:val="es-ES"/>
        </w:rPr>
        <w:t>En los párrafos que siguen se analizan aspectos sectoriales específicos relacionad</w:t>
      </w:r>
      <w:r w:rsidR="005811B3" w:rsidRPr="002261B9">
        <w:rPr>
          <w:lang w:val="es-ES"/>
        </w:rPr>
        <w:t>o</w:t>
      </w:r>
      <w:r w:rsidRPr="002261B9">
        <w:rPr>
          <w:lang w:val="es-ES"/>
        </w:rPr>
        <w:t xml:space="preserve">s con las alternativas. </w:t>
      </w:r>
      <w:r w:rsidR="003E7AF2" w:rsidRPr="002261B9">
        <w:rPr>
          <w:lang w:val="es-ES"/>
        </w:rPr>
        <w:t>Sin embargo</w:t>
      </w:r>
      <w:r w:rsidRPr="002261B9">
        <w:rPr>
          <w:lang w:val="es-ES"/>
        </w:rPr>
        <w:t xml:space="preserve">, </w:t>
      </w:r>
      <w:r w:rsidR="003E7AF2" w:rsidRPr="002261B9">
        <w:rPr>
          <w:lang w:val="es-ES"/>
        </w:rPr>
        <w:t>diversos</w:t>
      </w:r>
      <w:r w:rsidRPr="002261B9">
        <w:rPr>
          <w:lang w:val="es-ES"/>
        </w:rPr>
        <w:t xml:space="preserve"> aspectos relacionados, en particular, con los riesgos de las alternativas (por ejemplo, </w:t>
      </w:r>
      <w:r w:rsidR="005811B3" w:rsidRPr="002261B9">
        <w:rPr>
          <w:lang w:val="es-ES"/>
        </w:rPr>
        <w:t xml:space="preserve">las </w:t>
      </w:r>
      <w:r w:rsidRPr="002261B9">
        <w:rPr>
          <w:lang w:val="es-ES"/>
        </w:rPr>
        <w:t xml:space="preserve">sustancias fluoradas de cadena corta) no se pueden asignar a un único sector, sino que se aplican a todos los sectores </w:t>
      </w:r>
      <w:r w:rsidR="003E7AF2" w:rsidRPr="002261B9">
        <w:rPr>
          <w:lang w:val="es-ES"/>
        </w:rPr>
        <w:t xml:space="preserve">para </w:t>
      </w:r>
      <w:r w:rsidRPr="002261B9">
        <w:rPr>
          <w:lang w:val="es-ES"/>
        </w:rPr>
        <w:t>los que las respectivas alternativas son importantes.</w:t>
      </w:r>
    </w:p>
    <w:p w14:paraId="768C7866" w14:textId="2187ABF0" w:rsidR="00105754" w:rsidRPr="002261B9" w:rsidRDefault="00EC480D" w:rsidP="00506E3A">
      <w:pPr>
        <w:keepNext/>
        <w:keepLines/>
        <w:tabs>
          <w:tab w:val="left" w:pos="624"/>
          <w:tab w:val="left" w:pos="1230"/>
        </w:tabs>
        <w:spacing w:after="120"/>
        <w:ind w:left="1248" w:hanging="624"/>
        <w:rPr>
          <w:b/>
          <w:i/>
          <w:sz w:val="20"/>
          <w:szCs w:val="20"/>
          <w:lang w:val="es-ES"/>
        </w:rPr>
      </w:pPr>
      <w:r w:rsidRPr="002261B9">
        <w:rPr>
          <w:b/>
          <w:i/>
          <w:sz w:val="20"/>
          <w:szCs w:val="20"/>
          <w:lang w:val="es-ES"/>
        </w:rPr>
        <w:t xml:space="preserve">A. </w:t>
      </w:r>
      <w:r w:rsidR="005C3021" w:rsidRPr="002261B9">
        <w:rPr>
          <w:b/>
          <w:i/>
          <w:sz w:val="20"/>
          <w:szCs w:val="20"/>
          <w:lang w:val="es-ES"/>
        </w:rPr>
        <w:tab/>
      </w:r>
      <w:r w:rsidRPr="002261B9">
        <w:rPr>
          <w:b/>
          <w:i/>
          <w:sz w:val="20"/>
          <w:szCs w:val="20"/>
          <w:lang w:val="es-ES"/>
        </w:rPr>
        <w:t>Elaboración de fluoropolímeros</w:t>
      </w:r>
    </w:p>
    <w:p w14:paraId="05F3C8FC" w14:textId="77777777" w:rsidR="00105754" w:rsidRPr="002261B9" w:rsidRDefault="007628BE" w:rsidP="00506E3A">
      <w:pPr>
        <w:keepNext/>
        <w:keepLines/>
        <w:tabs>
          <w:tab w:val="left" w:pos="624"/>
          <w:tab w:val="left" w:pos="1230"/>
        </w:tabs>
        <w:spacing w:after="120"/>
        <w:ind w:left="1854" w:hanging="624"/>
        <w:rPr>
          <w:b/>
          <w:i/>
          <w:sz w:val="20"/>
          <w:szCs w:val="20"/>
          <w:lang w:val="es-ES"/>
        </w:rPr>
      </w:pPr>
      <w:r w:rsidRPr="002261B9">
        <w:rPr>
          <w:b/>
          <w:i/>
          <w:sz w:val="20"/>
          <w:szCs w:val="20"/>
          <w:lang w:val="es-ES"/>
        </w:rPr>
        <w:t>Perfluoropoliéteres funcionalizados (PFPE)</w:t>
      </w:r>
    </w:p>
    <w:p w14:paraId="74721C9F" w14:textId="70EBC612" w:rsidR="00105754" w:rsidRPr="002261B9" w:rsidRDefault="00716DBA" w:rsidP="00F45508">
      <w:pPr>
        <w:pStyle w:val="Paralevel1"/>
        <w:numPr>
          <w:ilvl w:val="0"/>
          <w:numId w:val="23"/>
        </w:numPr>
        <w:tabs>
          <w:tab w:val="clear" w:pos="0"/>
        </w:tabs>
        <w:ind w:left="1247" w:firstLine="0"/>
        <w:rPr>
          <w:lang w:val="es-ES"/>
        </w:rPr>
      </w:pPr>
      <w:r w:rsidRPr="002261B9">
        <w:rPr>
          <w:lang w:val="es-ES"/>
        </w:rPr>
        <w:t>Según</w:t>
      </w:r>
      <w:r w:rsidR="00105754" w:rsidRPr="002261B9">
        <w:rPr>
          <w:lang w:val="es-ES"/>
        </w:rPr>
        <w:t xml:space="preserve"> FluoroCouncil</w:t>
      </w:r>
      <w:r w:rsidR="00265B71" w:rsidRPr="002261B9">
        <w:rPr>
          <w:lang w:val="es-ES"/>
        </w:rPr>
        <w:t>,</w:t>
      </w:r>
      <w:r w:rsidR="00105754" w:rsidRPr="002261B9">
        <w:rPr>
          <w:lang w:val="es-ES"/>
        </w:rPr>
        <w:t xml:space="preserve"> </w:t>
      </w:r>
      <w:r w:rsidRPr="002261B9">
        <w:rPr>
          <w:lang w:val="es-ES"/>
        </w:rPr>
        <w:t xml:space="preserve">existen diversas alternativas que ayudan al proceso de polimerización y que se usan para sustituir al </w:t>
      </w:r>
      <w:r w:rsidR="00105754" w:rsidRPr="002261B9">
        <w:rPr>
          <w:lang w:val="es-ES"/>
        </w:rPr>
        <w:t xml:space="preserve">PFOA </w:t>
      </w:r>
      <w:r w:rsidRPr="002261B9">
        <w:rPr>
          <w:lang w:val="es-ES"/>
        </w:rPr>
        <w:t xml:space="preserve">en la fabricación de </w:t>
      </w:r>
      <w:r w:rsidR="009321C2" w:rsidRPr="002261B9">
        <w:rPr>
          <w:lang w:val="es-ES"/>
        </w:rPr>
        <w:t>fluoropolímeros</w:t>
      </w:r>
      <w:r w:rsidR="00105754" w:rsidRPr="002261B9">
        <w:rPr>
          <w:lang w:val="es-ES"/>
        </w:rPr>
        <w:t xml:space="preserve"> (FluoroCouncil</w:t>
      </w:r>
      <w:r w:rsidR="0049151C" w:rsidRPr="002261B9">
        <w:rPr>
          <w:lang w:val="es-ES"/>
        </w:rPr>
        <w:t>,</w:t>
      </w:r>
      <w:r w:rsidR="00105754" w:rsidRPr="002261B9">
        <w:rPr>
          <w:lang w:val="es-ES"/>
        </w:rPr>
        <w:t xml:space="preserve"> 2016a</w:t>
      </w:r>
      <w:r w:rsidR="00CB494C" w:rsidRPr="002261B9">
        <w:rPr>
          <w:lang w:val="es-ES"/>
        </w:rPr>
        <w:t>)</w:t>
      </w:r>
      <w:r w:rsidR="00105754" w:rsidRPr="002261B9">
        <w:rPr>
          <w:lang w:val="es-ES"/>
        </w:rPr>
        <w:t>.</w:t>
      </w:r>
    </w:p>
    <w:p w14:paraId="58C0FEFD" w14:textId="27F91FAF" w:rsidR="00105754" w:rsidRPr="002261B9" w:rsidRDefault="00716DBA" w:rsidP="00F45508">
      <w:pPr>
        <w:pStyle w:val="Paralevel1"/>
        <w:numPr>
          <w:ilvl w:val="0"/>
          <w:numId w:val="23"/>
        </w:numPr>
        <w:tabs>
          <w:tab w:val="clear" w:pos="0"/>
        </w:tabs>
        <w:ind w:left="1247" w:firstLine="0"/>
        <w:rPr>
          <w:lang w:val="es-ES"/>
        </w:rPr>
      </w:pPr>
      <w:r w:rsidRPr="002261B9">
        <w:rPr>
          <w:lang w:val="es-ES"/>
        </w:rPr>
        <w:t>Los productores de fluoropolímeros usaron perfluorooctanoato de amonio o de sodio</w:t>
      </w:r>
      <w:r w:rsidR="00105754" w:rsidRPr="002261B9">
        <w:rPr>
          <w:lang w:val="es-ES"/>
        </w:rPr>
        <w:t xml:space="preserve"> (APFO </w:t>
      </w:r>
      <w:r w:rsidRPr="002261B9">
        <w:rPr>
          <w:lang w:val="es-ES"/>
        </w:rPr>
        <w:t>y</w:t>
      </w:r>
      <w:r w:rsidR="00506E3A" w:rsidRPr="002261B9">
        <w:rPr>
          <w:lang w:val="es-ES"/>
        </w:rPr>
        <w:t> </w:t>
      </w:r>
      <w:r w:rsidR="00105754" w:rsidRPr="002261B9">
        <w:rPr>
          <w:lang w:val="es-ES"/>
        </w:rPr>
        <w:t xml:space="preserve">NaPFO) </w:t>
      </w:r>
      <w:r w:rsidRPr="002261B9">
        <w:rPr>
          <w:lang w:val="es-ES"/>
        </w:rPr>
        <w:t>como agentes de proceso en la polimerización</w:t>
      </w:r>
      <w:r w:rsidR="00105754" w:rsidRPr="002261B9">
        <w:rPr>
          <w:lang w:val="es-ES"/>
        </w:rPr>
        <w:t xml:space="preserve"> (emulsi</w:t>
      </w:r>
      <w:r w:rsidRPr="002261B9">
        <w:rPr>
          <w:lang w:val="es-ES"/>
        </w:rPr>
        <w:t>ó</w:t>
      </w:r>
      <w:r w:rsidR="00105754" w:rsidRPr="002261B9">
        <w:rPr>
          <w:lang w:val="es-ES"/>
        </w:rPr>
        <w:t xml:space="preserve">n) </w:t>
      </w:r>
      <w:r w:rsidRPr="002261B9">
        <w:rPr>
          <w:lang w:val="es-ES"/>
        </w:rPr>
        <w:t>de</w:t>
      </w:r>
      <w:r w:rsidR="00105754" w:rsidRPr="002261B9">
        <w:rPr>
          <w:lang w:val="es-ES"/>
        </w:rPr>
        <w:t xml:space="preserve"> pol</w:t>
      </w:r>
      <w:r w:rsidRPr="002261B9">
        <w:rPr>
          <w:lang w:val="es-ES"/>
        </w:rPr>
        <w:t>i</w:t>
      </w:r>
      <w:r w:rsidR="00105754" w:rsidRPr="002261B9">
        <w:rPr>
          <w:lang w:val="es-ES"/>
        </w:rPr>
        <w:t>tetrafluoroet</w:t>
      </w:r>
      <w:r w:rsidRPr="002261B9">
        <w:rPr>
          <w:lang w:val="es-ES"/>
        </w:rPr>
        <w:t>i</w:t>
      </w:r>
      <w:r w:rsidR="00105754" w:rsidRPr="002261B9">
        <w:rPr>
          <w:lang w:val="es-ES"/>
        </w:rPr>
        <w:t>len</w:t>
      </w:r>
      <w:r w:rsidRPr="002261B9">
        <w:rPr>
          <w:lang w:val="es-ES"/>
        </w:rPr>
        <w:t>o</w:t>
      </w:r>
      <w:r w:rsidR="00105754" w:rsidRPr="002261B9">
        <w:rPr>
          <w:lang w:val="es-ES"/>
        </w:rPr>
        <w:t xml:space="preserve">, </w:t>
      </w:r>
      <w:r w:rsidR="00CD1876" w:rsidRPr="002261B9">
        <w:rPr>
          <w:lang w:val="es-ES"/>
        </w:rPr>
        <w:t>copolímero de eliteno-propilerno perfluorado</w:t>
      </w:r>
      <w:r w:rsidR="00105754" w:rsidRPr="002261B9">
        <w:rPr>
          <w:lang w:val="es-ES"/>
        </w:rPr>
        <w:t xml:space="preserve">, </w:t>
      </w:r>
      <w:r w:rsidRPr="002261B9">
        <w:rPr>
          <w:lang w:val="es-ES"/>
        </w:rPr>
        <w:t xml:space="preserve">el polímero de </w:t>
      </w:r>
      <w:r w:rsidR="00105754" w:rsidRPr="002261B9">
        <w:rPr>
          <w:lang w:val="es-ES"/>
        </w:rPr>
        <w:t>perfluoroal</w:t>
      </w:r>
      <w:r w:rsidRPr="002261B9">
        <w:rPr>
          <w:lang w:val="es-ES"/>
        </w:rPr>
        <w:t>c</w:t>
      </w:r>
      <w:r w:rsidR="009E7F9A" w:rsidRPr="002261B9">
        <w:rPr>
          <w:lang w:val="es-ES"/>
        </w:rPr>
        <w:t>oxi</w:t>
      </w:r>
      <w:r w:rsidR="00105754" w:rsidRPr="002261B9">
        <w:rPr>
          <w:lang w:val="es-ES"/>
        </w:rPr>
        <w:t xml:space="preserve"> </w:t>
      </w:r>
      <w:r w:rsidRPr="002261B9">
        <w:rPr>
          <w:lang w:val="es-ES"/>
        </w:rPr>
        <w:t xml:space="preserve">y determinados </w:t>
      </w:r>
      <w:r w:rsidR="006333A5" w:rsidRPr="002261B9">
        <w:rPr>
          <w:lang w:val="es-ES"/>
        </w:rPr>
        <w:t>fluoroelastómeros</w:t>
      </w:r>
      <w:r w:rsidR="00105754" w:rsidRPr="002261B9">
        <w:rPr>
          <w:lang w:val="es-ES"/>
        </w:rPr>
        <w:t xml:space="preserve">. </w:t>
      </w:r>
      <w:r w:rsidR="00CD1876" w:rsidRPr="002261B9">
        <w:rPr>
          <w:lang w:val="es-ES"/>
        </w:rPr>
        <w:t>Además</w:t>
      </w:r>
      <w:r w:rsidR="00105754" w:rsidRPr="002261B9">
        <w:rPr>
          <w:lang w:val="es-ES"/>
        </w:rPr>
        <w:t xml:space="preserve">, </w:t>
      </w:r>
      <w:r w:rsidR="00CD1876" w:rsidRPr="002261B9">
        <w:rPr>
          <w:lang w:val="es-ES"/>
        </w:rPr>
        <w:t>se aplicó perfluorononanoato de amonio (APFN) en</w:t>
      </w:r>
      <w:r w:rsidR="00284890" w:rsidRPr="002261B9">
        <w:rPr>
          <w:lang w:val="es-ES"/>
        </w:rPr>
        <w:t xml:space="preserve"> </w:t>
      </w:r>
      <w:r w:rsidR="00CD1876" w:rsidRPr="002261B9">
        <w:rPr>
          <w:lang w:val="es-ES"/>
        </w:rPr>
        <w:t xml:space="preserve">la polimerización </w:t>
      </w:r>
      <w:r w:rsidR="00082EA3" w:rsidRPr="002261B9">
        <w:rPr>
          <w:lang w:val="es-ES"/>
        </w:rPr>
        <w:t>en</w:t>
      </w:r>
      <w:r w:rsidR="00506E3A" w:rsidRPr="002261B9">
        <w:rPr>
          <w:lang w:val="es-ES"/>
        </w:rPr>
        <w:t> </w:t>
      </w:r>
      <w:r w:rsidR="00CD1876" w:rsidRPr="002261B9">
        <w:rPr>
          <w:lang w:val="es-ES"/>
        </w:rPr>
        <w:t>emulsión de fluoruro de polivinilideno</w:t>
      </w:r>
      <w:r w:rsidR="00105754" w:rsidRPr="002261B9">
        <w:rPr>
          <w:lang w:val="es-ES"/>
        </w:rPr>
        <w:t xml:space="preserve"> (Prevedouros </w:t>
      </w:r>
      <w:r w:rsidR="003134EC" w:rsidRPr="002261B9">
        <w:rPr>
          <w:lang w:val="es-ES"/>
        </w:rPr>
        <w:t>y otros</w:t>
      </w:r>
      <w:r w:rsidR="0049151C" w:rsidRPr="002261B9">
        <w:rPr>
          <w:lang w:val="es-ES"/>
        </w:rPr>
        <w:t>,</w:t>
      </w:r>
      <w:r w:rsidR="00105754" w:rsidRPr="002261B9">
        <w:rPr>
          <w:lang w:val="es-ES"/>
        </w:rPr>
        <w:t xml:space="preserve"> 2006). </w:t>
      </w:r>
      <w:r w:rsidR="004C737B" w:rsidRPr="002261B9">
        <w:rPr>
          <w:lang w:val="es-ES"/>
        </w:rPr>
        <w:t>La mayoría de los productores han creado sus propias alternativas</w:t>
      </w:r>
      <w:r w:rsidR="00105754" w:rsidRPr="002261B9">
        <w:rPr>
          <w:lang w:val="es-ES"/>
        </w:rPr>
        <w:t xml:space="preserve">. </w:t>
      </w:r>
      <w:r w:rsidR="00A63836" w:rsidRPr="002261B9">
        <w:rPr>
          <w:lang w:val="es-ES"/>
        </w:rPr>
        <w:t>Las alternativas</w:t>
      </w:r>
      <w:r w:rsidR="004C737B" w:rsidRPr="002261B9">
        <w:rPr>
          <w:lang w:val="es-ES"/>
        </w:rPr>
        <w:t xml:space="preserve"> fluoradas comercializadas son PFPE funcionalizados, entre otros,</w:t>
      </w:r>
      <w:r w:rsidR="00105754" w:rsidRPr="002261B9">
        <w:rPr>
          <w:lang w:val="es-ES"/>
        </w:rPr>
        <w:t xml:space="preserve"> ADONA </w:t>
      </w:r>
      <w:r w:rsidR="004C737B" w:rsidRPr="002261B9">
        <w:rPr>
          <w:lang w:val="es-ES"/>
        </w:rPr>
        <w:t xml:space="preserve">de </w:t>
      </w:r>
      <w:r w:rsidR="00105754" w:rsidRPr="002261B9">
        <w:rPr>
          <w:lang w:val="es-ES"/>
        </w:rPr>
        <w:t>3M/Dyneon (CF</w:t>
      </w:r>
      <w:r w:rsidR="00105754" w:rsidRPr="002261B9">
        <w:rPr>
          <w:vertAlign w:val="subscript"/>
          <w:lang w:val="es-ES"/>
        </w:rPr>
        <w:t>3</w:t>
      </w:r>
      <w:r w:rsidR="00105754" w:rsidRPr="002261B9">
        <w:rPr>
          <w:lang w:val="es-ES"/>
        </w:rPr>
        <w:t>OCF</w:t>
      </w:r>
      <w:r w:rsidR="00105754" w:rsidRPr="002261B9">
        <w:rPr>
          <w:vertAlign w:val="subscript"/>
          <w:lang w:val="es-ES"/>
        </w:rPr>
        <w:t>2</w:t>
      </w:r>
      <w:r w:rsidR="00105754" w:rsidRPr="002261B9">
        <w:rPr>
          <w:lang w:val="es-ES"/>
        </w:rPr>
        <w:t>CF</w:t>
      </w:r>
      <w:r w:rsidR="00105754" w:rsidRPr="002261B9">
        <w:rPr>
          <w:vertAlign w:val="subscript"/>
          <w:lang w:val="es-ES"/>
        </w:rPr>
        <w:t>2</w:t>
      </w:r>
      <w:r w:rsidR="00105754" w:rsidRPr="002261B9">
        <w:rPr>
          <w:lang w:val="es-ES"/>
        </w:rPr>
        <w:t>CF</w:t>
      </w:r>
      <w:r w:rsidR="00105754" w:rsidRPr="002261B9">
        <w:rPr>
          <w:vertAlign w:val="subscript"/>
          <w:lang w:val="es-ES"/>
        </w:rPr>
        <w:t>2</w:t>
      </w:r>
      <w:r w:rsidR="00105754" w:rsidRPr="002261B9">
        <w:rPr>
          <w:lang w:val="es-ES"/>
        </w:rPr>
        <w:t>OCHFCF</w:t>
      </w:r>
      <w:r w:rsidR="00105754" w:rsidRPr="002261B9">
        <w:rPr>
          <w:vertAlign w:val="subscript"/>
          <w:lang w:val="es-ES"/>
        </w:rPr>
        <w:t>2</w:t>
      </w:r>
      <w:r w:rsidR="00105754" w:rsidRPr="002261B9">
        <w:rPr>
          <w:lang w:val="es-ES"/>
        </w:rPr>
        <w:t>COO-NH</w:t>
      </w:r>
      <w:r w:rsidR="00105754" w:rsidRPr="002261B9">
        <w:rPr>
          <w:vertAlign w:val="subscript"/>
          <w:lang w:val="es-ES"/>
        </w:rPr>
        <w:t>4</w:t>
      </w:r>
      <w:r w:rsidR="00105754" w:rsidRPr="002261B9">
        <w:rPr>
          <w:lang w:val="es-ES"/>
        </w:rPr>
        <w:t>+</w:t>
      </w:r>
      <w:r w:rsidR="00942D74" w:rsidRPr="002261B9">
        <w:rPr>
          <w:lang w:val="es-ES"/>
        </w:rPr>
        <w:t xml:space="preserve">; </w:t>
      </w:r>
      <w:r w:rsidR="00426657" w:rsidRPr="002261B9">
        <w:rPr>
          <w:lang w:val="es-ES"/>
        </w:rPr>
        <w:t>núm.</w:t>
      </w:r>
      <w:r w:rsidR="00506E3A" w:rsidRPr="002261B9">
        <w:rPr>
          <w:lang w:val="es-ES"/>
        </w:rPr>
        <w:t> </w:t>
      </w:r>
      <w:r w:rsidR="00105754" w:rsidRPr="002261B9">
        <w:rPr>
          <w:lang w:val="es-ES"/>
        </w:rPr>
        <w:t>CAS 958445-44-8; Gordon</w:t>
      </w:r>
      <w:r w:rsidR="0049151C" w:rsidRPr="002261B9">
        <w:rPr>
          <w:lang w:val="es-ES"/>
        </w:rPr>
        <w:t>,</w:t>
      </w:r>
      <w:r w:rsidR="00105754" w:rsidRPr="002261B9">
        <w:rPr>
          <w:lang w:val="es-ES"/>
        </w:rPr>
        <w:t xml:space="preserve"> 2011), GenX</w:t>
      </w:r>
      <w:r w:rsidR="00284890" w:rsidRPr="002261B9">
        <w:rPr>
          <w:lang w:val="es-ES"/>
        </w:rPr>
        <w:t xml:space="preserve"> </w:t>
      </w:r>
      <w:r w:rsidR="004C737B" w:rsidRPr="002261B9">
        <w:rPr>
          <w:lang w:val="es-ES"/>
        </w:rPr>
        <w:t>de</w:t>
      </w:r>
      <w:r w:rsidR="00105754" w:rsidRPr="002261B9">
        <w:rPr>
          <w:lang w:val="es-ES"/>
        </w:rPr>
        <w:t xml:space="preserve"> DuPont </w:t>
      </w:r>
      <w:r w:rsidR="0004419C" w:rsidRPr="002261B9">
        <w:rPr>
          <w:lang w:val="es-ES"/>
        </w:rPr>
        <w:t xml:space="preserve">o </w:t>
      </w:r>
      <w:r w:rsidR="009E7F9A" w:rsidRPr="002261B9">
        <w:rPr>
          <w:lang w:val="es-ES"/>
        </w:rPr>
        <w:t xml:space="preserve">sal </w:t>
      </w:r>
      <w:r w:rsidR="0057533C" w:rsidRPr="002261B9">
        <w:rPr>
          <w:lang w:val="es-ES"/>
        </w:rPr>
        <w:t xml:space="preserve">Dimer </w:t>
      </w:r>
      <w:r w:rsidR="0004419C" w:rsidRPr="002261B9">
        <w:rPr>
          <w:lang w:val="es-ES"/>
        </w:rPr>
        <w:t>C</w:t>
      </w:r>
      <w:r w:rsidR="0004419C" w:rsidRPr="002261B9">
        <w:rPr>
          <w:vertAlign w:val="subscript"/>
          <w:lang w:val="es-ES"/>
        </w:rPr>
        <w:t>3</w:t>
      </w:r>
      <w:r w:rsidR="0004419C" w:rsidRPr="002261B9">
        <w:rPr>
          <w:rStyle w:val="FootnoteReference"/>
          <w:lang w:val="es-ES"/>
        </w:rPr>
        <w:footnoteReference w:id="21"/>
      </w:r>
      <w:r w:rsidR="0004419C" w:rsidRPr="002261B9">
        <w:rPr>
          <w:lang w:val="es-ES"/>
        </w:rPr>
        <w:t xml:space="preserve"> </w:t>
      </w:r>
      <w:r w:rsidR="00105754" w:rsidRPr="002261B9">
        <w:rPr>
          <w:lang w:val="es-ES"/>
        </w:rPr>
        <w:t>(CF</w:t>
      </w:r>
      <w:r w:rsidR="00105754" w:rsidRPr="002261B9">
        <w:rPr>
          <w:vertAlign w:val="subscript"/>
          <w:lang w:val="es-ES"/>
        </w:rPr>
        <w:t>3</w:t>
      </w:r>
      <w:r w:rsidR="00105754" w:rsidRPr="002261B9">
        <w:rPr>
          <w:lang w:val="es-ES"/>
        </w:rPr>
        <w:t>CF</w:t>
      </w:r>
      <w:r w:rsidR="00105754" w:rsidRPr="002261B9">
        <w:rPr>
          <w:vertAlign w:val="subscript"/>
          <w:lang w:val="es-ES"/>
        </w:rPr>
        <w:t>2</w:t>
      </w:r>
      <w:r w:rsidR="00105754" w:rsidRPr="002261B9">
        <w:rPr>
          <w:lang w:val="es-ES"/>
        </w:rPr>
        <w:t>CF</w:t>
      </w:r>
      <w:r w:rsidR="00105754" w:rsidRPr="002261B9">
        <w:rPr>
          <w:vertAlign w:val="subscript"/>
          <w:lang w:val="es-ES"/>
        </w:rPr>
        <w:t>2</w:t>
      </w:r>
      <w:r w:rsidR="00105754" w:rsidRPr="002261B9">
        <w:rPr>
          <w:lang w:val="es-ES"/>
        </w:rPr>
        <w:t>OCF(CF</w:t>
      </w:r>
      <w:r w:rsidR="00105754" w:rsidRPr="002261B9">
        <w:rPr>
          <w:vertAlign w:val="subscript"/>
          <w:lang w:val="es-ES"/>
        </w:rPr>
        <w:t>3</w:t>
      </w:r>
      <w:r w:rsidR="00105754" w:rsidRPr="002261B9">
        <w:rPr>
          <w:lang w:val="es-ES"/>
        </w:rPr>
        <w:t>)COO-NH</w:t>
      </w:r>
      <w:r w:rsidR="00105754" w:rsidRPr="002261B9">
        <w:rPr>
          <w:vertAlign w:val="subscript"/>
          <w:lang w:val="es-ES"/>
        </w:rPr>
        <w:t>4</w:t>
      </w:r>
      <w:r w:rsidR="00105754" w:rsidRPr="002261B9">
        <w:rPr>
          <w:lang w:val="es-ES"/>
        </w:rPr>
        <w:t>+</w:t>
      </w:r>
      <w:r w:rsidR="00942D74" w:rsidRPr="002261B9">
        <w:rPr>
          <w:lang w:val="es-ES"/>
        </w:rPr>
        <w:t>;</w:t>
      </w:r>
      <w:r w:rsidR="00105754" w:rsidRPr="002261B9">
        <w:rPr>
          <w:lang w:val="es-ES"/>
        </w:rPr>
        <w:t xml:space="preserve"> </w:t>
      </w:r>
      <w:r w:rsidR="00426657" w:rsidRPr="002261B9">
        <w:rPr>
          <w:lang w:val="es-ES"/>
        </w:rPr>
        <w:t xml:space="preserve">núm. </w:t>
      </w:r>
      <w:r w:rsidR="00105754" w:rsidRPr="002261B9">
        <w:rPr>
          <w:lang w:val="es-ES"/>
        </w:rPr>
        <w:t>CAS 62037-80-3; Du Pont</w:t>
      </w:r>
      <w:r w:rsidR="0049151C" w:rsidRPr="002261B9">
        <w:rPr>
          <w:lang w:val="es-ES"/>
        </w:rPr>
        <w:t>,</w:t>
      </w:r>
      <w:r w:rsidR="00105754" w:rsidRPr="002261B9">
        <w:rPr>
          <w:lang w:val="es-ES"/>
        </w:rPr>
        <w:t xml:space="preserve"> 2010), </w:t>
      </w:r>
      <w:r w:rsidR="004C737B" w:rsidRPr="002261B9">
        <w:rPr>
          <w:lang w:val="es-ES"/>
        </w:rPr>
        <w:t>PFPE cíclicos o polim</w:t>
      </w:r>
      <w:r w:rsidR="00082EA3" w:rsidRPr="002261B9">
        <w:rPr>
          <w:lang w:val="es-ES"/>
        </w:rPr>
        <w:t>éricos funcional</w:t>
      </w:r>
      <w:r w:rsidR="004C737B" w:rsidRPr="002261B9">
        <w:rPr>
          <w:lang w:val="es-ES"/>
        </w:rPr>
        <w:t>izados de</w:t>
      </w:r>
      <w:r w:rsidR="00105754" w:rsidRPr="002261B9">
        <w:rPr>
          <w:lang w:val="es-ES"/>
        </w:rPr>
        <w:t xml:space="preserve"> Solvay (Marchionni </w:t>
      </w:r>
      <w:r w:rsidR="003134EC" w:rsidRPr="002261B9">
        <w:rPr>
          <w:lang w:val="es-ES"/>
        </w:rPr>
        <w:t>y otros</w:t>
      </w:r>
      <w:r w:rsidR="0049151C" w:rsidRPr="002261B9">
        <w:rPr>
          <w:lang w:val="es-ES"/>
        </w:rPr>
        <w:t>,</w:t>
      </w:r>
      <w:r w:rsidR="00CB494C" w:rsidRPr="002261B9">
        <w:rPr>
          <w:lang w:val="es-ES"/>
        </w:rPr>
        <w:t xml:space="preserve"> </w:t>
      </w:r>
      <w:r w:rsidR="00105754" w:rsidRPr="002261B9">
        <w:rPr>
          <w:lang w:val="es-ES"/>
        </w:rPr>
        <w:t xml:space="preserve">2010; Pieri </w:t>
      </w:r>
      <w:r w:rsidR="003134EC" w:rsidRPr="002261B9">
        <w:rPr>
          <w:lang w:val="es-ES"/>
        </w:rPr>
        <w:t>y otros</w:t>
      </w:r>
      <w:r w:rsidR="0049151C" w:rsidRPr="002261B9">
        <w:rPr>
          <w:lang w:val="es-ES"/>
        </w:rPr>
        <w:t>,</w:t>
      </w:r>
      <w:r w:rsidR="00105754" w:rsidRPr="002261B9">
        <w:rPr>
          <w:lang w:val="es-ES"/>
        </w:rPr>
        <w:t xml:space="preserve"> 2011; Spada </w:t>
      </w:r>
      <w:r w:rsidR="004C737B" w:rsidRPr="002261B9">
        <w:rPr>
          <w:lang w:val="es-ES"/>
        </w:rPr>
        <w:t>y</w:t>
      </w:r>
      <w:r w:rsidR="00105754" w:rsidRPr="002261B9">
        <w:rPr>
          <w:lang w:val="es-ES"/>
        </w:rPr>
        <w:t xml:space="preserve"> Kent</w:t>
      </w:r>
      <w:r w:rsidR="0049151C" w:rsidRPr="002261B9">
        <w:rPr>
          <w:lang w:val="es-ES"/>
        </w:rPr>
        <w:t>,</w:t>
      </w:r>
      <w:r w:rsidR="00105754" w:rsidRPr="002261B9">
        <w:rPr>
          <w:lang w:val="es-ES"/>
        </w:rPr>
        <w:t>2011)</w:t>
      </w:r>
      <w:r w:rsidR="004C737B" w:rsidRPr="002261B9">
        <w:rPr>
          <w:lang w:val="es-ES"/>
        </w:rPr>
        <w:t xml:space="preserve">, así como </w:t>
      </w:r>
      <w:r w:rsidR="00265B71" w:rsidRPr="002261B9">
        <w:rPr>
          <w:lang w:val="es-ES"/>
        </w:rPr>
        <w:t>EEA-NH</w:t>
      </w:r>
      <w:r w:rsidR="00265B71" w:rsidRPr="002261B9">
        <w:rPr>
          <w:vertAlign w:val="subscript"/>
          <w:lang w:val="es-ES"/>
        </w:rPr>
        <w:t>4</w:t>
      </w:r>
      <w:r w:rsidR="00265B71" w:rsidRPr="002261B9">
        <w:rPr>
          <w:lang w:val="es-ES"/>
        </w:rPr>
        <w:t xml:space="preserve"> </w:t>
      </w:r>
      <w:r w:rsidR="004C737B" w:rsidRPr="002261B9">
        <w:rPr>
          <w:lang w:val="es-ES"/>
        </w:rPr>
        <w:t>de</w:t>
      </w:r>
      <w:r w:rsidR="00105754" w:rsidRPr="002261B9">
        <w:rPr>
          <w:lang w:val="es-ES"/>
        </w:rPr>
        <w:t xml:space="preserve"> Asahi (</w:t>
      </w:r>
      <w:r w:rsidR="00942D74" w:rsidRPr="002261B9">
        <w:rPr>
          <w:lang w:val="es-ES"/>
        </w:rPr>
        <w:t>C</w:t>
      </w:r>
      <w:r w:rsidR="00942D74" w:rsidRPr="002261B9">
        <w:rPr>
          <w:vertAlign w:val="subscript"/>
          <w:lang w:val="es-ES"/>
        </w:rPr>
        <w:t>2</w:t>
      </w:r>
      <w:r w:rsidR="00942D74" w:rsidRPr="002261B9">
        <w:rPr>
          <w:lang w:val="es-ES"/>
        </w:rPr>
        <w:t>F</w:t>
      </w:r>
      <w:r w:rsidR="00942D74" w:rsidRPr="002261B9">
        <w:rPr>
          <w:vertAlign w:val="subscript"/>
          <w:lang w:val="es-ES"/>
        </w:rPr>
        <w:t>5</w:t>
      </w:r>
      <w:r w:rsidR="00942D74" w:rsidRPr="002261B9">
        <w:rPr>
          <w:lang w:val="es-ES"/>
        </w:rPr>
        <w:t>OC</w:t>
      </w:r>
      <w:r w:rsidR="00942D74" w:rsidRPr="002261B9">
        <w:rPr>
          <w:vertAlign w:val="subscript"/>
          <w:lang w:val="es-ES"/>
        </w:rPr>
        <w:t>2</w:t>
      </w:r>
      <w:r w:rsidR="00942D74" w:rsidRPr="002261B9">
        <w:rPr>
          <w:lang w:val="es-ES"/>
        </w:rPr>
        <w:t>F</w:t>
      </w:r>
      <w:r w:rsidR="00942D74" w:rsidRPr="002261B9">
        <w:rPr>
          <w:vertAlign w:val="subscript"/>
          <w:lang w:val="es-ES"/>
        </w:rPr>
        <w:t>4</w:t>
      </w:r>
      <w:r w:rsidR="00942D74" w:rsidRPr="002261B9">
        <w:rPr>
          <w:lang w:val="es-ES"/>
        </w:rPr>
        <w:t>OCF</w:t>
      </w:r>
      <w:r w:rsidR="00942D74" w:rsidRPr="002261B9">
        <w:rPr>
          <w:vertAlign w:val="subscript"/>
          <w:lang w:val="es-ES"/>
        </w:rPr>
        <w:t>2</w:t>
      </w:r>
      <w:r w:rsidR="00942D74" w:rsidRPr="002261B9">
        <w:rPr>
          <w:lang w:val="es-ES"/>
        </w:rPr>
        <w:t>COO-NH</w:t>
      </w:r>
      <w:r w:rsidR="00942D74" w:rsidRPr="002261B9">
        <w:rPr>
          <w:vertAlign w:val="subscript"/>
          <w:lang w:val="es-ES"/>
        </w:rPr>
        <w:t>4</w:t>
      </w:r>
      <w:r w:rsidR="00942D74" w:rsidRPr="002261B9">
        <w:rPr>
          <w:lang w:val="es-ES"/>
        </w:rPr>
        <w:t xml:space="preserve">+; </w:t>
      </w:r>
      <w:r w:rsidR="00105754" w:rsidRPr="002261B9">
        <w:rPr>
          <w:lang w:val="es-ES"/>
        </w:rPr>
        <w:t>CAS No. 908020-52-0; EFSA</w:t>
      </w:r>
      <w:r w:rsidR="0049151C" w:rsidRPr="002261B9">
        <w:rPr>
          <w:lang w:val="es-ES"/>
        </w:rPr>
        <w:t>,</w:t>
      </w:r>
      <w:r w:rsidR="00105754" w:rsidRPr="002261B9">
        <w:rPr>
          <w:lang w:val="es-ES"/>
        </w:rPr>
        <w:t xml:space="preserve"> 2011a</w:t>
      </w:r>
      <w:r w:rsidR="00CB494C" w:rsidRPr="002261B9">
        <w:rPr>
          <w:lang w:val="es-ES"/>
        </w:rPr>
        <w:t>)</w:t>
      </w:r>
      <w:r w:rsidR="00105754" w:rsidRPr="002261B9">
        <w:rPr>
          <w:lang w:val="es-ES"/>
        </w:rPr>
        <w:t>.</w:t>
      </w:r>
      <w:r w:rsidR="00284890" w:rsidRPr="002261B9">
        <w:rPr>
          <w:lang w:val="es-ES"/>
        </w:rPr>
        <w:t xml:space="preserve"> </w:t>
      </w:r>
      <w:r w:rsidR="004C737B" w:rsidRPr="002261B9">
        <w:rPr>
          <w:lang w:val="es-ES"/>
        </w:rPr>
        <w:t>En la sección V de FOEN</w:t>
      </w:r>
      <w:r w:rsidR="0049151C" w:rsidRPr="002261B9">
        <w:rPr>
          <w:lang w:val="es-ES"/>
        </w:rPr>
        <w:t>,</w:t>
      </w:r>
      <w:r w:rsidR="004C737B" w:rsidRPr="002261B9">
        <w:rPr>
          <w:lang w:val="es-ES"/>
        </w:rPr>
        <w:t xml:space="preserve"> 2017 se ha recopilado información adicional sobre alternativas al </w:t>
      </w:r>
      <w:r w:rsidR="009C5BC9" w:rsidRPr="002261B9">
        <w:rPr>
          <w:lang w:val="es-ES"/>
        </w:rPr>
        <w:t xml:space="preserve">PFOA </w:t>
      </w:r>
      <w:r w:rsidR="004C737B" w:rsidRPr="002261B9">
        <w:rPr>
          <w:lang w:val="es-ES"/>
        </w:rPr>
        <w:t>e</w:t>
      </w:r>
      <w:r w:rsidR="009C5BC9" w:rsidRPr="002261B9">
        <w:rPr>
          <w:lang w:val="es-ES"/>
        </w:rPr>
        <w:t>n</w:t>
      </w:r>
      <w:r w:rsidR="004C737B" w:rsidRPr="002261B9">
        <w:rPr>
          <w:lang w:val="es-ES"/>
        </w:rPr>
        <w:t xml:space="preserve"> la producción de fluoropolímeros, y se hace hincapié en la fabricación de </w:t>
      </w:r>
      <w:r w:rsidR="009321C2" w:rsidRPr="002261B9">
        <w:rPr>
          <w:lang w:val="es-ES"/>
        </w:rPr>
        <w:t>fluoropolímeros</w:t>
      </w:r>
      <w:r w:rsidR="009C5BC9" w:rsidRPr="002261B9">
        <w:rPr>
          <w:lang w:val="es-ES"/>
        </w:rPr>
        <w:t xml:space="preserve"> </w:t>
      </w:r>
      <w:r w:rsidR="004C737B" w:rsidRPr="002261B9">
        <w:rPr>
          <w:lang w:val="es-ES"/>
        </w:rPr>
        <w:t>e</w:t>
      </w:r>
      <w:r w:rsidR="009C5BC9" w:rsidRPr="002261B9">
        <w:rPr>
          <w:lang w:val="es-ES"/>
        </w:rPr>
        <w:t xml:space="preserve">n China </w:t>
      </w:r>
      <w:r w:rsidR="004C737B" w:rsidRPr="002261B9">
        <w:rPr>
          <w:lang w:val="es-ES"/>
        </w:rPr>
        <w:t>y en los procesos de</w:t>
      </w:r>
      <w:r w:rsidR="00082EA3" w:rsidRPr="002261B9">
        <w:rPr>
          <w:lang w:val="es-ES"/>
        </w:rPr>
        <w:t xml:space="preserve"> polimerización en emulsión acuosa sin emulsionante fluorado</w:t>
      </w:r>
      <w:r w:rsidR="009C5BC9" w:rsidRPr="002261B9">
        <w:rPr>
          <w:lang w:val="es-ES"/>
        </w:rPr>
        <w:t>.</w:t>
      </w:r>
    </w:p>
    <w:p w14:paraId="7F031A3B" w14:textId="253AD421" w:rsidR="00105754" w:rsidRPr="002261B9" w:rsidRDefault="00082EA3" w:rsidP="00F45508">
      <w:pPr>
        <w:pStyle w:val="Paralevel1"/>
        <w:numPr>
          <w:ilvl w:val="0"/>
          <w:numId w:val="23"/>
        </w:numPr>
        <w:tabs>
          <w:tab w:val="clear" w:pos="0"/>
        </w:tabs>
        <w:ind w:left="1247" w:firstLine="0"/>
        <w:rPr>
          <w:lang w:val="es-ES"/>
        </w:rPr>
      </w:pPr>
      <w:r w:rsidRPr="002261B9">
        <w:rPr>
          <w:lang w:val="es-ES"/>
        </w:rPr>
        <w:t>En el proceso de elaboración de la restricción de la UE se evaluaron tres alternativas al</w:t>
      </w:r>
      <w:r w:rsidR="00105754" w:rsidRPr="002261B9">
        <w:rPr>
          <w:lang w:val="es-ES"/>
        </w:rPr>
        <w:t xml:space="preserve"> PFOA </w:t>
      </w:r>
      <w:r w:rsidRPr="002261B9">
        <w:rPr>
          <w:lang w:val="es-ES"/>
        </w:rPr>
        <w:t>con grupos funcionales a base de éter</w:t>
      </w:r>
      <w:r w:rsidR="00265B71" w:rsidRPr="002261B9">
        <w:rPr>
          <w:lang w:val="es-ES"/>
        </w:rPr>
        <w:t xml:space="preserve"> </w:t>
      </w:r>
      <w:r w:rsidR="00105754" w:rsidRPr="002261B9">
        <w:rPr>
          <w:lang w:val="es-ES"/>
        </w:rPr>
        <w:t>(</w:t>
      </w:r>
      <w:r w:rsidR="00265B71" w:rsidRPr="002261B9">
        <w:rPr>
          <w:lang w:val="es-ES"/>
        </w:rPr>
        <w:t>GenX</w:t>
      </w:r>
      <w:r w:rsidR="00E9690E" w:rsidRPr="002261B9">
        <w:rPr>
          <w:lang w:val="es-ES"/>
        </w:rPr>
        <w:t>,</w:t>
      </w:r>
      <w:r w:rsidR="00265B71" w:rsidRPr="002261B9">
        <w:rPr>
          <w:lang w:val="es-ES"/>
        </w:rPr>
        <w:t xml:space="preserve"> </w:t>
      </w:r>
      <w:r w:rsidR="00105754" w:rsidRPr="002261B9">
        <w:rPr>
          <w:lang w:val="es-ES"/>
        </w:rPr>
        <w:t xml:space="preserve">ADONA </w:t>
      </w:r>
      <w:r w:rsidRPr="002261B9">
        <w:rPr>
          <w:lang w:val="es-ES"/>
        </w:rPr>
        <w:t>y</w:t>
      </w:r>
      <w:r w:rsidR="00105754" w:rsidRPr="002261B9">
        <w:rPr>
          <w:lang w:val="es-ES"/>
        </w:rPr>
        <w:t xml:space="preserve"> EEA-NH</w:t>
      </w:r>
      <w:r w:rsidR="00105754" w:rsidRPr="002261B9">
        <w:rPr>
          <w:vertAlign w:val="subscript"/>
          <w:lang w:val="es-ES"/>
        </w:rPr>
        <w:t>4</w:t>
      </w:r>
      <w:r w:rsidR="00105754" w:rsidRPr="002261B9">
        <w:rPr>
          <w:lang w:val="es-ES"/>
        </w:rPr>
        <w:t xml:space="preserve">) </w:t>
      </w:r>
      <w:r w:rsidRPr="002261B9">
        <w:rPr>
          <w:lang w:val="es-ES"/>
        </w:rPr>
        <w:t>que, por regla general, son más cortas y menos fluoradas</w:t>
      </w:r>
      <w:r w:rsidR="00105754" w:rsidRPr="002261B9">
        <w:rPr>
          <w:lang w:val="es-ES"/>
        </w:rPr>
        <w:t xml:space="preserve"> (ECHA</w:t>
      </w:r>
      <w:r w:rsidR="0049151C" w:rsidRPr="002261B9">
        <w:rPr>
          <w:lang w:val="es-ES"/>
        </w:rPr>
        <w:t>,</w:t>
      </w:r>
      <w:r w:rsidR="00105754" w:rsidRPr="002261B9">
        <w:rPr>
          <w:lang w:val="es-ES"/>
        </w:rPr>
        <w:t xml:space="preserve"> 2015a, se</w:t>
      </w:r>
      <w:r w:rsidRPr="002261B9">
        <w:rPr>
          <w:lang w:val="es-ES"/>
        </w:rPr>
        <w:t>cción</w:t>
      </w:r>
      <w:r w:rsidR="00105754" w:rsidRPr="002261B9">
        <w:rPr>
          <w:lang w:val="es-ES"/>
        </w:rPr>
        <w:t xml:space="preserve"> C3). </w:t>
      </w:r>
      <w:r w:rsidR="009E7F9A" w:rsidRPr="002261B9">
        <w:rPr>
          <w:lang w:val="es-ES"/>
        </w:rPr>
        <w:t>sal</w:t>
      </w:r>
      <w:r w:rsidR="00105754" w:rsidRPr="002261B9">
        <w:rPr>
          <w:lang w:val="es-ES"/>
        </w:rPr>
        <w:t xml:space="preserve"> C</w:t>
      </w:r>
      <w:r w:rsidR="00105754" w:rsidRPr="002261B9">
        <w:rPr>
          <w:vertAlign w:val="subscript"/>
          <w:lang w:val="es-ES"/>
        </w:rPr>
        <w:t>3</w:t>
      </w:r>
      <w:r w:rsidR="00105754" w:rsidRPr="002261B9">
        <w:rPr>
          <w:lang w:val="es-ES"/>
        </w:rPr>
        <w:t xml:space="preserve"> Dimer, ADONA </w:t>
      </w:r>
      <w:r w:rsidRPr="002261B9">
        <w:rPr>
          <w:lang w:val="es-ES"/>
        </w:rPr>
        <w:t>y</w:t>
      </w:r>
      <w:r w:rsidR="00105754" w:rsidRPr="002261B9">
        <w:rPr>
          <w:lang w:val="es-ES"/>
        </w:rPr>
        <w:t xml:space="preserve"> EEA-NH</w:t>
      </w:r>
      <w:r w:rsidR="00105754" w:rsidRPr="002261B9">
        <w:rPr>
          <w:vertAlign w:val="subscript"/>
          <w:lang w:val="es-ES"/>
        </w:rPr>
        <w:t>4</w:t>
      </w:r>
      <w:r w:rsidR="00105754" w:rsidRPr="002261B9">
        <w:rPr>
          <w:lang w:val="es-ES"/>
        </w:rPr>
        <w:t xml:space="preserve"> </w:t>
      </w:r>
      <w:r w:rsidRPr="002261B9">
        <w:rPr>
          <w:lang w:val="es-ES"/>
        </w:rPr>
        <w:t xml:space="preserve">se aplican como alternativas al uso del </w:t>
      </w:r>
      <w:r w:rsidR="00105754" w:rsidRPr="002261B9">
        <w:rPr>
          <w:lang w:val="es-ES"/>
        </w:rPr>
        <w:t xml:space="preserve">PFOA </w:t>
      </w:r>
      <w:r w:rsidRPr="002261B9">
        <w:rPr>
          <w:lang w:val="es-ES"/>
        </w:rPr>
        <w:t xml:space="preserve">como agente de procesos en la polimerización, donde se aplica como emulsionante que permite a los </w:t>
      </w:r>
      <w:r w:rsidR="00105754" w:rsidRPr="002261B9">
        <w:rPr>
          <w:lang w:val="es-ES"/>
        </w:rPr>
        <w:t>reactant</w:t>
      </w:r>
      <w:r w:rsidRPr="002261B9">
        <w:rPr>
          <w:lang w:val="es-ES"/>
        </w:rPr>
        <w:t>e</w:t>
      </w:r>
      <w:r w:rsidR="00105754" w:rsidRPr="002261B9">
        <w:rPr>
          <w:lang w:val="es-ES"/>
        </w:rPr>
        <w:t xml:space="preserve">s </w:t>
      </w:r>
      <w:r w:rsidRPr="002261B9">
        <w:rPr>
          <w:lang w:val="es-ES"/>
        </w:rPr>
        <w:t xml:space="preserve">de la fase acuosa y a los reactantes de la fase </w:t>
      </w:r>
      <w:r w:rsidR="003E7AF2" w:rsidRPr="002261B9">
        <w:rPr>
          <w:lang w:val="es-ES"/>
        </w:rPr>
        <w:t>hidró</w:t>
      </w:r>
      <w:r w:rsidR="009E7F9A" w:rsidRPr="002261B9">
        <w:rPr>
          <w:lang w:val="es-ES"/>
        </w:rPr>
        <w:t>foba</w:t>
      </w:r>
      <w:r w:rsidRPr="002261B9">
        <w:rPr>
          <w:lang w:val="es-ES"/>
        </w:rPr>
        <w:t xml:space="preserve"> entrar en contacto en una emulsión y reaccionar entre sí</w:t>
      </w:r>
      <w:r w:rsidR="00105754" w:rsidRPr="002261B9">
        <w:rPr>
          <w:lang w:val="es-ES"/>
        </w:rPr>
        <w:t xml:space="preserve"> (ECHA</w:t>
      </w:r>
      <w:r w:rsidR="004904E9" w:rsidRPr="002261B9">
        <w:rPr>
          <w:lang w:val="es-ES"/>
        </w:rPr>
        <w:t>,</w:t>
      </w:r>
      <w:r w:rsidR="006F57D4" w:rsidRPr="002261B9">
        <w:rPr>
          <w:lang w:val="es-ES"/>
        </w:rPr>
        <w:t xml:space="preserve"> 2</w:t>
      </w:r>
      <w:r w:rsidR="00105754" w:rsidRPr="002261B9">
        <w:rPr>
          <w:lang w:val="es-ES"/>
        </w:rPr>
        <w:t>015a)</w:t>
      </w:r>
      <w:r w:rsidR="00CB494C" w:rsidRPr="002261B9">
        <w:rPr>
          <w:lang w:val="es-ES"/>
        </w:rPr>
        <w:t>)</w:t>
      </w:r>
      <w:r w:rsidR="00105754" w:rsidRPr="002261B9">
        <w:rPr>
          <w:lang w:val="es-ES"/>
        </w:rPr>
        <w:t xml:space="preserve">. </w:t>
      </w:r>
      <w:r w:rsidRPr="002261B9">
        <w:rPr>
          <w:lang w:val="es-ES"/>
        </w:rPr>
        <w:t xml:space="preserve">Según </w:t>
      </w:r>
      <w:r w:rsidR="00105754" w:rsidRPr="002261B9">
        <w:rPr>
          <w:lang w:val="es-ES"/>
        </w:rPr>
        <w:t>ECHA</w:t>
      </w:r>
      <w:r w:rsidRPr="002261B9">
        <w:rPr>
          <w:lang w:val="es-ES"/>
        </w:rPr>
        <w:t xml:space="preserve">, muchos de los interesados plantearon que no existen diferencias técnicas entre los </w:t>
      </w:r>
      <w:r w:rsidR="009321C2" w:rsidRPr="002261B9">
        <w:rPr>
          <w:lang w:val="es-ES"/>
        </w:rPr>
        <w:t>fluoropolímeros</w:t>
      </w:r>
      <w:r w:rsidR="00105754" w:rsidRPr="002261B9">
        <w:rPr>
          <w:lang w:val="es-ES"/>
        </w:rPr>
        <w:t xml:space="preserve"> produc</w:t>
      </w:r>
      <w:r w:rsidR="00293651" w:rsidRPr="002261B9">
        <w:rPr>
          <w:lang w:val="es-ES"/>
        </w:rPr>
        <w:t>idos con</w:t>
      </w:r>
      <w:r w:rsidRPr="002261B9">
        <w:rPr>
          <w:lang w:val="es-ES"/>
        </w:rPr>
        <w:t xml:space="preserve"> las alternativas y los producidos con</w:t>
      </w:r>
      <w:r w:rsidR="00105754" w:rsidRPr="002261B9">
        <w:rPr>
          <w:lang w:val="es-ES"/>
        </w:rPr>
        <w:t xml:space="preserve"> PFOA (o</w:t>
      </w:r>
      <w:r w:rsidRPr="002261B9">
        <w:rPr>
          <w:lang w:val="es-ES"/>
        </w:rPr>
        <w:t xml:space="preserve"> no saben si existe alguna diferencia</w:t>
      </w:r>
      <w:r w:rsidR="00105754" w:rsidRPr="002261B9">
        <w:rPr>
          <w:lang w:val="es-ES"/>
        </w:rPr>
        <w:t>) (ECHA</w:t>
      </w:r>
      <w:r w:rsidR="0049151C" w:rsidRPr="002261B9">
        <w:rPr>
          <w:lang w:val="es-ES"/>
        </w:rPr>
        <w:t>,</w:t>
      </w:r>
      <w:r w:rsidR="00105754" w:rsidRPr="002261B9">
        <w:rPr>
          <w:lang w:val="es-ES"/>
        </w:rPr>
        <w:t xml:space="preserve"> 2015a</w:t>
      </w:r>
      <w:r w:rsidR="00CB494C" w:rsidRPr="002261B9">
        <w:rPr>
          <w:lang w:val="es-ES"/>
        </w:rPr>
        <w:t>)</w:t>
      </w:r>
      <w:r w:rsidR="00105754" w:rsidRPr="002261B9">
        <w:rPr>
          <w:lang w:val="es-ES"/>
        </w:rPr>
        <w:t xml:space="preserve">. </w:t>
      </w:r>
      <w:r w:rsidRPr="002261B9">
        <w:rPr>
          <w:lang w:val="es-ES"/>
        </w:rPr>
        <w:t>Los fabricantes de fluoropolímeros plantearon durante la consulta pública de la UE</w:t>
      </w:r>
      <w:r w:rsidR="003E7AF2" w:rsidRPr="002261B9">
        <w:rPr>
          <w:lang w:val="es-ES"/>
        </w:rPr>
        <w:t>,</w:t>
      </w:r>
      <w:r w:rsidRPr="002261B9">
        <w:rPr>
          <w:lang w:val="es-ES"/>
        </w:rPr>
        <w:t xml:space="preserve"> que el aumento de los costos de producción variaba de cero a </w:t>
      </w:r>
      <w:r w:rsidR="00105754" w:rsidRPr="002261B9">
        <w:rPr>
          <w:lang w:val="es-ES"/>
        </w:rPr>
        <w:t xml:space="preserve">20% </w:t>
      </w:r>
      <w:r w:rsidRPr="002261B9">
        <w:rPr>
          <w:lang w:val="es-ES"/>
        </w:rPr>
        <w:t>cuando se aplicaban las alternativas</w:t>
      </w:r>
      <w:r w:rsidR="00105754" w:rsidRPr="002261B9">
        <w:rPr>
          <w:lang w:val="es-ES"/>
        </w:rPr>
        <w:t xml:space="preserve"> (ECHA</w:t>
      </w:r>
      <w:r w:rsidR="0049151C" w:rsidRPr="002261B9">
        <w:rPr>
          <w:lang w:val="es-ES"/>
        </w:rPr>
        <w:t>,</w:t>
      </w:r>
      <w:r w:rsidR="00105754" w:rsidRPr="002261B9">
        <w:rPr>
          <w:lang w:val="es-ES"/>
        </w:rPr>
        <w:t xml:space="preserve"> 2015a</w:t>
      </w:r>
      <w:r w:rsidR="00CB494C" w:rsidRPr="002261B9">
        <w:rPr>
          <w:lang w:val="es-ES"/>
        </w:rPr>
        <w:t>)</w:t>
      </w:r>
      <w:r w:rsidR="00105754" w:rsidRPr="002261B9">
        <w:rPr>
          <w:lang w:val="es-ES"/>
        </w:rPr>
        <w:t xml:space="preserve">. </w:t>
      </w:r>
      <w:r w:rsidRPr="002261B9">
        <w:rPr>
          <w:lang w:val="es-ES"/>
        </w:rPr>
        <w:t>Ese aumento es el resultado del costo más elevado de las alternativas, así como del aumento de las cantidades de alternativas necesarias para fabricar una unidad de fluoropolímero</w:t>
      </w:r>
      <w:r w:rsidR="00105754" w:rsidRPr="002261B9">
        <w:rPr>
          <w:lang w:val="es-ES"/>
        </w:rPr>
        <w:t xml:space="preserve">. </w:t>
      </w:r>
      <w:r w:rsidRPr="002261B9">
        <w:rPr>
          <w:lang w:val="es-ES"/>
        </w:rPr>
        <w:t xml:space="preserve">Algunos usuarios </w:t>
      </w:r>
      <w:r w:rsidR="00293651" w:rsidRPr="002261B9">
        <w:rPr>
          <w:lang w:val="es-ES"/>
        </w:rPr>
        <w:t>intermedios</w:t>
      </w:r>
      <w:r w:rsidRPr="002261B9">
        <w:rPr>
          <w:lang w:val="es-ES"/>
        </w:rPr>
        <w:t xml:space="preserve"> </w:t>
      </w:r>
      <w:r w:rsidR="00EB599A" w:rsidRPr="002261B9">
        <w:rPr>
          <w:lang w:val="es-ES"/>
        </w:rPr>
        <w:t xml:space="preserve">señalaron </w:t>
      </w:r>
      <w:r w:rsidRPr="002261B9">
        <w:rPr>
          <w:lang w:val="es-ES"/>
        </w:rPr>
        <w:t>que</w:t>
      </w:r>
      <w:r w:rsidR="003E7AF2" w:rsidRPr="002261B9">
        <w:rPr>
          <w:lang w:val="es-ES"/>
        </w:rPr>
        <w:t>,</w:t>
      </w:r>
      <w:r w:rsidRPr="002261B9">
        <w:rPr>
          <w:lang w:val="es-ES"/>
        </w:rPr>
        <w:t xml:space="preserve"> </w:t>
      </w:r>
      <w:r w:rsidR="00EB599A" w:rsidRPr="002261B9">
        <w:rPr>
          <w:lang w:val="es-ES"/>
        </w:rPr>
        <w:t xml:space="preserve">como resultado de </w:t>
      </w:r>
      <w:r w:rsidRPr="002261B9">
        <w:rPr>
          <w:lang w:val="es-ES"/>
        </w:rPr>
        <w:t>la sustitución del PFOA por alternativas</w:t>
      </w:r>
      <w:r w:rsidR="003E7AF2" w:rsidRPr="002261B9">
        <w:rPr>
          <w:lang w:val="es-ES"/>
        </w:rPr>
        <w:t>,</w:t>
      </w:r>
      <w:r w:rsidRPr="002261B9">
        <w:rPr>
          <w:lang w:val="es-ES"/>
        </w:rPr>
        <w:t xml:space="preserve"> no se </w:t>
      </w:r>
      <w:r w:rsidR="00EB599A" w:rsidRPr="002261B9">
        <w:rPr>
          <w:lang w:val="es-ES"/>
        </w:rPr>
        <w:t>habían producido</w:t>
      </w:r>
      <w:r w:rsidRPr="002261B9">
        <w:rPr>
          <w:lang w:val="es-ES"/>
        </w:rPr>
        <w:t xml:space="preserve"> efectos en los costos</w:t>
      </w:r>
      <w:r w:rsidR="00105754" w:rsidRPr="002261B9">
        <w:rPr>
          <w:lang w:val="es-ES"/>
        </w:rPr>
        <w:t>.</w:t>
      </w:r>
    </w:p>
    <w:p w14:paraId="35123FF9" w14:textId="734192D2" w:rsidR="00105754" w:rsidRPr="002261B9" w:rsidRDefault="00716DBA" w:rsidP="00F45508">
      <w:pPr>
        <w:pStyle w:val="Paralevel1"/>
        <w:numPr>
          <w:ilvl w:val="0"/>
          <w:numId w:val="23"/>
        </w:numPr>
        <w:tabs>
          <w:tab w:val="clear" w:pos="0"/>
        </w:tabs>
        <w:ind w:left="1247" w:firstLine="0"/>
        <w:rPr>
          <w:lang w:val="es-ES"/>
        </w:rPr>
      </w:pPr>
      <w:r w:rsidRPr="002261B9">
        <w:rPr>
          <w:lang w:val="es-ES"/>
        </w:rPr>
        <w:lastRenderedPageBreak/>
        <w:t>Los datos t</w:t>
      </w:r>
      <w:r w:rsidR="00105754" w:rsidRPr="002261B9">
        <w:rPr>
          <w:lang w:val="es-ES"/>
        </w:rPr>
        <w:t>oxico</w:t>
      </w:r>
      <w:r w:rsidRPr="002261B9">
        <w:rPr>
          <w:lang w:val="es-ES"/>
        </w:rPr>
        <w:t xml:space="preserve">cinéticos de </w:t>
      </w:r>
      <w:r w:rsidR="00FE7E14" w:rsidRPr="002261B9">
        <w:rPr>
          <w:lang w:val="es-ES"/>
        </w:rPr>
        <w:t xml:space="preserve">la sal </w:t>
      </w:r>
      <w:r w:rsidR="005652A9" w:rsidRPr="002261B9">
        <w:rPr>
          <w:lang w:val="es-ES"/>
        </w:rPr>
        <w:t xml:space="preserve">Dimer </w:t>
      </w:r>
      <w:r w:rsidR="00FE7E14" w:rsidRPr="002261B9">
        <w:rPr>
          <w:lang w:val="es-ES"/>
        </w:rPr>
        <w:t>C</w:t>
      </w:r>
      <w:r w:rsidR="00FE7E14" w:rsidRPr="002261B9">
        <w:rPr>
          <w:vertAlign w:val="subscript"/>
          <w:lang w:val="es-ES"/>
        </w:rPr>
        <w:t>3</w:t>
      </w:r>
      <w:r w:rsidR="005652A9" w:rsidRPr="002261B9">
        <w:rPr>
          <w:lang w:val="es-ES"/>
        </w:rPr>
        <w:t xml:space="preserve"> </w:t>
      </w:r>
      <w:r w:rsidR="00105754" w:rsidRPr="002261B9">
        <w:rPr>
          <w:lang w:val="es-ES"/>
        </w:rPr>
        <w:t>indica</w:t>
      </w:r>
      <w:r w:rsidRPr="002261B9">
        <w:rPr>
          <w:lang w:val="es-ES"/>
        </w:rPr>
        <w:t>n</w:t>
      </w:r>
      <w:r w:rsidR="00105754" w:rsidRPr="002261B9">
        <w:rPr>
          <w:lang w:val="es-ES"/>
        </w:rPr>
        <w:t xml:space="preserve"> </w:t>
      </w:r>
      <w:r w:rsidR="005652A9" w:rsidRPr="002261B9">
        <w:rPr>
          <w:lang w:val="es-ES"/>
        </w:rPr>
        <w:t xml:space="preserve">poco </w:t>
      </w:r>
      <w:r w:rsidR="00105754" w:rsidRPr="002261B9">
        <w:rPr>
          <w:lang w:val="es-ES"/>
        </w:rPr>
        <w:t>metabolism</w:t>
      </w:r>
      <w:r w:rsidR="005652A9" w:rsidRPr="002261B9">
        <w:rPr>
          <w:lang w:val="es-ES"/>
        </w:rPr>
        <w:t>o</w:t>
      </w:r>
      <w:r w:rsidR="00FE7E14" w:rsidRPr="002261B9">
        <w:rPr>
          <w:lang w:val="es-ES"/>
        </w:rPr>
        <w:t xml:space="preserve"> o ninguno</w:t>
      </w:r>
      <w:r w:rsidR="00105754" w:rsidRPr="002261B9">
        <w:rPr>
          <w:lang w:val="es-ES"/>
        </w:rPr>
        <w:t xml:space="preserve">, </w:t>
      </w:r>
      <w:r w:rsidRPr="002261B9">
        <w:rPr>
          <w:lang w:val="es-ES"/>
        </w:rPr>
        <w:t xml:space="preserve">pero </w:t>
      </w:r>
      <w:r w:rsidR="00CB494C" w:rsidRPr="002261B9">
        <w:rPr>
          <w:lang w:val="es-ES"/>
        </w:rPr>
        <w:t xml:space="preserve">sí </w:t>
      </w:r>
      <w:r w:rsidRPr="002261B9">
        <w:rPr>
          <w:lang w:val="es-ES"/>
        </w:rPr>
        <w:t xml:space="preserve">una rápida </w:t>
      </w:r>
      <w:r w:rsidR="00105754" w:rsidRPr="002261B9">
        <w:rPr>
          <w:lang w:val="es-ES"/>
        </w:rPr>
        <w:t>excre</w:t>
      </w:r>
      <w:r w:rsidRPr="002261B9">
        <w:rPr>
          <w:lang w:val="es-ES"/>
        </w:rPr>
        <w:t>c</w:t>
      </w:r>
      <w:r w:rsidR="00105754" w:rsidRPr="002261B9">
        <w:rPr>
          <w:lang w:val="es-ES"/>
        </w:rPr>
        <w:t>i</w:t>
      </w:r>
      <w:r w:rsidRPr="002261B9">
        <w:rPr>
          <w:lang w:val="es-ES"/>
        </w:rPr>
        <w:t>ó</w:t>
      </w:r>
      <w:r w:rsidR="00105754" w:rsidRPr="002261B9">
        <w:rPr>
          <w:lang w:val="es-ES"/>
        </w:rPr>
        <w:t xml:space="preserve">n. </w:t>
      </w:r>
      <w:r w:rsidR="00FE7E14" w:rsidRPr="002261B9">
        <w:rPr>
          <w:lang w:val="es-ES"/>
        </w:rPr>
        <w:t xml:space="preserve">Presumiblemente se elimina y no se metaboliza en </w:t>
      </w:r>
      <w:r w:rsidR="00CB494C" w:rsidRPr="002261B9">
        <w:rPr>
          <w:lang w:val="es-ES"/>
        </w:rPr>
        <w:t xml:space="preserve">un plazo de entre </w:t>
      </w:r>
      <w:r w:rsidR="00FE7E14" w:rsidRPr="002261B9">
        <w:rPr>
          <w:lang w:val="es-ES"/>
        </w:rPr>
        <w:t xml:space="preserve">2 </w:t>
      </w:r>
      <w:r w:rsidR="00CB494C" w:rsidRPr="002261B9">
        <w:rPr>
          <w:lang w:val="es-ES"/>
        </w:rPr>
        <w:t>y</w:t>
      </w:r>
      <w:r w:rsidR="00FE7E14" w:rsidRPr="002261B9">
        <w:rPr>
          <w:lang w:val="es-ES"/>
        </w:rPr>
        <w:t xml:space="preserve"> 7 días </w:t>
      </w:r>
      <w:r w:rsidR="00105754" w:rsidRPr="002261B9">
        <w:rPr>
          <w:lang w:val="es-ES"/>
        </w:rPr>
        <w:t>(</w:t>
      </w:r>
      <w:r w:rsidRPr="002261B9">
        <w:rPr>
          <w:lang w:val="es-ES"/>
        </w:rPr>
        <w:t>ratón</w:t>
      </w:r>
      <w:r w:rsidR="00105754" w:rsidRPr="002261B9">
        <w:rPr>
          <w:lang w:val="es-ES"/>
        </w:rPr>
        <w:t>), 10</w:t>
      </w:r>
      <w:r w:rsidR="00FE7E14" w:rsidRPr="002261B9">
        <w:rPr>
          <w:lang w:val="es-ES"/>
        </w:rPr>
        <w:t xml:space="preserve"> </w:t>
      </w:r>
      <w:r w:rsidR="00CB494C" w:rsidRPr="002261B9">
        <w:rPr>
          <w:lang w:val="es-ES"/>
        </w:rPr>
        <w:t>y</w:t>
      </w:r>
      <w:r w:rsidR="00FE7E14" w:rsidRPr="002261B9">
        <w:rPr>
          <w:lang w:val="es-ES"/>
        </w:rPr>
        <w:t xml:space="preserve"> </w:t>
      </w:r>
      <w:r w:rsidR="00105754" w:rsidRPr="002261B9">
        <w:rPr>
          <w:lang w:val="es-ES"/>
        </w:rPr>
        <w:t>11 h</w:t>
      </w:r>
      <w:r w:rsidR="00CB494C" w:rsidRPr="002261B9">
        <w:rPr>
          <w:lang w:val="es-ES"/>
        </w:rPr>
        <w:t>oras</w:t>
      </w:r>
      <w:r w:rsidR="00105754" w:rsidRPr="002261B9">
        <w:rPr>
          <w:lang w:val="es-ES"/>
        </w:rPr>
        <w:t xml:space="preserve"> (</w:t>
      </w:r>
      <w:r w:rsidRPr="002261B9">
        <w:rPr>
          <w:lang w:val="es-ES"/>
        </w:rPr>
        <w:t>mono</w:t>
      </w:r>
      <w:r w:rsidR="00105754" w:rsidRPr="002261B9">
        <w:rPr>
          <w:lang w:val="es-ES"/>
        </w:rPr>
        <w:t xml:space="preserve">) </w:t>
      </w:r>
      <w:r w:rsidR="00FE7E14" w:rsidRPr="002261B9">
        <w:rPr>
          <w:lang w:val="es-ES"/>
        </w:rPr>
        <w:t>y</w:t>
      </w:r>
      <w:r w:rsidR="00105754" w:rsidRPr="002261B9">
        <w:rPr>
          <w:lang w:val="es-ES"/>
        </w:rPr>
        <w:t xml:space="preserve"> 4</w:t>
      </w:r>
      <w:r w:rsidR="00FE7E14" w:rsidRPr="002261B9">
        <w:rPr>
          <w:lang w:val="es-ES"/>
        </w:rPr>
        <w:t xml:space="preserve"> </w:t>
      </w:r>
      <w:r w:rsidR="00CB494C" w:rsidRPr="002261B9">
        <w:rPr>
          <w:lang w:val="es-ES"/>
        </w:rPr>
        <w:t>y</w:t>
      </w:r>
      <w:r w:rsidR="00FE7E14" w:rsidRPr="002261B9">
        <w:rPr>
          <w:lang w:val="es-ES"/>
        </w:rPr>
        <w:t xml:space="preserve"> </w:t>
      </w:r>
      <w:r w:rsidR="00105754" w:rsidRPr="002261B9">
        <w:rPr>
          <w:lang w:val="es-ES"/>
        </w:rPr>
        <w:t>48 h</w:t>
      </w:r>
      <w:r w:rsidR="00CB494C" w:rsidRPr="002261B9">
        <w:rPr>
          <w:lang w:val="es-ES"/>
        </w:rPr>
        <w:t>oras</w:t>
      </w:r>
      <w:r w:rsidR="00105754" w:rsidRPr="002261B9">
        <w:rPr>
          <w:lang w:val="es-ES"/>
        </w:rPr>
        <w:t xml:space="preserve"> (rat</w:t>
      </w:r>
      <w:r w:rsidR="00FE7E14" w:rsidRPr="002261B9">
        <w:rPr>
          <w:lang w:val="es-ES"/>
        </w:rPr>
        <w:t>a</w:t>
      </w:r>
      <w:r w:rsidR="00105754" w:rsidRPr="002261B9">
        <w:rPr>
          <w:lang w:val="es-ES"/>
        </w:rPr>
        <w:t xml:space="preserve">). </w:t>
      </w:r>
      <w:r w:rsidR="00FE7E14" w:rsidRPr="002261B9">
        <w:rPr>
          <w:lang w:val="es-ES"/>
        </w:rPr>
        <w:t xml:space="preserve">La sal </w:t>
      </w:r>
      <w:r w:rsidR="00105754" w:rsidRPr="002261B9">
        <w:rPr>
          <w:lang w:val="es-ES"/>
        </w:rPr>
        <w:t xml:space="preserve">Dimer </w:t>
      </w:r>
      <w:r w:rsidR="00FE7E14" w:rsidRPr="002261B9">
        <w:rPr>
          <w:lang w:val="es-ES"/>
        </w:rPr>
        <w:t>C</w:t>
      </w:r>
      <w:r w:rsidR="00FE7E14" w:rsidRPr="002261B9">
        <w:rPr>
          <w:vertAlign w:val="subscript"/>
          <w:lang w:val="es-ES"/>
        </w:rPr>
        <w:t>3</w:t>
      </w:r>
      <w:r w:rsidR="00FE7E14" w:rsidRPr="002261B9">
        <w:rPr>
          <w:lang w:val="es-ES"/>
        </w:rPr>
        <w:t xml:space="preserve"> se clasifica como irritante de la piel y dañina para los ojos</w:t>
      </w:r>
      <w:r w:rsidR="00105754" w:rsidRPr="002261B9">
        <w:rPr>
          <w:lang w:val="es-ES"/>
        </w:rPr>
        <w:t xml:space="preserve">. </w:t>
      </w:r>
      <w:r w:rsidR="00FE7E14" w:rsidRPr="002261B9">
        <w:rPr>
          <w:lang w:val="es-ES"/>
        </w:rPr>
        <w:t xml:space="preserve">Además, la administración reiterada provocó hepatomegalia e hipertrofia hepatocelular, así como necrosis de las células hepáticas </w:t>
      </w:r>
      <w:r w:rsidR="00D84064" w:rsidRPr="002261B9">
        <w:rPr>
          <w:lang w:val="es-ES"/>
        </w:rPr>
        <w:t>con</w:t>
      </w:r>
      <w:r w:rsidR="00FE7E14" w:rsidRPr="002261B9">
        <w:rPr>
          <w:lang w:val="es-ES"/>
        </w:rPr>
        <w:t xml:space="preserve"> </w:t>
      </w:r>
      <w:r w:rsidR="00105754" w:rsidRPr="002261B9">
        <w:rPr>
          <w:lang w:val="es-ES"/>
        </w:rPr>
        <w:t>0</w:t>
      </w:r>
      <w:r w:rsidR="00FE7E14" w:rsidRPr="002261B9">
        <w:rPr>
          <w:lang w:val="es-ES"/>
        </w:rPr>
        <w:t>,</w:t>
      </w:r>
      <w:r w:rsidR="00105754" w:rsidRPr="002261B9">
        <w:rPr>
          <w:lang w:val="es-ES"/>
        </w:rPr>
        <w:t>5 mg/kg/</w:t>
      </w:r>
      <w:r w:rsidR="00FE7E14" w:rsidRPr="002261B9">
        <w:rPr>
          <w:lang w:val="es-ES"/>
        </w:rPr>
        <w:t>día en ratones machos</w:t>
      </w:r>
      <w:r w:rsidR="00105754" w:rsidRPr="002261B9">
        <w:rPr>
          <w:lang w:val="es-ES"/>
        </w:rPr>
        <w:t xml:space="preserve">. </w:t>
      </w:r>
      <w:r w:rsidR="00FE7E14" w:rsidRPr="002261B9">
        <w:rPr>
          <w:lang w:val="es-ES"/>
        </w:rPr>
        <w:t>En cuanto a su carcinogenicidad</w:t>
      </w:r>
      <w:r w:rsidR="00880301" w:rsidRPr="002261B9">
        <w:rPr>
          <w:lang w:val="es-ES"/>
        </w:rPr>
        <w:t>,</w:t>
      </w:r>
      <w:r w:rsidR="00105754" w:rsidRPr="002261B9">
        <w:rPr>
          <w:lang w:val="es-ES"/>
        </w:rPr>
        <w:t xml:space="preserve"> </w:t>
      </w:r>
      <w:r w:rsidR="00FE7E14" w:rsidRPr="002261B9">
        <w:rPr>
          <w:lang w:val="es-ES"/>
        </w:rPr>
        <w:t xml:space="preserve">en un estudio </w:t>
      </w:r>
      <w:r w:rsidR="00D84064" w:rsidRPr="002261B9">
        <w:rPr>
          <w:lang w:val="es-ES"/>
        </w:rPr>
        <w:t xml:space="preserve">con ratas, que duró </w:t>
      </w:r>
      <w:r w:rsidR="00FE7E14" w:rsidRPr="002261B9">
        <w:rPr>
          <w:lang w:val="es-ES"/>
        </w:rPr>
        <w:t>dos años</w:t>
      </w:r>
      <w:r w:rsidR="00D84064" w:rsidRPr="002261B9">
        <w:rPr>
          <w:lang w:val="es-ES"/>
        </w:rPr>
        <w:t>,</w:t>
      </w:r>
      <w:r w:rsidR="00FE7E14" w:rsidRPr="002261B9">
        <w:rPr>
          <w:lang w:val="es-ES"/>
        </w:rPr>
        <w:t xml:space="preserve"> aparecieron tumores con altas dosis</w:t>
      </w:r>
      <w:r w:rsidR="00105754" w:rsidRPr="002261B9">
        <w:rPr>
          <w:lang w:val="es-ES"/>
        </w:rPr>
        <w:t xml:space="preserve"> (</w:t>
      </w:r>
      <w:r w:rsidR="001E397C">
        <w:rPr>
          <w:lang w:val="es-ES"/>
        </w:rPr>
        <w:t>≥</w:t>
      </w:r>
      <w:r w:rsidR="00105754" w:rsidRPr="002261B9">
        <w:rPr>
          <w:lang w:val="es-ES"/>
        </w:rPr>
        <w:t>50 mg/kg/d</w:t>
      </w:r>
      <w:r w:rsidR="00FE7E14" w:rsidRPr="002261B9">
        <w:rPr>
          <w:lang w:val="es-ES"/>
        </w:rPr>
        <w:t>ía</w:t>
      </w:r>
      <w:r w:rsidR="00105754" w:rsidRPr="002261B9">
        <w:rPr>
          <w:lang w:val="es-ES"/>
        </w:rPr>
        <w:t xml:space="preserve">). </w:t>
      </w:r>
      <w:r w:rsidR="00FE7E14" w:rsidRPr="002261B9">
        <w:rPr>
          <w:lang w:val="es-ES"/>
        </w:rPr>
        <w:t>En lo que respecta a los riesgos para el medio ambiente</w:t>
      </w:r>
      <w:r w:rsidR="00105754" w:rsidRPr="002261B9">
        <w:rPr>
          <w:lang w:val="es-ES"/>
        </w:rPr>
        <w:t xml:space="preserve"> (</w:t>
      </w:r>
      <w:r w:rsidR="00FE7E14" w:rsidRPr="002261B9">
        <w:rPr>
          <w:lang w:val="es-ES"/>
        </w:rPr>
        <w:t>se extrajeron datos del expediente de inscripción</w:t>
      </w:r>
      <w:r w:rsidR="00105754" w:rsidRPr="002261B9">
        <w:rPr>
          <w:lang w:val="es-ES"/>
        </w:rPr>
        <w:t xml:space="preserve">) </w:t>
      </w:r>
      <w:r w:rsidR="00FE7E14" w:rsidRPr="002261B9">
        <w:rPr>
          <w:lang w:val="es-ES"/>
        </w:rPr>
        <w:t xml:space="preserve">relacionados con la sal </w:t>
      </w:r>
      <w:r w:rsidR="00105754" w:rsidRPr="002261B9">
        <w:rPr>
          <w:lang w:val="es-ES"/>
        </w:rPr>
        <w:t xml:space="preserve">Dimer </w:t>
      </w:r>
      <w:r w:rsidR="00FE7E14" w:rsidRPr="002261B9">
        <w:rPr>
          <w:lang w:val="es-ES"/>
        </w:rPr>
        <w:t>C</w:t>
      </w:r>
      <w:r w:rsidR="00FE7E14" w:rsidRPr="002261B9">
        <w:rPr>
          <w:vertAlign w:val="subscript"/>
          <w:lang w:val="es-ES"/>
        </w:rPr>
        <w:t>3</w:t>
      </w:r>
      <w:r w:rsidR="00F468D7" w:rsidRPr="002261B9">
        <w:rPr>
          <w:lang w:val="es-ES"/>
        </w:rPr>
        <w:t>,</w:t>
      </w:r>
      <w:r w:rsidR="00105754" w:rsidRPr="002261B9">
        <w:rPr>
          <w:lang w:val="es-ES"/>
        </w:rPr>
        <w:t xml:space="preserve"> </w:t>
      </w:r>
      <w:r w:rsidR="00B869E2" w:rsidRPr="002261B9">
        <w:rPr>
          <w:lang w:val="es-ES"/>
        </w:rPr>
        <w:t xml:space="preserve">se </w:t>
      </w:r>
      <w:r w:rsidR="00D84064" w:rsidRPr="002261B9">
        <w:rPr>
          <w:lang w:val="es-ES"/>
        </w:rPr>
        <w:t xml:space="preserve">determinó </w:t>
      </w:r>
      <w:r w:rsidR="00B869E2" w:rsidRPr="002261B9">
        <w:rPr>
          <w:lang w:val="es-ES"/>
        </w:rPr>
        <w:t>que la sustancia probablemente no sea sumamente tóxica</w:t>
      </w:r>
      <w:r w:rsidR="00105754" w:rsidRPr="002261B9">
        <w:rPr>
          <w:lang w:val="es-ES"/>
        </w:rPr>
        <w:t xml:space="preserve"> (LC/EC</w:t>
      </w:r>
      <w:r w:rsidR="00105754" w:rsidRPr="002261B9">
        <w:rPr>
          <w:vertAlign w:val="subscript"/>
          <w:lang w:val="es-ES"/>
        </w:rPr>
        <w:t>50</w:t>
      </w:r>
      <w:r w:rsidR="00105754" w:rsidRPr="002261B9">
        <w:rPr>
          <w:lang w:val="es-ES"/>
        </w:rPr>
        <w:t xml:space="preserve"> </w:t>
      </w:r>
      <w:r w:rsidR="001E397C">
        <w:rPr>
          <w:lang w:val="es-ES"/>
        </w:rPr>
        <w:t>&gt;</w:t>
      </w:r>
      <w:r w:rsidR="00105754" w:rsidRPr="002261B9">
        <w:rPr>
          <w:lang w:val="es-ES"/>
        </w:rPr>
        <w:t>100 mg</w:t>
      </w:r>
      <w:r w:rsidR="001E397C">
        <w:rPr>
          <w:lang w:val="es-ES"/>
        </w:rPr>
        <w:t>/l</w:t>
      </w:r>
      <w:r w:rsidR="00105754" w:rsidRPr="002261B9">
        <w:rPr>
          <w:lang w:val="es-ES"/>
        </w:rPr>
        <w:t xml:space="preserve">) </w:t>
      </w:r>
      <w:r w:rsidR="00B869E2" w:rsidRPr="002261B9">
        <w:rPr>
          <w:lang w:val="es-ES"/>
        </w:rPr>
        <w:t>ni crónicamente tóxica</w:t>
      </w:r>
      <w:r w:rsidR="00105754" w:rsidRPr="002261B9">
        <w:rPr>
          <w:lang w:val="es-ES"/>
        </w:rPr>
        <w:t xml:space="preserve"> (NOEC </w:t>
      </w:r>
      <w:r w:rsidR="001E397C">
        <w:rPr>
          <w:lang w:val="es-ES"/>
        </w:rPr>
        <w:t>&gt;</w:t>
      </w:r>
      <w:r w:rsidR="00105754" w:rsidRPr="002261B9">
        <w:rPr>
          <w:lang w:val="es-ES"/>
        </w:rPr>
        <w:t>1 mg</w:t>
      </w:r>
      <w:r w:rsidR="001E397C">
        <w:rPr>
          <w:lang w:val="es-ES"/>
        </w:rPr>
        <w:t>/l</w:t>
      </w:r>
      <w:r w:rsidR="00105754" w:rsidRPr="002261B9">
        <w:rPr>
          <w:lang w:val="es-ES"/>
        </w:rPr>
        <w:t xml:space="preserve">) </w:t>
      </w:r>
      <w:r w:rsidR="00B869E2" w:rsidRPr="002261B9">
        <w:rPr>
          <w:lang w:val="es-ES"/>
        </w:rPr>
        <w:t>para los organismos acuáticos</w:t>
      </w:r>
      <w:r w:rsidR="00105754" w:rsidRPr="002261B9">
        <w:rPr>
          <w:lang w:val="es-ES"/>
        </w:rPr>
        <w:t xml:space="preserve">. </w:t>
      </w:r>
      <w:r w:rsidR="00D84064" w:rsidRPr="002261B9">
        <w:rPr>
          <w:lang w:val="es-ES"/>
        </w:rPr>
        <w:t xml:space="preserve">Tomando en consideración toda la </w:t>
      </w:r>
      <w:r w:rsidR="00B869E2" w:rsidRPr="002261B9">
        <w:rPr>
          <w:lang w:val="es-ES"/>
        </w:rPr>
        <w:t xml:space="preserve">información </w:t>
      </w:r>
      <w:r w:rsidR="00D84064" w:rsidRPr="002261B9">
        <w:rPr>
          <w:lang w:val="es-ES"/>
        </w:rPr>
        <w:t>disponible</w:t>
      </w:r>
      <w:r w:rsidR="00B869E2" w:rsidRPr="002261B9">
        <w:rPr>
          <w:lang w:val="es-ES"/>
        </w:rPr>
        <w:t>,</w:t>
      </w:r>
      <w:r w:rsidR="00105754" w:rsidRPr="002261B9">
        <w:rPr>
          <w:lang w:val="es-ES"/>
        </w:rPr>
        <w:t xml:space="preserve"> </w:t>
      </w:r>
      <w:r w:rsidR="00D84064" w:rsidRPr="002261B9">
        <w:rPr>
          <w:lang w:val="es-ES"/>
        </w:rPr>
        <w:t xml:space="preserve">es imposible </w:t>
      </w:r>
      <w:r w:rsidR="00B869E2" w:rsidRPr="002261B9">
        <w:rPr>
          <w:lang w:val="es-ES"/>
        </w:rPr>
        <w:t xml:space="preserve">hacer una evaluación </w:t>
      </w:r>
      <w:r w:rsidR="00461E4D" w:rsidRPr="002261B9">
        <w:rPr>
          <w:lang w:val="es-ES"/>
        </w:rPr>
        <w:t>completa de</w:t>
      </w:r>
      <w:r w:rsidR="00D84064" w:rsidRPr="002261B9">
        <w:rPr>
          <w:lang w:val="es-ES"/>
        </w:rPr>
        <w:t xml:space="preserve"> la persistencia, bioacumulación y toxicidad</w:t>
      </w:r>
      <w:r w:rsidR="00461E4D" w:rsidRPr="002261B9">
        <w:rPr>
          <w:lang w:val="es-ES"/>
        </w:rPr>
        <w:t xml:space="preserve"> </w:t>
      </w:r>
      <w:r w:rsidR="00B869E2" w:rsidRPr="002261B9">
        <w:rPr>
          <w:lang w:val="es-ES"/>
        </w:rPr>
        <w:t xml:space="preserve">que incluya la determinación de </w:t>
      </w:r>
      <w:r w:rsidR="00642414" w:rsidRPr="002261B9">
        <w:rPr>
          <w:lang w:val="es-ES"/>
        </w:rPr>
        <w:t>es</w:t>
      </w:r>
      <w:r w:rsidR="00B869E2" w:rsidRPr="002261B9">
        <w:rPr>
          <w:lang w:val="es-ES"/>
        </w:rPr>
        <w:t xml:space="preserve">os </w:t>
      </w:r>
      <w:r w:rsidR="00642414" w:rsidRPr="002261B9">
        <w:rPr>
          <w:lang w:val="es-ES"/>
        </w:rPr>
        <w:t>criterios</w:t>
      </w:r>
      <w:r w:rsidR="00B869E2" w:rsidRPr="002261B9">
        <w:rPr>
          <w:lang w:val="es-ES"/>
        </w:rPr>
        <w:t xml:space="preserve"> </w:t>
      </w:r>
      <w:r w:rsidR="00461E4D" w:rsidRPr="002261B9">
        <w:rPr>
          <w:lang w:val="es-ES"/>
        </w:rPr>
        <w:t xml:space="preserve">conforme a </w:t>
      </w:r>
      <w:r w:rsidR="00B869E2" w:rsidRPr="002261B9">
        <w:rPr>
          <w:lang w:val="es-ES"/>
        </w:rPr>
        <w:t>la legislación sobre productos químicos de la Unión Europea</w:t>
      </w:r>
      <w:r w:rsidR="008D4B30" w:rsidRPr="002261B9">
        <w:rPr>
          <w:lang w:val="es-ES"/>
        </w:rPr>
        <w:t xml:space="preserve"> </w:t>
      </w:r>
      <w:r w:rsidR="009A21A3" w:rsidRPr="002261B9">
        <w:rPr>
          <w:lang w:val="es-ES"/>
        </w:rPr>
        <w:t>(</w:t>
      </w:r>
      <w:r w:rsidRPr="002261B9">
        <w:rPr>
          <w:lang w:val="es-ES"/>
        </w:rPr>
        <w:t xml:space="preserve">para orientación, </w:t>
      </w:r>
      <w:r w:rsidR="00F13B21" w:rsidRPr="002261B9">
        <w:rPr>
          <w:lang w:val="es-ES"/>
        </w:rPr>
        <w:t>véase</w:t>
      </w:r>
      <w:r w:rsidR="008D4B30" w:rsidRPr="002261B9">
        <w:rPr>
          <w:lang w:val="es-ES"/>
        </w:rPr>
        <w:t xml:space="preserve"> ECHA</w:t>
      </w:r>
      <w:r w:rsidR="003B4AD6" w:rsidRPr="002261B9">
        <w:rPr>
          <w:lang w:val="es-ES"/>
        </w:rPr>
        <w:t>,</w:t>
      </w:r>
      <w:r w:rsidR="008D4B30" w:rsidRPr="002261B9">
        <w:rPr>
          <w:lang w:val="es-ES"/>
        </w:rPr>
        <w:t xml:space="preserve"> 2017a</w:t>
      </w:r>
      <w:r w:rsidR="00D84064" w:rsidRPr="002261B9">
        <w:rPr>
          <w:lang w:val="es-ES"/>
        </w:rPr>
        <w:t>)</w:t>
      </w:r>
      <w:r w:rsidR="003B4AD6" w:rsidRPr="002261B9">
        <w:rPr>
          <w:lang w:val="es-ES"/>
        </w:rPr>
        <w:t>.</w:t>
      </w:r>
      <w:r w:rsidR="00105754" w:rsidRPr="002261B9">
        <w:rPr>
          <w:lang w:val="es-ES"/>
        </w:rPr>
        <w:t xml:space="preserve"> </w:t>
      </w:r>
      <w:r w:rsidR="00B869E2" w:rsidRPr="002261B9">
        <w:rPr>
          <w:lang w:val="es-ES"/>
        </w:rPr>
        <w:t xml:space="preserve">Ahora bien, el solicitante de inscripción reconoce en el informe sobre seguridad del producto químico, que la sal </w:t>
      </w:r>
      <w:r w:rsidR="004F5B94" w:rsidRPr="002261B9">
        <w:rPr>
          <w:lang w:val="es-ES"/>
        </w:rPr>
        <w:t xml:space="preserve">Dimer </w:t>
      </w:r>
      <w:r w:rsidR="00B869E2" w:rsidRPr="002261B9">
        <w:rPr>
          <w:lang w:val="es-ES"/>
        </w:rPr>
        <w:t>C</w:t>
      </w:r>
      <w:r w:rsidR="00B869E2" w:rsidRPr="002261B9">
        <w:rPr>
          <w:vertAlign w:val="subscript"/>
          <w:lang w:val="es-ES"/>
        </w:rPr>
        <w:t>3</w:t>
      </w:r>
      <w:r w:rsidR="004F5B94" w:rsidRPr="002261B9">
        <w:rPr>
          <w:lang w:val="es-ES"/>
        </w:rPr>
        <w:t xml:space="preserve"> </w:t>
      </w:r>
      <w:r w:rsidR="00461E4D" w:rsidRPr="002261B9">
        <w:rPr>
          <w:lang w:val="es-ES"/>
        </w:rPr>
        <w:t>cumple los requisitos de persistencia y toxicidad basándose</w:t>
      </w:r>
      <w:r w:rsidR="00105754" w:rsidRPr="002261B9">
        <w:rPr>
          <w:lang w:val="es-ES"/>
        </w:rPr>
        <w:t xml:space="preserve"> </w:t>
      </w:r>
      <w:r w:rsidR="00461E4D" w:rsidRPr="002261B9">
        <w:rPr>
          <w:lang w:val="es-ES"/>
        </w:rPr>
        <w:t>e</w:t>
      </w:r>
      <w:r w:rsidR="00105754" w:rsidRPr="002261B9">
        <w:rPr>
          <w:lang w:val="es-ES"/>
        </w:rPr>
        <w:t xml:space="preserve">n </w:t>
      </w:r>
      <w:r w:rsidR="00461E4D" w:rsidRPr="002261B9">
        <w:rPr>
          <w:lang w:val="es-ES"/>
        </w:rPr>
        <w:t xml:space="preserve">la toxicidad específica de determinados órganos tras la exposición reiterada </w:t>
      </w:r>
      <w:r w:rsidR="00FB11B6" w:rsidRPr="002261B9">
        <w:rPr>
          <w:lang w:val="es-ES"/>
        </w:rPr>
        <w:t>(</w:t>
      </w:r>
      <w:r w:rsidR="00105754" w:rsidRPr="002261B9">
        <w:rPr>
          <w:lang w:val="es-ES"/>
        </w:rPr>
        <w:t>STOT RE 2</w:t>
      </w:r>
      <w:r w:rsidR="00FB11B6" w:rsidRPr="002261B9">
        <w:rPr>
          <w:lang w:val="es-ES"/>
        </w:rPr>
        <w:t>)</w:t>
      </w:r>
      <w:r w:rsidR="00105754" w:rsidRPr="002261B9">
        <w:rPr>
          <w:lang w:val="es-ES"/>
        </w:rPr>
        <w:t xml:space="preserve">. </w:t>
      </w:r>
      <w:r w:rsidR="00461E4D" w:rsidRPr="002261B9">
        <w:rPr>
          <w:lang w:val="es-ES"/>
        </w:rPr>
        <w:t xml:space="preserve">La sal </w:t>
      </w:r>
      <w:r w:rsidR="004F5B94" w:rsidRPr="002261B9">
        <w:rPr>
          <w:lang w:val="es-ES"/>
        </w:rPr>
        <w:t xml:space="preserve">Dimer </w:t>
      </w:r>
      <w:r w:rsidR="00461E4D" w:rsidRPr="002261B9">
        <w:rPr>
          <w:lang w:val="es-ES"/>
        </w:rPr>
        <w:t>C</w:t>
      </w:r>
      <w:r w:rsidR="00461E4D" w:rsidRPr="002261B9">
        <w:rPr>
          <w:vertAlign w:val="subscript"/>
          <w:lang w:val="es-ES"/>
        </w:rPr>
        <w:t>3</w:t>
      </w:r>
      <w:r w:rsidR="004F5B94" w:rsidRPr="002261B9">
        <w:rPr>
          <w:lang w:val="es-ES"/>
        </w:rPr>
        <w:t xml:space="preserve"> </w:t>
      </w:r>
      <w:r w:rsidR="00461E4D" w:rsidRPr="002261B9">
        <w:rPr>
          <w:lang w:val="es-ES"/>
        </w:rPr>
        <w:t xml:space="preserve">probablemente cumpla los </w:t>
      </w:r>
      <w:r w:rsidR="00BC78F6" w:rsidRPr="002261B9">
        <w:rPr>
          <w:lang w:val="es-ES"/>
        </w:rPr>
        <w:t>criterio</w:t>
      </w:r>
      <w:r w:rsidR="00461E4D" w:rsidRPr="002261B9">
        <w:rPr>
          <w:lang w:val="es-ES"/>
        </w:rPr>
        <w:t xml:space="preserve">s de persistencia, bioacumulación y toxicidad </w:t>
      </w:r>
      <w:r w:rsidRPr="002261B9">
        <w:rPr>
          <w:lang w:val="es-ES"/>
        </w:rPr>
        <w:t>de la legislación europea sobre productos químicos</w:t>
      </w:r>
      <w:r w:rsidR="00CB494C" w:rsidRPr="002261B9">
        <w:rPr>
          <w:lang w:val="es-ES"/>
        </w:rPr>
        <w:t>;</w:t>
      </w:r>
      <w:r w:rsidR="00105754" w:rsidRPr="002261B9">
        <w:rPr>
          <w:lang w:val="es-ES"/>
        </w:rPr>
        <w:t xml:space="preserve"> </w:t>
      </w:r>
      <w:r w:rsidR="00F13B21" w:rsidRPr="002261B9">
        <w:rPr>
          <w:lang w:val="es-ES"/>
        </w:rPr>
        <w:t>véase</w:t>
      </w:r>
      <w:r w:rsidR="00105754" w:rsidRPr="002261B9">
        <w:rPr>
          <w:lang w:val="es-ES"/>
        </w:rPr>
        <w:t xml:space="preserve"> </w:t>
      </w:r>
      <w:r w:rsidR="00CB494C" w:rsidRPr="002261B9">
        <w:rPr>
          <w:lang w:val="es-ES"/>
        </w:rPr>
        <w:t xml:space="preserve">el anexo XIII de </w:t>
      </w:r>
      <w:r w:rsidR="00105754" w:rsidRPr="002261B9">
        <w:rPr>
          <w:lang w:val="es-ES"/>
        </w:rPr>
        <w:t>REACH (ECHA</w:t>
      </w:r>
      <w:r w:rsidR="0049151C" w:rsidRPr="002261B9">
        <w:rPr>
          <w:lang w:val="es-ES"/>
        </w:rPr>
        <w:t>,</w:t>
      </w:r>
      <w:r w:rsidR="00105754" w:rsidRPr="002261B9">
        <w:rPr>
          <w:lang w:val="es-ES"/>
        </w:rPr>
        <w:t xml:space="preserve"> 2015a</w:t>
      </w:r>
      <w:r w:rsidR="00CB494C" w:rsidRPr="002261B9">
        <w:rPr>
          <w:lang w:val="es-ES"/>
        </w:rPr>
        <w:t>)</w:t>
      </w:r>
      <w:r w:rsidR="00105754" w:rsidRPr="002261B9">
        <w:rPr>
          <w:lang w:val="es-ES"/>
        </w:rPr>
        <w:t xml:space="preserve">. </w:t>
      </w:r>
    </w:p>
    <w:p w14:paraId="182CF4B9" w14:textId="6A00E958" w:rsidR="00105754" w:rsidRPr="002261B9" w:rsidRDefault="00D84064" w:rsidP="00F45508">
      <w:pPr>
        <w:pStyle w:val="Paralevel1"/>
        <w:numPr>
          <w:ilvl w:val="0"/>
          <w:numId w:val="23"/>
        </w:numPr>
        <w:tabs>
          <w:tab w:val="clear" w:pos="0"/>
        </w:tabs>
        <w:ind w:left="1247" w:firstLine="0"/>
        <w:rPr>
          <w:lang w:val="es-ES"/>
        </w:rPr>
      </w:pPr>
      <w:r w:rsidRPr="002261B9">
        <w:rPr>
          <w:lang w:val="es-ES"/>
        </w:rPr>
        <w:t xml:space="preserve">En cuanto a </w:t>
      </w:r>
      <w:r w:rsidR="00105754" w:rsidRPr="002261B9">
        <w:rPr>
          <w:lang w:val="es-ES"/>
        </w:rPr>
        <w:t>ADONA</w:t>
      </w:r>
      <w:r w:rsidR="00880301" w:rsidRPr="002261B9">
        <w:rPr>
          <w:lang w:val="es-ES"/>
        </w:rPr>
        <w:t>,</w:t>
      </w:r>
      <w:r w:rsidR="00105754" w:rsidRPr="002261B9">
        <w:rPr>
          <w:lang w:val="es-ES"/>
        </w:rPr>
        <w:t xml:space="preserve"> </w:t>
      </w:r>
      <w:r w:rsidRPr="002261B9">
        <w:rPr>
          <w:lang w:val="es-ES"/>
        </w:rPr>
        <w:t>se determin</w:t>
      </w:r>
      <w:r w:rsidR="005652A9" w:rsidRPr="002261B9">
        <w:rPr>
          <w:lang w:val="es-ES"/>
        </w:rPr>
        <w:t>ó que la sustancia e</w:t>
      </w:r>
      <w:r w:rsidRPr="002261B9">
        <w:rPr>
          <w:lang w:val="es-ES"/>
        </w:rPr>
        <w:t>ra</w:t>
      </w:r>
      <w:r w:rsidR="005652A9" w:rsidRPr="002261B9">
        <w:rPr>
          <w:lang w:val="es-ES"/>
        </w:rPr>
        <w:t xml:space="preserve"> persistente</w:t>
      </w:r>
      <w:r w:rsidR="00105754" w:rsidRPr="002261B9">
        <w:rPr>
          <w:lang w:val="es-ES"/>
        </w:rPr>
        <w:t xml:space="preserve">. No </w:t>
      </w:r>
      <w:r w:rsidR="005652A9" w:rsidRPr="002261B9">
        <w:rPr>
          <w:lang w:val="es-ES"/>
        </w:rPr>
        <w:t>se dispuso de datos sobre su carcinogenicidad</w:t>
      </w:r>
      <w:r w:rsidR="00105754" w:rsidRPr="002261B9">
        <w:rPr>
          <w:lang w:val="es-ES"/>
        </w:rPr>
        <w:t xml:space="preserve">. </w:t>
      </w:r>
      <w:r w:rsidRPr="002261B9">
        <w:rPr>
          <w:lang w:val="es-ES"/>
        </w:rPr>
        <w:t xml:space="preserve">Respecto de </w:t>
      </w:r>
      <w:r w:rsidR="005652A9" w:rsidRPr="002261B9">
        <w:rPr>
          <w:lang w:val="es-ES"/>
        </w:rPr>
        <w:t>los riesgos para el medio ambiente</w:t>
      </w:r>
      <w:r w:rsidR="00105754" w:rsidRPr="002261B9">
        <w:rPr>
          <w:lang w:val="es-ES"/>
        </w:rPr>
        <w:t xml:space="preserve"> (</w:t>
      </w:r>
      <w:r w:rsidR="005652A9" w:rsidRPr="002261B9">
        <w:rPr>
          <w:lang w:val="es-ES"/>
        </w:rPr>
        <w:t xml:space="preserve">se extrajeron datos del expediente de inscripción en el reglamento </w:t>
      </w:r>
      <w:r w:rsidR="006740A4" w:rsidRPr="002261B9">
        <w:rPr>
          <w:lang w:val="es-ES"/>
        </w:rPr>
        <w:t>REACH</w:t>
      </w:r>
      <w:r w:rsidR="00105754" w:rsidRPr="002261B9">
        <w:rPr>
          <w:lang w:val="es-ES"/>
        </w:rPr>
        <w:t xml:space="preserve">) </w:t>
      </w:r>
      <w:r w:rsidR="005652A9" w:rsidRPr="002261B9">
        <w:rPr>
          <w:lang w:val="es-ES"/>
        </w:rPr>
        <w:t xml:space="preserve">relacionados con </w:t>
      </w:r>
      <w:r w:rsidR="00105754" w:rsidRPr="002261B9">
        <w:rPr>
          <w:lang w:val="es-ES"/>
        </w:rPr>
        <w:t>ADONA</w:t>
      </w:r>
      <w:r w:rsidR="005652A9" w:rsidRPr="002261B9">
        <w:rPr>
          <w:lang w:val="es-ES"/>
        </w:rPr>
        <w:t>, se llegó a la conclusión de que la sustancia</w:t>
      </w:r>
      <w:r w:rsidR="00284890" w:rsidRPr="002261B9">
        <w:rPr>
          <w:lang w:val="es-ES"/>
        </w:rPr>
        <w:t xml:space="preserve"> </w:t>
      </w:r>
      <w:r w:rsidR="005652A9" w:rsidRPr="002261B9">
        <w:rPr>
          <w:lang w:val="es-ES"/>
        </w:rPr>
        <w:t>probablemente no sea muy tóxica</w:t>
      </w:r>
      <w:r w:rsidR="00105754" w:rsidRPr="002261B9">
        <w:rPr>
          <w:lang w:val="es-ES"/>
        </w:rPr>
        <w:t xml:space="preserve"> (LC/EC</w:t>
      </w:r>
      <w:r w:rsidR="00105754" w:rsidRPr="002261B9">
        <w:rPr>
          <w:vertAlign w:val="subscript"/>
          <w:lang w:val="es-ES"/>
        </w:rPr>
        <w:t>50</w:t>
      </w:r>
      <w:r w:rsidR="006F566E" w:rsidRPr="002261B9">
        <w:rPr>
          <w:lang w:val="es-ES"/>
        </w:rPr>
        <w:t>&gt;</w:t>
      </w:r>
      <w:r w:rsidR="005652A9" w:rsidRPr="002261B9">
        <w:rPr>
          <w:lang w:val="es-ES"/>
        </w:rPr>
        <w:t>100 mg/l</w:t>
      </w:r>
      <w:r w:rsidR="00105754" w:rsidRPr="002261B9">
        <w:rPr>
          <w:lang w:val="es-ES"/>
        </w:rPr>
        <w:t xml:space="preserve">) </w:t>
      </w:r>
      <w:r w:rsidR="005652A9" w:rsidRPr="002261B9">
        <w:rPr>
          <w:lang w:val="es-ES"/>
        </w:rPr>
        <w:t>ni crónicamente tóxica</w:t>
      </w:r>
      <w:r w:rsidR="00105754" w:rsidRPr="002261B9">
        <w:rPr>
          <w:lang w:val="es-ES"/>
        </w:rPr>
        <w:t xml:space="preserve"> (NOEC</w:t>
      </w:r>
      <w:r w:rsidR="001E397C">
        <w:rPr>
          <w:lang w:val="es-ES"/>
        </w:rPr>
        <w:t xml:space="preserve"> </w:t>
      </w:r>
      <w:r w:rsidR="006F566E" w:rsidRPr="002261B9">
        <w:rPr>
          <w:lang w:val="es-ES"/>
        </w:rPr>
        <w:t>&gt;</w:t>
      </w:r>
      <w:r w:rsidR="00105754" w:rsidRPr="002261B9">
        <w:rPr>
          <w:lang w:val="es-ES"/>
        </w:rPr>
        <w:t>1 mg/</w:t>
      </w:r>
      <w:r w:rsidR="006F566E" w:rsidRPr="002261B9">
        <w:rPr>
          <w:lang w:val="es-ES"/>
        </w:rPr>
        <w:t>l</w:t>
      </w:r>
      <w:r w:rsidR="00105754" w:rsidRPr="002261B9">
        <w:rPr>
          <w:lang w:val="es-ES"/>
        </w:rPr>
        <w:t xml:space="preserve">) </w:t>
      </w:r>
      <w:r w:rsidR="005652A9" w:rsidRPr="002261B9">
        <w:rPr>
          <w:lang w:val="es-ES"/>
        </w:rPr>
        <w:t>para los organismos acuáticos</w:t>
      </w:r>
      <w:r w:rsidR="00105754" w:rsidRPr="002261B9">
        <w:rPr>
          <w:lang w:val="es-ES"/>
        </w:rPr>
        <w:t xml:space="preserve">. </w:t>
      </w:r>
      <w:r w:rsidRPr="002261B9">
        <w:rPr>
          <w:lang w:val="es-ES"/>
        </w:rPr>
        <w:t xml:space="preserve">Tomando en consideración </w:t>
      </w:r>
      <w:r w:rsidR="00AF5013" w:rsidRPr="002261B9">
        <w:rPr>
          <w:lang w:val="es-ES"/>
        </w:rPr>
        <w:t xml:space="preserve">toda la información disponible, </w:t>
      </w:r>
      <w:r w:rsidRPr="002261B9">
        <w:rPr>
          <w:lang w:val="es-ES"/>
        </w:rPr>
        <w:t>es imposible hacer</w:t>
      </w:r>
      <w:r w:rsidR="00AF5013" w:rsidRPr="002261B9">
        <w:rPr>
          <w:lang w:val="es-ES"/>
        </w:rPr>
        <w:t xml:space="preserve"> una evaluación completa de </w:t>
      </w:r>
      <w:r w:rsidRPr="002261B9">
        <w:rPr>
          <w:lang w:val="es-ES"/>
        </w:rPr>
        <w:t xml:space="preserve">las características de persistencia, bioacumulación y </w:t>
      </w:r>
      <w:r w:rsidR="00A63836" w:rsidRPr="002261B9">
        <w:rPr>
          <w:lang w:val="es-ES"/>
        </w:rPr>
        <w:t>toxicidad.</w:t>
      </w:r>
      <w:r w:rsidR="00105754" w:rsidRPr="002261B9">
        <w:rPr>
          <w:lang w:val="es-ES"/>
        </w:rPr>
        <w:t xml:space="preserve"> </w:t>
      </w:r>
      <w:r w:rsidR="00AF5013" w:rsidRPr="002261B9">
        <w:rPr>
          <w:lang w:val="es-ES"/>
        </w:rPr>
        <w:t xml:space="preserve">Es muy probable </w:t>
      </w:r>
      <w:r w:rsidR="009E7F9A" w:rsidRPr="002261B9">
        <w:rPr>
          <w:lang w:val="es-ES"/>
        </w:rPr>
        <w:t xml:space="preserve">que </w:t>
      </w:r>
      <w:r w:rsidR="00AF5013" w:rsidRPr="002261B9">
        <w:rPr>
          <w:lang w:val="es-ES"/>
        </w:rPr>
        <w:t xml:space="preserve">la sustancia cumpla el requisito de persistencia </w:t>
      </w:r>
      <w:r w:rsidR="005652A9" w:rsidRPr="002261B9">
        <w:rPr>
          <w:lang w:val="es-ES"/>
        </w:rPr>
        <w:t xml:space="preserve">del anexo III de </w:t>
      </w:r>
      <w:r w:rsidR="00105754" w:rsidRPr="002261B9">
        <w:rPr>
          <w:lang w:val="es-ES"/>
        </w:rPr>
        <w:t xml:space="preserve">REACH. </w:t>
      </w:r>
      <w:r w:rsidR="00461E4D" w:rsidRPr="002261B9">
        <w:rPr>
          <w:lang w:val="es-ES"/>
        </w:rPr>
        <w:t>A juzgar por los datos sobre toxicidad ambiental</w:t>
      </w:r>
      <w:r w:rsidR="00105754" w:rsidRPr="002261B9">
        <w:rPr>
          <w:lang w:val="es-ES"/>
        </w:rPr>
        <w:t xml:space="preserve">, </w:t>
      </w:r>
      <w:r w:rsidR="00461E4D" w:rsidRPr="002261B9">
        <w:rPr>
          <w:lang w:val="es-ES"/>
        </w:rPr>
        <w:t>la sustancia no cumple el requisito de toxicidad</w:t>
      </w:r>
      <w:r w:rsidR="00105754" w:rsidRPr="002261B9">
        <w:rPr>
          <w:lang w:val="es-ES"/>
        </w:rPr>
        <w:t xml:space="preserve">. </w:t>
      </w:r>
      <w:r w:rsidR="00461E4D" w:rsidRPr="002261B9">
        <w:rPr>
          <w:lang w:val="es-ES"/>
        </w:rPr>
        <w:t>En el expediente de inscripción no figura información toxicológica en relación con los seres humanos</w:t>
      </w:r>
      <w:r w:rsidR="00CB494C" w:rsidRPr="002261B9">
        <w:rPr>
          <w:lang w:val="es-ES"/>
        </w:rPr>
        <w:t>,</w:t>
      </w:r>
      <w:r w:rsidR="00105754" w:rsidRPr="002261B9">
        <w:rPr>
          <w:lang w:val="es-ES"/>
        </w:rPr>
        <w:t xml:space="preserve"> </w:t>
      </w:r>
      <w:r w:rsidR="00CB494C" w:rsidRPr="002261B9">
        <w:rPr>
          <w:lang w:val="es-ES"/>
        </w:rPr>
        <w:t>d</w:t>
      </w:r>
      <w:r w:rsidR="00461E4D" w:rsidRPr="002261B9">
        <w:rPr>
          <w:lang w:val="es-ES"/>
        </w:rPr>
        <w:t xml:space="preserve">e manera que los datos no son suficientes para sacar conclusiones sobre las propiedades PBT de la sustancia </w:t>
      </w:r>
      <w:r w:rsidR="00AF5013" w:rsidRPr="002261B9">
        <w:rPr>
          <w:lang w:val="es-ES"/>
        </w:rPr>
        <w:t>ni</w:t>
      </w:r>
      <w:r w:rsidR="00461E4D" w:rsidRPr="002261B9">
        <w:rPr>
          <w:lang w:val="es-ES"/>
        </w:rPr>
        <w:t xml:space="preserve"> para refutarlas</w:t>
      </w:r>
      <w:r w:rsidR="00105754" w:rsidRPr="002261B9">
        <w:rPr>
          <w:lang w:val="es-ES"/>
        </w:rPr>
        <w:t xml:space="preserve"> (ECHA</w:t>
      </w:r>
      <w:r w:rsidR="00935ABF" w:rsidRPr="002261B9">
        <w:rPr>
          <w:lang w:val="es-ES"/>
        </w:rPr>
        <w:t>,</w:t>
      </w:r>
      <w:r w:rsidR="00105754" w:rsidRPr="002261B9">
        <w:rPr>
          <w:lang w:val="es-ES"/>
        </w:rPr>
        <w:t xml:space="preserve"> 2015a</w:t>
      </w:r>
      <w:r w:rsidR="00CB494C" w:rsidRPr="002261B9">
        <w:rPr>
          <w:lang w:val="es-ES"/>
        </w:rPr>
        <w:t>)</w:t>
      </w:r>
      <w:r w:rsidR="00105754" w:rsidRPr="002261B9">
        <w:rPr>
          <w:lang w:val="es-ES"/>
        </w:rPr>
        <w:t xml:space="preserve">. </w:t>
      </w:r>
      <w:r w:rsidR="00AF5013" w:rsidRPr="002261B9">
        <w:rPr>
          <w:lang w:val="es-ES"/>
        </w:rPr>
        <w:t xml:space="preserve">Según un documento de la Autoridad </w:t>
      </w:r>
      <w:r w:rsidR="00105754" w:rsidRPr="002261B9">
        <w:rPr>
          <w:lang w:val="es-ES"/>
        </w:rPr>
        <w:t>Europea</w:t>
      </w:r>
      <w:r w:rsidR="00AF5013" w:rsidRPr="002261B9">
        <w:rPr>
          <w:lang w:val="es-ES"/>
        </w:rPr>
        <w:t xml:space="preserve"> de Seguridad Alimentaria</w:t>
      </w:r>
      <w:r w:rsidR="00105754" w:rsidRPr="002261B9">
        <w:rPr>
          <w:lang w:val="es-ES"/>
        </w:rPr>
        <w:t xml:space="preserve"> </w:t>
      </w:r>
      <w:r w:rsidR="00AF5013" w:rsidRPr="002261B9">
        <w:rPr>
          <w:lang w:val="es-ES"/>
        </w:rPr>
        <w:t xml:space="preserve">de </w:t>
      </w:r>
      <w:r w:rsidR="00105754" w:rsidRPr="002261B9">
        <w:rPr>
          <w:lang w:val="es-ES"/>
        </w:rPr>
        <w:t xml:space="preserve">2011, 3M </w:t>
      </w:r>
      <w:r w:rsidR="00AF5013" w:rsidRPr="002261B9">
        <w:rPr>
          <w:lang w:val="es-ES"/>
        </w:rPr>
        <w:t xml:space="preserve">informó de un período medio de eliminación de </w:t>
      </w:r>
      <w:r w:rsidR="00105754" w:rsidRPr="002261B9">
        <w:rPr>
          <w:lang w:val="es-ES"/>
        </w:rPr>
        <w:t xml:space="preserve">ADONA </w:t>
      </w:r>
      <w:r w:rsidR="00AF5013" w:rsidRPr="002261B9">
        <w:rPr>
          <w:lang w:val="es-ES"/>
        </w:rPr>
        <w:t xml:space="preserve">del organismo de tres trabajadores, que fluctuaba entre </w:t>
      </w:r>
      <w:r w:rsidR="00105754" w:rsidRPr="002261B9">
        <w:rPr>
          <w:lang w:val="es-ES"/>
        </w:rPr>
        <w:t xml:space="preserve">12 </w:t>
      </w:r>
      <w:r w:rsidR="00AF5013" w:rsidRPr="002261B9">
        <w:rPr>
          <w:lang w:val="es-ES"/>
        </w:rPr>
        <w:t>y</w:t>
      </w:r>
      <w:r w:rsidR="00105754" w:rsidRPr="002261B9">
        <w:rPr>
          <w:lang w:val="es-ES"/>
        </w:rPr>
        <w:t xml:space="preserve"> 34 </w:t>
      </w:r>
      <w:r w:rsidR="00321ABA">
        <w:rPr>
          <w:lang w:val="es-ES"/>
        </w:rPr>
        <w:t>días, mientras </w:t>
      </w:r>
      <w:r w:rsidR="00AF5013" w:rsidRPr="002261B9">
        <w:rPr>
          <w:lang w:val="es-ES"/>
        </w:rPr>
        <w:t>que eliminar la mitad del PFOA demoraba unos cuatro años en los seres humanos</w:t>
      </w:r>
      <w:r w:rsidR="00105754" w:rsidRPr="002261B9">
        <w:rPr>
          <w:lang w:val="es-ES"/>
        </w:rPr>
        <w:t xml:space="preserve"> (</w:t>
      </w:r>
      <w:r w:rsidR="00F13B21" w:rsidRPr="002261B9">
        <w:rPr>
          <w:lang w:val="es-ES"/>
        </w:rPr>
        <w:t>véa</w:t>
      </w:r>
      <w:r w:rsidR="00033E30" w:rsidRPr="002261B9">
        <w:rPr>
          <w:lang w:val="es-ES"/>
        </w:rPr>
        <w:t>n</w:t>
      </w:r>
      <w:r w:rsidR="00F13B21" w:rsidRPr="002261B9">
        <w:rPr>
          <w:lang w:val="es-ES"/>
        </w:rPr>
        <w:t>se</w:t>
      </w:r>
      <w:r w:rsidR="00321ABA">
        <w:rPr>
          <w:lang w:val="es-ES"/>
        </w:rPr>
        <w:t> </w:t>
      </w:r>
      <w:r w:rsidR="00105754" w:rsidRPr="002261B9">
        <w:rPr>
          <w:lang w:val="es-ES"/>
        </w:rPr>
        <w:t>The Intercept</w:t>
      </w:r>
      <w:r w:rsidR="00935ABF" w:rsidRPr="002261B9">
        <w:rPr>
          <w:lang w:val="es-ES"/>
        </w:rPr>
        <w:t>,</w:t>
      </w:r>
      <w:r w:rsidR="00105754" w:rsidRPr="002261B9">
        <w:rPr>
          <w:lang w:val="es-ES"/>
        </w:rPr>
        <w:t xml:space="preserve"> 2016</w:t>
      </w:r>
      <w:r w:rsidR="00880301" w:rsidRPr="002261B9">
        <w:rPr>
          <w:lang w:val="es-ES"/>
        </w:rPr>
        <w:t xml:space="preserve"> </w:t>
      </w:r>
      <w:r w:rsidR="00AF5013" w:rsidRPr="002261B9">
        <w:rPr>
          <w:lang w:val="es-ES"/>
        </w:rPr>
        <w:t>y</w:t>
      </w:r>
      <w:r w:rsidR="00880301" w:rsidRPr="002261B9">
        <w:rPr>
          <w:lang w:val="es-ES"/>
        </w:rPr>
        <w:t xml:space="preserve"> EFSA</w:t>
      </w:r>
      <w:r w:rsidR="00935ABF" w:rsidRPr="002261B9">
        <w:rPr>
          <w:lang w:val="es-ES"/>
        </w:rPr>
        <w:t>,</w:t>
      </w:r>
      <w:r w:rsidR="00880301" w:rsidRPr="002261B9">
        <w:rPr>
          <w:lang w:val="es-ES"/>
        </w:rPr>
        <w:t xml:space="preserve"> 2011</w:t>
      </w:r>
      <w:r w:rsidR="00054B46" w:rsidRPr="002261B9">
        <w:rPr>
          <w:lang w:val="es-ES"/>
        </w:rPr>
        <w:t>b</w:t>
      </w:r>
      <w:r w:rsidR="00CB494C" w:rsidRPr="002261B9">
        <w:rPr>
          <w:lang w:val="es-ES"/>
        </w:rPr>
        <w:t>)</w:t>
      </w:r>
      <w:r w:rsidR="00105754" w:rsidRPr="002261B9">
        <w:rPr>
          <w:lang w:val="es-ES"/>
        </w:rPr>
        <w:t xml:space="preserve">. </w:t>
      </w:r>
    </w:p>
    <w:p w14:paraId="0FB518B4" w14:textId="4F1A641E" w:rsidR="00105754" w:rsidRPr="002261B9" w:rsidRDefault="005C3021" w:rsidP="00F45508">
      <w:pPr>
        <w:pStyle w:val="Paralevel1"/>
        <w:numPr>
          <w:ilvl w:val="0"/>
          <w:numId w:val="23"/>
        </w:numPr>
        <w:tabs>
          <w:tab w:val="clear" w:pos="0"/>
        </w:tabs>
        <w:ind w:left="1247" w:firstLine="0"/>
        <w:rPr>
          <w:lang w:val="es-ES"/>
        </w:rPr>
      </w:pPr>
      <w:r w:rsidRPr="002261B9">
        <w:rPr>
          <w:lang w:val="es-ES"/>
        </w:rPr>
        <w:t>En</w:t>
      </w:r>
      <w:r w:rsidR="00C341F4" w:rsidRPr="002261B9">
        <w:rPr>
          <w:lang w:val="es-ES"/>
        </w:rPr>
        <w:t xml:space="preserve"> otro</w:t>
      </w:r>
      <w:r w:rsidR="005652A9" w:rsidRPr="002261B9">
        <w:rPr>
          <w:lang w:val="es-ES"/>
        </w:rPr>
        <w:t xml:space="preserve"> </w:t>
      </w:r>
      <w:r w:rsidRPr="002261B9">
        <w:rPr>
          <w:lang w:val="es-ES"/>
        </w:rPr>
        <w:t>estudio</w:t>
      </w:r>
      <w:r w:rsidR="00105754" w:rsidRPr="002261B9">
        <w:rPr>
          <w:lang w:val="es-ES"/>
        </w:rPr>
        <w:t xml:space="preserve"> (Gordon</w:t>
      </w:r>
      <w:r w:rsidR="004904E9" w:rsidRPr="002261B9">
        <w:rPr>
          <w:lang w:val="es-ES"/>
        </w:rPr>
        <w:t>,</w:t>
      </w:r>
      <w:r w:rsidR="006F57D4" w:rsidRPr="002261B9">
        <w:rPr>
          <w:lang w:val="es-ES"/>
        </w:rPr>
        <w:t xml:space="preserve"> 2</w:t>
      </w:r>
      <w:r w:rsidR="00105754" w:rsidRPr="002261B9">
        <w:rPr>
          <w:lang w:val="es-ES"/>
        </w:rPr>
        <w:t xml:space="preserve">011) </w:t>
      </w:r>
      <w:r w:rsidR="005652A9" w:rsidRPr="002261B9">
        <w:rPr>
          <w:lang w:val="es-ES"/>
        </w:rPr>
        <w:t xml:space="preserve">se evaluó la toxicidad de </w:t>
      </w:r>
      <w:r w:rsidR="00105754" w:rsidRPr="002261B9">
        <w:rPr>
          <w:lang w:val="es-ES"/>
        </w:rPr>
        <w:t xml:space="preserve">ADONA </w:t>
      </w:r>
      <w:r w:rsidR="005652A9" w:rsidRPr="002261B9">
        <w:rPr>
          <w:lang w:val="es-ES"/>
        </w:rPr>
        <w:t>e</w:t>
      </w:r>
      <w:r w:rsidR="00105754" w:rsidRPr="002261B9">
        <w:rPr>
          <w:lang w:val="es-ES"/>
        </w:rPr>
        <w:t xml:space="preserve">n </w:t>
      </w:r>
      <w:r w:rsidR="00C341F4" w:rsidRPr="002261B9">
        <w:rPr>
          <w:lang w:val="es-ES"/>
        </w:rPr>
        <w:t xml:space="preserve">estudios con </w:t>
      </w:r>
      <w:r w:rsidR="005652A9" w:rsidRPr="002261B9">
        <w:rPr>
          <w:lang w:val="es-ES"/>
        </w:rPr>
        <w:t xml:space="preserve">dosis agudas y reiteradas </w:t>
      </w:r>
      <w:r w:rsidR="00C341F4" w:rsidRPr="002261B9">
        <w:rPr>
          <w:lang w:val="es-ES"/>
        </w:rPr>
        <w:t xml:space="preserve">en períodos </w:t>
      </w:r>
      <w:r w:rsidR="005652A9" w:rsidRPr="002261B9">
        <w:rPr>
          <w:lang w:val="es-ES"/>
        </w:rPr>
        <w:t xml:space="preserve">de hasta </w:t>
      </w:r>
      <w:r w:rsidR="00105754" w:rsidRPr="002261B9">
        <w:rPr>
          <w:lang w:val="es-ES"/>
        </w:rPr>
        <w:t>90 d</w:t>
      </w:r>
      <w:r w:rsidR="005652A9" w:rsidRPr="002261B9">
        <w:rPr>
          <w:lang w:val="es-ES"/>
        </w:rPr>
        <w:t>ías</w:t>
      </w:r>
      <w:r w:rsidR="00105754" w:rsidRPr="002261B9">
        <w:rPr>
          <w:lang w:val="es-ES"/>
        </w:rPr>
        <w:t xml:space="preserve">, </w:t>
      </w:r>
      <w:r w:rsidR="005652A9" w:rsidRPr="002261B9">
        <w:rPr>
          <w:lang w:val="es-ES"/>
        </w:rPr>
        <w:t>y en estudios de irritación de los ojos y la piel</w:t>
      </w:r>
      <w:r w:rsidR="00105754" w:rsidRPr="002261B9">
        <w:rPr>
          <w:lang w:val="es-ES"/>
        </w:rPr>
        <w:t>, sensi</w:t>
      </w:r>
      <w:r w:rsidR="005652A9" w:rsidRPr="002261B9">
        <w:rPr>
          <w:lang w:val="es-ES"/>
        </w:rPr>
        <w:t>bilización dérmica</w:t>
      </w:r>
      <w:r w:rsidR="00105754" w:rsidRPr="002261B9">
        <w:rPr>
          <w:lang w:val="es-ES"/>
        </w:rPr>
        <w:t>, genotoxici</w:t>
      </w:r>
      <w:r w:rsidR="005652A9" w:rsidRPr="002261B9">
        <w:rPr>
          <w:lang w:val="es-ES"/>
        </w:rPr>
        <w:t>dad y toxicidad en el desarrollo</w:t>
      </w:r>
      <w:r w:rsidR="00105754" w:rsidRPr="002261B9">
        <w:rPr>
          <w:lang w:val="es-ES"/>
        </w:rPr>
        <w:t xml:space="preserve">. </w:t>
      </w:r>
      <w:r w:rsidR="005652A9" w:rsidRPr="002261B9">
        <w:rPr>
          <w:lang w:val="es-ES"/>
        </w:rPr>
        <w:t xml:space="preserve">Se </w:t>
      </w:r>
      <w:r w:rsidR="00C341F4" w:rsidRPr="002261B9">
        <w:rPr>
          <w:lang w:val="es-ES"/>
        </w:rPr>
        <w:t xml:space="preserve">determinó que la </w:t>
      </w:r>
      <w:r w:rsidR="005652A9" w:rsidRPr="002261B9">
        <w:rPr>
          <w:lang w:val="es-ES"/>
        </w:rPr>
        <w:t xml:space="preserve">sustancia </w:t>
      </w:r>
      <w:r w:rsidR="00C341F4" w:rsidRPr="002261B9">
        <w:rPr>
          <w:lang w:val="es-ES"/>
        </w:rPr>
        <w:t xml:space="preserve">era </w:t>
      </w:r>
      <w:r w:rsidR="003A69F1" w:rsidRPr="002261B9">
        <w:rPr>
          <w:lang w:val="es-ES"/>
        </w:rPr>
        <w:t>agonista del receptor alfa activado por proliferador de peroxisoma</w:t>
      </w:r>
      <w:r w:rsidR="009E7F9A" w:rsidRPr="002261B9">
        <w:rPr>
          <w:lang w:val="es-ES"/>
        </w:rPr>
        <w:t>s</w:t>
      </w:r>
      <w:r w:rsidR="003A69F1" w:rsidRPr="002261B9">
        <w:rPr>
          <w:lang w:val="es-ES"/>
        </w:rPr>
        <w:t xml:space="preserve"> </w:t>
      </w:r>
      <w:r w:rsidR="00105754" w:rsidRPr="002261B9">
        <w:rPr>
          <w:lang w:val="es-ES"/>
        </w:rPr>
        <w:t xml:space="preserve">(PPARα) </w:t>
      </w:r>
      <w:r w:rsidR="00426657" w:rsidRPr="002261B9">
        <w:rPr>
          <w:lang w:val="es-ES"/>
        </w:rPr>
        <w:t>en ratas</w:t>
      </w:r>
      <w:r w:rsidR="00105754" w:rsidRPr="002261B9">
        <w:rPr>
          <w:lang w:val="es-ES"/>
        </w:rPr>
        <w:t>, modera</w:t>
      </w:r>
      <w:r w:rsidR="00426657" w:rsidRPr="002261B9">
        <w:rPr>
          <w:lang w:val="es-ES"/>
        </w:rPr>
        <w:t>damente tóxico por vía oral y prácticamente sin toxicidad para la piel en estudios de toxicidad aguda en ratas</w:t>
      </w:r>
      <w:r w:rsidR="00105754" w:rsidRPr="002261B9">
        <w:rPr>
          <w:lang w:val="es-ES"/>
        </w:rPr>
        <w:t xml:space="preserve">. </w:t>
      </w:r>
      <w:r w:rsidR="00426657" w:rsidRPr="002261B9">
        <w:rPr>
          <w:lang w:val="es-ES"/>
        </w:rPr>
        <w:t xml:space="preserve">En los conejos, </w:t>
      </w:r>
      <w:r w:rsidR="00105754" w:rsidRPr="002261B9">
        <w:rPr>
          <w:lang w:val="es-ES"/>
        </w:rPr>
        <w:t xml:space="preserve">ADONA </w:t>
      </w:r>
      <w:r w:rsidR="00426657" w:rsidRPr="002261B9">
        <w:rPr>
          <w:lang w:val="es-ES"/>
        </w:rPr>
        <w:t>resultó ser un irritante leve de la piel y un irritante para los ojos de moderado a grave, así como un débil sensibilizador dérmico en ensayos locales de los ganglios linfáticos</w:t>
      </w:r>
      <w:r w:rsidR="00105754" w:rsidRPr="002261B9">
        <w:rPr>
          <w:lang w:val="es-ES"/>
        </w:rPr>
        <w:t xml:space="preserve"> </w:t>
      </w:r>
      <w:r w:rsidR="00426657" w:rsidRPr="002261B9">
        <w:rPr>
          <w:lang w:val="es-ES"/>
        </w:rPr>
        <w:t>en ratones</w:t>
      </w:r>
      <w:r w:rsidR="00105754" w:rsidRPr="002261B9">
        <w:rPr>
          <w:lang w:val="es-ES"/>
        </w:rPr>
        <w:t xml:space="preserve">. </w:t>
      </w:r>
      <w:r w:rsidR="003A69F1" w:rsidRPr="002261B9">
        <w:rPr>
          <w:lang w:val="es-ES"/>
        </w:rPr>
        <w:t>ADONA no se consideró genotóxico</w:t>
      </w:r>
      <w:r w:rsidR="00105754" w:rsidRPr="002261B9">
        <w:rPr>
          <w:lang w:val="es-ES"/>
        </w:rPr>
        <w:t xml:space="preserve">. </w:t>
      </w:r>
      <w:r w:rsidR="003A69F1" w:rsidRPr="002261B9">
        <w:rPr>
          <w:lang w:val="es-ES"/>
        </w:rPr>
        <w:t xml:space="preserve">No se observó toxicidad en el desarrollo salvo en dosis tóxicas maternas. Respecto de </w:t>
      </w:r>
      <w:r w:rsidR="00105754" w:rsidRPr="002261B9">
        <w:rPr>
          <w:lang w:val="es-ES"/>
        </w:rPr>
        <w:t xml:space="preserve">ADONA </w:t>
      </w:r>
      <w:r w:rsidR="003A69F1" w:rsidRPr="002261B9">
        <w:rPr>
          <w:lang w:val="es-ES"/>
        </w:rPr>
        <w:t xml:space="preserve">como agonista </w:t>
      </w:r>
      <w:r w:rsidR="00C341F4" w:rsidRPr="002261B9">
        <w:rPr>
          <w:lang w:val="es-ES"/>
        </w:rPr>
        <w:t xml:space="preserve">del </w:t>
      </w:r>
      <w:r w:rsidR="00105754" w:rsidRPr="002261B9">
        <w:rPr>
          <w:lang w:val="es-ES"/>
        </w:rPr>
        <w:t>PPARα</w:t>
      </w:r>
      <w:r w:rsidR="003A69F1" w:rsidRPr="002261B9">
        <w:rPr>
          <w:lang w:val="es-ES"/>
        </w:rPr>
        <w:t>, el hígado fue el órgano</w:t>
      </w:r>
      <w:r w:rsidR="00BD1167" w:rsidRPr="002261B9">
        <w:rPr>
          <w:lang w:val="es-ES"/>
        </w:rPr>
        <w:t xml:space="preserve"> primordial elegido como objetivo en las ratas machos y el riñón, en las ratas hembras</w:t>
      </w:r>
      <w:r w:rsidR="00105754" w:rsidRPr="002261B9">
        <w:rPr>
          <w:lang w:val="es-ES"/>
        </w:rPr>
        <w:t xml:space="preserve">. </w:t>
      </w:r>
      <w:r w:rsidR="00BD1167" w:rsidRPr="002261B9">
        <w:rPr>
          <w:lang w:val="es-ES"/>
        </w:rPr>
        <w:t>El autor llegó a la conclusión de que el perfil de toxicidad de</w:t>
      </w:r>
      <w:r w:rsidR="00105754" w:rsidRPr="002261B9">
        <w:rPr>
          <w:lang w:val="es-ES"/>
        </w:rPr>
        <w:t xml:space="preserve"> ADONA </w:t>
      </w:r>
      <w:r w:rsidR="00BD1167" w:rsidRPr="002261B9">
        <w:rPr>
          <w:lang w:val="es-ES"/>
        </w:rPr>
        <w:t xml:space="preserve">era aceptable para el uso al que estaba destinado como </w:t>
      </w:r>
      <w:r w:rsidR="00105754" w:rsidRPr="002261B9">
        <w:rPr>
          <w:lang w:val="es-ES"/>
        </w:rPr>
        <w:t xml:space="preserve">PPA </w:t>
      </w:r>
      <w:r w:rsidR="00BD1167" w:rsidRPr="002261B9">
        <w:rPr>
          <w:lang w:val="es-ES"/>
        </w:rPr>
        <w:t xml:space="preserve">y era superior al del </w:t>
      </w:r>
      <w:r w:rsidR="00105754" w:rsidRPr="002261B9">
        <w:rPr>
          <w:lang w:val="es-ES"/>
        </w:rPr>
        <w:t>APFO.</w:t>
      </w:r>
      <w:r w:rsidR="000E359B" w:rsidRPr="002261B9">
        <w:rPr>
          <w:lang w:val="es-ES"/>
        </w:rPr>
        <w:t xml:space="preserve"> </w:t>
      </w:r>
    </w:p>
    <w:p w14:paraId="31816D69" w14:textId="70C0C659" w:rsidR="00105754" w:rsidRPr="002261B9" w:rsidRDefault="005C3021" w:rsidP="00F45508">
      <w:pPr>
        <w:pStyle w:val="Paralevel1"/>
        <w:numPr>
          <w:ilvl w:val="0"/>
          <w:numId w:val="23"/>
        </w:numPr>
        <w:tabs>
          <w:tab w:val="clear" w:pos="0"/>
        </w:tabs>
        <w:ind w:left="1247" w:firstLine="0"/>
        <w:rPr>
          <w:lang w:val="es-ES"/>
        </w:rPr>
      </w:pPr>
      <w:r w:rsidRPr="002261B9">
        <w:rPr>
          <w:lang w:val="es-ES"/>
        </w:rPr>
        <w:t xml:space="preserve">El </w:t>
      </w:r>
      <w:r w:rsidR="00105754" w:rsidRPr="002261B9">
        <w:rPr>
          <w:lang w:val="es-ES"/>
        </w:rPr>
        <w:t>EEA-NH</w:t>
      </w:r>
      <w:r w:rsidR="00105754" w:rsidRPr="002261B9">
        <w:rPr>
          <w:vertAlign w:val="subscript"/>
          <w:lang w:val="es-ES"/>
        </w:rPr>
        <w:t>4</w:t>
      </w:r>
      <w:r w:rsidR="00BD1167" w:rsidRPr="002261B9">
        <w:rPr>
          <w:lang w:val="es-ES"/>
        </w:rPr>
        <w:t xml:space="preserve"> se considera persistente. Los datos proporcionados no son suficientes para determinar que no es bioacumulativo</w:t>
      </w:r>
      <w:r w:rsidR="00105754" w:rsidRPr="002261B9">
        <w:rPr>
          <w:lang w:val="es-ES"/>
        </w:rPr>
        <w:t xml:space="preserve"> (B). </w:t>
      </w:r>
      <w:r w:rsidR="00BD1167" w:rsidRPr="002261B9">
        <w:rPr>
          <w:lang w:val="es-ES"/>
        </w:rPr>
        <w:t>En cuanto a los riesgos para el medio ambiente</w:t>
      </w:r>
      <w:r w:rsidR="00105754" w:rsidRPr="002261B9">
        <w:rPr>
          <w:lang w:val="es-ES"/>
        </w:rPr>
        <w:t xml:space="preserve"> (</w:t>
      </w:r>
      <w:r w:rsidR="00BD1167" w:rsidRPr="002261B9">
        <w:rPr>
          <w:lang w:val="es-ES"/>
        </w:rPr>
        <w:t>los datos se extrajeron del expediente de inscripción</w:t>
      </w:r>
      <w:r w:rsidR="00105754" w:rsidRPr="002261B9">
        <w:rPr>
          <w:lang w:val="es-ES"/>
        </w:rPr>
        <w:t>) rela</w:t>
      </w:r>
      <w:r w:rsidR="00BD1167" w:rsidRPr="002261B9">
        <w:rPr>
          <w:lang w:val="es-ES"/>
        </w:rPr>
        <w:t xml:space="preserve">cionados con el </w:t>
      </w:r>
      <w:r w:rsidR="00105754" w:rsidRPr="002261B9">
        <w:rPr>
          <w:lang w:val="es-ES"/>
        </w:rPr>
        <w:t>EEA-NH</w:t>
      </w:r>
      <w:r w:rsidR="00105754" w:rsidRPr="002261B9">
        <w:rPr>
          <w:vertAlign w:val="subscript"/>
          <w:lang w:val="es-ES"/>
        </w:rPr>
        <w:t>4</w:t>
      </w:r>
      <w:r w:rsidR="00105754" w:rsidRPr="002261B9">
        <w:rPr>
          <w:lang w:val="es-ES"/>
        </w:rPr>
        <w:t xml:space="preserve"> </w:t>
      </w:r>
      <w:r w:rsidR="00BD1167" w:rsidRPr="002261B9">
        <w:rPr>
          <w:lang w:val="es-ES"/>
        </w:rPr>
        <w:t xml:space="preserve">no se determinó toxicidad aguda </w:t>
      </w:r>
      <w:r w:rsidR="00105754" w:rsidRPr="002261B9">
        <w:rPr>
          <w:lang w:val="es-ES"/>
        </w:rPr>
        <w:t>(LC/EC</w:t>
      </w:r>
      <w:r w:rsidR="00105754" w:rsidRPr="002261B9">
        <w:rPr>
          <w:vertAlign w:val="subscript"/>
          <w:lang w:val="es-ES"/>
        </w:rPr>
        <w:t>50</w:t>
      </w:r>
      <w:r w:rsidR="00321ABA">
        <w:rPr>
          <w:vertAlign w:val="subscript"/>
          <w:lang w:val="es-ES"/>
        </w:rPr>
        <w:t xml:space="preserve"> </w:t>
      </w:r>
      <w:r w:rsidR="006F566E" w:rsidRPr="002261B9">
        <w:rPr>
          <w:lang w:val="es-ES"/>
        </w:rPr>
        <w:t>&gt;100 mg/l</w:t>
      </w:r>
      <w:r w:rsidR="00105754" w:rsidRPr="002261B9">
        <w:rPr>
          <w:lang w:val="es-ES"/>
        </w:rPr>
        <w:t xml:space="preserve">) </w:t>
      </w:r>
      <w:r w:rsidR="00BD1167" w:rsidRPr="002261B9">
        <w:rPr>
          <w:lang w:val="es-ES"/>
        </w:rPr>
        <w:t>para los organismos acuáticos</w:t>
      </w:r>
      <w:r w:rsidR="00105754" w:rsidRPr="002261B9">
        <w:rPr>
          <w:lang w:val="es-ES"/>
        </w:rPr>
        <w:t xml:space="preserve">. </w:t>
      </w:r>
      <w:r w:rsidR="00BD1167" w:rsidRPr="002261B9">
        <w:rPr>
          <w:lang w:val="es-ES"/>
        </w:rPr>
        <w:t>Sobre la base de toda la información disponible, no se puede llevar a cabo una evaluación complet</w:t>
      </w:r>
      <w:r w:rsidR="00961978" w:rsidRPr="002261B9">
        <w:rPr>
          <w:lang w:val="es-ES"/>
        </w:rPr>
        <w:t>a</w:t>
      </w:r>
      <w:r w:rsidR="00BD1167" w:rsidRPr="002261B9">
        <w:rPr>
          <w:lang w:val="es-ES"/>
        </w:rPr>
        <w:t xml:space="preserve"> de su persistencia, bioacumulación y toxicidad que tome en consideración la evaluación de esas características del PFOA</w:t>
      </w:r>
      <w:r w:rsidR="00105754" w:rsidRPr="002261B9">
        <w:rPr>
          <w:lang w:val="es-ES"/>
        </w:rPr>
        <w:t xml:space="preserve">. </w:t>
      </w:r>
      <w:r w:rsidR="00BD1167" w:rsidRPr="002261B9">
        <w:rPr>
          <w:lang w:val="es-ES"/>
        </w:rPr>
        <w:t>Es muy probable que la sustancia cumpla el requisito de persistencia del anexo III de</w:t>
      </w:r>
      <w:r w:rsidR="00105754" w:rsidRPr="002261B9">
        <w:rPr>
          <w:lang w:val="es-ES"/>
        </w:rPr>
        <w:t xml:space="preserve"> REACH. </w:t>
      </w:r>
      <w:r w:rsidR="00BD1167" w:rsidRPr="002261B9">
        <w:rPr>
          <w:lang w:val="es-ES"/>
        </w:rPr>
        <w:t>A juzgar por los datos sobre toxicidad ambiental, la sustancia no cumple el requisito de toxicidad. Los datos sobre toxicidad para l</w:t>
      </w:r>
      <w:r w:rsidR="00C341F4" w:rsidRPr="002261B9">
        <w:rPr>
          <w:lang w:val="es-ES"/>
        </w:rPr>
        <w:t>a salud humana se extrajeron de</w:t>
      </w:r>
      <w:r w:rsidR="00BD1167" w:rsidRPr="002261B9">
        <w:rPr>
          <w:lang w:val="es-ES"/>
        </w:rPr>
        <w:t>l</w:t>
      </w:r>
      <w:r w:rsidR="00C341F4" w:rsidRPr="002261B9">
        <w:rPr>
          <w:lang w:val="es-ES"/>
        </w:rPr>
        <w:t xml:space="preserve"> registro</w:t>
      </w:r>
      <w:r w:rsidR="00105754" w:rsidRPr="002261B9">
        <w:rPr>
          <w:lang w:val="es-ES"/>
        </w:rPr>
        <w:t xml:space="preserve">. </w:t>
      </w:r>
      <w:r w:rsidR="00BD1167" w:rsidRPr="002261B9">
        <w:rPr>
          <w:lang w:val="es-ES"/>
        </w:rPr>
        <w:t xml:space="preserve">El solicitante de inscripción señala que la sustancia está clasificada como tóxica para </w:t>
      </w:r>
      <w:r w:rsidR="006314E1" w:rsidRPr="002261B9">
        <w:rPr>
          <w:lang w:val="es-ES"/>
        </w:rPr>
        <w:t>la reproducción en la categoría</w:t>
      </w:r>
      <w:r w:rsidR="00105754" w:rsidRPr="002261B9">
        <w:rPr>
          <w:lang w:val="es-ES"/>
        </w:rPr>
        <w:t xml:space="preserve"> 2. </w:t>
      </w:r>
      <w:r w:rsidR="006314E1" w:rsidRPr="002261B9">
        <w:rPr>
          <w:lang w:val="es-ES"/>
        </w:rPr>
        <w:t>Por esa razón, la sustancia cumple el requisito de toxicidad del anexo III y se sigue sospechando que es persistente, bioacumulativa y tóxica</w:t>
      </w:r>
      <w:r w:rsidR="00105754" w:rsidRPr="002261B9">
        <w:rPr>
          <w:lang w:val="es-ES"/>
        </w:rPr>
        <w:t xml:space="preserve"> (ECHA</w:t>
      </w:r>
      <w:r w:rsidR="00935ABF" w:rsidRPr="002261B9">
        <w:rPr>
          <w:lang w:val="es-ES"/>
        </w:rPr>
        <w:t>,</w:t>
      </w:r>
      <w:r w:rsidR="00105754" w:rsidRPr="002261B9">
        <w:rPr>
          <w:lang w:val="es-ES"/>
        </w:rPr>
        <w:t xml:space="preserve"> 2015a</w:t>
      </w:r>
      <w:r w:rsidR="00961978" w:rsidRPr="002261B9">
        <w:rPr>
          <w:lang w:val="es-ES"/>
        </w:rPr>
        <w:t>)</w:t>
      </w:r>
      <w:r w:rsidR="00105754" w:rsidRPr="002261B9">
        <w:rPr>
          <w:lang w:val="es-ES"/>
        </w:rPr>
        <w:t>.</w:t>
      </w:r>
    </w:p>
    <w:p w14:paraId="4D4F1B94" w14:textId="1FED60DB" w:rsidR="00105754" w:rsidRPr="002261B9" w:rsidRDefault="00105754" w:rsidP="00F45508">
      <w:pPr>
        <w:pStyle w:val="Paralevel1"/>
        <w:numPr>
          <w:ilvl w:val="0"/>
          <w:numId w:val="23"/>
        </w:numPr>
        <w:tabs>
          <w:tab w:val="clear" w:pos="0"/>
        </w:tabs>
        <w:ind w:left="1247" w:firstLine="0"/>
        <w:rPr>
          <w:lang w:val="es-ES"/>
        </w:rPr>
      </w:pPr>
      <w:r w:rsidRPr="002261B9">
        <w:rPr>
          <w:lang w:val="es-ES"/>
        </w:rPr>
        <w:t>Se</w:t>
      </w:r>
      <w:r w:rsidR="006314E1" w:rsidRPr="002261B9">
        <w:rPr>
          <w:lang w:val="es-ES"/>
        </w:rPr>
        <w:t xml:space="preserve"> </w:t>
      </w:r>
      <w:r w:rsidR="00882024" w:rsidRPr="002261B9">
        <w:rPr>
          <w:lang w:val="es-ES"/>
        </w:rPr>
        <w:t>informó sobre la</w:t>
      </w:r>
      <w:r w:rsidR="00E82724" w:rsidRPr="002261B9">
        <w:rPr>
          <w:lang w:val="es-ES"/>
        </w:rPr>
        <w:t xml:space="preserve">s semividas de eliminación </w:t>
      </w:r>
      <w:r w:rsidR="00C341F4" w:rsidRPr="002261B9">
        <w:rPr>
          <w:lang w:val="es-ES"/>
        </w:rPr>
        <w:t>del</w:t>
      </w:r>
      <w:r w:rsidR="00E82724" w:rsidRPr="002261B9">
        <w:rPr>
          <w:lang w:val="es-ES"/>
        </w:rPr>
        <w:t xml:space="preserve"> suero de los dos PFECA</w:t>
      </w:r>
      <w:r w:rsidR="00900B4F" w:rsidRPr="002261B9">
        <w:rPr>
          <w:lang w:val="es-ES"/>
        </w:rPr>
        <w:t>,</w:t>
      </w:r>
      <w:r w:rsidR="006314E1" w:rsidRPr="002261B9">
        <w:rPr>
          <w:lang w:val="es-ES"/>
        </w:rPr>
        <w:t xml:space="preserve"> GenX (e</w:t>
      </w:r>
      <w:r w:rsidRPr="002261B9">
        <w:rPr>
          <w:lang w:val="es-ES"/>
        </w:rPr>
        <w:t>n rat</w:t>
      </w:r>
      <w:r w:rsidR="006314E1" w:rsidRPr="002261B9">
        <w:rPr>
          <w:lang w:val="es-ES"/>
        </w:rPr>
        <w:t>a</w:t>
      </w:r>
      <w:r w:rsidRPr="002261B9">
        <w:rPr>
          <w:lang w:val="es-ES"/>
        </w:rPr>
        <w:t xml:space="preserve">s </w:t>
      </w:r>
      <w:r w:rsidR="006314E1" w:rsidRPr="002261B9">
        <w:rPr>
          <w:lang w:val="es-ES"/>
        </w:rPr>
        <w:t>y ratones</w:t>
      </w:r>
      <w:r w:rsidRPr="002261B9">
        <w:rPr>
          <w:lang w:val="es-ES"/>
        </w:rPr>
        <w:t xml:space="preserve">) </w:t>
      </w:r>
      <w:r w:rsidR="006314E1" w:rsidRPr="002261B9">
        <w:rPr>
          <w:lang w:val="es-ES"/>
        </w:rPr>
        <w:t>y</w:t>
      </w:r>
      <w:r w:rsidRPr="002261B9">
        <w:rPr>
          <w:lang w:val="es-ES"/>
        </w:rPr>
        <w:t xml:space="preserve"> ADONA (</w:t>
      </w:r>
      <w:r w:rsidR="006314E1" w:rsidRPr="002261B9">
        <w:rPr>
          <w:lang w:val="es-ES"/>
        </w:rPr>
        <w:t>e</w:t>
      </w:r>
      <w:r w:rsidRPr="002261B9">
        <w:rPr>
          <w:lang w:val="es-ES"/>
        </w:rPr>
        <w:t>n rat</w:t>
      </w:r>
      <w:r w:rsidR="006314E1" w:rsidRPr="002261B9">
        <w:rPr>
          <w:lang w:val="es-ES"/>
        </w:rPr>
        <w:t>a</w:t>
      </w:r>
      <w:r w:rsidRPr="002261B9">
        <w:rPr>
          <w:lang w:val="es-ES"/>
        </w:rPr>
        <w:t>s</w:t>
      </w:r>
      <w:r w:rsidR="006314E1" w:rsidRPr="002261B9">
        <w:rPr>
          <w:lang w:val="es-ES"/>
        </w:rPr>
        <w:t xml:space="preserve"> y seres humanos</w:t>
      </w:r>
      <w:r w:rsidRPr="002261B9">
        <w:rPr>
          <w:lang w:val="es-ES"/>
        </w:rPr>
        <w:t>) (ECHA</w:t>
      </w:r>
      <w:r w:rsidR="00935ABF" w:rsidRPr="002261B9">
        <w:rPr>
          <w:lang w:val="es-ES"/>
        </w:rPr>
        <w:t>,</w:t>
      </w:r>
      <w:r w:rsidRPr="002261B9">
        <w:rPr>
          <w:lang w:val="es-ES"/>
        </w:rPr>
        <w:t xml:space="preserve"> 2014b; EFSA</w:t>
      </w:r>
      <w:r w:rsidR="00935ABF" w:rsidRPr="002261B9">
        <w:rPr>
          <w:lang w:val="es-ES"/>
        </w:rPr>
        <w:t>,</w:t>
      </w:r>
      <w:r w:rsidRPr="002261B9">
        <w:rPr>
          <w:lang w:val="es-ES"/>
        </w:rPr>
        <w:t xml:space="preserve"> 2011b). </w:t>
      </w:r>
      <w:r w:rsidR="00E82724" w:rsidRPr="002261B9">
        <w:rPr>
          <w:lang w:val="es-ES"/>
        </w:rPr>
        <w:t>Las semividas de eliminación de</w:t>
      </w:r>
      <w:r w:rsidR="00C341F4" w:rsidRPr="002261B9">
        <w:rPr>
          <w:lang w:val="es-ES"/>
        </w:rPr>
        <w:t>l</w:t>
      </w:r>
      <w:r w:rsidR="00E82724" w:rsidRPr="002261B9">
        <w:rPr>
          <w:lang w:val="es-ES"/>
        </w:rPr>
        <w:t xml:space="preserve"> suero </w:t>
      </w:r>
      <w:r w:rsidR="006314E1" w:rsidRPr="002261B9">
        <w:rPr>
          <w:lang w:val="es-ES"/>
        </w:rPr>
        <w:t xml:space="preserve">fueron más breves que la del </w:t>
      </w:r>
      <w:r w:rsidRPr="002261B9">
        <w:rPr>
          <w:lang w:val="es-ES"/>
        </w:rPr>
        <w:t xml:space="preserve">PFOA, </w:t>
      </w:r>
      <w:r w:rsidR="006314E1" w:rsidRPr="002261B9">
        <w:rPr>
          <w:lang w:val="es-ES"/>
        </w:rPr>
        <w:t>pero se consideró</w:t>
      </w:r>
      <w:r w:rsidR="00E82724" w:rsidRPr="002261B9">
        <w:rPr>
          <w:lang w:val="es-ES"/>
        </w:rPr>
        <w:t xml:space="preserve"> </w:t>
      </w:r>
      <w:r w:rsidR="006314E1" w:rsidRPr="002261B9">
        <w:rPr>
          <w:lang w:val="es-ES"/>
        </w:rPr>
        <w:t xml:space="preserve">imposible llegar a una </w:t>
      </w:r>
      <w:r w:rsidR="006314E1" w:rsidRPr="002261B9">
        <w:rPr>
          <w:lang w:val="es-ES"/>
        </w:rPr>
        <w:lastRenderedPageBreak/>
        <w:t>conclusión sobre el potencial de bioacumulaci</w:t>
      </w:r>
      <w:r w:rsidR="00E82724" w:rsidRPr="002261B9">
        <w:rPr>
          <w:lang w:val="es-ES"/>
        </w:rPr>
        <w:t>ó</w:t>
      </w:r>
      <w:r w:rsidR="006314E1" w:rsidRPr="002261B9">
        <w:rPr>
          <w:lang w:val="es-ES"/>
        </w:rPr>
        <w:t>n de los PFECA y los</w:t>
      </w:r>
      <w:r w:rsidRPr="002261B9">
        <w:rPr>
          <w:lang w:val="es-ES"/>
        </w:rPr>
        <w:t xml:space="preserve"> PFESA d</w:t>
      </w:r>
      <w:r w:rsidR="006314E1" w:rsidRPr="002261B9">
        <w:rPr>
          <w:lang w:val="es-ES"/>
        </w:rPr>
        <w:t xml:space="preserve">ebido a que en el reglamento no se </w:t>
      </w:r>
      <w:r w:rsidR="00E82724" w:rsidRPr="002261B9">
        <w:rPr>
          <w:lang w:val="es-ES"/>
        </w:rPr>
        <w:t>había</w:t>
      </w:r>
      <w:r w:rsidR="006314E1" w:rsidRPr="002261B9">
        <w:rPr>
          <w:lang w:val="es-ES"/>
        </w:rPr>
        <w:t xml:space="preserve"> definido </w:t>
      </w:r>
      <w:r w:rsidR="00E82724" w:rsidRPr="002261B9">
        <w:rPr>
          <w:lang w:val="es-ES"/>
        </w:rPr>
        <w:t xml:space="preserve">el umbral cuantitativo de las semividas de eliminación del suero </w:t>
      </w:r>
      <w:r w:rsidR="006314E1" w:rsidRPr="002261B9">
        <w:rPr>
          <w:lang w:val="es-ES"/>
        </w:rPr>
        <w:t xml:space="preserve">como </w:t>
      </w:r>
      <w:r w:rsidR="00882024" w:rsidRPr="002261B9">
        <w:rPr>
          <w:lang w:val="es-ES"/>
        </w:rPr>
        <w:t xml:space="preserve">requisito de la </w:t>
      </w:r>
      <w:r w:rsidR="006314E1" w:rsidRPr="002261B9">
        <w:rPr>
          <w:lang w:val="es-ES"/>
        </w:rPr>
        <w:t>bioacumulación, no se ha</w:t>
      </w:r>
      <w:r w:rsidR="00E82724" w:rsidRPr="002261B9">
        <w:rPr>
          <w:lang w:val="es-ES"/>
        </w:rPr>
        <w:t>bía</w:t>
      </w:r>
      <w:r w:rsidR="006314E1" w:rsidRPr="002261B9">
        <w:rPr>
          <w:lang w:val="es-ES"/>
        </w:rPr>
        <w:t xml:space="preserve"> elucidado la variación </w:t>
      </w:r>
      <w:r w:rsidR="00E82724" w:rsidRPr="002261B9">
        <w:rPr>
          <w:lang w:val="es-ES"/>
        </w:rPr>
        <w:t>e</w:t>
      </w:r>
      <w:r w:rsidRPr="002261B9">
        <w:rPr>
          <w:lang w:val="es-ES"/>
        </w:rPr>
        <w:t>nt</w:t>
      </w:r>
      <w:r w:rsidR="00E82724" w:rsidRPr="002261B9">
        <w:rPr>
          <w:lang w:val="es-ES"/>
        </w:rPr>
        <w:t>r</w:t>
      </w:r>
      <w:r w:rsidRPr="002261B9">
        <w:rPr>
          <w:lang w:val="es-ES"/>
        </w:rPr>
        <w:t>e</w:t>
      </w:r>
      <w:r w:rsidR="00E82724" w:rsidRPr="002261B9">
        <w:rPr>
          <w:lang w:val="es-ES"/>
        </w:rPr>
        <w:t xml:space="preserve"> e</w:t>
      </w:r>
      <w:r w:rsidRPr="002261B9">
        <w:rPr>
          <w:lang w:val="es-ES"/>
        </w:rPr>
        <w:t>species</w:t>
      </w:r>
      <w:r w:rsidR="006314E1" w:rsidRPr="002261B9">
        <w:rPr>
          <w:lang w:val="es-ES"/>
        </w:rPr>
        <w:t xml:space="preserve"> y</w:t>
      </w:r>
      <w:r w:rsidR="00882024" w:rsidRPr="002261B9">
        <w:rPr>
          <w:lang w:val="es-ES"/>
        </w:rPr>
        <w:t>,</w:t>
      </w:r>
      <w:r w:rsidR="006314E1" w:rsidRPr="002261B9">
        <w:rPr>
          <w:lang w:val="es-ES"/>
        </w:rPr>
        <w:t xml:space="preserve"> </w:t>
      </w:r>
      <w:r w:rsidR="00882024" w:rsidRPr="002261B9">
        <w:rPr>
          <w:lang w:val="es-ES"/>
        </w:rPr>
        <w:t xml:space="preserve">en muchos casos, en </w:t>
      </w:r>
      <w:r w:rsidR="006314E1" w:rsidRPr="002261B9">
        <w:rPr>
          <w:lang w:val="es-ES"/>
        </w:rPr>
        <w:t xml:space="preserve">los estudios se </w:t>
      </w:r>
      <w:r w:rsidR="00882024" w:rsidRPr="002261B9">
        <w:rPr>
          <w:lang w:val="es-ES"/>
        </w:rPr>
        <w:t>utilizaron</w:t>
      </w:r>
      <w:r w:rsidR="006314E1" w:rsidRPr="002261B9">
        <w:rPr>
          <w:lang w:val="es-ES"/>
        </w:rPr>
        <w:t xml:space="preserve"> diferentes métodos de dosificación</w:t>
      </w:r>
      <w:r w:rsidRPr="002261B9">
        <w:rPr>
          <w:lang w:val="es-ES"/>
        </w:rPr>
        <w:t xml:space="preserve"> (</w:t>
      </w:r>
      <w:r w:rsidR="006314E1" w:rsidRPr="002261B9">
        <w:rPr>
          <w:lang w:val="es-ES"/>
        </w:rPr>
        <w:t>por ejemplo, oral y no intravenosa</w:t>
      </w:r>
      <w:r w:rsidRPr="002261B9">
        <w:rPr>
          <w:lang w:val="es-ES"/>
        </w:rPr>
        <w:t xml:space="preserve">, </w:t>
      </w:r>
      <w:r w:rsidR="006314E1" w:rsidRPr="002261B9">
        <w:rPr>
          <w:lang w:val="es-ES"/>
        </w:rPr>
        <w:t>dosis única y no reiterada</w:t>
      </w:r>
      <w:r w:rsidRPr="002261B9">
        <w:rPr>
          <w:lang w:val="es-ES"/>
        </w:rPr>
        <w:t>).</w:t>
      </w:r>
      <w:r w:rsidR="006314E1" w:rsidRPr="002261B9">
        <w:rPr>
          <w:lang w:val="es-ES"/>
        </w:rPr>
        <w:t xml:space="preserve"> De resultas de ello, </w:t>
      </w:r>
      <w:r w:rsidR="00C341F4" w:rsidRPr="002261B9">
        <w:rPr>
          <w:lang w:val="es-ES"/>
        </w:rPr>
        <w:t>fue imposible</w:t>
      </w:r>
      <w:r w:rsidR="00E82724" w:rsidRPr="002261B9">
        <w:rPr>
          <w:lang w:val="es-ES"/>
        </w:rPr>
        <w:t xml:space="preserve"> hacer una comparación directa de</w:t>
      </w:r>
      <w:r w:rsidR="006314E1" w:rsidRPr="002261B9">
        <w:rPr>
          <w:lang w:val="es-ES"/>
        </w:rPr>
        <w:t xml:space="preserve"> </w:t>
      </w:r>
      <w:r w:rsidR="00E82724" w:rsidRPr="002261B9">
        <w:rPr>
          <w:lang w:val="es-ES"/>
        </w:rPr>
        <w:t>las semividas de eliminación de suero notificadas</w:t>
      </w:r>
      <w:r w:rsidRPr="002261B9">
        <w:rPr>
          <w:lang w:val="es-ES"/>
        </w:rPr>
        <w:t xml:space="preserve"> </w:t>
      </w:r>
      <w:r w:rsidR="00C341F4" w:rsidRPr="002261B9">
        <w:rPr>
          <w:lang w:val="es-ES"/>
        </w:rPr>
        <w:t xml:space="preserve">entre las sustancias </w:t>
      </w:r>
      <w:r w:rsidRPr="002261B9">
        <w:rPr>
          <w:lang w:val="es-ES"/>
        </w:rPr>
        <w:t xml:space="preserve">(Wang </w:t>
      </w:r>
      <w:r w:rsidR="00575E9A" w:rsidRPr="002261B9">
        <w:rPr>
          <w:lang w:val="es-ES"/>
        </w:rPr>
        <w:t>y otros</w:t>
      </w:r>
      <w:r w:rsidR="00935ABF" w:rsidRPr="002261B9">
        <w:rPr>
          <w:lang w:val="es-ES"/>
        </w:rPr>
        <w:t>,</w:t>
      </w:r>
      <w:r w:rsidRPr="002261B9">
        <w:rPr>
          <w:lang w:val="es-ES"/>
        </w:rPr>
        <w:t xml:space="preserve"> 2015</w:t>
      </w:r>
      <w:r w:rsidR="00961978" w:rsidRPr="002261B9">
        <w:rPr>
          <w:lang w:val="es-ES"/>
        </w:rPr>
        <w:t>)</w:t>
      </w:r>
      <w:r w:rsidRPr="002261B9">
        <w:rPr>
          <w:lang w:val="es-ES"/>
        </w:rPr>
        <w:t xml:space="preserve">. </w:t>
      </w:r>
    </w:p>
    <w:p w14:paraId="6EE1CCB6" w14:textId="33CFB2C6" w:rsidR="00201012" w:rsidRPr="002261B9" w:rsidRDefault="00EC480D" w:rsidP="00506E3A">
      <w:pPr>
        <w:keepNext/>
        <w:keepLines/>
        <w:tabs>
          <w:tab w:val="left" w:pos="624"/>
        </w:tabs>
        <w:spacing w:after="120"/>
        <w:ind w:left="1248" w:hanging="624"/>
        <w:rPr>
          <w:b/>
          <w:i/>
          <w:sz w:val="20"/>
          <w:szCs w:val="20"/>
          <w:lang w:val="es-ES"/>
        </w:rPr>
      </w:pPr>
      <w:r w:rsidRPr="002261B9">
        <w:rPr>
          <w:b/>
          <w:i/>
          <w:sz w:val="20"/>
          <w:szCs w:val="20"/>
          <w:lang w:val="es-ES"/>
        </w:rPr>
        <w:t xml:space="preserve">B. </w:t>
      </w:r>
      <w:r w:rsidR="005C3021" w:rsidRPr="002261B9">
        <w:rPr>
          <w:b/>
          <w:i/>
          <w:sz w:val="20"/>
          <w:szCs w:val="20"/>
          <w:lang w:val="es-ES"/>
        </w:rPr>
        <w:tab/>
      </w:r>
      <w:r w:rsidRPr="002261B9">
        <w:rPr>
          <w:b/>
          <w:i/>
          <w:sz w:val="20"/>
          <w:szCs w:val="20"/>
          <w:lang w:val="es-ES"/>
        </w:rPr>
        <w:t>Sector de textiles y alfombras</w:t>
      </w:r>
    </w:p>
    <w:p w14:paraId="67775B0D" w14:textId="2E92D090" w:rsidR="00AA2C16" w:rsidRPr="002261B9" w:rsidRDefault="00AA2C16" w:rsidP="00F45508">
      <w:pPr>
        <w:pStyle w:val="Paralevel1"/>
        <w:numPr>
          <w:ilvl w:val="0"/>
          <w:numId w:val="23"/>
        </w:numPr>
        <w:tabs>
          <w:tab w:val="clear" w:pos="0"/>
        </w:tabs>
        <w:ind w:left="1247" w:firstLine="0"/>
        <w:rPr>
          <w:lang w:val="es-ES"/>
        </w:rPr>
      </w:pPr>
      <w:r w:rsidRPr="002261B9">
        <w:rPr>
          <w:lang w:val="es-ES"/>
        </w:rPr>
        <w:t xml:space="preserve">Recientemente se </w:t>
      </w:r>
      <w:r w:rsidR="00C341F4" w:rsidRPr="002261B9">
        <w:rPr>
          <w:lang w:val="es-ES"/>
        </w:rPr>
        <w:t xml:space="preserve">examinaron </w:t>
      </w:r>
      <w:r w:rsidRPr="002261B9">
        <w:rPr>
          <w:lang w:val="es-ES"/>
        </w:rPr>
        <w:t xml:space="preserve">las propiedades, </w:t>
      </w:r>
      <w:r w:rsidR="00C341F4" w:rsidRPr="002261B9">
        <w:rPr>
          <w:lang w:val="es-ES"/>
        </w:rPr>
        <w:t xml:space="preserve">los resultados </w:t>
      </w:r>
      <w:r w:rsidRPr="002261B9">
        <w:rPr>
          <w:lang w:val="es-ES"/>
        </w:rPr>
        <w:t xml:space="preserve">y los riesgos que entraña la química </w:t>
      </w:r>
      <w:r w:rsidR="005F483B" w:rsidRPr="002261B9">
        <w:rPr>
          <w:lang w:val="es-ES"/>
        </w:rPr>
        <w:t>basada en la fluoración y la no fluoración</w:t>
      </w:r>
      <w:r w:rsidR="00C341F4" w:rsidRPr="002261B9">
        <w:rPr>
          <w:lang w:val="es-ES"/>
        </w:rPr>
        <w:t xml:space="preserve"> </w:t>
      </w:r>
      <w:r w:rsidRPr="002261B9">
        <w:rPr>
          <w:lang w:val="es-ES"/>
        </w:rPr>
        <w:t>para el acabado de los textiles</w:t>
      </w:r>
      <w:r w:rsidR="005F483B" w:rsidRPr="002261B9">
        <w:rPr>
          <w:lang w:val="es-ES"/>
        </w:rPr>
        <w:t xml:space="preserve"> en cuanto a </w:t>
      </w:r>
      <w:r w:rsidR="004D06CB" w:rsidRPr="002261B9">
        <w:rPr>
          <w:lang w:val="es-ES"/>
        </w:rPr>
        <w:t xml:space="preserve">su </w:t>
      </w:r>
      <w:r w:rsidR="005F483B" w:rsidRPr="002261B9">
        <w:rPr>
          <w:lang w:val="es-ES"/>
        </w:rPr>
        <w:t>repelencia duradera al agua</w:t>
      </w:r>
      <w:r w:rsidRPr="002261B9">
        <w:rPr>
          <w:lang w:val="es-ES"/>
        </w:rPr>
        <w:t xml:space="preserve"> (Holmquist </w:t>
      </w:r>
      <w:r w:rsidR="00961978" w:rsidRPr="002261B9">
        <w:rPr>
          <w:lang w:val="es-ES"/>
        </w:rPr>
        <w:t>y otros</w:t>
      </w:r>
      <w:r w:rsidR="00935ABF" w:rsidRPr="002261B9">
        <w:rPr>
          <w:lang w:val="es-ES"/>
        </w:rPr>
        <w:t>,</w:t>
      </w:r>
      <w:r w:rsidR="00961978" w:rsidRPr="002261B9">
        <w:rPr>
          <w:lang w:val="es-ES"/>
        </w:rPr>
        <w:t xml:space="preserve"> </w:t>
      </w:r>
      <w:r w:rsidRPr="002261B9">
        <w:rPr>
          <w:lang w:val="es-ES"/>
        </w:rPr>
        <w:t>2016); en las subsecciones que siguen se presenta un</w:t>
      </w:r>
      <w:r w:rsidR="005F483B" w:rsidRPr="002261B9">
        <w:rPr>
          <w:lang w:val="es-ES"/>
        </w:rPr>
        <w:t>a sinopsis de cada una de esas químicas</w:t>
      </w:r>
      <w:r w:rsidRPr="002261B9">
        <w:rPr>
          <w:lang w:val="es-ES"/>
        </w:rPr>
        <w:t>.</w:t>
      </w:r>
    </w:p>
    <w:p w14:paraId="68ECE227" w14:textId="77777777" w:rsidR="00201012" w:rsidRPr="002261B9" w:rsidRDefault="00201012" w:rsidP="00506E3A">
      <w:pPr>
        <w:keepNext/>
        <w:keepLines/>
        <w:spacing w:after="120"/>
        <w:ind w:left="1247"/>
        <w:rPr>
          <w:b/>
          <w:i/>
          <w:sz w:val="20"/>
          <w:szCs w:val="20"/>
          <w:lang w:val="es-ES"/>
        </w:rPr>
      </w:pPr>
      <w:r w:rsidRPr="002261B9">
        <w:rPr>
          <w:b/>
          <w:i/>
          <w:sz w:val="20"/>
          <w:szCs w:val="20"/>
          <w:lang w:val="es-ES"/>
        </w:rPr>
        <w:t>Alternativas fluoradas de cadena corta</w:t>
      </w:r>
    </w:p>
    <w:p w14:paraId="62ACE99A" w14:textId="648EFE89" w:rsidR="00201012" w:rsidRPr="002261B9" w:rsidRDefault="009553E5" w:rsidP="00F45508">
      <w:pPr>
        <w:pStyle w:val="Paralevel1"/>
        <w:numPr>
          <w:ilvl w:val="0"/>
          <w:numId w:val="23"/>
        </w:numPr>
        <w:tabs>
          <w:tab w:val="clear" w:pos="0"/>
        </w:tabs>
        <w:ind w:left="1247" w:firstLine="0"/>
        <w:rPr>
          <w:lang w:val="es-ES"/>
        </w:rPr>
      </w:pPr>
      <w:r w:rsidRPr="002261B9">
        <w:rPr>
          <w:lang w:val="es-ES"/>
        </w:rPr>
        <w:t>Las sustancias basadas en fluorotelómeros de cadena corta que sustituyen a sus equivalentes de cadena larga se han clasificado como alternativas para muy diversos usos, entre ellos, en textiles y alfombras</w:t>
      </w:r>
      <w:r w:rsidR="00201012" w:rsidRPr="002261B9">
        <w:rPr>
          <w:lang w:val="es-ES"/>
        </w:rPr>
        <w:t xml:space="preserve"> </w:t>
      </w:r>
      <w:r w:rsidR="00A63836" w:rsidRPr="002261B9">
        <w:rPr>
          <w:lang w:val="es-ES"/>
        </w:rPr>
        <w:t>(</w:t>
      </w:r>
      <w:r w:rsidR="005C3021" w:rsidRPr="002261B9">
        <w:rPr>
          <w:lang w:val="es-ES"/>
        </w:rPr>
        <w:t>USEPA</w:t>
      </w:r>
      <w:r w:rsidR="003B4AD6" w:rsidRPr="002261B9">
        <w:rPr>
          <w:lang w:val="es-ES"/>
        </w:rPr>
        <w:t>,</w:t>
      </w:r>
      <w:r w:rsidR="00A63836" w:rsidRPr="002261B9">
        <w:rPr>
          <w:lang w:val="es-ES"/>
        </w:rPr>
        <w:t xml:space="preserve"> </w:t>
      </w:r>
      <w:r w:rsidR="00201012" w:rsidRPr="002261B9">
        <w:rPr>
          <w:lang w:val="es-ES"/>
        </w:rPr>
        <w:t>2012).</w:t>
      </w:r>
    </w:p>
    <w:p w14:paraId="1E8AA751" w14:textId="5AA32A26" w:rsidR="005E7EED" w:rsidRPr="002261B9" w:rsidRDefault="009553E5" w:rsidP="00F45508">
      <w:pPr>
        <w:pStyle w:val="Paralevel1"/>
        <w:numPr>
          <w:ilvl w:val="0"/>
          <w:numId w:val="23"/>
        </w:numPr>
        <w:tabs>
          <w:tab w:val="clear" w:pos="0"/>
        </w:tabs>
        <w:ind w:left="1247" w:firstLine="0"/>
        <w:rPr>
          <w:lang w:val="es-ES"/>
        </w:rPr>
      </w:pPr>
      <w:r w:rsidRPr="002261B9">
        <w:rPr>
          <w:lang w:val="es-ES"/>
        </w:rPr>
        <w:t xml:space="preserve">Los polímeros fluorados de cadena lateral, que abarcan </w:t>
      </w:r>
      <w:r w:rsidR="005F483B" w:rsidRPr="002261B9">
        <w:rPr>
          <w:lang w:val="es-ES"/>
        </w:rPr>
        <w:t xml:space="preserve">a </w:t>
      </w:r>
      <w:r w:rsidRPr="002261B9">
        <w:rPr>
          <w:lang w:val="es-ES"/>
        </w:rPr>
        <w:t>las estructuras de carbono sin flúor y las cadenas laterales</w:t>
      </w:r>
      <w:r w:rsidR="005F483B" w:rsidRPr="002261B9">
        <w:rPr>
          <w:lang w:val="es-ES"/>
        </w:rPr>
        <w:t>,</w:t>
      </w:r>
      <w:r w:rsidRPr="002261B9">
        <w:rPr>
          <w:lang w:val="es-ES"/>
        </w:rPr>
        <w:t xml:space="preserve"> que contienen una mezcla de grupos funcionales de fluorotelómeros </w:t>
      </w:r>
      <w:r w:rsidR="005E7EED" w:rsidRPr="002261B9">
        <w:rPr>
          <w:lang w:val="es-ES"/>
        </w:rPr>
        <w:t>6:2</w:t>
      </w:r>
      <w:r w:rsidRPr="002261B9">
        <w:rPr>
          <w:lang w:val="es-ES"/>
        </w:rPr>
        <w:t xml:space="preserve"> a </w:t>
      </w:r>
      <w:r w:rsidR="005E7EED" w:rsidRPr="002261B9">
        <w:rPr>
          <w:lang w:val="es-ES"/>
        </w:rPr>
        <w:t>14:2 o</w:t>
      </w:r>
      <w:r w:rsidRPr="002261B9">
        <w:rPr>
          <w:lang w:val="es-ES"/>
        </w:rPr>
        <w:t xml:space="preserve"> grupos funcionales derivados del </w:t>
      </w:r>
      <w:r w:rsidR="002E6955" w:rsidRPr="002261B9">
        <w:rPr>
          <w:lang w:val="es-ES"/>
        </w:rPr>
        <w:t>PFOSF</w:t>
      </w:r>
      <w:r w:rsidR="005F483B" w:rsidRPr="002261B9">
        <w:rPr>
          <w:lang w:val="es-ES"/>
        </w:rPr>
        <w:t>,</w:t>
      </w:r>
      <w:r w:rsidR="005E7EED" w:rsidRPr="002261B9">
        <w:rPr>
          <w:lang w:val="es-ES"/>
        </w:rPr>
        <w:t xml:space="preserve"> </w:t>
      </w:r>
      <w:r w:rsidRPr="002261B9">
        <w:rPr>
          <w:lang w:val="es-ES"/>
        </w:rPr>
        <w:t xml:space="preserve">fueron usados en productos para el tratamiento de superficies </w:t>
      </w:r>
      <w:r w:rsidR="005F483B" w:rsidRPr="002261B9">
        <w:rPr>
          <w:lang w:val="es-ES"/>
        </w:rPr>
        <w:t xml:space="preserve">de manera que los productos textiles, el cuero y las alfombras fuesen resistentes </w:t>
      </w:r>
      <w:r w:rsidRPr="002261B9">
        <w:rPr>
          <w:lang w:val="es-ES"/>
        </w:rPr>
        <w:t>al agua y al aceite</w:t>
      </w:r>
      <w:r w:rsidR="005E7EED" w:rsidRPr="002261B9">
        <w:rPr>
          <w:lang w:val="es-ES"/>
        </w:rPr>
        <w:t xml:space="preserve"> (Buck </w:t>
      </w:r>
      <w:r w:rsidR="003134EC" w:rsidRPr="002261B9">
        <w:rPr>
          <w:lang w:val="es-ES"/>
        </w:rPr>
        <w:t>y otros</w:t>
      </w:r>
      <w:r w:rsidR="00935ABF" w:rsidRPr="002261B9">
        <w:rPr>
          <w:lang w:val="es-ES"/>
        </w:rPr>
        <w:t>,</w:t>
      </w:r>
      <w:r w:rsidR="005E7EED" w:rsidRPr="002261B9">
        <w:rPr>
          <w:lang w:val="es-ES"/>
        </w:rPr>
        <w:t xml:space="preserve"> 2011</w:t>
      </w:r>
      <w:r w:rsidR="00961978" w:rsidRPr="002261B9">
        <w:rPr>
          <w:lang w:val="es-ES"/>
        </w:rPr>
        <w:t>)</w:t>
      </w:r>
      <w:r w:rsidR="005E7EED" w:rsidRPr="002261B9">
        <w:rPr>
          <w:lang w:val="es-ES"/>
        </w:rPr>
        <w:t xml:space="preserve">. </w:t>
      </w:r>
      <w:r w:rsidR="00A6212E" w:rsidRPr="002261B9">
        <w:rPr>
          <w:lang w:val="es-ES"/>
        </w:rPr>
        <w:t xml:space="preserve">Se observa una tendencia a usar </w:t>
      </w:r>
      <w:r w:rsidR="005F483B" w:rsidRPr="002261B9">
        <w:rPr>
          <w:lang w:val="es-ES"/>
        </w:rPr>
        <w:t xml:space="preserve">en las cadenas laterales </w:t>
      </w:r>
      <w:r w:rsidR="00A6212E" w:rsidRPr="002261B9">
        <w:rPr>
          <w:lang w:val="es-ES"/>
        </w:rPr>
        <w:t xml:space="preserve">homólogos de cadenas más cortas en sustitución de los derivados basados en fluorotelómeros o </w:t>
      </w:r>
      <w:r w:rsidR="002E6955" w:rsidRPr="002261B9">
        <w:rPr>
          <w:lang w:val="es-ES"/>
        </w:rPr>
        <w:t>PFOSF</w:t>
      </w:r>
      <w:r w:rsidR="00A6212E" w:rsidRPr="002261B9">
        <w:rPr>
          <w:lang w:val="es-ES"/>
        </w:rPr>
        <w:t xml:space="preserve"> de cadena larga </w:t>
      </w:r>
      <w:r w:rsidR="005E7EED" w:rsidRPr="002261B9">
        <w:rPr>
          <w:lang w:val="es-ES"/>
        </w:rPr>
        <w:t>(Ritter</w:t>
      </w:r>
      <w:r w:rsidR="00935ABF" w:rsidRPr="002261B9">
        <w:rPr>
          <w:lang w:val="es-ES"/>
        </w:rPr>
        <w:t>,</w:t>
      </w:r>
      <w:r w:rsidR="005E7EED" w:rsidRPr="002261B9">
        <w:rPr>
          <w:lang w:val="es-ES"/>
        </w:rPr>
        <w:t xml:space="preserve"> 2010</w:t>
      </w:r>
      <w:r w:rsidR="00961978" w:rsidRPr="002261B9">
        <w:rPr>
          <w:lang w:val="es-ES"/>
        </w:rPr>
        <w:t>)</w:t>
      </w:r>
      <w:r w:rsidR="005E7EED" w:rsidRPr="002261B9">
        <w:rPr>
          <w:lang w:val="es-ES"/>
        </w:rPr>
        <w:t xml:space="preserve">. </w:t>
      </w:r>
      <w:r w:rsidR="00A6212E" w:rsidRPr="002261B9">
        <w:rPr>
          <w:lang w:val="es-ES"/>
        </w:rPr>
        <w:t>Se han comercializado diversos productos para el tratamiento de superficies que contienen</w:t>
      </w:r>
      <w:r w:rsidR="005E7EED" w:rsidRPr="002261B9">
        <w:rPr>
          <w:lang w:val="es-ES"/>
        </w:rPr>
        <w:t xml:space="preserve"> </w:t>
      </w:r>
      <w:r w:rsidR="00A6212E" w:rsidRPr="002261B9">
        <w:rPr>
          <w:lang w:val="es-ES"/>
        </w:rPr>
        <w:t xml:space="preserve">polímeros fluorados </w:t>
      </w:r>
      <w:r w:rsidR="005E7EED" w:rsidRPr="002261B9">
        <w:rPr>
          <w:lang w:val="es-ES"/>
        </w:rPr>
        <w:t>C</w:t>
      </w:r>
      <w:r w:rsidR="005E7EED" w:rsidRPr="002261B9">
        <w:rPr>
          <w:vertAlign w:val="subscript"/>
          <w:lang w:val="es-ES"/>
        </w:rPr>
        <w:t>4</w:t>
      </w:r>
      <w:r w:rsidR="00A6212E" w:rsidRPr="002261B9">
        <w:rPr>
          <w:lang w:val="es-ES"/>
        </w:rPr>
        <w:t xml:space="preserve"> de cadena lateral derivados del fluoruro de </w:t>
      </w:r>
      <w:r w:rsidR="005E7EED" w:rsidRPr="002261B9">
        <w:rPr>
          <w:lang w:val="es-ES"/>
        </w:rPr>
        <w:t>perfluorobutan</w:t>
      </w:r>
      <w:r w:rsidR="00A6212E" w:rsidRPr="002261B9">
        <w:rPr>
          <w:lang w:val="es-ES"/>
        </w:rPr>
        <w:t>o</w:t>
      </w:r>
      <w:r w:rsidR="005E7EED" w:rsidRPr="002261B9">
        <w:rPr>
          <w:lang w:val="es-ES"/>
        </w:rPr>
        <w:t xml:space="preserve"> sulfon</w:t>
      </w:r>
      <w:r w:rsidR="00A6212E" w:rsidRPr="002261B9">
        <w:rPr>
          <w:lang w:val="es-ES"/>
        </w:rPr>
        <w:t>ilo</w:t>
      </w:r>
      <w:r w:rsidR="005E7EED" w:rsidRPr="002261B9">
        <w:rPr>
          <w:lang w:val="es-ES"/>
        </w:rPr>
        <w:t xml:space="preserve"> (PBSF) (Renner</w:t>
      </w:r>
      <w:r w:rsidR="00935ABF" w:rsidRPr="002261B9">
        <w:rPr>
          <w:lang w:val="es-ES"/>
        </w:rPr>
        <w:t>,</w:t>
      </w:r>
      <w:r w:rsidR="005E7EED" w:rsidRPr="002261B9">
        <w:rPr>
          <w:lang w:val="es-ES"/>
        </w:rPr>
        <w:t xml:space="preserve"> 2006</w:t>
      </w:r>
      <w:r w:rsidR="00961978" w:rsidRPr="002261B9">
        <w:rPr>
          <w:lang w:val="es-ES"/>
        </w:rPr>
        <w:t>)</w:t>
      </w:r>
      <w:r w:rsidR="005E7EED" w:rsidRPr="002261B9">
        <w:rPr>
          <w:lang w:val="es-ES"/>
        </w:rPr>
        <w:t xml:space="preserve">. </w:t>
      </w:r>
      <w:r w:rsidR="00A6212E" w:rsidRPr="002261B9">
        <w:rPr>
          <w:lang w:val="es-ES"/>
        </w:rPr>
        <w:t>Además, algunos fabricantes de fluorotelómeros (Ritter</w:t>
      </w:r>
      <w:r w:rsidR="00935ABF" w:rsidRPr="002261B9">
        <w:rPr>
          <w:lang w:val="es-ES"/>
        </w:rPr>
        <w:t>,</w:t>
      </w:r>
      <w:r w:rsidR="00A6212E" w:rsidRPr="002261B9">
        <w:rPr>
          <w:lang w:val="es-ES"/>
        </w:rPr>
        <w:t xml:space="preserve"> 2010</w:t>
      </w:r>
      <w:r w:rsidR="00961978" w:rsidRPr="002261B9">
        <w:rPr>
          <w:lang w:val="es-ES"/>
        </w:rPr>
        <w:t>)</w:t>
      </w:r>
      <w:r w:rsidR="00A6212E" w:rsidRPr="002261B9">
        <w:rPr>
          <w:lang w:val="es-ES"/>
        </w:rPr>
        <w:t xml:space="preserve"> han creado productos ba</w:t>
      </w:r>
      <w:r w:rsidR="005F483B" w:rsidRPr="002261B9">
        <w:rPr>
          <w:lang w:val="es-ES"/>
        </w:rPr>
        <w:t xml:space="preserve">sados </w:t>
      </w:r>
      <w:r w:rsidR="00A63836" w:rsidRPr="002261B9">
        <w:rPr>
          <w:lang w:val="es-ES"/>
        </w:rPr>
        <w:t>principalmente</w:t>
      </w:r>
      <w:r w:rsidR="005F483B" w:rsidRPr="002261B9">
        <w:rPr>
          <w:lang w:val="es-ES"/>
        </w:rPr>
        <w:t xml:space="preserve"> en materias</w:t>
      </w:r>
      <w:r w:rsidR="00A6212E" w:rsidRPr="002261B9">
        <w:rPr>
          <w:lang w:val="es-ES"/>
        </w:rPr>
        <w:t xml:space="preserve"> primas a base de fluorotelómetros sumamente purificadas </w:t>
      </w:r>
      <w:r w:rsidR="005E7EED" w:rsidRPr="002261B9">
        <w:rPr>
          <w:lang w:val="es-ES"/>
        </w:rPr>
        <w:t>(</w:t>
      </w:r>
      <w:r w:rsidR="00A6212E" w:rsidRPr="002261B9">
        <w:rPr>
          <w:lang w:val="es-ES"/>
        </w:rPr>
        <w:t>en su mayoría</w:t>
      </w:r>
      <w:r w:rsidR="005E7EED" w:rsidRPr="002261B9">
        <w:rPr>
          <w:lang w:val="es-ES"/>
        </w:rPr>
        <w:t xml:space="preserve"> 6:2)</w:t>
      </w:r>
      <w:r w:rsidR="00E022DC" w:rsidRPr="002261B9">
        <w:rPr>
          <w:lang w:val="es-ES"/>
        </w:rPr>
        <w:t>,</w:t>
      </w:r>
      <w:r w:rsidR="005E7EED" w:rsidRPr="002261B9">
        <w:rPr>
          <w:lang w:val="es-ES"/>
        </w:rPr>
        <w:t xml:space="preserve"> </w:t>
      </w:r>
      <w:r w:rsidR="00A6212E" w:rsidRPr="002261B9">
        <w:rPr>
          <w:lang w:val="es-ES"/>
        </w:rPr>
        <w:t>en particular copolí</w:t>
      </w:r>
      <w:r w:rsidR="005E7EED" w:rsidRPr="002261B9">
        <w:rPr>
          <w:lang w:val="es-ES"/>
        </w:rPr>
        <w:t>mer</w:t>
      </w:r>
      <w:r w:rsidR="00A6212E" w:rsidRPr="002261B9">
        <w:rPr>
          <w:lang w:val="es-ES"/>
        </w:rPr>
        <w:t>o</w:t>
      </w:r>
      <w:r w:rsidR="005E7EED" w:rsidRPr="002261B9">
        <w:rPr>
          <w:lang w:val="es-ES"/>
        </w:rPr>
        <w:t>s deriv</w:t>
      </w:r>
      <w:r w:rsidR="00A6212E" w:rsidRPr="002261B9">
        <w:rPr>
          <w:lang w:val="es-ES"/>
        </w:rPr>
        <w:t>ados de fluorotelómeros</w:t>
      </w:r>
      <w:r w:rsidR="005E7EED" w:rsidRPr="002261B9">
        <w:rPr>
          <w:lang w:val="es-ES"/>
        </w:rPr>
        <w:t xml:space="preserve"> 6:2 </w:t>
      </w:r>
      <w:r w:rsidR="00A6212E" w:rsidRPr="002261B9">
        <w:rPr>
          <w:lang w:val="es-ES"/>
        </w:rPr>
        <w:t xml:space="preserve">y </w:t>
      </w:r>
      <w:r w:rsidR="005E7EED" w:rsidRPr="002261B9">
        <w:rPr>
          <w:lang w:val="es-ES"/>
        </w:rPr>
        <w:t>organosiloxan</w:t>
      </w:r>
      <w:r w:rsidR="00A6212E" w:rsidRPr="002261B9">
        <w:rPr>
          <w:lang w:val="es-ES"/>
        </w:rPr>
        <w:t>o</w:t>
      </w:r>
      <w:r w:rsidR="005E7EED" w:rsidRPr="002261B9">
        <w:rPr>
          <w:lang w:val="es-ES"/>
        </w:rPr>
        <w:t xml:space="preserve"> </w:t>
      </w:r>
      <w:r w:rsidR="00E022DC" w:rsidRPr="002261B9">
        <w:rPr>
          <w:lang w:val="es-ES"/>
        </w:rPr>
        <w:t>(Dow Corning</w:t>
      </w:r>
      <w:r w:rsidR="00935ABF" w:rsidRPr="002261B9">
        <w:rPr>
          <w:lang w:val="es-ES"/>
        </w:rPr>
        <w:t>,</w:t>
      </w:r>
      <w:r w:rsidR="00E022DC" w:rsidRPr="002261B9">
        <w:rPr>
          <w:lang w:val="es-ES"/>
        </w:rPr>
        <w:t xml:space="preserve"> 2007</w:t>
      </w:r>
      <w:r w:rsidR="00961978" w:rsidRPr="002261B9">
        <w:rPr>
          <w:lang w:val="es-ES"/>
        </w:rPr>
        <w:t>)</w:t>
      </w:r>
      <w:r w:rsidR="005E7EED" w:rsidRPr="002261B9">
        <w:rPr>
          <w:lang w:val="es-ES"/>
        </w:rPr>
        <w:t>.</w:t>
      </w:r>
      <w:r w:rsidR="00E022DC" w:rsidRPr="002261B9">
        <w:rPr>
          <w:lang w:val="es-ES"/>
        </w:rPr>
        <w:t xml:space="preserve"> </w:t>
      </w:r>
      <w:r w:rsidR="00A6212E" w:rsidRPr="002261B9">
        <w:rPr>
          <w:lang w:val="es-ES"/>
        </w:rPr>
        <w:t xml:space="preserve">Se han comercializado alcoholes polifluoroalquilos de cadena corta, como los alcoholes fluoroteloméricos </w:t>
      </w:r>
      <w:r w:rsidR="005E7EED" w:rsidRPr="002261B9">
        <w:rPr>
          <w:lang w:val="es-ES"/>
        </w:rPr>
        <w:t xml:space="preserve">3:1 </w:t>
      </w:r>
      <w:r w:rsidR="00A6212E" w:rsidRPr="002261B9">
        <w:rPr>
          <w:lang w:val="es-ES"/>
        </w:rPr>
        <w:t>y</w:t>
      </w:r>
      <w:r w:rsidR="005E7EED" w:rsidRPr="002261B9">
        <w:rPr>
          <w:lang w:val="es-ES"/>
        </w:rPr>
        <w:t xml:space="preserve"> 5:1 </w:t>
      </w:r>
      <w:r w:rsidR="009405E4" w:rsidRPr="002261B9">
        <w:rPr>
          <w:lang w:val="es-ES"/>
        </w:rPr>
        <w:t>(</w:t>
      </w:r>
      <w:r w:rsidR="005E7EED" w:rsidRPr="002261B9">
        <w:rPr>
          <w:lang w:val="es-ES"/>
        </w:rPr>
        <w:t>FTOH</w:t>
      </w:r>
      <w:r w:rsidR="009405E4" w:rsidRPr="002261B9">
        <w:rPr>
          <w:lang w:val="es-ES"/>
        </w:rPr>
        <w:t>)</w:t>
      </w:r>
      <w:r w:rsidR="00A6212E" w:rsidRPr="002261B9">
        <w:rPr>
          <w:lang w:val="es-ES"/>
        </w:rPr>
        <w:t>, que pueden usar</w:t>
      </w:r>
      <w:r w:rsidR="005C740A" w:rsidRPr="002261B9">
        <w:rPr>
          <w:lang w:val="es-ES"/>
        </w:rPr>
        <w:t>se</w:t>
      </w:r>
      <w:r w:rsidR="00A6212E" w:rsidRPr="002261B9">
        <w:rPr>
          <w:lang w:val="es-ES"/>
        </w:rPr>
        <w:t xml:space="preserve"> como </w:t>
      </w:r>
      <w:r w:rsidR="005F483B" w:rsidRPr="002261B9">
        <w:rPr>
          <w:lang w:val="es-ES"/>
        </w:rPr>
        <w:t>pilares para</w:t>
      </w:r>
      <w:r w:rsidR="00A6212E" w:rsidRPr="002261B9">
        <w:rPr>
          <w:lang w:val="es-ES"/>
        </w:rPr>
        <w:t xml:space="preserve"> los polímeros fluorados de cadena lateral </w:t>
      </w:r>
      <w:r w:rsidR="005E7EED" w:rsidRPr="002261B9">
        <w:rPr>
          <w:lang w:val="es-ES"/>
        </w:rPr>
        <w:t xml:space="preserve">(Wang </w:t>
      </w:r>
      <w:r w:rsidR="003134EC" w:rsidRPr="002261B9">
        <w:rPr>
          <w:lang w:val="es-ES"/>
        </w:rPr>
        <w:t>y otros</w:t>
      </w:r>
      <w:r w:rsidR="003B4AD6" w:rsidRPr="002261B9">
        <w:rPr>
          <w:lang w:val="es-ES"/>
        </w:rPr>
        <w:t>,</w:t>
      </w:r>
      <w:r w:rsidR="005E7EED" w:rsidRPr="002261B9">
        <w:rPr>
          <w:lang w:val="es-ES"/>
        </w:rPr>
        <w:t xml:space="preserve"> 2013</w:t>
      </w:r>
      <w:r w:rsidR="00961978" w:rsidRPr="002261B9">
        <w:rPr>
          <w:lang w:val="es-ES"/>
        </w:rPr>
        <w:t>)</w:t>
      </w:r>
      <w:r w:rsidR="005E7EED" w:rsidRPr="002261B9">
        <w:rPr>
          <w:lang w:val="es-ES"/>
        </w:rPr>
        <w:t>.</w:t>
      </w:r>
    </w:p>
    <w:p w14:paraId="48419742" w14:textId="05B494D7" w:rsidR="00201012" w:rsidRPr="002261B9" w:rsidRDefault="00E61FF0" w:rsidP="00F45508">
      <w:pPr>
        <w:pStyle w:val="Paralevel1"/>
        <w:numPr>
          <w:ilvl w:val="0"/>
          <w:numId w:val="23"/>
        </w:numPr>
        <w:tabs>
          <w:tab w:val="clear" w:pos="0"/>
        </w:tabs>
        <w:ind w:left="1247" w:firstLine="0"/>
        <w:rPr>
          <w:lang w:val="es-ES"/>
        </w:rPr>
      </w:pPr>
      <w:r w:rsidRPr="002261B9">
        <w:rPr>
          <w:lang w:val="es-ES"/>
        </w:rPr>
        <w:t xml:space="preserve">Se dispone de alternativas químicas a los compuestos conexos del </w:t>
      </w:r>
      <w:r w:rsidR="00201012" w:rsidRPr="002261B9">
        <w:rPr>
          <w:lang w:val="es-ES"/>
        </w:rPr>
        <w:t>PFOA us</w:t>
      </w:r>
      <w:r w:rsidRPr="002261B9">
        <w:rPr>
          <w:lang w:val="es-ES"/>
        </w:rPr>
        <w:t>ad</w:t>
      </w:r>
      <w:r w:rsidR="005C740A" w:rsidRPr="002261B9">
        <w:rPr>
          <w:lang w:val="es-ES"/>
        </w:rPr>
        <w:t>o</w:t>
      </w:r>
      <w:r w:rsidRPr="002261B9">
        <w:rPr>
          <w:lang w:val="es-ES"/>
        </w:rPr>
        <w:t>s para</w:t>
      </w:r>
      <w:r w:rsidR="003C315C" w:rsidRPr="002261B9">
        <w:rPr>
          <w:lang w:val="es-ES"/>
        </w:rPr>
        <w:t xml:space="preserve"> repeler manchas y agua</w:t>
      </w:r>
      <w:r w:rsidR="005C740A" w:rsidRPr="002261B9">
        <w:rPr>
          <w:lang w:val="es-ES"/>
        </w:rPr>
        <w:t xml:space="preserve">, que </w:t>
      </w:r>
      <w:r w:rsidRPr="002261B9">
        <w:rPr>
          <w:lang w:val="es-ES"/>
        </w:rPr>
        <w:t xml:space="preserve">incluyen aplicaciones para el tratamiento de superficies de textiles y alfombras a base de polímeros de acrilato, </w:t>
      </w:r>
      <w:r w:rsidR="00201012" w:rsidRPr="002261B9">
        <w:rPr>
          <w:lang w:val="es-ES"/>
        </w:rPr>
        <w:t>metacr</w:t>
      </w:r>
      <w:r w:rsidRPr="002261B9">
        <w:rPr>
          <w:lang w:val="es-ES"/>
        </w:rPr>
        <w:t>i</w:t>
      </w:r>
      <w:r w:rsidR="00201012" w:rsidRPr="002261B9">
        <w:rPr>
          <w:lang w:val="es-ES"/>
        </w:rPr>
        <w:t>lat</w:t>
      </w:r>
      <w:r w:rsidRPr="002261B9">
        <w:rPr>
          <w:lang w:val="es-ES"/>
        </w:rPr>
        <w:t>o, adipato y uretano</w:t>
      </w:r>
      <w:r w:rsidR="00201012" w:rsidRPr="002261B9">
        <w:rPr>
          <w:lang w:val="es-ES"/>
        </w:rPr>
        <w:t xml:space="preserve">. </w:t>
      </w:r>
      <w:r w:rsidR="009553E5" w:rsidRPr="002261B9">
        <w:rPr>
          <w:lang w:val="es-ES"/>
        </w:rPr>
        <w:t xml:space="preserve">En lo que respecta a los </w:t>
      </w:r>
      <w:r w:rsidR="00906FFD" w:rsidRPr="002261B9">
        <w:rPr>
          <w:lang w:val="es-ES"/>
        </w:rPr>
        <w:t>PFAS</w:t>
      </w:r>
      <w:r w:rsidR="009553E5" w:rsidRPr="002261B9">
        <w:rPr>
          <w:lang w:val="es-ES"/>
        </w:rPr>
        <w:t xml:space="preserve"> de cadena corta</w:t>
      </w:r>
      <w:r w:rsidR="00906FFD" w:rsidRPr="002261B9">
        <w:rPr>
          <w:lang w:val="es-ES"/>
        </w:rPr>
        <w:t xml:space="preserve">, </w:t>
      </w:r>
      <w:r w:rsidR="009553E5" w:rsidRPr="002261B9">
        <w:rPr>
          <w:lang w:val="es-ES"/>
        </w:rPr>
        <w:t xml:space="preserve">se han aplicado sustancias basadas en </w:t>
      </w:r>
      <w:r w:rsidR="00906FFD" w:rsidRPr="002261B9">
        <w:rPr>
          <w:lang w:val="es-ES"/>
        </w:rPr>
        <w:t>PBSF</w:t>
      </w:r>
      <w:r w:rsidR="009553E5" w:rsidRPr="002261B9">
        <w:rPr>
          <w:lang w:val="es-ES"/>
        </w:rPr>
        <w:t xml:space="preserve"> y fluorotelómeros </w:t>
      </w:r>
      <w:r w:rsidR="00906FFD" w:rsidRPr="002261B9">
        <w:rPr>
          <w:lang w:val="es-ES"/>
        </w:rPr>
        <w:t>6:2</w:t>
      </w:r>
      <w:r w:rsidR="00201012" w:rsidRPr="002261B9">
        <w:rPr>
          <w:lang w:val="es-ES"/>
        </w:rPr>
        <w:t xml:space="preserve">, </w:t>
      </w:r>
      <w:r w:rsidR="009553E5" w:rsidRPr="002261B9">
        <w:rPr>
          <w:lang w:val="es-ES"/>
        </w:rPr>
        <w:t>incluso polímeros</w:t>
      </w:r>
      <w:r w:rsidR="00201012" w:rsidRPr="002261B9">
        <w:rPr>
          <w:lang w:val="es-ES"/>
        </w:rPr>
        <w:t>.</w:t>
      </w:r>
      <w:r w:rsidR="00A37807" w:rsidRPr="002261B9">
        <w:rPr>
          <w:lang w:val="es-ES"/>
        </w:rPr>
        <w:t xml:space="preserve"> </w:t>
      </w:r>
      <w:r w:rsidR="009553E5" w:rsidRPr="002261B9">
        <w:rPr>
          <w:lang w:val="es-ES"/>
        </w:rPr>
        <w:t>Según diversos estudios científicos y la Declaración de</w:t>
      </w:r>
      <w:r w:rsidR="005C740A" w:rsidRPr="002261B9">
        <w:rPr>
          <w:lang w:val="es-ES"/>
        </w:rPr>
        <w:t xml:space="preserve"> Madrid</w:t>
      </w:r>
      <w:r w:rsidR="009553E5" w:rsidRPr="002261B9">
        <w:rPr>
          <w:lang w:val="es-ES"/>
        </w:rPr>
        <w:t xml:space="preserve"> </w:t>
      </w:r>
      <w:r w:rsidR="00AF662F" w:rsidRPr="002261B9">
        <w:rPr>
          <w:lang w:val="es-ES"/>
        </w:rPr>
        <w:t>(</w:t>
      </w:r>
      <w:r w:rsidR="009553E5" w:rsidRPr="002261B9">
        <w:rPr>
          <w:lang w:val="es-ES"/>
        </w:rPr>
        <w:t xml:space="preserve">Declaración de </w:t>
      </w:r>
      <w:r w:rsidR="00C058A8" w:rsidRPr="002261B9">
        <w:rPr>
          <w:lang w:val="es-ES"/>
        </w:rPr>
        <w:t>Madrid</w:t>
      </w:r>
      <w:r w:rsidR="00935ABF" w:rsidRPr="002261B9">
        <w:rPr>
          <w:lang w:val="es-ES"/>
        </w:rPr>
        <w:t>,</w:t>
      </w:r>
      <w:r w:rsidR="00C058A8" w:rsidRPr="002261B9">
        <w:rPr>
          <w:lang w:val="es-ES"/>
        </w:rPr>
        <w:t xml:space="preserve"> 2015)</w:t>
      </w:r>
      <w:r w:rsidR="00FB11B6" w:rsidRPr="002261B9">
        <w:rPr>
          <w:lang w:val="es-ES"/>
        </w:rPr>
        <w:t xml:space="preserve">, </w:t>
      </w:r>
      <w:r w:rsidR="009553E5" w:rsidRPr="002261B9">
        <w:rPr>
          <w:lang w:val="es-ES"/>
        </w:rPr>
        <w:t>una declaración internacional de consenso científico</w:t>
      </w:r>
      <w:r w:rsidR="003B5969" w:rsidRPr="002261B9">
        <w:rPr>
          <w:lang w:val="es-ES"/>
        </w:rPr>
        <w:t xml:space="preserve">, </w:t>
      </w:r>
      <w:r w:rsidR="009553E5" w:rsidRPr="002261B9">
        <w:rPr>
          <w:lang w:val="es-ES"/>
        </w:rPr>
        <w:t xml:space="preserve">estos compuestos han sido motivo de preocupación en cuanto a </w:t>
      </w:r>
      <w:r w:rsidR="005C740A" w:rsidRPr="002261B9">
        <w:rPr>
          <w:lang w:val="es-ES"/>
        </w:rPr>
        <w:t>su</w:t>
      </w:r>
      <w:r w:rsidR="009553E5" w:rsidRPr="002261B9">
        <w:rPr>
          <w:lang w:val="es-ES"/>
        </w:rPr>
        <w:t xml:space="preserve"> persistencia y bioacumulación y no deben considerar</w:t>
      </w:r>
      <w:r w:rsidR="005C740A" w:rsidRPr="002261B9">
        <w:rPr>
          <w:lang w:val="es-ES"/>
        </w:rPr>
        <w:t>se</w:t>
      </w:r>
      <w:r w:rsidR="009553E5" w:rsidRPr="002261B9">
        <w:rPr>
          <w:lang w:val="es-ES"/>
        </w:rPr>
        <w:t xml:space="preserve"> alternativas aceptables </w:t>
      </w:r>
      <w:r w:rsidR="005C740A" w:rsidRPr="002261B9">
        <w:rPr>
          <w:lang w:val="es-ES"/>
        </w:rPr>
        <w:t xml:space="preserve">con arreglo a </w:t>
      </w:r>
      <w:r w:rsidR="009553E5" w:rsidRPr="002261B9">
        <w:rPr>
          <w:lang w:val="es-ES"/>
        </w:rPr>
        <w:t>los criterios establecidos en el documento de Orientación s</w:t>
      </w:r>
      <w:r w:rsidR="00321ABA">
        <w:rPr>
          <w:lang w:val="es-ES"/>
        </w:rPr>
        <w:t>obre alternativas del Comité de </w:t>
      </w:r>
      <w:r w:rsidR="009553E5" w:rsidRPr="002261B9">
        <w:rPr>
          <w:lang w:val="es-ES"/>
        </w:rPr>
        <w:t>Examen de los Contaminantes Orgánicos Persistentes</w:t>
      </w:r>
      <w:r w:rsidR="00A37807" w:rsidRPr="002261B9">
        <w:rPr>
          <w:lang w:val="es-ES"/>
        </w:rPr>
        <w:t xml:space="preserve"> (</w:t>
      </w:r>
      <w:r w:rsidR="00F13B21" w:rsidRPr="002261B9">
        <w:rPr>
          <w:lang w:val="es-ES"/>
        </w:rPr>
        <w:t>véase</w:t>
      </w:r>
      <w:r w:rsidR="00A37807" w:rsidRPr="002261B9">
        <w:rPr>
          <w:lang w:val="es-ES"/>
        </w:rPr>
        <w:t xml:space="preserve"> </w:t>
      </w:r>
      <w:r w:rsidR="00706756" w:rsidRPr="002261B9">
        <w:rPr>
          <w:lang w:val="es-ES"/>
        </w:rPr>
        <w:t>UNEP/POPS/POPRC.13/INF/6</w:t>
      </w:r>
      <w:r w:rsidR="00961978" w:rsidRPr="002261B9">
        <w:rPr>
          <w:lang w:val="es-ES"/>
        </w:rPr>
        <w:t>,</w:t>
      </w:r>
      <w:r w:rsidR="00C770D2" w:rsidRPr="002261B9">
        <w:rPr>
          <w:lang w:val="es-ES"/>
        </w:rPr>
        <w:t xml:space="preserve"> </w:t>
      </w:r>
      <w:r w:rsidR="009553E5" w:rsidRPr="002261B9">
        <w:rPr>
          <w:lang w:val="es-ES"/>
        </w:rPr>
        <w:t>sección</w:t>
      </w:r>
      <w:r w:rsidR="00506E3A" w:rsidRPr="002261B9">
        <w:rPr>
          <w:lang w:val="es-ES"/>
        </w:rPr>
        <w:t> </w:t>
      </w:r>
      <w:r w:rsidR="00C770D2" w:rsidRPr="002261B9">
        <w:rPr>
          <w:lang w:val="es-ES"/>
        </w:rPr>
        <w:t>3</w:t>
      </w:r>
      <w:r w:rsidR="00A37807" w:rsidRPr="002261B9">
        <w:rPr>
          <w:lang w:val="es-ES"/>
        </w:rPr>
        <w:t>).</w:t>
      </w:r>
      <w:r w:rsidR="00201012" w:rsidRPr="002261B9">
        <w:rPr>
          <w:lang w:val="es-ES"/>
        </w:rPr>
        <w:t xml:space="preserve"> </w:t>
      </w:r>
    </w:p>
    <w:p w14:paraId="175487BC" w14:textId="360ABC72" w:rsidR="00201012" w:rsidRPr="002261B9" w:rsidRDefault="00ED6C02" w:rsidP="00F45508">
      <w:pPr>
        <w:pStyle w:val="Paralevel1"/>
        <w:numPr>
          <w:ilvl w:val="0"/>
          <w:numId w:val="23"/>
        </w:numPr>
        <w:tabs>
          <w:tab w:val="clear" w:pos="0"/>
        </w:tabs>
        <w:ind w:left="1247" w:firstLine="0"/>
        <w:rPr>
          <w:lang w:val="es-ES"/>
        </w:rPr>
      </w:pPr>
      <w:r w:rsidRPr="002261B9">
        <w:rPr>
          <w:lang w:val="es-ES"/>
        </w:rPr>
        <w:t>Los compuestos basados en la qu</w:t>
      </w:r>
      <w:r w:rsidR="001256CE" w:rsidRPr="002261B9">
        <w:rPr>
          <w:lang w:val="es-ES"/>
        </w:rPr>
        <w:t xml:space="preserve">ímica de los fluorotelómeros </w:t>
      </w:r>
      <w:r w:rsidR="00C058A8" w:rsidRPr="002261B9">
        <w:rPr>
          <w:lang w:val="es-ES"/>
        </w:rPr>
        <w:t xml:space="preserve">de base </w:t>
      </w:r>
      <w:r w:rsidR="00201012" w:rsidRPr="002261B9">
        <w:rPr>
          <w:lang w:val="es-ES"/>
        </w:rPr>
        <w:t>≤C</w:t>
      </w:r>
      <w:r w:rsidR="00201012" w:rsidRPr="002261B9">
        <w:rPr>
          <w:vertAlign w:val="subscript"/>
          <w:lang w:val="es-ES"/>
        </w:rPr>
        <w:t>6</w:t>
      </w:r>
      <w:r w:rsidRPr="002261B9">
        <w:rPr>
          <w:lang w:val="es-ES"/>
        </w:rPr>
        <w:t xml:space="preserve"> se usan para fabricar productos fluoroteloméricos, lo cual es un indicio de la viabilidad técnica de esta alternativa</w:t>
      </w:r>
      <w:r w:rsidR="00AB0834" w:rsidRPr="002261B9">
        <w:rPr>
          <w:lang w:val="es-ES"/>
        </w:rPr>
        <w:t>.</w:t>
      </w:r>
      <w:r w:rsidR="00284890" w:rsidRPr="002261B9">
        <w:rPr>
          <w:lang w:val="es-ES"/>
        </w:rPr>
        <w:t xml:space="preserve"> </w:t>
      </w:r>
      <w:r w:rsidRPr="002261B9">
        <w:rPr>
          <w:lang w:val="es-ES"/>
        </w:rPr>
        <w:t xml:space="preserve">Se deben aplicar volúmenes más altos para lograr el mismo resultado técnico, ya que los costos de los productos a base de fluorotelómeros </w:t>
      </w:r>
      <w:r w:rsidR="00201012" w:rsidRPr="002261B9">
        <w:rPr>
          <w:lang w:val="es-ES"/>
        </w:rPr>
        <w:t>≤C</w:t>
      </w:r>
      <w:r w:rsidR="00201012" w:rsidRPr="002261B9">
        <w:rPr>
          <w:vertAlign w:val="subscript"/>
          <w:lang w:val="es-ES"/>
        </w:rPr>
        <w:t>6</w:t>
      </w:r>
      <w:r w:rsidRPr="002261B9">
        <w:rPr>
          <w:lang w:val="es-ES"/>
        </w:rPr>
        <w:t xml:space="preserve"> son más altos</w:t>
      </w:r>
      <w:r w:rsidR="00201012" w:rsidRPr="002261B9">
        <w:rPr>
          <w:lang w:val="es-ES"/>
        </w:rPr>
        <w:t xml:space="preserve"> (ECHA</w:t>
      </w:r>
      <w:r w:rsidR="003B4AD6" w:rsidRPr="002261B9">
        <w:rPr>
          <w:lang w:val="es-ES"/>
        </w:rPr>
        <w:t>,</w:t>
      </w:r>
      <w:r w:rsidR="00201012" w:rsidRPr="002261B9">
        <w:rPr>
          <w:lang w:val="es-ES"/>
        </w:rPr>
        <w:t xml:space="preserve"> 2015a</w:t>
      </w:r>
      <w:r w:rsidR="00961978" w:rsidRPr="002261B9">
        <w:rPr>
          <w:lang w:val="es-ES"/>
        </w:rPr>
        <w:t>)</w:t>
      </w:r>
      <w:r w:rsidR="00201012" w:rsidRPr="002261B9">
        <w:rPr>
          <w:lang w:val="es-ES"/>
        </w:rPr>
        <w:t>.</w:t>
      </w:r>
    </w:p>
    <w:p w14:paraId="20E7F916" w14:textId="68D485EC" w:rsidR="00267E79" w:rsidRPr="002261B9" w:rsidRDefault="00ED6C02" w:rsidP="00F45508">
      <w:pPr>
        <w:pStyle w:val="Paralevel1"/>
        <w:numPr>
          <w:ilvl w:val="0"/>
          <w:numId w:val="23"/>
        </w:numPr>
        <w:tabs>
          <w:tab w:val="clear" w:pos="0"/>
        </w:tabs>
        <w:ind w:left="1247" w:firstLine="0"/>
        <w:rPr>
          <w:lang w:val="es-ES"/>
        </w:rPr>
      </w:pPr>
      <w:r w:rsidRPr="002261B9">
        <w:rPr>
          <w:lang w:val="es-ES"/>
        </w:rPr>
        <w:t xml:space="preserve">En cuanto a los productos fluoroteloméricos basados en alcohol </w:t>
      </w:r>
      <w:r w:rsidR="00201012" w:rsidRPr="002261B9">
        <w:rPr>
          <w:lang w:val="es-ES"/>
        </w:rPr>
        <w:t>fluorotelom</w:t>
      </w:r>
      <w:r w:rsidRPr="002261B9">
        <w:rPr>
          <w:lang w:val="es-ES"/>
        </w:rPr>
        <w:t>érico</w:t>
      </w:r>
      <w:r w:rsidR="00201012" w:rsidRPr="002261B9">
        <w:rPr>
          <w:lang w:val="es-ES"/>
        </w:rPr>
        <w:t xml:space="preserve"> </w:t>
      </w:r>
      <w:r w:rsidRPr="002261B9">
        <w:rPr>
          <w:lang w:val="es-ES"/>
        </w:rPr>
        <w:t>8:2</w:t>
      </w:r>
      <w:r w:rsidR="00201012" w:rsidRPr="002261B9">
        <w:rPr>
          <w:lang w:val="es-ES"/>
        </w:rPr>
        <w:t xml:space="preserve"> (FTOH</w:t>
      </w:r>
      <w:r w:rsidR="00506E3A" w:rsidRPr="002261B9">
        <w:rPr>
          <w:lang w:val="es-ES"/>
        </w:rPr>
        <w:t> </w:t>
      </w:r>
      <w:r w:rsidRPr="002261B9">
        <w:rPr>
          <w:lang w:val="es-ES"/>
        </w:rPr>
        <w:t>8:2</w:t>
      </w:r>
      <w:r w:rsidR="00201012" w:rsidRPr="002261B9">
        <w:rPr>
          <w:lang w:val="es-ES"/>
        </w:rPr>
        <w:t xml:space="preserve">), </w:t>
      </w:r>
      <w:r w:rsidRPr="002261B9">
        <w:rPr>
          <w:lang w:val="es-ES"/>
        </w:rPr>
        <w:t xml:space="preserve">el FTOH </w:t>
      </w:r>
      <w:r w:rsidR="00201012" w:rsidRPr="002261B9">
        <w:rPr>
          <w:lang w:val="es-ES"/>
        </w:rPr>
        <w:t>6:2</w:t>
      </w:r>
      <w:r w:rsidRPr="002261B9">
        <w:rPr>
          <w:lang w:val="es-ES"/>
        </w:rPr>
        <w:t xml:space="preserve"> de cadena corta se usa como alternativa</w:t>
      </w:r>
      <w:r w:rsidR="00201012" w:rsidRPr="002261B9">
        <w:rPr>
          <w:lang w:val="es-ES"/>
        </w:rPr>
        <w:t xml:space="preserve">. </w:t>
      </w:r>
      <w:r w:rsidRPr="002261B9">
        <w:rPr>
          <w:lang w:val="es-ES"/>
        </w:rPr>
        <w:t xml:space="preserve">Esta sustancia no degradará a </w:t>
      </w:r>
      <w:r w:rsidR="00201012" w:rsidRPr="002261B9">
        <w:rPr>
          <w:lang w:val="es-ES"/>
        </w:rPr>
        <w:t xml:space="preserve">PFOA, </w:t>
      </w:r>
      <w:r w:rsidRPr="002261B9">
        <w:rPr>
          <w:lang w:val="es-ES"/>
        </w:rPr>
        <w:t>sino más bien a otros ácidos</w:t>
      </w:r>
      <w:r w:rsidR="00201012" w:rsidRPr="002261B9">
        <w:rPr>
          <w:lang w:val="es-ES"/>
        </w:rPr>
        <w:t xml:space="preserve">, </w:t>
      </w:r>
      <w:r w:rsidRPr="002261B9">
        <w:rPr>
          <w:lang w:val="es-ES"/>
        </w:rPr>
        <w:t xml:space="preserve">como el ácido </w:t>
      </w:r>
      <w:r w:rsidR="00201012" w:rsidRPr="002261B9">
        <w:rPr>
          <w:lang w:val="es-ES"/>
        </w:rPr>
        <w:t>perfluorobutanoic</w:t>
      </w:r>
      <w:r w:rsidRPr="002261B9">
        <w:rPr>
          <w:lang w:val="es-ES"/>
        </w:rPr>
        <w:t>o</w:t>
      </w:r>
      <w:r w:rsidR="00201012" w:rsidRPr="002261B9">
        <w:rPr>
          <w:lang w:val="es-ES"/>
        </w:rPr>
        <w:t xml:space="preserve"> (PFBA), </w:t>
      </w:r>
      <w:r w:rsidRPr="002261B9">
        <w:rPr>
          <w:lang w:val="es-ES"/>
        </w:rPr>
        <w:t xml:space="preserve">el ácido </w:t>
      </w:r>
      <w:r w:rsidR="00201012" w:rsidRPr="002261B9">
        <w:rPr>
          <w:lang w:val="es-ES"/>
        </w:rPr>
        <w:t>perfluoropentanoi</w:t>
      </w:r>
      <w:r w:rsidRPr="002261B9">
        <w:rPr>
          <w:lang w:val="es-ES"/>
        </w:rPr>
        <w:t>co</w:t>
      </w:r>
      <w:r w:rsidR="00201012" w:rsidRPr="002261B9">
        <w:rPr>
          <w:lang w:val="es-ES"/>
        </w:rPr>
        <w:t xml:space="preserve"> (PFPeA), </w:t>
      </w:r>
      <w:r w:rsidRPr="002261B9">
        <w:rPr>
          <w:lang w:val="es-ES"/>
        </w:rPr>
        <w:t xml:space="preserve">el ácido </w:t>
      </w:r>
      <w:r w:rsidR="00201012" w:rsidRPr="002261B9">
        <w:rPr>
          <w:lang w:val="es-ES"/>
        </w:rPr>
        <w:t>perfluorohexanoic</w:t>
      </w:r>
      <w:r w:rsidRPr="002261B9">
        <w:rPr>
          <w:lang w:val="es-ES"/>
        </w:rPr>
        <w:t xml:space="preserve">o </w:t>
      </w:r>
      <w:r w:rsidR="00201012" w:rsidRPr="002261B9">
        <w:rPr>
          <w:lang w:val="es-ES"/>
        </w:rPr>
        <w:t xml:space="preserve">(PFHxA), </w:t>
      </w:r>
      <w:r w:rsidRPr="002261B9">
        <w:rPr>
          <w:lang w:val="es-ES"/>
        </w:rPr>
        <w:t>y</w:t>
      </w:r>
      <w:r w:rsidR="00201012" w:rsidRPr="002261B9">
        <w:rPr>
          <w:lang w:val="es-ES"/>
        </w:rPr>
        <w:t xml:space="preserve"> </w:t>
      </w:r>
      <w:r w:rsidRPr="002261B9">
        <w:rPr>
          <w:lang w:val="es-ES"/>
        </w:rPr>
        <w:t xml:space="preserve">el ácido </w:t>
      </w:r>
      <w:r w:rsidR="00201012" w:rsidRPr="002261B9">
        <w:rPr>
          <w:lang w:val="es-ES"/>
        </w:rPr>
        <w:t>2H,2H,3H,3H-undecafluoro octanoic</w:t>
      </w:r>
      <w:r w:rsidRPr="002261B9">
        <w:rPr>
          <w:lang w:val="es-ES"/>
        </w:rPr>
        <w:t>o</w:t>
      </w:r>
      <w:r w:rsidR="00201012" w:rsidRPr="002261B9">
        <w:rPr>
          <w:lang w:val="es-ES"/>
        </w:rPr>
        <w:t xml:space="preserve"> (</w:t>
      </w:r>
      <w:r w:rsidRPr="002261B9">
        <w:rPr>
          <w:lang w:val="es-ES"/>
        </w:rPr>
        <w:t xml:space="preserve">ácido </w:t>
      </w:r>
      <w:r w:rsidR="00201012" w:rsidRPr="002261B9">
        <w:rPr>
          <w:lang w:val="es-ES"/>
        </w:rPr>
        <w:t>fluorotelom</w:t>
      </w:r>
      <w:r w:rsidRPr="002261B9">
        <w:rPr>
          <w:lang w:val="es-ES"/>
        </w:rPr>
        <w:t>érico 5:3</w:t>
      </w:r>
      <w:r w:rsidR="00961978" w:rsidRPr="002261B9">
        <w:rPr>
          <w:lang w:val="es-ES"/>
        </w:rPr>
        <w:t>) (ECHA</w:t>
      </w:r>
      <w:r w:rsidR="00935ABF" w:rsidRPr="002261B9">
        <w:rPr>
          <w:lang w:val="es-ES"/>
        </w:rPr>
        <w:t>,</w:t>
      </w:r>
      <w:r w:rsidR="00961978" w:rsidRPr="002261B9">
        <w:rPr>
          <w:lang w:val="es-ES"/>
        </w:rPr>
        <w:t xml:space="preserve"> </w:t>
      </w:r>
      <w:r w:rsidR="00201012" w:rsidRPr="002261B9">
        <w:rPr>
          <w:lang w:val="es-ES"/>
        </w:rPr>
        <w:t>2015a</w:t>
      </w:r>
      <w:r w:rsidR="00961978" w:rsidRPr="002261B9">
        <w:rPr>
          <w:lang w:val="es-ES"/>
        </w:rPr>
        <w:t>)</w:t>
      </w:r>
      <w:r w:rsidR="00201012" w:rsidRPr="002261B9">
        <w:rPr>
          <w:lang w:val="es-ES"/>
        </w:rPr>
        <w:t>.</w:t>
      </w:r>
      <w:r w:rsidR="00AF337B" w:rsidRPr="002261B9">
        <w:rPr>
          <w:lang w:val="es-ES"/>
        </w:rPr>
        <w:t xml:space="preserve"> Según otro estudio</w:t>
      </w:r>
      <w:r w:rsidR="00201012" w:rsidRPr="002261B9">
        <w:rPr>
          <w:lang w:val="es-ES"/>
        </w:rPr>
        <w:t xml:space="preserve"> (Ellis </w:t>
      </w:r>
      <w:r w:rsidR="003134EC" w:rsidRPr="002261B9">
        <w:rPr>
          <w:lang w:val="es-ES"/>
        </w:rPr>
        <w:t>y otros</w:t>
      </w:r>
      <w:r w:rsidR="004904E9" w:rsidRPr="002261B9">
        <w:rPr>
          <w:lang w:val="es-ES"/>
        </w:rPr>
        <w:t>,</w:t>
      </w:r>
      <w:r w:rsidR="00506E3A" w:rsidRPr="002261B9">
        <w:rPr>
          <w:lang w:val="es-ES"/>
        </w:rPr>
        <w:t> </w:t>
      </w:r>
      <w:r w:rsidR="006F57D4" w:rsidRPr="002261B9">
        <w:rPr>
          <w:lang w:val="es-ES"/>
        </w:rPr>
        <w:t>2</w:t>
      </w:r>
      <w:r w:rsidR="00201012" w:rsidRPr="002261B9">
        <w:rPr>
          <w:lang w:val="es-ES"/>
        </w:rPr>
        <w:t>004</w:t>
      </w:r>
      <w:r w:rsidR="00452DB2" w:rsidRPr="002261B9">
        <w:rPr>
          <w:lang w:val="es-ES"/>
        </w:rPr>
        <w:t>)</w:t>
      </w:r>
      <w:r w:rsidR="00961978" w:rsidRPr="002261B9">
        <w:rPr>
          <w:lang w:val="es-ES"/>
        </w:rPr>
        <w:t>,</w:t>
      </w:r>
      <w:r w:rsidR="00201012" w:rsidRPr="002261B9">
        <w:rPr>
          <w:lang w:val="es-ES"/>
        </w:rPr>
        <w:t xml:space="preserve"> </w:t>
      </w:r>
      <w:r w:rsidR="00AF337B" w:rsidRPr="002261B9">
        <w:rPr>
          <w:lang w:val="es-ES"/>
        </w:rPr>
        <w:t xml:space="preserve">el ácido </w:t>
      </w:r>
      <w:r w:rsidR="00201012" w:rsidRPr="002261B9">
        <w:rPr>
          <w:lang w:val="es-ES"/>
        </w:rPr>
        <w:t>perfluoroheptanoic</w:t>
      </w:r>
      <w:r w:rsidR="00AF337B" w:rsidRPr="002261B9">
        <w:rPr>
          <w:lang w:val="es-ES"/>
        </w:rPr>
        <w:t>o</w:t>
      </w:r>
      <w:r w:rsidR="00201012" w:rsidRPr="002261B9">
        <w:rPr>
          <w:lang w:val="es-ES"/>
        </w:rPr>
        <w:t xml:space="preserve"> (PFHpA) </w:t>
      </w:r>
      <w:r w:rsidR="00AF337B" w:rsidRPr="002261B9">
        <w:rPr>
          <w:lang w:val="es-ES"/>
        </w:rPr>
        <w:t xml:space="preserve">también se forma por la degradación atmosférica del </w:t>
      </w:r>
      <w:r w:rsidR="00201012" w:rsidRPr="002261B9">
        <w:rPr>
          <w:lang w:val="es-ES"/>
        </w:rPr>
        <w:t>FTOH</w:t>
      </w:r>
      <w:r w:rsidR="00AF337B" w:rsidRPr="002261B9">
        <w:rPr>
          <w:lang w:val="es-ES"/>
        </w:rPr>
        <w:t xml:space="preserve"> 6:2, y se afirma que el</w:t>
      </w:r>
      <w:r w:rsidR="00201012" w:rsidRPr="002261B9">
        <w:rPr>
          <w:lang w:val="es-ES"/>
        </w:rPr>
        <w:t xml:space="preserve"> PFHpA </w:t>
      </w:r>
      <w:r w:rsidR="00AF337B" w:rsidRPr="002261B9">
        <w:rPr>
          <w:lang w:val="es-ES"/>
        </w:rPr>
        <w:t>y el</w:t>
      </w:r>
      <w:r w:rsidR="00201012" w:rsidRPr="002261B9">
        <w:rPr>
          <w:lang w:val="es-ES"/>
        </w:rPr>
        <w:t xml:space="preserve"> PFHxA </w:t>
      </w:r>
      <w:r w:rsidR="00AF337B" w:rsidRPr="002261B9">
        <w:rPr>
          <w:lang w:val="es-ES"/>
        </w:rPr>
        <w:t>son los PFCA que con más abundancia se forman por oxidación atmosférica del</w:t>
      </w:r>
      <w:r w:rsidR="00201012" w:rsidRPr="002261B9">
        <w:rPr>
          <w:lang w:val="es-ES"/>
        </w:rPr>
        <w:t xml:space="preserve"> FTOH</w:t>
      </w:r>
      <w:r w:rsidR="00AF337B" w:rsidRPr="002261B9">
        <w:rPr>
          <w:lang w:val="es-ES"/>
        </w:rPr>
        <w:t xml:space="preserve"> 6:2</w:t>
      </w:r>
      <w:r w:rsidR="00201012" w:rsidRPr="002261B9">
        <w:rPr>
          <w:lang w:val="es-ES"/>
        </w:rPr>
        <w:t xml:space="preserve">. </w:t>
      </w:r>
      <w:r w:rsidR="00AF337B" w:rsidRPr="002261B9">
        <w:rPr>
          <w:lang w:val="es-ES"/>
        </w:rPr>
        <w:t xml:space="preserve">En los residuos que van a parar a los suelos, posiblemente no haya ácido </w:t>
      </w:r>
      <w:r w:rsidR="00201012" w:rsidRPr="002261B9">
        <w:rPr>
          <w:lang w:val="es-ES"/>
        </w:rPr>
        <w:t xml:space="preserve">5:3 </w:t>
      </w:r>
      <w:r w:rsidR="00AF337B" w:rsidRPr="002261B9">
        <w:rPr>
          <w:lang w:val="es-ES"/>
        </w:rPr>
        <w:t>para la ulterior biodegradación</w:t>
      </w:r>
      <w:r w:rsidR="00201012" w:rsidRPr="002261B9">
        <w:rPr>
          <w:lang w:val="es-ES"/>
        </w:rPr>
        <w:t xml:space="preserve"> (Liu </w:t>
      </w:r>
      <w:r w:rsidR="003134EC" w:rsidRPr="002261B9">
        <w:rPr>
          <w:lang w:val="es-ES"/>
        </w:rPr>
        <w:t>y otros</w:t>
      </w:r>
      <w:r w:rsidR="00935ABF" w:rsidRPr="002261B9">
        <w:rPr>
          <w:lang w:val="es-ES"/>
        </w:rPr>
        <w:t>,</w:t>
      </w:r>
      <w:r w:rsidR="00201012" w:rsidRPr="002261B9">
        <w:rPr>
          <w:lang w:val="es-ES"/>
        </w:rPr>
        <w:t xml:space="preserve"> 2010a; Liu </w:t>
      </w:r>
      <w:r w:rsidR="003134EC" w:rsidRPr="002261B9">
        <w:rPr>
          <w:lang w:val="es-ES"/>
        </w:rPr>
        <w:t>y otros</w:t>
      </w:r>
      <w:r w:rsidR="00935ABF" w:rsidRPr="002261B9">
        <w:rPr>
          <w:lang w:val="es-ES"/>
        </w:rPr>
        <w:t>,</w:t>
      </w:r>
      <w:r w:rsidR="00506E3A" w:rsidRPr="002261B9">
        <w:rPr>
          <w:lang w:val="es-ES"/>
        </w:rPr>
        <w:t> </w:t>
      </w:r>
      <w:r w:rsidR="00201012" w:rsidRPr="002261B9">
        <w:rPr>
          <w:lang w:val="es-ES"/>
        </w:rPr>
        <w:t>2010b).</w:t>
      </w:r>
      <w:r w:rsidR="00AF337B" w:rsidRPr="002261B9">
        <w:rPr>
          <w:lang w:val="es-ES"/>
        </w:rPr>
        <w:t xml:space="preserve"> En fangos activados</w:t>
      </w:r>
      <w:r w:rsidR="00201012" w:rsidRPr="002261B9">
        <w:rPr>
          <w:lang w:val="es-ES"/>
        </w:rPr>
        <w:t xml:space="preserve">, </w:t>
      </w:r>
      <w:r w:rsidR="00AF337B" w:rsidRPr="002261B9">
        <w:rPr>
          <w:lang w:val="es-ES"/>
        </w:rPr>
        <w:t xml:space="preserve">el </w:t>
      </w:r>
      <w:r w:rsidR="00201012" w:rsidRPr="002261B9">
        <w:rPr>
          <w:lang w:val="es-ES"/>
        </w:rPr>
        <w:t xml:space="preserve">FTOH </w:t>
      </w:r>
      <w:r w:rsidR="00AF337B" w:rsidRPr="002261B9">
        <w:rPr>
          <w:lang w:val="es-ES"/>
        </w:rPr>
        <w:t>6:2 también experimenta una rápida biotransformación primaria</w:t>
      </w:r>
      <w:r w:rsidR="00201012" w:rsidRPr="002261B9">
        <w:rPr>
          <w:lang w:val="es-ES"/>
        </w:rPr>
        <w:t xml:space="preserve">, </w:t>
      </w:r>
      <w:r w:rsidR="00AF337B" w:rsidRPr="002261B9">
        <w:rPr>
          <w:lang w:val="es-ES"/>
        </w:rPr>
        <w:t xml:space="preserve">y más del </w:t>
      </w:r>
      <w:r w:rsidR="00201012" w:rsidRPr="002261B9">
        <w:rPr>
          <w:lang w:val="es-ES"/>
        </w:rPr>
        <w:t xml:space="preserve">97% </w:t>
      </w:r>
      <w:r w:rsidR="00AF337B" w:rsidRPr="002261B9">
        <w:rPr>
          <w:lang w:val="es-ES"/>
        </w:rPr>
        <w:t xml:space="preserve">del </w:t>
      </w:r>
      <w:r w:rsidR="00201012" w:rsidRPr="002261B9">
        <w:rPr>
          <w:lang w:val="es-ES"/>
        </w:rPr>
        <w:t xml:space="preserve">FTOH </w:t>
      </w:r>
      <w:r w:rsidR="00AF337B" w:rsidRPr="002261B9">
        <w:rPr>
          <w:lang w:val="es-ES"/>
        </w:rPr>
        <w:t xml:space="preserve">6:2 se puede convertir en por lo menos </w:t>
      </w:r>
      <w:r w:rsidR="00961978" w:rsidRPr="002261B9">
        <w:rPr>
          <w:lang w:val="es-ES"/>
        </w:rPr>
        <w:t xml:space="preserve">nueve </w:t>
      </w:r>
      <w:r w:rsidR="00AF337B" w:rsidRPr="002261B9">
        <w:rPr>
          <w:lang w:val="es-ES"/>
        </w:rPr>
        <w:t>productos de transformación al cabo de tres días</w:t>
      </w:r>
      <w:r w:rsidR="00201012" w:rsidRPr="002261B9">
        <w:rPr>
          <w:lang w:val="es-ES"/>
        </w:rPr>
        <w:t xml:space="preserve">. </w:t>
      </w:r>
      <w:r w:rsidR="00AF337B" w:rsidRPr="002261B9">
        <w:rPr>
          <w:lang w:val="es-ES"/>
        </w:rPr>
        <w:t>Los principales producto</w:t>
      </w:r>
      <w:r w:rsidR="009E7F9A" w:rsidRPr="002261B9">
        <w:rPr>
          <w:lang w:val="es-ES"/>
        </w:rPr>
        <w:t>s</w:t>
      </w:r>
      <w:r w:rsidR="00AF337B" w:rsidRPr="002261B9">
        <w:rPr>
          <w:lang w:val="es-ES"/>
        </w:rPr>
        <w:t xml:space="preserve"> de la biotransformación son </w:t>
      </w:r>
      <w:r w:rsidR="009E7F9A" w:rsidRPr="002261B9">
        <w:rPr>
          <w:lang w:val="es-ES"/>
        </w:rPr>
        <w:t xml:space="preserve">los </w:t>
      </w:r>
      <w:r w:rsidR="00AF337B" w:rsidRPr="002261B9">
        <w:rPr>
          <w:lang w:val="es-ES"/>
        </w:rPr>
        <w:t>á</w:t>
      </w:r>
      <w:r w:rsidR="00201012" w:rsidRPr="002261B9">
        <w:rPr>
          <w:lang w:val="es-ES"/>
        </w:rPr>
        <w:t>cid</w:t>
      </w:r>
      <w:r w:rsidR="00AF337B" w:rsidRPr="002261B9">
        <w:rPr>
          <w:lang w:val="es-ES"/>
        </w:rPr>
        <w:t>o</w:t>
      </w:r>
      <w:r w:rsidR="009E7F9A" w:rsidRPr="002261B9">
        <w:rPr>
          <w:lang w:val="es-ES"/>
        </w:rPr>
        <w:t>s</w:t>
      </w:r>
      <w:r w:rsidR="00506E3A" w:rsidRPr="002261B9">
        <w:rPr>
          <w:lang w:val="es-ES"/>
        </w:rPr>
        <w:t> </w:t>
      </w:r>
      <w:r w:rsidR="00AF337B" w:rsidRPr="002261B9">
        <w:rPr>
          <w:lang w:val="es-ES"/>
        </w:rPr>
        <w:t>5:3</w:t>
      </w:r>
      <w:r w:rsidR="00201012" w:rsidRPr="002261B9">
        <w:rPr>
          <w:lang w:val="es-ES"/>
        </w:rPr>
        <w:t xml:space="preserve"> PFHxA</w:t>
      </w:r>
      <w:r w:rsidR="00AF337B" w:rsidRPr="002261B9">
        <w:rPr>
          <w:lang w:val="es-ES"/>
        </w:rPr>
        <w:t xml:space="preserve"> y</w:t>
      </w:r>
      <w:r w:rsidR="00201012" w:rsidRPr="002261B9">
        <w:rPr>
          <w:lang w:val="es-ES"/>
        </w:rPr>
        <w:t xml:space="preserve"> PFPeA (Zhao </w:t>
      </w:r>
      <w:r w:rsidR="003134EC" w:rsidRPr="002261B9">
        <w:rPr>
          <w:lang w:val="es-ES"/>
        </w:rPr>
        <w:t>y otros</w:t>
      </w:r>
      <w:r w:rsidR="00935ABF" w:rsidRPr="002261B9">
        <w:rPr>
          <w:lang w:val="es-ES"/>
        </w:rPr>
        <w:t>,</w:t>
      </w:r>
      <w:r w:rsidR="00201012" w:rsidRPr="002261B9">
        <w:rPr>
          <w:lang w:val="es-ES"/>
        </w:rPr>
        <w:t xml:space="preserve"> 2013b). </w:t>
      </w:r>
      <w:r w:rsidRPr="002261B9">
        <w:rPr>
          <w:lang w:val="es-ES"/>
        </w:rPr>
        <w:t>E</w:t>
      </w:r>
      <w:r w:rsidR="00201012" w:rsidRPr="002261B9">
        <w:rPr>
          <w:lang w:val="es-ES"/>
        </w:rPr>
        <w:t xml:space="preserve">n </w:t>
      </w:r>
      <w:r w:rsidRPr="002261B9">
        <w:rPr>
          <w:lang w:val="es-ES"/>
        </w:rPr>
        <w:t xml:space="preserve">un estudio, en el que se usó </w:t>
      </w:r>
      <w:r w:rsidR="00AF337B" w:rsidRPr="002261B9">
        <w:rPr>
          <w:lang w:val="es-ES"/>
        </w:rPr>
        <w:t>un sistema de sedimentos fluviales aeróbicos</w:t>
      </w:r>
      <w:r w:rsidR="00201012" w:rsidRPr="002261B9">
        <w:rPr>
          <w:lang w:val="es-ES"/>
        </w:rPr>
        <w:t xml:space="preserve"> (Zhao </w:t>
      </w:r>
      <w:r w:rsidR="003134EC" w:rsidRPr="002261B9">
        <w:rPr>
          <w:lang w:val="es-ES"/>
        </w:rPr>
        <w:t>y otros</w:t>
      </w:r>
      <w:r w:rsidR="00935ABF" w:rsidRPr="002261B9">
        <w:rPr>
          <w:lang w:val="es-ES"/>
        </w:rPr>
        <w:t>,</w:t>
      </w:r>
      <w:r w:rsidR="00201012" w:rsidRPr="002261B9">
        <w:rPr>
          <w:lang w:val="es-ES"/>
        </w:rPr>
        <w:t xml:space="preserve"> 2013</w:t>
      </w:r>
      <w:r w:rsidR="00DE0178" w:rsidRPr="002261B9">
        <w:rPr>
          <w:lang w:val="es-ES"/>
        </w:rPr>
        <w:t>a</w:t>
      </w:r>
      <w:r w:rsidR="00201012" w:rsidRPr="002261B9">
        <w:rPr>
          <w:lang w:val="es-ES"/>
        </w:rPr>
        <w:t>)</w:t>
      </w:r>
      <w:r w:rsidR="00AF337B" w:rsidRPr="002261B9">
        <w:rPr>
          <w:lang w:val="es-ES"/>
        </w:rPr>
        <w:t xml:space="preserve"> se encontraron también productos de </w:t>
      </w:r>
      <w:r w:rsidR="00AF337B" w:rsidRPr="002261B9">
        <w:rPr>
          <w:lang w:val="es-ES"/>
        </w:rPr>
        <w:lastRenderedPageBreak/>
        <w:t xml:space="preserve">biotransformación </w:t>
      </w:r>
      <w:r w:rsidR="005C740A" w:rsidRPr="002261B9">
        <w:rPr>
          <w:lang w:val="es-ES"/>
        </w:rPr>
        <w:t>análogos</w:t>
      </w:r>
      <w:r w:rsidR="00201012" w:rsidRPr="002261B9">
        <w:rPr>
          <w:lang w:val="es-ES"/>
        </w:rPr>
        <w:t>. En la sección II de FOEN</w:t>
      </w:r>
      <w:r w:rsidR="004904E9" w:rsidRPr="002261B9">
        <w:rPr>
          <w:lang w:val="es-ES"/>
        </w:rPr>
        <w:t>,</w:t>
      </w:r>
      <w:r w:rsidR="006F57D4" w:rsidRPr="002261B9">
        <w:rPr>
          <w:lang w:val="es-ES"/>
        </w:rPr>
        <w:t xml:space="preserve"> 2</w:t>
      </w:r>
      <w:r w:rsidR="00201012" w:rsidRPr="002261B9">
        <w:rPr>
          <w:lang w:val="es-ES"/>
        </w:rPr>
        <w:t>017), se puede consultar inform</w:t>
      </w:r>
      <w:r w:rsidR="00B878CB" w:rsidRPr="002261B9">
        <w:rPr>
          <w:lang w:val="es-ES"/>
        </w:rPr>
        <w:t>ación adicional sobre la transf</w:t>
      </w:r>
      <w:r w:rsidR="00201012" w:rsidRPr="002261B9">
        <w:rPr>
          <w:lang w:val="es-ES"/>
        </w:rPr>
        <w:t>o</w:t>
      </w:r>
      <w:r w:rsidR="00B878CB" w:rsidRPr="002261B9">
        <w:rPr>
          <w:lang w:val="es-ES"/>
        </w:rPr>
        <w:t>r</w:t>
      </w:r>
      <w:r w:rsidR="00201012" w:rsidRPr="002261B9">
        <w:rPr>
          <w:lang w:val="es-ES"/>
        </w:rPr>
        <w:t xml:space="preserve">mación/degradación de </w:t>
      </w:r>
      <w:r w:rsidR="005C740A" w:rsidRPr="002261B9">
        <w:rPr>
          <w:lang w:val="es-ES"/>
        </w:rPr>
        <w:t xml:space="preserve">los </w:t>
      </w:r>
      <w:r w:rsidR="00201012" w:rsidRPr="002261B9">
        <w:rPr>
          <w:lang w:val="es-ES"/>
        </w:rPr>
        <w:t>fluorotelómeros 6:2.</w:t>
      </w:r>
    </w:p>
    <w:p w14:paraId="7E4B86E6" w14:textId="124E0966" w:rsidR="00491F12" w:rsidRPr="002261B9" w:rsidRDefault="001256CE" w:rsidP="00F45508">
      <w:pPr>
        <w:pStyle w:val="Paralevel1"/>
        <w:numPr>
          <w:ilvl w:val="0"/>
          <w:numId w:val="23"/>
        </w:numPr>
        <w:tabs>
          <w:tab w:val="clear" w:pos="0"/>
        </w:tabs>
        <w:ind w:left="1247" w:firstLine="0"/>
        <w:rPr>
          <w:lang w:val="es-ES"/>
        </w:rPr>
      </w:pPr>
      <w:r w:rsidRPr="002261B9">
        <w:rPr>
          <w:lang w:val="es-ES"/>
        </w:rPr>
        <w:t>Según un estudio patrocinado por FluoroCouncil, en el que se examinan datos de estudios científicos publicados e inéditos, las alternativas químicas fluoradas al PFOA (FTOH 6:2, PFHxA/PFHx, metacrilato 6:2 y acrilato 6:2) no cumplen los criterios generales establecidos en el Convenio de Estocolmo para los COP. En el estudio se llega a la conclusión de que el FTOH 6:2 cumple los criterios del Convenio de Estocolmo para los COP (cumple los criterios de transporte en la atmósfera, pero hace falta información adicional para determinar si las concentraciones en lugares apartados son motivo de posible preocupación, según el anexo D</w:t>
      </w:r>
      <w:r w:rsidR="003B4AD6" w:rsidRPr="002261B9">
        <w:rPr>
          <w:lang w:val="es-ES"/>
        </w:rPr>
        <w:t>, párrafo</w:t>
      </w:r>
      <w:r w:rsidRPr="002261B9">
        <w:rPr>
          <w:lang w:val="es-ES"/>
        </w:rPr>
        <w:t xml:space="preserve"> 1 d) i) persistencia, bioacumulación, ecotoxicidad y toxicidad</w:t>
      </w:r>
      <w:r w:rsidR="00284890" w:rsidRPr="002261B9">
        <w:rPr>
          <w:lang w:val="es-ES"/>
        </w:rPr>
        <w:t xml:space="preserve"> </w:t>
      </w:r>
      <w:r w:rsidRPr="002261B9">
        <w:rPr>
          <w:lang w:val="es-ES"/>
        </w:rPr>
        <w:t xml:space="preserve">para los seres humanos, no cumplidos). El PFHxA y su anión PFHx cumplen los </w:t>
      </w:r>
      <w:r w:rsidR="005C740A" w:rsidRPr="002261B9">
        <w:rPr>
          <w:lang w:val="es-ES"/>
        </w:rPr>
        <w:t xml:space="preserve">criterios </w:t>
      </w:r>
      <w:r w:rsidRPr="002261B9">
        <w:rPr>
          <w:lang w:val="es-ES"/>
        </w:rPr>
        <w:t>de persistencia, porque probablemente sean persistentes en el medio</w:t>
      </w:r>
      <w:r w:rsidR="00506E3A" w:rsidRPr="002261B9">
        <w:rPr>
          <w:lang w:val="es-ES"/>
        </w:rPr>
        <w:t> </w:t>
      </w:r>
      <w:r w:rsidR="00A63836" w:rsidRPr="002261B9">
        <w:rPr>
          <w:lang w:val="es-ES"/>
        </w:rPr>
        <w:t>ambiente,</w:t>
      </w:r>
      <w:r w:rsidRPr="002261B9">
        <w:rPr>
          <w:lang w:val="es-ES"/>
        </w:rPr>
        <w:t xml:space="preserve"> aunque no se disponga de datos sobre el período medio de degradación del PFHxA en el suelo, los sedimentos y el agua.</w:t>
      </w:r>
      <w:r w:rsidR="00284890" w:rsidRPr="002261B9">
        <w:rPr>
          <w:lang w:val="es-ES"/>
        </w:rPr>
        <w:t xml:space="preserve"> </w:t>
      </w:r>
      <w:r w:rsidRPr="002261B9">
        <w:rPr>
          <w:lang w:val="es-ES"/>
        </w:rPr>
        <w:t>Los criterios de bioacumulación, transporte a larga distancia en</w:t>
      </w:r>
      <w:r w:rsidR="00506E3A" w:rsidRPr="002261B9">
        <w:rPr>
          <w:lang w:val="es-ES"/>
        </w:rPr>
        <w:t> </w:t>
      </w:r>
      <w:r w:rsidRPr="002261B9">
        <w:rPr>
          <w:lang w:val="es-ES"/>
        </w:rPr>
        <w:t>el medio ambiente, ecotoxicidad y toxicidad para los seres humanos no se han cumplido (FluoroCouncil</w:t>
      </w:r>
      <w:r w:rsidR="00935ABF" w:rsidRPr="002261B9">
        <w:rPr>
          <w:lang w:val="es-ES"/>
        </w:rPr>
        <w:t>,</w:t>
      </w:r>
      <w:r w:rsidR="00506E3A" w:rsidRPr="002261B9">
        <w:rPr>
          <w:lang w:val="es-ES"/>
        </w:rPr>
        <w:t> </w:t>
      </w:r>
      <w:r w:rsidRPr="002261B9">
        <w:rPr>
          <w:lang w:val="es-ES"/>
        </w:rPr>
        <w:t>2014a</w:t>
      </w:r>
      <w:r w:rsidR="00DE0178" w:rsidRPr="002261B9">
        <w:rPr>
          <w:lang w:val="es-ES"/>
        </w:rPr>
        <w:t>)</w:t>
      </w:r>
      <w:r w:rsidRPr="002261B9">
        <w:rPr>
          <w:lang w:val="es-ES"/>
        </w:rPr>
        <w:t>. En un informe más reciente basado en la evaluación previa se examinaron estudios recién publicados y se respaldó la conclusión inicial de que ninguno de los PFAS de cadena corta analizado</w:t>
      </w:r>
      <w:r w:rsidR="00DE0178" w:rsidRPr="002261B9">
        <w:rPr>
          <w:lang w:val="es-ES"/>
        </w:rPr>
        <w:t>s</w:t>
      </w:r>
      <w:r w:rsidRPr="002261B9">
        <w:rPr>
          <w:lang w:val="es-ES"/>
        </w:rPr>
        <w:t xml:space="preserve"> (FTOH 6:2, PFHxA/PFHx, metacrilato 6:2 y acrilato 6:2) cumplía los criterios establecidos en el Convenio de Estocolmo para los COP (FluoroCouncil</w:t>
      </w:r>
      <w:r w:rsidR="00935ABF" w:rsidRPr="002261B9">
        <w:rPr>
          <w:lang w:val="es-ES"/>
        </w:rPr>
        <w:t>,</w:t>
      </w:r>
      <w:r w:rsidRPr="002261B9">
        <w:rPr>
          <w:lang w:val="es-ES"/>
        </w:rPr>
        <w:t xml:space="preserve"> 2016b</w:t>
      </w:r>
      <w:r w:rsidR="00DE0178" w:rsidRPr="002261B9">
        <w:rPr>
          <w:lang w:val="es-ES"/>
        </w:rPr>
        <w:t>)</w:t>
      </w:r>
      <w:r w:rsidRPr="002261B9">
        <w:rPr>
          <w:lang w:val="es-ES"/>
        </w:rPr>
        <w:t>. Con todo, es posible que las alternativas y las mezclas alternativas muestren características peligrosas que deberían evaluarse antes de considerar la posibilidad de que esas sustancias sean alternativas idóneas.</w:t>
      </w:r>
    </w:p>
    <w:p w14:paraId="32831174" w14:textId="0B043954" w:rsidR="00C770D2" w:rsidRPr="002261B9" w:rsidRDefault="003134EC" w:rsidP="00F45508">
      <w:pPr>
        <w:pStyle w:val="Paralevel1"/>
        <w:numPr>
          <w:ilvl w:val="0"/>
          <w:numId w:val="23"/>
        </w:numPr>
        <w:tabs>
          <w:tab w:val="clear" w:pos="0"/>
        </w:tabs>
        <w:ind w:left="1247" w:firstLine="0"/>
        <w:rPr>
          <w:lang w:val="es-ES"/>
        </w:rPr>
      </w:pPr>
      <w:r w:rsidRPr="002261B9">
        <w:rPr>
          <w:lang w:val="es-ES"/>
        </w:rPr>
        <w:t>Los riesgos relacionados con la química de cadena corta se explican en detalle en las secciones</w:t>
      </w:r>
      <w:r w:rsidR="00DA2C25" w:rsidRPr="002261B9">
        <w:rPr>
          <w:lang w:val="es-ES"/>
        </w:rPr>
        <w:t> </w:t>
      </w:r>
      <w:r w:rsidR="00C770D2" w:rsidRPr="002261B9">
        <w:rPr>
          <w:lang w:val="es-ES"/>
        </w:rPr>
        <w:t>C.2.2 (</w:t>
      </w:r>
      <w:r w:rsidRPr="002261B9">
        <w:rPr>
          <w:lang w:val="es-ES"/>
        </w:rPr>
        <w:t>riesgos para la salud humana</w:t>
      </w:r>
      <w:r w:rsidR="00C770D2" w:rsidRPr="002261B9">
        <w:rPr>
          <w:lang w:val="es-ES"/>
        </w:rPr>
        <w:t xml:space="preserve">) </w:t>
      </w:r>
      <w:r w:rsidRPr="002261B9">
        <w:rPr>
          <w:lang w:val="es-ES"/>
        </w:rPr>
        <w:t>y</w:t>
      </w:r>
      <w:r w:rsidR="00C770D2" w:rsidRPr="002261B9">
        <w:rPr>
          <w:lang w:val="es-ES"/>
        </w:rPr>
        <w:t xml:space="preserve"> C.2.3 (</w:t>
      </w:r>
      <w:r w:rsidRPr="002261B9">
        <w:rPr>
          <w:lang w:val="es-ES"/>
        </w:rPr>
        <w:t>riesgos ambientales</w:t>
      </w:r>
      <w:r w:rsidR="00C770D2" w:rsidRPr="002261B9">
        <w:rPr>
          <w:lang w:val="es-ES"/>
        </w:rPr>
        <w:t xml:space="preserve">) </w:t>
      </w:r>
      <w:r w:rsidRPr="002261B9">
        <w:rPr>
          <w:lang w:val="es-ES"/>
        </w:rPr>
        <w:t>de</w:t>
      </w:r>
      <w:r w:rsidR="00C770D2" w:rsidRPr="002261B9">
        <w:rPr>
          <w:lang w:val="es-ES"/>
        </w:rPr>
        <w:t xml:space="preserve"> ECHA</w:t>
      </w:r>
      <w:r w:rsidR="004904E9" w:rsidRPr="002261B9">
        <w:rPr>
          <w:lang w:val="es-ES"/>
        </w:rPr>
        <w:t>,</w:t>
      </w:r>
      <w:r w:rsidR="006F57D4" w:rsidRPr="002261B9">
        <w:rPr>
          <w:lang w:val="es-ES"/>
        </w:rPr>
        <w:t xml:space="preserve"> 2</w:t>
      </w:r>
      <w:r w:rsidR="00C770D2" w:rsidRPr="002261B9">
        <w:rPr>
          <w:lang w:val="es-ES"/>
        </w:rPr>
        <w:t>015a</w:t>
      </w:r>
      <w:r w:rsidR="00452DB2" w:rsidRPr="002261B9">
        <w:rPr>
          <w:lang w:val="es-ES"/>
        </w:rPr>
        <w:t>)</w:t>
      </w:r>
      <w:r w:rsidR="00C770D2" w:rsidRPr="002261B9">
        <w:rPr>
          <w:lang w:val="es-ES"/>
        </w:rPr>
        <w:t xml:space="preserve">. </w:t>
      </w:r>
      <w:r w:rsidRPr="002261B9">
        <w:rPr>
          <w:lang w:val="es-ES"/>
        </w:rPr>
        <w:t xml:space="preserve">Las principales conclusiones en relación con el </w:t>
      </w:r>
      <w:r w:rsidR="00C770D2" w:rsidRPr="002261B9">
        <w:rPr>
          <w:lang w:val="es-ES"/>
        </w:rPr>
        <w:t xml:space="preserve">FTOH </w:t>
      </w:r>
      <w:r w:rsidRPr="002261B9">
        <w:rPr>
          <w:lang w:val="es-ES"/>
        </w:rPr>
        <w:t xml:space="preserve">6:2 </w:t>
      </w:r>
      <w:r w:rsidR="00C84781" w:rsidRPr="002261B9">
        <w:rPr>
          <w:lang w:val="es-ES"/>
        </w:rPr>
        <w:t xml:space="preserve">basadas en varios estudios </w:t>
      </w:r>
      <w:r w:rsidR="00C770D2" w:rsidRPr="002261B9">
        <w:rPr>
          <w:lang w:val="es-ES"/>
        </w:rPr>
        <w:t xml:space="preserve">(Lindeman </w:t>
      </w:r>
      <w:r w:rsidRPr="002261B9">
        <w:rPr>
          <w:lang w:val="es-ES"/>
        </w:rPr>
        <w:t>y otros</w:t>
      </w:r>
      <w:r w:rsidR="00935ABF" w:rsidRPr="002261B9">
        <w:rPr>
          <w:lang w:val="es-ES"/>
        </w:rPr>
        <w:t>,</w:t>
      </w:r>
      <w:r w:rsidR="00DA2C25" w:rsidRPr="002261B9">
        <w:rPr>
          <w:lang w:val="es-ES"/>
        </w:rPr>
        <w:t> </w:t>
      </w:r>
      <w:r w:rsidR="00C770D2" w:rsidRPr="002261B9">
        <w:rPr>
          <w:lang w:val="es-ES"/>
        </w:rPr>
        <w:t xml:space="preserve">2012; Maras </w:t>
      </w:r>
      <w:r w:rsidRPr="002261B9">
        <w:rPr>
          <w:lang w:val="es-ES"/>
        </w:rPr>
        <w:t>y otros</w:t>
      </w:r>
      <w:r w:rsidR="00935ABF" w:rsidRPr="002261B9">
        <w:rPr>
          <w:lang w:val="es-ES"/>
        </w:rPr>
        <w:t>,</w:t>
      </w:r>
      <w:r w:rsidR="00C770D2" w:rsidRPr="002261B9">
        <w:rPr>
          <w:lang w:val="es-ES"/>
        </w:rPr>
        <w:t xml:space="preserve"> 2006; Martin </w:t>
      </w:r>
      <w:r w:rsidRPr="002261B9">
        <w:rPr>
          <w:lang w:val="es-ES"/>
        </w:rPr>
        <w:t>y otros</w:t>
      </w:r>
      <w:r w:rsidR="00935ABF" w:rsidRPr="002261B9">
        <w:rPr>
          <w:lang w:val="es-ES"/>
        </w:rPr>
        <w:t>,</w:t>
      </w:r>
      <w:r w:rsidR="00C770D2" w:rsidRPr="002261B9">
        <w:rPr>
          <w:lang w:val="es-ES"/>
        </w:rPr>
        <w:t xml:space="preserve"> 2009; Mukerji </w:t>
      </w:r>
      <w:r w:rsidRPr="002261B9">
        <w:rPr>
          <w:lang w:val="es-ES"/>
        </w:rPr>
        <w:t>y otros</w:t>
      </w:r>
      <w:r w:rsidR="00935ABF" w:rsidRPr="002261B9">
        <w:rPr>
          <w:lang w:val="es-ES"/>
        </w:rPr>
        <w:t>,</w:t>
      </w:r>
      <w:r w:rsidR="00C770D2" w:rsidRPr="002261B9">
        <w:rPr>
          <w:lang w:val="es-ES"/>
        </w:rPr>
        <w:t xml:space="preserve"> 2015; Oda </w:t>
      </w:r>
      <w:r w:rsidRPr="002261B9">
        <w:rPr>
          <w:lang w:val="es-ES"/>
        </w:rPr>
        <w:t>y otros</w:t>
      </w:r>
      <w:r w:rsidR="00935ABF" w:rsidRPr="002261B9">
        <w:rPr>
          <w:lang w:val="es-ES"/>
        </w:rPr>
        <w:t>,</w:t>
      </w:r>
      <w:r w:rsidR="00C770D2" w:rsidRPr="002261B9">
        <w:rPr>
          <w:lang w:val="es-ES"/>
        </w:rPr>
        <w:t xml:space="preserve"> 2007; Ishibashi </w:t>
      </w:r>
      <w:r w:rsidRPr="002261B9">
        <w:rPr>
          <w:lang w:val="es-ES"/>
        </w:rPr>
        <w:t>y otros</w:t>
      </w:r>
      <w:r w:rsidR="00935ABF" w:rsidRPr="002261B9">
        <w:rPr>
          <w:lang w:val="es-ES"/>
        </w:rPr>
        <w:t>,</w:t>
      </w:r>
      <w:r w:rsidR="00C770D2" w:rsidRPr="002261B9">
        <w:rPr>
          <w:lang w:val="es-ES"/>
        </w:rPr>
        <w:t xml:space="preserve"> 2007; Vanparys </w:t>
      </w:r>
      <w:r w:rsidRPr="002261B9">
        <w:rPr>
          <w:lang w:val="es-ES"/>
        </w:rPr>
        <w:t>y otros</w:t>
      </w:r>
      <w:r w:rsidR="00935ABF" w:rsidRPr="002261B9">
        <w:rPr>
          <w:lang w:val="es-ES"/>
        </w:rPr>
        <w:t>,</w:t>
      </w:r>
      <w:r w:rsidR="00C770D2" w:rsidRPr="002261B9">
        <w:rPr>
          <w:lang w:val="es-ES"/>
        </w:rPr>
        <w:t xml:space="preserve"> 2006; </w:t>
      </w:r>
      <w:r w:rsidR="00C84781" w:rsidRPr="002261B9">
        <w:rPr>
          <w:lang w:val="es-ES"/>
        </w:rPr>
        <w:t xml:space="preserve">todos citados en </w:t>
      </w:r>
      <w:r w:rsidR="00C770D2" w:rsidRPr="002261B9">
        <w:rPr>
          <w:lang w:val="es-ES"/>
        </w:rPr>
        <w:t>ECHA</w:t>
      </w:r>
      <w:r w:rsidR="00935ABF" w:rsidRPr="002261B9">
        <w:rPr>
          <w:lang w:val="es-ES"/>
        </w:rPr>
        <w:t>,</w:t>
      </w:r>
      <w:r w:rsidR="00C770D2" w:rsidRPr="002261B9">
        <w:rPr>
          <w:lang w:val="es-ES"/>
        </w:rPr>
        <w:t xml:space="preserve"> 2015a</w:t>
      </w:r>
      <w:r w:rsidR="00DE0178" w:rsidRPr="002261B9">
        <w:rPr>
          <w:lang w:val="es-ES"/>
        </w:rPr>
        <w:t>)</w:t>
      </w:r>
      <w:r w:rsidR="00C770D2" w:rsidRPr="002261B9">
        <w:rPr>
          <w:lang w:val="es-ES"/>
        </w:rPr>
        <w:t xml:space="preserve"> </w:t>
      </w:r>
      <w:r w:rsidR="00C84781" w:rsidRPr="002261B9">
        <w:rPr>
          <w:lang w:val="es-ES"/>
        </w:rPr>
        <w:t>se describen en el documento de antecedentes de esta evaluación de la gestión de los riesgos</w:t>
      </w:r>
      <w:r w:rsidR="00C770D2" w:rsidRPr="002261B9">
        <w:rPr>
          <w:lang w:val="es-ES"/>
        </w:rPr>
        <w:t xml:space="preserve"> (</w:t>
      </w:r>
      <w:r w:rsidR="00706756" w:rsidRPr="002261B9">
        <w:rPr>
          <w:lang w:val="es-ES"/>
        </w:rPr>
        <w:t>UNEP/POPS/POPRC.13/INF/6</w:t>
      </w:r>
      <w:r w:rsidR="00DE0178" w:rsidRPr="002261B9">
        <w:rPr>
          <w:lang w:val="es-ES"/>
        </w:rPr>
        <w:t>,</w:t>
      </w:r>
      <w:r w:rsidR="00C770D2" w:rsidRPr="002261B9">
        <w:rPr>
          <w:lang w:val="es-ES"/>
        </w:rPr>
        <w:t xml:space="preserve"> </w:t>
      </w:r>
      <w:r w:rsidR="00C84781" w:rsidRPr="002261B9">
        <w:rPr>
          <w:lang w:val="es-ES"/>
        </w:rPr>
        <w:t>sección</w:t>
      </w:r>
      <w:r w:rsidR="00C770D2" w:rsidRPr="002261B9">
        <w:rPr>
          <w:lang w:val="es-ES"/>
        </w:rPr>
        <w:t xml:space="preserve"> 4).</w:t>
      </w:r>
      <w:r w:rsidR="00A60E45" w:rsidRPr="002261B9">
        <w:rPr>
          <w:lang w:val="es-ES"/>
        </w:rPr>
        <w:t xml:space="preserve"> </w:t>
      </w:r>
      <w:r w:rsidRPr="002261B9">
        <w:rPr>
          <w:lang w:val="es-ES"/>
        </w:rPr>
        <w:t>FluoroCouncil</w:t>
      </w:r>
      <w:r w:rsidR="00C84781" w:rsidRPr="002261B9">
        <w:rPr>
          <w:lang w:val="es-ES"/>
        </w:rPr>
        <w:t xml:space="preserve"> ha hecho una recopilación de otros estudios disponibles sobre los PFAS de cadena corta</w:t>
      </w:r>
      <w:r w:rsidR="00DE0178" w:rsidRPr="002261B9">
        <w:rPr>
          <w:vertAlign w:val="superscript"/>
          <w:lang w:val="es-ES"/>
        </w:rPr>
        <w:footnoteReference w:id="22"/>
      </w:r>
      <w:r w:rsidRPr="002261B9">
        <w:rPr>
          <w:lang w:val="es-ES"/>
        </w:rPr>
        <w:t>.</w:t>
      </w:r>
    </w:p>
    <w:p w14:paraId="69415832" w14:textId="6A994499" w:rsidR="00201012" w:rsidRPr="002261B9" w:rsidRDefault="003134EC" w:rsidP="00F45508">
      <w:pPr>
        <w:pStyle w:val="Paralevel1"/>
        <w:numPr>
          <w:ilvl w:val="0"/>
          <w:numId w:val="23"/>
        </w:numPr>
        <w:tabs>
          <w:tab w:val="clear" w:pos="0"/>
        </w:tabs>
        <w:ind w:left="1247" w:firstLine="0"/>
        <w:rPr>
          <w:lang w:val="es-ES"/>
        </w:rPr>
      </w:pPr>
      <w:r w:rsidRPr="002261B9">
        <w:rPr>
          <w:lang w:val="es-ES"/>
        </w:rPr>
        <w:t xml:space="preserve">El FTOH </w:t>
      </w:r>
      <w:r w:rsidR="00201012" w:rsidRPr="002261B9">
        <w:rPr>
          <w:lang w:val="es-ES"/>
        </w:rPr>
        <w:t xml:space="preserve">6:2 </w:t>
      </w:r>
      <w:r w:rsidRPr="002261B9">
        <w:rPr>
          <w:lang w:val="es-ES"/>
        </w:rPr>
        <w:t xml:space="preserve">experimentará una biotransformación que producirá </w:t>
      </w:r>
      <w:r w:rsidR="00201012" w:rsidRPr="002261B9">
        <w:rPr>
          <w:lang w:val="es-ES"/>
        </w:rPr>
        <w:t>PFCA</w:t>
      </w:r>
      <w:r w:rsidRPr="002261B9">
        <w:rPr>
          <w:lang w:val="es-ES"/>
        </w:rPr>
        <w:t xml:space="preserve"> con un contenido de </w:t>
      </w:r>
      <w:r w:rsidR="00DE0178" w:rsidRPr="002261B9">
        <w:rPr>
          <w:lang w:val="es-ES"/>
        </w:rPr>
        <w:t>tres</w:t>
      </w:r>
      <w:r w:rsidRPr="002261B9">
        <w:rPr>
          <w:lang w:val="es-ES"/>
        </w:rPr>
        <w:t xml:space="preserve"> a </w:t>
      </w:r>
      <w:r w:rsidR="00DE0178" w:rsidRPr="002261B9">
        <w:rPr>
          <w:lang w:val="es-ES"/>
        </w:rPr>
        <w:t>cinco</w:t>
      </w:r>
      <w:r w:rsidRPr="002261B9">
        <w:rPr>
          <w:lang w:val="es-ES"/>
        </w:rPr>
        <w:t xml:space="preserve"> átomos de carbono fluorado</w:t>
      </w:r>
      <w:r w:rsidR="00201012" w:rsidRPr="002261B9">
        <w:rPr>
          <w:lang w:val="es-ES"/>
        </w:rPr>
        <w:t xml:space="preserve">. </w:t>
      </w:r>
      <w:r w:rsidRPr="002261B9">
        <w:rPr>
          <w:lang w:val="es-ES"/>
        </w:rPr>
        <w:t>Estos</w:t>
      </w:r>
      <w:r w:rsidR="00201012" w:rsidRPr="002261B9">
        <w:rPr>
          <w:lang w:val="es-ES"/>
        </w:rPr>
        <w:t xml:space="preserve"> PFCA</w:t>
      </w:r>
      <w:r w:rsidRPr="002261B9">
        <w:rPr>
          <w:lang w:val="es-ES"/>
        </w:rPr>
        <w:t xml:space="preserve"> son estructuralmente parecidos al</w:t>
      </w:r>
      <w:r w:rsidR="00201012" w:rsidRPr="002261B9">
        <w:rPr>
          <w:lang w:val="es-ES"/>
        </w:rPr>
        <w:t xml:space="preserve"> PFOA, </w:t>
      </w:r>
      <w:r w:rsidRPr="002261B9">
        <w:rPr>
          <w:lang w:val="es-ES"/>
        </w:rPr>
        <w:t>y solo difieren en el número de átomos de fluorocarbonos</w:t>
      </w:r>
      <w:r w:rsidR="00201012" w:rsidRPr="002261B9">
        <w:rPr>
          <w:lang w:val="es-ES"/>
        </w:rPr>
        <w:t>.</w:t>
      </w:r>
      <w:r w:rsidR="009A4F22" w:rsidRPr="002261B9">
        <w:rPr>
          <w:lang w:val="es-ES"/>
        </w:rPr>
        <w:t xml:space="preserve"> </w:t>
      </w:r>
      <w:r w:rsidRPr="002261B9">
        <w:rPr>
          <w:lang w:val="es-ES"/>
        </w:rPr>
        <w:t xml:space="preserve">Estos </w:t>
      </w:r>
      <w:r w:rsidR="00201012" w:rsidRPr="002261B9">
        <w:rPr>
          <w:lang w:val="es-ES"/>
        </w:rPr>
        <w:t>PFCA</w:t>
      </w:r>
      <w:r w:rsidRPr="002261B9">
        <w:rPr>
          <w:lang w:val="es-ES"/>
        </w:rPr>
        <w:t xml:space="preserve"> de cadena corta son igualmente persistentes en el medio ambiente y no pueden degradar más en condiciones bióticas o anabióticas</w:t>
      </w:r>
      <w:r w:rsidR="003F39D5" w:rsidRPr="002261B9">
        <w:rPr>
          <w:lang w:val="es-ES"/>
        </w:rPr>
        <w:t xml:space="preserve"> (ECHA</w:t>
      </w:r>
      <w:r w:rsidR="00935ABF" w:rsidRPr="002261B9">
        <w:rPr>
          <w:lang w:val="es-ES"/>
        </w:rPr>
        <w:t>,</w:t>
      </w:r>
      <w:r w:rsidR="003F39D5" w:rsidRPr="002261B9">
        <w:rPr>
          <w:lang w:val="es-ES"/>
        </w:rPr>
        <w:t xml:space="preserve"> 2015a</w:t>
      </w:r>
      <w:r w:rsidR="00DE0178" w:rsidRPr="002261B9">
        <w:rPr>
          <w:lang w:val="es-ES"/>
        </w:rPr>
        <w:t>)</w:t>
      </w:r>
      <w:r w:rsidR="00201012" w:rsidRPr="002261B9">
        <w:rPr>
          <w:lang w:val="es-ES"/>
        </w:rPr>
        <w:t xml:space="preserve">. </w:t>
      </w:r>
      <w:r w:rsidRPr="002261B9">
        <w:rPr>
          <w:lang w:val="es-ES"/>
        </w:rPr>
        <w:t xml:space="preserve">No obstante, se espera que el potencial de bioacumulación de los </w:t>
      </w:r>
      <w:r w:rsidR="00201012" w:rsidRPr="002261B9">
        <w:rPr>
          <w:lang w:val="es-ES"/>
        </w:rPr>
        <w:t>PFCA</w:t>
      </w:r>
      <w:r w:rsidRPr="002261B9">
        <w:rPr>
          <w:lang w:val="es-ES"/>
        </w:rPr>
        <w:t xml:space="preserve"> con</w:t>
      </w:r>
      <w:r w:rsidR="00201012" w:rsidRPr="002261B9">
        <w:rPr>
          <w:lang w:val="es-ES"/>
        </w:rPr>
        <w:t xml:space="preserve"> &lt;7 </w:t>
      </w:r>
      <w:r w:rsidRPr="002261B9">
        <w:rPr>
          <w:lang w:val="es-ES"/>
        </w:rPr>
        <w:t>fluorocarbonos sea menor que el del</w:t>
      </w:r>
      <w:r w:rsidR="00201012" w:rsidRPr="002261B9">
        <w:rPr>
          <w:lang w:val="es-ES"/>
        </w:rPr>
        <w:t xml:space="preserve"> PFOA (Conder </w:t>
      </w:r>
      <w:r w:rsidR="00DE0178" w:rsidRPr="002261B9">
        <w:rPr>
          <w:lang w:val="es-ES"/>
        </w:rPr>
        <w:t>y otros</w:t>
      </w:r>
      <w:r w:rsidR="00935ABF" w:rsidRPr="002261B9">
        <w:rPr>
          <w:lang w:val="es-ES"/>
        </w:rPr>
        <w:t>,</w:t>
      </w:r>
      <w:r w:rsidR="00DE0178" w:rsidRPr="002261B9">
        <w:rPr>
          <w:lang w:val="es-ES"/>
        </w:rPr>
        <w:t xml:space="preserve"> </w:t>
      </w:r>
      <w:r w:rsidR="00201012" w:rsidRPr="002261B9">
        <w:rPr>
          <w:lang w:val="es-ES"/>
        </w:rPr>
        <w:t>2008</w:t>
      </w:r>
      <w:r w:rsidR="00DE0178" w:rsidRPr="002261B9">
        <w:rPr>
          <w:lang w:val="es-ES"/>
        </w:rPr>
        <w:t>)</w:t>
      </w:r>
      <w:r w:rsidR="00201012" w:rsidRPr="002261B9">
        <w:rPr>
          <w:lang w:val="es-ES"/>
        </w:rPr>
        <w:t>.</w:t>
      </w:r>
    </w:p>
    <w:p w14:paraId="0AE153D4" w14:textId="7EBF84BF" w:rsidR="00201012" w:rsidRPr="002261B9" w:rsidRDefault="003B4AD6" w:rsidP="00F45508">
      <w:pPr>
        <w:pStyle w:val="Paralevel1"/>
        <w:numPr>
          <w:ilvl w:val="0"/>
          <w:numId w:val="23"/>
        </w:numPr>
        <w:tabs>
          <w:tab w:val="clear" w:pos="0"/>
        </w:tabs>
        <w:ind w:left="1247" w:firstLine="0"/>
        <w:rPr>
          <w:lang w:val="es-ES"/>
        </w:rPr>
      </w:pPr>
      <w:r w:rsidRPr="002261B9">
        <w:rPr>
          <w:lang w:val="es-ES"/>
        </w:rPr>
        <w:t>C</w:t>
      </w:r>
      <w:r w:rsidR="003134EC" w:rsidRPr="002261B9">
        <w:rPr>
          <w:lang w:val="es-ES"/>
        </w:rPr>
        <w:t>abe esper</w:t>
      </w:r>
      <w:r w:rsidR="00DD122B" w:rsidRPr="002261B9">
        <w:rPr>
          <w:lang w:val="es-ES"/>
        </w:rPr>
        <w:t xml:space="preserve">ar que los </w:t>
      </w:r>
      <w:r w:rsidR="003134EC" w:rsidRPr="002261B9">
        <w:rPr>
          <w:lang w:val="es-ES"/>
        </w:rPr>
        <w:t>metabolito</w:t>
      </w:r>
      <w:r w:rsidR="00DD122B" w:rsidRPr="002261B9">
        <w:rPr>
          <w:lang w:val="es-ES"/>
        </w:rPr>
        <w:t xml:space="preserve">s de </w:t>
      </w:r>
      <w:r w:rsidR="00201012" w:rsidRPr="002261B9">
        <w:rPr>
          <w:lang w:val="es-ES"/>
        </w:rPr>
        <w:t xml:space="preserve">FTOH </w:t>
      </w:r>
      <w:r w:rsidR="00DD122B" w:rsidRPr="002261B9">
        <w:rPr>
          <w:lang w:val="es-ES"/>
        </w:rPr>
        <w:t>6:2 sean persistentes</w:t>
      </w:r>
      <w:r w:rsidR="00201012" w:rsidRPr="002261B9">
        <w:rPr>
          <w:lang w:val="es-ES"/>
        </w:rPr>
        <w:t xml:space="preserve">, </w:t>
      </w:r>
      <w:r w:rsidR="00DD122B" w:rsidRPr="002261B9">
        <w:rPr>
          <w:lang w:val="es-ES"/>
        </w:rPr>
        <w:t xml:space="preserve">tengan un potencial más </w:t>
      </w:r>
      <w:r w:rsidR="009E7F9A" w:rsidRPr="002261B9">
        <w:rPr>
          <w:lang w:val="es-ES"/>
        </w:rPr>
        <w:t>bajo</w:t>
      </w:r>
      <w:r w:rsidR="00DD122B" w:rsidRPr="002261B9">
        <w:rPr>
          <w:lang w:val="es-ES"/>
        </w:rPr>
        <w:t xml:space="preserve"> de bioacumulación en la biota y los seres huma</w:t>
      </w:r>
      <w:r w:rsidR="008A77E0" w:rsidRPr="002261B9">
        <w:rPr>
          <w:lang w:val="es-ES"/>
        </w:rPr>
        <w:t>no</w:t>
      </w:r>
      <w:r w:rsidR="00DD122B" w:rsidRPr="002261B9">
        <w:rPr>
          <w:lang w:val="es-ES"/>
        </w:rPr>
        <w:t xml:space="preserve">s y menos toxicidad para los organismos acuáticos que el </w:t>
      </w:r>
      <w:r w:rsidR="00201012" w:rsidRPr="002261B9">
        <w:rPr>
          <w:lang w:val="es-ES"/>
        </w:rPr>
        <w:t>PFOA (ECHA</w:t>
      </w:r>
      <w:r w:rsidR="00935ABF" w:rsidRPr="002261B9">
        <w:rPr>
          <w:lang w:val="es-ES"/>
        </w:rPr>
        <w:t>,</w:t>
      </w:r>
      <w:r w:rsidR="00201012" w:rsidRPr="002261B9">
        <w:rPr>
          <w:lang w:val="es-ES"/>
        </w:rPr>
        <w:t xml:space="preserve"> 2015a</w:t>
      </w:r>
      <w:r w:rsidR="00DE0178" w:rsidRPr="002261B9">
        <w:rPr>
          <w:lang w:val="es-ES"/>
        </w:rPr>
        <w:t>)</w:t>
      </w:r>
      <w:r w:rsidR="00201012" w:rsidRPr="002261B9">
        <w:rPr>
          <w:lang w:val="es-ES"/>
        </w:rPr>
        <w:t xml:space="preserve">. </w:t>
      </w:r>
      <w:r w:rsidR="00DD122B" w:rsidRPr="002261B9">
        <w:rPr>
          <w:lang w:val="es-ES"/>
        </w:rPr>
        <w:t xml:space="preserve">Ahora bien, los PFCA de cadena corta son más móviles que el </w:t>
      </w:r>
      <w:r w:rsidR="00201012" w:rsidRPr="002261B9">
        <w:rPr>
          <w:lang w:val="es-ES"/>
        </w:rPr>
        <w:t xml:space="preserve">PFOA </w:t>
      </w:r>
      <w:r w:rsidR="00DD122B" w:rsidRPr="002261B9">
        <w:rPr>
          <w:lang w:val="es-ES"/>
        </w:rPr>
        <w:t>en</w:t>
      </w:r>
      <w:r w:rsidR="00506E3A" w:rsidRPr="002261B9">
        <w:rPr>
          <w:lang w:val="es-ES"/>
        </w:rPr>
        <w:t> </w:t>
      </w:r>
      <w:r w:rsidR="00DD122B" w:rsidRPr="002261B9">
        <w:rPr>
          <w:lang w:val="es-ES"/>
        </w:rPr>
        <w:t>un medio acuoso</w:t>
      </w:r>
      <w:r w:rsidR="00201012" w:rsidRPr="002261B9">
        <w:rPr>
          <w:lang w:val="es-ES"/>
        </w:rPr>
        <w:t xml:space="preserve">, </w:t>
      </w:r>
      <w:r w:rsidR="00DD122B" w:rsidRPr="002261B9">
        <w:rPr>
          <w:lang w:val="es-ES"/>
        </w:rPr>
        <w:t>y posiblemente sean capaces de contaminar el agua potable</w:t>
      </w:r>
      <w:r w:rsidR="00201012" w:rsidRPr="002261B9">
        <w:rPr>
          <w:lang w:val="es-ES"/>
        </w:rPr>
        <w:t xml:space="preserve"> (Eschauzier </w:t>
      </w:r>
      <w:r w:rsidR="003134EC" w:rsidRPr="002261B9">
        <w:rPr>
          <w:lang w:val="es-ES"/>
        </w:rPr>
        <w:t>y otros</w:t>
      </w:r>
      <w:r w:rsidR="00935ABF" w:rsidRPr="002261B9">
        <w:rPr>
          <w:lang w:val="es-ES"/>
        </w:rPr>
        <w:t>,</w:t>
      </w:r>
      <w:r w:rsidR="00506E3A" w:rsidRPr="002261B9">
        <w:rPr>
          <w:lang w:val="es-ES"/>
        </w:rPr>
        <w:t> </w:t>
      </w:r>
      <w:r w:rsidR="00201012" w:rsidRPr="002261B9">
        <w:rPr>
          <w:lang w:val="es-ES"/>
        </w:rPr>
        <w:t>2013; Gellrich y otros</w:t>
      </w:r>
      <w:r w:rsidR="00A63836" w:rsidRPr="002261B9">
        <w:rPr>
          <w:lang w:val="es-ES"/>
        </w:rPr>
        <w:t xml:space="preserve">, </w:t>
      </w:r>
      <w:r w:rsidR="00201012" w:rsidRPr="002261B9">
        <w:rPr>
          <w:lang w:val="es-ES"/>
        </w:rPr>
        <w:t xml:space="preserve">2012. Asimismo, </w:t>
      </w:r>
      <w:r w:rsidR="008A77E0" w:rsidRPr="002261B9">
        <w:rPr>
          <w:lang w:val="es-ES"/>
        </w:rPr>
        <w:t>posiblemente se</w:t>
      </w:r>
      <w:r w:rsidR="003134EC" w:rsidRPr="002261B9">
        <w:rPr>
          <w:lang w:val="es-ES"/>
        </w:rPr>
        <w:t xml:space="preserve"> acumulen más en las </w:t>
      </w:r>
      <w:r w:rsidR="00201012" w:rsidRPr="002261B9">
        <w:rPr>
          <w:lang w:val="es-ES"/>
        </w:rPr>
        <w:t>verduras, que pueden ser otra vía de exposición diferente (Krippner y otros</w:t>
      </w:r>
      <w:r w:rsidR="00935ABF" w:rsidRPr="002261B9">
        <w:rPr>
          <w:lang w:val="es-ES"/>
        </w:rPr>
        <w:t>,</w:t>
      </w:r>
      <w:r w:rsidR="00201012" w:rsidRPr="002261B9">
        <w:rPr>
          <w:lang w:val="es-ES"/>
        </w:rPr>
        <w:t xml:space="preserve"> 2015; Blaine y otros</w:t>
      </w:r>
      <w:r w:rsidR="00935ABF" w:rsidRPr="002261B9">
        <w:rPr>
          <w:lang w:val="es-ES"/>
        </w:rPr>
        <w:t>,</w:t>
      </w:r>
      <w:r w:rsidR="00201012" w:rsidRPr="002261B9">
        <w:rPr>
          <w:lang w:val="es-ES"/>
        </w:rPr>
        <w:t xml:space="preserve"> 2014). </w:t>
      </w:r>
      <w:r w:rsidR="003134EC" w:rsidRPr="002261B9">
        <w:rPr>
          <w:lang w:val="es-ES"/>
        </w:rPr>
        <w:t xml:space="preserve">Los resultados de otro estudio indican que los ácidos carboxílicos fluoroteloméricos son mucho más tóxicos para los invertebrados acuáticos y las especies vegetales que sus </w:t>
      </w:r>
      <w:r w:rsidR="00201012" w:rsidRPr="002261B9">
        <w:rPr>
          <w:lang w:val="es-ES"/>
        </w:rPr>
        <w:t>PFCA</w:t>
      </w:r>
      <w:r w:rsidR="003134EC" w:rsidRPr="002261B9">
        <w:rPr>
          <w:lang w:val="es-ES"/>
        </w:rPr>
        <w:t xml:space="preserve"> correspondiente</w:t>
      </w:r>
      <w:r w:rsidR="00201012" w:rsidRPr="002261B9">
        <w:rPr>
          <w:lang w:val="es-ES"/>
        </w:rPr>
        <w:t>s</w:t>
      </w:r>
      <w:r w:rsidR="00DA2C25" w:rsidRPr="002261B9">
        <w:rPr>
          <w:lang w:val="es-ES"/>
        </w:rPr>
        <w:t xml:space="preserve"> </w:t>
      </w:r>
      <w:r w:rsidR="00201012" w:rsidRPr="002261B9">
        <w:rPr>
          <w:lang w:val="es-ES"/>
        </w:rPr>
        <w:t xml:space="preserve">(Mitchell </w:t>
      </w:r>
      <w:r w:rsidR="003134EC" w:rsidRPr="002261B9">
        <w:rPr>
          <w:lang w:val="es-ES"/>
        </w:rPr>
        <w:t>y otros</w:t>
      </w:r>
      <w:r w:rsidRPr="002261B9">
        <w:rPr>
          <w:lang w:val="es-ES"/>
        </w:rPr>
        <w:t>,</w:t>
      </w:r>
      <w:r w:rsidR="00201012" w:rsidRPr="002261B9">
        <w:rPr>
          <w:lang w:val="es-ES"/>
        </w:rPr>
        <w:t xml:space="preserve"> 2011). </w:t>
      </w:r>
      <w:r w:rsidR="003134EC" w:rsidRPr="002261B9">
        <w:rPr>
          <w:lang w:val="es-ES"/>
        </w:rPr>
        <w:t xml:space="preserve">No obstante, se debe tomar en consideración el hecho de que las concentraciones en el medio ambiente pueden cambiar con el tiempo, sobre todo si se usan cantidades mayores </w:t>
      </w:r>
      <w:r w:rsidR="00B8799D" w:rsidRPr="002261B9">
        <w:rPr>
          <w:lang w:val="es-ES"/>
        </w:rPr>
        <w:t xml:space="preserve">como resultado de </w:t>
      </w:r>
      <w:r w:rsidR="003134EC" w:rsidRPr="002261B9">
        <w:rPr>
          <w:lang w:val="es-ES"/>
        </w:rPr>
        <w:t xml:space="preserve">la eliminación del </w:t>
      </w:r>
      <w:r w:rsidR="00201012" w:rsidRPr="002261B9">
        <w:rPr>
          <w:lang w:val="es-ES"/>
        </w:rPr>
        <w:t xml:space="preserve">PFOA, </w:t>
      </w:r>
      <w:r w:rsidR="003134EC" w:rsidRPr="002261B9">
        <w:rPr>
          <w:lang w:val="es-ES"/>
        </w:rPr>
        <w:t>sus sales y las sustancias conexas del P</w:t>
      </w:r>
      <w:r w:rsidR="00201012" w:rsidRPr="002261B9">
        <w:rPr>
          <w:lang w:val="es-ES"/>
        </w:rPr>
        <w:t>FOA.</w:t>
      </w:r>
    </w:p>
    <w:p w14:paraId="0159A172" w14:textId="30DE34E7" w:rsidR="00210E75" w:rsidRPr="002261B9" w:rsidRDefault="003C315C" w:rsidP="00F45508">
      <w:pPr>
        <w:pStyle w:val="Paralevel1"/>
        <w:numPr>
          <w:ilvl w:val="0"/>
          <w:numId w:val="23"/>
        </w:numPr>
        <w:tabs>
          <w:tab w:val="clear" w:pos="0"/>
        </w:tabs>
        <w:ind w:left="1247" w:firstLine="0"/>
        <w:rPr>
          <w:lang w:val="es-ES"/>
        </w:rPr>
      </w:pPr>
      <w:r w:rsidRPr="002261B9">
        <w:rPr>
          <w:lang w:val="es-ES"/>
        </w:rPr>
        <w:t xml:space="preserve">Las características como contaminantes orgánicos persistentes plantean preocupaciones en cuanto a la idoneidad de algunas alternativas fluoradas al </w:t>
      </w:r>
      <w:r w:rsidR="00554CF1" w:rsidRPr="002261B9">
        <w:rPr>
          <w:lang w:val="es-ES"/>
        </w:rPr>
        <w:t>PFOA</w:t>
      </w:r>
      <w:r w:rsidRPr="002261B9">
        <w:rPr>
          <w:lang w:val="es-ES"/>
        </w:rPr>
        <w:t xml:space="preserve">, entre ellas </w:t>
      </w:r>
      <w:r w:rsidR="00554CF1" w:rsidRPr="002261B9">
        <w:rPr>
          <w:lang w:val="es-ES"/>
        </w:rPr>
        <w:t>PFHxS, PFHpA, PFHxA, PFBS, PFBA, FTOH</w:t>
      </w:r>
      <w:r w:rsidRPr="002261B9">
        <w:rPr>
          <w:lang w:val="es-ES"/>
        </w:rPr>
        <w:t xml:space="preserve"> 4:2</w:t>
      </w:r>
      <w:r w:rsidR="00554CF1" w:rsidRPr="002261B9">
        <w:rPr>
          <w:lang w:val="es-ES"/>
        </w:rPr>
        <w:t>, FTOH</w:t>
      </w:r>
      <w:r w:rsidRPr="002261B9">
        <w:rPr>
          <w:lang w:val="es-ES"/>
        </w:rPr>
        <w:t xml:space="preserve"> 6:2</w:t>
      </w:r>
      <w:r w:rsidR="00554CF1" w:rsidRPr="002261B9">
        <w:rPr>
          <w:lang w:val="es-ES"/>
        </w:rPr>
        <w:t xml:space="preserve">, </w:t>
      </w:r>
      <w:r w:rsidRPr="002261B9">
        <w:rPr>
          <w:lang w:val="es-ES"/>
        </w:rPr>
        <w:t>ácido fluorotelomérico 6:2</w:t>
      </w:r>
      <w:r w:rsidR="00284890" w:rsidRPr="002261B9">
        <w:rPr>
          <w:lang w:val="es-ES"/>
        </w:rPr>
        <w:t xml:space="preserve"> </w:t>
      </w:r>
      <w:r w:rsidR="00554CF1" w:rsidRPr="002261B9">
        <w:rPr>
          <w:lang w:val="es-ES"/>
        </w:rPr>
        <w:t>(FTA</w:t>
      </w:r>
      <w:r w:rsidRPr="002261B9">
        <w:rPr>
          <w:lang w:val="es-ES"/>
        </w:rPr>
        <w:t xml:space="preserve"> 6:2</w:t>
      </w:r>
      <w:r w:rsidR="00554CF1" w:rsidRPr="002261B9">
        <w:rPr>
          <w:lang w:val="es-ES"/>
        </w:rPr>
        <w:t xml:space="preserve">) </w:t>
      </w:r>
      <w:r w:rsidRPr="002261B9">
        <w:rPr>
          <w:lang w:val="es-ES"/>
        </w:rPr>
        <w:t xml:space="preserve">y </w:t>
      </w:r>
      <w:r w:rsidR="005D50AF" w:rsidRPr="002261B9">
        <w:rPr>
          <w:lang w:val="es-ES"/>
        </w:rPr>
        <w:t xml:space="preserve">sulfonato </w:t>
      </w:r>
      <w:r w:rsidR="00554CF1" w:rsidRPr="002261B9">
        <w:rPr>
          <w:lang w:val="es-ES"/>
        </w:rPr>
        <w:t>fluorotelom</w:t>
      </w:r>
      <w:r w:rsidR="005D50AF" w:rsidRPr="002261B9">
        <w:rPr>
          <w:lang w:val="es-ES"/>
        </w:rPr>
        <w:t>é</w:t>
      </w:r>
      <w:r w:rsidR="00554CF1" w:rsidRPr="002261B9">
        <w:rPr>
          <w:lang w:val="es-ES"/>
        </w:rPr>
        <w:t>r</w:t>
      </w:r>
      <w:r w:rsidR="005D50AF" w:rsidRPr="002261B9">
        <w:rPr>
          <w:lang w:val="es-ES"/>
        </w:rPr>
        <w:t>ico</w:t>
      </w:r>
      <w:r w:rsidR="00554CF1" w:rsidRPr="002261B9">
        <w:rPr>
          <w:lang w:val="es-ES"/>
        </w:rPr>
        <w:t xml:space="preserve"> </w:t>
      </w:r>
      <w:r w:rsidRPr="002261B9">
        <w:rPr>
          <w:lang w:val="es-ES"/>
        </w:rPr>
        <w:t xml:space="preserve">6:2 </w:t>
      </w:r>
      <w:r w:rsidR="00554CF1" w:rsidRPr="002261B9">
        <w:rPr>
          <w:lang w:val="es-ES"/>
        </w:rPr>
        <w:t>(FTS</w:t>
      </w:r>
      <w:r w:rsidRPr="002261B9">
        <w:rPr>
          <w:lang w:val="es-ES"/>
        </w:rPr>
        <w:t xml:space="preserve"> 6:2</w:t>
      </w:r>
      <w:r w:rsidR="00554CF1" w:rsidRPr="002261B9">
        <w:rPr>
          <w:lang w:val="es-ES"/>
        </w:rPr>
        <w:t xml:space="preserve">). </w:t>
      </w:r>
      <w:r w:rsidR="005D50AF" w:rsidRPr="002261B9">
        <w:rPr>
          <w:lang w:val="es-ES"/>
        </w:rPr>
        <w:t>Debido a sus propiedades muy persistentes y muy bioacumulativas</w:t>
      </w:r>
      <w:r w:rsidR="00554CF1" w:rsidRPr="002261B9">
        <w:rPr>
          <w:lang w:val="es-ES"/>
        </w:rPr>
        <w:t xml:space="preserve">, </w:t>
      </w:r>
      <w:r w:rsidR="005D50AF" w:rsidRPr="002261B9">
        <w:rPr>
          <w:lang w:val="es-ES"/>
        </w:rPr>
        <w:t xml:space="preserve">el </w:t>
      </w:r>
      <w:r w:rsidR="00554CF1" w:rsidRPr="002261B9">
        <w:rPr>
          <w:lang w:val="es-ES"/>
        </w:rPr>
        <w:t xml:space="preserve">PFHxS </w:t>
      </w:r>
      <w:r w:rsidR="005D50AF" w:rsidRPr="002261B9">
        <w:rPr>
          <w:lang w:val="es-ES"/>
        </w:rPr>
        <w:t xml:space="preserve">fue añadido por </w:t>
      </w:r>
      <w:r w:rsidR="009E7F9A" w:rsidRPr="002261B9">
        <w:rPr>
          <w:lang w:val="es-ES"/>
        </w:rPr>
        <w:t xml:space="preserve">unanimidad </w:t>
      </w:r>
      <w:r w:rsidR="007425F6" w:rsidRPr="002261B9">
        <w:rPr>
          <w:lang w:val="es-ES"/>
        </w:rPr>
        <w:t xml:space="preserve">por los Estados miembros de la UE </w:t>
      </w:r>
      <w:r w:rsidR="009E7F9A" w:rsidRPr="002261B9">
        <w:rPr>
          <w:lang w:val="es-ES"/>
        </w:rPr>
        <w:t>en</w:t>
      </w:r>
      <w:r w:rsidR="005D50AF" w:rsidRPr="002261B9">
        <w:rPr>
          <w:lang w:val="es-ES"/>
        </w:rPr>
        <w:t xml:space="preserve"> la lista REACH d</w:t>
      </w:r>
      <w:r w:rsidR="00554CF1" w:rsidRPr="002261B9">
        <w:rPr>
          <w:lang w:val="es-ES"/>
        </w:rPr>
        <w:t xml:space="preserve">e </w:t>
      </w:r>
      <w:r w:rsidR="005D50AF" w:rsidRPr="002261B9">
        <w:rPr>
          <w:lang w:val="es-ES"/>
        </w:rPr>
        <w:t xml:space="preserve">sustancias que </w:t>
      </w:r>
      <w:r w:rsidR="007425F6" w:rsidRPr="002261B9">
        <w:rPr>
          <w:lang w:val="es-ES"/>
        </w:rPr>
        <w:t>suscitan una gran</w:t>
      </w:r>
      <w:r w:rsidR="005D50AF" w:rsidRPr="002261B9">
        <w:rPr>
          <w:lang w:val="es-ES"/>
        </w:rPr>
        <w:t xml:space="preserve"> preocupación</w:t>
      </w:r>
      <w:r w:rsidR="00554CF1" w:rsidRPr="002261B9">
        <w:rPr>
          <w:lang w:val="es-ES"/>
        </w:rPr>
        <w:t xml:space="preserve"> (ECHA</w:t>
      </w:r>
      <w:r w:rsidR="003B4AD6" w:rsidRPr="002261B9">
        <w:rPr>
          <w:lang w:val="es-ES"/>
        </w:rPr>
        <w:t>,</w:t>
      </w:r>
      <w:r w:rsidR="00554CF1" w:rsidRPr="002261B9">
        <w:rPr>
          <w:lang w:val="es-ES"/>
        </w:rPr>
        <w:t xml:space="preserve"> 2017b). </w:t>
      </w:r>
      <w:r w:rsidR="005D50AF" w:rsidRPr="002261B9">
        <w:rPr>
          <w:lang w:val="es-ES"/>
        </w:rPr>
        <w:t>Además</w:t>
      </w:r>
      <w:r w:rsidR="00554CF1" w:rsidRPr="002261B9">
        <w:rPr>
          <w:lang w:val="es-ES"/>
        </w:rPr>
        <w:t xml:space="preserve">, </w:t>
      </w:r>
      <w:r w:rsidR="003F3A09" w:rsidRPr="002261B9">
        <w:rPr>
          <w:lang w:val="es-ES"/>
        </w:rPr>
        <w:t>Noruega</w:t>
      </w:r>
      <w:r w:rsidR="00554CF1" w:rsidRPr="002261B9">
        <w:rPr>
          <w:lang w:val="es-ES"/>
        </w:rPr>
        <w:t xml:space="preserve"> </w:t>
      </w:r>
      <w:r w:rsidR="005D50AF" w:rsidRPr="002261B9">
        <w:rPr>
          <w:lang w:val="es-ES"/>
        </w:rPr>
        <w:t xml:space="preserve">propuso recientemente la inclusión del </w:t>
      </w:r>
      <w:r w:rsidR="00554CF1" w:rsidRPr="002261B9">
        <w:rPr>
          <w:lang w:val="es-ES"/>
        </w:rPr>
        <w:t>PFHxS</w:t>
      </w:r>
      <w:r w:rsidR="005D50AF" w:rsidRPr="002261B9">
        <w:rPr>
          <w:lang w:val="es-ES"/>
        </w:rPr>
        <w:t xml:space="preserve"> en el</w:t>
      </w:r>
      <w:r w:rsidR="00554CF1" w:rsidRPr="002261B9">
        <w:rPr>
          <w:lang w:val="es-ES"/>
        </w:rPr>
        <w:t xml:space="preserve"> </w:t>
      </w:r>
      <w:r w:rsidR="00BF6525" w:rsidRPr="002261B9">
        <w:rPr>
          <w:lang w:val="es-ES"/>
        </w:rPr>
        <w:t>Convenio de Estocolmo</w:t>
      </w:r>
      <w:r w:rsidR="00554CF1" w:rsidRPr="002261B9">
        <w:rPr>
          <w:lang w:val="es-ES"/>
        </w:rPr>
        <w:t xml:space="preserve">. </w:t>
      </w:r>
      <w:r w:rsidR="005D50AF" w:rsidRPr="002261B9">
        <w:rPr>
          <w:lang w:val="es-ES"/>
        </w:rPr>
        <w:t xml:space="preserve">Estas características son motivo de preocupación </w:t>
      </w:r>
      <w:r w:rsidR="003B4AD6" w:rsidRPr="002261B9">
        <w:rPr>
          <w:lang w:val="es-ES"/>
        </w:rPr>
        <w:t xml:space="preserve">en lo que respecta al </w:t>
      </w:r>
      <w:r w:rsidR="005D50AF" w:rsidRPr="002261B9">
        <w:rPr>
          <w:lang w:val="es-ES"/>
        </w:rPr>
        <w:t>cumplimiento de</w:t>
      </w:r>
      <w:r w:rsidR="003B4AD6" w:rsidRPr="002261B9">
        <w:rPr>
          <w:lang w:val="es-ES"/>
        </w:rPr>
        <w:t xml:space="preserve"> </w:t>
      </w:r>
      <w:r w:rsidR="005D50AF" w:rsidRPr="002261B9">
        <w:rPr>
          <w:lang w:val="es-ES"/>
        </w:rPr>
        <w:t>l</w:t>
      </w:r>
      <w:r w:rsidR="003B4AD6" w:rsidRPr="002261B9">
        <w:rPr>
          <w:lang w:val="es-ES"/>
        </w:rPr>
        <w:t>os párrafos 3 y 4 del</w:t>
      </w:r>
      <w:r w:rsidR="005D50AF" w:rsidRPr="002261B9">
        <w:rPr>
          <w:lang w:val="es-ES"/>
        </w:rPr>
        <w:t xml:space="preserve"> artículo </w:t>
      </w:r>
      <w:r w:rsidR="00554CF1" w:rsidRPr="002261B9">
        <w:rPr>
          <w:lang w:val="es-ES"/>
        </w:rPr>
        <w:t xml:space="preserve">3 </w:t>
      </w:r>
      <w:r w:rsidR="008A77E0" w:rsidRPr="002261B9">
        <w:rPr>
          <w:lang w:val="es-ES"/>
        </w:rPr>
        <w:t xml:space="preserve">Se dispone de </w:t>
      </w:r>
      <w:r w:rsidR="005D50AF" w:rsidRPr="002261B9">
        <w:rPr>
          <w:lang w:val="es-ES"/>
        </w:rPr>
        <w:t xml:space="preserve">información específica y </w:t>
      </w:r>
      <w:r w:rsidR="008A77E0" w:rsidRPr="002261B9">
        <w:rPr>
          <w:lang w:val="es-ES"/>
        </w:rPr>
        <w:t>de</w:t>
      </w:r>
      <w:r w:rsidR="005D50AF" w:rsidRPr="002261B9">
        <w:rPr>
          <w:lang w:val="es-ES"/>
        </w:rPr>
        <w:t xml:space="preserve"> referencias relacionadas con los efectos perjudiciales de </w:t>
      </w:r>
      <w:r w:rsidR="003B4AD6" w:rsidRPr="002261B9">
        <w:rPr>
          <w:lang w:val="es-ES"/>
        </w:rPr>
        <w:t>est</w:t>
      </w:r>
      <w:r w:rsidR="005D50AF" w:rsidRPr="002261B9">
        <w:rPr>
          <w:lang w:val="es-ES"/>
        </w:rPr>
        <w:t>as alternativas</w:t>
      </w:r>
      <w:r w:rsidR="00554CF1" w:rsidRPr="002261B9">
        <w:rPr>
          <w:lang w:val="es-ES"/>
        </w:rPr>
        <w:t xml:space="preserve"> (UNEP/POPS/POPRC.13/INF/6</w:t>
      </w:r>
      <w:r w:rsidR="00657DAD" w:rsidRPr="002261B9">
        <w:rPr>
          <w:lang w:val="es-ES"/>
        </w:rPr>
        <w:t>,</w:t>
      </w:r>
      <w:r w:rsidR="00554CF1" w:rsidRPr="002261B9">
        <w:rPr>
          <w:lang w:val="es-ES"/>
        </w:rPr>
        <w:t xml:space="preserve"> </w:t>
      </w:r>
      <w:r w:rsidR="00657DAD" w:rsidRPr="002261B9">
        <w:rPr>
          <w:lang w:val="es-ES"/>
        </w:rPr>
        <w:t>s</w:t>
      </w:r>
      <w:r w:rsidR="00554CF1" w:rsidRPr="002261B9">
        <w:rPr>
          <w:lang w:val="es-ES"/>
        </w:rPr>
        <w:t xml:space="preserve">ección </w:t>
      </w:r>
      <w:r w:rsidR="00490671" w:rsidRPr="002261B9">
        <w:rPr>
          <w:lang w:val="es-ES"/>
        </w:rPr>
        <w:t>5</w:t>
      </w:r>
      <w:r w:rsidR="00554CF1" w:rsidRPr="002261B9">
        <w:rPr>
          <w:lang w:val="es-ES"/>
        </w:rPr>
        <w:t>).</w:t>
      </w:r>
    </w:p>
    <w:p w14:paraId="66933315" w14:textId="77777777" w:rsidR="00201012" w:rsidRPr="002261B9" w:rsidRDefault="00201012" w:rsidP="00506E3A">
      <w:pPr>
        <w:keepNext/>
        <w:keepLines/>
        <w:spacing w:after="120"/>
        <w:ind w:left="1247"/>
        <w:rPr>
          <w:b/>
          <w:i/>
          <w:sz w:val="20"/>
          <w:szCs w:val="20"/>
          <w:lang w:val="es-ES"/>
        </w:rPr>
      </w:pPr>
      <w:r w:rsidRPr="002261B9">
        <w:rPr>
          <w:b/>
          <w:i/>
          <w:sz w:val="20"/>
          <w:szCs w:val="20"/>
          <w:lang w:val="es-ES"/>
        </w:rPr>
        <w:lastRenderedPageBreak/>
        <w:t>Alternativas que no contienen flúor</w:t>
      </w:r>
    </w:p>
    <w:p w14:paraId="381B8DF6" w14:textId="4538FF63" w:rsidR="00201012" w:rsidRPr="002261B9" w:rsidRDefault="00201012" w:rsidP="00F45508">
      <w:pPr>
        <w:pStyle w:val="Paralevel1"/>
        <w:numPr>
          <w:ilvl w:val="0"/>
          <w:numId w:val="23"/>
        </w:numPr>
        <w:tabs>
          <w:tab w:val="clear" w:pos="0"/>
        </w:tabs>
        <w:ind w:left="1247" w:firstLine="0"/>
        <w:rPr>
          <w:lang w:val="es-ES"/>
        </w:rPr>
      </w:pPr>
      <w:r w:rsidRPr="002261B9">
        <w:rPr>
          <w:lang w:val="es-ES"/>
        </w:rPr>
        <w:t xml:space="preserve">Según representantes de la industria textil (VTB SWT </w:t>
      </w:r>
      <w:r w:rsidR="00657DAD" w:rsidRPr="002261B9">
        <w:rPr>
          <w:lang w:val="es-ES"/>
        </w:rPr>
        <w:t>(</w:t>
      </w:r>
      <w:r w:rsidRPr="002261B9">
        <w:rPr>
          <w:lang w:val="es-ES"/>
        </w:rPr>
        <w:t>2016</w:t>
      </w:r>
      <w:r w:rsidR="00452DB2" w:rsidRPr="002261B9">
        <w:rPr>
          <w:lang w:val="es-ES"/>
        </w:rPr>
        <w:t>)</w:t>
      </w:r>
      <w:r w:rsidRPr="002261B9">
        <w:rPr>
          <w:lang w:val="es-ES"/>
        </w:rPr>
        <w:t xml:space="preserve">, existen alternativas que no contienen flúor, entre ellas las parafinas, los siloxanos modificados alfaolefinos, las resinas de melamina modificada por ácidos grasos y los poliuretanos modificados con ácidos grasos, </w:t>
      </w:r>
      <w:r w:rsidR="00401D59" w:rsidRPr="002261B9">
        <w:rPr>
          <w:lang w:val="es-ES"/>
        </w:rPr>
        <w:t>que se usan</w:t>
      </w:r>
      <w:r w:rsidR="00506E3A" w:rsidRPr="002261B9">
        <w:rPr>
          <w:lang w:val="es-ES"/>
        </w:rPr>
        <w:t> </w:t>
      </w:r>
      <w:r w:rsidR="00401D59" w:rsidRPr="002261B9">
        <w:rPr>
          <w:lang w:val="es-ES"/>
        </w:rPr>
        <w:t>en</w:t>
      </w:r>
      <w:r w:rsidRPr="002261B9">
        <w:rPr>
          <w:lang w:val="es-ES"/>
        </w:rPr>
        <w:t xml:space="preserve"> prendas de vestir </w:t>
      </w:r>
      <w:r w:rsidR="00401D59" w:rsidRPr="002261B9">
        <w:rPr>
          <w:lang w:val="es-ES"/>
        </w:rPr>
        <w:t xml:space="preserve">ordinarias </w:t>
      </w:r>
      <w:r w:rsidRPr="002261B9">
        <w:rPr>
          <w:lang w:val="es-ES"/>
        </w:rPr>
        <w:t xml:space="preserve">y </w:t>
      </w:r>
      <w:r w:rsidR="00401D59" w:rsidRPr="002261B9">
        <w:rPr>
          <w:lang w:val="es-ES"/>
        </w:rPr>
        <w:t xml:space="preserve">para uso </w:t>
      </w:r>
      <w:r w:rsidRPr="002261B9">
        <w:rPr>
          <w:lang w:val="es-ES"/>
        </w:rPr>
        <w:t>al aire libre</w:t>
      </w:r>
      <w:r w:rsidR="00401D59" w:rsidRPr="002261B9">
        <w:rPr>
          <w:lang w:val="es-ES"/>
        </w:rPr>
        <w:t>,</w:t>
      </w:r>
      <w:r w:rsidRPr="002261B9">
        <w:rPr>
          <w:lang w:val="es-ES"/>
        </w:rPr>
        <w:t xml:space="preserve"> que tienen un bajo nivel de </w:t>
      </w:r>
      <w:r w:rsidR="004D06CB" w:rsidRPr="002261B9">
        <w:rPr>
          <w:lang w:val="es-ES"/>
        </w:rPr>
        <w:t>repelencia</w:t>
      </w:r>
      <w:r w:rsidRPr="002261B9">
        <w:rPr>
          <w:lang w:val="es-ES"/>
        </w:rPr>
        <w:t xml:space="preserve"> (VTB SWT</w:t>
      </w:r>
      <w:r w:rsidR="00935ABF" w:rsidRPr="002261B9">
        <w:rPr>
          <w:lang w:val="es-ES"/>
        </w:rPr>
        <w:t>,</w:t>
      </w:r>
      <w:r w:rsidRPr="002261B9">
        <w:rPr>
          <w:lang w:val="es-ES"/>
        </w:rPr>
        <w:t xml:space="preserve"> 2016). </w:t>
      </w:r>
      <w:r w:rsidRPr="002261B9">
        <w:rPr>
          <w:bCs/>
          <w:lang w:val="es-ES"/>
        </w:rPr>
        <w:t xml:space="preserve">En algunos casos, cuando se aplican alternativas sin flúor, no se pueden cumplir los requisitos de calidad aplicables a </w:t>
      </w:r>
      <w:r w:rsidR="00A67E2B" w:rsidRPr="002261B9">
        <w:rPr>
          <w:bCs/>
          <w:lang w:val="es-ES"/>
        </w:rPr>
        <w:t>los productos textiles</w:t>
      </w:r>
      <w:r w:rsidRPr="002261B9">
        <w:rPr>
          <w:bCs/>
          <w:lang w:val="es-ES"/>
        </w:rPr>
        <w:t xml:space="preserve"> </w:t>
      </w:r>
      <w:r w:rsidR="00D46F5C" w:rsidRPr="002261B9">
        <w:rPr>
          <w:bCs/>
          <w:lang w:val="es-ES"/>
        </w:rPr>
        <w:t xml:space="preserve">de uso </w:t>
      </w:r>
      <w:r w:rsidRPr="002261B9">
        <w:rPr>
          <w:bCs/>
          <w:lang w:val="es-ES"/>
        </w:rPr>
        <w:t xml:space="preserve">profesional, técnico y de protección debido, por ejemplo, a </w:t>
      </w:r>
      <w:r w:rsidR="004D06CB" w:rsidRPr="002261B9">
        <w:rPr>
          <w:bCs/>
          <w:lang w:val="es-ES"/>
        </w:rPr>
        <w:t>que carecen de propiedades de repelencia</w:t>
      </w:r>
      <w:r w:rsidRPr="002261B9">
        <w:rPr>
          <w:bCs/>
          <w:lang w:val="es-ES"/>
        </w:rPr>
        <w:t xml:space="preserve"> a los prod</w:t>
      </w:r>
      <w:r w:rsidR="00C804FD" w:rsidRPr="002261B9">
        <w:rPr>
          <w:bCs/>
          <w:lang w:val="es-ES"/>
        </w:rPr>
        <w:t>uctos químicos, las grasas y el </w:t>
      </w:r>
      <w:r w:rsidRPr="002261B9">
        <w:rPr>
          <w:bCs/>
          <w:lang w:val="es-ES"/>
        </w:rPr>
        <w:t xml:space="preserve">polvo o a todos ellos, no resisten suficientemente la abrasión o el lavado, sobre todo en aplicaciones de limpieza industrial y química, repelen mal el polvo seco, carecen de resistencia </w:t>
      </w:r>
      <w:r w:rsidR="00401D59" w:rsidRPr="002261B9">
        <w:rPr>
          <w:bCs/>
          <w:lang w:val="es-ES"/>
        </w:rPr>
        <w:t xml:space="preserve">tanto </w:t>
      </w:r>
      <w:r w:rsidRPr="002261B9">
        <w:rPr>
          <w:bCs/>
          <w:lang w:val="es-ES"/>
        </w:rPr>
        <w:t xml:space="preserve">a los cambios de temperatura </w:t>
      </w:r>
      <w:r w:rsidR="00401D59" w:rsidRPr="002261B9">
        <w:rPr>
          <w:bCs/>
          <w:lang w:val="es-ES"/>
        </w:rPr>
        <w:t xml:space="preserve">como </w:t>
      </w:r>
      <w:r w:rsidRPr="002261B9">
        <w:rPr>
          <w:bCs/>
          <w:lang w:val="es-ES"/>
        </w:rPr>
        <w:t>de estabilidad a los rayos UV, ya que bloquean las membranas respirables (por ejemplo, en indumentaria de protección tras algunos ciclos de lavado) o presentan</w:t>
      </w:r>
      <w:r w:rsidR="001E188E" w:rsidRPr="002261B9">
        <w:rPr>
          <w:bCs/>
          <w:lang w:val="es-ES"/>
        </w:rPr>
        <w:t xml:space="preserve"> opciones limitadas en relación</w:t>
      </w:r>
      <w:r w:rsidRPr="002261B9">
        <w:rPr>
          <w:bCs/>
          <w:lang w:val="es-ES"/>
        </w:rPr>
        <w:t xml:space="preserve"> con otros proce</w:t>
      </w:r>
      <w:r w:rsidR="00A67E2B" w:rsidRPr="002261B9">
        <w:rPr>
          <w:bCs/>
          <w:lang w:val="es-ES"/>
        </w:rPr>
        <w:t>di</w:t>
      </w:r>
      <w:r w:rsidRPr="002261B9">
        <w:rPr>
          <w:bCs/>
          <w:lang w:val="es-ES"/>
        </w:rPr>
        <w:t>mientos (VTB SWT</w:t>
      </w:r>
      <w:r w:rsidR="00935ABF" w:rsidRPr="002261B9">
        <w:rPr>
          <w:bCs/>
          <w:lang w:val="es-ES"/>
        </w:rPr>
        <w:t>,</w:t>
      </w:r>
      <w:r w:rsidRPr="002261B9">
        <w:rPr>
          <w:bCs/>
          <w:lang w:val="es-ES"/>
        </w:rPr>
        <w:t xml:space="preserve"> 2016).</w:t>
      </w:r>
      <w:r w:rsidRPr="002261B9">
        <w:rPr>
          <w:lang w:val="es-ES"/>
        </w:rPr>
        <w:t xml:space="preserve"> </w:t>
      </w:r>
    </w:p>
    <w:p w14:paraId="1421F9CD" w14:textId="0A3D7757" w:rsidR="00201012" w:rsidRPr="002261B9" w:rsidRDefault="001E188E" w:rsidP="00F45508">
      <w:pPr>
        <w:pStyle w:val="Paralevel1"/>
        <w:numPr>
          <w:ilvl w:val="0"/>
          <w:numId w:val="23"/>
        </w:numPr>
        <w:tabs>
          <w:tab w:val="clear" w:pos="0"/>
        </w:tabs>
        <w:ind w:left="1247" w:firstLine="0"/>
        <w:rPr>
          <w:lang w:val="es-ES"/>
        </w:rPr>
      </w:pPr>
      <w:r w:rsidRPr="002261B9">
        <w:rPr>
          <w:lang w:val="es-ES"/>
        </w:rPr>
        <w:t>Entre la gama de</w:t>
      </w:r>
      <w:r w:rsidR="00A42DDB" w:rsidRPr="002261B9">
        <w:rPr>
          <w:lang w:val="es-ES"/>
        </w:rPr>
        <w:t xml:space="preserve"> </w:t>
      </w:r>
      <w:r w:rsidRPr="002261B9">
        <w:rPr>
          <w:lang w:val="es-ES"/>
        </w:rPr>
        <w:t xml:space="preserve">agentes </w:t>
      </w:r>
      <w:r w:rsidR="009E7F9A" w:rsidRPr="002261B9">
        <w:rPr>
          <w:lang w:val="es-ES"/>
        </w:rPr>
        <w:t>hidrófugos</w:t>
      </w:r>
      <w:r w:rsidRPr="002261B9">
        <w:rPr>
          <w:lang w:val="es-ES"/>
        </w:rPr>
        <w:t xml:space="preserve"> y sin fluorocarbonos </w:t>
      </w:r>
      <w:r w:rsidR="00E5764C" w:rsidRPr="002261B9">
        <w:rPr>
          <w:lang w:val="es-ES"/>
        </w:rPr>
        <w:t>para el</w:t>
      </w:r>
      <w:r w:rsidR="00401D59" w:rsidRPr="002261B9">
        <w:rPr>
          <w:lang w:val="es-ES"/>
        </w:rPr>
        <w:t xml:space="preserve"> acabado </w:t>
      </w:r>
      <w:r w:rsidR="00E5764C" w:rsidRPr="002261B9">
        <w:rPr>
          <w:lang w:val="es-ES"/>
        </w:rPr>
        <w:t>de</w:t>
      </w:r>
      <w:r w:rsidRPr="002261B9">
        <w:rPr>
          <w:lang w:val="es-ES"/>
        </w:rPr>
        <w:t xml:space="preserve"> </w:t>
      </w:r>
      <w:r w:rsidR="00401D59" w:rsidRPr="002261B9">
        <w:rPr>
          <w:lang w:val="es-ES"/>
        </w:rPr>
        <w:t xml:space="preserve">productos </w:t>
      </w:r>
      <w:r w:rsidRPr="002261B9">
        <w:rPr>
          <w:lang w:val="es-ES"/>
        </w:rPr>
        <w:t xml:space="preserve">textiles </w:t>
      </w:r>
      <w:r w:rsidR="009E7F9A" w:rsidRPr="002261B9">
        <w:rPr>
          <w:lang w:val="es-ES"/>
        </w:rPr>
        <w:t>figuran</w:t>
      </w:r>
      <w:r w:rsidRPr="002261B9">
        <w:rPr>
          <w:lang w:val="es-ES"/>
        </w:rPr>
        <w:t xml:space="preserve"> productos comerciales como</w:t>
      </w:r>
      <w:r w:rsidR="00A42DDB" w:rsidRPr="002261B9">
        <w:rPr>
          <w:lang w:val="es-ES"/>
        </w:rPr>
        <w:t xml:space="preserve"> BIONIC-FINISH®ECO </w:t>
      </w:r>
      <w:r w:rsidRPr="002261B9">
        <w:rPr>
          <w:lang w:val="es-ES"/>
        </w:rPr>
        <w:t>y</w:t>
      </w:r>
      <w:r w:rsidR="00A42DDB" w:rsidRPr="002261B9">
        <w:rPr>
          <w:lang w:val="es-ES"/>
        </w:rPr>
        <w:t xml:space="preserve"> RUCO-DRY® ECO</w:t>
      </w:r>
      <w:r w:rsidR="00657DAD" w:rsidRPr="002261B9">
        <w:rPr>
          <w:lang w:val="es-ES"/>
        </w:rPr>
        <w:t>,</w:t>
      </w:r>
      <w:r w:rsidR="00A42DDB" w:rsidRPr="002261B9">
        <w:rPr>
          <w:lang w:val="es-ES"/>
        </w:rPr>
        <w:t xml:space="preserve"> </w:t>
      </w:r>
      <w:r w:rsidRPr="002261B9">
        <w:rPr>
          <w:lang w:val="es-ES"/>
        </w:rPr>
        <w:t xml:space="preserve">comercializados por </w:t>
      </w:r>
      <w:r w:rsidR="00A42DDB" w:rsidRPr="002261B9">
        <w:rPr>
          <w:lang w:val="es-ES"/>
        </w:rPr>
        <w:t>Rudolf Chemie Ltd., Geretsried/</w:t>
      </w:r>
      <w:r w:rsidRPr="002261B9">
        <w:rPr>
          <w:lang w:val="es-ES"/>
        </w:rPr>
        <w:t>Alemania</w:t>
      </w:r>
      <w:r w:rsidR="00A42DDB" w:rsidRPr="002261B9">
        <w:rPr>
          <w:lang w:val="es-ES"/>
        </w:rPr>
        <w:t>;</w:t>
      </w:r>
      <w:r w:rsidR="00284890" w:rsidRPr="002261B9">
        <w:rPr>
          <w:lang w:val="es-ES"/>
        </w:rPr>
        <w:t xml:space="preserve"> </w:t>
      </w:r>
      <w:r w:rsidR="00A42DDB" w:rsidRPr="002261B9">
        <w:rPr>
          <w:lang w:val="es-ES"/>
        </w:rPr>
        <w:t>Purtex® WR, Purtex® WA, Purtex® AP</w:t>
      </w:r>
      <w:r w:rsidR="00657DAD" w:rsidRPr="002261B9">
        <w:rPr>
          <w:lang w:val="es-ES"/>
        </w:rPr>
        <w:t>,</w:t>
      </w:r>
      <w:r w:rsidR="00A42DDB" w:rsidRPr="002261B9">
        <w:rPr>
          <w:lang w:val="es-ES"/>
        </w:rPr>
        <w:t xml:space="preserve"> </w:t>
      </w:r>
      <w:r w:rsidRPr="002261B9">
        <w:rPr>
          <w:lang w:val="es-ES"/>
        </w:rPr>
        <w:t>comercializados por el Grupo</w:t>
      </w:r>
      <w:r w:rsidR="00A42DDB" w:rsidRPr="002261B9">
        <w:rPr>
          <w:lang w:val="es-ES"/>
        </w:rPr>
        <w:t xml:space="preserve"> Freudenberg</w:t>
      </w:r>
      <w:r w:rsidR="00657DAD" w:rsidRPr="002261B9">
        <w:rPr>
          <w:lang w:val="es-ES"/>
        </w:rPr>
        <w:t xml:space="preserve"> de</w:t>
      </w:r>
      <w:r w:rsidR="00A42DDB" w:rsidRPr="002261B9">
        <w:rPr>
          <w:lang w:val="es-ES"/>
        </w:rPr>
        <w:t xml:space="preserve"> Weinheim</w:t>
      </w:r>
      <w:r w:rsidR="00657DAD" w:rsidRPr="002261B9">
        <w:rPr>
          <w:lang w:val="es-ES"/>
        </w:rPr>
        <w:t xml:space="preserve"> (</w:t>
      </w:r>
      <w:r w:rsidRPr="002261B9">
        <w:rPr>
          <w:lang w:val="es-ES"/>
        </w:rPr>
        <w:t>Alemania</w:t>
      </w:r>
      <w:r w:rsidR="00657DAD" w:rsidRPr="002261B9">
        <w:rPr>
          <w:lang w:val="es-ES"/>
        </w:rPr>
        <w:t>)</w:t>
      </w:r>
      <w:r w:rsidR="00A42DDB" w:rsidRPr="002261B9">
        <w:rPr>
          <w:lang w:val="es-ES"/>
        </w:rPr>
        <w:t xml:space="preserve">; </w:t>
      </w:r>
      <w:r w:rsidRPr="002261B9">
        <w:rPr>
          <w:lang w:val="es-ES"/>
        </w:rPr>
        <w:t>y</w:t>
      </w:r>
      <w:r w:rsidR="00A42DDB" w:rsidRPr="002261B9">
        <w:rPr>
          <w:lang w:val="es-ES"/>
        </w:rPr>
        <w:t xml:space="preserve"> ecorepel®</w:t>
      </w:r>
      <w:r w:rsidR="00657DAD" w:rsidRPr="002261B9">
        <w:rPr>
          <w:lang w:val="es-ES"/>
        </w:rPr>
        <w:t>,</w:t>
      </w:r>
      <w:r w:rsidR="00A42DDB" w:rsidRPr="002261B9">
        <w:rPr>
          <w:lang w:val="es-ES"/>
        </w:rPr>
        <w:t xml:space="preserve"> </w:t>
      </w:r>
      <w:r w:rsidRPr="002261B9">
        <w:rPr>
          <w:lang w:val="es-ES"/>
        </w:rPr>
        <w:t xml:space="preserve">comercializado por </w:t>
      </w:r>
      <w:r w:rsidR="00A42DDB" w:rsidRPr="002261B9">
        <w:rPr>
          <w:lang w:val="es-ES"/>
        </w:rPr>
        <w:t>Schoeller Tech</w:t>
      </w:r>
      <w:r w:rsidR="009E7F9A" w:rsidRPr="002261B9">
        <w:rPr>
          <w:lang w:val="es-ES"/>
        </w:rPr>
        <w:t>n</w:t>
      </w:r>
      <w:r w:rsidR="00A42DDB" w:rsidRPr="002261B9">
        <w:rPr>
          <w:lang w:val="es-ES"/>
        </w:rPr>
        <w:t xml:space="preserve">ologies AG, </w:t>
      </w:r>
      <w:r w:rsidR="00657DAD" w:rsidRPr="002261B9">
        <w:rPr>
          <w:lang w:val="es-ES"/>
        </w:rPr>
        <w:t xml:space="preserve">de </w:t>
      </w:r>
      <w:r w:rsidR="00A42DDB" w:rsidRPr="002261B9">
        <w:rPr>
          <w:lang w:val="es-ES"/>
        </w:rPr>
        <w:t>Sevelen</w:t>
      </w:r>
      <w:r w:rsidR="00657DAD" w:rsidRPr="002261B9">
        <w:rPr>
          <w:lang w:val="es-ES"/>
        </w:rPr>
        <w:t xml:space="preserve"> (</w:t>
      </w:r>
      <w:r w:rsidRPr="002261B9">
        <w:rPr>
          <w:lang w:val="es-ES"/>
        </w:rPr>
        <w:t>Suiza</w:t>
      </w:r>
      <w:r w:rsidR="00657DAD" w:rsidRPr="002261B9">
        <w:rPr>
          <w:lang w:val="es-ES"/>
        </w:rPr>
        <w:t>)</w:t>
      </w:r>
      <w:r w:rsidR="00A42DDB" w:rsidRPr="002261B9">
        <w:rPr>
          <w:lang w:val="es-ES"/>
        </w:rPr>
        <w:t xml:space="preserve"> (</w:t>
      </w:r>
      <w:r w:rsidR="00BF6525" w:rsidRPr="002261B9">
        <w:rPr>
          <w:lang w:val="es-ES"/>
        </w:rPr>
        <w:t>Convenio de Estocolmo</w:t>
      </w:r>
      <w:r w:rsidR="00935ABF" w:rsidRPr="002261B9">
        <w:rPr>
          <w:lang w:val="es-ES"/>
        </w:rPr>
        <w:t>,</w:t>
      </w:r>
      <w:r w:rsidR="00A42DDB" w:rsidRPr="002261B9">
        <w:rPr>
          <w:lang w:val="es-ES"/>
        </w:rPr>
        <w:t xml:space="preserve"> 2014).</w:t>
      </w:r>
    </w:p>
    <w:p w14:paraId="7678E25E" w14:textId="77BAC4A3" w:rsidR="00201012" w:rsidRPr="002261B9" w:rsidRDefault="00DD122B" w:rsidP="00F45508">
      <w:pPr>
        <w:pStyle w:val="Paralevel1"/>
        <w:numPr>
          <w:ilvl w:val="0"/>
          <w:numId w:val="23"/>
        </w:numPr>
        <w:tabs>
          <w:tab w:val="clear" w:pos="0"/>
        </w:tabs>
        <w:ind w:left="1247" w:firstLine="0"/>
        <w:rPr>
          <w:lang w:val="es-ES"/>
        </w:rPr>
      </w:pPr>
      <w:r w:rsidRPr="002261B9">
        <w:rPr>
          <w:lang w:val="es-ES"/>
        </w:rPr>
        <w:t xml:space="preserve">Respecto de las propiedades </w:t>
      </w:r>
      <w:r w:rsidR="00112515" w:rsidRPr="002261B9">
        <w:rPr>
          <w:lang w:val="es-ES"/>
        </w:rPr>
        <w:t>hidrófugas,</w:t>
      </w:r>
      <w:r w:rsidR="00201012" w:rsidRPr="002261B9">
        <w:rPr>
          <w:lang w:val="es-ES"/>
        </w:rPr>
        <w:t xml:space="preserve"> </w:t>
      </w:r>
      <w:r w:rsidR="00112515" w:rsidRPr="002261B9">
        <w:rPr>
          <w:lang w:val="es-ES"/>
        </w:rPr>
        <w:t xml:space="preserve">son </w:t>
      </w:r>
      <w:r w:rsidRPr="002261B9">
        <w:rPr>
          <w:lang w:val="es-ES"/>
        </w:rPr>
        <w:t xml:space="preserve">varias </w:t>
      </w:r>
      <w:r w:rsidR="00112515" w:rsidRPr="002261B9">
        <w:rPr>
          <w:lang w:val="es-ES"/>
        </w:rPr>
        <w:t xml:space="preserve">las </w:t>
      </w:r>
      <w:r w:rsidRPr="002261B9">
        <w:rPr>
          <w:lang w:val="es-ES"/>
        </w:rPr>
        <w:t>sustancias que se pueden aplicar en lugar de las sustancias muy fluoradas</w:t>
      </w:r>
      <w:r w:rsidR="00201012" w:rsidRPr="002261B9">
        <w:rPr>
          <w:lang w:val="es-ES"/>
        </w:rPr>
        <w:t xml:space="preserve">, </w:t>
      </w:r>
      <w:r w:rsidR="00DE5FCE" w:rsidRPr="002261B9">
        <w:rPr>
          <w:lang w:val="es-ES"/>
        </w:rPr>
        <w:t>aunque</w:t>
      </w:r>
      <w:r w:rsidR="00112515" w:rsidRPr="002261B9">
        <w:rPr>
          <w:lang w:val="es-ES"/>
        </w:rPr>
        <w:t xml:space="preserve"> son raras las alternativas para los agentes que repelen la grasa y el polvo</w:t>
      </w:r>
      <w:r w:rsidR="00201012" w:rsidRPr="002261B9">
        <w:rPr>
          <w:lang w:val="es-ES"/>
        </w:rPr>
        <w:t xml:space="preserve">. </w:t>
      </w:r>
      <w:r w:rsidRPr="002261B9">
        <w:rPr>
          <w:lang w:val="es-ES"/>
        </w:rPr>
        <w:t xml:space="preserve">Las alternativas hidrófugas más </w:t>
      </w:r>
      <w:r w:rsidR="00DE5FCE" w:rsidRPr="002261B9">
        <w:rPr>
          <w:lang w:val="es-ES"/>
        </w:rPr>
        <w:t xml:space="preserve">notables </w:t>
      </w:r>
      <w:r w:rsidRPr="002261B9">
        <w:rPr>
          <w:lang w:val="es-ES"/>
        </w:rPr>
        <w:t>son los agentes basados en siliconas, como los polidimetilsiloxanos (PDMS) de alto peso molecular</w:t>
      </w:r>
      <w:r w:rsidR="00201012" w:rsidRPr="002261B9">
        <w:rPr>
          <w:lang w:val="es-ES"/>
        </w:rPr>
        <w:t xml:space="preserve">, </w:t>
      </w:r>
      <w:r w:rsidRPr="002261B9">
        <w:rPr>
          <w:lang w:val="es-ES"/>
        </w:rPr>
        <w:t xml:space="preserve">las mezclas de siliconas y cloruro estearamidometilpririden </w:t>
      </w:r>
      <w:r w:rsidR="00201012" w:rsidRPr="002261B9">
        <w:rPr>
          <w:lang w:val="es-ES"/>
        </w:rPr>
        <w:t>(</w:t>
      </w:r>
      <w:r w:rsidR="00112515" w:rsidRPr="002261B9">
        <w:rPr>
          <w:lang w:val="es-ES"/>
        </w:rPr>
        <w:t xml:space="preserve">a veces en combinación con </w:t>
      </w:r>
      <w:r w:rsidR="00201012" w:rsidRPr="002261B9">
        <w:rPr>
          <w:lang w:val="es-ES"/>
        </w:rPr>
        <w:t>carbamid</w:t>
      </w:r>
      <w:r w:rsidR="00112515" w:rsidRPr="002261B9">
        <w:rPr>
          <w:lang w:val="es-ES"/>
        </w:rPr>
        <w:t>a</w:t>
      </w:r>
      <w:r w:rsidR="00201012" w:rsidRPr="002261B9">
        <w:rPr>
          <w:lang w:val="es-ES"/>
        </w:rPr>
        <w:t xml:space="preserve"> (urea)</w:t>
      </w:r>
      <w:r w:rsidR="00112515" w:rsidRPr="002261B9">
        <w:rPr>
          <w:lang w:val="es-ES"/>
        </w:rPr>
        <w:t xml:space="preserve"> y resinas de melamina</w:t>
      </w:r>
      <w:r w:rsidR="00201012" w:rsidRPr="002261B9">
        <w:rPr>
          <w:lang w:val="es-ES"/>
        </w:rPr>
        <w:t xml:space="preserve">), </w:t>
      </w:r>
      <w:r w:rsidR="00112515" w:rsidRPr="002261B9">
        <w:rPr>
          <w:lang w:val="es-ES"/>
        </w:rPr>
        <w:t>ceras y parafinas</w:t>
      </w:r>
      <w:r w:rsidR="00201012" w:rsidRPr="002261B9">
        <w:rPr>
          <w:lang w:val="es-ES"/>
        </w:rPr>
        <w:t xml:space="preserve"> (</w:t>
      </w:r>
      <w:r w:rsidR="00112515" w:rsidRPr="002261B9">
        <w:rPr>
          <w:lang w:val="es-ES"/>
        </w:rPr>
        <w:t>que, por regla general, consisten en resinas modificadas a base de melamina</w:t>
      </w:r>
      <w:r w:rsidR="00201012" w:rsidRPr="002261B9">
        <w:rPr>
          <w:lang w:val="es-ES"/>
        </w:rPr>
        <w:t xml:space="preserve">) </w:t>
      </w:r>
      <w:r w:rsidR="00112515" w:rsidRPr="002261B9">
        <w:rPr>
          <w:lang w:val="es-ES"/>
        </w:rPr>
        <w:t>y</w:t>
      </w:r>
      <w:r w:rsidR="00201012" w:rsidRPr="002261B9">
        <w:rPr>
          <w:lang w:val="es-ES"/>
        </w:rPr>
        <w:t xml:space="preserve"> dendr</w:t>
      </w:r>
      <w:r w:rsidR="00112515" w:rsidRPr="002261B9">
        <w:rPr>
          <w:lang w:val="es-ES"/>
        </w:rPr>
        <w:t>í</w:t>
      </w:r>
      <w:r w:rsidR="00201012" w:rsidRPr="002261B9">
        <w:rPr>
          <w:lang w:val="es-ES"/>
        </w:rPr>
        <w:t>mer</w:t>
      </w:r>
      <w:r w:rsidR="00112515" w:rsidRPr="002261B9">
        <w:rPr>
          <w:lang w:val="es-ES"/>
        </w:rPr>
        <w:t>o</w:t>
      </w:r>
      <w:r w:rsidR="00201012" w:rsidRPr="002261B9">
        <w:rPr>
          <w:lang w:val="es-ES"/>
        </w:rPr>
        <w:t>s</w:t>
      </w:r>
      <w:r w:rsidR="00DE5FCE" w:rsidRPr="002261B9">
        <w:rPr>
          <w:lang w:val="es-ES"/>
        </w:rPr>
        <w:t>,</w:t>
      </w:r>
      <w:r w:rsidR="00201012" w:rsidRPr="002261B9">
        <w:rPr>
          <w:lang w:val="es-ES"/>
        </w:rPr>
        <w:t xml:space="preserve"> </w:t>
      </w:r>
      <w:r w:rsidR="00112515" w:rsidRPr="002261B9">
        <w:rPr>
          <w:lang w:val="es-ES"/>
        </w:rPr>
        <w:t xml:space="preserve">que se están creando para </w:t>
      </w:r>
      <w:r w:rsidR="00401D59" w:rsidRPr="002261B9">
        <w:rPr>
          <w:lang w:val="es-ES"/>
        </w:rPr>
        <w:t>que imiten</w:t>
      </w:r>
      <w:r w:rsidR="00112515" w:rsidRPr="002261B9">
        <w:rPr>
          <w:lang w:val="es-ES"/>
        </w:rPr>
        <w:t xml:space="preserve"> la capacidad de la flor de loto de </w:t>
      </w:r>
      <w:r w:rsidR="001E188E" w:rsidRPr="002261B9">
        <w:rPr>
          <w:lang w:val="es-ES"/>
        </w:rPr>
        <w:t>repeler el agua</w:t>
      </w:r>
      <w:r w:rsidR="00201012" w:rsidRPr="002261B9">
        <w:rPr>
          <w:lang w:val="es-ES"/>
        </w:rPr>
        <w:t xml:space="preserve"> (</w:t>
      </w:r>
      <w:r w:rsidR="00A76D63" w:rsidRPr="002261B9">
        <w:rPr>
          <w:lang w:val="es-ES"/>
        </w:rPr>
        <w:t>Organismo Sueco de Productos Químicos</w:t>
      </w:r>
      <w:r w:rsidR="009D4060" w:rsidRPr="002261B9">
        <w:rPr>
          <w:lang w:val="es-ES"/>
        </w:rPr>
        <w:t>,</w:t>
      </w:r>
      <w:r w:rsidR="00201012" w:rsidRPr="002261B9">
        <w:rPr>
          <w:lang w:val="es-ES"/>
        </w:rPr>
        <w:t xml:space="preserve"> 2015).</w:t>
      </w:r>
    </w:p>
    <w:p w14:paraId="1691397F" w14:textId="7174B239" w:rsidR="00201012" w:rsidRPr="002261B9" w:rsidRDefault="00382376" w:rsidP="00F45508">
      <w:pPr>
        <w:pStyle w:val="Paralevel1"/>
        <w:numPr>
          <w:ilvl w:val="0"/>
          <w:numId w:val="23"/>
        </w:numPr>
        <w:tabs>
          <w:tab w:val="clear" w:pos="0"/>
        </w:tabs>
        <w:ind w:left="1247" w:firstLine="0"/>
        <w:rPr>
          <w:lang w:val="es-ES"/>
        </w:rPr>
      </w:pPr>
      <w:r w:rsidRPr="002261B9">
        <w:rPr>
          <w:lang w:val="es-ES"/>
        </w:rPr>
        <w:t>Según los productores, los repelentes de parafinas son emulsiones líquidas que no se deben clasificar como peligrosas para la salud</w:t>
      </w:r>
      <w:r w:rsidR="00201012" w:rsidRPr="002261B9">
        <w:rPr>
          <w:lang w:val="es-ES"/>
        </w:rPr>
        <w:t xml:space="preserve">. </w:t>
      </w:r>
      <w:r w:rsidR="00DE5FCE" w:rsidRPr="002261B9">
        <w:rPr>
          <w:lang w:val="es-ES"/>
        </w:rPr>
        <w:t>Sin embargo</w:t>
      </w:r>
      <w:r w:rsidRPr="002261B9">
        <w:rPr>
          <w:lang w:val="es-ES"/>
        </w:rPr>
        <w:t>, algunos de los ingredientes señalados parecen ser peligrosos</w:t>
      </w:r>
      <w:r w:rsidR="00201012" w:rsidRPr="002261B9">
        <w:rPr>
          <w:lang w:val="es-ES"/>
        </w:rPr>
        <w:t xml:space="preserve">. </w:t>
      </w:r>
      <w:r w:rsidRPr="002261B9">
        <w:rPr>
          <w:lang w:val="es-ES"/>
        </w:rPr>
        <w:t xml:space="preserve">El principal ingrediente en la mayoría de los productos es </w:t>
      </w:r>
      <w:r w:rsidR="00DE5FCE" w:rsidRPr="002261B9">
        <w:rPr>
          <w:lang w:val="es-ES"/>
        </w:rPr>
        <w:t xml:space="preserve">el </w:t>
      </w:r>
      <w:r w:rsidRPr="002261B9">
        <w:rPr>
          <w:lang w:val="es-ES"/>
        </w:rPr>
        <w:t>aceite</w:t>
      </w:r>
      <w:r w:rsidR="00657DAD" w:rsidRPr="002261B9">
        <w:rPr>
          <w:lang w:val="es-ES"/>
        </w:rPr>
        <w:t xml:space="preserve"> o </w:t>
      </w:r>
      <w:r w:rsidR="00DE5FCE" w:rsidRPr="002261B9">
        <w:rPr>
          <w:lang w:val="es-ES"/>
        </w:rPr>
        <w:t xml:space="preserve">la </w:t>
      </w:r>
      <w:r w:rsidRPr="002261B9">
        <w:rPr>
          <w:lang w:val="es-ES"/>
        </w:rPr>
        <w:t>cera de parafina</w:t>
      </w:r>
      <w:r w:rsidR="00201012" w:rsidRPr="002261B9">
        <w:rPr>
          <w:lang w:val="es-ES"/>
        </w:rPr>
        <w:t xml:space="preserve"> (m</w:t>
      </w:r>
      <w:r w:rsidRPr="002261B9">
        <w:rPr>
          <w:lang w:val="es-ES"/>
        </w:rPr>
        <w:t>ezclas de alcanos de cadena larga</w:t>
      </w:r>
      <w:r w:rsidR="00201012" w:rsidRPr="002261B9">
        <w:rPr>
          <w:lang w:val="es-ES"/>
        </w:rPr>
        <w:t xml:space="preserve">), </w:t>
      </w:r>
      <w:r w:rsidRPr="002261B9">
        <w:rPr>
          <w:lang w:val="es-ES"/>
        </w:rPr>
        <w:t>que se consideran inocuos en forma pura</w:t>
      </w:r>
      <w:r w:rsidR="00201012" w:rsidRPr="002261B9">
        <w:rPr>
          <w:lang w:val="es-ES"/>
        </w:rPr>
        <w:t xml:space="preserve">. </w:t>
      </w:r>
      <w:r w:rsidRPr="002261B9">
        <w:rPr>
          <w:lang w:val="es-ES"/>
        </w:rPr>
        <w:t>Algunos productos contienen también isocianatos, dipropilenglicol</w:t>
      </w:r>
      <w:r w:rsidR="00E270A4" w:rsidRPr="002261B9">
        <w:rPr>
          <w:lang w:val="es-ES"/>
        </w:rPr>
        <w:t>es</w:t>
      </w:r>
      <w:r w:rsidRPr="002261B9">
        <w:rPr>
          <w:lang w:val="es-ES"/>
        </w:rPr>
        <w:t>, sales metálicas u otras sustancias desconocidas</w:t>
      </w:r>
      <w:r w:rsidR="00201012" w:rsidRPr="002261B9">
        <w:rPr>
          <w:lang w:val="es-ES"/>
        </w:rPr>
        <w:t xml:space="preserve"> </w:t>
      </w:r>
      <w:r w:rsidRPr="002261B9">
        <w:rPr>
          <w:lang w:val="es-ES"/>
        </w:rPr>
        <w:t>que pueden ser peligrosas</w:t>
      </w:r>
      <w:r w:rsidR="00201012" w:rsidRPr="002261B9">
        <w:rPr>
          <w:lang w:val="es-ES"/>
        </w:rPr>
        <w:t xml:space="preserve">. </w:t>
      </w:r>
      <w:r w:rsidRPr="002261B9">
        <w:rPr>
          <w:lang w:val="es-ES"/>
        </w:rPr>
        <w:t>La mayoría de los component</w:t>
      </w:r>
      <w:r w:rsidR="00112515" w:rsidRPr="002261B9">
        <w:rPr>
          <w:lang w:val="es-ES"/>
        </w:rPr>
        <w:t>e</w:t>
      </w:r>
      <w:r w:rsidRPr="002261B9">
        <w:rPr>
          <w:lang w:val="es-ES"/>
        </w:rPr>
        <w:t>s</w:t>
      </w:r>
      <w:r w:rsidR="00112515" w:rsidRPr="002261B9">
        <w:rPr>
          <w:lang w:val="es-ES"/>
        </w:rPr>
        <w:t xml:space="preserve"> son fácilmente biodegradables y no se bioconcentran ni acumulan en los organismos ni en las cadenas alimentarias</w:t>
      </w:r>
      <w:r w:rsidR="00201012" w:rsidRPr="002261B9">
        <w:rPr>
          <w:lang w:val="es-ES"/>
        </w:rPr>
        <w:t xml:space="preserve">, </w:t>
      </w:r>
      <w:r w:rsidR="00DE5FCE" w:rsidRPr="002261B9">
        <w:rPr>
          <w:lang w:val="es-ES"/>
        </w:rPr>
        <w:t>mientras que</w:t>
      </w:r>
      <w:r w:rsidR="00112515" w:rsidRPr="002261B9">
        <w:rPr>
          <w:lang w:val="es-ES"/>
        </w:rPr>
        <w:t xml:space="preserve"> la toxicidad para los organismos acuáticos y terrestres es</w:t>
      </w:r>
      <w:r w:rsidR="00201012" w:rsidRPr="002261B9">
        <w:rPr>
          <w:lang w:val="es-ES"/>
        </w:rPr>
        <w:t xml:space="preserve"> insignificant</w:t>
      </w:r>
      <w:r w:rsidR="00112515" w:rsidRPr="002261B9">
        <w:rPr>
          <w:lang w:val="es-ES"/>
        </w:rPr>
        <w:t>e</w:t>
      </w:r>
      <w:r w:rsidR="00201012" w:rsidRPr="002261B9">
        <w:rPr>
          <w:lang w:val="es-ES"/>
        </w:rPr>
        <w:t xml:space="preserve">, </w:t>
      </w:r>
      <w:r w:rsidR="00FA5D12" w:rsidRPr="002261B9">
        <w:rPr>
          <w:lang w:val="es-ES"/>
        </w:rPr>
        <w:t>aun</w:t>
      </w:r>
      <w:r w:rsidR="00B8799D" w:rsidRPr="002261B9">
        <w:rPr>
          <w:lang w:val="es-ES"/>
        </w:rPr>
        <w:t xml:space="preserve"> cuando se trate</w:t>
      </w:r>
      <w:r w:rsidR="00112515" w:rsidRPr="002261B9">
        <w:rPr>
          <w:lang w:val="es-ES"/>
        </w:rPr>
        <w:t xml:space="preserve"> de concentraciones </w:t>
      </w:r>
      <w:r w:rsidR="00B8799D" w:rsidRPr="002261B9">
        <w:rPr>
          <w:lang w:val="es-ES"/>
        </w:rPr>
        <w:t>que excedan</w:t>
      </w:r>
      <w:r w:rsidR="00112515" w:rsidRPr="002261B9">
        <w:rPr>
          <w:lang w:val="es-ES"/>
        </w:rPr>
        <w:t xml:space="preserve"> la solubilidad en el agua</w:t>
      </w:r>
      <w:r w:rsidR="00201012" w:rsidRPr="002261B9">
        <w:rPr>
          <w:lang w:val="es-ES"/>
        </w:rPr>
        <w:t xml:space="preserve"> (</w:t>
      </w:r>
      <w:r w:rsidR="00B71AE6" w:rsidRPr="002261B9">
        <w:rPr>
          <w:lang w:val="es-ES"/>
        </w:rPr>
        <w:t>Organismo Danés de Protección Ambiental</w:t>
      </w:r>
      <w:r w:rsidR="009D4060" w:rsidRPr="002261B9">
        <w:rPr>
          <w:lang w:val="es-ES"/>
        </w:rPr>
        <w:t>,</w:t>
      </w:r>
      <w:r w:rsidR="00201012" w:rsidRPr="002261B9">
        <w:rPr>
          <w:lang w:val="es-ES"/>
        </w:rPr>
        <w:t xml:space="preserve"> 2015b</w:t>
      </w:r>
      <w:r w:rsidR="00657DAD" w:rsidRPr="002261B9">
        <w:rPr>
          <w:lang w:val="es-ES"/>
        </w:rPr>
        <w:t>)</w:t>
      </w:r>
      <w:r w:rsidR="00201012" w:rsidRPr="002261B9">
        <w:rPr>
          <w:lang w:val="es-ES"/>
        </w:rPr>
        <w:t xml:space="preserve">. </w:t>
      </w:r>
    </w:p>
    <w:p w14:paraId="5C576EAA" w14:textId="520DBBBE" w:rsidR="00201012" w:rsidRPr="002261B9" w:rsidRDefault="00773DE2" w:rsidP="00F45508">
      <w:pPr>
        <w:pStyle w:val="Paralevel1"/>
        <w:numPr>
          <w:ilvl w:val="0"/>
          <w:numId w:val="23"/>
        </w:numPr>
        <w:tabs>
          <w:tab w:val="clear" w:pos="0"/>
        </w:tabs>
        <w:ind w:left="1247" w:firstLine="0"/>
        <w:rPr>
          <w:lang w:val="es-ES"/>
        </w:rPr>
      </w:pPr>
      <w:r w:rsidRPr="002261B9">
        <w:rPr>
          <w:lang w:val="es-ES"/>
        </w:rPr>
        <w:t xml:space="preserve">La mayoría de las siliconas aplicadas en los agentes de impregnación de </w:t>
      </w:r>
      <w:r w:rsidR="00201012" w:rsidRPr="002261B9">
        <w:rPr>
          <w:lang w:val="es-ES"/>
        </w:rPr>
        <w:t>textile</w:t>
      </w:r>
      <w:r w:rsidRPr="002261B9">
        <w:rPr>
          <w:lang w:val="es-ES"/>
        </w:rPr>
        <w:t xml:space="preserve">s se basan en </w:t>
      </w:r>
      <w:r w:rsidR="00201012" w:rsidRPr="002261B9">
        <w:rPr>
          <w:lang w:val="es-ES"/>
        </w:rPr>
        <w:t xml:space="preserve">PDMS. </w:t>
      </w:r>
      <w:r w:rsidRPr="002261B9">
        <w:rPr>
          <w:lang w:val="es-ES"/>
        </w:rPr>
        <w:t>Son inertes y</w:t>
      </w:r>
      <w:r w:rsidR="00112515" w:rsidRPr="002261B9">
        <w:rPr>
          <w:lang w:val="es-ES"/>
        </w:rPr>
        <w:t>,</w:t>
      </w:r>
      <w:r w:rsidRPr="002261B9">
        <w:rPr>
          <w:lang w:val="es-ES"/>
        </w:rPr>
        <w:t xml:space="preserve"> en general</w:t>
      </w:r>
      <w:r w:rsidR="00112515" w:rsidRPr="002261B9">
        <w:rPr>
          <w:lang w:val="es-ES"/>
        </w:rPr>
        <w:t>,</w:t>
      </w:r>
      <w:r w:rsidRPr="002261B9">
        <w:rPr>
          <w:lang w:val="es-ES"/>
        </w:rPr>
        <w:t xml:space="preserve"> no surten efectos adversos</w:t>
      </w:r>
      <w:r w:rsidR="00201012" w:rsidRPr="002261B9">
        <w:rPr>
          <w:lang w:val="es-ES"/>
        </w:rPr>
        <w:t xml:space="preserve">. </w:t>
      </w:r>
      <w:r w:rsidRPr="002261B9">
        <w:rPr>
          <w:lang w:val="es-ES"/>
        </w:rPr>
        <w:t>Varios siloxanos, sobre todo los siloxanos cíclicos conocidos como</w:t>
      </w:r>
      <w:r w:rsidR="00201012" w:rsidRPr="002261B9">
        <w:rPr>
          <w:lang w:val="es-ES"/>
        </w:rPr>
        <w:t xml:space="preserve"> D4, D5 </w:t>
      </w:r>
      <w:r w:rsidRPr="002261B9">
        <w:rPr>
          <w:lang w:val="es-ES"/>
        </w:rPr>
        <w:t>y</w:t>
      </w:r>
      <w:r w:rsidR="00201012" w:rsidRPr="002261B9">
        <w:rPr>
          <w:lang w:val="es-ES"/>
        </w:rPr>
        <w:t xml:space="preserve"> D6 </w:t>
      </w:r>
      <w:r w:rsidRPr="002261B9">
        <w:rPr>
          <w:lang w:val="es-ES"/>
        </w:rPr>
        <w:t xml:space="preserve">y </w:t>
      </w:r>
      <w:r w:rsidR="00DE5FCE" w:rsidRPr="002261B9">
        <w:rPr>
          <w:lang w:val="es-ES"/>
        </w:rPr>
        <w:t xml:space="preserve">algunos </w:t>
      </w:r>
      <w:r w:rsidRPr="002261B9">
        <w:rPr>
          <w:lang w:val="es-ES"/>
        </w:rPr>
        <w:t>siloxanos lineales específicos</w:t>
      </w:r>
      <w:r w:rsidR="00DE5FCE" w:rsidRPr="002261B9">
        <w:rPr>
          <w:lang w:val="es-ES"/>
        </w:rPr>
        <w:t>,</w:t>
      </w:r>
      <w:r w:rsidRPr="002261B9">
        <w:rPr>
          <w:lang w:val="es-ES"/>
        </w:rPr>
        <w:t xml:space="preserve"> son productos intermedios par</w:t>
      </w:r>
      <w:r w:rsidR="00DE5FCE" w:rsidRPr="002261B9">
        <w:rPr>
          <w:lang w:val="es-ES"/>
        </w:rPr>
        <w:t>a</w:t>
      </w:r>
      <w:r w:rsidRPr="002261B9">
        <w:rPr>
          <w:lang w:val="es-ES"/>
        </w:rPr>
        <w:t xml:space="preserve"> la síntesis de polímeros de silicona usados </w:t>
      </w:r>
      <w:r w:rsidR="00DE5FCE" w:rsidRPr="002261B9">
        <w:rPr>
          <w:lang w:val="es-ES"/>
        </w:rPr>
        <w:t>en la</w:t>
      </w:r>
      <w:r w:rsidRPr="002261B9">
        <w:rPr>
          <w:lang w:val="es-ES"/>
        </w:rPr>
        <w:t xml:space="preserve"> impregnación de textiles</w:t>
      </w:r>
      <w:r w:rsidR="00201012" w:rsidRPr="002261B9">
        <w:rPr>
          <w:lang w:val="es-ES"/>
        </w:rPr>
        <w:t xml:space="preserve">. Los siloxanos son persistentes y están dispersos en todo el medio ambiente. </w:t>
      </w:r>
      <w:r w:rsidR="00DE5FCE" w:rsidRPr="002261B9">
        <w:rPr>
          <w:lang w:val="es-ES"/>
        </w:rPr>
        <w:t xml:space="preserve">En la mayoría de los casos, </w:t>
      </w:r>
      <w:r w:rsidR="00201012" w:rsidRPr="002261B9">
        <w:rPr>
          <w:lang w:val="es-ES"/>
        </w:rPr>
        <w:t>se detecta</w:t>
      </w:r>
      <w:r w:rsidR="00657DAD" w:rsidRPr="002261B9">
        <w:rPr>
          <w:lang w:val="es-ES"/>
        </w:rPr>
        <w:t>n</w:t>
      </w:r>
      <w:r w:rsidR="00201012" w:rsidRPr="002261B9">
        <w:rPr>
          <w:lang w:val="es-ES"/>
        </w:rPr>
        <w:t xml:space="preserve"> en las zonas urbanas y en el medio acuático. Se han encontrado niveles elevados en el hígado de peces que han sido capturados cerca de los desagües de las plantas de tratamiento de aguas residuales. Por regla general, los siloxanos se extraen de la fase acuosa mediante sedimentación, y exhiben una larga vida media en los sedimentos. En </w:t>
      </w:r>
      <w:r w:rsidR="00B8799D" w:rsidRPr="002261B9">
        <w:rPr>
          <w:lang w:val="es-ES"/>
        </w:rPr>
        <w:t xml:space="preserve">el </w:t>
      </w:r>
      <w:r w:rsidR="00201012" w:rsidRPr="002261B9">
        <w:rPr>
          <w:lang w:val="es-ES"/>
        </w:rPr>
        <w:t>suelo, los siloxanos se transforman</w:t>
      </w:r>
      <w:r w:rsidR="00B8799D" w:rsidRPr="002261B9">
        <w:rPr>
          <w:lang w:val="es-ES"/>
        </w:rPr>
        <w:t>,</w:t>
      </w:r>
      <w:r w:rsidR="00201012" w:rsidRPr="002261B9">
        <w:rPr>
          <w:lang w:val="es-ES"/>
        </w:rPr>
        <w:t xml:space="preserve"> según las condiciones</w:t>
      </w:r>
      <w:r w:rsidR="00B8799D" w:rsidRPr="002261B9">
        <w:rPr>
          <w:lang w:val="es-ES"/>
        </w:rPr>
        <w:t>,</w:t>
      </w:r>
      <w:r w:rsidR="00201012" w:rsidRPr="002261B9">
        <w:rPr>
          <w:lang w:val="es-ES"/>
        </w:rPr>
        <w:t xml:space="preserve"> en </w:t>
      </w:r>
      <w:r w:rsidR="00FA5D12" w:rsidRPr="002261B9">
        <w:rPr>
          <w:lang w:val="es-ES"/>
        </w:rPr>
        <w:t>hidroxilos</w:t>
      </w:r>
      <w:r w:rsidR="00201012" w:rsidRPr="002261B9">
        <w:rPr>
          <w:lang w:val="es-ES"/>
        </w:rPr>
        <w:t xml:space="preserve">, que </w:t>
      </w:r>
      <w:r w:rsidR="00FA5D12" w:rsidRPr="002261B9">
        <w:rPr>
          <w:lang w:val="es-ES"/>
        </w:rPr>
        <w:t>incluso</w:t>
      </w:r>
      <w:r w:rsidR="00201012" w:rsidRPr="002261B9">
        <w:rPr>
          <w:lang w:val="es-ES"/>
        </w:rPr>
        <w:t xml:space="preserve"> pueden ser persistentes (Organismo Danés de Protección Ambiental</w:t>
      </w:r>
      <w:r w:rsidR="004904E9" w:rsidRPr="002261B9">
        <w:rPr>
          <w:lang w:val="es-ES"/>
        </w:rPr>
        <w:t>,</w:t>
      </w:r>
      <w:r w:rsidR="006F57D4" w:rsidRPr="002261B9">
        <w:rPr>
          <w:lang w:val="es-ES"/>
        </w:rPr>
        <w:t xml:space="preserve"> 2</w:t>
      </w:r>
      <w:r w:rsidR="00201012" w:rsidRPr="002261B9">
        <w:rPr>
          <w:lang w:val="es-ES"/>
        </w:rPr>
        <w:t>015b</w:t>
      </w:r>
      <w:r w:rsidR="00657DAD" w:rsidRPr="002261B9">
        <w:rPr>
          <w:lang w:val="es-ES"/>
        </w:rPr>
        <w:t>)</w:t>
      </w:r>
      <w:r w:rsidR="00201012" w:rsidRPr="002261B9">
        <w:rPr>
          <w:lang w:val="es-ES"/>
        </w:rPr>
        <w:t>; para más información, véa</w:t>
      </w:r>
      <w:r w:rsidR="00033E30" w:rsidRPr="002261B9">
        <w:rPr>
          <w:lang w:val="es-ES"/>
        </w:rPr>
        <w:t>n</w:t>
      </w:r>
      <w:r w:rsidR="00201012" w:rsidRPr="002261B9">
        <w:rPr>
          <w:lang w:val="es-ES"/>
        </w:rPr>
        <w:t>se también P05</w:t>
      </w:r>
      <w:r w:rsidR="009D4060" w:rsidRPr="002261B9">
        <w:rPr>
          <w:lang w:val="es-ES"/>
        </w:rPr>
        <w:t>,</w:t>
      </w:r>
      <w:r w:rsidR="00201012" w:rsidRPr="002261B9">
        <w:rPr>
          <w:lang w:val="es-ES"/>
        </w:rPr>
        <w:t xml:space="preserve"> 2012 y Davies</w:t>
      </w:r>
      <w:r w:rsidR="009D4060" w:rsidRPr="002261B9">
        <w:rPr>
          <w:lang w:val="es-ES"/>
        </w:rPr>
        <w:t>,</w:t>
      </w:r>
      <w:r w:rsidR="00201012" w:rsidRPr="002261B9">
        <w:rPr>
          <w:lang w:val="es-ES"/>
        </w:rPr>
        <w:t xml:space="preserve"> 2014).</w:t>
      </w:r>
      <w:r w:rsidR="00E1011E" w:rsidRPr="002261B9">
        <w:rPr>
          <w:lang w:val="es-ES"/>
        </w:rPr>
        <w:t xml:space="preserve"> </w:t>
      </w:r>
      <w:r w:rsidR="009D4060" w:rsidRPr="002261B9">
        <w:rPr>
          <w:lang w:val="es-ES"/>
        </w:rPr>
        <w:t xml:space="preserve">En el Canadá se ha llegado a la conclusión de que el D4 está siendo liberado al medio ambiente en cantidades o concentraciones, o en condiciones, que tienen </w:t>
      </w:r>
      <w:r w:rsidR="00DA2C25" w:rsidRPr="002261B9">
        <w:rPr>
          <w:lang w:val="es-ES"/>
        </w:rPr>
        <w:t>–</w:t>
      </w:r>
      <w:r w:rsidR="009D4060" w:rsidRPr="002261B9">
        <w:rPr>
          <w:lang w:val="es-ES"/>
        </w:rPr>
        <w:t>o podrían tener</w:t>
      </w:r>
      <w:r w:rsidR="00DA2C25" w:rsidRPr="002261B9">
        <w:rPr>
          <w:lang w:val="es-ES"/>
        </w:rPr>
        <w:t>–</w:t>
      </w:r>
      <w:r w:rsidR="009D4060" w:rsidRPr="002261B9">
        <w:rPr>
          <w:lang w:val="es-ES"/>
        </w:rPr>
        <w:t xml:space="preserve"> efectos perjudiciales a plazos medio o largo en el medio ambiente o su diversidad biológica.</w:t>
      </w:r>
    </w:p>
    <w:p w14:paraId="213D4C12" w14:textId="480B1F17" w:rsidR="00201012" w:rsidRPr="002261B9" w:rsidRDefault="00773DE2" w:rsidP="00F45508">
      <w:pPr>
        <w:pStyle w:val="Paralevel1"/>
        <w:numPr>
          <w:ilvl w:val="0"/>
          <w:numId w:val="23"/>
        </w:numPr>
        <w:tabs>
          <w:tab w:val="clear" w:pos="0"/>
        </w:tabs>
        <w:ind w:left="1247" w:firstLine="0"/>
        <w:rPr>
          <w:lang w:val="es-ES"/>
        </w:rPr>
      </w:pPr>
      <w:r w:rsidRPr="002261B9">
        <w:rPr>
          <w:lang w:val="es-ES"/>
        </w:rPr>
        <w:t xml:space="preserve">Por lo que respecta a los repelentes a base de </w:t>
      </w:r>
      <w:r w:rsidR="00201012" w:rsidRPr="002261B9">
        <w:rPr>
          <w:lang w:val="es-ES"/>
        </w:rPr>
        <w:t>dendr</w:t>
      </w:r>
      <w:r w:rsidR="001E188E" w:rsidRPr="002261B9">
        <w:rPr>
          <w:lang w:val="es-ES"/>
        </w:rPr>
        <w:t>í</w:t>
      </w:r>
      <w:r w:rsidR="00201012" w:rsidRPr="002261B9">
        <w:rPr>
          <w:lang w:val="es-ES"/>
        </w:rPr>
        <w:t>mer</w:t>
      </w:r>
      <w:r w:rsidR="001E188E" w:rsidRPr="002261B9">
        <w:rPr>
          <w:lang w:val="es-ES"/>
        </w:rPr>
        <w:t>os</w:t>
      </w:r>
      <w:r w:rsidRPr="002261B9">
        <w:rPr>
          <w:lang w:val="es-ES"/>
        </w:rPr>
        <w:t>, no hay datos sobre las propiedades de las sustancias activas y otros componentes</w:t>
      </w:r>
      <w:r w:rsidR="00B8799D" w:rsidRPr="002261B9">
        <w:rPr>
          <w:lang w:val="es-ES"/>
        </w:rPr>
        <w:t xml:space="preserve"> que afecten </w:t>
      </w:r>
      <w:r w:rsidR="004C5E13" w:rsidRPr="002261B9">
        <w:rPr>
          <w:lang w:val="es-ES"/>
        </w:rPr>
        <w:t xml:space="preserve">a </w:t>
      </w:r>
      <w:r w:rsidR="00B8799D" w:rsidRPr="002261B9">
        <w:rPr>
          <w:lang w:val="es-ES"/>
        </w:rPr>
        <w:t>la salud</w:t>
      </w:r>
      <w:r w:rsidR="00201012" w:rsidRPr="002261B9">
        <w:rPr>
          <w:lang w:val="es-ES"/>
        </w:rPr>
        <w:t xml:space="preserve">, </w:t>
      </w:r>
      <w:r w:rsidRPr="002261B9">
        <w:rPr>
          <w:lang w:val="es-ES"/>
        </w:rPr>
        <w:t xml:space="preserve">pero los fabricantes de productos comerciales han proporcionado datos </w:t>
      </w:r>
      <w:r w:rsidR="00DE5FCE" w:rsidRPr="002261B9">
        <w:rPr>
          <w:lang w:val="es-ES"/>
        </w:rPr>
        <w:t xml:space="preserve">relacionados con la </w:t>
      </w:r>
      <w:r w:rsidRPr="002261B9">
        <w:rPr>
          <w:lang w:val="es-ES"/>
        </w:rPr>
        <w:t>salud en l</w:t>
      </w:r>
      <w:r w:rsidR="00D212C4" w:rsidRPr="002261B9">
        <w:rPr>
          <w:lang w:val="es-ES"/>
        </w:rPr>
        <w:t>a</w:t>
      </w:r>
      <w:r w:rsidRPr="002261B9">
        <w:rPr>
          <w:lang w:val="es-ES"/>
        </w:rPr>
        <w:t xml:space="preserve">s </w:t>
      </w:r>
      <w:r w:rsidR="00CC135C" w:rsidRPr="002261B9">
        <w:rPr>
          <w:lang w:val="es-ES"/>
        </w:rPr>
        <w:t>f</w:t>
      </w:r>
      <w:r w:rsidR="00D212C4" w:rsidRPr="002261B9">
        <w:rPr>
          <w:lang w:val="es-ES"/>
        </w:rPr>
        <w:t>ichas de datos sobre seguridad de los materiales</w:t>
      </w:r>
      <w:r w:rsidR="00201012" w:rsidRPr="002261B9">
        <w:rPr>
          <w:lang w:val="es-ES"/>
        </w:rPr>
        <w:t xml:space="preserve"> </w:t>
      </w:r>
      <w:r w:rsidRPr="002261B9">
        <w:rPr>
          <w:lang w:val="es-ES"/>
        </w:rPr>
        <w:t>y han formulado algunas propuestas para la clasificación del producto</w:t>
      </w:r>
      <w:r w:rsidR="00201012" w:rsidRPr="002261B9">
        <w:rPr>
          <w:lang w:val="es-ES"/>
        </w:rPr>
        <w:t>.</w:t>
      </w:r>
      <w:r w:rsidRPr="002261B9">
        <w:rPr>
          <w:lang w:val="es-ES"/>
        </w:rPr>
        <w:t xml:space="preserve"> Según la información recibida de los productores, estos productos no deberían clasificarse entre los peligrosos para el medio ambiente</w:t>
      </w:r>
      <w:r w:rsidR="004D2A2C" w:rsidRPr="002261B9">
        <w:rPr>
          <w:lang w:val="es-ES"/>
        </w:rPr>
        <w:t xml:space="preserve">, </w:t>
      </w:r>
      <w:r w:rsidRPr="002261B9">
        <w:rPr>
          <w:lang w:val="es-ES"/>
        </w:rPr>
        <w:t>aunque la información disponible</w:t>
      </w:r>
      <w:r w:rsidR="00DE5FCE" w:rsidRPr="002261B9">
        <w:rPr>
          <w:lang w:val="es-ES"/>
        </w:rPr>
        <w:t xml:space="preserve"> no permite </w:t>
      </w:r>
      <w:r w:rsidR="004C5E13" w:rsidRPr="002261B9">
        <w:rPr>
          <w:lang w:val="es-ES"/>
        </w:rPr>
        <w:t>sopesar</w:t>
      </w:r>
      <w:r w:rsidR="00DE5FCE" w:rsidRPr="002261B9">
        <w:rPr>
          <w:lang w:val="es-ES"/>
        </w:rPr>
        <w:t xml:space="preserve"> esa afirmación</w:t>
      </w:r>
      <w:r w:rsidR="004D2A2C" w:rsidRPr="002261B9">
        <w:rPr>
          <w:lang w:val="es-ES"/>
        </w:rPr>
        <w:t xml:space="preserve"> (</w:t>
      </w:r>
      <w:r w:rsidR="0079164D" w:rsidRPr="002261B9">
        <w:rPr>
          <w:lang w:val="es-ES"/>
        </w:rPr>
        <w:t xml:space="preserve">Organismo </w:t>
      </w:r>
      <w:r w:rsidR="00B71AE6" w:rsidRPr="002261B9">
        <w:rPr>
          <w:lang w:val="es-ES"/>
        </w:rPr>
        <w:t xml:space="preserve">Danés </w:t>
      </w:r>
      <w:r w:rsidR="0079164D" w:rsidRPr="002261B9">
        <w:rPr>
          <w:lang w:val="es-ES"/>
        </w:rPr>
        <w:t>de Protección Ambiental</w:t>
      </w:r>
      <w:r w:rsidR="00B71AE6" w:rsidRPr="002261B9">
        <w:rPr>
          <w:lang w:val="es-ES"/>
        </w:rPr>
        <w:t>,</w:t>
      </w:r>
      <w:r w:rsidR="006F57D4" w:rsidRPr="002261B9">
        <w:rPr>
          <w:lang w:val="es-ES"/>
        </w:rPr>
        <w:t xml:space="preserve"> 2</w:t>
      </w:r>
      <w:r w:rsidR="004D2A2C" w:rsidRPr="002261B9">
        <w:rPr>
          <w:lang w:val="es-ES"/>
        </w:rPr>
        <w:t>015b</w:t>
      </w:r>
      <w:r w:rsidR="00452DB2" w:rsidRPr="002261B9">
        <w:rPr>
          <w:lang w:val="es-ES"/>
        </w:rPr>
        <w:t>)</w:t>
      </w:r>
      <w:r w:rsidRPr="002261B9">
        <w:rPr>
          <w:lang w:val="es-ES"/>
        </w:rPr>
        <w:t xml:space="preserve">. </w:t>
      </w:r>
      <w:r w:rsidR="00DE5FCE" w:rsidRPr="002261B9">
        <w:rPr>
          <w:lang w:val="es-ES"/>
        </w:rPr>
        <w:t>No se especificó suficientemente l</w:t>
      </w:r>
      <w:r w:rsidRPr="002261B9">
        <w:rPr>
          <w:lang w:val="es-ES"/>
        </w:rPr>
        <w:t>a composici</w:t>
      </w:r>
      <w:r w:rsidR="00DE5FCE" w:rsidRPr="002261B9">
        <w:rPr>
          <w:lang w:val="es-ES"/>
        </w:rPr>
        <w:t>ó</w:t>
      </w:r>
      <w:r w:rsidRPr="002261B9">
        <w:rPr>
          <w:lang w:val="es-ES"/>
        </w:rPr>
        <w:t xml:space="preserve">n de </w:t>
      </w:r>
      <w:r w:rsidR="00DE5FCE" w:rsidRPr="002261B9">
        <w:rPr>
          <w:lang w:val="es-ES"/>
        </w:rPr>
        <w:t>es</w:t>
      </w:r>
      <w:r w:rsidRPr="002261B9">
        <w:rPr>
          <w:lang w:val="es-ES"/>
        </w:rPr>
        <w:t xml:space="preserve">os productos para </w:t>
      </w:r>
      <w:r w:rsidR="00DE5FCE" w:rsidRPr="002261B9">
        <w:rPr>
          <w:lang w:val="es-ES"/>
        </w:rPr>
        <w:t xml:space="preserve">poder </w:t>
      </w:r>
      <w:r w:rsidRPr="002261B9">
        <w:rPr>
          <w:lang w:val="es-ES"/>
        </w:rPr>
        <w:t xml:space="preserve">hacer una evaluación, pero algunos de </w:t>
      </w:r>
      <w:r w:rsidR="00DE5FCE" w:rsidRPr="002261B9">
        <w:rPr>
          <w:lang w:val="es-ES"/>
        </w:rPr>
        <w:t>el</w:t>
      </w:r>
      <w:r w:rsidRPr="002261B9">
        <w:rPr>
          <w:lang w:val="es-ES"/>
        </w:rPr>
        <w:t>los contienen siloxanos desconocidos, polímeros catiónicos</w:t>
      </w:r>
      <w:r w:rsidR="00201012" w:rsidRPr="002261B9">
        <w:rPr>
          <w:lang w:val="es-ES"/>
        </w:rPr>
        <w:t>, isoc</w:t>
      </w:r>
      <w:r w:rsidRPr="002261B9">
        <w:rPr>
          <w:lang w:val="es-ES"/>
        </w:rPr>
        <w:t>ianatos</w:t>
      </w:r>
      <w:r w:rsidR="00201012" w:rsidRPr="002261B9">
        <w:rPr>
          <w:lang w:val="es-ES"/>
        </w:rPr>
        <w:t xml:space="preserve"> o</w:t>
      </w:r>
      <w:r w:rsidRPr="002261B9">
        <w:rPr>
          <w:lang w:val="es-ES"/>
        </w:rPr>
        <w:t xml:space="preserve"> ácidos orgánicos irritantes</w:t>
      </w:r>
      <w:r w:rsidR="00201012" w:rsidRPr="002261B9">
        <w:rPr>
          <w:lang w:val="es-ES"/>
        </w:rPr>
        <w:t xml:space="preserve">. </w:t>
      </w:r>
      <w:r w:rsidR="00D75A13" w:rsidRPr="002261B9">
        <w:rPr>
          <w:lang w:val="es-ES"/>
        </w:rPr>
        <w:t xml:space="preserve">Para resumir, la información sobre este grupo de productos químicos </w:t>
      </w:r>
      <w:r w:rsidR="00DE5FCE" w:rsidRPr="002261B9">
        <w:rPr>
          <w:lang w:val="es-ES"/>
        </w:rPr>
        <w:t xml:space="preserve">es insuficiente </w:t>
      </w:r>
      <w:r w:rsidR="00D75A13" w:rsidRPr="002261B9">
        <w:rPr>
          <w:lang w:val="es-ES"/>
        </w:rPr>
        <w:t xml:space="preserve">para hacer una evaluación </w:t>
      </w:r>
      <w:r w:rsidR="00DE5FCE" w:rsidRPr="002261B9">
        <w:rPr>
          <w:lang w:val="es-ES"/>
        </w:rPr>
        <w:t>sobre</w:t>
      </w:r>
      <w:r w:rsidR="00D75A13" w:rsidRPr="002261B9">
        <w:rPr>
          <w:lang w:val="es-ES"/>
        </w:rPr>
        <w:t xml:space="preserve"> </w:t>
      </w:r>
      <w:r w:rsidR="00D75A13" w:rsidRPr="002261B9">
        <w:rPr>
          <w:lang w:val="es-ES"/>
        </w:rPr>
        <w:lastRenderedPageBreak/>
        <w:t>los posibles efectos en la salud de los agentes de impregnación</w:t>
      </w:r>
      <w:r w:rsidR="00201012" w:rsidRPr="002261B9">
        <w:rPr>
          <w:lang w:val="es-ES"/>
        </w:rPr>
        <w:t xml:space="preserve"> </w:t>
      </w:r>
      <w:r w:rsidR="004D2A2C" w:rsidRPr="002261B9">
        <w:rPr>
          <w:lang w:val="es-ES"/>
        </w:rPr>
        <w:t>(</w:t>
      </w:r>
      <w:r w:rsidRPr="002261B9">
        <w:rPr>
          <w:lang w:val="es-ES"/>
        </w:rPr>
        <w:t xml:space="preserve">para más información, </w:t>
      </w:r>
      <w:r w:rsidR="00F13B21" w:rsidRPr="002261B9">
        <w:rPr>
          <w:lang w:val="es-ES"/>
        </w:rPr>
        <w:t>véa</w:t>
      </w:r>
      <w:r w:rsidR="00490671" w:rsidRPr="002261B9">
        <w:rPr>
          <w:lang w:val="es-ES"/>
        </w:rPr>
        <w:t>n</w:t>
      </w:r>
      <w:r w:rsidR="00F13B21" w:rsidRPr="002261B9">
        <w:rPr>
          <w:lang w:val="es-ES"/>
        </w:rPr>
        <w:t>se</w:t>
      </w:r>
      <w:r w:rsidR="00EB570E" w:rsidRPr="002261B9">
        <w:rPr>
          <w:lang w:val="es-ES"/>
        </w:rPr>
        <w:t xml:space="preserve"> </w:t>
      </w:r>
      <w:r w:rsidR="00D212C4" w:rsidRPr="002261B9">
        <w:rPr>
          <w:lang w:val="es-ES"/>
        </w:rPr>
        <w:t>también</w:t>
      </w:r>
      <w:r w:rsidR="00506E3A" w:rsidRPr="002261B9">
        <w:rPr>
          <w:lang w:val="es-ES"/>
        </w:rPr>
        <w:t> </w:t>
      </w:r>
      <w:r w:rsidR="00EB570E" w:rsidRPr="002261B9">
        <w:rPr>
          <w:lang w:val="es-ES"/>
        </w:rPr>
        <w:t>P05</w:t>
      </w:r>
      <w:r w:rsidR="009D4060" w:rsidRPr="002261B9">
        <w:rPr>
          <w:lang w:val="es-ES"/>
        </w:rPr>
        <w:t>,</w:t>
      </w:r>
      <w:r w:rsidR="00506E3A" w:rsidRPr="002261B9">
        <w:rPr>
          <w:lang w:val="es-ES"/>
        </w:rPr>
        <w:t xml:space="preserve"> </w:t>
      </w:r>
      <w:r w:rsidR="00EB570E" w:rsidRPr="002261B9">
        <w:rPr>
          <w:lang w:val="es-ES"/>
        </w:rPr>
        <w:t xml:space="preserve">2012 </w:t>
      </w:r>
      <w:r w:rsidRPr="002261B9">
        <w:rPr>
          <w:lang w:val="es-ES"/>
        </w:rPr>
        <w:t>y</w:t>
      </w:r>
      <w:r w:rsidR="00EB570E" w:rsidRPr="002261B9">
        <w:rPr>
          <w:lang w:val="es-ES"/>
        </w:rPr>
        <w:t xml:space="preserve"> Davies</w:t>
      </w:r>
      <w:r w:rsidR="009D4060" w:rsidRPr="002261B9">
        <w:rPr>
          <w:lang w:val="es-ES"/>
        </w:rPr>
        <w:t>,</w:t>
      </w:r>
      <w:r w:rsidR="00EB570E" w:rsidRPr="002261B9">
        <w:rPr>
          <w:lang w:val="es-ES"/>
        </w:rPr>
        <w:t xml:space="preserve"> 2014</w:t>
      </w:r>
      <w:r w:rsidR="00201012" w:rsidRPr="002261B9">
        <w:rPr>
          <w:lang w:val="es-ES"/>
        </w:rPr>
        <w:t xml:space="preserve">. </w:t>
      </w:r>
    </w:p>
    <w:p w14:paraId="479C1FFC" w14:textId="014DD15A" w:rsidR="0033707D" w:rsidRPr="002261B9" w:rsidRDefault="00935EE3" w:rsidP="00F45508">
      <w:pPr>
        <w:pStyle w:val="Paralevel1"/>
        <w:numPr>
          <w:ilvl w:val="0"/>
          <w:numId w:val="23"/>
        </w:numPr>
        <w:tabs>
          <w:tab w:val="clear" w:pos="0"/>
        </w:tabs>
        <w:ind w:left="1247" w:firstLine="0"/>
        <w:rPr>
          <w:lang w:val="es-ES"/>
        </w:rPr>
      </w:pPr>
      <w:r w:rsidRPr="002261B9">
        <w:rPr>
          <w:lang w:val="es-ES"/>
        </w:rPr>
        <w:t xml:space="preserve">En un estudio reciente se señaló que las alternativas químicas </w:t>
      </w:r>
      <w:r w:rsidR="00773DE2" w:rsidRPr="002261B9">
        <w:rPr>
          <w:lang w:val="es-ES"/>
        </w:rPr>
        <w:t xml:space="preserve">no fluoradas </w:t>
      </w:r>
      <w:r w:rsidR="004C5E13" w:rsidRPr="002261B9">
        <w:rPr>
          <w:lang w:val="es-ES"/>
        </w:rPr>
        <w:t>posiblemente</w:t>
      </w:r>
      <w:r w:rsidRPr="002261B9">
        <w:rPr>
          <w:lang w:val="es-ES"/>
        </w:rPr>
        <w:t xml:space="preserve"> cumpli</w:t>
      </w:r>
      <w:r w:rsidR="004C5E13" w:rsidRPr="002261B9">
        <w:rPr>
          <w:lang w:val="es-ES"/>
        </w:rPr>
        <w:t>e</w:t>
      </w:r>
      <w:r w:rsidRPr="002261B9">
        <w:rPr>
          <w:lang w:val="es-ES"/>
        </w:rPr>
        <w:t>r</w:t>
      </w:r>
      <w:r w:rsidR="004C5E13" w:rsidRPr="002261B9">
        <w:rPr>
          <w:lang w:val="es-ES"/>
        </w:rPr>
        <w:t>an</w:t>
      </w:r>
      <w:r w:rsidRPr="002261B9">
        <w:rPr>
          <w:lang w:val="es-ES"/>
        </w:rPr>
        <w:t xml:space="preserve"> los requisitos de repelencia al agua de las prendas de vestir para exteriores</w:t>
      </w:r>
      <w:r w:rsidR="0033707D" w:rsidRPr="002261B9">
        <w:rPr>
          <w:lang w:val="es-ES"/>
        </w:rPr>
        <w:t>.</w:t>
      </w:r>
      <w:r w:rsidRPr="002261B9">
        <w:rPr>
          <w:lang w:val="es-ES"/>
        </w:rPr>
        <w:t xml:space="preserve"> Los autores p</w:t>
      </w:r>
      <w:r w:rsidR="00401D59" w:rsidRPr="002261B9">
        <w:rPr>
          <w:lang w:val="es-ES"/>
        </w:rPr>
        <w:t xml:space="preserve">lantean que es un uso excesivo de tecnología recurrir a la </w:t>
      </w:r>
      <w:r w:rsidRPr="002261B9">
        <w:rPr>
          <w:lang w:val="es-ES"/>
        </w:rPr>
        <w:t xml:space="preserve">química a base de </w:t>
      </w:r>
      <w:r w:rsidR="0033707D" w:rsidRPr="002261B9">
        <w:rPr>
          <w:lang w:val="es-ES"/>
        </w:rPr>
        <w:t>PFAS</w:t>
      </w:r>
      <w:r w:rsidRPr="002261B9">
        <w:rPr>
          <w:lang w:val="es-ES"/>
        </w:rPr>
        <w:t xml:space="preserve"> en las prendas de vestir para exteriores</w:t>
      </w:r>
      <w:r w:rsidR="0033707D" w:rsidRPr="002261B9">
        <w:rPr>
          <w:lang w:val="es-ES"/>
        </w:rPr>
        <w:t xml:space="preserve"> </w:t>
      </w:r>
      <w:r w:rsidRPr="002261B9">
        <w:rPr>
          <w:lang w:val="es-ES"/>
        </w:rPr>
        <w:t xml:space="preserve">y que se podrían lograr importantes beneficios ambientales y toxicológicos </w:t>
      </w:r>
      <w:r w:rsidR="00401D59" w:rsidRPr="002261B9">
        <w:rPr>
          <w:lang w:val="es-ES"/>
        </w:rPr>
        <w:t xml:space="preserve">aplicando </w:t>
      </w:r>
      <w:r w:rsidRPr="002261B9">
        <w:rPr>
          <w:lang w:val="es-ES"/>
        </w:rPr>
        <w:t xml:space="preserve">la química no fluorada </w:t>
      </w:r>
      <w:r w:rsidR="00401D59" w:rsidRPr="002261B9">
        <w:rPr>
          <w:lang w:val="es-ES"/>
        </w:rPr>
        <w:t>en esos artículos</w:t>
      </w:r>
      <w:r w:rsidR="0033707D" w:rsidRPr="002261B9">
        <w:rPr>
          <w:lang w:val="es-ES"/>
        </w:rPr>
        <w:t xml:space="preserve"> (</w:t>
      </w:r>
      <w:r w:rsidR="00E10461" w:rsidRPr="002261B9">
        <w:rPr>
          <w:lang w:val="es-ES"/>
        </w:rPr>
        <w:t>Observaciones de la Red de Eliminación de COP</w:t>
      </w:r>
      <w:r w:rsidR="00506E3A" w:rsidRPr="002261B9">
        <w:rPr>
          <w:lang w:val="es-ES"/>
        </w:rPr>
        <w:t> </w:t>
      </w:r>
      <w:r w:rsidRPr="002261B9">
        <w:rPr>
          <w:lang w:val="es-ES"/>
        </w:rPr>
        <w:t xml:space="preserve">sobre el segundo proyecto de evaluación de la gestión de los riesgos en referencia a </w:t>
      </w:r>
      <w:r w:rsidR="0033707D" w:rsidRPr="002261B9">
        <w:rPr>
          <w:lang w:val="es-ES"/>
        </w:rPr>
        <w:t xml:space="preserve">Hill </w:t>
      </w:r>
      <w:r w:rsidR="003134EC" w:rsidRPr="002261B9">
        <w:rPr>
          <w:lang w:val="es-ES"/>
        </w:rPr>
        <w:t>y otros</w:t>
      </w:r>
      <w:r w:rsidR="009D4060" w:rsidRPr="002261B9">
        <w:rPr>
          <w:lang w:val="es-ES"/>
        </w:rPr>
        <w:t>,</w:t>
      </w:r>
      <w:r w:rsidR="00506E3A" w:rsidRPr="002261B9">
        <w:rPr>
          <w:lang w:val="es-ES"/>
        </w:rPr>
        <w:t> </w:t>
      </w:r>
      <w:r w:rsidR="0033707D" w:rsidRPr="002261B9">
        <w:rPr>
          <w:lang w:val="es-ES"/>
        </w:rPr>
        <w:t>201</w:t>
      </w:r>
      <w:r w:rsidR="009D4C5F" w:rsidRPr="002261B9">
        <w:rPr>
          <w:lang w:val="es-ES"/>
        </w:rPr>
        <w:t>7</w:t>
      </w:r>
      <w:r w:rsidR="00452DB2" w:rsidRPr="002261B9">
        <w:rPr>
          <w:lang w:val="es-ES"/>
        </w:rPr>
        <w:t>)</w:t>
      </w:r>
      <w:r w:rsidR="0033707D" w:rsidRPr="002261B9">
        <w:rPr>
          <w:lang w:val="es-ES"/>
        </w:rPr>
        <w:t>.</w:t>
      </w:r>
    </w:p>
    <w:p w14:paraId="4B83F165" w14:textId="77777777" w:rsidR="00201012" w:rsidRPr="002261B9" w:rsidRDefault="00201012" w:rsidP="00506E3A">
      <w:pPr>
        <w:keepNext/>
        <w:keepLines/>
        <w:spacing w:after="120"/>
        <w:ind w:left="1247"/>
        <w:rPr>
          <w:b/>
          <w:i/>
          <w:sz w:val="20"/>
          <w:szCs w:val="20"/>
          <w:lang w:val="es-ES"/>
        </w:rPr>
      </w:pPr>
      <w:r w:rsidRPr="002261B9">
        <w:rPr>
          <w:b/>
          <w:i/>
          <w:sz w:val="20"/>
          <w:szCs w:val="20"/>
          <w:lang w:val="es-ES"/>
        </w:rPr>
        <w:t>Alternativas no químicas</w:t>
      </w:r>
    </w:p>
    <w:p w14:paraId="1E55B6CA" w14:textId="3C6B11B2" w:rsidR="00201012" w:rsidRPr="002261B9" w:rsidRDefault="00201012" w:rsidP="00F45508">
      <w:pPr>
        <w:pStyle w:val="Paralevel1"/>
        <w:numPr>
          <w:ilvl w:val="0"/>
          <w:numId w:val="23"/>
        </w:numPr>
        <w:tabs>
          <w:tab w:val="clear" w:pos="0"/>
        </w:tabs>
        <w:ind w:left="1247" w:firstLine="0"/>
        <w:rPr>
          <w:lang w:val="es-ES"/>
        </w:rPr>
      </w:pPr>
      <w:r w:rsidRPr="002261B9">
        <w:rPr>
          <w:lang w:val="es-ES"/>
        </w:rPr>
        <w:t xml:space="preserve">En lo que respecta a los </w:t>
      </w:r>
      <w:r w:rsidR="00672C2D" w:rsidRPr="002261B9">
        <w:rPr>
          <w:lang w:val="es-ES"/>
        </w:rPr>
        <w:t xml:space="preserve">productos </w:t>
      </w:r>
      <w:r w:rsidRPr="002261B9">
        <w:rPr>
          <w:lang w:val="es-ES"/>
        </w:rPr>
        <w:t xml:space="preserve">textiles, una de las tecnologías alternativas que </w:t>
      </w:r>
      <w:r w:rsidR="007858A1" w:rsidRPr="002261B9">
        <w:rPr>
          <w:lang w:val="es-ES"/>
        </w:rPr>
        <w:t>n</w:t>
      </w:r>
      <w:r w:rsidRPr="002261B9">
        <w:rPr>
          <w:lang w:val="es-ES"/>
        </w:rPr>
        <w:t xml:space="preserve">o utilizan productos químicos son las telas con tejido muy tupido. Otra tecnología es la denominada membrana de ósmosis inversa que comprende láminas sumamente delgadas hechas con materiales a base de polímeros y construidas de manera que sea </w:t>
      </w:r>
      <w:r w:rsidR="002D7106" w:rsidRPr="002261B9">
        <w:rPr>
          <w:lang w:val="es-ES"/>
        </w:rPr>
        <w:t xml:space="preserve">altamente </w:t>
      </w:r>
      <w:r w:rsidR="00BA2FE7" w:rsidRPr="002261B9">
        <w:rPr>
          <w:lang w:val="es-ES"/>
        </w:rPr>
        <w:t>impermeable</w:t>
      </w:r>
      <w:r w:rsidR="002D7106" w:rsidRPr="002261B9">
        <w:rPr>
          <w:lang w:val="es-ES"/>
        </w:rPr>
        <w:t xml:space="preserve"> </w:t>
      </w:r>
      <w:r w:rsidRPr="002261B9">
        <w:rPr>
          <w:lang w:val="es-ES"/>
        </w:rPr>
        <w:t>al agua en forma líquida, pero permeable al vapor de agua, lo que hace que la tela sea respirable. Una alternativa a</w:t>
      </w:r>
      <w:r w:rsidR="00672C2D" w:rsidRPr="002261B9">
        <w:rPr>
          <w:lang w:val="es-ES"/>
        </w:rPr>
        <w:t>l politetrafluoroetileno</w:t>
      </w:r>
      <w:r w:rsidRPr="002261B9">
        <w:rPr>
          <w:lang w:val="es-ES"/>
        </w:rPr>
        <w:t xml:space="preserve"> es un compuesto de poliéster </w:t>
      </w:r>
      <w:r w:rsidR="002D7106" w:rsidRPr="002261B9">
        <w:rPr>
          <w:lang w:val="es-ES"/>
        </w:rPr>
        <w:t>hidrófobo</w:t>
      </w:r>
      <w:r w:rsidRPr="002261B9">
        <w:rPr>
          <w:lang w:val="es-ES"/>
        </w:rPr>
        <w:t xml:space="preserve"> y un polímero </w:t>
      </w:r>
      <w:r w:rsidR="00A63836" w:rsidRPr="002261B9">
        <w:rPr>
          <w:lang w:val="es-ES"/>
        </w:rPr>
        <w:t>hidrófilo</w:t>
      </w:r>
      <w:r w:rsidRPr="002261B9">
        <w:rPr>
          <w:lang w:val="es-ES"/>
        </w:rPr>
        <w:t xml:space="preserve"> que form</w:t>
      </w:r>
      <w:r w:rsidR="004C5E13" w:rsidRPr="002261B9">
        <w:rPr>
          <w:lang w:val="es-ES"/>
        </w:rPr>
        <w:t>a</w:t>
      </w:r>
      <w:r w:rsidR="002D7106" w:rsidRPr="002261B9">
        <w:rPr>
          <w:lang w:val="es-ES"/>
        </w:rPr>
        <w:t>n</w:t>
      </w:r>
      <w:r w:rsidRPr="002261B9">
        <w:rPr>
          <w:lang w:val="es-ES"/>
        </w:rPr>
        <w:t xml:space="preserve"> una microestructura</w:t>
      </w:r>
      <w:r w:rsidR="004C5E13" w:rsidRPr="002261B9">
        <w:rPr>
          <w:lang w:val="es-ES"/>
        </w:rPr>
        <w:t xml:space="preserve"> capaz de </w:t>
      </w:r>
      <w:r w:rsidRPr="002261B9">
        <w:rPr>
          <w:lang w:val="es-ES"/>
        </w:rPr>
        <w:t>permit</w:t>
      </w:r>
      <w:r w:rsidR="004C5E13" w:rsidRPr="002261B9">
        <w:rPr>
          <w:lang w:val="es-ES"/>
        </w:rPr>
        <w:t>ir</w:t>
      </w:r>
      <w:r w:rsidRPr="002261B9">
        <w:rPr>
          <w:lang w:val="es-ES"/>
        </w:rPr>
        <w:t xml:space="preserve"> a la tela respirar (Organismo Sueco de Productos Químicos</w:t>
      </w:r>
      <w:r w:rsidR="009D4060" w:rsidRPr="002261B9">
        <w:rPr>
          <w:lang w:val="es-ES"/>
        </w:rPr>
        <w:t>,</w:t>
      </w:r>
      <w:r w:rsidRPr="002261B9">
        <w:rPr>
          <w:lang w:val="es-ES"/>
        </w:rPr>
        <w:t xml:space="preserve"> 2015</w:t>
      </w:r>
      <w:r w:rsidR="00452DB2" w:rsidRPr="002261B9">
        <w:rPr>
          <w:lang w:val="es-ES"/>
        </w:rPr>
        <w:t>)</w:t>
      </w:r>
      <w:r w:rsidRPr="002261B9">
        <w:rPr>
          <w:lang w:val="es-ES"/>
        </w:rPr>
        <w:t>.</w:t>
      </w:r>
    </w:p>
    <w:p w14:paraId="5952138F" w14:textId="784DB7F3" w:rsidR="00201012" w:rsidRPr="002261B9" w:rsidRDefault="0042695A" w:rsidP="00F45508">
      <w:pPr>
        <w:pStyle w:val="Paralevel1"/>
        <w:numPr>
          <w:ilvl w:val="0"/>
          <w:numId w:val="23"/>
        </w:numPr>
        <w:tabs>
          <w:tab w:val="clear" w:pos="0"/>
        </w:tabs>
        <w:ind w:left="1247" w:firstLine="0"/>
        <w:rPr>
          <w:lang w:val="es-ES"/>
        </w:rPr>
      </w:pPr>
      <w:r w:rsidRPr="002261B9">
        <w:rPr>
          <w:lang w:val="es-ES"/>
        </w:rPr>
        <w:t xml:space="preserve">El Organismo Sueco de Productos Químicos </w:t>
      </w:r>
      <w:r w:rsidR="003021AD" w:rsidRPr="002261B9">
        <w:rPr>
          <w:lang w:val="es-ES"/>
        </w:rPr>
        <w:t>present</w:t>
      </w:r>
      <w:r w:rsidRPr="002261B9">
        <w:rPr>
          <w:lang w:val="es-ES"/>
        </w:rPr>
        <w:t>a un ejemplo de iniciativa internacional para hallar alternativas sin flúor</w:t>
      </w:r>
      <w:r w:rsidR="003021AD" w:rsidRPr="002261B9">
        <w:rPr>
          <w:lang w:val="es-ES"/>
        </w:rPr>
        <w:t xml:space="preserve"> (</w:t>
      </w:r>
      <w:r w:rsidR="00FC5241" w:rsidRPr="002261B9">
        <w:rPr>
          <w:lang w:val="es-ES"/>
        </w:rPr>
        <w:t>Organismo Sueco de Productos Químicos</w:t>
      </w:r>
      <w:r w:rsidR="00935ABF" w:rsidRPr="002261B9">
        <w:rPr>
          <w:lang w:val="es-ES"/>
        </w:rPr>
        <w:t>,</w:t>
      </w:r>
      <w:r w:rsidR="00847F47" w:rsidRPr="002261B9">
        <w:rPr>
          <w:lang w:val="es-ES"/>
        </w:rPr>
        <w:t xml:space="preserve"> </w:t>
      </w:r>
      <w:r w:rsidR="003021AD" w:rsidRPr="002261B9">
        <w:rPr>
          <w:lang w:val="es-ES"/>
        </w:rPr>
        <w:t xml:space="preserve">2015. Huntsman Textile Effects, </w:t>
      </w:r>
      <w:r w:rsidR="00FC5241" w:rsidRPr="002261B9">
        <w:rPr>
          <w:lang w:val="es-ES"/>
        </w:rPr>
        <w:t>que es un proveedor mundial de tintes y otros productos químicos para la industria textil</w:t>
      </w:r>
      <w:r w:rsidR="003021AD" w:rsidRPr="002261B9">
        <w:rPr>
          <w:lang w:val="es-ES"/>
        </w:rPr>
        <w:t xml:space="preserve">, </w:t>
      </w:r>
      <w:r w:rsidR="00FC5241" w:rsidRPr="002261B9">
        <w:rPr>
          <w:lang w:val="es-ES"/>
        </w:rPr>
        <w:t>empezó a</w:t>
      </w:r>
      <w:r w:rsidR="003021AD" w:rsidRPr="002261B9">
        <w:rPr>
          <w:lang w:val="es-ES"/>
        </w:rPr>
        <w:t xml:space="preserve"> colabora</w:t>
      </w:r>
      <w:r w:rsidR="00FC5241" w:rsidRPr="002261B9">
        <w:rPr>
          <w:lang w:val="es-ES"/>
        </w:rPr>
        <w:t>r con</w:t>
      </w:r>
      <w:r w:rsidR="003021AD" w:rsidRPr="002261B9">
        <w:rPr>
          <w:lang w:val="es-ES"/>
        </w:rPr>
        <w:t xml:space="preserve"> DuPont </w:t>
      </w:r>
      <w:r w:rsidR="00FC5241" w:rsidRPr="002261B9">
        <w:rPr>
          <w:lang w:val="es-ES"/>
        </w:rPr>
        <w:t xml:space="preserve">con el objeto de crear un nuevo producto con propiedades </w:t>
      </w:r>
      <w:r w:rsidR="00BA2FE7" w:rsidRPr="002261B9">
        <w:rPr>
          <w:lang w:val="es-ES"/>
        </w:rPr>
        <w:t>repelentes al agua</w:t>
      </w:r>
      <w:r w:rsidR="003021AD" w:rsidRPr="002261B9">
        <w:rPr>
          <w:lang w:val="es-ES"/>
        </w:rPr>
        <w:t xml:space="preserve">. </w:t>
      </w:r>
      <w:r w:rsidR="00BA2FE7" w:rsidRPr="002261B9">
        <w:rPr>
          <w:lang w:val="es-ES"/>
        </w:rPr>
        <w:t xml:space="preserve">A juzgar por la información </w:t>
      </w:r>
      <w:r w:rsidR="00E270A4" w:rsidRPr="002261B9">
        <w:rPr>
          <w:lang w:val="es-ES"/>
        </w:rPr>
        <w:t>proporcionada</w:t>
      </w:r>
      <w:r w:rsidR="00BA2FE7" w:rsidRPr="002261B9">
        <w:rPr>
          <w:lang w:val="es-ES"/>
        </w:rPr>
        <w:t xml:space="preserve"> por las empresas, se trata del primer agente de tratamiento repelente al agua del sector, que consta totalmente de material renovable</w:t>
      </w:r>
      <w:r w:rsidR="003021AD" w:rsidRPr="002261B9">
        <w:rPr>
          <w:lang w:val="es-ES"/>
        </w:rPr>
        <w:t xml:space="preserve">, 63% </w:t>
      </w:r>
      <w:r w:rsidR="00BA2FE7" w:rsidRPr="002261B9">
        <w:rPr>
          <w:lang w:val="es-ES"/>
        </w:rPr>
        <w:t>del cual se obtiene de materias primas vegetales</w:t>
      </w:r>
      <w:r w:rsidR="003021AD" w:rsidRPr="002261B9">
        <w:rPr>
          <w:lang w:val="es-ES"/>
        </w:rPr>
        <w:t xml:space="preserve"> (Ecotextile News</w:t>
      </w:r>
      <w:r w:rsidR="00935ABF" w:rsidRPr="002261B9">
        <w:rPr>
          <w:lang w:val="es-ES"/>
        </w:rPr>
        <w:t>,</w:t>
      </w:r>
      <w:r w:rsidR="003021AD" w:rsidRPr="002261B9">
        <w:rPr>
          <w:lang w:val="es-ES"/>
        </w:rPr>
        <w:t xml:space="preserve"> 2015; citado por el Organismo Sueco de Productos Químicos</w:t>
      </w:r>
      <w:r w:rsidR="00935ABF" w:rsidRPr="002261B9">
        <w:rPr>
          <w:lang w:val="es-ES"/>
        </w:rPr>
        <w:t>,</w:t>
      </w:r>
      <w:r w:rsidR="003021AD" w:rsidRPr="002261B9">
        <w:rPr>
          <w:lang w:val="es-ES"/>
        </w:rPr>
        <w:t xml:space="preserve"> 2015</w:t>
      </w:r>
      <w:r w:rsidR="00452DB2" w:rsidRPr="002261B9">
        <w:rPr>
          <w:lang w:val="es-ES"/>
        </w:rPr>
        <w:t>)</w:t>
      </w:r>
      <w:r w:rsidR="003021AD" w:rsidRPr="002261B9">
        <w:rPr>
          <w:lang w:val="es-ES"/>
        </w:rPr>
        <w:t xml:space="preserve">. </w:t>
      </w:r>
      <w:r w:rsidR="00BA2FE7" w:rsidRPr="002261B9">
        <w:rPr>
          <w:lang w:val="es-ES"/>
        </w:rPr>
        <w:t>Según el fabricante, el acabado es hasta tres veces más duradero que los repelentes actuales que no contienen flúor</w:t>
      </w:r>
      <w:r w:rsidR="003021AD" w:rsidRPr="002261B9">
        <w:rPr>
          <w:lang w:val="es-ES"/>
        </w:rPr>
        <w:t xml:space="preserve">, </w:t>
      </w:r>
      <w:r w:rsidR="00BA2FE7" w:rsidRPr="002261B9">
        <w:rPr>
          <w:lang w:val="es-ES"/>
        </w:rPr>
        <w:t>mantiene la respirabilidad de la tela para la máxima comodidad</w:t>
      </w:r>
      <w:r w:rsidR="003021AD" w:rsidRPr="002261B9">
        <w:rPr>
          <w:lang w:val="es-ES"/>
        </w:rPr>
        <w:t xml:space="preserve">, </w:t>
      </w:r>
      <w:r w:rsidR="00BA2FE7" w:rsidRPr="002261B9">
        <w:rPr>
          <w:lang w:val="es-ES"/>
        </w:rPr>
        <w:t>e</w:t>
      </w:r>
      <w:r w:rsidR="003021AD" w:rsidRPr="002261B9">
        <w:rPr>
          <w:lang w:val="es-ES"/>
        </w:rPr>
        <w:t xml:space="preserve">s compatible </w:t>
      </w:r>
      <w:r w:rsidR="00BA2FE7" w:rsidRPr="002261B9">
        <w:rPr>
          <w:lang w:val="es-ES"/>
        </w:rPr>
        <w:t xml:space="preserve">con productos auxiliares de acabado </w:t>
      </w:r>
      <w:r w:rsidR="00761902" w:rsidRPr="002261B9">
        <w:rPr>
          <w:lang w:val="es-ES"/>
        </w:rPr>
        <w:t>ordinario</w:t>
      </w:r>
      <w:r w:rsidR="004C5E13" w:rsidRPr="002261B9">
        <w:rPr>
          <w:lang w:val="es-ES"/>
        </w:rPr>
        <w:t>s</w:t>
      </w:r>
      <w:r w:rsidR="00761902" w:rsidRPr="002261B9">
        <w:rPr>
          <w:lang w:val="es-ES"/>
        </w:rPr>
        <w:t xml:space="preserve"> </w:t>
      </w:r>
      <w:r w:rsidR="003021AD" w:rsidRPr="002261B9">
        <w:rPr>
          <w:lang w:val="es-ES"/>
        </w:rPr>
        <w:t>(</w:t>
      </w:r>
      <w:r w:rsidR="00BA2FE7" w:rsidRPr="002261B9">
        <w:rPr>
          <w:lang w:val="es-ES"/>
        </w:rPr>
        <w:t>en particular resinas y agentes de reticulación</w:t>
      </w:r>
      <w:r w:rsidR="003021AD" w:rsidRPr="002261B9">
        <w:rPr>
          <w:lang w:val="es-ES"/>
        </w:rPr>
        <w:t xml:space="preserve">) </w:t>
      </w:r>
      <w:r w:rsidR="00BA2FE7" w:rsidRPr="002261B9">
        <w:rPr>
          <w:lang w:val="es-ES"/>
        </w:rPr>
        <w:t>y no se fabrica con organismos genéticamente modificados</w:t>
      </w:r>
      <w:r w:rsidR="003021AD" w:rsidRPr="002261B9">
        <w:rPr>
          <w:lang w:val="es-ES"/>
        </w:rPr>
        <w:t xml:space="preserve"> (Chemours</w:t>
      </w:r>
      <w:r w:rsidR="00935ABF" w:rsidRPr="002261B9">
        <w:rPr>
          <w:lang w:val="es-ES"/>
        </w:rPr>
        <w:t>,</w:t>
      </w:r>
      <w:r w:rsidR="003021AD" w:rsidRPr="002261B9">
        <w:rPr>
          <w:lang w:val="es-ES"/>
        </w:rPr>
        <w:t xml:space="preserve"> 2017</w:t>
      </w:r>
      <w:r w:rsidR="00452DB2" w:rsidRPr="002261B9">
        <w:rPr>
          <w:lang w:val="es-ES"/>
        </w:rPr>
        <w:t>)</w:t>
      </w:r>
      <w:r w:rsidR="003021AD" w:rsidRPr="002261B9">
        <w:rPr>
          <w:lang w:val="es-ES"/>
        </w:rPr>
        <w:t>.</w:t>
      </w:r>
    </w:p>
    <w:p w14:paraId="3CC54D49" w14:textId="14F15CFD" w:rsidR="00430AE5" w:rsidRPr="002261B9" w:rsidRDefault="0042695A" w:rsidP="00F45508">
      <w:pPr>
        <w:pStyle w:val="Paralevel1"/>
        <w:numPr>
          <w:ilvl w:val="0"/>
          <w:numId w:val="23"/>
        </w:numPr>
        <w:tabs>
          <w:tab w:val="clear" w:pos="0"/>
        </w:tabs>
        <w:ind w:left="1247" w:firstLine="0"/>
        <w:rPr>
          <w:lang w:val="es-ES"/>
        </w:rPr>
      </w:pPr>
      <w:r w:rsidRPr="002261B9">
        <w:rPr>
          <w:lang w:val="es-ES"/>
        </w:rPr>
        <w:t xml:space="preserve">La empresa </w:t>
      </w:r>
      <w:r w:rsidR="00201012" w:rsidRPr="002261B9">
        <w:rPr>
          <w:lang w:val="es-ES"/>
        </w:rPr>
        <w:t>Pyua ha</w:t>
      </w:r>
      <w:r w:rsidRPr="002261B9">
        <w:rPr>
          <w:lang w:val="es-ES"/>
        </w:rPr>
        <w:t xml:space="preserve"> creado una tecnología </w:t>
      </w:r>
      <w:r w:rsidR="00201012" w:rsidRPr="002261B9">
        <w:rPr>
          <w:lang w:val="es-ES"/>
        </w:rPr>
        <w:t xml:space="preserve">(CLIMALOOPTM), </w:t>
      </w:r>
      <w:r w:rsidRPr="002261B9">
        <w:rPr>
          <w:lang w:val="es-ES"/>
        </w:rPr>
        <w:t>que no utiliza fluorocarbonos y prom</w:t>
      </w:r>
      <w:r w:rsidR="00BA2FE7" w:rsidRPr="002261B9">
        <w:rPr>
          <w:lang w:val="es-ES"/>
        </w:rPr>
        <w:t xml:space="preserve">ete </w:t>
      </w:r>
      <w:r w:rsidRPr="002261B9">
        <w:rPr>
          <w:lang w:val="es-ES"/>
        </w:rPr>
        <w:t xml:space="preserve">altos rendimientos </w:t>
      </w:r>
      <w:r w:rsidR="00BA2FE7" w:rsidRPr="002261B9">
        <w:rPr>
          <w:lang w:val="es-ES"/>
        </w:rPr>
        <w:t xml:space="preserve">en cuanto a </w:t>
      </w:r>
      <w:r w:rsidRPr="002261B9">
        <w:rPr>
          <w:lang w:val="es-ES"/>
        </w:rPr>
        <w:t>la impermeabilidad, la respirabilidad y la impenetrabilidad del viento. La tecnología se basa en material reciclado y se ha creado para usarse en aplicaciones duraderas al aire libre</w:t>
      </w:r>
      <w:r w:rsidR="00201012" w:rsidRPr="002261B9">
        <w:rPr>
          <w:lang w:val="es-ES"/>
        </w:rPr>
        <w:t xml:space="preserve">. </w:t>
      </w:r>
      <w:r w:rsidRPr="002261B9">
        <w:rPr>
          <w:lang w:val="es-ES"/>
        </w:rPr>
        <w:t>Además, cada product</w:t>
      </w:r>
      <w:r w:rsidR="00BA2FE7" w:rsidRPr="002261B9">
        <w:rPr>
          <w:lang w:val="es-ES"/>
        </w:rPr>
        <w:t>o</w:t>
      </w:r>
      <w:r w:rsidRPr="002261B9">
        <w:rPr>
          <w:lang w:val="es-ES"/>
        </w:rPr>
        <w:t xml:space="preserve"> de </w:t>
      </w:r>
      <w:r w:rsidR="00201012" w:rsidRPr="002261B9">
        <w:rPr>
          <w:lang w:val="es-ES"/>
        </w:rPr>
        <w:t>Pyua</w:t>
      </w:r>
      <w:r w:rsidR="00BA2FE7" w:rsidRPr="002261B9">
        <w:rPr>
          <w:lang w:val="es-ES"/>
        </w:rPr>
        <w:t xml:space="preserve"> es totalmente reci</w:t>
      </w:r>
      <w:r w:rsidRPr="002261B9">
        <w:rPr>
          <w:lang w:val="es-ES"/>
        </w:rPr>
        <w:t xml:space="preserve">clable y se produce de manera ecológica y socialmente sostenible </w:t>
      </w:r>
      <w:r w:rsidR="00201012" w:rsidRPr="002261B9">
        <w:rPr>
          <w:lang w:val="es-ES"/>
        </w:rPr>
        <w:t>(Pyua</w:t>
      </w:r>
      <w:r w:rsidR="00935ABF" w:rsidRPr="002261B9">
        <w:rPr>
          <w:lang w:val="es-ES"/>
        </w:rPr>
        <w:t>,</w:t>
      </w:r>
      <w:r w:rsidR="00201012" w:rsidRPr="002261B9">
        <w:rPr>
          <w:lang w:val="es-ES"/>
        </w:rPr>
        <w:t xml:space="preserve"> 2017</w:t>
      </w:r>
      <w:r w:rsidR="00452DB2" w:rsidRPr="002261B9">
        <w:rPr>
          <w:lang w:val="es-ES"/>
        </w:rPr>
        <w:t>)</w:t>
      </w:r>
      <w:r w:rsidR="00201012" w:rsidRPr="002261B9">
        <w:rPr>
          <w:lang w:val="es-ES"/>
        </w:rPr>
        <w:t>.</w:t>
      </w:r>
    </w:p>
    <w:p w14:paraId="7832B86A" w14:textId="68796F9F" w:rsidR="00201012" w:rsidRPr="002261B9" w:rsidRDefault="00EC480D" w:rsidP="00506E3A">
      <w:pPr>
        <w:keepNext/>
        <w:keepLines/>
        <w:tabs>
          <w:tab w:val="left" w:pos="624"/>
        </w:tabs>
        <w:spacing w:after="120"/>
        <w:ind w:left="1248" w:hanging="624"/>
        <w:rPr>
          <w:b/>
          <w:i/>
          <w:sz w:val="20"/>
          <w:szCs w:val="20"/>
          <w:lang w:val="es-ES"/>
        </w:rPr>
      </w:pPr>
      <w:r w:rsidRPr="002261B9">
        <w:rPr>
          <w:b/>
          <w:i/>
          <w:sz w:val="20"/>
          <w:szCs w:val="20"/>
          <w:lang w:val="es-ES"/>
        </w:rPr>
        <w:t xml:space="preserve">C. </w:t>
      </w:r>
      <w:r w:rsidR="00490671" w:rsidRPr="002261B9">
        <w:rPr>
          <w:b/>
          <w:i/>
          <w:sz w:val="20"/>
          <w:szCs w:val="20"/>
          <w:lang w:val="es-ES"/>
        </w:rPr>
        <w:tab/>
      </w:r>
      <w:r w:rsidRPr="002261B9">
        <w:rPr>
          <w:b/>
          <w:i/>
          <w:sz w:val="20"/>
          <w:szCs w:val="20"/>
          <w:lang w:val="es-ES"/>
        </w:rPr>
        <w:t>Espumas ignífugas</w:t>
      </w:r>
    </w:p>
    <w:p w14:paraId="4CD9C4FA" w14:textId="77777777" w:rsidR="00201012" w:rsidRPr="002261B9" w:rsidRDefault="00201012" w:rsidP="00506E3A">
      <w:pPr>
        <w:keepNext/>
        <w:keepLines/>
        <w:spacing w:after="120"/>
        <w:ind w:left="1247"/>
        <w:rPr>
          <w:b/>
          <w:i/>
          <w:sz w:val="20"/>
          <w:szCs w:val="20"/>
          <w:lang w:val="es-ES"/>
        </w:rPr>
      </w:pPr>
      <w:r w:rsidRPr="002261B9">
        <w:rPr>
          <w:b/>
          <w:i/>
          <w:sz w:val="20"/>
          <w:szCs w:val="20"/>
          <w:lang w:val="es-ES"/>
        </w:rPr>
        <w:t xml:space="preserve">Alternativas fluoradas de cadena corta </w:t>
      </w:r>
    </w:p>
    <w:p w14:paraId="59667812" w14:textId="10AC8634" w:rsidR="00072ABD" w:rsidRPr="002261B9" w:rsidRDefault="00FF7500" w:rsidP="00F45508">
      <w:pPr>
        <w:pStyle w:val="Paralevel1"/>
        <w:numPr>
          <w:ilvl w:val="0"/>
          <w:numId w:val="23"/>
        </w:numPr>
        <w:tabs>
          <w:tab w:val="clear" w:pos="0"/>
        </w:tabs>
        <w:ind w:left="1247" w:firstLine="0"/>
        <w:rPr>
          <w:lang w:val="es-ES"/>
        </w:rPr>
      </w:pPr>
      <w:bookmarkStart w:id="52" w:name="_Ref481077150"/>
      <w:r w:rsidRPr="002261B9">
        <w:rPr>
          <w:lang w:val="es-ES"/>
        </w:rPr>
        <w:t>En los últimos años</w:t>
      </w:r>
      <w:r w:rsidR="00072ABD" w:rsidRPr="002261B9">
        <w:rPr>
          <w:lang w:val="es-ES"/>
        </w:rPr>
        <w:t xml:space="preserve">, </w:t>
      </w:r>
      <w:r w:rsidRPr="002261B9">
        <w:rPr>
          <w:lang w:val="es-ES"/>
        </w:rPr>
        <w:t xml:space="preserve">los fabricantes de </w:t>
      </w:r>
      <w:r w:rsidR="006A3E9B" w:rsidRPr="002261B9">
        <w:rPr>
          <w:lang w:val="es-ES"/>
        </w:rPr>
        <w:t>EAFP</w:t>
      </w:r>
      <w:r w:rsidRPr="002261B9">
        <w:rPr>
          <w:lang w:val="es-ES"/>
        </w:rPr>
        <w:t xml:space="preserve"> a base de </w:t>
      </w:r>
      <w:r w:rsidR="00072ABD" w:rsidRPr="002261B9">
        <w:rPr>
          <w:lang w:val="es-ES"/>
        </w:rPr>
        <w:t>fluorotel</w:t>
      </w:r>
      <w:r w:rsidRPr="002261B9">
        <w:rPr>
          <w:lang w:val="es-ES"/>
        </w:rPr>
        <w:t>ómeros han estado sustituyendo los surfactantes fluorados de cadena larga con surfactantes fluorados de cadena corta</w:t>
      </w:r>
      <w:r w:rsidR="00072ABD" w:rsidRPr="002261B9">
        <w:rPr>
          <w:lang w:val="es-ES"/>
        </w:rPr>
        <w:t xml:space="preserve"> (</w:t>
      </w:r>
      <w:r w:rsidRPr="002261B9">
        <w:rPr>
          <w:lang w:val="es-ES"/>
        </w:rPr>
        <w:t>PNUMA</w:t>
      </w:r>
      <w:r w:rsidR="004931C4" w:rsidRPr="002261B9">
        <w:rPr>
          <w:lang w:val="es-ES"/>
        </w:rPr>
        <w:t>,</w:t>
      </w:r>
      <w:r w:rsidR="00072ABD" w:rsidRPr="002261B9">
        <w:rPr>
          <w:lang w:val="es-ES"/>
        </w:rPr>
        <w:t xml:space="preserve"> 2017</w:t>
      </w:r>
      <w:r w:rsidR="00452DB2" w:rsidRPr="002261B9">
        <w:rPr>
          <w:lang w:val="es-ES"/>
        </w:rPr>
        <w:t>)</w:t>
      </w:r>
      <w:r w:rsidR="00072ABD" w:rsidRPr="002261B9">
        <w:rPr>
          <w:lang w:val="es-ES"/>
        </w:rPr>
        <w:t xml:space="preserve">. </w:t>
      </w:r>
      <w:r w:rsidRPr="002261B9">
        <w:rPr>
          <w:lang w:val="es-ES"/>
        </w:rPr>
        <w:t xml:space="preserve">Se crearon </w:t>
      </w:r>
      <w:r w:rsidR="006A3E9B" w:rsidRPr="002261B9">
        <w:rPr>
          <w:lang w:val="es-ES"/>
        </w:rPr>
        <w:t>EAFP basada</w:t>
      </w:r>
      <w:r w:rsidRPr="002261B9">
        <w:rPr>
          <w:lang w:val="es-ES"/>
        </w:rPr>
        <w:t xml:space="preserve">s en fluorotelómeros </w:t>
      </w:r>
      <w:r w:rsidR="00072ABD" w:rsidRPr="002261B9">
        <w:rPr>
          <w:lang w:val="es-ES"/>
        </w:rPr>
        <w:t xml:space="preserve">6:2 </w:t>
      </w:r>
      <w:r w:rsidRPr="002261B9">
        <w:rPr>
          <w:lang w:val="es-ES"/>
        </w:rPr>
        <w:t>puros para sustituir los productos anteriores basados en una mezcla de fluorotelómeros</w:t>
      </w:r>
      <w:r w:rsidR="00072ABD" w:rsidRPr="002261B9">
        <w:rPr>
          <w:lang w:val="es-ES"/>
        </w:rPr>
        <w:t xml:space="preserve"> 6:2 </w:t>
      </w:r>
      <w:r w:rsidRPr="002261B9">
        <w:rPr>
          <w:lang w:val="es-ES"/>
        </w:rPr>
        <w:t>y</w:t>
      </w:r>
      <w:r w:rsidR="00072ABD" w:rsidRPr="002261B9">
        <w:rPr>
          <w:lang w:val="es-ES"/>
        </w:rPr>
        <w:t xml:space="preserve"> 8:2</w:t>
      </w:r>
      <w:r w:rsidRPr="002261B9">
        <w:rPr>
          <w:lang w:val="es-ES"/>
        </w:rPr>
        <w:t xml:space="preserve"> fundamentalmente</w:t>
      </w:r>
      <w:r w:rsidR="00072ABD" w:rsidRPr="002261B9">
        <w:rPr>
          <w:lang w:val="es-ES"/>
        </w:rPr>
        <w:t xml:space="preserve"> (Klein</w:t>
      </w:r>
      <w:r w:rsidR="004931C4" w:rsidRPr="002261B9">
        <w:rPr>
          <w:lang w:val="es-ES"/>
        </w:rPr>
        <w:t>,</w:t>
      </w:r>
      <w:r w:rsidR="00072ABD" w:rsidRPr="002261B9">
        <w:rPr>
          <w:lang w:val="es-ES"/>
        </w:rPr>
        <w:t xml:space="preserve"> 2012; Kleiner </w:t>
      </w:r>
      <w:r w:rsidRPr="002261B9">
        <w:rPr>
          <w:lang w:val="es-ES"/>
        </w:rPr>
        <w:t>y</w:t>
      </w:r>
      <w:r w:rsidR="00072ABD" w:rsidRPr="002261B9">
        <w:rPr>
          <w:lang w:val="es-ES"/>
        </w:rPr>
        <w:t xml:space="preserve"> Jho</w:t>
      </w:r>
      <w:r w:rsidR="004931C4" w:rsidRPr="002261B9">
        <w:rPr>
          <w:lang w:val="es-ES"/>
        </w:rPr>
        <w:t>,</w:t>
      </w:r>
      <w:r w:rsidR="00072ABD" w:rsidRPr="002261B9">
        <w:rPr>
          <w:lang w:val="es-ES"/>
        </w:rPr>
        <w:t xml:space="preserve"> 2009</w:t>
      </w:r>
      <w:r w:rsidR="00452DB2" w:rsidRPr="002261B9">
        <w:rPr>
          <w:lang w:val="es-ES"/>
        </w:rPr>
        <w:t>)</w:t>
      </w:r>
      <w:r w:rsidR="00072ABD" w:rsidRPr="002261B9">
        <w:rPr>
          <w:lang w:val="es-ES"/>
        </w:rPr>
        <w:t>. DuPont</w:t>
      </w:r>
      <w:r w:rsidR="00AF7017" w:rsidRPr="002261B9">
        <w:rPr>
          <w:lang w:val="es-ES"/>
        </w:rPr>
        <w:t>,</w:t>
      </w:r>
      <w:r w:rsidR="00072ABD" w:rsidRPr="002261B9">
        <w:rPr>
          <w:lang w:val="es-ES"/>
        </w:rPr>
        <w:t xml:space="preserve"> </w:t>
      </w:r>
      <w:r w:rsidRPr="002261B9">
        <w:rPr>
          <w:lang w:val="es-ES"/>
        </w:rPr>
        <w:t>por ejemplo</w:t>
      </w:r>
      <w:r w:rsidR="00AF7017" w:rsidRPr="002261B9">
        <w:rPr>
          <w:lang w:val="es-ES"/>
        </w:rPr>
        <w:t>,</w:t>
      </w:r>
      <w:r w:rsidR="00072ABD" w:rsidRPr="002261B9">
        <w:rPr>
          <w:lang w:val="es-ES"/>
        </w:rPr>
        <w:t xml:space="preserve"> comerciali</w:t>
      </w:r>
      <w:r w:rsidRPr="002261B9">
        <w:rPr>
          <w:lang w:val="es-ES"/>
        </w:rPr>
        <w:t xml:space="preserve">zó dos </w:t>
      </w:r>
      <w:r w:rsidR="00832286" w:rsidRPr="002261B9">
        <w:rPr>
          <w:lang w:val="es-ES"/>
        </w:rPr>
        <w:t>EAFP</w:t>
      </w:r>
      <w:r w:rsidR="00072ABD" w:rsidRPr="002261B9">
        <w:rPr>
          <w:lang w:val="es-ES"/>
        </w:rPr>
        <w:t xml:space="preserve"> bas</w:t>
      </w:r>
      <w:r w:rsidR="006A3E9B" w:rsidRPr="002261B9">
        <w:rPr>
          <w:lang w:val="es-ES"/>
        </w:rPr>
        <w:t>ada</w:t>
      </w:r>
      <w:r w:rsidRPr="002261B9">
        <w:rPr>
          <w:lang w:val="es-ES"/>
        </w:rPr>
        <w:t xml:space="preserve">s en </w:t>
      </w:r>
      <w:r w:rsidR="00072ABD" w:rsidRPr="002261B9">
        <w:rPr>
          <w:lang w:val="es-ES"/>
        </w:rPr>
        <w:t>fluorotel</w:t>
      </w:r>
      <w:r w:rsidR="00832286" w:rsidRPr="002261B9">
        <w:rPr>
          <w:lang w:val="es-ES"/>
        </w:rPr>
        <w:t>ó</w:t>
      </w:r>
      <w:r w:rsidR="00072ABD" w:rsidRPr="002261B9">
        <w:rPr>
          <w:lang w:val="es-ES"/>
        </w:rPr>
        <w:t>mer</w:t>
      </w:r>
      <w:r w:rsidR="00832286" w:rsidRPr="002261B9">
        <w:rPr>
          <w:lang w:val="es-ES"/>
        </w:rPr>
        <w:t>o</w:t>
      </w:r>
      <w:r w:rsidR="00072ABD" w:rsidRPr="002261B9">
        <w:rPr>
          <w:lang w:val="es-ES"/>
        </w:rPr>
        <w:t xml:space="preserve"> </w:t>
      </w:r>
      <w:r w:rsidR="00832286" w:rsidRPr="002261B9">
        <w:rPr>
          <w:lang w:val="es-ES"/>
        </w:rPr>
        <w:t xml:space="preserve">de </w:t>
      </w:r>
      <w:r w:rsidR="00072ABD" w:rsidRPr="002261B9">
        <w:rPr>
          <w:lang w:val="es-ES"/>
        </w:rPr>
        <w:t>sulfonamid</w:t>
      </w:r>
      <w:r w:rsidR="00832286" w:rsidRPr="002261B9">
        <w:rPr>
          <w:lang w:val="es-ES"/>
        </w:rPr>
        <w:t>a</w:t>
      </w:r>
      <w:r w:rsidR="00072ABD" w:rsidRPr="002261B9">
        <w:rPr>
          <w:lang w:val="es-ES"/>
        </w:rPr>
        <w:t xml:space="preserve"> al</w:t>
      </w:r>
      <w:r w:rsidR="00832286" w:rsidRPr="002261B9">
        <w:rPr>
          <w:lang w:val="es-ES"/>
        </w:rPr>
        <w:t xml:space="preserve">quilbetaína </w:t>
      </w:r>
      <w:r w:rsidRPr="002261B9">
        <w:rPr>
          <w:lang w:val="es-ES"/>
        </w:rPr>
        <w:t xml:space="preserve">6:2 </w:t>
      </w:r>
      <w:r w:rsidR="00072ABD" w:rsidRPr="002261B9">
        <w:rPr>
          <w:lang w:val="es-ES"/>
        </w:rPr>
        <w:t>(FTAB</w:t>
      </w:r>
      <w:r w:rsidRPr="002261B9">
        <w:rPr>
          <w:lang w:val="es-ES"/>
        </w:rPr>
        <w:t xml:space="preserve"> 6:2) o</w:t>
      </w:r>
      <w:r w:rsidR="00072ABD" w:rsidRPr="002261B9">
        <w:rPr>
          <w:lang w:val="es-ES"/>
        </w:rPr>
        <w:t xml:space="preserve"> fluorotel</w:t>
      </w:r>
      <w:r w:rsidR="007F26AF" w:rsidRPr="002261B9">
        <w:rPr>
          <w:lang w:val="es-ES"/>
        </w:rPr>
        <w:t>ó</w:t>
      </w:r>
      <w:r w:rsidR="00072ABD" w:rsidRPr="002261B9">
        <w:rPr>
          <w:lang w:val="es-ES"/>
        </w:rPr>
        <w:t>mer</w:t>
      </w:r>
      <w:r w:rsidR="007F26AF" w:rsidRPr="002261B9">
        <w:rPr>
          <w:lang w:val="es-ES"/>
        </w:rPr>
        <w:t>o de aminóxido de sulfonamida</w:t>
      </w:r>
      <w:r w:rsidR="00072ABD" w:rsidRPr="002261B9">
        <w:rPr>
          <w:lang w:val="es-ES"/>
        </w:rPr>
        <w:t xml:space="preserve"> </w:t>
      </w:r>
      <w:r w:rsidRPr="002261B9">
        <w:rPr>
          <w:lang w:val="es-ES"/>
        </w:rPr>
        <w:t xml:space="preserve">6:2 </w:t>
      </w:r>
      <w:r w:rsidR="00072ABD" w:rsidRPr="002261B9">
        <w:rPr>
          <w:lang w:val="es-ES"/>
        </w:rPr>
        <w:t xml:space="preserve">(Wang </w:t>
      </w:r>
      <w:r w:rsidR="003134EC" w:rsidRPr="002261B9">
        <w:rPr>
          <w:lang w:val="es-ES"/>
        </w:rPr>
        <w:t>y otros</w:t>
      </w:r>
      <w:r w:rsidR="004931C4" w:rsidRPr="002261B9">
        <w:rPr>
          <w:lang w:val="es-ES"/>
        </w:rPr>
        <w:t>,</w:t>
      </w:r>
      <w:r w:rsidR="00506E3A" w:rsidRPr="002261B9">
        <w:rPr>
          <w:lang w:val="es-ES"/>
        </w:rPr>
        <w:t xml:space="preserve"> </w:t>
      </w:r>
      <w:r w:rsidR="00072ABD" w:rsidRPr="002261B9">
        <w:rPr>
          <w:lang w:val="es-ES"/>
        </w:rPr>
        <w:t>2013</w:t>
      </w:r>
      <w:r w:rsidR="00452DB2" w:rsidRPr="002261B9">
        <w:rPr>
          <w:lang w:val="es-ES"/>
        </w:rPr>
        <w:t>)</w:t>
      </w:r>
      <w:r w:rsidR="00072ABD" w:rsidRPr="002261B9">
        <w:rPr>
          <w:lang w:val="es-ES"/>
        </w:rPr>
        <w:t xml:space="preserve">. </w:t>
      </w:r>
      <w:r w:rsidRPr="002261B9">
        <w:rPr>
          <w:lang w:val="es-ES"/>
        </w:rPr>
        <w:t>Los proveedores que ofrecen un</w:t>
      </w:r>
      <w:r w:rsidR="004C5E13" w:rsidRPr="002261B9">
        <w:rPr>
          <w:lang w:val="es-ES"/>
        </w:rPr>
        <w:t xml:space="preserve"> conjunto </w:t>
      </w:r>
      <w:r w:rsidRPr="002261B9">
        <w:rPr>
          <w:lang w:val="es-ES"/>
        </w:rPr>
        <w:t xml:space="preserve">de surfactantes basados en fluorotelómeros de cadena corta son </w:t>
      </w:r>
      <w:r w:rsidR="00072ABD" w:rsidRPr="002261B9">
        <w:rPr>
          <w:lang w:val="es-ES"/>
        </w:rPr>
        <w:t xml:space="preserve">Chemguard, Chemours </w:t>
      </w:r>
      <w:r w:rsidRPr="002261B9">
        <w:rPr>
          <w:lang w:val="es-ES"/>
        </w:rPr>
        <w:t>y</w:t>
      </w:r>
      <w:r w:rsidR="00072ABD" w:rsidRPr="002261B9">
        <w:rPr>
          <w:lang w:val="es-ES"/>
        </w:rPr>
        <w:t xml:space="preserve"> Dynax (</w:t>
      </w:r>
      <w:r w:rsidR="00935ABF" w:rsidRPr="002261B9">
        <w:rPr>
          <w:lang w:val="es-ES"/>
        </w:rPr>
        <w:t>PNUMA,</w:t>
      </w:r>
      <w:r w:rsidR="00072ABD" w:rsidRPr="002261B9">
        <w:rPr>
          <w:lang w:val="es-ES"/>
        </w:rPr>
        <w:t xml:space="preserve"> 2017</w:t>
      </w:r>
      <w:r w:rsidR="00452DB2" w:rsidRPr="002261B9">
        <w:rPr>
          <w:lang w:val="es-ES"/>
        </w:rPr>
        <w:t>)</w:t>
      </w:r>
      <w:r w:rsidR="00072ABD" w:rsidRPr="002261B9">
        <w:rPr>
          <w:lang w:val="es-ES"/>
        </w:rPr>
        <w:t>.</w:t>
      </w:r>
    </w:p>
    <w:p w14:paraId="4B192ECB" w14:textId="5BE8824D" w:rsidR="00201012" w:rsidRPr="002261B9" w:rsidRDefault="00E82724" w:rsidP="00F45508">
      <w:pPr>
        <w:pStyle w:val="Paralevel1"/>
        <w:numPr>
          <w:ilvl w:val="0"/>
          <w:numId w:val="23"/>
        </w:numPr>
        <w:tabs>
          <w:tab w:val="clear" w:pos="0"/>
        </w:tabs>
        <w:ind w:left="1247" w:firstLine="0"/>
        <w:rPr>
          <w:lang w:val="es-ES"/>
        </w:rPr>
      </w:pPr>
      <w:r w:rsidRPr="002261B9">
        <w:rPr>
          <w:lang w:val="es-ES"/>
        </w:rPr>
        <w:t>Las alternativas qu</w:t>
      </w:r>
      <w:r w:rsidR="00EA7D31" w:rsidRPr="002261B9">
        <w:rPr>
          <w:lang w:val="es-ES"/>
        </w:rPr>
        <w:t>ímicas son</w:t>
      </w:r>
      <w:r w:rsidRPr="002261B9">
        <w:rPr>
          <w:lang w:val="es-ES"/>
        </w:rPr>
        <w:t xml:space="preserve"> los fluorotelómeros de base </w:t>
      </w:r>
      <w:r w:rsidR="00201012" w:rsidRPr="002261B9">
        <w:rPr>
          <w:lang w:val="es-ES"/>
        </w:rPr>
        <w:t>C</w:t>
      </w:r>
      <w:r w:rsidR="00201012" w:rsidRPr="002261B9">
        <w:rPr>
          <w:vertAlign w:val="subscript"/>
          <w:lang w:val="es-ES"/>
        </w:rPr>
        <w:t>6</w:t>
      </w:r>
      <w:r w:rsidRPr="002261B9">
        <w:rPr>
          <w:lang w:val="es-ES"/>
        </w:rPr>
        <w:t xml:space="preserve">, como </w:t>
      </w:r>
      <w:r w:rsidR="005A4630" w:rsidRPr="002261B9">
        <w:rPr>
          <w:lang w:val="es-ES"/>
        </w:rPr>
        <w:t xml:space="preserve">el </w:t>
      </w:r>
      <w:r w:rsidR="00AF7017" w:rsidRPr="002261B9">
        <w:rPr>
          <w:lang w:val="es-ES"/>
        </w:rPr>
        <w:t>fluorotel</w:t>
      </w:r>
      <w:r w:rsidR="005A4630" w:rsidRPr="002261B9">
        <w:rPr>
          <w:lang w:val="es-ES"/>
        </w:rPr>
        <w:t xml:space="preserve">ómero 6:2 </w:t>
      </w:r>
      <w:r w:rsidR="00CC61F1" w:rsidRPr="002261B9">
        <w:rPr>
          <w:lang w:val="es-ES"/>
        </w:rPr>
        <w:t>de sulfonilbetaína</w:t>
      </w:r>
      <w:r w:rsidR="00201012" w:rsidRPr="002261B9">
        <w:rPr>
          <w:lang w:val="es-ES"/>
        </w:rPr>
        <w:t xml:space="preserve">, </w:t>
      </w:r>
      <w:r w:rsidR="00CC61F1" w:rsidRPr="002261B9">
        <w:rPr>
          <w:lang w:val="es-ES"/>
        </w:rPr>
        <w:t xml:space="preserve">que </w:t>
      </w:r>
      <w:r w:rsidRPr="002261B9">
        <w:rPr>
          <w:lang w:val="es-ES"/>
        </w:rPr>
        <w:t xml:space="preserve">a veces </w:t>
      </w:r>
      <w:r w:rsidR="00CC61F1" w:rsidRPr="002261B9">
        <w:rPr>
          <w:lang w:val="es-ES"/>
        </w:rPr>
        <w:t xml:space="preserve">se combina </w:t>
      </w:r>
      <w:r w:rsidRPr="002261B9">
        <w:rPr>
          <w:lang w:val="es-ES"/>
        </w:rPr>
        <w:t>con hidrocarbonos</w:t>
      </w:r>
      <w:r w:rsidR="00CC61F1" w:rsidRPr="002261B9">
        <w:rPr>
          <w:lang w:val="es-ES"/>
        </w:rPr>
        <w:t>,</w:t>
      </w:r>
      <w:r w:rsidRPr="002261B9">
        <w:rPr>
          <w:lang w:val="es-ES"/>
        </w:rPr>
        <w:t xml:space="preserve"> y el producto</w:t>
      </w:r>
      <w:r w:rsidR="00201012" w:rsidRPr="002261B9">
        <w:rPr>
          <w:lang w:val="es-ES"/>
        </w:rPr>
        <w:t xml:space="preserve"> </w:t>
      </w:r>
      <w:r w:rsidR="00CC61F1" w:rsidRPr="002261B9">
        <w:rPr>
          <w:lang w:val="es-ES"/>
        </w:rPr>
        <w:t xml:space="preserve">de 3M </w:t>
      </w:r>
      <w:r w:rsidR="00201012" w:rsidRPr="002261B9">
        <w:rPr>
          <w:lang w:val="es-ES"/>
        </w:rPr>
        <w:t>dodecafluoro-2-met</w:t>
      </w:r>
      <w:r w:rsidR="00CC61F1" w:rsidRPr="002261B9">
        <w:rPr>
          <w:lang w:val="es-ES"/>
        </w:rPr>
        <w:t>i</w:t>
      </w:r>
      <w:r w:rsidR="00201012" w:rsidRPr="002261B9">
        <w:rPr>
          <w:lang w:val="es-ES"/>
        </w:rPr>
        <w:t>lpentan-3-</w:t>
      </w:r>
      <w:r w:rsidR="00CC61F1" w:rsidRPr="002261B9">
        <w:rPr>
          <w:lang w:val="es-ES"/>
        </w:rPr>
        <w:t>uno</w:t>
      </w:r>
      <w:r w:rsidR="00943DB1" w:rsidRPr="002261B9">
        <w:rPr>
          <w:lang w:val="es-ES"/>
        </w:rPr>
        <w:t>.</w:t>
      </w:r>
      <w:r w:rsidR="00201012" w:rsidRPr="002261B9">
        <w:rPr>
          <w:lang w:val="es-ES"/>
        </w:rPr>
        <w:t xml:space="preserve"> </w:t>
      </w:r>
      <w:r w:rsidR="007F26AF" w:rsidRPr="002261B9">
        <w:rPr>
          <w:lang w:val="es-ES"/>
        </w:rPr>
        <w:t>Se desaconseja el uso de las alternativas fluoradas debido a l</w:t>
      </w:r>
      <w:r w:rsidR="00EA7D31" w:rsidRPr="002261B9">
        <w:rPr>
          <w:lang w:val="es-ES"/>
        </w:rPr>
        <w:t xml:space="preserve">a liberación directa de sustancias al medio ambiente y </w:t>
      </w:r>
      <w:r w:rsidR="007F26AF" w:rsidRPr="002261B9">
        <w:rPr>
          <w:lang w:val="es-ES"/>
        </w:rPr>
        <w:t xml:space="preserve">a que se han detectado </w:t>
      </w:r>
      <w:r w:rsidR="00EA7D31" w:rsidRPr="002261B9">
        <w:rPr>
          <w:lang w:val="es-ES"/>
        </w:rPr>
        <w:t>compuestos de base</w:t>
      </w:r>
      <w:r w:rsidR="00943DB1" w:rsidRPr="002261B9">
        <w:rPr>
          <w:lang w:val="es-ES"/>
        </w:rPr>
        <w:t xml:space="preserve"> C</w:t>
      </w:r>
      <w:r w:rsidR="00943DB1" w:rsidRPr="002261B9">
        <w:rPr>
          <w:vertAlign w:val="subscript"/>
          <w:lang w:val="es-ES"/>
        </w:rPr>
        <w:t>6</w:t>
      </w:r>
      <w:r w:rsidR="00943DB1" w:rsidRPr="002261B9">
        <w:rPr>
          <w:lang w:val="es-ES"/>
        </w:rPr>
        <w:t xml:space="preserve"> </w:t>
      </w:r>
      <w:r w:rsidR="00EA7D31" w:rsidRPr="002261B9">
        <w:rPr>
          <w:lang w:val="es-ES"/>
        </w:rPr>
        <w:t>en el medio ambiente,</w:t>
      </w:r>
      <w:r w:rsidR="00943DB1" w:rsidRPr="002261B9">
        <w:rPr>
          <w:lang w:val="es-ES"/>
        </w:rPr>
        <w:t xml:space="preserve"> inclu</w:t>
      </w:r>
      <w:r w:rsidR="00CC61F1" w:rsidRPr="002261B9">
        <w:rPr>
          <w:lang w:val="es-ES"/>
        </w:rPr>
        <w:t xml:space="preserve">so en </w:t>
      </w:r>
      <w:r w:rsidR="00EA7D31" w:rsidRPr="002261B9">
        <w:rPr>
          <w:lang w:val="es-ES"/>
        </w:rPr>
        <w:t>el Ártico</w:t>
      </w:r>
      <w:r w:rsidR="00943DB1" w:rsidRPr="002261B9">
        <w:rPr>
          <w:lang w:val="es-ES"/>
        </w:rPr>
        <w:t xml:space="preserve">, </w:t>
      </w:r>
      <w:r w:rsidR="00EA7D31" w:rsidRPr="002261B9">
        <w:rPr>
          <w:lang w:val="es-ES"/>
        </w:rPr>
        <w:t>los seres humanos y la flora y fauna silvestres</w:t>
      </w:r>
      <w:r w:rsidR="00CC61F1" w:rsidRPr="002261B9">
        <w:rPr>
          <w:lang w:val="es-ES"/>
        </w:rPr>
        <w:t xml:space="preserve"> </w:t>
      </w:r>
      <w:r w:rsidR="00943DB1" w:rsidRPr="002261B9">
        <w:rPr>
          <w:lang w:val="es-ES"/>
        </w:rPr>
        <w:t>(</w:t>
      </w:r>
      <w:r w:rsidR="00F13B21" w:rsidRPr="002261B9">
        <w:rPr>
          <w:lang w:val="es-ES"/>
        </w:rPr>
        <w:t>véase</w:t>
      </w:r>
      <w:r w:rsidR="00943DB1" w:rsidRPr="002261B9">
        <w:rPr>
          <w:lang w:val="es-ES"/>
        </w:rPr>
        <w:t xml:space="preserve"> </w:t>
      </w:r>
      <w:r w:rsidR="00706756" w:rsidRPr="002261B9">
        <w:rPr>
          <w:lang w:val="es-ES"/>
        </w:rPr>
        <w:t>UNEP/POPS/POPRC.13/INF/6</w:t>
      </w:r>
      <w:r w:rsidR="00943DB1" w:rsidRPr="002261B9">
        <w:rPr>
          <w:lang w:val="es-ES"/>
        </w:rPr>
        <w:t xml:space="preserve">) </w:t>
      </w:r>
      <w:r w:rsidR="00201012" w:rsidRPr="002261B9">
        <w:rPr>
          <w:lang w:val="es-ES"/>
        </w:rPr>
        <w:t>(</w:t>
      </w:r>
      <w:r w:rsidR="00946899" w:rsidRPr="002261B9">
        <w:rPr>
          <w:lang w:val="es-ES"/>
        </w:rPr>
        <w:t>Red de Eliminación de COP</w:t>
      </w:r>
      <w:r w:rsidR="00935ABF" w:rsidRPr="002261B9">
        <w:rPr>
          <w:lang w:val="es-ES"/>
        </w:rPr>
        <w:t>,</w:t>
      </w:r>
      <w:r w:rsidR="00033E30" w:rsidRPr="002261B9">
        <w:rPr>
          <w:lang w:val="es-ES"/>
        </w:rPr>
        <w:t xml:space="preserve"> </w:t>
      </w:r>
      <w:r w:rsidR="00201012" w:rsidRPr="002261B9">
        <w:rPr>
          <w:lang w:val="es-ES"/>
        </w:rPr>
        <w:t>2016</w:t>
      </w:r>
      <w:r w:rsidR="00452DB2" w:rsidRPr="002261B9">
        <w:rPr>
          <w:lang w:val="es-ES"/>
        </w:rPr>
        <w:t>)</w:t>
      </w:r>
      <w:r w:rsidR="00201012" w:rsidRPr="002261B9">
        <w:rPr>
          <w:lang w:val="es-ES"/>
        </w:rPr>
        <w:t>.</w:t>
      </w:r>
      <w:bookmarkEnd w:id="52"/>
      <w:r w:rsidR="00201012" w:rsidRPr="002261B9">
        <w:rPr>
          <w:lang w:val="es-ES"/>
        </w:rPr>
        <w:t xml:space="preserve"> </w:t>
      </w:r>
    </w:p>
    <w:p w14:paraId="2024FCF0" w14:textId="77777777" w:rsidR="00201012" w:rsidRPr="002261B9" w:rsidRDefault="00672C2D" w:rsidP="00506E3A">
      <w:pPr>
        <w:keepNext/>
        <w:keepLines/>
        <w:spacing w:after="120"/>
        <w:ind w:left="1247"/>
        <w:rPr>
          <w:b/>
          <w:i/>
          <w:sz w:val="20"/>
          <w:szCs w:val="20"/>
          <w:lang w:val="es-ES"/>
        </w:rPr>
      </w:pPr>
      <w:r w:rsidRPr="002261B9">
        <w:rPr>
          <w:b/>
          <w:i/>
          <w:sz w:val="20"/>
          <w:szCs w:val="20"/>
          <w:lang w:val="es-ES"/>
        </w:rPr>
        <w:t xml:space="preserve">Alternativas </w:t>
      </w:r>
      <w:r w:rsidR="00376872" w:rsidRPr="002261B9">
        <w:rPr>
          <w:b/>
          <w:i/>
          <w:sz w:val="20"/>
          <w:szCs w:val="20"/>
          <w:lang w:val="es-ES"/>
        </w:rPr>
        <w:t>sin</w:t>
      </w:r>
      <w:r w:rsidRPr="002261B9">
        <w:rPr>
          <w:b/>
          <w:i/>
          <w:sz w:val="20"/>
          <w:szCs w:val="20"/>
          <w:lang w:val="es-ES"/>
        </w:rPr>
        <w:t xml:space="preserve"> flúor</w:t>
      </w:r>
    </w:p>
    <w:p w14:paraId="460838D6" w14:textId="2BEDE804" w:rsidR="00201012" w:rsidRPr="002261B9" w:rsidRDefault="0092583B" w:rsidP="00F45508">
      <w:pPr>
        <w:pStyle w:val="Paralevel1"/>
        <w:numPr>
          <w:ilvl w:val="0"/>
          <w:numId w:val="23"/>
        </w:numPr>
        <w:tabs>
          <w:tab w:val="clear" w:pos="0"/>
        </w:tabs>
        <w:ind w:left="1247" w:firstLine="0"/>
        <w:rPr>
          <w:lang w:val="es-ES"/>
        </w:rPr>
      </w:pPr>
      <w:r w:rsidRPr="002261B9">
        <w:rPr>
          <w:lang w:val="es-ES"/>
        </w:rPr>
        <w:t>El mercado sueco ofrece diversas espumas clase B sin flúor, lo que indica la viabilidad técnica de esta alternativa</w:t>
      </w:r>
      <w:r w:rsidR="00201012" w:rsidRPr="002261B9">
        <w:rPr>
          <w:lang w:val="es-ES"/>
        </w:rPr>
        <w:t xml:space="preserve">. </w:t>
      </w:r>
      <w:r w:rsidRPr="002261B9">
        <w:rPr>
          <w:lang w:val="es-ES"/>
        </w:rPr>
        <w:t>La espuma ignífuga</w:t>
      </w:r>
      <w:r w:rsidR="00201012" w:rsidRPr="002261B9">
        <w:rPr>
          <w:lang w:val="es-ES"/>
        </w:rPr>
        <w:t xml:space="preserve"> Moussoll-FF 3/6 </w:t>
      </w:r>
      <w:r w:rsidRPr="002261B9">
        <w:rPr>
          <w:lang w:val="es-ES"/>
        </w:rPr>
        <w:t>fue introducida en un aeropuerto sueco y se degrada a dióxido de carbono y agua en el medio ambiente</w:t>
      </w:r>
      <w:r w:rsidR="00201012" w:rsidRPr="002261B9">
        <w:rPr>
          <w:lang w:val="es-ES"/>
        </w:rPr>
        <w:t xml:space="preserve">. </w:t>
      </w:r>
      <w:r w:rsidRPr="002261B9">
        <w:rPr>
          <w:lang w:val="es-ES"/>
        </w:rPr>
        <w:t>Se considera eficaz en la lucha contra incendios en los aeropuertos, donde hay que cumplir rigurosas normas de seguridad</w:t>
      </w:r>
      <w:r w:rsidR="006233B4" w:rsidRPr="002261B9">
        <w:rPr>
          <w:lang w:val="es-ES"/>
        </w:rPr>
        <w:t xml:space="preserve">. </w:t>
      </w:r>
      <w:r w:rsidR="00536729" w:rsidRPr="002261B9">
        <w:rPr>
          <w:lang w:val="es-ES"/>
        </w:rPr>
        <w:t xml:space="preserve">Swedavia, </w:t>
      </w:r>
      <w:r w:rsidRPr="002261B9">
        <w:rPr>
          <w:lang w:val="es-ES"/>
        </w:rPr>
        <w:t>que es la propietaria de diez aeropuertos suecos</w:t>
      </w:r>
      <w:r w:rsidR="00536729" w:rsidRPr="002261B9">
        <w:rPr>
          <w:lang w:val="es-ES"/>
        </w:rPr>
        <w:t xml:space="preserve">, </w:t>
      </w:r>
      <w:r w:rsidRPr="002261B9">
        <w:rPr>
          <w:lang w:val="es-ES"/>
        </w:rPr>
        <w:t xml:space="preserve">entre ellos los de </w:t>
      </w:r>
      <w:r w:rsidR="00536729" w:rsidRPr="002261B9">
        <w:rPr>
          <w:lang w:val="es-ES"/>
        </w:rPr>
        <w:t xml:space="preserve">Arlanda </w:t>
      </w:r>
      <w:r w:rsidRPr="002261B9">
        <w:rPr>
          <w:lang w:val="es-ES"/>
        </w:rPr>
        <w:t xml:space="preserve">y </w:t>
      </w:r>
      <w:r w:rsidR="00536729" w:rsidRPr="002261B9">
        <w:rPr>
          <w:lang w:val="es-ES"/>
        </w:rPr>
        <w:t xml:space="preserve">Landvetter, </w:t>
      </w:r>
      <w:r w:rsidRPr="002261B9">
        <w:rPr>
          <w:lang w:val="es-ES"/>
        </w:rPr>
        <w:t xml:space="preserve">había estado usando antes espumas ignífugas a base de </w:t>
      </w:r>
      <w:r w:rsidR="002748F8" w:rsidRPr="002261B9">
        <w:rPr>
          <w:lang w:val="es-ES"/>
        </w:rPr>
        <w:t>flúor,</w:t>
      </w:r>
      <w:r w:rsidRPr="002261B9">
        <w:rPr>
          <w:lang w:val="es-ES"/>
        </w:rPr>
        <w:t xml:space="preserve"> pero en junio de 2011 cambió a la alternativa sin flúor</w:t>
      </w:r>
      <w:r w:rsidR="00536729" w:rsidRPr="002261B9">
        <w:rPr>
          <w:lang w:val="es-ES"/>
        </w:rPr>
        <w:t xml:space="preserve">. </w:t>
      </w:r>
      <w:r w:rsidR="004C5E13" w:rsidRPr="002261B9">
        <w:rPr>
          <w:lang w:val="es-ES"/>
        </w:rPr>
        <w:t>En</w:t>
      </w:r>
      <w:r w:rsidR="00506E3A" w:rsidRPr="002261B9">
        <w:rPr>
          <w:lang w:val="es-ES"/>
        </w:rPr>
        <w:t> </w:t>
      </w:r>
      <w:r w:rsidR="004C5E13" w:rsidRPr="002261B9">
        <w:rPr>
          <w:lang w:val="es-ES"/>
        </w:rPr>
        <w:t>2011 l</w:t>
      </w:r>
      <w:r w:rsidRPr="002261B9">
        <w:rPr>
          <w:lang w:val="es-ES"/>
        </w:rPr>
        <w:t xml:space="preserve">as Fuerzas Armadas de Suecia comenzaron a eliminar el uso de sustancias perfluoradas en </w:t>
      </w:r>
      <w:r w:rsidRPr="002261B9">
        <w:rPr>
          <w:lang w:val="es-ES"/>
        </w:rPr>
        <w:lastRenderedPageBreak/>
        <w:t xml:space="preserve">las espumas ignífugas </w:t>
      </w:r>
      <w:r w:rsidR="004C5E13" w:rsidRPr="002261B9">
        <w:rPr>
          <w:lang w:val="es-ES"/>
        </w:rPr>
        <w:t xml:space="preserve">usadas </w:t>
      </w:r>
      <w:r w:rsidRPr="002261B9">
        <w:rPr>
          <w:lang w:val="es-ES"/>
        </w:rPr>
        <w:t>en el país</w:t>
      </w:r>
      <w:r w:rsidR="00536729" w:rsidRPr="002261B9">
        <w:rPr>
          <w:lang w:val="es-ES"/>
        </w:rPr>
        <w:t xml:space="preserve">. </w:t>
      </w:r>
      <w:r w:rsidRPr="002261B9">
        <w:rPr>
          <w:lang w:val="es-ES"/>
        </w:rPr>
        <w:t>En estos momentos, las Fuerzas Armadas de Suecia utilizan una espuma ignífuga a base de fluorotelómero</w:t>
      </w:r>
      <w:r w:rsidR="00536729" w:rsidRPr="002261B9">
        <w:rPr>
          <w:lang w:val="es-ES"/>
        </w:rPr>
        <w:t xml:space="preserve">, </w:t>
      </w:r>
      <w:r w:rsidRPr="002261B9">
        <w:rPr>
          <w:lang w:val="es-ES"/>
        </w:rPr>
        <w:t xml:space="preserve">es decir que la sustancia se descompone en sustancias perfluoradas </w:t>
      </w:r>
      <w:r w:rsidR="00201012" w:rsidRPr="002261B9">
        <w:rPr>
          <w:lang w:val="es-ES"/>
        </w:rPr>
        <w:t>(</w:t>
      </w:r>
      <w:r w:rsidRPr="002261B9">
        <w:rPr>
          <w:lang w:val="es-ES"/>
        </w:rPr>
        <w:t xml:space="preserve">para más detalles, </w:t>
      </w:r>
      <w:r w:rsidR="00F13B21" w:rsidRPr="002261B9">
        <w:rPr>
          <w:lang w:val="es-ES"/>
        </w:rPr>
        <w:t>véase</w:t>
      </w:r>
      <w:r w:rsidR="00536729" w:rsidRPr="002261B9">
        <w:rPr>
          <w:lang w:val="es-ES"/>
        </w:rPr>
        <w:t xml:space="preserve"> </w:t>
      </w:r>
      <w:r w:rsidR="00A76D63" w:rsidRPr="002261B9">
        <w:rPr>
          <w:lang w:val="es-ES"/>
        </w:rPr>
        <w:t>Organismo Sueco de Productos Químicos</w:t>
      </w:r>
      <w:r w:rsidR="004904E9" w:rsidRPr="002261B9">
        <w:rPr>
          <w:lang w:val="es-ES"/>
        </w:rPr>
        <w:t>,</w:t>
      </w:r>
      <w:r w:rsidR="006F57D4" w:rsidRPr="002261B9">
        <w:rPr>
          <w:lang w:val="es-ES"/>
        </w:rPr>
        <w:t xml:space="preserve"> 2</w:t>
      </w:r>
      <w:r w:rsidR="00201012" w:rsidRPr="002261B9">
        <w:rPr>
          <w:lang w:val="es-ES"/>
        </w:rPr>
        <w:t>015</w:t>
      </w:r>
      <w:r w:rsidR="00452DB2" w:rsidRPr="002261B9">
        <w:rPr>
          <w:lang w:val="es-ES"/>
        </w:rPr>
        <w:t>)</w:t>
      </w:r>
      <w:r w:rsidR="00201012" w:rsidRPr="002261B9">
        <w:rPr>
          <w:lang w:val="es-ES"/>
        </w:rPr>
        <w:t xml:space="preserve">. </w:t>
      </w:r>
      <w:r w:rsidR="005A4630" w:rsidRPr="002261B9">
        <w:rPr>
          <w:lang w:val="es-ES"/>
        </w:rPr>
        <w:t xml:space="preserve">Los aeropuertos, las instalaciones militares y diversas empresas que realizan operaciones frente a las cosas </w:t>
      </w:r>
      <w:r w:rsidR="004C5E13" w:rsidRPr="002261B9">
        <w:rPr>
          <w:lang w:val="es-ES"/>
        </w:rPr>
        <w:t>d</w:t>
      </w:r>
      <w:r w:rsidR="005A4630" w:rsidRPr="002261B9">
        <w:rPr>
          <w:lang w:val="es-ES"/>
        </w:rPr>
        <w:t>e Noruega también han introducido espumas sin flúor</w:t>
      </w:r>
      <w:r w:rsidR="00882B42" w:rsidRPr="002261B9">
        <w:rPr>
          <w:lang w:val="es-ES"/>
        </w:rPr>
        <w:t xml:space="preserve"> (</w:t>
      </w:r>
      <w:r w:rsidR="007F0459" w:rsidRPr="002261B9">
        <w:rPr>
          <w:lang w:val="es-ES"/>
        </w:rPr>
        <w:t>Observaciones</w:t>
      </w:r>
      <w:r w:rsidR="003C558F" w:rsidRPr="002261B9">
        <w:rPr>
          <w:lang w:val="es-ES"/>
        </w:rPr>
        <w:t xml:space="preserve"> de</w:t>
      </w:r>
      <w:r w:rsidR="009D4060" w:rsidRPr="002261B9">
        <w:rPr>
          <w:lang w:val="es-ES"/>
        </w:rPr>
        <w:t xml:space="preserve"> Noruega </w:t>
      </w:r>
      <w:r w:rsidR="00E62EF8" w:rsidRPr="002261B9">
        <w:rPr>
          <w:lang w:val="es-ES"/>
        </w:rPr>
        <w:t>sobre el tercer proyecto de evaluación de la gestión de los riesgos</w:t>
      </w:r>
      <w:r w:rsidR="00882B42" w:rsidRPr="002261B9">
        <w:rPr>
          <w:lang w:val="es-ES"/>
        </w:rPr>
        <w:t>).</w:t>
      </w:r>
    </w:p>
    <w:p w14:paraId="447945AE" w14:textId="633246DD" w:rsidR="00201012" w:rsidRPr="002261B9" w:rsidRDefault="001131E1" w:rsidP="00F45508">
      <w:pPr>
        <w:pStyle w:val="Paralevel1"/>
        <w:numPr>
          <w:ilvl w:val="0"/>
          <w:numId w:val="23"/>
        </w:numPr>
        <w:tabs>
          <w:tab w:val="clear" w:pos="0"/>
        </w:tabs>
        <w:ind w:left="1247" w:firstLine="0"/>
        <w:rPr>
          <w:lang w:val="es-ES"/>
        </w:rPr>
      </w:pPr>
      <w:r w:rsidRPr="002261B9">
        <w:rPr>
          <w:lang w:val="es-ES"/>
        </w:rPr>
        <w:t>En lo que respecta a las espumas ignífugas</w:t>
      </w:r>
      <w:r w:rsidR="00AF7017" w:rsidRPr="002261B9">
        <w:rPr>
          <w:lang w:val="es-ES"/>
        </w:rPr>
        <w:t>,</w:t>
      </w:r>
      <w:r w:rsidR="00201012" w:rsidRPr="002261B9">
        <w:rPr>
          <w:lang w:val="es-ES"/>
        </w:rPr>
        <w:t xml:space="preserve"> </w:t>
      </w:r>
      <w:r w:rsidRPr="002261B9">
        <w:rPr>
          <w:lang w:val="es-ES"/>
        </w:rPr>
        <w:t>en un estudio (RPA</w:t>
      </w:r>
      <w:r w:rsidR="004904E9" w:rsidRPr="002261B9">
        <w:rPr>
          <w:lang w:val="es-ES"/>
        </w:rPr>
        <w:t>,</w:t>
      </w:r>
      <w:r w:rsidR="006F57D4" w:rsidRPr="002261B9">
        <w:rPr>
          <w:lang w:val="es-ES"/>
        </w:rPr>
        <w:t xml:space="preserve"> 2</w:t>
      </w:r>
      <w:r w:rsidRPr="002261B9">
        <w:rPr>
          <w:lang w:val="es-ES"/>
        </w:rPr>
        <w:t>004</w:t>
      </w:r>
      <w:r w:rsidR="00452DB2" w:rsidRPr="002261B9">
        <w:rPr>
          <w:lang w:val="es-ES"/>
        </w:rPr>
        <w:t>)</w:t>
      </w:r>
      <w:r w:rsidRPr="002261B9">
        <w:rPr>
          <w:lang w:val="es-ES"/>
        </w:rPr>
        <w:t xml:space="preserve"> se estimó</w:t>
      </w:r>
      <w:r w:rsidR="00201012" w:rsidRPr="002261B9">
        <w:rPr>
          <w:lang w:val="es-ES"/>
        </w:rPr>
        <w:t xml:space="preserve"> </w:t>
      </w:r>
      <w:r w:rsidRPr="002261B9">
        <w:rPr>
          <w:lang w:val="es-ES"/>
        </w:rPr>
        <w:t xml:space="preserve">que el costo de las alternativas sin flúor era aproximadamente </w:t>
      </w:r>
      <w:r w:rsidR="00BE5E07" w:rsidRPr="002261B9">
        <w:rPr>
          <w:lang w:val="es-ES"/>
        </w:rPr>
        <w:t xml:space="preserve">entre un </w:t>
      </w:r>
      <w:r w:rsidR="00201012" w:rsidRPr="002261B9">
        <w:rPr>
          <w:lang w:val="es-ES"/>
        </w:rPr>
        <w:t>5</w:t>
      </w:r>
      <w:r w:rsidR="00BE5E07" w:rsidRPr="002261B9">
        <w:rPr>
          <w:lang w:val="es-ES"/>
        </w:rPr>
        <w:t>%</w:t>
      </w:r>
      <w:r w:rsidRPr="002261B9">
        <w:rPr>
          <w:lang w:val="es-ES"/>
        </w:rPr>
        <w:t xml:space="preserve"> </w:t>
      </w:r>
      <w:r w:rsidR="00BE5E07" w:rsidRPr="002261B9">
        <w:rPr>
          <w:lang w:val="es-ES"/>
        </w:rPr>
        <w:t>y un</w:t>
      </w:r>
      <w:r w:rsidRPr="002261B9">
        <w:rPr>
          <w:lang w:val="es-ES"/>
        </w:rPr>
        <w:t xml:space="preserve"> </w:t>
      </w:r>
      <w:r w:rsidR="00201012" w:rsidRPr="002261B9">
        <w:rPr>
          <w:lang w:val="es-ES"/>
        </w:rPr>
        <w:t xml:space="preserve">10% </w:t>
      </w:r>
      <w:r w:rsidRPr="002261B9">
        <w:rPr>
          <w:lang w:val="es-ES"/>
        </w:rPr>
        <w:t>mayor que el de las espumas fluorosurfactantes</w:t>
      </w:r>
      <w:r w:rsidR="00201012" w:rsidRPr="002261B9">
        <w:rPr>
          <w:lang w:val="es-ES"/>
        </w:rPr>
        <w:t xml:space="preserve">. </w:t>
      </w:r>
      <w:r w:rsidRPr="002261B9">
        <w:rPr>
          <w:lang w:val="es-ES"/>
        </w:rPr>
        <w:t>La información proporcionada por un fabricante de alternativas sin flúor indica que el costo disminuiría</w:t>
      </w:r>
      <w:r w:rsidR="004C5E13" w:rsidRPr="002261B9">
        <w:rPr>
          <w:lang w:val="es-ES"/>
        </w:rPr>
        <w:t>,</w:t>
      </w:r>
      <w:r w:rsidRPr="002261B9">
        <w:rPr>
          <w:lang w:val="es-ES"/>
        </w:rPr>
        <w:t xml:space="preserve"> si la demanda aumentara</w:t>
      </w:r>
      <w:r w:rsidR="00201012" w:rsidRPr="002261B9">
        <w:rPr>
          <w:lang w:val="es-ES"/>
        </w:rPr>
        <w:t xml:space="preserve"> (Poulsen </w:t>
      </w:r>
      <w:r w:rsidR="003134EC" w:rsidRPr="002261B9">
        <w:rPr>
          <w:lang w:val="es-ES"/>
        </w:rPr>
        <w:t>y otros</w:t>
      </w:r>
      <w:r w:rsidR="004904E9" w:rsidRPr="002261B9">
        <w:rPr>
          <w:lang w:val="es-ES"/>
        </w:rPr>
        <w:t>,</w:t>
      </w:r>
      <w:r w:rsidR="006F57D4" w:rsidRPr="002261B9">
        <w:rPr>
          <w:lang w:val="es-ES"/>
        </w:rPr>
        <w:t xml:space="preserve"> 2</w:t>
      </w:r>
      <w:r w:rsidR="00201012" w:rsidRPr="002261B9">
        <w:rPr>
          <w:lang w:val="es-ES"/>
        </w:rPr>
        <w:t>005</w:t>
      </w:r>
      <w:r w:rsidR="00452DB2" w:rsidRPr="002261B9">
        <w:rPr>
          <w:lang w:val="es-ES"/>
        </w:rPr>
        <w:t>)</w:t>
      </w:r>
      <w:r w:rsidR="00201012" w:rsidRPr="002261B9">
        <w:rPr>
          <w:lang w:val="es-ES"/>
        </w:rPr>
        <w:t>.</w:t>
      </w:r>
      <w:r w:rsidR="00B139A9" w:rsidRPr="002261B9">
        <w:rPr>
          <w:lang w:val="es-ES"/>
        </w:rPr>
        <w:t xml:space="preserve"> </w:t>
      </w:r>
      <w:r w:rsidRPr="002261B9">
        <w:rPr>
          <w:lang w:val="es-ES"/>
        </w:rPr>
        <w:t>En este estudio no se consideraron los costos asumidos por la empresa de seguir dependiendo de las espumas fluorosurfactantes</w:t>
      </w:r>
      <w:r w:rsidR="00B139A9" w:rsidRPr="002261B9">
        <w:rPr>
          <w:lang w:val="es-ES"/>
        </w:rPr>
        <w:t xml:space="preserve">, </w:t>
      </w:r>
      <w:r w:rsidRPr="002261B9">
        <w:rPr>
          <w:lang w:val="es-ES"/>
        </w:rPr>
        <w:t xml:space="preserve">entre ellos los costos de la descontaminación de las aguas subterráneas, la contaminación de los </w:t>
      </w:r>
      <w:r w:rsidR="00F83F07" w:rsidRPr="002261B9">
        <w:rPr>
          <w:lang w:val="es-ES"/>
        </w:rPr>
        <w:t>medios acuáticos</w:t>
      </w:r>
      <w:r w:rsidR="00B139A9" w:rsidRPr="002261B9">
        <w:rPr>
          <w:lang w:val="es-ES"/>
        </w:rPr>
        <w:t xml:space="preserve">, </w:t>
      </w:r>
      <w:r w:rsidRPr="002261B9">
        <w:rPr>
          <w:lang w:val="es-ES"/>
        </w:rPr>
        <w:t xml:space="preserve">la subsistencia y los pescadores comerciales y los </w:t>
      </w:r>
      <w:r w:rsidR="00C27ABC" w:rsidRPr="002261B9">
        <w:rPr>
          <w:lang w:val="es-ES"/>
        </w:rPr>
        <w:t xml:space="preserve">costos </w:t>
      </w:r>
      <w:r w:rsidRPr="002261B9">
        <w:rPr>
          <w:lang w:val="es-ES"/>
        </w:rPr>
        <w:t>de salud ambiental y pública</w:t>
      </w:r>
      <w:r w:rsidR="00B139A9" w:rsidRPr="002261B9">
        <w:rPr>
          <w:lang w:val="es-ES"/>
        </w:rPr>
        <w:t xml:space="preserve"> (</w:t>
      </w:r>
      <w:r w:rsidR="00E10461" w:rsidRPr="002261B9">
        <w:rPr>
          <w:lang w:val="es-ES"/>
        </w:rPr>
        <w:t>Observaciones de la Red de Eliminación de COP</w:t>
      </w:r>
      <w:r w:rsidR="009D4060" w:rsidRPr="002261B9">
        <w:rPr>
          <w:lang w:val="es-ES"/>
        </w:rPr>
        <w:t xml:space="preserve"> </w:t>
      </w:r>
      <w:r w:rsidR="0013156F" w:rsidRPr="002261B9">
        <w:rPr>
          <w:lang w:val="es-ES"/>
        </w:rPr>
        <w:t>sobre el segundo proyecto de evaluación de la gestión de los riesgos</w:t>
      </w:r>
      <w:r w:rsidR="00B139A9" w:rsidRPr="002261B9">
        <w:rPr>
          <w:lang w:val="es-ES"/>
        </w:rPr>
        <w:t>).</w:t>
      </w:r>
      <w:r w:rsidR="00201012" w:rsidRPr="002261B9">
        <w:rPr>
          <w:lang w:val="es-ES"/>
        </w:rPr>
        <w:t xml:space="preserve"> </w:t>
      </w:r>
      <w:r w:rsidR="00832286" w:rsidRPr="002261B9">
        <w:rPr>
          <w:lang w:val="es-ES"/>
        </w:rPr>
        <w:t>Los costos de por vida</w:t>
      </w:r>
      <w:r w:rsidR="00A472D1" w:rsidRPr="002261B9">
        <w:rPr>
          <w:lang w:val="es-ES"/>
        </w:rPr>
        <w:t xml:space="preserve"> </w:t>
      </w:r>
      <w:r w:rsidR="00832286" w:rsidRPr="002261B9">
        <w:rPr>
          <w:lang w:val="es-ES"/>
        </w:rPr>
        <w:t>de usar EAFP</w:t>
      </w:r>
      <w:r w:rsidR="00A472D1" w:rsidRPr="002261B9">
        <w:rPr>
          <w:lang w:val="es-ES"/>
        </w:rPr>
        <w:t xml:space="preserve">, </w:t>
      </w:r>
      <w:r w:rsidR="000B11B1" w:rsidRPr="002261B9">
        <w:rPr>
          <w:lang w:val="es-ES"/>
        </w:rPr>
        <w:t>f</w:t>
      </w:r>
      <w:r w:rsidR="00A472D1" w:rsidRPr="002261B9">
        <w:rPr>
          <w:lang w:val="es-ES"/>
        </w:rPr>
        <w:t>luoroprote</w:t>
      </w:r>
      <w:r w:rsidR="002F5432" w:rsidRPr="002261B9">
        <w:rPr>
          <w:lang w:val="es-ES"/>
        </w:rPr>
        <w:t>ína</w:t>
      </w:r>
      <w:r w:rsidR="000B11B1" w:rsidRPr="002261B9">
        <w:rPr>
          <w:lang w:val="es-ES"/>
        </w:rPr>
        <w:t xml:space="preserve"> (FP</w:t>
      </w:r>
      <w:r w:rsidR="00832286" w:rsidRPr="002261B9">
        <w:rPr>
          <w:lang w:val="es-ES"/>
        </w:rPr>
        <w:t>)</w:t>
      </w:r>
      <w:r w:rsidR="002F5432" w:rsidRPr="002261B9">
        <w:rPr>
          <w:lang w:val="es-ES"/>
        </w:rPr>
        <w:t xml:space="preserve"> o</w:t>
      </w:r>
      <w:r w:rsidR="00A472D1" w:rsidRPr="002261B9">
        <w:rPr>
          <w:lang w:val="es-ES"/>
        </w:rPr>
        <w:t xml:space="preserve"> fluoroprote</w:t>
      </w:r>
      <w:r w:rsidR="00832286" w:rsidRPr="002261B9">
        <w:rPr>
          <w:lang w:val="es-ES"/>
        </w:rPr>
        <w:t>ínas formadoras de películas</w:t>
      </w:r>
      <w:r w:rsidR="000B11B1" w:rsidRPr="002261B9">
        <w:rPr>
          <w:lang w:val="es-ES"/>
        </w:rPr>
        <w:t xml:space="preserve"> (F</w:t>
      </w:r>
      <w:r w:rsidR="00832286" w:rsidRPr="002261B9">
        <w:rPr>
          <w:lang w:val="es-ES"/>
        </w:rPr>
        <w:t>P</w:t>
      </w:r>
      <w:r w:rsidR="000B11B1" w:rsidRPr="002261B9">
        <w:rPr>
          <w:lang w:val="es-ES"/>
        </w:rPr>
        <w:t>FP</w:t>
      </w:r>
      <w:r w:rsidR="00A472D1" w:rsidRPr="002261B9">
        <w:rPr>
          <w:lang w:val="es-ES"/>
        </w:rPr>
        <w:t xml:space="preserve">) </w:t>
      </w:r>
      <w:r w:rsidR="00832286" w:rsidRPr="002261B9">
        <w:rPr>
          <w:lang w:val="es-ES"/>
        </w:rPr>
        <w:t xml:space="preserve">sobrepasan con creces los de las espumas sin flúor simplemente debido a las obligaciones </w:t>
      </w:r>
      <w:r w:rsidR="00A472D1" w:rsidRPr="002261B9">
        <w:rPr>
          <w:lang w:val="es-ES"/>
        </w:rPr>
        <w:t>legal</w:t>
      </w:r>
      <w:r w:rsidR="00C27ABC" w:rsidRPr="002261B9">
        <w:rPr>
          <w:lang w:val="es-ES"/>
        </w:rPr>
        <w:t xml:space="preserve">es y financieras que entraña </w:t>
      </w:r>
      <w:r w:rsidR="00832286" w:rsidRPr="002261B9">
        <w:rPr>
          <w:lang w:val="es-ES"/>
        </w:rPr>
        <w:t>el uso de una espuma basada en productos químicos fluorados</w:t>
      </w:r>
      <w:r w:rsidR="00A472D1" w:rsidRPr="002261B9">
        <w:rPr>
          <w:lang w:val="es-ES"/>
        </w:rPr>
        <w:t xml:space="preserve"> (</w:t>
      </w:r>
      <w:r w:rsidR="00F13B21" w:rsidRPr="002261B9">
        <w:rPr>
          <w:lang w:val="es-ES"/>
        </w:rPr>
        <w:t>véase</w:t>
      </w:r>
      <w:r w:rsidR="00A472D1" w:rsidRPr="002261B9">
        <w:rPr>
          <w:lang w:val="es-ES"/>
        </w:rPr>
        <w:t xml:space="preserve"> </w:t>
      </w:r>
      <w:r w:rsidR="00E270A4" w:rsidRPr="002261B9">
        <w:rPr>
          <w:lang w:val="es-ES"/>
        </w:rPr>
        <w:t xml:space="preserve">Gobierno de </w:t>
      </w:r>
      <w:r w:rsidR="00A472D1" w:rsidRPr="002261B9">
        <w:rPr>
          <w:lang w:val="es-ES"/>
        </w:rPr>
        <w:t>Queensland</w:t>
      </w:r>
      <w:r w:rsidR="009D4060" w:rsidRPr="002261B9">
        <w:rPr>
          <w:lang w:val="es-ES"/>
        </w:rPr>
        <w:t xml:space="preserve">, </w:t>
      </w:r>
      <w:r w:rsidR="00A472D1" w:rsidRPr="002261B9">
        <w:rPr>
          <w:lang w:val="es-ES"/>
        </w:rPr>
        <w:t>2016</w:t>
      </w:r>
      <w:r w:rsidR="002F5432" w:rsidRPr="002261B9">
        <w:rPr>
          <w:lang w:val="es-ES"/>
        </w:rPr>
        <w:t>a y</w:t>
      </w:r>
      <w:r w:rsidR="00127DF3" w:rsidRPr="002261B9">
        <w:rPr>
          <w:lang w:val="es-ES"/>
        </w:rPr>
        <w:t xml:space="preserve"> 2016b</w:t>
      </w:r>
      <w:r w:rsidR="00A472D1" w:rsidRPr="002261B9">
        <w:rPr>
          <w:lang w:val="es-ES"/>
        </w:rPr>
        <w:t>)</w:t>
      </w:r>
      <w:r w:rsidR="005E6E46" w:rsidRPr="002261B9">
        <w:rPr>
          <w:lang w:val="es-ES"/>
        </w:rPr>
        <w:t>,</w:t>
      </w:r>
      <w:r w:rsidR="00A472D1" w:rsidRPr="002261B9">
        <w:rPr>
          <w:lang w:val="es-ES"/>
        </w:rPr>
        <w:t xml:space="preserve"> </w:t>
      </w:r>
      <w:r w:rsidRPr="002261B9">
        <w:rPr>
          <w:lang w:val="es-ES"/>
        </w:rPr>
        <w:t>como ya se señaló, lo que incluye la infracción de las condiciones establecidas en las licencias de explotación</w:t>
      </w:r>
      <w:r w:rsidR="00C27ABC" w:rsidRPr="002261B9">
        <w:rPr>
          <w:lang w:val="es-ES"/>
        </w:rPr>
        <w:t xml:space="preserve"> y </w:t>
      </w:r>
      <w:r w:rsidRPr="002261B9">
        <w:rPr>
          <w:lang w:val="es-ES"/>
        </w:rPr>
        <w:t xml:space="preserve">daños a la reputación y a la imagen de la marca </w:t>
      </w:r>
      <w:r w:rsidR="00B84B5E" w:rsidRPr="002261B9">
        <w:rPr>
          <w:lang w:val="es-ES"/>
        </w:rPr>
        <w:t>(</w:t>
      </w:r>
      <w:r w:rsidR="00F13B21" w:rsidRPr="002261B9">
        <w:rPr>
          <w:lang w:val="es-ES"/>
        </w:rPr>
        <w:t>véase</w:t>
      </w:r>
      <w:r w:rsidR="00A472D1" w:rsidRPr="002261B9">
        <w:rPr>
          <w:lang w:val="es-ES"/>
        </w:rPr>
        <w:t xml:space="preserve"> </w:t>
      </w:r>
      <w:r w:rsidR="00B84B5E" w:rsidRPr="002261B9">
        <w:rPr>
          <w:lang w:val="es-ES"/>
        </w:rPr>
        <w:t>Klein</w:t>
      </w:r>
      <w:r w:rsidR="004904E9" w:rsidRPr="002261B9">
        <w:rPr>
          <w:lang w:val="es-ES"/>
        </w:rPr>
        <w:t>,</w:t>
      </w:r>
      <w:r w:rsidR="006F57D4" w:rsidRPr="002261B9">
        <w:rPr>
          <w:lang w:val="es-ES"/>
        </w:rPr>
        <w:t xml:space="preserve"> 2</w:t>
      </w:r>
      <w:r w:rsidR="00B84B5E" w:rsidRPr="002261B9">
        <w:rPr>
          <w:lang w:val="es-ES"/>
        </w:rPr>
        <w:t>013</w:t>
      </w:r>
      <w:r w:rsidR="00452DB2" w:rsidRPr="002261B9">
        <w:rPr>
          <w:lang w:val="es-ES"/>
        </w:rPr>
        <w:t>)</w:t>
      </w:r>
      <w:r w:rsidR="00A472D1" w:rsidRPr="002261B9">
        <w:rPr>
          <w:lang w:val="es-ES"/>
        </w:rPr>
        <w:t xml:space="preserve">. </w:t>
      </w:r>
      <w:r w:rsidR="005E6E46" w:rsidRPr="002261B9">
        <w:rPr>
          <w:lang w:val="es-ES"/>
        </w:rPr>
        <w:t xml:space="preserve">El cúmulo de pruebas existentes indica que la contaminación de las aguas subterráneas con productos químicos fluorados es un problema actual grave que afecta a la agricultura, la pesca, los precios de los bienes raíces y </w:t>
      </w:r>
      <w:r w:rsidR="00C27ABC" w:rsidRPr="002261B9">
        <w:rPr>
          <w:lang w:val="es-ES"/>
        </w:rPr>
        <w:t xml:space="preserve">tiene </w:t>
      </w:r>
      <w:r w:rsidR="00A472D1" w:rsidRPr="002261B9">
        <w:rPr>
          <w:lang w:val="es-ES"/>
        </w:rPr>
        <w:t>considerable</w:t>
      </w:r>
      <w:r w:rsidR="005E6E46" w:rsidRPr="002261B9">
        <w:rPr>
          <w:lang w:val="es-ES"/>
        </w:rPr>
        <w:t>s</w:t>
      </w:r>
      <w:r w:rsidR="00A472D1" w:rsidRPr="002261B9">
        <w:rPr>
          <w:lang w:val="es-ES"/>
        </w:rPr>
        <w:t xml:space="preserve"> </w:t>
      </w:r>
      <w:r w:rsidR="00C27ABC" w:rsidRPr="002261B9">
        <w:rPr>
          <w:lang w:val="es-ES"/>
        </w:rPr>
        <w:t xml:space="preserve">repercusiones </w:t>
      </w:r>
      <w:r w:rsidR="005E6E46" w:rsidRPr="002261B9">
        <w:rPr>
          <w:lang w:val="es-ES"/>
        </w:rPr>
        <w:t>en la política y el interés de la opinión pública</w:t>
      </w:r>
      <w:r w:rsidR="00C27ABC" w:rsidRPr="002261B9">
        <w:rPr>
          <w:lang w:val="es-ES"/>
        </w:rPr>
        <w:t xml:space="preserve"> y</w:t>
      </w:r>
      <w:r w:rsidR="005E6E46" w:rsidRPr="002261B9">
        <w:rPr>
          <w:lang w:val="es-ES"/>
        </w:rPr>
        <w:t xml:space="preserve"> trae consigo consecuencias legales sumamente costosas y perjudiciales.</w:t>
      </w:r>
      <w:r w:rsidR="00284890" w:rsidRPr="002261B9">
        <w:rPr>
          <w:lang w:val="es-ES"/>
        </w:rPr>
        <w:t xml:space="preserve"> </w:t>
      </w:r>
      <w:r w:rsidR="005E6E46" w:rsidRPr="002261B9">
        <w:rPr>
          <w:lang w:val="es-ES"/>
        </w:rPr>
        <w:t xml:space="preserve">Los costos de descontaminación no dejan de ser elevados, sobre todo fuera del lugar, lo que se complica debido al alto costo de los </w:t>
      </w:r>
      <w:r w:rsidR="00C27ABC" w:rsidRPr="002261B9">
        <w:rPr>
          <w:lang w:val="es-ES"/>
        </w:rPr>
        <w:t xml:space="preserve">análisis y de los </w:t>
      </w:r>
      <w:r w:rsidR="00E270A4" w:rsidRPr="002261B9">
        <w:rPr>
          <w:lang w:val="es-ES"/>
        </w:rPr>
        <w:t>servicios</w:t>
      </w:r>
      <w:r w:rsidR="005E6E46" w:rsidRPr="002261B9">
        <w:rPr>
          <w:lang w:val="es-ES"/>
        </w:rPr>
        <w:t xml:space="preserve"> </w:t>
      </w:r>
      <w:r w:rsidR="00C27ABC" w:rsidRPr="002261B9">
        <w:rPr>
          <w:lang w:val="es-ES"/>
        </w:rPr>
        <w:t xml:space="preserve">consultoría </w:t>
      </w:r>
      <w:r w:rsidR="005E6E46" w:rsidRPr="002261B9">
        <w:rPr>
          <w:lang w:val="es-ES"/>
        </w:rPr>
        <w:t xml:space="preserve">en el caso de la contaminación ambiental con productos </w:t>
      </w:r>
      <w:r w:rsidR="00DB61C4" w:rsidRPr="002261B9">
        <w:rPr>
          <w:lang w:val="es-ES"/>
        </w:rPr>
        <w:t xml:space="preserve">fluorados </w:t>
      </w:r>
      <w:r w:rsidR="005E6E46" w:rsidRPr="002261B9">
        <w:rPr>
          <w:lang w:val="es-ES"/>
        </w:rPr>
        <w:t>de</w:t>
      </w:r>
      <w:r w:rsidR="00DB61C4" w:rsidRPr="002261B9">
        <w:rPr>
          <w:lang w:val="es-ES"/>
        </w:rPr>
        <w:t xml:space="preserve"> la descomposición de EAFP, FP o FPFP</w:t>
      </w:r>
      <w:r w:rsidR="009111AC" w:rsidRPr="002261B9">
        <w:rPr>
          <w:lang w:val="es-ES"/>
        </w:rPr>
        <w:t xml:space="preserve"> (</w:t>
      </w:r>
      <w:r w:rsidR="00F13B21" w:rsidRPr="002261B9">
        <w:rPr>
          <w:lang w:val="es-ES"/>
        </w:rPr>
        <w:t>véase</w:t>
      </w:r>
      <w:r w:rsidR="00DB61C4" w:rsidRPr="002261B9">
        <w:rPr>
          <w:lang w:val="es-ES"/>
        </w:rPr>
        <w:t>, por ejemplo,</w:t>
      </w:r>
      <w:r w:rsidR="009111AC" w:rsidRPr="002261B9">
        <w:rPr>
          <w:lang w:val="es-ES"/>
        </w:rPr>
        <w:t xml:space="preserve"> Klein</w:t>
      </w:r>
      <w:r w:rsidR="009D4060" w:rsidRPr="002261B9">
        <w:rPr>
          <w:lang w:val="es-ES"/>
        </w:rPr>
        <w:t>,</w:t>
      </w:r>
      <w:r w:rsidR="009111AC" w:rsidRPr="002261B9">
        <w:rPr>
          <w:lang w:val="es-ES"/>
        </w:rPr>
        <w:t xml:space="preserve"> 2013).</w:t>
      </w:r>
    </w:p>
    <w:p w14:paraId="7B72F92D" w14:textId="73E84BC0" w:rsidR="00072ABD" w:rsidRPr="002261B9" w:rsidRDefault="00A32095" w:rsidP="00F45508">
      <w:pPr>
        <w:pStyle w:val="Paralevel1"/>
        <w:numPr>
          <w:ilvl w:val="0"/>
          <w:numId w:val="23"/>
        </w:numPr>
        <w:tabs>
          <w:tab w:val="clear" w:pos="0"/>
        </w:tabs>
        <w:ind w:left="1247" w:firstLine="0"/>
        <w:rPr>
          <w:lang w:val="es-ES"/>
        </w:rPr>
      </w:pPr>
      <w:r w:rsidRPr="002261B9">
        <w:rPr>
          <w:lang w:val="es-ES"/>
        </w:rPr>
        <w:t xml:space="preserve">Las </w:t>
      </w:r>
      <w:r w:rsidR="00BE5E07" w:rsidRPr="002261B9">
        <w:rPr>
          <w:lang w:val="es-ES"/>
        </w:rPr>
        <w:t>o</w:t>
      </w:r>
      <w:r w:rsidRPr="002261B9">
        <w:rPr>
          <w:rFonts w:eastAsia="MS Mincho"/>
          <w:lang w:val="es-ES"/>
        </w:rPr>
        <w:t xml:space="preserve">rientaciones para las mejores técnicas disponibles y mejores prácticas ambientales para el uso del PFOS y sustancias químicas afines </w:t>
      </w:r>
      <w:r w:rsidRPr="002261B9">
        <w:rPr>
          <w:lang w:val="es-ES"/>
        </w:rPr>
        <w:t>incluidas</w:t>
      </w:r>
      <w:r w:rsidRPr="002261B9">
        <w:rPr>
          <w:rFonts w:eastAsia="MS Mincho"/>
          <w:lang w:val="es-ES"/>
        </w:rPr>
        <w:t xml:space="preserve"> en la lista del Convenio de Estocolmo sobre Contaminantes Orgánicos Persistentes</w:t>
      </w:r>
      <w:r w:rsidR="00072ABD" w:rsidRPr="002261B9">
        <w:rPr>
          <w:lang w:val="es-ES"/>
        </w:rPr>
        <w:t xml:space="preserve"> (</w:t>
      </w:r>
      <w:r w:rsidR="00B92813" w:rsidRPr="002261B9">
        <w:rPr>
          <w:lang w:val="es-ES"/>
        </w:rPr>
        <w:t>PNUMA</w:t>
      </w:r>
      <w:r w:rsidR="009D4060" w:rsidRPr="002261B9">
        <w:rPr>
          <w:lang w:val="es-ES"/>
        </w:rPr>
        <w:t>,</w:t>
      </w:r>
      <w:r w:rsidR="00DA2C25" w:rsidRPr="002261B9">
        <w:rPr>
          <w:lang w:val="es-ES"/>
        </w:rPr>
        <w:t xml:space="preserve"> </w:t>
      </w:r>
      <w:r w:rsidR="00072ABD" w:rsidRPr="002261B9">
        <w:rPr>
          <w:lang w:val="es-ES"/>
        </w:rPr>
        <w:t>2017) confirm</w:t>
      </w:r>
      <w:r w:rsidR="00B92813" w:rsidRPr="002261B9">
        <w:rPr>
          <w:lang w:val="es-ES"/>
        </w:rPr>
        <w:t>a</w:t>
      </w:r>
      <w:r w:rsidRPr="002261B9">
        <w:rPr>
          <w:lang w:val="es-ES"/>
        </w:rPr>
        <w:t>n</w:t>
      </w:r>
      <w:r w:rsidR="00072ABD" w:rsidRPr="002261B9">
        <w:rPr>
          <w:lang w:val="es-ES"/>
        </w:rPr>
        <w:t xml:space="preserve"> </w:t>
      </w:r>
      <w:r w:rsidR="00B92813" w:rsidRPr="002261B9">
        <w:rPr>
          <w:lang w:val="es-ES"/>
        </w:rPr>
        <w:t>la existencia de espumas fluoradas que ya se están usando</w:t>
      </w:r>
      <w:r w:rsidR="00072ABD" w:rsidRPr="002261B9">
        <w:rPr>
          <w:lang w:val="es-ES"/>
        </w:rPr>
        <w:t>.</w:t>
      </w:r>
      <w:r w:rsidR="00284890" w:rsidRPr="002261B9">
        <w:rPr>
          <w:lang w:val="es-ES"/>
        </w:rPr>
        <w:t xml:space="preserve"> </w:t>
      </w:r>
      <w:r w:rsidRPr="002261B9">
        <w:rPr>
          <w:lang w:val="es-ES"/>
        </w:rPr>
        <w:t xml:space="preserve">Según un </w:t>
      </w:r>
      <w:r w:rsidR="00E270A4" w:rsidRPr="002261B9">
        <w:rPr>
          <w:lang w:val="es-ES"/>
        </w:rPr>
        <w:t>examen</w:t>
      </w:r>
      <w:r w:rsidRPr="002261B9">
        <w:rPr>
          <w:lang w:val="es-ES"/>
        </w:rPr>
        <w:t xml:space="preserve"> realizado por el Gobierno de </w:t>
      </w:r>
      <w:r w:rsidR="00174EE0" w:rsidRPr="002261B9">
        <w:rPr>
          <w:lang w:val="es-ES"/>
        </w:rPr>
        <w:t>Queensland</w:t>
      </w:r>
      <w:r w:rsidR="00C27ABC" w:rsidRPr="002261B9">
        <w:rPr>
          <w:lang w:val="es-ES"/>
        </w:rPr>
        <w:t xml:space="preserve"> (</w:t>
      </w:r>
      <w:r w:rsidR="00174EE0" w:rsidRPr="002261B9">
        <w:rPr>
          <w:lang w:val="es-ES"/>
        </w:rPr>
        <w:t>Australia</w:t>
      </w:r>
      <w:r w:rsidR="00C27ABC" w:rsidRPr="002261B9">
        <w:rPr>
          <w:lang w:val="es-ES"/>
        </w:rPr>
        <w:t>)</w:t>
      </w:r>
      <w:r w:rsidR="00174EE0" w:rsidRPr="002261B9">
        <w:rPr>
          <w:lang w:val="es-ES"/>
        </w:rPr>
        <w:t xml:space="preserve">, </w:t>
      </w:r>
      <w:r w:rsidRPr="002261B9">
        <w:rPr>
          <w:lang w:val="es-ES"/>
        </w:rPr>
        <w:t xml:space="preserve">se reconoce que muchas espumas sin flúor </w:t>
      </w:r>
      <w:r w:rsidR="00E1011E" w:rsidRPr="002261B9">
        <w:rPr>
          <w:lang w:val="es-ES"/>
        </w:rPr>
        <w:t>“</w:t>
      </w:r>
      <w:r w:rsidRPr="002261B9">
        <w:rPr>
          <w:lang w:val="es-ES"/>
        </w:rPr>
        <w:t>cumplen las normas más estrictas de extinción de incendios y superan los resultados obtenidos con espumas fluoradas formadoras de películas en diversas circunstancias</w:t>
      </w:r>
      <w:r w:rsidR="00E1011E" w:rsidRPr="002261B9">
        <w:rPr>
          <w:lang w:val="es-ES"/>
        </w:rPr>
        <w:t>”</w:t>
      </w:r>
      <w:r w:rsidRPr="002261B9">
        <w:rPr>
          <w:lang w:val="es-ES"/>
        </w:rPr>
        <w:t xml:space="preserve"> y que las espumas sin flúor son utilizadas ampliamente en los aeropuertos y otras instalaciones, entre otras, las plataformas de extracción de petróleo y gas</w:t>
      </w:r>
      <w:r w:rsidR="00D3527A" w:rsidRPr="002261B9">
        <w:rPr>
          <w:lang w:val="es-ES"/>
        </w:rPr>
        <w:t xml:space="preserve"> (</w:t>
      </w:r>
      <w:r w:rsidR="00F13B21" w:rsidRPr="002261B9">
        <w:rPr>
          <w:lang w:val="es-ES"/>
        </w:rPr>
        <w:t>véase</w:t>
      </w:r>
      <w:r w:rsidR="00D3527A" w:rsidRPr="002261B9">
        <w:rPr>
          <w:lang w:val="es-ES"/>
        </w:rPr>
        <w:t xml:space="preserve"> </w:t>
      </w:r>
      <w:r w:rsidRPr="002261B9">
        <w:rPr>
          <w:lang w:val="es-ES"/>
        </w:rPr>
        <w:t xml:space="preserve">Gobierno de </w:t>
      </w:r>
      <w:r w:rsidR="00D3527A" w:rsidRPr="002261B9">
        <w:rPr>
          <w:lang w:val="es-ES"/>
        </w:rPr>
        <w:t>Queensland</w:t>
      </w:r>
      <w:r w:rsidR="009D4060" w:rsidRPr="002261B9">
        <w:rPr>
          <w:lang w:val="es-ES"/>
        </w:rPr>
        <w:t>,</w:t>
      </w:r>
      <w:r w:rsidR="00D3527A" w:rsidRPr="002261B9">
        <w:rPr>
          <w:lang w:val="es-ES"/>
        </w:rPr>
        <w:t xml:space="preserve"> 2016</w:t>
      </w:r>
      <w:r w:rsidR="00127DF3" w:rsidRPr="002261B9">
        <w:rPr>
          <w:lang w:val="es-ES"/>
        </w:rPr>
        <w:t>b</w:t>
      </w:r>
      <w:r w:rsidR="00D3527A" w:rsidRPr="002261B9">
        <w:rPr>
          <w:lang w:val="es-ES"/>
        </w:rPr>
        <w:t>).</w:t>
      </w:r>
      <w:r w:rsidR="00284890" w:rsidRPr="002261B9">
        <w:rPr>
          <w:lang w:val="es-ES"/>
        </w:rPr>
        <w:t xml:space="preserve"> </w:t>
      </w:r>
      <w:r w:rsidRPr="002261B9">
        <w:rPr>
          <w:lang w:val="es-ES"/>
        </w:rPr>
        <w:t>Según las Fuerzas Armadas de Suecia, es difícil encontrar alternativas sin flúor que cumplan requisitos de seguridad específicos</w:t>
      </w:r>
      <w:r w:rsidR="002A57E3" w:rsidRPr="002261B9">
        <w:rPr>
          <w:lang w:val="es-ES"/>
        </w:rPr>
        <w:t xml:space="preserve"> (</w:t>
      </w:r>
      <w:r w:rsidR="00F13B21" w:rsidRPr="002261B9">
        <w:rPr>
          <w:lang w:val="es-ES"/>
        </w:rPr>
        <w:t>véase</w:t>
      </w:r>
      <w:r w:rsidR="002A57E3" w:rsidRPr="002261B9">
        <w:rPr>
          <w:lang w:val="es-ES"/>
        </w:rPr>
        <w:t xml:space="preserve"> </w:t>
      </w:r>
      <w:r w:rsidR="00A76D63" w:rsidRPr="002261B9">
        <w:rPr>
          <w:lang w:val="es-ES"/>
        </w:rPr>
        <w:t>Organismo Sueco de Productos Químicos</w:t>
      </w:r>
      <w:r w:rsidR="009D4060" w:rsidRPr="002261B9">
        <w:rPr>
          <w:lang w:val="es-ES"/>
        </w:rPr>
        <w:t>,</w:t>
      </w:r>
      <w:r w:rsidR="002A57E3" w:rsidRPr="002261B9">
        <w:rPr>
          <w:lang w:val="es-ES"/>
        </w:rPr>
        <w:t>2016)</w:t>
      </w:r>
      <w:r w:rsidR="00BE5E07" w:rsidRPr="002261B9">
        <w:rPr>
          <w:lang w:val="es-ES"/>
        </w:rPr>
        <w:t>.</w:t>
      </w:r>
    </w:p>
    <w:p w14:paraId="04CE32CE" w14:textId="68F67C97" w:rsidR="000770E2" w:rsidRPr="002261B9" w:rsidRDefault="00DB61C4" w:rsidP="00F45508">
      <w:pPr>
        <w:pStyle w:val="Paralevel1"/>
        <w:numPr>
          <w:ilvl w:val="0"/>
          <w:numId w:val="23"/>
        </w:numPr>
        <w:tabs>
          <w:tab w:val="clear" w:pos="0"/>
        </w:tabs>
        <w:ind w:left="1247" w:firstLine="0"/>
        <w:rPr>
          <w:lang w:val="es-ES"/>
        </w:rPr>
      </w:pPr>
      <w:r w:rsidRPr="002261B9">
        <w:rPr>
          <w:lang w:val="es-ES"/>
        </w:rPr>
        <w:t>Los fabricantes y algunos usuarios señalan que las espumas ignífugas sin flúor no surten efectos ignífugos comparables a los de las espumas con fluorosurfactantes</w:t>
      </w:r>
      <w:r w:rsidR="000770E2" w:rsidRPr="002261B9">
        <w:rPr>
          <w:lang w:val="es-ES"/>
        </w:rPr>
        <w:t xml:space="preserve">. </w:t>
      </w:r>
      <w:r w:rsidR="00BE5E07" w:rsidRPr="002261B9">
        <w:rPr>
          <w:lang w:val="es-ES"/>
        </w:rPr>
        <w:t>A diferencia de</w:t>
      </w:r>
      <w:r w:rsidR="001263E0" w:rsidRPr="002261B9">
        <w:rPr>
          <w:lang w:val="es-ES"/>
        </w:rPr>
        <w:t xml:space="preserve"> lo que ocurre con las espumas ignífugas a base de flúor, hace falta aproximadamente el doble de agua y de concentrado espumoso para extinguir incendios líquidos</w:t>
      </w:r>
      <w:r w:rsidR="000770E2" w:rsidRPr="002261B9">
        <w:rPr>
          <w:lang w:val="es-ES"/>
        </w:rPr>
        <w:t xml:space="preserve">. </w:t>
      </w:r>
      <w:r w:rsidR="009D4060" w:rsidRPr="002261B9">
        <w:rPr>
          <w:lang w:val="es-ES"/>
        </w:rPr>
        <w:t>Según algunos fabricantes de espumas con fluorosurfactantes, a</w:t>
      </w:r>
      <w:r w:rsidR="001263E0" w:rsidRPr="002261B9">
        <w:rPr>
          <w:lang w:val="es-ES"/>
        </w:rPr>
        <w:t>lgunos análisis confirman que las espumas ignífugas sin flúor posiblemente brinden menos protección contra la reignición</w:t>
      </w:r>
      <w:r w:rsidR="000770E2" w:rsidRPr="002261B9">
        <w:rPr>
          <w:lang w:val="es-ES"/>
        </w:rPr>
        <w:t xml:space="preserve">, </w:t>
      </w:r>
      <w:r w:rsidR="001263E0" w:rsidRPr="002261B9">
        <w:rPr>
          <w:lang w:val="es-ES"/>
        </w:rPr>
        <w:t>lo que imposibilita aplicar esta alternativa en determinadas operaciones</w:t>
      </w:r>
      <w:r w:rsidR="004833D0" w:rsidRPr="002261B9">
        <w:rPr>
          <w:lang w:val="es-ES"/>
        </w:rPr>
        <w:t xml:space="preserve"> (</w:t>
      </w:r>
      <w:r w:rsidR="00A76D63" w:rsidRPr="002261B9">
        <w:rPr>
          <w:lang w:val="es-ES"/>
        </w:rPr>
        <w:t>Organismo Sueco de Productos Químicos</w:t>
      </w:r>
      <w:r w:rsidR="004904E9" w:rsidRPr="002261B9">
        <w:rPr>
          <w:lang w:val="es-ES"/>
        </w:rPr>
        <w:t>,</w:t>
      </w:r>
      <w:r w:rsidR="006F57D4" w:rsidRPr="002261B9">
        <w:rPr>
          <w:lang w:val="es-ES"/>
        </w:rPr>
        <w:t xml:space="preserve"> 2</w:t>
      </w:r>
      <w:r w:rsidR="000770E2" w:rsidRPr="002261B9">
        <w:rPr>
          <w:lang w:val="es-ES"/>
        </w:rPr>
        <w:t>015</w:t>
      </w:r>
      <w:r w:rsidR="00452DB2" w:rsidRPr="002261B9">
        <w:rPr>
          <w:lang w:val="es-ES"/>
        </w:rPr>
        <w:t>)</w:t>
      </w:r>
      <w:r w:rsidR="000770E2" w:rsidRPr="002261B9">
        <w:rPr>
          <w:lang w:val="es-ES"/>
        </w:rPr>
        <w:t xml:space="preserve">. </w:t>
      </w:r>
      <w:r w:rsidRPr="002261B9">
        <w:rPr>
          <w:lang w:val="es-ES"/>
        </w:rPr>
        <w:t xml:space="preserve">Según la </w:t>
      </w:r>
      <w:r w:rsidR="00C27ABC" w:rsidRPr="002261B9">
        <w:rPr>
          <w:lang w:val="es-ES"/>
        </w:rPr>
        <w:t>Coalición sobre Espumas Ignífugas</w:t>
      </w:r>
      <w:r w:rsidR="000770E2" w:rsidRPr="002261B9">
        <w:rPr>
          <w:lang w:val="es-ES"/>
        </w:rPr>
        <w:t xml:space="preserve"> (FFFC</w:t>
      </w:r>
      <w:r w:rsidR="00C27ABC" w:rsidRPr="002261B9">
        <w:rPr>
          <w:lang w:val="es-ES"/>
        </w:rPr>
        <w:t>, por sus siglas en inglés</w:t>
      </w:r>
      <w:r w:rsidR="000770E2" w:rsidRPr="002261B9">
        <w:rPr>
          <w:lang w:val="es-ES"/>
        </w:rPr>
        <w:t>)</w:t>
      </w:r>
      <w:r w:rsidRPr="002261B9">
        <w:rPr>
          <w:lang w:val="es-ES"/>
        </w:rPr>
        <w:t xml:space="preserve">, las </w:t>
      </w:r>
      <w:r w:rsidR="00C27ABC" w:rsidRPr="002261B9">
        <w:rPr>
          <w:lang w:val="es-ES"/>
        </w:rPr>
        <w:t>espumas acuosas formadoras de películas</w:t>
      </w:r>
      <w:r w:rsidRPr="002261B9">
        <w:rPr>
          <w:lang w:val="es-ES"/>
        </w:rPr>
        <w:t xml:space="preserve"> que contienen fluorosurfactantes a base de fluorotelómeros son las más eficaces que existen actualmente para </w:t>
      </w:r>
      <w:r w:rsidR="001263E0" w:rsidRPr="002261B9">
        <w:rPr>
          <w:lang w:val="es-ES"/>
        </w:rPr>
        <w:t>extinguir incendios causados por líquidos inflamables en aplicaciones militares, industriales, municipales y en la aviación</w:t>
      </w:r>
      <w:r w:rsidR="000770E2" w:rsidRPr="002261B9">
        <w:rPr>
          <w:lang w:val="es-ES"/>
        </w:rPr>
        <w:t xml:space="preserve">. </w:t>
      </w:r>
      <w:r w:rsidR="001263E0" w:rsidRPr="002261B9">
        <w:rPr>
          <w:lang w:val="es-ES"/>
        </w:rPr>
        <w:t>Los datos obtenidos en ensayos proporcionados por los Laboratorios de Investigaciones Navales de los Estados Unidos</w:t>
      </w:r>
      <w:r w:rsidR="000770E2" w:rsidRPr="002261B9">
        <w:rPr>
          <w:lang w:val="es-ES"/>
        </w:rPr>
        <w:t xml:space="preserve"> (NRL) (NRL</w:t>
      </w:r>
      <w:r w:rsidR="009D4060" w:rsidRPr="002261B9">
        <w:rPr>
          <w:lang w:val="es-ES"/>
        </w:rPr>
        <w:t>,</w:t>
      </w:r>
      <w:r w:rsidR="000770E2" w:rsidRPr="002261B9">
        <w:rPr>
          <w:lang w:val="es-ES"/>
        </w:rPr>
        <w:t xml:space="preserve">2016) </w:t>
      </w:r>
      <w:r w:rsidR="001263E0" w:rsidRPr="002261B9">
        <w:rPr>
          <w:lang w:val="es-ES"/>
        </w:rPr>
        <w:t>demostraron que, e</w:t>
      </w:r>
      <w:r w:rsidR="000770E2" w:rsidRPr="002261B9">
        <w:rPr>
          <w:lang w:val="es-ES"/>
        </w:rPr>
        <w:t xml:space="preserve">n </w:t>
      </w:r>
      <w:r w:rsidR="00D0648A" w:rsidRPr="002261B9">
        <w:rPr>
          <w:lang w:val="es-ES"/>
        </w:rPr>
        <w:t>ensayos combinados de extinción de incendios</w:t>
      </w:r>
      <w:r w:rsidR="000770E2" w:rsidRPr="002261B9">
        <w:rPr>
          <w:lang w:val="es-ES"/>
        </w:rPr>
        <w:t xml:space="preserve">, </w:t>
      </w:r>
      <w:r w:rsidR="001263E0" w:rsidRPr="002261B9">
        <w:rPr>
          <w:lang w:val="es-ES"/>
        </w:rPr>
        <w:t xml:space="preserve">una EAFP logró la extinción total </w:t>
      </w:r>
      <w:r w:rsidR="00B92813" w:rsidRPr="002261B9">
        <w:rPr>
          <w:lang w:val="es-ES"/>
        </w:rPr>
        <w:t xml:space="preserve">con la espuma sin flúor </w:t>
      </w:r>
      <w:r w:rsidR="001263E0" w:rsidRPr="002261B9">
        <w:rPr>
          <w:lang w:val="es-ES"/>
        </w:rPr>
        <w:t>en</w:t>
      </w:r>
      <w:r w:rsidR="00A7208D" w:rsidRPr="002261B9">
        <w:rPr>
          <w:lang w:val="es-ES"/>
        </w:rPr>
        <w:t> </w:t>
      </w:r>
      <w:r w:rsidR="000770E2" w:rsidRPr="002261B9">
        <w:rPr>
          <w:lang w:val="es-ES"/>
        </w:rPr>
        <w:t>18 se</w:t>
      </w:r>
      <w:r w:rsidR="001263E0" w:rsidRPr="002261B9">
        <w:rPr>
          <w:lang w:val="es-ES"/>
        </w:rPr>
        <w:t xml:space="preserve">gundos y no en </w:t>
      </w:r>
      <w:r w:rsidR="000770E2" w:rsidRPr="002261B9">
        <w:rPr>
          <w:lang w:val="es-ES"/>
        </w:rPr>
        <w:t>40 se</w:t>
      </w:r>
      <w:r w:rsidR="001263E0" w:rsidRPr="002261B9">
        <w:rPr>
          <w:lang w:val="es-ES"/>
        </w:rPr>
        <w:t>gundos</w:t>
      </w:r>
      <w:r w:rsidR="000770E2" w:rsidRPr="002261B9">
        <w:rPr>
          <w:lang w:val="es-ES"/>
        </w:rPr>
        <w:t xml:space="preserve">. </w:t>
      </w:r>
      <w:r w:rsidR="00786663" w:rsidRPr="002261B9">
        <w:rPr>
          <w:lang w:val="es-ES"/>
        </w:rPr>
        <w:t>En ensayos de degradación de las espumas, la espuma sin flúor degrad</w:t>
      </w:r>
      <w:r w:rsidR="00B92813" w:rsidRPr="002261B9">
        <w:rPr>
          <w:lang w:val="es-ES"/>
        </w:rPr>
        <w:t>ó</w:t>
      </w:r>
      <w:r w:rsidR="00786663" w:rsidRPr="002261B9">
        <w:rPr>
          <w:lang w:val="es-ES"/>
        </w:rPr>
        <w:t xml:space="preserve"> al cabo de 1 a 2 minutos, mientras que la EAFP demoró </w:t>
      </w:r>
      <w:r w:rsidR="000770E2" w:rsidRPr="002261B9">
        <w:rPr>
          <w:lang w:val="es-ES"/>
        </w:rPr>
        <w:t>35 minut</w:t>
      </w:r>
      <w:r w:rsidR="00786663" w:rsidRPr="002261B9">
        <w:rPr>
          <w:lang w:val="es-ES"/>
        </w:rPr>
        <w:t xml:space="preserve">os </w:t>
      </w:r>
      <w:r w:rsidR="00C27ABC" w:rsidRPr="002261B9">
        <w:rPr>
          <w:lang w:val="es-ES"/>
        </w:rPr>
        <w:t xml:space="preserve">en </w:t>
      </w:r>
      <w:r w:rsidR="00786663" w:rsidRPr="002261B9">
        <w:rPr>
          <w:lang w:val="es-ES"/>
        </w:rPr>
        <w:t>degradarse</w:t>
      </w:r>
      <w:r w:rsidR="000770E2" w:rsidRPr="002261B9">
        <w:rPr>
          <w:lang w:val="es-ES"/>
        </w:rPr>
        <w:t xml:space="preserve">. </w:t>
      </w:r>
      <w:r w:rsidR="00786663" w:rsidRPr="002261B9">
        <w:rPr>
          <w:lang w:val="es-ES"/>
        </w:rPr>
        <w:t>La</w:t>
      </w:r>
      <w:r w:rsidR="000770E2" w:rsidRPr="002261B9">
        <w:rPr>
          <w:lang w:val="es-ES"/>
        </w:rPr>
        <w:t xml:space="preserve"> FFFC </w:t>
      </w:r>
      <w:r w:rsidR="00786663" w:rsidRPr="002261B9">
        <w:rPr>
          <w:lang w:val="es-ES"/>
        </w:rPr>
        <w:t xml:space="preserve">no </w:t>
      </w:r>
      <w:r w:rsidR="00B92813" w:rsidRPr="002261B9">
        <w:rPr>
          <w:lang w:val="es-ES"/>
        </w:rPr>
        <w:t>comparte</w:t>
      </w:r>
      <w:r w:rsidR="00786663" w:rsidRPr="002261B9">
        <w:rPr>
          <w:lang w:val="es-ES"/>
        </w:rPr>
        <w:t xml:space="preserve"> la opini</w:t>
      </w:r>
      <w:r w:rsidR="00D0648A" w:rsidRPr="002261B9">
        <w:rPr>
          <w:lang w:val="es-ES"/>
        </w:rPr>
        <w:t>ó</w:t>
      </w:r>
      <w:r w:rsidR="00786663" w:rsidRPr="002261B9">
        <w:rPr>
          <w:lang w:val="es-ES"/>
        </w:rPr>
        <w:t xml:space="preserve">n de que ya no son necesarias las EAFP y recomienda su uso solo en circunstancias específicas, en que </w:t>
      </w:r>
      <w:r w:rsidR="00D0648A" w:rsidRPr="002261B9">
        <w:rPr>
          <w:lang w:val="es-ES"/>
        </w:rPr>
        <w:t>se corra un riesgo de envergadura debido a un líquido inflamable</w:t>
      </w:r>
      <w:r w:rsidR="000770E2" w:rsidRPr="002261B9">
        <w:rPr>
          <w:lang w:val="es-ES"/>
        </w:rPr>
        <w:t xml:space="preserve"> </w:t>
      </w:r>
      <w:r w:rsidR="00786663" w:rsidRPr="002261B9">
        <w:rPr>
          <w:lang w:val="es-ES"/>
        </w:rPr>
        <w:t>y que, al usar las EAFP, se apliquen todas las medidas disponibles para minimizar las emisiones al más bajo nivel posible</w:t>
      </w:r>
      <w:r w:rsidR="000770E2" w:rsidRPr="002261B9">
        <w:rPr>
          <w:lang w:val="es-ES"/>
        </w:rPr>
        <w:t xml:space="preserve"> (FFFC</w:t>
      </w:r>
      <w:r w:rsidR="009D4060" w:rsidRPr="002261B9">
        <w:rPr>
          <w:lang w:val="es-ES"/>
        </w:rPr>
        <w:t>,</w:t>
      </w:r>
      <w:r w:rsidR="000770E2" w:rsidRPr="002261B9">
        <w:rPr>
          <w:lang w:val="es-ES"/>
        </w:rPr>
        <w:t>2017).</w:t>
      </w:r>
      <w:r w:rsidR="00786663" w:rsidRPr="002261B9">
        <w:rPr>
          <w:lang w:val="es-ES"/>
        </w:rPr>
        <w:t xml:space="preserve"> No obstante</w:t>
      </w:r>
      <w:r w:rsidR="008870A5" w:rsidRPr="002261B9">
        <w:rPr>
          <w:lang w:val="es-ES"/>
        </w:rPr>
        <w:t xml:space="preserve">, </w:t>
      </w:r>
      <w:r w:rsidR="00D0648A" w:rsidRPr="002261B9">
        <w:rPr>
          <w:lang w:val="es-ES"/>
        </w:rPr>
        <w:t>los factores de bloqueo</w:t>
      </w:r>
      <w:r w:rsidR="008870A5" w:rsidRPr="002261B9">
        <w:rPr>
          <w:lang w:val="es-ES"/>
        </w:rPr>
        <w:t xml:space="preserve"> (</w:t>
      </w:r>
      <w:r w:rsidR="00786663" w:rsidRPr="002261B9">
        <w:rPr>
          <w:lang w:val="es-ES"/>
        </w:rPr>
        <w:t xml:space="preserve">por ejemplo, </w:t>
      </w:r>
      <w:r w:rsidR="00D0648A" w:rsidRPr="002261B9">
        <w:rPr>
          <w:lang w:val="es-ES"/>
        </w:rPr>
        <w:t xml:space="preserve">la </w:t>
      </w:r>
      <w:r w:rsidR="00786663" w:rsidRPr="002261B9">
        <w:rPr>
          <w:lang w:val="es-ES"/>
        </w:rPr>
        <w:t>supresión del vapor</w:t>
      </w:r>
      <w:r w:rsidR="008870A5" w:rsidRPr="002261B9">
        <w:rPr>
          <w:lang w:val="es-ES"/>
        </w:rPr>
        <w:t>)</w:t>
      </w:r>
      <w:r w:rsidR="00B92813" w:rsidRPr="002261B9">
        <w:rPr>
          <w:lang w:val="es-ES"/>
        </w:rPr>
        <w:t xml:space="preserve"> fueron indistinguibles </w:t>
      </w:r>
      <w:r w:rsidR="00D0648A" w:rsidRPr="002261B9">
        <w:rPr>
          <w:lang w:val="es-ES"/>
        </w:rPr>
        <w:t>entre la espuma sin flúor y las dos EAFP que se usaron en el ensayo</w:t>
      </w:r>
      <w:r w:rsidR="008870A5" w:rsidRPr="002261B9">
        <w:rPr>
          <w:lang w:val="es-ES"/>
        </w:rPr>
        <w:t xml:space="preserve"> (Williams </w:t>
      </w:r>
      <w:r w:rsidR="00D0648A" w:rsidRPr="002261B9">
        <w:rPr>
          <w:lang w:val="es-ES"/>
        </w:rPr>
        <w:t>y otros</w:t>
      </w:r>
      <w:r w:rsidR="009D4060" w:rsidRPr="002261B9">
        <w:rPr>
          <w:lang w:val="es-ES"/>
        </w:rPr>
        <w:t>,</w:t>
      </w:r>
      <w:r w:rsidR="008870A5" w:rsidRPr="002261B9">
        <w:rPr>
          <w:lang w:val="es-ES"/>
        </w:rPr>
        <w:t xml:space="preserve"> 2011</w:t>
      </w:r>
      <w:r w:rsidR="00BE5E07" w:rsidRPr="002261B9">
        <w:rPr>
          <w:lang w:val="es-ES"/>
        </w:rPr>
        <w:t>)</w:t>
      </w:r>
      <w:r w:rsidR="008870A5" w:rsidRPr="002261B9">
        <w:rPr>
          <w:lang w:val="es-ES"/>
        </w:rPr>
        <w:t xml:space="preserve">. </w:t>
      </w:r>
      <w:r w:rsidR="00786663" w:rsidRPr="002261B9">
        <w:rPr>
          <w:lang w:val="es-ES"/>
        </w:rPr>
        <w:t xml:space="preserve">Los aeropuertos y las empresas </w:t>
      </w:r>
      <w:r w:rsidR="00C27ABC" w:rsidRPr="002261B9">
        <w:rPr>
          <w:lang w:val="es-ES"/>
        </w:rPr>
        <w:t xml:space="preserve">que operan frente a la </w:t>
      </w:r>
      <w:r w:rsidR="00D0648A" w:rsidRPr="002261B9">
        <w:rPr>
          <w:lang w:val="es-ES"/>
        </w:rPr>
        <w:t xml:space="preserve">costa </w:t>
      </w:r>
      <w:r w:rsidR="00C27ABC" w:rsidRPr="002261B9">
        <w:rPr>
          <w:lang w:val="es-ES"/>
        </w:rPr>
        <w:t>en</w:t>
      </w:r>
      <w:r w:rsidR="00786663" w:rsidRPr="002261B9">
        <w:rPr>
          <w:lang w:val="es-ES"/>
        </w:rPr>
        <w:t xml:space="preserve"> todo el mundo han introducido las espumas sin flúor y están satisfechas con los resultados</w:t>
      </w:r>
      <w:r w:rsidR="008870A5" w:rsidRPr="002261B9">
        <w:rPr>
          <w:lang w:val="es-ES"/>
        </w:rPr>
        <w:t>.</w:t>
      </w:r>
    </w:p>
    <w:p w14:paraId="757FBB42" w14:textId="6E91ABBA" w:rsidR="00442F4E" w:rsidRPr="002261B9" w:rsidRDefault="00F62C5C" w:rsidP="00F45508">
      <w:pPr>
        <w:pStyle w:val="Paralevel1"/>
        <w:numPr>
          <w:ilvl w:val="0"/>
          <w:numId w:val="23"/>
        </w:numPr>
        <w:tabs>
          <w:tab w:val="clear" w:pos="0"/>
        </w:tabs>
        <w:ind w:left="1247" w:firstLine="0"/>
        <w:rPr>
          <w:lang w:val="es-ES"/>
        </w:rPr>
      </w:pPr>
      <w:bookmarkStart w:id="53" w:name="_Ref481077166"/>
      <w:r w:rsidRPr="002261B9">
        <w:rPr>
          <w:lang w:val="es-ES"/>
        </w:rPr>
        <w:lastRenderedPageBreak/>
        <w:t>Un fabricante de espumas español presentó los resultados de una serie de nuevos ensayos en incendios</w:t>
      </w:r>
      <w:r w:rsidR="00687945" w:rsidRPr="002261B9">
        <w:rPr>
          <w:lang w:val="es-ES"/>
        </w:rPr>
        <w:t xml:space="preserve"> (Wilson</w:t>
      </w:r>
      <w:r w:rsidR="009D4060" w:rsidRPr="002261B9">
        <w:rPr>
          <w:lang w:val="es-ES"/>
        </w:rPr>
        <w:t>,</w:t>
      </w:r>
      <w:r w:rsidR="00687945" w:rsidRPr="002261B9">
        <w:rPr>
          <w:lang w:val="es-ES"/>
        </w:rPr>
        <w:t xml:space="preserve"> 2016) </w:t>
      </w:r>
      <w:r w:rsidRPr="002261B9">
        <w:rPr>
          <w:lang w:val="es-ES"/>
        </w:rPr>
        <w:t xml:space="preserve">realizados con cinco agentes </w:t>
      </w:r>
      <w:r w:rsidR="00687945" w:rsidRPr="002261B9">
        <w:rPr>
          <w:lang w:val="es-ES"/>
        </w:rPr>
        <w:t>(C</w:t>
      </w:r>
      <w:r w:rsidR="00687945" w:rsidRPr="002261B9">
        <w:rPr>
          <w:vertAlign w:val="subscript"/>
          <w:lang w:val="es-ES"/>
        </w:rPr>
        <w:t>6</w:t>
      </w:r>
      <w:r w:rsidR="00687945" w:rsidRPr="002261B9">
        <w:rPr>
          <w:lang w:val="es-ES"/>
        </w:rPr>
        <w:t xml:space="preserve">) </w:t>
      </w:r>
      <w:r w:rsidR="00F83F07" w:rsidRPr="002261B9">
        <w:rPr>
          <w:lang w:val="es-ES"/>
        </w:rPr>
        <w:t>EAFP</w:t>
      </w:r>
      <w:r w:rsidR="00687945" w:rsidRPr="002261B9">
        <w:rPr>
          <w:lang w:val="es-ES"/>
        </w:rPr>
        <w:t xml:space="preserve"> </w:t>
      </w:r>
      <w:r w:rsidRPr="002261B9">
        <w:rPr>
          <w:lang w:val="es-ES"/>
        </w:rPr>
        <w:t>de cadena corta y cinco</w:t>
      </w:r>
      <w:r w:rsidR="00687945" w:rsidRPr="002261B9">
        <w:rPr>
          <w:lang w:val="es-ES"/>
        </w:rPr>
        <w:t xml:space="preserve"> </w:t>
      </w:r>
      <w:r w:rsidRPr="002261B9">
        <w:rPr>
          <w:lang w:val="es-ES"/>
        </w:rPr>
        <w:t>espumas sin flúor</w:t>
      </w:r>
      <w:r w:rsidR="00BE5E07" w:rsidRPr="002261B9">
        <w:rPr>
          <w:lang w:val="es-ES"/>
        </w:rPr>
        <w:t>,</w:t>
      </w:r>
      <w:r w:rsidRPr="002261B9">
        <w:rPr>
          <w:lang w:val="es-ES"/>
        </w:rPr>
        <w:t xml:space="preserve"> disponibles </w:t>
      </w:r>
      <w:r w:rsidR="00F83F07" w:rsidRPr="002261B9">
        <w:rPr>
          <w:lang w:val="es-ES"/>
        </w:rPr>
        <w:t>todos</w:t>
      </w:r>
      <w:r w:rsidR="00C27ABC" w:rsidRPr="002261B9">
        <w:rPr>
          <w:lang w:val="es-ES"/>
        </w:rPr>
        <w:t xml:space="preserve"> ellos</w:t>
      </w:r>
      <w:r w:rsidR="00F83F07" w:rsidRPr="002261B9">
        <w:rPr>
          <w:lang w:val="es-ES"/>
        </w:rPr>
        <w:t xml:space="preserve"> </w:t>
      </w:r>
      <w:r w:rsidRPr="002261B9">
        <w:rPr>
          <w:lang w:val="es-ES"/>
        </w:rPr>
        <w:t>en el mercado</w:t>
      </w:r>
      <w:r w:rsidR="00687945" w:rsidRPr="002261B9">
        <w:rPr>
          <w:lang w:val="es-ES"/>
        </w:rPr>
        <w:t xml:space="preserve"> (</w:t>
      </w:r>
      <w:r w:rsidRPr="002261B9">
        <w:rPr>
          <w:lang w:val="es-ES"/>
        </w:rPr>
        <w:t>los ensayos se realizaron con cuatro combustibles diferentes:</w:t>
      </w:r>
      <w:r w:rsidR="00687945" w:rsidRPr="002261B9">
        <w:rPr>
          <w:lang w:val="es-ES"/>
        </w:rPr>
        <w:t xml:space="preserve"> gasolin</w:t>
      </w:r>
      <w:r w:rsidRPr="002261B9">
        <w:rPr>
          <w:lang w:val="es-ES"/>
        </w:rPr>
        <w:t>a</w:t>
      </w:r>
      <w:r w:rsidR="00687945" w:rsidRPr="002261B9">
        <w:rPr>
          <w:lang w:val="es-ES"/>
        </w:rPr>
        <w:t>, heptan</w:t>
      </w:r>
      <w:r w:rsidRPr="002261B9">
        <w:rPr>
          <w:lang w:val="es-ES"/>
        </w:rPr>
        <w:t>o</w:t>
      </w:r>
      <w:r w:rsidR="00687945" w:rsidRPr="002261B9">
        <w:rPr>
          <w:lang w:val="es-ES"/>
        </w:rPr>
        <w:t xml:space="preserve">, </w:t>
      </w:r>
      <w:r w:rsidR="00F83F07" w:rsidRPr="002261B9">
        <w:rPr>
          <w:lang w:val="es-ES"/>
        </w:rPr>
        <w:t xml:space="preserve">combustible de turbina de aviación (jet A1) </w:t>
      </w:r>
      <w:r w:rsidRPr="002261B9">
        <w:rPr>
          <w:lang w:val="es-ES"/>
        </w:rPr>
        <w:t>y</w:t>
      </w:r>
      <w:r w:rsidR="00F83F07" w:rsidRPr="002261B9">
        <w:rPr>
          <w:lang w:val="es-ES"/>
        </w:rPr>
        <w:t xml:space="preserve"> dié</w:t>
      </w:r>
      <w:r w:rsidR="00687945" w:rsidRPr="002261B9">
        <w:rPr>
          <w:lang w:val="es-ES"/>
        </w:rPr>
        <w:t xml:space="preserve">sel). </w:t>
      </w:r>
      <w:r w:rsidRPr="002261B9">
        <w:rPr>
          <w:lang w:val="es-ES"/>
        </w:rPr>
        <w:t xml:space="preserve">Quedó demostrado que las </w:t>
      </w:r>
      <w:r w:rsidR="00F83F07" w:rsidRPr="002261B9">
        <w:rPr>
          <w:lang w:val="es-ES"/>
        </w:rPr>
        <w:t>E</w:t>
      </w:r>
      <w:r w:rsidR="00687945" w:rsidRPr="002261B9">
        <w:rPr>
          <w:lang w:val="es-ES"/>
        </w:rPr>
        <w:t>AF</w:t>
      </w:r>
      <w:r w:rsidR="00F83F07" w:rsidRPr="002261B9">
        <w:rPr>
          <w:lang w:val="es-ES"/>
        </w:rPr>
        <w:t>P</w:t>
      </w:r>
      <w:r w:rsidR="00687945" w:rsidRPr="002261B9">
        <w:rPr>
          <w:lang w:val="es-ES"/>
        </w:rPr>
        <w:t xml:space="preserve"> </w:t>
      </w:r>
      <w:r w:rsidRPr="002261B9">
        <w:rPr>
          <w:lang w:val="es-ES"/>
        </w:rPr>
        <w:t>de cadena corta lograban resultados cons</w:t>
      </w:r>
      <w:r w:rsidR="00B522E8" w:rsidRPr="002261B9">
        <w:rPr>
          <w:lang w:val="es-ES"/>
        </w:rPr>
        <w:t>i</w:t>
      </w:r>
      <w:r w:rsidRPr="002261B9">
        <w:rPr>
          <w:lang w:val="es-ES"/>
        </w:rPr>
        <w:t xml:space="preserve">derablemente mejores </w:t>
      </w:r>
      <w:r w:rsidR="00B522E8" w:rsidRPr="002261B9">
        <w:rPr>
          <w:lang w:val="es-ES"/>
        </w:rPr>
        <w:t xml:space="preserve">que las espumas sin flúor con </w:t>
      </w:r>
      <w:r w:rsidR="00F83F07" w:rsidRPr="002261B9">
        <w:rPr>
          <w:lang w:val="es-ES"/>
        </w:rPr>
        <w:t xml:space="preserve">todos </w:t>
      </w:r>
      <w:r w:rsidR="00B522E8" w:rsidRPr="002261B9">
        <w:rPr>
          <w:lang w:val="es-ES"/>
        </w:rPr>
        <w:t xml:space="preserve">los combustibles, menos el </w:t>
      </w:r>
      <w:r w:rsidR="00687945" w:rsidRPr="002261B9">
        <w:rPr>
          <w:lang w:val="es-ES"/>
        </w:rPr>
        <w:t>di</w:t>
      </w:r>
      <w:r w:rsidR="00F83F07" w:rsidRPr="002261B9">
        <w:rPr>
          <w:lang w:val="es-ES"/>
        </w:rPr>
        <w:t>é</w:t>
      </w:r>
      <w:r w:rsidR="00687945" w:rsidRPr="002261B9">
        <w:rPr>
          <w:lang w:val="es-ES"/>
        </w:rPr>
        <w:t>sel. N</w:t>
      </w:r>
      <w:r w:rsidR="00B522E8" w:rsidRPr="002261B9">
        <w:rPr>
          <w:lang w:val="es-ES"/>
        </w:rPr>
        <w:t xml:space="preserve">inguna de las espumas sin flúor logró extinguir el incendio con </w:t>
      </w:r>
      <w:r w:rsidR="00687945" w:rsidRPr="002261B9">
        <w:rPr>
          <w:lang w:val="es-ES"/>
        </w:rPr>
        <w:t>jet A1 (</w:t>
      </w:r>
      <w:r w:rsidR="00B522E8" w:rsidRPr="002261B9">
        <w:rPr>
          <w:lang w:val="es-ES"/>
        </w:rPr>
        <w:t xml:space="preserve">el combustible usado en las pruebas contra incendios de la Organización de Aeronáutica </w:t>
      </w:r>
      <w:r w:rsidR="007D6522" w:rsidRPr="002261B9">
        <w:rPr>
          <w:lang w:val="es-ES"/>
        </w:rPr>
        <w:t xml:space="preserve">Civil </w:t>
      </w:r>
      <w:r w:rsidR="00B522E8" w:rsidRPr="002261B9">
        <w:rPr>
          <w:lang w:val="es-ES"/>
        </w:rPr>
        <w:t xml:space="preserve">Internacional </w:t>
      </w:r>
      <w:r w:rsidR="007D6522" w:rsidRPr="002261B9">
        <w:rPr>
          <w:lang w:val="es-ES"/>
        </w:rPr>
        <w:t>(</w:t>
      </w:r>
      <w:r w:rsidR="00687945" w:rsidRPr="002261B9">
        <w:rPr>
          <w:lang w:val="es-ES"/>
        </w:rPr>
        <w:t>O</w:t>
      </w:r>
      <w:r w:rsidR="00B522E8" w:rsidRPr="002261B9">
        <w:rPr>
          <w:lang w:val="es-ES"/>
        </w:rPr>
        <w:t>ACI</w:t>
      </w:r>
      <w:r w:rsidR="007D6522" w:rsidRPr="002261B9">
        <w:rPr>
          <w:lang w:val="es-ES"/>
        </w:rPr>
        <w:t>)</w:t>
      </w:r>
      <w:r w:rsidR="00F83F07" w:rsidRPr="002261B9">
        <w:rPr>
          <w:lang w:val="es-ES"/>
        </w:rPr>
        <w:t>,</w:t>
      </w:r>
      <w:r w:rsidR="00687945" w:rsidRPr="002261B9">
        <w:rPr>
          <w:lang w:val="es-ES"/>
        </w:rPr>
        <w:t xml:space="preserve"> </w:t>
      </w:r>
      <w:r w:rsidR="00B522E8" w:rsidRPr="002261B9">
        <w:rPr>
          <w:lang w:val="es-ES"/>
        </w:rPr>
        <w:t>que determina la admisibilidad de espumas para su uso en los aeropuertos en muchos países</w:t>
      </w:r>
      <w:r w:rsidR="007D6522" w:rsidRPr="002261B9">
        <w:rPr>
          <w:lang w:val="es-ES"/>
        </w:rPr>
        <w:t>)</w:t>
      </w:r>
      <w:r w:rsidR="00687945" w:rsidRPr="002261B9">
        <w:rPr>
          <w:lang w:val="es-ES"/>
        </w:rPr>
        <w:t xml:space="preserve"> (FFFC</w:t>
      </w:r>
      <w:r w:rsidR="009D4060" w:rsidRPr="002261B9">
        <w:rPr>
          <w:lang w:val="es-ES"/>
        </w:rPr>
        <w:t>,</w:t>
      </w:r>
      <w:r w:rsidR="00687945" w:rsidRPr="002261B9">
        <w:rPr>
          <w:lang w:val="es-ES"/>
        </w:rPr>
        <w:t xml:space="preserve"> 2017).</w:t>
      </w:r>
      <w:bookmarkEnd w:id="53"/>
      <w:r w:rsidR="00A745A3" w:rsidRPr="002261B9">
        <w:rPr>
          <w:lang w:val="es-ES"/>
        </w:rPr>
        <w:t xml:space="preserve"> </w:t>
      </w:r>
      <w:r w:rsidR="00B522E8" w:rsidRPr="002261B9">
        <w:rPr>
          <w:lang w:val="es-ES"/>
        </w:rPr>
        <w:t>Sin embargo, en el mercado se pueden adquirir espumas sin flúor certificadas para diferentes grados por la OACI</w:t>
      </w:r>
      <w:r w:rsidR="00D70213" w:rsidRPr="002261B9">
        <w:rPr>
          <w:lang w:val="es-ES"/>
        </w:rPr>
        <w:t xml:space="preserve"> (</w:t>
      </w:r>
      <w:r w:rsidR="00B522E8" w:rsidRPr="002261B9">
        <w:rPr>
          <w:lang w:val="es-ES"/>
        </w:rPr>
        <w:t>cuyo uso se exige en los aeropuertos civiles</w:t>
      </w:r>
      <w:r w:rsidR="00D70213" w:rsidRPr="002261B9">
        <w:rPr>
          <w:lang w:val="es-ES"/>
        </w:rPr>
        <w:t>)</w:t>
      </w:r>
      <w:r w:rsidR="00A745A3" w:rsidRPr="002261B9">
        <w:rPr>
          <w:lang w:val="es-ES"/>
        </w:rPr>
        <w:t xml:space="preserve"> (</w:t>
      </w:r>
      <w:r w:rsidR="00F13B21" w:rsidRPr="002261B9">
        <w:rPr>
          <w:lang w:val="es-ES"/>
        </w:rPr>
        <w:t>véase</w:t>
      </w:r>
      <w:r w:rsidR="00A745A3" w:rsidRPr="002261B9">
        <w:rPr>
          <w:lang w:val="es-ES"/>
        </w:rPr>
        <w:t xml:space="preserve"> FFFP</w:t>
      </w:r>
      <w:r w:rsidR="009D4060" w:rsidRPr="002261B9">
        <w:rPr>
          <w:lang w:val="es-ES"/>
        </w:rPr>
        <w:t>,</w:t>
      </w:r>
      <w:r w:rsidR="00A745A3" w:rsidRPr="002261B9">
        <w:rPr>
          <w:lang w:val="es-ES"/>
        </w:rPr>
        <w:t xml:space="preserve"> 2017)</w:t>
      </w:r>
      <w:r w:rsidR="00597D0E" w:rsidRPr="002261B9">
        <w:rPr>
          <w:lang w:val="es-ES"/>
        </w:rPr>
        <w:t xml:space="preserve"> </w:t>
      </w:r>
      <w:r w:rsidR="00B522E8" w:rsidRPr="002261B9">
        <w:rPr>
          <w:lang w:val="es-ES"/>
        </w:rPr>
        <w:t>y ya se han intro</w:t>
      </w:r>
      <w:r w:rsidR="00F83F07" w:rsidRPr="002261B9">
        <w:rPr>
          <w:lang w:val="es-ES"/>
        </w:rPr>
        <w:t>d</w:t>
      </w:r>
      <w:r w:rsidR="00B522E8" w:rsidRPr="002261B9">
        <w:rPr>
          <w:lang w:val="es-ES"/>
        </w:rPr>
        <w:t>ucido en la práctica en los aeropuertos</w:t>
      </w:r>
      <w:r w:rsidR="00597D0E" w:rsidRPr="002261B9">
        <w:rPr>
          <w:lang w:val="es-ES"/>
        </w:rPr>
        <w:t xml:space="preserve"> (</w:t>
      </w:r>
      <w:r w:rsidR="00F13B21" w:rsidRPr="002261B9">
        <w:rPr>
          <w:lang w:val="es-ES"/>
        </w:rPr>
        <w:t>véase</w:t>
      </w:r>
      <w:r w:rsidR="00597D0E" w:rsidRPr="002261B9">
        <w:rPr>
          <w:lang w:val="es-ES"/>
        </w:rPr>
        <w:t xml:space="preserve"> </w:t>
      </w:r>
      <w:r w:rsidR="00E10290" w:rsidRPr="002261B9">
        <w:rPr>
          <w:lang w:val="es-ES"/>
        </w:rPr>
        <w:t>el párrafo precedente</w:t>
      </w:r>
      <w:r w:rsidR="00597D0E" w:rsidRPr="002261B9">
        <w:rPr>
          <w:lang w:val="es-ES"/>
        </w:rPr>
        <w:t>)</w:t>
      </w:r>
      <w:r w:rsidR="00A745A3" w:rsidRPr="002261B9">
        <w:rPr>
          <w:lang w:val="es-ES"/>
        </w:rPr>
        <w:t xml:space="preserve">. </w:t>
      </w:r>
    </w:p>
    <w:p w14:paraId="403FDC8C" w14:textId="1955F0E7" w:rsidR="00491F12" w:rsidRPr="002261B9" w:rsidRDefault="0042695A" w:rsidP="00F45508">
      <w:pPr>
        <w:pStyle w:val="Paralevel1"/>
        <w:numPr>
          <w:ilvl w:val="0"/>
          <w:numId w:val="23"/>
        </w:numPr>
        <w:tabs>
          <w:tab w:val="clear" w:pos="0"/>
        </w:tabs>
        <w:ind w:left="1247" w:firstLine="0"/>
        <w:rPr>
          <w:lang w:val="es-ES"/>
        </w:rPr>
      </w:pPr>
      <w:bookmarkStart w:id="54" w:name="_Ref488158885"/>
      <w:r w:rsidRPr="002261B9">
        <w:rPr>
          <w:lang w:val="es-ES"/>
        </w:rPr>
        <w:t>El Instituto de Control de Incendios y Desastres</w:t>
      </w:r>
      <w:r w:rsidR="00491F12" w:rsidRPr="002261B9">
        <w:rPr>
          <w:lang w:val="es-ES"/>
        </w:rPr>
        <w:t xml:space="preserve"> </w:t>
      </w:r>
      <w:r w:rsidR="00F83F07" w:rsidRPr="002261B9">
        <w:rPr>
          <w:lang w:val="es-ES"/>
        </w:rPr>
        <w:t xml:space="preserve">de </w:t>
      </w:r>
      <w:r w:rsidR="00491F12" w:rsidRPr="002261B9">
        <w:rPr>
          <w:lang w:val="es-ES"/>
        </w:rPr>
        <w:t>Heyrothsberge</w:t>
      </w:r>
      <w:r w:rsidRPr="002261B9">
        <w:rPr>
          <w:lang w:val="es-ES"/>
        </w:rPr>
        <w:t xml:space="preserve"> </w:t>
      </w:r>
      <w:r w:rsidR="00FA5D12" w:rsidRPr="002261B9">
        <w:rPr>
          <w:lang w:val="es-ES"/>
        </w:rPr>
        <w:t>(</w:t>
      </w:r>
      <w:r w:rsidRPr="002261B9">
        <w:rPr>
          <w:lang w:val="es-ES"/>
        </w:rPr>
        <w:t>Alemania</w:t>
      </w:r>
      <w:r w:rsidR="00FA5D12" w:rsidRPr="002261B9">
        <w:rPr>
          <w:lang w:val="es-ES"/>
        </w:rPr>
        <w:t>)</w:t>
      </w:r>
      <w:r w:rsidR="00491F12" w:rsidRPr="002261B9">
        <w:rPr>
          <w:lang w:val="es-ES"/>
        </w:rPr>
        <w:t xml:space="preserve"> </w:t>
      </w:r>
      <w:r w:rsidRPr="002261B9">
        <w:rPr>
          <w:lang w:val="es-ES"/>
        </w:rPr>
        <w:t>realizó pruebas con seis espumas</w:t>
      </w:r>
      <w:r w:rsidR="00F83F07" w:rsidRPr="002261B9">
        <w:rPr>
          <w:lang w:val="es-ES"/>
        </w:rPr>
        <w:t xml:space="preserve"> </w:t>
      </w:r>
      <w:r w:rsidRPr="002261B9">
        <w:rPr>
          <w:lang w:val="es-ES"/>
        </w:rPr>
        <w:t>ignífugas sin flúor resistentes al alcohol y una espuma que contenía</w:t>
      </w:r>
      <w:r w:rsidR="00491F12" w:rsidRPr="002261B9">
        <w:rPr>
          <w:lang w:val="es-ES"/>
        </w:rPr>
        <w:t xml:space="preserve"> PFAS </w:t>
      </w:r>
      <w:r w:rsidRPr="002261B9">
        <w:rPr>
          <w:lang w:val="es-ES"/>
        </w:rPr>
        <w:t>para determinar su capacidad de extinción de incendios causados por cinco líquidos polares diferentes</w:t>
      </w:r>
      <w:r w:rsidR="00491F12" w:rsidRPr="002261B9">
        <w:rPr>
          <w:lang w:val="es-ES"/>
        </w:rPr>
        <w:t xml:space="preserve">. </w:t>
      </w:r>
      <w:r w:rsidRPr="002261B9">
        <w:rPr>
          <w:lang w:val="es-ES"/>
        </w:rPr>
        <w:t xml:space="preserve">Los autores llegaron a la conclusión de que se dispone de espumas sin flúor que logran resultados parecidos a los de las espumas que contienen </w:t>
      </w:r>
      <w:r w:rsidR="00491F12" w:rsidRPr="002261B9">
        <w:rPr>
          <w:lang w:val="es-ES"/>
        </w:rPr>
        <w:t>PFAS (</w:t>
      </w:r>
      <w:r w:rsidR="00F13B21" w:rsidRPr="002261B9">
        <w:rPr>
          <w:lang w:val="es-ES"/>
        </w:rPr>
        <w:t>véase</w:t>
      </w:r>
      <w:r w:rsidR="00491F12" w:rsidRPr="002261B9">
        <w:rPr>
          <w:lang w:val="es-ES"/>
        </w:rPr>
        <w:t xml:space="preserve"> Keutel </w:t>
      </w:r>
      <w:r w:rsidRPr="002261B9">
        <w:rPr>
          <w:lang w:val="es-ES"/>
        </w:rPr>
        <w:t>y</w:t>
      </w:r>
      <w:r w:rsidR="00491F12" w:rsidRPr="002261B9">
        <w:rPr>
          <w:lang w:val="es-ES"/>
        </w:rPr>
        <w:t xml:space="preserve"> Koch</w:t>
      </w:r>
      <w:r w:rsidR="009D4060" w:rsidRPr="002261B9">
        <w:rPr>
          <w:lang w:val="es-ES"/>
        </w:rPr>
        <w:t>,</w:t>
      </w:r>
      <w:r w:rsidR="00491F12" w:rsidRPr="002261B9">
        <w:rPr>
          <w:lang w:val="es-ES"/>
        </w:rPr>
        <w:t xml:space="preserve"> 2016</w:t>
      </w:r>
      <w:r w:rsidR="00BE5E07" w:rsidRPr="002261B9">
        <w:rPr>
          <w:lang w:val="es-ES"/>
        </w:rPr>
        <w:t>)</w:t>
      </w:r>
      <w:r w:rsidR="00BA56B3" w:rsidRPr="002261B9">
        <w:rPr>
          <w:lang w:val="es-ES"/>
        </w:rPr>
        <w:t>.</w:t>
      </w:r>
      <w:bookmarkEnd w:id="54"/>
    </w:p>
    <w:p w14:paraId="348E0653" w14:textId="792D7405" w:rsidR="00201012" w:rsidRPr="002261B9" w:rsidRDefault="00EC480D" w:rsidP="00A7208D">
      <w:pPr>
        <w:keepNext/>
        <w:keepLines/>
        <w:tabs>
          <w:tab w:val="left" w:pos="624"/>
        </w:tabs>
        <w:spacing w:after="120"/>
        <w:ind w:left="1248" w:hanging="624"/>
        <w:rPr>
          <w:b/>
          <w:i/>
          <w:sz w:val="20"/>
          <w:szCs w:val="20"/>
          <w:lang w:val="es-ES"/>
        </w:rPr>
      </w:pPr>
      <w:r w:rsidRPr="002261B9">
        <w:rPr>
          <w:b/>
          <w:i/>
          <w:sz w:val="20"/>
          <w:szCs w:val="20"/>
          <w:lang w:val="es-ES"/>
        </w:rPr>
        <w:t>D.</w:t>
      </w:r>
      <w:r w:rsidR="00490671" w:rsidRPr="002261B9">
        <w:rPr>
          <w:b/>
          <w:i/>
          <w:sz w:val="20"/>
          <w:szCs w:val="20"/>
          <w:lang w:val="es-ES"/>
        </w:rPr>
        <w:tab/>
      </w:r>
      <w:r w:rsidRPr="002261B9">
        <w:rPr>
          <w:b/>
          <w:i/>
          <w:sz w:val="20"/>
          <w:szCs w:val="20"/>
          <w:lang w:val="es-ES"/>
        </w:rPr>
        <w:t>Pape</w:t>
      </w:r>
      <w:r w:rsidR="000F6024" w:rsidRPr="002261B9">
        <w:rPr>
          <w:b/>
          <w:i/>
          <w:sz w:val="20"/>
          <w:szCs w:val="20"/>
          <w:lang w:val="es-ES"/>
        </w:rPr>
        <w:t>l</w:t>
      </w:r>
      <w:r w:rsidR="00672C2D" w:rsidRPr="002261B9">
        <w:rPr>
          <w:b/>
          <w:i/>
          <w:sz w:val="20"/>
          <w:szCs w:val="20"/>
          <w:lang w:val="es-ES"/>
        </w:rPr>
        <w:t xml:space="preserve"> y envas</w:t>
      </w:r>
      <w:r w:rsidR="00E10290" w:rsidRPr="002261B9">
        <w:rPr>
          <w:b/>
          <w:i/>
          <w:sz w:val="20"/>
          <w:szCs w:val="20"/>
          <w:lang w:val="es-ES"/>
        </w:rPr>
        <w:t>ado</w:t>
      </w:r>
      <w:r w:rsidR="00672C2D" w:rsidRPr="002261B9">
        <w:rPr>
          <w:b/>
          <w:i/>
          <w:sz w:val="20"/>
          <w:szCs w:val="20"/>
          <w:lang w:val="es-ES"/>
        </w:rPr>
        <w:t xml:space="preserve"> de alimentos</w:t>
      </w:r>
    </w:p>
    <w:p w14:paraId="479574FE" w14:textId="77777777" w:rsidR="00201012" w:rsidRPr="002261B9" w:rsidRDefault="00672C2D" w:rsidP="00063CF3">
      <w:pPr>
        <w:keepNext/>
        <w:keepLines/>
        <w:spacing w:after="120"/>
        <w:ind w:left="1247"/>
        <w:rPr>
          <w:b/>
          <w:i/>
          <w:sz w:val="20"/>
          <w:szCs w:val="20"/>
          <w:lang w:val="es-ES"/>
        </w:rPr>
      </w:pPr>
      <w:r w:rsidRPr="002261B9">
        <w:rPr>
          <w:b/>
          <w:i/>
          <w:sz w:val="20"/>
          <w:szCs w:val="20"/>
          <w:lang w:val="es-ES"/>
        </w:rPr>
        <w:t>Alternativas fluoradas de cadena corta</w:t>
      </w:r>
    </w:p>
    <w:p w14:paraId="4BB6221E" w14:textId="3324C0C0" w:rsidR="00C311F5" w:rsidRPr="002261B9" w:rsidRDefault="001B29C2" w:rsidP="00F45508">
      <w:pPr>
        <w:pStyle w:val="Paralevel1"/>
        <w:numPr>
          <w:ilvl w:val="0"/>
          <w:numId w:val="23"/>
        </w:numPr>
        <w:tabs>
          <w:tab w:val="clear" w:pos="0"/>
        </w:tabs>
        <w:ind w:left="1247" w:firstLine="0"/>
        <w:rPr>
          <w:lang w:val="es-ES"/>
        </w:rPr>
      </w:pPr>
      <w:r w:rsidRPr="002261B9">
        <w:rPr>
          <w:lang w:val="es-ES"/>
        </w:rPr>
        <w:t xml:space="preserve">Los fabricantes de fluorotelómeros han creado productos a base de fluorotelómeros </w:t>
      </w:r>
      <w:r w:rsidR="00C311F5" w:rsidRPr="002261B9">
        <w:rPr>
          <w:lang w:val="es-ES"/>
        </w:rPr>
        <w:t xml:space="preserve">6:2 </w:t>
      </w:r>
      <w:r w:rsidRPr="002261B9">
        <w:rPr>
          <w:lang w:val="es-ES"/>
        </w:rPr>
        <w:t>con el objeto de sustituir productos anteriores</w:t>
      </w:r>
      <w:r w:rsidR="009873EC" w:rsidRPr="002261B9">
        <w:rPr>
          <w:lang w:val="es-ES"/>
        </w:rPr>
        <w:t>,</w:t>
      </w:r>
      <w:r w:rsidRPr="002261B9">
        <w:rPr>
          <w:lang w:val="es-ES"/>
        </w:rPr>
        <w:t xml:space="preserve"> como los polímeros fluorados de cadena lateral y los diésteres de fosfato que eran la base de derivados de fluorotelómeros de cadena más larga</w:t>
      </w:r>
      <w:r w:rsidR="00C311F5" w:rsidRPr="002261B9">
        <w:rPr>
          <w:lang w:val="es-ES"/>
        </w:rPr>
        <w:t xml:space="preserve"> (Loi </w:t>
      </w:r>
      <w:r w:rsidRPr="002261B9">
        <w:rPr>
          <w:lang w:val="es-ES"/>
        </w:rPr>
        <w:t xml:space="preserve">y </w:t>
      </w:r>
      <w:r w:rsidR="00E270A4" w:rsidRPr="002261B9">
        <w:rPr>
          <w:lang w:val="es-ES"/>
        </w:rPr>
        <w:t>otros</w:t>
      </w:r>
      <w:r w:rsidR="004904E9" w:rsidRPr="002261B9">
        <w:rPr>
          <w:lang w:val="es-ES"/>
        </w:rPr>
        <w:t>,</w:t>
      </w:r>
      <w:r w:rsidR="006F57D4" w:rsidRPr="002261B9">
        <w:rPr>
          <w:lang w:val="es-ES"/>
        </w:rPr>
        <w:t xml:space="preserve"> 2</w:t>
      </w:r>
      <w:r w:rsidR="00C311F5" w:rsidRPr="002261B9">
        <w:rPr>
          <w:lang w:val="es-ES"/>
        </w:rPr>
        <w:t>013</w:t>
      </w:r>
      <w:r w:rsidR="00452DB2" w:rsidRPr="002261B9">
        <w:rPr>
          <w:lang w:val="es-ES"/>
        </w:rPr>
        <w:t>)</w:t>
      </w:r>
      <w:r w:rsidR="00C311F5" w:rsidRPr="002261B9">
        <w:rPr>
          <w:lang w:val="es-ES"/>
        </w:rPr>
        <w:t xml:space="preserve">. </w:t>
      </w:r>
      <w:r w:rsidRPr="002261B9">
        <w:rPr>
          <w:lang w:val="es-ES"/>
        </w:rPr>
        <w:t xml:space="preserve">Por ejemplo, en el </w:t>
      </w:r>
      <w:r w:rsidR="00C311F5" w:rsidRPr="002261B9">
        <w:rPr>
          <w:lang w:val="es-ES"/>
        </w:rPr>
        <w:t>Inventory of Effective Food Contact Substance (FCS) Notifications of the United States Food and Drug Administration</w:t>
      </w:r>
      <w:r w:rsidR="00782691" w:rsidRPr="002261B9">
        <w:rPr>
          <w:lang w:val="es-ES"/>
        </w:rPr>
        <w:t xml:space="preserve"> (Inventario de Notificaciones de Sustancias de contacto efectivo con alimentos de la Administración de los Estados Unidos de Alimentos y Medicamentos)</w:t>
      </w:r>
      <w:r w:rsidRPr="002261B9">
        <w:rPr>
          <w:lang w:val="es-ES"/>
        </w:rPr>
        <w:t xml:space="preserve">, se han registrado </w:t>
      </w:r>
      <w:r w:rsidR="00782691" w:rsidRPr="002261B9">
        <w:rPr>
          <w:lang w:val="es-ES"/>
        </w:rPr>
        <w:t xml:space="preserve">varios polímeros fluorados de cadena lateral a base de flourotelómero </w:t>
      </w:r>
      <w:r w:rsidRPr="002261B9">
        <w:rPr>
          <w:lang w:val="es-ES"/>
        </w:rPr>
        <w:t>6:2,</w:t>
      </w:r>
      <w:r w:rsidR="00C311F5" w:rsidRPr="002261B9">
        <w:rPr>
          <w:lang w:val="es-ES"/>
        </w:rPr>
        <w:t xml:space="preserve"> </w:t>
      </w:r>
      <w:r w:rsidRPr="002261B9">
        <w:rPr>
          <w:lang w:val="es-ES"/>
        </w:rPr>
        <w:t>entre ellos, por ejemplo,</w:t>
      </w:r>
      <w:r w:rsidR="00C311F5" w:rsidRPr="002261B9">
        <w:rPr>
          <w:lang w:val="es-ES"/>
        </w:rPr>
        <w:t xml:space="preserve"> product</w:t>
      </w:r>
      <w:r w:rsidRPr="002261B9">
        <w:rPr>
          <w:lang w:val="es-ES"/>
        </w:rPr>
        <w:t>o</w:t>
      </w:r>
      <w:r w:rsidR="00C311F5" w:rsidRPr="002261B9">
        <w:rPr>
          <w:lang w:val="es-ES"/>
        </w:rPr>
        <w:t xml:space="preserve">s </w:t>
      </w:r>
      <w:r w:rsidRPr="002261B9">
        <w:rPr>
          <w:lang w:val="es-ES"/>
        </w:rPr>
        <w:t xml:space="preserve">de </w:t>
      </w:r>
      <w:r w:rsidR="00C311F5" w:rsidRPr="002261B9">
        <w:rPr>
          <w:lang w:val="es-ES"/>
        </w:rPr>
        <w:t xml:space="preserve">Asahi o Daikin (Wang </w:t>
      </w:r>
      <w:r w:rsidRPr="002261B9">
        <w:rPr>
          <w:lang w:val="es-ES"/>
        </w:rPr>
        <w:t>y otros</w:t>
      </w:r>
      <w:r w:rsidR="009D4060" w:rsidRPr="002261B9">
        <w:rPr>
          <w:lang w:val="es-ES"/>
        </w:rPr>
        <w:t>,</w:t>
      </w:r>
      <w:r w:rsidR="00C311F5" w:rsidRPr="002261B9">
        <w:rPr>
          <w:lang w:val="es-ES"/>
        </w:rPr>
        <w:t xml:space="preserve"> 2013).</w:t>
      </w:r>
      <w:r w:rsidR="009660D8" w:rsidRPr="002261B9">
        <w:rPr>
          <w:lang w:val="es-ES"/>
        </w:rPr>
        <w:t xml:space="preserve"> </w:t>
      </w:r>
      <w:r w:rsidRPr="002261B9">
        <w:rPr>
          <w:lang w:val="es-ES"/>
        </w:rPr>
        <w:t xml:space="preserve">Sin embargo, según </w:t>
      </w:r>
      <w:r w:rsidR="00FA4854" w:rsidRPr="002261B9">
        <w:rPr>
          <w:lang w:val="es-ES"/>
        </w:rPr>
        <w:t xml:space="preserve">informes </w:t>
      </w:r>
      <w:r w:rsidRPr="002261B9">
        <w:rPr>
          <w:lang w:val="es-ES"/>
        </w:rPr>
        <w:t>presentad</w:t>
      </w:r>
      <w:r w:rsidR="00FA4854" w:rsidRPr="002261B9">
        <w:rPr>
          <w:lang w:val="es-ES"/>
        </w:rPr>
        <w:t>os</w:t>
      </w:r>
      <w:r w:rsidRPr="002261B9">
        <w:rPr>
          <w:lang w:val="es-ES"/>
        </w:rPr>
        <w:t xml:space="preserve"> por </w:t>
      </w:r>
      <w:r w:rsidR="00A746A7" w:rsidRPr="002261B9">
        <w:rPr>
          <w:lang w:val="es-ES"/>
        </w:rPr>
        <w:t xml:space="preserve">la </w:t>
      </w:r>
      <w:r w:rsidR="00946899" w:rsidRPr="002261B9">
        <w:rPr>
          <w:lang w:val="es-ES"/>
        </w:rPr>
        <w:t>Red de Eliminación de COP</w:t>
      </w:r>
      <w:r w:rsidR="009660D8" w:rsidRPr="002261B9">
        <w:rPr>
          <w:lang w:val="es-ES"/>
        </w:rPr>
        <w:t xml:space="preserve">, </w:t>
      </w:r>
      <w:r w:rsidRPr="002261B9">
        <w:rPr>
          <w:lang w:val="es-ES"/>
        </w:rPr>
        <w:t xml:space="preserve">la opinión pública carece de información acerca de </w:t>
      </w:r>
      <w:r w:rsidR="009873EC" w:rsidRPr="002261B9">
        <w:rPr>
          <w:lang w:val="es-ES"/>
        </w:rPr>
        <w:t>su</w:t>
      </w:r>
      <w:r w:rsidRPr="002261B9">
        <w:rPr>
          <w:lang w:val="es-ES"/>
        </w:rPr>
        <w:t xml:space="preserve"> toxicidad y </w:t>
      </w:r>
      <w:r w:rsidR="009873EC" w:rsidRPr="002261B9">
        <w:rPr>
          <w:lang w:val="es-ES"/>
        </w:rPr>
        <w:t>sus</w:t>
      </w:r>
      <w:r w:rsidRPr="002261B9">
        <w:rPr>
          <w:lang w:val="es-ES"/>
        </w:rPr>
        <w:t xml:space="preserve"> propiedades </w:t>
      </w:r>
      <w:r w:rsidR="009873EC" w:rsidRPr="002261B9">
        <w:rPr>
          <w:lang w:val="es-ES"/>
        </w:rPr>
        <w:t>como contaminantes orgánicos persistentes</w:t>
      </w:r>
      <w:r w:rsidR="009660D8" w:rsidRPr="002261B9">
        <w:rPr>
          <w:lang w:val="es-ES"/>
        </w:rPr>
        <w:t xml:space="preserve">. </w:t>
      </w:r>
    </w:p>
    <w:p w14:paraId="2547BDAE" w14:textId="7B628E5B" w:rsidR="00201012" w:rsidRPr="002261B9" w:rsidRDefault="00FA4854" w:rsidP="00F45508">
      <w:pPr>
        <w:pStyle w:val="Paralevel1"/>
        <w:numPr>
          <w:ilvl w:val="0"/>
          <w:numId w:val="23"/>
        </w:numPr>
        <w:tabs>
          <w:tab w:val="clear" w:pos="0"/>
        </w:tabs>
        <w:ind w:left="1247" w:firstLine="0"/>
        <w:rPr>
          <w:lang w:val="es-ES"/>
        </w:rPr>
      </w:pPr>
      <w:r w:rsidRPr="002261B9">
        <w:rPr>
          <w:lang w:val="es-ES"/>
        </w:rPr>
        <w:t xml:space="preserve">Un fabricante mundial de productos químicos </w:t>
      </w:r>
      <w:r w:rsidR="00BE5E07" w:rsidRPr="002261B9">
        <w:rPr>
          <w:lang w:val="es-ES"/>
        </w:rPr>
        <w:t xml:space="preserve">especiales </w:t>
      </w:r>
      <w:r w:rsidRPr="002261B9">
        <w:rPr>
          <w:lang w:val="es-ES"/>
        </w:rPr>
        <w:t xml:space="preserve">recibió en </w:t>
      </w:r>
      <w:r w:rsidR="00A71DCB" w:rsidRPr="002261B9">
        <w:rPr>
          <w:lang w:val="es-ES"/>
        </w:rPr>
        <w:t>2015</w:t>
      </w:r>
      <w:r w:rsidR="00943DB1" w:rsidRPr="002261B9">
        <w:rPr>
          <w:lang w:val="es-ES"/>
        </w:rPr>
        <w:t xml:space="preserve"> </w:t>
      </w:r>
      <w:r w:rsidRPr="002261B9">
        <w:rPr>
          <w:lang w:val="es-ES"/>
        </w:rPr>
        <w:t>la aprobación de contactos con alimentos de la Administración Federal de los Estados Unidos para la Alimentación y los Medicamentos para un aditivo que no contiene PFOA y</w:t>
      </w:r>
      <w:r w:rsidR="00943DB1" w:rsidRPr="002261B9">
        <w:rPr>
          <w:lang w:val="es-ES"/>
        </w:rPr>
        <w:t xml:space="preserve"> </w:t>
      </w:r>
      <w:r w:rsidR="00BE5E07" w:rsidRPr="002261B9">
        <w:rPr>
          <w:lang w:val="es-ES"/>
        </w:rPr>
        <w:t xml:space="preserve">aporta </w:t>
      </w:r>
      <w:r w:rsidRPr="002261B9">
        <w:rPr>
          <w:lang w:val="es-ES"/>
        </w:rPr>
        <w:t>al papel y al cartón una gran impermeabilidad al aceite, la grasa y el agua.</w:t>
      </w:r>
      <w:r w:rsidR="00284890" w:rsidRPr="002261B9">
        <w:rPr>
          <w:lang w:val="es-ES"/>
        </w:rPr>
        <w:t xml:space="preserve"> </w:t>
      </w:r>
      <w:r w:rsidRPr="002261B9">
        <w:rPr>
          <w:lang w:val="es-ES"/>
        </w:rPr>
        <w:t>El aditivo también cumple las recomendaciones de uso como agente de refinado y recubrimiento de superficies en el papel y el cartón</w:t>
      </w:r>
      <w:r w:rsidR="00943DB1" w:rsidRPr="002261B9">
        <w:rPr>
          <w:lang w:val="es-ES"/>
        </w:rPr>
        <w:t xml:space="preserve"> </w:t>
      </w:r>
      <w:r w:rsidRPr="002261B9">
        <w:rPr>
          <w:lang w:val="es-ES"/>
        </w:rPr>
        <w:t>que ha</w:t>
      </w:r>
      <w:r w:rsidR="0067608C" w:rsidRPr="002261B9">
        <w:rPr>
          <w:lang w:val="es-ES"/>
        </w:rPr>
        <w:t>n</w:t>
      </w:r>
      <w:r w:rsidRPr="002261B9">
        <w:rPr>
          <w:lang w:val="es-ES"/>
        </w:rPr>
        <w:t xml:space="preserve"> de usarse para aplicaciones de contacto con alimentos</w:t>
      </w:r>
      <w:r w:rsidR="00943DB1" w:rsidRPr="002261B9">
        <w:rPr>
          <w:lang w:val="es-ES"/>
        </w:rPr>
        <w:t xml:space="preserve">. </w:t>
      </w:r>
      <w:r w:rsidRPr="002261B9">
        <w:rPr>
          <w:lang w:val="es-ES"/>
        </w:rPr>
        <w:t xml:space="preserve">El aditivo se basa en un polímero fluorado de cadena lateral basado en un fluorotelómero 6:2 </w:t>
      </w:r>
      <w:r w:rsidR="00782691" w:rsidRPr="002261B9">
        <w:rPr>
          <w:lang w:val="es-ES"/>
        </w:rPr>
        <w:t xml:space="preserve">de intercambio catiónico </w:t>
      </w:r>
      <w:r w:rsidRPr="002261B9">
        <w:rPr>
          <w:lang w:val="es-ES"/>
        </w:rPr>
        <w:t>y</w:t>
      </w:r>
      <w:r w:rsidR="00943DB1" w:rsidRPr="002261B9">
        <w:rPr>
          <w:lang w:val="es-ES"/>
        </w:rPr>
        <w:t xml:space="preserve"> </w:t>
      </w:r>
      <w:r w:rsidR="00782691" w:rsidRPr="002261B9">
        <w:rPr>
          <w:lang w:val="es-ES"/>
        </w:rPr>
        <w:t>constituye una poderosa y perdurable barrera tanto para la grasa como para el agua</w:t>
      </w:r>
      <w:r w:rsidR="00943DB1" w:rsidRPr="002261B9">
        <w:rPr>
          <w:lang w:val="es-ES"/>
        </w:rPr>
        <w:t>.</w:t>
      </w:r>
      <w:r w:rsidR="007F50FB" w:rsidRPr="002261B9">
        <w:rPr>
          <w:lang w:val="es-ES"/>
        </w:rPr>
        <w:t xml:space="preserve"> </w:t>
      </w:r>
      <w:r w:rsidR="00782691" w:rsidRPr="002261B9">
        <w:rPr>
          <w:lang w:val="es-ES"/>
        </w:rPr>
        <w:t>Según los fabricantes, debido a sus propiedades de rendimiento y a su perfil ambiental, se considera que el aditivo es especialmente idóneo para ser usado tanto en aplicaciones de prensa</w:t>
      </w:r>
      <w:r w:rsidR="00E10290" w:rsidRPr="002261B9">
        <w:rPr>
          <w:lang w:val="es-ES"/>
        </w:rPr>
        <w:t>do</w:t>
      </w:r>
      <w:r w:rsidR="00782691" w:rsidRPr="002261B9">
        <w:rPr>
          <w:lang w:val="es-ES"/>
        </w:rPr>
        <w:t xml:space="preserve"> o en húmedo para producir cajas y envolturas de comida rápida</w:t>
      </w:r>
      <w:r w:rsidR="00943DB1" w:rsidRPr="002261B9">
        <w:rPr>
          <w:lang w:val="es-ES"/>
        </w:rPr>
        <w:t xml:space="preserve">, </w:t>
      </w:r>
      <w:r w:rsidR="00782691" w:rsidRPr="002261B9">
        <w:rPr>
          <w:lang w:val="es-ES"/>
        </w:rPr>
        <w:t xml:space="preserve">envases para sopas, </w:t>
      </w:r>
      <w:r w:rsidR="00E10290" w:rsidRPr="002261B9">
        <w:rPr>
          <w:lang w:val="es-ES"/>
        </w:rPr>
        <w:t xml:space="preserve">papel de </w:t>
      </w:r>
      <w:r w:rsidR="00782691" w:rsidRPr="002261B9">
        <w:rPr>
          <w:lang w:val="es-ES"/>
        </w:rPr>
        <w:t>envol</w:t>
      </w:r>
      <w:r w:rsidR="00E10290" w:rsidRPr="002261B9">
        <w:rPr>
          <w:lang w:val="es-ES"/>
        </w:rPr>
        <w:t>ver</w:t>
      </w:r>
      <w:r w:rsidR="00782691" w:rsidRPr="002261B9">
        <w:rPr>
          <w:lang w:val="es-ES"/>
        </w:rPr>
        <w:t xml:space="preserve"> mantequilla y etiquetas para botellas de aceite</w:t>
      </w:r>
      <w:r w:rsidR="00943DB1" w:rsidRPr="002261B9">
        <w:rPr>
          <w:lang w:val="es-ES"/>
        </w:rPr>
        <w:t xml:space="preserve">. </w:t>
      </w:r>
      <w:r w:rsidR="00782691" w:rsidRPr="002261B9">
        <w:rPr>
          <w:lang w:val="es-ES"/>
        </w:rPr>
        <w:t xml:space="preserve">También se puede usar perfectamente en la producción de platos y tazas de pulpa moldeados y para envasar alimentos para mascotas </w:t>
      </w:r>
      <w:r w:rsidR="004833D0" w:rsidRPr="002261B9">
        <w:rPr>
          <w:lang w:val="es-ES"/>
        </w:rPr>
        <w:t>(</w:t>
      </w:r>
      <w:r w:rsidR="007F50FB" w:rsidRPr="002261B9">
        <w:rPr>
          <w:lang w:val="es-ES"/>
        </w:rPr>
        <w:t>AMR</w:t>
      </w:r>
      <w:r w:rsidR="009D4060" w:rsidRPr="002261B9">
        <w:rPr>
          <w:lang w:val="es-ES"/>
        </w:rPr>
        <w:t>,</w:t>
      </w:r>
      <w:r w:rsidR="004833D0" w:rsidRPr="002261B9">
        <w:rPr>
          <w:lang w:val="es-ES"/>
        </w:rPr>
        <w:t xml:space="preserve"> 2015).</w:t>
      </w:r>
    </w:p>
    <w:p w14:paraId="7A40D04D" w14:textId="54663CA2" w:rsidR="009D4060" w:rsidRPr="002261B9" w:rsidRDefault="002E3AC8" w:rsidP="00F45508">
      <w:pPr>
        <w:pStyle w:val="Paralevel1"/>
        <w:numPr>
          <w:ilvl w:val="0"/>
          <w:numId w:val="23"/>
        </w:numPr>
        <w:tabs>
          <w:tab w:val="clear" w:pos="0"/>
        </w:tabs>
        <w:ind w:left="1247" w:firstLine="0"/>
        <w:rPr>
          <w:lang w:val="es-ES"/>
        </w:rPr>
      </w:pPr>
      <w:bookmarkStart w:id="55" w:name="_DV_C900"/>
      <w:r w:rsidRPr="002261B9">
        <w:rPr>
          <w:rStyle w:val="DeltaViewInsertion"/>
          <w:color w:val="auto"/>
          <w:u w:val="none"/>
          <w:lang w:val="es-ES"/>
        </w:rPr>
        <w:t xml:space="preserve">La </w:t>
      </w:r>
      <w:r w:rsidR="009D4060" w:rsidRPr="002261B9">
        <w:rPr>
          <w:rStyle w:val="DeltaViewInsertion"/>
          <w:color w:val="auto"/>
          <w:u w:val="none"/>
          <w:lang w:val="es-ES"/>
        </w:rPr>
        <w:t xml:space="preserve">FDA </w:t>
      </w:r>
      <w:r w:rsidRPr="002261B9">
        <w:rPr>
          <w:rStyle w:val="DeltaViewInsertion"/>
          <w:color w:val="auto"/>
          <w:u w:val="none"/>
          <w:lang w:val="es-ES"/>
        </w:rPr>
        <w:t xml:space="preserve">no autoriza actualmente el uso de sustancias fluoradas de cadena larga en aplicaciones de envasado de </w:t>
      </w:r>
      <w:r w:rsidRPr="002261B9">
        <w:rPr>
          <w:lang w:val="es-ES"/>
        </w:rPr>
        <w:t>alimentos</w:t>
      </w:r>
      <w:r w:rsidR="009D4060" w:rsidRPr="002261B9">
        <w:rPr>
          <w:rStyle w:val="DeltaViewInsertion"/>
          <w:color w:val="auto"/>
          <w:u w:val="none"/>
          <w:lang w:val="es-ES"/>
        </w:rPr>
        <w:t xml:space="preserve">. </w:t>
      </w:r>
      <w:r w:rsidRPr="002261B9">
        <w:rPr>
          <w:rStyle w:val="DeltaViewInsertion"/>
          <w:color w:val="auto"/>
          <w:u w:val="none"/>
          <w:lang w:val="es-ES"/>
        </w:rPr>
        <w:t xml:space="preserve">La </w:t>
      </w:r>
      <w:r w:rsidR="009D4060" w:rsidRPr="002261B9">
        <w:rPr>
          <w:rStyle w:val="DeltaViewInsertion"/>
          <w:color w:val="auto"/>
          <w:u w:val="none"/>
          <w:lang w:val="es-ES"/>
        </w:rPr>
        <w:t xml:space="preserve">FDA </w:t>
      </w:r>
      <w:r w:rsidRPr="002261B9">
        <w:rPr>
          <w:rStyle w:val="DeltaViewInsertion"/>
          <w:color w:val="auto"/>
          <w:u w:val="none"/>
          <w:lang w:val="es-ES"/>
        </w:rPr>
        <w:t>eliminó las últimas sustancias obsoletas de cadena larga afines al PFOA del 2</w:t>
      </w:r>
      <w:r w:rsidR="009D4060" w:rsidRPr="002261B9">
        <w:rPr>
          <w:rStyle w:val="DeltaViewInsertion"/>
          <w:color w:val="auto"/>
          <w:u w:val="none"/>
          <w:lang w:val="es-ES"/>
        </w:rPr>
        <w:t xml:space="preserve">1 CFR 176.170 </w:t>
      </w:r>
      <w:r w:rsidRPr="002261B9">
        <w:rPr>
          <w:rStyle w:val="DeltaViewInsertion"/>
          <w:color w:val="auto"/>
          <w:u w:val="none"/>
          <w:lang w:val="es-ES"/>
        </w:rPr>
        <w:t>e</w:t>
      </w:r>
      <w:r w:rsidR="009D4060" w:rsidRPr="002261B9">
        <w:rPr>
          <w:rStyle w:val="DeltaViewInsertion"/>
          <w:color w:val="auto"/>
          <w:u w:val="none"/>
          <w:lang w:val="es-ES"/>
        </w:rPr>
        <w:t xml:space="preserve">n 2016 </w:t>
      </w:r>
      <w:r w:rsidR="00033E30" w:rsidRPr="002261B9">
        <w:rPr>
          <w:rStyle w:val="DeltaViewInsertion"/>
          <w:color w:val="auto"/>
          <w:u w:val="none"/>
          <w:lang w:val="es-ES"/>
        </w:rPr>
        <w:t>(</w:t>
      </w:r>
      <w:r w:rsidRPr="002261B9">
        <w:rPr>
          <w:rStyle w:val="DeltaViewInsertion"/>
          <w:color w:val="auto"/>
          <w:u w:val="none"/>
          <w:lang w:val="es-ES"/>
        </w:rPr>
        <w:t>véase</w:t>
      </w:r>
      <w:r w:rsidR="009D4060" w:rsidRPr="002261B9">
        <w:rPr>
          <w:rStyle w:val="DeltaViewInsertion"/>
          <w:color w:val="auto"/>
          <w:u w:val="none"/>
          <w:lang w:val="es-ES"/>
        </w:rPr>
        <w:t xml:space="preserve"> 81 Fed. Reg. 5–8). </w:t>
      </w:r>
      <w:r w:rsidRPr="002261B9">
        <w:rPr>
          <w:rStyle w:val="DeltaViewInsertion"/>
          <w:color w:val="auto"/>
          <w:u w:val="none"/>
          <w:lang w:val="es-ES"/>
        </w:rPr>
        <w:t xml:space="preserve">Cualesquiera otras aprobaciones de la </w:t>
      </w:r>
      <w:r w:rsidR="009D4060" w:rsidRPr="002261B9">
        <w:rPr>
          <w:rStyle w:val="DeltaViewInsertion"/>
          <w:color w:val="auto"/>
          <w:u w:val="none"/>
          <w:lang w:val="es-ES"/>
        </w:rPr>
        <w:t xml:space="preserve">FDA </w:t>
      </w:r>
      <w:r w:rsidRPr="002261B9">
        <w:rPr>
          <w:rStyle w:val="DeltaViewInsertion"/>
          <w:color w:val="auto"/>
          <w:u w:val="none"/>
          <w:lang w:val="es-ES"/>
        </w:rPr>
        <w:t>en 2015 en relación con un revestimiento resistentes aplicados al papel o cartón serían alternativas de cadena corta y habrían pasado el proceso de notificación de contacto con alimentos</w:t>
      </w:r>
      <w:r w:rsidR="009D4060" w:rsidRPr="002261B9">
        <w:rPr>
          <w:rStyle w:val="DeltaViewInsertion"/>
          <w:color w:val="auto"/>
          <w:u w:val="none"/>
          <w:lang w:val="es-ES"/>
        </w:rPr>
        <w:t>.</w:t>
      </w:r>
      <w:bookmarkEnd w:id="55"/>
    </w:p>
    <w:p w14:paraId="23841EE6" w14:textId="77777777" w:rsidR="00201012" w:rsidRPr="002261B9" w:rsidRDefault="00672C2D" w:rsidP="00063CF3">
      <w:pPr>
        <w:keepNext/>
        <w:keepLines/>
        <w:spacing w:after="120"/>
        <w:ind w:left="1247"/>
        <w:rPr>
          <w:b/>
          <w:i/>
          <w:sz w:val="20"/>
          <w:szCs w:val="20"/>
          <w:lang w:val="es-ES"/>
        </w:rPr>
      </w:pPr>
      <w:r w:rsidRPr="002261B9">
        <w:rPr>
          <w:b/>
          <w:i/>
          <w:sz w:val="20"/>
          <w:szCs w:val="20"/>
          <w:lang w:val="es-ES"/>
        </w:rPr>
        <w:t>Alternativas que no contienen flúor</w:t>
      </w:r>
    </w:p>
    <w:p w14:paraId="4BCD220F" w14:textId="5DE7F669" w:rsidR="009660D8" w:rsidRPr="002261B9" w:rsidRDefault="0067608C" w:rsidP="00F45508">
      <w:pPr>
        <w:pStyle w:val="Paralevel1"/>
        <w:numPr>
          <w:ilvl w:val="0"/>
          <w:numId w:val="23"/>
        </w:numPr>
        <w:tabs>
          <w:tab w:val="clear" w:pos="0"/>
        </w:tabs>
        <w:ind w:left="1247" w:firstLine="0"/>
        <w:rPr>
          <w:lang w:val="es-ES"/>
        </w:rPr>
      </w:pPr>
      <w:r w:rsidRPr="002261B9">
        <w:rPr>
          <w:lang w:val="es-ES"/>
        </w:rPr>
        <w:t xml:space="preserve">Al </w:t>
      </w:r>
      <w:r w:rsidR="001B29C2" w:rsidRPr="002261B9">
        <w:rPr>
          <w:lang w:val="es-ES"/>
        </w:rPr>
        <w:t xml:space="preserve">menos un fabricante de </w:t>
      </w:r>
      <w:r w:rsidR="003F3A09" w:rsidRPr="002261B9">
        <w:rPr>
          <w:lang w:val="es-ES"/>
        </w:rPr>
        <w:t>Noruega</w:t>
      </w:r>
      <w:r w:rsidR="00201012" w:rsidRPr="002261B9">
        <w:rPr>
          <w:lang w:val="es-ES"/>
        </w:rPr>
        <w:t xml:space="preserve"> ha</w:t>
      </w:r>
      <w:r w:rsidR="001B29C2" w:rsidRPr="002261B9">
        <w:rPr>
          <w:lang w:val="es-ES"/>
        </w:rPr>
        <w:t xml:space="preserve"> creado una alternativa sin flúor para producir papel de alta densidad capaz de impedir el paso de la grasa</w:t>
      </w:r>
      <w:r w:rsidR="00943DB1" w:rsidRPr="002261B9">
        <w:rPr>
          <w:lang w:val="es-ES"/>
        </w:rPr>
        <w:t xml:space="preserve"> (</w:t>
      </w:r>
      <w:r w:rsidR="001B29C2" w:rsidRPr="002261B9">
        <w:rPr>
          <w:lang w:val="es-ES"/>
        </w:rPr>
        <w:t>Organismo Sueco de Productos Químicos</w:t>
      </w:r>
      <w:r w:rsidR="008F6D01" w:rsidRPr="002261B9">
        <w:rPr>
          <w:lang w:val="es-ES"/>
        </w:rPr>
        <w:t>,</w:t>
      </w:r>
      <w:r w:rsidR="00943DB1" w:rsidRPr="002261B9">
        <w:rPr>
          <w:lang w:val="es-ES"/>
        </w:rPr>
        <w:t xml:space="preserve"> 2015)</w:t>
      </w:r>
      <w:r w:rsidR="00201012" w:rsidRPr="002261B9">
        <w:rPr>
          <w:lang w:val="es-ES"/>
        </w:rPr>
        <w:t xml:space="preserve">. </w:t>
      </w:r>
      <w:r w:rsidR="001B29C2" w:rsidRPr="002261B9">
        <w:rPr>
          <w:lang w:val="es-ES"/>
        </w:rPr>
        <w:t>El productor noruego de papel,</w:t>
      </w:r>
      <w:r w:rsidR="00565724" w:rsidRPr="002261B9">
        <w:rPr>
          <w:lang w:val="es-ES"/>
        </w:rPr>
        <w:t xml:space="preserve"> Nordic Paper</w:t>
      </w:r>
      <w:r w:rsidR="001B29C2" w:rsidRPr="002261B9">
        <w:rPr>
          <w:lang w:val="es-ES"/>
        </w:rPr>
        <w:t>, está usando procesos mecánicos para producir papel extra denso que inhibe la fuga de grasa a través del papel</w:t>
      </w:r>
      <w:r w:rsidR="00E10290" w:rsidRPr="002261B9">
        <w:rPr>
          <w:lang w:val="es-ES"/>
        </w:rPr>
        <w:t>, sin usar ningún producto químico persistente</w:t>
      </w:r>
      <w:r w:rsidR="009660D8" w:rsidRPr="002261B9">
        <w:rPr>
          <w:vertAlign w:val="superscript"/>
          <w:lang w:val="es-ES"/>
        </w:rPr>
        <w:footnoteReference w:id="23"/>
      </w:r>
      <w:r w:rsidR="00672C2D" w:rsidRPr="002261B9">
        <w:rPr>
          <w:lang w:val="es-ES"/>
        </w:rPr>
        <w:t>.</w:t>
      </w:r>
    </w:p>
    <w:p w14:paraId="02036918" w14:textId="549E0088" w:rsidR="00F75E7E" w:rsidRPr="002261B9" w:rsidRDefault="00D0506A" w:rsidP="00F45508">
      <w:pPr>
        <w:pStyle w:val="Paralevel1"/>
        <w:numPr>
          <w:ilvl w:val="0"/>
          <w:numId w:val="23"/>
        </w:numPr>
        <w:tabs>
          <w:tab w:val="clear" w:pos="0"/>
        </w:tabs>
        <w:ind w:left="1247" w:firstLine="0"/>
        <w:rPr>
          <w:lang w:val="es-ES"/>
        </w:rPr>
      </w:pPr>
      <w:r w:rsidRPr="002261B9">
        <w:rPr>
          <w:rStyle w:val="DeltaViewInsertion"/>
          <w:color w:val="auto"/>
          <w:u w:val="none"/>
          <w:lang w:val="es-ES"/>
        </w:rPr>
        <w:lastRenderedPageBreak/>
        <w:t xml:space="preserve">En los documentos </w:t>
      </w:r>
      <w:r w:rsidR="00F75E7E" w:rsidRPr="002261B9">
        <w:rPr>
          <w:lang w:val="es-ES"/>
        </w:rPr>
        <w:t>Norden</w:t>
      </w:r>
      <w:r w:rsidR="00F75E7E" w:rsidRPr="002261B9">
        <w:rPr>
          <w:rStyle w:val="DeltaViewInsertion"/>
          <w:color w:val="auto"/>
          <w:u w:val="none"/>
          <w:lang w:val="es-ES"/>
        </w:rPr>
        <w:t xml:space="preserve"> 2013, SFT 2007 </w:t>
      </w:r>
      <w:r w:rsidRPr="002261B9">
        <w:rPr>
          <w:rStyle w:val="DeltaViewInsertion"/>
          <w:color w:val="auto"/>
          <w:u w:val="none"/>
          <w:lang w:val="es-ES"/>
        </w:rPr>
        <w:t>y</w:t>
      </w:r>
      <w:r w:rsidR="00F75E7E" w:rsidRPr="002261B9">
        <w:rPr>
          <w:rStyle w:val="DeltaViewInsertion"/>
          <w:color w:val="auto"/>
          <w:u w:val="none"/>
          <w:lang w:val="es-ES"/>
        </w:rPr>
        <w:t xml:space="preserve"> Nordic Ecolabelling 2014</w:t>
      </w:r>
      <w:r w:rsidRPr="002261B9">
        <w:rPr>
          <w:rStyle w:val="DeltaViewInsertion"/>
          <w:color w:val="auto"/>
          <w:u w:val="none"/>
          <w:lang w:val="es-ES"/>
        </w:rPr>
        <w:t xml:space="preserve"> se ofrece más información</w:t>
      </w:r>
      <w:r w:rsidR="00F75E7E" w:rsidRPr="002261B9">
        <w:rPr>
          <w:rStyle w:val="DeltaViewInsertion"/>
          <w:color w:val="auto"/>
          <w:u w:val="none"/>
          <w:lang w:val="es-ES"/>
        </w:rPr>
        <w:t>. Nordic Ecolabelling 2014 indica</w:t>
      </w:r>
      <w:r w:rsidR="003F35A6" w:rsidRPr="002261B9">
        <w:rPr>
          <w:rStyle w:val="DeltaViewInsertion"/>
          <w:color w:val="auto"/>
          <w:u w:val="none"/>
          <w:lang w:val="es-ES"/>
        </w:rPr>
        <w:t xml:space="preserve"> </w:t>
      </w:r>
      <w:r w:rsidR="002748F8" w:rsidRPr="002261B9">
        <w:rPr>
          <w:rStyle w:val="DeltaViewInsertion"/>
          <w:color w:val="auto"/>
          <w:u w:val="none"/>
          <w:lang w:val="es-ES"/>
        </w:rPr>
        <w:t>que,</w:t>
      </w:r>
      <w:r w:rsidR="003F35A6" w:rsidRPr="002261B9">
        <w:rPr>
          <w:rStyle w:val="DeltaViewInsertion"/>
          <w:color w:val="auto"/>
          <w:u w:val="none"/>
          <w:lang w:val="es-ES"/>
        </w:rPr>
        <w:t xml:space="preserve"> en el caso de la </w:t>
      </w:r>
      <w:r w:rsidR="002748F8" w:rsidRPr="002261B9">
        <w:rPr>
          <w:rStyle w:val="DeltaViewInsertion"/>
          <w:color w:val="auto"/>
          <w:u w:val="none"/>
          <w:lang w:val="es-ES"/>
        </w:rPr>
        <w:t>impregnación</w:t>
      </w:r>
      <w:r w:rsidR="003F35A6" w:rsidRPr="002261B9">
        <w:rPr>
          <w:rStyle w:val="DeltaViewInsertion"/>
          <w:color w:val="auto"/>
          <w:u w:val="none"/>
          <w:lang w:val="es-ES"/>
        </w:rPr>
        <w:t xml:space="preserve"> y revestimiento, se puede </w:t>
      </w:r>
      <w:r w:rsidR="002748F8" w:rsidRPr="002261B9">
        <w:rPr>
          <w:rStyle w:val="DeltaViewInsertion"/>
          <w:color w:val="auto"/>
          <w:u w:val="none"/>
          <w:lang w:val="es-ES"/>
        </w:rPr>
        <w:t>tratar</w:t>
      </w:r>
      <w:r w:rsidR="003F35A6" w:rsidRPr="002261B9">
        <w:rPr>
          <w:rStyle w:val="DeltaViewInsertion"/>
          <w:color w:val="auto"/>
          <w:u w:val="none"/>
          <w:lang w:val="es-ES"/>
        </w:rPr>
        <w:t xml:space="preserve"> la superficie del papel con almidones, alginatos, </w:t>
      </w:r>
      <w:smartTag w:uri="urn:schemas-microsoft-com:office:smarttags" w:element="stockticker">
        <w:r w:rsidR="00F75E7E" w:rsidRPr="002261B9">
          <w:rPr>
            <w:rStyle w:val="DeltaViewInsertion"/>
            <w:color w:val="auto"/>
            <w:u w:val="none"/>
            <w:lang w:val="es-ES"/>
          </w:rPr>
          <w:t>CMC</w:t>
        </w:r>
      </w:smartTag>
      <w:r w:rsidR="00F75E7E" w:rsidRPr="002261B9">
        <w:rPr>
          <w:rStyle w:val="DeltaViewInsertion"/>
          <w:color w:val="auto"/>
          <w:u w:val="none"/>
          <w:lang w:val="es-ES"/>
        </w:rPr>
        <w:t xml:space="preserve"> (carbox</w:t>
      </w:r>
      <w:r w:rsidR="003F35A6" w:rsidRPr="002261B9">
        <w:rPr>
          <w:rStyle w:val="DeltaViewInsertion"/>
          <w:color w:val="auto"/>
          <w:u w:val="none"/>
          <w:lang w:val="es-ES"/>
        </w:rPr>
        <w:t>i</w:t>
      </w:r>
      <w:r w:rsidR="00F75E7E" w:rsidRPr="002261B9">
        <w:rPr>
          <w:rStyle w:val="DeltaViewInsertion"/>
          <w:color w:val="auto"/>
          <w:u w:val="none"/>
          <w:lang w:val="es-ES"/>
        </w:rPr>
        <w:t>lmet</w:t>
      </w:r>
      <w:r w:rsidR="003F35A6" w:rsidRPr="002261B9">
        <w:rPr>
          <w:rStyle w:val="DeltaViewInsertion"/>
          <w:color w:val="auto"/>
          <w:u w:val="none"/>
          <w:lang w:val="es-ES"/>
        </w:rPr>
        <w:t>i</w:t>
      </w:r>
      <w:r w:rsidR="002748F8" w:rsidRPr="002261B9">
        <w:rPr>
          <w:rStyle w:val="DeltaViewInsertion"/>
          <w:color w:val="auto"/>
          <w:u w:val="none"/>
          <w:lang w:val="es-ES"/>
        </w:rPr>
        <w:t>lcel</w:t>
      </w:r>
      <w:r w:rsidR="00F75E7E" w:rsidRPr="002261B9">
        <w:rPr>
          <w:rStyle w:val="DeltaViewInsertion"/>
          <w:color w:val="auto"/>
          <w:u w:val="none"/>
          <w:lang w:val="es-ES"/>
        </w:rPr>
        <w:t>ulos</w:t>
      </w:r>
      <w:r w:rsidR="003F35A6" w:rsidRPr="002261B9">
        <w:rPr>
          <w:rStyle w:val="DeltaViewInsertion"/>
          <w:color w:val="auto"/>
          <w:u w:val="none"/>
          <w:lang w:val="es-ES"/>
        </w:rPr>
        <w:t>a</w:t>
      </w:r>
      <w:r w:rsidR="00F75E7E" w:rsidRPr="002261B9">
        <w:rPr>
          <w:rStyle w:val="DeltaViewInsertion"/>
          <w:color w:val="auto"/>
          <w:u w:val="none"/>
          <w:lang w:val="es-ES"/>
        </w:rPr>
        <w:t xml:space="preserve">), </w:t>
      </w:r>
      <w:r w:rsidR="003F35A6" w:rsidRPr="002261B9">
        <w:rPr>
          <w:rStyle w:val="DeltaViewInsertion"/>
          <w:color w:val="auto"/>
          <w:u w:val="none"/>
          <w:lang w:val="es-ES"/>
        </w:rPr>
        <w:t xml:space="preserve">compuestos de </w:t>
      </w:r>
      <w:r w:rsidR="00F75E7E" w:rsidRPr="002261B9">
        <w:rPr>
          <w:rStyle w:val="DeltaViewInsertion"/>
          <w:color w:val="auto"/>
          <w:u w:val="none"/>
          <w:lang w:val="es-ES"/>
        </w:rPr>
        <w:t>crom</w:t>
      </w:r>
      <w:r w:rsidR="003F35A6" w:rsidRPr="002261B9">
        <w:rPr>
          <w:rStyle w:val="DeltaViewInsertion"/>
          <w:color w:val="auto"/>
          <w:u w:val="none"/>
          <w:lang w:val="es-ES"/>
        </w:rPr>
        <w:t>o</w:t>
      </w:r>
      <w:r w:rsidR="00F75E7E" w:rsidRPr="002261B9">
        <w:rPr>
          <w:rStyle w:val="DeltaViewInsertion"/>
          <w:color w:val="auto"/>
          <w:u w:val="none"/>
          <w:lang w:val="es-ES"/>
        </w:rPr>
        <w:t xml:space="preserve">, </w:t>
      </w:r>
      <w:r w:rsidR="003F35A6" w:rsidRPr="002261B9">
        <w:rPr>
          <w:rStyle w:val="DeltaViewInsertion"/>
          <w:color w:val="auto"/>
          <w:u w:val="none"/>
          <w:lang w:val="es-ES"/>
        </w:rPr>
        <w:t xml:space="preserve">productos químicos fluorados o </w:t>
      </w:r>
      <w:r w:rsidR="00F75E7E" w:rsidRPr="002261B9">
        <w:rPr>
          <w:rStyle w:val="DeltaViewInsertion"/>
          <w:color w:val="auto"/>
          <w:u w:val="none"/>
          <w:lang w:val="es-ES"/>
        </w:rPr>
        <w:t>silicon</w:t>
      </w:r>
      <w:r w:rsidR="003F35A6" w:rsidRPr="002261B9">
        <w:rPr>
          <w:rStyle w:val="DeltaViewInsertion"/>
          <w:color w:val="auto"/>
          <w:u w:val="none"/>
          <w:lang w:val="es-ES"/>
        </w:rPr>
        <w:t>as</w:t>
      </w:r>
      <w:r w:rsidR="00F75E7E" w:rsidRPr="002261B9">
        <w:rPr>
          <w:rStyle w:val="DeltaViewInsertion"/>
          <w:color w:val="auto"/>
          <w:u w:val="none"/>
          <w:lang w:val="es-ES"/>
        </w:rPr>
        <w:t xml:space="preserve">. </w:t>
      </w:r>
      <w:r w:rsidR="003F35A6" w:rsidRPr="002261B9">
        <w:rPr>
          <w:rStyle w:val="DeltaViewInsertion"/>
          <w:color w:val="auto"/>
          <w:u w:val="none"/>
          <w:lang w:val="es-ES"/>
        </w:rPr>
        <w:t>Se pueden utilizar compuestos organoestánnicos como catalizadores en el revestimiento con silicona de papel resistente a la grasa y pueden pasar a los alimentos que entren en contacto con el papel.</w:t>
      </w:r>
      <w:r w:rsidR="00F75E7E" w:rsidRPr="002261B9">
        <w:rPr>
          <w:rStyle w:val="DeltaViewInsertion"/>
          <w:color w:val="auto"/>
          <w:u w:val="none"/>
          <w:lang w:val="es-ES"/>
        </w:rPr>
        <w:t xml:space="preserve"> </w:t>
      </w:r>
      <w:r w:rsidR="003F35A6" w:rsidRPr="002261B9">
        <w:rPr>
          <w:rStyle w:val="DeltaViewInsertion"/>
          <w:color w:val="auto"/>
          <w:u w:val="none"/>
          <w:lang w:val="es-ES"/>
        </w:rPr>
        <w:t>Se menciona específicamente al buliestaño como catalizador en el papel</w:t>
      </w:r>
      <w:r w:rsidR="00F75E7E" w:rsidRPr="002261B9">
        <w:rPr>
          <w:rStyle w:val="DeltaViewInsertion"/>
          <w:color w:val="auto"/>
          <w:u w:val="none"/>
          <w:lang w:val="es-ES"/>
        </w:rPr>
        <w:t>.</w:t>
      </w:r>
      <w:r w:rsidR="00E1011E" w:rsidRPr="002261B9">
        <w:rPr>
          <w:rStyle w:val="DeltaViewInsertion"/>
          <w:color w:val="auto"/>
          <w:u w:val="none"/>
          <w:lang w:val="es-ES"/>
        </w:rPr>
        <w:t xml:space="preserve"> </w:t>
      </w:r>
      <w:r w:rsidR="00F75E7E" w:rsidRPr="002261B9">
        <w:rPr>
          <w:rStyle w:val="DeltaViewInsertion"/>
          <w:color w:val="auto"/>
          <w:u w:val="none"/>
          <w:lang w:val="es-ES"/>
        </w:rPr>
        <w:t xml:space="preserve">Ecolabel </w:t>
      </w:r>
      <w:r w:rsidR="003F35A6" w:rsidRPr="002261B9">
        <w:rPr>
          <w:rStyle w:val="DeltaViewInsertion"/>
          <w:color w:val="auto"/>
          <w:u w:val="none"/>
          <w:lang w:val="es-ES"/>
        </w:rPr>
        <w:t xml:space="preserve">establece </w:t>
      </w:r>
      <w:r w:rsidR="002748F8" w:rsidRPr="002261B9">
        <w:rPr>
          <w:rStyle w:val="DeltaViewInsertion"/>
          <w:color w:val="auto"/>
          <w:u w:val="none"/>
          <w:lang w:val="es-ES"/>
        </w:rPr>
        <w:t>requisitos</w:t>
      </w:r>
      <w:r w:rsidR="003F35A6" w:rsidRPr="002261B9">
        <w:rPr>
          <w:rStyle w:val="DeltaViewInsertion"/>
          <w:color w:val="auto"/>
          <w:u w:val="none"/>
          <w:lang w:val="es-ES"/>
        </w:rPr>
        <w:t xml:space="preserve"> para prevenir la presencia de cromo, compuestos fluorados, en los casos que no se puedan emplear agentes de pintura/revestimiento basados en solventes, </w:t>
      </w:r>
      <w:r w:rsidR="00F75E7E" w:rsidRPr="002261B9">
        <w:rPr>
          <w:rStyle w:val="DeltaViewInsertion"/>
          <w:color w:val="auto"/>
          <w:u w:val="none"/>
          <w:lang w:val="es-ES"/>
        </w:rPr>
        <w:t xml:space="preserve">D4 </w:t>
      </w:r>
      <w:r w:rsidR="003F35A6" w:rsidRPr="002261B9">
        <w:rPr>
          <w:rStyle w:val="DeltaViewInsertion"/>
          <w:color w:val="auto"/>
          <w:u w:val="none"/>
          <w:lang w:val="es-ES"/>
        </w:rPr>
        <w:t>y</w:t>
      </w:r>
      <w:r w:rsidR="00F75E7E" w:rsidRPr="002261B9">
        <w:rPr>
          <w:rStyle w:val="DeltaViewInsertion"/>
          <w:color w:val="auto"/>
          <w:u w:val="none"/>
          <w:lang w:val="es-ES"/>
        </w:rPr>
        <w:t xml:space="preserve"> D5 </w:t>
      </w:r>
      <w:r w:rsidR="003F35A6" w:rsidRPr="002261B9">
        <w:rPr>
          <w:rStyle w:val="DeltaViewInsertion"/>
          <w:color w:val="auto"/>
          <w:u w:val="none"/>
          <w:lang w:val="es-ES"/>
        </w:rPr>
        <w:t>y catalizadores organoestánnicos en el tratamiento con siliconas</w:t>
      </w:r>
      <w:r w:rsidR="00F75E7E" w:rsidRPr="002261B9">
        <w:rPr>
          <w:rStyle w:val="DeltaViewInsertion"/>
          <w:color w:val="auto"/>
          <w:u w:val="none"/>
          <w:lang w:val="es-ES"/>
        </w:rPr>
        <w:t xml:space="preserve">. </w:t>
      </w:r>
      <w:r w:rsidR="003F35A6" w:rsidRPr="002261B9">
        <w:rPr>
          <w:rStyle w:val="DeltaViewInsertion"/>
          <w:color w:val="auto"/>
          <w:u w:val="none"/>
          <w:lang w:val="es-ES"/>
        </w:rPr>
        <w:t xml:space="preserve">Estas sustancias pueden emplearse en </w:t>
      </w:r>
      <w:r w:rsidR="002748F8" w:rsidRPr="002261B9">
        <w:rPr>
          <w:rStyle w:val="DeltaViewInsertion"/>
          <w:color w:val="auto"/>
          <w:u w:val="none"/>
          <w:lang w:val="es-ES"/>
        </w:rPr>
        <w:t>otros casos</w:t>
      </w:r>
      <w:r w:rsidR="003F35A6" w:rsidRPr="002261B9">
        <w:rPr>
          <w:rStyle w:val="DeltaViewInsertion"/>
          <w:color w:val="auto"/>
          <w:u w:val="none"/>
          <w:lang w:val="es-ES"/>
        </w:rPr>
        <w:t xml:space="preserve"> y por ello se importan a Europa.</w:t>
      </w:r>
    </w:p>
    <w:p w14:paraId="4946F630" w14:textId="6B0FB37C" w:rsidR="00F75E7E" w:rsidRPr="002261B9" w:rsidRDefault="002E3AC8" w:rsidP="00F45508">
      <w:pPr>
        <w:pStyle w:val="Paralevel1"/>
        <w:numPr>
          <w:ilvl w:val="0"/>
          <w:numId w:val="23"/>
        </w:numPr>
        <w:tabs>
          <w:tab w:val="clear" w:pos="0"/>
        </w:tabs>
        <w:ind w:left="1247" w:firstLine="0"/>
        <w:rPr>
          <w:lang w:val="es-ES"/>
        </w:rPr>
      </w:pPr>
      <w:bookmarkStart w:id="56" w:name="_DV_C910"/>
      <w:r w:rsidRPr="002261B9">
        <w:rPr>
          <w:rStyle w:val="DeltaViewInsertion"/>
          <w:color w:val="auto"/>
          <w:u w:val="none"/>
          <w:lang w:val="es-ES"/>
        </w:rPr>
        <w:t>El</w:t>
      </w:r>
      <w:r w:rsidR="00F75E7E" w:rsidRPr="002261B9">
        <w:rPr>
          <w:rStyle w:val="DeltaViewInsertion"/>
          <w:color w:val="auto"/>
          <w:u w:val="none"/>
          <w:lang w:val="es-ES"/>
        </w:rPr>
        <w:t xml:space="preserve"> BfR (BundesinstitutfürRisikobewertung)</w:t>
      </w:r>
      <w:r w:rsidRPr="002261B9">
        <w:rPr>
          <w:rStyle w:val="DeltaViewInsertion"/>
          <w:color w:val="auto"/>
          <w:u w:val="none"/>
          <w:lang w:val="es-ES"/>
        </w:rPr>
        <w:t xml:space="preserve"> de Alemania mantiene una base de datos sobre recomendaciones relativas a materiales que podrían entrar en contacto con los alimentos, incluidas sustancias fluoradas y no fluoradas</w:t>
      </w:r>
      <w:r w:rsidR="008113F7" w:rsidRPr="002261B9">
        <w:rPr>
          <w:rStyle w:val="FootnoteReference"/>
          <w:lang w:val="es-ES"/>
        </w:rPr>
        <w:footnoteReference w:id="24"/>
      </w:r>
      <w:bookmarkEnd w:id="56"/>
      <w:r w:rsidRPr="002261B9">
        <w:rPr>
          <w:rStyle w:val="DeltaViewInsertion"/>
          <w:color w:val="auto"/>
          <w:u w:val="none"/>
          <w:lang w:val="es-ES"/>
        </w:rPr>
        <w:t>.</w:t>
      </w:r>
    </w:p>
    <w:p w14:paraId="425F5B91" w14:textId="699FFE36" w:rsidR="00201012" w:rsidRPr="002261B9" w:rsidRDefault="00490671" w:rsidP="00063CF3">
      <w:pPr>
        <w:pStyle w:val="StyleHeading3h3123SecTimesNewRomanBold"/>
        <w:ind w:left="1248" w:hanging="624"/>
        <w:rPr>
          <w:lang w:val="es-ES"/>
        </w:rPr>
      </w:pPr>
      <w:bookmarkStart w:id="58" w:name="_Toc501099206"/>
      <w:r w:rsidRPr="002261B9">
        <w:rPr>
          <w:lang w:val="es-ES"/>
        </w:rPr>
        <w:t>2.3.3</w:t>
      </w:r>
      <w:r w:rsidRPr="002261B9">
        <w:rPr>
          <w:lang w:val="es-ES"/>
        </w:rPr>
        <w:tab/>
      </w:r>
      <w:r w:rsidR="00F75E7E" w:rsidRPr="002261B9">
        <w:rPr>
          <w:lang w:val="es-ES"/>
        </w:rPr>
        <w:t>Usos respecto de los cuales aún n</w:t>
      </w:r>
      <w:r w:rsidR="0067608C" w:rsidRPr="002261B9">
        <w:rPr>
          <w:lang w:val="es-ES"/>
        </w:rPr>
        <w:t>o se ha</w:t>
      </w:r>
      <w:r w:rsidR="00F75E7E" w:rsidRPr="002261B9">
        <w:rPr>
          <w:lang w:val="es-ES"/>
        </w:rPr>
        <w:t>n</w:t>
      </w:r>
      <w:r w:rsidR="0067608C" w:rsidRPr="002261B9">
        <w:rPr>
          <w:lang w:val="es-ES"/>
        </w:rPr>
        <w:t xml:space="preserve"> determinado alternativa</w:t>
      </w:r>
      <w:r w:rsidR="00F75E7E" w:rsidRPr="002261B9">
        <w:rPr>
          <w:lang w:val="es-ES"/>
        </w:rPr>
        <w:t>s</w:t>
      </w:r>
      <w:bookmarkEnd w:id="58"/>
      <w:r w:rsidR="00E1011E" w:rsidRPr="002261B9">
        <w:rPr>
          <w:lang w:val="es-ES"/>
        </w:rPr>
        <w:t xml:space="preserve"> </w:t>
      </w:r>
    </w:p>
    <w:p w14:paraId="5F489221" w14:textId="26FE9E89" w:rsidR="00B24FE8" w:rsidRPr="002261B9" w:rsidRDefault="00296926" w:rsidP="00063CF3">
      <w:pPr>
        <w:tabs>
          <w:tab w:val="left" w:pos="624"/>
        </w:tabs>
        <w:spacing w:after="120"/>
        <w:ind w:left="1248" w:hanging="624"/>
        <w:rPr>
          <w:b/>
          <w:i/>
          <w:sz w:val="20"/>
          <w:szCs w:val="20"/>
          <w:lang w:val="es-ES"/>
        </w:rPr>
      </w:pPr>
      <w:r w:rsidRPr="002261B9">
        <w:rPr>
          <w:b/>
          <w:i/>
          <w:sz w:val="20"/>
          <w:szCs w:val="20"/>
          <w:lang w:val="es-ES"/>
        </w:rPr>
        <w:t>A.</w:t>
      </w:r>
      <w:r w:rsidR="00490671" w:rsidRPr="002261B9">
        <w:rPr>
          <w:b/>
          <w:i/>
          <w:sz w:val="20"/>
          <w:szCs w:val="20"/>
          <w:lang w:val="es-ES"/>
        </w:rPr>
        <w:tab/>
      </w:r>
      <w:r w:rsidR="000F6024" w:rsidRPr="002261B9">
        <w:rPr>
          <w:b/>
          <w:i/>
          <w:sz w:val="20"/>
          <w:szCs w:val="20"/>
          <w:lang w:val="es-ES"/>
        </w:rPr>
        <w:t>Productos textiles técnicos con requisitos de alto rendimiento</w:t>
      </w:r>
    </w:p>
    <w:p w14:paraId="7E1AEEA0" w14:textId="3D6D0AD4" w:rsidR="00B24FE8" w:rsidRPr="002261B9" w:rsidRDefault="008B60FD" w:rsidP="00F45508">
      <w:pPr>
        <w:pStyle w:val="Paralevel1"/>
        <w:numPr>
          <w:ilvl w:val="0"/>
          <w:numId w:val="23"/>
        </w:numPr>
        <w:tabs>
          <w:tab w:val="clear" w:pos="0"/>
        </w:tabs>
        <w:ind w:left="1247" w:firstLine="0"/>
        <w:rPr>
          <w:lang w:val="es-ES"/>
        </w:rPr>
      </w:pPr>
      <w:r w:rsidRPr="002261B9">
        <w:rPr>
          <w:lang w:val="es-ES"/>
        </w:rPr>
        <w:t xml:space="preserve">Las asociaciones industriales señalaron que, sobre todo la esfera de los textiles </w:t>
      </w:r>
      <w:r w:rsidR="00D46F5C" w:rsidRPr="002261B9">
        <w:rPr>
          <w:lang w:val="es-ES"/>
        </w:rPr>
        <w:t xml:space="preserve">de uso </w:t>
      </w:r>
      <w:r w:rsidRPr="002261B9">
        <w:rPr>
          <w:lang w:val="es-ES"/>
        </w:rPr>
        <w:t>profesional, técnico y de protección y otros textiles avanzados</w:t>
      </w:r>
      <w:r w:rsidR="00B24FE8" w:rsidRPr="002261B9">
        <w:rPr>
          <w:lang w:val="es-ES"/>
        </w:rPr>
        <w:t xml:space="preserve"> (</w:t>
      </w:r>
      <w:r w:rsidRPr="002261B9">
        <w:rPr>
          <w:lang w:val="es-ES"/>
        </w:rPr>
        <w:t xml:space="preserve">por ejemplo, para los separadores de celdas de combustible en el </w:t>
      </w:r>
      <w:r w:rsidRPr="002261B9">
        <w:rPr>
          <w:rStyle w:val="DeltaViewInsertion"/>
          <w:color w:val="auto"/>
          <w:u w:val="none"/>
          <w:lang w:val="es-ES"/>
        </w:rPr>
        <w:t>caso</w:t>
      </w:r>
      <w:r w:rsidRPr="002261B9">
        <w:rPr>
          <w:lang w:val="es-ES"/>
        </w:rPr>
        <w:t xml:space="preserve"> de innovaciones de movilidad electrónica</w:t>
      </w:r>
      <w:r w:rsidR="00B24FE8" w:rsidRPr="002261B9">
        <w:rPr>
          <w:lang w:val="es-ES"/>
        </w:rPr>
        <w:t xml:space="preserve">), </w:t>
      </w:r>
      <w:r w:rsidRPr="002261B9">
        <w:rPr>
          <w:lang w:val="es-ES"/>
        </w:rPr>
        <w:t>en estos momentos no se dispo</w:t>
      </w:r>
      <w:r w:rsidR="001B29C2" w:rsidRPr="002261B9">
        <w:rPr>
          <w:lang w:val="es-ES"/>
        </w:rPr>
        <w:t xml:space="preserve">ne de alternativas que </w:t>
      </w:r>
      <w:r w:rsidR="00E10290" w:rsidRPr="002261B9">
        <w:rPr>
          <w:lang w:val="es-ES"/>
        </w:rPr>
        <w:t xml:space="preserve">estén a la altura de </w:t>
      </w:r>
      <w:r w:rsidR="00C35ECA" w:rsidRPr="002261B9">
        <w:rPr>
          <w:lang w:val="es-ES"/>
        </w:rPr>
        <w:t>la demanda de los requisitos legales y los usuarios</w:t>
      </w:r>
      <w:r w:rsidR="00B24FE8" w:rsidRPr="002261B9">
        <w:rPr>
          <w:lang w:val="es-ES"/>
        </w:rPr>
        <w:t xml:space="preserve">. </w:t>
      </w:r>
      <w:r w:rsidR="00336E04" w:rsidRPr="002261B9">
        <w:rPr>
          <w:lang w:val="es-ES"/>
        </w:rPr>
        <w:t xml:space="preserve">Sin embargo, se admite que los productos textiles </w:t>
      </w:r>
      <w:r w:rsidR="00691082" w:rsidRPr="002261B9">
        <w:rPr>
          <w:lang w:val="es-ES"/>
        </w:rPr>
        <w:t>que solo deben cumplir los requisitos de bajo rendimiento</w:t>
      </w:r>
      <w:r w:rsidR="00B24FE8" w:rsidRPr="002261B9">
        <w:rPr>
          <w:lang w:val="es-ES"/>
        </w:rPr>
        <w:t xml:space="preserve"> (</w:t>
      </w:r>
      <w:r w:rsidR="00691082" w:rsidRPr="002261B9">
        <w:rPr>
          <w:lang w:val="es-ES"/>
        </w:rPr>
        <w:t>por ejemplo, ropa estándar</w:t>
      </w:r>
      <w:r w:rsidR="00B24FE8" w:rsidRPr="002261B9">
        <w:rPr>
          <w:lang w:val="es-ES"/>
        </w:rPr>
        <w:t xml:space="preserve">, </w:t>
      </w:r>
      <w:r w:rsidR="00691082" w:rsidRPr="002261B9">
        <w:rPr>
          <w:lang w:val="es-ES"/>
        </w:rPr>
        <w:t>textiles estándar de uso en exteriores</w:t>
      </w:r>
      <w:r w:rsidR="00B24FE8" w:rsidRPr="002261B9">
        <w:rPr>
          <w:lang w:val="es-ES"/>
        </w:rPr>
        <w:t xml:space="preserve">), </w:t>
      </w:r>
      <w:r w:rsidR="00691082" w:rsidRPr="002261B9">
        <w:rPr>
          <w:lang w:val="es-ES"/>
        </w:rPr>
        <w:t xml:space="preserve">que antes se trataban con </w:t>
      </w:r>
      <w:r w:rsidR="009321C2" w:rsidRPr="002261B9">
        <w:rPr>
          <w:lang w:val="es-ES"/>
        </w:rPr>
        <w:t>compuestos</w:t>
      </w:r>
      <w:r w:rsidR="00E61FF0" w:rsidRPr="002261B9">
        <w:rPr>
          <w:lang w:val="es-ES"/>
        </w:rPr>
        <w:t xml:space="preserve"> conexos del PFOA</w:t>
      </w:r>
      <w:r w:rsidR="00B24FE8" w:rsidRPr="002261B9">
        <w:rPr>
          <w:lang w:val="es-ES"/>
        </w:rPr>
        <w:t xml:space="preserve">, </w:t>
      </w:r>
      <w:r w:rsidR="00691082" w:rsidRPr="002261B9">
        <w:rPr>
          <w:lang w:val="es-ES"/>
        </w:rPr>
        <w:t xml:space="preserve">pueden tratarse con productos </w:t>
      </w:r>
      <w:r w:rsidR="00B24FE8" w:rsidRPr="002261B9">
        <w:rPr>
          <w:lang w:val="es-ES"/>
        </w:rPr>
        <w:t>C</w:t>
      </w:r>
      <w:r w:rsidR="00B24FE8" w:rsidRPr="002261B9">
        <w:rPr>
          <w:vertAlign w:val="subscript"/>
          <w:lang w:val="es-ES"/>
        </w:rPr>
        <w:t>6</w:t>
      </w:r>
      <w:r w:rsidR="00691082" w:rsidRPr="002261B9">
        <w:rPr>
          <w:lang w:val="es-ES"/>
        </w:rPr>
        <w:t xml:space="preserve"> o incluso con alternativas sin flúor</w:t>
      </w:r>
      <w:r w:rsidR="00B24FE8" w:rsidRPr="002261B9">
        <w:rPr>
          <w:lang w:val="es-ES"/>
        </w:rPr>
        <w:t xml:space="preserve"> (VTB SWT</w:t>
      </w:r>
      <w:r w:rsidR="004904E9" w:rsidRPr="002261B9">
        <w:rPr>
          <w:lang w:val="es-ES"/>
        </w:rPr>
        <w:t>,</w:t>
      </w:r>
      <w:r w:rsidR="006F57D4" w:rsidRPr="002261B9">
        <w:rPr>
          <w:lang w:val="es-ES"/>
        </w:rPr>
        <w:t xml:space="preserve"> 2</w:t>
      </w:r>
      <w:r w:rsidR="00B24FE8" w:rsidRPr="002261B9">
        <w:rPr>
          <w:lang w:val="es-ES"/>
        </w:rPr>
        <w:t>016</w:t>
      </w:r>
      <w:r w:rsidR="00467DA8" w:rsidRPr="002261B9">
        <w:rPr>
          <w:lang w:val="es-ES"/>
        </w:rPr>
        <w:t xml:space="preserve">; </w:t>
      </w:r>
      <w:r w:rsidR="00B24FE8" w:rsidRPr="002261B9">
        <w:rPr>
          <w:lang w:val="es-ES"/>
        </w:rPr>
        <w:t>Euratex</w:t>
      </w:r>
      <w:r w:rsidR="008F6D01" w:rsidRPr="002261B9">
        <w:rPr>
          <w:lang w:val="es-ES"/>
        </w:rPr>
        <w:t>,</w:t>
      </w:r>
      <w:r w:rsidR="00B24FE8" w:rsidRPr="002261B9">
        <w:rPr>
          <w:lang w:val="es-ES"/>
        </w:rPr>
        <w:t xml:space="preserve"> 2016</w:t>
      </w:r>
      <w:r w:rsidR="004835E6" w:rsidRPr="002261B9">
        <w:rPr>
          <w:lang w:val="es-ES"/>
        </w:rPr>
        <w:t>)</w:t>
      </w:r>
      <w:r w:rsidR="00B24FE8" w:rsidRPr="002261B9">
        <w:rPr>
          <w:lang w:val="es-ES"/>
        </w:rPr>
        <w:t>.</w:t>
      </w:r>
    </w:p>
    <w:p w14:paraId="6A416CE1" w14:textId="2946A93C" w:rsidR="00B24FE8" w:rsidRPr="002261B9" w:rsidRDefault="00C35ECA" w:rsidP="00F45508">
      <w:pPr>
        <w:pStyle w:val="Paralevel1"/>
        <w:numPr>
          <w:ilvl w:val="0"/>
          <w:numId w:val="23"/>
        </w:numPr>
        <w:tabs>
          <w:tab w:val="clear" w:pos="0"/>
        </w:tabs>
        <w:ind w:left="1247" w:firstLine="0"/>
        <w:rPr>
          <w:lang w:val="es-ES"/>
        </w:rPr>
      </w:pPr>
      <w:r w:rsidRPr="002261B9">
        <w:rPr>
          <w:lang w:val="es-ES"/>
        </w:rPr>
        <w:t xml:space="preserve">Los interesados plantean que los textiles de protección con acabado a base de química de </w:t>
      </w:r>
      <w:r w:rsidR="00B24FE8" w:rsidRPr="002261B9">
        <w:rPr>
          <w:lang w:val="es-ES"/>
        </w:rPr>
        <w:t>C</w:t>
      </w:r>
      <w:r w:rsidR="00B24FE8" w:rsidRPr="002261B9">
        <w:rPr>
          <w:vertAlign w:val="subscript"/>
          <w:lang w:val="es-ES"/>
        </w:rPr>
        <w:t>6</w:t>
      </w:r>
      <w:r w:rsidRPr="002261B9">
        <w:rPr>
          <w:lang w:val="es-ES"/>
        </w:rPr>
        <w:t xml:space="preserve"> necesitan gran cantidad de productos a base de </w:t>
      </w:r>
      <w:r w:rsidR="00B24FE8" w:rsidRPr="002261B9">
        <w:rPr>
          <w:lang w:val="es-ES"/>
        </w:rPr>
        <w:t>C</w:t>
      </w:r>
      <w:r w:rsidR="00B24FE8" w:rsidRPr="002261B9">
        <w:rPr>
          <w:vertAlign w:val="subscript"/>
          <w:lang w:val="es-ES"/>
        </w:rPr>
        <w:t>6</w:t>
      </w:r>
      <w:r w:rsidRPr="002261B9">
        <w:rPr>
          <w:lang w:val="es-ES"/>
        </w:rPr>
        <w:t xml:space="preserve"> para el acabado inicial y reiteradas impregnaciones profesionales con más productos a base de </w:t>
      </w:r>
      <w:r w:rsidR="00B24FE8" w:rsidRPr="002261B9">
        <w:rPr>
          <w:lang w:val="es-ES"/>
        </w:rPr>
        <w:t>C</w:t>
      </w:r>
      <w:r w:rsidR="00B24FE8" w:rsidRPr="002261B9">
        <w:rPr>
          <w:vertAlign w:val="subscript"/>
          <w:lang w:val="es-ES"/>
        </w:rPr>
        <w:t>6</w:t>
      </w:r>
      <w:r w:rsidRPr="002261B9">
        <w:rPr>
          <w:lang w:val="es-ES"/>
        </w:rPr>
        <w:t xml:space="preserve"> después de cada lavado para cumplir las rigurosas normas de seguridad</w:t>
      </w:r>
      <w:r w:rsidR="00B24FE8" w:rsidRPr="002261B9">
        <w:rPr>
          <w:lang w:val="es-ES"/>
        </w:rPr>
        <w:t xml:space="preserve">; </w:t>
      </w:r>
      <w:r w:rsidRPr="002261B9">
        <w:rPr>
          <w:lang w:val="es-ES"/>
        </w:rPr>
        <w:t xml:space="preserve">esto daría por resultado nuevas emisiones de </w:t>
      </w:r>
      <w:r w:rsidR="00B24FE8" w:rsidRPr="002261B9">
        <w:rPr>
          <w:lang w:val="es-ES"/>
        </w:rPr>
        <w:t>PFAS</w:t>
      </w:r>
      <w:r w:rsidRPr="002261B9">
        <w:rPr>
          <w:lang w:val="es-ES"/>
        </w:rPr>
        <w:t xml:space="preserve"> debido </w:t>
      </w:r>
      <w:r w:rsidR="00776F5E" w:rsidRPr="002261B9">
        <w:rPr>
          <w:lang w:val="es-ES"/>
        </w:rPr>
        <w:t xml:space="preserve">a </w:t>
      </w:r>
      <w:r w:rsidRPr="002261B9">
        <w:rPr>
          <w:lang w:val="es-ES"/>
        </w:rPr>
        <w:t>que se usa</w:t>
      </w:r>
      <w:r w:rsidR="00776F5E" w:rsidRPr="002261B9">
        <w:rPr>
          <w:lang w:val="es-ES"/>
        </w:rPr>
        <w:t>ría</w:t>
      </w:r>
      <w:r w:rsidRPr="002261B9">
        <w:rPr>
          <w:lang w:val="es-ES"/>
        </w:rPr>
        <w:t xml:space="preserve"> una mayor cantidad de productos químicos que con la química </w:t>
      </w:r>
      <w:r w:rsidR="009873EC" w:rsidRPr="002261B9">
        <w:rPr>
          <w:lang w:val="es-ES"/>
        </w:rPr>
        <w:t xml:space="preserve">a base </w:t>
      </w:r>
      <w:r w:rsidRPr="002261B9">
        <w:rPr>
          <w:lang w:val="es-ES"/>
        </w:rPr>
        <w:t xml:space="preserve">de </w:t>
      </w:r>
      <w:r w:rsidR="00B24FE8" w:rsidRPr="002261B9">
        <w:rPr>
          <w:lang w:val="es-ES"/>
        </w:rPr>
        <w:t>C</w:t>
      </w:r>
      <w:r w:rsidR="00B24FE8" w:rsidRPr="002261B9">
        <w:rPr>
          <w:vertAlign w:val="subscript"/>
          <w:lang w:val="es-ES"/>
        </w:rPr>
        <w:t>8</w:t>
      </w:r>
      <w:r w:rsidR="00B24FE8" w:rsidRPr="002261B9">
        <w:rPr>
          <w:lang w:val="es-ES"/>
        </w:rPr>
        <w:t xml:space="preserve"> (VTB SWT</w:t>
      </w:r>
      <w:r w:rsidR="008F6D01" w:rsidRPr="002261B9">
        <w:rPr>
          <w:lang w:val="es-ES"/>
        </w:rPr>
        <w:t>,</w:t>
      </w:r>
      <w:r w:rsidR="00B24FE8" w:rsidRPr="002261B9">
        <w:rPr>
          <w:lang w:val="es-ES"/>
        </w:rPr>
        <w:t xml:space="preserve"> 2016). </w:t>
      </w:r>
      <w:r w:rsidRPr="002261B9">
        <w:rPr>
          <w:lang w:val="es-ES"/>
        </w:rPr>
        <w:t>En este contexto, se mencionó que</w:t>
      </w:r>
      <w:r w:rsidR="00776F5E" w:rsidRPr="002261B9">
        <w:rPr>
          <w:lang w:val="es-ES"/>
        </w:rPr>
        <w:t>,</w:t>
      </w:r>
      <w:r w:rsidRPr="002261B9">
        <w:rPr>
          <w:lang w:val="es-ES"/>
        </w:rPr>
        <w:t xml:space="preserve"> durante todo el ciclo de vida, </w:t>
      </w:r>
      <w:r w:rsidR="00776F5E" w:rsidRPr="002261B9">
        <w:rPr>
          <w:lang w:val="es-ES"/>
        </w:rPr>
        <w:t xml:space="preserve">en el caso de </w:t>
      </w:r>
      <w:r w:rsidRPr="002261B9">
        <w:rPr>
          <w:lang w:val="es-ES"/>
        </w:rPr>
        <w:t>los productos textiles</w:t>
      </w:r>
      <w:r w:rsidR="009873EC" w:rsidRPr="002261B9">
        <w:rPr>
          <w:lang w:val="es-ES"/>
        </w:rPr>
        <w:t xml:space="preserve"> de uso</w:t>
      </w:r>
      <w:r w:rsidRPr="002261B9">
        <w:rPr>
          <w:lang w:val="es-ES"/>
        </w:rPr>
        <w:t xml:space="preserve"> técnico tratados con acabado</w:t>
      </w:r>
      <w:r w:rsidR="009873EC" w:rsidRPr="002261B9">
        <w:rPr>
          <w:lang w:val="es-ES"/>
        </w:rPr>
        <w:t xml:space="preserve"> a base de</w:t>
      </w:r>
      <w:r w:rsidRPr="002261B9">
        <w:rPr>
          <w:lang w:val="es-ES"/>
        </w:rPr>
        <w:t xml:space="preserve"> fluorotelómeros 6:2 </w:t>
      </w:r>
      <w:r w:rsidR="00776F5E" w:rsidRPr="002261B9">
        <w:rPr>
          <w:lang w:val="es-ES"/>
        </w:rPr>
        <w:t xml:space="preserve">se </w:t>
      </w:r>
      <w:r w:rsidRPr="002261B9">
        <w:rPr>
          <w:lang w:val="es-ES"/>
        </w:rPr>
        <w:t xml:space="preserve">suelen registrar emisiones totales de PFAS </w:t>
      </w:r>
      <w:r w:rsidR="00B24FE8" w:rsidRPr="002261B9">
        <w:rPr>
          <w:lang w:val="es-ES"/>
        </w:rPr>
        <w:t>4</w:t>
      </w:r>
      <w:r w:rsidRPr="002261B9">
        <w:rPr>
          <w:lang w:val="es-ES"/>
        </w:rPr>
        <w:t xml:space="preserve"> a </w:t>
      </w:r>
      <w:r w:rsidR="00B24FE8" w:rsidRPr="002261B9">
        <w:rPr>
          <w:lang w:val="es-ES"/>
        </w:rPr>
        <w:t xml:space="preserve">8 </w:t>
      </w:r>
      <w:r w:rsidRPr="002261B9">
        <w:rPr>
          <w:lang w:val="es-ES"/>
        </w:rPr>
        <w:t xml:space="preserve">veces más frecuentes que las emisiones observadas cuando se aplica la química </w:t>
      </w:r>
      <w:r w:rsidR="009873EC" w:rsidRPr="002261B9">
        <w:rPr>
          <w:lang w:val="es-ES"/>
        </w:rPr>
        <w:t xml:space="preserve">a </w:t>
      </w:r>
      <w:r w:rsidRPr="002261B9">
        <w:rPr>
          <w:lang w:val="es-ES"/>
        </w:rPr>
        <w:t>bas</w:t>
      </w:r>
      <w:r w:rsidR="009873EC" w:rsidRPr="002261B9">
        <w:rPr>
          <w:lang w:val="es-ES"/>
        </w:rPr>
        <w:t>e</w:t>
      </w:r>
      <w:r w:rsidRPr="002261B9">
        <w:rPr>
          <w:lang w:val="es-ES"/>
        </w:rPr>
        <w:t xml:space="preserve"> </w:t>
      </w:r>
      <w:r w:rsidR="009873EC" w:rsidRPr="002261B9">
        <w:rPr>
          <w:lang w:val="es-ES"/>
        </w:rPr>
        <w:t>d</w:t>
      </w:r>
      <w:r w:rsidRPr="002261B9">
        <w:rPr>
          <w:lang w:val="es-ES"/>
        </w:rPr>
        <w:t>e</w:t>
      </w:r>
      <w:r w:rsidR="00063CF3" w:rsidRPr="002261B9">
        <w:rPr>
          <w:lang w:val="es-ES"/>
        </w:rPr>
        <w:t> </w:t>
      </w:r>
      <w:r w:rsidR="00B24FE8" w:rsidRPr="002261B9">
        <w:rPr>
          <w:lang w:val="es-ES"/>
        </w:rPr>
        <w:t>C</w:t>
      </w:r>
      <w:r w:rsidR="00B24FE8" w:rsidRPr="002261B9">
        <w:rPr>
          <w:vertAlign w:val="subscript"/>
          <w:lang w:val="es-ES"/>
        </w:rPr>
        <w:t>8</w:t>
      </w:r>
      <w:r w:rsidR="00B24FE8" w:rsidRPr="002261B9">
        <w:rPr>
          <w:lang w:val="es-ES"/>
        </w:rPr>
        <w:t xml:space="preserve"> (Euratex</w:t>
      </w:r>
      <w:r w:rsidR="008F6D01" w:rsidRPr="002261B9">
        <w:rPr>
          <w:lang w:val="es-ES"/>
        </w:rPr>
        <w:t>,</w:t>
      </w:r>
      <w:r w:rsidR="00B24FE8" w:rsidRPr="002261B9">
        <w:rPr>
          <w:lang w:val="es-ES"/>
        </w:rPr>
        <w:t xml:space="preserve"> 2016</w:t>
      </w:r>
      <w:r w:rsidR="004835E6" w:rsidRPr="002261B9">
        <w:rPr>
          <w:lang w:val="es-ES"/>
        </w:rPr>
        <w:t>)</w:t>
      </w:r>
      <w:r w:rsidR="00B24FE8" w:rsidRPr="002261B9">
        <w:rPr>
          <w:lang w:val="es-ES"/>
        </w:rPr>
        <w:t xml:space="preserve">. </w:t>
      </w:r>
    </w:p>
    <w:p w14:paraId="6AFADE36" w14:textId="6A696950" w:rsidR="00B24FE8" w:rsidRPr="002261B9" w:rsidRDefault="00C35ECA" w:rsidP="00F45508">
      <w:pPr>
        <w:pStyle w:val="Paralevel1"/>
        <w:numPr>
          <w:ilvl w:val="0"/>
          <w:numId w:val="23"/>
        </w:numPr>
        <w:tabs>
          <w:tab w:val="clear" w:pos="0"/>
        </w:tabs>
        <w:ind w:left="1247" w:firstLine="0"/>
        <w:rPr>
          <w:lang w:val="es-ES"/>
        </w:rPr>
      </w:pPr>
      <w:r w:rsidRPr="002261B9">
        <w:rPr>
          <w:lang w:val="es-ES"/>
        </w:rPr>
        <w:t xml:space="preserve">La industrial textil informó de que la química a base de </w:t>
      </w:r>
      <w:r w:rsidR="00B24FE8" w:rsidRPr="002261B9">
        <w:rPr>
          <w:lang w:val="es-ES"/>
        </w:rPr>
        <w:t>C</w:t>
      </w:r>
      <w:r w:rsidR="00B24FE8" w:rsidRPr="002261B9">
        <w:rPr>
          <w:vertAlign w:val="subscript"/>
          <w:lang w:val="es-ES"/>
        </w:rPr>
        <w:t>8</w:t>
      </w:r>
      <w:r w:rsidRPr="002261B9">
        <w:rPr>
          <w:lang w:val="es-ES"/>
        </w:rPr>
        <w:t xml:space="preserve"> puede cumplir los </w:t>
      </w:r>
      <w:r w:rsidR="00653E71" w:rsidRPr="002261B9">
        <w:rPr>
          <w:lang w:val="es-ES"/>
        </w:rPr>
        <w:t xml:space="preserve">elevados requisitos relacionados con </w:t>
      </w:r>
      <w:r w:rsidR="00653E71" w:rsidRPr="002261B9">
        <w:rPr>
          <w:rStyle w:val="DeltaViewInsertion"/>
          <w:color w:val="auto"/>
          <w:u w:val="none"/>
          <w:lang w:val="es-ES"/>
        </w:rPr>
        <w:t>la</w:t>
      </w:r>
      <w:r w:rsidR="00653E71" w:rsidRPr="002261B9">
        <w:rPr>
          <w:lang w:val="es-ES"/>
        </w:rPr>
        <w:t xml:space="preserve"> repelencia de líquidos y polvos peligrosos y al mismo tiempo surtir un efecto perjudicial de menor importancia</w:t>
      </w:r>
      <w:r w:rsidR="00B24FE8" w:rsidRPr="002261B9">
        <w:rPr>
          <w:lang w:val="es-ES"/>
        </w:rPr>
        <w:t xml:space="preserve"> </w:t>
      </w:r>
      <w:r w:rsidR="00653E71" w:rsidRPr="002261B9">
        <w:rPr>
          <w:lang w:val="es-ES"/>
        </w:rPr>
        <w:t>como pirorretardante</w:t>
      </w:r>
      <w:r w:rsidR="00B24FE8" w:rsidRPr="002261B9">
        <w:rPr>
          <w:lang w:val="es-ES"/>
        </w:rPr>
        <w:t xml:space="preserve">. </w:t>
      </w:r>
      <w:r w:rsidR="00653E71" w:rsidRPr="002261B9">
        <w:rPr>
          <w:lang w:val="es-ES"/>
        </w:rPr>
        <w:t xml:space="preserve">Esta combinación preferible de los dos efectos no se puede obtener con productos a base de </w:t>
      </w:r>
      <w:r w:rsidR="00B24FE8" w:rsidRPr="002261B9">
        <w:rPr>
          <w:lang w:val="es-ES"/>
        </w:rPr>
        <w:t>C</w:t>
      </w:r>
      <w:r w:rsidR="00B24FE8" w:rsidRPr="002261B9">
        <w:rPr>
          <w:vertAlign w:val="subscript"/>
          <w:lang w:val="es-ES"/>
        </w:rPr>
        <w:t>6</w:t>
      </w:r>
      <w:r w:rsidR="00B24FE8" w:rsidRPr="002261B9">
        <w:rPr>
          <w:lang w:val="es-ES"/>
        </w:rPr>
        <w:t xml:space="preserve">. </w:t>
      </w:r>
      <w:r w:rsidR="00653E71" w:rsidRPr="002261B9">
        <w:rPr>
          <w:lang w:val="es-ES"/>
        </w:rPr>
        <w:t>Es más</w:t>
      </w:r>
      <w:r w:rsidR="00B24FE8" w:rsidRPr="002261B9">
        <w:rPr>
          <w:lang w:val="es-ES"/>
        </w:rPr>
        <w:t xml:space="preserve">, </w:t>
      </w:r>
      <w:r w:rsidR="00653E71" w:rsidRPr="002261B9">
        <w:rPr>
          <w:lang w:val="es-ES"/>
        </w:rPr>
        <w:t>se planteó que los textiles</w:t>
      </w:r>
      <w:r w:rsidR="00776F5E" w:rsidRPr="002261B9">
        <w:rPr>
          <w:lang w:val="es-ES"/>
        </w:rPr>
        <w:t xml:space="preserve"> de uso</w:t>
      </w:r>
      <w:r w:rsidR="00653E71" w:rsidRPr="002261B9">
        <w:rPr>
          <w:lang w:val="es-ES"/>
        </w:rPr>
        <w:t xml:space="preserve"> técnico y de protección evitan que los trabajadores sean contaminados por líquidos o sustancias peligrosas</w:t>
      </w:r>
      <w:r w:rsidR="00B24FE8" w:rsidRPr="002261B9">
        <w:rPr>
          <w:lang w:val="es-ES"/>
        </w:rPr>
        <w:t xml:space="preserve"> (</w:t>
      </w:r>
      <w:r w:rsidR="00653E71" w:rsidRPr="002261B9">
        <w:rPr>
          <w:lang w:val="es-ES"/>
        </w:rPr>
        <w:t>por ejemplo, líquidos infecciosos</w:t>
      </w:r>
      <w:r w:rsidR="00B24FE8" w:rsidRPr="002261B9">
        <w:rPr>
          <w:lang w:val="es-ES"/>
        </w:rPr>
        <w:t xml:space="preserve">). </w:t>
      </w:r>
      <w:r w:rsidR="00653E71" w:rsidRPr="002261B9">
        <w:rPr>
          <w:lang w:val="es-ES"/>
        </w:rPr>
        <w:t>Por eso, es posible que ocurran graves problemas para la salud si se descuida la reimpregnación</w:t>
      </w:r>
      <w:r w:rsidR="00B24FE8" w:rsidRPr="002261B9">
        <w:rPr>
          <w:lang w:val="es-ES"/>
        </w:rPr>
        <w:t xml:space="preserve">, </w:t>
      </w:r>
      <w:r w:rsidR="00653E71" w:rsidRPr="002261B9">
        <w:rPr>
          <w:lang w:val="es-ES"/>
        </w:rPr>
        <w:t>que es obligatoria debido a que</w:t>
      </w:r>
      <w:r w:rsidR="00776F5E" w:rsidRPr="002261B9">
        <w:rPr>
          <w:lang w:val="es-ES"/>
        </w:rPr>
        <w:t>,</w:t>
      </w:r>
      <w:r w:rsidR="00653E71" w:rsidRPr="002261B9">
        <w:rPr>
          <w:lang w:val="es-ES"/>
        </w:rPr>
        <w:t xml:space="preserve"> con el tiempo</w:t>
      </w:r>
      <w:r w:rsidR="00776F5E" w:rsidRPr="002261B9">
        <w:rPr>
          <w:lang w:val="es-ES"/>
        </w:rPr>
        <w:t>,</w:t>
      </w:r>
      <w:r w:rsidR="00653E71" w:rsidRPr="002261B9">
        <w:rPr>
          <w:lang w:val="es-ES"/>
        </w:rPr>
        <w:t xml:space="preserve"> se van perdiendo la</w:t>
      </w:r>
      <w:r w:rsidR="004835E6" w:rsidRPr="002261B9">
        <w:rPr>
          <w:lang w:val="es-ES"/>
        </w:rPr>
        <w:t>s</w:t>
      </w:r>
      <w:r w:rsidR="00653E71" w:rsidRPr="002261B9">
        <w:rPr>
          <w:lang w:val="es-ES"/>
        </w:rPr>
        <w:t xml:space="preserve"> características protectoras</w:t>
      </w:r>
      <w:r w:rsidR="00B24FE8" w:rsidRPr="002261B9">
        <w:rPr>
          <w:lang w:val="es-ES"/>
        </w:rPr>
        <w:t xml:space="preserve"> (VTB SWT</w:t>
      </w:r>
      <w:r w:rsidR="008F6D01" w:rsidRPr="002261B9">
        <w:rPr>
          <w:lang w:val="es-ES"/>
        </w:rPr>
        <w:t>,</w:t>
      </w:r>
      <w:r w:rsidR="00B24FE8" w:rsidRPr="002261B9">
        <w:rPr>
          <w:lang w:val="es-ES"/>
        </w:rPr>
        <w:t xml:space="preserve"> 2016</w:t>
      </w:r>
      <w:r w:rsidR="00AA3AF0" w:rsidRPr="002261B9">
        <w:rPr>
          <w:lang w:val="es-ES"/>
        </w:rPr>
        <w:t>,</w:t>
      </w:r>
      <w:r w:rsidR="00B24FE8" w:rsidRPr="002261B9">
        <w:rPr>
          <w:lang w:val="es-ES"/>
        </w:rPr>
        <w:t xml:space="preserve"> (TM</w:t>
      </w:r>
      <w:r w:rsidR="008F6D01" w:rsidRPr="002261B9">
        <w:rPr>
          <w:lang w:val="es-ES"/>
        </w:rPr>
        <w:t>,</w:t>
      </w:r>
      <w:r w:rsidR="00B24FE8" w:rsidRPr="002261B9">
        <w:rPr>
          <w:lang w:val="es-ES"/>
        </w:rPr>
        <w:t xml:space="preserve"> 2016). </w:t>
      </w:r>
    </w:p>
    <w:p w14:paraId="352B9BBA" w14:textId="1B4B7ACF" w:rsidR="00201012" w:rsidRPr="002261B9" w:rsidRDefault="00296926" w:rsidP="00063CF3">
      <w:pPr>
        <w:tabs>
          <w:tab w:val="left" w:pos="624"/>
        </w:tabs>
        <w:spacing w:after="120"/>
        <w:ind w:left="1248" w:hanging="624"/>
        <w:rPr>
          <w:b/>
          <w:i/>
          <w:sz w:val="20"/>
          <w:szCs w:val="20"/>
          <w:lang w:val="es-ES"/>
        </w:rPr>
      </w:pPr>
      <w:r w:rsidRPr="002261B9">
        <w:rPr>
          <w:b/>
          <w:i/>
          <w:sz w:val="20"/>
          <w:szCs w:val="20"/>
          <w:lang w:val="es-ES"/>
        </w:rPr>
        <w:t>B.</w:t>
      </w:r>
      <w:r w:rsidR="00015E1F" w:rsidRPr="002261B9">
        <w:rPr>
          <w:b/>
          <w:i/>
          <w:sz w:val="20"/>
          <w:szCs w:val="20"/>
          <w:lang w:val="es-ES"/>
        </w:rPr>
        <w:tab/>
      </w:r>
      <w:r w:rsidRPr="002261B9">
        <w:rPr>
          <w:b/>
          <w:i/>
          <w:sz w:val="20"/>
          <w:szCs w:val="20"/>
          <w:lang w:val="es-ES"/>
        </w:rPr>
        <w:t>I</w:t>
      </w:r>
      <w:r w:rsidR="000F6024" w:rsidRPr="002261B9">
        <w:rPr>
          <w:b/>
          <w:i/>
          <w:sz w:val="20"/>
          <w:szCs w:val="20"/>
          <w:lang w:val="es-ES"/>
        </w:rPr>
        <w:t>ndustria de creación de imágenes e impresión</w:t>
      </w:r>
    </w:p>
    <w:p w14:paraId="65020DCD" w14:textId="19F7E249" w:rsidR="00201012" w:rsidRPr="002261B9" w:rsidRDefault="00E270A4" w:rsidP="00F45508">
      <w:pPr>
        <w:pStyle w:val="Paralevel1"/>
        <w:numPr>
          <w:ilvl w:val="0"/>
          <w:numId w:val="23"/>
        </w:numPr>
        <w:tabs>
          <w:tab w:val="clear" w:pos="0"/>
        </w:tabs>
        <w:ind w:left="1247" w:firstLine="0"/>
        <w:rPr>
          <w:lang w:val="es-ES"/>
        </w:rPr>
      </w:pPr>
      <w:r w:rsidRPr="002261B9">
        <w:rPr>
          <w:lang w:val="es-ES"/>
        </w:rPr>
        <w:t>Según</w:t>
      </w:r>
      <w:r w:rsidR="00201012" w:rsidRPr="002261B9">
        <w:rPr>
          <w:lang w:val="es-ES"/>
        </w:rPr>
        <w:t xml:space="preserve"> I&amp;P Europe</w:t>
      </w:r>
      <w:r w:rsidR="00F71755" w:rsidRPr="002261B9">
        <w:rPr>
          <w:lang w:val="es-ES"/>
        </w:rPr>
        <w:t>,</w:t>
      </w:r>
      <w:r w:rsidR="00201012" w:rsidRPr="002261B9">
        <w:rPr>
          <w:lang w:val="es-ES"/>
        </w:rPr>
        <w:t xml:space="preserv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F71755" w:rsidRPr="002261B9">
        <w:rPr>
          <w:lang w:val="es-ES"/>
        </w:rPr>
        <w:t xml:space="preserve"> </w:t>
      </w:r>
      <w:r w:rsidRPr="002261B9">
        <w:rPr>
          <w:lang w:val="es-ES"/>
        </w:rPr>
        <w:t>fueron sustituidos con éxito con productos químicos no perfluorados</w:t>
      </w:r>
      <w:r w:rsidR="00201012" w:rsidRPr="002261B9">
        <w:rPr>
          <w:lang w:val="es-ES"/>
        </w:rPr>
        <w:t xml:space="preserve">, </w:t>
      </w:r>
      <w:r w:rsidRPr="002261B9">
        <w:rPr>
          <w:rStyle w:val="DeltaViewInsertion"/>
          <w:color w:val="auto"/>
          <w:u w:val="none"/>
          <w:lang w:val="es-ES"/>
        </w:rPr>
        <w:t>productos</w:t>
      </w:r>
      <w:r w:rsidRPr="002261B9">
        <w:rPr>
          <w:lang w:val="es-ES"/>
        </w:rPr>
        <w:t xml:space="preserve"> químicos con cadenas perfluoradas cortas</w:t>
      </w:r>
      <w:r w:rsidR="00201012" w:rsidRPr="002261B9">
        <w:rPr>
          <w:lang w:val="es-ES"/>
        </w:rPr>
        <w:t xml:space="preserve"> (C</w:t>
      </w:r>
      <w:r w:rsidR="00201012" w:rsidRPr="002261B9">
        <w:rPr>
          <w:vertAlign w:val="subscript"/>
          <w:lang w:val="es-ES"/>
        </w:rPr>
        <w:t>3</w:t>
      </w:r>
      <w:r w:rsidRPr="002261B9">
        <w:rPr>
          <w:lang w:val="es-ES"/>
        </w:rPr>
        <w:t xml:space="preserve"> y </w:t>
      </w:r>
      <w:r w:rsidR="00201012" w:rsidRPr="002261B9">
        <w:rPr>
          <w:lang w:val="es-ES"/>
        </w:rPr>
        <w:t>C</w:t>
      </w:r>
      <w:r w:rsidR="00201012" w:rsidRPr="002261B9">
        <w:rPr>
          <w:vertAlign w:val="subscript"/>
          <w:lang w:val="es-ES"/>
        </w:rPr>
        <w:t>4</w:t>
      </w:r>
      <w:r w:rsidR="00201012" w:rsidRPr="002261B9">
        <w:rPr>
          <w:lang w:val="es-ES"/>
        </w:rPr>
        <w:t>), tel</w:t>
      </w:r>
      <w:r w:rsidRPr="002261B9">
        <w:rPr>
          <w:lang w:val="es-ES"/>
        </w:rPr>
        <w:t>ó</w:t>
      </w:r>
      <w:r w:rsidR="00201012" w:rsidRPr="002261B9">
        <w:rPr>
          <w:lang w:val="es-ES"/>
        </w:rPr>
        <w:t>mer</w:t>
      </w:r>
      <w:r w:rsidRPr="002261B9">
        <w:rPr>
          <w:lang w:val="es-ES"/>
        </w:rPr>
        <w:t>o</w:t>
      </w:r>
      <w:r w:rsidR="00201012" w:rsidRPr="002261B9">
        <w:rPr>
          <w:lang w:val="es-ES"/>
        </w:rPr>
        <w:t>s</w:t>
      </w:r>
      <w:r w:rsidRPr="002261B9">
        <w:rPr>
          <w:lang w:val="es-ES"/>
        </w:rPr>
        <w:t xml:space="preserve"> y</w:t>
      </w:r>
      <w:r w:rsidR="00201012" w:rsidRPr="002261B9">
        <w:rPr>
          <w:lang w:val="es-ES"/>
        </w:rPr>
        <w:t xml:space="preserve"> reformula</w:t>
      </w:r>
      <w:r w:rsidRPr="002261B9">
        <w:rPr>
          <w:lang w:val="es-ES"/>
        </w:rPr>
        <w:t>c</w:t>
      </w:r>
      <w:r w:rsidR="00201012" w:rsidRPr="002261B9">
        <w:rPr>
          <w:lang w:val="es-ES"/>
        </w:rPr>
        <w:t>ion</w:t>
      </w:r>
      <w:r w:rsidRPr="002261B9">
        <w:rPr>
          <w:lang w:val="es-ES"/>
        </w:rPr>
        <w:t>e</w:t>
      </w:r>
      <w:r w:rsidR="00201012" w:rsidRPr="002261B9">
        <w:rPr>
          <w:lang w:val="es-ES"/>
        </w:rPr>
        <w:t xml:space="preserve">s. </w:t>
      </w:r>
      <w:r w:rsidRPr="002261B9">
        <w:rPr>
          <w:lang w:val="es-ES"/>
        </w:rPr>
        <w:t>Sin embargo</w:t>
      </w:r>
      <w:r w:rsidR="00201012" w:rsidRPr="002261B9">
        <w:rPr>
          <w:lang w:val="es-ES"/>
        </w:rPr>
        <w:t xml:space="preserve">, </w:t>
      </w:r>
      <w:r w:rsidRPr="002261B9">
        <w:rPr>
          <w:lang w:val="es-ES"/>
        </w:rPr>
        <w:t>aún queda un pequeño número de usos importantes</w:t>
      </w:r>
      <w:r w:rsidR="00201012" w:rsidRPr="002261B9">
        <w:rPr>
          <w:lang w:val="es-ES"/>
        </w:rPr>
        <w:t xml:space="preserve">. </w:t>
      </w:r>
      <w:r w:rsidRPr="002261B9">
        <w:rPr>
          <w:lang w:val="es-ES"/>
        </w:rPr>
        <w:t>L</w:t>
      </w:r>
      <w:r w:rsidR="00E61FF0" w:rsidRPr="002261B9">
        <w:rPr>
          <w:lang w:val="es-ES"/>
        </w:rPr>
        <w:t xml:space="preserve">os </w:t>
      </w:r>
      <w:r w:rsidR="009321C2" w:rsidRPr="002261B9">
        <w:rPr>
          <w:lang w:val="es-ES"/>
        </w:rPr>
        <w:t>compuestos</w:t>
      </w:r>
      <w:r w:rsidR="00E61FF0" w:rsidRPr="002261B9">
        <w:rPr>
          <w:lang w:val="es-ES"/>
        </w:rPr>
        <w:t xml:space="preserve"> conexos del PFOA</w:t>
      </w:r>
      <w:r w:rsidRPr="002261B9">
        <w:rPr>
          <w:lang w:val="es-ES"/>
        </w:rPr>
        <w:t xml:space="preserve"> se consideran necesarios para la aplicación de capas de recubrimiento durante la fabricaci</w:t>
      </w:r>
      <w:r w:rsidR="00CF5C1C" w:rsidRPr="002261B9">
        <w:rPr>
          <w:lang w:val="es-ES"/>
        </w:rPr>
        <w:t>ó</w:t>
      </w:r>
      <w:r w:rsidRPr="002261B9">
        <w:rPr>
          <w:lang w:val="es-ES"/>
        </w:rPr>
        <w:t xml:space="preserve">n de algunos productos fotográficos convencionales </w:t>
      </w:r>
      <w:r w:rsidR="004835E6" w:rsidRPr="002261B9">
        <w:rPr>
          <w:lang w:val="es-ES"/>
        </w:rPr>
        <w:t>aún en uso</w:t>
      </w:r>
      <w:r w:rsidR="00201012" w:rsidRPr="002261B9">
        <w:rPr>
          <w:lang w:val="es-ES"/>
        </w:rPr>
        <w:t xml:space="preserve"> (</w:t>
      </w:r>
      <w:r w:rsidRPr="002261B9">
        <w:rPr>
          <w:lang w:val="es-ES"/>
        </w:rPr>
        <w:t>por ejemplo, productos en los que la formación de la imagen se basa en la tecnología del haluro de plata</w:t>
      </w:r>
      <w:r w:rsidR="00201012" w:rsidRPr="002261B9">
        <w:rPr>
          <w:lang w:val="es-ES"/>
        </w:rPr>
        <w:t>).</w:t>
      </w:r>
      <w:r w:rsidR="00284890" w:rsidRPr="002261B9">
        <w:rPr>
          <w:lang w:val="es-ES"/>
        </w:rPr>
        <w:t xml:space="preserve"> </w:t>
      </w:r>
      <w:r w:rsidR="004835E6" w:rsidRPr="002261B9">
        <w:rPr>
          <w:lang w:val="es-ES"/>
        </w:rPr>
        <w:t>Además de servir como surfactantes, a</w:t>
      </w:r>
      <w:r w:rsidR="00CF5C1C" w:rsidRPr="002261B9">
        <w:rPr>
          <w:lang w:val="es-ES"/>
        </w:rPr>
        <w:t>gentes de control estático</w:t>
      </w:r>
      <w:r w:rsidR="00201012" w:rsidRPr="002261B9">
        <w:rPr>
          <w:lang w:val="es-ES"/>
        </w:rPr>
        <w:t xml:space="preserve"> (important</w:t>
      </w:r>
      <w:r w:rsidR="00CF5C1C" w:rsidRPr="002261B9">
        <w:rPr>
          <w:lang w:val="es-ES"/>
        </w:rPr>
        <w:t>es para prevenir lesiones a los trabajadores, daños al equipo de producción y a los productos y el peligro de incendio y explosión</w:t>
      </w:r>
      <w:r w:rsidR="00201012" w:rsidRPr="002261B9">
        <w:rPr>
          <w:lang w:val="es-ES"/>
        </w:rPr>
        <w:t xml:space="preserve"> (I&amp;P Europe</w:t>
      </w:r>
      <w:r w:rsidR="008F6D01" w:rsidRPr="002261B9">
        <w:rPr>
          <w:lang w:val="es-ES"/>
        </w:rPr>
        <w:t>,</w:t>
      </w:r>
      <w:r w:rsidR="00201012" w:rsidRPr="002261B9">
        <w:rPr>
          <w:lang w:val="es-ES"/>
        </w:rPr>
        <w:t xml:space="preserve"> 2016b)</w:t>
      </w:r>
      <w:r w:rsidR="004835E6" w:rsidRPr="002261B9">
        <w:rPr>
          <w:lang w:val="es-ES"/>
        </w:rPr>
        <w:t>,</w:t>
      </w:r>
      <w:r w:rsidR="00201012" w:rsidRPr="002261B9">
        <w:rPr>
          <w:lang w:val="es-ES"/>
        </w:rPr>
        <w:t xml:space="preserve"> </w:t>
      </w:r>
      <w:r w:rsidR="00CF5C1C" w:rsidRPr="002261B9">
        <w:rPr>
          <w:lang w:val="es-ES"/>
        </w:rPr>
        <w:t>repelentes del polvo durante las operaciones de recubrimiento</w:t>
      </w:r>
      <w:r w:rsidR="004835E6" w:rsidRPr="002261B9">
        <w:rPr>
          <w:lang w:val="es-ES"/>
        </w:rPr>
        <w:t xml:space="preserve"> y</w:t>
      </w:r>
      <w:r w:rsidR="00201012" w:rsidRPr="002261B9">
        <w:rPr>
          <w:lang w:val="es-ES"/>
        </w:rPr>
        <w:t xml:space="preserve"> </w:t>
      </w:r>
      <w:r w:rsidR="00CF5C1C" w:rsidRPr="002261B9">
        <w:rPr>
          <w:lang w:val="es-ES"/>
        </w:rPr>
        <w:t>agentes de control de la fricción</w:t>
      </w:r>
      <w:r w:rsidR="004835E6" w:rsidRPr="002261B9">
        <w:rPr>
          <w:lang w:val="es-ES"/>
        </w:rPr>
        <w:t xml:space="preserve">, </w:t>
      </w:r>
      <w:r w:rsidR="00CF5C1C" w:rsidRPr="002261B9">
        <w:rPr>
          <w:lang w:val="es-ES"/>
        </w:rPr>
        <w:t>proporcionan adhesión controlada a las capas recubiertas</w:t>
      </w:r>
      <w:r w:rsidR="00201012" w:rsidRPr="002261B9">
        <w:rPr>
          <w:lang w:val="es-ES"/>
        </w:rPr>
        <w:t xml:space="preserve"> </w:t>
      </w:r>
      <w:r w:rsidR="00CF5C1C" w:rsidRPr="002261B9">
        <w:rPr>
          <w:lang w:val="es-ES"/>
        </w:rPr>
        <w:t>y se consideran excepcionales</w:t>
      </w:r>
      <w:r w:rsidR="00201012" w:rsidRPr="002261B9">
        <w:rPr>
          <w:lang w:val="es-ES"/>
        </w:rPr>
        <w:t xml:space="preserve">, </w:t>
      </w:r>
      <w:r w:rsidR="00CF5C1C" w:rsidRPr="002261B9">
        <w:rPr>
          <w:lang w:val="es-ES"/>
        </w:rPr>
        <w:t>ya que combinan todas estas propiedades en una sola molécula sin mostrar efectos adversos en los resultados fotográficos</w:t>
      </w:r>
      <w:r w:rsidR="00201012" w:rsidRPr="002261B9">
        <w:rPr>
          <w:lang w:val="es-ES"/>
        </w:rPr>
        <w:t xml:space="preserve"> (I&amp;P Europe</w:t>
      </w:r>
      <w:r w:rsidR="008F6D01" w:rsidRPr="002261B9">
        <w:rPr>
          <w:lang w:val="es-ES"/>
        </w:rPr>
        <w:t>,</w:t>
      </w:r>
      <w:r w:rsidR="00201012" w:rsidRPr="002261B9">
        <w:rPr>
          <w:lang w:val="es-ES"/>
        </w:rPr>
        <w:t xml:space="preserve"> 2016a</w:t>
      </w:r>
      <w:r w:rsidR="004835E6" w:rsidRPr="002261B9">
        <w:rPr>
          <w:lang w:val="es-ES"/>
        </w:rPr>
        <w:t>)</w:t>
      </w:r>
      <w:r w:rsidR="00201012" w:rsidRPr="002261B9">
        <w:rPr>
          <w:lang w:val="es-ES"/>
        </w:rPr>
        <w:t>.</w:t>
      </w:r>
    </w:p>
    <w:p w14:paraId="1AD86C82" w14:textId="74F404AA" w:rsidR="00201012" w:rsidRPr="002261B9" w:rsidRDefault="00BB03F9" w:rsidP="00F45508">
      <w:pPr>
        <w:pStyle w:val="Paralevel1"/>
        <w:numPr>
          <w:ilvl w:val="0"/>
          <w:numId w:val="23"/>
        </w:numPr>
        <w:tabs>
          <w:tab w:val="clear" w:pos="0"/>
        </w:tabs>
        <w:ind w:left="1247" w:firstLine="0"/>
        <w:rPr>
          <w:lang w:val="es-ES"/>
        </w:rPr>
      </w:pPr>
      <w:r w:rsidRPr="002261B9">
        <w:rPr>
          <w:lang w:val="es-ES"/>
        </w:rPr>
        <w:lastRenderedPageBreak/>
        <w:t>Es imposible hacer u</w:t>
      </w:r>
      <w:r w:rsidR="00CF5C1C" w:rsidRPr="002261B9">
        <w:rPr>
          <w:lang w:val="es-ES"/>
        </w:rPr>
        <w:t xml:space="preserve">na estimación de los costos de sustituir los usos </w:t>
      </w:r>
      <w:r w:rsidRPr="002261B9">
        <w:rPr>
          <w:lang w:val="es-ES"/>
        </w:rPr>
        <w:t>pertinentes</w:t>
      </w:r>
      <w:r w:rsidR="00CF5C1C" w:rsidRPr="002261B9">
        <w:rPr>
          <w:lang w:val="es-ES"/>
        </w:rPr>
        <w:t xml:space="preserve"> que aún quedan de </w:t>
      </w:r>
      <w:r w:rsidR="00E64629" w:rsidRPr="002261B9">
        <w:rPr>
          <w:lang w:val="es-ES"/>
        </w:rPr>
        <w:t>las sustancias conexas del PFOA</w:t>
      </w:r>
      <w:r w:rsidR="00201012" w:rsidRPr="002261B9">
        <w:rPr>
          <w:lang w:val="es-ES"/>
        </w:rPr>
        <w:t xml:space="preserve"> </w:t>
      </w:r>
      <w:r w:rsidR="00CF5C1C" w:rsidRPr="002261B9">
        <w:rPr>
          <w:lang w:val="es-ES"/>
        </w:rPr>
        <w:t xml:space="preserve">en la industria fotográfica y </w:t>
      </w:r>
      <w:r w:rsidRPr="002261B9">
        <w:rPr>
          <w:lang w:val="es-ES"/>
        </w:rPr>
        <w:t>tipográfica</w:t>
      </w:r>
      <w:r w:rsidR="00201012" w:rsidRPr="002261B9">
        <w:rPr>
          <w:lang w:val="es-ES"/>
        </w:rPr>
        <w:t xml:space="preserve">. </w:t>
      </w:r>
      <w:r w:rsidR="00882024" w:rsidRPr="002261B9">
        <w:rPr>
          <w:lang w:val="es-ES"/>
        </w:rPr>
        <w:t xml:space="preserve">Las fórmulas que se utilizan en el </w:t>
      </w:r>
      <w:r w:rsidR="00882024" w:rsidRPr="002261B9">
        <w:rPr>
          <w:rStyle w:val="DeltaViewInsertion"/>
          <w:color w:val="auto"/>
          <w:u w:val="none"/>
          <w:lang w:val="es-ES"/>
        </w:rPr>
        <w:t>recubrimiento</w:t>
      </w:r>
      <w:r w:rsidR="00882024" w:rsidRPr="002261B9">
        <w:rPr>
          <w:lang w:val="es-ES"/>
        </w:rPr>
        <w:t xml:space="preserve"> de im</w:t>
      </w:r>
      <w:r w:rsidR="00735FBD" w:rsidRPr="002261B9">
        <w:rPr>
          <w:lang w:val="es-ES"/>
        </w:rPr>
        <w:t>á</w:t>
      </w:r>
      <w:r w:rsidR="00882024" w:rsidRPr="002261B9">
        <w:rPr>
          <w:lang w:val="es-ES"/>
        </w:rPr>
        <w:t>g</w:t>
      </w:r>
      <w:r w:rsidR="00735FBD" w:rsidRPr="002261B9">
        <w:rPr>
          <w:lang w:val="es-ES"/>
        </w:rPr>
        <w:t>e</w:t>
      </w:r>
      <w:r w:rsidR="00882024" w:rsidRPr="002261B9">
        <w:rPr>
          <w:lang w:val="es-ES"/>
        </w:rPr>
        <w:t>nes están patentadas y son diferentes en cada empresa y para cada producto</w:t>
      </w:r>
      <w:r w:rsidR="00201012" w:rsidRPr="002261B9">
        <w:rPr>
          <w:lang w:val="es-ES"/>
        </w:rPr>
        <w:t xml:space="preserve">. </w:t>
      </w:r>
      <w:r w:rsidR="00882024" w:rsidRPr="002261B9">
        <w:rPr>
          <w:lang w:val="es-ES"/>
        </w:rPr>
        <w:t>Por eso, cada empresa establece costos diferentes al cambiar la composición de las formulaciones</w:t>
      </w:r>
      <w:r w:rsidR="00201012" w:rsidRPr="002261B9">
        <w:rPr>
          <w:lang w:val="es-ES"/>
        </w:rPr>
        <w:t xml:space="preserve">, </w:t>
      </w:r>
      <w:r w:rsidR="00882024" w:rsidRPr="002261B9">
        <w:rPr>
          <w:lang w:val="es-ES"/>
        </w:rPr>
        <w:t xml:space="preserve">por lo que puede demorar varios años la labor de investigación y desarrollo </w:t>
      </w:r>
      <w:r w:rsidR="00201012" w:rsidRPr="002261B9">
        <w:rPr>
          <w:lang w:val="es-ES"/>
        </w:rPr>
        <w:t>(</w:t>
      </w:r>
      <w:r w:rsidR="00882024" w:rsidRPr="002261B9">
        <w:rPr>
          <w:lang w:val="es-ES"/>
        </w:rPr>
        <w:t>al crear alternativas, no solo se evalúa el comportamiento de las sustancias, sino también cuestiones relacionadas con el medio ambiente, la salud y la seguridad</w:t>
      </w:r>
      <w:r w:rsidR="00201012" w:rsidRPr="002261B9">
        <w:rPr>
          <w:lang w:val="es-ES"/>
        </w:rPr>
        <w:t xml:space="preserve">). </w:t>
      </w:r>
      <w:r w:rsidR="00882024" w:rsidRPr="002261B9">
        <w:rPr>
          <w:lang w:val="es-ES"/>
        </w:rPr>
        <w:t>La industria co</w:t>
      </w:r>
      <w:r w:rsidR="00735FBD" w:rsidRPr="002261B9">
        <w:rPr>
          <w:lang w:val="es-ES"/>
        </w:rPr>
        <w:t>n</w:t>
      </w:r>
      <w:r w:rsidR="00882024" w:rsidRPr="002261B9">
        <w:rPr>
          <w:lang w:val="es-ES"/>
        </w:rPr>
        <w:t xml:space="preserve">sidera prohibitivos los costos económicos relacionados con la sustitución de </w:t>
      </w:r>
      <w:r w:rsidR="00E64629" w:rsidRPr="002261B9">
        <w:rPr>
          <w:lang w:val="es-ES"/>
        </w:rPr>
        <w:t>las sustancias conexas del PFOA</w:t>
      </w:r>
      <w:r w:rsidR="00201012" w:rsidRPr="002261B9">
        <w:rPr>
          <w:lang w:val="es-ES"/>
        </w:rPr>
        <w:t xml:space="preserve"> </w:t>
      </w:r>
      <w:r w:rsidR="00776F5E" w:rsidRPr="002261B9">
        <w:rPr>
          <w:lang w:val="es-ES"/>
        </w:rPr>
        <w:t>para</w:t>
      </w:r>
      <w:r w:rsidR="00735FBD" w:rsidRPr="002261B9">
        <w:rPr>
          <w:lang w:val="es-ES"/>
        </w:rPr>
        <w:t xml:space="preserve"> los pocos usos críticos que aún quedan en el sector fotográfico y tipográfico</w:t>
      </w:r>
      <w:r w:rsidR="00201012" w:rsidRPr="002261B9">
        <w:rPr>
          <w:lang w:val="es-ES"/>
        </w:rPr>
        <w:t xml:space="preserve">. </w:t>
      </w:r>
      <w:r w:rsidR="00735FBD" w:rsidRPr="002261B9">
        <w:rPr>
          <w:lang w:val="es-ES"/>
        </w:rPr>
        <w:t xml:space="preserve">Esos usos críticos se </w:t>
      </w:r>
      <w:r w:rsidR="008D6007" w:rsidRPr="002261B9">
        <w:rPr>
          <w:lang w:val="es-ES"/>
        </w:rPr>
        <w:t xml:space="preserve">refieren a productos de consumo limitado en mercados que, según proyecciones de los miembros de IP Europe, </w:t>
      </w:r>
      <w:r w:rsidR="004835E6" w:rsidRPr="002261B9">
        <w:rPr>
          <w:lang w:val="es-ES"/>
        </w:rPr>
        <w:t xml:space="preserve">irán progresivamente </w:t>
      </w:r>
      <w:r w:rsidR="00536059" w:rsidRPr="002261B9">
        <w:rPr>
          <w:lang w:val="es-ES"/>
        </w:rPr>
        <w:t xml:space="preserve">a </w:t>
      </w:r>
      <w:r w:rsidR="008D6007" w:rsidRPr="002261B9">
        <w:rPr>
          <w:lang w:val="es-ES"/>
        </w:rPr>
        <w:t>menos (I&amp;P Europe</w:t>
      </w:r>
      <w:r w:rsidR="008F6D01" w:rsidRPr="002261B9">
        <w:rPr>
          <w:lang w:val="es-ES"/>
        </w:rPr>
        <w:t>,</w:t>
      </w:r>
      <w:r w:rsidR="008D6007" w:rsidRPr="002261B9">
        <w:rPr>
          <w:lang w:val="es-ES"/>
        </w:rPr>
        <w:t xml:space="preserve"> </w:t>
      </w:r>
      <w:r w:rsidR="004835E6" w:rsidRPr="002261B9">
        <w:rPr>
          <w:lang w:val="es-ES"/>
        </w:rPr>
        <w:t>201</w:t>
      </w:r>
      <w:r w:rsidR="00015E1F" w:rsidRPr="002261B9">
        <w:rPr>
          <w:lang w:val="es-ES"/>
        </w:rPr>
        <w:t>6a</w:t>
      </w:r>
      <w:r w:rsidR="008D6007" w:rsidRPr="002261B9">
        <w:rPr>
          <w:lang w:val="es-ES"/>
        </w:rPr>
        <w:t>)</w:t>
      </w:r>
      <w:r w:rsidR="004835E6" w:rsidRPr="002261B9">
        <w:rPr>
          <w:lang w:val="es-ES"/>
        </w:rPr>
        <w:t>.</w:t>
      </w:r>
    </w:p>
    <w:p w14:paraId="7BC77471" w14:textId="39B32281" w:rsidR="00201012" w:rsidRPr="002261B9" w:rsidRDefault="003D7235" w:rsidP="00063CF3">
      <w:pPr>
        <w:tabs>
          <w:tab w:val="left" w:pos="624"/>
        </w:tabs>
        <w:spacing w:after="120"/>
        <w:ind w:left="1248" w:hanging="624"/>
        <w:rPr>
          <w:b/>
          <w:i/>
          <w:sz w:val="20"/>
          <w:szCs w:val="20"/>
          <w:lang w:val="es-ES"/>
        </w:rPr>
      </w:pPr>
      <w:r w:rsidRPr="002261B9">
        <w:rPr>
          <w:b/>
          <w:i/>
          <w:sz w:val="20"/>
          <w:szCs w:val="20"/>
          <w:lang w:val="es-ES"/>
        </w:rPr>
        <w:t>C.</w:t>
      </w:r>
      <w:r w:rsidR="00015E1F" w:rsidRPr="002261B9">
        <w:rPr>
          <w:b/>
          <w:i/>
          <w:sz w:val="20"/>
          <w:szCs w:val="20"/>
          <w:lang w:val="es-ES"/>
        </w:rPr>
        <w:tab/>
      </w:r>
      <w:r w:rsidR="00672C2D" w:rsidRPr="002261B9">
        <w:rPr>
          <w:b/>
          <w:i/>
          <w:sz w:val="20"/>
          <w:szCs w:val="20"/>
          <w:lang w:val="es-ES"/>
        </w:rPr>
        <w:t>Industria de semiconductores</w:t>
      </w:r>
    </w:p>
    <w:p w14:paraId="2DCAFC40" w14:textId="7AFF2C06" w:rsidR="00201012" w:rsidRPr="002261B9" w:rsidRDefault="005148B3" w:rsidP="00F45508">
      <w:pPr>
        <w:pStyle w:val="Paralevel1"/>
        <w:numPr>
          <w:ilvl w:val="0"/>
          <w:numId w:val="23"/>
        </w:numPr>
        <w:tabs>
          <w:tab w:val="clear" w:pos="0"/>
        </w:tabs>
        <w:ind w:left="1247" w:firstLine="0"/>
        <w:rPr>
          <w:lang w:val="es-ES"/>
        </w:rPr>
      </w:pPr>
      <w:r w:rsidRPr="002261B9">
        <w:rPr>
          <w:lang w:val="es-ES"/>
        </w:rPr>
        <w:t xml:space="preserve">Todo parece indicar que en la industria de semiconductores se dispone de alternativas que no usan </w:t>
      </w:r>
      <w:r w:rsidR="00201012" w:rsidRPr="002261B9">
        <w:rPr>
          <w:lang w:val="es-ES"/>
        </w:rPr>
        <w:t>PFOA</w:t>
      </w:r>
      <w:r w:rsidRPr="002261B9">
        <w:rPr>
          <w:lang w:val="es-ES"/>
        </w:rPr>
        <w:t xml:space="preserve"> para algunas aplicaciones</w:t>
      </w:r>
      <w:r w:rsidR="00201012" w:rsidRPr="002261B9">
        <w:rPr>
          <w:lang w:val="es-ES"/>
        </w:rPr>
        <w:t xml:space="preserve">, </w:t>
      </w:r>
      <w:r w:rsidRPr="002261B9">
        <w:rPr>
          <w:lang w:val="es-ES"/>
        </w:rPr>
        <w:t>por ejemplo, su uso como surfactantes</w:t>
      </w:r>
      <w:r w:rsidR="00201012" w:rsidRPr="002261B9">
        <w:rPr>
          <w:lang w:val="es-ES"/>
        </w:rPr>
        <w:t xml:space="preserve">. </w:t>
      </w:r>
      <w:r w:rsidR="00776F5E" w:rsidRPr="002261B9">
        <w:rPr>
          <w:lang w:val="es-ES"/>
        </w:rPr>
        <w:t>Sin embargo</w:t>
      </w:r>
      <w:r w:rsidRPr="002261B9">
        <w:rPr>
          <w:lang w:val="es-ES"/>
        </w:rPr>
        <w:t xml:space="preserve">, se mantienen algunos usos relacionados con </w:t>
      </w:r>
      <w:r w:rsidR="00E64629" w:rsidRPr="002261B9">
        <w:rPr>
          <w:lang w:val="es-ES"/>
        </w:rPr>
        <w:t>sustancias conexas del PFOA</w:t>
      </w:r>
      <w:r w:rsidR="00201012" w:rsidRPr="002261B9">
        <w:rPr>
          <w:lang w:val="es-ES"/>
        </w:rPr>
        <w:t xml:space="preserve"> </w:t>
      </w:r>
      <w:r w:rsidRPr="002261B9">
        <w:rPr>
          <w:lang w:val="es-ES"/>
        </w:rPr>
        <w:t xml:space="preserve">como </w:t>
      </w:r>
      <w:r w:rsidR="00776F5E" w:rsidRPr="002261B9">
        <w:rPr>
          <w:lang w:val="es-ES"/>
        </w:rPr>
        <w:t>componente</w:t>
      </w:r>
      <w:r w:rsidRPr="002261B9">
        <w:rPr>
          <w:lang w:val="es-ES"/>
        </w:rPr>
        <w:t xml:space="preserve"> en el proceso y </w:t>
      </w:r>
      <w:r w:rsidR="00776F5E" w:rsidRPr="002261B9">
        <w:rPr>
          <w:lang w:val="es-ES"/>
        </w:rPr>
        <w:t xml:space="preserve">en </w:t>
      </w:r>
      <w:r w:rsidRPr="002261B9">
        <w:rPr>
          <w:rStyle w:val="DeltaViewInsertion"/>
          <w:color w:val="auto"/>
          <w:u w:val="none"/>
          <w:lang w:val="es-ES"/>
        </w:rPr>
        <w:t>formulaciones</w:t>
      </w:r>
      <w:r w:rsidRPr="002261B9">
        <w:rPr>
          <w:lang w:val="es-ES"/>
        </w:rPr>
        <w:t xml:space="preserve"> químicas para etapas de aplicaciones </w:t>
      </w:r>
      <w:r w:rsidR="0083666C" w:rsidRPr="002261B9">
        <w:rPr>
          <w:lang w:val="es-ES"/>
        </w:rPr>
        <w:t xml:space="preserve">muy </w:t>
      </w:r>
      <w:r w:rsidRPr="002261B9">
        <w:rPr>
          <w:lang w:val="es-ES"/>
        </w:rPr>
        <w:t>especializada</w:t>
      </w:r>
      <w:r w:rsidR="00776F5E" w:rsidRPr="002261B9">
        <w:rPr>
          <w:lang w:val="es-ES"/>
        </w:rPr>
        <w:t>s</w:t>
      </w:r>
      <w:r w:rsidR="00201012" w:rsidRPr="002261B9">
        <w:rPr>
          <w:lang w:val="es-ES"/>
        </w:rPr>
        <w:t xml:space="preserve"> (</w:t>
      </w:r>
      <w:r w:rsidRPr="002261B9">
        <w:rPr>
          <w:lang w:val="es-ES"/>
        </w:rPr>
        <w:t>por ejemplo, para aplicaciones fotolitográficas</w:t>
      </w:r>
      <w:r w:rsidR="00201012" w:rsidRPr="002261B9">
        <w:rPr>
          <w:lang w:val="es-ES"/>
        </w:rPr>
        <w:t xml:space="preserve">). </w:t>
      </w:r>
      <w:r w:rsidR="00F75E7E" w:rsidRPr="002261B9">
        <w:rPr>
          <w:lang w:val="es-ES"/>
        </w:rPr>
        <w:t>En un estudio realizado en 2010, se llegó a la conclusión de que e</w:t>
      </w:r>
      <w:r w:rsidRPr="002261B9">
        <w:rPr>
          <w:lang w:val="es-ES"/>
        </w:rPr>
        <w:t xml:space="preserve">n el caso de empresas que usan </w:t>
      </w:r>
      <w:r w:rsidR="00201012" w:rsidRPr="002261B9">
        <w:rPr>
          <w:lang w:val="es-ES"/>
        </w:rPr>
        <w:t xml:space="preserve">PFOA </w:t>
      </w:r>
      <w:r w:rsidRPr="002261B9">
        <w:rPr>
          <w:lang w:val="es-ES"/>
        </w:rPr>
        <w:t>en sus aplicaciones fotolitográficas, habrá que dic</w:t>
      </w:r>
      <w:r w:rsidR="0083666C" w:rsidRPr="002261B9">
        <w:rPr>
          <w:lang w:val="es-ES"/>
        </w:rPr>
        <w:t>tar derogaciones para poder</w:t>
      </w:r>
      <w:r w:rsidRPr="002261B9">
        <w:rPr>
          <w:lang w:val="es-ES"/>
        </w:rPr>
        <w:t xml:space="preserve"> continuar la producción</w:t>
      </w:r>
      <w:r w:rsidR="00201012" w:rsidRPr="002261B9">
        <w:rPr>
          <w:lang w:val="es-ES"/>
        </w:rPr>
        <w:t xml:space="preserve"> (van der Putte </w:t>
      </w:r>
      <w:r w:rsidR="003134EC" w:rsidRPr="002261B9">
        <w:rPr>
          <w:lang w:val="es-ES"/>
        </w:rPr>
        <w:t>y otros</w:t>
      </w:r>
      <w:r w:rsidR="008F6D01" w:rsidRPr="002261B9">
        <w:rPr>
          <w:lang w:val="es-ES"/>
        </w:rPr>
        <w:t>,</w:t>
      </w:r>
      <w:r w:rsidR="00201012" w:rsidRPr="002261B9">
        <w:rPr>
          <w:lang w:val="es-ES"/>
        </w:rPr>
        <w:t xml:space="preserve"> 2010).</w:t>
      </w:r>
      <w:r w:rsidR="00284890" w:rsidRPr="002261B9">
        <w:rPr>
          <w:lang w:val="es-ES"/>
        </w:rPr>
        <w:t xml:space="preserve"> </w:t>
      </w:r>
      <w:r w:rsidRPr="002261B9">
        <w:rPr>
          <w:lang w:val="es-ES"/>
        </w:rPr>
        <w:t>Según representantes de la industria de semiconductores</w:t>
      </w:r>
      <w:r w:rsidR="003956F2" w:rsidRPr="002261B9">
        <w:rPr>
          <w:lang w:val="es-ES"/>
        </w:rPr>
        <w:t>,</w:t>
      </w:r>
      <w:r w:rsidRPr="002261B9">
        <w:rPr>
          <w:lang w:val="es-ES"/>
        </w:rPr>
        <w:t xml:space="preserve"> tal vez no existan alternativas para algunas aplicaciones</w:t>
      </w:r>
      <w:r w:rsidR="003956F2" w:rsidRPr="002261B9">
        <w:rPr>
          <w:lang w:val="es-ES"/>
        </w:rPr>
        <w:t xml:space="preserve">, </w:t>
      </w:r>
      <w:r w:rsidRPr="002261B9">
        <w:rPr>
          <w:lang w:val="es-ES"/>
        </w:rPr>
        <w:t xml:space="preserve">y la industria necesita contar con una gran cantidad de tiempo para seleccionar, ensayar y </w:t>
      </w:r>
      <w:r w:rsidR="007349BE" w:rsidRPr="002261B9">
        <w:rPr>
          <w:lang w:val="es-ES"/>
        </w:rPr>
        <w:t>c</w:t>
      </w:r>
      <w:r w:rsidR="003956F2" w:rsidRPr="002261B9">
        <w:rPr>
          <w:lang w:val="es-ES"/>
        </w:rPr>
        <w:t>ualif</w:t>
      </w:r>
      <w:r w:rsidR="007349BE" w:rsidRPr="002261B9">
        <w:rPr>
          <w:lang w:val="es-ES"/>
        </w:rPr>
        <w:t xml:space="preserve">icar los </w:t>
      </w:r>
      <w:r w:rsidR="0083666C" w:rsidRPr="002261B9">
        <w:rPr>
          <w:lang w:val="es-ES"/>
        </w:rPr>
        <w:t xml:space="preserve">productos sustitutivos </w:t>
      </w:r>
      <w:r w:rsidR="007349BE" w:rsidRPr="002261B9">
        <w:rPr>
          <w:lang w:val="es-ES"/>
        </w:rPr>
        <w:t>antes de introducirlos en la producción comercial</w:t>
      </w:r>
      <w:r w:rsidR="003956F2" w:rsidRPr="002261B9">
        <w:rPr>
          <w:lang w:val="es-ES"/>
        </w:rPr>
        <w:t xml:space="preserve">. </w:t>
      </w:r>
      <w:r w:rsidR="007349BE" w:rsidRPr="002261B9">
        <w:rPr>
          <w:lang w:val="es-ES"/>
        </w:rPr>
        <w:t xml:space="preserve">No se ha </w:t>
      </w:r>
      <w:r w:rsidR="0083666C" w:rsidRPr="002261B9">
        <w:rPr>
          <w:lang w:val="es-ES"/>
        </w:rPr>
        <w:t>determinado el tiempo que hará falta</w:t>
      </w:r>
      <w:r w:rsidR="007349BE" w:rsidRPr="002261B9">
        <w:rPr>
          <w:lang w:val="es-ES"/>
        </w:rPr>
        <w:t xml:space="preserve"> para la transición</w:t>
      </w:r>
      <w:r w:rsidR="003956F2" w:rsidRPr="002261B9">
        <w:rPr>
          <w:lang w:val="es-ES"/>
        </w:rPr>
        <w:t xml:space="preserve"> (</w:t>
      </w:r>
      <w:r w:rsidR="00F13B21" w:rsidRPr="002261B9">
        <w:rPr>
          <w:lang w:val="es-ES"/>
        </w:rPr>
        <w:t>véase</w:t>
      </w:r>
      <w:r w:rsidR="003956F2" w:rsidRPr="002261B9">
        <w:rPr>
          <w:lang w:val="es-ES"/>
        </w:rPr>
        <w:t xml:space="preserve"> SIA</w:t>
      </w:r>
      <w:r w:rsidR="008F6D01" w:rsidRPr="002261B9">
        <w:rPr>
          <w:lang w:val="es-ES"/>
        </w:rPr>
        <w:t>,</w:t>
      </w:r>
      <w:r w:rsidR="003956F2" w:rsidRPr="002261B9">
        <w:rPr>
          <w:lang w:val="es-ES"/>
        </w:rPr>
        <w:t xml:space="preserve"> 2017</w:t>
      </w:r>
      <w:r w:rsidR="00ED259B" w:rsidRPr="002261B9">
        <w:rPr>
          <w:lang w:val="es-ES"/>
        </w:rPr>
        <w:t>)</w:t>
      </w:r>
      <w:r w:rsidR="003956F2" w:rsidRPr="002261B9">
        <w:rPr>
          <w:lang w:val="es-ES"/>
        </w:rPr>
        <w:t xml:space="preserve">. </w:t>
      </w:r>
      <w:r w:rsidR="007349BE" w:rsidRPr="002261B9">
        <w:rPr>
          <w:lang w:val="es-ES"/>
        </w:rPr>
        <w:t>En una exención temporal se podría establecer el plazo necesario para propiciar que continúe la transición hacia alternativas apropiadas en los procesos de fabricación de semiconductores</w:t>
      </w:r>
      <w:r w:rsidR="003956F2" w:rsidRPr="002261B9">
        <w:rPr>
          <w:lang w:val="es-ES"/>
        </w:rPr>
        <w:t xml:space="preserve">. </w:t>
      </w:r>
      <w:r w:rsidR="007349BE" w:rsidRPr="002261B9">
        <w:rPr>
          <w:lang w:val="es-ES"/>
        </w:rPr>
        <w:t>L</w:t>
      </w:r>
      <w:r w:rsidR="0065573D" w:rsidRPr="002261B9">
        <w:rPr>
          <w:lang w:val="es-ES"/>
        </w:rPr>
        <w:t>a SEMI</w:t>
      </w:r>
      <w:r w:rsidR="007B32FA" w:rsidRPr="002261B9">
        <w:rPr>
          <w:lang w:val="es-ES"/>
        </w:rPr>
        <w:t xml:space="preserve"> </w:t>
      </w:r>
      <w:r w:rsidR="00452DB2" w:rsidRPr="002261B9">
        <w:rPr>
          <w:lang w:val="es-ES"/>
        </w:rPr>
        <w:t>señala,</w:t>
      </w:r>
      <w:r w:rsidR="007349BE" w:rsidRPr="002261B9">
        <w:rPr>
          <w:lang w:val="es-ES"/>
        </w:rPr>
        <w:t xml:space="preserve"> además</w:t>
      </w:r>
      <w:r w:rsidR="007B32FA" w:rsidRPr="002261B9">
        <w:rPr>
          <w:lang w:val="es-ES"/>
        </w:rPr>
        <w:t xml:space="preserve">, </w:t>
      </w:r>
      <w:r w:rsidR="007349BE" w:rsidRPr="002261B9">
        <w:rPr>
          <w:lang w:val="es-ES"/>
        </w:rPr>
        <w:t>que esta exención debería adoptar la forma de un fin aceptable</w:t>
      </w:r>
      <w:r w:rsidR="007B32FA" w:rsidRPr="002261B9">
        <w:rPr>
          <w:lang w:val="es-ES"/>
        </w:rPr>
        <w:t xml:space="preserve"> </w:t>
      </w:r>
      <w:r w:rsidR="003956F2" w:rsidRPr="002261B9">
        <w:rPr>
          <w:lang w:val="es-ES"/>
        </w:rPr>
        <w:t>(</w:t>
      </w:r>
      <w:r w:rsidR="00F13B21" w:rsidRPr="002261B9">
        <w:rPr>
          <w:lang w:val="es-ES"/>
        </w:rPr>
        <w:t>véase</w:t>
      </w:r>
      <w:r w:rsidR="00536059" w:rsidRPr="002261B9">
        <w:rPr>
          <w:lang w:val="es-ES"/>
        </w:rPr>
        <w:t> </w:t>
      </w:r>
      <w:r w:rsidR="0065573D" w:rsidRPr="002261B9">
        <w:rPr>
          <w:lang w:val="es-ES"/>
        </w:rPr>
        <w:t>SEMI</w:t>
      </w:r>
      <w:r w:rsidR="008F6D01" w:rsidRPr="002261B9">
        <w:rPr>
          <w:lang w:val="es-ES"/>
        </w:rPr>
        <w:t>,</w:t>
      </w:r>
      <w:r w:rsidR="003956F2" w:rsidRPr="002261B9">
        <w:rPr>
          <w:lang w:val="es-ES"/>
        </w:rPr>
        <w:t xml:space="preserve"> 2017</w:t>
      </w:r>
      <w:r w:rsidR="00ED259B" w:rsidRPr="002261B9">
        <w:rPr>
          <w:lang w:val="es-ES"/>
        </w:rPr>
        <w:t>)</w:t>
      </w:r>
      <w:r w:rsidR="003956F2" w:rsidRPr="002261B9">
        <w:rPr>
          <w:lang w:val="es-ES"/>
        </w:rPr>
        <w:t>.</w:t>
      </w:r>
    </w:p>
    <w:p w14:paraId="36F577D5" w14:textId="269F5905" w:rsidR="00FC503E" w:rsidRPr="002261B9" w:rsidRDefault="00FC503E" w:rsidP="00063CF3">
      <w:pPr>
        <w:tabs>
          <w:tab w:val="left" w:pos="624"/>
        </w:tabs>
        <w:spacing w:after="120"/>
        <w:ind w:left="1248" w:hanging="624"/>
        <w:rPr>
          <w:b/>
          <w:i/>
          <w:sz w:val="20"/>
          <w:szCs w:val="20"/>
          <w:lang w:val="es-ES"/>
        </w:rPr>
      </w:pPr>
      <w:bookmarkStart w:id="59" w:name="_DV_C923"/>
      <w:r w:rsidRPr="002261B9">
        <w:rPr>
          <w:b/>
          <w:i/>
          <w:sz w:val="20"/>
          <w:szCs w:val="20"/>
          <w:lang w:val="es-ES"/>
        </w:rPr>
        <w:t>D.</w:t>
      </w:r>
      <w:r w:rsidRPr="002261B9">
        <w:rPr>
          <w:b/>
          <w:i/>
          <w:sz w:val="20"/>
          <w:szCs w:val="20"/>
          <w:lang w:val="es-ES"/>
        </w:rPr>
        <w:tab/>
        <w:t>Us</w:t>
      </w:r>
      <w:r w:rsidR="00230F05" w:rsidRPr="002261B9">
        <w:rPr>
          <w:b/>
          <w:i/>
          <w:sz w:val="20"/>
          <w:szCs w:val="20"/>
          <w:lang w:val="es-ES"/>
        </w:rPr>
        <w:t xml:space="preserve">o de la </w:t>
      </w:r>
      <w:r w:rsidRPr="002261B9">
        <w:rPr>
          <w:b/>
          <w:i/>
          <w:sz w:val="20"/>
          <w:szCs w:val="20"/>
          <w:lang w:val="es-ES"/>
        </w:rPr>
        <w:t>sulfluramid</w:t>
      </w:r>
      <w:r w:rsidR="00230F05" w:rsidRPr="002261B9">
        <w:rPr>
          <w:b/>
          <w:i/>
          <w:sz w:val="20"/>
          <w:szCs w:val="20"/>
          <w:lang w:val="es-ES"/>
        </w:rPr>
        <w:t>a</w:t>
      </w:r>
      <w:bookmarkStart w:id="60" w:name="_DV_C924"/>
      <w:bookmarkEnd w:id="59"/>
    </w:p>
    <w:p w14:paraId="0202FB0D" w14:textId="2D982B77" w:rsidR="00FC503E" w:rsidRPr="002261B9" w:rsidRDefault="00230F05" w:rsidP="00F45508">
      <w:pPr>
        <w:pStyle w:val="Paralevel1"/>
        <w:numPr>
          <w:ilvl w:val="0"/>
          <w:numId w:val="23"/>
        </w:numPr>
        <w:tabs>
          <w:tab w:val="clear" w:pos="0"/>
        </w:tabs>
        <w:ind w:left="1247" w:firstLine="0"/>
        <w:rPr>
          <w:lang w:val="es-ES"/>
        </w:rPr>
      </w:pPr>
      <w:bookmarkStart w:id="61" w:name="_DV_C925"/>
      <w:bookmarkEnd w:id="60"/>
      <w:r w:rsidRPr="002261B9">
        <w:rPr>
          <w:rStyle w:val="DeltaViewInsertion"/>
          <w:color w:val="auto"/>
          <w:u w:val="none"/>
          <w:lang w:val="es-ES"/>
        </w:rPr>
        <w:t xml:space="preserve">Actualmente, los </w:t>
      </w:r>
      <w:r w:rsidR="002748F8" w:rsidRPr="002261B9">
        <w:rPr>
          <w:rStyle w:val="DeltaViewInsertion"/>
          <w:color w:val="auto"/>
          <w:u w:val="none"/>
          <w:lang w:val="es-ES"/>
        </w:rPr>
        <w:t>ingredientes</w:t>
      </w:r>
      <w:r w:rsidRPr="002261B9">
        <w:rPr>
          <w:rStyle w:val="DeltaViewInsertion"/>
          <w:color w:val="auto"/>
          <w:u w:val="none"/>
          <w:lang w:val="es-ES"/>
        </w:rPr>
        <w:t xml:space="preserve"> activos registrados en el </w:t>
      </w:r>
      <w:r w:rsidR="002748F8" w:rsidRPr="002261B9">
        <w:rPr>
          <w:rStyle w:val="DeltaViewInsertion"/>
          <w:color w:val="auto"/>
          <w:u w:val="none"/>
          <w:lang w:val="es-ES"/>
        </w:rPr>
        <w:t>Brasil</w:t>
      </w:r>
      <w:r w:rsidRPr="002261B9">
        <w:rPr>
          <w:rStyle w:val="DeltaViewInsertion"/>
          <w:color w:val="auto"/>
          <w:u w:val="none"/>
          <w:lang w:val="es-ES"/>
        </w:rPr>
        <w:t xml:space="preserve"> para </w:t>
      </w:r>
      <w:r w:rsidR="002748F8" w:rsidRPr="002261B9">
        <w:rPr>
          <w:rStyle w:val="DeltaViewInsertion"/>
          <w:color w:val="auto"/>
          <w:u w:val="none"/>
          <w:lang w:val="es-ES"/>
        </w:rPr>
        <w:t>producir</w:t>
      </w:r>
      <w:r w:rsidRPr="002261B9">
        <w:rPr>
          <w:rStyle w:val="DeltaViewInsertion"/>
          <w:color w:val="auto"/>
          <w:u w:val="none"/>
          <w:lang w:val="es-ES"/>
        </w:rPr>
        <w:t xml:space="preserve"> cebos para el control de las hormigas cortadoras de hojas son la </w:t>
      </w:r>
      <w:r w:rsidR="00FC503E" w:rsidRPr="002261B9">
        <w:rPr>
          <w:rStyle w:val="DeltaViewInsertion"/>
          <w:color w:val="auto"/>
          <w:u w:val="none"/>
          <w:lang w:val="es-ES"/>
        </w:rPr>
        <w:t>sulfluramid</w:t>
      </w:r>
      <w:r w:rsidRPr="002261B9">
        <w:rPr>
          <w:rStyle w:val="DeltaViewInsertion"/>
          <w:color w:val="auto"/>
          <w:u w:val="none"/>
          <w:lang w:val="es-ES"/>
        </w:rPr>
        <w:t>a</w:t>
      </w:r>
      <w:r w:rsidR="00FC503E" w:rsidRPr="002261B9">
        <w:rPr>
          <w:rStyle w:val="DeltaViewInsertion"/>
          <w:color w:val="auto"/>
          <w:u w:val="none"/>
          <w:lang w:val="es-ES"/>
        </w:rPr>
        <w:t xml:space="preserve">, </w:t>
      </w:r>
      <w:r w:rsidRPr="002261B9">
        <w:rPr>
          <w:rStyle w:val="DeltaViewInsertion"/>
          <w:color w:val="auto"/>
          <w:u w:val="none"/>
          <w:lang w:val="es-ES"/>
        </w:rPr>
        <w:t xml:space="preserve">el </w:t>
      </w:r>
      <w:r w:rsidR="00FC503E" w:rsidRPr="002261B9">
        <w:rPr>
          <w:rStyle w:val="DeltaViewInsertion"/>
          <w:color w:val="auto"/>
          <w:u w:val="none"/>
          <w:lang w:val="es-ES"/>
        </w:rPr>
        <w:t xml:space="preserve">fipronil </w:t>
      </w:r>
      <w:r w:rsidRPr="002261B9">
        <w:rPr>
          <w:rStyle w:val="DeltaViewInsertion"/>
          <w:color w:val="auto"/>
          <w:u w:val="none"/>
          <w:lang w:val="es-ES"/>
        </w:rPr>
        <w:t xml:space="preserve">y el </w:t>
      </w:r>
      <w:r w:rsidR="00FC503E" w:rsidRPr="002261B9">
        <w:rPr>
          <w:rStyle w:val="DeltaViewInsertion"/>
          <w:color w:val="auto"/>
          <w:u w:val="none"/>
          <w:lang w:val="es-ES"/>
        </w:rPr>
        <w:t>clorp</w:t>
      </w:r>
      <w:r w:rsidRPr="002261B9">
        <w:rPr>
          <w:rStyle w:val="DeltaViewInsertion"/>
          <w:color w:val="auto"/>
          <w:u w:val="none"/>
          <w:lang w:val="es-ES"/>
        </w:rPr>
        <w:t>i</w:t>
      </w:r>
      <w:r w:rsidR="00FC503E" w:rsidRPr="002261B9">
        <w:rPr>
          <w:rStyle w:val="DeltaViewInsertion"/>
          <w:color w:val="auto"/>
          <w:u w:val="none"/>
          <w:lang w:val="es-ES"/>
        </w:rPr>
        <w:t xml:space="preserve">rifos. </w:t>
      </w:r>
      <w:r w:rsidR="00E15690" w:rsidRPr="002261B9">
        <w:rPr>
          <w:rStyle w:val="DeltaViewInsertion"/>
          <w:color w:val="auto"/>
          <w:u w:val="none"/>
          <w:lang w:val="es-ES"/>
        </w:rPr>
        <w:t>El c</w:t>
      </w:r>
      <w:r w:rsidR="00FC503E" w:rsidRPr="002261B9">
        <w:rPr>
          <w:rStyle w:val="DeltaViewInsertion"/>
          <w:color w:val="auto"/>
          <w:u w:val="none"/>
          <w:lang w:val="es-ES"/>
        </w:rPr>
        <w:t>lorp</w:t>
      </w:r>
      <w:r w:rsidR="00E15690" w:rsidRPr="002261B9">
        <w:rPr>
          <w:rStyle w:val="DeltaViewInsertion"/>
          <w:color w:val="auto"/>
          <w:u w:val="none"/>
          <w:lang w:val="es-ES"/>
        </w:rPr>
        <w:t>i</w:t>
      </w:r>
      <w:r w:rsidR="00FC503E" w:rsidRPr="002261B9">
        <w:rPr>
          <w:rStyle w:val="DeltaViewInsertion"/>
          <w:color w:val="auto"/>
          <w:u w:val="none"/>
          <w:lang w:val="es-ES"/>
        </w:rPr>
        <w:t xml:space="preserve">rifos </w:t>
      </w:r>
      <w:r w:rsidR="00E15690" w:rsidRPr="002261B9">
        <w:rPr>
          <w:rStyle w:val="DeltaViewInsertion"/>
          <w:color w:val="auto"/>
          <w:u w:val="none"/>
          <w:lang w:val="es-ES"/>
        </w:rPr>
        <w:t>ya no se utiliza como cebo para insectos en el Brasil para el control de las hormigas cortadoras de hojas</w:t>
      </w:r>
      <w:r w:rsidR="00FC503E" w:rsidRPr="002261B9">
        <w:rPr>
          <w:rStyle w:val="DeltaViewInsertion"/>
          <w:color w:val="auto"/>
          <w:u w:val="none"/>
          <w:lang w:val="es-ES"/>
        </w:rPr>
        <w:t xml:space="preserve"> (UNEP/POPS/POPRC.12/INF/15/Rev.1). </w:t>
      </w:r>
      <w:r w:rsidR="00E15690" w:rsidRPr="002261B9">
        <w:rPr>
          <w:rStyle w:val="DeltaViewInsertion"/>
          <w:color w:val="auto"/>
          <w:u w:val="none"/>
          <w:lang w:val="es-ES"/>
        </w:rPr>
        <w:t>Se ha cuestionado la eficacia de estas sustancias, es por ello que el Brasil está estudiando nuevas alternativas.</w:t>
      </w:r>
      <w:r w:rsidR="00FC503E" w:rsidRPr="002261B9">
        <w:rPr>
          <w:rStyle w:val="DeltaViewInsertion"/>
          <w:color w:val="auto"/>
          <w:u w:val="none"/>
          <w:lang w:val="es-ES"/>
        </w:rPr>
        <w:t xml:space="preserve"> </w:t>
      </w:r>
      <w:r w:rsidR="00E15690" w:rsidRPr="002261B9">
        <w:rPr>
          <w:rStyle w:val="DeltaViewInsertion"/>
          <w:color w:val="auto"/>
          <w:u w:val="none"/>
          <w:lang w:val="es-ES"/>
        </w:rPr>
        <w:t xml:space="preserve">Según la información contenida en el anexo F de la presentación realizada por el Brasil, aún no es </w:t>
      </w:r>
      <w:r w:rsidR="002748F8" w:rsidRPr="002261B9">
        <w:rPr>
          <w:rStyle w:val="DeltaViewInsertion"/>
          <w:color w:val="auto"/>
          <w:u w:val="none"/>
          <w:lang w:val="es-ES"/>
        </w:rPr>
        <w:t>posible</w:t>
      </w:r>
      <w:r w:rsidR="00E15690" w:rsidRPr="002261B9">
        <w:rPr>
          <w:rStyle w:val="DeltaViewInsertion"/>
          <w:color w:val="auto"/>
          <w:u w:val="none"/>
          <w:lang w:val="es-ES"/>
        </w:rPr>
        <w:t xml:space="preserve"> sustituir con eficacia la </w:t>
      </w:r>
      <w:r w:rsidR="00FC503E" w:rsidRPr="002261B9">
        <w:rPr>
          <w:rStyle w:val="DeltaViewInsertion"/>
          <w:color w:val="auto"/>
          <w:u w:val="none"/>
          <w:lang w:val="es-ES"/>
        </w:rPr>
        <w:t>sulfluramid</w:t>
      </w:r>
      <w:r w:rsidR="00E15690" w:rsidRPr="002261B9">
        <w:rPr>
          <w:rStyle w:val="DeltaViewInsertion"/>
          <w:color w:val="auto"/>
          <w:u w:val="none"/>
          <w:lang w:val="es-ES"/>
        </w:rPr>
        <w:t>a en el Brasil con otros productos registrados comercializados para el mismo fin</w:t>
      </w:r>
      <w:r w:rsidR="00FC503E" w:rsidRPr="002261B9">
        <w:rPr>
          <w:rStyle w:val="DeltaViewInsertion"/>
          <w:color w:val="auto"/>
          <w:u w:val="none"/>
          <w:lang w:val="es-ES"/>
        </w:rPr>
        <w:t xml:space="preserve"> (UNEP/POPS/POPRC.12/INF/15/Rev.1, UNEP/POPS/COP.7/INF/21).</w:t>
      </w:r>
      <w:bookmarkStart w:id="62" w:name="_DV_C926"/>
      <w:bookmarkEnd w:id="61"/>
    </w:p>
    <w:p w14:paraId="4765DEF0" w14:textId="7ADE9452" w:rsidR="00FC503E" w:rsidRPr="002261B9" w:rsidRDefault="00E15690" w:rsidP="00F45508">
      <w:pPr>
        <w:pStyle w:val="Paralevel1"/>
        <w:numPr>
          <w:ilvl w:val="0"/>
          <w:numId w:val="23"/>
        </w:numPr>
        <w:tabs>
          <w:tab w:val="clear" w:pos="0"/>
        </w:tabs>
        <w:ind w:left="1247" w:firstLine="0"/>
        <w:rPr>
          <w:lang w:val="es-ES"/>
        </w:rPr>
      </w:pPr>
      <w:bookmarkStart w:id="63" w:name="_DV_C927"/>
      <w:bookmarkEnd w:id="62"/>
      <w:r w:rsidRPr="002261B9">
        <w:rPr>
          <w:rStyle w:val="DeltaViewInsertion"/>
          <w:color w:val="auto"/>
          <w:u w:val="none"/>
          <w:lang w:val="es-ES"/>
        </w:rPr>
        <w:t xml:space="preserve">Según el </w:t>
      </w:r>
      <w:r w:rsidR="00FC503E" w:rsidRPr="002261B9">
        <w:rPr>
          <w:rStyle w:val="DeltaViewInsertion"/>
          <w:color w:val="auto"/>
          <w:u w:val="none"/>
          <w:lang w:val="es-ES"/>
        </w:rPr>
        <w:t>Bra</w:t>
      </w:r>
      <w:r w:rsidRPr="002261B9">
        <w:rPr>
          <w:rStyle w:val="DeltaViewInsertion"/>
          <w:color w:val="auto"/>
          <w:u w:val="none"/>
          <w:lang w:val="es-ES"/>
        </w:rPr>
        <w:t>s</w:t>
      </w:r>
      <w:r w:rsidR="00FC503E" w:rsidRPr="002261B9">
        <w:rPr>
          <w:rStyle w:val="DeltaViewInsertion"/>
          <w:color w:val="auto"/>
          <w:u w:val="none"/>
          <w:lang w:val="es-ES"/>
        </w:rPr>
        <w:t xml:space="preserve">il, </w:t>
      </w:r>
      <w:r w:rsidRPr="002261B9">
        <w:rPr>
          <w:rStyle w:val="DeltaViewInsertion"/>
          <w:color w:val="auto"/>
          <w:u w:val="none"/>
          <w:lang w:val="es-ES"/>
        </w:rPr>
        <w:t>el fenoxi</w:t>
      </w:r>
      <w:r w:rsidR="00FC503E" w:rsidRPr="002261B9">
        <w:rPr>
          <w:rStyle w:val="DeltaViewInsertion"/>
          <w:color w:val="auto"/>
          <w:u w:val="none"/>
          <w:lang w:val="es-ES"/>
        </w:rPr>
        <w:t xml:space="preserve">carb, </w:t>
      </w:r>
      <w:r w:rsidRPr="002261B9">
        <w:rPr>
          <w:rStyle w:val="DeltaViewInsertion"/>
          <w:color w:val="auto"/>
          <w:u w:val="none"/>
          <w:lang w:val="es-ES"/>
        </w:rPr>
        <w:t xml:space="preserve">el </w:t>
      </w:r>
      <w:r w:rsidR="00FC503E" w:rsidRPr="002261B9">
        <w:rPr>
          <w:rStyle w:val="DeltaViewInsertion"/>
          <w:color w:val="auto"/>
          <w:u w:val="none"/>
          <w:lang w:val="es-ES"/>
        </w:rPr>
        <w:t>p</w:t>
      </w:r>
      <w:r w:rsidRPr="002261B9">
        <w:rPr>
          <w:rStyle w:val="DeltaViewInsertion"/>
          <w:color w:val="auto"/>
          <w:u w:val="none"/>
          <w:lang w:val="es-ES"/>
        </w:rPr>
        <w:t>i</w:t>
      </w:r>
      <w:r w:rsidR="00FC503E" w:rsidRPr="002261B9">
        <w:rPr>
          <w:rStyle w:val="DeltaViewInsertion"/>
          <w:color w:val="auto"/>
          <w:u w:val="none"/>
          <w:lang w:val="es-ES"/>
        </w:rPr>
        <w:t>riprox</w:t>
      </w:r>
      <w:r w:rsidRPr="002261B9">
        <w:rPr>
          <w:rStyle w:val="DeltaViewInsertion"/>
          <w:color w:val="auto"/>
          <w:u w:val="none"/>
          <w:lang w:val="es-ES"/>
        </w:rPr>
        <w:t>i</w:t>
      </w:r>
      <w:r w:rsidR="00FC503E" w:rsidRPr="002261B9">
        <w:rPr>
          <w:rStyle w:val="DeltaViewInsertion"/>
          <w:color w:val="auto"/>
          <w:u w:val="none"/>
          <w:lang w:val="es-ES"/>
        </w:rPr>
        <w:t>fen</w:t>
      </w:r>
      <w:r w:rsidRPr="002261B9">
        <w:rPr>
          <w:rStyle w:val="DeltaViewInsertion"/>
          <w:color w:val="auto"/>
          <w:u w:val="none"/>
          <w:lang w:val="es-ES"/>
        </w:rPr>
        <w:t>o</w:t>
      </w:r>
      <w:r w:rsidR="00FC503E" w:rsidRPr="002261B9">
        <w:rPr>
          <w:rStyle w:val="DeltaViewInsertion"/>
          <w:color w:val="auto"/>
          <w:u w:val="none"/>
          <w:lang w:val="es-ES"/>
        </w:rPr>
        <w:t xml:space="preserve">, </w:t>
      </w:r>
      <w:r w:rsidRPr="002261B9">
        <w:rPr>
          <w:rStyle w:val="DeltaViewInsertion"/>
          <w:color w:val="auto"/>
          <w:u w:val="none"/>
          <w:lang w:val="es-ES"/>
        </w:rPr>
        <w:t xml:space="preserve">el </w:t>
      </w:r>
      <w:r w:rsidR="00FC503E" w:rsidRPr="002261B9">
        <w:rPr>
          <w:rStyle w:val="DeltaViewInsertion"/>
          <w:color w:val="auto"/>
          <w:u w:val="none"/>
          <w:lang w:val="es-ES"/>
        </w:rPr>
        <w:t>diflubenzur</w:t>
      </w:r>
      <w:r w:rsidRPr="002261B9">
        <w:rPr>
          <w:rStyle w:val="DeltaViewInsertion"/>
          <w:color w:val="auto"/>
          <w:u w:val="none"/>
          <w:lang w:val="es-ES"/>
        </w:rPr>
        <w:t>ó</w:t>
      </w:r>
      <w:r w:rsidR="00FC503E" w:rsidRPr="002261B9">
        <w:rPr>
          <w:rStyle w:val="DeltaViewInsertion"/>
          <w:color w:val="auto"/>
          <w:u w:val="none"/>
          <w:lang w:val="es-ES"/>
        </w:rPr>
        <w:t xml:space="preserve">n, </w:t>
      </w:r>
      <w:r w:rsidRPr="002261B9">
        <w:rPr>
          <w:rStyle w:val="DeltaViewInsertion"/>
          <w:color w:val="auto"/>
          <w:u w:val="none"/>
          <w:lang w:val="es-ES"/>
        </w:rPr>
        <w:t xml:space="preserve">el </w:t>
      </w:r>
      <w:r w:rsidR="00FC503E" w:rsidRPr="002261B9">
        <w:rPr>
          <w:rStyle w:val="DeltaViewInsertion"/>
          <w:color w:val="auto"/>
          <w:u w:val="none"/>
          <w:lang w:val="es-ES"/>
        </w:rPr>
        <w:t>teflubenzur</w:t>
      </w:r>
      <w:r w:rsidRPr="002261B9">
        <w:rPr>
          <w:rStyle w:val="DeltaViewInsertion"/>
          <w:color w:val="auto"/>
          <w:u w:val="none"/>
          <w:lang w:val="es-ES"/>
        </w:rPr>
        <w:t>ó</w:t>
      </w:r>
      <w:r w:rsidR="00FC503E" w:rsidRPr="002261B9">
        <w:rPr>
          <w:rStyle w:val="DeltaViewInsertion"/>
          <w:color w:val="auto"/>
          <w:u w:val="none"/>
          <w:lang w:val="es-ES"/>
        </w:rPr>
        <w:t xml:space="preserve">n, </w:t>
      </w:r>
      <w:r w:rsidRPr="002261B9">
        <w:rPr>
          <w:rStyle w:val="DeltaViewInsertion"/>
          <w:color w:val="auto"/>
          <w:u w:val="none"/>
          <w:lang w:val="es-ES"/>
        </w:rPr>
        <w:t>la silaneafona</w:t>
      </w:r>
      <w:r w:rsidR="00FC503E" w:rsidRPr="002261B9">
        <w:rPr>
          <w:rStyle w:val="DeltaViewInsertion"/>
          <w:color w:val="auto"/>
          <w:u w:val="none"/>
          <w:lang w:val="es-ES"/>
        </w:rPr>
        <w:t xml:space="preserve">, </w:t>
      </w:r>
      <w:r w:rsidRPr="002261B9">
        <w:rPr>
          <w:rStyle w:val="DeltaViewInsertion"/>
          <w:color w:val="auto"/>
          <w:u w:val="none"/>
          <w:lang w:val="es-ES"/>
        </w:rPr>
        <w:t xml:space="preserve">el </w:t>
      </w:r>
      <w:r w:rsidR="00FC503E" w:rsidRPr="002261B9">
        <w:rPr>
          <w:rStyle w:val="DeltaViewInsertion"/>
          <w:color w:val="auto"/>
          <w:u w:val="none"/>
          <w:lang w:val="es-ES"/>
        </w:rPr>
        <w:t>t</w:t>
      </w:r>
      <w:r w:rsidRPr="002261B9">
        <w:rPr>
          <w:rStyle w:val="DeltaViewInsertion"/>
          <w:color w:val="auto"/>
          <w:u w:val="none"/>
          <w:lang w:val="es-ES"/>
        </w:rPr>
        <w:t>idiazuró</w:t>
      </w:r>
      <w:r w:rsidR="00FC503E" w:rsidRPr="002261B9">
        <w:rPr>
          <w:rStyle w:val="DeltaViewInsertion"/>
          <w:color w:val="auto"/>
          <w:u w:val="none"/>
          <w:lang w:val="es-ES"/>
        </w:rPr>
        <w:t xml:space="preserve">n, </w:t>
      </w:r>
      <w:r w:rsidRPr="002261B9">
        <w:rPr>
          <w:rStyle w:val="DeltaViewInsertion"/>
          <w:color w:val="auto"/>
          <w:u w:val="none"/>
          <w:lang w:val="es-ES"/>
        </w:rPr>
        <w:t xml:space="preserve">el </w:t>
      </w:r>
      <w:r w:rsidR="00FC503E" w:rsidRPr="002261B9">
        <w:rPr>
          <w:rStyle w:val="DeltaViewInsertion"/>
          <w:color w:val="auto"/>
          <w:u w:val="none"/>
          <w:lang w:val="es-ES"/>
        </w:rPr>
        <w:t>teflur</w:t>
      </w:r>
      <w:r w:rsidRPr="002261B9">
        <w:rPr>
          <w:rStyle w:val="DeltaViewInsertion"/>
          <w:color w:val="auto"/>
          <w:u w:val="none"/>
          <w:lang w:val="es-ES"/>
        </w:rPr>
        <w:t>ó</w:t>
      </w:r>
      <w:r w:rsidR="00FC503E" w:rsidRPr="002261B9">
        <w:rPr>
          <w:rStyle w:val="DeltaViewInsertion"/>
          <w:color w:val="auto"/>
          <w:u w:val="none"/>
          <w:lang w:val="es-ES"/>
        </w:rPr>
        <w:t xml:space="preserve">n, </w:t>
      </w:r>
      <w:r w:rsidRPr="002261B9">
        <w:rPr>
          <w:rStyle w:val="DeltaViewInsertion"/>
          <w:color w:val="auto"/>
          <w:u w:val="none"/>
          <w:lang w:val="es-ES"/>
        </w:rPr>
        <w:t xml:space="preserve">la </w:t>
      </w:r>
      <w:r w:rsidR="00FC503E" w:rsidRPr="002261B9">
        <w:rPr>
          <w:rStyle w:val="DeltaViewInsertion"/>
          <w:color w:val="auto"/>
          <w:u w:val="none"/>
          <w:lang w:val="es-ES"/>
        </w:rPr>
        <w:t>prodron</w:t>
      </w:r>
      <w:r w:rsidRPr="002261B9">
        <w:rPr>
          <w:rStyle w:val="DeltaViewInsertion"/>
          <w:color w:val="auto"/>
          <w:u w:val="none"/>
          <w:lang w:val="es-ES"/>
        </w:rPr>
        <w:t>a</w:t>
      </w:r>
      <w:r w:rsidR="00FC503E" w:rsidRPr="002261B9">
        <w:rPr>
          <w:rStyle w:val="DeltaViewInsertion"/>
          <w:color w:val="auto"/>
          <w:u w:val="none"/>
          <w:lang w:val="es-ES"/>
        </w:rPr>
        <w:t xml:space="preserve">, </w:t>
      </w:r>
      <w:r w:rsidRPr="002261B9">
        <w:rPr>
          <w:rStyle w:val="DeltaViewInsertion"/>
          <w:color w:val="auto"/>
          <w:u w:val="none"/>
          <w:lang w:val="es-ES"/>
        </w:rPr>
        <w:t>el abamectí</w:t>
      </w:r>
      <w:r w:rsidR="00FC503E" w:rsidRPr="002261B9">
        <w:rPr>
          <w:rStyle w:val="DeltaViewInsertion"/>
          <w:color w:val="auto"/>
          <w:u w:val="none"/>
          <w:lang w:val="es-ES"/>
        </w:rPr>
        <w:t xml:space="preserve">n, </w:t>
      </w:r>
      <w:r w:rsidRPr="002261B9">
        <w:rPr>
          <w:rStyle w:val="DeltaViewInsertion"/>
          <w:color w:val="auto"/>
          <w:u w:val="none"/>
          <w:lang w:val="es-ES"/>
        </w:rPr>
        <w:t xml:space="preserve">el </w:t>
      </w:r>
      <w:r w:rsidR="00FC503E" w:rsidRPr="002261B9">
        <w:rPr>
          <w:rStyle w:val="DeltaViewInsertion"/>
          <w:color w:val="auto"/>
          <w:u w:val="none"/>
          <w:lang w:val="es-ES"/>
        </w:rPr>
        <w:t>met</w:t>
      </w:r>
      <w:r w:rsidRPr="002261B9">
        <w:rPr>
          <w:rStyle w:val="DeltaViewInsertion"/>
          <w:color w:val="auto"/>
          <w:u w:val="none"/>
          <w:lang w:val="es-ES"/>
        </w:rPr>
        <w:t>r</w:t>
      </w:r>
      <w:r w:rsidR="00FC503E" w:rsidRPr="002261B9">
        <w:rPr>
          <w:rStyle w:val="DeltaViewInsertion"/>
          <w:color w:val="auto"/>
          <w:u w:val="none"/>
          <w:lang w:val="es-ES"/>
        </w:rPr>
        <w:t>opren</w:t>
      </w:r>
      <w:r w:rsidRPr="002261B9">
        <w:rPr>
          <w:rStyle w:val="DeltaViewInsertion"/>
          <w:color w:val="auto"/>
          <w:u w:val="none"/>
          <w:lang w:val="es-ES"/>
        </w:rPr>
        <w:t>o</w:t>
      </w:r>
      <w:r w:rsidR="00FC503E" w:rsidRPr="002261B9">
        <w:rPr>
          <w:rStyle w:val="DeltaViewInsertion"/>
          <w:color w:val="auto"/>
          <w:u w:val="none"/>
          <w:lang w:val="es-ES"/>
        </w:rPr>
        <w:t xml:space="preserve">, </w:t>
      </w:r>
      <w:r w:rsidRPr="002261B9">
        <w:rPr>
          <w:rStyle w:val="DeltaViewInsertion"/>
          <w:color w:val="auto"/>
          <w:u w:val="none"/>
          <w:lang w:val="es-ES"/>
        </w:rPr>
        <w:t xml:space="preserve">el </w:t>
      </w:r>
      <w:r w:rsidR="00FC503E" w:rsidRPr="002261B9">
        <w:rPr>
          <w:rStyle w:val="DeltaViewInsertion"/>
          <w:color w:val="auto"/>
          <w:u w:val="none"/>
          <w:lang w:val="es-ES"/>
        </w:rPr>
        <w:t>h</w:t>
      </w:r>
      <w:r w:rsidRPr="002261B9">
        <w:rPr>
          <w:rStyle w:val="DeltaViewInsertion"/>
          <w:color w:val="auto"/>
          <w:u w:val="none"/>
          <w:lang w:val="es-ES"/>
        </w:rPr>
        <w:t>i</w:t>
      </w:r>
      <w:r w:rsidR="00FC503E" w:rsidRPr="002261B9">
        <w:rPr>
          <w:rStyle w:val="DeltaViewInsertion"/>
          <w:color w:val="auto"/>
          <w:u w:val="none"/>
          <w:lang w:val="es-ES"/>
        </w:rPr>
        <w:t>dramet</w:t>
      </w:r>
      <w:r w:rsidRPr="002261B9">
        <w:rPr>
          <w:rStyle w:val="DeltaViewInsertion"/>
          <w:color w:val="auto"/>
          <w:u w:val="none"/>
          <w:lang w:val="es-ES"/>
        </w:rPr>
        <w:t>il</w:t>
      </w:r>
      <w:r w:rsidR="00FC503E" w:rsidRPr="002261B9">
        <w:rPr>
          <w:rStyle w:val="DeltaViewInsertion"/>
          <w:color w:val="auto"/>
          <w:u w:val="none"/>
          <w:lang w:val="es-ES"/>
        </w:rPr>
        <w:t>n</w:t>
      </w:r>
      <w:r w:rsidRPr="002261B9">
        <w:rPr>
          <w:rStyle w:val="DeltaViewInsertion"/>
          <w:color w:val="auto"/>
          <w:u w:val="none"/>
          <w:lang w:val="es-ES"/>
        </w:rPr>
        <w:t>ón</w:t>
      </w:r>
      <w:r w:rsidR="00FC503E" w:rsidRPr="002261B9">
        <w:rPr>
          <w:rStyle w:val="DeltaViewInsertion"/>
          <w:color w:val="auto"/>
          <w:u w:val="none"/>
          <w:lang w:val="es-ES"/>
        </w:rPr>
        <w:t xml:space="preserve">, </w:t>
      </w:r>
      <w:r w:rsidRPr="002261B9">
        <w:rPr>
          <w:rStyle w:val="DeltaViewInsertion"/>
          <w:color w:val="auto"/>
          <w:u w:val="none"/>
          <w:lang w:val="es-ES"/>
        </w:rPr>
        <w:t xml:space="preserve">el ácido </w:t>
      </w:r>
      <w:r w:rsidR="00FC503E" w:rsidRPr="002261B9">
        <w:rPr>
          <w:rStyle w:val="DeltaViewInsertion"/>
          <w:color w:val="auto"/>
          <w:u w:val="none"/>
          <w:lang w:val="es-ES"/>
        </w:rPr>
        <w:t>b</w:t>
      </w:r>
      <w:r w:rsidRPr="002261B9">
        <w:rPr>
          <w:rStyle w:val="DeltaViewInsertion"/>
          <w:color w:val="auto"/>
          <w:u w:val="none"/>
          <w:lang w:val="es-ES"/>
        </w:rPr>
        <w:t>órico</w:t>
      </w:r>
      <w:r w:rsidR="00FC503E" w:rsidRPr="002261B9">
        <w:rPr>
          <w:rStyle w:val="DeltaViewInsertion"/>
          <w:color w:val="auto"/>
          <w:u w:val="none"/>
          <w:lang w:val="es-ES"/>
        </w:rPr>
        <w:t xml:space="preserve">, </w:t>
      </w:r>
      <w:r w:rsidRPr="002261B9">
        <w:rPr>
          <w:rStyle w:val="DeltaViewInsertion"/>
          <w:color w:val="auto"/>
          <w:u w:val="none"/>
          <w:lang w:val="es-ES"/>
        </w:rPr>
        <w:t xml:space="preserve">algunos </w:t>
      </w:r>
      <w:r w:rsidR="00FC503E" w:rsidRPr="002261B9">
        <w:rPr>
          <w:rStyle w:val="DeltaViewInsertion"/>
          <w:color w:val="auto"/>
          <w:u w:val="none"/>
          <w:lang w:val="es-ES"/>
        </w:rPr>
        <w:t>insecticid</w:t>
      </w:r>
      <w:r w:rsidRPr="002261B9">
        <w:rPr>
          <w:rStyle w:val="DeltaViewInsertion"/>
          <w:color w:val="auto"/>
          <w:u w:val="none"/>
          <w:lang w:val="es-ES"/>
        </w:rPr>
        <w:t xml:space="preserve">as del grupo de los </w:t>
      </w:r>
      <w:r w:rsidR="00FC503E" w:rsidRPr="002261B9">
        <w:rPr>
          <w:rStyle w:val="DeltaViewInsertion"/>
          <w:color w:val="auto"/>
          <w:u w:val="none"/>
          <w:lang w:val="es-ES"/>
        </w:rPr>
        <w:t>neonicotinoid</w:t>
      </w:r>
      <w:r w:rsidRPr="002261B9">
        <w:rPr>
          <w:rStyle w:val="DeltaViewInsertion"/>
          <w:color w:val="auto"/>
          <w:u w:val="none"/>
          <w:lang w:val="es-ES"/>
        </w:rPr>
        <w:t>es</w:t>
      </w:r>
      <w:r w:rsidR="00FC503E" w:rsidRPr="002261B9">
        <w:rPr>
          <w:rStyle w:val="DeltaViewInsertion"/>
          <w:color w:val="auto"/>
          <w:u w:val="none"/>
          <w:lang w:val="es-ES"/>
        </w:rPr>
        <w:t>, p</w:t>
      </w:r>
      <w:r w:rsidRPr="002261B9">
        <w:rPr>
          <w:rStyle w:val="DeltaViewInsertion"/>
          <w:color w:val="auto"/>
          <w:u w:val="none"/>
          <w:lang w:val="es-ES"/>
        </w:rPr>
        <w:t>iretoides</w:t>
      </w:r>
      <w:r w:rsidR="00FC503E" w:rsidRPr="002261B9">
        <w:rPr>
          <w:rStyle w:val="DeltaViewInsertion"/>
          <w:color w:val="auto"/>
          <w:u w:val="none"/>
          <w:lang w:val="es-ES"/>
        </w:rPr>
        <w:t xml:space="preserve">, </w:t>
      </w:r>
      <w:r w:rsidRPr="002261B9">
        <w:rPr>
          <w:rStyle w:val="DeltaViewInsertion"/>
          <w:color w:val="auto"/>
          <w:u w:val="none"/>
          <w:lang w:val="es-ES"/>
        </w:rPr>
        <w:t>espinosinos</w:t>
      </w:r>
      <w:r w:rsidR="00FC503E" w:rsidRPr="002261B9">
        <w:rPr>
          <w:rStyle w:val="DeltaViewInsertion"/>
          <w:color w:val="auto"/>
          <w:u w:val="none"/>
          <w:lang w:val="es-ES"/>
        </w:rPr>
        <w:t xml:space="preserve">, etc., </w:t>
      </w:r>
      <w:r w:rsidR="0048088A" w:rsidRPr="002261B9">
        <w:rPr>
          <w:rStyle w:val="DeltaViewInsertion"/>
          <w:color w:val="auto"/>
          <w:u w:val="none"/>
          <w:lang w:val="es-ES"/>
        </w:rPr>
        <w:t>han sido ensayados en hormigas cortadoras de hojas, pero no resultaron efectivos</w:t>
      </w:r>
      <w:r w:rsidR="00FC503E" w:rsidRPr="002261B9">
        <w:rPr>
          <w:rStyle w:val="DeltaViewInsertion"/>
          <w:color w:val="auto"/>
          <w:u w:val="none"/>
          <w:lang w:val="es-ES"/>
        </w:rPr>
        <w:t xml:space="preserve"> (UNEP/POPS/POPRC.12/INF/15/Rev.1).</w:t>
      </w:r>
      <w:bookmarkStart w:id="64" w:name="_DV_C928"/>
      <w:bookmarkEnd w:id="63"/>
    </w:p>
    <w:p w14:paraId="2A268664" w14:textId="652866AD" w:rsidR="00FC503E" w:rsidRPr="002261B9" w:rsidRDefault="0048088A" w:rsidP="00F45508">
      <w:pPr>
        <w:pStyle w:val="Paralevel1"/>
        <w:numPr>
          <w:ilvl w:val="0"/>
          <w:numId w:val="23"/>
        </w:numPr>
        <w:tabs>
          <w:tab w:val="clear" w:pos="0"/>
        </w:tabs>
        <w:ind w:left="1247" w:firstLine="0"/>
        <w:rPr>
          <w:lang w:val="es-ES"/>
        </w:rPr>
      </w:pPr>
      <w:bookmarkStart w:id="65" w:name="_DV_C929"/>
      <w:bookmarkEnd w:id="64"/>
      <w:r w:rsidRPr="002261B9">
        <w:rPr>
          <w:rStyle w:val="DeltaViewInsertion"/>
          <w:color w:val="auto"/>
          <w:u w:val="none"/>
          <w:lang w:val="es-ES"/>
        </w:rPr>
        <w:t xml:space="preserve">De conformidad con la decisión </w:t>
      </w:r>
      <w:r w:rsidR="00FC503E" w:rsidRPr="002261B9">
        <w:rPr>
          <w:rStyle w:val="DeltaViewInsertion"/>
          <w:color w:val="auto"/>
          <w:u w:val="none"/>
          <w:lang w:val="es-ES"/>
        </w:rPr>
        <w:t xml:space="preserve">SC-6/7, </w:t>
      </w:r>
      <w:r w:rsidRPr="002261B9">
        <w:rPr>
          <w:rStyle w:val="DeltaViewInsertion"/>
          <w:color w:val="auto"/>
          <w:u w:val="none"/>
          <w:lang w:val="es-ES"/>
        </w:rPr>
        <w:t xml:space="preserve">el </w:t>
      </w:r>
      <w:r w:rsidR="00FC503E" w:rsidRPr="002261B9">
        <w:rPr>
          <w:rStyle w:val="DeltaViewInsertion"/>
          <w:color w:val="auto"/>
          <w:u w:val="none"/>
          <w:lang w:val="es-ES"/>
        </w:rPr>
        <w:t>Bra</w:t>
      </w:r>
      <w:r w:rsidRPr="002261B9">
        <w:rPr>
          <w:rStyle w:val="DeltaViewInsertion"/>
          <w:color w:val="auto"/>
          <w:u w:val="none"/>
          <w:lang w:val="es-ES"/>
        </w:rPr>
        <w:t>s</w:t>
      </w:r>
      <w:r w:rsidR="00FC503E" w:rsidRPr="002261B9">
        <w:rPr>
          <w:rStyle w:val="DeltaViewInsertion"/>
          <w:color w:val="auto"/>
          <w:u w:val="none"/>
          <w:lang w:val="es-ES"/>
        </w:rPr>
        <w:t xml:space="preserve">il </w:t>
      </w:r>
      <w:r w:rsidRPr="002261B9">
        <w:rPr>
          <w:rStyle w:val="DeltaViewInsertion"/>
          <w:color w:val="auto"/>
          <w:u w:val="none"/>
          <w:lang w:val="es-ES"/>
        </w:rPr>
        <w:t>debía realizar un estudio para obtener información de homólogos sobre la viabilidad de utilizar alternativas al</w:t>
      </w:r>
      <w:r w:rsidR="00FC503E" w:rsidRPr="002261B9">
        <w:rPr>
          <w:rStyle w:val="DeltaViewInsertion"/>
          <w:color w:val="auto"/>
          <w:u w:val="none"/>
          <w:lang w:val="es-ES"/>
        </w:rPr>
        <w:t xml:space="preserve"> PFOS, </w:t>
      </w:r>
      <w:r w:rsidRPr="002261B9">
        <w:rPr>
          <w:rStyle w:val="DeltaViewInsertion"/>
          <w:color w:val="auto"/>
          <w:u w:val="none"/>
          <w:lang w:val="es-ES"/>
        </w:rPr>
        <w:t>sus</w:t>
      </w:r>
      <w:r w:rsidR="00FC503E" w:rsidRPr="002261B9">
        <w:rPr>
          <w:rStyle w:val="DeltaViewInsertion"/>
          <w:color w:val="auto"/>
          <w:u w:val="none"/>
          <w:lang w:val="es-ES"/>
        </w:rPr>
        <w:t xml:space="preserve"> sal</w:t>
      </w:r>
      <w:r w:rsidRPr="002261B9">
        <w:rPr>
          <w:rStyle w:val="DeltaViewInsertion"/>
          <w:color w:val="auto"/>
          <w:u w:val="none"/>
          <w:lang w:val="es-ES"/>
        </w:rPr>
        <w:t>e</w:t>
      </w:r>
      <w:r w:rsidR="00FC503E" w:rsidRPr="002261B9">
        <w:rPr>
          <w:rStyle w:val="DeltaViewInsertion"/>
          <w:color w:val="auto"/>
          <w:u w:val="none"/>
          <w:lang w:val="es-ES"/>
        </w:rPr>
        <w:t xml:space="preserve">s, </w:t>
      </w:r>
      <w:r w:rsidRPr="002261B9">
        <w:rPr>
          <w:rStyle w:val="DeltaViewInsertion"/>
          <w:color w:val="auto"/>
          <w:u w:val="none"/>
          <w:lang w:val="es-ES"/>
        </w:rPr>
        <w:t xml:space="preserve">el </w:t>
      </w:r>
      <w:r w:rsidR="00FC503E" w:rsidRPr="002261B9">
        <w:rPr>
          <w:rStyle w:val="DeltaViewInsertion"/>
          <w:color w:val="auto"/>
          <w:u w:val="none"/>
          <w:lang w:val="es-ES"/>
        </w:rPr>
        <w:t xml:space="preserve">PFOSF </w:t>
      </w:r>
      <w:r w:rsidRPr="002261B9">
        <w:rPr>
          <w:rStyle w:val="DeltaViewInsertion"/>
          <w:color w:val="auto"/>
          <w:u w:val="none"/>
          <w:lang w:val="es-ES"/>
        </w:rPr>
        <w:t xml:space="preserve">y sus productos químicos conexos como parte de un enfoque integrado de gestión de plagas y presentarlos a la </w:t>
      </w:r>
      <w:r w:rsidR="002748F8" w:rsidRPr="002261B9">
        <w:rPr>
          <w:rStyle w:val="DeltaViewInsertion"/>
          <w:color w:val="auto"/>
          <w:u w:val="none"/>
          <w:lang w:val="es-ES"/>
        </w:rPr>
        <w:t>Secretaría</w:t>
      </w:r>
      <w:r w:rsidR="00FC503E" w:rsidRPr="002261B9">
        <w:rPr>
          <w:rStyle w:val="DeltaViewInsertion"/>
          <w:color w:val="auto"/>
          <w:u w:val="none"/>
          <w:lang w:val="es-ES"/>
        </w:rPr>
        <w:t xml:space="preserve">. </w:t>
      </w:r>
      <w:r w:rsidRPr="002261B9">
        <w:rPr>
          <w:rStyle w:val="DeltaViewInsertion"/>
          <w:color w:val="auto"/>
          <w:u w:val="none"/>
          <w:lang w:val="es-ES"/>
        </w:rPr>
        <w:t xml:space="preserve">En el </w:t>
      </w:r>
      <w:r w:rsidR="002748F8" w:rsidRPr="002261B9">
        <w:rPr>
          <w:rStyle w:val="DeltaViewInsertion"/>
          <w:color w:val="auto"/>
          <w:u w:val="none"/>
          <w:lang w:val="es-ES"/>
        </w:rPr>
        <w:t>estudio</w:t>
      </w:r>
      <w:r w:rsidRPr="002261B9">
        <w:rPr>
          <w:rStyle w:val="DeltaViewInsertion"/>
          <w:color w:val="auto"/>
          <w:u w:val="none"/>
          <w:lang w:val="es-ES"/>
        </w:rPr>
        <w:t xml:space="preserve"> se llegó a la </w:t>
      </w:r>
      <w:r w:rsidR="002748F8" w:rsidRPr="002261B9">
        <w:rPr>
          <w:rStyle w:val="DeltaViewInsertion"/>
          <w:color w:val="auto"/>
          <w:u w:val="none"/>
          <w:lang w:val="es-ES"/>
        </w:rPr>
        <w:t>conclusión</w:t>
      </w:r>
      <w:r w:rsidRPr="002261B9">
        <w:rPr>
          <w:rStyle w:val="DeltaViewInsertion"/>
          <w:color w:val="auto"/>
          <w:u w:val="none"/>
          <w:lang w:val="es-ES"/>
        </w:rPr>
        <w:t xml:space="preserve"> de que, tomando como base la viabilidad técnica, los efectos sobre los humanos y el medio ambiente, el costo</w:t>
      </w:r>
      <w:r w:rsidR="002748F8" w:rsidRPr="002261B9">
        <w:rPr>
          <w:rStyle w:val="DeltaViewInsertion"/>
          <w:color w:val="auto"/>
          <w:u w:val="none"/>
          <w:lang w:val="es-ES"/>
        </w:rPr>
        <w:t xml:space="preserve"> y </w:t>
      </w:r>
      <w:r w:rsidRPr="002261B9">
        <w:rPr>
          <w:rStyle w:val="DeltaViewInsertion"/>
          <w:color w:val="auto"/>
          <w:u w:val="none"/>
          <w:lang w:val="es-ES"/>
        </w:rPr>
        <w:t xml:space="preserve">la </w:t>
      </w:r>
      <w:r w:rsidR="002748F8" w:rsidRPr="002261B9">
        <w:rPr>
          <w:rStyle w:val="DeltaViewInsertion"/>
          <w:color w:val="auto"/>
          <w:u w:val="none"/>
          <w:lang w:val="es-ES"/>
        </w:rPr>
        <w:t>eficacia</w:t>
      </w:r>
      <w:r w:rsidRPr="002261B9">
        <w:rPr>
          <w:rStyle w:val="DeltaViewInsertion"/>
          <w:color w:val="auto"/>
          <w:u w:val="none"/>
          <w:lang w:val="es-ES"/>
        </w:rPr>
        <w:t xml:space="preserve"> y la disponibilidad y viabilidad, cabía decir que no existen alternativas para sustituir el uso de la </w:t>
      </w:r>
      <w:r w:rsidR="00FC503E" w:rsidRPr="002261B9">
        <w:rPr>
          <w:rStyle w:val="DeltaViewInsertion"/>
          <w:color w:val="auto"/>
          <w:u w:val="none"/>
          <w:lang w:val="es-ES"/>
        </w:rPr>
        <w:t>sulfluramid</w:t>
      </w:r>
      <w:r w:rsidRPr="002261B9">
        <w:rPr>
          <w:rStyle w:val="DeltaViewInsertion"/>
          <w:color w:val="auto"/>
          <w:u w:val="none"/>
          <w:lang w:val="es-ES"/>
        </w:rPr>
        <w:t>a para el control de las hormigas cortadoras de hojas</w:t>
      </w:r>
      <w:r w:rsidR="00FC503E" w:rsidRPr="002261B9">
        <w:rPr>
          <w:rStyle w:val="DeltaViewInsertion"/>
          <w:color w:val="auto"/>
          <w:u w:val="none"/>
          <w:lang w:val="es-ES"/>
        </w:rPr>
        <w:t xml:space="preserve"> (Informa</w:t>
      </w:r>
      <w:r w:rsidRPr="002261B9">
        <w:rPr>
          <w:rStyle w:val="DeltaViewInsertion"/>
          <w:color w:val="auto"/>
          <w:u w:val="none"/>
          <w:lang w:val="es-ES"/>
        </w:rPr>
        <w:t>ción del B</w:t>
      </w:r>
      <w:r w:rsidR="00FC503E" w:rsidRPr="002261B9">
        <w:rPr>
          <w:rStyle w:val="DeltaViewInsertion"/>
          <w:color w:val="auto"/>
          <w:u w:val="none"/>
          <w:lang w:val="es-ES"/>
        </w:rPr>
        <w:t>ra</w:t>
      </w:r>
      <w:r w:rsidRPr="002261B9">
        <w:rPr>
          <w:rStyle w:val="DeltaViewInsertion"/>
          <w:color w:val="auto"/>
          <w:u w:val="none"/>
          <w:lang w:val="es-ES"/>
        </w:rPr>
        <w:t>s</w:t>
      </w:r>
      <w:r w:rsidR="00FC503E" w:rsidRPr="002261B9">
        <w:rPr>
          <w:rStyle w:val="DeltaViewInsertion"/>
          <w:color w:val="auto"/>
          <w:u w:val="none"/>
          <w:lang w:val="es-ES"/>
        </w:rPr>
        <w:t>il, 2016)</w:t>
      </w:r>
      <w:r w:rsidR="00757B33" w:rsidRPr="002261B9">
        <w:rPr>
          <w:rStyle w:val="FootnoteReference"/>
          <w:lang w:val="es-ES"/>
        </w:rPr>
        <w:footnoteReference w:id="25"/>
      </w:r>
      <w:bookmarkStart w:id="66" w:name="_DV_C931"/>
      <w:bookmarkEnd w:id="65"/>
      <w:r w:rsidRPr="002261B9">
        <w:rPr>
          <w:rStyle w:val="DeltaViewInsertion"/>
          <w:color w:val="auto"/>
          <w:u w:val="none"/>
          <w:lang w:val="es-ES"/>
        </w:rPr>
        <w:t>.</w:t>
      </w:r>
    </w:p>
    <w:p w14:paraId="4214FFA3" w14:textId="3CB5B395" w:rsidR="00321ABA" w:rsidRDefault="0048088A" w:rsidP="00F45508">
      <w:pPr>
        <w:pStyle w:val="Paralevel1"/>
        <w:numPr>
          <w:ilvl w:val="0"/>
          <w:numId w:val="23"/>
        </w:numPr>
        <w:tabs>
          <w:tab w:val="clear" w:pos="0"/>
        </w:tabs>
        <w:ind w:left="1247" w:firstLine="0"/>
        <w:rPr>
          <w:rStyle w:val="DeltaViewInsertion"/>
          <w:color w:val="auto"/>
          <w:u w:val="none"/>
          <w:lang w:val="es-ES"/>
        </w:rPr>
      </w:pPr>
      <w:bookmarkStart w:id="67" w:name="_DV_C932"/>
      <w:bookmarkEnd w:id="66"/>
      <w:r w:rsidRPr="002261B9">
        <w:rPr>
          <w:rStyle w:val="DeltaViewInsertion"/>
          <w:color w:val="auto"/>
          <w:u w:val="none"/>
          <w:lang w:val="es-ES"/>
        </w:rPr>
        <w:t xml:space="preserve">En el documento </w:t>
      </w:r>
      <w:r w:rsidR="00FC503E" w:rsidRPr="002261B9">
        <w:rPr>
          <w:rStyle w:val="DeltaViewInsertion"/>
          <w:color w:val="auto"/>
          <w:u w:val="none"/>
          <w:lang w:val="es-ES"/>
        </w:rPr>
        <w:t>UNEP/POPS/POPRC.12/INF/15/Rev.1</w:t>
      </w:r>
      <w:r w:rsidRPr="002261B9">
        <w:rPr>
          <w:rStyle w:val="DeltaViewInsertion"/>
          <w:color w:val="auto"/>
          <w:u w:val="none"/>
          <w:lang w:val="es-ES"/>
        </w:rPr>
        <w:t xml:space="preserve"> figura información sobre los volúmenes</w:t>
      </w:r>
      <w:r w:rsidR="00FC503E" w:rsidRPr="002261B9">
        <w:rPr>
          <w:rStyle w:val="DeltaViewInsertion"/>
          <w:color w:val="auto"/>
          <w:u w:val="none"/>
          <w:lang w:val="es-ES"/>
        </w:rPr>
        <w:t xml:space="preserve">. </w:t>
      </w:r>
      <w:r w:rsidRPr="002261B9">
        <w:rPr>
          <w:rStyle w:val="DeltaViewInsertion"/>
          <w:color w:val="auto"/>
          <w:u w:val="none"/>
          <w:lang w:val="es-ES"/>
        </w:rPr>
        <w:t xml:space="preserve">Se destacó que existen algunos informes que indican que la </w:t>
      </w:r>
      <w:r w:rsidR="00FC503E" w:rsidRPr="002261B9">
        <w:rPr>
          <w:rStyle w:val="DeltaViewInsertion"/>
          <w:color w:val="auto"/>
          <w:u w:val="none"/>
          <w:lang w:val="es-ES"/>
        </w:rPr>
        <w:t>sulfluramid</w:t>
      </w:r>
      <w:r w:rsidRPr="002261B9">
        <w:rPr>
          <w:rStyle w:val="DeltaViewInsertion"/>
          <w:color w:val="auto"/>
          <w:u w:val="none"/>
          <w:lang w:val="es-ES"/>
        </w:rPr>
        <w:t xml:space="preserve">a puede </w:t>
      </w:r>
      <w:r w:rsidR="002748F8" w:rsidRPr="002261B9">
        <w:rPr>
          <w:rStyle w:val="DeltaViewInsertion"/>
          <w:color w:val="auto"/>
          <w:u w:val="none"/>
          <w:lang w:val="es-ES"/>
        </w:rPr>
        <w:t>degradar</w:t>
      </w:r>
      <w:r w:rsidRPr="002261B9">
        <w:rPr>
          <w:rStyle w:val="DeltaViewInsertion"/>
          <w:color w:val="auto"/>
          <w:u w:val="none"/>
          <w:lang w:val="es-ES"/>
        </w:rPr>
        <w:t xml:space="preserve"> en</w:t>
      </w:r>
      <w:r w:rsidR="00FC503E" w:rsidRPr="002261B9">
        <w:rPr>
          <w:rStyle w:val="DeltaViewInsertion"/>
          <w:color w:val="auto"/>
          <w:u w:val="none"/>
          <w:lang w:val="es-ES"/>
        </w:rPr>
        <w:t xml:space="preserve"> </w:t>
      </w:r>
      <w:r w:rsidR="002748F8" w:rsidRPr="002261B9">
        <w:rPr>
          <w:rStyle w:val="DeltaViewInsertion"/>
          <w:color w:val="auto"/>
          <w:u w:val="none"/>
          <w:lang w:val="es-ES"/>
        </w:rPr>
        <w:t>PFOA y</w:t>
      </w:r>
      <w:r w:rsidRPr="002261B9">
        <w:rPr>
          <w:rStyle w:val="DeltaViewInsertion"/>
          <w:color w:val="auto"/>
          <w:u w:val="none"/>
          <w:lang w:val="es-ES"/>
        </w:rPr>
        <w:t xml:space="preserve"> que está </w:t>
      </w:r>
      <w:r w:rsidR="002748F8" w:rsidRPr="002261B9">
        <w:rPr>
          <w:rStyle w:val="DeltaViewInsertion"/>
          <w:color w:val="auto"/>
          <w:u w:val="none"/>
          <w:lang w:val="es-ES"/>
        </w:rPr>
        <w:t>incluida</w:t>
      </w:r>
      <w:r w:rsidRPr="002261B9">
        <w:rPr>
          <w:rStyle w:val="DeltaViewInsertion"/>
          <w:color w:val="auto"/>
          <w:u w:val="none"/>
          <w:lang w:val="es-ES"/>
        </w:rPr>
        <w:t xml:space="preserve"> en la lista de </w:t>
      </w:r>
      <w:r w:rsidR="00FC503E" w:rsidRPr="002261B9">
        <w:rPr>
          <w:rStyle w:val="DeltaViewInsertion"/>
          <w:color w:val="auto"/>
          <w:u w:val="none"/>
          <w:lang w:val="es-ES"/>
        </w:rPr>
        <w:t>precursor</w:t>
      </w:r>
      <w:r w:rsidRPr="002261B9">
        <w:rPr>
          <w:rStyle w:val="DeltaViewInsertion"/>
          <w:color w:val="auto"/>
          <w:u w:val="none"/>
          <w:lang w:val="es-ES"/>
        </w:rPr>
        <w:t>e</w:t>
      </w:r>
      <w:r w:rsidR="00FC503E" w:rsidRPr="002261B9">
        <w:rPr>
          <w:rStyle w:val="DeltaViewInsertion"/>
          <w:color w:val="auto"/>
          <w:u w:val="none"/>
          <w:lang w:val="es-ES"/>
        </w:rPr>
        <w:t xml:space="preserve">s </w:t>
      </w:r>
      <w:r w:rsidRPr="002261B9">
        <w:rPr>
          <w:rStyle w:val="DeltaViewInsertion"/>
          <w:color w:val="auto"/>
          <w:u w:val="none"/>
          <w:lang w:val="es-ES"/>
        </w:rPr>
        <w:t>del</w:t>
      </w:r>
      <w:r w:rsidR="00FC503E" w:rsidRPr="002261B9">
        <w:rPr>
          <w:rStyle w:val="DeltaViewInsertion"/>
          <w:color w:val="auto"/>
          <w:u w:val="none"/>
          <w:lang w:val="es-ES"/>
        </w:rPr>
        <w:t xml:space="preserve"> PFOA (UNEP/POPS/POPRC.13/INF/6/Add.1).</w:t>
      </w:r>
      <w:bookmarkEnd w:id="67"/>
    </w:p>
    <w:p w14:paraId="21B7302D" w14:textId="77777777" w:rsidR="00321ABA" w:rsidRDefault="00321ABA">
      <w:pPr>
        <w:rPr>
          <w:rStyle w:val="DeltaViewInsertion"/>
          <w:rFonts w:eastAsia="Times New Roman"/>
          <w:color w:val="auto"/>
          <w:sz w:val="20"/>
          <w:szCs w:val="20"/>
          <w:u w:val="none"/>
          <w:lang w:val="es-ES" w:eastAsia="en-US"/>
        </w:rPr>
      </w:pPr>
      <w:r>
        <w:rPr>
          <w:rStyle w:val="DeltaViewInsertion"/>
          <w:color w:val="auto"/>
          <w:u w:val="none"/>
          <w:lang w:val="es-ES"/>
        </w:rPr>
        <w:br w:type="page"/>
      </w:r>
    </w:p>
    <w:p w14:paraId="5D2EBCC5" w14:textId="59028EBC" w:rsidR="00015E1F" w:rsidRPr="002261B9" w:rsidRDefault="00063CF3" w:rsidP="00063CF3">
      <w:pPr>
        <w:pStyle w:val="StyleHeading3h3123SecTimesNewRomanBold"/>
        <w:rPr>
          <w:lang w:val="es-ES"/>
        </w:rPr>
      </w:pPr>
      <w:r w:rsidRPr="002261B9">
        <w:rPr>
          <w:lang w:val="es-ES"/>
        </w:rPr>
        <w:lastRenderedPageBreak/>
        <w:tab/>
      </w:r>
      <w:bookmarkStart w:id="68" w:name="_Toc501099207"/>
      <w:r w:rsidR="00015E1F" w:rsidRPr="002261B9">
        <w:rPr>
          <w:lang w:val="es-ES"/>
        </w:rPr>
        <w:t>2.3.4</w:t>
      </w:r>
      <w:r w:rsidR="00015E1F" w:rsidRPr="002261B9">
        <w:rPr>
          <w:lang w:val="es-ES"/>
        </w:rPr>
        <w:tab/>
        <w:t>Resumen de alternativas</w:t>
      </w:r>
      <w:bookmarkEnd w:id="68"/>
    </w:p>
    <w:p w14:paraId="1B8BAB7A" w14:textId="522AAC2B" w:rsidR="000770E2" w:rsidRPr="002261B9" w:rsidRDefault="00672C2D" w:rsidP="00F45508">
      <w:pPr>
        <w:pStyle w:val="Paralevel1"/>
        <w:numPr>
          <w:ilvl w:val="0"/>
          <w:numId w:val="23"/>
        </w:numPr>
        <w:tabs>
          <w:tab w:val="clear" w:pos="0"/>
        </w:tabs>
        <w:ind w:left="1247" w:firstLine="0"/>
        <w:rPr>
          <w:lang w:val="es-ES"/>
        </w:rPr>
      </w:pPr>
      <w:r w:rsidRPr="002261B9">
        <w:rPr>
          <w:lang w:val="es-ES"/>
        </w:rPr>
        <w:t xml:space="preserve">En los </w:t>
      </w:r>
      <w:r w:rsidRPr="002261B9">
        <w:rPr>
          <w:rStyle w:val="DeltaViewInsertion"/>
          <w:color w:val="auto"/>
          <w:u w:val="none"/>
          <w:lang w:val="es-ES"/>
        </w:rPr>
        <w:t>párrafos</w:t>
      </w:r>
      <w:r w:rsidRPr="002261B9">
        <w:rPr>
          <w:lang w:val="es-ES"/>
        </w:rPr>
        <w:t xml:space="preserve"> </w:t>
      </w:r>
      <w:r w:rsidR="005148B3" w:rsidRPr="002261B9">
        <w:rPr>
          <w:lang w:val="es-ES"/>
        </w:rPr>
        <w:t>que siguen</w:t>
      </w:r>
      <w:r w:rsidRPr="002261B9">
        <w:rPr>
          <w:lang w:val="es-ES"/>
        </w:rPr>
        <w:t xml:space="preserve"> figura un resumen de la información sobre las alternativas descritas en las secciones</w:t>
      </w:r>
      <w:r w:rsidR="000770E2" w:rsidRPr="002261B9">
        <w:rPr>
          <w:lang w:val="es-ES"/>
        </w:rPr>
        <w:t xml:space="preserve"> 2.3.1 </w:t>
      </w:r>
      <w:r w:rsidRPr="002261B9">
        <w:rPr>
          <w:lang w:val="es-ES"/>
        </w:rPr>
        <w:t>a</w:t>
      </w:r>
      <w:r w:rsidR="000770E2" w:rsidRPr="002261B9">
        <w:rPr>
          <w:lang w:val="es-ES"/>
        </w:rPr>
        <w:t xml:space="preserve"> 2.3.3. </w:t>
      </w:r>
    </w:p>
    <w:p w14:paraId="583E359F" w14:textId="77777777" w:rsidR="00687945" w:rsidRPr="002261B9" w:rsidRDefault="00672C2D" w:rsidP="00063CF3">
      <w:pPr>
        <w:keepNext/>
        <w:spacing w:after="120"/>
        <w:ind w:left="1247"/>
        <w:rPr>
          <w:b/>
          <w:i/>
          <w:sz w:val="20"/>
          <w:szCs w:val="20"/>
          <w:lang w:val="es-ES"/>
        </w:rPr>
      </w:pPr>
      <w:r w:rsidRPr="002261B9">
        <w:rPr>
          <w:b/>
          <w:i/>
          <w:sz w:val="20"/>
          <w:szCs w:val="20"/>
          <w:lang w:val="es-ES"/>
        </w:rPr>
        <w:t>Resumen de los riesgos relacionados con las alternativas fluoradas de cadena corta</w:t>
      </w:r>
    </w:p>
    <w:p w14:paraId="5B10B6A0" w14:textId="49A92BB9" w:rsidR="003462FB" w:rsidRPr="002261B9" w:rsidRDefault="00876971" w:rsidP="00F45508">
      <w:pPr>
        <w:pStyle w:val="Paralevel1"/>
        <w:numPr>
          <w:ilvl w:val="0"/>
          <w:numId w:val="23"/>
        </w:numPr>
        <w:tabs>
          <w:tab w:val="clear" w:pos="0"/>
        </w:tabs>
        <w:ind w:left="1247" w:firstLine="0"/>
        <w:rPr>
          <w:lang w:val="es-ES"/>
        </w:rPr>
      </w:pPr>
      <w:bookmarkStart w:id="69" w:name="_Ref476905141"/>
      <w:r w:rsidRPr="002261B9">
        <w:rPr>
          <w:lang w:val="es-ES"/>
        </w:rPr>
        <w:t xml:space="preserve">Las autoridades </w:t>
      </w:r>
      <w:r w:rsidR="0083666C" w:rsidRPr="002261B9">
        <w:rPr>
          <w:lang w:val="es-ES"/>
        </w:rPr>
        <w:t>europeas</w:t>
      </w:r>
      <w:r w:rsidRPr="002261B9">
        <w:rPr>
          <w:lang w:val="es-ES"/>
        </w:rPr>
        <w:t xml:space="preserve"> se interesan cada vez más por los riesgos que entrañan para la salud y el medio ambiente los </w:t>
      </w:r>
      <w:r w:rsidR="00687945" w:rsidRPr="002261B9">
        <w:rPr>
          <w:lang w:val="es-ES"/>
        </w:rPr>
        <w:t>PFAS</w:t>
      </w:r>
      <w:r w:rsidRPr="002261B9">
        <w:rPr>
          <w:lang w:val="es-ES"/>
        </w:rPr>
        <w:t xml:space="preserve"> de cadena corta</w:t>
      </w:r>
      <w:r w:rsidR="00687945" w:rsidRPr="002261B9">
        <w:rPr>
          <w:lang w:val="es-ES"/>
        </w:rPr>
        <w:t xml:space="preserve">. </w:t>
      </w:r>
      <w:r w:rsidRPr="002261B9">
        <w:rPr>
          <w:lang w:val="es-ES"/>
        </w:rPr>
        <w:t xml:space="preserve">Ello obedece a la persistencia, la gran movilidad en el agua y el suelo y las </w:t>
      </w:r>
      <w:r w:rsidRPr="002261B9">
        <w:rPr>
          <w:rStyle w:val="DeltaViewInsertion"/>
          <w:color w:val="auto"/>
          <w:u w:val="none"/>
          <w:lang w:val="es-ES"/>
        </w:rPr>
        <w:t>posibles</w:t>
      </w:r>
      <w:r w:rsidRPr="002261B9">
        <w:rPr>
          <w:lang w:val="es-ES"/>
        </w:rPr>
        <w:t xml:space="preserve"> </w:t>
      </w:r>
      <w:r w:rsidRPr="002261B9">
        <w:rPr>
          <w:rStyle w:val="DeltaViewInsertion"/>
          <w:color w:val="auto"/>
          <w:u w:val="none"/>
          <w:lang w:val="es-ES"/>
        </w:rPr>
        <w:t>propiedades</w:t>
      </w:r>
      <w:r w:rsidRPr="002261B9">
        <w:rPr>
          <w:lang w:val="es-ES"/>
        </w:rPr>
        <w:t xml:space="preserve"> tóxicas de estas sustancias</w:t>
      </w:r>
      <w:r w:rsidR="00687945" w:rsidRPr="002261B9">
        <w:rPr>
          <w:lang w:val="es-ES"/>
        </w:rPr>
        <w:t xml:space="preserve">. </w:t>
      </w:r>
      <w:r w:rsidRPr="002261B9">
        <w:rPr>
          <w:lang w:val="es-ES"/>
        </w:rPr>
        <w:t xml:space="preserve">Pese a que algunos PFAS de cadena corta tal vez no cumplan los </w:t>
      </w:r>
      <w:r w:rsidR="005C740A" w:rsidRPr="002261B9">
        <w:rPr>
          <w:lang w:val="es-ES"/>
        </w:rPr>
        <w:t>criterios</w:t>
      </w:r>
      <w:r w:rsidRPr="002261B9">
        <w:rPr>
          <w:lang w:val="es-ES"/>
        </w:rPr>
        <w:t xml:space="preserve"> actuales de persistencia, bioacumulación y toxicidad</w:t>
      </w:r>
      <w:r w:rsidR="005C740A" w:rsidRPr="002261B9">
        <w:rPr>
          <w:lang w:val="es-ES"/>
        </w:rPr>
        <w:t>,</w:t>
      </w:r>
      <w:r w:rsidRPr="002261B9">
        <w:rPr>
          <w:lang w:val="es-ES"/>
        </w:rPr>
        <w:t xml:space="preserve"> establecidos en la legislación </w:t>
      </w:r>
      <w:r w:rsidR="002B7DA0" w:rsidRPr="002261B9">
        <w:rPr>
          <w:lang w:val="es-ES"/>
        </w:rPr>
        <w:t xml:space="preserve">REACH </w:t>
      </w:r>
      <w:r w:rsidRPr="002261B9">
        <w:rPr>
          <w:lang w:val="es-ES"/>
        </w:rPr>
        <w:t>de Europa</w:t>
      </w:r>
      <w:r w:rsidR="009B2BA0" w:rsidRPr="002261B9">
        <w:rPr>
          <w:lang w:val="es-ES"/>
        </w:rPr>
        <w:t xml:space="preserve">, </w:t>
      </w:r>
      <w:r w:rsidRPr="002261B9">
        <w:rPr>
          <w:lang w:val="es-ES"/>
        </w:rPr>
        <w:t>son sumamente persistentes, muy móviles en los sistemas acuáticos y el suelo</w:t>
      </w:r>
      <w:r w:rsidR="0083666C" w:rsidRPr="002261B9">
        <w:rPr>
          <w:lang w:val="es-ES"/>
        </w:rPr>
        <w:t>,</w:t>
      </w:r>
      <w:r w:rsidRPr="002261B9">
        <w:rPr>
          <w:lang w:val="es-ES"/>
        </w:rPr>
        <w:t xml:space="preserve"> y el aumento constante de su uso puede dar lugar </w:t>
      </w:r>
      <w:r w:rsidR="00B93A77" w:rsidRPr="002261B9">
        <w:rPr>
          <w:lang w:val="es-ES"/>
        </w:rPr>
        <w:t xml:space="preserve">a </w:t>
      </w:r>
      <w:r w:rsidRPr="002261B9">
        <w:rPr>
          <w:lang w:val="es-ES"/>
        </w:rPr>
        <w:t xml:space="preserve">una exposición constante que podría hacer abrigar </w:t>
      </w:r>
      <w:r w:rsidR="00B93A77" w:rsidRPr="002261B9">
        <w:rPr>
          <w:lang w:val="es-ES"/>
        </w:rPr>
        <w:t xml:space="preserve">temores </w:t>
      </w:r>
      <w:r w:rsidRPr="002261B9">
        <w:rPr>
          <w:lang w:val="es-ES"/>
        </w:rPr>
        <w:t>parecid</w:t>
      </w:r>
      <w:r w:rsidR="00B93A77" w:rsidRPr="002261B9">
        <w:rPr>
          <w:lang w:val="es-ES"/>
        </w:rPr>
        <w:t>o</w:t>
      </w:r>
      <w:r w:rsidRPr="002261B9">
        <w:rPr>
          <w:lang w:val="es-ES"/>
        </w:rPr>
        <w:t>s en cuanto a su bioacumulación</w:t>
      </w:r>
      <w:r w:rsidR="009B2BA0" w:rsidRPr="002261B9">
        <w:rPr>
          <w:lang w:val="es-ES"/>
        </w:rPr>
        <w:t xml:space="preserve"> (</w:t>
      </w:r>
      <w:r w:rsidR="007F0459" w:rsidRPr="002261B9">
        <w:rPr>
          <w:lang w:val="es-ES"/>
        </w:rPr>
        <w:t>Observaciones</w:t>
      </w:r>
      <w:r w:rsidR="00AD7C9F" w:rsidRPr="002261B9">
        <w:rPr>
          <w:lang w:val="es-ES"/>
        </w:rPr>
        <w:t xml:space="preserve"> de</w:t>
      </w:r>
      <w:r w:rsidRPr="002261B9">
        <w:rPr>
          <w:lang w:val="es-ES"/>
        </w:rPr>
        <w:t xml:space="preserve"> </w:t>
      </w:r>
      <w:r w:rsidR="003F3A09" w:rsidRPr="002261B9">
        <w:rPr>
          <w:lang w:val="es-ES"/>
        </w:rPr>
        <w:t>Noruega</w:t>
      </w:r>
      <w:r w:rsidR="009B2BA0" w:rsidRPr="002261B9">
        <w:rPr>
          <w:lang w:val="es-ES"/>
        </w:rPr>
        <w:t xml:space="preserve"> </w:t>
      </w:r>
      <w:r w:rsidR="0013156F" w:rsidRPr="002261B9">
        <w:rPr>
          <w:lang w:val="es-ES"/>
        </w:rPr>
        <w:t>sobre el segundo proyecto de evaluación de la gestión de los riesgos</w:t>
      </w:r>
      <w:r w:rsidR="009B2BA0" w:rsidRPr="002261B9">
        <w:rPr>
          <w:lang w:val="es-ES"/>
        </w:rPr>
        <w:t xml:space="preserve">). </w:t>
      </w:r>
      <w:r w:rsidRPr="002261B9">
        <w:rPr>
          <w:lang w:val="es-ES"/>
        </w:rPr>
        <w:t>Ya en estos momentos los PFAS de cadena corta muestran una presencia ubicua en el medio ambiente</w:t>
      </w:r>
      <w:r w:rsidR="004F1E38" w:rsidRPr="002261B9">
        <w:rPr>
          <w:lang w:val="es-ES"/>
        </w:rPr>
        <w:t xml:space="preserve">, </w:t>
      </w:r>
      <w:r w:rsidRPr="002261B9">
        <w:rPr>
          <w:lang w:val="es-ES"/>
        </w:rPr>
        <w:t xml:space="preserve">incluso en zonas </w:t>
      </w:r>
      <w:r w:rsidR="004E437C" w:rsidRPr="002261B9">
        <w:rPr>
          <w:lang w:val="es-ES"/>
        </w:rPr>
        <w:t>apartadas</w:t>
      </w:r>
      <w:r w:rsidR="004F1E38" w:rsidRPr="002261B9">
        <w:rPr>
          <w:lang w:val="es-ES"/>
        </w:rPr>
        <w:t xml:space="preserve"> (</w:t>
      </w:r>
      <w:r w:rsidR="00F13B21" w:rsidRPr="002261B9">
        <w:rPr>
          <w:lang w:val="es-ES"/>
        </w:rPr>
        <w:t>véase</w:t>
      </w:r>
      <w:r w:rsidRPr="002261B9">
        <w:rPr>
          <w:lang w:val="es-ES"/>
        </w:rPr>
        <w:t>, por ejemplo,</w:t>
      </w:r>
      <w:r w:rsidR="004F1E38" w:rsidRPr="002261B9">
        <w:rPr>
          <w:lang w:val="es-ES"/>
        </w:rPr>
        <w:t xml:space="preserve"> Zhao </w:t>
      </w:r>
      <w:r w:rsidR="003134EC" w:rsidRPr="002261B9">
        <w:rPr>
          <w:lang w:val="es-ES"/>
        </w:rPr>
        <w:t>y otros</w:t>
      </w:r>
      <w:r w:rsidR="009F32DA" w:rsidRPr="002261B9">
        <w:rPr>
          <w:lang w:val="es-ES"/>
        </w:rPr>
        <w:t>,</w:t>
      </w:r>
      <w:r w:rsidR="004F1E38" w:rsidRPr="002261B9">
        <w:rPr>
          <w:lang w:val="es-ES"/>
        </w:rPr>
        <w:t xml:space="preserve"> 2012)</w:t>
      </w:r>
      <w:r w:rsidR="00F00740" w:rsidRPr="002261B9">
        <w:rPr>
          <w:lang w:val="es-ES"/>
        </w:rPr>
        <w:t xml:space="preserve">. </w:t>
      </w:r>
    </w:p>
    <w:p w14:paraId="5B08F5E5" w14:textId="7963108B" w:rsidR="003462FB" w:rsidRPr="002261B9" w:rsidRDefault="00876971" w:rsidP="00F45508">
      <w:pPr>
        <w:pStyle w:val="Paralevel1"/>
        <w:numPr>
          <w:ilvl w:val="0"/>
          <w:numId w:val="23"/>
        </w:numPr>
        <w:tabs>
          <w:tab w:val="clear" w:pos="0"/>
        </w:tabs>
        <w:ind w:left="1247" w:firstLine="0"/>
        <w:rPr>
          <w:lang w:val="es-ES"/>
        </w:rPr>
      </w:pPr>
      <w:r w:rsidRPr="002261B9">
        <w:rPr>
          <w:lang w:val="es-ES"/>
        </w:rPr>
        <w:t>Su solubilidad en el agua</w:t>
      </w:r>
      <w:r w:rsidR="00B93A77" w:rsidRPr="002261B9">
        <w:rPr>
          <w:lang w:val="es-ES"/>
        </w:rPr>
        <w:t xml:space="preserve">, </w:t>
      </w:r>
      <w:r w:rsidR="002B44C9" w:rsidRPr="002261B9">
        <w:rPr>
          <w:lang w:val="es-ES"/>
        </w:rPr>
        <w:t>mayor</w:t>
      </w:r>
      <w:r w:rsidRPr="002261B9">
        <w:rPr>
          <w:lang w:val="es-ES"/>
        </w:rPr>
        <w:t xml:space="preserve"> que la de los PFAS de cadena larga</w:t>
      </w:r>
      <w:r w:rsidR="00B93A77" w:rsidRPr="002261B9">
        <w:rPr>
          <w:lang w:val="es-ES"/>
        </w:rPr>
        <w:t xml:space="preserve"> con</w:t>
      </w:r>
      <w:r w:rsidRPr="002261B9">
        <w:rPr>
          <w:lang w:val="es-ES"/>
        </w:rPr>
        <w:t xml:space="preserve"> cadenas de alquilos más hidrófobas, contribuye también al hecho de que algunos PFAS de cadena corta, en particular los PFCA y los PFSA de cadena corta</w:t>
      </w:r>
      <w:r w:rsidR="00E72A78" w:rsidRPr="002261B9">
        <w:rPr>
          <w:lang w:val="es-ES" w:eastAsia="en-GB"/>
        </w:rPr>
        <w:t>,</w:t>
      </w:r>
      <w:r w:rsidR="009B2BA0" w:rsidRPr="002261B9">
        <w:rPr>
          <w:lang w:val="es-ES"/>
        </w:rPr>
        <w:t xml:space="preserve"> </w:t>
      </w:r>
      <w:r w:rsidRPr="002261B9">
        <w:rPr>
          <w:lang w:val="es-ES"/>
        </w:rPr>
        <w:t>penetra</w:t>
      </w:r>
      <w:r w:rsidR="002B44C9" w:rsidRPr="002261B9">
        <w:rPr>
          <w:lang w:val="es-ES"/>
        </w:rPr>
        <w:t>n</w:t>
      </w:r>
      <w:r w:rsidRPr="002261B9">
        <w:rPr>
          <w:lang w:val="es-ES"/>
        </w:rPr>
        <w:t xml:space="preserve"> los embalses de agua potable</w:t>
      </w:r>
      <w:r w:rsidR="00F00B77" w:rsidRPr="002261B9">
        <w:rPr>
          <w:lang w:val="es-ES"/>
        </w:rPr>
        <w:t xml:space="preserve"> con</w:t>
      </w:r>
      <w:r w:rsidRPr="002261B9">
        <w:rPr>
          <w:lang w:val="es-ES"/>
        </w:rPr>
        <w:t xml:space="preserve"> más r</w:t>
      </w:r>
      <w:r w:rsidR="00F00B77" w:rsidRPr="002261B9">
        <w:rPr>
          <w:lang w:val="es-ES"/>
        </w:rPr>
        <w:t xml:space="preserve">apidez y algunos tienden a acumularse en los tejidos de plantas comestibles </w:t>
      </w:r>
      <w:r w:rsidR="00B93A77" w:rsidRPr="002261B9">
        <w:rPr>
          <w:lang w:val="es-ES"/>
        </w:rPr>
        <w:t xml:space="preserve">que son </w:t>
      </w:r>
      <w:r w:rsidR="00F00B77" w:rsidRPr="002261B9">
        <w:rPr>
          <w:lang w:val="es-ES"/>
        </w:rPr>
        <w:t>ricos en agua, como las hojas y l</w:t>
      </w:r>
      <w:r w:rsidR="00B93A77" w:rsidRPr="002261B9">
        <w:rPr>
          <w:lang w:val="es-ES"/>
        </w:rPr>
        <w:t>o</w:t>
      </w:r>
      <w:r w:rsidR="00F00B77" w:rsidRPr="002261B9">
        <w:rPr>
          <w:lang w:val="es-ES"/>
        </w:rPr>
        <w:t>s frut</w:t>
      </w:r>
      <w:r w:rsidR="00B93A77" w:rsidRPr="002261B9">
        <w:rPr>
          <w:lang w:val="es-ES"/>
        </w:rPr>
        <w:t>o</w:t>
      </w:r>
      <w:r w:rsidR="00F00B77" w:rsidRPr="002261B9">
        <w:rPr>
          <w:lang w:val="es-ES"/>
        </w:rPr>
        <w:t>s</w:t>
      </w:r>
      <w:r w:rsidR="009B2BA0" w:rsidRPr="002261B9">
        <w:rPr>
          <w:lang w:val="es-ES"/>
        </w:rPr>
        <w:t xml:space="preserve">. </w:t>
      </w:r>
      <w:r w:rsidR="00F00B77" w:rsidRPr="002261B9">
        <w:rPr>
          <w:lang w:val="es-ES"/>
        </w:rPr>
        <w:t xml:space="preserve">Su </w:t>
      </w:r>
      <w:r w:rsidR="00F00B77" w:rsidRPr="002261B9">
        <w:rPr>
          <w:rStyle w:val="DeltaViewInsertion"/>
          <w:color w:val="auto"/>
          <w:u w:val="none"/>
          <w:lang w:val="es-ES"/>
        </w:rPr>
        <w:t>presencia</w:t>
      </w:r>
      <w:r w:rsidR="00F00B77" w:rsidRPr="002261B9">
        <w:rPr>
          <w:lang w:val="es-ES"/>
        </w:rPr>
        <w:t xml:space="preserve"> en las aguas subterráneas y el agua potable podría dar lugar a una exposición constante de los organismos a </w:t>
      </w:r>
      <w:r w:rsidR="002B44C9" w:rsidRPr="002261B9">
        <w:rPr>
          <w:lang w:val="es-ES"/>
        </w:rPr>
        <w:t>determinado</w:t>
      </w:r>
      <w:r w:rsidR="00F00B77" w:rsidRPr="002261B9">
        <w:rPr>
          <w:lang w:val="es-ES"/>
        </w:rPr>
        <w:t>s PFAS de cadena corta</w:t>
      </w:r>
      <w:r w:rsidR="009B2BA0" w:rsidRPr="002261B9">
        <w:rPr>
          <w:lang w:val="es-ES"/>
        </w:rPr>
        <w:t xml:space="preserve">, </w:t>
      </w:r>
      <w:r w:rsidR="002B44C9" w:rsidRPr="002261B9">
        <w:rPr>
          <w:lang w:val="es-ES"/>
        </w:rPr>
        <w:t xml:space="preserve">que en estos momentos todavía </w:t>
      </w:r>
      <w:r w:rsidR="00F00B77" w:rsidRPr="002261B9">
        <w:rPr>
          <w:lang w:val="es-ES"/>
        </w:rPr>
        <w:t>se encuentran en un nivel relativamente bajo</w:t>
      </w:r>
      <w:r w:rsidR="009B2BA0" w:rsidRPr="002261B9">
        <w:rPr>
          <w:lang w:val="es-ES"/>
        </w:rPr>
        <w:t>,</w:t>
      </w:r>
      <w:r w:rsidR="00F00B77" w:rsidRPr="002261B9">
        <w:rPr>
          <w:lang w:val="es-ES"/>
        </w:rPr>
        <w:t xml:space="preserve"> pero dad</w:t>
      </w:r>
      <w:r w:rsidR="004835E6" w:rsidRPr="002261B9">
        <w:rPr>
          <w:lang w:val="es-ES"/>
        </w:rPr>
        <w:t>a</w:t>
      </w:r>
      <w:r w:rsidR="00F00B77" w:rsidRPr="002261B9">
        <w:rPr>
          <w:lang w:val="es-ES"/>
        </w:rPr>
        <w:t xml:space="preserve"> la gran persistencia y el uso creciente de estas sustancias</w:t>
      </w:r>
      <w:r w:rsidR="00B93A77" w:rsidRPr="002261B9">
        <w:rPr>
          <w:lang w:val="es-ES"/>
        </w:rPr>
        <w:t>,</w:t>
      </w:r>
      <w:r w:rsidR="00F00B77" w:rsidRPr="002261B9">
        <w:rPr>
          <w:lang w:val="es-ES"/>
        </w:rPr>
        <w:t xml:space="preserve"> cabe esperar un aumento temporal de las concentraciones en el medio ambiente.</w:t>
      </w:r>
      <w:r w:rsidR="00284890" w:rsidRPr="002261B9">
        <w:rPr>
          <w:lang w:val="es-ES"/>
        </w:rPr>
        <w:t xml:space="preserve"> </w:t>
      </w:r>
      <w:r w:rsidR="00F00B77" w:rsidRPr="002261B9">
        <w:rPr>
          <w:lang w:val="es-ES"/>
        </w:rPr>
        <w:t xml:space="preserve">Esto cobra más validez en vista de que no </w:t>
      </w:r>
      <w:r w:rsidR="00B93A77" w:rsidRPr="002261B9">
        <w:rPr>
          <w:lang w:val="es-ES"/>
        </w:rPr>
        <w:t xml:space="preserve">hay manera eficaz de </w:t>
      </w:r>
      <w:r w:rsidR="00F00B77" w:rsidRPr="002261B9">
        <w:rPr>
          <w:lang w:val="es-ES"/>
        </w:rPr>
        <w:t xml:space="preserve">lograr </w:t>
      </w:r>
      <w:r w:rsidR="00B93A77" w:rsidRPr="002261B9">
        <w:rPr>
          <w:lang w:val="es-ES"/>
        </w:rPr>
        <w:t>eliminar de</w:t>
      </w:r>
      <w:r w:rsidR="00F00B77" w:rsidRPr="002261B9">
        <w:rPr>
          <w:lang w:val="es-ES"/>
        </w:rPr>
        <w:t>l agua los PFAS de cadena corta</w:t>
      </w:r>
      <w:r w:rsidR="009B2BA0" w:rsidRPr="002261B9">
        <w:rPr>
          <w:lang w:val="es-ES"/>
        </w:rPr>
        <w:t xml:space="preserve">, </w:t>
      </w:r>
      <w:r w:rsidR="00F00B77" w:rsidRPr="002261B9">
        <w:rPr>
          <w:lang w:val="es-ES"/>
        </w:rPr>
        <w:t>ni siquiera con las costosas tecnologías modernas</w:t>
      </w:r>
      <w:r w:rsidR="009B2BA0" w:rsidRPr="002261B9">
        <w:rPr>
          <w:lang w:val="es-ES"/>
        </w:rPr>
        <w:t xml:space="preserve"> (</w:t>
      </w:r>
      <w:r w:rsidR="00F00B77" w:rsidRPr="002261B9">
        <w:rPr>
          <w:lang w:val="es-ES"/>
        </w:rPr>
        <w:t>por ejemplo, usando carb</w:t>
      </w:r>
      <w:r w:rsidR="00E070E6" w:rsidRPr="002261B9">
        <w:rPr>
          <w:lang w:val="es-ES"/>
        </w:rPr>
        <w:t>ó</w:t>
      </w:r>
      <w:r w:rsidR="00F00B77" w:rsidRPr="002261B9">
        <w:rPr>
          <w:lang w:val="es-ES"/>
        </w:rPr>
        <w:t>n gra</w:t>
      </w:r>
      <w:r w:rsidR="00321ABA">
        <w:rPr>
          <w:lang w:val="es-ES"/>
        </w:rPr>
        <w:t>nular activado </w:t>
      </w:r>
      <w:r w:rsidR="00F00B77" w:rsidRPr="002261B9">
        <w:rPr>
          <w:lang w:val="es-ES"/>
        </w:rPr>
        <w:t xml:space="preserve">o </w:t>
      </w:r>
      <w:r w:rsidR="009B2BA0" w:rsidRPr="002261B9">
        <w:rPr>
          <w:lang w:val="es-ES"/>
        </w:rPr>
        <w:t>nanofiltra</w:t>
      </w:r>
      <w:r w:rsidRPr="002261B9">
        <w:rPr>
          <w:lang w:val="es-ES"/>
        </w:rPr>
        <w:t>ción</w:t>
      </w:r>
      <w:r w:rsidR="009B2BA0" w:rsidRPr="002261B9">
        <w:rPr>
          <w:lang w:val="es-ES"/>
        </w:rPr>
        <w:t xml:space="preserve">), </w:t>
      </w:r>
      <w:r w:rsidRPr="002261B9">
        <w:rPr>
          <w:lang w:val="es-ES"/>
        </w:rPr>
        <w:t>debido a su bajo potencial de adsorción</w:t>
      </w:r>
      <w:r w:rsidR="009B2BA0" w:rsidRPr="002261B9">
        <w:rPr>
          <w:lang w:val="es-ES"/>
        </w:rPr>
        <w:t xml:space="preserve"> (</w:t>
      </w:r>
      <w:r w:rsidR="00F13B21" w:rsidRPr="002261B9">
        <w:rPr>
          <w:lang w:val="es-ES"/>
        </w:rPr>
        <w:t>véase</w:t>
      </w:r>
      <w:r w:rsidR="009B2BA0" w:rsidRPr="002261B9">
        <w:rPr>
          <w:lang w:val="es-ES"/>
        </w:rPr>
        <w:t xml:space="preserve"> </w:t>
      </w:r>
      <w:r w:rsidR="00A70E0C" w:rsidRPr="002261B9">
        <w:rPr>
          <w:lang w:val="es-ES"/>
        </w:rPr>
        <w:t xml:space="preserve">Agencia </w:t>
      </w:r>
      <w:r w:rsidR="00321ABA">
        <w:rPr>
          <w:lang w:val="es-ES"/>
        </w:rPr>
        <w:t>Alemana para el Medio </w:t>
      </w:r>
      <w:r w:rsidR="007A3F0F" w:rsidRPr="002261B9">
        <w:rPr>
          <w:lang w:val="es-ES"/>
        </w:rPr>
        <w:t>Ambiente</w:t>
      </w:r>
      <w:r w:rsidR="009F32DA" w:rsidRPr="002261B9">
        <w:rPr>
          <w:lang w:val="es-ES"/>
        </w:rPr>
        <w:t>,</w:t>
      </w:r>
      <w:r w:rsidR="009B2BA0" w:rsidRPr="002261B9">
        <w:rPr>
          <w:lang w:val="es-ES"/>
        </w:rPr>
        <w:t xml:space="preserve"> 2016b</w:t>
      </w:r>
      <w:r w:rsidR="004835E6" w:rsidRPr="002261B9">
        <w:rPr>
          <w:lang w:val="es-ES"/>
        </w:rPr>
        <w:t>)</w:t>
      </w:r>
      <w:r w:rsidR="009B2BA0" w:rsidRPr="002261B9">
        <w:rPr>
          <w:lang w:val="es-ES"/>
        </w:rPr>
        <w:t>.</w:t>
      </w:r>
      <w:r w:rsidR="009114EB" w:rsidRPr="002261B9">
        <w:rPr>
          <w:lang w:val="es-ES"/>
        </w:rPr>
        <w:t xml:space="preserve"> </w:t>
      </w:r>
    </w:p>
    <w:p w14:paraId="659BE77B" w14:textId="2564ED87" w:rsidR="00687945" w:rsidRPr="002261B9" w:rsidRDefault="00F00B77" w:rsidP="00F45508">
      <w:pPr>
        <w:pStyle w:val="Paralevel1"/>
        <w:numPr>
          <w:ilvl w:val="0"/>
          <w:numId w:val="23"/>
        </w:numPr>
        <w:tabs>
          <w:tab w:val="clear" w:pos="0"/>
        </w:tabs>
        <w:ind w:left="1247" w:firstLine="0"/>
        <w:rPr>
          <w:lang w:val="es-ES"/>
        </w:rPr>
      </w:pPr>
      <w:r w:rsidRPr="002261B9">
        <w:rPr>
          <w:lang w:val="es-ES"/>
        </w:rPr>
        <w:t xml:space="preserve">Cabe señalar que </w:t>
      </w:r>
      <w:r w:rsidR="00E62EF8" w:rsidRPr="002261B9">
        <w:rPr>
          <w:lang w:val="es-ES"/>
        </w:rPr>
        <w:t>Alemania</w:t>
      </w:r>
      <w:r w:rsidR="00D43D1B" w:rsidRPr="002261B9">
        <w:rPr>
          <w:lang w:val="es-ES"/>
        </w:rPr>
        <w:t xml:space="preserve"> </w:t>
      </w:r>
      <w:r w:rsidRPr="002261B9">
        <w:rPr>
          <w:lang w:val="es-ES"/>
        </w:rPr>
        <w:t xml:space="preserve">está proponiendo </w:t>
      </w:r>
      <w:r w:rsidR="00E070E6" w:rsidRPr="002261B9">
        <w:rPr>
          <w:lang w:val="es-ES"/>
        </w:rPr>
        <w:t xml:space="preserve">que se clasifiquen las sustancias que tengan propiedades relacionadas con la movilidad y la persistencia como sustancias </w:t>
      </w:r>
      <w:r w:rsidR="00A70E0C" w:rsidRPr="002261B9">
        <w:rPr>
          <w:lang w:val="es-ES"/>
        </w:rPr>
        <w:t>que suscitan gran preocupación</w:t>
      </w:r>
      <w:r w:rsidR="00B93A77" w:rsidRPr="002261B9">
        <w:rPr>
          <w:lang w:val="es-ES"/>
        </w:rPr>
        <w:t>,</w:t>
      </w:r>
      <w:r w:rsidR="00A70E0C" w:rsidRPr="002261B9">
        <w:rPr>
          <w:lang w:val="es-ES"/>
        </w:rPr>
        <w:t xml:space="preserve"> </w:t>
      </w:r>
      <w:r w:rsidR="004835E6" w:rsidRPr="002261B9">
        <w:rPr>
          <w:lang w:val="es-ES"/>
        </w:rPr>
        <w:t>de conformidad con</w:t>
      </w:r>
      <w:r w:rsidR="002748F8" w:rsidRPr="002261B9">
        <w:rPr>
          <w:lang w:val="es-ES"/>
        </w:rPr>
        <w:t xml:space="preserve"> </w:t>
      </w:r>
      <w:r w:rsidR="00A70E0C" w:rsidRPr="002261B9">
        <w:rPr>
          <w:lang w:val="es-ES"/>
        </w:rPr>
        <w:t xml:space="preserve">REACH, </w:t>
      </w:r>
      <w:r w:rsidR="00E070E6" w:rsidRPr="002261B9">
        <w:rPr>
          <w:lang w:val="es-ES"/>
        </w:rPr>
        <w:t xml:space="preserve">de la misma manera que las sustancias que son </w:t>
      </w:r>
      <w:r w:rsidR="00B93A77" w:rsidRPr="002261B9">
        <w:rPr>
          <w:lang w:val="es-ES"/>
        </w:rPr>
        <w:t>sumamente</w:t>
      </w:r>
      <w:r w:rsidR="00E070E6" w:rsidRPr="002261B9">
        <w:rPr>
          <w:lang w:val="es-ES"/>
        </w:rPr>
        <w:t xml:space="preserve"> persistentes y</w:t>
      </w:r>
      <w:r w:rsidR="00D43D1B" w:rsidRPr="002261B9">
        <w:rPr>
          <w:lang w:val="es-ES"/>
        </w:rPr>
        <w:t xml:space="preserve"> </w:t>
      </w:r>
      <w:r w:rsidR="00B93A77" w:rsidRPr="002261B9">
        <w:rPr>
          <w:lang w:val="es-ES"/>
        </w:rPr>
        <w:t>sumamente</w:t>
      </w:r>
      <w:r w:rsidR="00E070E6" w:rsidRPr="002261B9">
        <w:rPr>
          <w:lang w:val="es-ES"/>
        </w:rPr>
        <w:t xml:space="preserve"> bioacumulativas</w:t>
      </w:r>
      <w:r w:rsidR="00380952" w:rsidRPr="002261B9">
        <w:rPr>
          <w:lang w:val="es-ES"/>
        </w:rPr>
        <w:t xml:space="preserve"> </w:t>
      </w:r>
      <w:r w:rsidR="00D43D1B" w:rsidRPr="002261B9">
        <w:rPr>
          <w:lang w:val="es-ES"/>
        </w:rPr>
        <w:t>(</w:t>
      </w:r>
      <w:r w:rsidR="00F13B21" w:rsidRPr="002261B9">
        <w:rPr>
          <w:lang w:val="es-ES"/>
        </w:rPr>
        <w:t>véase</w:t>
      </w:r>
      <w:r w:rsidR="00D43D1B" w:rsidRPr="002261B9">
        <w:rPr>
          <w:lang w:val="es-ES"/>
        </w:rPr>
        <w:t xml:space="preserve"> </w:t>
      </w:r>
      <w:r w:rsidR="00A70E0C" w:rsidRPr="002261B9">
        <w:rPr>
          <w:lang w:val="es-ES"/>
        </w:rPr>
        <w:t xml:space="preserve">Agencia </w:t>
      </w:r>
      <w:r w:rsidR="007A3F0F" w:rsidRPr="002261B9">
        <w:rPr>
          <w:lang w:val="es-ES"/>
        </w:rPr>
        <w:t xml:space="preserve">Alemana para el </w:t>
      </w:r>
      <w:r w:rsidR="00A70E0C" w:rsidRPr="002261B9">
        <w:rPr>
          <w:lang w:val="es-ES"/>
        </w:rPr>
        <w:t>Medio Ambiente</w:t>
      </w:r>
      <w:r w:rsidR="009F32DA" w:rsidRPr="002261B9">
        <w:rPr>
          <w:lang w:val="es-ES"/>
        </w:rPr>
        <w:t>,</w:t>
      </w:r>
      <w:r w:rsidR="00D43D1B" w:rsidRPr="002261B9">
        <w:rPr>
          <w:lang w:val="es-ES"/>
        </w:rPr>
        <w:t xml:space="preserve"> 2017). </w:t>
      </w:r>
      <w:r w:rsidR="00B91F3C" w:rsidRPr="002261B9">
        <w:rPr>
          <w:lang w:val="es-ES"/>
        </w:rPr>
        <w:t xml:space="preserve">Como se explica en el </w:t>
      </w:r>
      <w:r w:rsidR="004835E6" w:rsidRPr="002261B9">
        <w:rPr>
          <w:lang w:val="es-ES"/>
        </w:rPr>
        <w:t>epígrafe</w:t>
      </w:r>
      <w:r w:rsidR="00687945" w:rsidRPr="002261B9">
        <w:rPr>
          <w:lang w:val="es-ES"/>
        </w:rPr>
        <w:t xml:space="preserve"> 2.3.2</w:t>
      </w:r>
      <w:r w:rsidR="00E070E6" w:rsidRPr="002261B9">
        <w:rPr>
          <w:lang w:val="es-ES"/>
        </w:rPr>
        <w:t>, estas sustancia</w:t>
      </w:r>
      <w:r w:rsidR="00321ABA">
        <w:rPr>
          <w:lang w:val="es-ES"/>
        </w:rPr>
        <w:t>s se consideran alternativas al </w:t>
      </w:r>
      <w:r w:rsidR="00687945" w:rsidRPr="002261B9">
        <w:rPr>
          <w:lang w:val="es-ES"/>
        </w:rPr>
        <w:t xml:space="preserve">PFOA </w:t>
      </w:r>
      <w:r w:rsidR="00E070E6" w:rsidRPr="002261B9">
        <w:rPr>
          <w:lang w:val="es-ES"/>
        </w:rPr>
        <w:t>en el caso de varias aplicaciones</w:t>
      </w:r>
      <w:r w:rsidR="00687945" w:rsidRPr="002261B9">
        <w:rPr>
          <w:lang w:val="es-ES"/>
        </w:rPr>
        <w:t xml:space="preserve"> (</w:t>
      </w:r>
      <w:r w:rsidR="00E070E6" w:rsidRPr="002261B9">
        <w:rPr>
          <w:lang w:val="es-ES"/>
        </w:rPr>
        <w:t>por ejemplo, el sector textil</w:t>
      </w:r>
      <w:r w:rsidR="00687945" w:rsidRPr="002261B9">
        <w:rPr>
          <w:lang w:val="es-ES"/>
        </w:rPr>
        <w:t xml:space="preserve">, </w:t>
      </w:r>
      <w:r w:rsidR="00E070E6" w:rsidRPr="002261B9">
        <w:rPr>
          <w:lang w:val="es-ES"/>
        </w:rPr>
        <w:t>las espumas ignífugas</w:t>
      </w:r>
      <w:r w:rsidR="00687945" w:rsidRPr="002261B9">
        <w:rPr>
          <w:lang w:val="es-ES"/>
        </w:rPr>
        <w:t xml:space="preserve">, </w:t>
      </w:r>
      <w:r w:rsidR="00E070E6" w:rsidRPr="002261B9">
        <w:rPr>
          <w:lang w:val="es-ES"/>
        </w:rPr>
        <w:t>el papel y los envases de alimentos</w:t>
      </w:r>
      <w:r w:rsidR="00687945" w:rsidRPr="002261B9">
        <w:rPr>
          <w:lang w:val="es-ES"/>
        </w:rPr>
        <w:t xml:space="preserve">). </w:t>
      </w:r>
      <w:r w:rsidR="00E070E6" w:rsidRPr="002261B9">
        <w:rPr>
          <w:lang w:val="es-ES"/>
        </w:rPr>
        <w:t>A menudo, estas alternativas de cadena corta son menos eficaces y hay que usar cantidades mayores. Estos datos sugieren que se puede c</w:t>
      </w:r>
      <w:r w:rsidR="00B93A77" w:rsidRPr="002261B9">
        <w:rPr>
          <w:lang w:val="es-ES"/>
        </w:rPr>
        <w:t>onsiderar una</w:t>
      </w:r>
      <w:r w:rsidR="00E070E6" w:rsidRPr="002261B9">
        <w:rPr>
          <w:lang w:val="es-ES"/>
        </w:rPr>
        <w:t xml:space="preserve"> sustitución lamentable</w:t>
      </w:r>
      <w:r w:rsidR="00B93A77" w:rsidRPr="002261B9">
        <w:rPr>
          <w:lang w:val="es-ES"/>
        </w:rPr>
        <w:t>,</w:t>
      </w:r>
      <w:r w:rsidR="00E070E6" w:rsidRPr="002261B9">
        <w:rPr>
          <w:lang w:val="es-ES"/>
        </w:rPr>
        <w:t xml:space="preserve"> la sustitución del </w:t>
      </w:r>
      <w:r w:rsidR="00687945" w:rsidRPr="002261B9">
        <w:rPr>
          <w:lang w:val="es-ES"/>
        </w:rPr>
        <w:t xml:space="preserve">PFOA, </w:t>
      </w:r>
      <w:r w:rsidR="00E64629" w:rsidRPr="002261B9">
        <w:rPr>
          <w:lang w:val="es-ES"/>
        </w:rPr>
        <w:t>sus sales y</w:t>
      </w:r>
      <w:r w:rsidR="00687945" w:rsidRPr="002261B9">
        <w:rPr>
          <w:lang w:val="es-ES"/>
        </w:rPr>
        <w:t xml:space="preserve"> </w:t>
      </w:r>
      <w:r w:rsidR="00E070E6" w:rsidRPr="002261B9">
        <w:rPr>
          <w:lang w:val="es-ES"/>
        </w:rPr>
        <w:t>compuestos conexos de sustancias fluoradas de cadena corta</w:t>
      </w:r>
      <w:r w:rsidR="00687945" w:rsidRPr="002261B9">
        <w:rPr>
          <w:lang w:val="es-ES"/>
        </w:rPr>
        <w:t>.</w:t>
      </w:r>
      <w:bookmarkEnd w:id="69"/>
    </w:p>
    <w:p w14:paraId="290C47E8" w14:textId="17192D2D" w:rsidR="00C75F13" w:rsidRPr="002261B9" w:rsidRDefault="00C75F13" w:rsidP="00F45508">
      <w:pPr>
        <w:pStyle w:val="Paralevel1"/>
        <w:numPr>
          <w:ilvl w:val="0"/>
          <w:numId w:val="23"/>
        </w:numPr>
        <w:tabs>
          <w:tab w:val="clear" w:pos="0"/>
        </w:tabs>
        <w:ind w:left="1247" w:firstLine="0"/>
        <w:rPr>
          <w:lang w:val="es-ES"/>
        </w:rPr>
      </w:pPr>
      <w:r w:rsidRPr="002261B9">
        <w:rPr>
          <w:lang w:val="es-ES"/>
        </w:rPr>
        <w:t xml:space="preserve">En este contexto, cabe señalar que la contaminación con PFAS de cadena corta es una carga onerosa para la comunidad/sociedad. En Alemania más de 450 </w:t>
      </w:r>
      <w:r w:rsidR="00930AE1" w:rsidRPr="002261B9">
        <w:rPr>
          <w:lang w:val="es-ES"/>
        </w:rPr>
        <w:t>hectáreas</w:t>
      </w:r>
      <w:r w:rsidRPr="002261B9">
        <w:rPr>
          <w:lang w:val="es-ES"/>
        </w:rPr>
        <w:t xml:space="preserve"> de tierras agrícolas quedaron contaminadas con PFAS muy probablemente debido a la mezcla de detritus de papel con compost. Se ha encontrado PFAS en elevadas concentraciones en el suelo y las aguas subterráneas. Los PFAS de cadena corta son los principal</w:t>
      </w:r>
      <w:r w:rsidR="00F6593B" w:rsidRPr="002261B9">
        <w:rPr>
          <w:lang w:val="es-ES"/>
        </w:rPr>
        <w:t>e</w:t>
      </w:r>
      <w:r w:rsidRPr="002261B9">
        <w:rPr>
          <w:lang w:val="es-ES"/>
        </w:rPr>
        <w:t>s contaminantes de esa zona. Como consecuencia, hubo que cerrar dos pozos de agua potable</w:t>
      </w:r>
      <w:r w:rsidR="008D40AB" w:rsidRPr="002261B9">
        <w:rPr>
          <w:lang w:val="es-ES"/>
        </w:rPr>
        <w:t xml:space="preserve">. Debido a que las partes comestibles de las plantas pueden absorber </w:t>
      </w:r>
      <w:r w:rsidR="00F6593B" w:rsidRPr="002261B9">
        <w:rPr>
          <w:lang w:val="es-ES"/>
        </w:rPr>
        <w:t>PFAS de cadena corta y a que se han detectado niveles elevados de PFAS de cadena corta en l</w:t>
      </w:r>
      <w:r w:rsidR="008D40AB" w:rsidRPr="002261B9">
        <w:rPr>
          <w:lang w:val="es-ES"/>
        </w:rPr>
        <w:t>o</w:t>
      </w:r>
      <w:r w:rsidR="00F6593B" w:rsidRPr="002261B9">
        <w:rPr>
          <w:lang w:val="es-ES"/>
        </w:rPr>
        <w:t>s c</w:t>
      </w:r>
      <w:r w:rsidR="008D40AB" w:rsidRPr="002261B9">
        <w:rPr>
          <w:lang w:val="es-ES"/>
        </w:rPr>
        <w:t>ultivos</w:t>
      </w:r>
      <w:r w:rsidRPr="002261B9">
        <w:rPr>
          <w:lang w:val="es-ES"/>
        </w:rPr>
        <w:t xml:space="preserve">, </w:t>
      </w:r>
      <w:r w:rsidR="00F6593B" w:rsidRPr="002261B9">
        <w:rPr>
          <w:lang w:val="es-ES"/>
        </w:rPr>
        <w:t>antes de la cosecha hay que analizar los niveles de PFAS en esta zona</w:t>
      </w:r>
      <w:r w:rsidRPr="002261B9">
        <w:rPr>
          <w:lang w:val="es-ES"/>
        </w:rPr>
        <w:t xml:space="preserve">. </w:t>
      </w:r>
      <w:r w:rsidR="0090732E" w:rsidRPr="002261B9">
        <w:rPr>
          <w:lang w:val="es-ES"/>
        </w:rPr>
        <w:t>Solo pueden cultivarse productos que no enriquezcan el PFAS y l</w:t>
      </w:r>
      <w:r w:rsidR="008D40AB" w:rsidRPr="002261B9">
        <w:rPr>
          <w:lang w:val="es-ES"/>
        </w:rPr>
        <w:t>o</w:t>
      </w:r>
      <w:r w:rsidR="0090732E" w:rsidRPr="002261B9">
        <w:rPr>
          <w:lang w:val="es-ES"/>
        </w:rPr>
        <w:t>s c</w:t>
      </w:r>
      <w:r w:rsidR="008D40AB" w:rsidRPr="002261B9">
        <w:rPr>
          <w:lang w:val="es-ES"/>
        </w:rPr>
        <w:t>ultivos</w:t>
      </w:r>
      <w:r w:rsidR="0090732E" w:rsidRPr="002261B9">
        <w:rPr>
          <w:lang w:val="es-ES"/>
        </w:rPr>
        <w:t xml:space="preserve"> que muestren niveles elevados de PFAS de cadena corta no p</w:t>
      </w:r>
      <w:r w:rsidR="008D40AB" w:rsidRPr="002261B9">
        <w:rPr>
          <w:lang w:val="es-ES"/>
        </w:rPr>
        <w:t xml:space="preserve">odrán </w:t>
      </w:r>
      <w:r w:rsidR="0090732E" w:rsidRPr="002261B9">
        <w:rPr>
          <w:lang w:val="es-ES"/>
        </w:rPr>
        <w:t>ser consumid</w:t>
      </w:r>
      <w:r w:rsidR="008D40AB" w:rsidRPr="002261B9">
        <w:rPr>
          <w:lang w:val="es-ES"/>
        </w:rPr>
        <w:t>o</w:t>
      </w:r>
      <w:r w:rsidR="0090732E" w:rsidRPr="002261B9">
        <w:rPr>
          <w:lang w:val="es-ES"/>
        </w:rPr>
        <w:t>s por los seres humanos ni usad</w:t>
      </w:r>
      <w:r w:rsidR="008D40AB" w:rsidRPr="002261B9">
        <w:rPr>
          <w:lang w:val="es-ES"/>
        </w:rPr>
        <w:t>o</w:t>
      </w:r>
      <w:r w:rsidR="0090732E" w:rsidRPr="002261B9">
        <w:rPr>
          <w:lang w:val="es-ES"/>
        </w:rPr>
        <w:t>s como pienso.</w:t>
      </w:r>
      <w:r w:rsidRPr="002261B9">
        <w:rPr>
          <w:lang w:val="es-ES"/>
        </w:rPr>
        <w:t xml:space="preserve"> </w:t>
      </w:r>
      <w:r w:rsidR="00F6593B" w:rsidRPr="002261B9">
        <w:rPr>
          <w:lang w:val="es-ES"/>
        </w:rPr>
        <w:t xml:space="preserve">Todavía no se ha hallado una solución </w:t>
      </w:r>
      <w:r w:rsidR="0057533C" w:rsidRPr="002261B9">
        <w:rPr>
          <w:lang w:val="es-ES"/>
        </w:rPr>
        <w:t>para</w:t>
      </w:r>
      <w:r w:rsidR="00F6593B" w:rsidRPr="002261B9">
        <w:rPr>
          <w:lang w:val="es-ES"/>
        </w:rPr>
        <w:t xml:space="preserve"> purificar el suelo o evitar que el PFAS de cadena corta </w:t>
      </w:r>
      <w:r w:rsidR="008D40AB" w:rsidRPr="002261B9">
        <w:rPr>
          <w:lang w:val="es-ES"/>
        </w:rPr>
        <w:t>contamine</w:t>
      </w:r>
      <w:r w:rsidR="00F6593B" w:rsidRPr="002261B9">
        <w:rPr>
          <w:lang w:val="es-ES"/>
        </w:rPr>
        <w:t xml:space="preserve"> las aguas subterráneas</w:t>
      </w:r>
      <w:r w:rsidRPr="002261B9">
        <w:rPr>
          <w:lang w:val="es-ES"/>
        </w:rPr>
        <w:t xml:space="preserve">. </w:t>
      </w:r>
      <w:r w:rsidR="00F6593B" w:rsidRPr="002261B9">
        <w:rPr>
          <w:lang w:val="es-ES"/>
        </w:rPr>
        <w:t>Debido a que la superficie contaminada es muy extensa, no parece apropiado excavar</w:t>
      </w:r>
      <w:r w:rsidRPr="002261B9">
        <w:rPr>
          <w:lang w:val="es-ES"/>
        </w:rPr>
        <w:t xml:space="preserve">. </w:t>
      </w:r>
      <w:r w:rsidR="00F6593B" w:rsidRPr="002261B9">
        <w:rPr>
          <w:lang w:val="es-ES"/>
        </w:rPr>
        <w:t>Las consecuencias generales para los habitantes, el público en general y los campesinos son inmensas</w:t>
      </w:r>
      <w:r w:rsidRPr="002261B9">
        <w:rPr>
          <w:lang w:val="es-ES"/>
        </w:rPr>
        <w:t>.</w:t>
      </w:r>
      <w:r w:rsidR="00284890" w:rsidRPr="002261B9">
        <w:rPr>
          <w:lang w:val="es-ES"/>
        </w:rPr>
        <w:t xml:space="preserve"> </w:t>
      </w:r>
      <w:r w:rsidR="00F6593B" w:rsidRPr="002261B9">
        <w:rPr>
          <w:lang w:val="es-ES"/>
        </w:rPr>
        <w:t xml:space="preserve">Los costos de </w:t>
      </w:r>
      <w:r w:rsidR="002B44C9" w:rsidRPr="002261B9">
        <w:rPr>
          <w:lang w:val="es-ES"/>
        </w:rPr>
        <w:t xml:space="preserve">la </w:t>
      </w:r>
      <w:r w:rsidR="00F6593B" w:rsidRPr="002261B9">
        <w:rPr>
          <w:lang w:val="es-ES"/>
        </w:rPr>
        <w:t xml:space="preserve">descontaminación y purificación del agua y </w:t>
      </w:r>
      <w:r w:rsidR="002B44C9" w:rsidRPr="002261B9">
        <w:rPr>
          <w:lang w:val="es-ES"/>
        </w:rPr>
        <w:t>d</w:t>
      </w:r>
      <w:r w:rsidR="00F6593B" w:rsidRPr="002261B9">
        <w:rPr>
          <w:lang w:val="es-ES"/>
        </w:rPr>
        <w:t>el abastecimiento de agua potable libre de impurezas son elevados</w:t>
      </w:r>
      <w:r w:rsidRPr="002261B9">
        <w:rPr>
          <w:vertAlign w:val="superscript"/>
          <w:lang w:val="es-ES"/>
        </w:rPr>
        <w:footnoteReference w:id="26"/>
      </w:r>
      <w:r w:rsidR="00F6593B" w:rsidRPr="002261B9">
        <w:rPr>
          <w:lang w:val="es-ES"/>
        </w:rPr>
        <w:t>.</w:t>
      </w:r>
      <w:r w:rsidRPr="002261B9">
        <w:rPr>
          <w:lang w:val="es-ES"/>
        </w:rPr>
        <w:t xml:space="preserve"> </w:t>
      </w:r>
      <w:r w:rsidR="00F6593B" w:rsidRPr="002261B9">
        <w:rPr>
          <w:lang w:val="es-ES"/>
        </w:rPr>
        <w:t xml:space="preserve">La empresa local de abastecimiento de agua </w:t>
      </w:r>
      <w:r w:rsidRPr="002261B9">
        <w:rPr>
          <w:lang w:val="es-ES"/>
        </w:rPr>
        <w:t>ha</w:t>
      </w:r>
      <w:r w:rsidR="00F6593B" w:rsidRPr="002261B9">
        <w:rPr>
          <w:lang w:val="es-ES"/>
        </w:rPr>
        <w:t xml:space="preserve"> invertido tres millones de euros durante los dos últimos años </w:t>
      </w:r>
      <w:r w:rsidR="002B44C9" w:rsidRPr="002261B9">
        <w:rPr>
          <w:lang w:val="es-ES"/>
        </w:rPr>
        <w:t>con miras a</w:t>
      </w:r>
      <w:r w:rsidR="00F6593B" w:rsidRPr="002261B9">
        <w:rPr>
          <w:lang w:val="es-ES"/>
        </w:rPr>
        <w:t>l abastecimiento de agua potable libre de impureza</w:t>
      </w:r>
      <w:r w:rsidRPr="002261B9">
        <w:rPr>
          <w:lang w:val="es-ES"/>
        </w:rPr>
        <w:t>s</w:t>
      </w:r>
      <w:r w:rsidR="00F6593B" w:rsidRPr="002261B9">
        <w:rPr>
          <w:lang w:val="es-ES"/>
        </w:rPr>
        <w:t xml:space="preserve"> en la región</w:t>
      </w:r>
      <w:r w:rsidRPr="002261B9">
        <w:rPr>
          <w:lang w:val="es-ES"/>
        </w:rPr>
        <w:t xml:space="preserve">. Esta inversión va a aumentar a los </w:t>
      </w:r>
      <w:r w:rsidR="00930AE1" w:rsidRPr="002261B9">
        <w:rPr>
          <w:lang w:val="es-ES"/>
        </w:rPr>
        <w:t>ocho</w:t>
      </w:r>
      <w:r w:rsidRPr="002261B9">
        <w:rPr>
          <w:lang w:val="es-ES"/>
        </w:rPr>
        <w:t xml:space="preserve"> millones de euros hasta 2018 debido a que se está construyendo una nueva planta depuradora a base de carbono activado y a que aumentará el costo de explotación. Debido a las propiedades del PFAS de cadena corta, el carbón activado tiene que ser cambiado con frecuencia, para evitar la </w:t>
      </w:r>
      <w:r w:rsidR="002B44C9" w:rsidRPr="002261B9">
        <w:rPr>
          <w:lang w:val="es-ES"/>
        </w:rPr>
        <w:t>penetración de</w:t>
      </w:r>
      <w:r w:rsidRPr="002261B9">
        <w:rPr>
          <w:lang w:val="es-ES"/>
        </w:rPr>
        <w:t xml:space="preserve">l producto químico. Como consecuencia, el </w:t>
      </w:r>
      <w:r w:rsidRPr="002261B9">
        <w:rPr>
          <w:lang w:val="es-ES"/>
        </w:rPr>
        <w:lastRenderedPageBreak/>
        <w:t xml:space="preserve">precio del agua potable </w:t>
      </w:r>
      <w:r w:rsidR="008D40AB" w:rsidRPr="002261B9">
        <w:rPr>
          <w:lang w:val="es-ES"/>
        </w:rPr>
        <w:t xml:space="preserve">ha aumentado </w:t>
      </w:r>
      <w:r w:rsidRPr="002261B9">
        <w:rPr>
          <w:lang w:val="es-ES"/>
        </w:rPr>
        <w:t xml:space="preserve">en un 13,4% en esa zona en 2017. </w:t>
      </w:r>
      <w:r w:rsidR="002B44C9" w:rsidRPr="002261B9">
        <w:rPr>
          <w:lang w:val="es-ES"/>
        </w:rPr>
        <w:t>Posiblemente los costos seguirán</w:t>
      </w:r>
      <w:r w:rsidRPr="002261B9">
        <w:rPr>
          <w:lang w:val="es-ES"/>
        </w:rPr>
        <w:t xml:space="preserve"> aumentando (</w:t>
      </w:r>
      <w:r w:rsidR="007F0459" w:rsidRPr="002261B9">
        <w:rPr>
          <w:lang w:val="es-ES"/>
        </w:rPr>
        <w:t>Observaciones</w:t>
      </w:r>
      <w:r w:rsidRPr="002261B9">
        <w:rPr>
          <w:lang w:val="es-ES"/>
        </w:rPr>
        <w:t xml:space="preserve"> de Alemania</w:t>
      </w:r>
      <w:r w:rsidR="00930AE1" w:rsidRPr="002261B9">
        <w:rPr>
          <w:lang w:val="es-ES"/>
        </w:rPr>
        <w:t xml:space="preserve"> </w:t>
      </w:r>
      <w:r w:rsidRPr="002261B9">
        <w:rPr>
          <w:lang w:val="es-ES"/>
        </w:rPr>
        <w:t>sobre el tercer proyecto de evaluación de la gestión de los riesgos)</w:t>
      </w:r>
      <w:r w:rsidR="003462FB" w:rsidRPr="002261B9">
        <w:rPr>
          <w:rStyle w:val="FootnoteReference"/>
          <w:lang w:val="es-ES"/>
        </w:rPr>
        <w:t xml:space="preserve"> </w:t>
      </w:r>
      <w:r w:rsidR="003462FB" w:rsidRPr="002261B9">
        <w:rPr>
          <w:rStyle w:val="FootnoteReference"/>
          <w:lang w:val="es-ES"/>
        </w:rPr>
        <w:footnoteReference w:id="27"/>
      </w:r>
      <w:r w:rsidRPr="002261B9">
        <w:rPr>
          <w:lang w:val="es-ES"/>
        </w:rPr>
        <w:t>.</w:t>
      </w:r>
    </w:p>
    <w:p w14:paraId="572F4A2C" w14:textId="77777777" w:rsidR="00F76E8B" w:rsidRPr="002261B9" w:rsidRDefault="00F13B21" w:rsidP="00063CF3">
      <w:pPr>
        <w:keepNext/>
        <w:spacing w:after="120"/>
        <w:ind w:left="1247"/>
        <w:rPr>
          <w:b/>
          <w:i/>
          <w:sz w:val="20"/>
          <w:szCs w:val="20"/>
          <w:lang w:val="es-ES"/>
        </w:rPr>
      </w:pPr>
      <w:r w:rsidRPr="002261B9">
        <w:rPr>
          <w:b/>
          <w:i/>
          <w:sz w:val="20"/>
          <w:szCs w:val="20"/>
          <w:lang w:val="es-ES"/>
        </w:rPr>
        <w:t>Resumen de la disponibilidad de alternativas apropiadas para sectores y usos específicos</w:t>
      </w:r>
    </w:p>
    <w:p w14:paraId="4C3D7158" w14:textId="5973DEE9" w:rsidR="000770E2" w:rsidRPr="002261B9" w:rsidRDefault="00F13B21" w:rsidP="00F45508">
      <w:pPr>
        <w:pStyle w:val="Paralevel1"/>
        <w:numPr>
          <w:ilvl w:val="0"/>
          <w:numId w:val="23"/>
        </w:numPr>
        <w:tabs>
          <w:tab w:val="clear" w:pos="0"/>
        </w:tabs>
        <w:ind w:left="1247" w:firstLine="0"/>
        <w:rPr>
          <w:lang w:val="es-ES"/>
        </w:rPr>
      </w:pPr>
      <w:r w:rsidRPr="002261B9">
        <w:rPr>
          <w:lang w:val="es-ES"/>
        </w:rPr>
        <w:t xml:space="preserve">Sobre la base del </w:t>
      </w:r>
      <w:r w:rsidRPr="002261B9">
        <w:rPr>
          <w:rStyle w:val="DeltaViewInsertion"/>
          <w:color w:val="auto"/>
          <w:u w:val="none"/>
          <w:lang w:val="es-ES"/>
        </w:rPr>
        <w:t>análisis</w:t>
      </w:r>
      <w:r w:rsidRPr="002261B9">
        <w:rPr>
          <w:lang w:val="es-ES"/>
        </w:rPr>
        <w:t xml:space="preserve"> de las alternativas, en el cuadro que figura a continuación se resumen los sectores y los usos específicos, para los cuales se dispone o no de </w:t>
      </w:r>
      <w:r w:rsidR="002748F8" w:rsidRPr="002261B9">
        <w:rPr>
          <w:lang w:val="es-ES"/>
        </w:rPr>
        <w:t>alternativas al</w:t>
      </w:r>
      <w:r w:rsidRPr="002261B9">
        <w:rPr>
          <w:lang w:val="es-ES"/>
        </w:rPr>
        <w:t xml:space="preserve"> uso del </w:t>
      </w:r>
      <w:r w:rsidR="000770E2" w:rsidRPr="002261B9">
        <w:rPr>
          <w:lang w:val="es-ES"/>
        </w:rPr>
        <w:t xml:space="preserve">PFOA, </w:t>
      </w:r>
      <w:r w:rsidRPr="002261B9">
        <w:rPr>
          <w:lang w:val="es-ES"/>
        </w:rPr>
        <w:t xml:space="preserve">sus sales y los compuestos conexos del </w:t>
      </w:r>
      <w:r w:rsidR="00A23208" w:rsidRPr="002261B9">
        <w:rPr>
          <w:lang w:val="es-ES"/>
        </w:rPr>
        <w:t>PFOA</w:t>
      </w:r>
      <w:r w:rsidR="000770E2" w:rsidRPr="002261B9">
        <w:rPr>
          <w:lang w:val="es-ES"/>
        </w:rPr>
        <w:t>.</w:t>
      </w:r>
    </w:p>
    <w:p w14:paraId="6C32245E" w14:textId="23204E42" w:rsidR="00A23208" w:rsidRPr="002261B9" w:rsidRDefault="00F13B21" w:rsidP="00063CF3">
      <w:pPr>
        <w:pStyle w:val="Caption"/>
        <w:keepNext/>
        <w:spacing w:after="0"/>
        <w:ind w:left="1247"/>
        <w:jc w:val="both"/>
        <w:rPr>
          <w:color w:val="auto"/>
          <w:sz w:val="20"/>
          <w:szCs w:val="20"/>
          <w:lang w:val="es-ES"/>
        </w:rPr>
      </w:pPr>
      <w:r w:rsidRPr="002261B9">
        <w:rPr>
          <w:color w:val="auto"/>
          <w:sz w:val="20"/>
          <w:szCs w:val="20"/>
          <w:lang w:val="es-ES"/>
        </w:rPr>
        <w:t>Cuadro</w:t>
      </w:r>
      <w:r w:rsidR="00A23208" w:rsidRPr="002261B9">
        <w:rPr>
          <w:color w:val="auto"/>
          <w:sz w:val="20"/>
          <w:szCs w:val="20"/>
          <w:lang w:val="es-ES"/>
        </w:rPr>
        <w:t xml:space="preserve"> </w:t>
      </w:r>
      <w:r w:rsidR="00A57097" w:rsidRPr="002261B9">
        <w:rPr>
          <w:color w:val="auto"/>
          <w:sz w:val="20"/>
          <w:szCs w:val="20"/>
          <w:lang w:val="es-ES"/>
        </w:rPr>
        <w:t>4</w:t>
      </w:r>
      <w:r w:rsidR="00A23208" w:rsidRPr="002261B9">
        <w:rPr>
          <w:color w:val="auto"/>
          <w:sz w:val="20"/>
          <w:szCs w:val="20"/>
          <w:lang w:val="es-ES"/>
        </w:rPr>
        <w:t xml:space="preserve">: </w:t>
      </w:r>
      <w:r w:rsidRPr="002261B9">
        <w:rPr>
          <w:color w:val="auto"/>
          <w:sz w:val="20"/>
          <w:szCs w:val="20"/>
          <w:lang w:val="es-ES"/>
        </w:rPr>
        <w:t xml:space="preserve">Disponibilidad de alternativas al uso del </w:t>
      </w:r>
      <w:r w:rsidR="00A23208" w:rsidRPr="002261B9">
        <w:rPr>
          <w:color w:val="auto"/>
          <w:sz w:val="20"/>
          <w:szCs w:val="20"/>
          <w:lang w:val="es-ES"/>
        </w:rPr>
        <w:t xml:space="preserve">PFOA, </w:t>
      </w:r>
      <w:r w:rsidRPr="002261B9">
        <w:rPr>
          <w:color w:val="auto"/>
          <w:sz w:val="20"/>
          <w:szCs w:val="20"/>
          <w:lang w:val="es-ES"/>
        </w:rPr>
        <w:t xml:space="preserve">sus sales y los compuestos conexos del </w:t>
      </w:r>
      <w:r w:rsidR="00A23208" w:rsidRPr="002261B9">
        <w:rPr>
          <w:color w:val="auto"/>
          <w:sz w:val="20"/>
          <w:szCs w:val="20"/>
          <w:lang w:val="es-ES"/>
        </w:rPr>
        <w:t>PFOA</w:t>
      </w:r>
      <w:r w:rsidRPr="002261B9">
        <w:rPr>
          <w:color w:val="auto"/>
          <w:sz w:val="20"/>
          <w:szCs w:val="20"/>
          <w:lang w:val="es-ES"/>
        </w:rPr>
        <w:t xml:space="preserve"> para sectores y usos específicos</w:t>
      </w:r>
    </w:p>
    <w:tbl>
      <w:tblPr>
        <w:tblStyle w:val="TableGrid"/>
        <w:tblW w:w="8505" w:type="dxa"/>
        <w:tblInd w:w="1247" w:type="dxa"/>
        <w:tblLayout w:type="fixed"/>
        <w:tblLook w:val="04A0" w:firstRow="1" w:lastRow="0" w:firstColumn="1" w:lastColumn="0" w:noHBand="0" w:noVBand="1"/>
      </w:tblPr>
      <w:tblGrid>
        <w:gridCol w:w="1598"/>
        <w:gridCol w:w="2625"/>
        <w:gridCol w:w="1504"/>
        <w:gridCol w:w="2778"/>
      </w:tblGrid>
      <w:tr w:rsidR="00FE696C" w:rsidRPr="002261B9" w14:paraId="13C6B4EA" w14:textId="77777777" w:rsidTr="00063CF3">
        <w:trPr>
          <w:tblHeader/>
        </w:trPr>
        <w:tc>
          <w:tcPr>
            <w:tcW w:w="1803" w:type="dxa"/>
            <w:shd w:val="clear" w:color="auto" w:fill="D9D9D9" w:themeFill="background1" w:themeFillShade="D9"/>
          </w:tcPr>
          <w:p w14:paraId="5AAA1D76" w14:textId="77777777" w:rsidR="000770E2" w:rsidRPr="002261B9" w:rsidRDefault="000770E2" w:rsidP="00D005B6">
            <w:pPr>
              <w:spacing w:before="40" w:after="40"/>
              <w:jc w:val="both"/>
              <w:rPr>
                <w:b/>
                <w:sz w:val="18"/>
                <w:szCs w:val="18"/>
                <w:lang w:val="es-ES"/>
              </w:rPr>
            </w:pPr>
            <w:r w:rsidRPr="002261B9">
              <w:rPr>
                <w:b/>
                <w:sz w:val="18"/>
                <w:szCs w:val="18"/>
                <w:lang w:val="es-ES"/>
              </w:rPr>
              <w:t>Sector</w:t>
            </w:r>
          </w:p>
        </w:tc>
        <w:tc>
          <w:tcPr>
            <w:tcW w:w="2984" w:type="dxa"/>
            <w:shd w:val="clear" w:color="auto" w:fill="D9D9D9" w:themeFill="background1" w:themeFillShade="D9"/>
          </w:tcPr>
          <w:p w14:paraId="4B3926B0" w14:textId="77777777" w:rsidR="000770E2" w:rsidRPr="002261B9" w:rsidRDefault="000770E2" w:rsidP="00D005B6">
            <w:pPr>
              <w:spacing w:before="40" w:after="40"/>
              <w:jc w:val="both"/>
              <w:rPr>
                <w:b/>
                <w:sz w:val="18"/>
                <w:szCs w:val="18"/>
                <w:lang w:val="es-ES"/>
              </w:rPr>
            </w:pPr>
            <w:r w:rsidRPr="002261B9">
              <w:rPr>
                <w:b/>
                <w:sz w:val="18"/>
                <w:szCs w:val="18"/>
                <w:lang w:val="es-ES"/>
              </w:rPr>
              <w:t>Us</w:t>
            </w:r>
            <w:r w:rsidR="00F13B21" w:rsidRPr="002261B9">
              <w:rPr>
                <w:b/>
                <w:sz w:val="18"/>
                <w:szCs w:val="18"/>
                <w:lang w:val="es-ES"/>
              </w:rPr>
              <w:t>o</w:t>
            </w:r>
          </w:p>
        </w:tc>
        <w:tc>
          <w:tcPr>
            <w:tcW w:w="1694" w:type="dxa"/>
            <w:shd w:val="clear" w:color="auto" w:fill="D9D9D9" w:themeFill="background1" w:themeFillShade="D9"/>
          </w:tcPr>
          <w:p w14:paraId="6A8DFA36" w14:textId="77777777" w:rsidR="000770E2" w:rsidRPr="002261B9" w:rsidRDefault="000770E2" w:rsidP="00D005B6">
            <w:pPr>
              <w:spacing w:before="40" w:after="40"/>
              <w:jc w:val="both"/>
              <w:rPr>
                <w:b/>
                <w:sz w:val="18"/>
                <w:szCs w:val="18"/>
                <w:lang w:val="es-ES"/>
              </w:rPr>
            </w:pPr>
            <w:r w:rsidRPr="002261B9">
              <w:rPr>
                <w:b/>
                <w:sz w:val="18"/>
                <w:szCs w:val="18"/>
                <w:lang w:val="es-ES"/>
              </w:rPr>
              <w:t>A</w:t>
            </w:r>
            <w:r w:rsidR="00F13B21" w:rsidRPr="002261B9">
              <w:rPr>
                <w:b/>
                <w:sz w:val="18"/>
                <w:szCs w:val="18"/>
                <w:lang w:val="es-ES"/>
              </w:rPr>
              <w:t>lternativa apropiada disponible</w:t>
            </w:r>
          </w:p>
        </w:tc>
        <w:tc>
          <w:tcPr>
            <w:tcW w:w="3160" w:type="dxa"/>
            <w:shd w:val="clear" w:color="auto" w:fill="D9D9D9" w:themeFill="background1" w:themeFillShade="D9"/>
          </w:tcPr>
          <w:p w14:paraId="63C4E65F" w14:textId="77777777" w:rsidR="000770E2" w:rsidRPr="002261B9" w:rsidRDefault="000770E2" w:rsidP="00D005B6">
            <w:pPr>
              <w:spacing w:before="40" w:after="40"/>
              <w:jc w:val="both"/>
              <w:rPr>
                <w:b/>
                <w:sz w:val="18"/>
                <w:szCs w:val="18"/>
                <w:lang w:val="es-ES"/>
              </w:rPr>
            </w:pPr>
            <w:r w:rsidRPr="002261B9">
              <w:rPr>
                <w:b/>
                <w:sz w:val="18"/>
                <w:szCs w:val="18"/>
                <w:lang w:val="es-ES"/>
              </w:rPr>
              <w:t>T</w:t>
            </w:r>
            <w:r w:rsidR="008A0B72" w:rsidRPr="002261B9">
              <w:rPr>
                <w:b/>
                <w:sz w:val="18"/>
                <w:szCs w:val="18"/>
                <w:lang w:val="es-ES"/>
              </w:rPr>
              <w:t xml:space="preserve">ipo de </w:t>
            </w:r>
            <w:r w:rsidR="005A0353" w:rsidRPr="002261B9">
              <w:rPr>
                <w:b/>
                <w:sz w:val="18"/>
                <w:szCs w:val="18"/>
                <w:lang w:val="es-ES"/>
              </w:rPr>
              <w:t>alternativa</w:t>
            </w:r>
          </w:p>
        </w:tc>
      </w:tr>
      <w:tr w:rsidR="00FE696C" w:rsidRPr="002261B9" w14:paraId="5B6E172B" w14:textId="77777777" w:rsidTr="00063CF3">
        <w:tc>
          <w:tcPr>
            <w:tcW w:w="1803" w:type="dxa"/>
            <w:vMerge w:val="restart"/>
          </w:tcPr>
          <w:p w14:paraId="491725C9" w14:textId="77777777" w:rsidR="00D3281C" w:rsidRPr="002261B9" w:rsidRDefault="00F13B21" w:rsidP="00063CF3">
            <w:pPr>
              <w:spacing w:before="40" w:after="40"/>
              <w:rPr>
                <w:sz w:val="18"/>
                <w:szCs w:val="18"/>
                <w:lang w:val="es-ES"/>
              </w:rPr>
            </w:pPr>
            <w:r w:rsidRPr="002261B9">
              <w:rPr>
                <w:sz w:val="18"/>
                <w:szCs w:val="18"/>
                <w:lang w:val="es-ES"/>
              </w:rPr>
              <w:t xml:space="preserve">Sector </w:t>
            </w:r>
            <w:r w:rsidR="00930AE1" w:rsidRPr="002261B9">
              <w:rPr>
                <w:sz w:val="18"/>
                <w:szCs w:val="18"/>
                <w:lang w:val="es-ES"/>
              </w:rPr>
              <w:t>textil</w:t>
            </w:r>
          </w:p>
        </w:tc>
        <w:tc>
          <w:tcPr>
            <w:tcW w:w="2984" w:type="dxa"/>
          </w:tcPr>
          <w:p w14:paraId="18117361" w14:textId="77777777" w:rsidR="00D3281C" w:rsidRPr="002261B9" w:rsidRDefault="008A0B72" w:rsidP="00063CF3">
            <w:pPr>
              <w:spacing w:before="40" w:after="40"/>
              <w:rPr>
                <w:sz w:val="18"/>
                <w:szCs w:val="18"/>
                <w:lang w:val="es-ES"/>
              </w:rPr>
            </w:pPr>
            <w:r w:rsidRPr="002261B9">
              <w:rPr>
                <w:sz w:val="18"/>
                <w:szCs w:val="18"/>
                <w:lang w:val="es-ES"/>
              </w:rPr>
              <w:t>Requisitos de rendimiento estándar (por ejemplo, ropa estándar)</w:t>
            </w:r>
          </w:p>
        </w:tc>
        <w:tc>
          <w:tcPr>
            <w:tcW w:w="1694" w:type="dxa"/>
          </w:tcPr>
          <w:p w14:paraId="7083FE2B" w14:textId="77777777" w:rsidR="00D3281C" w:rsidRPr="002261B9" w:rsidRDefault="00F13B21" w:rsidP="00D005B6">
            <w:pPr>
              <w:spacing w:before="40" w:after="40"/>
              <w:jc w:val="both"/>
              <w:rPr>
                <w:sz w:val="18"/>
                <w:szCs w:val="18"/>
                <w:lang w:val="es-ES"/>
              </w:rPr>
            </w:pPr>
            <w:r w:rsidRPr="002261B9">
              <w:rPr>
                <w:sz w:val="18"/>
                <w:szCs w:val="18"/>
                <w:lang w:val="es-ES"/>
              </w:rPr>
              <w:t>Sí</w:t>
            </w:r>
          </w:p>
        </w:tc>
        <w:tc>
          <w:tcPr>
            <w:tcW w:w="3160" w:type="dxa"/>
          </w:tcPr>
          <w:p w14:paraId="12BA9EBA" w14:textId="77777777" w:rsidR="00584182" w:rsidRPr="002261B9" w:rsidRDefault="008A0B72" w:rsidP="00063CF3">
            <w:pPr>
              <w:spacing w:before="40" w:after="40"/>
              <w:rPr>
                <w:sz w:val="18"/>
                <w:szCs w:val="18"/>
                <w:lang w:val="es-ES"/>
              </w:rPr>
            </w:pPr>
            <w:r w:rsidRPr="002261B9">
              <w:rPr>
                <w:sz w:val="18"/>
                <w:szCs w:val="18"/>
                <w:lang w:val="es-ES"/>
              </w:rPr>
              <w:t>Productos que no cont</w:t>
            </w:r>
            <w:r w:rsidR="005A0353" w:rsidRPr="002261B9">
              <w:rPr>
                <w:sz w:val="18"/>
                <w:szCs w:val="18"/>
                <w:lang w:val="es-ES"/>
              </w:rPr>
              <w:t>i</w:t>
            </w:r>
            <w:r w:rsidRPr="002261B9">
              <w:rPr>
                <w:sz w:val="18"/>
                <w:szCs w:val="18"/>
                <w:lang w:val="es-ES"/>
              </w:rPr>
              <w:t>en</w:t>
            </w:r>
            <w:r w:rsidR="005A0353" w:rsidRPr="002261B9">
              <w:rPr>
                <w:sz w:val="18"/>
                <w:szCs w:val="18"/>
                <w:lang w:val="es-ES"/>
              </w:rPr>
              <w:t>e</w:t>
            </w:r>
            <w:r w:rsidRPr="002261B9">
              <w:rPr>
                <w:sz w:val="18"/>
                <w:szCs w:val="18"/>
                <w:lang w:val="es-ES"/>
              </w:rPr>
              <w:t xml:space="preserve">n flúor </w:t>
            </w:r>
            <w:r w:rsidR="00584182" w:rsidRPr="002261B9">
              <w:rPr>
                <w:sz w:val="18"/>
                <w:szCs w:val="18"/>
                <w:lang w:val="es-ES"/>
              </w:rPr>
              <w:t>(</w:t>
            </w:r>
            <w:r w:rsidR="00DD20C7" w:rsidRPr="002261B9">
              <w:rPr>
                <w:sz w:val="18"/>
                <w:szCs w:val="18"/>
                <w:lang w:val="es-ES"/>
              </w:rPr>
              <w:t>por ejemplo, parafinas</w:t>
            </w:r>
            <w:r w:rsidR="00584182" w:rsidRPr="002261B9">
              <w:rPr>
                <w:sz w:val="18"/>
                <w:szCs w:val="18"/>
                <w:lang w:val="es-ES"/>
              </w:rPr>
              <w:t>);</w:t>
            </w:r>
            <w:r w:rsidR="00930AE1" w:rsidRPr="002261B9">
              <w:rPr>
                <w:sz w:val="18"/>
                <w:szCs w:val="18"/>
                <w:lang w:val="es-ES"/>
              </w:rPr>
              <w:t xml:space="preserve"> </w:t>
            </w:r>
            <w:r w:rsidR="00DD20C7" w:rsidRPr="002261B9">
              <w:rPr>
                <w:sz w:val="18"/>
                <w:szCs w:val="18"/>
                <w:lang w:val="es-ES"/>
              </w:rPr>
              <w:t>alternativas no químicas</w:t>
            </w:r>
            <w:r w:rsidR="00584182" w:rsidRPr="002261B9">
              <w:rPr>
                <w:sz w:val="18"/>
                <w:szCs w:val="18"/>
                <w:lang w:val="es-ES"/>
              </w:rPr>
              <w:t xml:space="preserve"> </w:t>
            </w:r>
          </w:p>
          <w:p w14:paraId="1C67F6A7" w14:textId="2CB5BD5B" w:rsidR="00D3281C" w:rsidRPr="002261B9" w:rsidRDefault="008A0B72" w:rsidP="00063CF3">
            <w:pPr>
              <w:spacing w:before="40" w:after="40"/>
              <w:rPr>
                <w:sz w:val="18"/>
                <w:szCs w:val="18"/>
                <w:lang w:val="es-ES"/>
              </w:rPr>
            </w:pPr>
            <w:r w:rsidRPr="002261B9">
              <w:rPr>
                <w:sz w:val="18"/>
                <w:szCs w:val="18"/>
                <w:lang w:val="es-ES"/>
              </w:rPr>
              <w:t>Productos fluorados de cadena corta</w:t>
            </w:r>
            <w:r w:rsidR="00D3281C" w:rsidRPr="002261B9">
              <w:rPr>
                <w:sz w:val="18"/>
                <w:szCs w:val="18"/>
                <w:lang w:val="es-ES"/>
              </w:rPr>
              <w:t xml:space="preserve"> (</w:t>
            </w:r>
            <w:r w:rsidRPr="002261B9">
              <w:rPr>
                <w:sz w:val="18"/>
                <w:szCs w:val="18"/>
                <w:lang w:val="es-ES"/>
              </w:rPr>
              <w:t>por ejemplo, a base de</w:t>
            </w:r>
            <w:r w:rsidR="007F38AE" w:rsidRPr="002261B9">
              <w:rPr>
                <w:sz w:val="18"/>
                <w:szCs w:val="18"/>
                <w:lang w:val="es-ES"/>
              </w:rPr>
              <w:t> </w:t>
            </w:r>
            <w:r w:rsidR="00D3281C" w:rsidRPr="002261B9">
              <w:rPr>
                <w:sz w:val="18"/>
                <w:szCs w:val="18"/>
                <w:lang w:val="es-ES"/>
              </w:rPr>
              <w:t>C</w:t>
            </w:r>
            <w:r w:rsidR="00D3281C" w:rsidRPr="002261B9">
              <w:rPr>
                <w:sz w:val="18"/>
                <w:szCs w:val="18"/>
                <w:vertAlign w:val="subscript"/>
                <w:lang w:val="es-ES"/>
              </w:rPr>
              <w:t>6</w:t>
            </w:r>
            <w:r w:rsidR="00D3281C" w:rsidRPr="002261B9">
              <w:rPr>
                <w:sz w:val="18"/>
                <w:szCs w:val="18"/>
                <w:lang w:val="es-ES"/>
              </w:rPr>
              <w:t>)</w:t>
            </w:r>
          </w:p>
        </w:tc>
      </w:tr>
      <w:tr w:rsidR="00FE696C" w:rsidRPr="002261B9" w14:paraId="7CF81579" w14:textId="77777777" w:rsidTr="00063CF3">
        <w:tc>
          <w:tcPr>
            <w:tcW w:w="1803" w:type="dxa"/>
            <w:vMerge/>
          </w:tcPr>
          <w:p w14:paraId="297BB6CC" w14:textId="77777777" w:rsidR="00D3281C" w:rsidRPr="002261B9" w:rsidRDefault="00D3281C" w:rsidP="00063CF3">
            <w:pPr>
              <w:spacing w:before="40" w:after="40"/>
              <w:rPr>
                <w:sz w:val="18"/>
                <w:szCs w:val="18"/>
                <w:lang w:val="es-ES"/>
              </w:rPr>
            </w:pPr>
          </w:p>
        </w:tc>
        <w:tc>
          <w:tcPr>
            <w:tcW w:w="2984" w:type="dxa"/>
          </w:tcPr>
          <w:p w14:paraId="0A207259" w14:textId="77777777" w:rsidR="00D3281C" w:rsidRPr="002261B9" w:rsidRDefault="008A0B72" w:rsidP="00063CF3">
            <w:pPr>
              <w:spacing w:before="40" w:after="40"/>
              <w:rPr>
                <w:sz w:val="18"/>
                <w:szCs w:val="18"/>
                <w:lang w:val="es-ES"/>
              </w:rPr>
            </w:pPr>
            <w:r w:rsidRPr="002261B9">
              <w:rPr>
                <w:sz w:val="18"/>
                <w:szCs w:val="18"/>
                <w:lang w:val="es-ES"/>
              </w:rPr>
              <w:t>Requisitos de alto rendimiento (por ejemplo, textiles de protección para uso profesional)</w:t>
            </w:r>
          </w:p>
        </w:tc>
        <w:tc>
          <w:tcPr>
            <w:tcW w:w="1694" w:type="dxa"/>
          </w:tcPr>
          <w:p w14:paraId="19CF89B1" w14:textId="77777777" w:rsidR="00D3281C" w:rsidRPr="002261B9" w:rsidRDefault="00D3281C" w:rsidP="00D005B6">
            <w:pPr>
              <w:spacing w:before="40" w:after="40"/>
              <w:jc w:val="both"/>
              <w:rPr>
                <w:sz w:val="18"/>
                <w:szCs w:val="18"/>
                <w:lang w:val="es-ES"/>
              </w:rPr>
            </w:pPr>
            <w:r w:rsidRPr="002261B9">
              <w:rPr>
                <w:sz w:val="18"/>
                <w:szCs w:val="18"/>
                <w:lang w:val="es-ES"/>
              </w:rPr>
              <w:t>No</w:t>
            </w:r>
          </w:p>
        </w:tc>
        <w:tc>
          <w:tcPr>
            <w:tcW w:w="3160" w:type="dxa"/>
          </w:tcPr>
          <w:p w14:paraId="49E1F81C" w14:textId="77777777" w:rsidR="00D3281C" w:rsidRPr="002261B9" w:rsidRDefault="00D3281C" w:rsidP="00063CF3">
            <w:pPr>
              <w:spacing w:before="40" w:after="40"/>
              <w:rPr>
                <w:sz w:val="18"/>
                <w:szCs w:val="18"/>
                <w:lang w:val="es-ES"/>
              </w:rPr>
            </w:pPr>
          </w:p>
        </w:tc>
      </w:tr>
      <w:tr w:rsidR="00FE696C" w:rsidRPr="002261B9" w14:paraId="2912E2F0" w14:textId="77777777" w:rsidTr="00063CF3">
        <w:tc>
          <w:tcPr>
            <w:tcW w:w="1803" w:type="dxa"/>
          </w:tcPr>
          <w:p w14:paraId="545CB1DA" w14:textId="77777777" w:rsidR="000770E2" w:rsidRPr="002261B9" w:rsidRDefault="00F13B21" w:rsidP="00063CF3">
            <w:pPr>
              <w:spacing w:before="40" w:after="40"/>
              <w:rPr>
                <w:sz w:val="18"/>
                <w:szCs w:val="18"/>
                <w:lang w:val="es-ES"/>
              </w:rPr>
            </w:pPr>
            <w:r w:rsidRPr="002261B9">
              <w:rPr>
                <w:sz w:val="18"/>
                <w:szCs w:val="18"/>
                <w:lang w:val="es-ES"/>
              </w:rPr>
              <w:t>Fabricación de polímeros</w:t>
            </w:r>
          </w:p>
        </w:tc>
        <w:tc>
          <w:tcPr>
            <w:tcW w:w="2984" w:type="dxa"/>
          </w:tcPr>
          <w:p w14:paraId="031FCB72" w14:textId="77777777" w:rsidR="000770E2" w:rsidRPr="002261B9" w:rsidRDefault="008A0B72" w:rsidP="00063CF3">
            <w:pPr>
              <w:spacing w:before="40" w:after="40"/>
              <w:rPr>
                <w:sz w:val="18"/>
                <w:szCs w:val="18"/>
                <w:lang w:val="es-ES"/>
              </w:rPr>
            </w:pPr>
            <w:r w:rsidRPr="002261B9">
              <w:rPr>
                <w:sz w:val="18"/>
                <w:szCs w:val="18"/>
                <w:lang w:val="es-ES"/>
              </w:rPr>
              <w:t>Auxiliar de procesamiento en la polimerización</w:t>
            </w:r>
          </w:p>
        </w:tc>
        <w:tc>
          <w:tcPr>
            <w:tcW w:w="1694" w:type="dxa"/>
          </w:tcPr>
          <w:p w14:paraId="75CC8052" w14:textId="77777777" w:rsidR="000770E2" w:rsidRPr="002261B9" w:rsidRDefault="00F13B21" w:rsidP="00D005B6">
            <w:pPr>
              <w:spacing w:before="40" w:after="40"/>
              <w:jc w:val="both"/>
              <w:rPr>
                <w:sz w:val="18"/>
                <w:szCs w:val="18"/>
                <w:lang w:val="es-ES"/>
              </w:rPr>
            </w:pPr>
            <w:r w:rsidRPr="002261B9">
              <w:rPr>
                <w:sz w:val="18"/>
                <w:szCs w:val="18"/>
                <w:lang w:val="es-ES"/>
              </w:rPr>
              <w:t>Sí</w:t>
            </w:r>
          </w:p>
        </w:tc>
        <w:tc>
          <w:tcPr>
            <w:tcW w:w="3160" w:type="dxa"/>
          </w:tcPr>
          <w:p w14:paraId="4163B491" w14:textId="77777777" w:rsidR="000770E2" w:rsidRPr="002261B9" w:rsidRDefault="000770E2" w:rsidP="00063CF3">
            <w:pPr>
              <w:spacing w:before="40" w:after="40"/>
              <w:rPr>
                <w:sz w:val="18"/>
                <w:szCs w:val="18"/>
                <w:lang w:val="es-ES"/>
              </w:rPr>
            </w:pPr>
            <w:r w:rsidRPr="002261B9">
              <w:rPr>
                <w:sz w:val="18"/>
                <w:szCs w:val="18"/>
                <w:lang w:val="es-ES"/>
              </w:rPr>
              <w:t>Sustanc</w:t>
            </w:r>
            <w:r w:rsidR="008A0B72" w:rsidRPr="002261B9">
              <w:rPr>
                <w:sz w:val="18"/>
                <w:szCs w:val="18"/>
                <w:lang w:val="es-ES"/>
              </w:rPr>
              <w:t>ia</w:t>
            </w:r>
            <w:r w:rsidRPr="002261B9">
              <w:rPr>
                <w:sz w:val="18"/>
                <w:szCs w:val="18"/>
                <w:lang w:val="es-ES"/>
              </w:rPr>
              <w:t xml:space="preserve">s </w:t>
            </w:r>
            <w:r w:rsidR="008A0B72" w:rsidRPr="002261B9">
              <w:rPr>
                <w:sz w:val="18"/>
                <w:szCs w:val="18"/>
                <w:lang w:val="es-ES"/>
              </w:rPr>
              <w:t>con enlaces de éter entre los grupos funcionales perfluoroalquilos</w:t>
            </w:r>
            <w:r w:rsidRPr="002261B9">
              <w:rPr>
                <w:sz w:val="18"/>
                <w:szCs w:val="18"/>
                <w:lang w:val="es-ES"/>
              </w:rPr>
              <w:t xml:space="preserve"> (</w:t>
            </w:r>
            <w:r w:rsidR="008A0B72" w:rsidRPr="002261B9">
              <w:rPr>
                <w:sz w:val="18"/>
                <w:szCs w:val="18"/>
                <w:lang w:val="es-ES"/>
              </w:rPr>
              <w:t>por ejemplo</w:t>
            </w:r>
            <w:r w:rsidR="00930AE1" w:rsidRPr="002261B9">
              <w:rPr>
                <w:sz w:val="18"/>
                <w:szCs w:val="18"/>
                <w:lang w:val="es-ES"/>
              </w:rPr>
              <w:t>,</w:t>
            </w:r>
            <w:r w:rsidRPr="002261B9">
              <w:rPr>
                <w:sz w:val="18"/>
                <w:szCs w:val="18"/>
                <w:lang w:val="es-ES"/>
              </w:rPr>
              <w:t xml:space="preserve"> ADONA)</w:t>
            </w:r>
          </w:p>
        </w:tc>
      </w:tr>
      <w:tr w:rsidR="00FE696C" w:rsidRPr="002261B9" w14:paraId="6DD460A6" w14:textId="77777777" w:rsidTr="00063CF3">
        <w:tc>
          <w:tcPr>
            <w:tcW w:w="1803" w:type="dxa"/>
          </w:tcPr>
          <w:p w14:paraId="5498D6DF" w14:textId="77777777" w:rsidR="000770E2" w:rsidRPr="002261B9" w:rsidRDefault="00F13B21" w:rsidP="00063CF3">
            <w:pPr>
              <w:spacing w:before="40" w:after="40"/>
              <w:rPr>
                <w:sz w:val="18"/>
                <w:szCs w:val="18"/>
                <w:lang w:val="es-ES"/>
              </w:rPr>
            </w:pPr>
            <w:r w:rsidRPr="002261B9">
              <w:rPr>
                <w:sz w:val="18"/>
                <w:szCs w:val="18"/>
                <w:lang w:val="es-ES"/>
              </w:rPr>
              <w:t>Espumas ignífugas</w:t>
            </w:r>
          </w:p>
        </w:tc>
        <w:tc>
          <w:tcPr>
            <w:tcW w:w="2984" w:type="dxa"/>
          </w:tcPr>
          <w:p w14:paraId="06780002" w14:textId="77777777" w:rsidR="000770E2" w:rsidRPr="002261B9" w:rsidRDefault="008B60FD" w:rsidP="00063CF3">
            <w:pPr>
              <w:spacing w:before="40" w:after="40"/>
              <w:rPr>
                <w:sz w:val="18"/>
                <w:szCs w:val="18"/>
                <w:lang w:val="es-ES"/>
              </w:rPr>
            </w:pPr>
            <w:r w:rsidRPr="002261B9">
              <w:rPr>
                <w:sz w:val="18"/>
                <w:szCs w:val="18"/>
                <w:lang w:val="es-ES"/>
              </w:rPr>
              <w:t xml:space="preserve">Lucha contra </w:t>
            </w:r>
            <w:r w:rsidR="008A0B72" w:rsidRPr="002261B9">
              <w:rPr>
                <w:sz w:val="18"/>
                <w:szCs w:val="18"/>
                <w:lang w:val="es-ES"/>
              </w:rPr>
              <w:t xml:space="preserve">incendios </w:t>
            </w:r>
            <w:r w:rsidR="00E841ED" w:rsidRPr="002261B9">
              <w:rPr>
                <w:sz w:val="18"/>
                <w:szCs w:val="18"/>
                <w:lang w:val="es-ES"/>
              </w:rPr>
              <w:t xml:space="preserve">de combustibles </w:t>
            </w:r>
            <w:r w:rsidR="008A0B72" w:rsidRPr="002261B9">
              <w:rPr>
                <w:sz w:val="18"/>
                <w:szCs w:val="18"/>
                <w:lang w:val="es-ES"/>
              </w:rPr>
              <w:t>líquidos</w:t>
            </w:r>
          </w:p>
        </w:tc>
        <w:tc>
          <w:tcPr>
            <w:tcW w:w="1694" w:type="dxa"/>
          </w:tcPr>
          <w:p w14:paraId="44A4FBC8" w14:textId="77777777" w:rsidR="000770E2" w:rsidRPr="002261B9" w:rsidRDefault="00F13B21" w:rsidP="00D005B6">
            <w:pPr>
              <w:spacing w:before="40" w:after="40"/>
              <w:jc w:val="both"/>
              <w:rPr>
                <w:sz w:val="18"/>
                <w:szCs w:val="18"/>
                <w:lang w:val="es-ES"/>
              </w:rPr>
            </w:pPr>
            <w:r w:rsidRPr="002261B9">
              <w:rPr>
                <w:sz w:val="18"/>
                <w:szCs w:val="18"/>
                <w:lang w:val="es-ES"/>
              </w:rPr>
              <w:t>Sí</w:t>
            </w:r>
          </w:p>
        </w:tc>
        <w:tc>
          <w:tcPr>
            <w:tcW w:w="3160" w:type="dxa"/>
          </w:tcPr>
          <w:p w14:paraId="085C0432" w14:textId="77777777" w:rsidR="00584182" w:rsidRPr="002261B9" w:rsidRDefault="008A0B72" w:rsidP="00063CF3">
            <w:pPr>
              <w:spacing w:before="40" w:after="40"/>
              <w:rPr>
                <w:sz w:val="18"/>
                <w:szCs w:val="18"/>
                <w:lang w:val="es-ES"/>
              </w:rPr>
            </w:pPr>
            <w:r w:rsidRPr="002261B9">
              <w:rPr>
                <w:sz w:val="18"/>
                <w:szCs w:val="18"/>
                <w:lang w:val="es-ES"/>
              </w:rPr>
              <w:t>Espumas ignífugas a base de proteínas o detergentes</w:t>
            </w:r>
          </w:p>
          <w:p w14:paraId="4D19B227" w14:textId="725F5A86" w:rsidR="000770E2" w:rsidRPr="002261B9" w:rsidRDefault="008A0B72" w:rsidP="00063CF3">
            <w:pPr>
              <w:spacing w:before="40" w:after="40"/>
              <w:rPr>
                <w:sz w:val="18"/>
                <w:szCs w:val="18"/>
                <w:lang w:val="es-ES"/>
              </w:rPr>
            </w:pPr>
            <w:r w:rsidRPr="002261B9">
              <w:rPr>
                <w:sz w:val="18"/>
                <w:szCs w:val="18"/>
                <w:lang w:val="es-ES"/>
              </w:rPr>
              <w:t>Productos fluorados de cadena corta (por ejemplo, a base de C</w:t>
            </w:r>
            <w:r w:rsidRPr="002261B9">
              <w:rPr>
                <w:sz w:val="18"/>
                <w:szCs w:val="18"/>
                <w:vertAlign w:val="subscript"/>
                <w:lang w:val="es-ES"/>
              </w:rPr>
              <w:t>6</w:t>
            </w:r>
            <w:r w:rsidRPr="002261B9">
              <w:rPr>
                <w:sz w:val="18"/>
                <w:szCs w:val="18"/>
                <w:lang w:val="es-ES"/>
              </w:rPr>
              <w:t>)</w:t>
            </w:r>
          </w:p>
        </w:tc>
      </w:tr>
      <w:tr w:rsidR="00FE696C" w:rsidRPr="002261B9" w14:paraId="24622E05" w14:textId="77777777" w:rsidTr="00063CF3">
        <w:tc>
          <w:tcPr>
            <w:tcW w:w="1803" w:type="dxa"/>
          </w:tcPr>
          <w:p w14:paraId="078CC262" w14:textId="77777777" w:rsidR="000770E2" w:rsidRPr="002261B9" w:rsidRDefault="000770E2" w:rsidP="00063CF3">
            <w:pPr>
              <w:spacing w:before="40" w:after="40"/>
              <w:rPr>
                <w:sz w:val="18"/>
                <w:szCs w:val="18"/>
                <w:lang w:val="es-ES"/>
              </w:rPr>
            </w:pPr>
            <w:r w:rsidRPr="002261B9">
              <w:rPr>
                <w:sz w:val="18"/>
                <w:szCs w:val="18"/>
                <w:lang w:val="es-ES"/>
              </w:rPr>
              <w:t>Pape</w:t>
            </w:r>
            <w:r w:rsidR="00F13B21" w:rsidRPr="002261B9">
              <w:rPr>
                <w:sz w:val="18"/>
                <w:szCs w:val="18"/>
                <w:lang w:val="es-ES"/>
              </w:rPr>
              <w:t>l y envases de alimentos</w:t>
            </w:r>
          </w:p>
        </w:tc>
        <w:tc>
          <w:tcPr>
            <w:tcW w:w="2984" w:type="dxa"/>
          </w:tcPr>
          <w:p w14:paraId="3E09E9AA" w14:textId="77777777" w:rsidR="000770E2" w:rsidRPr="002261B9" w:rsidRDefault="008A0B72" w:rsidP="00063CF3">
            <w:pPr>
              <w:spacing w:before="40" w:after="40"/>
              <w:rPr>
                <w:sz w:val="18"/>
                <w:szCs w:val="18"/>
                <w:lang w:val="es-ES"/>
              </w:rPr>
            </w:pPr>
            <w:r w:rsidRPr="002261B9">
              <w:rPr>
                <w:sz w:val="18"/>
                <w:szCs w:val="18"/>
                <w:lang w:val="es-ES"/>
              </w:rPr>
              <w:t>Envas</w:t>
            </w:r>
            <w:r w:rsidR="008B60FD" w:rsidRPr="002261B9">
              <w:rPr>
                <w:sz w:val="18"/>
                <w:szCs w:val="18"/>
                <w:lang w:val="es-ES"/>
              </w:rPr>
              <w:t>ado</w:t>
            </w:r>
            <w:r w:rsidRPr="002261B9">
              <w:rPr>
                <w:sz w:val="18"/>
                <w:szCs w:val="18"/>
                <w:lang w:val="es-ES"/>
              </w:rPr>
              <w:t xml:space="preserve"> de alimentos</w:t>
            </w:r>
          </w:p>
        </w:tc>
        <w:tc>
          <w:tcPr>
            <w:tcW w:w="1694" w:type="dxa"/>
          </w:tcPr>
          <w:p w14:paraId="1D560437" w14:textId="77777777" w:rsidR="000770E2" w:rsidRPr="002261B9" w:rsidRDefault="00F13B21" w:rsidP="00D005B6">
            <w:pPr>
              <w:spacing w:before="40" w:after="40"/>
              <w:jc w:val="both"/>
              <w:rPr>
                <w:sz w:val="18"/>
                <w:szCs w:val="18"/>
                <w:lang w:val="es-ES"/>
              </w:rPr>
            </w:pPr>
            <w:r w:rsidRPr="002261B9">
              <w:rPr>
                <w:sz w:val="18"/>
                <w:szCs w:val="18"/>
                <w:lang w:val="es-ES"/>
              </w:rPr>
              <w:t>Sí</w:t>
            </w:r>
          </w:p>
        </w:tc>
        <w:tc>
          <w:tcPr>
            <w:tcW w:w="3160" w:type="dxa"/>
          </w:tcPr>
          <w:p w14:paraId="07EC6336" w14:textId="77777777" w:rsidR="00584182" w:rsidRPr="002261B9" w:rsidRDefault="008A0B72" w:rsidP="00063CF3">
            <w:pPr>
              <w:spacing w:before="40" w:after="40"/>
              <w:rPr>
                <w:sz w:val="18"/>
                <w:szCs w:val="18"/>
                <w:lang w:val="es-ES"/>
              </w:rPr>
            </w:pPr>
            <w:r w:rsidRPr="002261B9">
              <w:rPr>
                <w:sz w:val="18"/>
                <w:szCs w:val="18"/>
                <w:lang w:val="es-ES"/>
              </w:rPr>
              <w:t>Productos que no contengan flúor</w:t>
            </w:r>
            <w:r w:rsidR="00584182" w:rsidRPr="002261B9">
              <w:rPr>
                <w:sz w:val="18"/>
                <w:szCs w:val="18"/>
                <w:lang w:val="es-ES"/>
              </w:rPr>
              <w:t xml:space="preserve"> (</w:t>
            </w:r>
            <w:r w:rsidRPr="002261B9">
              <w:rPr>
                <w:sz w:val="18"/>
                <w:szCs w:val="18"/>
                <w:lang w:val="es-ES"/>
              </w:rPr>
              <w:t>por ejemplo, papel de alta densidad</w:t>
            </w:r>
            <w:r w:rsidR="00584182" w:rsidRPr="002261B9">
              <w:rPr>
                <w:sz w:val="18"/>
                <w:szCs w:val="18"/>
                <w:lang w:val="es-ES"/>
              </w:rPr>
              <w:t>)</w:t>
            </w:r>
          </w:p>
          <w:p w14:paraId="12A6CF0F" w14:textId="511D32D0" w:rsidR="000770E2" w:rsidRPr="002261B9" w:rsidRDefault="008A0B72" w:rsidP="00063CF3">
            <w:pPr>
              <w:spacing w:before="40" w:after="40"/>
              <w:rPr>
                <w:sz w:val="18"/>
                <w:szCs w:val="18"/>
                <w:lang w:val="es-ES"/>
              </w:rPr>
            </w:pPr>
            <w:r w:rsidRPr="002261B9">
              <w:rPr>
                <w:sz w:val="18"/>
                <w:szCs w:val="18"/>
                <w:lang w:val="es-ES"/>
              </w:rPr>
              <w:t>Productos fluorados de cadena corta (por ejemplo, a base de C</w:t>
            </w:r>
            <w:r w:rsidRPr="002261B9">
              <w:rPr>
                <w:sz w:val="18"/>
                <w:szCs w:val="18"/>
                <w:vertAlign w:val="subscript"/>
                <w:lang w:val="es-ES"/>
              </w:rPr>
              <w:t>6</w:t>
            </w:r>
            <w:r w:rsidRPr="002261B9">
              <w:rPr>
                <w:sz w:val="18"/>
                <w:szCs w:val="18"/>
                <w:lang w:val="es-ES"/>
              </w:rPr>
              <w:t>)</w:t>
            </w:r>
          </w:p>
        </w:tc>
      </w:tr>
      <w:tr w:rsidR="00FE696C" w:rsidRPr="002261B9" w14:paraId="1F4D5763" w14:textId="77777777" w:rsidTr="00063CF3">
        <w:tc>
          <w:tcPr>
            <w:tcW w:w="1803" w:type="dxa"/>
          </w:tcPr>
          <w:p w14:paraId="658C38CD" w14:textId="77777777" w:rsidR="000770E2" w:rsidRPr="002261B9" w:rsidRDefault="00F13B21" w:rsidP="00063CF3">
            <w:pPr>
              <w:spacing w:before="40" w:after="40"/>
              <w:rPr>
                <w:sz w:val="18"/>
                <w:szCs w:val="18"/>
                <w:lang w:val="es-ES"/>
              </w:rPr>
            </w:pPr>
            <w:r w:rsidRPr="002261B9">
              <w:rPr>
                <w:sz w:val="18"/>
                <w:szCs w:val="18"/>
                <w:lang w:val="es-ES"/>
              </w:rPr>
              <w:t>Industria de creación de im</w:t>
            </w:r>
            <w:r w:rsidR="00BB03F9" w:rsidRPr="002261B9">
              <w:rPr>
                <w:sz w:val="18"/>
                <w:szCs w:val="18"/>
                <w:lang w:val="es-ES"/>
              </w:rPr>
              <w:t>ágenes y tipográfica</w:t>
            </w:r>
          </w:p>
        </w:tc>
        <w:tc>
          <w:tcPr>
            <w:tcW w:w="2984" w:type="dxa"/>
          </w:tcPr>
          <w:p w14:paraId="4F6BF926" w14:textId="77777777" w:rsidR="000770E2" w:rsidRPr="002261B9" w:rsidRDefault="008B60FD" w:rsidP="00063CF3">
            <w:pPr>
              <w:spacing w:before="40" w:after="40"/>
              <w:rPr>
                <w:sz w:val="18"/>
                <w:szCs w:val="18"/>
                <w:lang w:val="es-ES"/>
              </w:rPr>
            </w:pPr>
            <w:r w:rsidRPr="002261B9">
              <w:rPr>
                <w:sz w:val="18"/>
                <w:szCs w:val="18"/>
                <w:lang w:val="es-ES"/>
              </w:rPr>
              <w:t>Fabricación de un pequeño número de productos fotográficos convencionales restantes</w:t>
            </w:r>
          </w:p>
        </w:tc>
        <w:tc>
          <w:tcPr>
            <w:tcW w:w="1694" w:type="dxa"/>
          </w:tcPr>
          <w:p w14:paraId="7C41F720" w14:textId="77777777" w:rsidR="000770E2" w:rsidRPr="002261B9" w:rsidRDefault="000770E2" w:rsidP="00D005B6">
            <w:pPr>
              <w:spacing w:before="40" w:after="40"/>
              <w:jc w:val="both"/>
              <w:rPr>
                <w:sz w:val="18"/>
                <w:szCs w:val="18"/>
                <w:lang w:val="es-ES"/>
              </w:rPr>
            </w:pPr>
            <w:r w:rsidRPr="002261B9">
              <w:rPr>
                <w:sz w:val="18"/>
                <w:szCs w:val="18"/>
                <w:lang w:val="es-ES"/>
              </w:rPr>
              <w:t>No</w:t>
            </w:r>
          </w:p>
        </w:tc>
        <w:tc>
          <w:tcPr>
            <w:tcW w:w="3160" w:type="dxa"/>
          </w:tcPr>
          <w:p w14:paraId="09B27C0B" w14:textId="77777777" w:rsidR="000770E2" w:rsidRPr="002261B9" w:rsidRDefault="000770E2" w:rsidP="00D005B6">
            <w:pPr>
              <w:spacing w:before="40" w:after="40"/>
              <w:jc w:val="both"/>
              <w:rPr>
                <w:sz w:val="18"/>
                <w:szCs w:val="18"/>
                <w:lang w:val="es-ES"/>
              </w:rPr>
            </w:pPr>
          </w:p>
        </w:tc>
      </w:tr>
      <w:tr w:rsidR="005C3021" w:rsidRPr="002261B9" w14:paraId="22F30982" w14:textId="77777777" w:rsidTr="00063CF3">
        <w:tc>
          <w:tcPr>
            <w:tcW w:w="1803" w:type="dxa"/>
          </w:tcPr>
          <w:p w14:paraId="751E3CF0" w14:textId="77777777" w:rsidR="000770E2" w:rsidRPr="002261B9" w:rsidRDefault="00F13B21" w:rsidP="00063CF3">
            <w:pPr>
              <w:spacing w:before="40" w:after="40"/>
              <w:rPr>
                <w:sz w:val="18"/>
                <w:szCs w:val="18"/>
                <w:lang w:val="es-ES"/>
              </w:rPr>
            </w:pPr>
            <w:r w:rsidRPr="002261B9">
              <w:rPr>
                <w:sz w:val="18"/>
                <w:szCs w:val="18"/>
                <w:lang w:val="es-ES"/>
              </w:rPr>
              <w:t xml:space="preserve">Industria de </w:t>
            </w:r>
            <w:r w:rsidR="007425F6" w:rsidRPr="002261B9">
              <w:rPr>
                <w:sz w:val="18"/>
                <w:szCs w:val="18"/>
                <w:lang w:val="es-ES"/>
              </w:rPr>
              <w:t>semiconductor</w:t>
            </w:r>
            <w:r w:rsidR="00930AE1" w:rsidRPr="002261B9">
              <w:rPr>
                <w:sz w:val="18"/>
                <w:szCs w:val="18"/>
                <w:lang w:val="es-ES"/>
              </w:rPr>
              <w:t>e</w:t>
            </w:r>
            <w:r w:rsidR="007425F6" w:rsidRPr="002261B9">
              <w:rPr>
                <w:sz w:val="18"/>
                <w:szCs w:val="18"/>
                <w:lang w:val="es-ES"/>
              </w:rPr>
              <w:t>s</w:t>
            </w:r>
          </w:p>
        </w:tc>
        <w:tc>
          <w:tcPr>
            <w:tcW w:w="2984" w:type="dxa"/>
          </w:tcPr>
          <w:p w14:paraId="2414CA6F" w14:textId="77777777" w:rsidR="000770E2" w:rsidRPr="002261B9" w:rsidRDefault="008B60FD" w:rsidP="00063CF3">
            <w:pPr>
              <w:spacing w:before="40" w:after="40"/>
              <w:rPr>
                <w:sz w:val="18"/>
                <w:szCs w:val="18"/>
                <w:lang w:val="es-ES"/>
              </w:rPr>
            </w:pPr>
            <w:r w:rsidRPr="002261B9">
              <w:rPr>
                <w:sz w:val="18"/>
                <w:szCs w:val="18"/>
                <w:lang w:val="es-ES"/>
              </w:rPr>
              <w:t>Material constitutivo en formulaciones químicas de proceso para etapas de aplicación muy especializadas (por ejemplo, para aplicaciones fotolitográficas)</w:t>
            </w:r>
          </w:p>
        </w:tc>
        <w:tc>
          <w:tcPr>
            <w:tcW w:w="1694" w:type="dxa"/>
          </w:tcPr>
          <w:p w14:paraId="4CA6D8EB" w14:textId="77777777" w:rsidR="000770E2" w:rsidRPr="002261B9" w:rsidRDefault="000770E2" w:rsidP="00D005B6">
            <w:pPr>
              <w:spacing w:before="40" w:after="40"/>
              <w:jc w:val="both"/>
              <w:rPr>
                <w:sz w:val="18"/>
                <w:szCs w:val="18"/>
                <w:lang w:val="es-ES"/>
              </w:rPr>
            </w:pPr>
            <w:r w:rsidRPr="002261B9">
              <w:rPr>
                <w:sz w:val="18"/>
                <w:szCs w:val="18"/>
                <w:lang w:val="es-ES"/>
              </w:rPr>
              <w:t>No</w:t>
            </w:r>
          </w:p>
        </w:tc>
        <w:tc>
          <w:tcPr>
            <w:tcW w:w="3160" w:type="dxa"/>
          </w:tcPr>
          <w:p w14:paraId="37DC8BFC" w14:textId="77777777" w:rsidR="000770E2" w:rsidRPr="002261B9" w:rsidRDefault="000770E2" w:rsidP="00D005B6">
            <w:pPr>
              <w:spacing w:before="40" w:after="40"/>
              <w:jc w:val="both"/>
              <w:rPr>
                <w:sz w:val="18"/>
                <w:szCs w:val="18"/>
                <w:lang w:val="es-ES"/>
              </w:rPr>
            </w:pPr>
          </w:p>
        </w:tc>
      </w:tr>
    </w:tbl>
    <w:p w14:paraId="60C0743A" w14:textId="469046CB" w:rsidR="00567982" w:rsidRPr="002261B9" w:rsidRDefault="00134123" w:rsidP="00063CF3">
      <w:pPr>
        <w:pStyle w:val="StyleHeading2u2h2ABC2ChptTimesNewRoman12ptBef"/>
        <w:tabs>
          <w:tab w:val="num" w:pos="128"/>
        </w:tabs>
        <w:spacing w:after="120"/>
        <w:ind w:left="1248" w:hanging="624"/>
        <w:rPr>
          <w:sz w:val="22"/>
          <w:szCs w:val="22"/>
          <w:lang w:val="es-ES"/>
        </w:rPr>
      </w:pPr>
      <w:bookmarkStart w:id="70" w:name="_Toc501099208"/>
      <w:r w:rsidRPr="002261B9">
        <w:rPr>
          <w:sz w:val="22"/>
          <w:szCs w:val="22"/>
          <w:lang w:val="es-ES"/>
        </w:rPr>
        <w:t>2.4</w:t>
      </w:r>
      <w:r w:rsidRPr="002261B9">
        <w:rPr>
          <w:sz w:val="22"/>
          <w:szCs w:val="22"/>
          <w:lang w:val="es-ES"/>
        </w:rPr>
        <w:tab/>
      </w:r>
      <w:r w:rsidR="00C33C8E" w:rsidRPr="002261B9">
        <w:rPr>
          <w:sz w:val="22"/>
          <w:szCs w:val="22"/>
          <w:lang w:val="es-ES"/>
        </w:rPr>
        <w:t xml:space="preserve">Resumen de la información sobre los efectos en la sociedad de la aplicación de </w:t>
      </w:r>
      <w:r w:rsidR="00C207F7" w:rsidRPr="002261B9">
        <w:rPr>
          <w:sz w:val="22"/>
          <w:szCs w:val="22"/>
          <w:lang w:val="es-ES"/>
        </w:rPr>
        <w:t>las</w:t>
      </w:r>
      <w:r w:rsidR="00C33C8E" w:rsidRPr="002261B9">
        <w:rPr>
          <w:sz w:val="22"/>
          <w:szCs w:val="22"/>
          <w:lang w:val="es-ES"/>
        </w:rPr>
        <w:t xml:space="preserve"> medidas de control</w:t>
      </w:r>
      <w:r w:rsidR="00C207F7" w:rsidRPr="002261B9">
        <w:rPr>
          <w:sz w:val="22"/>
          <w:szCs w:val="22"/>
          <w:lang w:val="es-ES"/>
        </w:rPr>
        <w:t xml:space="preserve"> que se puede aplicar</w:t>
      </w:r>
      <w:bookmarkEnd w:id="70"/>
    </w:p>
    <w:p w14:paraId="5237B128" w14:textId="29483F9A" w:rsidR="00384BA4" w:rsidRPr="002261B9" w:rsidRDefault="00134123" w:rsidP="00063CF3">
      <w:pPr>
        <w:pStyle w:val="StyleHeading3h3123SecTimesNewRomanBold"/>
        <w:keepLines/>
        <w:ind w:left="1248" w:hanging="624"/>
        <w:rPr>
          <w:lang w:val="es-ES"/>
        </w:rPr>
      </w:pPr>
      <w:bookmarkStart w:id="71" w:name="_Toc501099209"/>
      <w:r w:rsidRPr="002261B9">
        <w:rPr>
          <w:lang w:val="es-ES"/>
        </w:rPr>
        <w:t>2.4.1</w:t>
      </w:r>
      <w:r w:rsidRPr="002261B9">
        <w:rPr>
          <w:lang w:val="es-ES"/>
        </w:rPr>
        <w:tab/>
      </w:r>
      <w:r w:rsidR="00C33C8E" w:rsidRPr="002261B9">
        <w:rPr>
          <w:lang w:val="es-ES"/>
        </w:rPr>
        <w:t xml:space="preserve">Salud, incluidas la salud pública, ambiental y </w:t>
      </w:r>
      <w:r w:rsidR="00930AE1" w:rsidRPr="002261B9">
        <w:rPr>
          <w:lang w:val="es-ES"/>
        </w:rPr>
        <w:t>laboral</w:t>
      </w:r>
      <w:bookmarkEnd w:id="71"/>
    </w:p>
    <w:p w14:paraId="3D942E70" w14:textId="4C0E7436" w:rsidR="008747CA" w:rsidRPr="002261B9" w:rsidRDefault="00C33C8E" w:rsidP="00F45508">
      <w:pPr>
        <w:pStyle w:val="Paralevel1"/>
        <w:numPr>
          <w:ilvl w:val="0"/>
          <w:numId w:val="23"/>
        </w:numPr>
        <w:tabs>
          <w:tab w:val="clear" w:pos="0"/>
        </w:tabs>
        <w:ind w:left="1247" w:firstLine="0"/>
        <w:rPr>
          <w:lang w:val="es-ES"/>
        </w:rPr>
      </w:pPr>
      <w:bookmarkStart w:id="72" w:name="_Ref254338445"/>
      <w:r w:rsidRPr="002261B9">
        <w:rPr>
          <w:lang w:val="es-ES"/>
        </w:rPr>
        <w:t xml:space="preserve">La presencia del </w:t>
      </w:r>
      <w:r w:rsidR="008747CA" w:rsidRPr="002261B9">
        <w:rPr>
          <w:lang w:val="es-ES"/>
        </w:rPr>
        <w:t xml:space="preserve">PFOA </w:t>
      </w:r>
      <w:r w:rsidRPr="002261B9">
        <w:rPr>
          <w:lang w:val="es-ES"/>
        </w:rPr>
        <w:t xml:space="preserve">y de determinados compuestos conexos del </w:t>
      </w:r>
      <w:r w:rsidR="008747CA" w:rsidRPr="002261B9">
        <w:rPr>
          <w:lang w:val="es-ES"/>
        </w:rPr>
        <w:t>PFOA</w:t>
      </w:r>
      <w:r w:rsidRPr="002261B9">
        <w:rPr>
          <w:lang w:val="es-ES"/>
        </w:rPr>
        <w:t xml:space="preserve"> se ha generalizado en algunos compartimentos ambientales y en la biota y los seres humanos. Es probable que el </w:t>
      </w:r>
      <w:r w:rsidR="008747CA" w:rsidRPr="002261B9">
        <w:rPr>
          <w:lang w:val="es-ES"/>
        </w:rPr>
        <w:t xml:space="preserve">PFOA, </w:t>
      </w:r>
      <w:r w:rsidRPr="002261B9">
        <w:rPr>
          <w:lang w:val="es-ES"/>
        </w:rPr>
        <w:t xml:space="preserve">sus sales y los compuestos conexos que degradan a </w:t>
      </w:r>
      <w:r w:rsidR="008747CA" w:rsidRPr="002261B9">
        <w:rPr>
          <w:lang w:val="es-ES"/>
        </w:rPr>
        <w:t xml:space="preserve">PFOA, </w:t>
      </w:r>
      <w:r w:rsidRPr="002261B9">
        <w:rPr>
          <w:lang w:val="es-ES"/>
        </w:rPr>
        <w:t>como resultado de su transporte a larga distancia en el medio ambiente</w:t>
      </w:r>
      <w:r w:rsidR="008747CA" w:rsidRPr="002261B9">
        <w:rPr>
          <w:lang w:val="es-ES"/>
        </w:rPr>
        <w:t xml:space="preserve">, </w:t>
      </w:r>
      <w:r w:rsidRPr="002261B9">
        <w:rPr>
          <w:lang w:val="es-ES"/>
        </w:rPr>
        <w:t>surtan importantes efectos adversos en la salud humana o ambiental que justifique</w:t>
      </w:r>
      <w:r w:rsidR="00653E71" w:rsidRPr="002261B9">
        <w:rPr>
          <w:lang w:val="es-ES"/>
        </w:rPr>
        <w:t>n</w:t>
      </w:r>
      <w:r w:rsidRPr="002261B9">
        <w:rPr>
          <w:lang w:val="es-ES"/>
        </w:rPr>
        <w:t xml:space="preserve"> la adopción de medidas a nivel mundial</w:t>
      </w:r>
      <w:r w:rsidR="008747CA" w:rsidRPr="002261B9">
        <w:rPr>
          <w:lang w:val="es-ES"/>
        </w:rPr>
        <w:t xml:space="preserve"> (UNEP/POPS/POPRC.12/11/Add.2). </w:t>
      </w:r>
      <w:r w:rsidRPr="002261B9">
        <w:rPr>
          <w:lang w:val="es-ES"/>
        </w:rPr>
        <w:t xml:space="preserve">Por consiguiente, la prohibición o restricción del </w:t>
      </w:r>
      <w:r w:rsidR="008747CA" w:rsidRPr="002261B9">
        <w:rPr>
          <w:lang w:val="es-ES"/>
        </w:rPr>
        <w:t xml:space="preserve">PFOA, </w:t>
      </w:r>
      <w:r w:rsidRPr="002261B9">
        <w:rPr>
          <w:lang w:val="es-ES"/>
        </w:rPr>
        <w:t xml:space="preserve">sus sales y los compuestos conexos redundaría de manera positiva en la salud humana y el medio ambiente al disminuir las emisiones y posteriormente </w:t>
      </w:r>
      <w:r w:rsidRPr="002261B9">
        <w:rPr>
          <w:lang w:val="es-ES"/>
        </w:rPr>
        <w:lastRenderedPageBreak/>
        <w:t xml:space="preserve">la exposición </w:t>
      </w:r>
      <w:r w:rsidR="008D40AB" w:rsidRPr="002261B9">
        <w:rPr>
          <w:lang w:val="es-ES"/>
        </w:rPr>
        <w:t xml:space="preserve">del medio </w:t>
      </w:r>
      <w:r w:rsidRPr="002261B9">
        <w:rPr>
          <w:lang w:val="es-ES"/>
        </w:rPr>
        <w:t>ambient</w:t>
      </w:r>
      <w:r w:rsidR="008D40AB" w:rsidRPr="002261B9">
        <w:rPr>
          <w:lang w:val="es-ES"/>
        </w:rPr>
        <w:t xml:space="preserve">e </w:t>
      </w:r>
      <w:r w:rsidRPr="002261B9">
        <w:rPr>
          <w:lang w:val="es-ES"/>
        </w:rPr>
        <w:t>y los seres humanos</w:t>
      </w:r>
      <w:r w:rsidR="008747CA" w:rsidRPr="002261B9">
        <w:rPr>
          <w:lang w:val="es-ES"/>
        </w:rPr>
        <w:t xml:space="preserve"> (</w:t>
      </w:r>
      <w:r w:rsidRPr="002261B9">
        <w:rPr>
          <w:lang w:val="es-ES"/>
        </w:rPr>
        <w:t>véa</w:t>
      </w:r>
      <w:r w:rsidR="00033E30" w:rsidRPr="002261B9">
        <w:rPr>
          <w:lang w:val="es-ES"/>
        </w:rPr>
        <w:t>n</w:t>
      </w:r>
      <w:r w:rsidRPr="002261B9">
        <w:rPr>
          <w:lang w:val="es-ES"/>
        </w:rPr>
        <w:t>se, por ejemplo, Noruega</w:t>
      </w:r>
      <w:r w:rsidR="009F32DA" w:rsidRPr="002261B9">
        <w:rPr>
          <w:lang w:val="es-ES"/>
        </w:rPr>
        <w:t>,</w:t>
      </w:r>
      <w:r w:rsidR="0066302D" w:rsidRPr="002261B9">
        <w:rPr>
          <w:lang w:val="es-ES"/>
        </w:rPr>
        <w:t xml:space="preserve"> 2016;</w:t>
      </w:r>
      <w:r w:rsidR="008747CA" w:rsidRPr="002261B9">
        <w:rPr>
          <w:lang w:val="es-ES"/>
        </w:rPr>
        <w:t xml:space="preserve"> ECHA</w:t>
      </w:r>
      <w:r w:rsidR="009F32DA" w:rsidRPr="002261B9">
        <w:rPr>
          <w:lang w:val="es-ES"/>
        </w:rPr>
        <w:t>,</w:t>
      </w:r>
      <w:r w:rsidR="00063CF3" w:rsidRPr="002261B9">
        <w:rPr>
          <w:lang w:val="es-ES"/>
        </w:rPr>
        <w:t> </w:t>
      </w:r>
      <w:r w:rsidR="0066302D" w:rsidRPr="002261B9">
        <w:rPr>
          <w:lang w:val="es-ES"/>
        </w:rPr>
        <w:t>2015a, 2015c</w:t>
      </w:r>
      <w:r w:rsidR="00930AE1" w:rsidRPr="002261B9">
        <w:rPr>
          <w:lang w:val="es-ES"/>
        </w:rPr>
        <w:t>)</w:t>
      </w:r>
      <w:r w:rsidR="0066302D" w:rsidRPr="002261B9">
        <w:rPr>
          <w:lang w:val="es-ES"/>
        </w:rPr>
        <w:t>.</w:t>
      </w:r>
      <w:r w:rsidR="008747CA" w:rsidRPr="002261B9">
        <w:rPr>
          <w:lang w:val="es-ES"/>
        </w:rPr>
        <w:t xml:space="preserve"> </w:t>
      </w:r>
    </w:p>
    <w:p w14:paraId="78C64F88" w14:textId="4D56958E" w:rsidR="008747CA" w:rsidRPr="002261B9" w:rsidRDefault="007425F6" w:rsidP="00F45508">
      <w:pPr>
        <w:pStyle w:val="Paralevel1"/>
        <w:numPr>
          <w:ilvl w:val="0"/>
          <w:numId w:val="23"/>
        </w:numPr>
        <w:tabs>
          <w:tab w:val="clear" w:pos="0"/>
        </w:tabs>
        <w:ind w:left="1247" w:firstLine="0"/>
        <w:rPr>
          <w:lang w:val="es-ES"/>
        </w:rPr>
      </w:pPr>
      <w:r w:rsidRPr="002261B9">
        <w:rPr>
          <w:lang w:val="es-ES"/>
        </w:rPr>
        <w:t xml:space="preserve">Al evaluar los efectos </w:t>
      </w:r>
      <w:r w:rsidR="00C939D9" w:rsidRPr="002261B9">
        <w:rPr>
          <w:lang w:val="es-ES"/>
        </w:rPr>
        <w:t xml:space="preserve">para la salud humana y el medio ambiente de la restricción del </w:t>
      </w:r>
      <w:r w:rsidR="008747CA" w:rsidRPr="002261B9">
        <w:rPr>
          <w:lang w:val="es-ES"/>
        </w:rPr>
        <w:t xml:space="preserve">PFOA </w:t>
      </w:r>
      <w:r w:rsidR="00C939D9" w:rsidRPr="002261B9">
        <w:rPr>
          <w:lang w:val="es-ES"/>
        </w:rPr>
        <w:t>y</w:t>
      </w:r>
      <w:r w:rsidR="008747CA" w:rsidRPr="002261B9">
        <w:rPr>
          <w:lang w:val="es-ES"/>
        </w:rPr>
        <w:t xml:space="preserve"> </w:t>
      </w:r>
      <w:r w:rsidR="00E64629" w:rsidRPr="002261B9">
        <w:rPr>
          <w:lang w:val="es-ES"/>
        </w:rPr>
        <w:t>las sustancias conexas del PFOA</w:t>
      </w:r>
      <w:r w:rsidR="008B2178" w:rsidRPr="002261B9">
        <w:rPr>
          <w:lang w:val="es-ES"/>
        </w:rPr>
        <w:t>,</w:t>
      </w:r>
      <w:r w:rsidR="008747CA" w:rsidRPr="002261B9">
        <w:rPr>
          <w:lang w:val="es-ES"/>
        </w:rPr>
        <w:t xml:space="preserve"> </w:t>
      </w:r>
      <w:r w:rsidR="00C939D9" w:rsidRPr="002261B9">
        <w:rPr>
          <w:lang w:val="es-ES"/>
        </w:rPr>
        <w:t xml:space="preserve">es fundamental tener en cuenta las preocupaciones específicas que suscitan </w:t>
      </w:r>
      <w:r w:rsidR="008747CA" w:rsidRPr="002261B9">
        <w:rPr>
          <w:lang w:val="es-ES"/>
        </w:rPr>
        <w:t>sustanc</w:t>
      </w:r>
      <w:r w:rsidR="00C939D9" w:rsidRPr="002261B9">
        <w:rPr>
          <w:lang w:val="es-ES"/>
        </w:rPr>
        <w:t>ias como las que son persistentes, bioacumulativas y tóxicas</w:t>
      </w:r>
      <w:r w:rsidR="008747CA" w:rsidRPr="002261B9">
        <w:rPr>
          <w:lang w:val="es-ES"/>
        </w:rPr>
        <w:t xml:space="preserve">. </w:t>
      </w:r>
      <w:r w:rsidR="00C939D9" w:rsidRPr="002261B9">
        <w:rPr>
          <w:lang w:val="es-ES"/>
        </w:rPr>
        <w:t xml:space="preserve">Estas preocupaciones guardan relación en particular con el potencial del </w:t>
      </w:r>
      <w:r w:rsidR="008747CA" w:rsidRPr="002261B9">
        <w:rPr>
          <w:lang w:val="es-ES"/>
        </w:rPr>
        <w:t xml:space="preserve">PFOA </w:t>
      </w:r>
      <w:r w:rsidR="00C939D9" w:rsidRPr="002261B9">
        <w:rPr>
          <w:lang w:val="es-ES"/>
        </w:rPr>
        <w:t>de</w:t>
      </w:r>
      <w:r w:rsidR="008747CA" w:rsidRPr="002261B9">
        <w:rPr>
          <w:lang w:val="es-ES"/>
        </w:rPr>
        <w:t xml:space="preserve"> persist</w:t>
      </w:r>
      <w:r w:rsidR="00C939D9" w:rsidRPr="002261B9">
        <w:rPr>
          <w:lang w:val="es-ES"/>
        </w:rPr>
        <w:t>ir en el medio ambiente</w:t>
      </w:r>
      <w:r w:rsidR="008747CA" w:rsidRPr="002261B9">
        <w:rPr>
          <w:lang w:val="es-ES"/>
        </w:rPr>
        <w:t xml:space="preserve">, </w:t>
      </w:r>
      <w:r w:rsidR="00C939D9" w:rsidRPr="002261B9">
        <w:rPr>
          <w:lang w:val="es-ES"/>
        </w:rPr>
        <w:t>lo que significa que</w:t>
      </w:r>
      <w:r w:rsidR="008747CA" w:rsidRPr="002261B9">
        <w:rPr>
          <w:lang w:val="es-ES"/>
        </w:rPr>
        <w:t xml:space="preserve"> </w:t>
      </w:r>
      <w:r w:rsidR="00C939D9" w:rsidRPr="002261B9">
        <w:rPr>
          <w:lang w:val="es-ES"/>
        </w:rPr>
        <w:t xml:space="preserve">no se elimina </w:t>
      </w:r>
      <w:r w:rsidR="008747CA" w:rsidRPr="002261B9">
        <w:rPr>
          <w:lang w:val="es-ES"/>
        </w:rPr>
        <w:t>(o</w:t>
      </w:r>
      <w:r w:rsidR="00C939D9" w:rsidRPr="002261B9">
        <w:rPr>
          <w:lang w:val="es-ES"/>
        </w:rPr>
        <w:t xml:space="preserve"> solo en pequeña medida</w:t>
      </w:r>
      <w:r w:rsidR="008747CA" w:rsidRPr="002261B9">
        <w:rPr>
          <w:lang w:val="es-ES"/>
        </w:rPr>
        <w:t xml:space="preserve">) </w:t>
      </w:r>
      <w:r w:rsidR="00C939D9" w:rsidRPr="002261B9">
        <w:rPr>
          <w:lang w:val="es-ES"/>
        </w:rPr>
        <w:t>del medio ambiente</w:t>
      </w:r>
      <w:r w:rsidR="008747CA" w:rsidRPr="002261B9">
        <w:rPr>
          <w:lang w:val="es-ES"/>
        </w:rPr>
        <w:t xml:space="preserve">. </w:t>
      </w:r>
      <w:r w:rsidR="00C939D9" w:rsidRPr="002261B9">
        <w:rPr>
          <w:lang w:val="es-ES"/>
        </w:rPr>
        <w:t>Aún en el caso de que cesaran las emisiones de</w:t>
      </w:r>
      <w:r w:rsidR="008747CA" w:rsidRPr="002261B9">
        <w:rPr>
          <w:lang w:val="es-ES"/>
        </w:rPr>
        <w:t xml:space="preserve"> PFOA </w:t>
      </w:r>
      <w:r w:rsidR="00C939D9" w:rsidRPr="002261B9">
        <w:rPr>
          <w:lang w:val="es-ES"/>
        </w:rPr>
        <w:t>y</w:t>
      </w:r>
      <w:r w:rsidR="00E64629" w:rsidRPr="002261B9">
        <w:rPr>
          <w:lang w:val="es-ES"/>
        </w:rPr>
        <w:t xml:space="preserve"> sustancias conexas del PFOA</w:t>
      </w:r>
      <w:r w:rsidR="008747CA" w:rsidRPr="002261B9">
        <w:rPr>
          <w:lang w:val="es-ES"/>
        </w:rPr>
        <w:t xml:space="preserve">, </w:t>
      </w:r>
      <w:r w:rsidR="00C939D9" w:rsidRPr="002261B9">
        <w:rPr>
          <w:lang w:val="es-ES"/>
        </w:rPr>
        <w:t>el resultado no sería una reducción inmediata de las concentraciones en el medio ambiente</w:t>
      </w:r>
      <w:r w:rsidR="008747CA" w:rsidRPr="002261B9">
        <w:rPr>
          <w:lang w:val="es-ES"/>
        </w:rPr>
        <w:t xml:space="preserve">. </w:t>
      </w:r>
      <w:r w:rsidR="00C939D9" w:rsidRPr="002261B9">
        <w:rPr>
          <w:lang w:val="es-ES"/>
        </w:rPr>
        <w:t>Además de su persistencia</w:t>
      </w:r>
      <w:r w:rsidR="008747CA" w:rsidRPr="002261B9">
        <w:rPr>
          <w:lang w:val="es-ES"/>
        </w:rPr>
        <w:t xml:space="preserve">, </w:t>
      </w:r>
      <w:r w:rsidR="00C939D9" w:rsidRPr="002261B9">
        <w:rPr>
          <w:lang w:val="es-ES"/>
        </w:rPr>
        <w:t xml:space="preserve">el </w:t>
      </w:r>
      <w:r w:rsidR="008747CA" w:rsidRPr="002261B9">
        <w:rPr>
          <w:lang w:val="es-ES"/>
        </w:rPr>
        <w:t xml:space="preserve">PFOA </w:t>
      </w:r>
      <w:r w:rsidR="00C939D9" w:rsidRPr="002261B9">
        <w:rPr>
          <w:lang w:val="es-ES"/>
        </w:rPr>
        <w:t>es</w:t>
      </w:r>
      <w:r w:rsidR="008747CA" w:rsidRPr="002261B9">
        <w:rPr>
          <w:lang w:val="es-ES"/>
        </w:rPr>
        <w:t xml:space="preserve"> m</w:t>
      </w:r>
      <w:r w:rsidR="00C939D9" w:rsidRPr="002261B9">
        <w:rPr>
          <w:lang w:val="es-ES"/>
        </w:rPr>
        <w:t>óv</w:t>
      </w:r>
      <w:r w:rsidR="008747CA" w:rsidRPr="002261B9">
        <w:rPr>
          <w:lang w:val="es-ES"/>
        </w:rPr>
        <w:t>il</w:t>
      </w:r>
      <w:r w:rsidR="00C939D9" w:rsidRPr="002261B9">
        <w:rPr>
          <w:lang w:val="es-ES"/>
        </w:rPr>
        <w:t xml:space="preserve"> en el medio ambiente y tiene la posibilidad d</w:t>
      </w:r>
      <w:r w:rsidR="008747CA" w:rsidRPr="002261B9">
        <w:rPr>
          <w:lang w:val="es-ES"/>
        </w:rPr>
        <w:t xml:space="preserve">e </w:t>
      </w:r>
      <w:r w:rsidR="00E841ED" w:rsidRPr="002261B9">
        <w:rPr>
          <w:lang w:val="es-ES"/>
        </w:rPr>
        <w:t>distribuirse</w:t>
      </w:r>
      <w:r w:rsidR="00C939D9" w:rsidRPr="002261B9">
        <w:rPr>
          <w:lang w:val="es-ES"/>
        </w:rPr>
        <w:t xml:space="preserve"> a </w:t>
      </w:r>
      <w:r w:rsidR="00E841ED" w:rsidRPr="002261B9">
        <w:rPr>
          <w:lang w:val="es-ES"/>
        </w:rPr>
        <w:t>gran</w:t>
      </w:r>
      <w:r w:rsidR="00C939D9" w:rsidRPr="002261B9">
        <w:rPr>
          <w:lang w:val="es-ES"/>
        </w:rPr>
        <w:t xml:space="preserve"> distancia</w:t>
      </w:r>
      <w:r w:rsidR="008747CA" w:rsidRPr="002261B9">
        <w:rPr>
          <w:lang w:val="es-ES"/>
        </w:rPr>
        <w:t xml:space="preserve">, </w:t>
      </w:r>
      <w:r w:rsidR="00C939D9" w:rsidRPr="002261B9">
        <w:rPr>
          <w:lang w:val="es-ES"/>
        </w:rPr>
        <w:t xml:space="preserve">por ejemplo, </w:t>
      </w:r>
      <w:r w:rsidR="001C02BC" w:rsidRPr="002261B9">
        <w:rPr>
          <w:lang w:val="es-ES"/>
        </w:rPr>
        <w:t>mediante el transporte</w:t>
      </w:r>
      <w:r w:rsidR="00284890" w:rsidRPr="002261B9">
        <w:rPr>
          <w:lang w:val="es-ES"/>
        </w:rPr>
        <w:t xml:space="preserve"> </w:t>
      </w:r>
      <w:r w:rsidR="001C02BC" w:rsidRPr="002261B9">
        <w:rPr>
          <w:lang w:val="es-ES"/>
        </w:rPr>
        <w:t>a larga dista</w:t>
      </w:r>
      <w:r w:rsidR="00E841ED" w:rsidRPr="002261B9">
        <w:rPr>
          <w:lang w:val="es-ES"/>
        </w:rPr>
        <w:t>n</w:t>
      </w:r>
      <w:r w:rsidR="001C02BC" w:rsidRPr="002261B9">
        <w:rPr>
          <w:lang w:val="es-ES"/>
        </w:rPr>
        <w:t xml:space="preserve">cia en la atmósfera. De resultas de </w:t>
      </w:r>
      <w:r w:rsidR="00B6265B" w:rsidRPr="002261B9">
        <w:rPr>
          <w:lang w:val="es-ES"/>
        </w:rPr>
        <w:t xml:space="preserve">ello, el </w:t>
      </w:r>
      <w:r w:rsidR="008747CA" w:rsidRPr="002261B9">
        <w:rPr>
          <w:lang w:val="es-ES"/>
        </w:rPr>
        <w:t xml:space="preserve">PFOA </w:t>
      </w:r>
      <w:r w:rsidR="00B6265B" w:rsidRPr="002261B9">
        <w:rPr>
          <w:lang w:val="es-ES"/>
        </w:rPr>
        <w:t>está presente en el medio ambiente a escala mundia</w:t>
      </w:r>
      <w:r w:rsidR="008747CA" w:rsidRPr="002261B9">
        <w:rPr>
          <w:lang w:val="es-ES"/>
        </w:rPr>
        <w:t>l</w:t>
      </w:r>
      <w:r w:rsidR="00B6265B" w:rsidRPr="002261B9">
        <w:rPr>
          <w:lang w:val="es-ES"/>
        </w:rPr>
        <w:t>, así como en zonas apartadas</w:t>
      </w:r>
      <w:r w:rsidR="004E437C" w:rsidRPr="002261B9">
        <w:rPr>
          <w:lang w:val="es-ES"/>
        </w:rPr>
        <w:t>,</w:t>
      </w:r>
      <w:r w:rsidR="00B6265B" w:rsidRPr="002261B9">
        <w:rPr>
          <w:lang w:val="es-ES"/>
        </w:rPr>
        <w:t xml:space="preserve"> donde las emisiones de </w:t>
      </w:r>
      <w:r w:rsidR="008747CA" w:rsidRPr="002261B9">
        <w:rPr>
          <w:lang w:val="es-ES"/>
        </w:rPr>
        <w:t xml:space="preserve">PFOA </w:t>
      </w:r>
      <w:r w:rsidR="00B6265B" w:rsidRPr="002261B9">
        <w:rPr>
          <w:lang w:val="es-ES"/>
        </w:rPr>
        <w:t>son insignificantes</w:t>
      </w:r>
      <w:r w:rsidR="008747CA" w:rsidRPr="002261B9">
        <w:rPr>
          <w:lang w:val="es-ES"/>
        </w:rPr>
        <w:t xml:space="preserve">. </w:t>
      </w:r>
      <w:r w:rsidR="001C02BC" w:rsidRPr="002261B9">
        <w:rPr>
          <w:lang w:val="es-ES"/>
        </w:rPr>
        <w:t xml:space="preserve">El uso constante y las emisiones pueden dar lugar a un aumento de las concentraciones en el medio ambiente y a la exposición </w:t>
      </w:r>
      <w:r w:rsidR="00930AE1" w:rsidRPr="002261B9">
        <w:rPr>
          <w:lang w:val="es-ES"/>
        </w:rPr>
        <w:t>a</w:t>
      </w:r>
      <w:r w:rsidR="001C02BC" w:rsidRPr="002261B9">
        <w:rPr>
          <w:lang w:val="es-ES"/>
        </w:rPr>
        <w:t xml:space="preserve"> gran escala del medio ambiente y los seres humanos al PFOA por largo tiempo</w:t>
      </w:r>
      <w:r w:rsidR="008747CA" w:rsidRPr="002261B9">
        <w:rPr>
          <w:lang w:val="es-ES"/>
        </w:rPr>
        <w:t xml:space="preserve">. </w:t>
      </w:r>
      <w:r w:rsidR="00B6265B" w:rsidRPr="002261B9">
        <w:rPr>
          <w:lang w:val="es-ES"/>
        </w:rPr>
        <w:t>E</w:t>
      </w:r>
      <w:r w:rsidR="008747CA" w:rsidRPr="002261B9">
        <w:rPr>
          <w:lang w:val="es-ES"/>
        </w:rPr>
        <w:t>n combina</w:t>
      </w:r>
      <w:r w:rsidR="00B6265B" w:rsidRPr="002261B9">
        <w:rPr>
          <w:lang w:val="es-ES"/>
        </w:rPr>
        <w:t>c</w:t>
      </w:r>
      <w:r w:rsidR="008747CA" w:rsidRPr="002261B9">
        <w:rPr>
          <w:lang w:val="es-ES"/>
        </w:rPr>
        <w:t>i</w:t>
      </w:r>
      <w:r w:rsidR="00B6265B" w:rsidRPr="002261B9">
        <w:rPr>
          <w:lang w:val="es-ES"/>
        </w:rPr>
        <w:t>ó</w:t>
      </w:r>
      <w:r w:rsidR="008747CA" w:rsidRPr="002261B9">
        <w:rPr>
          <w:lang w:val="es-ES"/>
        </w:rPr>
        <w:t xml:space="preserve">n </w:t>
      </w:r>
      <w:r w:rsidR="00B6265B" w:rsidRPr="002261B9">
        <w:rPr>
          <w:lang w:val="es-ES"/>
        </w:rPr>
        <w:t>con el potencial del PFOA de acumularse e</w:t>
      </w:r>
      <w:r w:rsidR="008747CA" w:rsidRPr="002261B9">
        <w:rPr>
          <w:lang w:val="es-ES"/>
        </w:rPr>
        <w:t xml:space="preserve">n </w:t>
      </w:r>
      <w:r w:rsidR="00B6265B" w:rsidRPr="002261B9">
        <w:rPr>
          <w:lang w:val="es-ES"/>
        </w:rPr>
        <w:t>los organismos vivos,</w:t>
      </w:r>
      <w:r w:rsidR="008747CA" w:rsidRPr="002261B9">
        <w:rPr>
          <w:lang w:val="es-ES"/>
        </w:rPr>
        <w:t xml:space="preserve"> as</w:t>
      </w:r>
      <w:r w:rsidR="00B6265B" w:rsidRPr="002261B9">
        <w:rPr>
          <w:lang w:val="es-ES"/>
        </w:rPr>
        <w:t>í como sus propiedades toxicológicas</w:t>
      </w:r>
      <w:r w:rsidR="008747CA" w:rsidRPr="002261B9">
        <w:rPr>
          <w:lang w:val="es-ES"/>
        </w:rPr>
        <w:t xml:space="preserve">, </w:t>
      </w:r>
      <w:r w:rsidR="00B6265B" w:rsidRPr="002261B9">
        <w:rPr>
          <w:lang w:val="es-ES"/>
        </w:rPr>
        <w:t xml:space="preserve">su uso constante y las </w:t>
      </w:r>
      <w:r w:rsidR="008747CA" w:rsidRPr="002261B9">
        <w:rPr>
          <w:lang w:val="es-ES"/>
        </w:rPr>
        <w:t>emision</w:t>
      </w:r>
      <w:r w:rsidR="00B6265B" w:rsidRPr="002261B9">
        <w:rPr>
          <w:lang w:val="es-ES"/>
        </w:rPr>
        <w:t>e</w:t>
      </w:r>
      <w:r w:rsidR="008747CA" w:rsidRPr="002261B9">
        <w:rPr>
          <w:lang w:val="es-ES"/>
        </w:rPr>
        <w:t xml:space="preserve">s </w:t>
      </w:r>
      <w:r w:rsidR="00B6265B" w:rsidRPr="002261B9">
        <w:rPr>
          <w:lang w:val="es-ES"/>
        </w:rPr>
        <w:t>de</w:t>
      </w:r>
      <w:r w:rsidR="008747CA" w:rsidRPr="002261B9">
        <w:rPr>
          <w:lang w:val="es-ES"/>
        </w:rPr>
        <w:t xml:space="preserve"> PFOA </w:t>
      </w:r>
      <w:r w:rsidR="00B6265B" w:rsidRPr="002261B9">
        <w:rPr>
          <w:lang w:val="es-ES"/>
        </w:rPr>
        <w:t>y</w:t>
      </w:r>
      <w:r w:rsidR="00E64629" w:rsidRPr="002261B9">
        <w:rPr>
          <w:lang w:val="es-ES"/>
        </w:rPr>
        <w:t xml:space="preserve"> sustancias conexas del PFOA</w:t>
      </w:r>
      <w:r w:rsidR="008747CA" w:rsidRPr="002261B9">
        <w:rPr>
          <w:lang w:val="es-ES"/>
        </w:rPr>
        <w:t xml:space="preserve"> </w:t>
      </w:r>
      <w:r w:rsidR="00B6265B" w:rsidRPr="002261B9">
        <w:rPr>
          <w:lang w:val="es-ES"/>
        </w:rPr>
        <w:t>pueden surtir efectos adversos en la salud humana y el medio ambiente</w:t>
      </w:r>
      <w:r w:rsidR="008747CA" w:rsidRPr="002261B9">
        <w:rPr>
          <w:lang w:val="es-ES"/>
        </w:rPr>
        <w:t xml:space="preserve"> </w:t>
      </w:r>
      <w:r w:rsidR="00B6265B" w:rsidRPr="002261B9">
        <w:rPr>
          <w:lang w:val="es-ES"/>
        </w:rPr>
        <w:t>derivados de la exposición durante largo tiempo</w:t>
      </w:r>
      <w:r w:rsidR="008747CA" w:rsidRPr="002261B9">
        <w:rPr>
          <w:lang w:val="es-ES"/>
        </w:rPr>
        <w:t xml:space="preserve">. </w:t>
      </w:r>
      <w:r w:rsidR="00B6265B" w:rsidRPr="002261B9">
        <w:rPr>
          <w:lang w:val="es-ES"/>
        </w:rPr>
        <w:t>Será muy difícil revertir estos efectos</w:t>
      </w:r>
      <w:r w:rsidR="008747CA" w:rsidRPr="002261B9">
        <w:rPr>
          <w:lang w:val="es-ES"/>
        </w:rPr>
        <w:t xml:space="preserve">, </w:t>
      </w:r>
      <w:r w:rsidR="00B6265B" w:rsidRPr="002261B9">
        <w:rPr>
          <w:lang w:val="es-ES"/>
        </w:rPr>
        <w:t>una vez que se produzcan</w:t>
      </w:r>
      <w:r w:rsidR="008747CA" w:rsidRPr="002261B9">
        <w:rPr>
          <w:lang w:val="es-ES"/>
        </w:rPr>
        <w:t xml:space="preserve">. </w:t>
      </w:r>
      <w:r w:rsidR="00B6265B" w:rsidRPr="002261B9">
        <w:rPr>
          <w:lang w:val="es-ES"/>
        </w:rPr>
        <w:t xml:space="preserve">Se mantiene la incertidumbre </w:t>
      </w:r>
      <w:r w:rsidR="008D40AB" w:rsidRPr="002261B9">
        <w:rPr>
          <w:lang w:val="es-ES"/>
        </w:rPr>
        <w:t xml:space="preserve">acerca de </w:t>
      </w:r>
      <w:r w:rsidR="00B6265B" w:rsidRPr="002261B9">
        <w:rPr>
          <w:lang w:val="es-ES"/>
        </w:rPr>
        <w:t>l</w:t>
      </w:r>
      <w:r w:rsidR="00C939D9" w:rsidRPr="002261B9">
        <w:rPr>
          <w:lang w:val="es-ES"/>
        </w:rPr>
        <w:t xml:space="preserve">a magnitud y </w:t>
      </w:r>
      <w:r w:rsidR="008D40AB" w:rsidRPr="002261B9">
        <w:rPr>
          <w:lang w:val="es-ES"/>
        </w:rPr>
        <w:t>el alcance</w:t>
      </w:r>
      <w:r w:rsidR="00C939D9" w:rsidRPr="002261B9">
        <w:rPr>
          <w:lang w:val="es-ES"/>
        </w:rPr>
        <w:t xml:space="preserve"> de los riesgos del </w:t>
      </w:r>
      <w:r w:rsidR="008747CA" w:rsidRPr="002261B9">
        <w:rPr>
          <w:lang w:val="es-ES"/>
        </w:rPr>
        <w:t xml:space="preserve">PFOA </w:t>
      </w:r>
      <w:r w:rsidR="00C939D9" w:rsidRPr="002261B9">
        <w:rPr>
          <w:lang w:val="es-ES"/>
        </w:rPr>
        <w:t>y</w:t>
      </w:r>
      <w:r w:rsidR="008747CA" w:rsidRPr="002261B9">
        <w:rPr>
          <w:lang w:val="es-ES"/>
        </w:rPr>
        <w:t xml:space="preserve"> </w:t>
      </w:r>
      <w:r w:rsidR="00E64629" w:rsidRPr="002261B9">
        <w:rPr>
          <w:lang w:val="es-ES"/>
        </w:rPr>
        <w:t>las sustancias conexas del PFOA</w:t>
      </w:r>
      <w:r w:rsidR="008747CA" w:rsidRPr="002261B9">
        <w:rPr>
          <w:lang w:val="es-ES"/>
        </w:rPr>
        <w:t xml:space="preserve"> </w:t>
      </w:r>
      <w:r w:rsidR="00B6265B" w:rsidRPr="002261B9">
        <w:rPr>
          <w:lang w:val="es-ES"/>
        </w:rPr>
        <w:t>como contaminantes orgánicos persistentes</w:t>
      </w:r>
      <w:r w:rsidR="008747CA" w:rsidRPr="002261B9">
        <w:rPr>
          <w:lang w:val="es-ES"/>
        </w:rPr>
        <w:t>.</w:t>
      </w:r>
      <w:r w:rsidR="00284890" w:rsidRPr="002261B9">
        <w:rPr>
          <w:lang w:val="es-ES"/>
        </w:rPr>
        <w:t xml:space="preserve"> </w:t>
      </w:r>
      <w:r w:rsidR="001C02BC" w:rsidRPr="002261B9">
        <w:rPr>
          <w:lang w:val="es-ES"/>
        </w:rPr>
        <w:t xml:space="preserve">Por consiguiente, la gestión de los riesgos de esas sustancias se apoya en datos científicos y </w:t>
      </w:r>
      <w:r w:rsidR="00336912" w:rsidRPr="002261B9">
        <w:rPr>
          <w:lang w:val="es-ES"/>
        </w:rPr>
        <w:t xml:space="preserve">en </w:t>
      </w:r>
      <w:r w:rsidR="001C02BC" w:rsidRPr="002261B9">
        <w:rPr>
          <w:lang w:val="es-ES"/>
        </w:rPr>
        <w:t xml:space="preserve">medidas </w:t>
      </w:r>
      <w:r w:rsidR="00336912" w:rsidRPr="002261B9">
        <w:rPr>
          <w:lang w:val="es-ES"/>
        </w:rPr>
        <w:t>de precaución</w:t>
      </w:r>
      <w:r w:rsidR="001C02BC" w:rsidRPr="002261B9">
        <w:rPr>
          <w:lang w:val="es-ES"/>
        </w:rPr>
        <w:t xml:space="preserve"> para evitar que se sigan produciendo efectos irreversibles y potencialmente graves </w:t>
      </w:r>
      <w:r w:rsidR="006667E8" w:rsidRPr="002261B9">
        <w:rPr>
          <w:lang w:val="es-ES"/>
        </w:rPr>
        <w:t xml:space="preserve">resultantes de </w:t>
      </w:r>
      <w:r w:rsidR="001C02BC" w:rsidRPr="002261B9">
        <w:rPr>
          <w:lang w:val="es-ES"/>
        </w:rPr>
        <w:t>la continuación de las emisiones</w:t>
      </w:r>
      <w:r w:rsidR="006667E8" w:rsidRPr="002261B9">
        <w:rPr>
          <w:lang w:val="es-ES"/>
        </w:rPr>
        <w:t>.</w:t>
      </w:r>
      <w:r w:rsidR="008747CA" w:rsidRPr="002261B9">
        <w:rPr>
          <w:lang w:val="es-ES"/>
        </w:rPr>
        <w:t xml:space="preserve"> </w:t>
      </w:r>
      <w:r w:rsidR="00B6265B" w:rsidRPr="002261B9">
        <w:rPr>
          <w:lang w:val="es-ES"/>
        </w:rPr>
        <w:t xml:space="preserve">Esto es evidente pese a que no se pueden cuantificar todos </w:t>
      </w:r>
      <w:r w:rsidR="00977FEC" w:rsidRPr="002261B9">
        <w:rPr>
          <w:lang w:val="es-ES"/>
        </w:rPr>
        <w:t xml:space="preserve">los </w:t>
      </w:r>
      <w:r w:rsidR="00B6265B" w:rsidRPr="002261B9">
        <w:rPr>
          <w:lang w:val="es-ES"/>
        </w:rPr>
        <w:t xml:space="preserve">efectos físicos en la salud humana y el medio ambiente de la reducción de las emisiones de </w:t>
      </w:r>
      <w:r w:rsidR="008747CA" w:rsidRPr="002261B9">
        <w:rPr>
          <w:lang w:val="es-ES"/>
        </w:rPr>
        <w:t xml:space="preserve">PFOA </w:t>
      </w:r>
      <w:r w:rsidR="00B6265B" w:rsidRPr="002261B9">
        <w:rPr>
          <w:lang w:val="es-ES"/>
        </w:rPr>
        <w:t>y de</w:t>
      </w:r>
      <w:r w:rsidR="00E64629" w:rsidRPr="002261B9">
        <w:rPr>
          <w:lang w:val="es-ES"/>
        </w:rPr>
        <w:t xml:space="preserve"> sustancias conexas del PFOA</w:t>
      </w:r>
      <w:r w:rsidR="00C54E85" w:rsidRPr="002261B9">
        <w:rPr>
          <w:lang w:val="es-ES"/>
        </w:rPr>
        <w:t xml:space="preserve"> </w:t>
      </w:r>
      <w:r w:rsidR="008747CA" w:rsidRPr="002261B9">
        <w:rPr>
          <w:lang w:val="es-ES"/>
        </w:rPr>
        <w:t>(ECHA</w:t>
      </w:r>
      <w:r w:rsidR="009F32DA" w:rsidRPr="002261B9">
        <w:rPr>
          <w:lang w:val="es-ES"/>
        </w:rPr>
        <w:t>,</w:t>
      </w:r>
      <w:r w:rsidR="008747CA" w:rsidRPr="002261B9">
        <w:rPr>
          <w:lang w:val="es-ES"/>
        </w:rPr>
        <w:t xml:space="preserve"> 2015a</w:t>
      </w:r>
      <w:r w:rsidR="00930AE1" w:rsidRPr="002261B9">
        <w:rPr>
          <w:lang w:val="es-ES"/>
        </w:rPr>
        <w:t>)</w:t>
      </w:r>
      <w:r w:rsidR="008747CA" w:rsidRPr="002261B9">
        <w:rPr>
          <w:lang w:val="es-ES"/>
        </w:rPr>
        <w:t xml:space="preserve">. </w:t>
      </w:r>
    </w:p>
    <w:p w14:paraId="6AE6143B" w14:textId="1CB74C23" w:rsidR="008747CA" w:rsidRPr="002261B9" w:rsidRDefault="00C33C8E" w:rsidP="00F45508">
      <w:pPr>
        <w:pStyle w:val="Paralevel1"/>
        <w:numPr>
          <w:ilvl w:val="0"/>
          <w:numId w:val="23"/>
        </w:numPr>
        <w:tabs>
          <w:tab w:val="clear" w:pos="0"/>
        </w:tabs>
        <w:ind w:left="1247" w:firstLine="0"/>
        <w:rPr>
          <w:lang w:val="es-ES"/>
        </w:rPr>
      </w:pPr>
      <w:r w:rsidRPr="002261B9">
        <w:rPr>
          <w:lang w:val="es-ES"/>
        </w:rPr>
        <w:t xml:space="preserve">La restricción del </w:t>
      </w:r>
      <w:r w:rsidR="008747CA" w:rsidRPr="002261B9">
        <w:rPr>
          <w:lang w:val="es-ES"/>
        </w:rPr>
        <w:t xml:space="preserve">PFOA </w:t>
      </w:r>
      <w:r w:rsidRPr="002261B9">
        <w:rPr>
          <w:lang w:val="es-ES"/>
        </w:rPr>
        <w:t xml:space="preserve">y las sustancias conexas del </w:t>
      </w:r>
      <w:r w:rsidR="008747CA" w:rsidRPr="002261B9">
        <w:rPr>
          <w:lang w:val="es-ES"/>
        </w:rPr>
        <w:t>PFOA</w:t>
      </w:r>
      <w:r w:rsidRPr="002261B9">
        <w:rPr>
          <w:lang w:val="es-ES"/>
        </w:rPr>
        <w:t xml:space="preserve"> en la UE obligará a la industria a ir reduciendo gradualmente los compuestos respectivos en prácticamente todas las aplicaciones y todos los sectores, lo que eliminará todas las fuentes importantes de emisiones</w:t>
      </w:r>
      <w:r w:rsidR="008747CA" w:rsidRPr="002261B9">
        <w:rPr>
          <w:lang w:val="es-ES"/>
        </w:rPr>
        <w:t xml:space="preserve"> (</w:t>
      </w:r>
      <w:r w:rsidRPr="002261B9">
        <w:rPr>
          <w:lang w:val="es-ES"/>
        </w:rPr>
        <w:t xml:space="preserve">además de las liberaciones que emanan de las actuales reservas y de los usos exentos del </w:t>
      </w:r>
      <w:r w:rsidR="008747CA" w:rsidRPr="002261B9">
        <w:rPr>
          <w:lang w:val="es-ES"/>
        </w:rPr>
        <w:t xml:space="preserve">PFOA </w:t>
      </w:r>
      <w:r w:rsidRPr="002261B9">
        <w:rPr>
          <w:lang w:val="es-ES"/>
        </w:rPr>
        <w:t xml:space="preserve">y las sustancias conexas del </w:t>
      </w:r>
      <w:r w:rsidR="008747CA" w:rsidRPr="002261B9">
        <w:rPr>
          <w:lang w:val="es-ES"/>
        </w:rPr>
        <w:t>PFOA) (ECHA</w:t>
      </w:r>
      <w:r w:rsidR="009F32DA" w:rsidRPr="002261B9">
        <w:rPr>
          <w:lang w:val="es-ES"/>
        </w:rPr>
        <w:t>,</w:t>
      </w:r>
      <w:r w:rsidR="008747CA" w:rsidRPr="002261B9">
        <w:rPr>
          <w:lang w:val="es-ES"/>
        </w:rPr>
        <w:t xml:space="preserve"> 2015a</w:t>
      </w:r>
      <w:r w:rsidR="00930AE1" w:rsidRPr="002261B9">
        <w:rPr>
          <w:lang w:val="es-ES"/>
        </w:rPr>
        <w:t>)</w:t>
      </w:r>
      <w:r w:rsidR="008747CA" w:rsidRPr="002261B9">
        <w:rPr>
          <w:lang w:val="es-ES"/>
        </w:rPr>
        <w:t xml:space="preserve">. </w:t>
      </w:r>
      <w:r w:rsidRPr="002261B9">
        <w:rPr>
          <w:lang w:val="es-ES"/>
        </w:rPr>
        <w:t xml:space="preserve">En el documento de antecedentes de la propuesta de restricción de la Unión Europea, se plantea que se dispone de mucho menos datos sobre las propiedades toxicológicas de las alternativas más idóneas que </w:t>
      </w:r>
      <w:r w:rsidR="00976F80" w:rsidRPr="002261B9">
        <w:rPr>
          <w:lang w:val="es-ES"/>
        </w:rPr>
        <w:t xml:space="preserve">sobre el </w:t>
      </w:r>
      <w:r w:rsidR="008747CA" w:rsidRPr="002261B9">
        <w:rPr>
          <w:lang w:val="es-ES"/>
        </w:rPr>
        <w:t xml:space="preserve">PFOA. </w:t>
      </w:r>
      <w:r w:rsidR="00976F80" w:rsidRPr="002261B9">
        <w:rPr>
          <w:lang w:val="es-ES"/>
        </w:rPr>
        <w:t xml:space="preserve">Sin embargo, sobre la base del análisis de las alternativas, cabe esperar que entrañen menos riesgos para la salud que el </w:t>
      </w:r>
      <w:r w:rsidR="008747CA" w:rsidRPr="002261B9">
        <w:rPr>
          <w:lang w:val="es-ES"/>
        </w:rPr>
        <w:t xml:space="preserve">PFOA </w:t>
      </w:r>
      <w:r w:rsidR="00976F80" w:rsidRPr="002261B9">
        <w:rPr>
          <w:lang w:val="es-ES"/>
        </w:rPr>
        <w:t xml:space="preserve">y las sustancias conexas del </w:t>
      </w:r>
      <w:r w:rsidR="008747CA" w:rsidRPr="002261B9">
        <w:rPr>
          <w:lang w:val="es-ES"/>
        </w:rPr>
        <w:t xml:space="preserve">PFOA. </w:t>
      </w:r>
      <w:r w:rsidR="00976F80" w:rsidRPr="002261B9">
        <w:rPr>
          <w:lang w:val="es-ES"/>
        </w:rPr>
        <w:t>Por esa razón, cabe prever que la restricción traiga consigo un beneficio neto para la sociedad en lo referente a sus efectos en la salud humana</w:t>
      </w:r>
      <w:r w:rsidR="008747CA" w:rsidRPr="002261B9">
        <w:rPr>
          <w:lang w:val="es-ES"/>
        </w:rPr>
        <w:t xml:space="preserve"> </w:t>
      </w:r>
      <w:r w:rsidR="00930AE1" w:rsidRPr="002261B9">
        <w:rPr>
          <w:lang w:val="es-ES"/>
        </w:rPr>
        <w:t>(</w:t>
      </w:r>
      <w:r w:rsidR="008747CA" w:rsidRPr="002261B9">
        <w:rPr>
          <w:lang w:val="es-ES"/>
        </w:rPr>
        <w:t>ECHA</w:t>
      </w:r>
      <w:r w:rsidR="009F32DA" w:rsidRPr="002261B9">
        <w:rPr>
          <w:lang w:val="es-ES"/>
        </w:rPr>
        <w:t>,</w:t>
      </w:r>
      <w:r w:rsidR="008747CA" w:rsidRPr="002261B9">
        <w:rPr>
          <w:lang w:val="es-ES"/>
        </w:rPr>
        <w:t xml:space="preserve"> 2015a</w:t>
      </w:r>
      <w:r w:rsidR="00930AE1" w:rsidRPr="002261B9">
        <w:rPr>
          <w:lang w:val="es-ES"/>
        </w:rPr>
        <w:t>)</w:t>
      </w:r>
      <w:r w:rsidR="008747CA" w:rsidRPr="002261B9">
        <w:rPr>
          <w:lang w:val="es-ES"/>
        </w:rPr>
        <w:t>.</w:t>
      </w:r>
    </w:p>
    <w:p w14:paraId="17A31725" w14:textId="46D218B3" w:rsidR="008747CA" w:rsidRPr="002261B9" w:rsidRDefault="00976F80" w:rsidP="00F45508">
      <w:pPr>
        <w:pStyle w:val="Paralevel1"/>
        <w:numPr>
          <w:ilvl w:val="0"/>
          <w:numId w:val="23"/>
        </w:numPr>
        <w:tabs>
          <w:tab w:val="clear" w:pos="0"/>
        </w:tabs>
        <w:ind w:left="1247" w:firstLine="0"/>
        <w:rPr>
          <w:lang w:val="es-ES"/>
        </w:rPr>
      </w:pPr>
      <w:r w:rsidRPr="002261B9">
        <w:rPr>
          <w:lang w:val="es-ES"/>
        </w:rPr>
        <w:t xml:space="preserve">El </w:t>
      </w:r>
      <w:r w:rsidR="008747CA" w:rsidRPr="002261B9">
        <w:rPr>
          <w:lang w:val="es-ES"/>
        </w:rPr>
        <w:t>Canad</w:t>
      </w:r>
      <w:r w:rsidRPr="002261B9">
        <w:rPr>
          <w:lang w:val="es-ES"/>
        </w:rPr>
        <w:t>á</w:t>
      </w:r>
      <w:r w:rsidR="008747CA" w:rsidRPr="002261B9">
        <w:rPr>
          <w:lang w:val="es-ES"/>
        </w:rPr>
        <w:t xml:space="preserve"> proh</w:t>
      </w:r>
      <w:r w:rsidRPr="002261B9">
        <w:rPr>
          <w:lang w:val="es-ES"/>
        </w:rPr>
        <w:t xml:space="preserve">íbe el </w:t>
      </w:r>
      <w:r w:rsidR="008747CA" w:rsidRPr="002261B9">
        <w:rPr>
          <w:lang w:val="es-ES"/>
        </w:rPr>
        <w:t xml:space="preserve">PFOA </w:t>
      </w:r>
      <w:r w:rsidRPr="002261B9">
        <w:rPr>
          <w:lang w:val="es-ES"/>
        </w:rPr>
        <w:t xml:space="preserve">y los </w:t>
      </w:r>
      <w:r w:rsidR="008747CA" w:rsidRPr="002261B9">
        <w:rPr>
          <w:lang w:val="es-ES"/>
        </w:rPr>
        <w:t>PFCA</w:t>
      </w:r>
      <w:r w:rsidRPr="002261B9">
        <w:rPr>
          <w:lang w:val="es-ES"/>
        </w:rPr>
        <w:t xml:space="preserve"> de cadena larga con determinadas exenciones que permiten usos actuales y por tiempo limitado de esas sustancias, cuando no existen alternativas técnica o económicamente viables o para dar tiempo suficiente a que tenga lugar la transición </w:t>
      </w:r>
      <w:r w:rsidR="00A30EB1" w:rsidRPr="002261B9">
        <w:rPr>
          <w:lang w:val="es-ES"/>
        </w:rPr>
        <w:t>haci</w:t>
      </w:r>
      <w:r w:rsidRPr="002261B9">
        <w:rPr>
          <w:lang w:val="es-ES"/>
        </w:rPr>
        <w:t>a esas alternativas</w:t>
      </w:r>
      <w:r w:rsidR="008747CA" w:rsidRPr="002261B9">
        <w:rPr>
          <w:lang w:val="es-ES"/>
        </w:rPr>
        <w:t xml:space="preserve"> (</w:t>
      </w:r>
      <w:r w:rsidRPr="002261B9">
        <w:rPr>
          <w:lang w:val="es-ES"/>
        </w:rPr>
        <w:t>véase</w:t>
      </w:r>
      <w:r w:rsidR="008747CA" w:rsidRPr="002261B9">
        <w:rPr>
          <w:lang w:val="es-ES"/>
        </w:rPr>
        <w:t xml:space="preserve"> Canad</w:t>
      </w:r>
      <w:r w:rsidRPr="002261B9">
        <w:rPr>
          <w:lang w:val="es-ES"/>
        </w:rPr>
        <w:t>á</w:t>
      </w:r>
      <w:r w:rsidR="009F32DA" w:rsidRPr="002261B9">
        <w:rPr>
          <w:lang w:val="es-ES"/>
        </w:rPr>
        <w:t>,</w:t>
      </w:r>
      <w:r w:rsidR="008747CA" w:rsidRPr="002261B9">
        <w:rPr>
          <w:lang w:val="es-ES"/>
        </w:rPr>
        <w:t>2016c</w:t>
      </w:r>
      <w:r w:rsidR="00930AE1" w:rsidRPr="002261B9">
        <w:rPr>
          <w:lang w:val="es-ES"/>
        </w:rPr>
        <w:t>)</w:t>
      </w:r>
      <w:r w:rsidR="008747CA" w:rsidRPr="002261B9">
        <w:rPr>
          <w:lang w:val="es-ES"/>
        </w:rPr>
        <w:t xml:space="preserve">. </w:t>
      </w:r>
      <w:r w:rsidRPr="002261B9">
        <w:rPr>
          <w:lang w:val="es-ES"/>
        </w:rPr>
        <w:t>Si bien no se ha llevado a cabo un análisis cuantitativo de los beneficios</w:t>
      </w:r>
      <w:r w:rsidR="008747CA" w:rsidRPr="002261B9">
        <w:rPr>
          <w:lang w:val="es-ES"/>
        </w:rPr>
        <w:t xml:space="preserve">, </w:t>
      </w:r>
      <w:r w:rsidRPr="002261B9">
        <w:rPr>
          <w:lang w:val="es-ES"/>
        </w:rPr>
        <w:t xml:space="preserve">las enmiendas protegerán al medio ambiente ya que prohíben la fabricación, el uso, la venta, la oferta </w:t>
      </w:r>
      <w:r w:rsidR="00386F8F" w:rsidRPr="002261B9">
        <w:rPr>
          <w:lang w:val="es-ES"/>
        </w:rPr>
        <w:t>de</w:t>
      </w:r>
      <w:r w:rsidRPr="002261B9">
        <w:rPr>
          <w:lang w:val="es-ES"/>
        </w:rPr>
        <w:t xml:space="preserve"> venta o la importación del</w:t>
      </w:r>
      <w:r w:rsidR="00393340" w:rsidRPr="002261B9">
        <w:rPr>
          <w:lang w:val="es-ES"/>
        </w:rPr>
        <w:t xml:space="preserve"> PFOA </w:t>
      </w:r>
      <w:r w:rsidRPr="002261B9">
        <w:rPr>
          <w:lang w:val="es-ES"/>
        </w:rPr>
        <w:t xml:space="preserve">y los </w:t>
      </w:r>
      <w:r w:rsidR="00393340" w:rsidRPr="002261B9">
        <w:rPr>
          <w:lang w:val="es-ES"/>
        </w:rPr>
        <w:t>PFCA</w:t>
      </w:r>
      <w:r w:rsidRPr="002261B9">
        <w:rPr>
          <w:lang w:val="es-ES"/>
        </w:rPr>
        <w:t xml:space="preserve"> de cadena larga</w:t>
      </w:r>
      <w:r w:rsidR="008747CA" w:rsidRPr="002261B9">
        <w:rPr>
          <w:lang w:val="es-ES"/>
        </w:rPr>
        <w:t xml:space="preserve">. </w:t>
      </w:r>
      <w:r w:rsidRPr="002261B9">
        <w:rPr>
          <w:lang w:val="es-ES"/>
        </w:rPr>
        <w:t>Cabe esperar que el control de esas sustancias mejore la calidad del medio ambiente</w:t>
      </w:r>
      <w:r w:rsidR="00393340" w:rsidRPr="002261B9">
        <w:rPr>
          <w:lang w:val="es-ES"/>
        </w:rPr>
        <w:t xml:space="preserve"> (Canad</w:t>
      </w:r>
      <w:r w:rsidRPr="002261B9">
        <w:rPr>
          <w:lang w:val="es-ES"/>
        </w:rPr>
        <w:t>á</w:t>
      </w:r>
      <w:r w:rsidR="009F32DA" w:rsidRPr="002261B9">
        <w:rPr>
          <w:lang w:val="es-ES"/>
        </w:rPr>
        <w:t>,</w:t>
      </w:r>
      <w:r w:rsidR="00393340" w:rsidRPr="002261B9">
        <w:rPr>
          <w:lang w:val="es-ES"/>
        </w:rPr>
        <w:t xml:space="preserve"> 2016c</w:t>
      </w:r>
      <w:r w:rsidR="00930AE1" w:rsidRPr="002261B9">
        <w:rPr>
          <w:lang w:val="es-ES"/>
        </w:rPr>
        <w:t>)</w:t>
      </w:r>
      <w:r w:rsidR="008747CA" w:rsidRPr="002261B9">
        <w:rPr>
          <w:lang w:val="es-ES"/>
        </w:rPr>
        <w:t xml:space="preserve">. </w:t>
      </w:r>
    </w:p>
    <w:p w14:paraId="66BB95B8" w14:textId="6E6A2873" w:rsidR="008747CA" w:rsidRPr="002261B9" w:rsidRDefault="008747CA" w:rsidP="00F45508">
      <w:pPr>
        <w:pStyle w:val="Paralevel1"/>
        <w:numPr>
          <w:ilvl w:val="0"/>
          <w:numId w:val="23"/>
        </w:numPr>
        <w:tabs>
          <w:tab w:val="clear" w:pos="0"/>
        </w:tabs>
        <w:ind w:left="1247" w:firstLine="0"/>
        <w:rPr>
          <w:lang w:val="es-ES"/>
        </w:rPr>
      </w:pPr>
      <w:r w:rsidRPr="002261B9">
        <w:rPr>
          <w:lang w:val="es-ES"/>
        </w:rPr>
        <w:t>Australia e</w:t>
      </w:r>
      <w:r w:rsidR="00976F80" w:rsidRPr="002261B9">
        <w:rPr>
          <w:lang w:val="es-ES"/>
        </w:rPr>
        <w:t xml:space="preserve">spera efectos positivos de las medidas de control relacionadas con </w:t>
      </w:r>
      <w:r w:rsidR="00AF735F" w:rsidRPr="002261B9">
        <w:rPr>
          <w:lang w:val="es-ES"/>
        </w:rPr>
        <w:t>la prevención de la contaminación de las aguas superficiales, las aguas subterráneas y el agua potables y</w:t>
      </w:r>
      <w:r w:rsidR="003462FB" w:rsidRPr="002261B9">
        <w:rPr>
          <w:lang w:val="es-ES"/>
        </w:rPr>
        <w:t>, por ende, una reducción de la posible exposición de los seres humanos</w:t>
      </w:r>
      <w:r w:rsidRPr="002261B9">
        <w:rPr>
          <w:lang w:val="es-ES"/>
        </w:rPr>
        <w:t xml:space="preserve"> (Australia</w:t>
      </w:r>
      <w:r w:rsidR="009F32DA" w:rsidRPr="002261B9">
        <w:rPr>
          <w:lang w:val="es-ES"/>
        </w:rPr>
        <w:t>,</w:t>
      </w:r>
      <w:r w:rsidRPr="002261B9">
        <w:rPr>
          <w:lang w:val="es-ES"/>
        </w:rPr>
        <w:t xml:space="preserve"> 2016).</w:t>
      </w:r>
    </w:p>
    <w:p w14:paraId="456BA549" w14:textId="08B54FB7" w:rsidR="008747CA" w:rsidRPr="002261B9" w:rsidRDefault="00900858" w:rsidP="00F45508">
      <w:pPr>
        <w:pStyle w:val="Paralevel1"/>
        <w:numPr>
          <w:ilvl w:val="0"/>
          <w:numId w:val="23"/>
        </w:numPr>
        <w:tabs>
          <w:tab w:val="clear" w:pos="0"/>
        </w:tabs>
        <w:ind w:left="1247" w:firstLine="0"/>
        <w:rPr>
          <w:lang w:val="es-ES"/>
        </w:rPr>
      </w:pPr>
      <w:r w:rsidRPr="002261B9">
        <w:rPr>
          <w:lang w:val="es-ES"/>
        </w:rPr>
        <w:t xml:space="preserve">En lo que respecta a los textiles </w:t>
      </w:r>
      <w:r w:rsidR="00D46F5C" w:rsidRPr="002261B9">
        <w:rPr>
          <w:lang w:val="es-ES"/>
        </w:rPr>
        <w:t xml:space="preserve">de uso </w:t>
      </w:r>
      <w:r w:rsidRPr="002261B9">
        <w:rPr>
          <w:lang w:val="es-ES"/>
        </w:rPr>
        <w:t xml:space="preserve">profesional, técnico y de protección que deben cumplir normas de </w:t>
      </w:r>
      <w:r w:rsidR="00BC69DD" w:rsidRPr="002261B9">
        <w:rPr>
          <w:lang w:val="es-ES"/>
        </w:rPr>
        <w:t>repelencia</w:t>
      </w:r>
      <w:r w:rsidRPr="002261B9">
        <w:rPr>
          <w:lang w:val="es-ES"/>
        </w:rPr>
        <w:t xml:space="preserve"> duradera</w:t>
      </w:r>
      <w:r w:rsidR="008747CA" w:rsidRPr="002261B9">
        <w:rPr>
          <w:lang w:val="es-ES"/>
        </w:rPr>
        <w:t xml:space="preserve">, </w:t>
      </w:r>
      <w:r w:rsidRPr="002261B9">
        <w:rPr>
          <w:lang w:val="es-ES"/>
        </w:rPr>
        <w:t>los representantes de la industria textil plantean que</w:t>
      </w:r>
      <w:r w:rsidR="008747CA" w:rsidRPr="002261B9">
        <w:rPr>
          <w:lang w:val="es-ES"/>
        </w:rPr>
        <w:t xml:space="preserve">, </w:t>
      </w:r>
      <w:r w:rsidRPr="002261B9">
        <w:rPr>
          <w:lang w:val="es-ES"/>
        </w:rPr>
        <w:t>e</w:t>
      </w:r>
      <w:r w:rsidR="008747CA" w:rsidRPr="002261B9">
        <w:rPr>
          <w:lang w:val="es-ES"/>
        </w:rPr>
        <w:t>n vi</w:t>
      </w:r>
      <w:r w:rsidRPr="002261B9">
        <w:rPr>
          <w:lang w:val="es-ES"/>
        </w:rPr>
        <w:t>sta</w:t>
      </w:r>
      <w:r w:rsidR="008747CA" w:rsidRPr="002261B9">
        <w:rPr>
          <w:lang w:val="es-ES"/>
        </w:rPr>
        <w:t xml:space="preserve"> </w:t>
      </w:r>
      <w:r w:rsidRPr="002261B9">
        <w:rPr>
          <w:lang w:val="es-ES"/>
        </w:rPr>
        <w:t xml:space="preserve">de los grandes adelantos que ya se han logrado en la prevención de emisiones, seguir imponiendo restricciones pondría en grave peligro la salud pública, ambiental y ocupacional si se prohíben los textiles </w:t>
      </w:r>
      <w:r w:rsidR="00D46F5C" w:rsidRPr="002261B9">
        <w:rPr>
          <w:lang w:val="es-ES"/>
        </w:rPr>
        <w:t xml:space="preserve">de uso </w:t>
      </w:r>
      <w:r w:rsidRPr="002261B9">
        <w:rPr>
          <w:lang w:val="es-ES"/>
        </w:rPr>
        <w:t>profesional, técnico y de protección</w:t>
      </w:r>
      <w:r w:rsidR="008747CA" w:rsidRPr="002261B9">
        <w:rPr>
          <w:lang w:val="es-ES"/>
        </w:rPr>
        <w:t xml:space="preserve"> (</w:t>
      </w:r>
      <w:r w:rsidRPr="002261B9">
        <w:rPr>
          <w:lang w:val="es-ES"/>
        </w:rPr>
        <w:t>véa</w:t>
      </w:r>
      <w:r w:rsidR="00134123" w:rsidRPr="002261B9">
        <w:rPr>
          <w:lang w:val="es-ES"/>
        </w:rPr>
        <w:t>n</w:t>
      </w:r>
      <w:r w:rsidRPr="002261B9">
        <w:rPr>
          <w:lang w:val="es-ES"/>
        </w:rPr>
        <w:t>se</w:t>
      </w:r>
      <w:r w:rsidR="008747CA" w:rsidRPr="002261B9">
        <w:rPr>
          <w:lang w:val="es-ES"/>
        </w:rPr>
        <w:t xml:space="preserve"> VTB SWT</w:t>
      </w:r>
      <w:r w:rsidR="009F32DA" w:rsidRPr="002261B9">
        <w:rPr>
          <w:lang w:val="es-ES"/>
        </w:rPr>
        <w:t>,</w:t>
      </w:r>
      <w:r w:rsidR="008747CA" w:rsidRPr="002261B9">
        <w:rPr>
          <w:lang w:val="es-ES"/>
        </w:rPr>
        <w:t xml:space="preserve"> 2016 </w:t>
      </w:r>
      <w:r w:rsidRPr="002261B9">
        <w:rPr>
          <w:lang w:val="es-ES"/>
        </w:rPr>
        <w:t>y</w:t>
      </w:r>
      <w:r w:rsidR="008747CA" w:rsidRPr="002261B9">
        <w:rPr>
          <w:lang w:val="es-ES"/>
        </w:rPr>
        <w:t xml:space="preserve"> TM</w:t>
      </w:r>
      <w:r w:rsidR="009F32DA" w:rsidRPr="002261B9">
        <w:rPr>
          <w:lang w:val="es-ES"/>
        </w:rPr>
        <w:t>,</w:t>
      </w:r>
      <w:r w:rsidR="008747CA" w:rsidRPr="002261B9">
        <w:rPr>
          <w:lang w:val="es-ES"/>
        </w:rPr>
        <w:t xml:space="preserve"> 2016).</w:t>
      </w:r>
    </w:p>
    <w:p w14:paraId="21C29B02" w14:textId="6BE32D32" w:rsidR="003462FB" w:rsidRPr="002261B9" w:rsidRDefault="00900858" w:rsidP="00F45508">
      <w:pPr>
        <w:pStyle w:val="Paralevel1"/>
        <w:numPr>
          <w:ilvl w:val="0"/>
          <w:numId w:val="23"/>
        </w:numPr>
        <w:tabs>
          <w:tab w:val="clear" w:pos="0"/>
        </w:tabs>
        <w:ind w:left="1247" w:firstLine="0"/>
        <w:rPr>
          <w:lang w:val="es-ES"/>
        </w:rPr>
      </w:pPr>
      <w:r w:rsidRPr="002261B9">
        <w:rPr>
          <w:lang w:val="es-ES"/>
        </w:rPr>
        <w:t>Según representantes de la industria fotográfica europea, las medidas de control que aplica la industria fotográfica y de creación de imágenes</w:t>
      </w:r>
      <w:r w:rsidR="008747CA" w:rsidRPr="002261B9">
        <w:rPr>
          <w:lang w:val="es-ES"/>
        </w:rPr>
        <w:t xml:space="preserve">, </w:t>
      </w:r>
      <w:r w:rsidRPr="002261B9">
        <w:rPr>
          <w:lang w:val="es-ES"/>
        </w:rPr>
        <w:t xml:space="preserve">entre otras, la reformulación y </w:t>
      </w:r>
      <w:r w:rsidR="00825A3C" w:rsidRPr="002261B9">
        <w:rPr>
          <w:lang w:val="es-ES"/>
        </w:rPr>
        <w:t>la descontinuación del producto</w:t>
      </w:r>
      <w:r w:rsidR="008747CA" w:rsidRPr="002261B9">
        <w:rPr>
          <w:lang w:val="es-ES"/>
        </w:rPr>
        <w:t>, ha</w:t>
      </w:r>
      <w:r w:rsidRPr="002261B9">
        <w:rPr>
          <w:lang w:val="es-ES"/>
        </w:rPr>
        <w:t xml:space="preserve">n </w:t>
      </w:r>
      <w:r w:rsidR="009321C2" w:rsidRPr="002261B9">
        <w:rPr>
          <w:lang w:val="es-ES"/>
        </w:rPr>
        <w:t xml:space="preserve">logrado </w:t>
      </w:r>
      <w:r w:rsidR="0057533C" w:rsidRPr="002261B9">
        <w:rPr>
          <w:lang w:val="es-ES"/>
        </w:rPr>
        <w:t>que</w:t>
      </w:r>
      <w:r w:rsidR="009321C2" w:rsidRPr="002261B9">
        <w:rPr>
          <w:lang w:val="es-ES"/>
        </w:rPr>
        <w:t xml:space="preserve"> disminuya </w:t>
      </w:r>
      <w:r w:rsidRPr="002261B9">
        <w:rPr>
          <w:lang w:val="es-ES"/>
        </w:rPr>
        <w:t xml:space="preserve">el uso de los compuestos conexos del </w:t>
      </w:r>
      <w:r w:rsidR="008747CA" w:rsidRPr="002261B9">
        <w:rPr>
          <w:lang w:val="es-ES"/>
        </w:rPr>
        <w:t>PFOA</w:t>
      </w:r>
      <w:r w:rsidRPr="002261B9">
        <w:rPr>
          <w:lang w:val="es-ES"/>
        </w:rPr>
        <w:t xml:space="preserve"> en todo el mundo en más del </w:t>
      </w:r>
      <w:r w:rsidR="008747CA" w:rsidRPr="002261B9">
        <w:rPr>
          <w:lang w:val="es-ES"/>
        </w:rPr>
        <w:t xml:space="preserve">95%. </w:t>
      </w:r>
      <w:r w:rsidRPr="002261B9">
        <w:rPr>
          <w:lang w:val="es-ES"/>
        </w:rPr>
        <w:t>Algunas autoridades competentes de la UE, en particular la ECHA, han evaluado las emisiones del pequeño número de usos actuales en la industria fotográfica y de creación de imágenes</w:t>
      </w:r>
      <w:r w:rsidR="008747CA" w:rsidRPr="002261B9">
        <w:rPr>
          <w:lang w:val="es-ES"/>
        </w:rPr>
        <w:t xml:space="preserve"> </w:t>
      </w:r>
      <w:r w:rsidRPr="002261B9">
        <w:rPr>
          <w:lang w:val="es-ES"/>
        </w:rPr>
        <w:t>y determinado que no plantean un riesgo de consideración para el medio ambiente o la salud humana</w:t>
      </w:r>
      <w:r w:rsidR="008747CA" w:rsidRPr="002261B9">
        <w:rPr>
          <w:lang w:val="es-ES"/>
        </w:rPr>
        <w:t xml:space="preserve"> (I</w:t>
      </w:r>
      <w:r w:rsidR="0066302D" w:rsidRPr="002261B9">
        <w:rPr>
          <w:lang w:val="es-ES"/>
        </w:rPr>
        <w:t>&amp;</w:t>
      </w:r>
      <w:r w:rsidR="008747CA" w:rsidRPr="002261B9">
        <w:rPr>
          <w:lang w:val="es-ES"/>
        </w:rPr>
        <w:t>P Europe</w:t>
      </w:r>
      <w:r w:rsidR="009F32DA" w:rsidRPr="002261B9">
        <w:rPr>
          <w:lang w:val="es-ES"/>
        </w:rPr>
        <w:t>,</w:t>
      </w:r>
      <w:r w:rsidR="008747CA" w:rsidRPr="002261B9">
        <w:rPr>
          <w:lang w:val="es-ES"/>
        </w:rPr>
        <w:t xml:space="preserve"> 2016a</w:t>
      </w:r>
      <w:r w:rsidR="00C85B3D" w:rsidRPr="002261B9">
        <w:rPr>
          <w:lang w:val="es-ES"/>
        </w:rPr>
        <w:t>)</w:t>
      </w:r>
      <w:r w:rsidR="008747CA" w:rsidRPr="002261B9">
        <w:rPr>
          <w:lang w:val="es-ES"/>
        </w:rPr>
        <w:t xml:space="preserve">. </w:t>
      </w:r>
      <w:r w:rsidR="00070F0B" w:rsidRPr="002261B9">
        <w:rPr>
          <w:lang w:val="es-ES"/>
        </w:rPr>
        <w:t>Todo parece indicar que l</w:t>
      </w:r>
      <w:r w:rsidRPr="002261B9">
        <w:rPr>
          <w:lang w:val="es-ES"/>
        </w:rPr>
        <w:t xml:space="preserve">as emisiones de </w:t>
      </w:r>
      <w:r w:rsidR="003013B2" w:rsidRPr="002261B9">
        <w:rPr>
          <w:lang w:val="es-ES"/>
        </w:rPr>
        <w:t xml:space="preserve">PFOA </w:t>
      </w:r>
      <w:r w:rsidRPr="002261B9">
        <w:rPr>
          <w:lang w:val="es-ES"/>
        </w:rPr>
        <w:t xml:space="preserve">de las aplicaciones fotográficas y de la industria de semiconductores </w:t>
      </w:r>
      <w:r w:rsidR="00070F0B" w:rsidRPr="002261B9">
        <w:rPr>
          <w:lang w:val="es-ES"/>
        </w:rPr>
        <w:t xml:space="preserve">representan menos de </w:t>
      </w:r>
      <w:r w:rsidR="003013B2" w:rsidRPr="002261B9">
        <w:rPr>
          <w:lang w:val="es-ES"/>
        </w:rPr>
        <w:t>100 kg/</w:t>
      </w:r>
      <w:r w:rsidR="00070F0B" w:rsidRPr="002261B9">
        <w:rPr>
          <w:lang w:val="es-ES"/>
        </w:rPr>
        <w:t>año para toda la Unión Europea</w:t>
      </w:r>
      <w:r w:rsidR="003013B2" w:rsidRPr="002261B9">
        <w:rPr>
          <w:lang w:val="es-ES"/>
        </w:rPr>
        <w:t xml:space="preserve"> (</w:t>
      </w:r>
      <w:r w:rsidR="00070F0B" w:rsidRPr="002261B9">
        <w:rPr>
          <w:lang w:val="es-ES"/>
        </w:rPr>
        <w:t>y, por tanto, menos riesgos en términos relativos</w:t>
      </w:r>
      <w:r w:rsidR="003013B2" w:rsidRPr="002261B9">
        <w:rPr>
          <w:lang w:val="es-ES"/>
        </w:rPr>
        <w:t>) (ECHA</w:t>
      </w:r>
      <w:r w:rsidR="009F32DA" w:rsidRPr="002261B9">
        <w:rPr>
          <w:lang w:val="es-ES"/>
        </w:rPr>
        <w:t>,</w:t>
      </w:r>
      <w:r w:rsidR="003013B2" w:rsidRPr="002261B9">
        <w:rPr>
          <w:lang w:val="es-ES"/>
        </w:rPr>
        <w:t xml:space="preserve"> 2015c).</w:t>
      </w:r>
    </w:p>
    <w:p w14:paraId="4DB0BB82" w14:textId="7FF69CE9" w:rsidR="008747CA" w:rsidRPr="002261B9" w:rsidRDefault="00070F0B" w:rsidP="00F45508">
      <w:pPr>
        <w:pStyle w:val="Paralevel1"/>
        <w:numPr>
          <w:ilvl w:val="0"/>
          <w:numId w:val="23"/>
        </w:numPr>
        <w:tabs>
          <w:tab w:val="clear" w:pos="0"/>
        </w:tabs>
        <w:ind w:left="1247" w:firstLine="0"/>
        <w:rPr>
          <w:lang w:val="es-ES"/>
        </w:rPr>
      </w:pPr>
      <w:r w:rsidRPr="002261B9">
        <w:rPr>
          <w:lang w:val="es-ES"/>
        </w:rPr>
        <w:lastRenderedPageBreak/>
        <w:t xml:space="preserve">Según la </w:t>
      </w:r>
      <w:r w:rsidR="003462FB" w:rsidRPr="002261B9">
        <w:rPr>
          <w:lang w:val="es-ES"/>
        </w:rPr>
        <w:t xml:space="preserve">SIA, la cantidad total de PFOA y sus sustancias conexas en formulaciones fotolitográficas semiconductoras a la venta en América del Norte en 2015 ascendió a 720 kg. Conforme </w:t>
      </w:r>
      <w:r w:rsidRPr="002261B9">
        <w:rPr>
          <w:lang w:val="es-ES"/>
        </w:rPr>
        <w:t xml:space="preserve">información suministrada por </w:t>
      </w:r>
      <w:r w:rsidR="00E82DCB" w:rsidRPr="002261B9">
        <w:rPr>
          <w:lang w:val="es-ES"/>
        </w:rPr>
        <w:t>la SEMI</w:t>
      </w:r>
      <w:r w:rsidR="003013B2" w:rsidRPr="002261B9">
        <w:rPr>
          <w:lang w:val="es-ES"/>
        </w:rPr>
        <w:t xml:space="preserve">, </w:t>
      </w:r>
      <w:r w:rsidRPr="002261B9">
        <w:rPr>
          <w:lang w:val="es-ES"/>
        </w:rPr>
        <w:t>los</w:t>
      </w:r>
      <w:r w:rsidR="003013B2" w:rsidRPr="002261B9">
        <w:rPr>
          <w:lang w:val="es-ES"/>
        </w:rPr>
        <w:t xml:space="preserve"> </w:t>
      </w:r>
      <w:r w:rsidR="006333A5" w:rsidRPr="002261B9">
        <w:rPr>
          <w:lang w:val="es-ES"/>
        </w:rPr>
        <w:t>fluoropol</w:t>
      </w:r>
      <w:r w:rsidRPr="002261B9">
        <w:rPr>
          <w:lang w:val="es-ES"/>
        </w:rPr>
        <w:t>í</w:t>
      </w:r>
      <w:r w:rsidR="006333A5" w:rsidRPr="002261B9">
        <w:rPr>
          <w:lang w:val="es-ES"/>
        </w:rPr>
        <w:t>meros</w:t>
      </w:r>
      <w:r w:rsidR="003013B2" w:rsidRPr="002261B9">
        <w:rPr>
          <w:lang w:val="es-ES"/>
        </w:rPr>
        <w:t xml:space="preserve"> incorpora</w:t>
      </w:r>
      <w:r w:rsidRPr="002261B9">
        <w:rPr>
          <w:lang w:val="es-ES"/>
        </w:rPr>
        <w:t>dos en todos los equipos de fabricación de semiconductores producidos durante los últimos cinco años</w:t>
      </w:r>
      <w:r w:rsidR="003013B2" w:rsidRPr="002261B9">
        <w:rPr>
          <w:lang w:val="es-ES"/>
        </w:rPr>
        <w:t xml:space="preserve"> (</w:t>
      </w:r>
      <w:r w:rsidRPr="002261B9">
        <w:rPr>
          <w:lang w:val="es-ES"/>
        </w:rPr>
        <w:t xml:space="preserve">datos de </w:t>
      </w:r>
      <w:r w:rsidR="003013B2" w:rsidRPr="002261B9">
        <w:rPr>
          <w:lang w:val="es-ES"/>
        </w:rPr>
        <w:t>2011</w:t>
      </w:r>
      <w:r w:rsidR="00321ABA">
        <w:rPr>
          <w:lang w:val="es-ES"/>
        </w:rPr>
        <w:t xml:space="preserve"> a </w:t>
      </w:r>
      <w:r w:rsidR="003013B2" w:rsidRPr="002261B9">
        <w:rPr>
          <w:lang w:val="es-ES"/>
        </w:rPr>
        <w:t xml:space="preserve">2015) </w:t>
      </w:r>
      <w:r w:rsidRPr="002261B9">
        <w:rPr>
          <w:lang w:val="es-ES"/>
        </w:rPr>
        <w:t>a nivel mundial</w:t>
      </w:r>
      <w:r w:rsidR="003013B2" w:rsidRPr="002261B9">
        <w:rPr>
          <w:lang w:val="es-ES"/>
        </w:rPr>
        <w:t xml:space="preserve"> </w:t>
      </w:r>
      <w:r w:rsidRPr="002261B9">
        <w:rPr>
          <w:lang w:val="es-ES"/>
        </w:rPr>
        <w:t xml:space="preserve">siguen siendo una fuente marginal de </w:t>
      </w:r>
      <w:r w:rsidR="003013B2" w:rsidRPr="002261B9">
        <w:rPr>
          <w:lang w:val="es-ES"/>
        </w:rPr>
        <w:t>PFOA, estima</w:t>
      </w:r>
      <w:r w:rsidR="007C3725" w:rsidRPr="002261B9">
        <w:rPr>
          <w:lang w:val="es-ES"/>
        </w:rPr>
        <w:t>da</w:t>
      </w:r>
      <w:r w:rsidR="00321ABA">
        <w:rPr>
          <w:lang w:val="es-ES"/>
        </w:rPr>
        <w:t xml:space="preserve"> en no más de 120 </w:t>
      </w:r>
      <w:r w:rsidR="003013B2" w:rsidRPr="002261B9">
        <w:rPr>
          <w:lang w:val="es-ES"/>
        </w:rPr>
        <w:t>kg</w:t>
      </w:r>
      <w:r w:rsidR="008B3405" w:rsidRPr="002261B9">
        <w:rPr>
          <w:lang w:val="es-ES"/>
        </w:rPr>
        <w:t>/</w:t>
      </w:r>
      <w:r w:rsidRPr="002261B9">
        <w:rPr>
          <w:lang w:val="es-ES"/>
        </w:rPr>
        <w:t>año</w:t>
      </w:r>
      <w:r w:rsidR="003013B2" w:rsidRPr="002261B9">
        <w:rPr>
          <w:lang w:val="es-ES"/>
        </w:rPr>
        <w:t>. A</w:t>
      </w:r>
      <w:r w:rsidRPr="002261B9">
        <w:rPr>
          <w:lang w:val="es-ES"/>
        </w:rPr>
        <w:t>simismo</w:t>
      </w:r>
      <w:r w:rsidR="003013B2" w:rsidRPr="002261B9">
        <w:rPr>
          <w:lang w:val="es-ES"/>
        </w:rPr>
        <w:t xml:space="preserve">, </w:t>
      </w:r>
      <w:r w:rsidRPr="002261B9">
        <w:rPr>
          <w:lang w:val="es-ES"/>
        </w:rPr>
        <w:t xml:space="preserve">los materiales fluoropoliméricos incorporados en los sistemas de distribución y control de los productos químicos, el gas y el aire en las plantas donde se fabrican semiconductores </w:t>
      </w:r>
      <w:r w:rsidR="003013B2" w:rsidRPr="002261B9">
        <w:rPr>
          <w:lang w:val="es-ES"/>
        </w:rPr>
        <w:t>(</w:t>
      </w:r>
      <w:r w:rsidRPr="002261B9">
        <w:rPr>
          <w:lang w:val="es-ES"/>
        </w:rPr>
        <w:t>infraestructura correspondiente</w:t>
      </w:r>
      <w:r w:rsidR="003013B2" w:rsidRPr="002261B9">
        <w:rPr>
          <w:lang w:val="es-ES"/>
        </w:rPr>
        <w:t xml:space="preserve">) </w:t>
      </w:r>
      <w:r w:rsidRPr="002261B9">
        <w:rPr>
          <w:lang w:val="es-ES"/>
        </w:rPr>
        <w:t xml:space="preserve">son una fuente marginal de </w:t>
      </w:r>
      <w:r w:rsidR="003013B2" w:rsidRPr="002261B9">
        <w:rPr>
          <w:lang w:val="es-ES"/>
        </w:rPr>
        <w:t>PFOA</w:t>
      </w:r>
      <w:r w:rsidRPr="002261B9">
        <w:rPr>
          <w:lang w:val="es-ES"/>
        </w:rPr>
        <w:t xml:space="preserve"> que</w:t>
      </w:r>
      <w:r w:rsidR="003013B2" w:rsidRPr="002261B9">
        <w:rPr>
          <w:lang w:val="es-ES"/>
        </w:rPr>
        <w:t xml:space="preserve">, </w:t>
      </w:r>
      <w:r w:rsidRPr="002261B9">
        <w:rPr>
          <w:lang w:val="es-ES"/>
        </w:rPr>
        <w:t xml:space="preserve">según estimaciones, no supera los </w:t>
      </w:r>
      <w:r w:rsidR="003013B2" w:rsidRPr="002261B9">
        <w:rPr>
          <w:lang w:val="es-ES"/>
        </w:rPr>
        <w:t>25 kg</w:t>
      </w:r>
      <w:r w:rsidR="008B3405" w:rsidRPr="002261B9">
        <w:rPr>
          <w:lang w:val="es-ES"/>
        </w:rPr>
        <w:t>/</w:t>
      </w:r>
      <w:r w:rsidRPr="002261B9">
        <w:rPr>
          <w:lang w:val="es-ES"/>
        </w:rPr>
        <w:t>año</w:t>
      </w:r>
      <w:r w:rsidR="003013B2" w:rsidRPr="002261B9">
        <w:rPr>
          <w:lang w:val="es-ES"/>
        </w:rPr>
        <w:t xml:space="preserve"> (</w:t>
      </w:r>
      <w:r w:rsidR="003462FB" w:rsidRPr="002261B9">
        <w:rPr>
          <w:lang w:val="es-ES"/>
        </w:rPr>
        <w:t>O</w:t>
      </w:r>
      <w:r w:rsidRPr="002261B9">
        <w:rPr>
          <w:lang w:val="es-ES"/>
        </w:rPr>
        <w:t>bservaciones de</w:t>
      </w:r>
      <w:r w:rsidR="003013B2" w:rsidRPr="002261B9">
        <w:rPr>
          <w:lang w:val="es-ES"/>
        </w:rPr>
        <w:t xml:space="preserve"> </w:t>
      </w:r>
      <w:r w:rsidR="0065573D" w:rsidRPr="002261B9">
        <w:rPr>
          <w:lang w:val="es-ES"/>
        </w:rPr>
        <w:t>la SEMI</w:t>
      </w:r>
      <w:r w:rsidR="003013B2" w:rsidRPr="002261B9">
        <w:rPr>
          <w:lang w:val="es-ES"/>
        </w:rPr>
        <w:t xml:space="preserve"> </w:t>
      </w:r>
      <w:r w:rsidRPr="002261B9">
        <w:rPr>
          <w:lang w:val="es-ES"/>
        </w:rPr>
        <w:t>sobre el primer proyecto de evaluación de la gestión de los riesgos</w:t>
      </w:r>
      <w:r w:rsidR="003013B2" w:rsidRPr="002261B9">
        <w:rPr>
          <w:lang w:val="es-ES"/>
        </w:rPr>
        <w:t>).</w:t>
      </w:r>
    </w:p>
    <w:p w14:paraId="101649D7" w14:textId="049175ED" w:rsidR="00384BA4" w:rsidRPr="002261B9" w:rsidRDefault="00134123" w:rsidP="00063CF3">
      <w:pPr>
        <w:pStyle w:val="StyleHeading3h3123SecTimesNewRomanBold"/>
        <w:ind w:left="1248" w:hanging="624"/>
        <w:rPr>
          <w:lang w:val="es-ES"/>
        </w:rPr>
      </w:pPr>
      <w:bookmarkStart w:id="73" w:name="_Toc501099210"/>
      <w:r w:rsidRPr="002261B9">
        <w:rPr>
          <w:lang w:val="es-ES"/>
        </w:rPr>
        <w:t>2.4.2</w:t>
      </w:r>
      <w:r w:rsidRPr="002261B9">
        <w:rPr>
          <w:lang w:val="es-ES"/>
        </w:rPr>
        <w:tab/>
      </w:r>
      <w:r w:rsidR="00384BA4" w:rsidRPr="002261B9">
        <w:rPr>
          <w:lang w:val="es-ES"/>
        </w:rPr>
        <w:t>Agricultura, acuicultura y silvicultura</w:t>
      </w:r>
      <w:bookmarkEnd w:id="72"/>
      <w:bookmarkEnd w:id="73"/>
    </w:p>
    <w:p w14:paraId="421B67E4" w14:textId="164A0C0D" w:rsidR="00384BA4" w:rsidRPr="002261B9" w:rsidRDefault="00384BA4" w:rsidP="00F45508">
      <w:pPr>
        <w:pStyle w:val="Paralevel1"/>
        <w:numPr>
          <w:ilvl w:val="0"/>
          <w:numId w:val="23"/>
        </w:numPr>
        <w:tabs>
          <w:tab w:val="clear" w:pos="0"/>
        </w:tabs>
        <w:ind w:left="1247" w:firstLine="0"/>
        <w:rPr>
          <w:lang w:val="es-ES"/>
        </w:rPr>
      </w:pPr>
      <w:r w:rsidRPr="002261B9">
        <w:rPr>
          <w:lang w:val="es-ES"/>
        </w:rPr>
        <w:t xml:space="preserve">El PFOA está presente en los fangos cloacales </w:t>
      </w:r>
      <w:r w:rsidR="007C3725" w:rsidRPr="002261B9">
        <w:rPr>
          <w:lang w:val="es-ES"/>
        </w:rPr>
        <w:t xml:space="preserve">con </w:t>
      </w:r>
      <w:r w:rsidRPr="002261B9">
        <w:rPr>
          <w:lang w:val="es-ES"/>
        </w:rPr>
        <w:t>que se a</w:t>
      </w:r>
      <w:r w:rsidR="007C3725" w:rsidRPr="002261B9">
        <w:rPr>
          <w:lang w:val="es-ES"/>
        </w:rPr>
        <w:t>bonan</w:t>
      </w:r>
      <w:r w:rsidRPr="002261B9">
        <w:rPr>
          <w:lang w:val="es-ES"/>
        </w:rPr>
        <w:t xml:space="preserve"> las tierras agrícolas en algunos países, según la legislación nacional. Varios cultivos agrícolas evidenciaron efectos </w:t>
      </w:r>
      <w:r w:rsidR="003D4536" w:rsidRPr="002261B9">
        <w:rPr>
          <w:lang w:val="es-ES"/>
        </w:rPr>
        <w:t>perjudiciales en el caso de dete</w:t>
      </w:r>
      <w:r w:rsidRPr="002261B9">
        <w:rPr>
          <w:lang w:val="es-ES"/>
        </w:rPr>
        <w:t>rminadas especies (por ejemplo, abultamientos y necrosis de las raíces) en los que intervino el PFOA (véase UNEP/POPS/POPRC.12/11/Add.2 con referencia a Li</w:t>
      </w:r>
      <w:r w:rsidR="009F32DA" w:rsidRPr="002261B9">
        <w:rPr>
          <w:lang w:val="es-ES"/>
        </w:rPr>
        <w:t>,</w:t>
      </w:r>
      <w:r w:rsidRPr="002261B9">
        <w:rPr>
          <w:lang w:val="es-ES"/>
        </w:rPr>
        <w:t xml:space="preserve"> 2009 y Stahl y otros</w:t>
      </w:r>
      <w:r w:rsidR="009F32DA" w:rsidRPr="002261B9">
        <w:rPr>
          <w:lang w:val="es-ES"/>
        </w:rPr>
        <w:t>,</w:t>
      </w:r>
      <w:r w:rsidRPr="002261B9">
        <w:rPr>
          <w:lang w:val="es-ES"/>
        </w:rPr>
        <w:t xml:space="preserve"> 2009). Los cultivos que crecen en suelos sólidos modificados por plantas de tratamiento de aguas residuales asimilan alternativas al PFOA como el PFBA y el PFPeA (Blaine y otros</w:t>
      </w:r>
      <w:r w:rsidR="009F32DA" w:rsidRPr="002261B9">
        <w:rPr>
          <w:lang w:val="es-ES"/>
        </w:rPr>
        <w:t>,</w:t>
      </w:r>
      <w:r w:rsidRPr="002261B9">
        <w:rPr>
          <w:lang w:val="es-ES"/>
        </w:rPr>
        <w:t xml:space="preserve"> 2013). En las plantas se produce la translocación del PFBA, el PFHxA, el PFHpA, el PFOA</w:t>
      </w:r>
      <w:r w:rsidR="00C85B3D" w:rsidRPr="002261B9">
        <w:rPr>
          <w:lang w:val="es-ES"/>
        </w:rPr>
        <w:t xml:space="preserve"> y</w:t>
      </w:r>
      <w:r w:rsidRPr="002261B9">
        <w:rPr>
          <w:lang w:val="es-ES"/>
        </w:rPr>
        <w:t xml:space="preserve"> el ácido perfluorononanoico (PFNA) (Bizkarguenaga y otros</w:t>
      </w:r>
      <w:r w:rsidR="009F32DA" w:rsidRPr="002261B9">
        <w:rPr>
          <w:lang w:val="es-ES"/>
        </w:rPr>
        <w:t>,</w:t>
      </w:r>
      <w:r w:rsidRPr="002261B9">
        <w:rPr>
          <w:lang w:val="es-ES"/>
        </w:rPr>
        <w:t xml:space="preserve"> 2016; Krippner y otros</w:t>
      </w:r>
      <w:r w:rsidR="009F32DA" w:rsidRPr="002261B9">
        <w:rPr>
          <w:lang w:val="es-ES"/>
        </w:rPr>
        <w:t>,</w:t>
      </w:r>
      <w:r w:rsidRPr="002261B9">
        <w:rPr>
          <w:lang w:val="es-ES"/>
        </w:rPr>
        <w:t xml:space="preserve"> 2014). El PFOA y el PFBA también se encuentran en las agujas de pino caídas a lo largo de las pistas de esquiar (Chropenova y otros</w:t>
      </w:r>
      <w:r w:rsidR="009F32DA" w:rsidRPr="002261B9">
        <w:rPr>
          <w:lang w:val="es-ES"/>
        </w:rPr>
        <w:t>,</w:t>
      </w:r>
      <w:r w:rsidRPr="002261B9">
        <w:rPr>
          <w:lang w:val="es-ES"/>
        </w:rPr>
        <w:t xml:space="preserve"> 2016). En Australia, el uso h</w:t>
      </w:r>
      <w:r w:rsidR="0052564A" w:rsidRPr="002261B9">
        <w:rPr>
          <w:lang w:val="es-ES"/>
        </w:rPr>
        <w:t>istórico</w:t>
      </w:r>
      <w:r w:rsidRPr="002261B9">
        <w:rPr>
          <w:lang w:val="es-ES"/>
        </w:rPr>
        <w:t xml:space="preserve"> de </w:t>
      </w:r>
      <w:r w:rsidR="0052564A" w:rsidRPr="002261B9">
        <w:rPr>
          <w:lang w:val="es-ES"/>
        </w:rPr>
        <w:t xml:space="preserve">EAFP que contienen PFOA </w:t>
      </w:r>
      <w:r w:rsidRPr="002261B9">
        <w:rPr>
          <w:lang w:val="es-ES"/>
        </w:rPr>
        <w:t>ha afectado algunas actividades agrícolas (véase la sección 2.2.3). El uso de los fangos procedentes de una planta de tratamiento de aguas residuales contamina los terrenos agrícolas con los PFAS, entre ellos el PFOA y las sustancias conexas (</w:t>
      </w:r>
      <w:r w:rsidR="007F0459" w:rsidRPr="002261B9">
        <w:rPr>
          <w:lang w:val="es-ES"/>
        </w:rPr>
        <w:t>Observaciones</w:t>
      </w:r>
      <w:r w:rsidRPr="002261B9">
        <w:rPr>
          <w:lang w:val="es-ES"/>
        </w:rPr>
        <w:t xml:space="preserve"> de Alemania sobre el primer proyecto de evaluación de la gestión de los riesgos</w:t>
      </w:r>
      <w:r w:rsidR="009F32DA" w:rsidRPr="002261B9">
        <w:rPr>
          <w:lang w:val="es-ES"/>
        </w:rPr>
        <w:t>,</w:t>
      </w:r>
      <w:r w:rsidR="00C85B3D" w:rsidRPr="002261B9">
        <w:rPr>
          <w:lang w:val="es-ES"/>
        </w:rPr>
        <w:t xml:space="preserve"> 2017</w:t>
      </w:r>
      <w:r w:rsidRPr="002261B9">
        <w:rPr>
          <w:lang w:val="es-ES"/>
        </w:rPr>
        <w:t>)</w:t>
      </w:r>
      <w:r w:rsidR="004D6A78" w:rsidRPr="002261B9">
        <w:rPr>
          <w:lang w:val="es-ES"/>
        </w:rPr>
        <w:t>.</w:t>
      </w:r>
      <w:r w:rsidRPr="002261B9">
        <w:rPr>
          <w:lang w:val="es-ES"/>
        </w:rPr>
        <w:t xml:space="preserve"> En Alemania, la eliminación (ilícita) de desechos/fangos en terrenos agrícolas ha causado la contaminación del suelo, las aguas subterráneas y superficiales, los cultivos agrícolas y la exposición de los seres humanos con graves consecuencias, entre otras la pérdida de ingresos para los agricultores (véase la sección 2.2.2) Por tal motivo, la restricción del uso del PFOA, sus sales y los compuestos conexos del PFOA redundaría en beneficios para la agricultura.</w:t>
      </w:r>
    </w:p>
    <w:p w14:paraId="306D64CE" w14:textId="295C1FE9" w:rsidR="00384BA4" w:rsidRPr="002261B9" w:rsidRDefault="00134123" w:rsidP="00063CF3">
      <w:pPr>
        <w:pStyle w:val="StyleHeading3h3123SecTimesNewRomanBold"/>
        <w:ind w:left="1248" w:hanging="624"/>
        <w:rPr>
          <w:lang w:val="es-ES"/>
        </w:rPr>
      </w:pPr>
      <w:bookmarkStart w:id="74" w:name="_Toc501099211"/>
      <w:r w:rsidRPr="002261B9">
        <w:rPr>
          <w:lang w:val="es-ES"/>
        </w:rPr>
        <w:t>2.4.3</w:t>
      </w:r>
      <w:r w:rsidRPr="002261B9">
        <w:rPr>
          <w:lang w:val="es-ES"/>
        </w:rPr>
        <w:tab/>
      </w:r>
      <w:r w:rsidR="00384BA4" w:rsidRPr="002261B9">
        <w:rPr>
          <w:lang w:val="es-ES"/>
        </w:rPr>
        <w:t>Biota (diversidad biológica)</w:t>
      </w:r>
      <w:bookmarkEnd w:id="74"/>
    </w:p>
    <w:p w14:paraId="6FC0F78B" w14:textId="34A19679" w:rsidR="00384BA4" w:rsidRPr="002261B9" w:rsidRDefault="00384BA4" w:rsidP="00F45508">
      <w:pPr>
        <w:pStyle w:val="Paralevel1"/>
        <w:numPr>
          <w:ilvl w:val="0"/>
          <w:numId w:val="23"/>
        </w:numPr>
        <w:tabs>
          <w:tab w:val="clear" w:pos="0"/>
        </w:tabs>
        <w:ind w:left="1247" w:firstLine="0"/>
        <w:rPr>
          <w:lang w:val="es-ES"/>
        </w:rPr>
      </w:pPr>
      <w:r w:rsidRPr="002261B9">
        <w:rPr>
          <w:lang w:val="es-ES"/>
        </w:rPr>
        <w:t>Se ha generalizado la presencia del PFOA y de</w:t>
      </w:r>
      <w:r w:rsidR="0052564A" w:rsidRPr="002261B9">
        <w:rPr>
          <w:lang w:val="es-ES"/>
        </w:rPr>
        <w:t xml:space="preserve"> algunos compuestos conexos de </w:t>
      </w:r>
      <w:r w:rsidR="000570BF" w:rsidRPr="002261B9">
        <w:rPr>
          <w:lang w:val="es-ES"/>
        </w:rPr>
        <w:t>e</w:t>
      </w:r>
      <w:r w:rsidRPr="002261B9">
        <w:rPr>
          <w:lang w:val="es-ES"/>
        </w:rPr>
        <w:t xml:space="preserve">ste en compartimentos ambientales, así como en la biota y los seres humanos. De </w:t>
      </w:r>
      <w:r w:rsidR="0057533C" w:rsidRPr="002261B9">
        <w:rPr>
          <w:lang w:val="es-ES"/>
        </w:rPr>
        <w:t>ahí</w:t>
      </w:r>
      <w:r w:rsidR="00321ABA">
        <w:rPr>
          <w:lang w:val="es-ES"/>
        </w:rPr>
        <w:t xml:space="preserve"> que sea probable que el </w:t>
      </w:r>
      <w:r w:rsidRPr="002261B9">
        <w:rPr>
          <w:lang w:val="es-ES"/>
        </w:rPr>
        <w:t xml:space="preserve">PFOA, sus sales y compuestos conexos degraden a PFOA, como resultado de su transporte a larga distancia en el medio ambiente, lo que surtiría efectos perjudiciales </w:t>
      </w:r>
      <w:r w:rsidR="0052564A" w:rsidRPr="002261B9">
        <w:rPr>
          <w:lang w:val="es-ES"/>
        </w:rPr>
        <w:t xml:space="preserve">de importancia </w:t>
      </w:r>
      <w:r w:rsidRPr="002261B9">
        <w:rPr>
          <w:lang w:val="es-ES"/>
        </w:rPr>
        <w:t>en la salud humana, el medio ambiente o ambos</w:t>
      </w:r>
      <w:r w:rsidR="00955D10" w:rsidRPr="002261B9">
        <w:rPr>
          <w:lang w:val="es-ES"/>
        </w:rPr>
        <w:t>.</w:t>
      </w:r>
      <w:r w:rsidRPr="002261B9">
        <w:rPr>
          <w:lang w:val="es-ES"/>
        </w:rPr>
        <w:t xml:space="preserve"> La restricción del PFOA, sus sal</w:t>
      </w:r>
      <w:r w:rsidR="00321ABA">
        <w:rPr>
          <w:lang w:val="es-ES"/>
        </w:rPr>
        <w:t>es y los compuestos conexos del </w:t>
      </w:r>
      <w:r w:rsidRPr="002261B9">
        <w:rPr>
          <w:lang w:val="es-ES"/>
        </w:rPr>
        <w:t xml:space="preserve">PFOA tendría repercusiones positivas en la biota </w:t>
      </w:r>
      <w:r w:rsidR="0052564A" w:rsidRPr="002261B9">
        <w:rPr>
          <w:lang w:val="es-ES"/>
        </w:rPr>
        <w:t>al disminuir</w:t>
      </w:r>
      <w:r w:rsidRPr="002261B9">
        <w:rPr>
          <w:lang w:val="es-ES"/>
        </w:rPr>
        <w:t xml:space="preserve"> la</w:t>
      </w:r>
      <w:r w:rsidR="0052564A" w:rsidRPr="002261B9">
        <w:rPr>
          <w:lang w:val="es-ES"/>
        </w:rPr>
        <w:t>s</w:t>
      </w:r>
      <w:r w:rsidRPr="002261B9">
        <w:rPr>
          <w:lang w:val="es-ES"/>
        </w:rPr>
        <w:t xml:space="preserve"> emisiones y,</w:t>
      </w:r>
      <w:r w:rsidR="00284890" w:rsidRPr="002261B9">
        <w:rPr>
          <w:lang w:val="es-ES"/>
        </w:rPr>
        <w:t xml:space="preserve"> </w:t>
      </w:r>
      <w:r w:rsidRPr="002261B9">
        <w:rPr>
          <w:lang w:val="es-ES"/>
        </w:rPr>
        <w:t>posteriormente, la exposición de la biota. Esto redundaría en beneficio para las comunidades indígenas cuya dieta depende muchísimo de especies autóctonas (</w:t>
      </w:r>
      <w:r w:rsidR="00E10461" w:rsidRPr="002261B9">
        <w:rPr>
          <w:lang w:val="es-ES"/>
        </w:rPr>
        <w:t>Observaciones de la Red de Eliminación de COP</w:t>
      </w:r>
      <w:r w:rsidR="003462FB" w:rsidRPr="002261B9">
        <w:rPr>
          <w:lang w:val="es-ES"/>
        </w:rPr>
        <w:t xml:space="preserve"> </w:t>
      </w:r>
      <w:r w:rsidRPr="002261B9">
        <w:rPr>
          <w:lang w:val="es-ES"/>
        </w:rPr>
        <w:t>sobre el segundo proyecto de evaluación de la gestión de los riesgos)</w:t>
      </w:r>
      <w:r w:rsidR="000570BF" w:rsidRPr="002261B9">
        <w:rPr>
          <w:lang w:val="es-ES"/>
        </w:rPr>
        <w:t>.</w:t>
      </w:r>
    </w:p>
    <w:p w14:paraId="58E57EFD" w14:textId="58F0D2CB" w:rsidR="00384BA4" w:rsidRPr="002261B9" w:rsidRDefault="00134123" w:rsidP="00063CF3">
      <w:pPr>
        <w:pStyle w:val="StyleHeading3h3123SecTimesNewRomanBold"/>
        <w:ind w:left="1248" w:hanging="624"/>
        <w:rPr>
          <w:lang w:val="es-ES"/>
        </w:rPr>
      </w:pPr>
      <w:bookmarkStart w:id="75" w:name="_Toc501099212"/>
      <w:r w:rsidRPr="002261B9">
        <w:rPr>
          <w:lang w:val="es-ES"/>
        </w:rPr>
        <w:t>2.4.4</w:t>
      </w:r>
      <w:r w:rsidRPr="002261B9">
        <w:rPr>
          <w:lang w:val="es-ES"/>
        </w:rPr>
        <w:tab/>
      </w:r>
      <w:r w:rsidR="00384BA4" w:rsidRPr="002261B9">
        <w:rPr>
          <w:lang w:val="es-ES"/>
        </w:rPr>
        <w:t>Aspectos económicos</w:t>
      </w:r>
      <w:bookmarkEnd w:id="75"/>
      <w:r w:rsidR="00384BA4" w:rsidRPr="002261B9">
        <w:rPr>
          <w:lang w:val="es-ES"/>
        </w:rPr>
        <w:t xml:space="preserve"> </w:t>
      </w:r>
    </w:p>
    <w:p w14:paraId="77459489" w14:textId="20D2DC72" w:rsidR="00384BA4" w:rsidRPr="002261B9" w:rsidRDefault="0052564A" w:rsidP="00F45508">
      <w:pPr>
        <w:pStyle w:val="Paralevel1"/>
        <w:numPr>
          <w:ilvl w:val="0"/>
          <w:numId w:val="23"/>
        </w:numPr>
        <w:tabs>
          <w:tab w:val="clear" w:pos="0"/>
        </w:tabs>
        <w:ind w:left="1247" w:firstLine="0"/>
        <w:rPr>
          <w:lang w:val="es-ES"/>
        </w:rPr>
      </w:pPr>
      <w:r w:rsidRPr="002261B9">
        <w:rPr>
          <w:lang w:val="es-ES"/>
        </w:rPr>
        <w:t xml:space="preserve">En muchos países </w:t>
      </w:r>
      <w:r w:rsidR="005B7D0E" w:rsidRPr="002261B9">
        <w:rPr>
          <w:lang w:val="es-ES"/>
        </w:rPr>
        <w:t xml:space="preserve">se están aplicando </w:t>
      </w:r>
      <w:r w:rsidRPr="002261B9">
        <w:rPr>
          <w:lang w:val="es-ES"/>
        </w:rPr>
        <w:t>ya</w:t>
      </w:r>
      <w:r w:rsidR="005B7D0E" w:rsidRPr="002261B9">
        <w:rPr>
          <w:lang w:val="es-ES"/>
        </w:rPr>
        <w:t xml:space="preserve"> alternativas al PFOA a precios competitivos que no muestran características de COP</w:t>
      </w:r>
      <w:r w:rsidR="00D376D9" w:rsidRPr="002261B9">
        <w:rPr>
          <w:lang w:val="es-ES"/>
        </w:rPr>
        <w:t xml:space="preserve">, </w:t>
      </w:r>
      <w:r w:rsidR="005B7D0E" w:rsidRPr="002261B9">
        <w:rPr>
          <w:lang w:val="es-ES"/>
        </w:rPr>
        <w:t>como las alternativas sin flúor que se utilizan en las espumas ignífugas</w:t>
      </w:r>
      <w:r w:rsidR="00D376D9" w:rsidRPr="002261B9">
        <w:rPr>
          <w:lang w:val="es-ES"/>
        </w:rPr>
        <w:t xml:space="preserve"> o</w:t>
      </w:r>
      <w:r w:rsidR="005B7D0E" w:rsidRPr="002261B9">
        <w:rPr>
          <w:lang w:val="es-ES"/>
        </w:rPr>
        <w:t xml:space="preserve"> el papel y el envasado de alimentos</w:t>
      </w:r>
      <w:r w:rsidR="00384BA4" w:rsidRPr="002261B9">
        <w:rPr>
          <w:lang w:val="es-ES"/>
        </w:rPr>
        <w:t xml:space="preserve">. </w:t>
      </w:r>
      <w:r w:rsidR="005B7D0E" w:rsidRPr="002261B9">
        <w:rPr>
          <w:lang w:val="es-ES"/>
        </w:rPr>
        <w:t>Este es un indicio de la viabilidad económica de varias alternativas</w:t>
      </w:r>
      <w:r w:rsidR="008747CA" w:rsidRPr="002261B9">
        <w:rPr>
          <w:lang w:val="es-ES"/>
        </w:rPr>
        <w:t xml:space="preserve">. </w:t>
      </w:r>
      <w:r w:rsidR="005B7D0E" w:rsidRPr="002261B9">
        <w:rPr>
          <w:lang w:val="es-ES"/>
        </w:rPr>
        <w:t>Entre los aspectos económicos de sustituir el PFOA con alternativas figuran las economías logradas en los costos para la salud y el medio ambiente</w:t>
      </w:r>
      <w:r w:rsidR="00384BA4" w:rsidRPr="002261B9">
        <w:rPr>
          <w:lang w:val="es-ES"/>
        </w:rPr>
        <w:t xml:space="preserve"> </w:t>
      </w:r>
      <w:r w:rsidR="00321ABA">
        <w:rPr>
          <w:lang w:val="es-ES"/>
        </w:rPr>
        <w:t>derivados de la exposición al </w:t>
      </w:r>
      <w:r w:rsidR="00384BA4" w:rsidRPr="002261B9">
        <w:rPr>
          <w:lang w:val="es-ES"/>
        </w:rPr>
        <w:t>PFOA (</w:t>
      </w:r>
      <w:r w:rsidR="00946899" w:rsidRPr="002261B9">
        <w:rPr>
          <w:lang w:val="es-ES"/>
        </w:rPr>
        <w:t>Red de Eliminación de COP</w:t>
      </w:r>
      <w:r w:rsidR="009F32DA" w:rsidRPr="002261B9">
        <w:rPr>
          <w:lang w:val="es-ES"/>
        </w:rPr>
        <w:t>,</w:t>
      </w:r>
      <w:r w:rsidR="00384BA4" w:rsidRPr="002261B9">
        <w:rPr>
          <w:lang w:val="es-ES"/>
        </w:rPr>
        <w:t xml:space="preserve"> 2016</w:t>
      </w:r>
      <w:r w:rsidR="000570BF" w:rsidRPr="002261B9">
        <w:rPr>
          <w:lang w:val="es-ES"/>
        </w:rPr>
        <w:t>)</w:t>
      </w:r>
      <w:r w:rsidR="00384BA4" w:rsidRPr="002261B9">
        <w:rPr>
          <w:lang w:val="es-ES"/>
        </w:rPr>
        <w:t>.</w:t>
      </w:r>
    </w:p>
    <w:p w14:paraId="7A96A979" w14:textId="4C3F4D7D" w:rsidR="003462FB" w:rsidRPr="002261B9" w:rsidRDefault="003E1F30" w:rsidP="00F45508">
      <w:pPr>
        <w:pStyle w:val="Paralevel1"/>
        <w:numPr>
          <w:ilvl w:val="0"/>
          <w:numId w:val="23"/>
        </w:numPr>
        <w:tabs>
          <w:tab w:val="clear" w:pos="0"/>
        </w:tabs>
        <w:ind w:left="1247" w:firstLine="0"/>
        <w:rPr>
          <w:lang w:val="es-ES"/>
        </w:rPr>
      </w:pPr>
      <w:r w:rsidRPr="002261B9">
        <w:rPr>
          <w:lang w:val="es-ES"/>
        </w:rPr>
        <w:t>E</w:t>
      </w:r>
      <w:r w:rsidR="00991BA3" w:rsidRPr="002261B9">
        <w:rPr>
          <w:lang w:val="es-ES"/>
        </w:rPr>
        <w:t xml:space="preserve">n </w:t>
      </w:r>
      <w:r w:rsidRPr="002261B9">
        <w:rPr>
          <w:lang w:val="es-ES"/>
        </w:rPr>
        <w:t>la Unión Europea</w:t>
      </w:r>
      <w:r w:rsidR="00991BA3" w:rsidRPr="002261B9">
        <w:rPr>
          <w:lang w:val="es-ES"/>
        </w:rPr>
        <w:t xml:space="preserve">, </w:t>
      </w:r>
      <w:r w:rsidRPr="002261B9">
        <w:rPr>
          <w:lang w:val="es-ES"/>
        </w:rPr>
        <w:t xml:space="preserve">el uso del </w:t>
      </w:r>
      <w:r w:rsidR="00991BA3" w:rsidRPr="002261B9">
        <w:rPr>
          <w:lang w:val="es-ES"/>
        </w:rPr>
        <w:t xml:space="preserve">PFOA </w:t>
      </w:r>
      <w:r w:rsidRPr="002261B9">
        <w:rPr>
          <w:lang w:val="es-ES"/>
        </w:rPr>
        <w:t>y de</w:t>
      </w:r>
      <w:r w:rsidR="00E64629" w:rsidRPr="002261B9">
        <w:rPr>
          <w:lang w:val="es-ES"/>
        </w:rPr>
        <w:t xml:space="preserve"> sustancias conexas del PFOA</w:t>
      </w:r>
      <w:r w:rsidR="00991BA3" w:rsidRPr="002261B9">
        <w:rPr>
          <w:lang w:val="es-ES"/>
        </w:rPr>
        <w:t xml:space="preserve"> ha</w:t>
      </w:r>
      <w:r w:rsidRPr="002261B9">
        <w:rPr>
          <w:lang w:val="es-ES"/>
        </w:rPr>
        <w:t xml:space="preserve"> contribuido a la contaminación del agua</w:t>
      </w:r>
      <w:r w:rsidR="00991BA3" w:rsidRPr="002261B9">
        <w:rPr>
          <w:lang w:val="es-ES"/>
        </w:rPr>
        <w:t xml:space="preserve"> (</w:t>
      </w:r>
      <w:r w:rsidRPr="002261B9">
        <w:rPr>
          <w:lang w:val="es-ES"/>
        </w:rPr>
        <w:t>potable</w:t>
      </w:r>
      <w:r w:rsidR="00991BA3" w:rsidRPr="002261B9">
        <w:rPr>
          <w:lang w:val="es-ES"/>
        </w:rPr>
        <w:t>)</w:t>
      </w:r>
      <w:r w:rsidRPr="002261B9">
        <w:rPr>
          <w:lang w:val="es-ES"/>
        </w:rPr>
        <w:t xml:space="preserve"> y del suelo con los correspondientes costos elevados de descontaminación</w:t>
      </w:r>
      <w:r w:rsidR="00991BA3" w:rsidRPr="002261B9">
        <w:rPr>
          <w:lang w:val="es-ES"/>
        </w:rPr>
        <w:t xml:space="preserve">. </w:t>
      </w:r>
      <w:r w:rsidRPr="002261B9">
        <w:rPr>
          <w:lang w:val="es-ES"/>
        </w:rPr>
        <w:t>La mayor parte de la contaminación ha sido causada por el uso de los</w:t>
      </w:r>
      <w:r w:rsidR="00991BA3" w:rsidRPr="002261B9">
        <w:rPr>
          <w:lang w:val="es-ES"/>
        </w:rPr>
        <w:t xml:space="preserve"> PFAS (</w:t>
      </w:r>
      <w:r w:rsidR="00321ABA">
        <w:rPr>
          <w:lang w:val="es-ES"/>
        </w:rPr>
        <w:t>entre </w:t>
      </w:r>
      <w:r w:rsidRPr="002261B9">
        <w:rPr>
          <w:lang w:val="es-ES"/>
        </w:rPr>
        <w:t xml:space="preserve">ellos, el </w:t>
      </w:r>
      <w:r w:rsidR="00991BA3" w:rsidRPr="002261B9">
        <w:rPr>
          <w:lang w:val="es-ES"/>
        </w:rPr>
        <w:t xml:space="preserve">PFOA </w:t>
      </w:r>
      <w:r w:rsidRPr="002261B9">
        <w:rPr>
          <w:lang w:val="es-ES"/>
        </w:rPr>
        <w:t>y</w:t>
      </w:r>
      <w:r w:rsidR="00991BA3" w:rsidRPr="002261B9">
        <w:rPr>
          <w:lang w:val="es-ES"/>
        </w:rPr>
        <w:t xml:space="preserve"> </w:t>
      </w:r>
      <w:r w:rsidR="00E64629" w:rsidRPr="002261B9">
        <w:rPr>
          <w:lang w:val="es-ES"/>
        </w:rPr>
        <w:t>las sustancias conexas del PFOA</w:t>
      </w:r>
      <w:r w:rsidR="00991BA3" w:rsidRPr="002261B9">
        <w:rPr>
          <w:lang w:val="es-ES"/>
        </w:rPr>
        <w:t xml:space="preserve">) </w:t>
      </w:r>
      <w:r w:rsidRPr="002261B9">
        <w:rPr>
          <w:lang w:val="es-ES"/>
        </w:rPr>
        <w:t>e</w:t>
      </w:r>
      <w:r w:rsidR="00991BA3" w:rsidRPr="002261B9">
        <w:rPr>
          <w:lang w:val="es-ES"/>
        </w:rPr>
        <w:t>n</w:t>
      </w:r>
      <w:r w:rsidRPr="002261B9">
        <w:rPr>
          <w:lang w:val="es-ES"/>
        </w:rPr>
        <w:t xml:space="preserve"> las espumas ignífugas durante </w:t>
      </w:r>
      <w:r w:rsidR="00056AF3" w:rsidRPr="002261B9">
        <w:rPr>
          <w:lang w:val="es-ES"/>
        </w:rPr>
        <w:t>incendios y prácticas de entrenamiento</w:t>
      </w:r>
      <w:r w:rsidR="00991BA3" w:rsidRPr="002261B9">
        <w:rPr>
          <w:lang w:val="es-ES"/>
        </w:rPr>
        <w:t xml:space="preserve">. </w:t>
      </w:r>
      <w:r w:rsidR="00056AF3" w:rsidRPr="002261B9">
        <w:rPr>
          <w:lang w:val="es-ES"/>
        </w:rPr>
        <w:t>Los costos de descontaminación se derivan fundamentalmente del tratamiento del agua potable y las aguas subterráneas y la excavación y eliminación de suelos contaminados</w:t>
      </w:r>
      <w:r w:rsidR="00991BA3" w:rsidRPr="002261B9">
        <w:rPr>
          <w:lang w:val="es-ES"/>
        </w:rPr>
        <w:t xml:space="preserve">. </w:t>
      </w:r>
      <w:r w:rsidR="00056AF3" w:rsidRPr="002261B9">
        <w:rPr>
          <w:lang w:val="es-ES"/>
        </w:rPr>
        <w:t>La gravedad y magnitud de los daños causados y los costos correspondientes mostraron diferencias entre los casos comunicados</w:t>
      </w:r>
      <w:r w:rsidR="00991BA3" w:rsidRPr="002261B9">
        <w:rPr>
          <w:lang w:val="es-ES"/>
        </w:rPr>
        <w:t xml:space="preserve">. </w:t>
      </w:r>
      <w:r w:rsidR="00056AF3" w:rsidRPr="002261B9">
        <w:rPr>
          <w:lang w:val="es-ES"/>
        </w:rPr>
        <w:t>En algunos casos, todavía se desconoce el costo total de la descontaminación o no se ha notificado</w:t>
      </w:r>
      <w:r w:rsidR="00991BA3" w:rsidRPr="002261B9">
        <w:rPr>
          <w:lang w:val="es-ES"/>
        </w:rPr>
        <w:t xml:space="preserve">. </w:t>
      </w:r>
      <w:r w:rsidR="00056AF3" w:rsidRPr="002261B9">
        <w:rPr>
          <w:lang w:val="es-ES"/>
        </w:rPr>
        <w:t xml:space="preserve">En los casos en que se han notificado, los costos son muy específicos del caso y en ocasiones abarcan a otros </w:t>
      </w:r>
      <w:r w:rsidR="00991BA3" w:rsidRPr="002261B9">
        <w:rPr>
          <w:lang w:val="es-ES"/>
        </w:rPr>
        <w:t xml:space="preserve">PFAS </w:t>
      </w:r>
      <w:r w:rsidR="00056AF3" w:rsidRPr="002261B9">
        <w:rPr>
          <w:lang w:val="es-ES"/>
        </w:rPr>
        <w:t>también</w:t>
      </w:r>
      <w:r w:rsidR="00991BA3" w:rsidRPr="002261B9">
        <w:rPr>
          <w:lang w:val="es-ES"/>
        </w:rPr>
        <w:t xml:space="preserve">, </w:t>
      </w:r>
      <w:r w:rsidR="00056AF3" w:rsidRPr="002261B9">
        <w:rPr>
          <w:lang w:val="es-ES"/>
        </w:rPr>
        <w:t xml:space="preserve">lo que dificulta en gran medida </w:t>
      </w:r>
      <w:r w:rsidR="00056AF3" w:rsidRPr="002261B9">
        <w:rPr>
          <w:lang w:val="es-ES"/>
        </w:rPr>
        <w:lastRenderedPageBreak/>
        <w:t xml:space="preserve">obtener una estimación general concreta del costo de descontaminación por </w:t>
      </w:r>
      <w:r w:rsidR="00991BA3" w:rsidRPr="002261B9">
        <w:rPr>
          <w:lang w:val="es-ES"/>
        </w:rPr>
        <w:t xml:space="preserve">kg </w:t>
      </w:r>
      <w:r w:rsidR="00056AF3" w:rsidRPr="002261B9">
        <w:rPr>
          <w:lang w:val="es-ES"/>
        </w:rPr>
        <w:t xml:space="preserve">de </w:t>
      </w:r>
      <w:r w:rsidR="00991BA3" w:rsidRPr="002261B9">
        <w:rPr>
          <w:lang w:val="es-ES"/>
        </w:rPr>
        <w:t xml:space="preserve">PFOA </w:t>
      </w:r>
      <w:r w:rsidR="00056AF3" w:rsidRPr="002261B9">
        <w:rPr>
          <w:lang w:val="es-ES"/>
        </w:rPr>
        <w:t>y</w:t>
      </w:r>
      <w:r w:rsidR="00E64629" w:rsidRPr="002261B9">
        <w:rPr>
          <w:lang w:val="es-ES"/>
        </w:rPr>
        <w:t xml:space="preserve"> sustancias conexas del PFOA</w:t>
      </w:r>
      <w:r w:rsidR="00991BA3" w:rsidRPr="002261B9">
        <w:rPr>
          <w:lang w:val="es-ES"/>
        </w:rPr>
        <w:t xml:space="preserve">. </w:t>
      </w:r>
      <w:r w:rsidR="00056AF3" w:rsidRPr="002261B9">
        <w:rPr>
          <w:lang w:val="es-ES"/>
        </w:rPr>
        <w:t>No obstante, los datos de que se dispone indican que</w:t>
      </w:r>
      <w:r w:rsidR="00321ABA">
        <w:rPr>
          <w:lang w:val="es-ES"/>
        </w:rPr>
        <w:t xml:space="preserve"> los costos relacionados con la </w:t>
      </w:r>
      <w:r w:rsidR="00056AF3" w:rsidRPr="002261B9">
        <w:rPr>
          <w:lang w:val="es-ES"/>
        </w:rPr>
        <w:t xml:space="preserve">descontaminación de los </w:t>
      </w:r>
      <w:r w:rsidR="00991BA3" w:rsidRPr="002261B9">
        <w:rPr>
          <w:lang w:val="es-ES"/>
        </w:rPr>
        <w:t>PFAS</w:t>
      </w:r>
      <w:r w:rsidR="00056AF3" w:rsidRPr="002261B9">
        <w:rPr>
          <w:lang w:val="es-ES"/>
        </w:rPr>
        <w:t>, en particular el P</w:t>
      </w:r>
      <w:r w:rsidR="00991BA3" w:rsidRPr="002261B9">
        <w:rPr>
          <w:lang w:val="es-ES"/>
        </w:rPr>
        <w:t xml:space="preserve">FOA </w:t>
      </w:r>
      <w:r w:rsidR="00056AF3" w:rsidRPr="002261B9">
        <w:rPr>
          <w:lang w:val="es-ES"/>
        </w:rPr>
        <w:t>y</w:t>
      </w:r>
      <w:r w:rsidR="00991BA3" w:rsidRPr="002261B9">
        <w:rPr>
          <w:lang w:val="es-ES"/>
        </w:rPr>
        <w:t xml:space="preserve"> </w:t>
      </w:r>
      <w:r w:rsidR="00E64629" w:rsidRPr="002261B9">
        <w:rPr>
          <w:lang w:val="es-ES"/>
        </w:rPr>
        <w:t>las sustancias conexas del PFOA</w:t>
      </w:r>
      <w:r w:rsidR="00991BA3" w:rsidRPr="002261B9">
        <w:rPr>
          <w:lang w:val="es-ES"/>
        </w:rPr>
        <w:t xml:space="preserve"> </w:t>
      </w:r>
      <w:r w:rsidR="0052564A" w:rsidRPr="002261B9">
        <w:rPr>
          <w:lang w:val="es-ES"/>
        </w:rPr>
        <w:t xml:space="preserve">son considerables </w:t>
      </w:r>
      <w:r w:rsidR="00991BA3" w:rsidRPr="002261B9">
        <w:rPr>
          <w:lang w:val="es-ES"/>
        </w:rPr>
        <w:t>(ECHA</w:t>
      </w:r>
      <w:r w:rsidR="009F32DA" w:rsidRPr="002261B9">
        <w:rPr>
          <w:lang w:val="es-ES"/>
        </w:rPr>
        <w:t>,</w:t>
      </w:r>
      <w:r w:rsidR="00991BA3" w:rsidRPr="002261B9">
        <w:rPr>
          <w:lang w:val="es-ES"/>
        </w:rPr>
        <w:t xml:space="preserve"> 2015a; </w:t>
      </w:r>
      <w:r w:rsidR="00056AF3" w:rsidRPr="002261B9">
        <w:rPr>
          <w:lang w:val="es-ES"/>
        </w:rPr>
        <w:t>para las cifras de costos e</w:t>
      </w:r>
      <w:r w:rsidR="00991BA3" w:rsidRPr="002261B9">
        <w:rPr>
          <w:lang w:val="es-ES"/>
        </w:rPr>
        <w:t>spec</w:t>
      </w:r>
      <w:r w:rsidR="00056AF3" w:rsidRPr="002261B9">
        <w:rPr>
          <w:lang w:val="es-ES"/>
        </w:rPr>
        <w:t>í</w:t>
      </w:r>
      <w:r w:rsidR="00991BA3" w:rsidRPr="002261B9">
        <w:rPr>
          <w:lang w:val="es-ES"/>
        </w:rPr>
        <w:t>fic</w:t>
      </w:r>
      <w:r w:rsidR="00056AF3" w:rsidRPr="002261B9">
        <w:rPr>
          <w:lang w:val="es-ES"/>
        </w:rPr>
        <w:t xml:space="preserve">os, véase el cuadro </w:t>
      </w:r>
      <w:r w:rsidR="00991BA3" w:rsidRPr="002261B9">
        <w:rPr>
          <w:lang w:val="es-ES"/>
        </w:rPr>
        <w:t xml:space="preserve">A.F.1-1 </w:t>
      </w:r>
      <w:r w:rsidR="00056AF3" w:rsidRPr="002261B9">
        <w:rPr>
          <w:lang w:val="es-ES"/>
        </w:rPr>
        <w:t>e</w:t>
      </w:r>
      <w:r w:rsidR="00321ABA">
        <w:rPr>
          <w:lang w:val="es-ES"/>
        </w:rPr>
        <w:t>n </w:t>
      </w:r>
      <w:r w:rsidR="00991BA3" w:rsidRPr="002261B9">
        <w:rPr>
          <w:lang w:val="es-ES"/>
        </w:rPr>
        <w:t>ECHA</w:t>
      </w:r>
      <w:r w:rsidR="009F32DA" w:rsidRPr="002261B9">
        <w:rPr>
          <w:lang w:val="es-ES"/>
        </w:rPr>
        <w:t>,</w:t>
      </w:r>
      <w:r w:rsidR="00955D10" w:rsidRPr="002261B9">
        <w:rPr>
          <w:lang w:val="es-ES"/>
        </w:rPr>
        <w:t> </w:t>
      </w:r>
      <w:r w:rsidR="00991BA3" w:rsidRPr="002261B9">
        <w:rPr>
          <w:lang w:val="es-ES"/>
        </w:rPr>
        <w:t>2015a</w:t>
      </w:r>
      <w:r w:rsidR="000570BF" w:rsidRPr="002261B9">
        <w:rPr>
          <w:lang w:val="es-ES"/>
        </w:rPr>
        <w:t>)</w:t>
      </w:r>
      <w:r w:rsidR="00991BA3" w:rsidRPr="002261B9">
        <w:rPr>
          <w:lang w:val="es-ES"/>
        </w:rPr>
        <w:t xml:space="preserve">. </w:t>
      </w:r>
    </w:p>
    <w:p w14:paraId="436049CD" w14:textId="31B9EFB4" w:rsidR="00207D09" w:rsidRPr="002261B9" w:rsidRDefault="00991BA3" w:rsidP="00F45508">
      <w:pPr>
        <w:pStyle w:val="Paralevel1"/>
        <w:numPr>
          <w:ilvl w:val="0"/>
          <w:numId w:val="23"/>
        </w:numPr>
        <w:tabs>
          <w:tab w:val="clear" w:pos="0"/>
        </w:tabs>
        <w:ind w:left="1247" w:firstLine="0"/>
        <w:rPr>
          <w:lang w:val="es-ES"/>
        </w:rPr>
      </w:pPr>
      <w:r w:rsidRPr="002261B9">
        <w:rPr>
          <w:lang w:val="es-ES"/>
        </w:rPr>
        <w:t>La contaminación ambiental con el PFOA y compuestos conexos del PFOA también guarda relación con las actividades industriales, según ejemplos como los aportados por los Estados Unidos y los Países Bajos (</w:t>
      </w:r>
      <w:r w:rsidR="007F0459" w:rsidRPr="002261B9">
        <w:rPr>
          <w:lang w:val="es-ES"/>
        </w:rPr>
        <w:t>Observaciones</w:t>
      </w:r>
      <w:r w:rsidRPr="002261B9">
        <w:rPr>
          <w:lang w:val="es-ES"/>
        </w:rPr>
        <w:t xml:space="preserve"> de Noruega</w:t>
      </w:r>
      <w:r w:rsidR="000570BF" w:rsidRPr="002261B9">
        <w:rPr>
          <w:lang w:val="es-ES"/>
        </w:rPr>
        <w:t xml:space="preserve"> </w:t>
      </w:r>
      <w:r w:rsidRPr="002261B9">
        <w:rPr>
          <w:lang w:val="es-ES"/>
        </w:rPr>
        <w:t xml:space="preserve">sobre el primer proyecto de evaluación de la gestión de los riesgos). Noruega se refiere a la rehabilitación que se está llevando a cabo de suelos contaminados con PFAS debido al uso de </w:t>
      </w:r>
      <w:r w:rsidR="0052564A" w:rsidRPr="002261B9">
        <w:rPr>
          <w:lang w:val="es-ES"/>
        </w:rPr>
        <w:t xml:space="preserve">espumas acuosas formadoras de películas </w:t>
      </w:r>
      <w:r w:rsidRPr="002261B9">
        <w:rPr>
          <w:lang w:val="es-ES"/>
        </w:rPr>
        <w:t xml:space="preserve">en aeropuertos y </w:t>
      </w:r>
      <w:r w:rsidR="00BD6134" w:rsidRPr="002261B9">
        <w:rPr>
          <w:lang w:val="es-ES"/>
        </w:rPr>
        <w:t>lugare</w:t>
      </w:r>
      <w:r w:rsidR="004556E0" w:rsidRPr="002261B9">
        <w:rPr>
          <w:lang w:val="es-ES"/>
        </w:rPr>
        <w:t>s de</w:t>
      </w:r>
      <w:r w:rsidRPr="002261B9">
        <w:rPr>
          <w:lang w:val="es-ES"/>
        </w:rPr>
        <w:t xml:space="preserve"> </w:t>
      </w:r>
      <w:r w:rsidR="0052564A" w:rsidRPr="002261B9">
        <w:rPr>
          <w:lang w:val="es-ES"/>
        </w:rPr>
        <w:t>entrenamiento</w:t>
      </w:r>
      <w:r w:rsidRPr="002261B9">
        <w:rPr>
          <w:lang w:val="es-ES"/>
        </w:rPr>
        <w:t xml:space="preserve"> </w:t>
      </w:r>
      <w:r w:rsidR="004556E0" w:rsidRPr="002261B9">
        <w:rPr>
          <w:lang w:val="es-ES"/>
        </w:rPr>
        <w:t xml:space="preserve">en lucha </w:t>
      </w:r>
      <w:r w:rsidRPr="002261B9">
        <w:rPr>
          <w:lang w:val="es-ES"/>
        </w:rPr>
        <w:t>contra incendios (Noruega</w:t>
      </w:r>
      <w:r w:rsidR="009F32DA" w:rsidRPr="002261B9">
        <w:rPr>
          <w:lang w:val="es-ES"/>
        </w:rPr>
        <w:t>,</w:t>
      </w:r>
      <w:r w:rsidRPr="002261B9">
        <w:rPr>
          <w:lang w:val="es-ES"/>
        </w:rPr>
        <w:t xml:space="preserve"> 2016). En Australia, el estigma de tener un medio ambiente contaminado debido al uso h</w:t>
      </w:r>
      <w:r w:rsidR="00BD6134" w:rsidRPr="002261B9">
        <w:rPr>
          <w:lang w:val="es-ES"/>
        </w:rPr>
        <w:t>istórico</w:t>
      </w:r>
      <w:r w:rsidRPr="002261B9">
        <w:rPr>
          <w:lang w:val="es-ES"/>
        </w:rPr>
        <w:t xml:space="preserve"> de </w:t>
      </w:r>
      <w:r w:rsidR="00BD6134" w:rsidRPr="002261B9">
        <w:rPr>
          <w:lang w:val="es-ES"/>
        </w:rPr>
        <w:t xml:space="preserve">EAFP que contienen </w:t>
      </w:r>
      <w:r w:rsidRPr="002261B9">
        <w:rPr>
          <w:lang w:val="es-ES"/>
        </w:rPr>
        <w:t xml:space="preserve">PFOA ha contribuido a </w:t>
      </w:r>
      <w:r w:rsidR="00056AF3" w:rsidRPr="002261B9">
        <w:rPr>
          <w:lang w:val="es-ES"/>
        </w:rPr>
        <w:t>la devaluación de los bienes raí</w:t>
      </w:r>
      <w:r w:rsidRPr="002261B9">
        <w:rPr>
          <w:lang w:val="es-ES"/>
        </w:rPr>
        <w:t xml:space="preserve">ces y las empresas y a la pérdida de ingresos para </w:t>
      </w:r>
      <w:r w:rsidR="00BD6134" w:rsidRPr="002261B9">
        <w:rPr>
          <w:lang w:val="es-ES"/>
        </w:rPr>
        <w:t xml:space="preserve">los </w:t>
      </w:r>
      <w:r w:rsidRPr="002261B9">
        <w:rPr>
          <w:lang w:val="es-ES"/>
        </w:rPr>
        <w:t>propietarios de tierras y de negocios (véase la sección 2.2.2)</w:t>
      </w:r>
      <w:r w:rsidR="00056AF3" w:rsidRPr="002261B9">
        <w:rPr>
          <w:lang w:val="es-ES"/>
        </w:rPr>
        <w:t>.</w:t>
      </w:r>
      <w:r w:rsidRPr="002261B9">
        <w:rPr>
          <w:lang w:val="es-ES"/>
        </w:rPr>
        <w:t xml:space="preserve"> </w:t>
      </w:r>
      <w:r w:rsidR="00B71AE6" w:rsidRPr="002261B9">
        <w:rPr>
          <w:lang w:val="es-ES"/>
        </w:rPr>
        <w:t xml:space="preserve">Se ha observado la presencia de compuestos de PFAS en las aguas subterráneas de </w:t>
      </w:r>
      <w:r w:rsidR="00056AF3" w:rsidRPr="002261B9">
        <w:rPr>
          <w:lang w:val="es-ES"/>
        </w:rPr>
        <w:t>distintos lugares de Dinamarca</w:t>
      </w:r>
      <w:r w:rsidR="00B71AE6" w:rsidRPr="002261B9">
        <w:rPr>
          <w:lang w:val="es-ES"/>
        </w:rPr>
        <w:t>.</w:t>
      </w:r>
      <w:r w:rsidRPr="002261B9">
        <w:rPr>
          <w:lang w:val="es-ES"/>
        </w:rPr>
        <w:t xml:space="preserve"> </w:t>
      </w:r>
      <w:r w:rsidR="00056AF3" w:rsidRPr="002261B9">
        <w:rPr>
          <w:lang w:val="es-ES"/>
        </w:rPr>
        <w:t xml:space="preserve">Los </w:t>
      </w:r>
      <w:r w:rsidRPr="002261B9">
        <w:rPr>
          <w:lang w:val="es-ES"/>
        </w:rPr>
        <w:t xml:space="preserve">PFAS </w:t>
      </w:r>
      <w:r w:rsidR="0052564A" w:rsidRPr="002261B9">
        <w:rPr>
          <w:lang w:val="es-ES"/>
        </w:rPr>
        <w:t xml:space="preserve">están presentes </w:t>
      </w:r>
      <w:r w:rsidR="00BC5BAE" w:rsidRPr="002261B9">
        <w:rPr>
          <w:lang w:val="es-ES"/>
        </w:rPr>
        <w:t>en los alrededores de las</w:t>
      </w:r>
      <w:r w:rsidR="0052564A" w:rsidRPr="002261B9">
        <w:rPr>
          <w:lang w:val="es-ES"/>
        </w:rPr>
        <w:t xml:space="preserve"> </w:t>
      </w:r>
      <w:r w:rsidR="00056AF3" w:rsidRPr="002261B9">
        <w:rPr>
          <w:lang w:val="es-ES"/>
        </w:rPr>
        <w:t xml:space="preserve">industrias o </w:t>
      </w:r>
      <w:r w:rsidR="00BC5BAE" w:rsidRPr="002261B9">
        <w:rPr>
          <w:lang w:val="es-ES"/>
        </w:rPr>
        <w:t xml:space="preserve">en lugares donde se realizan </w:t>
      </w:r>
      <w:r w:rsidR="00056AF3" w:rsidRPr="002261B9">
        <w:rPr>
          <w:lang w:val="es-ES"/>
        </w:rPr>
        <w:t>actividades específicas</w:t>
      </w:r>
      <w:r w:rsidRPr="002261B9">
        <w:rPr>
          <w:lang w:val="es-ES"/>
        </w:rPr>
        <w:t xml:space="preserve">, </w:t>
      </w:r>
      <w:r w:rsidR="00056AF3" w:rsidRPr="002261B9">
        <w:rPr>
          <w:lang w:val="es-ES"/>
        </w:rPr>
        <w:t xml:space="preserve">fundamentalmente lugares de entrenamiento </w:t>
      </w:r>
      <w:r w:rsidR="00BD6134" w:rsidRPr="002261B9">
        <w:rPr>
          <w:lang w:val="es-ES"/>
        </w:rPr>
        <w:t>en lucha contra</w:t>
      </w:r>
      <w:r w:rsidR="00056AF3" w:rsidRPr="002261B9">
        <w:rPr>
          <w:lang w:val="es-ES"/>
        </w:rPr>
        <w:t xml:space="preserve"> incendios</w:t>
      </w:r>
      <w:r w:rsidRPr="002261B9">
        <w:rPr>
          <w:lang w:val="es-ES"/>
        </w:rPr>
        <w:t xml:space="preserve">. </w:t>
      </w:r>
      <w:r w:rsidR="00056AF3" w:rsidRPr="002261B9">
        <w:rPr>
          <w:lang w:val="es-ES"/>
        </w:rPr>
        <w:t xml:space="preserve">En algunos de estos lugares, la concentración de </w:t>
      </w:r>
      <w:r w:rsidRPr="002261B9">
        <w:rPr>
          <w:lang w:val="es-ES"/>
        </w:rPr>
        <w:t xml:space="preserve">PFOA </w:t>
      </w:r>
      <w:r w:rsidR="00BD6134" w:rsidRPr="002261B9">
        <w:rPr>
          <w:lang w:val="es-ES"/>
        </w:rPr>
        <w:t xml:space="preserve">ha </w:t>
      </w:r>
      <w:r w:rsidR="006A6BA0" w:rsidRPr="002261B9">
        <w:rPr>
          <w:lang w:val="es-ES"/>
        </w:rPr>
        <w:t>supera</w:t>
      </w:r>
      <w:r w:rsidR="00BD6134" w:rsidRPr="002261B9">
        <w:rPr>
          <w:lang w:val="es-ES"/>
        </w:rPr>
        <w:t>do</w:t>
      </w:r>
      <w:r w:rsidR="006A6BA0" w:rsidRPr="002261B9">
        <w:rPr>
          <w:lang w:val="es-ES"/>
        </w:rPr>
        <w:t xml:space="preserve"> el valor límite de PFOA para el agua potable establecido por Alemania en aproximadamente un factor de </w:t>
      </w:r>
      <w:r w:rsidRPr="002261B9">
        <w:rPr>
          <w:lang w:val="es-ES"/>
        </w:rPr>
        <w:t>10</w:t>
      </w:r>
      <w:r w:rsidR="006A6BA0" w:rsidRPr="002261B9">
        <w:rPr>
          <w:lang w:val="es-ES"/>
        </w:rPr>
        <w:t>,</w:t>
      </w:r>
      <w:r w:rsidRPr="002261B9">
        <w:rPr>
          <w:lang w:val="es-ES"/>
        </w:rPr>
        <w:t xml:space="preserve"> </w:t>
      </w:r>
      <w:r w:rsidR="006A6BA0" w:rsidRPr="002261B9">
        <w:rPr>
          <w:lang w:val="es-ES"/>
        </w:rPr>
        <w:t xml:space="preserve">por lo que se inició la labor encaminada a establecer el valor límite en el agua potable basado en el conjunto de requisitos de Dinamarca para </w:t>
      </w:r>
      <w:r w:rsidRPr="002261B9">
        <w:rPr>
          <w:lang w:val="es-ES"/>
        </w:rPr>
        <w:t xml:space="preserve">12 </w:t>
      </w:r>
      <w:r w:rsidR="006A6BA0" w:rsidRPr="002261B9">
        <w:rPr>
          <w:lang w:val="es-ES"/>
        </w:rPr>
        <w:t>sustancias perfluoradas</w:t>
      </w:r>
      <w:r w:rsidRPr="002261B9">
        <w:rPr>
          <w:lang w:val="es-ES"/>
        </w:rPr>
        <w:t xml:space="preserve">. </w:t>
      </w:r>
      <w:r w:rsidR="006A6BA0" w:rsidRPr="002261B9">
        <w:rPr>
          <w:lang w:val="es-ES"/>
        </w:rPr>
        <w:t xml:space="preserve">Cabe señalar asimismo que en esos lugares se detectaron también otros compuestos de </w:t>
      </w:r>
      <w:r w:rsidRPr="002261B9">
        <w:rPr>
          <w:lang w:val="es-ES"/>
        </w:rPr>
        <w:t>PFAS (</w:t>
      </w:r>
      <w:r w:rsidR="00BC5BAE" w:rsidRPr="002261B9">
        <w:rPr>
          <w:lang w:val="es-ES"/>
        </w:rPr>
        <w:t>Organismo Danés de Protección Ambiental</w:t>
      </w:r>
      <w:r w:rsidR="000A45EB" w:rsidRPr="002261B9">
        <w:rPr>
          <w:lang w:val="es-ES"/>
        </w:rPr>
        <w:t>,</w:t>
      </w:r>
      <w:r w:rsidRPr="002261B9">
        <w:rPr>
          <w:lang w:val="es-ES"/>
        </w:rPr>
        <w:t xml:space="preserve"> 2014).</w:t>
      </w:r>
      <w:r w:rsidR="00284890" w:rsidRPr="002261B9">
        <w:rPr>
          <w:lang w:val="es-ES"/>
        </w:rPr>
        <w:t xml:space="preserve"> </w:t>
      </w:r>
      <w:r w:rsidR="006A6BA0" w:rsidRPr="002261B9">
        <w:rPr>
          <w:lang w:val="es-ES"/>
        </w:rPr>
        <w:t xml:space="preserve">Se han determinado altos niveles de </w:t>
      </w:r>
      <w:r w:rsidRPr="002261B9">
        <w:rPr>
          <w:lang w:val="es-ES"/>
        </w:rPr>
        <w:t>PFAS (</w:t>
      </w:r>
      <w:r w:rsidR="006A6BA0" w:rsidRPr="002261B9">
        <w:rPr>
          <w:lang w:val="es-ES"/>
        </w:rPr>
        <w:t xml:space="preserve">incluidos el </w:t>
      </w:r>
      <w:r w:rsidRPr="002261B9">
        <w:rPr>
          <w:lang w:val="es-ES"/>
        </w:rPr>
        <w:t xml:space="preserve">PFOS </w:t>
      </w:r>
      <w:r w:rsidR="00321ABA">
        <w:rPr>
          <w:lang w:val="es-ES"/>
        </w:rPr>
        <w:t>y el </w:t>
      </w:r>
      <w:r w:rsidRPr="002261B9">
        <w:rPr>
          <w:lang w:val="es-ES"/>
        </w:rPr>
        <w:t xml:space="preserve">PFOA) </w:t>
      </w:r>
      <w:r w:rsidR="006A6BA0" w:rsidRPr="002261B9">
        <w:rPr>
          <w:lang w:val="es-ES"/>
        </w:rPr>
        <w:t>en las aguas subterráneas de Suecia</w:t>
      </w:r>
      <w:r w:rsidRPr="002261B9">
        <w:rPr>
          <w:lang w:val="es-ES"/>
        </w:rPr>
        <w:t xml:space="preserve">, </w:t>
      </w:r>
      <w:r w:rsidR="006A6BA0" w:rsidRPr="002261B9">
        <w:rPr>
          <w:lang w:val="es-ES"/>
        </w:rPr>
        <w:t xml:space="preserve">sobre todo en relación con los lugares de entrenamiento </w:t>
      </w:r>
      <w:r w:rsidR="00BD6134" w:rsidRPr="002261B9">
        <w:rPr>
          <w:lang w:val="es-ES"/>
        </w:rPr>
        <w:t xml:space="preserve">en lucha contra </w:t>
      </w:r>
      <w:r w:rsidR="006A6BA0" w:rsidRPr="002261B9">
        <w:rPr>
          <w:lang w:val="es-ES"/>
        </w:rPr>
        <w:t>incendios y en zonas donde se han extinguido incendios</w:t>
      </w:r>
      <w:r w:rsidRPr="002261B9">
        <w:rPr>
          <w:lang w:val="es-ES"/>
        </w:rPr>
        <w:t xml:space="preserve">. </w:t>
      </w:r>
      <w:r w:rsidR="006A6BA0" w:rsidRPr="002261B9">
        <w:rPr>
          <w:lang w:val="es-ES"/>
        </w:rPr>
        <w:t>En algunos casos, las concentraciones de</w:t>
      </w:r>
      <w:r w:rsidRPr="002261B9">
        <w:rPr>
          <w:lang w:val="es-ES"/>
        </w:rPr>
        <w:t xml:space="preserve"> PFAS</w:t>
      </w:r>
      <w:r w:rsidR="006A6BA0" w:rsidRPr="002261B9">
        <w:rPr>
          <w:lang w:val="es-ES"/>
        </w:rPr>
        <w:t xml:space="preserve"> han rebasado el nivel permitido por </w:t>
      </w:r>
      <w:r w:rsidR="00C207F7" w:rsidRPr="002261B9">
        <w:rPr>
          <w:lang w:val="es-ES"/>
        </w:rPr>
        <w:t>el</w:t>
      </w:r>
      <w:r w:rsidR="006A6BA0" w:rsidRPr="002261B9">
        <w:rPr>
          <w:lang w:val="es-ES"/>
        </w:rPr>
        <w:t xml:space="preserve"> </w:t>
      </w:r>
      <w:r w:rsidR="00C207F7" w:rsidRPr="002261B9">
        <w:rPr>
          <w:lang w:val="es-ES"/>
        </w:rPr>
        <w:t>Organismo Nacional Sueco para la Alimentación</w:t>
      </w:r>
      <w:r w:rsidRPr="002261B9">
        <w:rPr>
          <w:lang w:val="es-ES"/>
        </w:rPr>
        <w:t xml:space="preserve">. </w:t>
      </w:r>
      <w:r w:rsidR="006A6BA0" w:rsidRPr="002261B9">
        <w:rPr>
          <w:lang w:val="es-ES"/>
        </w:rPr>
        <w:t>En consecuencia</w:t>
      </w:r>
      <w:r w:rsidRPr="002261B9">
        <w:rPr>
          <w:lang w:val="es-ES"/>
        </w:rPr>
        <w:t xml:space="preserve">, </w:t>
      </w:r>
      <w:r w:rsidR="006A6BA0" w:rsidRPr="002261B9">
        <w:rPr>
          <w:lang w:val="es-ES"/>
        </w:rPr>
        <w:t>los manantiales y los servicios de abastecimiento de agua han tenido que introducir nuevas medidas de tratamiento o cambiar a fuentes no contaminadas de agua</w:t>
      </w:r>
      <w:r w:rsidRPr="002261B9">
        <w:rPr>
          <w:lang w:val="es-ES"/>
        </w:rPr>
        <w:t xml:space="preserve"> (</w:t>
      </w:r>
      <w:r w:rsidR="00A76D63" w:rsidRPr="002261B9">
        <w:rPr>
          <w:lang w:val="es-ES"/>
        </w:rPr>
        <w:t>Organismo Sueco de Productos Químicos</w:t>
      </w:r>
      <w:r w:rsidR="000A45EB" w:rsidRPr="002261B9">
        <w:rPr>
          <w:lang w:val="es-ES"/>
        </w:rPr>
        <w:t>,</w:t>
      </w:r>
      <w:r w:rsidRPr="002261B9">
        <w:rPr>
          <w:lang w:val="es-ES"/>
        </w:rPr>
        <w:t xml:space="preserve"> 2016a</w:t>
      </w:r>
      <w:r w:rsidR="000570BF" w:rsidRPr="002261B9">
        <w:rPr>
          <w:lang w:val="es-ES"/>
        </w:rPr>
        <w:t>)</w:t>
      </w:r>
      <w:r w:rsidRPr="002261B9">
        <w:rPr>
          <w:lang w:val="es-ES"/>
        </w:rPr>
        <w:t xml:space="preserve">. </w:t>
      </w:r>
      <w:r w:rsidR="00F8570E" w:rsidRPr="002261B9">
        <w:rPr>
          <w:lang w:val="es-ES"/>
        </w:rPr>
        <w:t xml:space="preserve">La detección y la gestión de los lugares contaminados y las aguas subterráneas puede </w:t>
      </w:r>
      <w:r w:rsidR="000570BF" w:rsidRPr="002261B9">
        <w:rPr>
          <w:lang w:val="es-ES"/>
        </w:rPr>
        <w:t xml:space="preserve">conllevar </w:t>
      </w:r>
      <w:r w:rsidR="00F8570E" w:rsidRPr="002261B9">
        <w:rPr>
          <w:lang w:val="es-ES"/>
        </w:rPr>
        <w:t>costos considerable</w:t>
      </w:r>
      <w:r w:rsidR="000570BF" w:rsidRPr="002261B9">
        <w:rPr>
          <w:lang w:val="es-ES"/>
        </w:rPr>
        <w:t>s</w:t>
      </w:r>
      <w:r w:rsidR="00F8570E" w:rsidRPr="002261B9">
        <w:rPr>
          <w:lang w:val="es-ES"/>
        </w:rPr>
        <w:t>,</w:t>
      </w:r>
      <w:r w:rsidRPr="002261B9">
        <w:rPr>
          <w:lang w:val="es-ES"/>
        </w:rPr>
        <w:t xml:space="preserve"> </w:t>
      </w:r>
      <w:r w:rsidR="00F8570E" w:rsidRPr="002261B9">
        <w:rPr>
          <w:lang w:val="es-ES"/>
        </w:rPr>
        <w:t xml:space="preserve">que se reducirán en el futuro si se aplican restricciones al </w:t>
      </w:r>
      <w:r w:rsidRPr="002261B9">
        <w:rPr>
          <w:lang w:val="es-ES"/>
        </w:rPr>
        <w:t>PFOA</w:t>
      </w:r>
      <w:r w:rsidR="00284890" w:rsidRPr="002261B9">
        <w:rPr>
          <w:lang w:val="es-ES"/>
        </w:rPr>
        <w:t xml:space="preserve"> </w:t>
      </w:r>
      <w:r w:rsidR="00F8570E" w:rsidRPr="002261B9">
        <w:rPr>
          <w:lang w:val="es-ES"/>
        </w:rPr>
        <w:t xml:space="preserve">y a </w:t>
      </w:r>
      <w:r w:rsidR="00E61FF0" w:rsidRPr="002261B9">
        <w:rPr>
          <w:lang w:val="es-ES"/>
        </w:rPr>
        <w:t xml:space="preserve">los </w:t>
      </w:r>
      <w:r w:rsidR="009321C2" w:rsidRPr="002261B9">
        <w:rPr>
          <w:lang w:val="es-ES"/>
        </w:rPr>
        <w:t>compuestos</w:t>
      </w:r>
      <w:r w:rsidR="00536059" w:rsidRPr="002261B9">
        <w:rPr>
          <w:lang w:val="es-ES"/>
        </w:rPr>
        <w:t xml:space="preserve"> conexos del </w:t>
      </w:r>
      <w:r w:rsidR="00E61FF0" w:rsidRPr="002261B9">
        <w:rPr>
          <w:lang w:val="es-ES"/>
        </w:rPr>
        <w:t>PFOA</w:t>
      </w:r>
      <w:r w:rsidR="00F8570E" w:rsidRPr="002261B9">
        <w:rPr>
          <w:lang w:val="es-ES"/>
        </w:rPr>
        <w:t xml:space="preserve">. Por último, cabe señalar también que estos ejemplos son todos de países desarrollados con gran capacidad de prevención </w:t>
      </w:r>
      <w:r w:rsidR="00BD6134" w:rsidRPr="002261B9">
        <w:rPr>
          <w:lang w:val="es-ES"/>
        </w:rPr>
        <w:t>y</w:t>
      </w:r>
      <w:r w:rsidR="00F8570E" w:rsidRPr="002261B9">
        <w:rPr>
          <w:lang w:val="es-ES"/>
        </w:rPr>
        <w:t xml:space="preserve"> descontaminación</w:t>
      </w:r>
      <w:r w:rsidRPr="002261B9">
        <w:rPr>
          <w:lang w:val="es-ES"/>
        </w:rPr>
        <w:t xml:space="preserve">. </w:t>
      </w:r>
      <w:r w:rsidR="00F8570E" w:rsidRPr="002261B9">
        <w:rPr>
          <w:lang w:val="es-ES"/>
        </w:rPr>
        <w:t>En los países en desarrollo o en países con economías en transición, esas medidas requerirían de financiación externa o simplemente no se llevarían a cabo</w:t>
      </w:r>
      <w:r w:rsidRPr="002261B9">
        <w:rPr>
          <w:lang w:val="es-ES"/>
        </w:rPr>
        <w:t xml:space="preserve">, </w:t>
      </w:r>
      <w:r w:rsidR="00F8570E" w:rsidRPr="002261B9">
        <w:rPr>
          <w:lang w:val="es-ES"/>
        </w:rPr>
        <w:t xml:space="preserve">lo que terminaría por causar daños inadmisibles en la salud y el medio ambiente </w:t>
      </w:r>
      <w:r w:rsidRPr="002261B9">
        <w:rPr>
          <w:lang w:val="es-ES"/>
        </w:rPr>
        <w:t>(</w:t>
      </w:r>
      <w:r w:rsidR="00321ABA">
        <w:rPr>
          <w:lang w:val="es-ES"/>
        </w:rPr>
        <w:t>Observaciones de la Red de </w:t>
      </w:r>
      <w:r w:rsidR="00E10461" w:rsidRPr="002261B9">
        <w:rPr>
          <w:lang w:val="es-ES"/>
        </w:rPr>
        <w:t>Eliminación de COP</w:t>
      </w:r>
      <w:r w:rsidR="000A45EB" w:rsidRPr="002261B9">
        <w:rPr>
          <w:lang w:val="es-ES"/>
        </w:rPr>
        <w:t xml:space="preserve"> </w:t>
      </w:r>
      <w:r w:rsidR="0013156F" w:rsidRPr="002261B9">
        <w:rPr>
          <w:lang w:val="es-ES"/>
        </w:rPr>
        <w:t>sobre el segundo proyecto de evaluación de la gestión de los riesgos</w:t>
      </w:r>
      <w:r w:rsidRPr="002261B9">
        <w:rPr>
          <w:lang w:val="es-ES"/>
        </w:rPr>
        <w:t>).</w:t>
      </w:r>
    </w:p>
    <w:p w14:paraId="5FFC0507" w14:textId="349E399A" w:rsidR="00410376" w:rsidRPr="002261B9" w:rsidRDefault="000D0B99" w:rsidP="00F45508">
      <w:pPr>
        <w:pStyle w:val="Paralevel1"/>
        <w:numPr>
          <w:ilvl w:val="0"/>
          <w:numId w:val="23"/>
        </w:numPr>
        <w:tabs>
          <w:tab w:val="clear" w:pos="0"/>
        </w:tabs>
        <w:ind w:left="1247" w:firstLine="0"/>
        <w:rPr>
          <w:lang w:val="es-ES"/>
        </w:rPr>
      </w:pPr>
      <w:r w:rsidRPr="002261B9">
        <w:rPr>
          <w:lang w:val="es-ES"/>
        </w:rPr>
        <w:t>En un estudio compara</w:t>
      </w:r>
      <w:r w:rsidR="00BD6134" w:rsidRPr="002261B9">
        <w:rPr>
          <w:lang w:val="es-ES"/>
        </w:rPr>
        <w:t>d</w:t>
      </w:r>
      <w:r w:rsidRPr="002261B9">
        <w:rPr>
          <w:lang w:val="es-ES"/>
        </w:rPr>
        <w:t>o, en el que se usó un análisis de la eficacia en función de los costos para determin</w:t>
      </w:r>
      <w:r w:rsidR="00015712" w:rsidRPr="002261B9">
        <w:rPr>
          <w:lang w:val="es-ES"/>
        </w:rPr>
        <w:t>a</w:t>
      </w:r>
      <w:r w:rsidRPr="002261B9">
        <w:rPr>
          <w:lang w:val="es-ES"/>
        </w:rPr>
        <w:t xml:space="preserve">r la proporcionalidad de las medidas de control del </w:t>
      </w:r>
      <w:r w:rsidR="00410376" w:rsidRPr="002261B9">
        <w:rPr>
          <w:lang w:val="es-ES"/>
        </w:rPr>
        <w:t>PFOA (</w:t>
      </w:r>
      <w:r w:rsidRPr="002261B9">
        <w:rPr>
          <w:lang w:val="es-ES"/>
        </w:rPr>
        <w:t>y otras sustancias</w:t>
      </w:r>
      <w:r w:rsidR="00410376" w:rsidRPr="002261B9">
        <w:rPr>
          <w:lang w:val="es-ES"/>
        </w:rPr>
        <w:t>)</w:t>
      </w:r>
      <w:r w:rsidR="00BD6134" w:rsidRPr="002261B9">
        <w:rPr>
          <w:lang w:val="es-ES"/>
        </w:rPr>
        <w:t>,</w:t>
      </w:r>
      <w:r w:rsidR="00410376" w:rsidRPr="002261B9">
        <w:rPr>
          <w:lang w:val="es-ES"/>
        </w:rPr>
        <w:t xml:space="preserve"> </w:t>
      </w:r>
      <w:r w:rsidR="00015712" w:rsidRPr="002261B9">
        <w:rPr>
          <w:lang w:val="es-ES"/>
        </w:rPr>
        <w:t>se examinaron las estimaciones de la eficacia en función de los costos de las medidas reglamentarias que se han aplicado o considerado aplicar al PFOA</w:t>
      </w:r>
      <w:r w:rsidR="00410376" w:rsidRPr="002261B9">
        <w:rPr>
          <w:lang w:val="es-ES"/>
        </w:rPr>
        <w:t xml:space="preserve">. </w:t>
      </w:r>
      <w:r w:rsidR="00015712" w:rsidRPr="002261B9">
        <w:rPr>
          <w:lang w:val="es-ES"/>
        </w:rPr>
        <w:t xml:space="preserve">Pese a que las búsquedas y la evaluación presentadas en el estudio tienen un alcance mundial explícito y a que se incluyeron todos los estudios, informes y publicaciones disponibles que pudieron encontrarse en línea, es posible que se observe una ligera </w:t>
      </w:r>
      <w:r w:rsidR="00E1011E" w:rsidRPr="002261B9">
        <w:rPr>
          <w:lang w:val="es-ES"/>
        </w:rPr>
        <w:t>“</w:t>
      </w:r>
      <w:r w:rsidR="00015712" w:rsidRPr="002261B9">
        <w:rPr>
          <w:lang w:val="es-ES"/>
        </w:rPr>
        <w:t>parcialidad</w:t>
      </w:r>
      <w:r w:rsidR="00E1011E" w:rsidRPr="002261B9">
        <w:rPr>
          <w:lang w:val="es-ES"/>
        </w:rPr>
        <w:t>”</w:t>
      </w:r>
      <w:r w:rsidR="00015712" w:rsidRPr="002261B9">
        <w:rPr>
          <w:lang w:val="es-ES"/>
        </w:rPr>
        <w:t xml:space="preserve"> a mostrar muchos más ejemplos de Europa debido </w:t>
      </w:r>
      <w:r w:rsidR="00536059" w:rsidRPr="002261B9">
        <w:rPr>
          <w:lang w:val="es-ES"/>
        </w:rPr>
        <w:t>al domicilio de los autores y a </w:t>
      </w:r>
      <w:r w:rsidR="00015712" w:rsidRPr="002261B9">
        <w:rPr>
          <w:lang w:val="es-ES"/>
        </w:rPr>
        <w:t>los idiomas utilizados. Las pruebas de que se dispone dan a entender que las medidas q</w:t>
      </w:r>
      <w:r w:rsidR="00536059" w:rsidRPr="002261B9">
        <w:rPr>
          <w:lang w:val="es-ES"/>
        </w:rPr>
        <w:t>ue cuestan menos de </w:t>
      </w:r>
      <w:r w:rsidR="00410376" w:rsidRPr="002261B9">
        <w:rPr>
          <w:lang w:val="es-ES"/>
        </w:rPr>
        <w:t>1</w:t>
      </w:r>
      <w:r w:rsidR="00015712" w:rsidRPr="002261B9">
        <w:rPr>
          <w:lang w:val="es-ES"/>
        </w:rPr>
        <w:t>.</w:t>
      </w:r>
      <w:r w:rsidR="00536059" w:rsidRPr="002261B9">
        <w:rPr>
          <w:lang w:val="es-ES"/>
        </w:rPr>
        <w:t>000 </w:t>
      </w:r>
      <w:r w:rsidR="00410376" w:rsidRPr="002261B9">
        <w:rPr>
          <w:lang w:val="es-ES"/>
        </w:rPr>
        <w:t xml:space="preserve">€/kg </w:t>
      </w:r>
      <w:r w:rsidR="00015712" w:rsidRPr="002261B9">
        <w:rPr>
          <w:lang w:val="es-ES"/>
        </w:rPr>
        <w:t>de uso de la sustancia o reducción de las emisiones</w:t>
      </w:r>
      <w:r w:rsidR="007B5687" w:rsidRPr="002261B9">
        <w:rPr>
          <w:lang w:val="es-ES"/>
        </w:rPr>
        <w:t>, por regla general, no serán rechazadas por desproporcionadas</w:t>
      </w:r>
      <w:r w:rsidR="00410376" w:rsidRPr="002261B9">
        <w:rPr>
          <w:lang w:val="es-ES"/>
        </w:rPr>
        <w:t xml:space="preserve">, </w:t>
      </w:r>
      <w:r w:rsidR="007B5687" w:rsidRPr="002261B9">
        <w:rPr>
          <w:lang w:val="es-ES"/>
        </w:rPr>
        <w:t xml:space="preserve">mientras que las medidas cuyos costos superan los </w:t>
      </w:r>
      <w:r w:rsidR="00410376" w:rsidRPr="002261B9">
        <w:rPr>
          <w:lang w:val="es-ES"/>
        </w:rPr>
        <w:t>50</w:t>
      </w:r>
      <w:r w:rsidR="007B5687" w:rsidRPr="002261B9">
        <w:rPr>
          <w:lang w:val="es-ES"/>
        </w:rPr>
        <w:t>.</w:t>
      </w:r>
      <w:r w:rsidR="00410376" w:rsidRPr="002261B9">
        <w:rPr>
          <w:lang w:val="es-ES"/>
        </w:rPr>
        <w:t xml:space="preserve">000 €/kg </w:t>
      </w:r>
      <w:r w:rsidR="007B5687" w:rsidRPr="002261B9">
        <w:rPr>
          <w:lang w:val="es-ES"/>
        </w:rPr>
        <w:t>de sustancia con toda probabilidad serán rechazadas</w:t>
      </w:r>
      <w:r w:rsidR="00410376" w:rsidRPr="002261B9">
        <w:rPr>
          <w:lang w:val="es-ES"/>
        </w:rPr>
        <w:t xml:space="preserve">. </w:t>
      </w:r>
      <w:r w:rsidR="007B5687" w:rsidRPr="002261B9">
        <w:rPr>
          <w:lang w:val="es-ES"/>
        </w:rPr>
        <w:t xml:space="preserve">El costo medio estimado por unidad de las medidas de sustitución, control de las emisiones y descontaminación es de </w:t>
      </w:r>
      <w:r w:rsidR="00410376" w:rsidRPr="002261B9">
        <w:rPr>
          <w:lang w:val="es-ES"/>
        </w:rPr>
        <w:t>1</w:t>
      </w:r>
      <w:r w:rsidR="007B5687" w:rsidRPr="002261B9">
        <w:rPr>
          <w:lang w:val="es-ES"/>
        </w:rPr>
        <w:t>.</w:t>
      </w:r>
      <w:r w:rsidR="00410376" w:rsidRPr="002261B9">
        <w:rPr>
          <w:lang w:val="es-ES"/>
        </w:rPr>
        <w:t>580</w:t>
      </w:r>
      <w:r w:rsidR="00E475C6" w:rsidRPr="002261B9">
        <w:rPr>
          <w:lang w:val="es-ES"/>
        </w:rPr>
        <w:t> </w:t>
      </w:r>
      <w:r w:rsidR="00410376" w:rsidRPr="002261B9">
        <w:rPr>
          <w:lang w:val="es-ES"/>
        </w:rPr>
        <w:t>€/kg (</w:t>
      </w:r>
      <w:r w:rsidR="000570BF" w:rsidRPr="002261B9">
        <w:rPr>
          <w:lang w:val="es-ES"/>
        </w:rPr>
        <w:t xml:space="preserve">en un rango </w:t>
      </w:r>
      <w:r w:rsidR="007B5687" w:rsidRPr="002261B9">
        <w:rPr>
          <w:lang w:val="es-ES"/>
        </w:rPr>
        <w:t>de</w:t>
      </w:r>
      <w:r w:rsidR="00410376" w:rsidRPr="002261B9">
        <w:rPr>
          <w:lang w:val="es-ES"/>
        </w:rPr>
        <w:t xml:space="preserve"> </w:t>
      </w:r>
      <w:r w:rsidR="000570BF" w:rsidRPr="002261B9">
        <w:rPr>
          <w:lang w:val="es-ES"/>
        </w:rPr>
        <w:t xml:space="preserve">entre </w:t>
      </w:r>
      <w:r w:rsidR="00410376" w:rsidRPr="002261B9">
        <w:rPr>
          <w:lang w:val="es-ES"/>
        </w:rPr>
        <w:t xml:space="preserve">28 </w:t>
      </w:r>
      <w:r w:rsidR="000570BF" w:rsidRPr="002261B9">
        <w:rPr>
          <w:lang w:val="es-ES"/>
        </w:rPr>
        <w:t>y</w:t>
      </w:r>
      <w:r w:rsidR="00410376" w:rsidRPr="002261B9">
        <w:rPr>
          <w:lang w:val="es-ES"/>
        </w:rPr>
        <w:t xml:space="preserve"> 3</w:t>
      </w:r>
      <w:r w:rsidR="007B5687" w:rsidRPr="002261B9">
        <w:rPr>
          <w:lang w:val="es-ES"/>
        </w:rPr>
        <w:t>.</w:t>
      </w:r>
      <w:r w:rsidR="00410376" w:rsidRPr="002261B9">
        <w:rPr>
          <w:lang w:val="es-ES"/>
        </w:rPr>
        <w:t>281) (</w:t>
      </w:r>
      <w:r w:rsidR="00B652B1" w:rsidRPr="002261B9">
        <w:rPr>
          <w:lang w:val="es-ES"/>
        </w:rPr>
        <w:t>véase</w:t>
      </w:r>
      <w:r w:rsidR="00410376" w:rsidRPr="002261B9">
        <w:rPr>
          <w:lang w:val="es-ES"/>
        </w:rPr>
        <w:t xml:space="preserve"> Oosterhuis </w:t>
      </w:r>
      <w:r w:rsidR="003134EC" w:rsidRPr="002261B9">
        <w:rPr>
          <w:lang w:val="es-ES"/>
        </w:rPr>
        <w:t>y otros</w:t>
      </w:r>
      <w:r w:rsidR="000A45EB" w:rsidRPr="002261B9">
        <w:rPr>
          <w:lang w:val="es-ES"/>
        </w:rPr>
        <w:t>,</w:t>
      </w:r>
      <w:r w:rsidR="00410376" w:rsidRPr="002261B9">
        <w:rPr>
          <w:lang w:val="es-ES"/>
        </w:rPr>
        <w:t xml:space="preserve"> 2017</w:t>
      </w:r>
      <w:r w:rsidR="000570BF" w:rsidRPr="002261B9">
        <w:rPr>
          <w:lang w:val="es-ES"/>
        </w:rPr>
        <w:t>)</w:t>
      </w:r>
      <w:r w:rsidR="00410376" w:rsidRPr="002261B9">
        <w:rPr>
          <w:lang w:val="es-ES"/>
        </w:rPr>
        <w:t>.</w:t>
      </w:r>
    </w:p>
    <w:p w14:paraId="6259C94A" w14:textId="51BE01DF" w:rsidR="00207D09" w:rsidRPr="002261B9" w:rsidRDefault="00B652B1" w:rsidP="00F45508">
      <w:pPr>
        <w:pStyle w:val="Paralevel1"/>
        <w:numPr>
          <w:ilvl w:val="0"/>
          <w:numId w:val="23"/>
        </w:numPr>
        <w:tabs>
          <w:tab w:val="clear" w:pos="0"/>
        </w:tabs>
        <w:ind w:left="1247" w:firstLine="0"/>
        <w:rPr>
          <w:lang w:val="es-ES"/>
        </w:rPr>
      </w:pPr>
      <w:r w:rsidRPr="002261B9">
        <w:rPr>
          <w:lang w:val="es-ES"/>
        </w:rPr>
        <w:t xml:space="preserve">No cabe esperar que los </w:t>
      </w:r>
      <w:r w:rsidR="00BD6134" w:rsidRPr="002261B9">
        <w:rPr>
          <w:lang w:val="es-ES"/>
        </w:rPr>
        <w:t>mecanismo</w:t>
      </w:r>
      <w:r w:rsidRPr="002261B9">
        <w:rPr>
          <w:lang w:val="es-ES"/>
        </w:rPr>
        <w:t xml:space="preserve">s reglamentarios de gestión de los riesgos del </w:t>
      </w:r>
      <w:r w:rsidR="00207D09" w:rsidRPr="002261B9">
        <w:rPr>
          <w:lang w:val="es-ES"/>
        </w:rPr>
        <w:t xml:space="preserve">PFOA </w:t>
      </w:r>
      <w:r w:rsidRPr="002261B9">
        <w:rPr>
          <w:lang w:val="es-ES"/>
        </w:rPr>
        <w:t>e</w:t>
      </w:r>
      <w:r w:rsidR="00207D09" w:rsidRPr="002261B9">
        <w:rPr>
          <w:lang w:val="es-ES"/>
        </w:rPr>
        <w:t xml:space="preserve">n </w:t>
      </w:r>
      <w:r w:rsidR="009321C2" w:rsidRPr="002261B9">
        <w:rPr>
          <w:lang w:val="es-ES"/>
        </w:rPr>
        <w:t>el Canadá</w:t>
      </w:r>
      <w:r w:rsidR="00207D09" w:rsidRPr="002261B9">
        <w:rPr>
          <w:lang w:val="es-ES"/>
        </w:rPr>
        <w:t xml:space="preserve">, </w:t>
      </w:r>
      <w:r w:rsidRPr="002261B9">
        <w:rPr>
          <w:lang w:val="es-ES"/>
        </w:rPr>
        <w:t xml:space="preserve">la Unión Europea y </w:t>
      </w:r>
      <w:r w:rsidR="003F3A09" w:rsidRPr="002261B9">
        <w:rPr>
          <w:lang w:val="es-ES"/>
        </w:rPr>
        <w:t>Noruega</w:t>
      </w:r>
      <w:r w:rsidR="00207D09" w:rsidRPr="002261B9">
        <w:rPr>
          <w:lang w:val="es-ES"/>
        </w:rPr>
        <w:t xml:space="preserve"> </w:t>
      </w:r>
      <w:r w:rsidRPr="002261B9">
        <w:rPr>
          <w:lang w:val="es-ES"/>
        </w:rPr>
        <w:t>surtan efectos económicos más amplios</w:t>
      </w:r>
      <w:r w:rsidR="00207D09" w:rsidRPr="002261B9">
        <w:rPr>
          <w:lang w:val="es-ES"/>
        </w:rPr>
        <w:t xml:space="preserve">, </w:t>
      </w:r>
      <w:r w:rsidRPr="002261B9">
        <w:rPr>
          <w:lang w:val="es-ES"/>
        </w:rPr>
        <w:t xml:space="preserve">porque el mercado ya está sustituyendo el </w:t>
      </w:r>
      <w:r w:rsidR="00207D09" w:rsidRPr="002261B9">
        <w:rPr>
          <w:lang w:val="es-ES"/>
        </w:rPr>
        <w:t xml:space="preserve">PFOA </w:t>
      </w:r>
      <w:r w:rsidRPr="002261B9">
        <w:rPr>
          <w:lang w:val="es-ES"/>
        </w:rPr>
        <w:t>y</w:t>
      </w:r>
      <w:r w:rsidR="00207D09" w:rsidRPr="002261B9">
        <w:rPr>
          <w:lang w:val="es-ES"/>
        </w:rPr>
        <w:t xml:space="preserve"> </w:t>
      </w:r>
      <w:r w:rsidR="00E64629" w:rsidRPr="002261B9">
        <w:rPr>
          <w:lang w:val="es-ES"/>
        </w:rPr>
        <w:t>las sustancias conexas del PFOA</w:t>
      </w:r>
      <w:r w:rsidRPr="002261B9">
        <w:rPr>
          <w:lang w:val="es-ES"/>
        </w:rPr>
        <w:t>, lo que se refleja en el moderado costo estimado del cumplimiento</w:t>
      </w:r>
      <w:r w:rsidR="000570BF" w:rsidRPr="002261B9">
        <w:rPr>
          <w:lang w:val="es-ES"/>
        </w:rPr>
        <w:t xml:space="preserve"> (ECHA</w:t>
      </w:r>
      <w:r w:rsidR="000A45EB" w:rsidRPr="002261B9">
        <w:rPr>
          <w:lang w:val="es-ES"/>
        </w:rPr>
        <w:t>,</w:t>
      </w:r>
      <w:r w:rsidR="00207D09" w:rsidRPr="002261B9">
        <w:rPr>
          <w:lang w:val="es-ES"/>
        </w:rPr>
        <w:t xml:space="preserve"> </w:t>
      </w:r>
      <w:r w:rsidR="000570BF" w:rsidRPr="002261B9">
        <w:rPr>
          <w:lang w:val="es-ES"/>
        </w:rPr>
        <w:t>2015a;</w:t>
      </w:r>
      <w:r w:rsidR="00207D09" w:rsidRPr="002261B9">
        <w:rPr>
          <w:lang w:val="es-ES"/>
        </w:rPr>
        <w:t xml:space="preserve"> Canadá</w:t>
      </w:r>
      <w:r w:rsidR="000A45EB" w:rsidRPr="002261B9">
        <w:rPr>
          <w:lang w:val="es-ES"/>
        </w:rPr>
        <w:t>,</w:t>
      </w:r>
      <w:r w:rsidR="00207D09" w:rsidRPr="002261B9">
        <w:rPr>
          <w:lang w:val="es-ES"/>
        </w:rPr>
        <w:t xml:space="preserve"> 2016c)</w:t>
      </w:r>
      <w:r w:rsidRPr="002261B9">
        <w:rPr>
          <w:lang w:val="es-ES"/>
        </w:rPr>
        <w:t>.</w:t>
      </w:r>
    </w:p>
    <w:p w14:paraId="298BFD5E" w14:textId="77777777" w:rsidR="00BE4AB6" w:rsidRPr="002261B9" w:rsidRDefault="00B652B1" w:rsidP="00F45508">
      <w:pPr>
        <w:pStyle w:val="Paralevel1"/>
        <w:numPr>
          <w:ilvl w:val="0"/>
          <w:numId w:val="23"/>
        </w:numPr>
        <w:tabs>
          <w:tab w:val="clear" w:pos="0"/>
        </w:tabs>
        <w:ind w:left="1247" w:firstLine="0"/>
        <w:rPr>
          <w:lang w:val="es-ES"/>
        </w:rPr>
      </w:pPr>
      <w:r w:rsidRPr="002261B9">
        <w:rPr>
          <w:lang w:val="es-ES"/>
        </w:rPr>
        <w:t>No se ha llevado a cabo aún una evaluación técnica y económica para establecer, si países como los de América Latina y el Caribe</w:t>
      </w:r>
      <w:r w:rsidR="00BE4AB6" w:rsidRPr="002261B9">
        <w:rPr>
          <w:lang w:val="es-ES"/>
        </w:rPr>
        <w:t xml:space="preserve"> o</w:t>
      </w:r>
      <w:r w:rsidRPr="002261B9">
        <w:rPr>
          <w:lang w:val="es-ES"/>
        </w:rPr>
        <w:t xml:space="preserve"> de Á</w:t>
      </w:r>
      <w:r w:rsidR="00BE4AB6" w:rsidRPr="002261B9">
        <w:rPr>
          <w:lang w:val="es-ES"/>
        </w:rPr>
        <w:t xml:space="preserve">frica </w:t>
      </w:r>
      <w:r w:rsidRPr="002261B9">
        <w:rPr>
          <w:lang w:val="es-ES"/>
        </w:rPr>
        <w:t xml:space="preserve">tienen la capacidad para cumplir las obligaciones dimanantes de la inclusión del </w:t>
      </w:r>
      <w:r w:rsidR="00BE4AB6" w:rsidRPr="002261B9">
        <w:rPr>
          <w:lang w:val="es-ES"/>
        </w:rPr>
        <w:t xml:space="preserve">PFOA, </w:t>
      </w:r>
      <w:r w:rsidR="00E64629" w:rsidRPr="002261B9">
        <w:rPr>
          <w:lang w:val="es-ES"/>
        </w:rPr>
        <w:t>sus sales y</w:t>
      </w:r>
      <w:r w:rsidR="00BE4AB6" w:rsidRPr="002261B9">
        <w:rPr>
          <w:lang w:val="es-ES"/>
        </w:rPr>
        <w:t xml:space="preserv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BE4AB6" w:rsidRPr="002261B9">
        <w:rPr>
          <w:lang w:val="es-ES"/>
        </w:rPr>
        <w:t xml:space="preserve"> </w:t>
      </w:r>
      <w:r w:rsidRPr="002261B9">
        <w:rPr>
          <w:lang w:val="es-ES"/>
        </w:rPr>
        <w:t>en cualquiera de los anexos del Convenio, así como los recursos financieros para establecer inventarios</w:t>
      </w:r>
      <w:r w:rsidR="00BE4AB6" w:rsidRPr="002261B9">
        <w:rPr>
          <w:lang w:val="es-ES"/>
        </w:rPr>
        <w:t xml:space="preserve">, </w:t>
      </w:r>
      <w:r w:rsidRPr="002261B9">
        <w:rPr>
          <w:lang w:val="es-ES"/>
        </w:rPr>
        <w:t xml:space="preserve">encargarse de la monitorización y eliminar las sustancias o los </w:t>
      </w:r>
      <w:r w:rsidR="0057533C" w:rsidRPr="002261B9">
        <w:rPr>
          <w:lang w:val="es-ES"/>
        </w:rPr>
        <w:t>desechos</w:t>
      </w:r>
      <w:r w:rsidRPr="002261B9">
        <w:rPr>
          <w:lang w:val="es-ES"/>
        </w:rPr>
        <w:t xml:space="preserve"> que las contengan</w:t>
      </w:r>
      <w:r w:rsidR="00BE4AB6" w:rsidRPr="002261B9">
        <w:rPr>
          <w:lang w:val="es-ES"/>
        </w:rPr>
        <w:t>.</w:t>
      </w:r>
    </w:p>
    <w:p w14:paraId="7A83BEAF" w14:textId="22180DF6" w:rsidR="00207D09" w:rsidRPr="002261B9" w:rsidRDefault="00403FE8" w:rsidP="00F45508">
      <w:pPr>
        <w:pStyle w:val="Paralevel1"/>
        <w:numPr>
          <w:ilvl w:val="0"/>
          <w:numId w:val="23"/>
        </w:numPr>
        <w:tabs>
          <w:tab w:val="clear" w:pos="0"/>
        </w:tabs>
        <w:ind w:left="1247" w:firstLine="0"/>
        <w:rPr>
          <w:lang w:val="es-ES"/>
        </w:rPr>
      </w:pPr>
      <w:r w:rsidRPr="002261B9">
        <w:rPr>
          <w:lang w:val="es-ES"/>
        </w:rPr>
        <w:t xml:space="preserve">El </w:t>
      </w:r>
      <w:r w:rsidR="00207D09" w:rsidRPr="002261B9">
        <w:rPr>
          <w:lang w:val="es-ES"/>
        </w:rPr>
        <w:t xml:space="preserve">PFOA, </w:t>
      </w:r>
      <w:r w:rsidR="00E64629" w:rsidRPr="002261B9">
        <w:rPr>
          <w:lang w:val="es-ES"/>
        </w:rPr>
        <w:t>sus sales y</w:t>
      </w:r>
      <w:r w:rsidR="00207D09" w:rsidRPr="002261B9">
        <w:rPr>
          <w:lang w:val="es-ES"/>
        </w:rPr>
        <w:t xml:space="preserv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207D09" w:rsidRPr="002261B9">
        <w:rPr>
          <w:lang w:val="es-ES"/>
        </w:rPr>
        <w:t xml:space="preserve"> </w:t>
      </w:r>
      <w:r w:rsidRPr="002261B9">
        <w:rPr>
          <w:lang w:val="es-ES"/>
        </w:rPr>
        <w:t>se usan en algunos procesos de producción de semiconductores</w:t>
      </w:r>
      <w:r w:rsidR="00207D09" w:rsidRPr="002261B9">
        <w:rPr>
          <w:lang w:val="es-ES"/>
        </w:rPr>
        <w:t>. A</w:t>
      </w:r>
      <w:r w:rsidRPr="002261B9">
        <w:rPr>
          <w:lang w:val="es-ES"/>
        </w:rPr>
        <w:t>unque se sigue sustituyendo el producto químico con alternativas</w:t>
      </w:r>
      <w:r w:rsidR="00207D09" w:rsidRPr="002261B9">
        <w:rPr>
          <w:lang w:val="es-ES"/>
        </w:rPr>
        <w:t xml:space="preserve">, </w:t>
      </w:r>
      <w:r w:rsidRPr="002261B9">
        <w:rPr>
          <w:lang w:val="es-ES"/>
        </w:rPr>
        <w:t xml:space="preserve">las funciones de las alternativas siguen siendo insuficientes y hay incertidumbre acerca de que la </w:t>
      </w:r>
      <w:r w:rsidRPr="002261B9">
        <w:rPr>
          <w:lang w:val="es-ES"/>
        </w:rPr>
        <w:lastRenderedPageBreak/>
        <w:t xml:space="preserve">sustitución concluya en </w:t>
      </w:r>
      <w:r w:rsidR="00207D09" w:rsidRPr="002261B9">
        <w:rPr>
          <w:lang w:val="es-ES"/>
        </w:rPr>
        <w:t xml:space="preserve">2019. </w:t>
      </w:r>
      <w:r w:rsidRPr="002261B9">
        <w:rPr>
          <w:lang w:val="es-ES"/>
        </w:rPr>
        <w:t>De fracasar la sustitución, el suministro de semiconductor</w:t>
      </w:r>
      <w:r w:rsidR="000D0B99" w:rsidRPr="002261B9">
        <w:rPr>
          <w:lang w:val="es-ES"/>
        </w:rPr>
        <w:t>e</w:t>
      </w:r>
      <w:r w:rsidRPr="002261B9">
        <w:rPr>
          <w:lang w:val="es-ES"/>
        </w:rPr>
        <w:t>s disminuiría</w:t>
      </w:r>
      <w:r w:rsidR="000D0B99" w:rsidRPr="002261B9">
        <w:rPr>
          <w:lang w:val="es-ES"/>
        </w:rPr>
        <w:t xml:space="preserve"> y se produciría un importante efecto negativo en el desarrollo de la tecnología de la información en el mundo</w:t>
      </w:r>
      <w:r w:rsidR="00207D09" w:rsidRPr="002261B9">
        <w:rPr>
          <w:lang w:val="es-ES"/>
        </w:rPr>
        <w:t xml:space="preserve"> (Jap</w:t>
      </w:r>
      <w:r w:rsidR="000D0B99" w:rsidRPr="002261B9">
        <w:rPr>
          <w:lang w:val="es-ES"/>
        </w:rPr>
        <w:t>ó</w:t>
      </w:r>
      <w:r w:rsidR="00207D09" w:rsidRPr="002261B9">
        <w:rPr>
          <w:lang w:val="es-ES"/>
        </w:rPr>
        <w:t>n</w:t>
      </w:r>
      <w:r w:rsidR="000A45EB" w:rsidRPr="002261B9">
        <w:rPr>
          <w:lang w:val="es-ES"/>
        </w:rPr>
        <w:t>,</w:t>
      </w:r>
      <w:r w:rsidR="00207D09" w:rsidRPr="002261B9">
        <w:rPr>
          <w:lang w:val="es-ES"/>
        </w:rPr>
        <w:t xml:space="preserve"> 2016).</w:t>
      </w:r>
      <w:r w:rsidR="00D069D1" w:rsidRPr="002261B9">
        <w:rPr>
          <w:lang w:val="es-ES"/>
        </w:rPr>
        <w:t xml:space="preserve"> </w:t>
      </w:r>
      <w:r w:rsidR="000D0B99" w:rsidRPr="002261B9">
        <w:rPr>
          <w:lang w:val="es-ES"/>
        </w:rPr>
        <w:t>A juicio de los representantes de la industria de semiconductores</w:t>
      </w:r>
      <w:r w:rsidR="00D069D1" w:rsidRPr="002261B9">
        <w:rPr>
          <w:lang w:val="es-ES"/>
        </w:rPr>
        <w:t xml:space="preserve">, </w:t>
      </w:r>
      <w:r w:rsidR="000D0B99" w:rsidRPr="002261B9">
        <w:rPr>
          <w:lang w:val="es-ES"/>
        </w:rPr>
        <w:t xml:space="preserve">sin exención alguna, la eficacia en función de los costos de la restricción sería desproporcionada para la industria de equipos de fabricación de </w:t>
      </w:r>
      <w:r w:rsidR="00D069D1" w:rsidRPr="002261B9">
        <w:rPr>
          <w:lang w:val="es-ES"/>
        </w:rPr>
        <w:t>semiconductor</w:t>
      </w:r>
      <w:r w:rsidR="000D0B99" w:rsidRPr="002261B9">
        <w:rPr>
          <w:lang w:val="es-ES"/>
        </w:rPr>
        <w:t>es</w:t>
      </w:r>
      <w:r w:rsidR="00561183" w:rsidRPr="002261B9">
        <w:rPr>
          <w:lang w:val="es-ES"/>
        </w:rPr>
        <w:t xml:space="preserve"> </w:t>
      </w:r>
      <w:r w:rsidR="00B652B1" w:rsidRPr="002261B9">
        <w:rPr>
          <w:lang w:val="es-ES"/>
        </w:rPr>
        <w:t>(</w:t>
      </w:r>
      <w:r w:rsidR="000A45EB" w:rsidRPr="002261B9">
        <w:rPr>
          <w:lang w:val="es-ES"/>
        </w:rPr>
        <w:t>O</w:t>
      </w:r>
      <w:r w:rsidR="00B652B1" w:rsidRPr="002261B9">
        <w:rPr>
          <w:lang w:val="es-ES"/>
        </w:rPr>
        <w:t xml:space="preserve">bservaciones de </w:t>
      </w:r>
      <w:r w:rsidR="00CE04F8" w:rsidRPr="002261B9">
        <w:rPr>
          <w:lang w:val="es-ES"/>
        </w:rPr>
        <w:t>la </w:t>
      </w:r>
      <w:r w:rsidR="0065573D" w:rsidRPr="002261B9">
        <w:rPr>
          <w:lang w:val="es-ES"/>
        </w:rPr>
        <w:t>SEMI</w:t>
      </w:r>
      <w:r w:rsidR="000570BF" w:rsidRPr="002261B9">
        <w:rPr>
          <w:lang w:val="es-ES"/>
        </w:rPr>
        <w:t xml:space="preserve"> </w:t>
      </w:r>
      <w:r w:rsidR="008A275C" w:rsidRPr="002261B9">
        <w:rPr>
          <w:lang w:val="es-ES"/>
        </w:rPr>
        <w:t>sobre el primer proyecto de evaluación de la gestión de los riesgos</w:t>
      </w:r>
      <w:r w:rsidR="00561183" w:rsidRPr="002261B9">
        <w:rPr>
          <w:lang w:val="es-ES"/>
        </w:rPr>
        <w:t>)</w:t>
      </w:r>
      <w:r w:rsidR="00D069D1" w:rsidRPr="002261B9">
        <w:rPr>
          <w:lang w:val="es-ES"/>
        </w:rPr>
        <w:t>.</w:t>
      </w:r>
    </w:p>
    <w:p w14:paraId="2B3740FA" w14:textId="07767987" w:rsidR="00207D09" w:rsidRPr="002261B9" w:rsidRDefault="003F3A09" w:rsidP="00F45508">
      <w:pPr>
        <w:pStyle w:val="Paralevel1"/>
        <w:numPr>
          <w:ilvl w:val="0"/>
          <w:numId w:val="23"/>
        </w:numPr>
        <w:tabs>
          <w:tab w:val="clear" w:pos="0"/>
        </w:tabs>
        <w:ind w:left="1247" w:firstLine="0"/>
        <w:rPr>
          <w:lang w:val="es-ES"/>
        </w:rPr>
      </w:pPr>
      <w:r w:rsidRPr="002261B9">
        <w:rPr>
          <w:lang w:val="es-ES"/>
        </w:rPr>
        <w:t>Noruega</w:t>
      </w:r>
      <w:r w:rsidR="00A16E6C" w:rsidRPr="002261B9">
        <w:rPr>
          <w:lang w:val="es-ES"/>
        </w:rPr>
        <w:t xml:space="preserve"> </w:t>
      </w:r>
      <w:r w:rsidR="00B652B1" w:rsidRPr="002261B9">
        <w:rPr>
          <w:lang w:val="es-ES"/>
        </w:rPr>
        <w:t xml:space="preserve">plantea que el uso constante del </w:t>
      </w:r>
      <w:r w:rsidR="00A16E6C" w:rsidRPr="002261B9">
        <w:rPr>
          <w:lang w:val="es-ES"/>
        </w:rPr>
        <w:t xml:space="preserve">PFOA </w:t>
      </w:r>
      <w:r w:rsidR="00B652B1" w:rsidRPr="002261B9">
        <w:rPr>
          <w:lang w:val="es-ES"/>
        </w:rPr>
        <w:t xml:space="preserve">y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A16E6C" w:rsidRPr="002261B9">
        <w:rPr>
          <w:lang w:val="es-ES"/>
        </w:rPr>
        <w:t xml:space="preserve"> </w:t>
      </w:r>
      <w:r w:rsidR="00B652B1" w:rsidRPr="002261B9">
        <w:rPr>
          <w:lang w:val="es-ES"/>
        </w:rPr>
        <w:t>e</w:t>
      </w:r>
      <w:r w:rsidR="00A16E6C" w:rsidRPr="002261B9">
        <w:rPr>
          <w:lang w:val="es-ES"/>
        </w:rPr>
        <w:t xml:space="preserve">n textiles </w:t>
      </w:r>
      <w:r w:rsidR="00B652B1" w:rsidRPr="002261B9">
        <w:rPr>
          <w:lang w:val="es-ES"/>
        </w:rPr>
        <w:t>hace incurrir en grandes costos socioeconómicos debido a las propiedades de persistencia, bioacumulación y toxicidad de las sustancias</w:t>
      </w:r>
      <w:r w:rsidR="00A16E6C" w:rsidRPr="002261B9">
        <w:rPr>
          <w:lang w:val="es-ES"/>
        </w:rPr>
        <w:t xml:space="preserve">. </w:t>
      </w:r>
      <w:r w:rsidR="00B652B1" w:rsidRPr="002261B9">
        <w:rPr>
          <w:lang w:val="es-ES"/>
        </w:rPr>
        <w:t xml:space="preserve">La experiencia de </w:t>
      </w:r>
      <w:r w:rsidRPr="002261B9">
        <w:rPr>
          <w:lang w:val="es-ES"/>
        </w:rPr>
        <w:t>Noruega</w:t>
      </w:r>
      <w:r w:rsidR="00B652B1" w:rsidRPr="002261B9">
        <w:rPr>
          <w:lang w:val="es-ES"/>
        </w:rPr>
        <w:t xml:space="preserve"> es que hay menos productos textiles que contengan PFOA para los consumidores y que, en los demás productos textiles, la concentración de</w:t>
      </w:r>
      <w:r w:rsidR="00A16E6C" w:rsidRPr="002261B9">
        <w:rPr>
          <w:lang w:val="es-ES"/>
        </w:rPr>
        <w:t xml:space="preserve"> PFOA </w:t>
      </w:r>
      <w:r w:rsidR="00A30EB1" w:rsidRPr="002261B9">
        <w:rPr>
          <w:lang w:val="es-ES"/>
        </w:rPr>
        <w:t>ha disminuido</w:t>
      </w:r>
      <w:r w:rsidR="00A16E6C" w:rsidRPr="002261B9">
        <w:rPr>
          <w:lang w:val="es-ES"/>
        </w:rPr>
        <w:t xml:space="preserve"> (</w:t>
      </w:r>
      <w:r w:rsidR="007F0459" w:rsidRPr="002261B9">
        <w:rPr>
          <w:lang w:val="es-ES"/>
        </w:rPr>
        <w:t>Observaciones</w:t>
      </w:r>
      <w:r w:rsidR="003C558F" w:rsidRPr="002261B9">
        <w:rPr>
          <w:lang w:val="es-ES"/>
        </w:rPr>
        <w:t xml:space="preserve"> de</w:t>
      </w:r>
      <w:r w:rsidR="00A16E6C" w:rsidRPr="002261B9">
        <w:rPr>
          <w:lang w:val="es-ES"/>
        </w:rPr>
        <w:t xml:space="preserve"> </w:t>
      </w:r>
      <w:r w:rsidRPr="002261B9">
        <w:rPr>
          <w:lang w:val="es-ES"/>
        </w:rPr>
        <w:t>Noruega</w:t>
      </w:r>
      <w:r w:rsidR="00A16E6C" w:rsidRPr="002261B9">
        <w:rPr>
          <w:lang w:val="es-ES"/>
        </w:rPr>
        <w:t xml:space="preserve"> </w:t>
      </w:r>
      <w:r w:rsidR="008A275C" w:rsidRPr="002261B9">
        <w:rPr>
          <w:lang w:val="es-ES"/>
        </w:rPr>
        <w:t xml:space="preserve">sobre el primer proyecto de evaluación de la gestión de los </w:t>
      </w:r>
      <w:r w:rsidR="002748F8" w:rsidRPr="002261B9">
        <w:rPr>
          <w:lang w:val="es-ES"/>
        </w:rPr>
        <w:t>riesgos)</w:t>
      </w:r>
      <w:r w:rsidR="00A16E6C" w:rsidRPr="002261B9">
        <w:rPr>
          <w:lang w:val="es-ES"/>
        </w:rPr>
        <w:t>.</w:t>
      </w:r>
    </w:p>
    <w:p w14:paraId="01C484FA" w14:textId="1A18620B" w:rsidR="00207D09" w:rsidRPr="002261B9" w:rsidRDefault="00B652B1" w:rsidP="00F45508">
      <w:pPr>
        <w:pStyle w:val="Paralevel1"/>
        <w:numPr>
          <w:ilvl w:val="0"/>
          <w:numId w:val="23"/>
        </w:numPr>
        <w:tabs>
          <w:tab w:val="clear" w:pos="0"/>
        </w:tabs>
        <w:ind w:left="1247" w:firstLine="0"/>
        <w:rPr>
          <w:lang w:val="es-ES"/>
        </w:rPr>
      </w:pPr>
      <w:r w:rsidRPr="002261B9">
        <w:rPr>
          <w:lang w:val="es-ES"/>
        </w:rPr>
        <w:t xml:space="preserve">La industria de creación de </w:t>
      </w:r>
      <w:r w:rsidR="00A30EB1" w:rsidRPr="002261B9">
        <w:rPr>
          <w:lang w:val="es-ES"/>
        </w:rPr>
        <w:t>imágenes</w:t>
      </w:r>
      <w:r w:rsidRPr="002261B9">
        <w:rPr>
          <w:lang w:val="es-ES"/>
        </w:rPr>
        <w:t xml:space="preserve"> ha logrado crear alter</w:t>
      </w:r>
      <w:r w:rsidR="00A30EB1" w:rsidRPr="002261B9">
        <w:rPr>
          <w:lang w:val="es-ES"/>
        </w:rPr>
        <w:t>n</w:t>
      </w:r>
      <w:r w:rsidRPr="002261B9">
        <w:rPr>
          <w:lang w:val="es-ES"/>
        </w:rPr>
        <w:t xml:space="preserve">ativas para la mayoría de los usos de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Pr="002261B9">
        <w:rPr>
          <w:lang w:val="es-ES"/>
        </w:rPr>
        <w:t xml:space="preserve"> y eliminar más del </w:t>
      </w:r>
      <w:r w:rsidR="00207D09" w:rsidRPr="002261B9">
        <w:rPr>
          <w:lang w:val="es-ES"/>
        </w:rPr>
        <w:t xml:space="preserve">95% </w:t>
      </w:r>
      <w:r w:rsidRPr="002261B9">
        <w:rPr>
          <w:lang w:val="es-ES"/>
        </w:rPr>
        <w:t>del uso a nivel mundial desde</w:t>
      </w:r>
      <w:r w:rsidR="00207D09" w:rsidRPr="002261B9">
        <w:rPr>
          <w:lang w:val="es-ES"/>
        </w:rPr>
        <w:t xml:space="preserve"> 2000. </w:t>
      </w:r>
      <w:r w:rsidRPr="002261B9">
        <w:rPr>
          <w:lang w:val="es-ES"/>
        </w:rPr>
        <w:t>No obstante</w:t>
      </w:r>
      <w:r w:rsidR="00403FE8" w:rsidRPr="002261B9">
        <w:rPr>
          <w:lang w:val="es-ES"/>
        </w:rPr>
        <w:t>,</w:t>
      </w:r>
      <w:r w:rsidRPr="002261B9">
        <w:rPr>
          <w:lang w:val="es-ES"/>
        </w:rPr>
        <w:t xml:space="preserve"> la industria </w:t>
      </w:r>
      <w:r w:rsidR="00403FE8" w:rsidRPr="002261B9">
        <w:rPr>
          <w:lang w:val="es-ES"/>
        </w:rPr>
        <w:t xml:space="preserve">afirma que las propiedades surfactantes y de control estático de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BC6A71" w:rsidRPr="002261B9">
        <w:rPr>
          <w:lang w:val="es-ES"/>
        </w:rPr>
        <w:t xml:space="preserve"> </w:t>
      </w:r>
      <w:r w:rsidR="00403FE8" w:rsidRPr="002261B9">
        <w:rPr>
          <w:lang w:val="es-ES"/>
        </w:rPr>
        <w:t>son importantes para la aplicación de capas de recubrimiento</w:t>
      </w:r>
      <w:r w:rsidR="00BC6A71" w:rsidRPr="002261B9">
        <w:rPr>
          <w:lang w:val="es-ES"/>
        </w:rPr>
        <w:t xml:space="preserve"> dur</w:t>
      </w:r>
      <w:r w:rsidR="00403FE8" w:rsidRPr="002261B9">
        <w:rPr>
          <w:lang w:val="es-ES"/>
        </w:rPr>
        <w:t xml:space="preserve">ante la fabricación de algunos productos fílmicos tradicionales </w:t>
      </w:r>
      <w:r w:rsidR="000570BF" w:rsidRPr="002261B9">
        <w:rPr>
          <w:lang w:val="es-ES"/>
        </w:rPr>
        <w:t>aún en uso</w:t>
      </w:r>
      <w:r w:rsidR="00403FE8" w:rsidRPr="002261B9">
        <w:rPr>
          <w:lang w:val="es-ES"/>
        </w:rPr>
        <w:t xml:space="preserve"> </w:t>
      </w:r>
      <w:r w:rsidR="00BC6A71" w:rsidRPr="002261B9">
        <w:rPr>
          <w:lang w:val="es-ES"/>
        </w:rPr>
        <w:t>(</w:t>
      </w:r>
      <w:r w:rsidR="00403FE8" w:rsidRPr="002261B9">
        <w:rPr>
          <w:lang w:val="es-ES"/>
        </w:rPr>
        <w:t>por ejemplo, productos en los que la formación de imágenes se basa en la tecnología del haluro de plata</w:t>
      </w:r>
      <w:r w:rsidR="00BC6A71" w:rsidRPr="002261B9">
        <w:rPr>
          <w:lang w:val="es-ES"/>
        </w:rPr>
        <w:t xml:space="preserve">). </w:t>
      </w:r>
      <w:r w:rsidRPr="002261B9">
        <w:rPr>
          <w:lang w:val="es-ES"/>
        </w:rPr>
        <w:t xml:space="preserve">La industria no puede hacer una estimación del costo de sustituir este uso de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BC6A71" w:rsidRPr="002261B9">
        <w:rPr>
          <w:lang w:val="es-ES"/>
        </w:rPr>
        <w:t xml:space="preserve">, </w:t>
      </w:r>
      <w:r w:rsidR="00321ABA">
        <w:rPr>
          <w:lang w:val="es-ES"/>
        </w:rPr>
        <w:t>aunque señala que se </w:t>
      </w:r>
      <w:r w:rsidRPr="002261B9">
        <w:rPr>
          <w:lang w:val="es-ES"/>
        </w:rPr>
        <w:t xml:space="preserve">trata de productos de consumo limitado cuya </w:t>
      </w:r>
      <w:r w:rsidR="00403FE8" w:rsidRPr="002261B9">
        <w:rPr>
          <w:lang w:val="es-ES"/>
        </w:rPr>
        <w:t>presencia en el mercado irá disminuyendo</w:t>
      </w:r>
      <w:r w:rsidR="00BC6A71" w:rsidRPr="002261B9">
        <w:rPr>
          <w:lang w:val="es-ES"/>
        </w:rPr>
        <w:t xml:space="preserve"> (I&amp;P Europe</w:t>
      </w:r>
      <w:r w:rsidR="000A45EB" w:rsidRPr="002261B9">
        <w:rPr>
          <w:lang w:val="es-ES"/>
        </w:rPr>
        <w:t>,</w:t>
      </w:r>
      <w:r w:rsidR="00955D10" w:rsidRPr="002261B9">
        <w:rPr>
          <w:lang w:val="es-ES"/>
        </w:rPr>
        <w:t> </w:t>
      </w:r>
      <w:r w:rsidR="00BC6A71" w:rsidRPr="002261B9">
        <w:rPr>
          <w:lang w:val="es-ES"/>
        </w:rPr>
        <w:t>2016a</w:t>
      </w:r>
      <w:r w:rsidR="000570BF" w:rsidRPr="002261B9">
        <w:rPr>
          <w:lang w:val="es-ES"/>
        </w:rPr>
        <w:t>)</w:t>
      </w:r>
      <w:r w:rsidR="00BC6A71" w:rsidRPr="002261B9">
        <w:rPr>
          <w:lang w:val="es-ES"/>
        </w:rPr>
        <w:t xml:space="preserve">. </w:t>
      </w:r>
      <w:r w:rsidR="00403FE8" w:rsidRPr="002261B9">
        <w:rPr>
          <w:lang w:val="es-ES"/>
        </w:rPr>
        <w:t>Es evidente que la creación de imágenes digitales r</w:t>
      </w:r>
      <w:r w:rsidR="00321ABA">
        <w:rPr>
          <w:lang w:val="es-ES"/>
        </w:rPr>
        <w:t>eemplazará la necesidad de este </w:t>
      </w:r>
      <w:r w:rsidR="00403FE8" w:rsidRPr="002261B9">
        <w:rPr>
          <w:lang w:val="es-ES"/>
        </w:rPr>
        <w:t xml:space="preserve">uso del </w:t>
      </w:r>
      <w:r w:rsidR="00BC6A71" w:rsidRPr="002261B9">
        <w:rPr>
          <w:lang w:val="es-ES"/>
        </w:rPr>
        <w:t>PFOA</w:t>
      </w:r>
      <w:r w:rsidR="000570BF" w:rsidRPr="002261B9">
        <w:rPr>
          <w:lang w:val="es-ES"/>
        </w:rPr>
        <w:t>,</w:t>
      </w:r>
      <w:r w:rsidR="00BC6A71" w:rsidRPr="002261B9">
        <w:rPr>
          <w:lang w:val="es-ES"/>
        </w:rPr>
        <w:t xml:space="preserve"> </w:t>
      </w:r>
      <w:r w:rsidR="00403FE8" w:rsidRPr="002261B9">
        <w:rPr>
          <w:lang w:val="es-ES"/>
        </w:rPr>
        <w:t>ya que la transición está avanzando rápidamente</w:t>
      </w:r>
      <w:r w:rsidR="00BC6A71" w:rsidRPr="002261B9">
        <w:rPr>
          <w:lang w:val="es-ES"/>
        </w:rPr>
        <w:t>.</w:t>
      </w:r>
    </w:p>
    <w:p w14:paraId="6B2E093D" w14:textId="7ED923A4" w:rsidR="00207D09" w:rsidRPr="002261B9" w:rsidRDefault="00336912" w:rsidP="00F45508">
      <w:pPr>
        <w:pStyle w:val="Paralevel1"/>
        <w:numPr>
          <w:ilvl w:val="0"/>
          <w:numId w:val="23"/>
        </w:numPr>
        <w:tabs>
          <w:tab w:val="clear" w:pos="0"/>
        </w:tabs>
        <w:ind w:left="1247" w:firstLine="0"/>
        <w:rPr>
          <w:lang w:val="es-ES"/>
        </w:rPr>
      </w:pPr>
      <w:r w:rsidRPr="002261B9">
        <w:rPr>
          <w:lang w:val="es-ES"/>
        </w:rPr>
        <w:t xml:space="preserve">Las empresas que son miembros de </w:t>
      </w:r>
      <w:r w:rsidR="00207D09" w:rsidRPr="002261B9">
        <w:rPr>
          <w:lang w:val="es-ES"/>
        </w:rPr>
        <w:t>FluoroCouncil</w:t>
      </w:r>
      <w:r w:rsidRPr="002261B9">
        <w:rPr>
          <w:lang w:val="es-ES"/>
        </w:rPr>
        <w:t xml:space="preserve"> han invertido enormes recursos en la creación de agentes alternativos mediante polimerización y productos de cadena corta, así como tecnologías de control de las emisiones.</w:t>
      </w:r>
      <w:r w:rsidR="00284890" w:rsidRPr="002261B9">
        <w:rPr>
          <w:lang w:val="es-ES"/>
        </w:rPr>
        <w:t xml:space="preserve"> </w:t>
      </w:r>
      <w:r w:rsidRPr="002261B9">
        <w:rPr>
          <w:lang w:val="es-ES"/>
        </w:rPr>
        <w:t xml:space="preserve">Otro de los costos que hay que reconocer es el costo económico y para la salud humana del cese de la producción de determinados productos químicos relacionados con el </w:t>
      </w:r>
      <w:r w:rsidR="00207D09" w:rsidRPr="002261B9">
        <w:rPr>
          <w:lang w:val="es-ES"/>
        </w:rPr>
        <w:t>PFOA</w:t>
      </w:r>
      <w:r w:rsidR="00A30EB1" w:rsidRPr="002261B9">
        <w:rPr>
          <w:lang w:val="es-ES"/>
        </w:rPr>
        <w:t>, que se usan en los productos fa</w:t>
      </w:r>
      <w:r w:rsidRPr="002261B9">
        <w:rPr>
          <w:lang w:val="es-ES"/>
        </w:rPr>
        <w:t>rmac</w:t>
      </w:r>
      <w:r w:rsidR="00A30EB1" w:rsidRPr="002261B9">
        <w:rPr>
          <w:lang w:val="es-ES"/>
        </w:rPr>
        <w:t>éutic</w:t>
      </w:r>
      <w:r w:rsidRPr="002261B9">
        <w:rPr>
          <w:lang w:val="es-ES"/>
        </w:rPr>
        <w:t>os y en aplicaciones altamente especializadas</w:t>
      </w:r>
      <w:r w:rsidR="00207D09" w:rsidRPr="002261B9">
        <w:rPr>
          <w:lang w:val="es-ES"/>
        </w:rPr>
        <w:t xml:space="preserve">. </w:t>
      </w:r>
      <w:r w:rsidRPr="002261B9">
        <w:rPr>
          <w:lang w:val="es-ES"/>
        </w:rPr>
        <w:t>Cabe señalar que las liberaciones al medio ambiente de esas aplicaciones se pueden controlar perfectamente</w:t>
      </w:r>
      <w:r w:rsidR="00207D09" w:rsidRPr="002261B9">
        <w:rPr>
          <w:lang w:val="es-ES"/>
        </w:rPr>
        <w:t xml:space="preserve"> (FluoroCo</w:t>
      </w:r>
      <w:r w:rsidR="003D2ECD" w:rsidRPr="002261B9">
        <w:rPr>
          <w:lang w:val="es-ES"/>
        </w:rPr>
        <w:t>u</w:t>
      </w:r>
      <w:r w:rsidR="00207D09" w:rsidRPr="002261B9">
        <w:rPr>
          <w:lang w:val="es-ES"/>
        </w:rPr>
        <w:t>ncil</w:t>
      </w:r>
      <w:r w:rsidR="000A45EB" w:rsidRPr="002261B9">
        <w:rPr>
          <w:lang w:val="es-ES"/>
        </w:rPr>
        <w:t>,</w:t>
      </w:r>
      <w:r w:rsidR="00207D09" w:rsidRPr="002261B9">
        <w:rPr>
          <w:lang w:val="es-ES"/>
        </w:rPr>
        <w:t xml:space="preserve"> 2016a</w:t>
      </w:r>
      <w:r w:rsidR="000570BF" w:rsidRPr="002261B9">
        <w:rPr>
          <w:lang w:val="es-ES"/>
        </w:rPr>
        <w:t>)</w:t>
      </w:r>
      <w:r w:rsidR="00207D09" w:rsidRPr="002261B9">
        <w:rPr>
          <w:lang w:val="es-ES"/>
        </w:rPr>
        <w:t>.</w:t>
      </w:r>
    </w:p>
    <w:p w14:paraId="60255F9F" w14:textId="0D8D7B20" w:rsidR="00384BA4" w:rsidRPr="002261B9" w:rsidRDefault="00134123" w:rsidP="00955D10">
      <w:pPr>
        <w:pStyle w:val="StyleHeading3h3123SecTimesNewRomanBold"/>
        <w:ind w:left="1248" w:hanging="624"/>
        <w:rPr>
          <w:lang w:val="es-ES"/>
        </w:rPr>
      </w:pPr>
      <w:bookmarkStart w:id="76" w:name="_Toc501099213"/>
      <w:r w:rsidRPr="002261B9">
        <w:rPr>
          <w:lang w:val="es-ES"/>
        </w:rPr>
        <w:t>2.4.5</w:t>
      </w:r>
      <w:r w:rsidRPr="002261B9">
        <w:rPr>
          <w:lang w:val="es-ES"/>
        </w:rPr>
        <w:tab/>
      </w:r>
      <w:r w:rsidR="00384BA4" w:rsidRPr="002261B9">
        <w:rPr>
          <w:lang w:val="es-ES"/>
        </w:rPr>
        <w:t>Avances hacia el desarrollo sostenible</w:t>
      </w:r>
      <w:bookmarkEnd w:id="76"/>
    </w:p>
    <w:p w14:paraId="14D24E46" w14:textId="77777777" w:rsidR="00207D09" w:rsidRPr="002261B9" w:rsidRDefault="006D0064" w:rsidP="00F45508">
      <w:pPr>
        <w:pStyle w:val="Paralevel1"/>
        <w:numPr>
          <w:ilvl w:val="0"/>
          <w:numId w:val="23"/>
        </w:numPr>
        <w:tabs>
          <w:tab w:val="clear" w:pos="0"/>
        </w:tabs>
        <w:ind w:left="1247" w:firstLine="0"/>
        <w:rPr>
          <w:lang w:val="es-ES"/>
        </w:rPr>
      </w:pPr>
      <w:r w:rsidRPr="002261B9">
        <w:rPr>
          <w:lang w:val="es-ES"/>
        </w:rPr>
        <w:t xml:space="preserve">La eliminación del </w:t>
      </w:r>
      <w:r w:rsidR="00207D09" w:rsidRPr="002261B9">
        <w:rPr>
          <w:lang w:val="es-ES"/>
        </w:rPr>
        <w:t xml:space="preserve">PFOA </w:t>
      </w:r>
      <w:r w:rsidRPr="002261B9">
        <w:rPr>
          <w:lang w:val="es-ES"/>
        </w:rPr>
        <w:t>e</w:t>
      </w:r>
      <w:r w:rsidR="00207D09" w:rsidRPr="002261B9">
        <w:rPr>
          <w:lang w:val="es-ES"/>
        </w:rPr>
        <w:t>s</w:t>
      </w:r>
      <w:r w:rsidRPr="002261B9">
        <w:rPr>
          <w:lang w:val="es-ES"/>
        </w:rPr>
        <w:t xml:space="preserve">tá en consonancia con los planes de desarrollo sostenible que procuran la reducción de las emisiones de productos químicos tóxicos y el logro de algunos de los objetivos de desarrollo sostenibles aprobados a nivel mundial en </w:t>
      </w:r>
      <w:r w:rsidR="00ED54D2" w:rsidRPr="002261B9">
        <w:rPr>
          <w:lang w:val="es-ES"/>
        </w:rPr>
        <w:t>2015</w:t>
      </w:r>
      <w:r w:rsidR="00207D09" w:rsidRPr="002261B9">
        <w:rPr>
          <w:lang w:val="es-ES"/>
        </w:rPr>
        <w:t xml:space="preserve">. </w:t>
      </w:r>
      <w:r w:rsidRPr="002261B9">
        <w:rPr>
          <w:lang w:val="es-ES"/>
        </w:rPr>
        <w:t>El Enfoque Estratégico constituye el vínculo esencial entre la seguridad química y el desarrollo sostenible</w:t>
      </w:r>
      <w:r w:rsidR="00207D09" w:rsidRPr="002261B9">
        <w:rPr>
          <w:lang w:val="es-ES"/>
        </w:rPr>
        <w:t>.</w:t>
      </w:r>
      <w:r w:rsidR="005F0613" w:rsidRPr="002261B9">
        <w:rPr>
          <w:lang w:val="es-ES"/>
        </w:rPr>
        <w:t xml:space="preserve"> El objetivo de la Estrategia de política global del Enfoque Estratégico es </w:t>
      </w:r>
      <w:r w:rsidR="003B7445" w:rsidRPr="002261B9">
        <w:rPr>
          <w:lang w:val="es-ES"/>
        </w:rPr>
        <w:t>lograr</w:t>
      </w:r>
      <w:r w:rsidR="007B03B5" w:rsidRPr="002261B9">
        <w:rPr>
          <w:lang w:val="es-ES"/>
        </w:rPr>
        <w:t xml:space="preserve"> que</w:t>
      </w:r>
      <w:r w:rsidR="005F0613" w:rsidRPr="002261B9">
        <w:rPr>
          <w:lang w:val="es-ES"/>
        </w:rPr>
        <w:t xml:space="preserve">, para </w:t>
      </w:r>
      <w:r w:rsidR="005133C1" w:rsidRPr="002261B9">
        <w:rPr>
          <w:lang w:val="es-ES"/>
        </w:rPr>
        <w:t xml:space="preserve">2020, </w:t>
      </w:r>
      <w:r w:rsidR="00711A84" w:rsidRPr="002261B9">
        <w:rPr>
          <w:lang w:val="es-ES"/>
        </w:rPr>
        <w:t>cesen la producción</w:t>
      </w:r>
      <w:r w:rsidR="007B03B5" w:rsidRPr="002261B9">
        <w:rPr>
          <w:lang w:val="es-ES"/>
        </w:rPr>
        <w:t xml:space="preserve"> o aplica</w:t>
      </w:r>
      <w:r w:rsidR="00711A84" w:rsidRPr="002261B9">
        <w:rPr>
          <w:lang w:val="es-ES"/>
        </w:rPr>
        <w:t>ción de</w:t>
      </w:r>
      <w:r w:rsidR="007B03B5" w:rsidRPr="002261B9">
        <w:rPr>
          <w:lang w:val="es-ES"/>
        </w:rPr>
        <w:t xml:space="preserve"> </w:t>
      </w:r>
      <w:r w:rsidR="007B5687" w:rsidRPr="002261B9">
        <w:rPr>
          <w:lang w:val="es-ES"/>
        </w:rPr>
        <w:t>los</w:t>
      </w:r>
      <w:r w:rsidR="001B7732" w:rsidRPr="002261B9">
        <w:rPr>
          <w:lang w:val="es-ES"/>
        </w:rPr>
        <w:t xml:space="preserve"> </w:t>
      </w:r>
      <w:r w:rsidR="007B5687" w:rsidRPr="002261B9">
        <w:rPr>
          <w:lang w:val="es-ES"/>
        </w:rPr>
        <w:t xml:space="preserve">productos químicos </w:t>
      </w:r>
      <w:r w:rsidR="003B7445" w:rsidRPr="002261B9">
        <w:rPr>
          <w:lang w:val="es-ES"/>
        </w:rPr>
        <w:t xml:space="preserve">y los usos de productos químicos que planteen un riesgo inadmisible y, </w:t>
      </w:r>
      <w:r w:rsidR="00FB1328" w:rsidRPr="002261B9">
        <w:rPr>
          <w:lang w:val="es-ES"/>
        </w:rPr>
        <w:t>por demás, incontrolable para la salud humana y el medio ambiente, sobre la base de una evaluación de los riesgos</w:t>
      </w:r>
      <w:r w:rsidR="00284890" w:rsidRPr="002261B9">
        <w:rPr>
          <w:lang w:val="es-ES"/>
        </w:rPr>
        <w:t xml:space="preserve"> </w:t>
      </w:r>
      <w:r w:rsidR="00FB1328" w:rsidRPr="002261B9">
        <w:rPr>
          <w:lang w:val="es-ES"/>
        </w:rPr>
        <w:t xml:space="preserve">sustentada por conocimientos científicos y que tenga en cuenta los costos y beneficios, así como </w:t>
      </w:r>
      <w:r w:rsidR="007B03B5" w:rsidRPr="002261B9">
        <w:rPr>
          <w:lang w:val="es-ES"/>
        </w:rPr>
        <w:t xml:space="preserve">los </w:t>
      </w:r>
      <w:r w:rsidR="00FB1328" w:rsidRPr="002261B9">
        <w:rPr>
          <w:lang w:val="es-ES"/>
        </w:rPr>
        <w:t xml:space="preserve">sustitutos más seguros </w:t>
      </w:r>
      <w:r w:rsidR="007B03B5" w:rsidRPr="002261B9">
        <w:rPr>
          <w:lang w:val="es-ES"/>
        </w:rPr>
        <w:t xml:space="preserve">disponibles </w:t>
      </w:r>
      <w:r w:rsidR="00FB1328" w:rsidRPr="002261B9">
        <w:rPr>
          <w:lang w:val="es-ES"/>
        </w:rPr>
        <w:t>y su eficacia</w:t>
      </w:r>
      <w:r w:rsidR="00DC660E" w:rsidRPr="002261B9">
        <w:rPr>
          <w:rStyle w:val="FootnoteReference"/>
          <w:lang w:val="es-ES"/>
        </w:rPr>
        <w:footnoteReference w:id="28"/>
      </w:r>
      <w:r w:rsidR="005F0613" w:rsidRPr="002261B9">
        <w:rPr>
          <w:lang w:val="es-ES"/>
        </w:rPr>
        <w:t>.</w:t>
      </w:r>
      <w:r w:rsidR="00ED54D2" w:rsidRPr="002261B9">
        <w:rPr>
          <w:lang w:val="es-ES"/>
        </w:rPr>
        <w:t xml:space="preserve"> </w:t>
      </w:r>
      <w:r w:rsidR="005B7D0E" w:rsidRPr="002261B9">
        <w:rPr>
          <w:lang w:val="es-ES"/>
        </w:rPr>
        <w:t xml:space="preserve">El Plan de Acción Mundial del </w:t>
      </w:r>
      <w:r w:rsidR="003E1F30" w:rsidRPr="002261B9">
        <w:rPr>
          <w:lang w:val="es-ES"/>
        </w:rPr>
        <w:t>Enfoque Estratégico imparte orientación sobre las medidas para apoyar la reducción del riesgo que incluyen la priorización de alternativas seguras y eficaces para las sustancias persistentes, bioacumulativas y tóxicas</w:t>
      </w:r>
      <w:r w:rsidR="00ED54D2" w:rsidRPr="002261B9">
        <w:rPr>
          <w:lang w:val="es-ES"/>
        </w:rPr>
        <w:t xml:space="preserve">. </w:t>
      </w:r>
      <w:r w:rsidR="003E1F30" w:rsidRPr="002261B9">
        <w:rPr>
          <w:lang w:val="es-ES"/>
        </w:rPr>
        <w:t xml:space="preserve">A fin de colaborar a nivel mundial en la </w:t>
      </w:r>
      <w:r w:rsidR="000570BF" w:rsidRPr="002261B9">
        <w:rPr>
          <w:lang w:val="es-ES"/>
        </w:rPr>
        <w:t>recopilación</w:t>
      </w:r>
      <w:r w:rsidR="003E1F30" w:rsidRPr="002261B9">
        <w:rPr>
          <w:lang w:val="es-ES"/>
        </w:rPr>
        <w:t xml:space="preserve"> y el intercambio de información sobre los productos químicos perfluorados y apoyar la transición </w:t>
      </w:r>
      <w:r w:rsidR="00A30EB1" w:rsidRPr="002261B9">
        <w:rPr>
          <w:lang w:val="es-ES"/>
        </w:rPr>
        <w:t>haci</w:t>
      </w:r>
      <w:r w:rsidR="003E1F30" w:rsidRPr="002261B9">
        <w:rPr>
          <w:lang w:val="es-ES"/>
        </w:rPr>
        <w:t>a alternativas más seguras</w:t>
      </w:r>
      <w:r w:rsidR="00BC268E" w:rsidRPr="002261B9">
        <w:rPr>
          <w:lang w:val="es-ES"/>
        </w:rPr>
        <w:t>,</w:t>
      </w:r>
      <w:r w:rsidR="00ED54D2" w:rsidRPr="002261B9">
        <w:rPr>
          <w:lang w:val="es-ES"/>
        </w:rPr>
        <w:t xml:space="preserve"> </w:t>
      </w:r>
      <w:r w:rsidR="003E1F30" w:rsidRPr="002261B9">
        <w:rPr>
          <w:lang w:val="es-ES"/>
        </w:rPr>
        <w:t>se ha creado en el Enfoque Estratégico un grupo mundial sobre productos químicos perfluorados</w:t>
      </w:r>
      <w:r w:rsidR="00ED54D2" w:rsidRPr="002261B9">
        <w:rPr>
          <w:lang w:val="es-ES"/>
        </w:rPr>
        <w:t xml:space="preserve"> </w:t>
      </w:r>
      <w:r w:rsidR="003E1F30" w:rsidRPr="002261B9">
        <w:rPr>
          <w:lang w:val="es-ES"/>
        </w:rPr>
        <w:t>y un portal en la web</w:t>
      </w:r>
      <w:r w:rsidR="00ED54D2" w:rsidRPr="002261B9">
        <w:rPr>
          <w:rStyle w:val="FootnoteReference"/>
          <w:rFonts w:ascii="Helvetica" w:hAnsi="Helvetica"/>
          <w:sz w:val="17"/>
          <w:szCs w:val="17"/>
          <w:lang w:val="es-ES"/>
        </w:rPr>
        <w:footnoteReference w:id="29"/>
      </w:r>
      <w:r w:rsidR="003E1F30" w:rsidRPr="002261B9">
        <w:rPr>
          <w:lang w:val="es-ES"/>
        </w:rPr>
        <w:t>.</w:t>
      </w:r>
    </w:p>
    <w:p w14:paraId="6311A267" w14:textId="3A227BBD" w:rsidR="00207D09" w:rsidRPr="002261B9" w:rsidRDefault="00E841ED" w:rsidP="00F45508">
      <w:pPr>
        <w:pStyle w:val="Paralevel1"/>
        <w:numPr>
          <w:ilvl w:val="0"/>
          <w:numId w:val="23"/>
        </w:numPr>
        <w:tabs>
          <w:tab w:val="clear" w:pos="0"/>
        </w:tabs>
        <w:ind w:left="1247" w:firstLine="0"/>
        <w:rPr>
          <w:lang w:val="es-ES"/>
        </w:rPr>
      </w:pPr>
      <w:r w:rsidRPr="002261B9">
        <w:rPr>
          <w:lang w:val="es-ES"/>
        </w:rPr>
        <w:t>Los representantes de la industria del sector de textiles de uso profesional, técnico y de protección</w:t>
      </w:r>
      <w:r w:rsidR="00207D09" w:rsidRPr="002261B9">
        <w:rPr>
          <w:lang w:val="es-ES"/>
        </w:rPr>
        <w:t xml:space="preserve"> </w:t>
      </w:r>
      <w:r w:rsidR="007C6E81" w:rsidRPr="002261B9">
        <w:rPr>
          <w:lang w:val="es-ES"/>
        </w:rPr>
        <w:t>invit</w:t>
      </w:r>
      <w:r w:rsidR="00FB1328" w:rsidRPr="002261B9">
        <w:rPr>
          <w:lang w:val="es-ES"/>
        </w:rPr>
        <w:t>an</w:t>
      </w:r>
      <w:r w:rsidRPr="002261B9">
        <w:rPr>
          <w:lang w:val="es-ES"/>
        </w:rPr>
        <w:t xml:space="preserve"> a las demás </w:t>
      </w:r>
      <w:r w:rsidR="00BA61CB" w:rsidRPr="002261B9">
        <w:rPr>
          <w:lang w:val="es-ES"/>
        </w:rPr>
        <w:t>Partes</w:t>
      </w:r>
      <w:r w:rsidR="007C6E81" w:rsidRPr="002261B9">
        <w:rPr>
          <w:lang w:val="es-ES"/>
        </w:rPr>
        <w:t xml:space="preserve"> </w:t>
      </w:r>
      <w:r w:rsidRPr="002261B9">
        <w:rPr>
          <w:lang w:val="es-ES"/>
        </w:rPr>
        <w:t>a sumarse a los proyectos de investigación y desarrollo sobre alternativas apropiadas</w:t>
      </w:r>
      <w:r w:rsidR="00207D09" w:rsidRPr="002261B9">
        <w:rPr>
          <w:lang w:val="es-ES"/>
        </w:rPr>
        <w:t xml:space="preserve"> </w:t>
      </w:r>
      <w:r w:rsidR="00A30EB1" w:rsidRPr="002261B9">
        <w:rPr>
          <w:lang w:val="es-ES"/>
        </w:rPr>
        <w:t xml:space="preserve">en el sector de textiles de uso técnico </w:t>
      </w:r>
      <w:r w:rsidR="00207D09" w:rsidRPr="002261B9">
        <w:rPr>
          <w:lang w:val="es-ES"/>
        </w:rPr>
        <w:t>(</w:t>
      </w:r>
      <w:r w:rsidRPr="002261B9">
        <w:rPr>
          <w:lang w:val="es-ES"/>
        </w:rPr>
        <w:t>véa</w:t>
      </w:r>
      <w:r w:rsidR="00134123" w:rsidRPr="002261B9">
        <w:rPr>
          <w:lang w:val="es-ES"/>
        </w:rPr>
        <w:t>n</w:t>
      </w:r>
      <w:r w:rsidRPr="002261B9">
        <w:rPr>
          <w:lang w:val="es-ES"/>
        </w:rPr>
        <w:t>se</w:t>
      </w:r>
      <w:r w:rsidR="00207D09" w:rsidRPr="002261B9">
        <w:rPr>
          <w:lang w:val="es-ES"/>
        </w:rPr>
        <w:t xml:space="preserve"> VTB </w:t>
      </w:r>
      <w:r w:rsidR="000A45EB" w:rsidRPr="002261B9">
        <w:rPr>
          <w:lang w:val="es-ES"/>
        </w:rPr>
        <w:t xml:space="preserve">SWT, </w:t>
      </w:r>
      <w:r w:rsidR="00207D09" w:rsidRPr="002261B9">
        <w:rPr>
          <w:lang w:val="es-ES"/>
        </w:rPr>
        <w:t xml:space="preserve">2016 </w:t>
      </w:r>
      <w:r w:rsidRPr="002261B9">
        <w:rPr>
          <w:lang w:val="es-ES"/>
        </w:rPr>
        <w:t>y</w:t>
      </w:r>
      <w:r w:rsidR="00207D09" w:rsidRPr="002261B9">
        <w:rPr>
          <w:lang w:val="es-ES"/>
        </w:rPr>
        <w:t xml:space="preserve"> TM</w:t>
      </w:r>
      <w:r w:rsidR="000A45EB" w:rsidRPr="002261B9">
        <w:rPr>
          <w:lang w:val="es-ES"/>
        </w:rPr>
        <w:t>,</w:t>
      </w:r>
      <w:r w:rsidR="00207D09" w:rsidRPr="002261B9">
        <w:rPr>
          <w:lang w:val="es-ES"/>
        </w:rPr>
        <w:t xml:space="preserve"> 2016</w:t>
      </w:r>
      <w:r w:rsidR="000570BF" w:rsidRPr="002261B9">
        <w:rPr>
          <w:lang w:val="es-ES"/>
        </w:rPr>
        <w:t>)</w:t>
      </w:r>
      <w:r w:rsidR="00207D09" w:rsidRPr="002261B9">
        <w:rPr>
          <w:lang w:val="es-ES"/>
        </w:rPr>
        <w:t>.</w:t>
      </w:r>
    </w:p>
    <w:p w14:paraId="3690347E" w14:textId="114CA52B" w:rsidR="00384BA4" w:rsidRPr="002261B9" w:rsidRDefault="00134123" w:rsidP="00955D10">
      <w:pPr>
        <w:pStyle w:val="StyleHeading3h3123SecTimesNewRomanBold"/>
        <w:ind w:left="1248" w:hanging="624"/>
        <w:rPr>
          <w:lang w:val="es-ES"/>
        </w:rPr>
      </w:pPr>
      <w:bookmarkStart w:id="77" w:name="_Toc501099214"/>
      <w:r w:rsidRPr="002261B9">
        <w:rPr>
          <w:lang w:val="es-ES"/>
        </w:rPr>
        <w:t>2.4.6</w:t>
      </w:r>
      <w:r w:rsidRPr="002261B9">
        <w:rPr>
          <w:lang w:val="es-ES"/>
        </w:rPr>
        <w:tab/>
      </w:r>
      <w:r w:rsidR="00384BA4" w:rsidRPr="002261B9">
        <w:rPr>
          <w:lang w:val="es-ES"/>
        </w:rPr>
        <w:t>Costos sociales</w:t>
      </w:r>
      <w:bookmarkEnd w:id="77"/>
      <w:r w:rsidR="00384BA4" w:rsidRPr="002261B9">
        <w:rPr>
          <w:lang w:val="es-ES"/>
        </w:rPr>
        <w:t xml:space="preserve"> </w:t>
      </w:r>
    </w:p>
    <w:p w14:paraId="553A8EE7" w14:textId="42F80E3A" w:rsidR="00384BA4" w:rsidRPr="002261B9" w:rsidRDefault="00E841ED" w:rsidP="00F45508">
      <w:pPr>
        <w:pStyle w:val="Paralevel1"/>
        <w:numPr>
          <w:ilvl w:val="0"/>
          <w:numId w:val="23"/>
        </w:numPr>
        <w:tabs>
          <w:tab w:val="clear" w:pos="0"/>
        </w:tabs>
        <w:ind w:left="1247" w:firstLine="0"/>
        <w:rPr>
          <w:lang w:val="es-ES"/>
        </w:rPr>
      </w:pPr>
      <w:r w:rsidRPr="002261B9">
        <w:rPr>
          <w:lang w:val="es-ES"/>
        </w:rPr>
        <w:t xml:space="preserve">La </w:t>
      </w:r>
      <w:r w:rsidR="00946899" w:rsidRPr="002261B9">
        <w:rPr>
          <w:lang w:val="es-ES"/>
        </w:rPr>
        <w:t>Red de Eliminación de COP</w:t>
      </w:r>
      <w:r w:rsidR="00384BA4" w:rsidRPr="002261B9">
        <w:rPr>
          <w:lang w:val="es-ES"/>
        </w:rPr>
        <w:t xml:space="preserve"> consider</w:t>
      </w:r>
      <w:r w:rsidRPr="002261B9">
        <w:rPr>
          <w:lang w:val="es-ES"/>
        </w:rPr>
        <w:t xml:space="preserve">a que los beneficios para la salud y el medio ambiente sobrepasan con creces los costos sociales relacionados con la eliminación del </w:t>
      </w:r>
      <w:r w:rsidR="00384BA4" w:rsidRPr="002261B9">
        <w:rPr>
          <w:lang w:val="es-ES"/>
        </w:rPr>
        <w:t>PFOA (</w:t>
      </w:r>
      <w:r w:rsidR="00946899" w:rsidRPr="002261B9">
        <w:rPr>
          <w:lang w:val="es-ES"/>
        </w:rPr>
        <w:t>Red de Eliminación de COP</w:t>
      </w:r>
      <w:r w:rsidR="000A45EB" w:rsidRPr="002261B9">
        <w:rPr>
          <w:lang w:val="es-ES"/>
        </w:rPr>
        <w:t>,</w:t>
      </w:r>
      <w:r w:rsidR="00384BA4" w:rsidRPr="002261B9">
        <w:rPr>
          <w:lang w:val="es-ES"/>
        </w:rPr>
        <w:t xml:space="preserve"> 2016).</w:t>
      </w:r>
    </w:p>
    <w:p w14:paraId="4289188C" w14:textId="4AFFDA31" w:rsidR="00384BA4" w:rsidRPr="002261B9" w:rsidRDefault="00E841ED" w:rsidP="00F45508">
      <w:pPr>
        <w:pStyle w:val="Paralevel1"/>
        <w:numPr>
          <w:ilvl w:val="0"/>
          <w:numId w:val="23"/>
        </w:numPr>
        <w:tabs>
          <w:tab w:val="clear" w:pos="0"/>
        </w:tabs>
        <w:ind w:left="1247" w:firstLine="0"/>
        <w:rPr>
          <w:lang w:val="es-ES"/>
        </w:rPr>
      </w:pPr>
      <w:r w:rsidRPr="002261B9">
        <w:rPr>
          <w:lang w:val="es-ES"/>
        </w:rPr>
        <w:lastRenderedPageBreak/>
        <w:t>Previsiblemente, la restricción de la UE no surt</w:t>
      </w:r>
      <w:r w:rsidR="00A30EB1" w:rsidRPr="002261B9">
        <w:rPr>
          <w:lang w:val="es-ES"/>
        </w:rPr>
        <w:t>irá</w:t>
      </w:r>
      <w:r w:rsidRPr="002261B9">
        <w:rPr>
          <w:lang w:val="es-ES"/>
        </w:rPr>
        <w:t xml:space="preserve"> efectos importantes en el empleo debido a que, para la inmensa mayoría de los usos</w:t>
      </w:r>
      <w:r w:rsidR="00B04DD6" w:rsidRPr="002261B9">
        <w:rPr>
          <w:lang w:val="es-ES"/>
        </w:rPr>
        <w:t>,</w:t>
      </w:r>
      <w:r w:rsidR="00384BA4" w:rsidRPr="002261B9">
        <w:rPr>
          <w:lang w:val="es-ES"/>
        </w:rPr>
        <w:t xml:space="preserve"> </w:t>
      </w:r>
      <w:r w:rsidRPr="002261B9">
        <w:rPr>
          <w:lang w:val="es-ES"/>
        </w:rPr>
        <w:t>se dispone de alternativas que son aplicables a un costo razonable</w:t>
      </w:r>
      <w:r w:rsidR="00384BA4" w:rsidRPr="002261B9">
        <w:rPr>
          <w:lang w:val="es-ES"/>
        </w:rPr>
        <w:t xml:space="preserve">. </w:t>
      </w:r>
      <w:r w:rsidRPr="002261B9">
        <w:rPr>
          <w:lang w:val="es-ES"/>
        </w:rPr>
        <w:t>Además, dado que la restricción abarcará también a los artículos y mezclas importados</w:t>
      </w:r>
      <w:r w:rsidR="00DF3A13" w:rsidRPr="002261B9">
        <w:rPr>
          <w:lang w:val="es-ES"/>
        </w:rPr>
        <w:t>,</w:t>
      </w:r>
      <w:r w:rsidR="00384BA4" w:rsidRPr="002261B9">
        <w:rPr>
          <w:lang w:val="es-ES"/>
        </w:rPr>
        <w:t xml:space="preserve"> </w:t>
      </w:r>
      <w:r w:rsidR="006D0064" w:rsidRPr="002261B9">
        <w:rPr>
          <w:lang w:val="es-ES"/>
        </w:rPr>
        <w:t xml:space="preserve">es improbable que </w:t>
      </w:r>
      <w:r w:rsidRPr="002261B9">
        <w:rPr>
          <w:lang w:val="es-ES"/>
        </w:rPr>
        <w:t>la reubicación de las plantas de producción fuer</w:t>
      </w:r>
      <w:r w:rsidR="006D0064" w:rsidRPr="002261B9">
        <w:rPr>
          <w:lang w:val="es-ES"/>
        </w:rPr>
        <w:t>a</w:t>
      </w:r>
      <w:r w:rsidRPr="002261B9">
        <w:rPr>
          <w:lang w:val="es-ES"/>
        </w:rPr>
        <w:t xml:space="preserve"> de la U</w:t>
      </w:r>
      <w:r w:rsidR="006D0064" w:rsidRPr="002261B9">
        <w:rPr>
          <w:lang w:val="es-ES"/>
        </w:rPr>
        <w:t>nión Europea sea la respuesta de la industria de que se trata</w:t>
      </w:r>
      <w:r w:rsidR="00384BA4" w:rsidRPr="002261B9">
        <w:rPr>
          <w:lang w:val="es-ES"/>
        </w:rPr>
        <w:t xml:space="preserve">. </w:t>
      </w:r>
      <w:r w:rsidR="006D0064" w:rsidRPr="002261B9">
        <w:rPr>
          <w:lang w:val="es-ES"/>
        </w:rPr>
        <w:t xml:space="preserve">Por ende, no se prevén pérdidas (ni ganancias) significativas en el empleo en la UE debido al cierre </w:t>
      </w:r>
      <w:r w:rsidR="00C47674" w:rsidRPr="002261B9">
        <w:rPr>
          <w:lang w:val="es-ES"/>
        </w:rPr>
        <w:t>y</w:t>
      </w:r>
      <w:r w:rsidR="006D0064" w:rsidRPr="002261B9">
        <w:rPr>
          <w:lang w:val="es-ES"/>
        </w:rPr>
        <w:t xml:space="preserve"> a la reubicación de las actividades</w:t>
      </w:r>
      <w:r w:rsidR="00384BA4" w:rsidRPr="002261B9">
        <w:rPr>
          <w:lang w:val="es-ES"/>
        </w:rPr>
        <w:t xml:space="preserve"> </w:t>
      </w:r>
      <w:r w:rsidR="006D0064" w:rsidRPr="002261B9">
        <w:rPr>
          <w:lang w:val="es-ES"/>
        </w:rPr>
        <w:t>empresariales</w:t>
      </w:r>
      <w:r w:rsidR="00384BA4" w:rsidRPr="002261B9">
        <w:rPr>
          <w:lang w:val="es-ES"/>
        </w:rPr>
        <w:t xml:space="preserve"> (ECHA</w:t>
      </w:r>
      <w:r w:rsidR="000A45EB" w:rsidRPr="002261B9">
        <w:rPr>
          <w:lang w:val="es-ES"/>
        </w:rPr>
        <w:t>,</w:t>
      </w:r>
      <w:r w:rsidR="00384BA4" w:rsidRPr="002261B9">
        <w:rPr>
          <w:lang w:val="es-ES"/>
        </w:rPr>
        <w:t xml:space="preserve"> 2015a</w:t>
      </w:r>
      <w:r w:rsidR="000570BF" w:rsidRPr="002261B9">
        <w:rPr>
          <w:lang w:val="es-ES"/>
        </w:rPr>
        <w:t>)</w:t>
      </w:r>
      <w:r w:rsidR="00384BA4" w:rsidRPr="002261B9">
        <w:rPr>
          <w:lang w:val="es-ES"/>
        </w:rPr>
        <w:t>.</w:t>
      </w:r>
    </w:p>
    <w:p w14:paraId="207F8A87" w14:textId="59FA974A" w:rsidR="00384BA4" w:rsidRPr="002261B9" w:rsidRDefault="006D0064" w:rsidP="00F45508">
      <w:pPr>
        <w:pStyle w:val="Paralevel1"/>
        <w:numPr>
          <w:ilvl w:val="0"/>
          <w:numId w:val="23"/>
        </w:numPr>
        <w:tabs>
          <w:tab w:val="clear" w:pos="0"/>
        </w:tabs>
        <w:ind w:left="1247" w:firstLine="0"/>
        <w:rPr>
          <w:lang w:val="es-ES"/>
        </w:rPr>
      </w:pPr>
      <w:r w:rsidRPr="002261B9">
        <w:rPr>
          <w:lang w:val="es-ES"/>
        </w:rPr>
        <w:t>Respecto del sector de textiles de uso profesional, técnico y de protección</w:t>
      </w:r>
      <w:r w:rsidR="00384BA4" w:rsidRPr="002261B9">
        <w:rPr>
          <w:lang w:val="es-ES"/>
        </w:rPr>
        <w:t xml:space="preserve">, </w:t>
      </w:r>
      <w:r w:rsidRPr="002261B9">
        <w:rPr>
          <w:lang w:val="es-ES"/>
        </w:rPr>
        <w:t xml:space="preserve">la </w:t>
      </w:r>
      <w:r w:rsidR="00384BA4" w:rsidRPr="002261B9">
        <w:rPr>
          <w:lang w:val="es-ES"/>
        </w:rPr>
        <w:t>industr</w:t>
      </w:r>
      <w:r w:rsidRPr="002261B9">
        <w:rPr>
          <w:lang w:val="es-ES"/>
        </w:rPr>
        <w:t>ia considera que la prohibición total de la producción</w:t>
      </w:r>
      <w:r w:rsidR="00384BA4" w:rsidRPr="002261B9">
        <w:rPr>
          <w:lang w:val="es-ES"/>
        </w:rPr>
        <w:t xml:space="preserve"> </w:t>
      </w:r>
      <w:r w:rsidRPr="002261B9">
        <w:rPr>
          <w:lang w:val="es-ES"/>
        </w:rPr>
        <w:t>mediante la inclusión de la sustancia en el anexo</w:t>
      </w:r>
      <w:r w:rsidR="00384BA4" w:rsidRPr="002261B9">
        <w:rPr>
          <w:lang w:val="es-ES"/>
        </w:rPr>
        <w:t xml:space="preserve"> A </w:t>
      </w:r>
      <w:r w:rsidRPr="002261B9">
        <w:rPr>
          <w:lang w:val="es-ES"/>
        </w:rPr>
        <w:t xml:space="preserve">surtiría efectos negativos en el empleo en la industria de textiles de uso profesional, técnico y de protección de </w:t>
      </w:r>
      <w:r w:rsidR="00384BA4" w:rsidRPr="002261B9">
        <w:rPr>
          <w:lang w:val="es-ES"/>
        </w:rPr>
        <w:t>Europ</w:t>
      </w:r>
      <w:r w:rsidRPr="002261B9">
        <w:rPr>
          <w:lang w:val="es-ES"/>
        </w:rPr>
        <w:t>a</w:t>
      </w:r>
      <w:r w:rsidR="00384BA4" w:rsidRPr="002261B9">
        <w:rPr>
          <w:lang w:val="es-ES"/>
        </w:rPr>
        <w:t xml:space="preserve"> (</w:t>
      </w:r>
      <w:r w:rsidRPr="002261B9">
        <w:rPr>
          <w:lang w:val="es-ES"/>
        </w:rPr>
        <w:t>véa</w:t>
      </w:r>
      <w:r w:rsidR="00134123" w:rsidRPr="002261B9">
        <w:rPr>
          <w:lang w:val="es-ES"/>
        </w:rPr>
        <w:t>n</w:t>
      </w:r>
      <w:r w:rsidRPr="002261B9">
        <w:rPr>
          <w:lang w:val="es-ES"/>
        </w:rPr>
        <w:t>se</w:t>
      </w:r>
      <w:r w:rsidR="00384BA4" w:rsidRPr="002261B9">
        <w:rPr>
          <w:lang w:val="es-ES"/>
        </w:rPr>
        <w:t xml:space="preserve"> VTB SWT</w:t>
      </w:r>
      <w:r w:rsidR="000A45EB" w:rsidRPr="002261B9">
        <w:rPr>
          <w:lang w:val="es-ES"/>
        </w:rPr>
        <w:t>,</w:t>
      </w:r>
      <w:r w:rsidR="00384BA4" w:rsidRPr="002261B9">
        <w:rPr>
          <w:lang w:val="es-ES"/>
        </w:rPr>
        <w:t xml:space="preserve">2016 </w:t>
      </w:r>
      <w:r w:rsidRPr="002261B9">
        <w:rPr>
          <w:lang w:val="es-ES"/>
        </w:rPr>
        <w:t>y</w:t>
      </w:r>
      <w:r w:rsidR="00384BA4" w:rsidRPr="002261B9">
        <w:rPr>
          <w:lang w:val="es-ES"/>
        </w:rPr>
        <w:t xml:space="preserve"> EURATEX</w:t>
      </w:r>
      <w:r w:rsidR="000A45EB" w:rsidRPr="002261B9">
        <w:rPr>
          <w:lang w:val="es-ES"/>
        </w:rPr>
        <w:t>,</w:t>
      </w:r>
      <w:r w:rsidR="00384BA4" w:rsidRPr="002261B9">
        <w:rPr>
          <w:lang w:val="es-ES"/>
        </w:rPr>
        <w:t xml:space="preserve"> 2016</w:t>
      </w:r>
      <w:r w:rsidR="000570BF" w:rsidRPr="002261B9">
        <w:rPr>
          <w:lang w:val="es-ES"/>
        </w:rPr>
        <w:t>)</w:t>
      </w:r>
      <w:r w:rsidR="00384BA4" w:rsidRPr="002261B9">
        <w:rPr>
          <w:lang w:val="es-ES"/>
        </w:rPr>
        <w:t>.</w:t>
      </w:r>
    </w:p>
    <w:p w14:paraId="57F22473" w14:textId="0C37A726" w:rsidR="00C151FB" w:rsidRPr="002261B9" w:rsidRDefault="00134123" w:rsidP="00955D10">
      <w:pPr>
        <w:pStyle w:val="StyleHeading2u2h2ABC2ChptTimesNewRoman12ptLin"/>
        <w:tabs>
          <w:tab w:val="num" w:pos="128"/>
        </w:tabs>
        <w:spacing w:after="120"/>
        <w:ind w:left="1248" w:hanging="624"/>
        <w:rPr>
          <w:iCs w:val="0"/>
          <w:sz w:val="22"/>
          <w:szCs w:val="22"/>
          <w:lang w:val="es-ES"/>
        </w:rPr>
      </w:pPr>
      <w:bookmarkStart w:id="78" w:name="_Toc501099215"/>
      <w:r w:rsidRPr="002261B9">
        <w:rPr>
          <w:iCs w:val="0"/>
          <w:sz w:val="22"/>
          <w:szCs w:val="22"/>
          <w:lang w:val="es-ES"/>
        </w:rPr>
        <w:t>2.5</w:t>
      </w:r>
      <w:r w:rsidRPr="002261B9">
        <w:rPr>
          <w:iCs w:val="0"/>
          <w:sz w:val="22"/>
          <w:szCs w:val="22"/>
          <w:lang w:val="es-ES"/>
        </w:rPr>
        <w:tab/>
      </w:r>
      <w:r w:rsidR="00C151FB" w:rsidRPr="002261B9">
        <w:rPr>
          <w:iCs w:val="0"/>
          <w:sz w:val="22"/>
          <w:szCs w:val="22"/>
          <w:lang w:val="es-ES"/>
        </w:rPr>
        <w:t>Otras consideraciones</w:t>
      </w:r>
      <w:bookmarkEnd w:id="78"/>
      <w:r w:rsidR="00C151FB" w:rsidRPr="002261B9">
        <w:rPr>
          <w:iCs w:val="0"/>
          <w:sz w:val="22"/>
          <w:szCs w:val="22"/>
          <w:lang w:val="es-ES"/>
        </w:rPr>
        <w:t xml:space="preserve"> </w:t>
      </w:r>
    </w:p>
    <w:p w14:paraId="7F6D2D96" w14:textId="192D99BA" w:rsidR="00C151FB" w:rsidRPr="002261B9" w:rsidRDefault="00134123" w:rsidP="00955D10">
      <w:pPr>
        <w:pStyle w:val="StyleHeading3h3123SecTimesNewRomanBold"/>
        <w:ind w:left="1248" w:hanging="624"/>
        <w:rPr>
          <w:lang w:val="es-ES"/>
        </w:rPr>
      </w:pPr>
      <w:bookmarkStart w:id="79" w:name="_Toc501099216"/>
      <w:r w:rsidRPr="002261B9">
        <w:rPr>
          <w:lang w:val="es-ES"/>
        </w:rPr>
        <w:t>2.5.1</w:t>
      </w:r>
      <w:r w:rsidRPr="002261B9">
        <w:rPr>
          <w:lang w:val="es-ES"/>
        </w:rPr>
        <w:tab/>
      </w:r>
      <w:r w:rsidR="00C151FB" w:rsidRPr="002261B9">
        <w:rPr>
          <w:lang w:val="es-ES"/>
        </w:rPr>
        <w:t>Acceso a la información y educación del público</w:t>
      </w:r>
      <w:bookmarkEnd w:id="79"/>
    </w:p>
    <w:p w14:paraId="1A7ABD38" w14:textId="77777777" w:rsidR="00A70703" w:rsidRPr="002261B9" w:rsidRDefault="00A70703" w:rsidP="00F45508">
      <w:pPr>
        <w:pStyle w:val="Paralevel1"/>
        <w:numPr>
          <w:ilvl w:val="0"/>
          <w:numId w:val="23"/>
        </w:numPr>
        <w:tabs>
          <w:tab w:val="clear" w:pos="0"/>
        </w:tabs>
        <w:ind w:left="1247" w:firstLine="0"/>
        <w:rPr>
          <w:lang w:val="es-ES"/>
        </w:rPr>
      </w:pPr>
      <w:r w:rsidRPr="002261B9">
        <w:rPr>
          <w:lang w:val="es-ES"/>
        </w:rPr>
        <w:t xml:space="preserve">Varias Partes y observadores han presentado información sobre </w:t>
      </w:r>
      <w:r w:rsidR="00C207F7" w:rsidRPr="002261B9">
        <w:rPr>
          <w:lang w:val="es-ES"/>
        </w:rPr>
        <w:t xml:space="preserve">el acceso a la información y </w:t>
      </w:r>
      <w:r w:rsidRPr="002261B9">
        <w:rPr>
          <w:lang w:val="es-ES"/>
        </w:rPr>
        <w:t>educación del público:</w:t>
      </w:r>
    </w:p>
    <w:p w14:paraId="57C2BA7B" w14:textId="7C338FC7"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Red de monitorización de contaminantes orgánicos persistentes y otros contaminantes en la región alpina: </w:t>
      </w:r>
      <w:hyperlink r:id="rId10" w:history="1">
        <w:r w:rsidR="00134123" w:rsidRPr="002261B9">
          <w:rPr>
            <w:rStyle w:val="Hyperlink"/>
            <w:sz w:val="20"/>
            <w:szCs w:val="20"/>
            <w:lang w:val="es-ES"/>
          </w:rPr>
          <w:t>http://www.monarpop.at/</w:t>
        </w:r>
      </w:hyperlink>
      <w:r w:rsidRPr="002261B9">
        <w:rPr>
          <w:sz w:val="20"/>
          <w:szCs w:val="20"/>
          <w:lang w:val="es-ES"/>
        </w:rPr>
        <w:t>;</w:t>
      </w:r>
    </w:p>
    <w:p w14:paraId="77E4C819" w14:textId="77777777" w:rsidR="00134123" w:rsidRPr="002261B9" w:rsidRDefault="008224E6"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Agencia Austriaca para el </w:t>
      </w:r>
      <w:r w:rsidR="00A70703" w:rsidRPr="002261B9">
        <w:rPr>
          <w:sz w:val="20"/>
          <w:szCs w:val="20"/>
          <w:lang w:val="es-ES"/>
        </w:rPr>
        <w:t>Medio Ambiente: http://www.umweltbundesamt.at/ummuki symposium/;</w:t>
      </w:r>
    </w:p>
    <w:p w14:paraId="560AD188" w14:textId="77777777"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Información relativa a las iniciativas en el marco de la Ley de protección ambiental del Canadá de 1999: http://www.ec.gc.ca/lcpe-cepa/default.asp?lang En&amp;n 1FE509F3-1;</w:t>
      </w:r>
    </w:p>
    <w:p w14:paraId="359B3B25" w14:textId="77777777"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Información sobre la evaluación y la gestión de las sustancias en el Canadá: http://www.ec.gc.ca/toxiques-toxics/default.asp?lang En&amp;n 97324D33-1;</w:t>
      </w:r>
    </w:p>
    <w:p w14:paraId="7FCD0CCE" w14:textId="77777777"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Se puede consultar información adicional sobre el PFOA, sus sales y sus precursores en el sitio web del Canadá sobre medio ambiente y cambio climático: http://www.ec.gc.ca/toxiques-toxics/Default.asp?lang en&amp;n F68CBFF1-1 y en relación con los controles reglamentarios en http://www.ec.gc.ca/lcpe-cepa/default.asp?lang En&amp;n 3E603995-1;</w:t>
      </w:r>
    </w:p>
    <w:p w14:paraId="7C4999A4" w14:textId="286D203B" w:rsidR="00134123" w:rsidRPr="002261B9" w:rsidRDefault="008224E6"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Organismo Noruego para el Medio Ambiente</w:t>
      </w:r>
      <w:r w:rsidR="00A70703" w:rsidRPr="002261B9">
        <w:rPr>
          <w:sz w:val="20"/>
          <w:szCs w:val="20"/>
          <w:lang w:val="es-ES"/>
        </w:rPr>
        <w:t xml:space="preserve">: </w:t>
      </w:r>
      <w:hyperlink r:id="rId11" w:history="1">
        <w:r w:rsidR="00134123" w:rsidRPr="002261B9">
          <w:rPr>
            <w:rStyle w:val="Hyperlink"/>
            <w:sz w:val="20"/>
            <w:szCs w:val="20"/>
            <w:lang w:val="es-ES"/>
          </w:rPr>
          <w:t>http://www.environment.no/</w:t>
        </w:r>
      </w:hyperlink>
      <w:r w:rsidR="00A70703" w:rsidRPr="002261B9">
        <w:rPr>
          <w:sz w:val="20"/>
          <w:szCs w:val="20"/>
          <w:lang w:val="es-ES"/>
        </w:rPr>
        <w:t>;</w:t>
      </w:r>
    </w:p>
    <w:p w14:paraId="3A6B149B" w14:textId="29949B8A"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Acceso a los datos generados por los miembros del FluoroCouncil: </w:t>
      </w:r>
      <w:hyperlink r:id="rId12" w:history="1">
        <w:r w:rsidR="00134123" w:rsidRPr="002261B9">
          <w:rPr>
            <w:rStyle w:val="Hyperlink"/>
            <w:sz w:val="20"/>
            <w:szCs w:val="20"/>
            <w:lang w:val="es-ES"/>
          </w:rPr>
          <w:t>https://fluorocouncil.com/Resources/Research</w:t>
        </w:r>
      </w:hyperlink>
      <w:r w:rsidRPr="002261B9">
        <w:rPr>
          <w:sz w:val="20"/>
          <w:szCs w:val="20"/>
          <w:lang w:val="es-ES"/>
        </w:rPr>
        <w:t>;</w:t>
      </w:r>
    </w:p>
    <w:p w14:paraId="7E781D51" w14:textId="77777777" w:rsidR="00134123" w:rsidRPr="002261B9" w:rsidRDefault="004D6A78"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Agencia Alemana para el </w:t>
      </w:r>
      <w:r w:rsidR="00A70703" w:rsidRPr="002261B9">
        <w:rPr>
          <w:sz w:val="20"/>
          <w:szCs w:val="20"/>
          <w:lang w:val="es-ES"/>
        </w:rPr>
        <w:t xml:space="preserve">Medio Ambiente: https://www.umweltbundesamt.de/. </w:t>
      </w:r>
      <w:r w:rsidRPr="002261B9">
        <w:rPr>
          <w:sz w:val="20"/>
          <w:szCs w:val="20"/>
          <w:lang w:val="es-ES"/>
        </w:rPr>
        <w:t xml:space="preserve">La Agencia Alemana para el Medio Ambiente </w:t>
      </w:r>
      <w:r w:rsidR="00A70703" w:rsidRPr="002261B9">
        <w:rPr>
          <w:sz w:val="20"/>
          <w:szCs w:val="20"/>
          <w:lang w:val="es-ES"/>
        </w:rPr>
        <w:t>publicó un folleto sobre el uso ambientalmente responsable de espumas fluoradas en la lucha contra incendios (</w:t>
      </w:r>
      <w:r w:rsidRPr="002261B9">
        <w:rPr>
          <w:sz w:val="20"/>
          <w:szCs w:val="20"/>
          <w:lang w:val="es-ES"/>
        </w:rPr>
        <w:t>Agencia Alemana para el Medio Ambiente</w:t>
      </w:r>
      <w:r w:rsidR="000A45EB" w:rsidRPr="002261B9">
        <w:rPr>
          <w:sz w:val="20"/>
          <w:szCs w:val="20"/>
          <w:lang w:val="es-ES"/>
        </w:rPr>
        <w:t>,</w:t>
      </w:r>
      <w:r w:rsidR="00A70703" w:rsidRPr="002261B9">
        <w:rPr>
          <w:sz w:val="20"/>
          <w:szCs w:val="20"/>
          <w:lang w:val="es-ES"/>
        </w:rPr>
        <w:t xml:space="preserve"> 2013</w:t>
      </w:r>
      <w:r w:rsidR="000570BF" w:rsidRPr="002261B9">
        <w:rPr>
          <w:sz w:val="20"/>
          <w:szCs w:val="20"/>
          <w:lang w:val="es-ES"/>
        </w:rPr>
        <w:t>)</w:t>
      </w:r>
      <w:r w:rsidR="00A70703" w:rsidRPr="002261B9">
        <w:rPr>
          <w:sz w:val="20"/>
          <w:szCs w:val="20"/>
          <w:lang w:val="es-ES"/>
        </w:rPr>
        <w:t xml:space="preserve">; </w:t>
      </w:r>
    </w:p>
    <w:p w14:paraId="3093EE09" w14:textId="42AE662E" w:rsidR="00134123" w:rsidRPr="002261B9" w:rsidRDefault="00A70703"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Instituto Federal de Seguridad </w:t>
      </w:r>
      <w:r w:rsidR="0057533C" w:rsidRPr="002261B9">
        <w:rPr>
          <w:sz w:val="20"/>
          <w:szCs w:val="20"/>
          <w:lang w:val="es-ES"/>
        </w:rPr>
        <w:t>e</w:t>
      </w:r>
      <w:r w:rsidRPr="002261B9">
        <w:rPr>
          <w:sz w:val="20"/>
          <w:szCs w:val="20"/>
          <w:lang w:val="es-ES"/>
        </w:rPr>
        <w:t xml:space="preserve"> Higiene del Trabajo: </w:t>
      </w:r>
      <w:hyperlink r:id="rId13" w:history="1">
        <w:r w:rsidR="00134123" w:rsidRPr="002261B9">
          <w:rPr>
            <w:rStyle w:val="Hyperlink"/>
            <w:sz w:val="20"/>
            <w:szCs w:val="20"/>
            <w:lang w:val="es-ES"/>
          </w:rPr>
          <w:t>http://www.baua.de/de/Startseite.html</w:t>
        </w:r>
      </w:hyperlink>
      <w:r w:rsidRPr="002261B9">
        <w:rPr>
          <w:sz w:val="20"/>
          <w:szCs w:val="20"/>
          <w:lang w:val="es-ES"/>
        </w:rPr>
        <w:t>;</w:t>
      </w:r>
    </w:p>
    <w:p w14:paraId="0489AD7B" w14:textId="512C6E65" w:rsidR="00DF2CC7" w:rsidRPr="002261B9" w:rsidRDefault="00DF2CC7" w:rsidP="00F45508">
      <w:pPr>
        <w:pStyle w:val="ListParagraph"/>
        <w:numPr>
          <w:ilvl w:val="0"/>
          <w:numId w:val="22"/>
        </w:numPr>
        <w:snapToGrid w:val="0"/>
        <w:spacing w:after="120"/>
        <w:ind w:left="1247" w:firstLine="624"/>
        <w:contextualSpacing w:val="0"/>
        <w:rPr>
          <w:sz w:val="20"/>
          <w:szCs w:val="20"/>
          <w:lang w:val="es-ES"/>
        </w:rPr>
      </w:pPr>
      <w:r w:rsidRPr="002261B9">
        <w:rPr>
          <w:sz w:val="20"/>
          <w:szCs w:val="20"/>
          <w:lang w:val="es-ES"/>
        </w:rPr>
        <w:t xml:space="preserve">Organismo Sueco de Productos Químicos: </w:t>
      </w:r>
      <w:hyperlink r:id="rId14" w:history="1">
        <w:r w:rsidR="00255BB8" w:rsidRPr="002261B9">
          <w:rPr>
            <w:rStyle w:val="Hyperlink"/>
            <w:color w:val="auto"/>
            <w:sz w:val="20"/>
            <w:szCs w:val="20"/>
            <w:u w:val="none"/>
            <w:lang w:val="es-ES"/>
          </w:rPr>
          <w:t>www.kemi.se</w:t>
        </w:r>
      </w:hyperlink>
      <w:r w:rsidR="00255BB8" w:rsidRPr="002261B9">
        <w:rPr>
          <w:sz w:val="20"/>
          <w:szCs w:val="20"/>
          <w:lang w:val="es-ES"/>
        </w:rPr>
        <w:t xml:space="preserve">. </w:t>
      </w:r>
      <w:r w:rsidRPr="002261B9">
        <w:rPr>
          <w:sz w:val="20"/>
          <w:szCs w:val="20"/>
          <w:lang w:val="es-ES"/>
        </w:rPr>
        <w:t>Dado que la contaminación con PFAS es causa de preocupación para muchos interesados diferentes en la sociedad y muchas autoridades intervienen en la adopción y la elaboración de diversas medidas, se ha elaborado una guía que se puede consultar en la web (en sueco)</w:t>
      </w:r>
      <w:r w:rsidR="00255BB8" w:rsidRPr="002261B9">
        <w:rPr>
          <w:lang w:val="es-ES"/>
        </w:rPr>
        <w:t>.</w:t>
      </w:r>
    </w:p>
    <w:p w14:paraId="30D1086C" w14:textId="1563D767" w:rsidR="00C151FB" w:rsidRPr="002261B9" w:rsidRDefault="00134123" w:rsidP="00955D10">
      <w:pPr>
        <w:pStyle w:val="StyleHeading3h3123SecTimesNewRomanBold"/>
        <w:ind w:left="1248" w:hanging="624"/>
        <w:rPr>
          <w:lang w:val="es-ES"/>
        </w:rPr>
      </w:pPr>
      <w:bookmarkStart w:id="80" w:name="_Toc501099217"/>
      <w:r w:rsidRPr="002261B9">
        <w:rPr>
          <w:lang w:val="es-ES"/>
        </w:rPr>
        <w:t>2.5.2</w:t>
      </w:r>
      <w:r w:rsidRPr="002261B9">
        <w:rPr>
          <w:lang w:val="es-ES"/>
        </w:rPr>
        <w:tab/>
      </w:r>
      <w:r w:rsidR="00C151FB" w:rsidRPr="002261B9">
        <w:rPr>
          <w:lang w:val="es-ES"/>
        </w:rPr>
        <w:t>Estado de la capacidad de control y monitorización</w:t>
      </w:r>
      <w:bookmarkEnd w:id="80"/>
    </w:p>
    <w:p w14:paraId="5E3CEEAD" w14:textId="4BB0B77B" w:rsidR="00A70703" w:rsidRPr="002261B9" w:rsidRDefault="00A70703" w:rsidP="00F45508">
      <w:pPr>
        <w:pStyle w:val="Paralevel1"/>
        <w:numPr>
          <w:ilvl w:val="0"/>
          <w:numId w:val="23"/>
        </w:numPr>
        <w:tabs>
          <w:tab w:val="clear" w:pos="0"/>
        </w:tabs>
        <w:ind w:left="1247" w:firstLine="0"/>
        <w:rPr>
          <w:lang w:val="es-ES"/>
        </w:rPr>
      </w:pPr>
      <w:r w:rsidRPr="002261B9">
        <w:rPr>
          <w:lang w:val="es-ES"/>
        </w:rPr>
        <w:t xml:space="preserve">Se ha medido el PFOA en diversos medios, por ejemplo, la sangre humana y la leche materna, y en el agua, el suelo, los sedimentos y la biota, en particular los peces. Se proporcionaron datos de monitorización de la base de datos de la Agencia </w:t>
      </w:r>
      <w:r w:rsidR="008224E6" w:rsidRPr="002261B9">
        <w:rPr>
          <w:lang w:val="es-ES"/>
        </w:rPr>
        <w:t xml:space="preserve">Austriaca </w:t>
      </w:r>
      <w:r w:rsidRPr="002261B9">
        <w:rPr>
          <w:lang w:val="es-ES"/>
        </w:rPr>
        <w:t>para el Medio Ambiente (EAA) (para más detalles, véase Austria</w:t>
      </w:r>
      <w:r w:rsidR="000A45EB" w:rsidRPr="002261B9">
        <w:rPr>
          <w:lang w:val="es-ES"/>
        </w:rPr>
        <w:t>,</w:t>
      </w:r>
      <w:r w:rsidRPr="002261B9">
        <w:rPr>
          <w:lang w:val="es-ES"/>
        </w:rPr>
        <w:t xml:space="preserve"> 2016a</w:t>
      </w:r>
      <w:r w:rsidR="00D8022C" w:rsidRPr="002261B9">
        <w:rPr>
          <w:lang w:val="es-ES"/>
        </w:rPr>
        <w:t>)</w:t>
      </w:r>
      <w:r w:rsidRPr="002261B9">
        <w:rPr>
          <w:lang w:val="es-ES"/>
        </w:rPr>
        <w:t>.</w:t>
      </w:r>
    </w:p>
    <w:p w14:paraId="629D3BB6" w14:textId="7D891B37" w:rsidR="00F33EA6" w:rsidRPr="002261B9" w:rsidRDefault="000510B8" w:rsidP="00F45508">
      <w:pPr>
        <w:pStyle w:val="Paralevel1"/>
        <w:numPr>
          <w:ilvl w:val="0"/>
          <w:numId w:val="23"/>
        </w:numPr>
        <w:tabs>
          <w:tab w:val="clear" w:pos="0"/>
        </w:tabs>
        <w:ind w:left="1247" w:firstLine="0"/>
        <w:rPr>
          <w:lang w:val="es-ES"/>
        </w:rPr>
      </w:pPr>
      <w:r w:rsidRPr="002261B9">
        <w:rPr>
          <w:lang w:val="es-ES"/>
        </w:rPr>
        <w:t xml:space="preserve">En el Canadá, se utiliza la monitorización en entornos ambientales y en la biota para evaluar la eficacia de los controles de la gestión de los riesgos y medir los progresos alcanzados en la eliminación del PFOA en el medio ambiente de ese país. Además, la monitorización del PFOA se lleva a cabo como parte del </w:t>
      </w:r>
      <w:r w:rsidRPr="002261B9">
        <w:rPr>
          <w:iCs/>
          <w:lang w:val="es-ES"/>
        </w:rPr>
        <w:t>Northern Contaminants Program</w:t>
      </w:r>
      <w:r w:rsidR="00507CAD" w:rsidRPr="002261B9">
        <w:rPr>
          <w:i/>
          <w:iCs/>
          <w:lang w:val="es-ES"/>
        </w:rPr>
        <w:t xml:space="preserve"> </w:t>
      </w:r>
      <w:r w:rsidR="00507CAD" w:rsidRPr="002261B9">
        <w:rPr>
          <w:iCs/>
          <w:lang w:val="es-ES"/>
        </w:rPr>
        <w:t>(</w:t>
      </w:r>
      <w:r w:rsidR="00507CAD" w:rsidRPr="002261B9">
        <w:rPr>
          <w:lang w:val="es-ES"/>
        </w:rPr>
        <w:t>Programa de Contaminantes del Norte)</w:t>
      </w:r>
      <w:r w:rsidRPr="002261B9">
        <w:rPr>
          <w:lang w:val="es-ES"/>
        </w:rPr>
        <w:t xml:space="preserve">, que se estableció en 1991 atendiendo al interés suscitado por la exposición de los seres humanos a niveles elevados de contaminantes en especies silvestres que son importantes para la dieta tradicional </w:t>
      </w:r>
      <w:r w:rsidRPr="002261B9">
        <w:rPr>
          <w:lang w:val="es-ES"/>
        </w:rPr>
        <w:lastRenderedPageBreak/>
        <w:t>de los pueblos aborígenes del norte (NCP</w:t>
      </w:r>
      <w:r w:rsidR="000A45EB" w:rsidRPr="002261B9">
        <w:rPr>
          <w:lang w:val="es-ES"/>
        </w:rPr>
        <w:t>,</w:t>
      </w:r>
      <w:r w:rsidRPr="002261B9">
        <w:rPr>
          <w:lang w:val="es-ES"/>
        </w:rPr>
        <w:t xml:space="preserve"> 2013)</w:t>
      </w:r>
      <w:r w:rsidRPr="002261B9">
        <w:rPr>
          <w:rStyle w:val="FootnoteReference"/>
          <w:lang w:val="es-ES"/>
        </w:rPr>
        <w:footnoteReference w:id="30"/>
      </w:r>
      <w:r w:rsidR="00CE110B" w:rsidRPr="002261B9">
        <w:rPr>
          <w:lang w:val="es-ES"/>
        </w:rPr>
        <w:t>.</w:t>
      </w:r>
      <w:r w:rsidRPr="002261B9">
        <w:rPr>
          <w:lang w:val="es-ES"/>
        </w:rPr>
        <w:t xml:space="preserve"> </w:t>
      </w:r>
      <w:r w:rsidR="00CE110B" w:rsidRPr="002261B9">
        <w:rPr>
          <w:lang w:val="es-ES"/>
        </w:rPr>
        <w:t>Durante el período comprendido entre 2007 y</w:t>
      </w:r>
      <w:r w:rsidR="00AA0081" w:rsidRPr="002261B9">
        <w:rPr>
          <w:lang w:val="es-ES"/>
        </w:rPr>
        <w:t> </w:t>
      </w:r>
      <w:r w:rsidR="00CE110B" w:rsidRPr="002261B9">
        <w:rPr>
          <w:lang w:val="es-ES"/>
        </w:rPr>
        <w:t>2015, las concentraciones medias de PFAS (peso húmedo) en el hígado estaban integradas invariablemente por PFOS y ΣPFCA (bajos niveles de PFOA, pero en su mayoría PFCA de C</w:t>
      </w:r>
      <w:r w:rsidR="00CE110B" w:rsidRPr="002261B9">
        <w:rPr>
          <w:vertAlign w:val="subscript"/>
          <w:lang w:val="es-ES"/>
        </w:rPr>
        <w:t>9</w:t>
      </w:r>
      <w:r w:rsidR="00CE110B" w:rsidRPr="002261B9">
        <w:rPr>
          <w:lang w:val="es-ES"/>
        </w:rPr>
        <w:t>, C</w:t>
      </w:r>
      <w:r w:rsidR="00CE110B" w:rsidRPr="002261B9">
        <w:rPr>
          <w:vertAlign w:val="subscript"/>
          <w:lang w:val="es-ES"/>
        </w:rPr>
        <w:t>10</w:t>
      </w:r>
      <w:r w:rsidR="00CE110B" w:rsidRPr="002261B9">
        <w:rPr>
          <w:lang w:val="es-ES"/>
        </w:rPr>
        <w:t xml:space="preserve"> y C</w:t>
      </w:r>
      <w:r w:rsidR="00CE110B" w:rsidRPr="002261B9">
        <w:rPr>
          <w:vertAlign w:val="subscript"/>
          <w:lang w:val="es-ES"/>
        </w:rPr>
        <w:t>11</w:t>
      </w:r>
      <w:r w:rsidR="00CE110B" w:rsidRPr="002261B9">
        <w:rPr>
          <w:lang w:val="es-ES"/>
        </w:rPr>
        <w:t xml:space="preserve">). En todo momento la cantidad de PFOS fue superior a la de ΣPFCA, y se registró invariablemente a niveles de ppm, aunque más elevados entre los osos del sur de la Bahía de Hudson que entre los osos del oeste de la Bahía de Hudson. </w:t>
      </w:r>
      <w:r w:rsidR="00507CAD" w:rsidRPr="002261B9">
        <w:rPr>
          <w:lang w:val="es-ES"/>
        </w:rPr>
        <w:t>En ambos casos n</w:t>
      </w:r>
      <w:r w:rsidR="00CE110B" w:rsidRPr="002261B9">
        <w:rPr>
          <w:lang w:val="es-ES"/>
        </w:rPr>
        <w:t>o se observaron tendencias evidentes a un aumento o disminución de los ΣPFCA y del PFOS</w:t>
      </w:r>
      <w:r w:rsidRPr="002261B9">
        <w:rPr>
          <w:rStyle w:val="FootnoteReference"/>
          <w:lang w:val="es-ES"/>
        </w:rPr>
        <w:footnoteReference w:id="31"/>
      </w:r>
      <w:r w:rsidR="00CE110B" w:rsidRPr="002261B9">
        <w:rPr>
          <w:lang w:val="es-ES"/>
        </w:rPr>
        <w:t>.</w:t>
      </w:r>
    </w:p>
    <w:p w14:paraId="45089F4A" w14:textId="737321B6" w:rsidR="00A70703" w:rsidRPr="002261B9" w:rsidRDefault="00B04DD6" w:rsidP="00F45508">
      <w:pPr>
        <w:pStyle w:val="Paralevel1"/>
        <w:numPr>
          <w:ilvl w:val="0"/>
          <w:numId w:val="23"/>
        </w:numPr>
        <w:tabs>
          <w:tab w:val="clear" w:pos="0"/>
        </w:tabs>
        <w:ind w:left="1247" w:firstLine="0"/>
        <w:rPr>
          <w:lang w:val="es-ES"/>
        </w:rPr>
      </w:pPr>
      <w:r w:rsidRPr="002261B9">
        <w:rPr>
          <w:lang w:val="es-ES"/>
        </w:rPr>
        <w:t>Los PFAS, entre ellos el PFOA, son parte de la monitorización del medio acuático en Dinamarca. En el período comprendido e</w:t>
      </w:r>
      <w:r w:rsidR="00CE110B" w:rsidRPr="002261B9">
        <w:rPr>
          <w:lang w:val="es-ES"/>
        </w:rPr>
        <w:t>ntre 2008 y 2013, se incluyeron</w:t>
      </w:r>
      <w:r w:rsidRPr="002261B9">
        <w:rPr>
          <w:lang w:val="es-ES"/>
        </w:rPr>
        <w:t xml:space="preserve"> los PFAS en la monitorización de fuentes puntuales, así como de cursos de agua, lagos y zonas marinas. El PFOS y el PFOA son los PFAS que con más frecuencia </w:t>
      </w:r>
      <w:r w:rsidR="00CE110B" w:rsidRPr="002261B9">
        <w:rPr>
          <w:lang w:val="es-ES"/>
        </w:rPr>
        <w:t xml:space="preserve">se detectan </w:t>
      </w:r>
      <w:r w:rsidRPr="002261B9">
        <w:rPr>
          <w:lang w:val="es-ES"/>
        </w:rPr>
        <w:t xml:space="preserve">en los cursos de agua y uno de los compuestos que con más frecuencia se detectan en los efluentes de las plantas de tratamiento de aguas residuales. </w:t>
      </w:r>
      <w:r w:rsidR="00CE110B" w:rsidRPr="002261B9">
        <w:rPr>
          <w:lang w:val="es-ES"/>
        </w:rPr>
        <w:t>Las concentraciones más altas se detectan tanto en los cursos de agua como en los efluentes</w:t>
      </w:r>
      <w:r w:rsidRPr="002261B9">
        <w:rPr>
          <w:lang w:val="es-ES"/>
        </w:rPr>
        <w:t xml:space="preserve"> (Dinamarca</w:t>
      </w:r>
      <w:r w:rsidR="000A45EB" w:rsidRPr="002261B9">
        <w:rPr>
          <w:lang w:val="es-ES"/>
        </w:rPr>
        <w:t>,</w:t>
      </w:r>
      <w:r w:rsidRPr="002261B9">
        <w:rPr>
          <w:lang w:val="es-ES"/>
        </w:rPr>
        <w:t xml:space="preserve"> 2016</w:t>
      </w:r>
      <w:r w:rsidR="00D8022C" w:rsidRPr="002261B9">
        <w:rPr>
          <w:lang w:val="es-ES"/>
        </w:rPr>
        <w:t>)</w:t>
      </w:r>
      <w:r w:rsidRPr="002261B9">
        <w:rPr>
          <w:lang w:val="es-ES"/>
        </w:rPr>
        <w:t>.</w:t>
      </w:r>
    </w:p>
    <w:p w14:paraId="76D3C27B" w14:textId="15CA3E08" w:rsidR="00C20356" w:rsidRPr="002261B9" w:rsidRDefault="00C20356" w:rsidP="00F45508">
      <w:pPr>
        <w:pStyle w:val="Paralevel1"/>
        <w:numPr>
          <w:ilvl w:val="0"/>
          <w:numId w:val="23"/>
        </w:numPr>
        <w:tabs>
          <w:tab w:val="clear" w:pos="0"/>
        </w:tabs>
        <w:ind w:left="1247" w:firstLine="0"/>
        <w:rPr>
          <w:lang w:val="es-ES"/>
        </w:rPr>
      </w:pPr>
      <w:r w:rsidRPr="002261B9">
        <w:rPr>
          <w:lang w:val="es-ES"/>
        </w:rPr>
        <w:t>Los PFAS, entre ellos el PFOA, se han incluido en el Programa de Vigilancia del Medio Ambiente de Suecia</w:t>
      </w:r>
      <w:r w:rsidR="00122D2B" w:rsidRPr="002261B9">
        <w:rPr>
          <w:vertAlign w:val="superscript"/>
          <w:lang w:val="es-ES"/>
        </w:rPr>
        <w:footnoteReference w:id="32"/>
      </w:r>
      <w:r w:rsidRPr="002261B9">
        <w:rPr>
          <w:lang w:val="es-ES"/>
        </w:rPr>
        <w:t xml:space="preserve"> y en el programa de monitorización conexa de la salud de Suecia</w:t>
      </w:r>
      <w:r w:rsidR="00122D2B" w:rsidRPr="002261B9">
        <w:rPr>
          <w:vertAlign w:val="superscript"/>
          <w:lang w:val="es-ES"/>
        </w:rPr>
        <w:footnoteReference w:id="33"/>
      </w:r>
      <w:r w:rsidRPr="002261B9">
        <w:rPr>
          <w:lang w:val="es-ES"/>
        </w:rPr>
        <w:t xml:space="preserve"> (</w:t>
      </w:r>
      <w:r w:rsidR="007F0459" w:rsidRPr="002261B9">
        <w:rPr>
          <w:lang w:val="es-ES"/>
        </w:rPr>
        <w:t>Observaciones</w:t>
      </w:r>
      <w:r w:rsidRPr="002261B9">
        <w:rPr>
          <w:lang w:val="es-ES"/>
        </w:rPr>
        <w:t xml:space="preserve"> de Suecia sobre el segundo proyecto de evaluación de la gestión de los riesgos). El PFOA y otros compuestos perfluorados son también objeto de monitorización en </w:t>
      </w:r>
      <w:r w:rsidR="00255BB8" w:rsidRPr="002261B9">
        <w:rPr>
          <w:lang w:val="es-ES"/>
        </w:rPr>
        <w:t xml:space="preserve">humanos en </w:t>
      </w:r>
      <w:r w:rsidRPr="002261B9">
        <w:rPr>
          <w:lang w:val="es-ES"/>
        </w:rPr>
        <w:t xml:space="preserve">el Canadá, por ejemplo, en el marco del </w:t>
      </w:r>
      <w:r w:rsidR="00255BB8" w:rsidRPr="002261B9">
        <w:rPr>
          <w:lang w:val="es-ES"/>
        </w:rPr>
        <w:t>programa Northern Contaminants Program</w:t>
      </w:r>
      <w:bookmarkStart w:id="81" w:name="_DV_C1049"/>
      <w:r w:rsidR="00255BB8" w:rsidRPr="002261B9">
        <w:rPr>
          <w:rStyle w:val="DeltaViewInsertion"/>
          <w:color w:val="auto"/>
          <w:u w:val="none"/>
          <w:lang w:val="es-ES"/>
        </w:rPr>
        <w:t xml:space="preserve">, Canadian Health Measures Survey and Canadian Maternal-Infant Research on Environmental </w:t>
      </w:r>
      <w:bookmarkEnd w:id="81"/>
      <w:r w:rsidR="002748F8" w:rsidRPr="002261B9">
        <w:rPr>
          <w:rStyle w:val="DeltaViewInsertion"/>
          <w:color w:val="auto"/>
          <w:u w:val="none"/>
          <w:lang w:val="es-ES"/>
        </w:rPr>
        <w:t>Chemicals.</w:t>
      </w:r>
    </w:p>
    <w:p w14:paraId="34D8D867" w14:textId="77777777" w:rsidR="00816F81" w:rsidRPr="002261B9" w:rsidRDefault="00816F81" w:rsidP="00F45508">
      <w:pPr>
        <w:pStyle w:val="Paralevel1"/>
        <w:numPr>
          <w:ilvl w:val="0"/>
          <w:numId w:val="23"/>
        </w:numPr>
        <w:tabs>
          <w:tab w:val="clear" w:pos="0"/>
        </w:tabs>
        <w:ind w:left="1247" w:firstLine="0"/>
        <w:rPr>
          <w:lang w:val="es-ES"/>
        </w:rPr>
      </w:pPr>
      <w:r w:rsidRPr="002261B9">
        <w:rPr>
          <w:lang w:val="es-ES"/>
        </w:rPr>
        <w:t xml:space="preserve">Se monitorizan los PFAS, en particular el PFOA, en muestras de sangre humana y en la orina de niños y adultos jóvenes. En el Estudio Ambiental de Alemania (GerES V) se generan datos para el período 2014-2017, los PFAS son solo una parte del estudio. En el estudio también se examinan las fuentes de contaminantes como el aire </w:t>
      </w:r>
      <w:r w:rsidR="00B91F3C" w:rsidRPr="002261B9">
        <w:rPr>
          <w:lang w:val="es-ES"/>
        </w:rPr>
        <w:t>en interiores y el agua potable</w:t>
      </w:r>
      <w:r w:rsidR="005E4BCF" w:rsidRPr="002261B9">
        <w:rPr>
          <w:rStyle w:val="FootnoteReference"/>
          <w:lang w:val="es-ES"/>
        </w:rPr>
        <w:footnoteReference w:id="34"/>
      </w:r>
      <w:r w:rsidR="00B91F3C" w:rsidRPr="002261B9">
        <w:rPr>
          <w:lang w:val="es-ES"/>
        </w:rPr>
        <w:t>.</w:t>
      </w:r>
    </w:p>
    <w:p w14:paraId="7DF2BAA9" w14:textId="72F58BDF" w:rsidR="00BE4AB6" w:rsidRPr="002261B9" w:rsidRDefault="00BE4AB6" w:rsidP="00F45508">
      <w:pPr>
        <w:pStyle w:val="Paralevel1"/>
        <w:numPr>
          <w:ilvl w:val="0"/>
          <w:numId w:val="23"/>
        </w:numPr>
        <w:tabs>
          <w:tab w:val="clear" w:pos="0"/>
        </w:tabs>
        <w:ind w:left="1247" w:firstLine="0"/>
        <w:rPr>
          <w:lang w:val="es-ES"/>
        </w:rPr>
      </w:pPr>
      <w:r w:rsidRPr="002261B9">
        <w:rPr>
          <w:lang w:val="es-ES"/>
        </w:rPr>
        <w:t xml:space="preserve">Muchos países carecen de capacidad para determinar los productos y desechos que contienen PFOA, sus sales y compuestos conexos del PFOA, así como para detectar su presencia en diferentes matrices ambientales. Esta circunstancia debe tomarse en consideración </w:t>
      </w:r>
      <w:r w:rsidR="00507CAD" w:rsidRPr="002261B9">
        <w:rPr>
          <w:lang w:val="es-ES"/>
        </w:rPr>
        <w:t xml:space="preserve">al examinar </w:t>
      </w:r>
      <w:r w:rsidRPr="002261B9">
        <w:rPr>
          <w:lang w:val="es-ES"/>
        </w:rPr>
        <w:t>el cumplimiento de las obligaciones establecidas en el Convenio porque esa falta de capacidad impide establecer inventarios, detectar los desechos pertinentes y encargarse de la monitorización correspondiente. Por este motivo, se recomienda llevar a cabo proyectos experimentales que permitan demostrar cuáles son las medidas que se deben adoptar para lograr el cumplimiento efectivo</w:t>
      </w:r>
      <w:r w:rsidR="00255BB8" w:rsidRPr="002261B9">
        <w:rPr>
          <w:lang w:val="es-ES"/>
        </w:rPr>
        <w:t xml:space="preserve"> (Observaciones de Colombia en relación con el segundo proyecto de evaluación de la gestión de los riesgos)</w:t>
      </w:r>
      <w:r w:rsidRPr="002261B9">
        <w:rPr>
          <w:lang w:val="es-ES"/>
        </w:rPr>
        <w:t>.</w:t>
      </w:r>
    </w:p>
    <w:p w14:paraId="63EFDE07" w14:textId="243155F2" w:rsidR="007978FE" w:rsidRPr="002261B9" w:rsidRDefault="00A70703" w:rsidP="00F45508">
      <w:pPr>
        <w:pStyle w:val="Paralevel1"/>
        <w:numPr>
          <w:ilvl w:val="0"/>
          <w:numId w:val="23"/>
        </w:numPr>
        <w:tabs>
          <w:tab w:val="clear" w:pos="0"/>
        </w:tabs>
        <w:ind w:left="1247" w:firstLine="0"/>
        <w:rPr>
          <w:lang w:val="es-ES"/>
        </w:rPr>
      </w:pPr>
      <w:r w:rsidRPr="002261B9">
        <w:rPr>
          <w:lang w:val="es-ES"/>
        </w:rPr>
        <w:t>Según la comunicación de</w:t>
      </w:r>
      <w:r w:rsidR="00A746A7" w:rsidRPr="002261B9">
        <w:rPr>
          <w:lang w:val="es-ES"/>
        </w:rPr>
        <w:t xml:space="preserve"> </w:t>
      </w:r>
      <w:r w:rsidRPr="002261B9">
        <w:rPr>
          <w:lang w:val="es-ES"/>
        </w:rPr>
        <w:t>l</w:t>
      </w:r>
      <w:r w:rsidR="00A746A7" w:rsidRPr="002261B9">
        <w:rPr>
          <w:lang w:val="es-ES"/>
        </w:rPr>
        <w:t>a</w:t>
      </w:r>
      <w:r w:rsidRPr="002261B9">
        <w:rPr>
          <w:lang w:val="es-ES"/>
        </w:rPr>
        <w:t xml:space="preserve"> </w:t>
      </w:r>
      <w:r w:rsidR="00946899" w:rsidRPr="002261B9">
        <w:rPr>
          <w:lang w:val="es-ES"/>
        </w:rPr>
        <w:t>Red de Eliminación de COP</w:t>
      </w:r>
      <w:r w:rsidRPr="002261B9">
        <w:rPr>
          <w:lang w:val="es-ES"/>
        </w:rPr>
        <w:t xml:space="preserve"> sobre el anexo F, muchos países carecen de la infraestructura necesaria para la debida monitorización de la producción y el uso del PFOA (</w:t>
      </w:r>
      <w:r w:rsidR="00946899" w:rsidRPr="002261B9">
        <w:rPr>
          <w:lang w:val="es-ES"/>
        </w:rPr>
        <w:t>Red de Eliminación de COP</w:t>
      </w:r>
      <w:r w:rsidR="000A45EB" w:rsidRPr="002261B9">
        <w:rPr>
          <w:lang w:val="es-ES"/>
        </w:rPr>
        <w:t>,</w:t>
      </w:r>
      <w:r w:rsidRPr="002261B9">
        <w:rPr>
          <w:lang w:val="es-ES"/>
        </w:rPr>
        <w:t xml:space="preserve"> 2016.</w:t>
      </w:r>
    </w:p>
    <w:p w14:paraId="04259D78" w14:textId="24BABD27" w:rsidR="00C151FB" w:rsidRPr="002261B9" w:rsidRDefault="00134123" w:rsidP="00955D10">
      <w:pPr>
        <w:pStyle w:val="Heading1"/>
        <w:keepLines/>
        <w:pageBreakBefore w:val="0"/>
        <w:tabs>
          <w:tab w:val="left" w:pos="624"/>
        </w:tabs>
        <w:spacing w:before="240" w:line="240" w:lineRule="auto"/>
        <w:ind w:left="1248" w:hanging="624"/>
        <w:jc w:val="left"/>
        <w:rPr>
          <w:rFonts w:ascii="Times New Roman" w:hAnsi="Times New Roman"/>
          <w:sz w:val="24"/>
          <w:szCs w:val="24"/>
          <w:lang w:val="es-ES"/>
        </w:rPr>
      </w:pPr>
      <w:bookmarkStart w:id="82" w:name="_Toc501099218"/>
      <w:r w:rsidRPr="002261B9">
        <w:rPr>
          <w:rFonts w:ascii="Times New Roman" w:hAnsi="Times New Roman"/>
          <w:sz w:val="24"/>
          <w:szCs w:val="24"/>
          <w:lang w:val="es-ES"/>
        </w:rPr>
        <w:t>3</w:t>
      </w:r>
      <w:r w:rsidRPr="002261B9">
        <w:rPr>
          <w:rFonts w:ascii="Times New Roman" w:hAnsi="Times New Roman"/>
          <w:sz w:val="24"/>
          <w:szCs w:val="24"/>
          <w:lang w:val="es-ES"/>
        </w:rPr>
        <w:tab/>
      </w:r>
      <w:r w:rsidR="00C151FB" w:rsidRPr="002261B9">
        <w:rPr>
          <w:rFonts w:ascii="Times New Roman" w:hAnsi="Times New Roman"/>
          <w:sz w:val="24"/>
          <w:szCs w:val="24"/>
          <w:lang w:val="es-ES"/>
        </w:rPr>
        <w:t>Síntesis de la información</w:t>
      </w:r>
      <w:bookmarkEnd w:id="82"/>
    </w:p>
    <w:p w14:paraId="3216BFCA" w14:textId="3B22DE7C" w:rsidR="00450289" w:rsidRPr="002261B9" w:rsidRDefault="00134123" w:rsidP="00955D10">
      <w:pPr>
        <w:pStyle w:val="Heading2"/>
        <w:keepLines/>
        <w:tabs>
          <w:tab w:val="num" w:pos="567"/>
          <w:tab w:val="left" w:pos="624"/>
          <w:tab w:val="left" w:pos="1247"/>
          <w:tab w:val="left" w:pos="1440"/>
        </w:tabs>
        <w:spacing w:before="240" w:after="120" w:line="240" w:lineRule="auto"/>
        <w:ind w:left="1248" w:hanging="624"/>
        <w:jc w:val="left"/>
        <w:rPr>
          <w:rFonts w:ascii="Times New Roman" w:hAnsi="Times New Roman"/>
          <w:sz w:val="24"/>
          <w:szCs w:val="24"/>
          <w:lang w:val="es-ES"/>
        </w:rPr>
      </w:pPr>
      <w:bookmarkStart w:id="83" w:name="_Toc501099219"/>
      <w:r w:rsidRPr="002261B9">
        <w:rPr>
          <w:rFonts w:ascii="Times New Roman" w:hAnsi="Times New Roman"/>
          <w:sz w:val="24"/>
          <w:szCs w:val="24"/>
          <w:lang w:val="es-ES"/>
        </w:rPr>
        <w:t>3.1</w:t>
      </w:r>
      <w:r w:rsidRPr="002261B9">
        <w:rPr>
          <w:rFonts w:ascii="Times New Roman" w:hAnsi="Times New Roman"/>
          <w:sz w:val="24"/>
          <w:szCs w:val="24"/>
          <w:lang w:val="es-ES"/>
        </w:rPr>
        <w:tab/>
      </w:r>
      <w:r w:rsidR="006E39A8" w:rsidRPr="002261B9">
        <w:rPr>
          <w:rFonts w:ascii="Times New Roman" w:hAnsi="Times New Roman"/>
          <w:sz w:val="24"/>
          <w:szCs w:val="24"/>
          <w:lang w:val="es-ES"/>
        </w:rPr>
        <w:t>Resumen de la información sobre el perfil de riesgo</w:t>
      </w:r>
      <w:bookmarkEnd w:id="83"/>
    </w:p>
    <w:p w14:paraId="2DC86EE4" w14:textId="77777777" w:rsidR="00450289" w:rsidRPr="002261B9" w:rsidRDefault="00450289" w:rsidP="00F45508">
      <w:pPr>
        <w:pStyle w:val="Paralevel1"/>
        <w:numPr>
          <w:ilvl w:val="0"/>
          <w:numId w:val="23"/>
        </w:numPr>
        <w:tabs>
          <w:tab w:val="clear" w:pos="0"/>
        </w:tabs>
        <w:ind w:left="1247" w:firstLine="0"/>
        <w:rPr>
          <w:lang w:val="es-ES"/>
        </w:rPr>
      </w:pPr>
      <w:r w:rsidRPr="002261B9">
        <w:rPr>
          <w:lang w:val="es-ES"/>
        </w:rPr>
        <w:t>El PFOA es persistente, bioacumulativo y tóxico para los animales, incluidos los seres humanos. Existe una amplia presencia del PF</w:t>
      </w:r>
      <w:r w:rsidR="001B7458" w:rsidRPr="002261B9">
        <w:rPr>
          <w:lang w:val="es-ES"/>
        </w:rPr>
        <w:t xml:space="preserve">OA y los compuestos conexos de </w:t>
      </w:r>
      <w:r w:rsidR="00D8022C" w:rsidRPr="002261B9">
        <w:rPr>
          <w:lang w:val="es-ES"/>
        </w:rPr>
        <w:t>e</w:t>
      </w:r>
      <w:r w:rsidRPr="002261B9">
        <w:rPr>
          <w:lang w:val="es-ES"/>
        </w:rPr>
        <w:t>ste en compartimentos ambientales, así como en la biota y los seres humanos. Por ende, se ha llegado a la conclusión de que probablemente el PFOA, sus sales y compuestos conexos que degradan a PFOA, como resultado de su transporte a larga distancia en el medio ambiente, surt</w:t>
      </w:r>
      <w:r w:rsidR="00D8022C" w:rsidRPr="002261B9">
        <w:rPr>
          <w:lang w:val="es-ES"/>
        </w:rPr>
        <w:t>e</w:t>
      </w:r>
      <w:r w:rsidRPr="002261B9">
        <w:rPr>
          <w:lang w:val="es-ES"/>
        </w:rPr>
        <w:t>n importantes efectos tan perjudiciales en la salud humana, el medio ambiente o ambos, que justifi</w:t>
      </w:r>
      <w:r w:rsidR="00D8022C" w:rsidRPr="002261B9">
        <w:rPr>
          <w:lang w:val="es-ES"/>
        </w:rPr>
        <w:t>ca</w:t>
      </w:r>
      <w:r w:rsidRPr="002261B9">
        <w:rPr>
          <w:lang w:val="es-ES"/>
        </w:rPr>
        <w:t>n la adopción de medidas a nivel mundial (UNEP/POPS/POPRC.12/11/Add.2),</w:t>
      </w:r>
    </w:p>
    <w:p w14:paraId="7D52F7BE" w14:textId="09A10393" w:rsidR="008A4DB2" w:rsidRPr="002261B9" w:rsidRDefault="008A4DB2" w:rsidP="00F45508">
      <w:pPr>
        <w:pStyle w:val="Paralevel1"/>
        <w:numPr>
          <w:ilvl w:val="0"/>
          <w:numId w:val="23"/>
        </w:numPr>
        <w:tabs>
          <w:tab w:val="clear" w:pos="0"/>
        </w:tabs>
        <w:ind w:left="1247" w:firstLine="0"/>
        <w:rPr>
          <w:lang w:val="es-ES"/>
        </w:rPr>
      </w:pPr>
      <w:r w:rsidRPr="002261B9">
        <w:rPr>
          <w:lang w:val="es-ES"/>
        </w:rPr>
        <w:t xml:space="preserve">Es difícil </w:t>
      </w:r>
      <w:r w:rsidR="007762CC" w:rsidRPr="002261B9">
        <w:rPr>
          <w:lang w:val="es-ES"/>
        </w:rPr>
        <w:t>hacer un pronóstico acertado de</w:t>
      </w:r>
      <w:r w:rsidR="005B3A56" w:rsidRPr="002261B9">
        <w:rPr>
          <w:lang w:val="es-ES"/>
        </w:rPr>
        <w:t xml:space="preserve"> cuáles son los usos es</w:t>
      </w:r>
      <w:r w:rsidRPr="002261B9">
        <w:rPr>
          <w:lang w:val="es-ES"/>
        </w:rPr>
        <w:t xml:space="preserve">pecíficos y las consiguientes liberaciones que más contribuyen al riesgo, sobre todo debido a la amplia diversidad de posibles fuentes y a que se carece de información detallada sobre la mayoría de ellas. Se considera que las </w:t>
      </w:r>
      <w:r w:rsidRPr="002261B9">
        <w:rPr>
          <w:lang w:val="es-ES"/>
        </w:rPr>
        <w:lastRenderedPageBreak/>
        <w:t>posibles fuentes de PFOA son el uso de polímeros fluorados de cadena lateral en general, y específicamente su utilización en el sector textil</w:t>
      </w:r>
      <w:r w:rsidR="00255BB8" w:rsidRPr="002261B9">
        <w:rPr>
          <w:lang w:val="es-ES"/>
        </w:rPr>
        <w:t xml:space="preserve"> y en la fabricación de fluoropolímeros</w:t>
      </w:r>
      <w:r w:rsidRPr="002261B9">
        <w:rPr>
          <w:lang w:val="es-ES"/>
        </w:rPr>
        <w:t>. Otras fuentes importantes parecen ser los recubrimientos y las espumas ignífugas. La información de que se dispone no permite determinar de manera definitiva los usos específicos de sustancias conexas del</w:t>
      </w:r>
      <w:r w:rsidR="00284890" w:rsidRPr="002261B9">
        <w:rPr>
          <w:lang w:val="es-ES"/>
        </w:rPr>
        <w:t xml:space="preserve"> </w:t>
      </w:r>
      <w:r w:rsidRPr="002261B9">
        <w:rPr>
          <w:lang w:val="es-ES"/>
        </w:rPr>
        <w:t>PFOA que no contribuirán a las emisiones de PFOA.</w:t>
      </w:r>
    </w:p>
    <w:p w14:paraId="72F728D5" w14:textId="4AFEF413" w:rsidR="008A4DB2" w:rsidRPr="002261B9" w:rsidRDefault="005122F7" w:rsidP="00F45508">
      <w:pPr>
        <w:pStyle w:val="Paralevel1"/>
        <w:numPr>
          <w:ilvl w:val="0"/>
          <w:numId w:val="23"/>
        </w:numPr>
        <w:tabs>
          <w:tab w:val="clear" w:pos="0"/>
        </w:tabs>
        <w:ind w:left="1247" w:firstLine="0"/>
        <w:rPr>
          <w:lang w:val="es-ES"/>
        </w:rPr>
      </w:pPr>
      <w:r w:rsidRPr="002261B9">
        <w:rPr>
          <w:lang w:val="es-ES"/>
        </w:rPr>
        <w:t>Las comunicaciones presentadas en relación con el anexo E se han recopilado en un documento de antecedentes para la evaluación de la gestión de los riesgos (véase UNEP/POPS/POPRC.13/INF/6)</w:t>
      </w:r>
      <w:r w:rsidR="007762CC" w:rsidRPr="002261B9">
        <w:rPr>
          <w:lang w:val="es-ES"/>
        </w:rPr>
        <w:t>.</w:t>
      </w:r>
      <w:r w:rsidRPr="002261B9">
        <w:rPr>
          <w:lang w:val="es-ES"/>
        </w:rPr>
        <w:t xml:space="preserve"> En el perfil de riesgo se aportan otros datos disponibles sobre la producción, los usos y las liberaciones (UNEP/POPS/POPRC.12/11/Add.2)</w:t>
      </w:r>
      <w:r w:rsidR="00134123" w:rsidRPr="002261B9">
        <w:rPr>
          <w:lang w:val="es-ES"/>
        </w:rPr>
        <w:t>.</w:t>
      </w:r>
    </w:p>
    <w:p w14:paraId="629AAEF0" w14:textId="16BDB9CA" w:rsidR="00294EE9" w:rsidRPr="002261B9" w:rsidRDefault="00294EE9" w:rsidP="00955D10">
      <w:pPr>
        <w:pStyle w:val="Heading2"/>
        <w:tabs>
          <w:tab w:val="num" w:pos="567"/>
          <w:tab w:val="left" w:pos="624"/>
          <w:tab w:val="left" w:pos="1247"/>
          <w:tab w:val="left" w:pos="1440"/>
        </w:tabs>
        <w:spacing w:before="240" w:after="120" w:line="240" w:lineRule="auto"/>
        <w:ind w:left="1248" w:hanging="624"/>
        <w:jc w:val="left"/>
        <w:rPr>
          <w:rFonts w:ascii="Times New Roman" w:hAnsi="Times New Roman"/>
          <w:sz w:val="24"/>
          <w:szCs w:val="24"/>
          <w:lang w:val="es-ES"/>
        </w:rPr>
      </w:pPr>
      <w:bookmarkStart w:id="84" w:name="_Toc501099220"/>
      <w:r w:rsidRPr="002261B9">
        <w:rPr>
          <w:rFonts w:ascii="Times New Roman" w:hAnsi="Times New Roman"/>
          <w:sz w:val="24"/>
          <w:szCs w:val="24"/>
          <w:lang w:val="es-ES"/>
        </w:rPr>
        <w:t>3.2</w:t>
      </w:r>
      <w:r w:rsidRPr="002261B9">
        <w:rPr>
          <w:rFonts w:ascii="Times New Roman" w:hAnsi="Times New Roman"/>
          <w:sz w:val="24"/>
          <w:szCs w:val="24"/>
          <w:lang w:val="es-ES"/>
        </w:rPr>
        <w:tab/>
        <w:t>Resumen de la información sobre la evaluación de la gestión de los riesgos</w:t>
      </w:r>
      <w:bookmarkEnd w:id="84"/>
    </w:p>
    <w:p w14:paraId="087C220F" w14:textId="51E3FADA" w:rsidR="00686053" w:rsidRPr="002261B9" w:rsidRDefault="009321C2" w:rsidP="00F45508">
      <w:pPr>
        <w:pStyle w:val="Paralevel1"/>
        <w:numPr>
          <w:ilvl w:val="0"/>
          <w:numId w:val="23"/>
        </w:numPr>
        <w:tabs>
          <w:tab w:val="clear" w:pos="0"/>
        </w:tabs>
        <w:ind w:left="1247" w:firstLine="0"/>
        <w:rPr>
          <w:lang w:val="es-ES"/>
        </w:rPr>
      </w:pPr>
      <w:r w:rsidRPr="002261B9">
        <w:rPr>
          <w:lang w:val="es-ES"/>
        </w:rPr>
        <w:t xml:space="preserve">La restricción o prohibición del </w:t>
      </w:r>
      <w:r w:rsidR="00E03EE8" w:rsidRPr="002261B9">
        <w:rPr>
          <w:lang w:val="es-ES"/>
        </w:rPr>
        <w:t xml:space="preserve">PFOA, </w:t>
      </w:r>
      <w:r w:rsidR="00E64629" w:rsidRPr="002261B9">
        <w:rPr>
          <w:lang w:val="es-ES"/>
        </w:rPr>
        <w:t>sus sales y</w:t>
      </w:r>
      <w:r w:rsidR="00E03EE8" w:rsidRPr="002261B9">
        <w:rPr>
          <w:lang w:val="es-ES"/>
        </w:rPr>
        <w:t xml:space="preserve"> </w:t>
      </w:r>
      <w:r w:rsidR="00E61FF0" w:rsidRPr="002261B9">
        <w:rPr>
          <w:lang w:val="es-ES"/>
        </w:rPr>
        <w:t>los compues</w:t>
      </w:r>
      <w:r w:rsidRPr="002261B9">
        <w:rPr>
          <w:lang w:val="es-ES"/>
        </w:rPr>
        <w:t>t</w:t>
      </w:r>
      <w:r w:rsidR="00E61FF0" w:rsidRPr="002261B9">
        <w:rPr>
          <w:lang w:val="es-ES"/>
        </w:rPr>
        <w:t>os conexos del PFOA</w:t>
      </w:r>
      <w:r w:rsidR="00E03EE8" w:rsidRPr="002261B9">
        <w:rPr>
          <w:lang w:val="es-ES"/>
        </w:rPr>
        <w:t xml:space="preserve"> </w:t>
      </w:r>
      <w:r w:rsidR="00653E71" w:rsidRPr="002261B9">
        <w:rPr>
          <w:lang w:val="es-ES"/>
        </w:rPr>
        <w:t>surtiría efectos positivos en la salud humana y el medio ambiente al disminuir las emisiones y, posteriormente, la exposición de los seres humanos y el medio ambiente</w:t>
      </w:r>
      <w:r w:rsidR="00E03EE8" w:rsidRPr="002261B9">
        <w:rPr>
          <w:lang w:val="es-ES"/>
        </w:rPr>
        <w:t>.</w:t>
      </w:r>
    </w:p>
    <w:p w14:paraId="1D335492" w14:textId="77777777" w:rsidR="00E03EE8" w:rsidRPr="002261B9" w:rsidRDefault="00E03EE8" w:rsidP="00955D10">
      <w:pPr>
        <w:spacing w:after="120"/>
        <w:ind w:left="1247"/>
        <w:rPr>
          <w:b/>
          <w:i/>
          <w:sz w:val="20"/>
          <w:szCs w:val="20"/>
          <w:lang w:val="es-ES"/>
        </w:rPr>
      </w:pPr>
      <w:r w:rsidRPr="002261B9">
        <w:rPr>
          <w:b/>
          <w:i/>
          <w:sz w:val="20"/>
          <w:szCs w:val="20"/>
          <w:lang w:val="es-ES"/>
        </w:rPr>
        <w:t>Resumen de la eficacia, la eficiencia y la disponibilidad de alternativas adecuadas</w:t>
      </w:r>
    </w:p>
    <w:p w14:paraId="55402494" w14:textId="77777777" w:rsidR="001A7EE9" w:rsidRPr="002261B9" w:rsidRDefault="009321C2" w:rsidP="00F45508">
      <w:pPr>
        <w:pStyle w:val="Paralevel1"/>
        <w:numPr>
          <w:ilvl w:val="0"/>
          <w:numId w:val="23"/>
        </w:numPr>
        <w:tabs>
          <w:tab w:val="clear" w:pos="0"/>
        </w:tabs>
        <w:ind w:left="1247" w:firstLine="0"/>
        <w:rPr>
          <w:lang w:val="es-ES"/>
        </w:rPr>
      </w:pPr>
      <w:r w:rsidRPr="002261B9">
        <w:rPr>
          <w:lang w:val="es-ES"/>
        </w:rPr>
        <w:t>E</w:t>
      </w:r>
      <w:r w:rsidR="007762CC" w:rsidRPr="002261B9">
        <w:rPr>
          <w:lang w:val="es-ES"/>
        </w:rPr>
        <w:t>n e</w:t>
      </w:r>
      <w:r w:rsidRPr="002261B9">
        <w:rPr>
          <w:lang w:val="es-ES"/>
        </w:rPr>
        <w:t xml:space="preserve">l </w:t>
      </w:r>
      <w:r w:rsidR="007762CC" w:rsidRPr="002261B9">
        <w:rPr>
          <w:lang w:val="es-ES"/>
        </w:rPr>
        <w:t xml:space="preserve">mecanismo </w:t>
      </w:r>
      <w:r w:rsidRPr="002261B9">
        <w:rPr>
          <w:lang w:val="es-ES"/>
        </w:rPr>
        <w:t xml:space="preserve">de gestión de los riesgos de la Unión Europea </w:t>
      </w:r>
      <w:r w:rsidR="007762CC" w:rsidRPr="002261B9">
        <w:rPr>
          <w:lang w:val="es-ES"/>
        </w:rPr>
        <w:t xml:space="preserve">se prevén </w:t>
      </w:r>
      <w:r w:rsidRPr="002261B9">
        <w:rPr>
          <w:lang w:val="es-ES"/>
        </w:rPr>
        <w:t>di</w:t>
      </w:r>
      <w:r w:rsidR="007762CC" w:rsidRPr="002261B9">
        <w:rPr>
          <w:lang w:val="es-ES"/>
        </w:rPr>
        <w:t>stintas</w:t>
      </w:r>
      <w:r w:rsidRPr="002261B9">
        <w:rPr>
          <w:lang w:val="es-ES"/>
        </w:rPr>
        <w:t xml:space="preserve"> exenciones</w:t>
      </w:r>
      <w:r w:rsidR="005F64B0" w:rsidRPr="002261B9">
        <w:rPr>
          <w:lang w:val="es-ES"/>
        </w:rPr>
        <w:t xml:space="preserve">. </w:t>
      </w:r>
      <w:r w:rsidRPr="002261B9">
        <w:rPr>
          <w:lang w:val="es-ES"/>
        </w:rPr>
        <w:t xml:space="preserve">El </w:t>
      </w:r>
      <w:r w:rsidR="005F64B0" w:rsidRPr="002261B9">
        <w:rPr>
          <w:lang w:val="es-ES"/>
        </w:rPr>
        <w:t>Canad</w:t>
      </w:r>
      <w:r w:rsidRPr="002261B9">
        <w:rPr>
          <w:lang w:val="es-ES"/>
        </w:rPr>
        <w:t>á</w:t>
      </w:r>
      <w:r w:rsidR="005F64B0" w:rsidRPr="002261B9">
        <w:rPr>
          <w:lang w:val="es-ES"/>
        </w:rPr>
        <w:t xml:space="preserve"> </w:t>
      </w:r>
      <w:r w:rsidRPr="002261B9">
        <w:rPr>
          <w:lang w:val="es-ES"/>
        </w:rPr>
        <w:t>y</w:t>
      </w:r>
      <w:r w:rsidR="005F64B0" w:rsidRPr="002261B9">
        <w:rPr>
          <w:lang w:val="es-ES"/>
        </w:rPr>
        <w:t xml:space="preserve"> </w:t>
      </w:r>
      <w:r w:rsidR="003F3A09" w:rsidRPr="002261B9">
        <w:rPr>
          <w:lang w:val="es-ES"/>
        </w:rPr>
        <w:t>Noruega</w:t>
      </w:r>
      <w:r w:rsidR="005F64B0" w:rsidRPr="002261B9">
        <w:rPr>
          <w:lang w:val="es-ES"/>
        </w:rPr>
        <w:t xml:space="preserve"> </w:t>
      </w:r>
      <w:r w:rsidRPr="002261B9">
        <w:rPr>
          <w:lang w:val="es-ES"/>
        </w:rPr>
        <w:t xml:space="preserve">también incluyen diversas exenciones en sus </w:t>
      </w:r>
      <w:r w:rsidR="007762CC" w:rsidRPr="002261B9">
        <w:rPr>
          <w:lang w:val="es-ES"/>
        </w:rPr>
        <w:t>mecanismos</w:t>
      </w:r>
      <w:r w:rsidRPr="002261B9">
        <w:rPr>
          <w:lang w:val="es-ES"/>
        </w:rPr>
        <w:t xml:space="preserve"> de gestión de los riesgos</w:t>
      </w:r>
      <w:r w:rsidR="00793185" w:rsidRPr="002261B9">
        <w:rPr>
          <w:lang w:val="es-ES"/>
        </w:rPr>
        <w:t xml:space="preserve">, </w:t>
      </w:r>
      <w:r w:rsidRPr="002261B9">
        <w:rPr>
          <w:lang w:val="es-ES"/>
        </w:rPr>
        <w:t xml:space="preserve">algunas de las cuales </w:t>
      </w:r>
      <w:r w:rsidR="00D8022C" w:rsidRPr="002261B9">
        <w:rPr>
          <w:lang w:val="es-ES"/>
        </w:rPr>
        <w:t>expiraron</w:t>
      </w:r>
      <w:r w:rsidR="00000AFB" w:rsidRPr="002261B9">
        <w:rPr>
          <w:lang w:val="es-ES"/>
        </w:rPr>
        <w:t xml:space="preserve"> a</w:t>
      </w:r>
      <w:r w:rsidRPr="002261B9">
        <w:rPr>
          <w:lang w:val="es-ES"/>
        </w:rPr>
        <w:t xml:space="preserve"> fin</w:t>
      </w:r>
      <w:r w:rsidR="00DE1421" w:rsidRPr="002261B9">
        <w:rPr>
          <w:lang w:val="es-ES"/>
        </w:rPr>
        <w:t>al</w:t>
      </w:r>
      <w:r w:rsidRPr="002261B9">
        <w:rPr>
          <w:lang w:val="es-ES"/>
        </w:rPr>
        <w:t xml:space="preserve">es de </w:t>
      </w:r>
      <w:r w:rsidR="00000AFB" w:rsidRPr="002261B9">
        <w:rPr>
          <w:lang w:val="es-ES"/>
        </w:rPr>
        <w:t>2016</w:t>
      </w:r>
      <w:r w:rsidR="005B1DD4" w:rsidRPr="002261B9">
        <w:rPr>
          <w:lang w:val="es-ES"/>
        </w:rPr>
        <w:t xml:space="preserve"> (</w:t>
      </w:r>
      <w:r w:rsidRPr="002261B9">
        <w:rPr>
          <w:lang w:val="es-ES"/>
        </w:rPr>
        <w:t>véase el cuadro</w:t>
      </w:r>
      <w:r w:rsidR="00A57097" w:rsidRPr="002261B9">
        <w:rPr>
          <w:lang w:val="es-ES"/>
        </w:rPr>
        <w:t xml:space="preserve"> 3</w:t>
      </w:r>
      <w:r w:rsidR="005B1DD4" w:rsidRPr="002261B9">
        <w:rPr>
          <w:lang w:val="es-ES"/>
        </w:rPr>
        <w:t>)</w:t>
      </w:r>
      <w:r w:rsidR="00C85686" w:rsidRPr="002261B9">
        <w:rPr>
          <w:lang w:val="es-ES"/>
        </w:rPr>
        <w:t>.</w:t>
      </w:r>
      <w:r w:rsidR="00000AFB" w:rsidRPr="002261B9">
        <w:rPr>
          <w:lang w:val="es-ES"/>
        </w:rPr>
        <w:t xml:space="preserve"> </w:t>
      </w:r>
    </w:p>
    <w:p w14:paraId="18C81CCE" w14:textId="7711975A" w:rsidR="001A7EE9" w:rsidRPr="002261B9" w:rsidRDefault="00306079" w:rsidP="00F45508">
      <w:pPr>
        <w:pStyle w:val="Paralevel1"/>
        <w:numPr>
          <w:ilvl w:val="0"/>
          <w:numId w:val="23"/>
        </w:numPr>
        <w:tabs>
          <w:tab w:val="clear" w:pos="0"/>
        </w:tabs>
        <w:ind w:left="1247" w:firstLine="0"/>
        <w:rPr>
          <w:lang w:val="es-ES"/>
        </w:rPr>
      </w:pPr>
      <w:r w:rsidRPr="002261B9">
        <w:rPr>
          <w:lang w:val="es-ES"/>
        </w:rPr>
        <w:t xml:space="preserve">Según la información disponible en relación con el análisis de alternativas, en estos momentos no existen </w:t>
      </w:r>
      <w:r w:rsidR="002748F8" w:rsidRPr="002261B9">
        <w:rPr>
          <w:lang w:val="es-ES"/>
        </w:rPr>
        <w:t>alternativas técnicas</w:t>
      </w:r>
      <w:r w:rsidRPr="002261B9">
        <w:rPr>
          <w:lang w:val="es-ES"/>
        </w:rPr>
        <w:t xml:space="preserve"> ni económicamente viables para algunos usos específicos en la industria de semiconductores</w:t>
      </w:r>
      <w:r w:rsidR="005F64B0" w:rsidRPr="002261B9">
        <w:rPr>
          <w:lang w:val="es-ES"/>
        </w:rPr>
        <w:t xml:space="preserve">, </w:t>
      </w:r>
      <w:r w:rsidRPr="002261B9">
        <w:rPr>
          <w:lang w:val="es-ES"/>
        </w:rPr>
        <w:t xml:space="preserve">pero la industria </w:t>
      </w:r>
      <w:r w:rsidR="007762CC" w:rsidRPr="002261B9">
        <w:rPr>
          <w:lang w:val="es-ES"/>
        </w:rPr>
        <w:t>hace notar</w:t>
      </w:r>
      <w:r w:rsidRPr="002261B9">
        <w:rPr>
          <w:lang w:val="es-ES"/>
        </w:rPr>
        <w:t xml:space="preserve"> que en los próximos años se podrá disponer de alternativas</w:t>
      </w:r>
      <w:r w:rsidR="005F64B0" w:rsidRPr="002261B9">
        <w:rPr>
          <w:lang w:val="es-ES"/>
        </w:rPr>
        <w:t xml:space="preserve">. </w:t>
      </w:r>
      <w:r w:rsidRPr="002261B9">
        <w:rPr>
          <w:lang w:val="es-ES"/>
        </w:rPr>
        <w:t>Debido a las pequeñas cantidades usadas y al hecho de que previsiblemente las emisiones serán bajas</w:t>
      </w:r>
      <w:r w:rsidR="005F64B0" w:rsidRPr="002261B9">
        <w:rPr>
          <w:lang w:val="es-ES"/>
        </w:rPr>
        <w:t xml:space="preserve">, </w:t>
      </w:r>
      <w:r w:rsidRPr="002261B9">
        <w:rPr>
          <w:lang w:val="es-ES"/>
        </w:rPr>
        <w:t>en la Unión Europea se estableció una exención temporal</w:t>
      </w:r>
      <w:r w:rsidR="005F64B0" w:rsidRPr="002261B9">
        <w:rPr>
          <w:lang w:val="es-ES"/>
        </w:rPr>
        <w:t xml:space="preserve"> (</w:t>
      </w:r>
      <w:r w:rsidRPr="002261B9">
        <w:rPr>
          <w:lang w:val="es-ES"/>
        </w:rPr>
        <w:t>hasta el 4 de julio de</w:t>
      </w:r>
      <w:r w:rsidR="00955D10" w:rsidRPr="002261B9">
        <w:rPr>
          <w:lang w:val="es-ES"/>
        </w:rPr>
        <w:t> </w:t>
      </w:r>
      <w:r w:rsidR="005F64B0" w:rsidRPr="002261B9">
        <w:rPr>
          <w:lang w:val="es-ES"/>
        </w:rPr>
        <w:t xml:space="preserve">2022) </w:t>
      </w:r>
      <w:r w:rsidRPr="002261B9">
        <w:rPr>
          <w:lang w:val="es-ES"/>
        </w:rPr>
        <w:t xml:space="preserve">para el equipo usado </w:t>
      </w:r>
      <w:r w:rsidR="007762CC" w:rsidRPr="002261B9">
        <w:rPr>
          <w:lang w:val="es-ES"/>
        </w:rPr>
        <w:t>en la fabricación de</w:t>
      </w:r>
      <w:r w:rsidRPr="002261B9">
        <w:rPr>
          <w:lang w:val="es-ES"/>
        </w:rPr>
        <w:t xml:space="preserve"> semiconductores</w:t>
      </w:r>
      <w:r w:rsidR="005F64B0" w:rsidRPr="002261B9">
        <w:rPr>
          <w:lang w:val="es-ES"/>
        </w:rPr>
        <w:t xml:space="preserve">. </w:t>
      </w:r>
      <w:r w:rsidRPr="002261B9">
        <w:rPr>
          <w:lang w:val="es-ES"/>
        </w:rPr>
        <w:t>Además, en la U</w:t>
      </w:r>
      <w:r w:rsidR="00A80D1E" w:rsidRPr="002261B9">
        <w:rPr>
          <w:lang w:val="es-ES"/>
        </w:rPr>
        <w:t xml:space="preserve">nión </w:t>
      </w:r>
      <w:r w:rsidRPr="002261B9">
        <w:rPr>
          <w:lang w:val="es-ES"/>
        </w:rPr>
        <w:t>E</w:t>
      </w:r>
      <w:r w:rsidR="00A80D1E" w:rsidRPr="002261B9">
        <w:rPr>
          <w:lang w:val="es-ES"/>
        </w:rPr>
        <w:t>uropea</w:t>
      </w:r>
      <w:r w:rsidRPr="002261B9">
        <w:rPr>
          <w:lang w:val="es-ES"/>
        </w:rPr>
        <w:t xml:space="preserve"> se ha establecido una exención sin límite de tiempo para los procesos fotolitográficos en el caso de semiconductores o en procesos de grabado en el caso de los semiconductores compuestos</w:t>
      </w:r>
      <w:r w:rsidR="005F64B0" w:rsidRPr="002261B9">
        <w:rPr>
          <w:lang w:val="es-ES"/>
        </w:rPr>
        <w:t xml:space="preserve">. En el Canadá, los semiconductores de artículos manufacturados están exentos. En Noruega </w:t>
      </w:r>
      <w:r w:rsidR="00DE1421" w:rsidRPr="002261B9">
        <w:rPr>
          <w:lang w:val="es-ES"/>
        </w:rPr>
        <w:t>caduc</w:t>
      </w:r>
      <w:r w:rsidR="005F64B0" w:rsidRPr="002261B9">
        <w:rPr>
          <w:lang w:val="es-ES"/>
        </w:rPr>
        <w:t xml:space="preserve">ó en 2016 la exención para adhesivos, papel aluminio o cintas </w:t>
      </w:r>
      <w:r w:rsidR="007762CC" w:rsidRPr="002261B9">
        <w:rPr>
          <w:lang w:val="es-ES"/>
        </w:rPr>
        <w:t xml:space="preserve">adhesivas </w:t>
      </w:r>
      <w:r w:rsidR="005F64B0" w:rsidRPr="002261B9">
        <w:rPr>
          <w:lang w:val="es-ES"/>
        </w:rPr>
        <w:t xml:space="preserve">en los semiconductores. </w:t>
      </w:r>
      <w:r w:rsidRPr="002261B9">
        <w:rPr>
          <w:lang w:val="es-ES"/>
        </w:rPr>
        <w:t xml:space="preserve">Sobre la base de la información proporcionada por la industria </w:t>
      </w:r>
      <w:r w:rsidR="005F64B0" w:rsidRPr="002261B9">
        <w:rPr>
          <w:lang w:val="es-ES"/>
        </w:rPr>
        <w:t>(</w:t>
      </w:r>
      <w:r w:rsidRPr="002261B9">
        <w:rPr>
          <w:lang w:val="es-ES"/>
        </w:rPr>
        <w:t xml:space="preserve">véase </w:t>
      </w:r>
      <w:r w:rsidR="0065573D" w:rsidRPr="002261B9">
        <w:rPr>
          <w:lang w:val="es-ES"/>
        </w:rPr>
        <w:t>SEMI</w:t>
      </w:r>
      <w:r w:rsidR="000A45EB" w:rsidRPr="002261B9">
        <w:rPr>
          <w:lang w:val="es-ES"/>
        </w:rPr>
        <w:t>,</w:t>
      </w:r>
      <w:r w:rsidR="005F64B0" w:rsidRPr="002261B9">
        <w:rPr>
          <w:lang w:val="es-ES"/>
        </w:rPr>
        <w:t xml:space="preserve"> 2017), </w:t>
      </w:r>
      <w:r w:rsidRPr="002261B9">
        <w:rPr>
          <w:lang w:val="es-ES"/>
        </w:rPr>
        <w:t>se debería considerar la posibilidad de establecer una exención temporal o sin límite de tiempo para</w:t>
      </w:r>
      <w:r w:rsidR="00255BB8" w:rsidRPr="002261B9">
        <w:rPr>
          <w:lang w:val="es-ES"/>
        </w:rPr>
        <w:t>:</w:t>
      </w:r>
      <w:r w:rsidR="005F64B0" w:rsidRPr="002261B9">
        <w:rPr>
          <w:lang w:val="es-ES"/>
        </w:rPr>
        <w:t xml:space="preserve"> 1) </w:t>
      </w:r>
      <w:r w:rsidRPr="002261B9">
        <w:rPr>
          <w:lang w:val="es-ES"/>
        </w:rPr>
        <w:t xml:space="preserve">equipo </w:t>
      </w:r>
      <w:r w:rsidR="00255BB8" w:rsidRPr="002261B9">
        <w:rPr>
          <w:lang w:val="es-ES"/>
        </w:rPr>
        <w:t xml:space="preserve">que contiene residuos de PFOA en fluoropolímeros y fluoroelastómeros </w:t>
      </w:r>
      <w:r w:rsidRPr="002261B9">
        <w:rPr>
          <w:lang w:val="es-ES"/>
        </w:rPr>
        <w:t>u</w:t>
      </w:r>
      <w:r w:rsidR="00255BB8" w:rsidRPr="002261B9">
        <w:rPr>
          <w:lang w:val="es-ES"/>
        </w:rPr>
        <w:t>tilizados</w:t>
      </w:r>
      <w:r w:rsidRPr="002261B9">
        <w:rPr>
          <w:lang w:val="es-ES"/>
        </w:rPr>
        <w:t xml:space="preserve"> </w:t>
      </w:r>
      <w:r w:rsidR="007762CC" w:rsidRPr="002261B9">
        <w:rPr>
          <w:lang w:val="es-ES"/>
        </w:rPr>
        <w:t xml:space="preserve">en la fabricación de </w:t>
      </w:r>
      <w:r w:rsidRPr="002261B9">
        <w:rPr>
          <w:lang w:val="es-ES"/>
        </w:rPr>
        <w:t>semiconductores</w:t>
      </w:r>
      <w:r w:rsidR="005F64B0" w:rsidRPr="002261B9">
        <w:rPr>
          <w:lang w:val="es-ES"/>
        </w:rPr>
        <w:t xml:space="preserve">, </w:t>
      </w:r>
      <w:r w:rsidRPr="002261B9">
        <w:rPr>
          <w:lang w:val="es-ES"/>
        </w:rPr>
        <w:t>su sustitución y piezas de repuesto y la infraestructura conexa</w:t>
      </w:r>
      <w:r w:rsidR="005F64B0" w:rsidRPr="002261B9">
        <w:rPr>
          <w:lang w:val="es-ES"/>
        </w:rPr>
        <w:t xml:space="preserve"> (</w:t>
      </w:r>
      <w:r w:rsidRPr="002261B9">
        <w:rPr>
          <w:lang w:val="es-ES"/>
        </w:rPr>
        <w:t>por ejemplo, sistemas de distribución y control de productos químicos, gas y aire en las instalaciones y sistemas de contenedores de productos químicos para el almacenamiento, la transmisión y el transporte de sustancias o mezclas</w:t>
      </w:r>
      <w:r w:rsidR="005F64B0" w:rsidRPr="002261B9">
        <w:rPr>
          <w:lang w:val="es-ES"/>
        </w:rPr>
        <w:t>)</w:t>
      </w:r>
      <w:r w:rsidRPr="002261B9">
        <w:rPr>
          <w:lang w:val="es-ES"/>
        </w:rPr>
        <w:t xml:space="preserve">, así como para </w:t>
      </w:r>
      <w:r w:rsidR="005F64B0" w:rsidRPr="002261B9">
        <w:rPr>
          <w:lang w:val="es-ES"/>
        </w:rPr>
        <w:t xml:space="preserve">2) </w:t>
      </w:r>
      <w:r w:rsidRPr="002261B9">
        <w:rPr>
          <w:lang w:val="es-ES"/>
        </w:rPr>
        <w:t xml:space="preserve">los procesos fotolitográficos en el caso de </w:t>
      </w:r>
      <w:r w:rsidR="005F64B0" w:rsidRPr="002261B9">
        <w:rPr>
          <w:lang w:val="es-ES"/>
        </w:rPr>
        <w:t>semiconductor</w:t>
      </w:r>
      <w:r w:rsidRPr="002261B9">
        <w:rPr>
          <w:lang w:val="es-ES"/>
        </w:rPr>
        <w:t>e</w:t>
      </w:r>
      <w:r w:rsidR="005F64B0" w:rsidRPr="002261B9">
        <w:rPr>
          <w:lang w:val="es-ES"/>
        </w:rPr>
        <w:t xml:space="preserve">s </w:t>
      </w:r>
      <w:r w:rsidRPr="002261B9">
        <w:rPr>
          <w:lang w:val="es-ES"/>
        </w:rPr>
        <w:t>o procesos de grabado en el caso de semiconductores compuestos</w:t>
      </w:r>
      <w:r w:rsidR="005F64B0" w:rsidRPr="002261B9">
        <w:rPr>
          <w:lang w:val="es-ES"/>
        </w:rPr>
        <w:t>.</w:t>
      </w:r>
    </w:p>
    <w:p w14:paraId="5005D8E9" w14:textId="3AD5A177" w:rsidR="001A7EE9" w:rsidRPr="002261B9" w:rsidRDefault="00306079" w:rsidP="00F45508">
      <w:pPr>
        <w:pStyle w:val="Paralevel1"/>
        <w:numPr>
          <w:ilvl w:val="0"/>
          <w:numId w:val="23"/>
        </w:numPr>
        <w:tabs>
          <w:tab w:val="clear" w:pos="0"/>
        </w:tabs>
        <w:ind w:left="1247" w:firstLine="0"/>
        <w:rPr>
          <w:lang w:val="es-ES"/>
        </w:rPr>
      </w:pPr>
      <w:r w:rsidRPr="002261B9">
        <w:rPr>
          <w:lang w:val="es-ES"/>
        </w:rPr>
        <w:t>Con arreglo a la información disponible en relación con el análisis de alternativas</w:t>
      </w:r>
      <w:r w:rsidR="001F0D61" w:rsidRPr="002261B9">
        <w:rPr>
          <w:lang w:val="es-ES"/>
        </w:rPr>
        <w:t xml:space="preserve"> para los productos textiles usados, por ejemplo, en el sector de actividades al aire libre, se dispone de algunas alternativas</w:t>
      </w:r>
      <w:r w:rsidR="00D8022C" w:rsidRPr="002261B9">
        <w:rPr>
          <w:lang w:val="es-ES"/>
        </w:rPr>
        <w:t>,</w:t>
      </w:r>
      <w:r w:rsidR="001F0D61" w:rsidRPr="002261B9">
        <w:rPr>
          <w:lang w:val="es-ES"/>
        </w:rPr>
        <w:t xml:space="preserve"> pero no existen </w:t>
      </w:r>
      <w:r w:rsidR="002748F8" w:rsidRPr="002261B9">
        <w:rPr>
          <w:lang w:val="es-ES"/>
        </w:rPr>
        <w:t>alternativas técnicas</w:t>
      </w:r>
      <w:r w:rsidR="001F0D61" w:rsidRPr="002261B9">
        <w:rPr>
          <w:lang w:val="es-ES"/>
        </w:rPr>
        <w:t xml:space="preserve"> ni económicamente viables en el caso de los textiles de uso técnico con requisitos de alto rendimiento</w:t>
      </w:r>
      <w:r w:rsidR="005F64B0" w:rsidRPr="002261B9">
        <w:rPr>
          <w:lang w:val="es-ES"/>
        </w:rPr>
        <w:t>.</w:t>
      </w:r>
      <w:r w:rsidR="001F0D61" w:rsidRPr="002261B9">
        <w:rPr>
          <w:lang w:val="es-ES"/>
        </w:rPr>
        <w:t xml:space="preserve"> Esto tiene que ver con el uso de productos textiles para la protección de los trabajadores contra los riesgos para su salud y seguridad, para los cuales se ha establecido </w:t>
      </w:r>
      <w:r w:rsidR="007762CC" w:rsidRPr="002261B9">
        <w:rPr>
          <w:lang w:val="es-ES"/>
        </w:rPr>
        <w:t xml:space="preserve">en la Unión Europea </w:t>
      </w:r>
      <w:r w:rsidR="001F0D61" w:rsidRPr="002261B9">
        <w:rPr>
          <w:lang w:val="es-ES"/>
        </w:rPr>
        <w:t xml:space="preserve">una exención </w:t>
      </w:r>
      <w:r w:rsidR="005F64B0" w:rsidRPr="002261B9">
        <w:rPr>
          <w:lang w:val="es-ES"/>
        </w:rPr>
        <w:t>(</w:t>
      </w:r>
      <w:r w:rsidR="001F0D61" w:rsidRPr="002261B9">
        <w:rPr>
          <w:lang w:val="es-ES"/>
        </w:rPr>
        <w:t xml:space="preserve">hasta el </w:t>
      </w:r>
      <w:r w:rsidR="00C55024" w:rsidRPr="002261B9">
        <w:rPr>
          <w:lang w:val="es-ES"/>
        </w:rPr>
        <w:t xml:space="preserve">4 </w:t>
      </w:r>
      <w:r w:rsidR="001F0D61" w:rsidRPr="002261B9">
        <w:rPr>
          <w:lang w:val="es-ES"/>
        </w:rPr>
        <w:t xml:space="preserve">de julio de </w:t>
      </w:r>
      <w:r w:rsidR="00C55024" w:rsidRPr="002261B9">
        <w:rPr>
          <w:lang w:val="es-ES"/>
        </w:rPr>
        <w:t>2023</w:t>
      </w:r>
      <w:r w:rsidR="005F64B0" w:rsidRPr="002261B9">
        <w:rPr>
          <w:lang w:val="es-ES"/>
        </w:rPr>
        <w:t>)</w:t>
      </w:r>
      <w:r w:rsidR="001F0D61" w:rsidRPr="002261B9">
        <w:rPr>
          <w:lang w:val="es-ES"/>
        </w:rPr>
        <w:t>.</w:t>
      </w:r>
      <w:r w:rsidR="00284890" w:rsidRPr="002261B9">
        <w:rPr>
          <w:lang w:val="es-ES"/>
        </w:rPr>
        <w:t xml:space="preserve"> </w:t>
      </w:r>
      <w:r w:rsidR="001F0D61" w:rsidRPr="002261B9">
        <w:rPr>
          <w:lang w:val="es-ES"/>
        </w:rPr>
        <w:t>Este es el caso también de las membranas destinadas a usarse en los productos textiles de uso médico</w:t>
      </w:r>
      <w:r w:rsidR="005F64B0" w:rsidRPr="002261B9">
        <w:rPr>
          <w:lang w:val="es-ES"/>
        </w:rPr>
        <w:t>,</w:t>
      </w:r>
      <w:r w:rsidR="001F0D61" w:rsidRPr="002261B9">
        <w:rPr>
          <w:lang w:val="es-ES"/>
        </w:rPr>
        <w:t xml:space="preserve"> la filtración en el tratamiento de agua</w:t>
      </w:r>
      <w:r w:rsidR="003937E3" w:rsidRPr="002261B9">
        <w:rPr>
          <w:lang w:val="es-ES"/>
        </w:rPr>
        <w:t>s</w:t>
      </w:r>
      <w:r w:rsidR="001F0D61" w:rsidRPr="002261B9">
        <w:rPr>
          <w:lang w:val="es-ES"/>
        </w:rPr>
        <w:t>, los procesos de producción y el tratamiento de efluentes</w:t>
      </w:r>
      <w:r w:rsidR="005F64B0" w:rsidRPr="002261B9">
        <w:rPr>
          <w:lang w:val="es-ES"/>
        </w:rPr>
        <w:t xml:space="preserve">. </w:t>
      </w:r>
      <w:r w:rsidR="001F0D61" w:rsidRPr="002261B9">
        <w:rPr>
          <w:lang w:val="es-ES"/>
        </w:rPr>
        <w:t>E</w:t>
      </w:r>
      <w:r w:rsidR="000F78C9" w:rsidRPr="002261B9">
        <w:rPr>
          <w:lang w:val="es-ES"/>
        </w:rPr>
        <w:t xml:space="preserve">n </w:t>
      </w:r>
      <w:r w:rsidR="003F3A09" w:rsidRPr="002261B9">
        <w:rPr>
          <w:lang w:val="es-ES"/>
        </w:rPr>
        <w:t>Noruega</w:t>
      </w:r>
      <w:r w:rsidR="000F78C9" w:rsidRPr="002261B9">
        <w:rPr>
          <w:lang w:val="es-ES"/>
        </w:rPr>
        <w:t xml:space="preserve"> </w:t>
      </w:r>
      <w:r w:rsidR="001F0D61" w:rsidRPr="002261B9">
        <w:rPr>
          <w:lang w:val="es-ES"/>
        </w:rPr>
        <w:t>la restricción solo atañe a los productos textiles que usan los consumidores, pero no hay restricción en el caso de los productos textiles de uso profesional</w:t>
      </w:r>
      <w:r w:rsidR="000F78C9" w:rsidRPr="002261B9">
        <w:rPr>
          <w:lang w:val="es-ES"/>
        </w:rPr>
        <w:t xml:space="preserve">. </w:t>
      </w:r>
      <w:r w:rsidR="001F0D61" w:rsidRPr="002261B9">
        <w:rPr>
          <w:lang w:val="es-ES"/>
        </w:rPr>
        <w:t>El procedimiento canadiense no se aplica a los artículos manufacturados</w:t>
      </w:r>
      <w:r w:rsidR="00C00A86" w:rsidRPr="002261B9">
        <w:rPr>
          <w:lang w:val="es-ES"/>
        </w:rPr>
        <w:t xml:space="preserve">. </w:t>
      </w:r>
      <w:r w:rsidR="003D0CA6" w:rsidRPr="002261B9">
        <w:rPr>
          <w:lang w:val="es-ES"/>
        </w:rPr>
        <w:t xml:space="preserve">De ahí que en el Canadá no se haya restringido la importación, el uso, la venta y la oferta </w:t>
      </w:r>
      <w:r w:rsidR="00386F8F" w:rsidRPr="002261B9">
        <w:rPr>
          <w:lang w:val="es-ES"/>
        </w:rPr>
        <w:t>de</w:t>
      </w:r>
      <w:r w:rsidR="003D0CA6" w:rsidRPr="002261B9">
        <w:rPr>
          <w:lang w:val="es-ES"/>
        </w:rPr>
        <w:t xml:space="preserve"> venta de textiles que contengan</w:t>
      </w:r>
      <w:r w:rsidR="00880BEC" w:rsidRPr="002261B9">
        <w:rPr>
          <w:lang w:val="es-ES"/>
        </w:rPr>
        <w:t xml:space="preserve"> PFOA, </w:t>
      </w:r>
      <w:r w:rsidR="003D0CA6" w:rsidRPr="002261B9">
        <w:rPr>
          <w:lang w:val="es-ES"/>
        </w:rPr>
        <w:t xml:space="preserve">sus sales o </w:t>
      </w:r>
      <w:r w:rsidR="009321C2" w:rsidRPr="002261B9">
        <w:rPr>
          <w:lang w:val="es-ES"/>
        </w:rPr>
        <w:t>compuestos</w:t>
      </w:r>
      <w:r w:rsidR="00E61FF0" w:rsidRPr="002261B9">
        <w:rPr>
          <w:lang w:val="es-ES"/>
        </w:rPr>
        <w:t xml:space="preserve"> conexos del PFOA</w:t>
      </w:r>
      <w:r w:rsidR="00C00A86" w:rsidRPr="002261B9">
        <w:rPr>
          <w:lang w:val="es-ES"/>
        </w:rPr>
        <w:t>.</w:t>
      </w:r>
      <w:r w:rsidR="0077561D" w:rsidRPr="002261B9">
        <w:rPr>
          <w:lang w:val="es-ES"/>
        </w:rPr>
        <w:t xml:space="preserve"> </w:t>
      </w:r>
      <w:r w:rsidR="003D0CA6" w:rsidRPr="002261B9">
        <w:rPr>
          <w:lang w:val="es-ES"/>
        </w:rPr>
        <w:t xml:space="preserve">Se deberá considerar la posibilidad de establecer exenciones por tiempo limitado en el marco del </w:t>
      </w:r>
      <w:r w:rsidR="00BF6525" w:rsidRPr="002261B9">
        <w:rPr>
          <w:lang w:val="es-ES"/>
        </w:rPr>
        <w:t>Convenio de Estocolmo</w:t>
      </w:r>
      <w:r w:rsidR="006A0C36" w:rsidRPr="002261B9">
        <w:rPr>
          <w:lang w:val="es-ES"/>
        </w:rPr>
        <w:t xml:space="preserve"> </w:t>
      </w:r>
      <w:r w:rsidR="003D0CA6" w:rsidRPr="002261B9">
        <w:rPr>
          <w:lang w:val="es-ES"/>
        </w:rPr>
        <w:t xml:space="preserve">para los textiles </w:t>
      </w:r>
      <w:r w:rsidR="007762CC" w:rsidRPr="002261B9">
        <w:rPr>
          <w:lang w:val="es-ES"/>
        </w:rPr>
        <w:t xml:space="preserve">de uso </w:t>
      </w:r>
      <w:r w:rsidR="003D0CA6" w:rsidRPr="002261B9">
        <w:rPr>
          <w:lang w:val="es-ES"/>
        </w:rPr>
        <w:t>técnico con requisitos de alto rendimiento en particular para</w:t>
      </w:r>
      <w:r w:rsidR="00255BB8" w:rsidRPr="002261B9">
        <w:rPr>
          <w:lang w:val="es-ES"/>
        </w:rPr>
        <w:t>:</w:t>
      </w:r>
      <w:r w:rsidR="003D0CA6" w:rsidRPr="002261B9">
        <w:rPr>
          <w:lang w:val="es-ES"/>
        </w:rPr>
        <w:t xml:space="preserve"> </w:t>
      </w:r>
      <w:r w:rsidR="00F342E5" w:rsidRPr="002261B9">
        <w:rPr>
          <w:lang w:val="es-ES"/>
        </w:rPr>
        <w:t xml:space="preserve">1) </w:t>
      </w:r>
      <w:r w:rsidR="003D0CA6" w:rsidRPr="002261B9">
        <w:rPr>
          <w:lang w:val="es-ES"/>
        </w:rPr>
        <w:t xml:space="preserve">textiles </w:t>
      </w:r>
      <w:r w:rsidR="00255BB8" w:rsidRPr="002261B9">
        <w:rPr>
          <w:lang w:val="es-ES"/>
        </w:rPr>
        <w:t xml:space="preserve">oleófugos e hidrófugos o en aplicaciones de protección contra líquidos peligrosos </w:t>
      </w:r>
      <w:r w:rsidR="003D0CA6" w:rsidRPr="002261B9">
        <w:rPr>
          <w:lang w:val="es-ES"/>
        </w:rPr>
        <w:t>destinad</w:t>
      </w:r>
      <w:r w:rsidR="00255BB8" w:rsidRPr="002261B9">
        <w:rPr>
          <w:lang w:val="es-ES"/>
        </w:rPr>
        <w:t>a</w:t>
      </w:r>
      <w:r w:rsidR="003D0CA6" w:rsidRPr="002261B9">
        <w:rPr>
          <w:lang w:val="es-ES"/>
        </w:rPr>
        <w:t xml:space="preserve">s a la protección de los trabajadores contra los riesgos para su salud y seguridad y para </w:t>
      </w:r>
      <w:r w:rsidR="00F342E5" w:rsidRPr="002261B9">
        <w:rPr>
          <w:lang w:val="es-ES"/>
        </w:rPr>
        <w:t xml:space="preserve">2) </w:t>
      </w:r>
      <w:r w:rsidR="003D0CA6" w:rsidRPr="002261B9">
        <w:rPr>
          <w:lang w:val="es-ES"/>
        </w:rPr>
        <w:t xml:space="preserve">las </w:t>
      </w:r>
      <w:r w:rsidR="00F342E5" w:rsidRPr="002261B9">
        <w:rPr>
          <w:lang w:val="es-ES"/>
        </w:rPr>
        <w:t>membran</w:t>
      </w:r>
      <w:r w:rsidR="003D0CA6" w:rsidRPr="002261B9">
        <w:rPr>
          <w:lang w:val="es-ES"/>
        </w:rPr>
        <w:t>a</w:t>
      </w:r>
      <w:r w:rsidR="00F342E5" w:rsidRPr="002261B9">
        <w:rPr>
          <w:lang w:val="es-ES"/>
        </w:rPr>
        <w:t xml:space="preserve">s </w:t>
      </w:r>
      <w:r w:rsidR="003D0CA6" w:rsidRPr="002261B9">
        <w:rPr>
          <w:lang w:val="es-ES"/>
        </w:rPr>
        <w:t>destinadas a usarse en productos textiles</w:t>
      </w:r>
      <w:r w:rsidR="004B4F9D" w:rsidRPr="002261B9">
        <w:rPr>
          <w:lang w:val="es-ES"/>
        </w:rPr>
        <w:t xml:space="preserve"> de uso médico</w:t>
      </w:r>
      <w:r w:rsidR="00F342E5" w:rsidRPr="002261B9">
        <w:rPr>
          <w:lang w:val="es-ES"/>
        </w:rPr>
        <w:t xml:space="preserve">, </w:t>
      </w:r>
      <w:r w:rsidR="003D0CA6" w:rsidRPr="002261B9">
        <w:rPr>
          <w:lang w:val="es-ES"/>
        </w:rPr>
        <w:t>la filtración en el tratamiento de aguas, los procesos de producción y el tratamiento de efluentes</w:t>
      </w:r>
      <w:r w:rsidR="0077561D" w:rsidRPr="002261B9">
        <w:rPr>
          <w:lang w:val="es-ES"/>
        </w:rPr>
        <w:t>.</w:t>
      </w:r>
      <w:r w:rsidR="00255BB8" w:rsidRPr="002261B9">
        <w:rPr>
          <w:lang w:val="es-ES"/>
        </w:rPr>
        <w:t xml:space="preserve"> Con respecto a estas últimas, </w:t>
      </w:r>
      <w:r w:rsidR="00566DDB" w:rsidRPr="002261B9">
        <w:rPr>
          <w:lang w:val="es-ES"/>
        </w:rPr>
        <w:t xml:space="preserve">antes de autorizar una exención, </w:t>
      </w:r>
      <w:r w:rsidR="00255BB8" w:rsidRPr="002261B9">
        <w:rPr>
          <w:lang w:val="es-ES"/>
        </w:rPr>
        <w:t xml:space="preserve">se precisa información adicional </w:t>
      </w:r>
      <w:r w:rsidR="00566DDB" w:rsidRPr="002261B9">
        <w:rPr>
          <w:lang w:val="es-ES"/>
        </w:rPr>
        <w:t>que permita</w:t>
      </w:r>
      <w:r w:rsidR="00255BB8" w:rsidRPr="002261B9">
        <w:rPr>
          <w:lang w:val="es-ES"/>
        </w:rPr>
        <w:t xml:space="preserve"> esclarecer el alcance de las aplicaciones, las cantidades empleadas, la existencia de alternativas y los aspectos socioeconómicos</w:t>
      </w:r>
      <w:r w:rsidR="00566DDB" w:rsidRPr="002261B9">
        <w:rPr>
          <w:lang w:val="es-ES"/>
        </w:rPr>
        <w:t>.</w:t>
      </w:r>
    </w:p>
    <w:p w14:paraId="0B5F46D4" w14:textId="77777777" w:rsidR="001A7EE9" w:rsidRPr="002261B9" w:rsidRDefault="001F0D61" w:rsidP="00F45508">
      <w:pPr>
        <w:pStyle w:val="Paralevel1"/>
        <w:numPr>
          <w:ilvl w:val="0"/>
          <w:numId w:val="23"/>
        </w:numPr>
        <w:tabs>
          <w:tab w:val="clear" w:pos="0"/>
        </w:tabs>
        <w:ind w:left="1247" w:firstLine="0"/>
        <w:rPr>
          <w:lang w:val="es-ES"/>
        </w:rPr>
      </w:pPr>
      <w:r w:rsidRPr="002261B9">
        <w:rPr>
          <w:lang w:val="es-ES"/>
        </w:rPr>
        <w:t>La industria de tintas de imprimir anunció la necesidad de usar las sustancias hasta 2020</w:t>
      </w:r>
      <w:r w:rsidR="005F64B0" w:rsidRPr="002261B9">
        <w:rPr>
          <w:lang w:val="es-ES"/>
        </w:rPr>
        <w:t xml:space="preserve"> </w:t>
      </w:r>
      <w:r w:rsidRPr="002261B9">
        <w:rPr>
          <w:lang w:val="es-ES"/>
        </w:rPr>
        <w:t>debido a que estas tintas están especialmente diseñadas para determinadas impresoras profesionales</w:t>
      </w:r>
      <w:r w:rsidR="005F64B0" w:rsidRPr="002261B9">
        <w:rPr>
          <w:lang w:val="es-ES"/>
        </w:rPr>
        <w:t xml:space="preserve">. </w:t>
      </w:r>
      <w:r w:rsidR="005F429F" w:rsidRPr="002261B9">
        <w:rPr>
          <w:lang w:val="es-ES"/>
        </w:rPr>
        <w:t xml:space="preserve">Este uso solo se mantiene en impresoras que ya no se fabrican y, por consiguiente, la eliminación ya </w:t>
      </w:r>
      <w:r w:rsidR="005F429F" w:rsidRPr="002261B9">
        <w:rPr>
          <w:lang w:val="es-ES"/>
        </w:rPr>
        <w:lastRenderedPageBreak/>
        <w:t>está en marcha</w:t>
      </w:r>
      <w:r w:rsidR="00EF5D90" w:rsidRPr="002261B9">
        <w:rPr>
          <w:lang w:val="es-ES"/>
        </w:rPr>
        <w:t xml:space="preserve">. </w:t>
      </w:r>
      <w:r w:rsidR="005F429F" w:rsidRPr="002261B9">
        <w:rPr>
          <w:lang w:val="es-ES"/>
        </w:rPr>
        <w:t xml:space="preserve">En el caso de las tintas de </w:t>
      </w:r>
      <w:r w:rsidR="00D8022C" w:rsidRPr="002261B9">
        <w:rPr>
          <w:lang w:val="es-ES"/>
        </w:rPr>
        <w:t>impresión</w:t>
      </w:r>
      <w:r w:rsidR="00DE1421" w:rsidRPr="002261B9">
        <w:rPr>
          <w:lang w:val="es-ES"/>
        </w:rPr>
        <w:t xml:space="preserve"> con </w:t>
      </w:r>
      <w:r w:rsidR="005F429F" w:rsidRPr="002261B9">
        <w:rPr>
          <w:lang w:val="es-ES"/>
        </w:rPr>
        <w:t>látex, en la UE se ha establecido una exención temporal</w:t>
      </w:r>
      <w:r w:rsidR="003D2ECD" w:rsidRPr="002261B9">
        <w:rPr>
          <w:lang w:val="es-ES"/>
        </w:rPr>
        <w:t xml:space="preserve"> </w:t>
      </w:r>
      <w:r w:rsidR="005F64B0" w:rsidRPr="002261B9">
        <w:rPr>
          <w:lang w:val="es-ES"/>
        </w:rPr>
        <w:t>(</w:t>
      </w:r>
      <w:r w:rsidR="005F429F" w:rsidRPr="002261B9">
        <w:rPr>
          <w:lang w:val="es-ES"/>
        </w:rPr>
        <w:t xml:space="preserve">hasta el </w:t>
      </w:r>
      <w:r w:rsidR="00C55024" w:rsidRPr="002261B9">
        <w:rPr>
          <w:lang w:val="es-ES"/>
        </w:rPr>
        <w:t>4</w:t>
      </w:r>
      <w:r w:rsidR="00294E93" w:rsidRPr="002261B9">
        <w:rPr>
          <w:lang w:val="es-ES"/>
        </w:rPr>
        <w:t> </w:t>
      </w:r>
      <w:r w:rsidR="005F429F" w:rsidRPr="002261B9">
        <w:rPr>
          <w:lang w:val="es-ES"/>
        </w:rPr>
        <w:t xml:space="preserve">de julio de </w:t>
      </w:r>
      <w:r w:rsidR="00C55024" w:rsidRPr="002261B9">
        <w:rPr>
          <w:lang w:val="es-ES"/>
        </w:rPr>
        <w:t>2022</w:t>
      </w:r>
      <w:r w:rsidR="005F64B0" w:rsidRPr="002261B9">
        <w:rPr>
          <w:lang w:val="es-ES"/>
        </w:rPr>
        <w:t xml:space="preserve">). </w:t>
      </w:r>
      <w:r w:rsidR="005E0D31" w:rsidRPr="002261B9">
        <w:rPr>
          <w:lang w:val="es-ES"/>
        </w:rPr>
        <w:t>E</w:t>
      </w:r>
      <w:r w:rsidR="009321C2" w:rsidRPr="002261B9">
        <w:rPr>
          <w:lang w:val="es-ES"/>
        </w:rPr>
        <w:t>l Canadá</w:t>
      </w:r>
      <w:r w:rsidR="005F64B0" w:rsidRPr="002261B9">
        <w:rPr>
          <w:lang w:val="es-ES"/>
        </w:rPr>
        <w:t xml:space="preserve"> </w:t>
      </w:r>
      <w:r w:rsidR="005E0D31" w:rsidRPr="002261B9">
        <w:rPr>
          <w:lang w:val="es-ES"/>
        </w:rPr>
        <w:t>estableció una exención para las tintas</w:t>
      </w:r>
      <w:r w:rsidR="005F64B0" w:rsidRPr="002261B9">
        <w:rPr>
          <w:lang w:val="es-ES"/>
        </w:rPr>
        <w:t xml:space="preserve"> </w:t>
      </w:r>
      <w:r w:rsidR="005F429F" w:rsidRPr="002261B9">
        <w:rPr>
          <w:lang w:val="es-ES"/>
        </w:rPr>
        <w:t>acuosas</w:t>
      </w:r>
      <w:r w:rsidR="005F64B0" w:rsidRPr="002261B9">
        <w:rPr>
          <w:lang w:val="es-ES"/>
        </w:rPr>
        <w:t xml:space="preserve"> </w:t>
      </w:r>
      <w:r w:rsidR="005E0D31" w:rsidRPr="002261B9">
        <w:rPr>
          <w:lang w:val="es-ES"/>
        </w:rPr>
        <w:t>hasta</w:t>
      </w:r>
      <w:r w:rsidR="005F64B0" w:rsidRPr="002261B9">
        <w:rPr>
          <w:lang w:val="es-ES"/>
        </w:rPr>
        <w:t xml:space="preserve"> 2016.</w:t>
      </w:r>
      <w:r w:rsidR="00EF5D90" w:rsidRPr="002261B9">
        <w:rPr>
          <w:lang w:val="es-ES"/>
        </w:rPr>
        <w:t xml:space="preserve"> </w:t>
      </w:r>
      <w:r w:rsidR="005F429F" w:rsidRPr="002261B9">
        <w:rPr>
          <w:lang w:val="es-ES"/>
        </w:rPr>
        <w:t xml:space="preserve">El procedimiento de gestión de los riesgos en Noruega se aplica solamente a los productos de </w:t>
      </w:r>
      <w:r w:rsidR="00386F8F" w:rsidRPr="002261B9">
        <w:rPr>
          <w:lang w:val="es-ES"/>
        </w:rPr>
        <w:t>consumo</w:t>
      </w:r>
      <w:r w:rsidR="005F429F" w:rsidRPr="002261B9">
        <w:rPr>
          <w:lang w:val="es-ES"/>
        </w:rPr>
        <w:t xml:space="preserve"> y no establece restricciones al uso del </w:t>
      </w:r>
      <w:r w:rsidR="00EF5D90" w:rsidRPr="002261B9">
        <w:rPr>
          <w:lang w:val="es-ES"/>
        </w:rPr>
        <w:t xml:space="preserve">PFOA </w:t>
      </w:r>
      <w:r w:rsidR="005F429F" w:rsidRPr="002261B9">
        <w:rPr>
          <w:lang w:val="es-ES"/>
        </w:rPr>
        <w:t>en las tintas para impresoras profesionales</w:t>
      </w:r>
      <w:r w:rsidR="00EF5D90" w:rsidRPr="002261B9">
        <w:rPr>
          <w:lang w:val="es-ES"/>
        </w:rPr>
        <w:t>.</w:t>
      </w:r>
      <w:r w:rsidR="0077561D" w:rsidRPr="002261B9">
        <w:rPr>
          <w:lang w:val="es-ES"/>
        </w:rPr>
        <w:t xml:space="preserve"> </w:t>
      </w:r>
      <w:r w:rsidR="005F429F" w:rsidRPr="002261B9">
        <w:rPr>
          <w:lang w:val="es-ES"/>
        </w:rPr>
        <w:t xml:space="preserve">Según el momento en que posiblemente entren en vigor las obligaciones contraídas en virtud del </w:t>
      </w:r>
      <w:r w:rsidR="00BF6525" w:rsidRPr="002261B9">
        <w:rPr>
          <w:lang w:val="es-ES"/>
        </w:rPr>
        <w:t>Convenio de Estocolmo</w:t>
      </w:r>
      <w:r w:rsidR="0077561D" w:rsidRPr="002261B9">
        <w:rPr>
          <w:lang w:val="es-ES"/>
        </w:rPr>
        <w:t xml:space="preserve"> </w:t>
      </w:r>
      <w:r w:rsidR="005F429F" w:rsidRPr="002261B9">
        <w:rPr>
          <w:lang w:val="es-ES"/>
        </w:rPr>
        <w:t xml:space="preserve">en relación con el </w:t>
      </w:r>
      <w:r w:rsidR="0077561D" w:rsidRPr="002261B9">
        <w:rPr>
          <w:lang w:val="es-ES"/>
        </w:rPr>
        <w:t xml:space="preserve">PFOA, </w:t>
      </w:r>
      <w:r w:rsidR="00E64629" w:rsidRPr="002261B9">
        <w:rPr>
          <w:lang w:val="es-ES"/>
        </w:rPr>
        <w:t>sus sales y</w:t>
      </w:r>
      <w:r w:rsidR="0077561D" w:rsidRPr="002261B9">
        <w:rPr>
          <w:lang w:val="es-ES"/>
        </w:rPr>
        <w:t xml:space="preserve"> </w:t>
      </w:r>
      <w:r w:rsidR="005F429F" w:rsidRPr="002261B9">
        <w:rPr>
          <w:lang w:val="es-ES"/>
        </w:rPr>
        <w:t>compuestos conexos</w:t>
      </w:r>
      <w:r w:rsidR="0077561D" w:rsidRPr="002261B9">
        <w:rPr>
          <w:lang w:val="es-ES"/>
        </w:rPr>
        <w:t xml:space="preserve">, </w:t>
      </w:r>
      <w:r w:rsidR="005F429F" w:rsidRPr="002261B9">
        <w:rPr>
          <w:lang w:val="es-ES"/>
        </w:rPr>
        <w:t>tal vez no sea necesario establecer una exención para las tintas de impr</w:t>
      </w:r>
      <w:r w:rsidR="004B4F9D" w:rsidRPr="002261B9">
        <w:rPr>
          <w:lang w:val="es-ES"/>
        </w:rPr>
        <w:t>imir</w:t>
      </w:r>
      <w:r w:rsidR="00DE1421" w:rsidRPr="002261B9">
        <w:rPr>
          <w:lang w:val="es-ES"/>
        </w:rPr>
        <w:t xml:space="preserve"> con</w:t>
      </w:r>
      <w:r w:rsidR="005F429F" w:rsidRPr="002261B9">
        <w:rPr>
          <w:lang w:val="es-ES"/>
        </w:rPr>
        <w:t xml:space="preserve"> látex</w:t>
      </w:r>
      <w:r w:rsidR="0077561D" w:rsidRPr="002261B9">
        <w:rPr>
          <w:lang w:val="es-ES"/>
        </w:rPr>
        <w:t>.</w:t>
      </w:r>
    </w:p>
    <w:p w14:paraId="612CE0DF" w14:textId="41DD3E2A" w:rsidR="001A7EE9" w:rsidRPr="002261B9" w:rsidRDefault="005F429F" w:rsidP="00F45508">
      <w:pPr>
        <w:pStyle w:val="Paralevel1"/>
        <w:numPr>
          <w:ilvl w:val="0"/>
          <w:numId w:val="23"/>
        </w:numPr>
        <w:tabs>
          <w:tab w:val="clear" w:pos="0"/>
        </w:tabs>
        <w:ind w:left="1247" w:firstLine="0"/>
        <w:rPr>
          <w:lang w:val="es-ES"/>
        </w:rPr>
      </w:pPr>
      <w:bookmarkStart w:id="85" w:name="_Ref477271239"/>
      <w:r w:rsidRPr="002261B9">
        <w:rPr>
          <w:lang w:val="es-ES"/>
        </w:rPr>
        <w:t xml:space="preserve">La producción de alternativas fluoradas de cadena corta incluye la producción de una fracción inevitable de </w:t>
      </w:r>
      <w:r w:rsidR="005C1A4B" w:rsidRPr="002261B9">
        <w:rPr>
          <w:lang w:val="es-ES"/>
        </w:rPr>
        <w:t>PFOA</w:t>
      </w:r>
      <w:r w:rsidR="009114EB" w:rsidRPr="002261B9">
        <w:rPr>
          <w:lang w:val="es-ES"/>
        </w:rPr>
        <w:t xml:space="preserve"> </w:t>
      </w:r>
      <w:r w:rsidRPr="002261B9">
        <w:rPr>
          <w:lang w:val="es-ES"/>
        </w:rPr>
        <w:t>y de</w:t>
      </w:r>
      <w:r w:rsidR="00E64629" w:rsidRPr="002261B9">
        <w:rPr>
          <w:lang w:val="es-ES"/>
        </w:rPr>
        <w:t xml:space="preserve"> sustancias conexas del PFOA</w:t>
      </w:r>
      <w:r w:rsidR="004B4F9D" w:rsidRPr="002261B9">
        <w:rPr>
          <w:lang w:val="es-ES"/>
        </w:rPr>
        <w:t>,</w:t>
      </w:r>
      <w:r w:rsidR="00793185" w:rsidRPr="002261B9">
        <w:rPr>
          <w:lang w:val="es-ES"/>
        </w:rPr>
        <w:t xml:space="preserve"> </w:t>
      </w:r>
      <w:r w:rsidRPr="002261B9">
        <w:rPr>
          <w:lang w:val="es-ES"/>
        </w:rPr>
        <w:t>que se puede controlar estableciendo los límites de concentración apropiados en la fabricación</w:t>
      </w:r>
      <w:r w:rsidR="005C1A4B" w:rsidRPr="002261B9">
        <w:rPr>
          <w:lang w:val="es-ES"/>
        </w:rPr>
        <w:t xml:space="preserve">. </w:t>
      </w:r>
      <w:r w:rsidR="00444141" w:rsidRPr="002261B9">
        <w:rPr>
          <w:lang w:val="es-ES"/>
        </w:rPr>
        <w:t xml:space="preserve">El conjunto de valores límite de la restricción de la Unión Europea se </w:t>
      </w:r>
      <w:r w:rsidR="00B11364" w:rsidRPr="002261B9">
        <w:rPr>
          <w:lang w:val="es-ES"/>
        </w:rPr>
        <w:t>basa</w:t>
      </w:r>
      <w:r w:rsidR="00444141" w:rsidRPr="002261B9">
        <w:rPr>
          <w:lang w:val="es-ES"/>
        </w:rPr>
        <w:t xml:space="preserve"> en la información recibida de la industria y tiene en cuenta la fracción inevitable en estos momentos de PFOA y</w:t>
      </w:r>
      <w:r w:rsidR="00E64629" w:rsidRPr="002261B9">
        <w:rPr>
          <w:lang w:val="es-ES"/>
        </w:rPr>
        <w:t xml:space="preserve"> sustancias conexas del PFOA</w:t>
      </w:r>
      <w:r w:rsidR="005C1A4B" w:rsidRPr="002261B9">
        <w:rPr>
          <w:lang w:val="es-ES"/>
        </w:rPr>
        <w:t xml:space="preserve"> dur</w:t>
      </w:r>
      <w:r w:rsidR="00444141" w:rsidRPr="002261B9">
        <w:rPr>
          <w:lang w:val="es-ES"/>
        </w:rPr>
        <w:t>ante la producción de alternativas de</w:t>
      </w:r>
      <w:r w:rsidR="00255BB8" w:rsidRPr="002261B9">
        <w:rPr>
          <w:lang w:val="es-ES"/>
        </w:rPr>
        <w:t>l fluorotelómero C</w:t>
      </w:r>
      <w:r w:rsidR="002748F8" w:rsidRPr="002261B9">
        <w:rPr>
          <w:vertAlign w:val="subscript"/>
          <w:lang w:val="es-ES"/>
        </w:rPr>
        <w:t>6</w:t>
      </w:r>
      <w:r w:rsidR="005C1A4B" w:rsidRPr="002261B9">
        <w:rPr>
          <w:lang w:val="es-ES"/>
        </w:rPr>
        <w:t xml:space="preserve">. </w:t>
      </w:r>
      <w:r w:rsidR="00444141" w:rsidRPr="002261B9">
        <w:rPr>
          <w:lang w:val="es-ES"/>
        </w:rPr>
        <w:t>Una opción es que estas sustancias sean procesadas nuevamente en la producción de sustancias fluoradas de cadena corta como productos intermedios aislados en sistema cerrado</w:t>
      </w:r>
      <w:r w:rsidR="005C1A4B" w:rsidRPr="002261B9">
        <w:rPr>
          <w:lang w:val="es-ES"/>
        </w:rPr>
        <w:t xml:space="preserve">. </w:t>
      </w:r>
      <w:r w:rsidR="00444141" w:rsidRPr="002261B9">
        <w:rPr>
          <w:lang w:val="es-ES"/>
        </w:rPr>
        <w:t xml:space="preserve">En el </w:t>
      </w:r>
      <w:r w:rsidR="00BF6525" w:rsidRPr="002261B9">
        <w:rPr>
          <w:lang w:val="es-ES"/>
        </w:rPr>
        <w:t>Convenio de Estocolmo</w:t>
      </w:r>
      <w:r w:rsidR="005C1A4B" w:rsidRPr="002261B9">
        <w:rPr>
          <w:lang w:val="es-ES"/>
        </w:rPr>
        <w:t xml:space="preserve"> </w:t>
      </w:r>
      <w:r w:rsidR="00444141" w:rsidRPr="002261B9">
        <w:rPr>
          <w:lang w:val="es-ES"/>
        </w:rPr>
        <w:t>se estipula que</w:t>
      </w:r>
      <w:r w:rsidR="005C1A4B" w:rsidRPr="002261B9">
        <w:rPr>
          <w:lang w:val="es-ES"/>
        </w:rPr>
        <w:t xml:space="preserve"> </w:t>
      </w:r>
      <w:r w:rsidR="00E1011E" w:rsidRPr="002261B9">
        <w:rPr>
          <w:lang w:val="es-ES"/>
        </w:rPr>
        <w:t>“</w:t>
      </w:r>
      <w:r w:rsidR="00B11364" w:rsidRPr="002261B9">
        <w:rPr>
          <w:lang w:val="es-ES"/>
        </w:rPr>
        <w:t xml:space="preserve">Dado que no se espera que cantidades significativas del producto químico lleguen a las personas y al medio ambiente durante la producción y uso de un </w:t>
      </w:r>
      <w:r w:rsidR="003937E3" w:rsidRPr="002261B9">
        <w:rPr>
          <w:lang w:val="es-ES"/>
        </w:rPr>
        <w:t>producto intermedio</w:t>
      </w:r>
      <w:r w:rsidR="00B11364" w:rsidRPr="002261B9">
        <w:rPr>
          <w:lang w:val="es-ES"/>
        </w:rPr>
        <w:t xml:space="preserve"> en un sistema cerrado y limitado a un emplazamiento, una Parte, tras notificarlo a la Secretaría, podrá permitir la producción y uso de cantidades de un producto químico incluido en el presente anexo como </w:t>
      </w:r>
      <w:r w:rsidR="003937E3" w:rsidRPr="002261B9">
        <w:rPr>
          <w:lang w:val="es-ES"/>
        </w:rPr>
        <w:t>producto intermedio</w:t>
      </w:r>
      <w:r w:rsidR="00B11364" w:rsidRPr="002261B9">
        <w:rPr>
          <w:lang w:val="es-ES"/>
        </w:rPr>
        <w:t xml:space="preserve"> en un sistema cerrado y limitado a un emplazamiento</w:t>
      </w:r>
      <w:r w:rsidR="003937E3" w:rsidRPr="002261B9">
        <w:rPr>
          <w:lang w:val="es-ES"/>
        </w:rPr>
        <w:t>,</w:t>
      </w:r>
      <w:r w:rsidR="00B11364" w:rsidRPr="002261B9">
        <w:rPr>
          <w:lang w:val="es-ES"/>
        </w:rPr>
        <w:t xml:space="preserve"> que se transforme químicamente </w:t>
      </w:r>
      <w:r w:rsidR="003937E3" w:rsidRPr="002261B9">
        <w:rPr>
          <w:lang w:val="es-ES"/>
        </w:rPr>
        <w:t>durante</w:t>
      </w:r>
      <w:r w:rsidR="00B11364" w:rsidRPr="002261B9">
        <w:rPr>
          <w:lang w:val="es-ES"/>
        </w:rPr>
        <w:t xml:space="preserve"> la fabricación de otros productos químicos </w:t>
      </w:r>
      <w:r w:rsidR="003937E3" w:rsidRPr="002261B9">
        <w:rPr>
          <w:lang w:val="es-ES"/>
        </w:rPr>
        <w:t xml:space="preserve">y </w:t>
      </w:r>
      <w:r w:rsidR="00B11364" w:rsidRPr="002261B9">
        <w:rPr>
          <w:lang w:val="es-ES"/>
        </w:rPr>
        <w:t>que, teniendo en cuenta los criterios estipulados en el párrafo 1 del anexo D, no presentase características de contaminantes orgánicos persistentes</w:t>
      </w:r>
      <w:r w:rsidR="00E1011E" w:rsidRPr="002261B9">
        <w:rPr>
          <w:lang w:val="es-ES"/>
        </w:rPr>
        <w:t>”</w:t>
      </w:r>
      <w:r w:rsidR="00444141" w:rsidRPr="002261B9">
        <w:rPr>
          <w:vertAlign w:val="superscript"/>
          <w:lang w:val="es-ES"/>
        </w:rPr>
        <w:footnoteReference w:id="35"/>
      </w:r>
      <w:r w:rsidR="004B4F9D" w:rsidRPr="002261B9">
        <w:rPr>
          <w:lang w:val="es-ES"/>
        </w:rPr>
        <w:t>.</w:t>
      </w:r>
      <w:r w:rsidR="005C1A4B" w:rsidRPr="002261B9">
        <w:rPr>
          <w:lang w:val="es-ES"/>
        </w:rPr>
        <w:t xml:space="preserve"> </w:t>
      </w:r>
      <w:r w:rsidR="00891BDC" w:rsidRPr="002261B9">
        <w:rPr>
          <w:lang w:val="es-ES"/>
        </w:rPr>
        <w:t xml:space="preserve">Ni </w:t>
      </w:r>
      <w:r w:rsidR="003F3A09" w:rsidRPr="002261B9">
        <w:rPr>
          <w:lang w:val="es-ES"/>
        </w:rPr>
        <w:t>Noruega</w:t>
      </w:r>
      <w:r w:rsidR="00891BDC" w:rsidRPr="002261B9">
        <w:rPr>
          <w:lang w:val="es-ES"/>
        </w:rPr>
        <w:t xml:space="preserve"> n</w:t>
      </w:r>
      <w:r w:rsidR="00444141" w:rsidRPr="002261B9">
        <w:rPr>
          <w:lang w:val="es-ES"/>
        </w:rPr>
        <w:t xml:space="preserve">i </w:t>
      </w:r>
      <w:r w:rsidR="009321C2" w:rsidRPr="002261B9">
        <w:rPr>
          <w:lang w:val="es-ES"/>
        </w:rPr>
        <w:t>el Canadá</w:t>
      </w:r>
      <w:r w:rsidR="00891BDC" w:rsidRPr="002261B9">
        <w:rPr>
          <w:lang w:val="es-ES"/>
        </w:rPr>
        <w:t xml:space="preserve"> </w:t>
      </w:r>
      <w:r w:rsidR="00444141" w:rsidRPr="002261B9">
        <w:rPr>
          <w:lang w:val="es-ES"/>
        </w:rPr>
        <w:t>ni la Unión Europea</w:t>
      </w:r>
      <w:r w:rsidR="00891BDC" w:rsidRPr="002261B9">
        <w:rPr>
          <w:lang w:val="es-ES"/>
        </w:rPr>
        <w:t xml:space="preserve"> </w:t>
      </w:r>
      <w:r w:rsidR="00444141" w:rsidRPr="002261B9">
        <w:rPr>
          <w:lang w:val="es-ES"/>
        </w:rPr>
        <w:t xml:space="preserve">cuentan con exenciones específicas </w:t>
      </w:r>
      <w:r w:rsidR="004B4F9D" w:rsidRPr="002261B9">
        <w:rPr>
          <w:lang w:val="es-ES"/>
        </w:rPr>
        <w:t>par</w:t>
      </w:r>
      <w:r w:rsidR="00444141" w:rsidRPr="002261B9">
        <w:rPr>
          <w:lang w:val="es-ES"/>
        </w:rPr>
        <w:t>a la producción de alternativas fluoradas de cadena corta</w:t>
      </w:r>
      <w:r w:rsidR="00891BDC" w:rsidRPr="002261B9">
        <w:rPr>
          <w:lang w:val="es-ES"/>
        </w:rPr>
        <w:t xml:space="preserve">. </w:t>
      </w:r>
      <w:r w:rsidR="00444141" w:rsidRPr="002261B9">
        <w:rPr>
          <w:lang w:val="es-ES"/>
        </w:rPr>
        <w:t xml:space="preserve">Por consiguiente, no es </w:t>
      </w:r>
      <w:r w:rsidR="00B11364" w:rsidRPr="002261B9">
        <w:rPr>
          <w:lang w:val="es-ES"/>
        </w:rPr>
        <w:t>necesario establecer una exenció</w:t>
      </w:r>
      <w:r w:rsidR="00444141" w:rsidRPr="002261B9">
        <w:rPr>
          <w:lang w:val="es-ES"/>
        </w:rPr>
        <w:t xml:space="preserve">n para los productos intermedios en </w:t>
      </w:r>
      <w:r w:rsidR="00B11364" w:rsidRPr="002261B9">
        <w:rPr>
          <w:lang w:val="es-ES"/>
        </w:rPr>
        <w:t xml:space="preserve">un </w:t>
      </w:r>
      <w:r w:rsidR="00444141" w:rsidRPr="002261B9">
        <w:rPr>
          <w:lang w:val="es-ES"/>
        </w:rPr>
        <w:t xml:space="preserve">sistema cerrado </w:t>
      </w:r>
      <w:r w:rsidR="00B11364" w:rsidRPr="002261B9">
        <w:rPr>
          <w:lang w:val="es-ES"/>
        </w:rPr>
        <w:t xml:space="preserve">y limitado a un emplazamiento </w:t>
      </w:r>
      <w:r w:rsidR="00444141" w:rsidRPr="002261B9">
        <w:rPr>
          <w:lang w:val="es-ES"/>
        </w:rPr>
        <w:t>en el caso de sustancias incluidas en los anexos A o</w:t>
      </w:r>
      <w:r w:rsidR="005C1A4B" w:rsidRPr="002261B9">
        <w:rPr>
          <w:lang w:val="es-ES"/>
        </w:rPr>
        <w:t xml:space="preserve"> B </w:t>
      </w:r>
      <w:r w:rsidR="00444141" w:rsidRPr="002261B9">
        <w:rPr>
          <w:lang w:val="es-ES"/>
        </w:rPr>
        <w:t xml:space="preserve">del </w:t>
      </w:r>
      <w:r w:rsidR="00BF6525" w:rsidRPr="002261B9">
        <w:rPr>
          <w:lang w:val="es-ES"/>
        </w:rPr>
        <w:t>Convenio de Estocolmo</w:t>
      </w:r>
      <w:r w:rsidR="005C1A4B" w:rsidRPr="002261B9">
        <w:rPr>
          <w:lang w:val="es-ES"/>
        </w:rPr>
        <w:t xml:space="preserve"> </w:t>
      </w:r>
      <w:r w:rsidR="00444141" w:rsidRPr="002261B9">
        <w:rPr>
          <w:lang w:val="es-ES"/>
        </w:rPr>
        <w:t>para permitir que se vuelvan a procesar</w:t>
      </w:r>
      <w:r w:rsidR="005C1A4B" w:rsidRPr="002261B9">
        <w:rPr>
          <w:lang w:val="es-ES"/>
        </w:rPr>
        <w:t>.</w:t>
      </w:r>
      <w:bookmarkEnd w:id="85"/>
      <w:r w:rsidR="00284890" w:rsidRPr="002261B9">
        <w:rPr>
          <w:lang w:val="es-ES"/>
        </w:rPr>
        <w:t xml:space="preserve"> </w:t>
      </w:r>
      <w:r w:rsidR="00444141" w:rsidRPr="002261B9">
        <w:rPr>
          <w:lang w:val="es-ES"/>
        </w:rPr>
        <w:t>En el caso de los productos intermedios aislados transportados</w:t>
      </w:r>
      <w:r w:rsidR="003937E3" w:rsidRPr="002261B9">
        <w:rPr>
          <w:lang w:val="es-ES"/>
        </w:rPr>
        <w:t>,</w:t>
      </w:r>
      <w:r w:rsidR="00444141" w:rsidRPr="002261B9">
        <w:rPr>
          <w:lang w:val="es-ES"/>
        </w:rPr>
        <w:t xml:space="preserve"> se prevé establecer en la Unión Europea una exención sin límite de tiempo</w:t>
      </w:r>
      <w:r w:rsidR="003937E3" w:rsidRPr="002261B9">
        <w:rPr>
          <w:lang w:val="es-ES"/>
        </w:rPr>
        <w:t>,</w:t>
      </w:r>
      <w:r w:rsidR="00444141" w:rsidRPr="002261B9">
        <w:rPr>
          <w:lang w:val="es-ES"/>
        </w:rPr>
        <w:t xml:space="preserve"> de conformidad con el párrafo</w:t>
      </w:r>
      <w:r w:rsidR="00891BDC" w:rsidRPr="002261B9">
        <w:rPr>
          <w:lang w:val="es-ES"/>
        </w:rPr>
        <w:t xml:space="preserve"> 4</w:t>
      </w:r>
      <w:r w:rsidR="00444141" w:rsidRPr="002261B9">
        <w:rPr>
          <w:lang w:val="es-ES"/>
        </w:rPr>
        <w:t xml:space="preserve"> </w:t>
      </w:r>
      <w:r w:rsidR="00891BDC" w:rsidRPr="002261B9">
        <w:rPr>
          <w:lang w:val="es-ES"/>
        </w:rPr>
        <w:t>c)</w:t>
      </w:r>
      <w:r w:rsidR="00444141" w:rsidRPr="002261B9">
        <w:rPr>
          <w:lang w:val="es-ES"/>
        </w:rPr>
        <w:t>,</w:t>
      </w:r>
      <w:r w:rsidR="00891BDC" w:rsidRPr="002261B9">
        <w:rPr>
          <w:lang w:val="es-ES"/>
        </w:rPr>
        <w:t xml:space="preserve"> </w:t>
      </w:r>
      <w:r w:rsidR="00444141" w:rsidRPr="002261B9">
        <w:rPr>
          <w:lang w:val="es-ES"/>
        </w:rPr>
        <w:t>siempre y cuando se cumplan condiciones específicas</w:t>
      </w:r>
      <w:r w:rsidR="00891BDC" w:rsidRPr="002261B9">
        <w:rPr>
          <w:lang w:val="es-ES"/>
        </w:rPr>
        <w:t xml:space="preserve"> (</w:t>
      </w:r>
      <w:r w:rsidR="00912204" w:rsidRPr="002261B9">
        <w:rPr>
          <w:lang w:val="es-ES"/>
        </w:rPr>
        <w:t>Comisión Europea</w:t>
      </w:r>
      <w:r w:rsidR="000A45EB" w:rsidRPr="002261B9">
        <w:rPr>
          <w:lang w:val="es-ES"/>
        </w:rPr>
        <w:t>,</w:t>
      </w:r>
      <w:r w:rsidR="00891BDC" w:rsidRPr="002261B9">
        <w:rPr>
          <w:lang w:val="es-ES"/>
        </w:rPr>
        <w:t xml:space="preserve"> 2017). </w:t>
      </w:r>
      <w:r w:rsidR="00444141" w:rsidRPr="002261B9">
        <w:rPr>
          <w:lang w:val="es-ES"/>
        </w:rPr>
        <w:t xml:space="preserve">Se </w:t>
      </w:r>
      <w:r w:rsidR="005D3CC6" w:rsidRPr="002261B9">
        <w:rPr>
          <w:lang w:val="es-ES"/>
        </w:rPr>
        <w:t>podría</w:t>
      </w:r>
      <w:r w:rsidR="00444141" w:rsidRPr="002261B9">
        <w:rPr>
          <w:lang w:val="es-ES"/>
        </w:rPr>
        <w:t xml:space="preserve"> considerar asimismo una exención en el context</w:t>
      </w:r>
      <w:r w:rsidR="00B11364" w:rsidRPr="002261B9">
        <w:rPr>
          <w:lang w:val="es-ES"/>
        </w:rPr>
        <w:t>o</w:t>
      </w:r>
      <w:r w:rsidR="00444141" w:rsidRPr="002261B9">
        <w:rPr>
          <w:lang w:val="es-ES"/>
        </w:rPr>
        <w:t xml:space="preserve"> del </w:t>
      </w:r>
      <w:r w:rsidR="00BF6525" w:rsidRPr="002261B9">
        <w:rPr>
          <w:lang w:val="es-ES"/>
        </w:rPr>
        <w:t>Convenio de Estocolmo</w:t>
      </w:r>
      <w:r w:rsidR="00891BDC" w:rsidRPr="002261B9">
        <w:rPr>
          <w:lang w:val="es-ES"/>
        </w:rPr>
        <w:t xml:space="preserve"> </w:t>
      </w:r>
      <w:r w:rsidR="00444141" w:rsidRPr="002261B9">
        <w:rPr>
          <w:lang w:val="es-ES"/>
        </w:rPr>
        <w:t>para los productos intermedios aislados transportados a fin de facilitar el reprocesamiento en un lugar distinto del lugar de producción</w:t>
      </w:r>
      <w:r w:rsidR="00891BDC" w:rsidRPr="002261B9">
        <w:rPr>
          <w:lang w:val="es-ES"/>
        </w:rPr>
        <w:t xml:space="preserve">. </w:t>
      </w:r>
      <w:r w:rsidR="00444141" w:rsidRPr="002261B9">
        <w:rPr>
          <w:lang w:val="es-ES"/>
        </w:rPr>
        <w:t>Las condiciones podrían ser las mismas que las establecidas en la restricci</w:t>
      </w:r>
      <w:r w:rsidR="00B11364" w:rsidRPr="002261B9">
        <w:rPr>
          <w:lang w:val="es-ES"/>
        </w:rPr>
        <w:t>ón de la</w:t>
      </w:r>
      <w:r w:rsidR="00444141" w:rsidRPr="002261B9">
        <w:rPr>
          <w:lang w:val="es-ES"/>
        </w:rPr>
        <w:t xml:space="preserve"> Unión Europea</w:t>
      </w:r>
      <w:r w:rsidR="000846EE" w:rsidRPr="002261B9">
        <w:rPr>
          <w:lang w:val="es-ES"/>
        </w:rPr>
        <w:t xml:space="preserve"> </w:t>
      </w:r>
      <w:r w:rsidR="00ED54D2" w:rsidRPr="002261B9">
        <w:rPr>
          <w:lang w:val="es-ES"/>
        </w:rPr>
        <w:t>(</w:t>
      </w:r>
      <w:r w:rsidR="00444141" w:rsidRPr="002261B9">
        <w:rPr>
          <w:lang w:val="es-ES"/>
        </w:rPr>
        <w:t>véase el párrafo</w:t>
      </w:r>
      <w:r w:rsidR="00ED54D2" w:rsidRPr="002261B9">
        <w:rPr>
          <w:lang w:val="es-ES"/>
        </w:rPr>
        <w:t xml:space="preserve"> </w:t>
      </w:r>
      <w:r w:rsidR="005D3CC6" w:rsidRPr="002261B9">
        <w:rPr>
          <w:lang w:val="es-ES"/>
        </w:rPr>
        <w:t>8</w:t>
      </w:r>
      <w:r w:rsidR="007D12BF">
        <w:rPr>
          <w:lang w:val="es-ES"/>
        </w:rPr>
        <w:t>4</w:t>
      </w:r>
      <w:r w:rsidR="00ED54D2" w:rsidRPr="002261B9">
        <w:rPr>
          <w:lang w:val="es-ES"/>
        </w:rPr>
        <w:t>)</w:t>
      </w:r>
      <w:r w:rsidR="00891BDC" w:rsidRPr="002261B9">
        <w:rPr>
          <w:lang w:val="es-ES"/>
        </w:rPr>
        <w:t>.</w:t>
      </w:r>
      <w:r w:rsidR="005D3CC6" w:rsidRPr="002261B9">
        <w:rPr>
          <w:lang w:val="es-ES"/>
        </w:rPr>
        <w:t xml:space="preserve"> Para autorizar una exención se precisa información adicional que permita aclarar las cantidades, la duración del transporte y sus riesgos, así como los usos de las sustancias.</w:t>
      </w:r>
    </w:p>
    <w:p w14:paraId="11BBAB26" w14:textId="619305EE" w:rsidR="001A7EE9" w:rsidRPr="002261B9" w:rsidRDefault="005D3CC6" w:rsidP="00F45508">
      <w:pPr>
        <w:pStyle w:val="Paralevel1"/>
        <w:numPr>
          <w:ilvl w:val="0"/>
          <w:numId w:val="23"/>
        </w:numPr>
        <w:tabs>
          <w:tab w:val="clear" w:pos="0"/>
        </w:tabs>
        <w:ind w:left="1247" w:firstLine="0"/>
        <w:rPr>
          <w:lang w:val="es-ES"/>
        </w:rPr>
      </w:pPr>
      <w:r w:rsidRPr="002261B9">
        <w:rPr>
          <w:lang w:val="es-ES"/>
        </w:rPr>
        <w:t>No se han identificados alternativas al uso del PFOB como ayuda en los procesos de fabricación de productos farmacéuticos. El PFOB se obtiene del PFOI que resulta de la producción de sustancias basadas en fluorotelómeros 6:2. La producción de PFOI tiene lugar en un solo lugar del Japón para luego transportar la sustancia hacia otra instalación en el Japón para su uso como sustancia intermedia en la producción de PFOB.</w:t>
      </w:r>
      <w:r w:rsidR="00E1011E" w:rsidRPr="002261B9">
        <w:rPr>
          <w:lang w:val="es-ES"/>
        </w:rPr>
        <w:t xml:space="preserve"> </w:t>
      </w:r>
      <w:r w:rsidRPr="002261B9">
        <w:rPr>
          <w:lang w:val="es-ES"/>
        </w:rPr>
        <w:t xml:space="preserve">Posteriormente, se transporta el PFOB a dos lugares </w:t>
      </w:r>
      <w:r w:rsidR="00566DDB" w:rsidRPr="002261B9">
        <w:rPr>
          <w:lang w:val="es-ES"/>
        </w:rPr>
        <w:t>en</w:t>
      </w:r>
      <w:r w:rsidRPr="002261B9">
        <w:rPr>
          <w:lang w:val="es-ES"/>
        </w:rPr>
        <w:t xml:space="preserve"> los </w:t>
      </w:r>
      <w:r w:rsidR="00566DDB" w:rsidRPr="002261B9">
        <w:rPr>
          <w:lang w:val="es-ES"/>
        </w:rPr>
        <w:t>Estados Unidos y Suecia</w:t>
      </w:r>
      <w:r w:rsidRPr="002261B9">
        <w:rPr>
          <w:lang w:val="es-ES"/>
        </w:rPr>
        <w:t xml:space="preserve"> para la elaboración de los productos farmacéuticos correspondientes. </w:t>
      </w:r>
      <w:r w:rsidR="00B11364" w:rsidRPr="002261B9">
        <w:rPr>
          <w:lang w:val="es-ES"/>
        </w:rPr>
        <w:t>Hasta la fecha n</w:t>
      </w:r>
      <w:r w:rsidR="00085602" w:rsidRPr="002261B9">
        <w:rPr>
          <w:lang w:val="es-ES"/>
        </w:rPr>
        <w:t>o se han propuesto exenciones conexa</w:t>
      </w:r>
      <w:r w:rsidR="00B11364" w:rsidRPr="002261B9">
        <w:rPr>
          <w:lang w:val="es-ES"/>
        </w:rPr>
        <w:t>s</w:t>
      </w:r>
      <w:r w:rsidR="00085602" w:rsidRPr="002261B9">
        <w:rPr>
          <w:lang w:val="es-ES"/>
        </w:rPr>
        <w:t xml:space="preserve"> </w:t>
      </w:r>
      <w:r w:rsidR="00B11364" w:rsidRPr="002261B9">
        <w:rPr>
          <w:lang w:val="es-ES"/>
        </w:rPr>
        <w:t>en la Unión Europea, ni en Noruega o el Canadá</w:t>
      </w:r>
      <w:r w:rsidR="005F64B0" w:rsidRPr="002261B9">
        <w:rPr>
          <w:lang w:val="es-ES"/>
        </w:rPr>
        <w:t>.</w:t>
      </w:r>
      <w:r w:rsidR="00284890" w:rsidRPr="002261B9">
        <w:rPr>
          <w:lang w:val="es-ES"/>
        </w:rPr>
        <w:t xml:space="preserve"> </w:t>
      </w:r>
      <w:r w:rsidR="00085602" w:rsidRPr="002261B9">
        <w:rPr>
          <w:lang w:val="es-ES"/>
        </w:rPr>
        <w:t>En el contexto del Enfoque Estratégico</w:t>
      </w:r>
      <w:r w:rsidR="00B04DD6" w:rsidRPr="002261B9">
        <w:rPr>
          <w:lang w:val="es-ES"/>
        </w:rPr>
        <w:t>,</w:t>
      </w:r>
      <w:r w:rsidR="000E0DAD" w:rsidRPr="002261B9">
        <w:rPr>
          <w:lang w:val="es-ES"/>
        </w:rPr>
        <w:t xml:space="preserve"> </w:t>
      </w:r>
      <w:r w:rsidR="004B4F9D" w:rsidRPr="002261B9">
        <w:rPr>
          <w:lang w:val="es-ES"/>
        </w:rPr>
        <w:t xml:space="preserve">los </w:t>
      </w:r>
      <w:r w:rsidR="0038395C" w:rsidRPr="002261B9">
        <w:rPr>
          <w:lang w:val="es-ES"/>
        </w:rPr>
        <w:t xml:space="preserve">contaminantes farmacéuticos que persisten en el medio ambiente </w:t>
      </w:r>
      <w:r w:rsidR="004B4F9D" w:rsidRPr="002261B9">
        <w:rPr>
          <w:lang w:val="es-ES"/>
        </w:rPr>
        <w:t>se consideran</w:t>
      </w:r>
      <w:r w:rsidR="00847CF9" w:rsidRPr="002261B9">
        <w:rPr>
          <w:lang w:val="es-ES"/>
        </w:rPr>
        <w:t xml:space="preserve"> </w:t>
      </w:r>
      <w:r w:rsidR="004B4F9D" w:rsidRPr="002261B9">
        <w:rPr>
          <w:lang w:val="es-ES"/>
        </w:rPr>
        <w:t xml:space="preserve">una </w:t>
      </w:r>
      <w:r w:rsidR="00847CF9" w:rsidRPr="002261B9">
        <w:rPr>
          <w:lang w:val="es-ES"/>
        </w:rPr>
        <w:t xml:space="preserve">nueva cuestión normativa, </w:t>
      </w:r>
      <w:r w:rsidR="0038395C" w:rsidRPr="002261B9">
        <w:rPr>
          <w:lang w:val="es-ES"/>
        </w:rPr>
        <w:t>aunque se reconoce que los productos farmacéuticos aportan grandes beneficios a la salud humana y al bienestar de los animales</w:t>
      </w:r>
      <w:r w:rsidR="000E0DAD" w:rsidRPr="002261B9">
        <w:rPr>
          <w:vertAlign w:val="superscript"/>
          <w:lang w:val="es-ES"/>
        </w:rPr>
        <w:footnoteReference w:id="36"/>
      </w:r>
      <w:r w:rsidR="0038395C" w:rsidRPr="002261B9">
        <w:rPr>
          <w:lang w:val="es-ES"/>
        </w:rPr>
        <w:t>.</w:t>
      </w:r>
      <w:r w:rsidR="00284890" w:rsidRPr="002261B9">
        <w:rPr>
          <w:lang w:val="es-ES"/>
        </w:rPr>
        <w:t xml:space="preserve"> </w:t>
      </w:r>
      <w:r w:rsidR="00847CF9" w:rsidRPr="002261B9">
        <w:rPr>
          <w:lang w:val="es-ES"/>
        </w:rPr>
        <w:t xml:space="preserve">A juzgar por la información proporcionada, el actual proceso de producción a partir de </w:t>
      </w:r>
      <w:r w:rsidR="00A270DB" w:rsidRPr="002261B9">
        <w:rPr>
          <w:lang w:val="es-ES"/>
        </w:rPr>
        <w:t xml:space="preserve">PFOI </w:t>
      </w:r>
      <w:r w:rsidR="00847CF9" w:rsidRPr="002261B9">
        <w:rPr>
          <w:lang w:val="es-ES"/>
        </w:rPr>
        <w:t xml:space="preserve">se considera la única manera razonable de producir </w:t>
      </w:r>
      <w:r w:rsidR="002748F8" w:rsidRPr="002261B9">
        <w:rPr>
          <w:lang w:val="es-ES"/>
        </w:rPr>
        <w:t xml:space="preserve">PFOB. </w:t>
      </w:r>
      <w:r w:rsidRPr="002261B9">
        <w:rPr>
          <w:lang w:val="es-ES"/>
        </w:rPr>
        <w:t>Además, si se encontrase una alternativa al PFOB, el proceso de desarrollo para incorporarla en los productos farmacéuticos podría demorar diez años para completar las tres fases de ensayo en humanos y el proceso de examen regulatorio.</w:t>
      </w:r>
    </w:p>
    <w:p w14:paraId="67A18600" w14:textId="14AB3ACE" w:rsidR="001A7EE9" w:rsidRPr="002261B9" w:rsidRDefault="004C647B" w:rsidP="00F45508">
      <w:pPr>
        <w:pStyle w:val="Paralevel1"/>
        <w:numPr>
          <w:ilvl w:val="0"/>
          <w:numId w:val="23"/>
        </w:numPr>
        <w:tabs>
          <w:tab w:val="clear" w:pos="0"/>
        </w:tabs>
        <w:ind w:left="1247" w:firstLine="0"/>
        <w:rPr>
          <w:lang w:val="es-ES"/>
        </w:rPr>
      </w:pPr>
      <w:r w:rsidRPr="002261B9">
        <w:rPr>
          <w:lang w:val="es-ES"/>
        </w:rPr>
        <w:t xml:space="preserve">La creación de imágenes digitales </w:t>
      </w:r>
      <w:r w:rsidR="00A31B05" w:rsidRPr="002261B9">
        <w:rPr>
          <w:lang w:val="es-ES"/>
        </w:rPr>
        <w:t xml:space="preserve">reemplazará la necesidad de usar </w:t>
      </w:r>
      <w:r w:rsidR="0031244D" w:rsidRPr="002261B9">
        <w:rPr>
          <w:lang w:val="es-ES"/>
        </w:rPr>
        <w:t xml:space="preserve">PFOA </w:t>
      </w:r>
      <w:r w:rsidR="00A31B05" w:rsidRPr="002261B9">
        <w:rPr>
          <w:lang w:val="es-ES"/>
        </w:rPr>
        <w:t>e</w:t>
      </w:r>
      <w:r w:rsidR="0031244D" w:rsidRPr="002261B9">
        <w:rPr>
          <w:lang w:val="es-ES"/>
        </w:rPr>
        <w:t xml:space="preserve">n </w:t>
      </w:r>
      <w:r w:rsidR="00A31B05" w:rsidRPr="002261B9">
        <w:rPr>
          <w:lang w:val="es-ES"/>
        </w:rPr>
        <w:t>la creación de imágenes ópticas y esa transición ya está teniendo lugar con suma rapidez</w:t>
      </w:r>
      <w:r w:rsidR="0031244D" w:rsidRPr="002261B9">
        <w:rPr>
          <w:lang w:val="es-ES"/>
        </w:rPr>
        <w:t xml:space="preserve">. </w:t>
      </w:r>
      <w:r w:rsidR="00A31B05" w:rsidRPr="002261B9">
        <w:rPr>
          <w:lang w:val="es-ES"/>
        </w:rPr>
        <w:t xml:space="preserve">El uso del </w:t>
      </w:r>
      <w:r w:rsidR="0031244D" w:rsidRPr="002261B9">
        <w:rPr>
          <w:lang w:val="es-ES"/>
        </w:rPr>
        <w:t xml:space="preserve">PFOA </w:t>
      </w:r>
      <w:r w:rsidR="00A31B05" w:rsidRPr="002261B9">
        <w:rPr>
          <w:lang w:val="es-ES"/>
        </w:rPr>
        <w:t xml:space="preserve">en la creación de imágenes ópticas ha disminuido en más del </w:t>
      </w:r>
      <w:r w:rsidR="0031244D" w:rsidRPr="002261B9">
        <w:rPr>
          <w:lang w:val="es-ES"/>
        </w:rPr>
        <w:t xml:space="preserve">95% </w:t>
      </w:r>
      <w:r w:rsidR="00A31B05" w:rsidRPr="002261B9">
        <w:rPr>
          <w:lang w:val="es-ES"/>
        </w:rPr>
        <w:t xml:space="preserve">en todo el mundo desde </w:t>
      </w:r>
      <w:r w:rsidR="0031244D" w:rsidRPr="002261B9">
        <w:rPr>
          <w:lang w:val="es-ES"/>
        </w:rPr>
        <w:t>2000 (I&amp;P Europe).</w:t>
      </w:r>
      <w:r w:rsidR="00284890" w:rsidRPr="002261B9">
        <w:rPr>
          <w:lang w:val="es-ES"/>
        </w:rPr>
        <w:t xml:space="preserve"> </w:t>
      </w:r>
      <w:r w:rsidR="00A31B05" w:rsidRPr="002261B9">
        <w:rPr>
          <w:lang w:val="es-ES"/>
        </w:rPr>
        <w:t>A medida que avance la transición hacia la creación de imágenes digitales, se prevé que siga disminuyendo el uso de estas sustancias. Según un análisis de las alternativas, queda aún un pequeño número de usos importantes en el sector de la creación de imágenes ópticas.</w:t>
      </w:r>
      <w:r w:rsidR="00284890" w:rsidRPr="002261B9">
        <w:rPr>
          <w:lang w:val="es-ES"/>
        </w:rPr>
        <w:t xml:space="preserve"> </w:t>
      </w:r>
      <w:r w:rsidR="00A31B05" w:rsidRPr="002261B9">
        <w:rPr>
          <w:lang w:val="es-ES"/>
        </w:rPr>
        <w:t>Con arreglo a la restricción de la Unión Europea, se ha establecido una exención para los recubrimientos fotográficos que se aplican a películas, papeles o planchas tipográficas sin límite de tiempo</w:t>
      </w:r>
      <w:r w:rsidR="005F64B0" w:rsidRPr="002261B9">
        <w:rPr>
          <w:lang w:val="es-ES"/>
        </w:rPr>
        <w:t>.</w:t>
      </w:r>
      <w:r w:rsidR="0031244D" w:rsidRPr="002261B9">
        <w:rPr>
          <w:lang w:val="es-ES"/>
        </w:rPr>
        <w:t xml:space="preserve"> </w:t>
      </w:r>
      <w:r w:rsidR="00A31B05" w:rsidRPr="002261B9">
        <w:rPr>
          <w:lang w:val="es-ES"/>
        </w:rPr>
        <w:t xml:space="preserve">Las exenciones específicas para este uso en </w:t>
      </w:r>
      <w:r w:rsidR="003F3A09" w:rsidRPr="002261B9">
        <w:rPr>
          <w:lang w:val="es-ES"/>
        </w:rPr>
        <w:t>Noruega</w:t>
      </w:r>
      <w:r w:rsidR="0031244D" w:rsidRPr="002261B9">
        <w:rPr>
          <w:lang w:val="es-ES"/>
        </w:rPr>
        <w:t xml:space="preserve"> </w:t>
      </w:r>
      <w:r w:rsidR="00306079" w:rsidRPr="002261B9">
        <w:rPr>
          <w:lang w:val="es-ES"/>
        </w:rPr>
        <w:t xml:space="preserve">y </w:t>
      </w:r>
      <w:r w:rsidR="009321C2" w:rsidRPr="002261B9">
        <w:rPr>
          <w:lang w:val="es-ES"/>
        </w:rPr>
        <w:t>el Canadá</w:t>
      </w:r>
      <w:r w:rsidR="0031244D" w:rsidRPr="002261B9">
        <w:rPr>
          <w:lang w:val="es-ES"/>
        </w:rPr>
        <w:t xml:space="preserve"> </w:t>
      </w:r>
      <w:r w:rsidR="00A31B05" w:rsidRPr="002261B9">
        <w:rPr>
          <w:lang w:val="es-ES"/>
        </w:rPr>
        <w:t xml:space="preserve">caducaron en </w:t>
      </w:r>
      <w:r w:rsidR="0031244D" w:rsidRPr="002261B9">
        <w:rPr>
          <w:lang w:val="es-ES"/>
        </w:rPr>
        <w:t>2016</w:t>
      </w:r>
      <w:r w:rsidR="00D8022C" w:rsidRPr="002261B9">
        <w:rPr>
          <w:lang w:val="es-ES"/>
        </w:rPr>
        <w:t>;</w:t>
      </w:r>
      <w:r w:rsidR="0031244D" w:rsidRPr="002261B9">
        <w:rPr>
          <w:lang w:val="es-ES"/>
        </w:rPr>
        <w:t xml:space="preserve"> </w:t>
      </w:r>
      <w:r w:rsidR="00A31B05" w:rsidRPr="002261B9">
        <w:rPr>
          <w:lang w:val="es-ES"/>
        </w:rPr>
        <w:t xml:space="preserve">no obstante, el procedimiento de </w:t>
      </w:r>
      <w:r w:rsidR="00A31B05" w:rsidRPr="002261B9">
        <w:rPr>
          <w:lang w:val="es-ES"/>
        </w:rPr>
        <w:lastRenderedPageBreak/>
        <w:t>gestión del riesgo solo se aplica en Noruega a los productos de consumo</w:t>
      </w:r>
      <w:r w:rsidR="00085602" w:rsidRPr="002261B9">
        <w:rPr>
          <w:lang w:val="es-ES"/>
        </w:rPr>
        <w:t xml:space="preserve">, mientras que </w:t>
      </w:r>
      <w:r w:rsidR="00A31B05" w:rsidRPr="002261B9">
        <w:rPr>
          <w:lang w:val="es-ES"/>
        </w:rPr>
        <w:t xml:space="preserve">en el </w:t>
      </w:r>
      <w:r w:rsidR="009321C2" w:rsidRPr="002261B9">
        <w:rPr>
          <w:lang w:val="es-ES"/>
        </w:rPr>
        <w:t>Canadá</w:t>
      </w:r>
      <w:r w:rsidR="00085602" w:rsidRPr="002261B9">
        <w:rPr>
          <w:lang w:val="es-ES"/>
        </w:rPr>
        <w:t xml:space="preserve"> no están restringidos </w:t>
      </w:r>
      <w:r w:rsidR="00D8022C" w:rsidRPr="002261B9">
        <w:rPr>
          <w:lang w:val="es-ES"/>
        </w:rPr>
        <w:t xml:space="preserve">ni </w:t>
      </w:r>
      <w:r w:rsidR="00085602" w:rsidRPr="002261B9">
        <w:rPr>
          <w:lang w:val="es-ES"/>
        </w:rPr>
        <w:t>la importación</w:t>
      </w:r>
      <w:r w:rsidR="00D8022C" w:rsidRPr="002261B9">
        <w:rPr>
          <w:lang w:val="es-ES"/>
        </w:rPr>
        <w:t xml:space="preserve"> ni</w:t>
      </w:r>
      <w:r w:rsidR="00085602" w:rsidRPr="002261B9">
        <w:rPr>
          <w:lang w:val="es-ES"/>
        </w:rPr>
        <w:t xml:space="preserve"> el uso, la venta </w:t>
      </w:r>
      <w:r w:rsidR="00D8022C" w:rsidRPr="002261B9">
        <w:rPr>
          <w:lang w:val="es-ES"/>
        </w:rPr>
        <w:t xml:space="preserve">o </w:t>
      </w:r>
      <w:r w:rsidR="00085602" w:rsidRPr="002261B9">
        <w:rPr>
          <w:lang w:val="es-ES"/>
        </w:rPr>
        <w:t>la oferta de venta de recubrimiento</w:t>
      </w:r>
      <w:r w:rsidR="004B4F9D" w:rsidRPr="002261B9">
        <w:rPr>
          <w:lang w:val="es-ES"/>
        </w:rPr>
        <w:t>s</w:t>
      </w:r>
      <w:r w:rsidR="00085602" w:rsidRPr="002261B9">
        <w:rPr>
          <w:lang w:val="es-ES"/>
        </w:rPr>
        <w:t xml:space="preserve"> de medios fotográficos aplicados a películas, papeles o planchas tipográficas que contengan </w:t>
      </w:r>
      <w:r w:rsidR="00880BEC" w:rsidRPr="002261B9">
        <w:rPr>
          <w:lang w:val="es-ES"/>
        </w:rPr>
        <w:t xml:space="preserve">PFOA, </w:t>
      </w:r>
      <w:r w:rsidR="00760247" w:rsidRPr="002261B9">
        <w:rPr>
          <w:lang w:val="es-ES"/>
        </w:rPr>
        <w:t>sus sales</w:t>
      </w:r>
      <w:r w:rsidR="00880BEC" w:rsidRPr="002261B9">
        <w:rPr>
          <w:lang w:val="es-ES"/>
        </w:rPr>
        <w:t xml:space="preserve"> o</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00C00A86" w:rsidRPr="002261B9">
        <w:rPr>
          <w:lang w:val="es-ES"/>
        </w:rPr>
        <w:t>.</w:t>
      </w:r>
      <w:r w:rsidR="0077561D" w:rsidRPr="002261B9">
        <w:rPr>
          <w:lang w:val="es-ES"/>
        </w:rPr>
        <w:t xml:space="preserve"> </w:t>
      </w:r>
      <w:r w:rsidR="00085602" w:rsidRPr="002261B9">
        <w:rPr>
          <w:lang w:val="es-ES"/>
        </w:rPr>
        <w:t xml:space="preserve">Se debería considerar la </w:t>
      </w:r>
      <w:r w:rsidR="00B11364" w:rsidRPr="002261B9">
        <w:rPr>
          <w:lang w:val="es-ES"/>
        </w:rPr>
        <w:t>posibilidad</w:t>
      </w:r>
      <w:r w:rsidR="00085602" w:rsidRPr="002261B9">
        <w:rPr>
          <w:lang w:val="es-ES"/>
        </w:rPr>
        <w:t xml:space="preserve"> de establecer una </w:t>
      </w:r>
      <w:r w:rsidR="002748F8" w:rsidRPr="002261B9">
        <w:rPr>
          <w:lang w:val="es-ES"/>
        </w:rPr>
        <w:t>exención de</w:t>
      </w:r>
      <w:r w:rsidR="008C077F" w:rsidRPr="002261B9">
        <w:rPr>
          <w:lang w:val="es-ES"/>
        </w:rPr>
        <w:t xml:space="preserve"> plazo limitado </w:t>
      </w:r>
      <w:r w:rsidR="00085602" w:rsidRPr="002261B9">
        <w:rPr>
          <w:lang w:val="es-ES"/>
        </w:rPr>
        <w:t xml:space="preserve">en el marco del </w:t>
      </w:r>
      <w:r w:rsidR="00BF6525" w:rsidRPr="002261B9">
        <w:rPr>
          <w:lang w:val="es-ES"/>
        </w:rPr>
        <w:t>Convenio de Estocolmo</w:t>
      </w:r>
      <w:r w:rsidR="005D67D5" w:rsidRPr="002261B9">
        <w:rPr>
          <w:lang w:val="es-ES"/>
        </w:rPr>
        <w:t xml:space="preserve"> </w:t>
      </w:r>
      <w:r w:rsidR="00085602" w:rsidRPr="002261B9">
        <w:rPr>
          <w:lang w:val="es-ES"/>
        </w:rPr>
        <w:t>para los recubrimientos fotográficos aplicados a película</w:t>
      </w:r>
      <w:r w:rsidR="004B4F9D" w:rsidRPr="002261B9">
        <w:rPr>
          <w:lang w:val="es-ES"/>
        </w:rPr>
        <w:t>s</w:t>
      </w:r>
      <w:r w:rsidR="008C077F" w:rsidRPr="002261B9">
        <w:rPr>
          <w:lang w:val="es-ES"/>
        </w:rPr>
        <w:t>.</w:t>
      </w:r>
      <w:r w:rsidR="00E1011E" w:rsidRPr="002261B9">
        <w:rPr>
          <w:lang w:val="es-ES"/>
        </w:rPr>
        <w:t xml:space="preserve"> </w:t>
      </w:r>
      <w:r w:rsidR="008C077F" w:rsidRPr="002261B9">
        <w:rPr>
          <w:lang w:val="es-ES"/>
        </w:rPr>
        <w:t>En la 13ª reunión del Comité de Examen de los Contaminantes Orgánicos Persistentes</w:t>
      </w:r>
      <w:r w:rsidR="00BC5BAE" w:rsidRPr="002261B9">
        <w:rPr>
          <w:lang w:val="es-ES"/>
        </w:rPr>
        <w:t>,</w:t>
      </w:r>
      <w:r w:rsidR="008C077F" w:rsidRPr="002261B9">
        <w:rPr>
          <w:lang w:val="es-ES"/>
        </w:rPr>
        <w:t xml:space="preserve"> </w:t>
      </w:r>
      <w:r w:rsidR="00BC5BAE" w:rsidRPr="002261B9">
        <w:rPr>
          <w:lang w:val="es-ES"/>
        </w:rPr>
        <w:t>se</w:t>
      </w:r>
      <w:r w:rsidR="008C077F" w:rsidRPr="002261B9">
        <w:rPr>
          <w:lang w:val="es-ES"/>
        </w:rPr>
        <w:t xml:space="preserve"> presentó información que demostraba que ya no se requería una exención de plazo limitado en las industrias del papel y la impresión. Se indicó también que en el caso de los países en desarrollo no se contaba con esa información.</w:t>
      </w:r>
    </w:p>
    <w:p w14:paraId="3A9EACDB" w14:textId="17051A7E" w:rsidR="001A7EE9" w:rsidRPr="002261B9" w:rsidRDefault="00654BA0" w:rsidP="00F45508">
      <w:pPr>
        <w:pStyle w:val="Paralevel1"/>
        <w:numPr>
          <w:ilvl w:val="0"/>
          <w:numId w:val="23"/>
        </w:numPr>
        <w:tabs>
          <w:tab w:val="clear" w:pos="0"/>
        </w:tabs>
        <w:ind w:left="1247" w:firstLine="0"/>
        <w:rPr>
          <w:lang w:val="es-ES"/>
        </w:rPr>
      </w:pPr>
      <w:r w:rsidRPr="002261B9">
        <w:rPr>
          <w:lang w:val="es-ES"/>
        </w:rPr>
        <w:t>Una empresa que aplica recubrimientos para fabricantes de teléfonos inteligentes solicitó, durante la consulta pública de la Unión Europea</w:t>
      </w:r>
      <w:r w:rsidR="00B04DD6" w:rsidRPr="002261B9">
        <w:rPr>
          <w:lang w:val="es-ES"/>
        </w:rPr>
        <w:t>,</w:t>
      </w:r>
      <w:r w:rsidR="005F64B0" w:rsidRPr="002261B9">
        <w:rPr>
          <w:lang w:val="es-ES"/>
        </w:rPr>
        <w:t xml:space="preserve"> </w:t>
      </w:r>
      <w:r w:rsidRPr="002261B9">
        <w:rPr>
          <w:lang w:val="es-ES"/>
        </w:rPr>
        <w:t xml:space="preserve">una exención de </w:t>
      </w:r>
      <w:r w:rsidR="00D8022C" w:rsidRPr="002261B9">
        <w:rPr>
          <w:lang w:val="es-ES"/>
        </w:rPr>
        <w:t>tres</w:t>
      </w:r>
      <w:r w:rsidR="005F64B0" w:rsidRPr="002261B9">
        <w:rPr>
          <w:lang w:val="es-ES"/>
        </w:rPr>
        <w:t xml:space="preserve"> </w:t>
      </w:r>
      <w:r w:rsidRPr="002261B9">
        <w:rPr>
          <w:lang w:val="es-ES"/>
        </w:rPr>
        <w:t>años para el nano</w:t>
      </w:r>
      <w:r w:rsidR="00C36E37" w:rsidRPr="002261B9">
        <w:rPr>
          <w:lang w:val="es-ES"/>
        </w:rPr>
        <w:t>r</w:t>
      </w:r>
      <w:r w:rsidRPr="002261B9">
        <w:rPr>
          <w:lang w:val="es-ES"/>
        </w:rPr>
        <w:t>recubrimiento con plasma pulsado</w:t>
      </w:r>
      <w:r w:rsidR="005F64B0" w:rsidRPr="002261B9">
        <w:rPr>
          <w:lang w:val="es-ES"/>
        </w:rPr>
        <w:t xml:space="preserve"> </w:t>
      </w:r>
      <w:r w:rsidRPr="002261B9">
        <w:rPr>
          <w:lang w:val="es-ES"/>
        </w:rPr>
        <w:t xml:space="preserve">durante </w:t>
      </w:r>
      <w:r w:rsidR="00992CA7" w:rsidRPr="002261B9">
        <w:rPr>
          <w:lang w:val="es-ES"/>
        </w:rPr>
        <w:t xml:space="preserve">la transición </w:t>
      </w:r>
      <w:r w:rsidR="00A30EB1" w:rsidRPr="002261B9">
        <w:rPr>
          <w:lang w:val="es-ES"/>
        </w:rPr>
        <w:t>haci</w:t>
      </w:r>
      <w:r w:rsidR="00992CA7" w:rsidRPr="002261B9">
        <w:rPr>
          <w:lang w:val="es-ES"/>
        </w:rPr>
        <w:t>a una alternativ</w:t>
      </w:r>
      <w:r w:rsidRPr="002261B9">
        <w:rPr>
          <w:lang w:val="es-ES"/>
        </w:rPr>
        <w:t>a</w:t>
      </w:r>
      <w:r w:rsidR="00992CA7" w:rsidRPr="002261B9">
        <w:rPr>
          <w:lang w:val="es-ES"/>
        </w:rPr>
        <w:t xml:space="preserve"> química a base de </w:t>
      </w:r>
      <w:r w:rsidR="005F64B0" w:rsidRPr="002261B9">
        <w:rPr>
          <w:lang w:val="es-ES"/>
        </w:rPr>
        <w:t>C</w:t>
      </w:r>
      <w:r w:rsidR="005F64B0" w:rsidRPr="002261B9">
        <w:rPr>
          <w:vertAlign w:val="subscript"/>
          <w:lang w:val="es-ES"/>
        </w:rPr>
        <w:t>6</w:t>
      </w:r>
      <w:r w:rsidR="005F64B0" w:rsidRPr="002261B9">
        <w:rPr>
          <w:lang w:val="es-ES"/>
        </w:rPr>
        <w:t xml:space="preserve">. </w:t>
      </w:r>
      <w:r w:rsidR="00992CA7" w:rsidRPr="002261B9">
        <w:rPr>
          <w:lang w:val="es-ES"/>
        </w:rPr>
        <w:t>En el caso del nano</w:t>
      </w:r>
      <w:r w:rsidR="00C36E37" w:rsidRPr="002261B9">
        <w:rPr>
          <w:lang w:val="es-ES"/>
        </w:rPr>
        <w:t>r</w:t>
      </w:r>
      <w:r w:rsidR="00992CA7" w:rsidRPr="002261B9">
        <w:rPr>
          <w:lang w:val="es-ES"/>
        </w:rPr>
        <w:t>recubrimiento con plasma</w:t>
      </w:r>
      <w:r w:rsidRPr="002261B9">
        <w:rPr>
          <w:lang w:val="es-ES"/>
        </w:rPr>
        <w:t>, en la Unión Europea</w:t>
      </w:r>
      <w:r w:rsidR="00992CA7" w:rsidRPr="002261B9">
        <w:rPr>
          <w:lang w:val="es-ES"/>
        </w:rPr>
        <w:t xml:space="preserve"> se ha establecido una exención por tiempo limitado</w:t>
      </w:r>
      <w:r w:rsidR="003D2ECD" w:rsidRPr="002261B9">
        <w:rPr>
          <w:lang w:val="es-ES"/>
        </w:rPr>
        <w:t xml:space="preserve"> </w:t>
      </w:r>
      <w:r w:rsidR="005F64B0" w:rsidRPr="002261B9">
        <w:rPr>
          <w:lang w:val="es-ES"/>
        </w:rPr>
        <w:t>(</w:t>
      </w:r>
      <w:r w:rsidR="00992CA7" w:rsidRPr="002261B9">
        <w:rPr>
          <w:lang w:val="es-ES"/>
        </w:rPr>
        <w:t xml:space="preserve">hasta el </w:t>
      </w:r>
      <w:r w:rsidR="00C55024" w:rsidRPr="002261B9">
        <w:rPr>
          <w:lang w:val="es-ES"/>
        </w:rPr>
        <w:t xml:space="preserve">4 </w:t>
      </w:r>
      <w:r w:rsidR="00992CA7" w:rsidRPr="002261B9">
        <w:rPr>
          <w:lang w:val="es-ES"/>
        </w:rPr>
        <w:t xml:space="preserve">de julio de </w:t>
      </w:r>
      <w:r w:rsidR="00C55024" w:rsidRPr="002261B9">
        <w:rPr>
          <w:lang w:val="es-ES"/>
        </w:rPr>
        <w:t>2023</w:t>
      </w:r>
      <w:r w:rsidR="005F64B0" w:rsidRPr="002261B9">
        <w:rPr>
          <w:lang w:val="es-ES"/>
        </w:rPr>
        <w:t xml:space="preserve">). </w:t>
      </w:r>
      <w:r w:rsidR="003F3A09" w:rsidRPr="002261B9">
        <w:rPr>
          <w:lang w:val="es-ES"/>
        </w:rPr>
        <w:t>Noruega</w:t>
      </w:r>
      <w:r w:rsidR="005F64B0" w:rsidRPr="002261B9">
        <w:rPr>
          <w:lang w:val="es-ES"/>
        </w:rPr>
        <w:t xml:space="preserve"> </w:t>
      </w:r>
      <w:r w:rsidR="00992CA7" w:rsidRPr="002261B9">
        <w:rPr>
          <w:lang w:val="es-ES"/>
        </w:rPr>
        <w:t>y</w:t>
      </w:r>
      <w:r w:rsidR="005F64B0" w:rsidRPr="002261B9">
        <w:rPr>
          <w:lang w:val="es-ES"/>
        </w:rPr>
        <w:t xml:space="preserve"> </w:t>
      </w:r>
      <w:r w:rsidR="009321C2" w:rsidRPr="002261B9">
        <w:rPr>
          <w:lang w:val="es-ES"/>
        </w:rPr>
        <w:t>el Canadá</w:t>
      </w:r>
      <w:r w:rsidR="005F64B0" w:rsidRPr="002261B9">
        <w:rPr>
          <w:lang w:val="es-ES"/>
        </w:rPr>
        <w:t xml:space="preserve"> </w:t>
      </w:r>
      <w:r w:rsidR="00992CA7" w:rsidRPr="002261B9">
        <w:rPr>
          <w:lang w:val="es-ES"/>
        </w:rPr>
        <w:t>no cuentan con exenciones específicas para el nano</w:t>
      </w:r>
      <w:r w:rsidR="00C36E37" w:rsidRPr="002261B9">
        <w:rPr>
          <w:lang w:val="es-ES"/>
        </w:rPr>
        <w:t>r</w:t>
      </w:r>
      <w:r w:rsidR="00992CA7" w:rsidRPr="002261B9">
        <w:rPr>
          <w:lang w:val="es-ES"/>
        </w:rPr>
        <w:t>recubrimiento</w:t>
      </w:r>
      <w:r w:rsidR="005F64B0" w:rsidRPr="002261B9">
        <w:rPr>
          <w:lang w:val="es-ES"/>
        </w:rPr>
        <w:t xml:space="preserve"> </w:t>
      </w:r>
      <w:r w:rsidR="00C64920" w:rsidRPr="002261B9">
        <w:rPr>
          <w:lang w:val="es-ES"/>
        </w:rPr>
        <w:t>en este caso</w:t>
      </w:r>
      <w:r w:rsidR="005F64B0" w:rsidRPr="002261B9">
        <w:rPr>
          <w:lang w:val="es-ES"/>
        </w:rPr>
        <w:t>.</w:t>
      </w:r>
      <w:r w:rsidR="00C00A86" w:rsidRPr="002261B9">
        <w:rPr>
          <w:lang w:val="es-ES"/>
        </w:rPr>
        <w:t xml:space="preserve"> </w:t>
      </w:r>
      <w:r w:rsidR="00992CA7" w:rsidRPr="002261B9">
        <w:rPr>
          <w:lang w:val="es-ES"/>
        </w:rPr>
        <w:t>E</w:t>
      </w:r>
      <w:r w:rsidR="00880BEC" w:rsidRPr="002261B9">
        <w:rPr>
          <w:lang w:val="es-ES"/>
        </w:rPr>
        <w:t xml:space="preserve">n </w:t>
      </w:r>
      <w:r w:rsidR="009321C2" w:rsidRPr="002261B9">
        <w:rPr>
          <w:lang w:val="es-ES"/>
        </w:rPr>
        <w:t>el Canadá</w:t>
      </w:r>
      <w:r w:rsidR="00880BEC" w:rsidRPr="002261B9">
        <w:rPr>
          <w:lang w:val="es-ES"/>
        </w:rPr>
        <w:t xml:space="preserve">, </w:t>
      </w:r>
      <w:r w:rsidR="00992CA7" w:rsidRPr="002261B9">
        <w:rPr>
          <w:lang w:val="es-ES"/>
        </w:rPr>
        <w:t xml:space="preserve">la importación, el uso, la venta y la oferta </w:t>
      </w:r>
      <w:r w:rsidR="00386F8F" w:rsidRPr="002261B9">
        <w:rPr>
          <w:lang w:val="es-ES"/>
        </w:rPr>
        <w:t>de</w:t>
      </w:r>
      <w:r w:rsidR="00992CA7" w:rsidRPr="002261B9">
        <w:rPr>
          <w:lang w:val="es-ES"/>
        </w:rPr>
        <w:t xml:space="preserve"> venta de recubrimientos aplicados a los teléfonos inteligente</w:t>
      </w:r>
      <w:r w:rsidR="00C64920" w:rsidRPr="002261B9">
        <w:rPr>
          <w:lang w:val="es-ES"/>
        </w:rPr>
        <w:t>s</w:t>
      </w:r>
      <w:r w:rsidR="00C00A86" w:rsidRPr="002261B9">
        <w:rPr>
          <w:lang w:val="es-ES"/>
        </w:rPr>
        <w:t xml:space="preserve"> (o </w:t>
      </w:r>
      <w:r w:rsidR="00992CA7" w:rsidRPr="002261B9">
        <w:rPr>
          <w:lang w:val="es-ES"/>
        </w:rPr>
        <w:t>a equipos electrónicos</w:t>
      </w:r>
      <w:r w:rsidR="00C00A86" w:rsidRPr="002261B9">
        <w:rPr>
          <w:lang w:val="es-ES"/>
        </w:rPr>
        <w:t xml:space="preserve">) </w:t>
      </w:r>
      <w:r w:rsidR="00992CA7" w:rsidRPr="002261B9">
        <w:rPr>
          <w:lang w:val="es-ES"/>
        </w:rPr>
        <w:t xml:space="preserve">que contengan </w:t>
      </w:r>
      <w:r w:rsidR="00880BEC" w:rsidRPr="002261B9">
        <w:rPr>
          <w:lang w:val="es-ES"/>
        </w:rPr>
        <w:t xml:space="preserve">PFOA, </w:t>
      </w:r>
      <w:r w:rsidR="00760247" w:rsidRPr="002261B9">
        <w:rPr>
          <w:lang w:val="es-ES"/>
        </w:rPr>
        <w:t>sus sales</w:t>
      </w:r>
      <w:r w:rsidR="00880BEC" w:rsidRPr="002261B9">
        <w:rPr>
          <w:lang w:val="es-ES"/>
        </w:rPr>
        <w:t xml:space="preserve"> o</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00880BEC" w:rsidRPr="002261B9">
        <w:rPr>
          <w:lang w:val="es-ES"/>
        </w:rPr>
        <w:t xml:space="preserve"> </w:t>
      </w:r>
      <w:r w:rsidR="00992CA7" w:rsidRPr="002261B9">
        <w:rPr>
          <w:lang w:val="es-ES"/>
        </w:rPr>
        <w:t>no son objeto de restricciones</w:t>
      </w:r>
      <w:r w:rsidR="00C00A86" w:rsidRPr="002261B9">
        <w:rPr>
          <w:lang w:val="es-ES"/>
        </w:rPr>
        <w:t>.</w:t>
      </w:r>
      <w:r w:rsidR="0021648D" w:rsidRPr="002261B9">
        <w:rPr>
          <w:lang w:val="es-ES"/>
        </w:rPr>
        <w:t xml:space="preserve"> </w:t>
      </w:r>
      <w:r w:rsidR="008C077F" w:rsidRPr="002261B9">
        <w:rPr>
          <w:lang w:val="es-ES"/>
        </w:rPr>
        <w:t>S</w:t>
      </w:r>
      <w:r w:rsidR="00992CA7" w:rsidRPr="002261B9">
        <w:rPr>
          <w:lang w:val="es-ES"/>
        </w:rPr>
        <w:t>olo una empresa ha pedido una exención por un corto período de tiempo</w:t>
      </w:r>
      <w:r w:rsidR="008C077F" w:rsidRPr="002261B9">
        <w:rPr>
          <w:lang w:val="es-ES"/>
        </w:rPr>
        <w:t>.</w:t>
      </w:r>
      <w:r w:rsidR="000E359B" w:rsidRPr="002261B9">
        <w:rPr>
          <w:lang w:val="es-ES"/>
        </w:rPr>
        <w:t xml:space="preserve"> </w:t>
      </w:r>
    </w:p>
    <w:p w14:paraId="745A14E3" w14:textId="13FDB92E" w:rsidR="001A7EE9" w:rsidRPr="002261B9" w:rsidRDefault="00D1670D" w:rsidP="00F45508">
      <w:pPr>
        <w:pStyle w:val="Paralevel1"/>
        <w:numPr>
          <w:ilvl w:val="0"/>
          <w:numId w:val="23"/>
        </w:numPr>
        <w:tabs>
          <w:tab w:val="clear" w:pos="0"/>
        </w:tabs>
        <w:ind w:left="1247" w:firstLine="0"/>
        <w:rPr>
          <w:lang w:val="es-ES"/>
        </w:rPr>
      </w:pPr>
      <w:r w:rsidRPr="002261B9">
        <w:rPr>
          <w:lang w:val="es-ES"/>
        </w:rPr>
        <w:t xml:space="preserve">El uso del </w:t>
      </w:r>
      <w:r w:rsidR="00562A88" w:rsidRPr="002261B9">
        <w:rPr>
          <w:lang w:val="es-ES"/>
        </w:rPr>
        <w:t xml:space="preserve">PFOA </w:t>
      </w:r>
      <w:r w:rsidRPr="002261B9">
        <w:rPr>
          <w:lang w:val="es-ES"/>
        </w:rPr>
        <w:t>en las espumas ignífuga</w:t>
      </w:r>
      <w:r w:rsidR="00C64920" w:rsidRPr="002261B9">
        <w:rPr>
          <w:lang w:val="es-ES"/>
        </w:rPr>
        <w:t>s</w:t>
      </w:r>
      <w:r w:rsidRPr="002261B9">
        <w:rPr>
          <w:lang w:val="es-ES"/>
        </w:rPr>
        <w:t xml:space="preserve"> </w:t>
      </w:r>
      <w:r w:rsidR="00C64920" w:rsidRPr="002261B9">
        <w:rPr>
          <w:lang w:val="es-ES"/>
        </w:rPr>
        <w:t xml:space="preserve">es motivo de </w:t>
      </w:r>
      <w:r w:rsidRPr="002261B9">
        <w:rPr>
          <w:lang w:val="es-ES"/>
        </w:rPr>
        <w:t>preocupaci</w:t>
      </w:r>
      <w:r w:rsidR="00C64920" w:rsidRPr="002261B9">
        <w:rPr>
          <w:lang w:val="es-ES"/>
        </w:rPr>
        <w:t>ó</w:t>
      </w:r>
      <w:r w:rsidRPr="002261B9">
        <w:rPr>
          <w:lang w:val="es-ES"/>
        </w:rPr>
        <w:t>n porque se trata de una liberación directa y dispersiva al medio ambiente</w:t>
      </w:r>
      <w:r w:rsidR="00562A88" w:rsidRPr="002261B9">
        <w:rPr>
          <w:lang w:val="es-ES"/>
        </w:rPr>
        <w:t xml:space="preserve">. </w:t>
      </w:r>
      <w:r w:rsidRPr="002261B9">
        <w:rPr>
          <w:lang w:val="es-ES"/>
        </w:rPr>
        <w:t xml:space="preserve">Existen alternativas </w:t>
      </w:r>
      <w:r w:rsidR="008C077F" w:rsidRPr="002261B9">
        <w:rPr>
          <w:lang w:val="es-ES"/>
        </w:rPr>
        <w:t>para todos los</w:t>
      </w:r>
      <w:r w:rsidRPr="002261B9">
        <w:rPr>
          <w:lang w:val="es-ES"/>
        </w:rPr>
        <w:t xml:space="preserve"> uso</w:t>
      </w:r>
      <w:r w:rsidR="008C077F" w:rsidRPr="002261B9">
        <w:rPr>
          <w:lang w:val="es-ES"/>
        </w:rPr>
        <w:t>s</w:t>
      </w:r>
      <w:r w:rsidRPr="002261B9">
        <w:rPr>
          <w:lang w:val="es-ES"/>
        </w:rPr>
        <w:t xml:space="preserve"> del </w:t>
      </w:r>
      <w:r w:rsidR="00F8675B" w:rsidRPr="002261B9">
        <w:rPr>
          <w:lang w:val="es-ES"/>
        </w:rPr>
        <w:t xml:space="preserve">PFOA </w:t>
      </w:r>
      <w:r w:rsidRPr="002261B9">
        <w:rPr>
          <w:lang w:val="es-ES"/>
        </w:rPr>
        <w:t>en las espumas ignífugas e incluyen</w:t>
      </w:r>
      <w:r w:rsidR="008C077F" w:rsidRPr="002261B9">
        <w:rPr>
          <w:lang w:val="es-ES"/>
        </w:rPr>
        <w:t xml:space="preserve"> soluciones sin flúor, así como</w:t>
      </w:r>
      <w:r w:rsidRPr="002261B9">
        <w:rPr>
          <w:lang w:val="es-ES"/>
        </w:rPr>
        <w:t xml:space="preserve"> fluorosurfactantes </w:t>
      </w:r>
      <w:r w:rsidR="002748F8" w:rsidRPr="002261B9">
        <w:rPr>
          <w:lang w:val="es-ES"/>
        </w:rPr>
        <w:t>con fluorotelómeros</w:t>
      </w:r>
      <w:r w:rsidR="00F8675B" w:rsidRPr="002261B9">
        <w:rPr>
          <w:lang w:val="es-ES"/>
        </w:rPr>
        <w:t xml:space="preserve"> </w:t>
      </w:r>
      <w:r w:rsidRPr="002261B9">
        <w:rPr>
          <w:lang w:val="es-ES"/>
        </w:rPr>
        <w:t>C</w:t>
      </w:r>
      <w:r w:rsidRPr="002261B9">
        <w:rPr>
          <w:vertAlign w:val="subscript"/>
          <w:lang w:val="es-ES"/>
        </w:rPr>
        <w:t>6</w:t>
      </w:r>
      <w:r w:rsidR="008C077F" w:rsidRPr="002261B9">
        <w:rPr>
          <w:vertAlign w:val="subscript"/>
          <w:lang w:val="es-ES"/>
        </w:rPr>
        <w:t>.</w:t>
      </w:r>
      <w:r w:rsidR="00F8675B" w:rsidRPr="002261B9">
        <w:rPr>
          <w:lang w:val="es-ES"/>
        </w:rPr>
        <w:t xml:space="preserve"> </w:t>
      </w:r>
      <w:r w:rsidRPr="002261B9">
        <w:rPr>
          <w:lang w:val="es-ES"/>
        </w:rPr>
        <w:t>Con arreglo a la restricción de la UE</w:t>
      </w:r>
      <w:r w:rsidR="00582AE1" w:rsidRPr="002261B9">
        <w:rPr>
          <w:lang w:val="es-ES"/>
        </w:rPr>
        <w:t>,</w:t>
      </w:r>
      <w:r w:rsidR="00F8675B" w:rsidRPr="002261B9">
        <w:rPr>
          <w:lang w:val="es-ES"/>
        </w:rPr>
        <w:t xml:space="preserve"> </w:t>
      </w:r>
      <w:r w:rsidRPr="002261B9">
        <w:rPr>
          <w:lang w:val="es-ES"/>
        </w:rPr>
        <w:t xml:space="preserve">se ha establecido una exención limitada a fin de prever una exención </w:t>
      </w:r>
      <w:r w:rsidR="00B11364" w:rsidRPr="002261B9">
        <w:rPr>
          <w:lang w:val="es-ES"/>
        </w:rPr>
        <w:t>para</w:t>
      </w:r>
      <w:r w:rsidRPr="002261B9">
        <w:rPr>
          <w:lang w:val="es-ES"/>
        </w:rPr>
        <w:t xml:space="preserve"> las espumas que ya se están </w:t>
      </w:r>
      <w:r w:rsidR="002748F8" w:rsidRPr="002261B9">
        <w:rPr>
          <w:lang w:val="es-ES"/>
        </w:rPr>
        <w:t>comercializando.</w:t>
      </w:r>
      <w:r w:rsidR="00F8675B" w:rsidRPr="002261B9">
        <w:rPr>
          <w:lang w:val="es-ES"/>
        </w:rPr>
        <w:t xml:space="preserve"> </w:t>
      </w:r>
      <w:r w:rsidRPr="002261B9">
        <w:rPr>
          <w:lang w:val="es-ES"/>
        </w:rPr>
        <w:t xml:space="preserve">Además, </w:t>
      </w:r>
      <w:r w:rsidR="009321C2" w:rsidRPr="002261B9">
        <w:rPr>
          <w:lang w:val="es-ES"/>
        </w:rPr>
        <w:t>el Canadá</w:t>
      </w:r>
      <w:r w:rsidR="00F8675B" w:rsidRPr="002261B9">
        <w:rPr>
          <w:lang w:val="es-ES"/>
        </w:rPr>
        <w:t xml:space="preserve"> </w:t>
      </w:r>
      <w:r w:rsidRPr="002261B9">
        <w:rPr>
          <w:lang w:val="es-ES"/>
        </w:rPr>
        <w:t xml:space="preserve">prevé exenciones para el </w:t>
      </w:r>
      <w:r w:rsidR="00562A88" w:rsidRPr="002261B9">
        <w:rPr>
          <w:lang w:val="es-ES"/>
        </w:rPr>
        <w:t xml:space="preserve">PFOA </w:t>
      </w:r>
      <w:r w:rsidRPr="002261B9">
        <w:rPr>
          <w:lang w:val="es-ES"/>
        </w:rPr>
        <w:t>que contenga espumas acuosas formadoras de películas usadas en aplicaciones de extinción de incendios</w:t>
      </w:r>
      <w:r w:rsidR="00562A88" w:rsidRPr="002261B9">
        <w:rPr>
          <w:lang w:val="es-ES"/>
        </w:rPr>
        <w:t>.</w:t>
      </w:r>
      <w:r w:rsidR="00284890" w:rsidRPr="002261B9">
        <w:rPr>
          <w:lang w:val="es-ES"/>
        </w:rPr>
        <w:t xml:space="preserve"> </w:t>
      </w:r>
      <w:r w:rsidR="00992CA7" w:rsidRPr="002261B9">
        <w:rPr>
          <w:lang w:val="es-ES"/>
        </w:rPr>
        <w:t xml:space="preserve">El procedimiento de gestión de los riesgos en </w:t>
      </w:r>
      <w:r w:rsidR="003F3A09" w:rsidRPr="002261B9">
        <w:rPr>
          <w:lang w:val="es-ES"/>
        </w:rPr>
        <w:t>Noruega</w:t>
      </w:r>
      <w:r w:rsidR="00562A88" w:rsidRPr="002261B9">
        <w:rPr>
          <w:lang w:val="es-ES"/>
        </w:rPr>
        <w:t xml:space="preserve"> </w:t>
      </w:r>
      <w:r w:rsidR="00992CA7" w:rsidRPr="002261B9">
        <w:rPr>
          <w:lang w:val="es-ES"/>
        </w:rPr>
        <w:t xml:space="preserve">no se aplica, </w:t>
      </w:r>
      <w:r w:rsidR="005037D6" w:rsidRPr="002261B9">
        <w:rPr>
          <w:lang w:val="es-ES"/>
        </w:rPr>
        <w:t>porque atañe a los productos de consumo y las espumas acuosas formadoras de películas son solo para uso profesional</w:t>
      </w:r>
      <w:r w:rsidR="00F8675B" w:rsidRPr="002261B9">
        <w:rPr>
          <w:lang w:val="es-ES"/>
        </w:rPr>
        <w:t>.</w:t>
      </w:r>
      <w:r w:rsidR="00562A88" w:rsidRPr="002261B9">
        <w:rPr>
          <w:lang w:val="es-ES"/>
        </w:rPr>
        <w:t xml:space="preserve"> </w:t>
      </w:r>
      <w:r w:rsidR="001520B6" w:rsidRPr="002261B9">
        <w:rPr>
          <w:lang w:val="es-ES"/>
        </w:rPr>
        <w:t xml:space="preserve">En la nota ii) se aborda </w:t>
      </w:r>
      <w:r w:rsidR="002748F8" w:rsidRPr="002261B9">
        <w:rPr>
          <w:lang w:val="es-ES"/>
        </w:rPr>
        <w:t>una exención</w:t>
      </w:r>
      <w:r w:rsidR="005037D6" w:rsidRPr="002261B9">
        <w:rPr>
          <w:lang w:val="es-ES"/>
        </w:rPr>
        <w:t xml:space="preserve"> por tiempo limitado </w:t>
      </w:r>
      <w:r w:rsidR="002748F8" w:rsidRPr="002261B9">
        <w:rPr>
          <w:lang w:val="es-ES"/>
        </w:rPr>
        <w:t>para espumas</w:t>
      </w:r>
      <w:r w:rsidR="005037D6" w:rsidRPr="002261B9">
        <w:rPr>
          <w:lang w:val="es-ES"/>
        </w:rPr>
        <w:t xml:space="preserve"> </w:t>
      </w:r>
      <w:r w:rsidR="001520B6" w:rsidRPr="002261B9">
        <w:rPr>
          <w:lang w:val="es-ES"/>
        </w:rPr>
        <w:t xml:space="preserve">ya instaladas o </w:t>
      </w:r>
      <w:r w:rsidR="002748F8" w:rsidRPr="002261B9">
        <w:rPr>
          <w:lang w:val="es-ES"/>
        </w:rPr>
        <w:t>comercializadas (</w:t>
      </w:r>
      <w:r w:rsidR="00566DDB" w:rsidRPr="002261B9">
        <w:rPr>
          <w:lang w:val="es-ES"/>
        </w:rPr>
        <w:t xml:space="preserve">que se </w:t>
      </w:r>
      <w:r w:rsidR="00845EA9" w:rsidRPr="002261B9">
        <w:rPr>
          <w:lang w:val="es-ES"/>
        </w:rPr>
        <w:t xml:space="preserve">aplica </w:t>
      </w:r>
      <w:r w:rsidR="00566DDB" w:rsidRPr="002261B9">
        <w:rPr>
          <w:lang w:val="es-ES"/>
        </w:rPr>
        <w:t>al</w:t>
      </w:r>
      <w:r w:rsidR="00845EA9" w:rsidRPr="002261B9">
        <w:rPr>
          <w:lang w:val="es-ES"/>
        </w:rPr>
        <w:t xml:space="preserve"> </w:t>
      </w:r>
      <w:r w:rsidR="00A102CD" w:rsidRPr="002261B9">
        <w:rPr>
          <w:lang w:val="es-ES"/>
        </w:rPr>
        <w:t xml:space="preserve">PFOS </w:t>
      </w:r>
      <w:r w:rsidR="00845EA9" w:rsidRPr="002261B9">
        <w:rPr>
          <w:lang w:val="es-ES"/>
        </w:rPr>
        <w:t xml:space="preserve">en </w:t>
      </w:r>
      <w:r w:rsidR="00566DDB" w:rsidRPr="002261B9">
        <w:rPr>
          <w:lang w:val="es-ES"/>
        </w:rPr>
        <w:t>virtud de</w:t>
      </w:r>
      <w:r w:rsidR="00845EA9" w:rsidRPr="002261B9">
        <w:rPr>
          <w:lang w:val="es-ES"/>
        </w:rPr>
        <w:t>l Reglamento de los COP de la Unión Europea</w:t>
      </w:r>
      <w:r w:rsidR="00A102CD" w:rsidRPr="002261B9">
        <w:rPr>
          <w:lang w:val="es-ES"/>
        </w:rPr>
        <w:t>)</w:t>
      </w:r>
      <w:r w:rsidR="00566DDB" w:rsidRPr="002261B9">
        <w:rPr>
          <w:lang w:val="es-ES"/>
        </w:rPr>
        <w:t xml:space="preserve">, la cual se </w:t>
      </w:r>
      <w:r w:rsidR="001520B6" w:rsidRPr="002261B9">
        <w:rPr>
          <w:lang w:val="es-ES"/>
        </w:rPr>
        <w:t>puede seguir utiliz</w:t>
      </w:r>
      <w:r w:rsidR="00566DDB" w:rsidRPr="002261B9">
        <w:rPr>
          <w:lang w:val="es-ES"/>
        </w:rPr>
        <w:t>ando</w:t>
      </w:r>
      <w:r w:rsidR="001520B6" w:rsidRPr="002261B9">
        <w:rPr>
          <w:lang w:val="es-ES"/>
        </w:rPr>
        <w:t xml:space="preserve"> de conformidad con esa disposición</w:t>
      </w:r>
      <w:r w:rsidR="00A102CD" w:rsidRPr="002261B9">
        <w:rPr>
          <w:lang w:val="es-ES"/>
        </w:rPr>
        <w:t>.</w:t>
      </w:r>
      <w:r w:rsidR="001520B6" w:rsidRPr="002261B9">
        <w:rPr>
          <w:lang w:val="es-ES"/>
        </w:rPr>
        <w:t xml:space="preserve"> Se debería evitar el uso de las espumas existentes, las cuales deberían ser reemplazadas en corto tiempo por alternativas que eviten un mayor nivel de contaminación. No se deben utilizar espumas que contengan PFAS, ni sus alternativas fluoradas, con fines de capacitación.</w:t>
      </w:r>
      <w:r w:rsidR="00E1011E" w:rsidRPr="002261B9">
        <w:rPr>
          <w:lang w:val="es-ES"/>
        </w:rPr>
        <w:t xml:space="preserve"> </w:t>
      </w:r>
      <w:r w:rsidR="001520B6" w:rsidRPr="002261B9">
        <w:rPr>
          <w:lang w:val="es-ES"/>
        </w:rPr>
        <w:t>Existen alternativas adecuadas que pueden ser utilizadas con esos fines.</w:t>
      </w:r>
    </w:p>
    <w:p w14:paraId="3EE045AC" w14:textId="0CEC84CD" w:rsidR="001A7EE9" w:rsidRPr="002261B9" w:rsidRDefault="003F3A09" w:rsidP="00F45508">
      <w:pPr>
        <w:pStyle w:val="Paralevel1"/>
        <w:numPr>
          <w:ilvl w:val="0"/>
          <w:numId w:val="23"/>
        </w:numPr>
        <w:tabs>
          <w:tab w:val="clear" w:pos="0"/>
        </w:tabs>
        <w:ind w:left="1247" w:firstLine="0"/>
        <w:rPr>
          <w:lang w:val="es-ES"/>
        </w:rPr>
      </w:pPr>
      <w:r w:rsidRPr="002261B9">
        <w:rPr>
          <w:lang w:val="es-ES"/>
        </w:rPr>
        <w:t>Noruega</w:t>
      </w:r>
      <w:r w:rsidR="000B0C05" w:rsidRPr="002261B9">
        <w:rPr>
          <w:lang w:val="es-ES"/>
        </w:rPr>
        <w:t xml:space="preserve"> </w:t>
      </w:r>
      <w:r w:rsidR="003D0CA6" w:rsidRPr="002261B9">
        <w:rPr>
          <w:lang w:val="es-ES"/>
        </w:rPr>
        <w:t>aplica una exención para los dispositivos médicos</w:t>
      </w:r>
      <w:r w:rsidR="000B0C05" w:rsidRPr="002261B9">
        <w:rPr>
          <w:lang w:val="es-ES"/>
        </w:rPr>
        <w:t xml:space="preserve"> (</w:t>
      </w:r>
      <w:r w:rsidR="003D0CA6" w:rsidRPr="002261B9">
        <w:rPr>
          <w:lang w:val="es-ES"/>
        </w:rPr>
        <w:t>sin límite de tiempo</w:t>
      </w:r>
      <w:r w:rsidR="000B0C05" w:rsidRPr="002261B9">
        <w:rPr>
          <w:lang w:val="es-ES"/>
        </w:rPr>
        <w:t xml:space="preserve">). </w:t>
      </w:r>
      <w:r w:rsidR="003D0CA6" w:rsidRPr="002261B9">
        <w:rPr>
          <w:lang w:val="es-ES"/>
        </w:rPr>
        <w:t xml:space="preserve">Con arreglo a la </w:t>
      </w:r>
      <w:r w:rsidR="00760247" w:rsidRPr="002261B9">
        <w:rPr>
          <w:lang w:val="es-ES"/>
        </w:rPr>
        <w:t>r</w:t>
      </w:r>
      <w:r w:rsidR="003D0CA6" w:rsidRPr="002261B9">
        <w:rPr>
          <w:lang w:val="es-ES"/>
        </w:rPr>
        <w:t>estricción de la UE</w:t>
      </w:r>
      <w:r w:rsidR="00582AE1" w:rsidRPr="002261B9">
        <w:rPr>
          <w:lang w:val="es-ES"/>
        </w:rPr>
        <w:t>,</w:t>
      </w:r>
      <w:r w:rsidR="005E0E61" w:rsidRPr="002261B9">
        <w:rPr>
          <w:lang w:val="es-ES"/>
        </w:rPr>
        <w:t xml:space="preserve"> </w:t>
      </w:r>
      <w:r w:rsidR="00760247" w:rsidRPr="002261B9">
        <w:rPr>
          <w:lang w:val="es-ES"/>
        </w:rPr>
        <w:t>se ha establecido una exención temporal</w:t>
      </w:r>
      <w:r w:rsidR="003D2ECD" w:rsidRPr="002261B9">
        <w:rPr>
          <w:lang w:val="es-ES"/>
        </w:rPr>
        <w:t xml:space="preserve"> </w:t>
      </w:r>
      <w:r w:rsidR="005E0E61" w:rsidRPr="002261B9">
        <w:rPr>
          <w:lang w:val="es-ES"/>
        </w:rPr>
        <w:t>(</w:t>
      </w:r>
      <w:r w:rsidR="003D0CA6" w:rsidRPr="002261B9">
        <w:rPr>
          <w:lang w:val="es-ES"/>
        </w:rPr>
        <w:t xml:space="preserve">hasta el </w:t>
      </w:r>
      <w:r w:rsidR="001437B5" w:rsidRPr="002261B9">
        <w:rPr>
          <w:lang w:val="es-ES"/>
        </w:rPr>
        <w:t xml:space="preserve">7 </w:t>
      </w:r>
      <w:r w:rsidR="003D0CA6" w:rsidRPr="002261B9">
        <w:rPr>
          <w:lang w:val="es-ES"/>
        </w:rPr>
        <w:t xml:space="preserve">de julio de </w:t>
      </w:r>
      <w:r w:rsidR="001437B5" w:rsidRPr="002261B9">
        <w:rPr>
          <w:lang w:val="es-ES"/>
        </w:rPr>
        <w:t>2032</w:t>
      </w:r>
      <w:r w:rsidR="005E0E61" w:rsidRPr="002261B9">
        <w:rPr>
          <w:lang w:val="es-ES"/>
        </w:rPr>
        <w:t xml:space="preserve">) </w:t>
      </w:r>
      <w:r w:rsidR="00760247" w:rsidRPr="002261B9">
        <w:rPr>
          <w:lang w:val="es-ES"/>
        </w:rPr>
        <w:t xml:space="preserve">para los dispositivos médicos que no son determinados dispositivos implantables dentro del ámbito de aplicación </w:t>
      </w:r>
      <w:r w:rsidR="00627724" w:rsidRPr="002261B9">
        <w:rPr>
          <w:lang w:val="es-ES"/>
        </w:rPr>
        <w:t>de la Directiva</w:t>
      </w:r>
      <w:r w:rsidR="005E0E61" w:rsidRPr="002261B9">
        <w:rPr>
          <w:lang w:val="es-ES"/>
        </w:rPr>
        <w:t xml:space="preserve"> 93/42/EEC. </w:t>
      </w:r>
      <w:r w:rsidR="00760247" w:rsidRPr="002261B9">
        <w:rPr>
          <w:lang w:val="es-ES"/>
        </w:rPr>
        <w:t xml:space="preserve">Para </w:t>
      </w:r>
      <w:r w:rsidR="00B11364" w:rsidRPr="002261B9">
        <w:rPr>
          <w:lang w:val="es-ES"/>
        </w:rPr>
        <w:t>la</w:t>
      </w:r>
      <w:r w:rsidR="00760247" w:rsidRPr="002261B9">
        <w:rPr>
          <w:lang w:val="es-ES"/>
        </w:rPr>
        <w:t xml:space="preserve"> producción de dispositivos médicos implantables, se ha establecido una exención sin límite de tiempo</w:t>
      </w:r>
      <w:r w:rsidR="00C64920" w:rsidRPr="002261B9">
        <w:rPr>
          <w:lang w:val="es-ES"/>
        </w:rPr>
        <w:t>.</w:t>
      </w:r>
      <w:r w:rsidR="00880BEC" w:rsidRPr="002261B9">
        <w:rPr>
          <w:lang w:val="es-ES"/>
        </w:rPr>
        <w:t xml:space="preserve"> </w:t>
      </w:r>
      <w:r w:rsidR="00795AAE" w:rsidRPr="002261B9">
        <w:rPr>
          <w:lang w:val="es-ES"/>
        </w:rPr>
        <w:t xml:space="preserve">La importación, el uso, la venta y la oferta </w:t>
      </w:r>
      <w:r w:rsidR="00386F8F" w:rsidRPr="002261B9">
        <w:rPr>
          <w:lang w:val="es-ES"/>
        </w:rPr>
        <w:t>de</w:t>
      </w:r>
      <w:r w:rsidR="00795AAE" w:rsidRPr="002261B9">
        <w:rPr>
          <w:lang w:val="es-ES"/>
        </w:rPr>
        <w:t xml:space="preserve"> venta de dispositivos médicos que contengan PFOA, sus sales o compuestos conexos del PFOA no son objeto de restricción en el Canadá</w:t>
      </w:r>
      <w:r w:rsidR="00880BEC" w:rsidRPr="002261B9">
        <w:rPr>
          <w:lang w:val="es-ES"/>
        </w:rPr>
        <w:t xml:space="preserve">. </w:t>
      </w:r>
      <w:r w:rsidR="00BF6525" w:rsidRPr="002261B9">
        <w:rPr>
          <w:lang w:val="es-ES"/>
        </w:rPr>
        <w:t>Según</w:t>
      </w:r>
      <w:r w:rsidR="00A746A7" w:rsidRPr="002261B9">
        <w:rPr>
          <w:lang w:val="es-ES"/>
        </w:rPr>
        <w:t xml:space="preserve"> la información presentada por </w:t>
      </w:r>
      <w:r w:rsidR="00BF6525" w:rsidRPr="002261B9">
        <w:rPr>
          <w:lang w:val="es-ES"/>
        </w:rPr>
        <w:t>l</w:t>
      </w:r>
      <w:r w:rsidR="00A746A7" w:rsidRPr="002261B9">
        <w:rPr>
          <w:lang w:val="es-ES"/>
        </w:rPr>
        <w:t>a</w:t>
      </w:r>
      <w:r w:rsidR="00536059" w:rsidRPr="002261B9">
        <w:rPr>
          <w:lang w:val="es-ES"/>
        </w:rPr>
        <w:t> </w:t>
      </w:r>
      <w:r w:rsidR="00946899" w:rsidRPr="002261B9">
        <w:rPr>
          <w:lang w:val="es-ES"/>
        </w:rPr>
        <w:t>Red de Eliminación de COP</w:t>
      </w:r>
      <w:r w:rsidR="00C0616A" w:rsidRPr="002261B9">
        <w:rPr>
          <w:lang w:val="es-ES"/>
        </w:rPr>
        <w:t xml:space="preserve">, </w:t>
      </w:r>
      <w:r w:rsidR="00BF6525" w:rsidRPr="002261B9">
        <w:rPr>
          <w:lang w:val="es-ES"/>
        </w:rPr>
        <w:t>cabría analizar la posibilidad de establecer exenciones para estos usos, pero se debería</w:t>
      </w:r>
      <w:r w:rsidR="00566DDB" w:rsidRPr="002261B9">
        <w:rPr>
          <w:lang w:val="es-ES"/>
        </w:rPr>
        <w:t>n</w:t>
      </w:r>
      <w:r w:rsidR="00BF6525" w:rsidRPr="002261B9">
        <w:rPr>
          <w:lang w:val="es-ES"/>
        </w:rPr>
        <w:t xml:space="preserve"> celebrar consultas con los profesionales de la salud </w:t>
      </w:r>
      <w:r w:rsidR="00566DDB" w:rsidRPr="002261B9">
        <w:rPr>
          <w:lang w:val="es-ES"/>
        </w:rPr>
        <w:t>que utilizan esos</w:t>
      </w:r>
      <w:r w:rsidR="00BF6525" w:rsidRPr="002261B9">
        <w:rPr>
          <w:lang w:val="es-ES"/>
        </w:rPr>
        <w:t xml:space="preserve"> equipos</w:t>
      </w:r>
      <w:r w:rsidR="00C0616A" w:rsidRPr="002261B9">
        <w:rPr>
          <w:lang w:val="es-ES"/>
        </w:rPr>
        <w:t xml:space="preserve">. </w:t>
      </w:r>
      <w:r w:rsidR="00CE04F8" w:rsidRPr="002261B9">
        <w:rPr>
          <w:lang w:val="es-ES"/>
        </w:rPr>
        <w:t>Por esa </w:t>
      </w:r>
      <w:r w:rsidR="00BF6525" w:rsidRPr="002261B9">
        <w:rPr>
          <w:lang w:val="es-ES"/>
        </w:rPr>
        <w:t xml:space="preserve">razón, se debería considerar la posibilidad de una exención </w:t>
      </w:r>
      <w:r w:rsidR="00880BEC" w:rsidRPr="002261B9">
        <w:rPr>
          <w:lang w:val="es-ES"/>
        </w:rPr>
        <w:t>(</w:t>
      </w:r>
      <w:r w:rsidR="00BF6525" w:rsidRPr="002261B9">
        <w:rPr>
          <w:lang w:val="es-ES"/>
        </w:rPr>
        <w:t>con límite de tiempo o sin él</w:t>
      </w:r>
      <w:r w:rsidR="00880BEC" w:rsidRPr="002261B9">
        <w:rPr>
          <w:lang w:val="es-ES"/>
        </w:rPr>
        <w:t xml:space="preserve">) </w:t>
      </w:r>
      <w:r w:rsidR="00BF6525" w:rsidRPr="002261B9">
        <w:rPr>
          <w:lang w:val="es-ES"/>
        </w:rPr>
        <w:t>para</w:t>
      </w:r>
      <w:r w:rsidR="00591B1B" w:rsidRPr="002261B9">
        <w:rPr>
          <w:lang w:val="es-ES"/>
        </w:rPr>
        <w:t>:</w:t>
      </w:r>
      <w:r w:rsidR="00880BEC" w:rsidRPr="002261B9">
        <w:rPr>
          <w:lang w:val="es-ES"/>
        </w:rPr>
        <w:t xml:space="preserve"> </w:t>
      </w:r>
      <w:r w:rsidR="007A54E0" w:rsidRPr="002261B9">
        <w:rPr>
          <w:lang w:val="es-ES"/>
        </w:rPr>
        <w:t xml:space="preserve">1) </w:t>
      </w:r>
      <w:r w:rsidR="00BF6525" w:rsidRPr="002261B9">
        <w:rPr>
          <w:lang w:val="es-ES"/>
        </w:rPr>
        <w:t xml:space="preserve">el uso en dispositivos médicos y </w:t>
      </w:r>
      <w:r w:rsidR="007A54E0" w:rsidRPr="002261B9">
        <w:rPr>
          <w:lang w:val="es-ES"/>
        </w:rPr>
        <w:t xml:space="preserve">2) </w:t>
      </w:r>
      <w:r w:rsidR="00BF6525" w:rsidRPr="002261B9">
        <w:rPr>
          <w:lang w:val="es-ES"/>
        </w:rPr>
        <w:t>para la producción de dispositivos médicos implanta</w:t>
      </w:r>
      <w:r w:rsidR="00CE04F8" w:rsidRPr="002261B9">
        <w:rPr>
          <w:lang w:val="es-ES"/>
        </w:rPr>
        <w:t>bles con arreglo al Convenio de </w:t>
      </w:r>
      <w:r w:rsidR="00BF6525" w:rsidRPr="002261B9">
        <w:rPr>
          <w:lang w:val="es-ES"/>
        </w:rPr>
        <w:t>Estocolmo</w:t>
      </w:r>
      <w:r w:rsidR="00880BEC" w:rsidRPr="002261B9">
        <w:rPr>
          <w:lang w:val="es-ES"/>
        </w:rPr>
        <w:t>.</w:t>
      </w:r>
    </w:p>
    <w:p w14:paraId="3CDD9F0B" w14:textId="77777777" w:rsidR="005E0E61" w:rsidRPr="002261B9" w:rsidRDefault="00C64920" w:rsidP="00F45508">
      <w:pPr>
        <w:pStyle w:val="Paralevel1"/>
        <w:numPr>
          <w:ilvl w:val="0"/>
          <w:numId w:val="23"/>
        </w:numPr>
        <w:tabs>
          <w:tab w:val="clear" w:pos="0"/>
        </w:tabs>
        <w:ind w:left="1247" w:firstLine="0"/>
        <w:rPr>
          <w:lang w:val="es-ES"/>
        </w:rPr>
      </w:pPr>
      <w:r w:rsidRPr="002261B9">
        <w:rPr>
          <w:lang w:val="es-ES"/>
        </w:rPr>
        <w:t>En l</w:t>
      </w:r>
      <w:r w:rsidR="00760247" w:rsidRPr="002261B9">
        <w:rPr>
          <w:lang w:val="es-ES"/>
        </w:rPr>
        <w:t>a información sobre alternativas para el tratamiento del papel y el cartón usados para envasar alimento</w:t>
      </w:r>
      <w:r w:rsidRPr="002261B9">
        <w:rPr>
          <w:lang w:val="es-ES"/>
        </w:rPr>
        <w:t>s</w:t>
      </w:r>
      <w:r w:rsidR="00760247" w:rsidRPr="002261B9">
        <w:rPr>
          <w:lang w:val="es-ES"/>
        </w:rPr>
        <w:t xml:space="preserve"> </w:t>
      </w:r>
      <w:r w:rsidRPr="002261B9">
        <w:rPr>
          <w:lang w:val="es-ES"/>
        </w:rPr>
        <w:t xml:space="preserve">se </w:t>
      </w:r>
      <w:r w:rsidR="00760247" w:rsidRPr="002261B9">
        <w:rPr>
          <w:lang w:val="es-ES"/>
        </w:rPr>
        <w:t>da a entender que se dispone de alternativas apropiadas</w:t>
      </w:r>
      <w:r w:rsidR="00063CB1" w:rsidRPr="002261B9">
        <w:rPr>
          <w:lang w:val="es-ES"/>
        </w:rPr>
        <w:t xml:space="preserve">. </w:t>
      </w:r>
      <w:r w:rsidR="00760247" w:rsidRPr="002261B9">
        <w:rPr>
          <w:lang w:val="es-ES"/>
        </w:rPr>
        <w:t xml:space="preserve">En el procedimiento de evaluación de los riesgos de Noruega, los materiales </w:t>
      </w:r>
      <w:r w:rsidRPr="002261B9">
        <w:rPr>
          <w:lang w:val="es-ES"/>
        </w:rPr>
        <w:t xml:space="preserve">que entran en </w:t>
      </w:r>
      <w:r w:rsidR="00760247" w:rsidRPr="002261B9">
        <w:rPr>
          <w:lang w:val="es-ES"/>
        </w:rPr>
        <w:t xml:space="preserve">contacto con los alimentos y </w:t>
      </w:r>
      <w:r w:rsidRPr="002261B9">
        <w:rPr>
          <w:lang w:val="es-ES"/>
        </w:rPr>
        <w:t>los utilizados en</w:t>
      </w:r>
      <w:r w:rsidR="00760247" w:rsidRPr="002261B9">
        <w:rPr>
          <w:lang w:val="es-ES"/>
        </w:rPr>
        <w:t xml:space="preserve"> el envasado de alimentos están exento</w:t>
      </w:r>
      <w:r w:rsidRPr="002261B9">
        <w:rPr>
          <w:lang w:val="es-ES"/>
        </w:rPr>
        <w:t>s</w:t>
      </w:r>
      <w:r w:rsidR="00760247" w:rsidRPr="002261B9">
        <w:rPr>
          <w:lang w:val="es-ES"/>
        </w:rPr>
        <w:t xml:space="preserve">. La importación, el uso, la venta y la oferta </w:t>
      </w:r>
      <w:r w:rsidR="00386F8F" w:rsidRPr="002261B9">
        <w:rPr>
          <w:lang w:val="es-ES"/>
        </w:rPr>
        <w:t xml:space="preserve">de </w:t>
      </w:r>
      <w:r w:rsidR="00760247" w:rsidRPr="002261B9">
        <w:rPr>
          <w:lang w:val="es-ES"/>
        </w:rPr>
        <w:t>venta de envases de alimentos que conten</w:t>
      </w:r>
      <w:r w:rsidR="00795AAE" w:rsidRPr="002261B9">
        <w:rPr>
          <w:lang w:val="es-ES"/>
        </w:rPr>
        <w:t>ga</w:t>
      </w:r>
      <w:r w:rsidR="00760247" w:rsidRPr="002261B9">
        <w:rPr>
          <w:lang w:val="es-ES"/>
        </w:rPr>
        <w:t xml:space="preserve">n </w:t>
      </w:r>
      <w:r w:rsidR="00880BEC" w:rsidRPr="002261B9">
        <w:rPr>
          <w:lang w:val="es-ES"/>
        </w:rPr>
        <w:t xml:space="preserve">PFOA, </w:t>
      </w:r>
      <w:r w:rsidR="00760247" w:rsidRPr="002261B9">
        <w:rPr>
          <w:lang w:val="es-ES"/>
        </w:rPr>
        <w:t>sus sales</w:t>
      </w:r>
      <w:r w:rsidR="00880BEC" w:rsidRPr="002261B9">
        <w:rPr>
          <w:lang w:val="es-ES"/>
        </w:rPr>
        <w:t xml:space="preserve"> o</w:t>
      </w:r>
      <w:r w:rsidR="00E61FF0" w:rsidRPr="002261B9">
        <w:rPr>
          <w:lang w:val="es-ES"/>
        </w:rPr>
        <w:t xml:space="preserve"> </w:t>
      </w:r>
      <w:r w:rsidR="009321C2" w:rsidRPr="002261B9">
        <w:rPr>
          <w:lang w:val="es-ES"/>
        </w:rPr>
        <w:t>compuestos</w:t>
      </w:r>
      <w:r w:rsidR="00E61FF0" w:rsidRPr="002261B9">
        <w:rPr>
          <w:lang w:val="es-ES"/>
        </w:rPr>
        <w:t xml:space="preserve"> conexos del PFOA</w:t>
      </w:r>
      <w:r w:rsidR="00880BEC" w:rsidRPr="002261B9">
        <w:rPr>
          <w:lang w:val="es-ES"/>
        </w:rPr>
        <w:t xml:space="preserve"> </w:t>
      </w:r>
      <w:r w:rsidR="00760247" w:rsidRPr="002261B9">
        <w:rPr>
          <w:lang w:val="es-ES"/>
        </w:rPr>
        <w:t xml:space="preserve">no son objeto de restricción en el </w:t>
      </w:r>
      <w:r w:rsidR="00880BEC" w:rsidRPr="002261B9">
        <w:rPr>
          <w:lang w:val="es-ES"/>
        </w:rPr>
        <w:t>Canad</w:t>
      </w:r>
      <w:r w:rsidR="009321C2" w:rsidRPr="002261B9">
        <w:rPr>
          <w:lang w:val="es-ES"/>
        </w:rPr>
        <w:t>á</w:t>
      </w:r>
      <w:r w:rsidR="00880BEC" w:rsidRPr="002261B9">
        <w:rPr>
          <w:lang w:val="es-ES"/>
        </w:rPr>
        <w:t>.</w:t>
      </w:r>
      <w:r w:rsidR="00063CB1" w:rsidRPr="002261B9">
        <w:rPr>
          <w:lang w:val="es-ES"/>
        </w:rPr>
        <w:t xml:space="preserve"> </w:t>
      </w:r>
      <w:r w:rsidR="009321C2" w:rsidRPr="002261B9">
        <w:rPr>
          <w:lang w:val="es-ES"/>
        </w:rPr>
        <w:t xml:space="preserve">En la restricción de la </w:t>
      </w:r>
      <w:r w:rsidR="00063CB1" w:rsidRPr="002261B9">
        <w:rPr>
          <w:lang w:val="es-ES"/>
        </w:rPr>
        <w:t>U</w:t>
      </w:r>
      <w:r w:rsidR="009321C2" w:rsidRPr="002261B9">
        <w:rPr>
          <w:lang w:val="es-ES"/>
        </w:rPr>
        <w:t>E</w:t>
      </w:r>
      <w:r w:rsidR="00063CB1" w:rsidRPr="002261B9">
        <w:rPr>
          <w:lang w:val="es-ES"/>
        </w:rPr>
        <w:t xml:space="preserve"> </w:t>
      </w:r>
      <w:r w:rsidR="009321C2" w:rsidRPr="002261B9">
        <w:rPr>
          <w:lang w:val="es-ES"/>
        </w:rPr>
        <w:t xml:space="preserve">no se contemplan exenciones para los materiales que se utilizan </w:t>
      </w:r>
      <w:r w:rsidRPr="002261B9">
        <w:rPr>
          <w:lang w:val="es-ES"/>
        </w:rPr>
        <w:t>en el envasado de</w:t>
      </w:r>
      <w:r w:rsidR="009321C2" w:rsidRPr="002261B9">
        <w:rPr>
          <w:lang w:val="es-ES"/>
        </w:rPr>
        <w:t xml:space="preserve"> alimentos</w:t>
      </w:r>
      <w:r w:rsidR="00063CB1" w:rsidRPr="002261B9">
        <w:rPr>
          <w:lang w:val="es-ES"/>
        </w:rPr>
        <w:t>.</w:t>
      </w:r>
      <w:r w:rsidR="00880BEC" w:rsidRPr="002261B9">
        <w:rPr>
          <w:lang w:val="es-ES"/>
        </w:rPr>
        <w:t xml:space="preserve"> </w:t>
      </w:r>
      <w:r w:rsidR="009321C2" w:rsidRPr="002261B9">
        <w:rPr>
          <w:lang w:val="es-ES"/>
        </w:rPr>
        <w:t>Dado que se dispone de alternativas apropiadas, no se considera necesario establecer una exención a tenor del Convenio de Estocolmo</w:t>
      </w:r>
      <w:r w:rsidR="00880BEC" w:rsidRPr="002261B9">
        <w:rPr>
          <w:lang w:val="es-ES"/>
        </w:rPr>
        <w:t>.</w:t>
      </w:r>
    </w:p>
    <w:p w14:paraId="1D2B2E62" w14:textId="032DB391" w:rsidR="00371D66" w:rsidRPr="002261B9" w:rsidRDefault="00795AAE" w:rsidP="00F45508">
      <w:pPr>
        <w:pStyle w:val="Paralevel1"/>
        <w:numPr>
          <w:ilvl w:val="0"/>
          <w:numId w:val="23"/>
        </w:numPr>
        <w:tabs>
          <w:tab w:val="clear" w:pos="0"/>
        </w:tabs>
        <w:ind w:left="1247" w:firstLine="0"/>
        <w:rPr>
          <w:lang w:val="es-ES"/>
        </w:rPr>
      </w:pPr>
      <w:r w:rsidRPr="002261B9">
        <w:rPr>
          <w:lang w:val="es-ES"/>
        </w:rPr>
        <w:t>Según la información de la industria automotriz del Canadá</w:t>
      </w:r>
      <w:r w:rsidR="00582AE1" w:rsidRPr="002261B9">
        <w:rPr>
          <w:lang w:val="es-ES"/>
        </w:rPr>
        <w:t>,</w:t>
      </w:r>
      <w:r w:rsidR="00371D66" w:rsidRPr="002261B9">
        <w:rPr>
          <w:lang w:val="es-ES"/>
        </w:rPr>
        <w:t xml:space="preserve"> </w:t>
      </w:r>
      <w:r w:rsidRPr="002261B9">
        <w:rPr>
          <w:lang w:val="es-ES"/>
        </w:rPr>
        <w:t xml:space="preserve">las piezas de repuesto de automóviles </w:t>
      </w:r>
      <w:r w:rsidR="00C64920" w:rsidRPr="002261B9">
        <w:rPr>
          <w:lang w:val="es-ES"/>
        </w:rPr>
        <w:t>en</w:t>
      </w:r>
      <w:r w:rsidRPr="002261B9">
        <w:rPr>
          <w:lang w:val="es-ES"/>
        </w:rPr>
        <w:t xml:space="preserve"> los talleres de servicio podrían contener </w:t>
      </w:r>
      <w:r w:rsidR="00371D66" w:rsidRPr="002261B9">
        <w:rPr>
          <w:lang w:val="es-ES"/>
        </w:rPr>
        <w:t xml:space="preserve">PFOA. </w:t>
      </w:r>
      <w:r w:rsidRPr="002261B9">
        <w:rPr>
          <w:lang w:val="es-ES"/>
        </w:rPr>
        <w:t>Estas piezas son necesarias para garantizar la disponibilidad de equipo y piezas de repuesto originales a fin de atender</w:t>
      </w:r>
      <w:r w:rsidR="00386F8F" w:rsidRPr="002261B9">
        <w:rPr>
          <w:lang w:val="es-ES"/>
        </w:rPr>
        <w:t xml:space="preserve"> </w:t>
      </w:r>
      <w:r w:rsidRPr="002261B9">
        <w:rPr>
          <w:lang w:val="es-ES"/>
        </w:rPr>
        <w:t>la demanda de los consumidores</w:t>
      </w:r>
      <w:r w:rsidR="00371D66" w:rsidRPr="002261B9">
        <w:rPr>
          <w:lang w:val="es-ES"/>
        </w:rPr>
        <w:t>.</w:t>
      </w:r>
      <w:r w:rsidR="00503C9B" w:rsidRPr="002261B9">
        <w:rPr>
          <w:lang w:val="es-ES"/>
        </w:rPr>
        <w:t xml:space="preserve"> </w:t>
      </w:r>
      <w:r w:rsidR="006F3AD9" w:rsidRPr="002261B9">
        <w:rPr>
          <w:lang w:val="es-ES"/>
        </w:rPr>
        <w:t xml:space="preserve">Por consiguiente, la industria propone exenciones específicas para </w:t>
      </w:r>
      <w:r w:rsidR="00C64920" w:rsidRPr="002261B9">
        <w:rPr>
          <w:lang w:val="es-ES"/>
        </w:rPr>
        <w:t xml:space="preserve">las </w:t>
      </w:r>
      <w:r w:rsidR="006F3AD9" w:rsidRPr="002261B9">
        <w:rPr>
          <w:lang w:val="es-ES"/>
        </w:rPr>
        <w:t>piezas de repuesto y la prestación de servicios automotrices</w:t>
      </w:r>
      <w:r w:rsidR="00503C9B" w:rsidRPr="002261B9">
        <w:rPr>
          <w:lang w:val="es-ES"/>
        </w:rPr>
        <w:t xml:space="preserve">. </w:t>
      </w:r>
      <w:r w:rsidR="006F3AD9" w:rsidRPr="002261B9">
        <w:rPr>
          <w:lang w:val="es-ES"/>
        </w:rPr>
        <w:t xml:space="preserve">Estas piezas representan u pequeño porcentaje de uso del </w:t>
      </w:r>
      <w:r w:rsidR="009E3656" w:rsidRPr="002261B9">
        <w:rPr>
          <w:lang w:val="es-ES"/>
        </w:rPr>
        <w:t xml:space="preserve">PFOA </w:t>
      </w:r>
      <w:r w:rsidR="006F3AD9" w:rsidRPr="002261B9">
        <w:rPr>
          <w:lang w:val="es-ES"/>
        </w:rPr>
        <w:t xml:space="preserve">que disminuirá con el tiempo </w:t>
      </w:r>
      <w:r w:rsidR="00C64920" w:rsidRPr="002261B9">
        <w:rPr>
          <w:lang w:val="es-ES"/>
        </w:rPr>
        <w:t>de forma</w:t>
      </w:r>
      <w:r w:rsidR="006F3AD9" w:rsidRPr="002261B9">
        <w:rPr>
          <w:lang w:val="es-ES"/>
        </w:rPr>
        <w:t xml:space="preserve"> natural a medida que se produzca la rotación del </w:t>
      </w:r>
      <w:r w:rsidR="00883479" w:rsidRPr="002261B9">
        <w:rPr>
          <w:lang w:val="es-ES"/>
        </w:rPr>
        <w:t>parque de vehículos</w:t>
      </w:r>
      <w:r w:rsidR="009E3656" w:rsidRPr="002261B9">
        <w:rPr>
          <w:lang w:val="es-ES"/>
        </w:rPr>
        <w:t xml:space="preserve">. </w:t>
      </w:r>
      <w:r w:rsidR="006F3AD9" w:rsidRPr="002261B9">
        <w:rPr>
          <w:lang w:val="es-ES"/>
        </w:rPr>
        <w:t>E</w:t>
      </w:r>
      <w:r w:rsidR="00503C9B" w:rsidRPr="002261B9">
        <w:rPr>
          <w:lang w:val="es-ES"/>
        </w:rPr>
        <w:t xml:space="preserve">n </w:t>
      </w:r>
      <w:r w:rsidR="006F3AD9" w:rsidRPr="002261B9">
        <w:rPr>
          <w:lang w:val="es-ES"/>
        </w:rPr>
        <w:t xml:space="preserve">el </w:t>
      </w:r>
      <w:r w:rsidR="00503C9B" w:rsidRPr="002261B9">
        <w:rPr>
          <w:lang w:val="es-ES"/>
        </w:rPr>
        <w:t>Canad</w:t>
      </w:r>
      <w:r w:rsidR="006F3AD9" w:rsidRPr="002261B9">
        <w:rPr>
          <w:lang w:val="es-ES"/>
        </w:rPr>
        <w:t>á</w:t>
      </w:r>
      <w:r w:rsidR="00503C9B" w:rsidRPr="002261B9">
        <w:rPr>
          <w:lang w:val="es-ES"/>
        </w:rPr>
        <w:t xml:space="preserve">, </w:t>
      </w:r>
      <w:r w:rsidR="006F3AD9" w:rsidRPr="002261B9">
        <w:rPr>
          <w:lang w:val="es-ES"/>
        </w:rPr>
        <w:t xml:space="preserve">las medidas de gestión de los riesgos del </w:t>
      </w:r>
      <w:r w:rsidR="00503C9B" w:rsidRPr="002261B9">
        <w:rPr>
          <w:lang w:val="es-ES"/>
        </w:rPr>
        <w:t>PFOA</w:t>
      </w:r>
      <w:r w:rsidR="006F3AD9" w:rsidRPr="002261B9">
        <w:rPr>
          <w:lang w:val="es-ES"/>
        </w:rPr>
        <w:t xml:space="preserve"> no influyen en el </w:t>
      </w:r>
      <w:r w:rsidR="006F3AD9" w:rsidRPr="002261B9">
        <w:rPr>
          <w:lang w:val="es-ES"/>
        </w:rPr>
        <w:lastRenderedPageBreak/>
        <w:t>uso de los servicios automotrices ni las piezas de repuesto, ya que en estos momentos todos los artículos manufacturados que contengan</w:t>
      </w:r>
      <w:r w:rsidR="00503C9B" w:rsidRPr="002261B9">
        <w:rPr>
          <w:lang w:val="es-ES"/>
        </w:rPr>
        <w:t xml:space="preserve"> PFOA </w:t>
      </w:r>
      <w:r w:rsidR="006F3AD9" w:rsidRPr="002261B9">
        <w:rPr>
          <w:lang w:val="es-ES"/>
        </w:rPr>
        <w:t>se están analizando para este sector</w:t>
      </w:r>
      <w:r w:rsidR="00503C9B" w:rsidRPr="002261B9">
        <w:rPr>
          <w:lang w:val="es-ES"/>
        </w:rPr>
        <w:t xml:space="preserve"> (</w:t>
      </w:r>
      <w:r w:rsidRPr="002261B9">
        <w:rPr>
          <w:lang w:val="es-ES"/>
        </w:rPr>
        <w:t>véase</w:t>
      </w:r>
      <w:r w:rsidR="004F6FFC" w:rsidRPr="002261B9">
        <w:rPr>
          <w:lang w:val="es-ES"/>
        </w:rPr>
        <w:t xml:space="preserve"> </w:t>
      </w:r>
      <w:r w:rsidR="00503C9B" w:rsidRPr="002261B9">
        <w:rPr>
          <w:lang w:val="es-ES"/>
        </w:rPr>
        <w:t>CVMA</w:t>
      </w:r>
      <w:r w:rsidR="000A45EB" w:rsidRPr="002261B9">
        <w:rPr>
          <w:lang w:val="es-ES"/>
        </w:rPr>
        <w:t>,</w:t>
      </w:r>
      <w:r w:rsidR="00955D10" w:rsidRPr="002261B9">
        <w:rPr>
          <w:lang w:val="es-ES"/>
        </w:rPr>
        <w:t> </w:t>
      </w:r>
      <w:r w:rsidR="00503C9B" w:rsidRPr="002261B9">
        <w:rPr>
          <w:lang w:val="es-ES"/>
        </w:rPr>
        <w:t xml:space="preserve">2017). </w:t>
      </w:r>
      <w:r w:rsidRPr="002261B9">
        <w:rPr>
          <w:lang w:val="es-ES"/>
        </w:rPr>
        <w:t>En la UE no se han establecido exenciones al respecto</w:t>
      </w:r>
      <w:r w:rsidR="00503C9B" w:rsidRPr="002261B9">
        <w:rPr>
          <w:lang w:val="es-ES"/>
        </w:rPr>
        <w:t xml:space="preserve">. </w:t>
      </w:r>
      <w:r w:rsidR="00BF6525" w:rsidRPr="002261B9">
        <w:rPr>
          <w:lang w:val="es-ES"/>
        </w:rPr>
        <w:t>E</w:t>
      </w:r>
      <w:r w:rsidR="004F6FFC" w:rsidRPr="002261B9">
        <w:rPr>
          <w:lang w:val="es-ES"/>
        </w:rPr>
        <w:t xml:space="preserve">n </w:t>
      </w:r>
      <w:r w:rsidR="003F3A09" w:rsidRPr="002261B9">
        <w:rPr>
          <w:lang w:val="es-ES"/>
        </w:rPr>
        <w:t>Noruega</w:t>
      </w:r>
      <w:r w:rsidRPr="002261B9">
        <w:rPr>
          <w:lang w:val="es-ES"/>
        </w:rPr>
        <w:t>,</w:t>
      </w:r>
      <w:r w:rsidR="004F6FFC" w:rsidRPr="002261B9">
        <w:rPr>
          <w:lang w:val="es-ES"/>
        </w:rPr>
        <w:t xml:space="preserve"> </w:t>
      </w:r>
      <w:r w:rsidRPr="002261B9">
        <w:rPr>
          <w:lang w:val="es-ES"/>
        </w:rPr>
        <w:t xml:space="preserve">no se aplicarán </w:t>
      </w:r>
      <w:r w:rsidR="00BF6525" w:rsidRPr="002261B9">
        <w:rPr>
          <w:lang w:val="es-ES"/>
        </w:rPr>
        <w:t>las prohibiciones</w:t>
      </w:r>
      <w:r w:rsidR="004F6FFC" w:rsidRPr="002261B9">
        <w:rPr>
          <w:lang w:val="es-ES"/>
        </w:rPr>
        <w:t xml:space="preserve"> </w:t>
      </w:r>
      <w:r w:rsidRPr="002261B9">
        <w:rPr>
          <w:lang w:val="es-ES"/>
        </w:rPr>
        <w:t xml:space="preserve">a las piezas de repuesto de los productos de </w:t>
      </w:r>
      <w:r w:rsidR="00386F8F" w:rsidRPr="002261B9">
        <w:rPr>
          <w:lang w:val="es-ES"/>
        </w:rPr>
        <w:t>consumo</w:t>
      </w:r>
      <w:r w:rsidRPr="002261B9">
        <w:rPr>
          <w:lang w:val="es-ES"/>
        </w:rPr>
        <w:t xml:space="preserve"> que se hayan puesto a la venta antes del</w:t>
      </w:r>
      <w:r w:rsidR="004F6FFC" w:rsidRPr="002261B9">
        <w:rPr>
          <w:lang w:val="es-ES"/>
        </w:rPr>
        <w:t xml:space="preserve"> 1 </w:t>
      </w:r>
      <w:r w:rsidRPr="002261B9">
        <w:rPr>
          <w:lang w:val="es-ES"/>
        </w:rPr>
        <w:t xml:space="preserve">de junio de </w:t>
      </w:r>
      <w:r w:rsidR="004F6FFC" w:rsidRPr="002261B9">
        <w:rPr>
          <w:lang w:val="es-ES"/>
        </w:rPr>
        <w:t xml:space="preserve">2014. </w:t>
      </w:r>
      <w:r w:rsidRPr="002261B9">
        <w:rPr>
          <w:lang w:val="es-ES"/>
        </w:rPr>
        <w:t xml:space="preserve">Se podría analizar la posibilidad de establecer una exención para las piezas de repuesto y los servicios automotrices en el marco del </w:t>
      </w:r>
      <w:r w:rsidR="00BF6525" w:rsidRPr="002261B9">
        <w:rPr>
          <w:lang w:val="es-ES"/>
        </w:rPr>
        <w:t>Convenio de Estocolmo</w:t>
      </w:r>
      <w:r w:rsidR="00582AE1" w:rsidRPr="002261B9">
        <w:rPr>
          <w:lang w:val="es-ES"/>
        </w:rPr>
        <w:t>;</w:t>
      </w:r>
      <w:r w:rsidR="004F3D3D" w:rsidRPr="002261B9">
        <w:rPr>
          <w:lang w:val="es-ES"/>
        </w:rPr>
        <w:t xml:space="preserve"> </w:t>
      </w:r>
      <w:r w:rsidRPr="002261B9">
        <w:rPr>
          <w:lang w:val="es-ES"/>
        </w:rPr>
        <w:t>sin embargo, habría que especificar los servicios automotrices y las piezas de repuesto de automóviles, así como justificar inequívocamente las razones para establecer una exención, pese a que en los procedimientos vigentes de evaluación del riesgo no se consideró necesario</w:t>
      </w:r>
      <w:r w:rsidR="004F3D3D" w:rsidRPr="002261B9">
        <w:rPr>
          <w:lang w:val="es-ES"/>
        </w:rPr>
        <w:t>.</w:t>
      </w:r>
      <w:r w:rsidR="004F6FFC" w:rsidRPr="002261B9">
        <w:rPr>
          <w:lang w:val="es-ES"/>
        </w:rPr>
        <w:t xml:space="preserve"> </w:t>
      </w:r>
    </w:p>
    <w:p w14:paraId="1C9F20B9" w14:textId="437AD586" w:rsidR="00880BEC" w:rsidRPr="002261B9" w:rsidRDefault="00795AAE" w:rsidP="00F45508">
      <w:pPr>
        <w:pStyle w:val="Paralevel1"/>
        <w:numPr>
          <w:ilvl w:val="0"/>
          <w:numId w:val="23"/>
        </w:numPr>
        <w:tabs>
          <w:tab w:val="clear" w:pos="0"/>
        </w:tabs>
        <w:ind w:left="1247" w:firstLine="0"/>
        <w:rPr>
          <w:lang w:val="es-ES"/>
        </w:rPr>
      </w:pPr>
      <w:r w:rsidRPr="002261B9">
        <w:rPr>
          <w:lang w:val="es-ES"/>
        </w:rPr>
        <w:t xml:space="preserve">Debido a que </w:t>
      </w:r>
      <w:r w:rsidR="00ED4157" w:rsidRPr="002261B9">
        <w:rPr>
          <w:lang w:val="es-ES"/>
        </w:rPr>
        <w:t xml:space="preserve">aumenta constantemente la </w:t>
      </w:r>
      <w:r w:rsidR="006F3AD9" w:rsidRPr="002261B9">
        <w:rPr>
          <w:lang w:val="es-ES"/>
        </w:rPr>
        <w:t>preocupaci</w:t>
      </w:r>
      <w:r w:rsidR="00ED4157" w:rsidRPr="002261B9">
        <w:rPr>
          <w:lang w:val="es-ES"/>
        </w:rPr>
        <w:t>ó</w:t>
      </w:r>
      <w:r w:rsidR="006F3AD9" w:rsidRPr="002261B9">
        <w:rPr>
          <w:lang w:val="es-ES"/>
        </w:rPr>
        <w:t>n</w:t>
      </w:r>
      <w:r w:rsidR="00ED4157" w:rsidRPr="002261B9">
        <w:rPr>
          <w:lang w:val="es-ES"/>
        </w:rPr>
        <w:t xml:space="preserve"> que suscitan</w:t>
      </w:r>
      <w:r w:rsidR="006F3AD9" w:rsidRPr="002261B9">
        <w:rPr>
          <w:lang w:val="es-ES"/>
        </w:rPr>
        <w:t xml:space="preserve"> las alternativas fluoradas de cadena corta </w:t>
      </w:r>
      <w:r w:rsidR="00880BEC" w:rsidRPr="002261B9">
        <w:rPr>
          <w:lang w:val="es-ES"/>
        </w:rPr>
        <w:t>(</w:t>
      </w:r>
      <w:r w:rsidRPr="002261B9">
        <w:rPr>
          <w:lang w:val="es-ES"/>
        </w:rPr>
        <w:t>véa</w:t>
      </w:r>
      <w:r w:rsidR="002261B9">
        <w:rPr>
          <w:lang w:val="es-ES"/>
        </w:rPr>
        <w:t>n</w:t>
      </w:r>
      <w:r w:rsidRPr="002261B9">
        <w:rPr>
          <w:lang w:val="es-ES"/>
        </w:rPr>
        <w:t>se párrafo</w:t>
      </w:r>
      <w:r w:rsidR="002261B9">
        <w:rPr>
          <w:lang w:val="es-ES"/>
        </w:rPr>
        <w:t>s</w:t>
      </w:r>
      <w:r w:rsidR="00880BEC" w:rsidRPr="002261B9">
        <w:rPr>
          <w:lang w:val="es-ES"/>
        </w:rPr>
        <w:t xml:space="preserve"> </w:t>
      </w:r>
      <w:r w:rsidR="001520B6" w:rsidRPr="002261B9">
        <w:rPr>
          <w:lang w:val="es-ES"/>
        </w:rPr>
        <w:t>179</w:t>
      </w:r>
      <w:r w:rsidR="002261B9">
        <w:rPr>
          <w:lang w:val="es-ES"/>
        </w:rPr>
        <w:t xml:space="preserve"> a 181</w:t>
      </w:r>
      <w:r w:rsidR="00880BEC" w:rsidRPr="002261B9">
        <w:rPr>
          <w:lang w:val="es-ES"/>
        </w:rPr>
        <w:t>)</w:t>
      </w:r>
      <w:r w:rsidR="00582AE1" w:rsidRPr="002261B9">
        <w:rPr>
          <w:lang w:val="es-ES"/>
        </w:rPr>
        <w:t>,</w:t>
      </w:r>
      <w:r w:rsidR="00880BEC" w:rsidRPr="002261B9">
        <w:rPr>
          <w:lang w:val="es-ES"/>
        </w:rPr>
        <w:t xml:space="preserve"> </w:t>
      </w:r>
      <w:r w:rsidR="00ED4157" w:rsidRPr="002261B9">
        <w:rPr>
          <w:lang w:val="es-ES"/>
        </w:rPr>
        <w:t>n</w:t>
      </w:r>
      <w:r w:rsidR="008D10C1" w:rsidRPr="002261B9">
        <w:rPr>
          <w:lang w:val="es-ES"/>
        </w:rPr>
        <w:t xml:space="preserve">o está claro aún si la sustitución del </w:t>
      </w:r>
      <w:r w:rsidR="00880BEC" w:rsidRPr="002261B9">
        <w:rPr>
          <w:lang w:val="es-ES"/>
        </w:rPr>
        <w:t xml:space="preserve">PFOA, </w:t>
      </w:r>
      <w:r w:rsidR="00E64629" w:rsidRPr="002261B9">
        <w:rPr>
          <w:lang w:val="es-ES"/>
        </w:rPr>
        <w:t>sus sales y</w:t>
      </w:r>
      <w:r w:rsidR="00880BEC" w:rsidRPr="002261B9">
        <w:rPr>
          <w:lang w:val="es-ES"/>
        </w:rPr>
        <w:t xml:space="preserve"> </w:t>
      </w:r>
      <w:r w:rsidR="008D10C1" w:rsidRPr="002261B9">
        <w:rPr>
          <w:lang w:val="es-ES"/>
        </w:rPr>
        <w:t>compuestos conexos con sustancias fluoradas de cadena corta</w:t>
      </w:r>
      <w:r w:rsidR="00880BEC" w:rsidRPr="002261B9">
        <w:rPr>
          <w:lang w:val="es-ES"/>
        </w:rPr>
        <w:t xml:space="preserve"> </w:t>
      </w:r>
      <w:r w:rsidR="008D10C1" w:rsidRPr="002261B9">
        <w:rPr>
          <w:lang w:val="es-ES"/>
        </w:rPr>
        <w:t>pued</w:t>
      </w:r>
      <w:r w:rsidR="00ED4157" w:rsidRPr="002261B9">
        <w:rPr>
          <w:lang w:val="es-ES"/>
        </w:rPr>
        <w:t>a</w:t>
      </w:r>
      <w:r w:rsidR="008D10C1" w:rsidRPr="002261B9">
        <w:rPr>
          <w:lang w:val="es-ES"/>
        </w:rPr>
        <w:t xml:space="preserve"> </w:t>
      </w:r>
      <w:r w:rsidR="00ED4157" w:rsidRPr="002261B9">
        <w:rPr>
          <w:lang w:val="es-ES"/>
        </w:rPr>
        <w:t>surtir</w:t>
      </w:r>
      <w:r w:rsidR="008D10C1" w:rsidRPr="002261B9">
        <w:rPr>
          <w:lang w:val="es-ES"/>
        </w:rPr>
        <w:t xml:space="preserve"> efectos adversos </w:t>
      </w:r>
      <w:r w:rsidR="00ED4157" w:rsidRPr="002261B9">
        <w:rPr>
          <w:lang w:val="es-ES"/>
        </w:rPr>
        <w:t xml:space="preserve">comparables con </w:t>
      </w:r>
      <w:r w:rsidR="008D10C1" w:rsidRPr="002261B9">
        <w:rPr>
          <w:lang w:val="es-ES"/>
        </w:rPr>
        <w:t>los de las sustancias sustituidas</w:t>
      </w:r>
      <w:r w:rsidR="00880BEC" w:rsidRPr="002261B9">
        <w:rPr>
          <w:lang w:val="es-ES"/>
        </w:rPr>
        <w:t>.</w:t>
      </w:r>
      <w:r w:rsidR="00931999" w:rsidRPr="002261B9">
        <w:rPr>
          <w:lang w:val="es-ES"/>
        </w:rPr>
        <w:t xml:space="preserve"> </w:t>
      </w:r>
      <w:r w:rsidR="006F3AD9" w:rsidRPr="002261B9">
        <w:rPr>
          <w:lang w:val="es-ES"/>
        </w:rPr>
        <w:t xml:space="preserve">De ahí que </w:t>
      </w:r>
      <w:r w:rsidR="00ED4157" w:rsidRPr="002261B9">
        <w:rPr>
          <w:lang w:val="es-ES"/>
        </w:rPr>
        <w:t xml:space="preserve">siga pendiente de aclaración </w:t>
      </w:r>
      <w:r w:rsidR="006F3AD9" w:rsidRPr="002261B9">
        <w:rPr>
          <w:lang w:val="es-ES"/>
        </w:rPr>
        <w:t xml:space="preserve">si la sustitución del </w:t>
      </w:r>
      <w:r w:rsidR="0077565C" w:rsidRPr="002261B9">
        <w:rPr>
          <w:lang w:val="es-ES"/>
        </w:rPr>
        <w:t xml:space="preserve">PFOA, </w:t>
      </w:r>
      <w:r w:rsidR="00E64629" w:rsidRPr="002261B9">
        <w:rPr>
          <w:lang w:val="es-ES"/>
        </w:rPr>
        <w:t>sus sales y</w:t>
      </w:r>
      <w:r w:rsidR="0077565C" w:rsidRPr="002261B9">
        <w:rPr>
          <w:lang w:val="es-ES"/>
        </w:rPr>
        <w:t xml:space="preserve"> </w:t>
      </w:r>
      <w:r w:rsidR="006F3AD9" w:rsidRPr="002261B9">
        <w:rPr>
          <w:lang w:val="es-ES"/>
        </w:rPr>
        <w:t xml:space="preserve">compuestos conexos por sustancias fluoradas de cadena corta no se considerará una sustitución </w:t>
      </w:r>
      <w:r w:rsidR="00717C0A" w:rsidRPr="002261B9">
        <w:rPr>
          <w:lang w:val="es-ES"/>
        </w:rPr>
        <w:t>de la que habrá que arrepentirse</w:t>
      </w:r>
      <w:r w:rsidR="008E7BD4" w:rsidRPr="002261B9">
        <w:rPr>
          <w:lang w:val="es-ES"/>
        </w:rPr>
        <w:t>.</w:t>
      </w:r>
      <w:r w:rsidR="00362DFF" w:rsidRPr="002261B9">
        <w:rPr>
          <w:lang w:val="es-ES"/>
        </w:rPr>
        <w:t xml:space="preserve"> </w:t>
      </w:r>
      <w:r w:rsidR="006F3AD9" w:rsidRPr="002261B9">
        <w:rPr>
          <w:lang w:val="es-ES"/>
        </w:rPr>
        <w:t>Los científicos han advertido que no se deben sustituir con otras alternativas fluoradas a fin de evitar</w:t>
      </w:r>
      <w:r w:rsidR="00362DFF" w:rsidRPr="002261B9">
        <w:rPr>
          <w:lang w:val="es-ES"/>
        </w:rPr>
        <w:t xml:space="preserve"> </w:t>
      </w:r>
      <w:r w:rsidR="006F3AD9" w:rsidRPr="002261B9">
        <w:rPr>
          <w:lang w:val="es-ES"/>
        </w:rPr>
        <w:t>perjuicios perdurables para la salud humana y el medio ambiente</w:t>
      </w:r>
      <w:r w:rsidR="00362DFF" w:rsidRPr="002261B9">
        <w:rPr>
          <w:lang w:val="es-ES"/>
        </w:rPr>
        <w:t xml:space="preserve"> (</w:t>
      </w:r>
      <w:r w:rsidRPr="002261B9">
        <w:rPr>
          <w:lang w:val="es-ES"/>
        </w:rPr>
        <w:t>Orientación sobre alternativas del Comité de Examen de los COP</w:t>
      </w:r>
      <w:r w:rsidR="00C0616A" w:rsidRPr="002261B9">
        <w:rPr>
          <w:lang w:val="es-ES"/>
        </w:rPr>
        <w:t>,</w:t>
      </w:r>
      <w:r w:rsidR="00362DFF" w:rsidRPr="002261B9">
        <w:rPr>
          <w:lang w:val="es-ES"/>
        </w:rPr>
        <w:t xml:space="preserve"> Blum </w:t>
      </w:r>
      <w:r w:rsidR="003F3A09" w:rsidRPr="002261B9">
        <w:rPr>
          <w:lang w:val="es-ES"/>
        </w:rPr>
        <w:t>y otros</w:t>
      </w:r>
      <w:r w:rsidR="000A45EB" w:rsidRPr="002261B9">
        <w:rPr>
          <w:lang w:val="es-ES"/>
        </w:rPr>
        <w:t>,</w:t>
      </w:r>
      <w:r w:rsidR="00362DFF" w:rsidRPr="002261B9">
        <w:rPr>
          <w:lang w:val="es-ES"/>
        </w:rPr>
        <w:t xml:space="preserve"> </w:t>
      </w:r>
      <w:r w:rsidR="00717C0A" w:rsidRPr="002261B9">
        <w:rPr>
          <w:lang w:val="es-ES"/>
        </w:rPr>
        <w:t>2</w:t>
      </w:r>
      <w:r w:rsidR="00362DFF" w:rsidRPr="002261B9">
        <w:rPr>
          <w:lang w:val="es-ES"/>
        </w:rPr>
        <w:t>015</w:t>
      </w:r>
      <w:r w:rsidR="00717C0A" w:rsidRPr="002261B9">
        <w:rPr>
          <w:lang w:val="es-ES"/>
        </w:rPr>
        <w:t>).</w:t>
      </w:r>
    </w:p>
    <w:p w14:paraId="1FB718C0" w14:textId="77777777" w:rsidR="00E03EE8" w:rsidRPr="002261B9" w:rsidRDefault="008F63FC" w:rsidP="00955D10">
      <w:pPr>
        <w:spacing w:after="120"/>
        <w:ind w:left="1247"/>
        <w:rPr>
          <w:b/>
          <w:i/>
          <w:sz w:val="20"/>
          <w:szCs w:val="20"/>
          <w:lang w:val="es-ES"/>
        </w:rPr>
      </w:pPr>
      <w:r w:rsidRPr="002261B9">
        <w:rPr>
          <w:b/>
          <w:i/>
          <w:sz w:val="20"/>
          <w:szCs w:val="20"/>
          <w:lang w:val="es-ES"/>
        </w:rPr>
        <w:t>Resumen de la información sobre los efectos en la sociedad</w:t>
      </w:r>
    </w:p>
    <w:p w14:paraId="4E3D326D" w14:textId="75F90439" w:rsidR="001416FA" w:rsidRPr="002261B9" w:rsidRDefault="003F3A09" w:rsidP="00F45508">
      <w:pPr>
        <w:pStyle w:val="Paralevel1"/>
        <w:numPr>
          <w:ilvl w:val="0"/>
          <w:numId w:val="23"/>
        </w:numPr>
        <w:tabs>
          <w:tab w:val="clear" w:pos="0"/>
        </w:tabs>
        <w:ind w:left="1247" w:firstLine="0"/>
        <w:rPr>
          <w:lang w:val="es-ES"/>
        </w:rPr>
      </w:pPr>
      <w:r w:rsidRPr="002261B9">
        <w:rPr>
          <w:lang w:val="es-ES"/>
        </w:rPr>
        <w:t xml:space="preserve">La restricción o prohibición del </w:t>
      </w:r>
      <w:r w:rsidR="001416FA" w:rsidRPr="002261B9">
        <w:rPr>
          <w:lang w:val="es-ES"/>
        </w:rPr>
        <w:t xml:space="preserve">PFOA, </w:t>
      </w:r>
      <w:r w:rsidRPr="002261B9">
        <w:rPr>
          <w:lang w:val="es-ES"/>
        </w:rPr>
        <w:t xml:space="preserve">sus sales y los compuestos conexos surtirían un efecto positivo en la salud humana y el medio ambiente, en particular la biota, al disminuir las emisiones y, posteriormente, la </w:t>
      </w:r>
      <w:r w:rsidR="001520B6" w:rsidRPr="002261B9">
        <w:rPr>
          <w:lang w:val="es-ES"/>
        </w:rPr>
        <w:t xml:space="preserve">reducción de la </w:t>
      </w:r>
      <w:r w:rsidRPr="002261B9">
        <w:rPr>
          <w:lang w:val="es-ES"/>
        </w:rPr>
        <w:t>exposición de los seres humanos y el medio ambiente</w:t>
      </w:r>
      <w:r w:rsidR="001416FA" w:rsidRPr="002261B9">
        <w:rPr>
          <w:lang w:val="es-ES"/>
        </w:rPr>
        <w:t xml:space="preserve">. </w:t>
      </w:r>
      <w:r w:rsidRPr="002261B9">
        <w:rPr>
          <w:lang w:val="es-ES"/>
        </w:rPr>
        <w:t xml:space="preserve">Además, la restricción o prohibición </w:t>
      </w:r>
      <w:r w:rsidR="001520B6" w:rsidRPr="002261B9">
        <w:rPr>
          <w:lang w:val="es-ES"/>
        </w:rPr>
        <w:t xml:space="preserve">del PFOA </w:t>
      </w:r>
      <w:r w:rsidRPr="002261B9">
        <w:rPr>
          <w:lang w:val="es-ES"/>
        </w:rPr>
        <w:t>traería consigo beneficios para la agricultura al disminuir las emisiones y, posteriormente, los efectos perjudiciales en los cultivos agrícolas</w:t>
      </w:r>
      <w:r w:rsidR="001416FA" w:rsidRPr="002261B9">
        <w:rPr>
          <w:lang w:val="es-ES"/>
        </w:rPr>
        <w:t>.</w:t>
      </w:r>
    </w:p>
    <w:p w14:paraId="1CC44DAD" w14:textId="77777777" w:rsidR="001416FA" w:rsidRPr="002261B9" w:rsidRDefault="008D10C1" w:rsidP="00F45508">
      <w:pPr>
        <w:pStyle w:val="Paralevel1"/>
        <w:numPr>
          <w:ilvl w:val="0"/>
          <w:numId w:val="23"/>
        </w:numPr>
        <w:tabs>
          <w:tab w:val="clear" w:pos="0"/>
        </w:tabs>
        <w:ind w:left="1247" w:firstLine="0"/>
        <w:rPr>
          <w:lang w:val="es-ES"/>
        </w:rPr>
      </w:pPr>
      <w:r w:rsidRPr="002261B9">
        <w:rPr>
          <w:lang w:val="es-ES"/>
        </w:rPr>
        <w:t>Al evaluar los efectos de la restricción del PFOA y los compuestos conexos del PFOA en la salud humana y</w:t>
      </w:r>
      <w:r w:rsidR="00284890" w:rsidRPr="002261B9">
        <w:rPr>
          <w:lang w:val="es-ES"/>
        </w:rPr>
        <w:t xml:space="preserve"> </w:t>
      </w:r>
      <w:r w:rsidRPr="002261B9">
        <w:rPr>
          <w:lang w:val="es-ES"/>
        </w:rPr>
        <w:t>el medio ambiente</w:t>
      </w:r>
      <w:r w:rsidR="00582AE1" w:rsidRPr="002261B9">
        <w:rPr>
          <w:lang w:val="es-ES"/>
        </w:rPr>
        <w:t xml:space="preserve">, </w:t>
      </w:r>
      <w:r w:rsidRPr="002261B9">
        <w:rPr>
          <w:lang w:val="es-ES"/>
        </w:rPr>
        <w:t>e</w:t>
      </w:r>
      <w:r w:rsidR="001416FA" w:rsidRPr="002261B9">
        <w:rPr>
          <w:lang w:val="es-ES"/>
        </w:rPr>
        <w:t xml:space="preserve">s </w:t>
      </w:r>
      <w:r w:rsidRPr="002261B9">
        <w:rPr>
          <w:lang w:val="es-ES"/>
        </w:rPr>
        <w:t>fundamental tener en cuenta l</w:t>
      </w:r>
      <w:r w:rsidR="00ED4157" w:rsidRPr="002261B9">
        <w:rPr>
          <w:lang w:val="es-ES"/>
        </w:rPr>
        <w:t xml:space="preserve">a </w:t>
      </w:r>
      <w:r w:rsidRPr="002261B9">
        <w:rPr>
          <w:lang w:val="es-ES"/>
        </w:rPr>
        <w:t>preocupaci</w:t>
      </w:r>
      <w:r w:rsidR="00ED4157" w:rsidRPr="002261B9">
        <w:rPr>
          <w:lang w:val="es-ES"/>
        </w:rPr>
        <w:t>ó</w:t>
      </w:r>
      <w:r w:rsidRPr="002261B9">
        <w:rPr>
          <w:lang w:val="es-ES"/>
        </w:rPr>
        <w:t>n específic</w:t>
      </w:r>
      <w:r w:rsidR="00ED4157" w:rsidRPr="002261B9">
        <w:rPr>
          <w:lang w:val="es-ES"/>
        </w:rPr>
        <w:t>a</w:t>
      </w:r>
      <w:r w:rsidRPr="002261B9">
        <w:rPr>
          <w:lang w:val="es-ES"/>
        </w:rPr>
        <w:t xml:space="preserve"> que </w:t>
      </w:r>
      <w:r w:rsidR="00ED4157" w:rsidRPr="002261B9">
        <w:rPr>
          <w:lang w:val="es-ES"/>
        </w:rPr>
        <w:t>suscita</w:t>
      </w:r>
      <w:r w:rsidRPr="002261B9">
        <w:rPr>
          <w:lang w:val="es-ES"/>
        </w:rPr>
        <w:t xml:space="preserve"> el </w:t>
      </w:r>
      <w:r w:rsidR="00582AE1" w:rsidRPr="002261B9">
        <w:rPr>
          <w:lang w:val="es-ES"/>
        </w:rPr>
        <w:t>PFOA</w:t>
      </w:r>
      <w:r w:rsidR="001416FA" w:rsidRPr="002261B9">
        <w:rPr>
          <w:lang w:val="es-ES"/>
        </w:rPr>
        <w:t xml:space="preserve"> </w:t>
      </w:r>
      <w:r w:rsidRPr="002261B9">
        <w:rPr>
          <w:lang w:val="es-ES"/>
        </w:rPr>
        <w:t>como sustancia COP</w:t>
      </w:r>
      <w:r w:rsidR="001416FA" w:rsidRPr="002261B9">
        <w:rPr>
          <w:lang w:val="es-ES"/>
        </w:rPr>
        <w:t xml:space="preserve">. </w:t>
      </w:r>
      <w:r w:rsidR="00ED4157" w:rsidRPr="002261B9">
        <w:rPr>
          <w:lang w:val="es-ES"/>
        </w:rPr>
        <w:t>Es imposible cuantificar l</w:t>
      </w:r>
      <w:r w:rsidRPr="002261B9">
        <w:rPr>
          <w:lang w:val="es-ES"/>
        </w:rPr>
        <w:t xml:space="preserve">a magnitud y </w:t>
      </w:r>
      <w:r w:rsidR="00ED4157" w:rsidRPr="002261B9">
        <w:rPr>
          <w:lang w:val="es-ES"/>
        </w:rPr>
        <w:t>e</w:t>
      </w:r>
      <w:r w:rsidRPr="002261B9">
        <w:rPr>
          <w:lang w:val="es-ES"/>
        </w:rPr>
        <w:t>l</w:t>
      </w:r>
      <w:r w:rsidR="00ED4157" w:rsidRPr="002261B9">
        <w:rPr>
          <w:lang w:val="es-ES"/>
        </w:rPr>
        <w:t xml:space="preserve"> alcance</w:t>
      </w:r>
      <w:r w:rsidRPr="002261B9">
        <w:rPr>
          <w:lang w:val="es-ES"/>
        </w:rPr>
        <w:t xml:space="preserve"> de los riesgos del </w:t>
      </w:r>
      <w:r w:rsidR="001416FA" w:rsidRPr="002261B9">
        <w:rPr>
          <w:lang w:val="es-ES"/>
        </w:rPr>
        <w:t xml:space="preserve">PFOA </w:t>
      </w:r>
      <w:r w:rsidRPr="002261B9">
        <w:rPr>
          <w:lang w:val="es-ES"/>
        </w:rPr>
        <w:t>y</w:t>
      </w:r>
      <w:r w:rsidR="001416FA" w:rsidRPr="002261B9">
        <w:rPr>
          <w:lang w:val="es-ES"/>
        </w:rPr>
        <w:t xml:space="preserve">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2B3E45" w:rsidRPr="002261B9">
        <w:rPr>
          <w:lang w:val="es-ES"/>
        </w:rPr>
        <w:t xml:space="preserve">, </w:t>
      </w:r>
      <w:r w:rsidRPr="002261B9">
        <w:rPr>
          <w:lang w:val="es-ES"/>
        </w:rPr>
        <w:t>pero se justifica la adopción de medidas a nivel mundial</w:t>
      </w:r>
      <w:r w:rsidR="001416FA" w:rsidRPr="002261B9">
        <w:rPr>
          <w:lang w:val="es-ES"/>
        </w:rPr>
        <w:t xml:space="preserve">. </w:t>
      </w:r>
      <w:r w:rsidRPr="002261B9">
        <w:rPr>
          <w:lang w:val="es-ES"/>
        </w:rPr>
        <w:t xml:space="preserve">Por </w:t>
      </w:r>
      <w:r w:rsidR="00ED4157" w:rsidRPr="002261B9">
        <w:rPr>
          <w:lang w:val="es-ES"/>
        </w:rPr>
        <w:t>eso</w:t>
      </w:r>
      <w:r w:rsidR="001416FA" w:rsidRPr="002261B9">
        <w:rPr>
          <w:lang w:val="es-ES"/>
        </w:rPr>
        <w:t xml:space="preserve">, </w:t>
      </w:r>
      <w:r w:rsidRPr="002261B9">
        <w:rPr>
          <w:lang w:val="es-ES"/>
        </w:rPr>
        <w:t xml:space="preserve">la gestión de los riesgos de esas sustancias se apoya en datos científicos y </w:t>
      </w:r>
      <w:r w:rsidR="00336912" w:rsidRPr="002261B9">
        <w:rPr>
          <w:lang w:val="es-ES"/>
        </w:rPr>
        <w:t xml:space="preserve">en </w:t>
      </w:r>
      <w:r w:rsidRPr="002261B9">
        <w:rPr>
          <w:lang w:val="es-ES"/>
        </w:rPr>
        <w:t xml:space="preserve">medidas </w:t>
      </w:r>
      <w:r w:rsidR="00336912" w:rsidRPr="002261B9">
        <w:rPr>
          <w:lang w:val="es-ES"/>
        </w:rPr>
        <w:t>de precaución</w:t>
      </w:r>
      <w:r w:rsidRPr="002261B9">
        <w:rPr>
          <w:lang w:val="es-ES"/>
        </w:rPr>
        <w:t xml:space="preserve"> para evitar que se sigan produciendo efectos irreversibles y potencialmente graves </w:t>
      </w:r>
      <w:r w:rsidR="006667E8" w:rsidRPr="002261B9">
        <w:rPr>
          <w:lang w:val="es-ES"/>
        </w:rPr>
        <w:t>resultantes de</w:t>
      </w:r>
      <w:r w:rsidRPr="002261B9">
        <w:rPr>
          <w:lang w:val="es-ES"/>
        </w:rPr>
        <w:t xml:space="preserve"> la continuación de las emisiones</w:t>
      </w:r>
      <w:r w:rsidR="001416FA" w:rsidRPr="002261B9">
        <w:rPr>
          <w:lang w:val="es-ES"/>
        </w:rPr>
        <w:t>.</w:t>
      </w:r>
      <w:r w:rsidR="00284890" w:rsidRPr="002261B9">
        <w:rPr>
          <w:lang w:val="es-ES"/>
        </w:rPr>
        <w:t xml:space="preserve"> </w:t>
      </w:r>
    </w:p>
    <w:p w14:paraId="31E4A3AA" w14:textId="77777777" w:rsidR="001416FA" w:rsidRPr="002261B9" w:rsidRDefault="00853C01" w:rsidP="00F45508">
      <w:pPr>
        <w:pStyle w:val="Paralevel1"/>
        <w:numPr>
          <w:ilvl w:val="0"/>
          <w:numId w:val="23"/>
        </w:numPr>
        <w:tabs>
          <w:tab w:val="clear" w:pos="0"/>
        </w:tabs>
        <w:ind w:left="1247" w:firstLine="0"/>
        <w:rPr>
          <w:lang w:val="es-ES"/>
        </w:rPr>
      </w:pPr>
      <w:r w:rsidRPr="002261B9">
        <w:rPr>
          <w:lang w:val="es-ES"/>
        </w:rPr>
        <w:t>Sobre la base del análisis de sus características</w:t>
      </w:r>
      <w:r w:rsidR="001416FA" w:rsidRPr="002261B9">
        <w:rPr>
          <w:lang w:val="es-ES"/>
        </w:rPr>
        <w:t xml:space="preserve">, </w:t>
      </w:r>
      <w:r w:rsidRPr="002261B9">
        <w:rPr>
          <w:lang w:val="es-ES"/>
        </w:rPr>
        <w:t>se espera que algunas de las alternativas disponibles</w:t>
      </w:r>
      <w:r w:rsidR="001416FA" w:rsidRPr="002261B9">
        <w:rPr>
          <w:lang w:val="es-ES"/>
        </w:rPr>
        <w:t xml:space="preserve"> </w:t>
      </w:r>
      <w:r w:rsidRPr="002261B9">
        <w:rPr>
          <w:lang w:val="es-ES"/>
        </w:rPr>
        <w:t xml:space="preserve">planteen menos riesgos para la salud que el </w:t>
      </w:r>
      <w:r w:rsidR="001416FA" w:rsidRPr="002261B9">
        <w:rPr>
          <w:lang w:val="es-ES"/>
        </w:rPr>
        <w:t xml:space="preserve">PFOA </w:t>
      </w:r>
      <w:r w:rsidRPr="002261B9">
        <w:rPr>
          <w:lang w:val="es-ES"/>
        </w:rPr>
        <w:t xml:space="preserve">y </w:t>
      </w:r>
      <w:r w:rsidR="00E61FF0" w:rsidRPr="002261B9">
        <w:rPr>
          <w:lang w:val="es-ES"/>
        </w:rPr>
        <w:t xml:space="preserve">los </w:t>
      </w:r>
      <w:r w:rsidR="009321C2" w:rsidRPr="002261B9">
        <w:rPr>
          <w:lang w:val="es-ES"/>
        </w:rPr>
        <w:t>compuestos</w:t>
      </w:r>
      <w:r w:rsidR="00E61FF0" w:rsidRPr="002261B9">
        <w:rPr>
          <w:lang w:val="es-ES"/>
        </w:rPr>
        <w:t xml:space="preserve"> conexos del PFOA</w:t>
      </w:r>
      <w:r w:rsidR="001416FA" w:rsidRPr="002261B9">
        <w:rPr>
          <w:lang w:val="es-ES"/>
        </w:rPr>
        <w:t xml:space="preserve">. </w:t>
      </w:r>
      <w:r w:rsidRPr="002261B9">
        <w:rPr>
          <w:lang w:val="es-ES"/>
        </w:rPr>
        <w:t>Cabe e</w:t>
      </w:r>
      <w:r w:rsidR="00536059" w:rsidRPr="002261B9">
        <w:rPr>
          <w:lang w:val="es-ES"/>
        </w:rPr>
        <w:t>sperar que la restricción de la </w:t>
      </w:r>
      <w:r w:rsidRPr="002261B9">
        <w:rPr>
          <w:lang w:val="es-ES"/>
        </w:rPr>
        <w:t>UE redunde en un beneficio neto para la sociedad en lo re</w:t>
      </w:r>
      <w:r w:rsidR="00ED4157" w:rsidRPr="002261B9">
        <w:rPr>
          <w:lang w:val="es-ES"/>
        </w:rPr>
        <w:t>lativo</w:t>
      </w:r>
      <w:r w:rsidRPr="002261B9">
        <w:rPr>
          <w:lang w:val="es-ES"/>
        </w:rPr>
        <w:t xml:space="preserve"> a los efectos en la salud humana. Si bien no se ha llevado a cabo ningún análisis cuantitativo de los beneficios en el proceso reglamentario de la evaluación de los riesgos del Canadá</w:t>
      </w:r>
      <w:r w:rsidR="001416FA" w:rsidRPr="002261B9">
        <w:rPr>
          <w:lang w:val="es-ES"/>
        </w:rPr>
        <w:t xml:space="preserve">, </w:t>
      </w:r>
      <w:r w:rsidRPr="002261B9">
        <w:rPr>
          <w:lang w:val="es-ES"/>
        </w:rPr>
        <w:t>cabe esperar que mejore la calidad del medio ambiente gracias al control de esas sustancias</w:t>
      </w:r>
      <w:r w:rsidR="001416FA" w:rsidRPr="002261B9">
        <w:rPr>
          <w:lang w:val="es-ES"/>
        </w:rPr>
        <w:t xml:space="preserve">. </w:t>
      </w:r>
      <w:r w:rsidRPr="002261B9">
        <w:rPr>
          <w:lang w:val="es-ES"/>
        </w:rPr>
        <w:t>Se considera que los procedimientos de evaluación de los riesgos de la U</w:t>
      </w:r>
      <w:r w:rsidR="00BF514A" w:rsidRPr="002261B9">
        <w:rPr>
          <w:lang w:val="es-ES"/>
        </w:rPr>
        <w:t xml:space="preserve">nión </w:t>
      </w:r>
      <w:r w:rsidRPr="002261B9">
        <w:rPr>
          <w:lang w:val="es-ES"/>
        </w:rPr>
        <w:t>E</w:t>
      </w:r>
      <w:r w:rsidR="00BF514A" w:rsidRPr="002261B9">
        <w:rPr>
          <w:lang w:val="es-ES"/>
        </w:rPr>
        <w:t>uropea</w:t>
      </w:r>
      <w:r w:rsidRPr="002261B9">
        <w:rPr>
          <w:lang w:val="es-ES"/>
        </w:rPr>
        <w:t xml:space="preserve"> y el Canadá</w:t>
      </w:r>
      <w:r w:rsidR="001416FA" w:rsidRPr="002261B9">
        <w:rPr>
          <w:lang w:val="es-ES"/>
        </w:rPr>
        <w:t xml:space="preserve"> </w:t>
      </w:r>
      <w:r w:rsidRPr="002261B9">
        <w:rPr>
          <w:lang w:val="es-ES"/>
        </w:rPr>
        <w:t>surtirán efectos moderados en los costos porque el mercado ya está sustituyendo al</w:t>
      </w:r>
      <w:r w:rsidR="001416FA" w:rsidRPr="002261B9">
        <w:rPr>
          <w:lang w:val="es-ES"/>
        </w:rPr>
        <w:t xml:space="preserve"> PFOA </w:t>
      </w:r>
      <w:r w:rsidRPr="002261B9">
        <w:rPr>
          <w:lang w:val="es-ES"/>
        </w:rPr>
        <w:t>y</w:t>
      </w:r>
      <w:r w:rsidR="001416FA" w:rsidRPr="002261B9">
        <w:rPr>
          <w:lang w:val="es-ES"/>
        </w:rPr>
        <w:t xml:space="preserve"> </w:t>
      </w:r>
      <w:r w:rsidR="00E64629" w:rsidRPr="002261B9">
        <w:rPr>
          <w:lang w:val="es-ES"/>
        </w:rPr>
        <w:t>las sustancias conexas del PFOA</w:t>
      </w:r>
      <w:r w:rsidR="001416FA" w:rsidRPr="002261B9">
        <w:rPr>
          <w:lang w:val="es-ES"/>
        </w:rPr>
        <w:t xml:space="preserve"> </w:t>
      </w:r>
      <w:r w:rsidR="00A337AE" w:rsidRPr="002261B9">
        <w:rPr>
          <w:lang w:val="es-ES"/>
        </w:rPr>
        <w:t>y porque los procedimiento</w:t>
      </w:r>
      <w:r w:rsidR="00717C0A" w:rsidRPr="002261B9">
        <w:rPr>
          <w:lang w:val="es-ES"/>
        </w:rPr>
        <w:t>s</w:t>
      </w:r>
      <w:r w:rsidR="00A337AE" w:rsidRPr="002261B9">
        <w:rPr>
          <w:lang w:val="es-ES"/>
        </w:rPr>
        <w:t xml:space="preserve"> de evaluación de los riesgos prevén exenciones temporales y usos permitidos actuales para determinadas aplicaciones para las que se están creando alternativas o para las que no se conocen alternativas en estos momentos</w:t>
      </w:r>
      <w:r w:rsidR="001416FA" w:rsidRPr="002261B9">
        <w:rPr>
          <w:lang w:val="es-ES"/>
        </w:rPr>
        <w:t xml:space="preserve">. </w:t>
      </w:r>
      <w:r w:rsidRPr="002261B9">
        <w:rPr>
          <w:lang w:val="es-ES"/>
        </w:rPr>
        <w:t>Lo mismo cabe esperar del procedimiento de evaluación de los riesgos en Noruega</w:t>
      </w:r>
      <w:r w:rsidR="001416FA" w:rsidRPr="002261B9">
        <w:rPr>
          <w:lang w:val="es-ES"/>
        </w:rPr>
        <w:t>.</w:t>
      </w:r>
      <w:r w:rsidR="00337826" w:rsidRPr="002261B9">
        <w:rPr>
          <w:lang w:val="es-ES"/>
        </w:rPr>
        <w:t xml:space="preserve"> </w:t>
      </w:r>
      <w:r w:rsidRPr="002261B9">
        <w:rPr>
          <w:lang w:val="es-ES"/>
        </w:rPr>
        <w:t xml:space="preserve">Por esa razón, cabe esperar que una restricción o prohibición a nivel mundial en el marco del </w:t>
      </w:r>
      <w:r w:rsidR="00BF6525" w:rsidRPr="002261B9">
        <w:rPr>
          <w:lang w:val="es-ES"/>
        </w:rPr>
        <w:t>Convenio de Estocolmo</w:t>
      </w:r>
      <w:r w:rsidR="00337826" w:rsidRPr="002261B9">
        <w:rPr>
          <w:lang w:val="es-ES"/>
        </w:rPr>
        <w:t xml:space="preserve"> </w:t>
      </w:r>
      <w:r w:rsidRPr="002261B9">
        <w:rPr>
          <w:lang w:val="es-ES"/>
        </w:rPr>
        <w:t>redunde en un beneficio neto para la sociedad en lo referente a los efectos en la salud humana</w:t>
      </w:r>
      <w:r w:rsidR="00337826" w:rsidRPr="002261B9">
        <w:rPr>
          <w:lang w:val="es-ES"/>
        </w:rPr>
        <w:t>.</w:t>
      </w:r>
    </w:p>
    <w:p w14:paraId="2B6784FB" w14:textId="77777777" w:rsidR="001416FA" w:rsidRPr="002261B9" w:rsidRDefault="008D10C1" w:rsidP="00F45508">
      <w:pPr>
        <w:pStyle w:val="Paralevel1"/>
        <w:numPr>
          <w:ilvl w:val="0"/>
          <w:numId w:val="23"/>
        </w:numPr>
        <w:tabs>
          <w:tab w:val="clear" w:pos="0"/>
        </w:tabs>
        <w:ind w:left="1247" w:firstLine="0"/>
        <w:rPr>
          <w:lang w:val="es-ES"/>
        </w:rPr>
      </w:pPr>
      <w:r w:rsidRPr="002261B9">
        <w:rPr>
          <w:lang w:val="es-ES"/>
        </w:rPr>
        <w:t>Ya se han aplicado en muchos países alternativas al PFOA competitivas en cuanto a los costos, que no muestran características de contaminantes orgánicos persistentes</w:t>
      </w:r>
      <w:r w:rsidR="001416FA" w:rsidRPr="002261B9">
        <w:rPr>
          <w:lang w:val="es-ES"/>
        </w:rPr>
        <w:t xml:space="preserve">. </w:t>
      </w:r>
      <w:r w:rsidRPr="002261B9">
        <w:rPr>
          <w:lang w:val="es-ES"/>
        </w:rPr>
        <w:t>Esto es un indicio de la viabilidad económica y técnica de las alternativas</w:t>
      </w:r>
      <w:r w:rsidR="001416FA" w:rsidRPr="002261B9">
        <w:rPr>
          <w:lang w:val="es-ES"/>
        </w:rPr>
        <w:t xml:space="preserve">. </w:t>
      </w:r>
      <w:r w:rsidR="00853C01" w:rsidRPr="002261B9">
        <w:rPr>
          <w:lang w:val="es-ES"/>
        </w:rPr>
        <w:t>Entre l</w:t>
      </w:r>
      <w:r w:rsidRPr="002261B9">
        <w:rPr>
          <w:lang w:val="es-ES"/>
        </w:rPr>
        <w:t xml:space="preserve">os aspectos económicos de sustituir las alternativas al </w:t>
      </w:r>
      <w:r w:rsidR="001416FA" w:rsidRPr="002261B9">
        <w:rPr>
          <w:lang w:val="es-ES"/>
        </w:rPr>
        <w:t xml:space="preserve">PFOA </w:t>
      </w:r>
      <w:r w:rsidR="00853C01" w:rsidRPr="002261B9">
        <w:rPr>
          <w:lang w:val="es-ES"/>
        </w:rPr>
        <w:t xml:space="preserve">figuran las economías </w:t>
      </w:r>
      <w:r w:rsidR="001416FA" w:rsidRPr="002261B9">
        <w:rPr>
          <w:lang w:val="es-ES"/>
        </w:rPr>
        <w:t>(no</w:t>
      </w:r>
      <w:r w:rsidR="00853C01" w:rsidRPr="002261B9">
        <w:rPr>
          <w:lang w:val="es-ES"/>
        </w:rPr>
        <w:t xml:space="preserve"> cuantificables</w:t>
      </w:r>
      <w:r w:rsidR="001416FA" w:rsidRPr="002261B9">
        <w:rPr>
          <w:lang w:val="es-ES"/>
        </w:rPr>
        <w:t xml:space="preserve">) </w:t>
      </w:r>
      <w:r w:rsidR="00A337AE" w:rsidRPr="002261B9">
        <w:rPr>
          <w:lang w:val="es-ES"/>
        </w:rPr>
        <w:t>logradas en los costos de la salud y el medio ambiente gracias a la disminución de la exposición</w:t>
      </w:r>
      <w:r w:rsidR="001416FA" w:rsidRPr="002261B9">
        <w:rPr>
          <w:lang w:val="es-ES"/>
        </w:rPr>
        <w:t>.</w:t>
      </w:r>
    </w:p>
    <w:p w14:paraId="3D654AF4" w14:textId="77777777" w:rsidR="001416FA" w:rsidRPr="002261B9" w:rsidRDefault="00227542" w:rsidP="00F45508">
      <w:pPr>
        <w:pStyle w:val="Paralevel1"/>
        <w:numPr>
          <w:ilvl w:val="0"/>
          <w:numId w:val="23"/>
        </w:numPr>
        <w:tabs>
          <w:tab w:val="clear" w:pos="0"/>
        </w:tabs>
        <w:ind w:left="1247" w:firstLine="0"/>
        <w:rPr>
          <w:lang w:val="es-ES"/>
        </w:rPr>
      </w:pPr>
      <w:r w:rsidRPr="002261B9">
        <w:rPr>
          <w:lang w:val="es-ES"/>
        </w:rPr>
        <w:t xml:space="preserve">La restricción o prohibición del </w:t>
      </w:r>
      <w:r w:rsidR="001416FA" w:rsidRPr="002261B9">
        <w:rPr>
          <w:lang w:val="es-ES"/>
        </w:rPr>
        <w:t xml:space="preserve">PFOA, </w:t>
      </w:r>
      <w:r w:rsidRPr="002261B9">
        <w:rPr>
          <w:lang w:val="es-ES"/>
        </w:rPr>
        <w:t xml:space="preserve">sus sales y compuestos conexos del </w:t>
      </w:r>
      <w:r w:rsidR="00651E54" w:rsidRPr="002261B9">
        <w:rPr>
          <w:lang w:val="es-ES"/>
        </w:rPr>
        <w:t>PFOA</w:t>
      </w:r>
      <w:r w:rsidRPr="002261B9">
        <w:rPr>
          <w:lang w:val="es-ES"/>
        </w:rPr>
        <w:t xml:space="preserve"> reduciría los costos al disminuir la contaminación de las aguas superficiales, las aguas subterráneas y el suelo y, por ende, reduciría los costos de detección y rehabilitación de los sitios contaminados</w:t>
      </w:r>
      <w:r w:rsidR="001416FA" w:rsidRPr="002261B9">
        <w:rPr>
          <w:lang w:val="es-ES"/>
        </w:rPr>
        <w:t xml:space="preserve">. </w:t>
      </w:r>
      <w:r w:rsidRPr="002261B9">
        <w:rPr>
          <w:lang w:val="es-ES"/>
        </w:rPr>
        <w:t>Los costos de rehabilitación guardan relación fundamentalmente con el tratamiento del agua potable y las aguas subterráneas y con la excavación y eliminación de los suelos contaminados</w:t>
      </w:r>
      <w:r w:rsidR="001416FA" w:rsidRPr="002261B9">
        <w:rPr>
          <w:lang w:val="es-ES"/>
        </w:rPr>
        <w:t xml:space="preserve">. </w:t>
      </w:r>
      <w:r w:rsidRPr="002261B9">
        <w:rPr>
          <w:lang w:val="es-ES"/>
        </w:rPr>
        <w:t xml:space="preserve">Los datos disponibles indican que los costos relacionados con la descontaminación de </w:t>
      </w:r>
      <w:r w:rsidR="001416FA" w:rsidRPr="002261B9">
        <w:rPr>
          <w:lang w:val="es-ES"/>
        </w:rPr>
        <w:t>PFAS</w:t>
      </w:r>
      <w:r w:rsidRPr="002261B9">
        <w:rPr>
          <w:lang w:val="es-ES"/>
        </w:rPr>
        <w:t xml:space="preserve">, en particular el </w:t>
      </w:r>
      <w:r w:rsidR="001416FA" w:rsidRPr="002261B9">
        <w:rPr>
          <w:lang w:val="es-ES"/>
        </w:rPr>
        <w:t xml:space="preserve">PFOA </w:t>
      </w:r>
      <w:r w:rsidRPr="002261B9">
        <w:rPr>
          <w:lang w:val="es-ES"/>
        </w:rPr>
        <w:t xml:space="preserve">y los compuestos conexos del </w:t>
      </w:r>
      <w:r w:rsidR="001416FA" w:rsidRPr="002261B9">
        <w:rPr>
          <w:lang w:val="es-ES"/>
        </w:rPr>
        <w:t>PFOA</w:t>
      </w:r>
      <w:r w:rsidR="00BF514A" w:rsidRPr="002261B9">
        <w:rPr>
          <w:lang w:val="es-ES"/>
        </w:rPr>
        <w:t xml:space="preserve"> son considerables</w:t>
      </w:r>
      <w:r w:rsidR="001416FA" w:rsidRPr="002261B9">
        <w:rPr>
          <w:lang w:val="es-ES"/>
        </w:rPr>
        <w:t xml:space="preserve">. </w:t>
      </w:r>
    </w:p>
    <w:p w14:paraId="71F94E33" w14:textId="77777777" w:rsidR="00874722" w:rsidRPr="002261B9" w:rsidRDefault="00227542" w:rsidP="00F45508">
      <w:pPr>
        <w:pStyle w:val="Paralevel1"/>
        <w:numPr>
          <w:ilvl w:val="0"/>
          <w:numId w:val="23"/>
        </w:numPr>
        <w:tabs>
          <w:tab w:val="clear" w:pos="0"/>
        </w:tabs>
        <w:ind w:left="1247" w:firstLine="0"/>
        <w:rPr>
          <w:i/>
          <w:lang w:val="es-ES"/>
        </w:rPr>
      </w:pPr>
      <w:r w:rsidRPr="002261B9">
        <w:rPr>
          <w:lang w:val="es-ES"/>
        </w:rPr>
        <w:lastRenderedPageBreak/>
        <w:t>En la decisión</w:t>
      </w:r>
      <w:r w:rsidR="00874722" w:rsidRPr="002261B9">
        <w:rPr>
          <w:lang w:val="es-ES"/>
        </w:rPr>
        <w:t xml:space="preserve"> POPRC-6/2 </w:t>
      </w:r>
      <w:r w:rsidRPr="002261B9">
        <w:rPr>
          <w:lang w:val="es-ES"/>
        </w:rPr>
        <w:t xml:space="preserve">sobre el </w:t>
      </w:r>
      <w:r w:rsidR="00874722" w:rsidRPr="002261B9">
        <w:rPr>
          <w:lang w:val="es-ES"/>
        </w:rPr>
        <w:t xml:space="preserve">PFOS </w:t>
      </w:r>
      <w:r w:rsidRPr="002261B9">
        <w:rPr>
          <w:lang w:val="es-ES"/>
        </w:rPr>
        <w:t>se esbozan algunas de las medidas de reducción del riesgo a corto, largo y mediano plazo</w:t>
      </w:r>
      <w:r w:rsidR="00874722" w:rsidRPr="002261B9">
        <w:rPr>
          <w:lang w:val="es-ES"/>
        </w:rPr>
        <w:t>.</w:t>
      </w:r>
      <w:r w:rsidRPr="002261B9">
        <w:rPr>
          <w:lang w:val="es-ES"/>
        </w:rPr>
        <w:t xml:space="preserve"> El Comité de Examen de los Contaminantes Orgánicos Persistentes reafirma la necesidad expresada en el Convenio de Estocolmo de valerse de las mejores técnicas disponibles y las mejores prácticas ambientales al emplear las tecnologías de destrucción de los desechos</w:t>
      </w:r>
      <w:r w:rsidR="00874722" w:rsidRPr="002261B9">
        <w:rPr>
          <w:lang w:val="es-ES"/>
        </w:rPr>
        <w:t xml:space="preserve">. </w:t>
      </w:r>
      <w:r w:rsidRPr="002261B9">
        <w:rPr>
          <w:lang w:val="es-ES"/>
        </w:rPr>
        <w:t>En los casos en que no se disponga de tecnologías de destrucción, hay que garantizar el almacenamiento en condiciones seguras</w:t>
      </w:r>
      <w:r w:rsidR="00874722" w:rsidRPr="002261B9">
        <w:rPr>
          <w:lang w:val="es-ES"/>
        </w:rPr>
        <w:t>.</w:t>
      </w:r>
      <w:r w:rsidR="00874722" w:rsidRPr="002261B9">
        <w:rPr>
          <w:i/>
          <w:lang w:val="es-ES"/>
        </w:rPr>
        <w:t xml:space="preserve"> </w:t>
      </w:r>
    </w:p>
    <w:p w14:paraId="0439F963" w14:textId="26EB4093" w:rsidR="009B720E" w:rsidRPr="002261B9" w:rsidRDefault="00294EE9" w:rsidP="00955D10">
      <w:pPr>
        <w:pStyle w:val="Heading2"/>
        <w:tabs>
          <w:tab w:val="num" w:pos="567"/>
          <w:tab w:val="left" w:pos="624"/>
          <w:tab w:val="left" w:pos="1247"/>
          <w:tab w:val="left" w:pos="1440"/>
        </w:tabs>
        <w:spacing w:before="240" w:after="120" w:line="240" w:lineRule="auto"/>
        <w:ind w:left="1248" w:hanging="624"/>
        <w:jc w:val="left"/>
        <w:rPr>
          <w:rFonts w:ascii="Times New Roman" w:hAnsi="Times New Roman"/>
          <w:sz w:val="24"/>
          <w:szCs w:val="24"/>
          <w:lang w:val="es-ES"/>
        </w:rPr>
      </w:pPr>
      <w:bookmarkStart w:id="86" w:name="_Toc501099221"/>
      <w:r w:rsidRPr="002261B9">
        <w:rPr>
          <w:rFonts w:ascii="Times New Roman" w:hAnsi="Times New Roman"/>
          <w:sz w:val="24"/>
          <w:szCs w:val="24"/>
          <w:lang w:val="es-ES"/>
        </w:rPr>
        <w:t>3.3</w:t>
      </w:r>
      <w:r w:rsidRPr="002261B9">
        <w:rPr>
          <w:rFonts w:ascii="Times New Roman" w:hAnsi="Times New Roman"/>
          <w:sz w:val="24"/>
          <w:szCs w:val="24"/>
          <w:lang w:val="es-ES"/>
        </w:rPr>
        <w:tab/>
      </w:r>
      <w:r w:rsidR="009B720E" w:rsidRPr="002261B9">
        <w:rPr>
          <w:rFonts w:ascii="Times New Roman" w:hAnsi="Times New Roman"/>
          <w:sz w:val="24"/>
          <w:szCs w:val="24"/>
          <w:lang w:val="es-ES"/>
        </w:rPr>
        <w:t>Medidas de gestión de los riesgos recomendadas</w:t>
      </w:r>
      <w:bookmarkEnd w:id="86"/>
    </w:p>
    <w:p w14:paraId="3F20EC02" w14:textId="17170705" w:rsidR="009D2B8A" w:rsidRPr="002261B9" w:rsidRDefault="001520B6" w:rsidP="00F45508">
      <w:pPr>
        <w:pStyle w:val="Paralevel1"/>
        <w:numPr>
          <w:ilvl w:val="0"/>
          <w:numId w:val="23"/>
        </w:numPr>
        <w:tabs>
          <w:tab w:val="clear" w:pos="0"/>
        </w:tabs>
        <w:ind w:left="1247" w:firstLine="0"/>
        <w:rPr>
          <w:lang w:val="es-ES"/>
        </w:rPr>
      </w:pPr>
      <w:r w:rsidRPr="002261B9">
        <w:rPr>
          <w:lang w:val="es-ES"/>
        </w:rPr>
        <w:t>El Comité recomienda que se apliquen exenciones específicas de plazo limitado para los usos del PFOA, sus sales y compuestos conexos del PFOA en los casos en que se aportó información suficiente como se indica en la declaración final.</w:t>
      </w:r>
      <w:r w:rsidR="000C32E5" w:rsidRPr="002261B9">
        <w:rPr>
          <w:lang w:val="es-ES"/>
        </w:rPr>
        <w:t xml:space="preserve"> </w:t>
      </w:r>
    </w:p>
    <w:p w14:paraId="6D0AE689" w14:textId="7FBF4A0A" w:rsidR="00ED1A0F" w:rsidRPr="002261B9" w:rsidRDefault="00294EE9" w:rsidP="00955D10">
      <w:pPr>
        <w:pStyle w:val="Heading1"/>
        <w:keepNext w:val="0"/>
        <w:pageBreakBefore w:val="0"/>
        <w:tabs>
          <w:tab w:val="left" w:pos="624"/>
        </w:tabs>
        <w:spacing w:before="240" w:after="120" w:line="240" w:lineRule="auto"/>
        <w:ind w:left="1248" w:hanging="624"/>
        <w:jc w:val="left"/>
        <w:rPr>
          <w:rFonts w:ascii="Times New Roman" w:hAnsi="Times New Roman"/>
          <w:lang w:val="es-ES"/>
        </w:rPr>
      </w:pPr>
      <w:bookmarkStart w:id="87" w:name="_Toc501099222"/>
      <w:r w:rsidRPr="002261B9">
        <w:rPr>
          <w:rFonts w:ascii="Times New Roman" w:hAnsi="Times New Roman"/>
          <w:lang w:val="es-ES"/>
        </w:rPr>
        <w:t>4</w:t>
      </w:r>
      <w:r w:rsidRPr="002261B9">
        <w:rPr>
          <w:rFonts w:ascii="Times New Roman" w:hAnsi="Times New Roman"/>
          <w:lang w:val="es-ES"/>
        </w:rPr>
        <w:tab/>
      </w:r>
      <w:r w:rsidR="001D1097" w:rsidRPr="002261B9">
        <w:rPr>
          <w:rFonts w:ascii="Times New Roman" w:hAnsi="Times New Roman"/>
          <w:lang w:val="es-ES"/>
        </w:rPr>
        <w:t>Declaración final</w:t>
      </w:r>
      <w:bookmarkEnd w:id="87"/>
    </w:p>
    <w:bookmarkEnd w:id="0"/>
    <w:p w14:paraId="563AFF7E" w14:textId="57E23717" w:rsidR="00D7064F" w:rsidRPr="002261B9" w:rsidRDefault="00E0517E" w:rsidP="00F45508">
      <w:pPr>
        <w:pStyle w:val="Paralevel1"/>
        <w:numPr>
          <w:ilvl w:val="0"/>
          <w:numId w:val="23"/>
        </w:numPr>
        <w:tabs>
          <w:tab w:val="clear" w:pos="0"/>
        </w:tabs>
        <w:ind w:left="1247" w:firstLine="0"/>
        <w:rPr>
          <w:lang w:val="es-ES"/>
        </w:rPr>
      </w:pPr>
      <w:r w:rsidRPr="002261B9">
        <w:rPr>
          <w:lang w:val="es-ES"/>
        </w:rPr>
        <w:t xml:space="preserve">El Comité decide, </w:t>
      </w:r>
      <w:r w:rsidR="00E92DAF" w:rsidRPr="002261B9">
        <w:rPr>
          <w:lang w:val="es-ES"/>
        </w:rPr>
        <w:t>de conformidad con el párrafo 9 del artículo 8 del Convenio, recom</w:t>
      </w:r>
      <w:r w:rsidRPr="002261B9">
        <w:rPr>
          <w:lang w:val="es-ES"/>
        </w:rPr>
        <w:t xml:space="preserve">endar </w:t>
      </w:r>
      <w:r w:rsidR="002748F8" w:rsidRPr="002261B9">
        <w:rPr>
          <w:lang w:val="es-ES"/>
        </w:rPr>
        <w:t>a la</w:t>
      </w:r>
      <w:r w:rsidR="00E92DAF" w:rsidRPr="002261B9">
        <w:rPr>
          <w:lang w:val="es-ES"/>
        </w:rPr>
        <w:t xml:space="preserve"> Conferencia de las Partes </w:t>
      </w:r>
      <w:r w:rsidRPr="002261B9">
        <w:rPr>
          <w:lang w:val="es-ES"/>
        </w:rPr>
        <w:t xml:space="preserve">que </w:t>
      </w:r>
      <w:r w:rsidR="004547D8" w:rsidRPr="002261B9">
        <w:rPr>
          <w:lang w:val="es-ES"/>
        </w:rPr>
        <w:t>examine</w:t>
      </w:r>
      <w:r w:rsidR="00E92DAF" w:rsidRPr="002261B9">
        <w:rPr>
          <w:lang w:val="es-ES"/>
        </w:rPr>
        <w:t xml:space="preserve"> la posibilidad de incluir </w:t>
      </w:r>
      <w:r w:rsidR="00D7064F" w:rsidRPr="002261B9">
        <w:rPr>
          <w:lang w:val="es-ES"/>
        </w:rPr>
        <w:t>el ácido pentadecafluorooctanoico:(núm. de CAS 335-67-1, PFOA, ácido perfluorooctanoico), sus sales y compuestos conexos del PFOA</w:t>
      </w:r>
      <w:r w:rsidR="00E92DAF" w:rsidRPr="002261B9">
        <w:rPr>
          <w:lang w:val="es-ES"/>
        </w:rPr>
        <w:t xml:space="preserve"> </w:t>
      </w:r>
      <w:r w:rsidRPr="002261B9">
        <w:rPr>
          <w:lang w:val="es-ES"/>
        </w:rPr>
        <w:t>en el anexo A o B del Convenio con exenciones específicas respecto de lo siguiente:</w:t>
      </w:r>
    </w:p>
    <w:p w14:paraId="0173216A" w14:textId="77777777" w:rsidR="00E0517E" w:rsidRPr="002261B9" w:rsidRDefault="00E0517E" w:rsidP="00955D10">
      <w:pPr>
        <w:pStyle w:val="Paralevel1"/>
        <w:numPr>
          <w:ilvl w:val="0"/>
          <w:numId w:val="0"/>
        </w:numPr>
        <w:ind w:left="1247" w:firstLine="624"/>
        <w:rPr>
          <w:lang w:val="es-ES"/>
        </w:rPr>
      </w:pPr>
      <w:r w:rsidRPr="002261B9">
        <w:rPr>
          <w:lang w:val="es-ES"/>
        </w:rPr>
        <w:t>a)</w:t>
      </w:r>
      <w:r w:rsidRPr="002261B9">
        <w:rPr>
          <w:lang w:val="es-ES"/>
        </w:rPr>
        <w:tab/>
        <w:t>Durante cinco años a partir de la fecha de entrada en vigor de la enmienda conforme al artículo 4:</w:t>
      </w:r>
    </w:p>
    <w:p w14:paraId="38D59622" w14:textId="438EBB67" w:rsidR="00E0517E" w:rsidRPr="002261B9" w:rsidRDefault="00E0517E" w:rsidP="00E046E1">
      <w:pPr>
        <w:pStyle w:val="Paralevel1"/>
        <w:numPr>
          <w:ilvl w:val="0"/>
          <w:numId w:val="0"/>
        </w:numPr>
        <w:ind w:left="3119" w:hanging="624"/>
        <w:rPr>
          <w:lang w:val="es-ES"/>
        </w:rPr>
      </w:pPr>
      <w:r w:rsidRPr="002261B9">
        <w:rPr>
          <w:lang w:val="es-ES"/>
        </w:rPr>
        <w:t>i)</w:t>
      </w:r>
      <w:r w:rsidRPr="002261B9">
        <w:rPr>
          <w:lang w:val="es-ES"/>
        </w:rPr>
        <w:tab/>
        <w:t>Fabricación de semiconductores o dispositivos electrónicos conexos:</w:t>
      </w:r>
    </w:p>
    <w:p w14:paraId="74ED59C9" w14:textId="57040851" w:rsidR="00E0517E" w:rsidRPr="002261B9" w:rsidRDefault="00E0517E" w:rsidP="00E046E1">
      <w:pPr>
        <w:pStyle w:val="Paralevel1"/>
        <w:numPr>
          <w:ilvl w:val="0"/>
          <w:numId w:val="0"/>
        </w:numPr>
        <w:ind w:left="3743" w:hanging="624"/>
        <w:rPr>
          <w:lang w:val="es-ES"/>
        </w:rPr>
      </w:pPr>
      <w:r w:rsidRPr="002261B9">
        <w:rPr>
          <w:lang w:val="es-ES"/>
        </w:rPr>
        <w:t>a.</w:t>
      </w:r>
      <w:r w:rsidRPr="002261B9">
        <w:rPr>
          <w:lang w:val="es-ES"/>
        </w:rPr>
        <w:tab/>
        <w:t>Equipo o infraestructura relacionada con plantas de fabricación que contengan fluoropolímeros o fluoroelastómeros con residuos de PFOA;</w:t>
      </w:r>
    </w:p>
    <w:p w14:paraId="509A6B9B" w14:textId="50BFF0BA" w:rsidR="00E0517E" w:rsidRPr="002261B9" w:rsidRDefault="00E0517E" w:rsidP="00E046E1">
      <w:pPr>
        <w:pStyle w:val="Paralevel1"/>
        <w:numPr>
          <w:ilvl w:val="0"/>
          <w:numId w:val="0"/>
        </w:numPr>
        <w:ind w:left="3743" w:hanging="624"/>
        <w:rPr>
          <w:lang w:val="es-ES"/>
        </w:rPr>
      </w:pPr>
      <w:r w:rsidRPr="002261B9">
        <w:rPr>
          <w:lang w:val="es-ES"/>
        </w:rPr>
        <w:t>b.</w:t>
      </w:r>
      <w:r w:rsidRPr="002261B9">
        <w:rPr>
          <w:lang w:val="es-ES"/>
        </w:rPr>
        <w:tab/>
        <w:t>Equipos o infraestructura relacionada con plantas de fabricación obsoleta: mantenimiento;</w:t>
      </w:r>
    </w:p>
    <w:p w14:paraId="4F1EEF40" w14:textId="6E82FF96" w:rsidR="00E0517E" w:rsidRPr="002261B9" w:rsidRDefault="00E0517E" w:rsidP="00E046E1">
      <w:pPr>
        <w:pStyle w:val="Paralevel1"/>
        <w:numPr>
          <w:ilvl w:val="0"/>
          <w:numId w:val="0"/>
        </w:numPr>
        <w:ind w:left="3743" w:hanging="624"/>
        <w:rPr>
          <w:lang w:val="es-ES"/>
        </w:rPr>
      </w:pPr>
      <w:r w:rsidRPr="002261B9">
        <w:rPr>
          <w:lang w:val="es-ES"/>
        </w:rPr>
        <w:t>c.</w:t>
      </w:r>
      <w:r w:rsidRPr="002261B9">
        <w:rPr>
          <w:lang w:val="es-ES"/>
        </w:rPr>
        <w:tab/>
        <w:t>Fotolitografía o procesos de grabado;</w:t>
      </w:r>
    </w:p>
    <w:p w14:paraId="70CD5133" w14:textId="4369589E" w:rsidR="00E0517E" w:rsidRPr="002261B9" w:rsidRDefault="00E0517E" w:rsidP="00E046E1">
      <w:pPr>
        <w:pStyle w:val="Paralevel1"/>
        <w:numPr>
          <w:ilvl w:val="0"/>
          <w:numId w:val="0"/>
        </w:numPr>
        <w:ind w:left="3119" w:hanging="624"/>
        <w:rPr>
          <w:lang w:val="es-ES"/>
        </w:rPr>
      </w:pPr>
      <w:r w:rsidRPr="002261B9">
        <w:rPr>
          <w:lang w:val="es-ES"/>
        </w:rPr>
        <w:t>ii)</w:t>
      </w:r>
      <w:r w:rsidRPr="002261B9">
        <w:rPr>
          <w:lang w:val="es-ES"/>
        </w:rPr>
        <w:tab/>
        <w:t>Recubrimientos fotográficos aplicados a películas;</w:t>
      </w:r>
    </w:p>
    <w:p w14:paraId="0FB10166" w14:textId="3B798E26" w:rsidR="00E0517E" w:rsidRPr="002261B9" w:rsidRDefault="00E0517E" w:rsidP="00E046E1">
      <w:pPr>
        <w:pStyle w:val="Paralevel1"/>
        <w:numPr>
          <w:ilvl w:val="0"/>
          <w:numId w:val="0"/>
        </w:numPr>
        <w:ind w:left="3119" w:hanging="624"/>
        <w:rPr>
          <w:lang w:val="es-ES"/>
        </w:rPr>
      </w:pPr>
      <w:r w:rsidRPr="002261B9">
        <w:rPr>
          <w:lang w:val="es-ES"/>
        </w:rPr>
        <w:t>iii)</w:t>
      </w:r>
      <w:r w:rsidRPr="002261B9">
        <w:rPr>
          <w:lang w:val="es-ES"/>
        </w:rPr>
        <w:tab/>
        <w:t>Textiles oleófugos e hidrófugos para la protección de líquidos peligrosos con vistas a la protección de los trabajadores contra los riesgos para su salud y seguridad;</w:t>
      </w:r>
    </w:p>
    <w:p w14:paraId="148F60E0" w14:textId="1E230185" w:rsidR="00E0517E" w:rsidRPr="002261B9" w:rsidRDefault="00E0517E" w:rsidP="00955D10">
      <w:pPr>
        <w:pStyle w:val="Paralevel1"/>
        <w:numPr>
          <w:ilvl w:val="0"/>
          <w:numId w:val="0"/>
        </w:numPr>
        <w:ind w:left="1247" w:firstLine="624"/>
        <w:rPr>
          <w:lang w:val="es-ES"/>
        </w:rPr>
      </w:pPr>
      <w:r w:rsidRPr="002261B9">
        <w:rPr>
          <w:lang w:val="es-ES"/>
        </w:rPr>
        <w:t>b)</w:t>
      </w:r>
      <w:r w:rsidRPr="002261B9">
        <w:rPr>
          <w:lang w:val="es-ES"/>
        </w:rPr>
        <w:tab/>
        <w:t xml:space="preserve">Durante 10 años a partir del momento de la entrada en vigor de la enmienda para la fabricación de </w:t>
      </w:r>
      <w:r w:rsidR="002748F8" w:rsidRPr="002261B9">
        <w:rPr>
          <w:lang w:val="es-ES"/>
        </w:rPr>
        <w:t>semiconductores</w:t>
      </w:r>
      <w:r w:rsidRPr="002261B9">
        <w:rPr>
          <w:lang w:val="es-ES"/>
        </w:rPr>
        <w:t xml:space="preserve"> o dispositivos electrónicos conexos: piezas de reemplazo que contengan fluoropolímeros o fluoroelastómero</w:t>
      </w:r>
      <w:r w:rsidR="00566DDB" w:rsidRPr="002261B9">
        <w:rPr>
          <w:lang w:val="es-ES"/>
        </w:rPr>
        <w:t>s</w:t>
      </w:r>
      <w:r w:rsidRPr="002261B9">
        <w:rPr>
          <w:lang w:val="es-ES"/>
        </w:rPr>
        <w:t xml:space="preserve"> con residuos de PFOA respecto de equipos obsoletos o piezas de reemplazo obsoletas;</w:t>
      </w:r>
    </w:p>
    <w:p w14:paraId="5B843B67" w14:textId="1368CD03" w:rsidR="00E0517E" w:rsidRPr="002261B9" w:rsidRDefault="00E0517E" w:rsidP="00955D10">
      <w:pPr>
        <w:pStyle w:val="Paralevel1"/>
        <w:numPr>
          <w:ilvl w:val="0"/>
          <w:numId w:val="0"/>
        </w:numPr>
        <w:ind w:left="1247" w:firstLine="624"/>
        <w:rPr>
          <w:lang w:val="es-ES"/>
        </w:rPr>
      </w:pPr>
      <w:r w:rsidRPr="002261B9">
        <w:rPr>
          <w:lang w:val="es-ES"/>
        </w:rPr>
        <w:t>c)</w:t>
      </w:r>
      <w:r w:rsidRPr="002261B9">
        <w:rPr>
          <w:lang w:val="es-ES"/>
        </w:rPr>
        <w:tab/>
        <w:t>Para el uso del yoduro de perfluorooctano, la producción de bromuro de perfluorooctano con el fin de elaborar productos farmacéuticos revisando de manera sistemática la necesidad de exenciones. En cualquier caso, las exenciones específicas deberán expirar a más tardar en</w:t>
      </w:r>
      <w:r w:rsidR="00E046E1" w:rsidRPr="002261B9">
        <w:rPr>
          <w:lang w:val="es-ES"/>
        </w:rPr>
        <w:t> </w:t>
      </w:r>
      <w:r w:rsidRPr="002261B9">
        <w:rPr>
          <w:lang w:val="es-ES"/>
        </w:rPr>
        <w:t>2036.</w:t>
      </w:r>
    </w:p>
    <w:p w14:paraId="7AE7C9F0" w14:textId="75DDBBFA" w:rsidR="00E0517E" w:rsidRPr="002261B9" w:rsidRDefault="00E0517E" w:rsidP="00F45508">
      <w:pPr>
        <w:pStyle w:val="Paralevel1"/>
        <w:numPr>
          <w:ilvl w:val="0"/>
          <w:numId w:val="23"/>
        </w:numPr>
        <w:tabs>
          <w:tab w:val="clear" w:pos="0"/>
        </w:tabs>
        <w:ind w:left="1247" w:firstLine="0"/>
        <w:rPr>
          <w:lang w:val="es-ES"/>
        </w:rPr>
      </w:pPr>
      <w:r w:rsidRPr="002261B9">
        <w:rPr>
          <w:lang w:val="es-ES"/>
        </w:rPr>
        <w:t>El Comité invita a las Partes y los observadores, entre ellos a las industrias pertinentes, a que faciliten información que facilite al Comité la tarea de definir las exenciones específicas respecto de la producción y el uso del PFOA, sus sales y los compuestos conexos del PFOA, en particular en las aplicaciones siguientes:</w:t>
      </w:r>
    </w:p>
    <w:p w14:paraId="293AEF21" w14:textId="77777777" w:rsidR="00E0517E" w:rsidRPr="002261B9" w:rsidRDefault="00E0517E" w:rsidP="00955D10">
      <w:pPr>
        <w:pStyle w:val="Paralevel1"/>
        <w:numPr>
          <w:ilvl w:val="0"/>
          <w:numId w:val="0"/>
        </w:numPr>
        <w:ind w:left="1247" w:firstLine="624"/>
        <w:rPr>
          <w:lang w:val="es-ES"/>
        </w:rPr>
      </w:pPr>
      <w:r w:rsidRPr="002261B9">
        <w:rPr>
          <w:lang w:val="es-ES"/>
        </w:rPr>
        <w:t>a)</w:t>
      </w:r>
      <w:r w:rsidRPr="002261B9">
        <w:rPr>
          <w:lang w:val="es-ES"/>
        </w:rPr>
        <w:tab/>
        <w:t>Membranas destinadas a usarse en los productos textiles de uso médico, la filtración en el tratamiento de aguas, los procesos de producción y el tratamiento de efluentes: información sobre el ámbito de las aplicaciones, las cantidades utilizadas, la disponibilidad de alternativas y aspectos socioeconómicos;</w:t>
      </w:r>
    </w:p>
    <w:p w14:paraId="54F4910A" w14:textId="77777777" w:rsidR="00E0517E" w:rsidRPr="002261B9" w:rsidRDefault="00E0517E" w:rsidP="00955D10">
      <w:pPr>
        <w:pStyle w:val="Paralevel1"/>
        <w:numPr>
          <w:ilvl w:val="0"/>
          <w:numId w:val="0"/>
        </w:numPr>
        <w:ind w:left="1247" w:firstLine="624"/>
        <w:rPr>
          <w:lang w:val="es-ES"/>
        </w:rPr>
      </w:pPr>
      <w:r w:rsidRPr="002261B9">
        <w:rPr>
          <w:lang w:val="es-ES"/>
        </w:rPr>
        <w:t>b)</w:t>
      </w:r>
      <w:r w:rsidRPr="002261B9">
        <w:rPr>
          <w:lang w:val="es-ES"/>
        </w:rPr>
        <w:tab/>
        <w:t>Transporte de sustancias intermedias aisladas con el fin de facilitar el reprocesamiento en otra instalación distinta de la instalación de producción: información sobre las cantidades utilizadas, la duración del transporte y los riesgos, y sobre los usos;</w:t>
      </w:r>
    </w:p>
    <w:p w14:paraId="456D147C" w14:textId="77777777" w:rsidR="00E0517E" w:rsidRPr="002261B9" w:rsidRDefault="00E0517E" w:rsidP="00955D10">
      <w:pPr>
        <w:pStyle w:val="Paralevel1"/>
        <w:numPr>
          <w:ilvl w:val="0"/>
          <w:numId w:val="0"/>
        </w:numPr>
        <w:ind w:left="1247" w:firstLine="624"/>
        <w:rPr>
          <w:lang w:val="es-ES"/>
        </w:rPr>
      </w:pPr>
      <w:r w:rsidRPr="002261B9">
        <w:rPr>
          <w:lang w:val="es-ES"/>
        </w:rPr>
        <w:t>c)</w:t>
      </w:r>
      <w:r w:rsidRPr="002261B9">
        <w:rPr>
          <w:lang w:val="es-ES"/>
        </w:rPr>
        <w:tab/>
        <w:t>Dispositivos médicos: información sobre aplicaciones y usos específicos, y sobre las fechas en que se prevén aplicar las posibles exenciones afines;</w:t>
      </w:r>
    </w:p>
    <w:p w14:paraId="04B7A973" w14:textId="77777777" w:rsidR="00E0517E" w:rsidRPr="002261B9" w:rsidRDefault="00E0517E" w:rsidP="00955D10">
      <w:pPr>
        <w:pStyle w:val="Paralevel1"/>
        <w:numPr>
          <w:ilvl w:val="0"/>
          <w:numId w:val="0"/>
        </w:numPr>
        <w:ind w:left="1247" w:firstLine="624"/>
        <w:rPr>
          <w:lang w:val="es-ES"/>
        </w:rPr>
      </w:pPr>
      <w:r w:rsidRPr="002261B9">
        <w:rPr>
          <w:lang w:val="es-ES"/>
        </w:rPr>
        <w:t>d)</w:t>
      </w:r>
      <w:r w:rsidRPr="002261B9">
        <w:rPr>
          <w:lang w:val="es-ES"/>
        </w:rPr>
        <w:tab/>
        <w:t>Dispositivos médicos implantables: información sobre las cantidades utilizadas, la duración del transporte y los riesgos, y sobre los usos;</w:t>
      </w:r>
    </w:p>
    <w:p w14:paraId="14EC506F" w14:textId="77777777" w:rsidR="00E0517E" w:rsidRPr="002261B9" w:rsidRDefault="00E0517E" w:rsidP="00955D10">
      <w:pPr>
        <w:pStyle w:val="Paralevel1"/>
        <w:numPr>
          <w:ilvl w:val="0"/>
          <w:numId w:val="0"/>
        </w:numPr>
        <w:ind w:left="1247" w:firstLine="624"/>
        <w:rPr>
          <w:lang w:val="es-ES"/>
        </w:rPr>
      </w:pPr>
      <w:r w:rsidRPr="002261B9">
        <w:rPr>
          <w:lang w:val="es-ES"/>
        </w:rPr>
        <w:lastRenderedPageBreak/>
        <w:t>e)</w:t>
      </w:r>
      <w:r w:rsidRPr="002261B9">
        <w:rPr>
          <w:lang w:val="es-ES"/>
        </w:rPr>
        <w:tab/>
        <w:t>Sector de imágenes fotográficas: información relativa al papel y la impresión, e información pertinente para los países en desarrollo;</w:t>
      </w:r>
    </w:p>
    <w:p w14:paraId="48D679E1" w14:textId="77777777" w:rsidR="00E0517E" w:rsidRPr="002261B9" w:rsidRDefault="00E0517E" w:rsidP="00955D10">
      <w:pPr>
        <w:pStyle w:val="Paralevel1"/>
        <w:numPr>
          <w:ilvl w:val="0"/>
          <w:numId w:val="0"/>
        </w:numPr>
        <w:ind w:left="1247" w:firstLine="624"/>
        <w:rPr>
          <w:lang w:val="es-ES"/>
        </w:rPr>
      </w:pPr>
      <w:r w:rsidRPr="002261B9">
        <w:rPr>
          <w:lang w:val="es-ES"/>
        </w:rPr>
        <w:t>f)</w:t>
      </w:r>
      <w:r w:rsidRPr="002261B9">
        <w:rPr>
          <w:lang w:val="es-ES"/>
        </w:rPr>
        <w:tab/>
        <w:t>Industria automotriz: información sobre piezas de repuesto;</w:t>
      </w:r>
    </w:p>
    <w:p w14:paraId="670E987C" w14:textId="773692BD" w:rsidR="00E0517E" w:rsidRPr="002261B9" w:rsidRDefault="00E0517E" w:rsidP="00955D10">
      <w:pPr>
        <w:pStyle w:val="Paralevel1"/>
        <w:numPr>
          <w:ilvl w:val="0"/>
          <w:numId w:val="0"/>
        </w:numPr>
        <w:ind w:left="1247" w:firstLine="624"/>
        <w:rPr>
          <w:lang w:val="es-ES"/>
        </w:rPr>
      </w:pPr>
      <w:r w:rsidRPr="002261B9">
        <w:rPr>
          <w:lang w:val="es-ES"/>
        </w:rPr>
        <w:t>g)</w:t>
      </w:r>
      <w:r w:rsidRPr="002261B9">
        <w:rPr>
          <w:lang w:val="es-ES"/>
        </w:rPr>
        <w:tab/>
        <w:t>Espumas contra incendios: información sobre la composición química de las mezclas y los volúmenes de las cantidades cargadas con anterioridad de mezclas de espumas contra incendios</w:t>
      </w:r>
      <w:r w:rsidR="00591B1B" w:rsidRPr="002261B9">
        <w:rPr>
          <w:lang w:val="es-ES"/>
        </w:rPr>
        <w:t>.</w:t>
      </w:r>
    </w:p>
    <w:p w14:paraId="43487C4C" w14:textId="77777777" w:rsidR="00294EE9" w:rsidRPr="002261B9" w:rsidRDefault="00E0517E" w:rsidP="00591B1B">
      <w:pPr>
        <w:pStyle w:val="Paralevel1"/>
        <w:numPr>
          <w:ilvl w:val="0"/>
          <w:numId w:val="0"/>
        </w:numPr>
        <w:tabs>
          <w:tab w:val="clear" w:pos="0"/>
        </w:tabs>
        <w:ind w:left="1247"/>
        <w:rPr>
          <w:lang w:val="es-ES"/>
        </w:rPr>
      </w:pPr>
      <w:r w:rsidRPr="002261B9">
        <w:rPr>
          <w:lang w:val="es-ES"/>
        </w:rPr>
        <w:t>Respecto de las aplicaciones antes mencionadas, se acogerá con agrado toda información sobre los aspectos socioeconómicos y cualquier otra información pertinente que se considere necesaria.</w:t>
      </w:r>
    </w:p>
    <w:p w14:paraId="0F84B752" w14:textId="6111C493" w:rsidR="006015FB" w:rsidRPr="002261B9" w:rsidRDefault="00E0517E" w:rsidP="00F45508">
      <w:pPr>
        <w:pStyle w:val="Paralevel1"/>
        <w:numPr>
          <w:ilvl w:val="0"/>
          <w:numId w:val="23"/>
        </w:numPr>
        <w:tabs>
          <w:tab w:val="clear" w:pos="0"/>
        </w:tabs>
        <w:ind w:left="1247" w:firstLine="0"/>
        <w:rPr>
          <w:sz w:val="22"/>
          <w:szCs w:val="22"/>
          <w:lang w:val="es-ES" w:eastAsia="ar-SA"/>
        </w:rPr>
      </w:pPr>
      <w:r w:rsidRPr="002261B9">
        <w:rPr>
          <w:lang w:val="es-ES"/>
        </w:rPr>
        <w:t>Además,</w:t>
      </w:r>
      <w:r w:rsidR="00566DDB" w:rsidRPr="002261B9">
        <w:rPr>
          <w:lang w:val="es-ES"/>
        </w:rPr>
        <w:t xml:space="preserve"> se invita a las Partes y los observadores a que proporcionen información que </w:t>
      </w:r>
      <w:r w:rsidR="007E409F" w:rsidRPr="002261B9">
        <w:rPr>
          <w:lang w:val="es-ES"/>
        </w:rPr>
        <w:t>facilite la evaluación por el Comité del ácido pentadecafluorooctanoico (núm. de CAS: 335-67-1, PFOA, ácido perfluorooctanoico), sus sales y compuestos conexos del PFOA</w:t>
      </w:r>
      <w:r w:rsidRPr="002261B9">
        <w:rPr>
          <w:lang w:val="es-ES"/>
        </w:rPr>
        <w:t xml:space="preserve"> en relación con su formación y liberación no intencionales, en particular derivadas de la producción primaria de aluminio y de la combustión incompleta. </w:t>
      </w:r>
      <w:r w:rsidR="006015FB" w:rsidRPr="002261B9">
        <w:rPr>
          <w:lang w:val="es-ES"/>
        </w:rPr>
        <w:br w:type="page"/>
      </w:r>
    </w:p>
    <w:p w14:paraId="30614E40" w14:textId="07457C62" w:rsidR="006F57D4" w:rsidRPr="002261B9" w:rsidRDefault="001D03FD" w:rsidP="001D03FD">
      <w:pPr>
        <w:tabs>
          <w:tab w:val="left" w:pos="624"/>
          <w:tab w:val="left" w:pos="1247"/>
          <w:tab w:val="left" w:pos="1440"/>
        </w:tabs>
        <w:spacing w:after="80"/>
        <w:ind w:left="1247"/>
        <w:jc w:val="both"/>
        <w:rPr>
          <w:sz w:val="20"/>
          <w:szCs w:val="20"/>
          <w:lang w:val="en-GB"/>
        </w:rPr>
      </w:pPr>
      <w:bookmarkStart w:id="88" w:name="_DV_M1145"/>
      <w:bookmarkStart w:id="89" w:name="_DV_M1223"/>
      <w:bookmarkStart w:id="90" w:name="_DV_M1229"/>
      <w:bookmarkEnd w:id="88"/>
      <w:bookmarkEnd w:id="89"/>
      <w:bookmarkEnd w:id="90"/>
      <w:r w:rsidRPr="002261B9">
        <w:rPr>
          <w:b/>
          <w:sz w:val="28"/>
          <w:szCs w:val="28"/>
          <w:lang w:val="en-GB"/>
        </w:rPr>
        <w:lastRenderedPageBreak/>
        <w:t>Referencias</w:t>
      </w:r>
    </w:p>
    <w:p w14:paraId="6BCE511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Please note: Information request submission and comments related to the risk management evaluation are available at the Stockholm Convention website at </w:t>
      </w:r>
      <w:hyperlink r:id="rId15" w:history="1">
        <w:r w:rsidRPr="002261B9">
          <w:rPr>
            <w:rStyle w:val="Hyperlink"/>
            <w:color w:val="auto"/>
            <w:sz w:val="20"/>
            <w:szCs w:val="20"/>
            <w:u w:val="none"/>
          </w:rPr>
          <w:t>http://chm.pops.int/tabid/5339/Default.aspx</w:t>
        </w:r>
      </w:hyperlink>
      <w:r w:rsidRPr="002261B9">
        <w:rPr>
          <w:sz w:val="20"/>
          <w:szCs w:val="20"/>
          <w:lang w:val="en-GB"/>
        </w:rPr>
        <w:t>.</w:t>
      </w:r>
    </w:p>
    <w:p w14:paraId="6509491A"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[Ackermann and Massey, 2006] The Economics of Phasing Out PVC.Global Development and Environment Institute (GDAE) Tufts University. Available from: </w:t>
      </w:r>
      <w:hyperlink r:id="rId16" w:history="1">
        <w:r w:rsidRPr="002261B9">
          <w:rPr>
            <w:sz w:val="20"/>
            <w:szCs w:val="20"/>
            <w:lang w:val="en-GB"/>
          </w:rPr>
          <w:t>http://www.ase.tufts.edu/gdae/Pubs/rp/Economics_of_PVC_revised.pdf</w:t>
        </w:r>
      </w:hyperlink>
    </w:p>
    <w:p w14:paraId="3046466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[Air Services Australia, 2016] Gold Coast Airport Preliminary Site Investigation.GHD. Available at: </w:t>
      </w:r>
      <w:hyperlink r:id="rId17" w:history="1">
        <w:r w:rsidRPr="002261B9">
          <w:rPr>
            <w:rStyle w:val="Hyperlink"/>
            <w:color w:val="auto"/>
            <w:sz w:val="20"/>
            <w:szCs w:val="20"/>
            <w:u w:val="none"/>
          </w:rPr>
          <w:t>http://www.airservicesaustralia.com/wp-content/uploads/251713_Final_PSI-Report.pdf</w:t>
        </w:r>
      </w:hyperlink>
    </w:p>
    <w:p w14:paraId="1306F29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[AMR, 2015] Archroma Media Release. 25 February 2015. Available from: http://www.archroma.com/wp-content/uploads/2015/02/ARCHPR034EN0215-Cartaguard-KST.pdf.</w:t>
      </w:r>
    </w:p>
    <w:p w14:paraId="0C94A42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[ATSDR, 2015] Draft toxicological profile for perfluoroalkyls. August 2015. Available from: </w:t>
      </w:r>
      <w:hyperlink r:id="rId18" w:history="1">
        <w:r w:rsidRPr="002261B9">
          <w:rPr>
            <w:sz w:val="20"/>
            <w:szCs w:val="20"/>
            <w:lang w:val="en-GB"/>
          </w:rPr>
          <w:t>https://www.atsdr.cdc.gov/toxprofiles/tp200.pdf</w:t>
        </w:r>
      </w:hyperlink>
      <w:r w:rsidRPr="002261B9">
        <w:rPr>
          <w:sz w:val="20"/>
          <w:szCs w:val="20"/>
          <w:lang w:val="en-GB"/>
        </w:rPr>
        <w:t>.</w:t>
      </w:r>
    </w:p>
    <w:p w14:paraId="3D695EB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[AU Health Dep, 2017] Australian Government, Department of Health. Fact sheet: Health Based Guidance Values for PFAS for use in site investigations in Australia. 2017. Available from: </w:t>
      </w:r>
      <w:hyperlink r:id="rId19" w:history="1">
        <w:r w:rsidRPr="002261B9">
          <w:rPr>
            <w:sz w:val="20"/>
            <w:szCs w:val="20"/>
            <w:lang w:val="en-GB"/>
          </w:rPr>
          <w:t>http://www.health.gov.au/internet/main/publishing.nsf/Content/2200FE086D480353CA2580C900817CDC/$File/</w:t>
        </w:r>
        <w:r w:rsidRPr="002261B9">
          <w:rPr>
            <w:sz w:val="20"/>
            <w:szCs w:val="20"/>
            <w:lang w:val="en-GB"/>
          </w:rPr>
          <w:br/>
          <w:t>fs-Health-Based-Guidance-Values.pdf</w:t>
        </w:r>
      </w:hyperlink>
    </w:p>
    <w:p w14:paraId="0E62FBA1"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[Australia, 2016] Annex F form. Submitted 9 December 2016. Available from: http://chm.pops.int/TheConvention/POPsReviewCommittee/Meetings/POPRC12/POPRC12Followup/PFOAInfo/</w:t>
      </w:r>
      <w:r w:rsidRPr="002261B9">
        <w:rPr>
          <w:sz w:val="20"/>
          <w:szCs w:val="20"/>
          <w:lang w:val="en-GB"/>
        </w:rPr>
        <w:br/>
        <w:t>tabid/5453/Default.aspx.</w:t>
      </w:r>
    </w:p>
    <w:p w14:paraId="065C19F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[Austria, 2016a] Annex F form. Submitted 9 December 2016. Available from: </w:t>
      </w:r>
      <w:hyperlink r:id="rId20" w:history="1">
        <w:r w:rsidRPr="002261B9">
          <w:rPr>
            <w:sz w:val="20"/>
            <w:szCs w:val="20"/>
            <w:lang w:val="en-GB"/>
          </w:rPr>
          <w:t>http://chm.pops.int/TheConvention/POPsReviewCommittee/Meetings/POPRC12/POPRC12Followup/PFOAInfo/</w:t>
        </w:r>
        <w:r w:rsidRPr="002261B9">
          <w:rPr>
            <w:sz w:val="20"/>
            <w:szCs w:val="20"/>
            <w:lang w:val="en-GB"/>
          </w:rPr>
          <w:br/>
          <w:t>tabid/5453/Default.aspx</w:t>
        </w:r>
      </w:hyperlink>
      <w:r w:rsidRPr="002261B9">
        <w:rPr>
          <w:sz w:val="20"/>
          <w:szCs w:val="20"/>
          <w:lang w:val="en-GB"/>
        </w:rPr>
        <w:t>.</w:t>
      </w:r>
    </w:p>
    <w:p w14:paraId="165D07B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[Australia Gov. 2017] Australian Government, Department of Health.2017. Health Based Guidance Values for PFAS; For use in site investigations in Australia. Available from: </w:t>
      </w:r>
      <w:hyperlink r:id="rId21" w:history="1">
        <w:r w:rsidRPr="002261B9">
          <w:rPr>
            <w:sz w:val="20"/>
            <w:szCs w:val="20"/>
            <w:lang w:val="en-GB"/>
          </w:rPr>
          <w:t>http://www.health.gov.au/internet/main/publishing.nsf/Content/2200FE086D480353CA2580C900817CDC/$File/</w:t>
        </w:r>
        <w:r w:rsidRPr="002261B9">
          <w:rPr>
            <w:sz w:val="20"/>
            <w:szCs w:val="20"/>
            <w:lang w:val="en-GB"/>
          </w:rPr>
          <w:br/>
          <w:t>fs-Health-Based-Guidance-Values.pdf</w:t>
        </w:r>
      </w:hyperlink>
    </w:p>
    <w:p w14:paraId="09FD383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[Beilstein, 2005] Handbook of Organic Chemistry (online). Request January 12.</w:t>
      </w:r>
    </w:p>
    <w:p w14:paraId="526370AC" w14:textId="0DFF988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[Bizkarguenaga </w:t>
      </w:r>
      <w:r w:rsidR="00321ABA" w:rsidRPr="00321ABA">
        <w:rPr>
          <w:i/>
          <w:sz w:val="20"/>
          <w:szCs w:val="20"/>
          <w:lang w:val="en-GB"/>
        </w:rPr>
        <w:t>et al</w:t>
      </w:r>
      <w:r w:rsidRPr="002261B9">
        <w:rPr>
          <w:sz w:val="20"/>
          <w:szCs w:val="20"/>
          <w:lang w:val="en-GB"/>
        </w:rPr>
        <w:t>. 2016] Bizkarguenaga E, Zabaleta I, Prieto A, Fernandez LA, Zuloaga O (2016) Uptake of 8:2 perfluoroalkyl phosphate diester and its degradation products by carrot and lettuce from compost-amended soil, Chemosphere 152:309-317</w:t>
      </w:r>
    </w:p>
    <w:p w14:paraId="4BE661A2" w14:textId="5E85D1FD"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[Blaine </w:t>
      </w:r>
      <w:r w:rsidR="00321ABA" w:rsidRPr="00321ABA">
        <w:rPr>
          <w:i/>
          <w:sz w:val="20"/>
          <w:szCs w:val="20"/>
          <w:lang w:val="en-GB"/>
        </w:rPr>
        <w:t>et al</w:t>
      </w:r>
      <w:r w:rsidRPr="002261B9">
        <w:rPr>
          <w:sz w:val="20"/>
          <w:szCs w:val="20"/>
          <w:lang w:val="en-GB"/>
        </w:rPr>
        <w:t>., 2013] Blaine AC, Rich CD, Hundal LS, Lau C, Mills MA, Harris KM, Higgins CP (2013) Uptake of perfluoroalkyl acids into edible crops via land applied biosolids: field and greenhouse studies, Environ SciTechnol 47:14062-14069</w:t>
      </w:r>
    </w:p>
    <w:p w14:paraId="603C53F3" w14:textId="790F8EB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[Blaine </w:t>
      </w:r>
      <w:r w:rsidR="00321ABA" w:rsidRPr="00321ABA">
        <w:rPr>
          <w:i/>
          <w:sz w:val="20"/>
          <w:szCs w:val="20"/>
          <w:lang w:val="en-GB"/>
        </w:rPr>
        <w:t>et al</w:t>
      </w:r>
      <w:r w:rsidRPr="002261B9">
        <w:rPr>
          <w:sz w:val="20"/>
          <w:szCs w:val="20"/>
          <w:lang w:val="en-GB"/>
        </w:rPr>
        <w:t>., 2014] Perfluoroalkyl Acid Uptake in Lettuce (Lactucasativa) and Strawberry (Fragariaananassa) Irrigated with Reclaimed Water. Environ SciTechnol 48: 14361−14368</w:t>
      </w:r>
    </w:p>
    <w:p w14:paraId="056D71CA" w14:textId="769F861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[Blum </w:t>
      </w:r>
      <w:r w:rsidR="00321ABA" w:rsidRPr="00321ABA">
        <w:rPr>
          <w:i/>
          <w:sz w:val="20"/>
          <w:szCs w:val="20"/>
          <w:lang w:val="en-GB"/>
        </w:rPr>
        <w:t>et al</w:t>
      </w:r>
      <w:r w:rsidRPr="002261B9">
        <w:rPr>
          <w:sz w:val="20"/>
          <w:szCs w:val="20"/>
          <w:lang w:val="en-GB"/>
        </w:rPr>
        <w:t>., 2015] The Madrid Statement on Poly- and Perfluoroalkyl Substances (PFASs). Environ Health Perspect 123(5): 107-11.</w:t>
      </w:r>
    </w:p>
    <w:p w14:paraId="52B3040F" w14:textId="2DC9820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[Bohlin-Nizzetto </w:t>
      </w:r>
      <w:r w:rsidR="00321ABA" w:rsidRPr="00321ABA">
        <w:rPr>
          <w:i/>
          <w:sz w:val="20"/>
          <w:szCs w:val="20"/>
          <w:lang w:val="en-GB"/>
        </w:rPr>
        <w:t>et al</w:t>
      </w:r>
      <w:r w:rsidRPr="002261B9">
        <w:rPr>
          <w:sz w:val="20"/>
          <w:szCs w:val="20"/>
          <w:lang w:val="en-GB"/>
        </w:rPr>
        <w:t xml:space="preserve">., 2015] PFASs in house dust. NILU. Available from: </w:t>
      </w:r>
      <w:hyperlink r:id="rId22" w:history="1">
        <w:r w:rsidRPr="002261B9">
          <w:rPr>
            <w:sz w:val="20"/>
            <w:szCs w:val="20"/>
            <w:lang w:val="en-GB"/>
          </w:rPr>
          <w:t>http://www.miljodirektoratet.no/Documents/publikasjoner/M430/M430.pdf</w:t>
        </w:r>
      </w:hyperlink>
      <w:r w:rsidRPr="002261B9">
        <w:rPr>
          <w:sz w:val="20"/>
          <w:szCs w:val="20"/>
          <w:lang w:val="en-GB"/>
        </w:rPr>
        <w:t>.</w:t>
      </w:r>
    </w:p>
    <w:p w14:paraId="38AF9DB3" w14:textId="4041C54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[Buck </w:t>
      </w:r>
      <w:r w:rsidR="00321ABA" w:rsidRPr="00321ABA">
        <w:rPr>
          <w:i/>
          <w:sz w:val="20"/>
          <w:szCs w:val="20"/>
          <w:lang w:val="en-GB"/>
        </w:rPr>
        <w:t>et al</w:t>
      </w:r>
      <w:r w:rsidRPr="002261B9">
        <w:rPr>
          <w:sz w:val="20"/>
          <w:szCs w:val="20"/>
          <w:lang w:val="en-GB"/>
        </w:rPr>
        <w:t>., 2011] Buck RC, Franklin J, Berger U, Conder JM, Cousins IT, de Voogt P, Jensen AA, Kannan K, Mabury SA, van Leeuwen SPJ (2011) Perfluoroalkyl and Polyfluoroalkyl Substances in the Environment: Terminology, Classification, and Origins, Integr Environ Assess Manag 7:513-514</w:t>
      </w:r>
    </w:p>
    <w:p w14:paraId="4441A53B" w14:textId="43E6DFF8" w:rsidR="001D03FD" w:rsidRPr="002261B9" w:rsidRDefault="001D03FD" w:rsidP="001D03FD">
      <w:pPr>
        <w:pStyle w:val="Normalnumber"/>
        <w:numPr>
          <w:ilvl w:val="0"/>
          <w:numId w:val="0"/>
        </w:numPr>
        <w:ind w:left="1247" w:right="57"/>
        <w:rPr>
          <w:lang w:val="en-US"/>
        </w:rPr>
      </w:pPr>
      <w:r w:rsidRPr="002261B9">
        <w:rPr>
          <w:lang w:val="en-GB"/>
        </w:rPr>
        <w:t xml:space="preserve">[Britto </w:t>
      </w:r>
      <w:r w:rsidR="00321ABA" w:rsidRPr="00321ABA">
        <w:rPr>
          <w:i/>
          <w:lang w:val="en-GB"/>
        </w:rPr>
        <w:t>et al</w:t>
      </w:r>
      <w:r w:rsidRPr="002261B9">
        <w:rPr>
          <w:lang w:val="en-GB"/>
        </w:rPr>
        <w:t>., 2016].Use of alternatives to PFOS, its salts and PFOSF for the control of leaf-cutting ants Atta and Acromyrmex.International Journal of Research in Environmental Studies (2016).3(2).</w:t>
      </w:r>
    </w:p>
    <w:p w14:paraId="256CB408" w14:textId="3A1D739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[Canada, 2012a] Government of Canada.Proposed risk management approach for Perfluorooctanoic Acid (PFOA), its Salts, and its Precursors and Long-Chain (C</w:t>
      </w:r>
      <w:r w:rsidRPr="002261B9">
        <w:rPr>
          <w:sz w:val="20"/>
          <w:szCs w:val="20"/>
          <w:vertAlign w:val="subscript"/>
          <w:lang w:val="en-GB"/>
        </w:rPr>
        <w:t>9</w:t>
      </w:r>
      <w:r w:rsidRPr="002261B9">
        <w:rPr>
          <w:sz w:val="20"/>
          <w:szCs w:val="20"/>
          <w:lang w:val="en-GB"/>
        </w:rPr>
        <w:t>-C</w:t>
      </w:r>
      <w:r w:rsidRPr="002261B9">
        <w:rPr>
          <w:sz w:val="20"/>
          <w:szCs w:val="20"/>
          <w:vertAlign w:val="subscript"/>
          <w:lang w:val="en-GB"/>
        </w:rPr>
        <w:t>20</w:t>
      </w:r>
      <w:r w:rsidRPr="002261B9">
        <w:rPr>
          <w:sz w:val="20"/>
          <w:szCs w:val="20"/>
          <w:lang w:val="en-GB"/>
        </w:rPr>
        <w:t>) Perfluorocarboxylic Acids (PFCAs), their Salts, and their Precursors.</w:t>
      </w:r>
      <w:r w:rsidR="002261B9">
        <w:rPr>
          <w:sz w:val="20"/>
          <w:szCs w:val="20"/>
          <w:lang w:val="en-GB"/>
        </w:rPr>
        <w:t xml:space="preserve"> </w:t>
      </w:r>
      <w:r w:rsidRPr="002261B9">
        <w:rPr>
          <w:sz w:val="20"/>
          <w:szCs w:val="20"/>
          <w:lang w:val="en-GB"/>
        </w:rPr>
        <w:t xml:space="preserve">Available from: </w:t>
      </w:r>
      <w:hyperlink r:id="rId23" w:history="1">
        <w:r w:rsidRPr="002261B9">
          <w:rPr>
            <w:sz w:val="20"/>
            <w:szCs w:val="20"/>
            <w:lang w:val="en-GB"/>
          </w:rPr>
          <w:t>http://www.ec.gc.ca/ese-ees/</w:t>
        </w:r>
        <w:r w:rsidRPr="002261B9">
          <w:rPr>
            <w:sz w:val="20"/>
            <w:szCs w:val="20"/>
            <w:lang w:val="en-GB"/>
          </w:rPr>
          <w:br/>
          <w:t>451C95ED-6236-430C-BE5A-22F91B36773F/PFOA%20%26%20PFCAs_RMA_EN.pdf</w:t>
        </w:r>
      </w:hyperlink>
      <w:r w:rsidRPr="002261B9">
        <w:rPr>
          <w:sz w:val="20"/>
          <w:szCs w:val="20"/>
          <w:lang w:val="en-GB"/>
        </w:rPr>
        <w:t>.</w:t>
      </w:r>
    </w:p>
    <w:p w14:paraId="56436A7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[Canada 2015]Government of Canada.Long-Chain (C</w:t>
      </w:r>
      <w:r w:rsidRPr="002261B9">
        <w:rPr>
          <w:sz w:val="20"/>
          <w:szCs w:val="20"/>
          <w:vertAlign w:val="subscript"/>
          <w:lang w:val="en-GB"/>
        </w:rPr>
        <w:t>9</w:t>
      </w:r>
      <w:r w:rsidRPr="002261B9">
        <w:rPr>
          <w:sz w:val="20"/>
          <w:szCs w:val="20"/>
          <w:lang w:val="en-GB"/>
        </w:rPr>
        <w:t>-C</w:t>
      </w:r>
      <w:r w:rsidRPr="002261B9">
        <w:rPr>
          <w:sz w:val="20"/>
          <w:szCs w:val="20"/>
          <w:vertAlign w:val="subscript"/>
          <w:lang w:val="en-GB"/>
        </w:rPr>
        <w:t>20</w:t>
      </w:r>
      <w:r w:rsidRPr="002261B9">
        <w:rPr>
          <w:sz w:val="20"/>
          <w:szCs w:val="20"/>
          <w:lang w:val="en-GB"/>
        </w:rPr>
        <w:t xml:space="preserve">) Perfluorocarboxylic Acids (LC-PFCAs), their Salts, and their Precursors and Perfluorooctanoic Acid (PFOA) Its Salts, and Its </w:t>
      </w:r>
      <w:r w:rsidRPr="002261B9">
        <w:rPr>
          <w:sz w:val="20"/>
          <w:szCs w:val="20"/>
          <w:lang w:val="en-GB"/>
        </w:rPr>
        <w:br/>
        <w:t>Precursors - Response to Comments on Consultation Document. Available from: http://www.ec.gc.ca/toxiques-toxics/default.asp?lang=En&amp;n=E68CF568-1</w:t>
      </w:r>
    </w:p>
    <w:p w14:paraId="7357ABE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[Canada 2016a] Annex F form. Submitted 9 December 2016. Available from: http://chm.pops.int/TheConvention/POPsReviewCommittee/Meetings/POPRC12/POPRC12Followup/PFOAInfo/tabid/5453/Default.aspx.</w:t>
      </w:r>
    </w:p>
    <w:p w14:paraId="056B570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[Canada 2016c] Government of Canada.Canada Gazette, Part II.Vol. 150, No. 20. Regulations Amending the Prohibition of Certain Toxic Substances Regulations, 2012More recent versions available from: </w:t>
      </w:r>
      <w:hyperlink r:id="rId24" w:history="1">
        <w:r w:rsidRPr="002261B9">
          <w:rPr>
            <w:sz w:val="20"/>
            <w:szCs w:val="20"/>
            <w:lang w:val="en-GB"/>
          </w:rPr>
          <w:t>http://www.gazette.gc.ca/rp-pr/p2/2016/2016-10-05/html/sor-dors252-eng.php</w:t>
        </w:r>
      </w:hyperlink>
      <w:hyperlink w:history="1">
        <w:r w:rsidRPr="002261B9">
          <w:rPr>
            <w:sz w:val="20"/>
            <w:szCs w:val="20"/>
            <w:lang w:val="en-GB"/>
          </w:rPr>
          <w:t>.</w:t>
        </w:r>
      </w:hyperlink>
    </w:p>
    <w:p w14:paraId="01F65661"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[Chemical Watch, 2017] Norway proposes adding second PFC to UN POPs Convention. Available at: </w:t>
      </w:r>
      <w:hyperlink r:id="rId25" w:history="1">
        <w:r w:rsidRPr="002261B9">
          <w:rPr>
            <w:rStyle w:val="Hyperlink"/>
            <w:color w:val="auto"/>
            <w:sz w:val="20"/>
            <w:szCs w:val="20"/>
            <w:u w:val="none"/>
          </w:rPr>
          <w:t>https://chemicalwatch.com/56634/norway-proposes-adding-second-pfc-to-un-pops-convention</w:t>
        </w:r>
      </w:hyperlink>
    </w:p>
    <w:p w14:paraId="625C6881" w14:textId="0A688B0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[Chropenova </w:t>
      </w:r>
      <w:r w:rsidR="00321ABA" w:rsidRPr="00321ABA">
        <w:rPr>
          <w:i/>
          <w:sz w:val="20"/>
          <w:szCs w:val="20"/>
          <w:lang w:val="en-GB"/>
        </w:rPr>
        <w:t>et al</w:t>
      </w:r>
      <w:r w:rsidRPr="002261B9">
        <w:rPr>
          <w:sz w:val="20"/>
          <w:szCs w:val="20"/>
          <w:lang w:val="en-GB"/>
        </w:rPr>
        <w:t>., 2016] Chropenova M, Karaskova P, Kallenborn R, Greguskova EK, Cupr P (2016) Pine Needles for the Screening of Perfluorinated Alkylated Substances (PFASs) along Ski Tracks, Environ SciTechnol 50:9487-9496</w:t>
      </w:r>
    </w:p>
    <w:p w14:paraId="0E220F96"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[Chemours, 2017] </w:t>
      </w:r>
      <w:hyperlink r:id="rId26" w:history="1">
        <w:r w:rsidRPr="002261B9">
          <w:rPr>
            <w:sz w:val="20"/>
            <w:szCs w:val="20"/>
            <w:lang w:val="en-GB"/>
          </w:rPr>
          <w:t>https://www.chemours.com/Teflon_Fabric_Protector/en_US/products/teflon_ecoelite.html</w:t>
        </w:r>
      </w:hyperlink>
      <w:r w:rsidRPr="002261B9">
        <w:rPr>
          <w:sz w:val="20"/>
          <w:szCs w:val="20"/>
          <w:lang w:val="en-GB"/>
        </w:rPr>
        <w:t xml:space="preserve"> (Online access: 2 March 2017).</w:t>
      </w:r>
    </w:p>
    <w:p w14:paraId="4BBC9521" w14:textId="724FDCB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fr-CH"/>
        </w:rPr>
        <w:t xml:space="preserve">[Conder </w:t>
      </w:r>
      <w:r w:rsidR="00321ABA" w:rsidRPr="00321ABA">
        <w:rPr>
          <w:i/>
          <w:sz w:val="20"/>
          <w:szCs w:val="20"/>
          <w:lang w:val="fr-CH"/>
        </w:rPr>
        <w:t>et al</w:t>
      </w:r>
      <w:r w:rsidRPr="002261B9">
        <w:rPr>
          <w:sz w:val="20"/>
          <w:szCs w:val="20"/>
          <w:lang w:val="fr-CH"/>
        </w:rPr>
        <w:t xml:space="preserve">., 2008] Are PFCAs bioaccumulative? </w:t>
      </w:r>
      <w:r w:rsidRPr="002261B9">
        <w:rPr>
          <w:sz w:val="20"/>
          <w:szCs w:val="20"/>
          <w:lang w:val="en-GB"/>
        </w:rPr>
        <w:t>A critical review and comparison with regulatory criteria and persistent lipophilic compounds. Environ SciTechnol 42: 995-1003.</w:t>
      </w:r>
    </w:p>
    <w:p w14:paraId="1CB1F03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[CRCCARE 2017] CRC for Contamination Assessment and Remediation of the Environment.Technical Report no. 38e.Assessment, management and remediation guidance for perfluorooctanesulfonate (PFOS) and perfluorooctanoic acid (PFOA), Part 5 – management and remediation of PFOS and PFOA. March 2017. Available at http://www.crccare.com/files/dmfile/CRCCARETechReport38Part5_AssessmentmanagementandremediationforPFOSandPFOA_ManagementandAssessment2.pdf</w:t>
      </w:r>
    </w:p>
    <w:p w14:paraId="7158ACDD" w14:textId="38D7509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[D’eon </w:t>
      </w:r>
      <w:r w:rsidR="00321ABA" w:rsidRPr="00321ABA">
        <w:rPr>
          <w:i/>
          <w:sz w:val="20"/>
          <w:szCs w:val="20"/>
          <w:lang w:val="en-GB"/>
        </w:rPr>
        <w:t>et al</w:t>
      </w:r>
      <w:r w:rsidRPr="002261B9">
        <w:rPr>
          <w:sz w:val="20"/>
          <w:szCs w:val="20"/>
          <w:lang w:val="en-GB"/>
        </w:rPr>
        <w:t>., 2006] D’eon JC, Hurley MD, Wallington TJ, Mabury SA. 2006. Atmospheric chemistry of N-methyl perfluorobutanesulfonamidoethanol, C</w:t>
      </w:r>
      <w:r w:rsidRPr="002261B9">
        <w:rPr>
          <w:sz w:val="20"/>
          <w:szCs w:val="20"/>
          <w:vertAlign w:val="subscript"/>
          <w:lang w:val="en-GB"/>
        </w:rPr>
        <w:t>4</w:t>
      </w:r>
      <w:r w:rsidRPr="002261B9">
        <w:rPr>
          <w:sz w:val="20"/>
          <w:szCs w:val="20"/>
          <w:lang w:val="en-GB"/>
        </w:rPr>
        <w:t>F</w:t>
      </w:r>
      <w:r w:rsidRPr="002261B9">
        <w:rPr>
          <w:sz w:val="20"/>
          <w:szCs w:val="20"/>
          <w:vertAlign w:val="subscript"/>
          <w:lang w:val="en-GB"/>
        </w:rPr>
        <w:t>9</w:t>
      </w:r>
      <w:r w:rsidRPr="002261B9">
        <w:rPr>
          <w:sz w:val="20"/>
          <w:szCs w:val="20"/>
          <w:lang w:val="en-GB"/>
        </w:rPr>
        <w:t>SO</w:t>
      </w:r>
      <w:r w:rsidRPr="002261B9">
        <w:rPr>
          <w:sz w:val="20"/>
          <w:szCs w:val="20"/>
          <w:vertAlign w:val="subscript"/>
          <w:lang w:val="en-GB"/>
        </w:rPr>
        <w:t>2</w:t>
      </w:r>
      <w:r w:rsidRPr="002261B9">
        <w:rPr>
          <w:sz w:val="20"/>
          <w:szCs w:val="20"/>
          <w:lang w:val="en-GB"/>
        </w:rPr>
        <w:t>N(CH</w:t>
      </w:r>
      <w:r w:rsidRPr="002261B9">
        <w:rPr>
          <w:sz w:val="20"/>
          <w:szCs w:val="20"/>
          <w:vertAlign w:val="subscript"/>
          <w:lang w:val="en-GB"/>
        </w:rPr>
        <w:t>3</w:t>
      </w:r>
      <w:r w:rsidRPr="002261B9">
        <w:rPr>
          <w:sz w:val="20"/>
          <w:szCs w:val="20"/>
          <w:lang w:val="en-GB"/>
        </w:rPr>
        <w:t>)CH</w:t>
      </w:r>
      <w:r w:rsidRPr="002261B9">
        <w:rPr>
          <w:sz w:val="20"/>
          <w:szCs w:val="20"/>
          <w:vertAlign w:val="subscript"/>
          <w:lang w:val="en-GB"/>
        </w:rPr>
        <w:t>2</w:t>
      </w:r>
      <w:r w:rsidRPr="002261B9">
        <w:rPr>
          <w:sz w:val="20"/>
          <w:szCs w:val="20"/>
          <w:lang w:val="en-GB"/>
        </w:rPr>
        <w:t>CH</w:t>
      </w:r>
      <w:r w:rsidRPr="002261B9">
        <w:rPr>
          <w:sz w:val="20"/>
          <w:szCs w:val="20"/>
          <w:vertAlign w:val="subscript"/>
          <w:lang w:val="en-GB"/>
        </w:rPr>
        <w:t>2</w:t>
      </w:r>
      <w:r w:rsidRPr="002261B9">
        <w:rPr>
          <w:sz w:val="20"/>
          <w:szCs w:val="20"/>
          <w:lang w:val="en-GB"/>
        </w:rPr>
        <w:t xml:space="preserve">OH: kinetics and mechanism of reaction with OH. Environ Sci Technol. 40, 1862-1868. </w:t>
      </w:r>
    </w:p>
    <w:p w14:paraId="71ECA06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[Danish EPA, 2014] Danish Environmental Protection Agency.</w:t>
      </w:r>
      <w:r w:rsidRPr="002261B9">
        <w:rPr>
          <w:sz w:val="20"/>
          <w:szCs w:val="20"/>
          <w:lang w:val="da-DK"/>
        </w:rPr>
        <w:t xml:space="preserve">Screeningsundersogelse af udvalgte </w:t>
      </w:r>
      <w:r w:rsidRPr="002261B9">
        <w:rPr>
          <w:sz w:val="20"/>
          <w:szCs w:val="20"/>
          <w:lang w:val="da-DK"/>
        </w:rPr>
        <w:br/>
        <w:t xml:space="preserve">PFAS-forbindelser som jord- og grundvandsforurening iforbindelse med punktkilder. </w:t>
      </w:r>
      <w:r w:rsidRPr="002261B9">
        <w:rPr>
          <w:sz w:val="20"/>
          <w:szCs w:val="20"/>
          <w:lang w:val="da-DK"/>
        </w:rPr>
        <w:br/>
      </w:r>
      <w:r w:rsidRPr="002261B9">
        <w:rPr>
          <w:sz w:val="20"/>
          <w:szCs w:val="20"/>
          <w:lang w:val="en-GB"/>
        </w:rPr>
        <w:t>Available from: http://www2.mst.dk/Udgiv/publikationer/2014/10/978-87-93178-96-0.pdf.</w:t>
      </w:r>
    </w:p>
    <w:p w14:paraId="1DD294D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[Danish EPA, 2015b] Danish Environmental Protection Agency.Alternatives to perfluoroalkyl and polyfluoroalkyl substances (PFAS) in textiles. Available from: http://www2.mst.dk/Udgiv/publications/2015/05/978-87-93352-16-2.pdf. </w:t>
      </w:r>
    </w:p>
    <w:p w14:paraId="32A5CF75" w14:textId="3CF5019A"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[Davies, 2014] Davies, Alice.</w:t>
      </w:r>
      <w:r w:rsidR="002261B9">
        <w:rPr>
          <w:sz w:val="20"/>
          <w:szCs w:val="20"/>
          <w:lang w:val="en-GB"/>
        </w:rPr>
        <w:t xml:space="preserve"> </w:t>
      </w:r>
      <w:r w:rsidRPr="002261B9">
        <w:rPr>
          <w:sz w:val="20"/>
          <w:szCs w:val="20"/>
          <w:lang w:val="en-GB"/>
        </w:rPr>
        <w:t xml:space="preserve">DURABLE WATER REPELLENCY - STUDY PHASE I. De Montfort University, Leicester, November 2014. Available at </w:t>
      </w:r>
      <w:hyperlink r:id="rId27" w:history="1">
        <w:r w:rsidRPr="002261B9">
          <w:rPr>
            <w:sz w:val="20"/>
            <w:szCs w:val="20"/>
            <w:lang w:val="en-GB"/>
          </w:rPr>
          <w:t>http://www.europeanoutdoorgroup.com/files/DWR-Study_Alice_Davies__digital_.pdf</w:t>
        </w:r>
      </w:hyperlink>
    </w:p>
    <w:p w14:paraId="1E1487E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[Decision POPRC-11/4] The Persistent Organic Pollutants Review Committee.Pentadecafluorooctanoic acid (CAS No: 335-67-1, PFOA, perfluorooctanoic acid), its salts and PFOA-related compounds. Available from: </w:t>
      </w:r>
      <w:hyperlink r:id="rId28" w:history="1">
        <w:r w:rsidRPr="002261B9">
          <w:rPr>
            <w:sz w:val="20"/>
            <w:szCs w:val="20"/>
            <w:lang w:val="en-GB"/>
          </w:rPr>
          <w:t>http://chm.pops.int/TheConvention/POPsReviewCommittee/ReportsandDecisions/tabid/3309/</w:t>
        </w:r>
        <w:r w:rsidRPr="002261B9">
          <w:rPr>
            <w:sz w:val="20"/>
            <w:szCs w:val="20"/>
            <w:lang w:val="en-GB"/>
          </w:rPr>
          <w:br/>
          <w:t>Default.aspx</w:t>
        </w:r>
      </w:hyperlink>
      <w:r w:rsidRPr="002261B9">
        <w:rPr>
          <w:sz w:val="20"/>
          <w:szCs w:val="20"/>
          <w:lang w:val="en-GB"/>
        </w:rPr>
        <w:t>.</w:t>
      </w:r>
    </w:p>
    <w:p w14:paraId="14AF99CB" w14:textId="77777777" w:rsidR="001D03FD" w:rsidRPr="002261B9" w:rsidRDefault="001D03FD" w:rsidP="001D03FD">
      <w:pPr>
        <w:tabs>
          <w:tab w:val="left" w:pos="624"/>
          <w:tab w:val="left" w:pos="1247"/>
          <w:tab w:val="left" w:pos="1440"/>
        </w:tabs>
        <w:spacing w:after="120"/>
        <w:ind w:left="1247" w:right="57"/>
        <w:rPr>
          <w:sz w:val="20"/>
          <w:szCs w:val="20"/>
          <w:lang w:val="fr-CH"/>
        </w:rPr>
      </w:pPr>
      <w:r w:rsidRPr="002261B9">
        <w:rPr>
          <w:sz w:val="20"/>
          <w:szCs w:val="20"/>
          <w:lang w:val="en-GB"/>
        </w:rPr>
        <w:t xml:space="preserve">[Decision POPRC-12/3] The Persistent Organic Pollutants Review Committee (2016) Short-chain chlorinated paraffins. </w:t>
      </w:r>
      <w:r w:rsidRPr="002261B9">
        <w:rPr>
          <w:sz w:val="20"/>
          <w:szCs w:val="20"/>
          <w:lang w:val="fr-CH"/>
        </w:rPr>
        <w:t xml:space="preserve">Available from: </w:t>
      </w:r>
      <w:hyperlink r:id="rId29" w:history="1">
        <w:r w:rsidRPr="002261B9">
          <w:rPr>
            <w:sz w:val="20"/>
            <w:szCs w:val="20"/>
            <w:lang w:val="fr-CH"/>
          </w:rPr>
          <w:t>http://chm.pops.int/Default.aspx?tabid=5171</w:t>
        </w:r>
      </w:hyperlink>
    </w:p>
    <w:p w14:paraId="2FABBC8A" w14:textId="0B1DBA6E"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fr-CH"/>
        </w:rPr>
        <w:t xml:space="preserve">[Defoort </w:t>
      </w:r>
      <w:r w:rsidR="00321ABA" w:rsidRPr="00321ABA">
        <w:rPr>
          <w:i/>
          <w:sz w:val="20"/>
          <w:szCs w:val="20"/>
          <w:lang w:val="fr-CH"/>
        </w:rPr>
        <w:t>et al</w:t>
      </w:r>
      <w:r w:rsidRPr="002261B9">
        <w:rPr>
          <w:sz w:val="20"/>
          <w:szCs w:val="20"/>
          <w:lang w:val="fr-CH"/>
        </w:rPr>
        <w:t xml:space="preserve">., 2012] RAPPORT: PFOS Tullingegrundvattentäkt- NulägesanalysSlutrapport. </w:t>
      </w:r>
      <w:r w:rsidRPr="002261B9">
        <w:rPr>
          <w:sz w:val="20"/>
          <w:szCs w:val="20"/>
          <w:lang w:val="en-GB"/>
        </w:rPr>
        <w:t xml:space="preserve">Uppdragsnr: 10158302. </w:t>
      </w:r>
    </w:p>
    <w:p w14:paraId="6A6CD20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[Denmark, 2016] Danish EPA. Annex F form. Submitted 9 December 2016. Available from: </w:t>
      </w:r>
      <w:hyperlink r:id="rId30" w:history="1">
        <w:r w:rsidRPr="002261B9">
          <w:rPr>
            <w:sz w:val="20"/>
            <w:szCs w:val="20"/>
            <w:lang w:val="en-GB"/>
          </w:rPr>
          <w:t>http://chm.pops.int/TheConvention/POPsReviewCommittee/Meetings/POPRC12/POPRC12Followup/PFOAInfo/</w:t>
        </w:r>
        <w:r w:rsidRPr="002261B9">
          <w:rPr>
            <w:sz w:val="20"/>
            <w:szCs w:val="20"/>
            <w:lang w:val="en-GB"/>
          </w:rPr>
          <w:br/>
          <w:t>tabid/5453/Default.aspx</w:t>
        </w:r>
      </w:hyperlink>
      <w:r w:rsidRPr="002261B9">
        <w:rPr>
          <w:sz w:val="20"/>
          <w:szCs w:val="20"/>
          <w:lang w:val="en-GB"/>
        </w:rPr>
        <w:t>.</w:t>
      </w:r>
    </w:p>
    <w:p w14:paraId="6BC20C7D"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[Dow Corning, 2007] DAIKIN and Dow Corning introduce Unidyne TG-5521 for fabric repellency and softness. Available from: </w:t>
      </w:r>
      <w:hyperlink r:id="rId31" w:history="1">
        <w:r w:rsidRPr="002261B9">
          <w:rPr>
            <w:rStyle w:val="Hyperlink"/>
            <w:color w:val="auto"/>
            <w:sz w:val="20"/>
            <w:szCs w:val="20"/>
            <w:u w:val="none"/>
          </w:rPr>
          <w:t>http://www.dowcorning.com/content/news/dowcorning_daikin.asp</w:t>
        </w:r>
      </w:hyperlink>
      <w:r w:rsidRPr="002261B9">
        <w:rPr>
          <w:sz w:val="20"/>
          <w:szCs w:val="20"/>
          <w:lang w:val="en-GB"/>
        </w:rPr>
        <w:t>.</w:t>
      </w:r>
    </w:p>
    <w:p w14:paraId="0E660F39" w14:textId="3E4EE0DB"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[Drivon </w:t>
      </w:r>
      <w:r w:rsidR="00321ABA" w:rsidRPr="00321ABA">
        <w:rPr>
          <w:i/>
          <w:sz w:val="20"/>
          <w:szCs w:val="20"/>
          <w:lang w:val="en-GB"/>
        </w:rPr>
        <w:t>et al</w:t>
      </w:r>
      <w:r w:rsidRPr="002261B9">
        <w:rPr>
          <w:sz w:val="20"/>
          <w:szCs w:val="20"/>
          <w:lang w:val="en-GB"/>
        </w:rPr>
        <w:t>., 1996] Synthesis of n-perfluorooctyl bromide. United States Patent 5,545,776. Available at: http://patft.uspto.gov/netacgi/nph-Parser?Sect1=PTO2&amp;Sect2=HITOFF&amp;p=1&amp;u=%2Fnetahtml%2FPTO%2Fsearch-bool.html&amp;r=1&amp;f=G&amp;l=50&amp;co1=AND&amp;d=PTXT&amp;s1=5545776&amp;OS=5545776&amp;RS=5545776</w:t>
      </w:r>
      <w:r w:rsidR="002261B9">
        <w:rPr>
          <w:sz w:val="20"/>
          <w:szCs w:val="20"/>
          <w:lang w:val="en-GB"/>
        </w:rPr>
        <w:t xml:space="preserve"> </w:t>
      </w:r>
      <w:r w:rsidRPr="002261B9">
        <w:rPr>
          <w:sz w:val="20"/>
          <w:szCs w:val="20"/>
          <w:lang w:val="en-GB"/>
        </w:rPr>
        <w:t xml:space="preserve">JP3387099B2 or EP0673906 </w:t>
      </w:r>
    </w:p>
    <w:p w14:paraId="7C62C24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[DuPont, 2010] DuPontTMGenX processing aid for making fluoropolymer resin. </w:t>
      </w:r>
      <w:r w:rsidRPr="002261B9">
        <w:rPr>
          <w:sz w:val="20"/>
          <w:szCs w:val="20"/>
          <w:lang w:val="en-GB"/>
        </w:rPr>
        <w:br/>
        <w:t>Available from: https://www.chemours.com/Industrial_Bakery_Solutions/en_GB/assets/downloads/</w:t>
      </w:r>
      <w:r w:rsidRPr="002261B9">
        <w:rPr>
          <w:sz w:val="20"/>
          <w:szCs w:val="20"/>
          <w:lang w:val="en-GB"/>
        </w:rPr>
        <w:br/>
        <w:t>Chemours_GenX_Brochure_Final_07July2010.pdf</w:t>
      </w:r>
    </w:p>
    <w:p w14:paraId="73C38C4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[ECHA, 2013a] Support Document for the identification of pentadecafluorooctanoic acid (PFOA) as a substance of very high concern because of its CMR and PBT properties. Adopted on 14 June 2013. Available from: https://echa.europa.eu/documents/10162/8059e342-1092-410f-bd85-80118a5526f5.</w:t>
      </w:r>
    </w:p>
    <w:p w14:paraId="2FE8ACD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[ECHA, 2013b] Support Document for identification of Ammonium pentadecafluorooctanoate (APFO) as a substance of very high concern because of its CMR and PBT properties. Adopted 14 June 2013. Available from: https://echa.europa.eu/documents/10162/</w:t>
      </w:r>
      <w:r w:rsidRPr="002261B9">
        <w:rPr>
          <w:sz w:val="20"/>
          <w:szCs w:val="20"/>
          <w:lang w:val="en-GB"/>
        </w:rPr>
        <w:br/>
        <w:t>5e2c1e53-be98-4104-8b96-9cd88655a92a</w:t>
      </w:r>
    </w:p>
    <w:p w14:paraId="0C3BD7D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[ECHA, 2014a] Annex XV Restriction Report. Proposal for a Restriction. Perfluorooctanoic acid (PFOA), PFOA salts and PFOA-related substances. 17 October 2014. Available from: </w:t>
      </w:r>
      <w:hyperlink r:id="rId32" w:history="1">
        <w:r w:rsidRPr="002261B9">
          <w:rPr>
            <w:sz w:val="20"/>
            <w:szCs w:val="20"/>
            <w:lang w:val="en-GB"/>
          </w:rPr>
          <w:t>https://echa.europa.eu/documents/10162/e9cddee6-3164-473d-b590-8fcf9caa50e7</w:t>
        </w:r>
      </w:hyperlink>
      <w:r w:rsidRPr="002261B9">
        <w:rPr>
          <w:sz w:val="20"/>
          <w:szCs w:val="20"/>
          <w:lang w:val="en-GB"/>
        </w:rPr>
        <w:t>.</w:t>
      </w:r>
    </w:p>
    <w:p w14:paraId="6ED38F11" w14:textId="0B18061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[ECHA, 2014b] Registered substances. Available from: </w:t>
      </w:r>
      <w:hyperlink r:id="rId33" w:history="1">
        <w:r w:rsidRPr="002261B9">
          <w:rPr>
            <w:sz w:val="20"/>
            <w:szCs w:val="20"/>
            <w:lang w:val="en-GB"/>
          </w:rPr>
          <w:t>https://echa.europa.eu/</w:t>
        </w:r>
        <w:r w:rsidRPr="002261B9">
          <w:rPr>
            <w:sz w:val="20"/>
            <w:szCs w:val="20"/>
            <w:lang w:val="en-GB"/>
          </w:rPr>
          <w:br/>
          <w:t>de/information-on-chemicals/registered-substances</w:t>
        </w:r>
      </w:hyperlink>
      <w:r w:rsidRPr="002261B9">
        <w:rPr>
          <w:sz w:val="20"/>
          <w:szCs w:val="20"/>
          <w:lang w:val="en-GB"/>
        </w:rPr>
        <w:t xml:space="preserve">. Cited by Wang </w:t>
      </w:r>
      <w:r w:rsidR="00321ABA" w:rsidRPr="00321ABA">
        <w:rPr>
          <w:i/>
          <w:sz w:val="20"/>
          <w:szCs w:val="20"/>
          <w:lang w:val="en-GB"/>
        </w:rPr>
        <w:t>et al</w:t>
      </w:r>
      <w:r w:rsidRPr="002261B9">
        <w:rPr>
          <w:sz w:val="20"/>
          <w:szCs w:val="20"/>
          <w:lang w:val="en-GB"/>
        </w:rPr>
        <w:t>., 2015.</w:t>
      </w:r>
    </w:p>
    <w:p w14:paraId="4524821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[ECHA, 2015a] Background document to the Opinion on the Annex XV dossier proposing restrictions on Perfluorooctanoic acid (PFOA), PFOA salts and PFOA-related substances. </w:t>
      </w:r>
      <w:r w:rsidRPr="002261B9">
        <w:rPr>
          <w:sz w:val="20"/>
          <w:szCs w:val="20"/>
          <w:lang w:val="en-GB"/>
        </w:rPr>
        <w:br/>
        <w:t>4 December 2015. Available from: https://echa.europa.eu/documents/</w:t>
      </w:r>
      <w:r w:rsidRPr="002261B9">
        <w:rPr>
          <w:sz w:val="20"/>
          <w:szCs w:val="20"/>
          <w:lang w:val="en-GB"/>
        </w:rPr>
        <w:br/>
        <w:t>10162/61e81035-e0c5-44f5-94c5-2f53554255a8.</w:t>
      </w:r>
    </w:p>
    <w:p w14:paraId="249EF95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[ECHA, 2015b] Committee for Risk Assessment (RAC) – Opinion on an Annex XV dossier proposing restrictions on Perfluorooctanoic acid (PFOA), PFOA salts and PFOA-related substances. 8 September 2015. Available from: https://echa.europa.eu/documents/10162/</w:t>
      </w:r>
      <w:r w:rsidRPr="002261B9">
        <w:rPr>
          <w:sz w:val="20"/>
          <w:szCs w:val="20"/>
          <w:lang w:val="en-GB"/>
        </w:rPr>
        <w:br/>
        <w:t>3d13de3a-de0d-49ae-bfbd-749aea884966.</w:t>
      </w:r>
    </w:p>
    <w:p w14:paraId="01CFF0F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[ECHA, 2015c] Committee for Risk Assessment (RAC) Committee for Socio-economic Analysis (SEAC) – Opinion on an Annex XV dossier proposing restrictions on Perfluorooctanoic acid (PFOA), PFOA salts and PFOA-related substances. Compiled version prepared by the ECHA Secretariat of RAC’s opinion (adopted 8 September 2015) and SEAC’s opinion (adopted 4 December 2015). Available from: </w:t>
      </w:r>
      <w:hyperlink r:id="rId34" w:history="1">
        <w:r w:rsidRPr="002261B9">
          <w:rPr>
            <w:sz w:val="20"/>
            <w:szCs w:val="20"/>
            <w:lang w:val="en-GB"/>
          </w:rPr>
          <w:t>https://echa.europa.eu/documents/10162/2f0dfce0-3dcf-4398-8d6b-2e59c86446be</w:t>
        </w:r>
      </w:hyperlink>
      <w:r w:rsidRPr="002261B9">
        <w:rPr>
          <w:sz w:val="20"/>
          <w:szCs w:val="20"/>
          <w:lang w:val="en-GB"/>
        </w:rPr>
        <w:t>.</w:t>
      </w:r>
    </w:p>
    <w:p w14:paraId="215C31B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[ECHA, 2015d] Decision on Substance Evaluation pursuant to Article 46(1) of Regulation (EC) No 1907/2006 for reaction mass of mixed (3,3,4,4,5,5,6,6,7,7,8,8,8-tridecafluorooctyl)phosphates, ammonium salt, CAS No not available (EC No 700-161-3.</w:t>
      </w:r>
    </w:p>
    <w:p w14:paraId="68EAED6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[ECHA, 2017a] Guidance on Information Requirements and Chemical Safety Assessment. Chapter R.11: PBT/vPvB assessment. Version 3.0. Available at: </w:t>
      </w:r>
      <w:hyperlink r:id="rId35" w:history="1">
        <w:r w:rsidRPr="002261B9">
          <w:rPr>
            <w:sz w:val="20"/>
            <w:szCs w:val="20"/>
            <w:lang w:val="en-GB"/>
          </w:rPr>
          <w:t>https://echa.europa.eu/documents/10162/13632/information_requirements_r11_en.pdf</w:t>
        </w:r>
      </w:hyperlink>
    </w:p>
    <w:p w14:paraId="17A174D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[ECHA, 2017b] MSC unanimously agrees that Bisphenol A is an endocrine disruptor. Available at: https://echa.europa.eu/sv/-/msc-unanimously-agrees-that-bisphenol-a-is-an-endocrine-disruptor</w:t>
      </w:r>
    </w:p>
    <w:p w14:paraId="280B097C" w14:textId="28E5832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[Ellis </w:t>
      </w:r>
      <w:r w:rsidR="00321ABA" w:rsidRPr="00321ABA">
        <w:rPr>
          <w:i/>
          <w:sz w:val="20"/>
          <w:szCs w:val="20"/>
          <w:lang w:val="en-GB"/>
        </w:rPr>
        <w:t>et al</w:t>
      </w:r>
      <w:r w:rsidRPr="002261B9">
        <w:rPr>
          <w:sz w:val="20"/>
          <w:szCs w:val="20"/>
          <w:lang w:val="en-GB"/>
        </w:rPr>
        <w:t xml:space="preserve">., 2004] Degradation of fluorotelomer alcohols: a likely atmospheric source of perfluorinated carboxylic acids. Environ SciTechnol 38: 3316-21. </w:t>
      </w:r>
    </w:p>
    <w:p w14:paraId="4A779D2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[European Commission, 2017] COMMISSION REGULATION (EU) 2017/1000 of 13 June 2017 amending Annex XVII to Regulation (EC) No 1907/2006 of the European Parliament and of the Council concerning the Registration, Evaluation, Authorisation and Restriction of Chemicals (REACH) as regards perfluorooctanoic acid (PFOA), its salts and PFOA-related substances, OJ L 150/14, 14.6.2017. Available at: http://eur-lex.europa.eu/legal-content/EN/TXT/PDF/?uri=CELEX:32017R1000&amp;from=EN</w:t>
      </w:r>
    </w:p>
    <w:p w14:paraId="69D5E45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[EFSA, 2008] European Food Safety Authority. Scientific Opinion of the Panel on Contaminants in the Food chain on Perfluorooctane sulfonate (PFOS), perfluorooctanoic acid (PFOA) and their salts. The EFSA Journal. 653: 1-131.</w:t>
      </w:r>
    </w:p>
    <w:p w14:paraId="4DA50C3C" w14:textId="77777777" w:rsidR="001D03FD" w:rsidRPr="002261B9" w:rsidRDefault="001D03FD" w:rsidP="001D03FD">
      <w:pPr>
        <w:keepNext/>
        <w:keepLines/>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[EFSA, 2011a]European Food Safety Authority. EFSA Panel on food contact materials. Scientific opinion on the safety evaluation of the substance, perfluoro[(2-ethyloxy-ethoxy)acetic acid], ammonium salt, CAS No: 908020-52-0, for use in food contact materials. EFSA J 9(6):2183. Available from: </w:t>
      </w:r>
      <w:hyperlink r:id="rId36" w:history="1">
        <w:r w:rsidRPr="002261B9">
          <w:rPr>
            <w:sz w:val="20"/>
            <w:szCs w:val="20"/>
            <w:lang w:val="en-GB"/>
          </w:rPr>
          <w:t>http://onlinelibrary.wiley.com/doi/10.2903/j.efsa.2011.2183/abstract</w:t>
        </w:r>
      </w:hyperlink>
      <w:r w:rsidRPr="002261B9">
        <w:rPr>
          <w:sz w:val="20"/>
          <w:szCs w:val="20"/>
          <w:lang w:val="en-GB"/>
        </w:rPr>
        <w:t>.</w:t>
      </w:r>
    </w:p>
    <w:p w14:paraId="4FD3299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[EFSA, 2011b] European Food Safety Authority. EFSA panel on food contact materials. Scientific opinion on the safety evaluation of the substance , 3H-perfluoro-3-[(3-methoxy-propoxy)propanoic acid] ammoniumsalt, CAS No: 958445-44-8, for use in food contact materials. EFSA J. 9 (6), 1–11. </w:t>
      </w:r>
    </w:p>
    <w:p w14:paraId="72EF973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[EFSA, 2017] European Food Safety Authority.Scientific Panel on Contaminants in the Food Chain.Minutes of meeting 10b of the Working Group on perfluoroalkylated substances in food. Available from: </w:t>
      </w:r>
      <w:hyperlink r:id="rId37" w:history="1">
        <w:r w:rsidRPr="002261B9">
          <w:rPr>
            <w:sz w:val="20"/>
            <w:szCs w:val="20"/>
            <w:lang w:val="en-GB"/>
          </w:rPr>
          <w:t>https://www.efsa.europa.eu/sites/default/files/contamwgpfasfood.pdf</w:t>
        </w:r>
      </w:hyperlink>
    </w:p>
    <w:p w14:paraId="6C890181" w14:textId="04DAC49F"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[Eggen </w:t>
      </w:r>
      <w:r w:rsidR="00321ABA" w:rsidRPr="00321ABA">
        <w:rPr>
          <w:i/>
          <w:sz w:val="20"/>
          <w:szCs w:val="20"/>
          <w:lang w:val="en-GB"/>
        </w:rPr>
        <w:t>et al</w:t>
      </w:r>
      <w:r w:rsidRPr="002261B9">
        <w:rPr>
          <w:sz w:val="20"/>
          <w:szCs w:val="20"/>
          <w:lang w:val="en-GB"/>
        </w:rPr>
        <w:t xml:space="preserve">., 2010] Municipal landfill leachates: A significant source for new and emerging pollutants. Sci Total Environ 408: 5147–57. </w:t>
      </w:r>
    </w:p>
    <w:p w14:paraId="5F0B9AB0" w14:textId="7449C8E5"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[Ellis </w:t>
      </w:r>
      <w:r w:rsidR="00321ABA" w:rsidRPr="00321ABA">
        <w:rPr>
          <w:i/>
          <w:sz w:val="20"/>
          <w:szCs w:val="20"/>
          <w:lang w:val="en-GB"/>
        </w:rPr>
        <w:t>et al</w:t>
      </w:r>
      <w:r w:rsidRPr="002261B9">
        <w:rPr>
          <w:sz w:val="20"/>
          <w:szCs w:val="20"/>
          <w:lang w:val="en-GB"/>
        </w:rPr>
        <w:t>, 2001] Thermolysis of fluoropolymers as a potential source of halogenated organic acids in the environment. Nature 412, 321–4.</w:t>
      </w:r>
    </w:p>
    <w:p w14:paraId="5B3A3045" w14:textId="7EAC37A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[Ellis </w:t>
      </w:r>
      <w:r w:rsidR="00321ABA" w:rsidRPr="00321ABA">
        <w:rPr>
          <w:i/>
          <w:sz w:val="20"/>
          <w:szCs w:val="20"/>
          <w:lang w:val="en-GB"/>
        </w:rPr>
        <w:t>et al</w:t>
      </w:r>
      <w:r w:rsidRPr="002261B9">
        <w:rPr>
          <w:sz w:val="20"/>
          <w:szCs w:val="20"/>
          <w:lang w:val="en-GB"/>
        </w:rPr>
        <w:t>, 2003] The use of 19F NMR and mass spectrometry for the elucidation of novel fluorinated acids and atmospheric fluoroacid precursors evolved in the thermolysis of fluoropolymers. Analyst 128, 756–764. Doi: 10.1039/b212658c.</w:t>
      </w:r>
    </w:p>
    <w:p w14:paraId="625ABB3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[Environment Canada Health Canada, 2008] Screening Assessment for the Challenge Octamethylcyclotetrasiloxane (D4) Chemical Abstracts Service Registry Number 556-67-2 Environment Canada Health Canada, November 2008, available at http://www.ec.gc.ca/</w:t>
      </w:r>
      <w:r w:rsidRPr="002261B9">
        <w:rPr>
          <w:sz w:val="20"/>
          <w:szCs w:val="20"/>
          <w:lang w:val="en-GB"/>
        </w:rPr>
        <w:br/>
        <w:t>ese-ees/default.asp?lang=En&amp;n=2481B508-1</w:t>
      </w:r>
    </w:p>
    <w:p w14:paraId="4DCCA88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[EP 2008] European Parliament, Policy Department Economic and Scientific Policy (2008). Impact assessment on priority substances in water.</w:t>
      </w:r>
    </w:p>
    <w:p w14:paraId="3F6B5AA7" w14:textId="4B1FF62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[Eschauzier </w:t>
      </w:r>
      <w:r w:rsidR="00321ABA" w:rsidRPr="00321ABA">
        <w:rPr>
          <w:i/>
          <w:sz w:val="20"/>
          <w:szCs w:val="20"/>
          <w:lang w:val="en-GB"/>
        </w:rPr>
        <w:t>et al</w:t>
      </w:r>
      <w:r w:rsidRPr="002261B9">
        <w:rPr>
          <w:sz w:val="20"/>
          <w:szCs w:val="20"/>
          <w:lang w:val="en-GB"/>
        </w:rPr>
        <w:t xml:space="preserve">., 2013] Perfluorinated alkylated acids in groundwater and drinking water: identification, origin and mobility. Sci Total Environ 458-460: 477-485. </w:t>
      </w:r>
    </w:p>
    <w:p w14:paraId="1481974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[Euratex, 2016] European Apparel and Textile Confederation. Annex F form. </w:t>
      </w:r>
      <w:r w:rsidRPr="002261B9">
        <w:rPr>
          <w:sz w:val="20"/>
          <w:szCs w:val="20"/>
          <w:lang w:val="en-GB"/>
        </w:rPr>
        <w:br/>
        <w:t xml:space="preserve">Submitted 9 December 2016. Available from: </w:t>
      </w:r>
      <w:hyperlink r:id="rId38" w:history="1">
        <w:r w:rsidRPr="002261B9">
          <w:rPr>
            <w:sz w:val="20"/>
            <w:szCs w:val="20"/>
            <w:lang w:val="en-GB"/>
          </w:rPr>
          <w:t>http://chm.pops.int/TheConvention/POPsReviewCommittee/Meetings/POPRC12/</w:t>
        </w:r>
        <w:r w:rsidRPr="002261B9">
          <w:rPr>
            <w:sz w:val="20"/>
            <w:szCs w:val="20"/>
            <w:lang w:val="en-GB"/>
          </w:rPr>
          <w:br/>
          <w:t>POPRC12Followup/PFOAInfo/tabid/5453/Default.aspx</w:t>
        </w:r>
      </w:hyperlink>
      <w:r w:rsidRPr="002261B9">
        <w:rPr>
          <w:sz w:val="20"/>
          <w:szCs w:val="20"/>
          <w:lang w:val="en-GB"/>
        </w:rPr>
        <w:t>.</w:t>
      </w:r>
    </w:p>
    <w:p w14:paraId="4A964E9F" w14:textId="1DA4CE94"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[European Commission, 2006] </w:t>
      </w:r>
      <w:r w:rsidRPr="002261B9">
        <w:rPr>
          <w:rFonts w:eastAsia="SimSun"/>
          <w:sz w:val="20"/>
          <w:szCs w:val="20"/>
          <w:lang w:val="en-GB"/>
        </w:rPr>
        <w:t>European Commission. 2006. Reference document on the best available techniques for waste incineration.</w:t>
      </w:r>
      <w:r w:rsidR="002261B9">
        <w:rPr>
          <w:rFonts w:eastAsia="SimSun"/>
          <w:sz w:val="20"/>
          <w:szCs w:val="20"/>
          <w:lang w:val="en-GB"/>
        </w:rPr>
        <w:t xml:space="preserve"> </w:t>
      </w:r>
      <w:r w:rsidRPr="002261B9">
        <w:rPr>
          <w:rFonts w:eastAsia="SimSun"/>
          <w:sz w:val="20"/>
          <w:szCs w:val="20"/>
          <w:lang w:val="en-GB"/>
        </w:rPr>
        <w:t xml:space="preserve">Brussels. </w:t>
      </w:r>
      <w:hyperlink r:id="rId39" w:history="1">
        <w:r w:rsidRPr="002261B9">
          <w:rPr>
            <w:rFonts w:eastAsia="SimSun"/>
            <w:sz w:val="20"/>
            <w:szCs w:val="20"/>
            <w:lang w:val="en-GB"/>
          </w:rPr>
          <w:t>http://eippcb.jrc.ec.europa.eu/reference/</w:t>
        </w:r>
      </w:hyperlink>
    </w:p>
    <w:p w14:paraId="035307F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[EWG 2017] Mapping a Contamination Crisis - PFCs Pollute Tap Water for 15 Million People, Dozens of Industrial Sites. Bill Walker and Soren Rundquist; Environmental Working Group. Available at </w:t>
      </w:r>
      <w:hyperlink r:id="rId40" w:anchor="*" w:history="1">
        <w:r w:rsidRPr="002261B9">
          <w:rPr>
            <w:rStyle w:val="Hyperlink"/>
            <w:color w:val="auto"/>
            <w:sz w:val="20"/>
            <w:szCs w:val="20"/>
            <w:u w:val="none"/>
          </w:rPr>
          <w:t>http://www.ewg.org/research/mapping-contamination-crisis#*</w:t>
        </w:r>
      </w:hyperlink>
      <w:r w:rsidRPr="002261B9">
        <w:rPr>
          <w:sz w:val="20"/>
          <w:szCs w:val="20"/>
          <w:lang w:val="en-GB"/>
        </w:rPr>
        <w:t xml:space="preserve"> (accessed on 29.6.2017)</w:t>
      </w:r>
    </w:p>
    <w:p w14:paraId="2364B51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[Exotextile News, 2015] DWR textile finish is renewably sourced. Available from: </w:t>
      </w:r>
      <w:hyperlink r:id="rId41" w:history="1">
        <w:r w:rsidRPr="002261B9">
          <w:rPr>
            <w:sz w:val="20"/>
            <w:szCs w:val="20"/>
            <w:lang w:val="en-GB"/>
          </w:rPr>
          <w:t>https://www.ecotextile.com/2015042921444/dyes-chemicals-news/dwr-textile-finish-is-renewably-sourced.html</w:t>
        </w:r>
      </w:hyperlink>
      <w:r w:rsidRPr="002261B9">
        <w:rPr>
          <w:sz w:val="20"/>
          <w:szCs w:val="20"/>
          <w:lang w:val="en-GB"/>
        </w:rPr>
        <w:t>. (Online access: 07 March 2017)</w:t>
      </w:r>
    </w:p>
    <w:p w14:paraId="69851072" w14:textId="5FFB1B2B"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w:t>
      </w:r>
      <w:r w:rsidRPr="002261B9">
        <w:rPr>
          <w:sz w:val="20"/>
          <w:szCs w:val="20"/>
          <w:lang w:val="en-US"/>
        </w:rPr>
        <w:t xml:space="preserve">Feng </w:t>
      </w:r>
      <w:r w:rsidR="00321ABA" w:rsidRPr="00321ABA">
        <w:rPr>
          <w:i/>
          <w:sz w:val="20"/>
          <w:szCs w:val="20"/>
          <w:lang w:val="en-US"/>
        </w:rPr>
        <w:t>et al</w:t>
      </w:r>
      <w:r w:rsidRPr="002261B9">
        <w:rPr>
          <w:sz w:val="20"/>
          <w:szCs w:val="20"/>
          <w:lang w:val="en-US"/>
        </w:rPr>
        <w:t xml:space="preserve">. 2015] </w:t>
      </w:r>
      <w:r w:rsidRPr="002261B9">
        <w:rPr>
          <w:sz w:val="20"/>
          <w:szCs w:val="20"/>
          <w:lang w:val="en-GB"/>
        </w:rPr>
        <w:t>Characterization of the thermolysis products of Nafion membrane: a potential source of perfluorinated compounds in the environment. Sci Rep. 5, 9859. doi: 10.1038/srep09859</w:t>
      </w:r>
    </w:p>
    <w:p w14:paraId="30D4E05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[FFFC, 2017] Fire Fighting Foam Coalition. Re: Additional information on firefighting foams in response to questions raised at the June 14 meeting on the PFHxA RMOA consultation. February 9, 2017.</w:t>
      </w:r>
    </w:p>
    <w:p w14:paraId="71B0791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[FFFC.Unknown] Best Practice Guidance for Use of Class B Firefighting Foams. Available from: http://www.fffc.org/images/bestpracticeguidance2.pdf</w:t>
      </w:r>
    </w:p>
    <w:p w14:paraId="1A238796"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[FFFP, 2017] Technical information from the websites of several firefighting foam marketors, accessed on 16.5.2017:</w:t>
      </w:r>
      <w:r w:rsidRPr="002261B9">
        <w:rPr>
          <w:sz w:val="20"/>
          <w:szCs w:val="20"/>
          <w:lang w:val="en-GB"/>
        </w:rPr>
        <w:br/>
      </w:r>
      <w:hyperlink r:id="rId42" w:history="1">
        <w:r w:rsidRPr="002261B9">
          <w:rPr>
            <w:sz w:val="20"/>
            <w:szCs w:val="20"/>
            <w:lang w:val="en-GB"/>
          </w:rPr>
          <w:t>http://www.solbergfoam.com/Technical-Documentation/Foam-Concentrate-Data-Sheets/</w:t>
        </w:r>
        <w:r w:rsidRPr="002261B9">
          <w:rPr>
            <w:sz w:val="20"/>
            <w:szCs w:val="20"/>
            <w:lang w:val="en-GB"/>
          </w:rPr>
          <w:br/>
          <w:t>ReHealing-Foam/ICAO-Concentrates/RE-HEALING-RF6-F-2011007-3.aspx</w:t>
        </w:r>
      </w:hyperlink>
      <w:r w:rsidRPr="002261B9">
        <w:rPr>
          <w:sz w:val="20"/>
          <w:szCs w:val="20"/>
          <w:lang w:val="en-GB"/>
        </w:rPr>
        <w:t> </w:t>
      </w:r>
      <w:r w:rsidRPr="002261B9">
        <w:rPr>
          <w:sz w:val="20"/>
          <w:szCs w:val="20"/>
          <w:lang w:val="en-GB"/>
        </w:rPr>
        <w:br/>
      </w:r>
      <w:hyperlink r:id="rId43" w:history="1">
        <w:r w:rsidRPr="002261B9">
          <w:rPr>
            <w:sz w:val="19"/>
            <w:szCs w:val="19"/>
            <w:lang w:val="en-GB"/>
          </w:rPr>
          <w:t>http://www.zerofiresystems.nl/en/products-and-services/repression/ecopol-100-fluorine-free-foam.html</w:t>
        </w:r>
      </w:hyperlink>
      <w:r w:rsidRPr="002261B9">
        <w:rPr>
          <w:sz w:val="20"/>
          <w:szCs w:val="20"/>
          <w:lang w:val="en-GB"/>
        </w:rPr>
        <w:br/>
      </w:r>
      <w:hyperlink r:id="rId44" w:history="1">
        <w:r w:rsidRPr="002261B9">
          <w:rPr>
            <w:sz w:val="20"/>
            <w:szCs w:val="20"/>
            <w:lang w:val="en-GB"/>
          </w:rPr>
          <w:t>http://www.bio-ex.com/products/product/biofilm-fluorosynthetic-afff-foam-concentrate-effective-on-hydrocarbon-fires-9</w:t>
        </w:r>
      </w:hyperlink>
    </w:p>
    <w:p w14:paraId="60153991" w14:textId="33EF404E"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[Filipovic </w:t>
      </w:r>
      <w:r w:rsidR="00321ABA" w:rsidRPr="00321ABA">
        <w:rPr>
          <w:i/>
          <w:sz w:val="20"/>
          <w:szCs w:val="20"/>
          <w:lang w:val="en-GB"/>
        </w:rPr>
        <w:t>et al</w:t>
      </w:r>
      <w:r w:rsidRPr="002261B9">
        <w:rPr>
          <w:sz w:val="20"/>
          <w:szCs w:val="20"/>
          <w:lang w:val="en-GB"/>
        </w:rPr>
        <w:t xml:space="preserve">., 2015] Historical usage of aqueous </w:t>
      </w:r>
      <w:r w:rsidRPr="002261B9">
        <w:rPr>
          <w:sz w:val="20"/>
          <w:szCs w:val="20"/>
        </w:rPr>
        <w:t>ﬁ</w:t>
      </w:r>
      <w:r w:rsidRPr="002261B9">
        <w:rPr>
          <w:sz w:val="20"/>
          <w:szCs w:val="20"/>
          <w:lang w:val="en-GB"/>
        </w:rPr>
        <w:t>lm forming foam: A case study of the widespread distribution of per</w:t>
      </w:r>
      <w:r w:rsidRPr="002261B9">
        <w:rPr>
          <w:sz w:val="20"/>
          <w:szCs w:val="20"/>
        </w:rPr>
        <w:t>ﬂ</w:t>
      </w:r>
      <w:r w:rsidRPr="002261B9">
        <w:rPr>
          <w:sz w:val="20"/>
          <w:szCs w:val="20"/>
          <w:lang w:val="en-GB"/>
        </w:rPr>
        <w:t xml:space="preserve">uoroalkyl acids from a military airport to groundwater, lakes, soils and </w:t>
      </w:r>
      <w:r w:rsidRPr="002261B9">
        <w:rPr>
          <w:sz w:val="20"/>
          <w:szCs w:val="20"/>
        </w:rPr>
        <w:t>ﬁ</w:t>
      </w:r>
      <w:r w:rsidRPr="002261B9">
        <w:rPr>
          <w:sz w:val="20"/>
          <w:szCs w:val="20"/>
          <w:lang w:val="en-GB"/>
        </w:rPr>
        <w:t xml:space="preserve">sh. Chemosphere 129:39-45 </w:t>
      </w:r>
    </w:p>
    <w:p w14:paraId="294E52B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[FluoroCouncil, 2014a] Assessment of POP Criteria for Specific Short-Chain Perfluorinated Alkyl Substances.January.</w:t>
      </w:r>
    </w:p>
    <w:p w14:paraId="3CC8AEB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[FluoroCouncil, 2014b] Guidance for Best Environmental Practices (BEP) for the Global Apparel Industry – including focus on fluorinated repellent products. Available from: </w:t>
      </w:r>
      <w:hyperlink r:id="rId45" w:history="1">
        <w:r w:rsidRPr="002261B9">
          <w:rPr>
            <w:sz w:val="20"/>
            <w:szCs w:val="20"/>
            <w:lang w:val="en-GB"/>
          </w:rPr>
          <w:t>https://fluorocouncil.com/PDFs/Guidance-for-Best-Environmental-Practices-BEP-for-the-Global-Apparel-Industry.pdf</w:t>
        </w:r>
      </w:hyperlink>
    </w:p>
    <w:p w14:paraId="79E39A1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[FlouroCouncil, 2016a]FluoroCouncil. Annex F form. Submitted 8 December 2016. Available from: </w:t>
      </w:r>
      <w:hyperlink r:id="rId46" w:history="1">
        <w:r w:rsidRPr="002261B9">
          <w:rPr>
            <w:rStyle w:val="Hyperlink"/>
            <w:color w:val="auto"/>
            <w:sz w:val="20"/>
            <w:szCs w:val="20"/>
            <w:u w:val="none"/>
          </w:rPr>
          <w:t>http://chm.pops.int/TheConvention/POPsReviewCommittee/Meetings/POPRC12/POPRC12Followup/PFOAInfo/tabid/5453/Default.aspx</w:t>
        </w:r>
      </w:hyperlink>
      <w:r w:rsidRPr="002261B9">
        <w:rPr>
          <w:sz w:val="20"/>
          <w:szCs w:val="20"/>
          <w:lang w:val="en-GB"/>
        </w:rPr>
        <w:t>.</w:t>
      </w:r>
    </w:p>
    <w:p w14:paraId="2B9A541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[FluoroCouncil, 2016b] Assessment of POP Criteria for Specific Short-Chain Perfluorinated Alkyl Substances. Companion Report to FluoroCouncil’s January 2014.</w:t>
      </w:r>
    </w:p>
    <w:p w14:paraId="5A99E9E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[FOEN, 2017] Additional Information in Relation to the Risk Management Evaluation of PFOA, its Salts, and Related Compounds. Prepared by ETH Zurich on behalf of the Swiss Federal Office for the Environment (FOEN).</w:t>
      </w:r>
      <w:r w:rsidRPr="002261B9">
        <w:rPr>
          <w:sz w:val="20"/>
          <w:szCs w:val="20"/>
          <w:lang w:val="en-GB"/>
        </w:rPr>
        <w:br/>
        <w:t>Available at http://chm.pops.int/TheConvention/POPsReviewCommittee/Meetings/POPRC12/POPRC12Followup/PFOAComments/tabid/5950/Default.aspx</w:t>
      </w:r>
    </w:p>
    <w:p w14:paraId="5DAFF99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[FR 2010 01-27] Federal Register /Vol. 75, No. 17 /Wednesday, January 27, 2010 /Rules and Regulations. Environmental Protection Agency, 40 CFR Part 723, Premanufacture Notification Exemption for Polymers; Amendment of Polymer Exemption Rule to Exclude Certain Perfluorinated Polymers. Available at </w:t>
      </w:r>
      <w:hyperlink r:id="rId47" w:history="1">
        <w:r w:rsidRPr="002261B9">
          <w:rPr>
            <w:sz w:val="20"/>
            <w:szCs w:val="20"/>
            <w:lang w:val="en-GB"/>
          </w:rPr>
          <w:t>https://www.gpo.gov/fdsys/pkg/FR-2010-01-27/pdf/2010-1477.pdf</w:t>
        </w:r>
      </w:hyperlink>
    </w:p>
    <w:p w14:paraId="43063306"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[FR 2016 05-25] Federal Register / Vol. 81, No. 101 / Wednesday, May 25, 2016 / Notices. Environmental Protection Agency, Lifetime Health Advisories and Health Effects Support Documents for Perfluorooctanoic Acid and Perfluorooctane Sulfonate. Available at </w:t>
      </w:r>
      <w:hyperlink r:id="rId48" w:history="1">
        <w:r w:rsidRPr="002261B9">
          <w:rPr>
            <w:rStyle w:val="Hyperlink"/>
            <w:color w:val="auto"/>
            <w:sz w:val="20"/>
            <w:szCs w:val="20"/>
            <w:u w:val="none"/>
          </w:rPr>
          <w:t>https://www.epa.gov/sites/production/files/2016-05/documents/2016-12361.pdf</w:t>
        </w:r>
      </w:hyperlink>
    </w:p>
    <w:p w14:paraId="5FE056FA" w14:textId="3FAA1C7F"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[Furutaka </w:t>
      </w:r>
      <w:r w:rsidR="00321ABA" w:rsidRPr="00321ABA">
        <w:rPr>
          <w:i/>
          <w:sz w:val="20"/>
          <w:szCs w:val="20"/>
          <w:lang w:val="en-GB"/>
        </w:rPr>
        <w:t>et al</w:t>
      </w:r>
      <w:r w:rsidRPr="002261B9">
        <w:rPr>
          <w:sz w:val="20"/>
          <w:szCs w:val="20"/>
          <w:lang w:val="en-GB"/>
        </w:rPr>
        <w:t xml:space="preserve">., 1997] Process for preparing perfluoroalkyl bromides. United States Patent 5,688,379. Available at: </w:t>
      </w:r>
      <w:hyperlink r:id="rId49" w:history="1">
        <w:r w:rsidRPr="002261B9">
          <w:rPr>
            <w:rStyle w:val="Hyperlink"/>
            <w:color w:val="auto"/>
            <w:sz w:val="20"/>
            <w:szCs w:val="20"/>
            <w:u w:val="none"/>
          </w:rPr>
          <w:t>https://worldwide.espacenet.com/publicationDetails/originalDocument?FT=D&amp;date=19971118&amp;DB=EPODOC&amp;locale=en_EP&amp;CC=US&amp;NR=5688379A&amp;KC=A&amp;ND=5#</w:t>
        </w:r>
      </w:hyperlink>
    </w:p>
    <w:p w14:paraId="3C75A0F1" w14:textId="26A2D5ED" w:rsidR="001D03FD" w:rsidRPr="002261B9" w:rsidRDefault="001D03FD" w:rsidP="001D03FD">
      <w:pPr>
        <w:tabs>
          <w:tab w:val="left" w:pos="624"/>
          <w:tab w:val="left" w:pos="1247"/>
          <w:tab w:val="left" w:pos="1440"/>
        </w:tabs>
        <w:spacing w:after="120"/>
        <w:ind w:left="1247" w:right="57"/>
        <w:rPr>
          <w:sz w:val="20"/>
          <w:szCs w:val="20"/>
          <w:lang w:val="de-CH"/>
        </w:rPr>
      </w:pPr>
      <w:r w:rsidRPr="002261B9">
        <w:rPr>
          <w:sz w:val="20"/>
          <w:szCs w:val="20"/>
          <w:lang w:val="es-CR"/>
        </w:rPr>
        <w:t xml:space="preserve">[Garcia </w:t>
      </w:r>
      <w:r w:rsidR="00321ABA" w:rsidRPr="00321ABA">
        <w:rPr>
          <w:i/>
          <w:sz w:val="20"/>
          <w:szCs w:val="20"/>
          <w:lang w:val="es-CR"/>
        </w:rPr>
        <w:t>et al</w:t>
      </w:r>
      <w:r w:rsidRPr="002261B9">
        <w:rPr>
          <w:sz w:val="20"/>
          <w:szCs w:val="20"/>
          <w:lang w:val="es-CR"/>
        </w:rPr>
        <w:t xml:space="preserve">. 2007] García A. N, Viciano N, Font R. 2007. </w:t>
      </w:r>
      <w:r w:rsidRPr="002261B9">
        <w:rPr>
          <w:sz w:val="20"/>
          <w:szCs w:val="20"/>
          <w:lang w:val="en-GB"/>
        </w:rPr>
        <w:t xml:space="preserve">Products obtained in the fuel-rich combustion of PTFE at high temperature. </w:t>
      </w:r>
      <w:r w:rsidRPr="002261B9">
        <w:rPr>
          <w:sz w:val="20"/>
          <w:szCs w:val="20"/>
          <w:lang w:val="de-CH"/>
        </w:rPr>
        <w:t>J Anal Appl Pyrolysis 80, 85–91.</w:t>
      </w:r>
    </w:p>
    <w:p w14:paraId="07AC1B84" w14:textId="77777777" w:rsidR="001D03FD" w:rsidRPr="002261B9" w:rsidRDefault="001D03FD" w:rsidP="001D03FD">
      <w:pPr>
        <w:tabs>
          <w:tab w:val="left" w:pos="624"/>
          <w:tab w:val="left" w:pos="1247"/>
          <w:tab w:val="left" w:pos="1440"/>
        </w:tabs>
        <w:spacing w:after="120"/>
        <w:ind w:left="1247" w:right="57"/>
        <w:rPr>
          <w:sz w:val="20"/>
          <w:szCs w:val="20"/>
          <w:lang w:val="de-CH"/>
        </w:rPr>
      </w:pPr>
      <w:r w:rsidRPr="002261B9">
        <w:rPr>
          <w:sz w:val="20"/>
          <w:szCs w:val="20"/>
          <w:lang w:val="de-CH"/>
        </w:rPr>
        <w:t xml:space="preserve">[German Environment Agency, 2017] „Mobile“ Chemikalien - wenn Filter nichts mehr nützen. </w:t>
      </w:r>
      <w:r w:rsidRPr="002261B9">
        <w:rPr>
          <w:sz w:val="20"/>
          <w:szCs w:val="20"/>
          <w:lang w:val="de-DE"/>
        </w:rPr>
        <w:t xml:space="preserve">Pressemitteilung Nr. 18 vom 4. Mai 2017. </w:t>
      </w:r>
      <w:r w:rsidRPr="002261B9">
        <w:rPr>
          <w:sz w:val="20"/>
          <w:szCs w:val="20"/>
          <w:lang w:val="de-CH"/>
        </w:rPr>
        <w:t>Available at https://www.umweltbundesamt.de/sites/default/files/medien/2743/dokumente/2017_05_04_mobile_chemikalien_-_wenn_filter_nichts_mehr_nuetzen_fuer_versand.pdf</w:t>
      </w:r>
    </w:p>
    <w:p w14:paraId="70A841E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[German Environment Agency, 2016] HBM I values for Perfluorooctanoic acid (PFOA) and Perfluorooctanesulfonic acid (PFOS) in blood plasma. Statement of the German Human Biomonitoring Commission (HBM Commission).Announcement of the German Environment Agency (UBA). Available from: </w:t>
      </w:r>
      <w:hyperlink r:id="rId50" w:history="1">
        <w:r w:rsidRPr="002261B9">
          <w:rPr>
            <w:sz w:val="20"/>
            <w:szCs w:val="20"/>
            <w:lang w:val="en-GB"/>
          </w:rPr>
          <w:t>https://www.umweltbundesamt.de/sites/default/files/medien/355/dokumente/hbm_i_values_for_pfoa_and_pfos.pdf</w:t>
        </w:r>
      </w:hyperlink>
    </w:p>
    <w:p w14:paraId="01F47E61"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[German Environment Agency, 2016b] International workshop for authorities on the assessment of risks of short-chain per- and polyfluoroalkyl substances (PFASs), Workshop Proceedings. December 2016</w:t>
      </w:r>
    </w:p>
    <w:p w14:paraId="1BA10BB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[German Environment Agency, 2013] Environmentally responsible use of fluorinated firefighting foams. May 2013. Available from </w:t>
      </w:r>
      <w:hyperlink r:id="rId51" w:history="1">
        <w:r w:rsidRPr="002261B9">
          <w:rPr>
            <w:sz w:val="20"/>
            <w:szCs w:val="20"/>
            <w:lang w:val="en-GB"/>
          </w:rPr>
          <w:t>https://www.umweltbundesamt.de/sites/default/files/medien/378/publikationen/fluorinated_firefighting_foams_schaumloeschmittel_engl._version_25.6.2013.pdf</w:t>
        </w:r>
      </w:hyperlink>
    </w:p>
    <w:p w14:paraId="0C4AE8A4" w14:textId="2171517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[Gellrich </w:t>
      </w:r>
      <w:r w:rsidR="00321ABA" w:rsidRPr="00321ABA">
        <w:rPr>
          <w:i/>
          <w:sz w:val="20"/>
          <w:szCs w:val="20"/>
          <w:lang w:val="en-GB"/>
        </w:rPr>
        <w:t>et al</w:t>
      </w:r>
      <w:r w:rsidRPr="002261B9">
        <w:rPr>
          <w:sz w:val="20"/>
          <w:szCs w:val="20"/>
          <w:lang w:val="en-GB"/>
        </w:rPr>
        <w:t xml:space="preserve">., 2012] Behavior of perfluorinated compounds in soils during leaching experiments. Chemosphere 87: 1052-56. </w:t>
      </w:r>
    </w:p>
    <w:p w14:paraId="30CB8371"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[Gordon, 2011] Toxicological evaluation of ammonium 4,8-dioxa-3H-perfluorononanoate, a new emulsifier to replace ammonium perfluorooctanoate in fluoropolymer manufacturing. RegulToxicolPharmacol 59(1): 64-80.</w:t>
      </w:r>
    </w:p>
    <w:p w14:paraId="0A7E51CF" w14:textId="77777777" w:rsidR="001D03FD" w:rsidRPr="002261B9" w:rsidRDefault="001D03FD" w:rsidP="001D03FD">
      <w:pPr>
        <w:keepNext/>
        <w:keepLines/>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[HELCOM 2013] Palette of measures on cost-effective management options to reduce discharges, emissions, and losses of hazardous substances. Part of the 2013 HELCOM Ministerial Declaration endorsed by the 2013 HELCOM Ministerial Meeting in October 2013. Available at </w:t>
      </w:r>
      <w:hyperlink r:id="rId52" w:history="1">
        <w:r w:rsidRPr="002261B9">
          <w:rPr>
            <w:sz w:val="20"/>
            <w:szCs w:val="20"/>
            <w:lang w:val="en-GB"/>
          </w:rPr>
          <w:t>http://helcom.fi/Documents/Ministerial2013/Ministerial%20declaration/</w:t>
        </w:r>
        <w:r w:rsidRPr="002261B9">
          <w:rPr>
            <w:sz w:val="20"/>
            <w:szCs w:val="20"/>
            <w:lang w:val="en-GB"/>
          </w:rPr>
          <w:br/>
          <w:t>Adopted_endorsed%20documents/Palette%20of%20cost-effective%20management%20options%20to%20reduce%20pollution%20by%20hazardous%20substances.pdf</w:t>
        </w:r>
      </w:hyperlink>
    </w:p>
    <w:p w14:paraId="2B1517D1" w14:textId="40FF323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[Hill </w:t>
      </w:r>
      <w:r w:rsidR="00321ABA" w:rsidRPr="00321ABA">
        <w:rPr>
          <w:i/>
          <w:sz w:val="20"/>
          <w:szCs w:val="20"/>
          <w:lang w:val="en-GB"/>
        </w:rPr>
        <w:t>et al</w:t>
      </w:r>
      <w:r w:rsidRPr="002261B9">
        <w:rPr>
          <w:sz w:val="20"/>
          <w:szCs w:val="20"/>
          <w:lang w:val="en-GB"/>
        </w:rPr>
        <w:t>., 2017] Substitution of PFAS chemistry in outdoor apparel and the impact on repellency performance. Chemosphere 181: 500-07.</w:t>
      </w:r>
    </w:p>
    <w:p w14:paraId="633F6771" w14:textId="6B38BF1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[Hölzer J. </w:t>
      </w:r>
      <w:r w:rsidR="00321ABA" w:rsidRPr="00321ABA">
        <w:rPr>
          <w:i/>
          <w:sz w:val="20"/>
          <w:szCs w:val="20"/>
          <w:lang w:val="en-GB"/>
        </w:rPr>
        <w:t>et al</w:t>
      </w:r>
      <w:r w:rsidRPr="002261B9">
        <w:rPr>
          <w:sz w:val="20"/>
          <w:szCs w:val="20"/>
          <w:lang w:val="en-GB"/>
        </w:rPr>
        <w:t xml:space="preserve">., 2008] Biomonitoring of Perfluorinated Compounds in Children and Adults Exposed to Perfluorooctanoate-Contaminated Drinking Water. Environ Health Perspect 116(5):651-7. doi: 10.1289/ehp.11064. </w:t>
      </w:r>
    </w:p>
    <w:p w14:paraId="127054F0" w14:textId="49CB64B5"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[Hölzer J. </w:t>
      </w:r>
      <w:r w:rsidR="00321ABA" w:rsidRPr="00321ABA">
        <w:rPr>
          <w:i/>
          <w:sz w:val="20"/>
          <w:szCs w:val="20"/>
          <w:lang w:val="en-GB"/>
        </w:rPr>
        <w:t>et al</w:t>
      </w:r>
      <w:r w:rsidRPr="002261B9">
        <w:rPr>
          <w:sz w:val="20"/>
          <w:szCs w:val="20"/>
          <w:lang w:val="en-GB"/>
        </w:rPr>
        <w:t xml:space="preserve">., 2009] One-year follow-up of perfluorinated compounds in plasma of German residents from Arnsberg formerly exposed to PFOA-contaminated drinking water. Int J Hyg Environ Health. 212(5):499-504. doi: 10.1016/j.ijheh.2009.04.003. </w:t>
      </w:r>
    </w:p>
    <w:p w14:paraId="7A772A77" w14:textId="1BE8601E"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[Holmquist </w:t>
      </w:r>
      <w:r w:rsidR="00321ABA" w:rsidRPr="00321ABA">
        <w:rPr>
          <w:i/>
          <w:sz w:val="20"/>
          <w:szCs w:val="20"/>
          <w:lang w:val="en-GB"/>
        </w:rPr>
        <w:t>et al</w:t>
      </w:r>
      <w:r w:rsidRPr="002261B9">
        <w:rPr>
          <w:sz w:val="20"/>
          <w:szCs w:val="20"/>
          <w:lang w:val="en-GB"/>
        </w:rPr>
        <w:t xml:space="preserve">., 2016] Properties, performance and associated hazards of state-of-the-art durable water repellent (DWR) chemistry for textile finishing, Environment International, Volume 91, 2016, Pages 251-264, ISSN 0160-4120. doi: </w:t>
      </w:r>
      <w:hyperlink r:id="rId53" w:tgtFrame="_blank" w:tooltip="Persistent link using digital object identifier" w:history="1">
        <w:r w:rsidRPr="002261B9">
          <w:rPr>
            <w:rStyle w:val="Hyperlink"/>
            <w:color w:val="auto"/>
            <w:sz w:val="20"/>
            <w:szCs w:val="20"/>
            <w:u w:val="none"/>
          </w:rPr>
          <w:t>10.1016/j.envint.2016.02.035</w:t>
        </w:r>
      </w:hyperlink>
    </w:p>
    <w:p w14:paraId="48A508AC" w14:textId="1ABA0944"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[Houtz </w:t>
      </w:r>
      <w:r w:rsidR="00321ABA" w:rsidRPr="00321ABA">
        <w:rPr>
          <w:i/>
          <w:sz w:val="20"/>
          <w:szCs w:val="20"/>
          <w:lang w:val="en-GB"/>
        </w:rPr>
        <w:t>et al</w:t>
      </w:r>
      <w:r w:rsidRPr="002261B9">
        <w:rPr>
          <w:sz w:val="20"/>
          <w:szCs w:val="20"/>
          <w:lang w:val="en-GB"/>
        </w:rPr>
        <w:t xml:space="preserve">., 2016] Poly- and perfluoroalkyl substances in wastewater: Significance of unknown precursors, manufacturing shifts, and likely AFFF impacts, Water Res 95:142-149 </w:t>
      </w:r>
    </w:p>
    <w:p w14:paraId="7E4A887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[IPEN, 2016] International POPs Eliminiation Network. Annex F information. </w:t>
      </w:r>
      <w:r w:rsidRPr="002261B9">
        <w:rPr>
          <w:sz w:val="20"/>
          <w:szCs w:val="20"/>
          <w:lang w:val="en-GB"/>
        </w:rPr>
        <w:br/>
        <w:t>Submitted 9 December 2016. Available from: http://chm.pops.int/TheConvention/POPsReviewCommittee/Meetings/POPRC12/POPRC12Followup/PFOAInfo/tabid/5453/Default.aspx.</w:t>
      </w:r>
    </w:p>
    <w:p w14:paraId="0C62699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[I&amp;P Europe, 2016a] Imaging &amp; Printing Association Europe. Annex F form. Submitted 24 November 2016. Available from: http://chm.pops.int/TheConvention/POPsReviewCommittee/Meetings/POPRC12/POPRC12Followup/PFOAInfo/tabid/5453/Default.aspx.</w:t>
      </w:r>
    </w:p>
    <w:p w14:paraId="3678B0D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[I&amp;P Europe 2016b] Imaging &amp; Printing Association Europe.Cover letter.Submitted 24 November 2016. Available from: </w:t>
      </w:r>
      <w:hyperlink r:id="rId54" w:history="1">
        <w:r w:rsidRPr="002261B9">
          <w:rPr>
            <w:rStyle w:val="Hyperlink"/>
            <w:color w:val="auto"/>
            <w:sz w:val="20"/>
            <w:szCs w:val="20"/>
            <w:u w:val="none"/>
          </w:rPr>
          <w:t>http://chm.pops.int/TheConvention/POPsReviewCommittee/Meetings/POPRC12/POPRC12Followup/PFOAInfo/tabid/5453/Default.aspx</w:t>
        </w:r>
      </w:hyperlink>
      <w:r w:rsidRPr="002261B9">
        <w:rPr>
          <w:sz w:val="20"/>
          <w:szCs w:val="20"/>
          <w:lang w:val="en-GB"/>
        </w:rPr>
        <w:t xml:space="preserve">. </w:t>
      </w:r>
    </w:p>
    <w:p w14:paraId="4F245DA0" w14:textId="6825AB0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[Ishibashi </w:t>
      </w:r>
      <w:r w:rsidR="00321ABA" w:rsidRPr="00321ABA">
        <w:rPr>
          <w:i/>
          <w:sz w:val="20"/>
          <w:szCs w:val="20"/>
          <w:lang w:val="en-GB"/>
        </w:rPr>
        <w:t>et al</w:t>
      </w:r>
      <w:r w:rsidRPr="002261B9">
        <w:rPr>
          <w:sz w:val="20"/>
          <w:szCs w:val="20"/>
          <w:lang w:val="en-GB"/>
        </w:rPr>
        <w:t>., 2007] Estrogenic effects of fluorotelomer alcohols for human estrogen receptor isoforms alpha and beta in vitro.Biol Pharm Bull 30: 1358-59.</w:t>
      </w:r>
    </w:p>
    <w:p w14:paraId="4128AE3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[ISO 2009] International Organization for Standardization.ISO 25101:2009 Water quality -- Determination of perfluorooctanesulfonate (PFOS) and perfluorooctanoate (PFOA) -- Method for unfiltered samples using solid phase extraction and liquid chromatography/mass spectrometry. See: </w:t>
      </w:r>
      <w:hyperlink r:id="rId55" w:history="1">
        <w:r w:rsidRPr="002261B9">
          <w:rPr>
            <w:sz w:val="20"/>
            <w:szCs w:val="20"/>
            <w:lang w:val="en-GB"/>
          </w:rPr>
          <w:t>https://www.iso.org/standard/42742.html</w:t>
        </w:r>
      </w:hyperlink>
    </w:p>
    <w:p w14:paraId="50AFA3A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[Iwai, 2011] Toxicokinetics of ammonium perfluorohexanoate. Drug ChemToxicol 34(4): 341-6.</w:t>
      </w:r>
    </w:p>
    <w:p w14:paraId="7D2648A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[Japan, 2016] Global Environment Division, Ministry of Foreign Affairs. Annex F form. Submitted 9 December 2016. Available from: http://chm.pops.int/TheConvention/POPsReviewCommittee/Meetings/POPRC12/POPRC12Followup/PFOAInfo/tabid/5453/Default.aspx.</w:t>
      </w:r>
    </w:p>
    <w:p w14:paraId="40BE5310" w14:textId="16CB2556"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[Jiang </w:t>
      </w:r>
      <w:r w:rsidR="00321ABA" w:rsidRPr="00321ABA">
        <w:rPr>
          <w:i/>
          <w:sz w:val="20"/>
          <w:szCs w:val="20"/>
          <w:lang w:val="en-GB"/>
        </w:rPr>
        <w:t>et al</w:t>
      </w:r>
      <w:r w:rsidRPr="002261B9">
        <w:rPr>
          <w:sz w:val="20"/>
          <w:szCs w:val="20"/>
          <w:lang w:val="en-GB"/>
        </w:rPr>
        <w:t>., 2015] Perfluoroalkyl acids (PFAAs) with isomer analysis in the commercial PFOS and PFOA products in China. Chemosphere 127: 180-7.</w:t>
      </w:r>
    </w:p>
    <w:p w14:paraId="60855438" w14:textId="3C439B9A"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[Johansson </w:t>
      </w:r>
      <w:r w:rsidR="00321ABA" w:rsidRPr="00321ABA">
        <w:rPr>
          <w:i/>
          <w:sz w:val="20"/>
          <w:szCs w:val="20"/>
          <w:lang w:val="en-GB"/>
        </w:rPr>
        <w:t>et al</w:t>
      </w:r>
      <w:r w:rsidRPr="002261B9">
        <w:rPr>
          <w:sz w:val="20"/>
          <w:szCs w:val="20"/>
          <w:lang w:val="en-GB"/>
        </w:rPr>
        <w:t>. 2017] Water-to-air transfer of branched and linear PFOA: Influence of pH, concentration and water type. Jana H. Johansson, Hong Yan, Urs Berger, Ian T. Cousins. Article in press.Emerging Contaminants xxx (2017) 1-8. http://dx.doi.org/10.1016/j.emcon.2017.03.001</w:t>
      </w:r>
    </w:p>
    <w:p w14:paraId="75FCC627" w14:textId="28B9616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[Kaiser </w:t>
      </w:r>
      <w:r w:rsidR="00321ABA" w:rsidRPr="00321ABA">
        <w:rPr>
          <w:i/>
          <w:sz w:val="20"/>
          <w:szCs w:val="20"/>
          <w:lang w:val="en-GB"/>
        </w:rPr>
        <w:t>et al</w:t>
      </w:r>
      <w:r w:rsidRPr="002261B9">
        <w:rPr>
          <w:sz w:val="20"/>
          <w:szCs w:val="20"/>
          <w:lang w:val="en-GB"/>
        </w:rPr>
        <w:t xml:space="preserve">., 2005] Vapor pressures of perfluorooctanoic, -nonanoic, -decanoic, -undecanoic, </w:t>
      </w:r>
      <w:r w:rsidRPr="002261B9">
        <w:rPr>
          <w:sz w:val="20"/>
          <w:szCs w:val="20"/>
          <w:lang w:val="en-GB"/>
        </w:rPr>
        <w:br/>
        <w:t>and- dodecanoic acids. J ChemEng Data 50: 1841-3.</w:t>
      </w:r>
    </w:p>
    <w:p w14:paraId="7D4AAFE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[Kauck and Diesslin, 1951] Some properties of perfluorocarboxylic acids.IndEnfChem 43, 2332-4.</w:t>
      </w:r>
    </w:p>
    <w:p w14:paraId="354AA30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[KEMI, 2017] PFAS-nätverk. 2017. Available from </w:t>
      </w:r>
      <w:hyperlink r:id="rId56" w:history="1">
        <w:r w:rsidRPr="002261B9">
          <w:rPr>
            <w:sz w:val="20"/>
            <w:szCs w:val="20"/>
            <w:lang w:val="en-GB"/>
          </w:rPr>
          <w:t>http://www.kemi.se/om-kemikalieinspektionen/</w:t>
        </w:r>
        <w:r w:rsidRPr="002261B9">
          <w:rPr>
            <w:sz w:val="20"/>
            <w:szCs w:val="20"/>
            <w:lang w:val="en-GB"/>
          </w:rPr>
          <w:br/>
          <w:t>verksamhet/handlingsplan-for-en-giftfri-vardag/hogfluorerade-amnen-pfas/pfas-natverk</w:t>
        </w:r>
      </w:hyperlink>
      <w:r w:rsidRPr="002261B9">
        <w:rPr>
          <w:sz w:val="20"/>
          <w:szCs w:val="20"/>
          <w:lang w:val="en-GB"/>
        </w:rPr>
        <w:t xml:space="preserve"> (in Swedish) </w:t>
      </w:r>
    </w:p>
    <w:p w14:paraId="0B5E3937" w14:textId="4C07B02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de-DE"/>
        </w:rPr>
        <w:lastRenderedPageBreak/>
        <w:t>[Keutel and Koch, 2016] Untersuchung fluortensidfreier Löschmittel und geeigneter Löschverfahren zur Bekämpfung von Bränden häufig verwendeter polarer (d. h. schaumzerstörender) Flüssigkeiten. Brandschutzforschung der Bundesländer. Forschungsbericht 187 von</w:t>
      </w:r>
      <w:r w:rsidR="002261B9">
        <w:rPr>
          <w:sz w:val="20"/>
          <w:szCs w:val="20"/>
          <w:lang w:val="de-DE"/>
        </w:rPr>
        <w:t xml:space="preserve"> </w:t>
      </w:r>
      <w:r w:rsidRPr="002261B9">
        <w:rPr>
          <w:sz w:val="20"/>
          <w:szCs w:val="20"/>
          <w:lang w:val="de-DE"/>
        </w:rPr>
        <w:t xml:space="preserve">Karola Keutel und Mario Koch. </w:t>
      </w:r>
      <w:r w:rsidRPr="002261B9">
        <w:rPr>
          <w:sz w:val="20"/>
          <w:szCs w:val="20"/>
          <w:lang w:val="en-GB"/>
        </w:rPr>
        <w:t xml:space="preserve">Available at </w:t>
      </w:r>
      <w:hyperlink r:id="rId57" w:history="1">
        <w:r w:rsidRPr="002261B9">
          <w:rPr>
            <w:rStyle w:val="Hyperlink"/>
            <w:color w:val="auto"/>
            <w:sz w:val="20"/>
            <w:szCs w:val="20"/>
            <w:u w:val="none"/>
          </w:rPr>
          <w:t>https://idf.sachsen-anhalt.de/fileadmin/Bibliothek/Politik_und_Verwaltung/MI/IDF/</w:t>
        </w:r>
        <w:r w:rsidRPr="002261B9">
          <w:rPr>
            <w:rStyle w:val="Hyperlink"/>
            <w:color w:val="auto"/>
            <w:sz w:val="20"/>
            <w:szCs w:val="20"/>
            <w:u w:val="none"/>
          </w:rPr>
          <w:br/>
          <w:t>IBK/Dokumente/Forschung/Fo_Publikationen/imk_ber/bericht_187.pdf</w:t>
        </w:r>
      </w:hyperlink>
    </w:p>
    <w:p w14:paraId="38C5A063"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[Kirk, 1995] Encyclopedia of Chemical Technology. 14 th ed. Volume 1: New York, NY. John Wiley and Sons.1991-Present., p. V11 551.</w:t>
      </w:r>
    </w:p>
    <w:p w14:paraId="10A6D2A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[Kissa, 2001] Fluorinated Surfactants and Repellents. Marcel Dekker. New York. </w:t>
      </w:r>
    </w:p>
    <w:p w14:paraId="6AEC1E9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[Klein, 2012] Comments on the draft technical paper on the identification and assessment on alternatives to the use of perfluorooctane sulfonic (PFOS) acid in open applications.POPRC7 </w:t>
      </w:r>
      <w:r w:rsidRPr="002261B9">
        <w:rPr>
          <w:sz w:val="20"/>
          <w:szCs w:val="20"/>
          <w:lang w:val="en-GB"/>
        </w:rPr>
        <w:br/>
        <w:t>Follow-up.Published by the Stockholm Convention Secretariat.</w:t>
      </w:r>
    </w:p>
    <w:p w14:paraId="7F5E837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[Klein 2013] Fire Fighting Foam – Disposal, Remediation and Lifetime Costs.By Roger A. Klein. Industrial Fire Journal, Winter 2013. Available at http://www.hemmingfire.com/news/fullstory.php/aid/1961/Foam:_the_cost__96_and_still_counting!.html</w:t>
      </w:r>
    </w:p>
    <w:p w14:paraId="67E62267" w14:textId="763679F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[Kleiner and Jho, 2009] Recent developments in 6:2 fluorotelomer surfactants and foam stabilizers.4th Reebok Foam Seminar. 6-7 July 2009. Bolton, UK..[Krippner </w:t>
      </w:r>
      <w:r w:rsidR="00321ABA" w:rsidRPr="00321ABA">
        <w:rPr>
          <w:i/>
          <w:sz w:val="20"/>
          <w:szCs w:val="20"/>
          <w:lang w:val="en-GB"/>
        </w:rPr>
        <w:t>et al</w:t>
      </w:r>
      <w:r w:rsidRPr="002261B9">
        <w:rPr>
          <w:sz w:val="20"/>
          <w:szCs w:val="20"/>
          <w:lang w:val="en-GB"/>
        </w:rPr>
        <w:t>., 2014] Krippner J, Brunn H, Falk S, Georgii S, Schubert S, Stahl T (2014) Effects of chain length and pH on the uptake and distribution of perfluoroalkyl substances in maize (Zea mays), Chemosphere 94:85-90</w:t>
      </w:r>
    </w:p>
    <w:p w14:paraId="02C2AFD9" w14:textId="0DF49DB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[Krippner </w:t>
      </w:r>
      <w:r w:rsidR="00321ABA" w:rsidRPr="00321ABA">
        <w:rPr>
          <w:i/>
          <w:sz w:val="20"/>
          <w:szCs w:val="20"/>
          <w:lang w:val="en-GB"/>
        </w:rPr>
        <w:t>et al</w:t>
      </w:r>
      <w:r w:rsidRPr="002261B9">
        <w:rPr>
          <w:sz w:val="20"/>
          <w:szCs w:val="20"/>
          <w:lang w:val="en-GB"/>
        </w:rPr>
        <w:t>., 2015] Accumulation Potentials of Perfluoroalkyl Carboxylic Acids (PFCAs) and Perfluoroalkyl Sulfonic Acids (PFSAs) in Maize (Zea mays). J Agric Food Chem 63: 3646−3653</w:t>
      </w:r>
    </w:p>
    <w:p w14:paraId="01E0D6ED"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[LaSalle, 2016] Defence per- and poly-fluoroalkyl Substances (PFAS) environmental Management Preliminary Sampling Program. Final Report September 2016. GHD, Available at </w:t>
      </w:r>
      <w:hyperlink r:id="rId58" w:history="1">
        <w:r w:rsidRPr="002261B9">
          <w:rPr>
            <w:rStyle w:val="Hyperlink"/>
            <w:color w:val="auto"/>
            <w:sz w:val="20"/>
            <w:szCs w:val="20"/>
            <w:u w:val="none"/>
          </w:rPr>
          <w:t>http://www.defence.gov.au/ID/PFOSPFOA/_master/docs/PSPReports/PreliminarySamplingProgramReportMainReportLessAppendices.pdf</w:t>
        </w:r>
      </w:hyperlink>
    </w:p>
    <w:p w14:paraId="29A1F35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[Li, 2009] Toxicity of perfluorooctane sulfonate and perfluorooctanoic acid to plants and aquatic invertebrates. Environ Toxicol 24:95–101.</w:t>
      </w:r>
    </w:p>
    <w:p w14:paraId="4500B4F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[Lide, 2003] CRC Handbook of Chemistry and Physics.CRC Press.</w:t>
      </w:r>
    </w:p>
    <w:p w14:paraId="472AC5DD" w14:textId="3CF2C4A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[Liu </w:t>
      </w:r>
      <w:r w:rsidR="00321ABA" w:rsidRPr="00321ABA">
        <w:rPr>
          <w:i/>
          <w:sz w:val="20"/>
          <w:szCs w:val="20"/>
          <w:lang w:val="en-GB"/>
        </w:rPr>
        <w:t>et al</w:t>
      </w:r>
      <w:r w:rsidRPr="002261B9">
        <w:rPr>
          <w:sz w:val="20"/>
          <w:szCs w:val="20"/>
          <w:lang w:val="en-GB"/>
        </w:rPr>
        <w:t xml:space="preserve">., 2010a] Aerobic biodegradation of [14C] 6:2 fluorotelomer alcohol in a flow-through soil incubation system. Chemosphere 80: 716-23. </w:t>
      </w:r>
    </w:p>
    <w:p w14:paraId="4EF5853A" w14:textId="3DE43B0B"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[Liu </w:t>
      </w:r>
      <w:r w:rsidR="00321ABA" w:rsidRPr="00321ABA">
        <w:rPr>
          <w:i/>
          <w:sz w:val="20"/>
          <w:szCs w:val="20"/>
          <w:lang w:val="en-GB"/>
        </w:rPr>
        <w:t>et al</w:t>
      </w:r>
      <w:r w:rsidRPr="002261B9">
        <w:rPr>
          <w:sz w:val="20"/>
          <w:szCs w:val="20"/>
          <w:lang w:val="en-GB"/>
        </w:rPr>
        <w:t>., 2010b] 6-2 Fluorotelomer alcohol aerobic biodegradation in soil and mixed bacterial culture. Chemosphere 78: 437-44.</w:t>
      </w:r>
    </w:p>
    <w:p w14:paraId="3C04E906" w14:textId="33B8D1A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[Lindemann </w:t>
      </w:r>
      <w:r w:rsidR="00321ABA" w:rsidRPr="00321ABA">
        <w:rPr>
          <w:i/>
          <w:sz w:val="20"/>
          <w:szCs w:val="20"/>
          <w:lang w:val="en-GB"/>
        </w:rPr>
        <w:t>et al</w:t>
      </w:r>
      <w:r w:rsidRPr="002261B9">
        <w:rPr>
          <w:sz w:val="20"/>
          <w:szCs w:val="20"/>
          <w:lang w:val="en-GB"/>
        </w:rPr>
        <w:t>., 2012] Effects of per- and polyfluorinated compounds on adult rat testicular cells following in vitro exposure.ReprodToxicol 33: 531-7.</w:t>
      </w:r>
    </w:p>
    <w:p w14:paraId="236C54B0" w14:textId="17B0A1B1"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[Liu </w:t>
      </w:r>
      <w:r w:rsidR="00321ABA" w:rsidRPr="00321ABA">
        <w:rPr>
          <w:i/>
          <w:sz w:val="20"/>
          <w:szCs w:val="20"/>
          <w:lang w:val="en-GB"/>
        </w:rPr>
        <w:t>et al</w:t>
      </w:r>
      <w:r w:rsidRPr="002261B9">
        <w:rPr>
          <w:sz w:val="20"/>
          <w:szCs w:val="20"/>
          <w:lang w:val="en-GB"/>
        </w:rPr>
        <w:t xml:space="preserve">. 2017] Liu Z, Lu Y, Wang P, Wang T, Liu S, Johnson AC, Sweetman AJ, Baninla Y (2017) Pollution pathways and release estimation of perfluorooctane sulfonate (PFOS) and perfluorooctanoic acid (PFOA) in central and eastern China Sci Total Environ. 2017 Feb 15;580:1247-1256. doi: 10.1016/j.scitotenv.2016.12.085. </w:t>
      </w:r>
    </w:p>
    <w:p w14:paraId="0DF99EAF" w14:textId="69E787E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[Loi </w:t>
      </w:r>
      <w:r w:rsidR="00321ABA" w:rsidRPr="00321ABA">
        <w:rPr>
          <w:i/>
          <w:sz w:val="20"/>
          <w:szCs w:val="20"/>
          <w:lang w:val="en-GB"/>
        </w:rPr>
        <w:t>et al</w:t>
      </w:r>
      <w:r w:rsidRPr="002261B9">
        <w:rPr>
          <w:sz w:val="20"/>
          <w:szCs w:val="20"/>
          <w:lang w:val="en-GB"/>
        </w:rPr>
        <w:t>., 2013] Detection of commercial fluorosurfactants in Hong Kong marine environment and human blood: a pilot study. Environ Sci Tech 47(9): 4677-85.</w:t>
      </w:r>
    </w:p>
    <w:p w14:paraId="3C4962A3" w14:textId="665DDC2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[Loos </w:t>
      </w:r>
      <w:r w:rsidR="00321ABA" w:rsidRPr="00321ABA">
        <w:rPr>
          <w:i/>
          <w:sz w:val="20"/>
          <w:szCs w:val="20"/>
          <w:lang w:val="en-GB"/>
        </w:rPr>
        <w:t>et al</w:t>
      </w:r>
      <w:r w:rsidRPr="002261B9">
        <w:rPr>
          <w:sz w:val="20"/>
          <w:szCs w:val="20"/>
          <w:lang w:val="en-GB"/>
        </w:rPr>
        <w:t>., 2007] Polar herbicides, pharmaceutical products, perfluorooctanesulfonate (PFOS), perfluorooctanoate (PFOA), and nonylphenol and its carboxylates and ethoxylates in surface and tap waters around Lake Maggiore in Northern Italy. Anal BioanalChem 387: 1469-78.</w:t>
      </w:r>
    </w:p>
    <w:p w14:paraId="6659D07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[Madrid Statement, 2015] The Madrid Statement on Poly- and Perfluoroalkyl Substances (PFASs). Environmental Health Perspectives, Volume 123, Number 5, May 2015. Available at https://ehp.niehs.nih.gov/wp-content/uploads/123/5/ehp.1509934.alt.pdf</w:t>
      </w:r>
    </w:p>
    <w:p w14:paraId="1EA06457" w14:textId="1112094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[Maras </w:t>
      </w:r>
      <w:r w:rsidR="00321ABA" w:rsidRPr="00321ABA">
        <w:rPr>
          <w:i/>
          <w:sz w:val="20"/>
          <w:szCs w:val="20"/>
          <w:lang w:val="en-GB"/>
        </w:rPr>
        <w:t>et al</w:t>
      </w:r>
      <w:r w:rsidRPr="002261B9">
        <w:rPr>
          <w:sz w:val="20"/>
          <w:szCs w:val="20"/>
          <w:lang w:val="en-GB"/>
        </w:rPr>
        <w:t>., 2006] Estrogen-like properties of fluorotelomer alcohols as revealed by mcf-7 breast cancer cell proliferation. Environ Health Perspect 114:100-105.</w:t>
      </w:r>
    </w:p>
    <w:p w14:paraId="0A362D08" w14:textId="623122A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[Marchionni </w:t>
      </w:r>
      <w:r w:rsidR="00321ABA" w:rsidRPr="00321ABA">
        <w:rPr>
          <w:i/>
          <w:sz w:val="20"/>
          <w:szCs w:val="20"/>
          <w:lang w:val="en-GB"/>
        </w:rPr>
        <w:t>et al</w:t>
      </w:r>
      <w:r w:rsidRPr="002261B9">
        <w:rPr>
          <w:sz w:val="20"/>
          <w:szCs w:val="20"/>
          <w:lang w:val="en-GB"/>
        </w:rPr>
        <w:t>., 2010] Patent: method for manufacturing fluoropolymers in the presence of cyclic fluorosurfactants with low bioaccumulation/biopersistence. WO 2010003929.</w:t>
      </w:r>
    </w:p>
    <w:p w14:paraId="5B6A5410" w14:textId="71F383C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[Martin </w:t>
      </w:r>
      <w:r w:rsidR="00321ABA" w:rsidRPr="00321ABA">
        <w:rPr>
          <w:i/>
          <w:sz w:val="20"/>
          <w:szCs w:val="20"/>
          <w:lang w:val="en-GB"/>
        </w:rPr>
        <w:t>et al</w:t>
      </w:r>
      <w:r w:rsidRPr="002261B9">
        <w:rPr>
          <w:sz w:val="20"/>
          <w:szCs w:val="20"/>
          <w:lang w:val="en-GB"/>
        </w:rPr>
        <w:t>., 2009] Bioactivation of fluorotelomer alcohols in isolated rat hepatocytes.Chem-Biol Interact 177: 196-203.</w:t>
      </w:r>
    </w:p>
    <w:p w14:paraId="1927C095" w14:textId="5B59D07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[Martin </w:t>
      </w:r>
      <w:r w:rsidR="00321ABA" w:rsidRPr="00321ABA">
        <w:rPr>
          <w:i/>
          <w:sz w:val="20"/>
          <w:szCs w:val="20"/>
          <w:lang w:val="en-GB"/>
        </w:rPr>
        <w:t>et al</w:t>
      </w:r>
      <w:r w:rsidRPr="002261B9">
        <w:rPr>
          <w:sz w:val="20"/>
          <w:szCs w:val="20"/>
          <w:lang w:val="en-GB"/>
        </w:rPr>
        <w:t>., 2006]Martin, J.W., Ellis, D.A., Mabury, S.A., Hurley, M.,Wallington, T., 2006. Atmospheric chemistry of perfluoroalkanesulfonamides: kinetic and product studies of the OH radical and Cl atom initiated oxidation of N-ethyl perfluorobutanesulfonamide. Environ.Sci. Technol. 40 (3), 864–872.</w:t>
      </w:r>
    </w:p>
    <w:p w14:paraId="2513D4A5" w14:textId="15807A23" w:rsidR="001D03FD" w:rsidRPr="002261B9" w:rsidRDefault="001D03FD" w:rsidP="001D03FD">
      <w:pPr>
        <w:tabs>
          <w:tab w:val="left" w:pos="624"/>
          <w:tab w:val="left" w:pos="1247"/>
          <w:tab w:val="left" w:pos="1440"/>
        </w:tabs>
        <w:spacing w:after="120"/>
        <w:ind w:left="1247" w:right="57"/>
        <w:rPr>
          <w:sz w:val="20"/>
          <w:szCs w:val="20"/>
          <w:lang w:val="sv-SE"/>
        </w:rPr>
      </w:pPr>
      <w:r w:rsidRPr="002261B9">
        <w:rPr>
          <w:sz w:val="20"/>
          <w:szCs w:val="20"/>
          <w:lang w:val="en-GB"/>
        </w:rPr>
        <w:t xml:space="preserve">[Mitchell </w:t>
      </w:r>
      <w:r w:rsidR="00321ABA" w:rsidRPr="00321ABA">
        <w:rPr>
          <w:i/>
          <w:sz w:val="20"/>
          <w:szCs w:val="20"/>
          <w:lang w:val="en-GB"/>
        </w:rPr>
        <w:t>et al</w:t>
      </w:r>
      <w:r w:rsidRPr="002261B9">
        <w:rPr>
          <w:sz w:val="20"/>
          <w:szCs w:val="20"/>
          <w:lang w:val="en-GB"/>
        </w:rPr>
        <w:t>., 2011] Toxicity of fluorotelomer carboxylic acids to the algae Pseudokirchneriellasubcapitata and Chlorella vulgaris, and the amphipod Hyalellaazteca. Ecotoxicology and Environmental Safety 74: 2260-2267. [Naturvårderverket, 2016] Högfluoreradeämnen (PFAS) ochbekämpningsmedel.</w:t>
      </w:r>
      <w:r w:rsidRPr="002261B9">
        <w:rPr>
          <w:sz w:val="20"/>
          <w:szCs w:val="20"/>
          <w:lang w:val="sv-SE"/>
        </w:rPr>
        <w:t xml:space="preserve">Rapport 6709. ISBN 978-91-620-6709-0. </w:t>
      </w:r>
    </w:p>
    <w:p w14:paraId="04D1807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sv-SE"/>
        </w:rPr>
        <w:t xml:space="preserve">[NFA, 2017] National Food Agency, 2017, Riskhantering - PFAS i dricksvatten och fisk. </w:t>
      </w:r>
      <w:r w:rsidRPr="002261B9">
        <w:rPr>
          <w:sz w:val="20"/>
          <w:szCs w:val="20"/>
          <w:lang w:val="en-GB"/>
        </w:rPr>
        <w:t xml:space="preserve">Available from: </w:t>
      </w:r>
      <w:hyperlink r:id="rId59" w:history="1">
        <w:r w:rsidRPr="002261B9">
          <w:rPr>
            <w:sz w:val="20"/>
            <w:szCs w:val="20"/>
            <w:lang w:val="en-GB"/>
          </w:rPr>
          <w:t>https://www.livsmedelsverket.se/livsmedel-och-innehall/oonskade-amnen/miljogifter/</w:t>
        </w:r>
        <w:r w:rsidRPr="002261B9">
          <w:rPr>
            <w:sz w:val="20"/>
            <w:szCs w:val="20"/>
            <w:lang w:val="en-GB"/>
          </w:rPr>
          <w:br/>
          <w:t>PFAS-poly-och-perfluorerade-alkylsubstanser/riskhantering-pfaa-i-dricksvatten/</w:t>
        </w:r>
      </w:hyperlink>
      <w:r w:rsidRPr="002261B9">
        <w:rPr>
          <w:sz w:val="20"/>
          <w:szCs w:val="20"/>
          <w:lang w:val="en-GB"/>
        </w:rPr>
        <w:t xml:space="preserve"> (in Swedish) </w:t>
      </w:r>
    </w:p>
    <w:p w14:paraId="743AAD8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[NICNAS 2017] Environment Tier II Assessment for Perfluorooctanoic Acid (PFOA) and its Direct Precursors. Last update 14 February 2017. Available from https://www.nicnas.gov.au/</w:t>
      </w:r>
      <w:r w:rsidRPr="002261B9">
        <w:rPr>
          <w:sz w:val="20"/>
          <w:szCs w:val="20"/>
          <w:lang w:val="en-GB"/>
        </w:rPr>
        <w:br/>
        <w:t>chemical-information/imap-assessments/imap-assessments/tier-ii-environment-assessments/</w:t>
      </w:r>
      <w:r w:rsidRPr="002261B9">
        <w:rPr>
          <w:sz w:val="20"/>
          <w:szCs w:val="20"/>
          <w:lang w:val="en-GB"/>
        </w:rPr>
        <w:br/>
        <w:t>perfluorooctanoic-acid-and-its-direct-precursors#_ENREF_2 (accessed on 2.3.2017)</w:t>
      </w:r>
    </w:p>
    <w:p w14:paraId="0A20BCEA"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[Norway, 2016] Norwegian Environment Agency. Annex F form. Submitted 9 December 2016. Available from: </w:t>
      </w:r>
      <w:hyperlink r:id="rId60" w:history="1">
        <w:r w:rsidRPr="002261B9">
          <w:rPr>
            <w:sz w:val="20"/>
            <w:szCs w:val="20"/>
            <w:lang w:val="en-GB"/>
          </w:rPr>
          <w:t>http://chm.pops.int/TheConvention/POPsReviewCommittee/Meetings/POPRC12/POPRC12Followup/PFOAInfo/tabid/5453/Default.aspx</w:t>
        </w:r>
      </w:hyperlink>
      <w:r w:rsidRPr="002261B9">
        <w:rPr>
          <w:sz w:val="20"/>
          <w:szCs w:val="20"/>
          <w:lang w:val="en-GB"/>
        </w:rPr>
        <w:t>.</w:t>
      </w:r>
    </w:p>
    <w:p w14:paraId="24FC0373" w14:textId="77777777" w:rsidR="001D03FD" w:rsidRPr="002261B9" w:rsidRDefault="001D03FD" w:rsidP="001D03FD">
      <w:pPr>
        <w:tabs>
          <w:tab w:val="left" w:pos="624"/>
          <w:tab w:val="left" w:pos="1247"/>
          <w:tab w:val="left" w:pos="1440"/>
        </w:tabs>
        <w:spacing w:after="120"/>
        <w:ind w:left="1247" w:right="57"/>
        <w:rPr>
          <w:sz w:val="20"/>
          <w:szCs w:val="20"/>
        </w:rPr>
      </w:pPr>
      <w:r w:rsidRPr="002261B9">
        <w:rPr>
          <w:sz w:val="20"/>
          <w:szCs w:val="20"/>
          <w:lang w:val="en-GB"/>
        </w:rPr>
        <w:t>[NTP, 2016] NTP Monograph on immunotoxicity associated with exposure to perfluorooctanoic acid (PFOA) or perfluorooctane sulfonate (PFOS). National Toxicology Program.U.S. Department of Health and Human Services.</w:t>
      </w:r>
      <w:hyperlink r:id="rId61" w:history="1">
        <w:r w:rsidRPr="002261B9">
          <w:rPr>
            <w:sz w:val="20"/>
            <w:szCs w:val="20"/>
          </w:rPr>
          <w:t>https://ntp.niehs.nih.gov/ntp/ohat/pfoa_pfos/pfoa_pfosmonograph_508.pdf</w:t>
        </w:r>
      </w:hyperlink>
    </w:p>
    <w:p w14:paraId="731D0D38" w14:textId="5DE3ED0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[NRL, 2016] Evaluating the Difference in Foam Degradation between Fluorinated and Fluorine-free Foams for Improved Pool Fire Suppression. Katherine Hinnant, RamagopalAnanth, Michael Conroy, Bradley Williams. Naval Research Laboratory. Presented at the 2016 ACS Symposium.[Oda </w:t>
      </w:r>
      <w:r w:rsidR="00321ABA" w:rsidRPr="00321ABA">
        <w:rPr>
          <w:i/>
          <w:sz w:val="20"/>
          <w:szCs w:val="20"/>
          <w:lang w:val="en-GB"/>
        </w:rPr>
        <w:t>et al</w:t>
      </w:r>
      <w:r w:rsidRPr="002261B9">
        <w:rPr>
          <w:sz w:val="20"/>
          <w:szCs w:val="20"/>
          <w:lang w:val="en-GB"/>
        </w:rPr>
        <w:t xml:space="preserve">., 2007] Negative results of umu genotoxicity test of fluorotelomer alcohols and perfluorinated alkyl acids. Environ Health Perspect 12:217-9. </w:t>
      </w:r>
    </w:p>
    <w:p w14:paraId="3C91114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US"/>
        </w:rPr>
        <w:t xml:space="preserve">[Obermeier and Stefaniak, 1997] </w:t>
      </w:r>
      <w:r w:rsidRPr="002261B9">
        <w:rPr>
          <w:sz w:val="20"/>
          <w:szCs w:val="20"/>
          <w:lang w:val="en-GB"/>
        </w:rPr>
        <w:t>Patent: Process for the recuperation of fluorinated carboxylic acids. Patent No. EP 0632009 B1.</w:t>
      </w:r>
    </w:p>
    <w:p w14:paraId="244FEAD1"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[OECD 2010] OECD Environment, Health and Safety Publications Series on Emission Scenario Documents No. 9,EMISSION SCENARIO DOCUMENT ON PHOTORESIST USE IN SEMICONDUCTOR MANUFACTURING(as revised in 2010). Available from http://www.oecd.org/officialdocuments/publicdisplaydocumentpdf/?cote=env/jm/mono(2004)14/</w:t>
      </w:r>
      <w:r w:rsidRPr="002261B9">
        <w:rPr>
          <w:sz w:val="20"/>
          <w:szCs w:val="20"/>
          <w:lang w:val="en-GB"/>
        </w:rPr>
        <w:br/>
        <w:t>rev1&amp;doclanguage=en</w:t>
      </w:r>
    </w:p>
    <w:p w14:paraId="28F0259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[OECD, 2013] OECD/UNEP Global PFC Group.Synthesis paper on per- and polyfluorinated chemicals (PFCs).Environmental, Health and Safety, Environmental Directorate.OECD.</w:t>
      </w:r>
    </w:p>
    <w:p w14:paraId="1FDF37F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[OECD, 2015] Risk Reduction Approaches for PFASs – A Cross-Country Analysis. OECD Environment, Health and Safety Publications Series on Risk Management.No. 29. Available from: </w:t>
      </w:r>
      <w:hyperlink r:id="rId62" w:history="1">
        <w:r w:rsidRPr="002261B9">
          <w:rPr>
            <w:rStyle w:val="Hyperlink"/>
            <w:color w:val="auto"/>
            <w:sz w:val="20"/>
            <w:szCs w:val="20"/>
            <w:u w:val="none"/>
          </w:rPr>
          <w:t>http://www.oecd.org/chemicalsafety/</w:t>
        </w:r>
        <w:r w:rsidRPr="002261B9">
          <w:rPr>
            <w:rStyle w:val="Hyperlink"/>
            <w:color w:val="auto"/>
            <w:sz w:val="20"/>
            <w:szCs w:val="20"/>
            <w:u w:val="none"/>
          </w:rPr>
          <w:br/>
          <w:t>risk-management/Risk_Reduction_Approaches%20for%20PFASS.pdf</w:t>
        </w:r>
      </w:hyperlink>
      <w:r w:rsidRPr="002261B9">
        <w:rPr>
          <w:sz w:val="20"/>
          <w:szCs w:val="20"/>
          <w:lang w:val="en-GB"/>
        </w:rPr>
        <w:t>.</w:t>
      </w:r>
    </w:p>
    <w:p w14:paraId="517319A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[OECD, 2017] Organisation for Economic Co-operation and Development.OECD portal on perfluorinated chemicals. Available from: https://www.oecd.org/ehs/pfc/#Definitions</w:t>
      </w:r>
    </w:p>
    <w:p w14:paraId="47AD1A54" w14:textId="6EF8822D"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nl-NL"/>
        </w:rPr>
        <w:t xml:space="preserve">[Oosterhuis </w:t>
      </w:r>
      <w:r w:rsidR="00321ABA" w:rsidRPr="00321ABA">
        <w:rPr>
          <w:i/>
          <w:sz w:val="20"/>
          <w:szCs w:val="20"/>
          <w:lang w:val="nl-NL"/>
        </w:rPr>
        <w:t>et al</w:t>
      </w:r>
      <w:r w:rsidRPr="002261B9">
        <w:rPr>
          <w:sz w:val="20"/>
          <w:szCs w:val="20"/>
          <w:lang w:val="nl-NL"/>
        </w:rPr>
        <w:t xml:space="preserve">, 2017] Frans Oosterhuis, Roy Brouwer, Martien Janssen, Julia Verhoeven, Cees Luttikhuizen. </w:t>
      </w:r>
      <w:r w:rsidRPr="002261B9">
        <w:rPr>
          <w:sz w:val="20"/>
          <w:szCs w:val="20"/>
          <w:lang w:val="en-GB"/>
        </w:rPr>
        <w:t>Towards a Proportionality Assessment of Risk Reduction Measures Aimed at Restricting the Use of Persistent and Bioaccumulative Substances. Integr Environ Assess Manag 2017:1–13, DOI: 10.1002/ieam.1949. Available at http://onlinelibrary.wiley.com/doi/10.1002/ieam.1949/epdf</w:t>
      </w:r>
    </w:p>
    <w:p w14:paraId="56D7D47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[OSPAR, 2006] Perfluorooctane Sulphonate PFOS. OSPAR Commission 2005 (2006 update).OSPAR Background Document on Perfluorooctane Sulphonate.Hazard substance series, 269/2006.</w:t>
      </w:r>
    </w:p>
    <w:p w14:paraId="30FFC6A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[P05, 2012] Durable Water and Soil repellent chemistry in the textile industry – a research report.P05 Water Repellency Project.Version 1.0. November 2012. Available at </w:t>
      </w:r>
      <w:hyperlink r:id="rId63" w:history="1">
        <w:r w:rsidRPr="002261B9">
          <w:rPr>
            <w:sz w:val="20"/>
            <w:szCs w:val="20"/>
            <w:lang w:val="en-GB"/>
          </w:rPr>
          <w:t>https://outdoorindustry.org/pdf/FINAL_ZDHC_P05_DWR%20Research_Nov2012.pdf</w:t>
        </w:r>
      </w:hyperlink>
    </w:p>
    <w:p w14:paraId="5F74EF8C" w14:textId="75D693C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[Pieri </w:t>
      </w:r>
      <w:r w:rsidR="00321ABA" w:rsidRPr="00321ABA">
        <w:rPr>
          <w:i/>
          <w:sz w:val="20"/>
          <w:szCs w:val="20"/>
          <w:lang w:val="en-GB"/>
        </w:rPr>
        <w:t>et al</w:t>
      </w:r>
      <w:r w:rsidRPr="002261B9">
        <w:rPr>
          <w:sz w:val="20"/>
          <w:szCs w:val="20"/>
          <w:lang w:val="en-GB"/>
        </w:rPr>
        <w:t>., 2011] Patent: Method for manufacturing fluoropolymers by polymerization using fluorinated surfactants. WO 2011073337.</w:t>
      </w:r>
    </w:p>
    <w:p w14:paraId="2416C9DE" w14:textId="3151810E"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[Plumlee </w:t>
      </w:r>
      <w:r w:rsidR="00321ABA" w:rsidRPr="00321ABA">
        <w:rPr>
          <w:i/>
          <w:sz w:val="20"/>
          <w:szCs w:val="20"/>
          <w:lang w:val="en-GB"/>
        </w:rPr>
        <w:t>et al</w:t>
      </w:r>
      <w:r w:rsidRPr="002261B9">
        <w:rPr>
          <w:sz w:val="20"/>
          <w:szCs w:val="20"/>
          <w:lang w:val="en-GB"/>
        </w:rPr>
        <w:t xml:space="preserve">. 2009] Plumlee, M.H., McNeill, K., Reinhard, M., 2009. Indirect photolysis of perfluorochemicals: hydroxyl radical-initiated oxidation of N-ethyl perfluorooctane sulfonamido acetate (N-EtFOSAA) and other perfluoroalkanesulfonamides. Environ. Sci. Technol. 43 (10), </w:t>
      </w:r>
      <w:r w:rsidRPr="002261B9">
        <w:rPr>
          <w:sz w:val="20"/>
          <w:szCs w:val="20"/>
          <w:lang w:val="en-GB"/>
        </w:rPr>
        <w:br/>
        <w:t xml:space="preserve">3662–3668.[Poulsen </w:t>
      </w:r>
      <w:r w:rsidR="00321ABA" w:rsidRPr="00321ABA">
        <w:rPr>
          <w:i/>
          <w:sz w:val="20"/>
          <w:szCs w:val="20"/>
          <w:lang w:val="en-GB"/>
        </w:rPr>
        <w:t>et al</w:t>
      </w:r>
      <w:r w:rsidRPr="002261B9">
        <w:rPr>
          <w:sz w:val="20"/>
          <w:szCs w:val="20"/>
          <w:lang w:val="en-GB"/>
        </w:rPr>
        <w:t xml:space="preserve">., 2005] Danish Ministry of Environment.More environmentally friendly alternatives to PFOS-compounds and PFOA. Available from: </w:t>
      </w:r>
      <w:hyperlink r:id="rId64" w:history="1">
        <w:r w:rsidRPr="002261B9">
          <w:rPr>
            <w:sz w:val="20"/>
            <w:szCs w:val="20"/>
            <w:lang w:val="en-GB"/>
          </w:rPr>
          <w:t>http://www2.mst.dk/common/Udgivramme/Frame.asp?http://www2.mst.dk/udgiv/Publications/</w:t>
        </w:r>
        <w:r w:rsidRPr="002261B9">
          <w:rPr>
            <w:sz w:val="20"/>
            <w:szCs w:val="20"/>
            <w:lang w:val="en-GB"/>
          </w:rPr>
          <w:br/>
          <w:t>2005/87-7614-668-5/html/default_eng.htm</w:t>
        </w:r>
      </w:hyperlink>
      <w:r w:rsidRPr="002261B9">
        <w:rPr>
          <w:sz w:val="20"/>
          <w:szCs w:val="20"/>
          <w:lang w:val="en-GB"/>
        </w:rPr>
        <w:t>.</w:t>
      </w:r>
    </w:p>
    <w:p w14:paraId="194B14BB" w14:textId="4802941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[Prevedouros </w:t>
      </w:r>
      <w:r w:rsidR="00321ABA" w:rsidRPr="00321ABA">
        <w:rPr>
          <w:i/>
          <w:sz w:val="20"/>
          <w:szCs w:val="20"/>
          <w:lang w:val="en-GB"/>
        </w:rPr>
        <w:t>et al</w:t>
      </w:r>
      <w:r w:rsidRPr="002261B9">
        <w:rPr>
          <w:sz w:val="20"/>
          <w:szCs w:val="20"/>
          <w:lang w:val="en-GB"/>
        </w:rPr>
        <w:t>., 2006] Sources, Fate and Transport of Perfluorocarboxylates. Environ Sci Technol. 40(1) 32-44.</w:t>
      </w:r>
    </w:p>
    <w:p w14:paraId="7066FD8E" w14:textId="3E2C7F4D"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[Prokop </w:t>
      </w:r>
      <w:r w:rsidR="00321ABA" w:rsidRPr="00321ABA">
        <w:rPr>
          <w:i/>
          <w:sz w:val="20"/>
          <w:szCs w:val="20"/>
          <w:lang w:val="en-GB"/>
        </w:rPr>
        <w:t>et al</w:t>
      </w:r>
      <w:r w:rsidRPr="002261B9">
        <w:rPr>
          <w:sz w:val="20"/>
          <w:szCs w:val="20"/>
          <w:lang w:val="en-GB"/>
        </w:rPr>
        <w:t>., 1989] Analysis of the products from the electrochemical fluorination of octanoyl chloride. Journal of Fluorine Chemistry 43: 277-90.</w:t>
      </w:r>
    </w:p>
    <w:p w14:paraId="3A1A368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fr-FR"/>
        </w:rPr>
        <w:t xml:space="preserve">[Pyua, 2017] http://www.pyua.de/index.php/news/climaloop. </w:t>
      </w:r>
      <w:r w:rsidRPr="002261B9">
        <w:rPr>
          <w:sz w:val="20"/>
          <w:szCs w:val="20"/>
          <w:lang w:val="en-GB"/>
        </w:rPr>
        <w:t>(Online access: 26 January 2017).</w:t>
      </w:r>
    </w:p>
    <w:p w14:paraId="1AABDD1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[Queensland Gov., 2016a] Environmental Management of Firefighting Foam Policy. 7 July 2016</w:t>
      </w:r>
    </w:p>
    <w:p w14:paraId="4E4DD70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[Queensland Gov., 2016b] Environmental Management of Firefighting Foam Policy. Explanatory Notes, Revision 2. State of Queensland. Revision 2.2 – July 2016. Available at </w:t>
      </w:r>
      <w:hyperlink r:id="rId65" w:history="1">
        <w:r w:rsidRPr="002261B9">
          <w:rPr>
            <w:rStyle w:val="Hyperlink"/>
            <w:color w:val="auto"/>
            <w:sz w:val="20"/>
            <w:szCs w:val="20"/>
            <w:u w:val="none"/>
          </w:rPr>
          <w:t>http://www.ehp.qld.gov.au/assets/documents/regulation/firefighting-foam-policy-notes.pdf</w:t>
        </w:r>
      </w:hyperlink>
    </w:p>
    <w:p w14:paraId="1B401F2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19"/>
          <w:szCs w:val="19"/>
          <w:lang w:val="en-GB"/>
        </w:rPr>
        <w:t>[Renner, 2006] The long and the short of perfluorinated replacements. Environ SciTechnol 40(1): 12-3</w:t>
      </w:r>
      <w:r w:rsidRPr="002261B9">
        <w:rPr>
          <w:sz w:val="20"/>
          <w:szCs w:val="20"/>
          <w:lang w:val="en-GB"/>
        </w:rPr>
        <w:t>.</w:t>
      </w:r>
    </w:p>
    <w:p w14:paraId="05F8310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[Ritter, 2010] Fluorochemicals go short. ChemEng News 88(5): 12-7.</w:t>
      </w:r>
    </w:p>
    <w:p w14:paraId="1D7D97D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[RPA, 2004] Perfluorooctane Sulphonate - Risk reduction strategy and analysis of advantages and drawbacks. Risk &amp; Policy Analysts Limited (RPA) in association with BRE Environment. Final Report prepared for Department for Environment, Food and Rural Affairs and the Environment Agency for England and Wales. </w:t>
      </w:r>
    </w:p>
    <w:p w14:paraId="7635B7DD"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de-DE"/>
        </w:rPr>
        <w:t xml:space="preserve">Russell, M.H., Berti, W.R., Szostek, B., Buck, R.C., 2008. </w:t>
      </w:r>
      <w:r w:rsidRPr="002261B9">
        <w:rPr>
          <w:sz w:val="20"/>
          <w:szCs w:val="20"/>
          <w:lang w:val="en-GB"/>
        </w:rPr>
        <w:t>Investigation of the biodegradation potential of a fluoroacrylate polymer product in aerobic soils. Environ SciTechnol 42, 800-807.</w:t>
      </w:r>
    </w:p>
    <w:p w14:paraId="05DB870F" w14:textId="7FA2F1C1"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US"/>
        </w:rPr>
        <w:t xml:space="preserve">[Schlummer </w:t>
      </w:r>
      <w:r w:rsidR="00321ABA" w:rsidRPr="00321ABA">
        <w:rPr>
          <w:i/>
          <w:sz w:val="20"/>
          <w:szCs w:val="20"/>
          <w:lang w:val="en-US"/>
        </w:rPr>
        <w:t>et al</w:t>
      </w:r>
      <w:r w:rsidRPr="002261B9">
        <w:rPr>
          <w:sz w:val="20"/>
          <w:szCs w:val="20"/>
          <w:lang w:val="en-US"/>
        </w:rPr>
        <w:t>., 2015] Emission of perfluoroalkyl carboxylic acids (PFCA) from heated surfaces made of polytetrafluoroethylene (PTFE) applied in food contact materials and consumer products. Chemosphere 129, 46-53.</w:t>
      </w:r>
    </w:p>
    <w:p w14:paraId="51D901F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[Serbia, 2016] Republic of Serbia. Annex F form. Submitted 9 December 2016. Available from: http://chm.pops.int/TheConvention/POPsReviewCommittee/Meetings/POPRC12/POPRC12Followup/PFOAInfo/tabid/5453/Default.aspx.</w:t>
      </w:r>
    </w:p>
    <w:p w14:paraId="0D2D77CA"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[SIA, 2016] Semiconductor Industry Association. Annex F form. Submitted 9 December 2016. Available from: http://chm.pops.int/TheConvention/POPsReviewCommittee/Meetings/POPRC12/POPRC12Followup/PFOAInfo/tabid/5453/Default.aspx.</w:t>
      </w:r>
    </w:p>
    <w:p w14:paraId="24593B0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[Simon and Kaminsky, 1998] Simon CM, Kaminsky W. 1998. Chemical recycling of polytetrafluoroethylene by pyrolysis. Poly Degrad Stabil 62, 1–7.</w:t>
      </w:r>
    </w:p>
    <w:p w14:paraId="0E3B442F" w14:textId="033815C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[Skutlarek D. </w:t>
      </w:r>
      <w:r w:rsidR="00321ABA" w:rsidRPr="00321ABA">
        <w:rPr>
          <w:i/>
          <w:sz w:val="20"/>
          <w:szCs w:val="20"/>
          <w:lang w:val="en-GB"/>
        </w:rPr>
        <w:t>et al</w:t>
      </w:r>
      <w:r w:rsidRPr="002261B9">
        <w:rPr>
          <w:sz w:val="20"/>
          <w:szCs w:val="20"/>
          <w:lang w:val="en-GB"/>
        </w:rPr>
        <w:t xml:space="preserve">., 2006] Perfluorinated surfactants in surface and drinking waters. Environ SciPollut Res Int. 13(5):299-307. </w:t>
      </w:r>
    </w:p>
    <w:p w14:paraId="12B3661D"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[Spada and Kent, 2011] Patent: Process for manufacturing a dispersion of a vinylidene fluoride polymer. WO 2011073254.</w:t>
      </w:r>
    </w:p>
    <w:p w14:paraId="0761325E" w14:textId="4B63D3EB"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[Stahl </w:t>
      </w:r>
      <w:r w:rsidR="00321ABA" w:rsidRPr="00321ABA">
        <w:rPr>
          <w:i/>
          <w:sz w:val="20"/>
          <w:szCs w:val="20"/>
          <w:lang w:val="en-GB"/>
        </w:rPr>
        <w:t>et al</w:t>
      </w:r>
      <w:r w:rsidRPr="002261B9">
        <w:rPr>
          <w:sz w:val="20"/>
          <w:szCs w:val="20"/>
          <w:lang w:val="en-GB"/>
        </w:rPr>
        <w:t>., 2009] Carryover of perfluorooctanoic acid (PFOA) and perflurooctane sulfonate (PFOS) from soil to plants. Arch Environ ContamToxicol 57:289-98.</w:t>
      </w:r>
    </w:p>
    <w:p w14:paraId="36D5ECB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[State of New Jersey, 2017] Perfluorooctanoic Acid (PFOA) in Drinking Water. Devision of Water Supply and Geoscience.</w:t>
      </w:r>
      <w:hyperlink r:id="rId66" w:history="1">
        <w:r w:rsidRPr="002261B9">
          <w:rPr>
            <w:rStyle w:val="Hyperlink"/>
            <w:color w:val="auto"/>
            <w:sz w:val="20"/>
            <w:szCs w:val="20"/>
            <w:u w:val="none"/>
          </w:rPr>
          <w:t>http://www.nj.gov/dep/watersupply/dwc_quality_pfoa.html</w:t>
        </w:r>
      </w:hyperlink>
    </w:p>
    <w:p w14:paraId="47E79EB2"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[StatensForureningstilsyn, 2004] Norwegian Pollution Control Authority.BrukenafPerFluorAlkylStoffer (PFAS) i produkter i Norge – Materialstromsanalyse. English title: Use of perfluoralkyl substances (PFAS) in products in Norway – Mass Flow analysis.</w:t>
      </w:r>
    </w:p>
    <w:p w14:paraId="1BBFE78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[Stockholm Convention, 2014] Publication.POPs in Articles and Phasing-Out Opportunities. Available from: http://poppub.bcrc.cn/col/1408693347502/index.html. </w:t>
      </w:r>
      <w:r w:rsidRPr="002261B9">
        <w:rPr>
          <w:sz w:val="20"/>
          <w:szCs w:val="20"/>
          <w:lang w:val="en-GB"/>
        </w:rPr>
        <w:br/>
        <w:t>(Online access: 07 March 2017).</w:t>
      </w:r>
    </w:p>
    <w:p w14:paraId="2C232B12" w14:textId="71A5A55A"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de-CH"/>
        </w:rPr>
        <w:lastRenderedPageBreak/>
        <w:t xml:space="preserve">[Sulzbach </w:t>
      </w:r>
      <w:r w:rsidR="00321ABA" w:rsidRPr="00321ABA">
        <w:rPr>
          <w:i/>
          <w:sz w:val="20"/>
          <w:szCs w:val="20"/>
          <w:lang w:val="de-CH"/>
        </w:rPr>
        <w:t>et al</w:t>
      </w:r>
      <w:r w:rsidRPr="002261B9">
        <w:rPr>
          <w:sz w:val="20"/>
          <w:szCs w:val="20"/>
          <w:lang w:val="de-CH"/>
        </w:rPr>
        <w:t xml:space="preserve">., 1999] Sulzbach RA, Kowatsch W, Steidl D. 1999. </w:t>
      </w:r>
      <w:r w:rsidRPr="002261B9">
        <w:rPr>
          <w:sz w:val="20"/>
          <w:szCs w:val="20"/>
          <w:lang w:val="en-GB"/>
        </w:rPr>
        <w:t>Patent: Recovery of highly fluorinated carboxylic acids from the gas phase. Patent No. US 5990330 A</w:t>
      </w:r>
    </w:p>
    <w:p w14:paraId="5C382E60" w14:textId="01D9B088"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US"/>
        </w:rPr>
        <w:t xml:space="preserve">[Sulzbach </w:t>
      </w:r>
      <w:r w:rsidR="00321ABA" w:rsidRPr="00321ABA">
        <w:rPr>
          <w:i/>
          <w:sz w:val="20"/>
          <w:szCs w:val="20"/>
          <w:lang w:val="en-US"/>
        </w:rPr>
        <w:t>et al</w:t>
      </w:r>
      <w:r w:rsidRPr="002261B9">
        <w:rPr>
          <w:sz w:val="20"/>
          <w:szCs w:val="20"/>
          <w:lang w:val="en-US"/>
        </w:rPr>
        <w:t xml:space="preserve">., 2001] Sulzbach RA, Grasberger R, Brandenburg RA. 2001. </w:t>
      </w:r>
      <w:r w:rsidRPr="002261B9">
        <w:rPr>
          <w:sz w:val="20"/>
          <w:szCs w:val="20"/>
          <w:lang w:val="en-GB"/>
        </w:rPr>
        <w:t>Patent: Recovery of highly fluorinated carboxylic acids from the gaseous phase. Patent No. US 6245923 B1</w:t>
      </w:r>
    </w:p>
    <w:p w14:paraId="7257F4B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[Swedish Chemicals Agency, 2013] Brandskumsommöjligförorenareavdricksvattentäkter. PM 5/2013. Available from: https://www.kemi.se/global/pm/2013/pm-5-13.pdf.</w:t>
      </w:r>
    </w:p>
    <w:p w14:paraId="3354C4A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[Swedish Chemicals Agency, 2015] Occurrence and use of highly fluorinated substances and alternatives. 2015. </w:t>
      </w:r>
    </w:p>
    <w:p w14:paraId="560964A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[Swedish Chemicals Agency] PFAS-nätverk. Available from: </w:t>
      </w:r>
      <w:r w:rsidRPr="002261B9">
        <w:rPr>
          <w:sz w:val="20"/>
          <w:szCs w:val="20"/>
          <w:lang w:val="en-GB"/>
        </w:rPr>
        <w:br/>
      </w:r>
      <w:hyperlink r:id="rId67" w:history="1">
        <w:r w:rsidRPr="002261B9">
          <w:rPr>
            <w:sz w:val="20"/>
            <w:szCs w:val="20"/>
            <w:lang w:val="en-GB"/>
          </w:rPr>
          <w:t>http://www.kemi.se/om-kemikalieinspektionen/verksamhet/</w:t>
        </w:r>
        <w:r w:rsidRPr="002261B9">
          <w:rPr>
            <w:sz w:val="20"/>
            <w:szCs w:val="20"/>
            <w:lang w:val="en-GB"/>
          </w:rPr>
          <w:br/>
          <w:t>handlingsplan-for-en-giftfri-vardag/hogfluorerade-amnen-pfas/pfas-natverk</w:t>
        </w:r>
      </w:hyperlink>
      <w:r w:rsidRPr="002261B9">
        <w:rPr>
          <w:sz w:val="20"/>
          <w:szCs w:val="20"/>
          <w:lang w:val="en-GB"/>
        </w:rPr>
        <w:t>.</w:t>
      </w:r>
    </w:p>
    <w:p w14:paraId="4168468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sv-SE"/>
        </w:rPr>
        <w:t xml:space="preserve">[Swedish Chemicals Agency, 2016a] Förslag till nationella regler för högfluorerade ämnen i brandsläckningsskum. </w:t>
      </w:r>
      <w:r w:rsidRPr="002261B9">
        <w:rPr>
          <w:sz w:val="20"/>
          <w:szCs w:val="20"/>
          <w:lang w:val="en-GB"/>
        </w:rPr>
        <w:t>KemI Rapport 1/16. ISSN 0284-1185.</w:t>
      </w:r>
    </w:p>
    <w:p w14:paraId="586637F4" w14:textId="5262DD0C" w:rsidR="001D03FD" w:rsidRPr="002261B9" w:rsidRDefault="001D03FD" w:rsidP="001D03FD">
      <w:pPr>
        <w:tabs>
          <w:tab w:val="left" w:pos="624"/>
          <w:tab w:val="left" w:pos="1247"/>
          <w:tab w:val="left" w:pos="1440"/>
        </w:tabs>
        <w:spacing w:after="120"/>
        <w:ind w:left="1247" w:right="57"/>
        <w:rPr>
          <w:sz w:val="20"/>
          <w:szCs w:val="20"/>
          <w:lang w:val="sv-SE"/>
        </w:rPr>
      </w:pPr>
      <w:r w:rsidRPr="002261B9">
        <w:rPr>
          <w:sz w:val="20"/>
          <w:szCs w:val="20"/>
          <w:lang w:val="en-GB"/>
        </w:rPr>
        <w:t>[Swedish Chemicals Agency, 2016b] Strategy for reducing the use of highly fluorinated substances, PFASs.</w:t>
      </w:r>
      <w:r w:rsidRPr="002261B9">
        <w:rPr>
          <w:sz w:val="20"/>
          <w:szCs w:val="20"/>
          <w:lang w:val="sv-SE"/>
        </w:rPr>
        <w:t>Report 11/16. ISSN 0284-1185.</w:t>
      </w:r>
      <w:r w:rsidR="002261B9">
        <w:rPr>
          <w:sz w:val="20"/>
          <w:szCs w:val="20"/>
          <w:lang w:val="sv-SE"/>
        </w:rPr>
        <w:t xml:space="preserve"> </w:t>
      </w:r>
    </w:p>
    <w:p w14:paraId="647D6B1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sv-SE"/>
        </w:rPr>
        <w:t xml:space="preserve">[Swedish Chemicals Agency, 2016c] Rekommendationer för minskad användning av brandsläckningsskum. </w:t>
      </w:r>
      <w:r w:rsidRPr="002261B9">
        <w:rPr>
          <w:sz w:val="20"/>
          <w:szCs w:val="20"/>
          <w:lang w:val="en-GB"/>
        </w:rPr>
        <w:t>Available from: http://www.kemi.se/global/broschyrer/rekommendationer-for-brandskum.pdf</w:t>
      </w:r>
    </w:p>
    <w:p w14:paraId="3A8287A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[Taylor 2009] Taylor PH. 2009. ECA incineration testing program: laboratory-scale incineration testing of fluoropolymers; University of Dayton Research Institute. Pp. 1–84.</w:t>
      </w:r>
    </w:p>
    <w:p w14:paraId="3C9B0F40"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[Taylor 2014]Investigation of waste incineration of fluorotelomer-based polymers as a potential source of PFOA in the environment.Chemosphere. 2014 Sep;110:17-22. doi: 10.1016/j.chemosphere.2014.02.037. Epub 2014 Apr 5.</w:t>
      </w:r>
    </w:p>
    <w:p w14:paraId="23A4CE36"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[The Intercept, 2016] Available from: https://theintercept.com/2016/03/03/</w:t>
      </w:r>
      <w:r w:rsidRPr="002261B9">
        <w:rPr>
          <w:sz w:val="20"/>
          <w:szCs w:val="20"/>
          <w:lang w:val="en-GB"/>
        </w:rPr>
        <w:br/>
        <w:t>how-dupont-concealed-the-dangers-of-the-new-teflon-toxin/. (Online access: 2 March 2017).</w:t>
      </w:r>
    </w:p>
    <w:p w14:paraId="0487BDC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[The Senate Foreign Affairs, Defence and Trade, 2016] Firefighting foam contamination Part B – Army Aviation Centre Oakey and other Commonwealth, state and territory sites. Available at: </w:t>
      </w:r>
      <w:hyperlink r:id="rId68" w:history="1">
        <w:r w:rsidRPr="002261B9">
          <w:rPr>
            <w:rStyle w:val="Hyperlink"/>
            <w:color w:val="auto"/>
            <w:sz w:val="20"/>
            <w:szCs w:val="20"/>
            <w:u w:val="none"/>
          </w:rPr>
          <w:t>http://www.aph.gov.au/Parliamentary_Business/Committees/Senate/Foreign_Affairs_Defence_and_Trade/ADF_facilities/Report_part_B</w:t>
        </w:r>
      </w:hyperlink>
      <w:r w:rsidRPr="002261B9">
        <w:rPr>
          <w:sz w:val="20"/>
          <w:szCs w:val="20"/>
          <w:lang w:val="en-GB"/>
        </w:rPr>
        <w:t xml:space="preserve">. </w:t>
      </w:r>
    </w:p>
    <w:p w14:paraId="6688D5D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[TM, 2016] Confederation of the German Textile and Fashion Industry. Annex F form. Submitted 9 December 2016. Available from: </w:t>
      </w:r>
      <w:hyperlink r:id="rId69" w:history="1">
        <w:r w:rsidRPr="002261B9">
          <w:rPr>
            <w:rStyle w:val="Hyperlink"/>
            <w:color w:val="auto"/>
            <w:sz w:val="20"/>
            <w:szCs w:val="20"/>
            <w:u w:val="none"/>
          </w:rPr>
          <w:t>http://chm.pops.int/TheConvention/POPsReviewCommittee/Meetings/POPRC12/POPRC12Followup/PFOAInfo/tabid/5453/Default.aspx</w:t>
        </w:r>
      </w:hyperlink>
      <w:r w:rsidRPr="002261B9">
        <w:rPr>
          <w:sz w:val="20"/>
          <w:szCs w:val="20"/>
          <w:lang w:val="en-GB"/>
        </w:rPr>
        <w:t>.</w:t>
      </w:r>
    </w:p>
    <w:p w14:paraId="2A812CD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[UBA, 2016] HBM I values for Perfluorooctanoic acid (PFOA) and Perfluorooctanesulfonic acid (PFOS) in blood plasma. Statement of the German Human Biomonitoring Commission (HBM Commission). Announcement of the German Environment Agency (UBA). Available at: https://www.umweltbundesamt.de/sites/default/files/medien/355/dokumente/hbm_i_values_for_pfoa_and_pfos.pdf</w:t>
      </w:r>
    </w:p>
    <w:p w14:paraId="38A21EB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 2017] Guidance on best available techniques and best environmental practices for the use of perfluorooctane sulfonic acid (PFOS) and related chemicals listed under the Stockholm Convention on Persistent Organic Pollutants. Available from: http://chm.pops.int/Implementation/NIPs/Guidance/GuidanceonBATBEPfortheuseofPFOS/tabid/</w:t>
      </w:r>
      <w:r w:rsidRPr="002261B9">
        <w:rPr>
          <w:sz w:val="20"/>
          <w:szCs w:val="20"/>
          <w:lang w:val="en-GB"/>
        </w:rPr>
        <w:br/>
        <w:t>3170/Default.aspx.</w:t>
      </w:r>
    </w:p>
    <w:p w14:paraId="3E81B19E"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[UNEP/POPS/POPRC.5/10/Add.1] Persistent Organic Pollutants Review Committee (2009). Addendum- General guidance on considerations related to alternatives and substitutes for listed persistent organic pollutants and candidate chemicals. Available from: http://chm.pops.int/TheConvention/POPsReviewCommittee/Meetings/POPRC5/POPRC5ReportandDecisions/tabid/719/Default.aspx. </w:t>
      </w:r>
    </w:p>
    <w:p w14:paraId="1087D16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[UNEP/POPS/POPRC.11/5] Persistent Organic Pollutants Review Committee (2015). Proposal to list pentadecafluorooctanoic acid (CAS No: 335-67-1, PFOA, perfluorooctanoic acid), its salts and PFOA-related compounds in Annexes A, B and/or C to the Stockholm Convention on Persistent Organic Pollutants. Available from: http://chm.pops.int/poprc11.</w:t>
      </w:r>
    </w:p>
    <w:p w14:paraId="4578BEB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[UNEP/POPS/POPRC.12/11] Persistent Organic Pollutants Review Committee (2016). Report of the Persistent Organic Pollutants Review Committee on the work of its twelfth meeting. Available from: http://chm.pops.int/poprc12. </w:t>
      </w:r>
    </w:p>
    <w:p w14:paraId="443A81E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[UNEP/POPS/POPRC.12/11/Add.2] Persistent Organic Pollutants Review Committee (2016). Addendum- Risk profile on pentadecafluorooctanoic acid (CAS No: 335-67-1, PFOA, perfluorooctanoic acid), its salts and </w:t>
      </w:r>
      <w:r w:rsidRPr="002261B9">
        <w:rPr>
          <w:sz w:val="20"/>
          <w:szCs w:val="20"/>
          <w:lang w:val="en-GB"/>
        </w:rPr>
        <w:br/>
        <w:t>PFOA-related compounds. Available from: http://chm.pops.int/poprc12.</w:t>
      </w:r>
    </w:p>
    <w:p w14:paraId="1397211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[UNEP/POPS/POPRC.12/11/Add.3] Persistent Organic Pollutants Review Committee (2016) Addendum- Risk management evaluation on short-chain chlorinated paraffins. Available from: http://chm.pops.int/poprc12.</w:t>
      </w:r>
    </w:p>
    <w:p w14:paraId="27DD277B"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[UNEP/POPS/POPRC.12/INF/15/Rev.1] Persistent Organic Pollutants Review Committee (2016).Consolidated guidance on alternatives to perfluorooctane sulfonic acid and its related chemicals. Available from: http://chm.pops.int/poprc12.</w:t>
      </w:r>
    </w:p>
    <w:p w14:paraId="6A404F08"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[UNEP/POPS/POPRC.12/INF/5] Persistent Organic Pollutants Review Committee (2016). Additional information related to the draft risk profile on pentadecafluorooctanoic acid (CAS No: 335-67-1, PFOA, perfluorooctanoic acid), its salts and PFOA-related compounds. Available from: http://chm.pops.int/poprc12. </w:t>
      </w:r>
    </w:p>
    <w:p w14:paraId="4024CC5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[UNEP/POPS/POPRC.13/INF/6] PFOA, its salts and PFOA-related compounds, Background document to therisk management evaluation, 2017. Available from: http://chm.pops.int/poprc13.</w:t>
      </w:r>
    </w:p>
    <w:p w14:paraId="5EBFBE55"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[UNEP/POPS/POPRC.13/INF/6/Add.1] PFOA, its salts and PFOA-related compounds, Background document to the risk management evaluation, Non-exhaustive list of substances covered or not covered by the risk management evaluation, 2017. Available from: http://chm.pops.int/poprc13.</w:t>
      </w:r>
    </w:p>
    <w:p w14:paraId="7CF59A77"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[USEPA, 2012] US Environmental Protection Agency.New Chemical Review of Alternatives for PFOA and Related Chemicals. 2012. Available from: http://www.epa.gov/oppt/pfoa/pubs/altnewchems.html.</w:t>
      </w:r>
    </w:p>
    <w:p w14:paraId="7533D464"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[USEPA, 2015] United States Environmental Protection Agency, PFOA Stewardship Program. Available from: </w:t>
      </w:r>
      <w:hyperlink r:id="rId70" w:history="1">
        <w:r w:rsidRPr="002261B9">
          <w:rPr>
            <w:sz w:val="20"/>
            <w:szCs w:val="20"/>
            <w:lang w:val="en-GB"/>
          </w:rPr>
          <w:t>http://www.epa.gov/assessing-and-managing-chemicals-under-tsca/</w:t>
        </w:r>
        <w:r w:rsidRPr="002261B9">
          <w:rPr>
            <w:sz w:val="20"/>
            <w:szCs w:val="20"/>
            <w:lang w:val="en-GB"/>
          </w:rPr>
          <w:br/>
          <w:t>20102015-pfoa-stewardship-program</w:t>
        </w:r>
      </w:hyperlink>
      <w:r w:rsidRPr="002261B9">
        <w:rPr>
          <w:sz w:val="20"/>
          <w:szCs w:val="20"/>
          <w:lang w:val="en-GB"/>
        </w:rPr>
        <w:t>.</w:t>
      </w:r>
    </w:p>
    <w:p w14:paraId="6068089F"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[USEPA 2016] United States Environmental Protection Agency. Fact Sheet PFOA &amp; PFOS Drinking Water Health Advisories. 2016. Available from: </w:t>
      </w:r>
      <w:hyperlink r:id="rId71" w:history="1">
        <w:r w:rsidRPr="002261B9">
          <w:rPr>
            <w:sz w:val="20"/>
            <w:szCs w:val="20"/>
            <w:lang w:val="en-GB"/>
          </w:rPr>
          <w:t>https://www.epa.gov/sites/production/files/</w:t>
        </w:r>
        <w:r w:rsidRPr="002261B9">
          <w:rPr>
            <w:sz w:val="20"/>
            <w:szCs w:val="20"/>
            <w:lang w:val="en-GB"/>
          </w:rPr>
          <w:br/>
          <w:t>2016-06/documents/drinkingwaterhealthadvisories_pfoa_pfos_updated_5.31.16.pdf</w:t>
        </w:r>
      </w:hyperlink>
    </w:p>
    <w:p w14:paraId="121FA530" w14:textId="59F4E48D"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[van der Putte </w:t>
      </w:r>
      <w:r w:rsidR="00321ABA" w:rsidRPr="00321ABA">
        <w:rPr>
          <w:i/>
          <w:sz w:val="20"/>
          <w:szCs w:val="20"/>
          <w:lang w:val="en-GB"/>
        </w:rPr>
        <w:t>et al</w:t>
      </w:r>
      <w:r w:rsidRPr="002261B9">
        <w:rPr>
          <w:sz w:val="20"/>
          <w:szCs w:val="20"/>
          <w:lang w:val="en-GB"/>
        </w:rPr>
        <w:t>., 2010] Analysis of the risk arisng from the industrial use of Perfluorooctanoic Acid (PFOA) and Ammonium Perfluorooctanoate (AFPO) and from their use in consumer articles. Evaluation of the risk reduction measures for potential restrictions on the manufacture, placing on the market and use of PFOA and APFO. European Commission.DG Enterprise and Industry. Report TOX08.7049.FR03.</w:t>
      </w:r>
      <w:r w:rsidR="002261B9">
        <w:rPr>
          <w:sz w:val="20"/>
          <w:szCs w:val="20"/>
          <w:lang w:val="en-GB"/>
        </w:rPr>
        <w:t xml:space="preserve"> </w:t>
      </w:r>
    </w:p>
    <w:p w14:paraId="6310EBB7" w14:textId="0C9A7B19"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[Vanparys </w:t>
      </w:r>
      <w:r w:rsidR="00321ABA" w:rsidRPr="00321ABA">
        <w:rPr>
          <w:i/>
          <w:sz w:val="20"/>
          <w:szCs w:val="20"/>
          <w:lang w:val="en-GB"/>
        </w:rPr>
        <w:t>et al</w:t>
      </w:r>
      <w:r w:rsidRPr="002261B9">
        <w:rPr>
          <w:sz w:val="20"/>
          <w:szCs w:val="20"/>
          <w:lang w:val="en-GB"/>
        </w:rPr>
        <w:t>., 2006] Flow cytometric cell cycle analysis allows for rapid screening of estrogenicity in MCF-7 breast cancer cells. Toxicol.in vitro 20: 1238-48.</w:t>
      </w:r>
    </w:p>
    <w:p w14:paraId="1B2FBE0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[Vermont Department of Health, 2017] PFOA in Drinking Water 2016. In: Public Health Response; Environmental Contaminations. </w:t>
      </w:r>
      <w:r w:rsidRPr="002261B9">
        <w:rPr>
          <w:sz w:val="20"/>
          <w:szCs w:val="20"/>
          <w:lang w:val="en-US"/>
        </w:rPr>
        <w:t>http://www.healthvermont.gov/response/environmental/pfoa-drinking-water-2016</w:t>
      </w:r>
    </w:p>
    <w:p w14:paraId="119AA1C9" w14:textId="194F0F0B" w:rsidR="001D03FD" w:rsidRPr="002261B9" w:rsidRDefault="001D03FD" w:rsidP="001D03FD">
      <w:pPr>
        <w:tabs>
          <w:tab w:val="left" w:pos="624"/>
          <w:tab w:val="left" w:pos="1247"/>
          <w:tab w:val="left" w:pos="1440"/>
        </w:tabs>
        <w:spacing w:after="120"/>
        <w:ind w:left="1247" w:right="57"/>
        <w:rPr>
          <w:sz w:val="19"/>
          <w:szCs w:val="19"/>
          <w:lang w:val="en-GB"/>
        </w:rPr>
      </w:pPr>
      <w:r w:rsidRPr="002261B9">
        <w:rPr>
          <w:sz w:val="20"/>
          <w:szCs w:val="20"/>
          <w:lang w:val="en-GB"/>
        </w:rPr>
        <w:t xml:space="preserve">[Vierke </w:t>
      </w:r>
      <w:r w:rsidR="00321ABA" w:rsidRPr="00321ABA">
        <w:rPr>
          <w:i/>
          <w:sz w:val="20"/>
          <w:szCs w:val="20"/>
          <w:lang w:val="en-GB"/>
        </w:rPr>
        <w:t>et al</w:t>
      </w:r>
      <w:r w:rsidRPr="002261B9">
        <w:rPr>
          <w:sz w:val="20"/>
          <w:szCs w:val="20"/>
          <w:lang w:val="en-GB"/>
        </w:rPr>
        <w:t xml:space="preserve">., 2013] Estimation of the acid dissociation constant of perfluoroalkyl carboxylic acids </w:t>
      </w:r>
      <w:r w:rsidRPr="002261B9">
        <w:rPr>
          <w:sz w:val="19"/>
          <w:szCs w:val="19"/>
          <w:lang w:val="en-GB"/>
        </w:rPr>
        <w:t>through an experimental investigation of their water-to-air transport. Environ SciTechnol 47: 11032-9.</w:t>
      </w:r>
    </w:p>
    <w:p w14:paraId="743D642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[VTB SWT, 2016] VTB- Bavarian Textile and apparel association in cooperation with SWT- South-western textile association. Annex F form. Submitted 9 December 2016. Available from: http://chm.pops.int/TheConvention/POPsReviewCommittee/Meetings/POPRC12/POPRC12Followup/PFOAInfo/tabid/5453/Default.aspx. </w:t>
      </w:r>
    </w:p>
    <w:p w14:paraId="7238E91D" w14:textId="02C480B0"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[Wang </w:t>
      </w:r>
      <w:r w:rsidR="00321ABA" w:rsidRPr="00321ABA">
        <w:rPr>
          <w:i/>
          <w:sz w:val="20"/>
          <w:szCs w:val="20"/>
          <w:lang w:val="en-GB"/>
        </w:rPr>
        <w:t>et al</w:t>
      </w:r>
      <w:r w:rsidRPr="002261B9">
        <w:rPr>
          <w:sz w:val="20"/>
          <w:szCs w:val="20"/>
          <w:lang w:val="en-GB"/>
        </w:rPr>
        <w:t>., 2013] Fluorinated alternatives to long-chain perfluoroalkyl carboxylic acids (PFCAs), perfluoroalkane sulfonic acids (PFSAs) and their potential precursors. Environ Int 60: 242-8.</w:t>
      </w:r>
    </w:p>
    <w:p w14:paraId="0C53E46A" w14:textId="03E07B9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[Wang </w:t>
      </w:r>
      <w:r w:rsidR="00321ABA" w:rsidRPr="00321ABA">
        <w:rPr>
          <w:i/>
          <w:sz w:val="20"/>
          <w:szCs w:val="20"/>
          <w:lang w:val="en-GB"/>
        </w:rPr>
        <w:t>et al</w:t>
      </w:r>
      <w:r w:rsidRPr="002261B9">
        <w:rPr>
          <w:sz w:val="20"/>
          <w:szCs w:val="20"/>
          <w:lang w:val="en-GB"/>
        </w:rPr>
        <w:t>., 2014a] Global Emission Inventories for C4-C14 Perfluoroalkyl Carboxylic Acid (PFCA) Homologues from 1951 to 2030, Part I: Production and Emission from Quantifiable Sources. Environ Int 70: 62-75.</w:t>
      </w:r>
    </w:p>
    <w:p w14:paraId="096E791F" w14:textId="28F3745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[Wang </w:t>
      </w:r>
      <w:r w:rsidR="00321ABA" w:rsidRPr="00321ABA">
        <w:rPr>
          <w:i/>
          <w:sz w:val="20"/>
          <w:szCs w:val="20"/>
          <w:lang w:val="en-GB"/>
        </w:rPr>
        <w:t>et al</w:t>
      </w:r>
      <w:r w:rsidRPr="002261B9">
        <w:rPr>
          <w:sz w:val="20"/>
          <w:szCs w:val="20"/>
          <w:lang w:val="en-GB"/>
        </w:rPr>
        <w:t>., 2014b] Global emission inventories for C4-C14 Perfluoroalkyl Carboxylic Acid (PFCA) Homologues from 1951 to 2013, Part II: The remaining pieces of the puzzle. Environ Int 69: 166-76.</w:t>
      </w:r>
    </w:p>
    <w:p w14:paraId="6E296018" w14:textId="5758ABAB"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lastRenderedPageBreak/>
        <w:t xml:space="preserve">[Wang </w:t>
      </w:r>
      <w:r w:rsidR="00321ABA" w:rsidRPr="00321ABA">
        <w:rPr>
          <w:i/>
          <w:sz w:val="20"/>
          <w:szCs w:val="20"/>
          <w:lang w:val="en-GB"/>
        </w:rPr>
        <w:t>et al</w:t>
      </w:r>
      <w:r w:rsidRPr="002261B9">
        <w:rPr>
          <w:sz w:val="20"/>
          <w:szCs w:val="20"/>
          <w:lang w:val="en-GB"/>
        </w:rPr>
        <w:t xml:space="preserve">., 2015] Hazard assessment of fluorinated alternatives to long-chain perfluoroalkyl acids (PFAAs) and their precursors: Status quo, ongoing challenges and possible solutions. </w:t>
      </w:r>
      <w:r w:rsidRPr="002261B9">
        <w:rPr>
          <w:sz w:val="20"/>
          <w:szCs w:val="20"/>
          <w:lang w:val="en-GB"/>
        </w:rPr>
        <w:br/>
        <w:t>Environ Int 75: 172-79.</w:t>
      </w:r>
    </w:p>
    <w:p w14:paraId="44585DA6" w14:textId="4D2A309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[Wang </w:t>
      </w:r>
      <w:r w:rsidR="00321ABA" w:rsidRPr="00321ABA">
        <w:rPr>
          <w:i/>
          <w:sz w:val="20"/>
          <w:szCs w:val="20"/>
          <w:lang w:val="en-GB"/>
        </w:rPr>
        <w:t>et al</w:t>
      </w:r>
      <w:r w:rsidRPr="002261B9">
        <w:rPr>
          <w:sz w:val="20"/>
          <w:szCs w:val="20"/>
          <w:lang w:val="en-GB"/>
        </w:rPr>
        <w:t xml:space="preserve">., 2017] A Never-Ending Story of Per- and Polyfluoroalkyl Substances (PFASs)? Environ. Sci. Technol. 2017, 51, 2508−2518 </w:t>
      </w:r>
    </w:p>
    <w:p w14:paraId="0D0D768F" w14:textId="63193966"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[Washburn </w:t>
      </w:r>
      <w:r w:rsidR="00321ABA" w:rsidRPr="00321ABA">
        <w:rPr>
          <w:i/>
          <w:sz w:val="20"/>
          <w:szCs w:val="20"/>
          <w:lang w:val="en-GB"/>
        </w:rPr>
        <w:t>et al</w:t>
      </w:r>
      <w:r w:rsidRPr="002261B9">
        <w:rPr>
          <w:sz w:val="20"/>
          <w:szCs w:val="20"/>
          <w:lang w:val="en-GB"/>
        </w:rPr>
        <w:t>., 2005] Exposure assessment and risk characterization for perfluorooctanoate in selected consumer articles. Environ SciTechnol 39: 3904-10.</w:t>
      </w:r>
    </w:p>
    <w:p w14:paraId="588A09D7" w14:textId="18C8E1AC"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[Wilhelm M. </w:t>
      </w:r>
      <w:r w:rsidR="00321ABA" w:rsidRPr="00321ABA">
        <w:rPr>
          <w:i/>
          <w:sz w:val="20"/>
          <w:szCs w:val="20"/>
          <w:lang w:val="en-GB"/>
        </w:rPr>
        <w:t>et al</w:t>
      </w:r>
      <w:r w:rsidRPr="002261B9">
        <w:rPr>
          <w:sz w:val="20"/>
          <w:szCs w:val="20"/>
          <w:lang w:val="en-GB"/>
        </w:rPr>
        <w:t xml:space="preserve">, 2009] Preliminary observations on perfluorinated compounds in plasma samples (1977–2004) of young German adults from an area with perfluorooctanoate-contaminated drinking water.Int J Hyg Environ Health. 212(2):142-5. doi: 10.1016/j.ijheh.2008.04.008 </w:t>
      </w:r>
    </w:p>
    <w:p w14:paraId="42A8584B" w14:textId="543EA746"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[Wilhelm M. </w:t>
      </w:r>
      <w:r w:rsidR="00321ABA" w:rsidRPr="00321ABA">
        <w:rPr>
          <w:i/>
          <w:sz w:val="20"/>
          <w:szCs w:val="20"/>
          <w:lang w:val="en-GB"/>
        </w:rPr>
        <w:t>et al</w:t>
      </w:r>
      <w:r w:rsidRPr="002261B9">
        <w:rPr>
          <w:sz w:val="20"/>
          <w:szCs w:val="20"/>
          <w:lang w:val="en-GB"/>
        </w:rPr>
        <w:t xml:space="preserve">., 2010] Occurrence of perfluorinated compounds (PFCs) in drinking water of North Rhine-Westphalia, Germany and new approach to assess drinking water contamination by </w:t>
      </w:r>
      <w:r w:rsidRPr="002261B9">
        <w:rPr>
          <w:sz w:val="20"/>
          <w:szCs w:val="20"/>
          <w:lang w:val="en-GB"/>
        </w:rPr>
        <w:br/>
        <w:t>shorter-chained C</w:t>
      </w:r>
      <w:r w:rsidRPr="002261B9">
        <w:rPr>
          <w:sz w:val="20"/>
          <w:szCs w:val="20"/>
          <w:vertAlign w:val="subscript"/>
          <w:lang w:val="en-GB"/>
        </w:rPr>
        <w:t>4</w:t>
      </w:r>
      <w:r w:rsidRPr="002261B9">
        <w:rPr>
          <w:sz w:val="20"/>
          <w:szCs w:val="20"/>
          <w:lang w:val="en-GB"/>
        </w:rPr>
        <w:t>–C</w:t>
      </w:r>
      <w:r w:rsidRPr="002261B9">
        <w:rPr>
          <w:sz w:val="20"/>
          <w:szCs w:val="20"/>
          <w:vertAlign w:val="subscript"/>
          <w:lang w:val="en-GB"/>
        </w:rPr>
        <w:t>7</w:t>
      </w:r>
      <w:r w:rsidRPr="002261B9">
        <w:rPr>
          <w:sz w:val="20"/>
          <w:szCs w:val="20"/>
          <w:lang w:val="en-GB"/>
        </w:rPr>
        <w:t xml:space="preserve"> PFCs.Int J Hyg Environ Health. 213(3):224-32. </w:t>
      </w:r>
    </w:p>
    <w:p w14:paraId="4F501142" w14:textId="6C8FB95A" w:rsidR="001D03FD" w:rsidRPr="002261B9" w:rsidRDefault="001D03FD" w:rsidP="001D03FD">
      <w:pPr>
        <w:pStyle w:val="CommentText"/>
        <w:spacing w:after="120"/>
        <w:ind w:left="1247" w:right="57"/>
        <w:rPr>
          <w:lang w:val="en-GB"/>
        </w:rPr>
      </w:pPr>
      <w:r w:rsidRPr="002261B9">
        <w:rPr>
          <w:lang w:val="en-GB"/>
        </w:rPr>
        <w:t xml:space="preserve">[Williams </w:t>
      </w:r>
      <w:r w:rsidR="00321ABA" w:rsidRPr="00321ABA">
        <w:rPr>
          <w:i/>
          <w:lang w:val="en-GB"/>
        </w:rPr>
        <w:t>et al</w:t>
      </w:r>
      <w:r w:rsidRPr="002261B9">
        <w:rPr>
          <w:lang w:val="en-GB"/>
        </w:rPr>
        <w:t>., 2011] Extinguishment and Burnback Tests of Fluorinated and Fluorine-free</w:t>
      </w:r>
    </w:p>
    <w:p w14:paraId="4DB2ECEA" w14:textId="77777777" w:rsidR="001D03FD" w:rsidRPr="002261B9" w:rsidRDefault="001D03FD" w:rsidP="001D03FD">
      <w:pPr>
        <w:pStyle w:val="CommentText"/>
        <w:spacing w:after="120"/>
        <w:ind w:left="1247" w:right="57"/>
        <w:rPr>
          <w:lang w:val="en-GB"/>
        </w:rPr>
      </w:pPr>
      <w:r w:rsidRPr="002261B9">
        <w:rPr>
          <w:lang w:val="en-GB"/>
        </w:rPr>
        <w:t>Firefighting Foams with and without Film Formation. In Suppression, Detection and Signalling</w:t>
      </w:r>
    </w:p>
    <w:p w14:paraId="6437A1FA" w14:textId="77777777" w:rsidR="001D03FD" w:rsidRPr="002261B9" w:rsidRDefault="001D03FD" w:rsidP="001D03FD">
      <w:pPr>
        <w:pStyle w:val="CommentText"/>
        <w:spacing w:after="120"/>
        <w:ind w:left="1247" w:right="57"/>
        <w:rPr>
          <w:lang w:val="en-GB"/>
        </w:rPr>
      </w:pPr>
      <w:r w:rsidRPr="002261B9">
        <w:rPr>
          <w:lang w:val="en-GB"/>
        </w:rPr>
        <w:t>Research and Applications- A Technical Working Conference, Orlando, Florida USA, 2011, pp. 1-</w:t>
      </w:r>
    </w:p>
    <w:p w14:paraId="454DCCE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15 available at http://www.nfpa.org/news-and-research/fire-statistics-and-reports/research-reports/proceedings/2011-proceedings/supdet-2011.</w:t>
      </w:r>
    </w:p>
    <w:p w14:paraId="54BADF5C"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[Wilson, 2016] Can F3 agents take the fire security heat?. Mike Wilson. International Airport Review 20(6).</w:t>
      </w:r>
    </w:p>
    <w:p w14:paraId="2017A8A9" w14:textId="77777777"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[WSP, 2014] WSP Canada Inc. Effectiveness of Conventional and Advanced In Situ Leachate Treatment. Report prepared for Environment Canada (Call for Tender K2AA0-13-9013). </w:t>
      </w:r>
    </w:p>
    <w:p w14:paraId="46AE25E0" w14:textId="3F6A86D6"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[Xu </w:t>
      </w:r>
      <w:r w:rsidR="00321ABA" w:rsidRPr="00321ABA">
        <w:rPr>
          <w:i/>
          <w:sz w:val="20"/>
          <w:szCs w:val="20"/>
          <w:lang w:val="en-GB"/>
        </w:rPr>
        <w:t>et al</w:t>
      </w:r>
      <w:r w:rsidRPr="002261B9">
        <w:rPr>
          <w:sz w:val="20"/>
          <w:szCs w:val="20"/>
          <w:lang w:val="en-GB"/>
        </w:rPr>
        <w:t>., 2011] A novel fluorocarbon surfactant: synthesis and application in emulsion polymerization of perfluoroalkyl methacrylates. Paint Coat Ind 41: 17-21.</w:t>
      </w:r>
    </w:p>
    <w:p w14:paraId="21EFCAFC" w14:textId="0F075962" w:rsidR="001D03FD" w:rsidRPr="002261B9" w:rsidRDefault="001D03FD" w:rsidP="001D03FD">
      <w:pPr>
        <w:tabs>
          <w:tab w:val="left" w:pos="624"/>
          <w:tab w:val="left" w:pos="1247"/>
          <w:tab w:val="left" w:pos="1440"/>
        </w:tabs>
        <w:spacing w:after="120"/>
        <w:ind w:left="1247" w:right="57"/>
        <w:rPr>
          <w:sz w:val="20"/>
          <w:szCs w:val="20"/>
          <w:lang w:val="fr-CH"/>
        </w:rPr>
      </w:pPr>
      <w:r w:rsidRPr="002261B9">
        <w:rPr>
          <w:sz w:val="20"/>
          <w:szCs w:val="20"/>
          <w:lang w:val="en-GB"/>
        </w:rPr>
        <w:t xml:space="preserve">[Xu </w:t>
      </w:r>
      <w:r w:rsidR="00321ABA" w:rsidRPr="00321ABA">
        <w:rPr>
          <w:i/>
          <w:sz w:val="20"/>
          <w:szCs w:val="20"/>
          <w:lang w:val="en-GB"/>
        </w:rPr>
        <w:t>et al</w:t>
      </w:r>
      <w:r w:rsidRPr="002261B9">
        <w:rPr>
          <w:sz w:val="20"/>
          <w:szCs w:val="20"/>
          <w:lang w:val="en-GB"/>
        </w:rPr>
        <w:t xml:space="preserve">., 2013] Determination of PFOS and PFOA in food matrix of animal origin using UHPLC hyphenated triple quadrupole tandem mass spectrometry. </w:t>
      </w:r>
      <w:r w:rsidRPr="002261B9">
        <w:rPr>
          <w:sz w:val="20"/>
          <w:szCs w:val="20"/>
          <w:lang w:val="fr-CH"/>
        </w:rPr>
        <w:t>Application Note. Agilent Technologies. Availablefrom: https://www.agilent.com/cs/library/applications/5991-1948EN.pdf.</w:t>
      </w:r>
    </w:p>
    <w:p w14:paraId="074AD967" w14:textId="2414F59D" w:rsidR="001D03FD" w:rsidRPr="002261B9" w:rsidRDefault="001D03FD" w:rsidP="001D03FD">
      <w:pPr>
        <w:tabs>
          <w:tab w:val="left" w:pos="624"/>
          <w:tab w:val="left" w:pos="1247"/>
          <w:tab w:val="left" w:pos="1440"/>
        </w:tabs>
        <w:spacing w:after="120"/>
        <w:ind w:left="1247" w:right="57"/>
        <w:rPr>
          <w:sz w:val="20"/>
          <w:szCs w:val="20"/>
          <w:lang w:val="da-DK"/>
        </w:rPr>
      </w:pPr>
      <w:r w:rsidRPr="002261B9">
        <w:rPr>
          <w:sz w:val="20"/>
          <w:szCs w:val="20"/>
          <w:lang w:val="es-CR"/>
        </w:rPr>
        <w:t xml:space="preserve">[Yamada </w:t>
      </w:r>
      <w:r w:rsidR="00321ABA" w:rsidRPr="00321ABA">
        <w:rPr>
          <w:i/>
          <w:sz w:val="20"/>
          <w:szCs w:val="20"/>
          <w:lang w:val="es-CR"/>
        </w:rPr>
        <w:t>et al</w:t>
      </w:r>
      <w:r w:rsidRPr="002261B9">
        <w:rPr>
          <w:sz w:val="20"/>
          <w:szCs w:val="20"/>
          <w:lang w:val="es-CR"/>
        </w:rPr>
        <w:t xml:space="preserve">., 2005] Yamada T, Taylor PH, Buck RC, Kaiser MA, Giraud RJ. 2005. </w:t>
      </w:r>
      <w:r w:rsidRPr="002261B9">
        <w:rPr>
          <w:sz w:val="20"/>
          <w:szCs w:val="20"/>
          <w:lang w:val="en-GB"/>
        </w:rPr>
        <w:t xml:space="preserve">Thermal degradation of fluorotelomer treated articles and related materials. </w:t>
      </w:r>
      <w:r w:rsidRPr="002261B9">
        <w:rPr>
          <w:sz w:val="20"/>
          <w:szCs w:val="20"/>
          <w:lang w:val="da-DK"/>
        </w:rPr>
        <w:t>Chemosphere 61, 974–84.</w:t>
      </w:r>
    </w:p>
    <w:p w14:paraId="5D82EC34" w14:textId="39C3D4FA"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da-DK"/>
        </w:rPr>
        <w:t xml:space="preserve">[Yu </w:t>
      </w:r>
      <w:r w:rsidR="00321ABA" w:rsidRPr="00321ABA">
        <w:rPr>
          <w:i/>
          <w:sz w:val="20"/>
          <w:szCs w:val="20"/>
          <w:lang w:val="da-DK"/>
        </w:rPr>
        <w:t>et al</w:t>
      </w:r>
      <w:r w:rsidRPr="002261B9">
        <w:rPr>
          <w:sz w:val="20"/>
          <w:szCs w:val="20"/>
          <w:lang w:val="da-DK"/>
        </w:rPr>
        <w:t xml:space="preserve">., 2008] Yu K, Song X, Cui L, Han S. 2008. Patent: </w:t>
      </w:r>
      <w:r w:rsidRPr="002261B9">
        <w:rPr>
          <w:rFonts w:ascii="MS Gothic" w:eastAsia="MS Gothic" w:hAnsi="MS Gothic" w:cs="MS Gothic" w:hint="eastAsia"/>
          <w:sz w:val="20"/>
          <w:szCs w:val="20"/>
        </w:rPr>
        <w:t>分散法聚四氟乙</w:t>
      </w:r>
      <w:r w:rsidRPr="002261B9">
        <w:rPr>
          <w:rFonts w:ascii="MingLiU" w:eastAsia="MingLiU" w:hAnsi="MingLiU" w:cs="MingLiU" w:hint="eastAsia"/>
          <w:sz w:val="20"/>
          <w:szCs w:val="20"/>
        </w:rPr>
        <w:t>烯树脂生产中全氟辛酸铵的回收处理方法。</w:t>
      </w:r>
      <w:r w:rsidRPr="002261B9">
        <w:rPr>
          <w:sz w:val="20"/>
          <w:szCs w:val="20"/>
          <w:lang w:val="en-GB"/>
        </w:rPr>
        <w:t>[Method for recovering and treating perfluoro ammonium caprylate for PTFE resin production by dispersion method.] Patent No. CN 100376537 C. [in Chinese]</w:t>
      </w:r>
    </w:p>
    <w:p w14:paraId="02AC720B" w14:textId="0C95DFF6"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[Zhao </w:t>
      </w:r>
      <w:r w:rsidR="00321ABA" w:rsidRPr="00321ABA">
        <w:rPr>
          <w:i/>
          <w:sz w:val="20"/>
          <w:szCs w:val="20"/>
          <w:lang w:val="en-GB"/>
        </w:rPr>
        <w:t>et al</w:t>
      </w:r>
      <w:r w:rsidRPr="002261B9">
        <w:rPr>
          <w:sz w:val="20"/>
          <w:szCs w:val="20"/>
          <w:lang w:val="en-GB"/>
        </w:rPr>
        <w:t>., 2012] Distribution and long-range transport of polyfluoroalkyl substances in the Arctic,Atlantic Ocean and Antarctic coast. Environmental Pollution 170 (2012) 71-77.</w:t>
      </w:r>
    </w:p>
    <w:p w14:paraId="2C9FB9BC" w14:textId="3FE07703" w:rsidR="001D03FD" w:rsidRPr="002261B9"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[Zhao </w:t>
      </w:r>
      <w:r w:rsidR="00321ABA" w:rsidRPr="00321ABA">
        <w:rPr>
          <w:i/>
          <w:sz w:val="20"/>
          <w:szCs w:val="20"/>
          <w:lang w:val="en-GB"/>
        </w:rPr>
        <w:t>et al</w:t>
      </w:r>
      <w:r w:rsidRPr="002261B9">
        <w:rPr>
          <w:sz w:val="20"/>
          <w:szCs w:val="20"/>
          <w:lang w:val="en-GB"/>
        </w:rPr>
        <w:t>., 2013a] 6:2 fluorotelomer alcohol biotransformation in an aerobic river sediment system. Chemosphere 90: 203-9.</w:t>
      </w:r>
    </w:p>
    <w:p w14:paraId="06A51B73" w14:textId="0FB90EE5" w:rsidR="001D03FD" w:rsidRPr="00321ABA" w:rsidRDefault="001D03FD" w:rsidP="001D03FD">
      <w:pPr>
        <w:tabs>
          <w:tab w:val="left" w:pos="624"/>
          <w:tab w:val="left" w:pos="1247"/>
          <w:tab w:val="left" w:pos="1440"/>
        </w:tabs>
        <w:spacing w:after="120"/>
        <w:ind w:left="1247" w:right="57"/>
        <w:rPr>
          <w:sz w:val="20"/>
          <w:szCs w:val="20"/>
          <w:lang w:val="en-GB"/>
        </w:rPr>
      </w:pPr>
      <w:r w:rsidRPr="002261B9">
        <w:rPr>
          <w:sz w:val="20"/>
          <w:szCs w:val="20"/>
          <w:lang w:val="en-GB"/>
        </w:rPr>
        <w:t xml:space="preserve">[Zhao </w:t>
      </w:r>
      <w:r w:rsidR="00321ABA" w:rsidRPr="00321ABA">
        <w:rPr>
          <w:i/>
          <w:sz w:val="20"/>
          <w:szCs w:val="20"/>
          <w:lang w:val="en-GB"/>
        </w:rPr>
        <w:t>et al</w:t>
      </w:r>
      <w:r w:rsidRPr="002261B9">
        <w:rPr>
          <w:sz w:val="20"/>
          <w:szCs w:val="20"/>
          <w:lang w:val="en-GB"/>
        </w:rPr>
        <w:t xml:space="preserve">., 2013b] 6:2 Fluorotelomer alcohol aerobic biotransformation in activated sludge from two domestic wastewater treatment plants. </w:t>
      </w:r>
      <w:r w:rsidRPr="00321ABA">
        <w:rPr>
          <w:sz w:val="20"/>
          <w:szCs w:val="20"/>
          <w:lang w:val="en-GB"/>
        </w:rPr>
        <w:t>Chemosphere 92: 646-70.</w:t>
      </w:r>
    </w:p>
    <w:tbl>
      <w:tblPr>
        <w:tblW w:w="5000" w:type="pct"/>
        <w:jc w:val="right"/>
        <w:tblLook w:val="04A0" w:firstRow="1" w:lastRow="0" w:firstColumn="1" w:lastColumn="0" w:noHBand="0" w:noVBand="1"/>
      </w:tblPr>
      <w:tblGrid>
        <w:gridCol w:w="1898"/>
        <w:gridCol w:w="1899"/>
        <w:gridCol w:w="1899"/>
        <w:gridCol w:w="1900"/>
        <w:gridCol w:w="1900"/>
      </w:tblGrid>
      <w:tr w:rsidR="001D03FD" w:rsidRPr="00321ABA" w14:paraId="2289F99C" w14:textId="77777777" w:rsidTr="001E397C">
        <w:trPr>
          <w:jc w:val="right"/>
        </w:trPr>
        <w:tc>
          <w:tcPr>
            <w:tcW w:w="1942" w:type="dxa"/>
            <w:shd w:val="clear" w:color="auto" w:fill="auto"/>
          </w:tcPr>
          <w:p w14:paraId="071AAD19" w14:textId="77777777" w:rsidR="001D03FD" w:rsidRPr="007D3923" w:rsidRDefault="001D03FD" w:rsidP="001E397C">
            <w:pPr>
              <w:pStyle w:val="Normal-pool"/>
              <w:spacing w:before="520"/>
            </w:pPr>
          </w:p>
        </w:tc>
        <w:tc>
          <w:tcPr>
            <w:tcW w:w="1942" w:type="dxa"/>
            <w:shd w:val="clear" w:color="auto" w:fill="auto"/>
          </w:tcPr>
          <w:p w14:paraId="256F52E7" w14:textId="77777777" w:rsidR="001D03FD" w:rsidRPr="007D3923" w:rsidRDefault="001D03FD" w:rsidP="001E397C">
            <w:pPr>
              <w:pStyle w:val="Normal-pool"/>
              <w:spacing w:before="520"/>
            </w:pPr>
          </w:p>
        </w:tc>
        <w:tc>
          <w:tcPr>
            <w:tcW w:w="1942" w:type="dxa"/>
            <w:tcBorders>
              <w:bottom w:val="single" w:sz="4" w:space="0" w:color="auto"/>
            </w:tcBorders>
            <w:shd w:val="clear" w:color="auto" w:fill="auto"/>
          </w:tcPr>
          <w:p w14:paraId="3ACC31F3" w14:textId="77777777" w:rsidR="001D03FD" w:rsidRPr="007D3923" w:rsidRDefault="001D03FD" w:rsidP="001E397C">
            <w:pPr>
              <w:pStyle w:val="Normal-pool"/>
              <w:spacing w:before="520"/>
            </w:pPr>
          </w:p>
        </w:tc>
        <w:tc>
          <w:tcPr>
            <w:tcW w:w="1943" w:type="dxa"/>
            <w:shd w:val="clear" w:color="auto" w:fill="auto"/>
          </w:tcPr>
          <w:p w14:paraId="46A4FC70" w14:textId="77777777" w:rsidR="001D03FD" w:rsidRPr="007D3923" w:rsidRDefault="001D03FD" w:rsidP="001E397C">
            <w:pPr>
              <w:pStyle w:val="Normal-pool"/>
              <w:spacing w:before="520"/>
            </w:pPr>
          </w:p>
        </w:tc>
        <w:tc>
          <w:tcPr>
            <w:tcW w:w="1943" w:type="dxa"/>
            <w:shd w:val="clear" w:color="auto" w:fill="auto"/>
          </w:tcPr>
          <w:p w14:paraId="42752144" w14:textId="77777777" w:rsidR="001D03FD" w:rsidRPr="007D3923" w:rsidRDefault="001D03FD" w:rsidP="001E397C">
            <w:pPr>
              <w:pStyle w:val="Normal-pool"/>
              <w:spacing w:before="520"/>
            </w:pPr>
          </w:p>
        </w:tc>
      </w:tr>
    </w:tbl>
    <w:p w14:paraId="415B3D82" w14:textId="0D47877D" w:rsidR="006F57D4" w:rsidRPr="00321ABA" w:rsidRDefault="006F57D4" w:rsidP="00D005B6">
      <w:pPr>
        <w:tabs>
          <w:tab w:val="left" w:pos="624"/>
          <w:tab w:val="left" w:pos="1247"/>
          <w:tab w:val="left" w:pos="1440"/>
        </w:tabs>
        <w:spacing w:after="80"/>
        <w:jc w:val="both"/>
        <w:rPr>
          <w:sz w:val="20"/>
          <w:szCs w:val="20"/>
          <w:lang w:val="en-GB"/>
        </w:rPr>
      </w:pPr>
    </w:p>
    <w:sectPr w:rsidR="006F57D4" w:rsidRPr="00321ABA" w:rsidSect="008113A2">
      <w:headerReference w:type="even" r:id="rId72"/>
      <w:headerReference w:type="default" r:id="rId73"/>
      <w:footerReference w:type="even" r:id="rId74"/>
      <w:footerReference w:type="default" r:id="rId75"/>
      <w:footerReference w:type="first" r:id="rId76"/>
      <w:type w:val="continuous"/>
      <w:pgSz w:w="11906" w:h="16838" w:code="9"/>
      <w:pgMar w:top="907" w:right="992" w:bottom="1418" w:left="1418" w:header="539" w:footer="9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469D" w14:textId="77777777" w:rsidR="001E397C" w:rsidRDefault="001E397C" w:rsidP="00AC4CE6">
      <w:r>
        <w:separator/>
      </w:r>
    </w:p>
  </w:endnote>
  <w:endnote w:type="continuationSeparator" w:id="0">
    <w:p w14:paraId="4EB9BB94" w14:textId="77777777" w:rsidR="001E397C" w:rsidRDefault="001E397C" w:rsidP="00A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45">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98886"/>
      <w:docPartObj>
        <w:docPartGallery w:val="Page Numbers (Bottom of Page)"/>
        <w:docPartUnique/>
      </w:docPartObj>
    </w:sdtPr>
    <w:sdtEndPr>
      <w:rPr>
        <w:noProof/>
      </w:rPr>
    </w:sdtEndPr>
    <w:sdtContent>
      <w:p w14:paraId="304AEB77" w14:textId="4062A7D3" w:rsidR="001E397C" w:rsidRDefault="001E397C" w:rsidP="008113A2">
        <w:pPr>
          <w:pStyle w:val="Footer"/>
          <w:jc w:val="left"/>
        </w:pPr>
        <w:r w:rsidRPr="00156689">
          <w:rPr>
            <w:rFonts w:ascii="Times New Roman" w:hAnsi="Times New Roman" w:cs="Times New Roman"/>
            <w:b/>
            <w:sz w:val="18"/>
            <w:szCs w:val="18"/>
          </w:rPr>
          <w:fldChar w:fldCharType="begin"/>
        </w:r>
        <w:r w:rsidRPr="00156689">
          <w:rPr>
            <w:rFonts w:ascii="Times New Roman" w:hAnsi="Times New Roman" w:cs="Times New Roman"/>
            <w:b/>
            <w:sz w:val="18"/>
            <w:szCs w:val="18"/>
          </w:rPr>
          <w:instrText xml:space="preserve"> PAGE   \* MERGEFORMAT </w:instrText>
        </w:r>
        <w:r w:rsidRPr="00156689">
          <w:rPr>
            <w:rFonts w:ascii="Times New Roman" w:hAnsi="Times New Roman" w:cs="Times New Roman"/>
            <w:b/>
            <w:sz w:val="18"/>
            <w:szCs w:val="18"/>
          </w:rPr>
          <w:fldChar w:fldCharType="separate"/>
        </w:r>
        <w:r w:rsidR="0074368B">
          <w:rPr>
            <w:rFonts w:ascii="Times New Roman" w:hAnsi="Times New Roman" w:cs="Times New Roman"/>
            <w:b/>
            <w:noProof/>
            <w:sz w:val="18"/>
            <w:szCs w:val="18"/>
          </w:rPr>
          <w:t>20</w:t>
        </w:r>
        <w:r w:rsidRPr="00156689">
          <w:rPr>
            <w:rFonts w:ascii="Times New Roman" w:hAnsi="Times New Roman" w:cs="Times New Roman"/>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28117"/>
      <w:docPartObj>
        <w:docPartGallery w:val="Page Numbers (Bottom of Page)"/>
        <w:docPartUnique/>
      </w:docPartObj>
    </w:sdtPr>
    <w:sdtEndPr>
      <w:rPr>
        <w:noProof/>
      </w:rPr>
    </w:sdtEndPr>
    <w:sdtContent>
      <w:p w14:paraId="0E72E8E7" w14:textId="103C05EC" w:rsidR="001E397C" w:rsidRDefault="001E397C" w:rsidP="00156689">
        <w:pPr>
          <w:pStyle w:val="Footer"/>
          <w:jc w:val="right"/>
        </w:pPr>
        <w:r w:rsidRPr="00156689">
          <w:rPr>
            <w:rFonts w:ascii="Times New Roman" w:hAnsi="Times New Roman" w:cs="Times New Roman"/>
            <w:b/>
            <w:sz w:val="18"/>
            <w:szCs w:val="18"/>
          </w:rPr>
          <w:fldChar w:fldCharType="begin"/>
        </w:r>
        <w:r w:rsidRPr="00156689">
          <w:rPr>
            <w:rFonts w:ascii="Times New Roman" w:hAnsi="Times New Roman" w:cs="Times New Roman"/>
            <w:b/>
            <w:sz w:val="18"/>
            <w:szCs w:val="18"/>
          </w:rPr>
          <w:instrText xml:space="preserve"> PAGE   \* MERGEFORMAT </w:instrText>
        </w:r>
        <w:r w:rsidRPr="00156689">
          <w:rPr>
            <w:rFonts w:ascii="Times New Roman" w:hAnsi="Times New Roman" w:cs="Times New Roman"/>
            <w:b/>
            <w:sz w:val="18"/>
            <w:szCs w:val="18"/>
          </w:rPr>
          <w:fldChar w:fldCharType="separate"/>
        </w:r>
        <w:r w:rsidR="0074368B">
          <w:rPr>
            <w:rFonts w:ascii="Times New Roman" w:hAnsi="Times New Roman" w:cs="Times New Roman"/>
            <w:b/>
            <w:noProof/>
            <w:sz w:val="18"/>
            <w:szCs w:val="18"/>
          </w:rPr>
          <w:t>21</w:t>
        </w:r>
        <w:r w:rsidRPr="00156689">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605414"/>
      <w:docPartObj>
        <w:docPartGallery w:val="Page Numbers (Bottom of Page)"/>
        <w:docPartUnique/>
      </w:docPartObj>
    </w:sdtPr>
    <w:sdtEndPr>
      <w:rPr>
        <w:rFonts w:ascii="Times New Roman" w:hAnsi="Times New Roman" w:cs="Times New Roman"/>
        <w:noProof/>
        <w:sz w:val="18"/>
        <w:szCs w:val="18"/>
      </w:rPr>
    </w:sdtEndPr>
    <w:sdtContent>
      <w:p w14:paraId="457C78C1" w14:textId="5FA6AF24" w:rsidR="001E397C" w:rsidRPr="008113A2" w:rsidRDefault="001E397C" w:rsidP="008113A2">
        <w:pPr>
          <w:pStyle w:val="Footer"/>
          <w:tabs>
            <w:tab w:val="clear" w:pos="4536"/>
            <w:tab w:val="clear" w:pos="9072"/>
          </w:tabs>
          <w:spacing w:after="0"/>
          <w:jc w:val="left"/>
          <w:rPr>
            <w:rFonts w:ascii="Times New Roman" w:hAnsi="Times New Roman" w:cs="Times New Roman"/>
            <w:sz w:val="18"/>
            <w:szCs w:val="18"/>
          </w:rPr>
        </w:pPr>
        <w:r w:rsidRPr="008113A2">
          <w:rPr>
            <w:rFonts w:ascii="Times New Roman" w:hAnsi="Times New Roman" w:cs="Times New Roman"/>
          </w:rPr>
          <w:t>K170</w:t>
        </w:r>
        <w:r>
          <w:rPr>
            <w:rFonts w:ascii="Times New Roman" w:hAnsi="Times New Roman" w:cs="Times New Roman"/>
          </w:rPr>
          <w:t>8705</w:t>
        </w:r>
        <w:r w:rsidRPr="008113A2">
          <w:rPr>
            <w:rFonts w:ascii="Times New Roman" w:hAnsi="Times New Roman" w:cs="Times New Roman"/>
          </w:rPr>
          <w:tab/>
        </w:r>
        <w:r w:rsidR="0074368B">
          <w:rPr>
            <w:rFonts w:ascii="Times New Roman" w:hAnsi="Times New Roman" w:cs="Times New Roman"/>
          </w:rPr>
          <w:t>26</w:t>
        </w:r>
        <w:r>
          <w:rPr>
            <w:rFonts w:ascii="Times New Roman" w:hAnsi="Times New Roman" w:cs="Times New Roman"/>
          </w:rPr>
          <w:t>0118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F5C8" w14:textId="77777777" w:rsidR="001E397C" w:rsidRPr="00F0713C" w:rsidRDefault="001E397C" w:rsidP="001E397C">
      <w:pPr>
        <w:spacing w:before="20" w:after="40"/>
        <w:ind w:left="624"/>
        <w:rPr>
          <w:sz w:val="20"/>
          <w:szCs w:val="20"/>
        </w:rPr>
      </w:pPr>
      <w:r w:rsidRPr="00F0713C">
        <w:rPr>
          <w:sz w:val="20"/>
          <w:szCs w:val="20"/>
        </w:rPr>
        <w:separator/>
      </w:r>
    </w:p>
  </w:footnote>
  <w:footnote w:type="continuationSeparator" w:id="0">
    <w:p w14:paraId="6888229A" w14:textId="77777777" w:rsidR="001E397C" w:rsidRDefault="001E397C" w:rsidP="00AC4CE6">
      <w:r>
        <w:continuationSeparator/>
      </w:r>
    </w:p>
  </w:footnote>
  <w:footnote w:id="1">
    <w:p w14:paraId="59D81AD9" w14:textId="1272F519"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La definición de compuestos conexos del PFOA difiere según el ámbito de aplicación del producto químico de los diferentes enfoques. En el presente documento, la expresión “compuestos conexos del PFOA” se utiliza conforme a la definición que figura en la sección 1.1. En las citas tomadas de otras fuentes de información, se mantiene la redacción original de términos análogos, como “sustancias conexas del PFOA” (por ejemplo, la utilizada en ECHA (2015a)).</w:t>
      </w:r>
    </w:p>
  </w:footnote>
  <w:footnote w:id="2">
    <w:p w14:paraId="59D79F0F"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n-GB"/>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n-GB"/>
        </w:rPr>
        <w:t xml:space="preserve"> DuPont, 1998. </w:t>
      </w:r>
      <w:r w:rsidRPr="001E397C">
        <w:rPr>
          <w:rFonts w:ascii="Times New Roman" w:hAnsi="Times New Roman"/>
          <w:i/>
          <w:sz w:val="18"/>
          <w:szCs w:val="18"/>
          <w:lang w:val="en-GB"/>
        </w:rPr>
        <w:t>Technical information: Zonyl fluorochemical intermediates</w:t>
      </w:r>
      <w:r w:rsidRPr="001E397C">
        <w:rPr>
          <w:rFonts w:ascii="Times New Roman" w:hAnsi="Times New Roman"/>
          <w:sz w:val="18"/>
          <w:szCs w:val="18"/>
          <w:lang w:val="en-GB"/>
        </w:rPr>
        <w:t>.</w:t>
      </w:r>
    </w:p>
  </w:footnote>
  <w:footnote w:id="3">
    <w:p w14:paraId="3FFDE1E8"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Fonts w:ascii="Times New Roman" w:hAnsi="Times New Roman"/>
          <w:sz w:val="18"/>
          <w:szCs w:val="18"/>
          <w:vertAlign w:val="superscript"/>
          <w:lang w:val="es-ES"/>
        </w:rPr>
        <w:footnoteRef/>
      </w:r>
      <w:r w:rsidRPr="001E397C">
        <w:rPr>
          <w:rFonts w:ascii="Times New Roman" w:hAnsi="Times New Roman"/>
          <w:sz w:val="18"/>
          <w:szCs w:val="18"/>
          <w:lang w:val="es-ES"/>
        </w:rPr>
        <w:t xml:space="preserve"> Los fluoropolímeros tienen una cadena principal solo de átomos de carbono a los que el flúor se acopla directamente.</w:t>
      </w:r>
    </w:p>
  </w:footnote>
  <w:footnote w:id="4">
    <w:p w14:paraId="09D06ADC"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Como PTFE (politetrafluoroetileno), FEP (polímero de fluoroetileno-propileno) y PFA (polímero de perfluoroalkoxi).</w:t>
      </w:r>
    </w:p>
  </w:footnote>
  <w:footnote w:id="5">
    <w:p w14:paraId="1BA02AC7" w14:textId="77777777" w:rsidR="001E397C" w:rsidRPr="001E397C" w:rsidRDefault="001E397C" w:rsidP="00757B33">
      <w:pPr>
        <w:pStyle w:val="FootnoteText"/>
        <w:spacing w:before="20" w:after="40"/>
        <w:ind w:left="1247"/>
        <w:jc w:val="left"/>
        <w:rPr>
          <w:rFonts w:ascii="Times New Roman" w:hAnsi="Times New Roman"/>
          <w:sz w:val="18"/>
          <w:szCs w:val="18"/>
          <w:lang w:val="en-GB"/>
        </w:rPr>
      </w:pPr>
      <w:r w:rsidRPr="001E397C">
        <w:rPr>
          <w:rFonts w:ascii="Times New Roman" w:hAnsi="Times New Roman"/>
          <w:sz w:val="18"/>
          <w:szCs w:val="18"/>
          <w:vertAlign w:val="superscript"/>
          <w:lang w:val="en-GB"/>
        </w:rPr>
        <w:footnoteRef/>
      </w:r>
      <w:r w:rsidRPr="001E397C">
        <w:rPr>
          <w:rFonts w:ascii="Times New Roman" w:hAnsi="Times New Roman"/>
          <w:sz w:val="18"/>
          <w:szCs w:val="18"/>
          <w:vertAlign w:val="superscript"/>
          <w:lang w:val="en-GB"/>
        </w:rPr>
        <w:t xml:space="preserve"> </w:t>
      </w:r>
      <w:r w:rsidRPr="001E397C">
        <w:rPr>
          <w:rFonts w:ascii="Times New Roman" w:hAnsi="Times New Roman"/>
          <w:sz w:val="18"/>
          <w:szCs w:val="18"/>
          <w:lang w:val="en-GB"/>
        </w:rPr>
        <w:t>UNEP/POPS/POPRC.13/INF/6/Add.1.</w:t>
      </w:r>
    </w:p>
  </w:footnote>
  <w:footnote w:id="6">
    <w:p w14:paraId="307BF6F9"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n-U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n-US"/>
        </w:rPr>
        <w:t>http://chm.pops.int/TheConvention/POPsReviewCommittee/Meetings/POPRC12/POPRC12Followup/PFOAInfo/tabid/5453/Default.aspx.</w:t>
      </w:r>
    </w:p>
  </w:footnote>
  <w:footnote w:id="7">
    <w:p w14:paraId="01F6AA21"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n-U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n-US"/>
        </w:rPr>
        <w:t xml:space="preserve"> http://www.ec.gc.ca/epe-epa/default.asp?lang=En&amp;n=AE06B51E-1.</w:t>
      </w:r>
    </w:p>
  </w:footnote>
  <w:footnote w:id="8">
    <w:p w14:paraId="6EE961C4" w14:textId="479D530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w:t>
      </w:r>
      <w:r w:rsidRPr="001E397C">
        <w:rPr>
          <w:rFonts w:ascii="Times New Roman" w:hAnsi="Times New Roman"/>
          <w:sz w:val="18"/>
          <w:szCs w:val="18"/>
          <w:lang w:val="es-ES" w:eastAsia="en-GB"/>
        </w:rPr>
        <w:t>A los efectos del Reglamento sobre la Prohibición de Determinadas Sustancias Tóxicas, se entiende por “artículo manufacturado” un producto “que, durante su fabricación, adquiere una forma física específica o un diseño específico y que, para su uso final, tiene una función o funciones que dependen en su totalidad o en parte de su forma o diseño”. Ejemplos de artículos manufacturados son los semiconductores y las sartenes, aunque se excluirían productos como las espumas ignífugas, las tintas, las pinturas o los recubrimientos (Observaciones del Canadá sobre el primer proyecto de evaluación de la gestión de los riesgos).</w:t>
      </w:r>
    </w:p>
  </w:footnote>
  <w:footnote w:id="9">
    <w:p w14:paraId="27C35B91"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https://www.epa.gov/assessing-and-managing-chemicals-under-tsca/and-polyfluoroalkyl-substances-pfass-under-tsca.</w:t>
      </w:r>
    </w:p>
  </w:footnote>
  <w:footnote w:id="10">
    <w:p w14:paraId="03FFCD22"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Es posible que existan productos comerciales que contengan primordialmente </w:t>
      </w:r>
      <w:r w:rsidRPr="001E397C">
        <w:rPr>
          <w:rFonts w:ascii="Times New Roman" w:hAnsi="Times New Roman"/>
          <w:sz w:val="18"/>
          <w:szCs w:val="18"/>
          <w:lang w:val="es-ES" w:eastAsia="en-US"/>
        </w:rPr>
        <w:t>&gt;99% de un solo homólogo; esto requiere procesos de purificación adicionales.</w:t>
      </w:r>
    </w:p>
  </w:footnote>
  <w:footnote w:id="11">
    <w:p w14:paraId="7FC657F3"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https://echa.europa.eu/registry-of-current-restriction-proposal-intentions/-/substance-rev/16121/term.</w:t>
      </w:r>
    </w:p>
  </w:footnote>
  <w:footnote w:id="12">
    <w:p w14:paraId="7C7B31B8" w14:textId="49C5E95F"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Fonts w:ascii="Times New Roman" w:hAnsi="Times New Roman"/>
          <w:sz w:val="18"/>
          <w:szCs w:val="18"/>
          <w:vertAlign w:val="superscript"/>
          <w:lang w:val="es-ES"/>
        </w:rPr>
        <w:footnoteRef/>
      </w:r>
      <w:r w:rsidRPr="001E397C">
        <w:rPr>
          <w:rFonts w:ascii="Times New Roman" w:hAnsi="Times New Roman"/>
          <w:sz w:val="18"/>
          <w:szCs w:val="18"/>
          <w:lang w:val="es-ES"/>
        </w:rPr>
        <w:t xml:space="preserve"> Véase http://www.healthvermont.gov/response/environmental/pfoa-drinking-water-2016.</w:t>
      </w:r>
    </w:p>
  </w:footnote>
  <w:footnote w:id="13">
    <w:p w14:paraId="1D2F4EBD" w14:textId="4896B91A"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Fonts w:ascii="Times New Roman" w:hAnsi="Times New Roman"/>
          <w:sz w:val="18"/>
          <w:szCs w:val="18"/>
          <w:vertAlign w:val="superscript"/>
          <w:lang w:val="es-ES"/>
        </w:rPr>
        <w:footnoteRef/>
      </w:r>
      <w:r w:rsidRPr="001E397C">
        <w:rPr>
          <w:rFonts w:ascii="Times New Roman" w:hAnsi="Times New Roman"/>
          <w:sz w:val="18"/>
          <w:szCs w:val="18"/>
          <w:lang w:val="es-ES"/>
        </w:rPr>
        <w:t xml:space="preserve"> Véase http://www.nj.gov/dep/watersupply/dwc_quality_pfoa.html.</w:t>
      </w:r>
    </w:p>
  </w:footnote>
  <w:footnote w:id="14">
    <w:p w14:paraId="16E0724B"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El valor de HBM I representa la concentración de una sustancia en una matriz corporal por debajo del cual, según la determinación actual de la Comisión, no cabe esperar efectos adversos para la salud y, por tanto, no hace falta adoptar medidas de reducción de la exposición.</w:t>
      </w:r>
    </w:p>
  </w:footnote>
  <w:footnote w:id="15">
    <w:p w14:paraId="18B60451" w14:textId="77777777" w:rsidR="001E397C" w:rsidRPr="001E397C" w:rsidRDefault="001E397C" w:rsidP="00757B33">
      <w:pPr>
        <w:pStyle w:val="FootnoteText"/>
        <w:spacing w:before="20" w:after="40"/>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https://www.foedevarestyrelsen.dk/Leksikon/Sider/Papir-og-pap.aspx.</w:t>
      </w:r>
    </w:p>
  </w:footnote>
  <w:footnote w:id="16">
    <w:p w14:paraId="2E791D63" w14:textId="77ADA821"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Fonts w:ascii="Times New Roman" w:hAnsi="Times New Roman"/>
          <w:sz w:val="18"/>
          <w:szCs w:val="18"/>
          <w:vertAlign w:val="superscript"/>
          <w:lang w:val="en-GB"/>
        </w:rPr>
        <w:footnoteRef/>
      </w:r>
      <w:r w:rsidRPr="001E397C">
        <w:rPr>
          <w:rFonts w:ascii="Times New Roman" w:hAnsi="Times New Roman"/>
          <w:sz w:val="18"/>
          <w:szCs w:val="18"/>
          <w:lang w:val="es-ES"/>
        </w:rPr>
        <w:t xml:space="preserve"> https://docs.wixstatic.com/ugd/331cad_188bf72c523c46adac082278ac019a7b.pdf.</w:t>
      </w:r>
    </w:p>
  </w:footnote>
  <w:footnote w:id="17">
    <w:p w14:paraId="6FBDE56D"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Los productos textiles de uso técnico con requisitos de alto rendimiento son textiles como los destinados a la protección de los trabajadores contra los riesgos para su salud y seguridad o las membranas textiles destinadas a ser usadas en productos textiles de uso médico, la filtración en el tratamiento de aguas o los procesos de producción y el tratamiento de efluentes.</w:t>
      </w:r>
    </w:p>
  </w:footnote>
  <w:footnote w:id="18">
    <w:p w14:paraId="5B0CB15E" w14:textId="64CA65F6" w:rsidR="001E397C" w:rsidRPr="001E397C" w:rsidRDefault="001E397C" w:rsidP="00757B33">
      <w:pPr>
        <w:pStyle w:val="FootnoteText"/>
        <w:spacing w:before="20" w:after="40" w:line="240" w:lineRule="auto"/>
        <w:ind w:left="1247"/>
        <w:jc w:val="left"/>
        <w:rPr>
          <w:rFonts w:ascii="Times New Roman" w:hAnsi="Times New Roman"/>
          <w:sz w:val="18"/>
          <w:szCs w:val="18"/>
          <w:lang w:val="en-GB"/>
        </w:rPr>
      </w:pPr>
      <w:bookmarkStart w:id="44" w:name="_DV_C709"/>
      <w:r w:rsidRPr="001E397C">
        <w:rPr>
          <w:rStyle w:val="FootnoteReference"/>
          <w:rFonts w:ascii="Times New Roman" w:hAnsi="Times New Roman"/>
          <w:sz w:val="18"/>
          <w:szCs w:val="18"/>
        </w:rPr>
        <w:footnoteRef/>
      </w:r>
      <w:r w:rsidRPr="001E397C">
        <w:rPr>
          <w:rFonts w:ascii="Times New Roman" w:hAnsi="Times New Roman"/>
          <w:sz w:val="18"/>
          <w:szCs w:val="18"/>
          <w:lang w:val="en-GB"/>
        </w:rPr>
        <w:t xml:space="preserve"> </w:t>
      </w:r>
      <w:r w:rsidRPr="001E397C">
        <w:rPr>
          <w:rFonts w:ascii="Times New Roman" w:hAnsi="Times New Roman"/>
          <w:sz w:val="18"/>
          <w:szCs w:val="18"/>
          <w:lang w:val="en-US"/>
        </w:rPr>
        <w:t>Oficio DFIA/SDA/MAPA nº 123/2008 from Ministry of Agriculture, Livestock and Food Supply, Animal and Plant Protection Secretariat Agriculture Inputs Inspection Department.</w:t>
      </w:r>
      <w:bookmarkEnd w:id="44"/>
    </w:p>
  </w:footnote>
  <w:footnote w:id="19">
    <w:p w14:paraId="047EBE55"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n-GB"/>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n-GB"/>
        </w:rPr>
        <w:t xml:space="preserve"> </w:t>
      </w:r>
      <w:r w:rsidRPr="001E397C">
        <w:rPr>
          <w:rFonts w:ascii="Times New Roman" w:hAnsi="Times New Roman"/>
          <w:sz w:val="18"/>
          <w:szCs w:val="18"/>
          <w:lang w:val="en-US"/>
        </w:rPr>
        <w:t>Véase https://www.dus.com/de-de/konzern/unternehmen/verantwortung/umweltschutz/ gewässerschutz/grundwassersanierung.</w:t>
      </w:r>
    </w:p>
  </w:footnote>
  <w:footnote w:id="20">
    <w:p w14:paraId="3B0493B7"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Según los resultados de un proceso judicial, la comunidad debe sufragar los costos (</w:t>
      </w:r>
      <w:hyperlink r:id="rId1" w:history="1">
        <w:r w:rsidRPr="001E397C">
          <w:rPr>
            <w:rStyle w:val="Hyperlink"/>
            <w:rFonts w:ascii="Times New Roman" w:hAnsi="Times New Roman"/>
            <w:color w:val="auto"/>
            <w:sz w:val="18"/>
            <w:szCs w:val="18"/>
            <w:u w:val="none"/>
            <w:lang w:val="es-ES"/>
          </w:rPr>
          <w:t>https://www.wp.de/staedte/altkreis-brilon/ruhrverband-klagt-im-pft-umweltskandal-auf-schadenersatz-id9731569.html</w:t>
        </w:r>
      </w:hyperlink>
      <w:r w:rsidRPr="001E397C">
        <w:rPr>
          <w:rFonts w:ascii="Times New Roman" w:hAnsi="Times New Roman"/>
          <w:sz w:val="18"/>
          <w:szCs w:val="18"/>
          <w:lang w:val="es-ES"/>
        </w:rPr>
        <w:t>).</w:t>
      </w:r>
    </w:p>
  </w:footnote>
  <w:footnote w:id="21">
    <w:p w14:paraId="407527F8" w14:textId="304B774C"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Nomenclatura de la UIQPA: 2,3,3,3-tetrafluoro-2-(heptafluoropropoxi</w:t>
      </w:r>
      <w:r>
        <w:rPr>
          <w:rFonts w:ascii="Times New Roman" w:hAnsi="Times New Roman"/>
          <w:sz w:val="18"/>
          <w:szCs w:val="18"/>
          <w:lang w:val="es-ES"/>
        </w:rPr>
        <w:t>)-propionato de amonio; núm. de </w:t>
      </w:r>
      <w:r w:rsidRPr="001E397C">
        <w:rPr>
          <w:rFonts w:ascii="Times New Roman" w:hAnsi="Times New Roman"/>
          <w:sz w:val="18"/>
          <w:szCs w:val="18"/>
          <w:lang w:val="es-ES"/>
        </w:rPr>
        <w:t>CAS 62037-80-3.</w:t>
      </w:r>
    </w:p>
  </w:footnote>
  <w:footnote w:id="22">
    <w:p w14:paraId="6FE39150" w14:textId="64AF575B"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Véase https://fluorocouncil.com/Resources/Research.</w:t>
      </w:r>
    </w:p>
  </w:footnote>
  <w:footnote w:id="23">
    <w:p w14:paraId="6DB1EC13"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eastAsia="Calibri" w:hAnsi="Times New Roman"/>
          <w:sz w:val="18"/>
          <w:szCs w:val="18"/>
          <w:lang w:val="es-ES"/>
        </w:rPr>
        <w:footnoteRef/>
      </w:r>
      <w:r w:rsidRPr="001E397C">
        <w:rPr>
          <w:rStyle w:val="FootnoteReference"/>
          <w:rFonts w:ascii="Times New Roman" w:eastAsia="Calibri" w:hAnsi="Times New Roman"/>
          <w:sz w:val="18"/>
          <w:szCs w:val="18"/>
          <w:lang w:val="es-ES"/>
        </w:rPr>
        <w:t xml:space="preserve"> </w:t>
      </w:r>
      <w:r w:rsidRPr="001E397C">
        <w:rPr>
          <w:rFonts w:ascii="Times New Roman" w:hAnsi="Times New Roman"/>
          <w:sz w:val="18"/>
          <w:szCs w:val="18"/>
          <w:lang w:val="es-ES" w:eastAsia="en-GB"/>
        </w:rPr>
        <w:t xml:space="preserve">Información recibida de la Dirección General Noruega para el Control de la Contaminación (antes Statens </w:t>
      </w:r>
      <w:r w:rsidRPr="001E397C">
        <w:rPr>
          <w:rFonts w:ascii="Times New Roman" w:hAnsi="Times New Roman"/>
          <w:sz w:val="18"/>
          <w:szCs w:val="18"/>
          <w:lang w:val="es-ES"/>
        </w:rPr>
        <w:t>Forurensningstilsyn</w:t>
      </w:r>
      <w:r w:rsidRPr="001E397C">
        <w:rPr>
          <w:rFonts w:ascii="Times New Roman" w:hAnsi="Times New Roman"/>
          <w:sz w:val="18"/>
          <w:szCs w:val="18"/>
          <w:lang w:val="es-ES" w:eastAsia="en-GB"/>
        </w:rPr>
        <w:t>), 2009.</w:t>
      </w:r>
    </w:p>
  </w:footnote>
  <w:footnote w:id="24">
    <w:p w14:paraId="009C0A7B" w14:textId="568A3ECA" w:rsidR="001E397C" w:rsidRPr="001E397C" w:rsidRDefault="001E397C" w:rsidP="00757B33">
      <w:pPr>
        <w:pStyle w:val="FootnoteText"/>
        <w:spacing w:before="20" w:after="40"/>
        <w:ind w:left="1247"/>
        <w:jc w:val="left"/>
        <w:rPr>
          <w:rFonts w:ascii="Times New Roman" w:hAnsi="Times New Roman"/>
          <w:sz w:val="18"/>
          <w:szCs w:val="18"/>
        </w:rPr>
      </w:pPr>
      <w:bookmarkStart w:id="57" w:name="_DV_C911"/>
      <w:r w:rsidRPr="001E397C">
        <w:rPr>
          <w:rStyle w:val="FootnoteReference"/>
          <w:rFonts w:ascii="Times New Roman" w:hAnsi="Times New Roman"/>
          <w:sz w:val="18"/>
          <w:szCs w:val="18"/>
        </w:rPr>
        <w:footnoteRef/>
      </w:r>
      <w:r w:rsidRPr="001E397C">
        <w:rPr>
          <w:rFonts w:ascii="Times New Roman" w:hAnsi="Times New Roman"/>
          <w:sz w:val="18"/>
          <w:szCs w:val="18"/>
        </w:rPr>
        <w:t xml:space="preserve"> </w:t>
      </w:r>
      <w:r w:rsidRPr="001E397C">
        <w:rPr>
          <w:rFonts w:ascii="Times New Roman" w:hAnsi="Times New Roman"/>
          <w:sz w:val="18"/>
          <w:szCs w:val="18"/>
          <w:lang w:val="es-ES"/>
        </w:rPr>
        <w:t>https://bfr.ble.de/kse/faces/DBEmpfehlung_en.jsp.</w:t>
      </w:r>
      <w:bookmarkEnd w:id="57"/>
    </w:p>
  </w:footnote>
  <w:footnote w:id="25">
    <w:p w14:paraId="59B0B67F" w14:textId="3CDC2947" w:rsidR="001E397C" w:rsidRPr="001E397C" w:rsidRDefault="001E397C" w:rsidP="00757B33">
      <w:pPr>
        <w:pStyle w:val="FootnoteText"/>
        <w:spacing w:before="20" w:after="40"/>
        <w:ind w:left="1247"/>
        <w:jc w:val="left"/>
        <w:rPr>
          <w:rFonts w:ascii="Times New Roman" w:hAnsi="Times New Roman"/>
          <w:sz w:val="18"/>
          <w:szCs w:val="18"/>
        </w:rPr>
      </w:pPr>
      <w:r w:rsidRPr="001E397C">
        <w:rPr>
          <w:rStyle w:val="FootnoteReference"/>
          <w:rFonts w:ascii="Times New Roman" w:hAnsi="Times New Roman"/>
          <w:sz w:val="18"/>
          <w:szCs w:val="18"/>
        </w:rPr>
        <w:footnoteRef/>
      </w:r>
      <w:r w:rsidRPr="001E397C">
        <w:rPr>
          <w:rFonts w:ascii="Times New Roman" w:hAnsi="Times New Roman"/>
          <w:sz w:val="18"/>
          <w:szCs w:val="18"/>
        </w:rPr>
        <w:t xml:space="preserve"> </w:t>
      </w:r>
      <w:r w:rsidRPr="001E397C">
        <w:rPr>
          <w:rFonts w:ascii="Times New Roman" w:hAnsi="Times New Roman"/>
          <w:sz w:val="18"/>
          <w:szCs w:val="18"/>
          <w:lang w:val="es-ES"/>
        </w:rPr>
        <w:t>http://chm.pops.int/tabid/4814/Default.aspx.</w:t>
      </w:r>
    </w:p>
  </w:footnote>
  <w:footnote w:id="26">
    <w:p w14:paraId="27D02AF5" w14:textId="77777777" w:rsidR="001E397C" w:rsidRPr="001E397C" w:rsidRDefault="001E397C" w:rsidP="00757B33">
      <w:pPr>
        <w:spacing w:before="20" w:after="40"/>
        <w:ind w:left="1247"/>
        <w:rPr>
          <w:sz w:val="18"/>
          <w:szCs w:val="18"/>
          <w:lang w:val="es-ES"/>
        </w:rPr>
      </w:pPr>
      <w:r w:rsidRPr="001E397C">
        <w:rPr>
          <w:rStyle w:val="FootnoteReference"/>
          <w:sz w:val="18"/>
          <w:szCs w:val="18"/>
          <w:lang w:val="es-ES"/>
        </w:rPr>
        <w:footnoteRef/>
      </w:r>
      <w:r w:rsidRPr="001E397C">
        <w:rPr>
          <w:rFonts w:eastAsia="Times New Roman"/>
          <w:sz w:val="18"/>
          <w:szCs w:val="18"/>
          <w:lang w:val="es-ES" w:eastAsia="en-GB"/>
        </w:rPr>
        <w:t xml:space="preserve"> Hasta la fecha no hay documento científico alguno; sin embargo, las autoridades locales han proporcionado alguna información (en alemán, véase </w:t>
      </w:r>
      <w:hyperlink r:id="rId2" w:history="1">
        <w:r w:rsidRPr="001E397C">
          <w:rPr>
            <w:rStyle w:val="Hyperlink"/>
            <w:rFonts w:eastAsia="Times New Roman"/>
            <w:color w:val="auto"/>
            <w:sz w:val="18"/>
            <w:szCs w:val="18"/>
            <w:u w:val="none"/>
            <w:lang w:val="es-ES" w:eastAsia="en-GB"/>
          </w:rPr>
          <w:t>http://www.landkreis-rastatt.de/,Lde/PFC.html</w:t>
        </w:r>
      </w:hyperlink>
      <w:r w:rsidRPr="001E397C">
        <w:rPr>
          <w:rStyle w:val="Hyperlink"/>
          <w:rFonts w:eastAsia="Times New Roman"/>
          <w:color w:val="auto"/>
          <w:sz w:val="18"/>
          <w:szCs w:val="18"/>
          <w:u w:val="none"/>
          <w:lang w:val="es-ES" w:eastAsia="en-GB"/>
        </w:rPr>
        <w:t xml:space="preserve"> </w:t>
      </w:r>
      <w:r w:rsidRPr="001E397C">
        <w:rPr>
          <w:rFonts w:eastAsia="Times New Roman"/>
          <w:sz w:val="18"/>
          <w:szCs w:val="18"/>
          <w:lang w:val="es-ES" w:eastAsia="en-GB"/>
        </w:rPr>
        <w:t xml:space="preserve">y </w:t>
      </w:r>
      <w:hyperlink r:id="rId3" w:history="1">
        <w:r w:rsidRPr="001E397C">
          <w:rPr>
            <w:rStyle w:val="Hyperlink"/>
            <w:rFonts w:eastAsia="Times New Roman"/>
            <w:color w:val="auto"/>
            <w:sz w:val="18"/>
            <w:szCs w:val="18"/>
            <w:u w:val="none"/>
            <w:lang w:val="es-ES" w:eastAsia="en-GB"/>
          </w:rPr>
          <w:t>http://www.baden-baden.de/stadtportrait/aktuelles/themen/pfc-problematik/</w:t>
        </w:r>
      </w:hyperlink>
      <w:r w:rsidRPr="001E397C">
        <w:rPr>
          <w:rFonts w:eastAsia="Times New Roman"/>
          <w:sz w:val="18"/>
          <w:szCs w:val="18"/>
          <w:lang w:val="es-ES" w:eastAsia="en-GB"/>
        </w:rPr>
        <w:t>.</w:t>
      </w:r>
    </w:p>
  </w:footnote>
  <w:footnote w:id="27">
    <w:p w14:paraId="780CBCF6"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http://www.star-energiewerke.de/de/Kopfnavigation/News/Pressearchiv-2017/PFC-Folge-In-Rastatt-steigt-der-Preis-fuer-Trinkwasser.html.</w:t>
      </w:r>
    </w:p>
  </w:footnote>
  <w:footnote w:id="28">
    <w:p w14:paraId="16EE1E47"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w:t>
      </w:r>
      <w:hyperlink r:id="rId4" w:history="1">
        <w:r w:rsidRPr="001E397C">
          <w:rPr>
            <w:rStyle w:val="Hyperlink"/>
            <w:rFonts w:ascii="Times New Roman" w:hAnsi="Times New Roman"/>
            <w:color w:val="auto"/>
            <w:sz w:val="18"/>
            <w:szCs w:val="18"/>
            <w:u w:val="none"/>
            <w:lang w:val="es-ES"/>
          </w:rPr>
          <w:t>http://www.saicm.org/Home/tabid/5410/language/en-US/Default.aspx</w:t>
        </w:r>
      </w:hyperlink>
      <w:r w:rsidRPr="001E397C">
        <w:rPr>
          <w:rFonts w:ascii="Times New Roman" w:hAnsi="Times New Roman"/>
          <w:sz w:val="18"/>
          <w:szCs w:val="18"/>
          <w:lang w:val="es-ES"/>
        </w:rPr>
        <w:t>.</w:t>
      </w:r>
    </w:p>
  </w:footnote>
  <w:footnote w:id="29">
    <w:p w14:paraId="480C4C41"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w:t>
      </w:r>
      <w:hyperlink r:id="rId5" w:history="1">
        <w:r w:rsidRPr="001E397C">
          <w:rPr>
            <w:rStyle w:val="Hyperlink"/>
            <w:rFonts w:ascii="Times New Roman" w:hAnsi="Times New Roman"/>
            <w:color w:val="auto"/>
            <w:sz w:val="18"/>
            <w:szCs w:val="18"/>
            <w:u w:val="none"/>
            <w:lang w:val="es-ES"/>
          </w:rPr>
          <w:t>http://www.oecd.org/ehs/pfc/</w:t>
        </w:r>
      </w:hyperlink>
      <w:r w:rsidRPr="001E397C">
        <w:rPr>
          <w:rFonts w:ascii="Times New Roman" w:hAnsi="Times New Roman"/>
          <w:sz w:val="18"/>
          <w:szCs w:val="18"/>
          <w:lang w:val="es-ES"/>
        </w:rPr>
        <w:t>.</w:t>
      </w:r>
    </w:p>
  </w:footnote>
  <w:footnote w:id="30">
    <w:p w14:paraId="6C91A702" w14:textId="1CE7142F"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Se publican anualmente informes resumidos; el más reciente se puede consultar en </w:t>
      </w:r>
      <w:hyperlink r:id="rId6" w:history="1">
        <w:r w:rsidRPr="001E397C">
          <w:rPr>
            <w:rStyle w:val="Hyperlink"/>
            <w:rFonts w:ascii="Times New Roman" w:hAnsi="Times New Roman"/>
            <w:color w:val="auto"/>
            <w:sz w:val="18"/>
            <w:szCs w:val="18"/>
            <w:u w:val="none"/>
            <w:lang w:val="es-ES_tradnl"/>
          </w:rPr>
          <w:t>http://pubs.aina.ucalgary.ca/ncp/Synopsis20152016.pdf</w:t>
        </w:r>
      </w:hyperlink>
      <w:r w:rsidRPr="001E397C">
        <w:rPr>
          <w:rFonts w:ascii="Times New Roman" w:hAnsi="Times New Roman"/>
          <w:sz w:val="18"/>
          <w:szCs w:val="18"/>
          <w:lang w:val="es-ES"/>
        </w:rPr>
        <w:t>.</w:t>
      </w:r>
    </w:p>
  </w:footnote>
  <w:footnote w:id="31">
    <w:p w14:paraId="2AC0F070"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Se puede consultar información adicional sobre el programa en </w:t>
      </w:r>
      <w:hyperlink r:id="rId7" w:history="1">
        <w:r w:rsidRPr="001E397C">
          <w:rPr>
            <w:rStyle w:val="Hyperlink"/>
            <w:rFonts w:ascii="Times New Roman" w:hAnsi="Times New Roman"/>
            <w:color w:val="auto"/>
            <w:sz w:val="18"/>
            <w:szCs w:val="18"/>
            <w:u w:val="none"/>
            <w:lang w:val="es-ES"/>
          </w:rPr>
          <w:t>http://www.science.gc.ca/ncp</w:t>
        </w:r>
      </w:hyperlink>
      <w:r w:rsidRPr="001E397C">
        <w:rPr>
          <w:rFonts w:ascii="Times New Roman" w:hAnsi="Times New Roman"/>
          <w:sz w:val="18"/>
          <w:szCs w:val="18"/>
          <w:lang w:val="es-ES"/>
        </w:rPr>
        <w:t xml:space="preserve">. </w:t>
      </w:r>
    </w:p>
  </w:footnote>
  <w:footnote w:id="32">
    <w:p w14:paraId="3C4DC73B" w14:textId="1713EE2B" w:rsidR="001E397C" w:rsidRPr="001E397C" w:rsidRDefault="001E397C" w:rsidP="00757B33">
      <w:pPr>
        <w:pStyle w:val="CommentText"/>
        <w:spacing w:before="20" w:after="40"/>
        <w:ind w:left="1247"/>
        <w:rPr>
          <w:rFonts w:eastAsia="Times New Roman"/>
          <w:snapToGrid w:val="0"/>
          <w:sz w:val="18"/>
          <w:szCs w:val="18"/>
          <w:lang w:val="es-ES"/>
        </w:rPr>
      </w:pPr>
      <w:r w:rsidRPr="001E397C">
        <w:rPr>
          <w:rStyle w:val="FootnoteReference"/>
          <w:sz w:val="18"/>
          <w:szCs w:val="18"/>
          <w:lang w:val="es-ES"/>
        </w:rPr>
        <w:footnoteRef/>
      </w:r>
      <w:r w:rsidRPr="001E397C">
        <w:rPr>
          <w:sz w:val="18"/>
          <w:szCs w:val="18"/>
          <w:lang w:val="es-ES"/>
        </w:rPr>
        <w:t xml:space="preserve"> </w:t>
      </w:r>
      <w:hyperlink r:id="rId8" w:history="1">
        <w:r w:rsidRPr="001E397C">
          <w:rPr>
            <w:rStyle w:val="Hyperlink"/>
            <w:color w:val="auto"/>
            <w:sz w:val="18"/>
            <w:szCs w:val="18"/>
            <w:u w:val="none"/>
            <w:lang w:val="es-ES"/>
          </w:rPr>
          <w:t>http://www.naturvardsverket.se/Miljoarbete-i-samhallet/Miljoarbete-i-Sverige/Miljoovervakning/Miljoovervakning/Miljogiftssamordning/</w:t>
        </w:r>
      </w:hyperlink>
      <w:r w:rsidRPr="001E397C">
        <w:rPr>
          <w:sz w:val="18"/>
          <w:szCs w:val="18"/>
          <w:lang w:val="es-ES"/>
        </w:rPr>
        <w:t>.</w:t>
      </w:r>
    </w:p>
  </w:footnote>
  <w:footnote w:id="33">
    <w:p w14:paraId="0EE0EA85" w14:textId="72A4A3B6" w:rsidR="001E397C" w:rsidRPr="001E397C" w:rsidRDefault="001E397C" w:rsidP="00757B33">
      <w:pPr>
        <w:pStyle w:val="CommentText"/>
        <w:spacing w:before="20" w:after="40"/>
        <w:ind w:left="1247"/>
        <w:rPr>
          <w:sz w:val="18"/>
          <w:szCs w:val="18"/>
          <w:lang w:val="es-ES"/>
        </w:rPr>
      </w:pPr>
      <w:r w:rsidRPr="001E397C">
        <w:rPr>
          <w:rFonts w:eastAsia="Times New Roman"/>
          <w:snapToGrid w:val="0"/>
          <w:sz w:val="18"/>
          <w:szCs w:val="18"/>
          <w:vertAlign w:val="superscript"/>
          <w:lang w:val="es-ES"/>
        </w:rPr>
        <w:footnoteRef/>
      </w:r>
      <w:r w:rsidRPr="001E397C">
        <w:rPr>
          <w:sz w:val="18"/>
          <w:szCs w:val="18"/>
          <w:lang w:val="es-ES"/>
        </w:rPr>
        <w:t xml:space="preserve"> </w:t>
      </w:r>
      <w:hyperlink r:id="rId9" w:history="1">
        <w:r w:rsidRPr="001E397C">
          <w:rPr>
            <w:rStyle w:val="Hyperlink"/>
            <w:color w:val="auto"/>
            <w:sz w:val="18"/>
            <w:szCs w:val="18"/>
            <w:u w:val="none"/>
            <w:lang w:val="es-ES"/>
          </w:rPr>
          <w:t>http://ki.se/en/imm/health-related-environmental-monitoring-hami</w:t>
        </w:r>
      </w:hyperlink>
      <w:r w:rsidRPr="001E397C">
        <w:rPr>
          <w:sz w:val="18"/>
          <w:szCs w:val="18"/>
          <w:lang w:val="es-ES"/>
        </w:rPr>
        <w:t>.</w:t>
      </w:r>
    </w:p>
  </w:footnote>
  <w:footnote w:id="34">
    <w:p w14:paraId="285CCD4A"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w:t>
      </w:r>
      <w:hyperlink r:id="rId10" w:anchor="textpart-1" w:history="1">
        <w:r w:rsidRPr="001E397C">
          <w:rPr>
            <w:rStyle w:val="Hyperlink"/>
            <w:rFonts w:ascii="Times New Roman" w:hAnsi="Times New Roman"/>
            <w:color w:val="auto"/>
            <w:sz w:val="18"/>
            <w:szCs w:val="18"/>
            <w:u w:val="none"/>
            <w:lang w:val="es-ES"/>
          </w:rPr>
          <w:t>https://www.umweltbundesamt.de/en/topics/health/assessing-environmentally-related-health-risks/german-environmental-surveys/german-environmental-survey-2014-2017-geres-v#textpart-1</w:t>
        </w:r>
      </w:hyperlink>
      <w:r w:rsidRPr="001E397C">
        <w:rPr>
          <w:rFonts w:ascii="Times New Roman" w:hAnsi="Times New Roman"/>
          <w:sz w:val="18"/>
          <w:szCs w:val="18"/>
          <w:lang w:val="es-ES"/>
        </w:rPr>
        <w:t>.</w:t>
      </w:r>
    </w:p>
  </w:footnote>
  <w:footnote w:id="35">
    <w:p w14:paraId="342B19AF" w14:textId="77777777" w:rsidR="001E397C" w:rsidRPr="001E397C" w:rsidRDefault="001E397C" w:rsidP="00757B33">
      <w:pPr>
        <w:pStyle w:val="FootnoteText"/>
        <w:spacing w:before="20" w:after="40" w:line="240" w:lineRule="auto"/>
        <w:ind w:left="1247"/>
        <w:jc w:val="left"/>
        <w:rPr>
          <w:rFonts w:ascii="Times New Roman" w:hAnsi="Times New Roman"/>
          <w:sz w:val="18"/>
          <w:szCs w:val="18"/>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Nota iii) de la parte I de los anexos A y B del Convenio de Estocolmo.</w:t>
      </w:r>
    </w:p>
  </w:footnote>
  <w:footnote w:id="36">
    <w:p w14:paraId="7DA56A6A" w14:textId="77777777" w:rsidR="001E397C" w:rsidRPr="001E397C" w:rsidRDefault="001E397C" w:rsidP="00757B33">
      <w:pPr>
        <w:pStyle w:val="FootnoteText"/>
        <w:spacing w:before="20" w:after="40" w:line="240" w:lineRule="auto"/>
        <w:ind w:left="1247"/>
        <w:jc w:val="left"/>
        <w:rPr>
          <w:rFonts w:ascii="Times New Roman" w:hAnsi="Times New Roman"/>
          <w:sz w:val="18"/>
          <w:szCs w:val="18"/>
          <w:u w:val="single"/>
          <w:lang w:val="es-ES"/>
        </w:rPr>
      </w:pPr>
      <w:r w:rsidRPr="001E397C">
        <w:rPr>
          <w:rStyle w:val="FootnoteReference"/>
          <w:rFonts w:ascii="Times New Roman" w:hAnsi="Times New Roman"/>
          <w:sz w:val="18"/>
          <w:szCs w:val="18"/>
          <w:lang w:val="es-ES"/>
        </w:rPr>
        <w:footnoteRef/>
      </w:r>
      <w:r w:rsidRPr="001E397C">
        <w:rPr>
          <w:rFonts w:ascii="Times New Roman" w:hAnsi="Times New Roman"/>
          <w:sz w:val="18"/>
          <w:szCs w:val="18"/>
          <w:lang w:val="es-ES"/>
        </w:rPr>
        <w:t xml:space="preserve"> http://old.saicm.org/index.php?option=com_content&amp;view=article&amp;id=566&amp;Itemid=775.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9FD7" w14:textId="1A35F5DF" w:rsidR="001E397C" w:rsidRDefault="001E397C" w:rsidP="008113A2">
    <w:pPr>
      <w:pStyle w:val="Header"/>
      <w:pBdr>
        <w:bottom w:val="single" w:sz="4" w:space="1" w:color="auto"/>
      </w:pBdr>
    </w:pPr>
    <w:r>
      <w:rPr>
        <w:b/>
        <w:sz w:val="18"/>
        <w:szCs w:val="18"/>
      </w:rPr>
      <w:t>UNEP/POPS/POPRC.13/7/Add.2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325B" w14:textId="4B714457" w:rsidR="001E397C" w:rsidRDefault="001E397C" w:rsidP="008113A2">
    <w:pPr>
      <w:pStyle w:val="Header"/>
      <w:pBdr>
        <w:bottom w:val="single" w:sz="4" w:space="1" w:color="auto"/>
      </w:pBdr>
      <w:jc w:val="right"/>
    </w:pPr>
    <w:r>
      <w:rPr>
        <w:b/>
        <w:sz w:val="18"/>
        <w:szCs w:val="18"/>
      </w:rPr>
      <w:t>UNEP/POPS/POPRC.13/7/Add.2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0C3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4C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2C0F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966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DC4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29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499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36EB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82A711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3D41D2C"/>
    <w:multiLevelType w:val="hybridMultilevel"/>
    <w:tmpl w:val="C9D0AEC0"/>
    <w:lvl w:ilvl="0" w:tplc="A028B1EA">
      <w:start w:val="1"/>
      <w:numFmt w:val="decimal"/>
      <w:lvlText w:val="%1."/>
      <w:lvlJc w:val="left"/>
      <w:pPr>
        <w:ind w:left="2591" w:hanging="360"/>
      </w:pPr>
      <w:rPr>
        <w:rFonts w:cs="Times New Roman" w:hint="default"/>
        <w:b w:val="0"/>
        <w:i w:val="0"/>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11" w15:restartNumberingAfterBreak="0">
    <w:nsid w:val="08EF5965"/>
    <w:multiLevelType w:val="multilevel"/>
    <w:tmpl w:val="806ADAA6"/>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6C4C10"/>
    <w:multiLevelType w:val="hybridMultilevel"/>
    <w:tmpl w:val="0F128EF2"/>
    <w:lvl w:ilvl="0" w:tplc="B8A2A0BE">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2B312B77"/>
    <w:multiLevelType w:val="hybridMultilevel"/>
    <w:tmpl w:val="B6FEA642"/>
    <w:lvl w:ilvl="0" w:tplc="87DA30CE">
      <w:start w:val="1"/>
      <w:numFmt w:val="lowerLetter"/>
      <w:lvlText w:val="%1)"/>
      <w:lvlJc w:val="left"/>
      <w:pPr>
        <w:ind w:left="2430" w:hanging="360"/>
      </w:pPr>
      <w:rPr>
        <w:rFonts w:hint="default"/>
      </w:rPr>
    </w:lvl>
    <w:lvl w:ilvl="1" w:tplc="040A0019" w:tentative="1">
      <w:start w:val="1"/>
      <w:numFmt w:val="lowerLetter"/>
      <w:lvlText w:val="%2."/>
      <w:lvlJc w:val="left"/>
      <w:pPr>
        <w:ind w:left="3150" w:hanging="360"/>
      </w:pPr>
    </w:lvl>
    <w:lvl w:ilvl="2" w:tplc="040A001B" w:tentative="1">
      <w:start w:val="1"/>
      <w:numFmt w:val="lowerRoman"/>
      <w:lvlText w:val="%3."/>
      <w:lvlJc w:val="right"/>
      <w:pPr>
        <w:ind w:left="3870" w:hanging="180"/>
      </w:pPr>
    </w:lvl>
    <w:lvl w:ilvl="3" w:tplc="040A000F" w:tentative="1">
      <w:start w:val="1"/>
      <w:numFmt w:val="decimal"/>
      <w:lvlText w:val="%4."/>
      <w:lvlJc w:val="left"/>
      <w:pPr>
        <w:ind w:left="4590" w:hanging="360"/>
      </w:pPr>
    </w:lvl>
    <w:lvl w:ilvl="4" w:tplc="040A0019" w:tentative="1">
      <w:start w:val="1"/>
      <w:numFmt w:val="lowerLetter"/>
      <w:lvlText w:val="%5."/>
      <w:lvlJc w:val="left"/>
      <w:pPr>
        <w:ind w:left="5310" w:hanging="360"/>
      </w:pPr>
    </w:lvl>
    <w:lvl w:ilvl="5" w:tplc="040A001B" w:tentative="1">
      <w:start w:val="1"/>
      <w:numFmt w:val="lowerRoman"/>
      <w:lvlText w:val="%6."/>
      <w:lvlJc w:val="right"/>
      <w:pPr>
        <w:ind w:left="6030" w:hanging="180"/>
      </w:pPr>
    </w:lvl>
    <w:lvl w:ilvl="6" w:tplc="040A000F" w:tentative="1">
      <w:start w:val="1"/>
      <w:numFmt w:val="decimal"/>
      <w:lvlText w:val="%7."/>
      <w:lvlJc w:val="left"/>
      <w:pPr>
        <w:ind w:left="6750" w:hanging="360"/>
      </w:pPr>
    </w:lvl>
    <w:lvl w:ilvl="7" w:tplc="040A0019" w:tentative="1">
      <w:start w:val="1"/>
      <w:numFmt w:val="lowerLetter"/>
      <w:lvlText w:val="%8."/>
      <w:lvlJc w:val="left"/>
      <w:pPr>
        <w:ind w:left="7470" w:hanging="360"/>
      </w:pPr>
    </w:lvl>
    <w:lvl w:ilvl="8" w:tplc="040A001B" w:tentative="1">
      <w:start w:val="1"/>
      <w:numFmt w:val="lowerRoman"/>
      <w:lvlText w:val="%9."/>
      <w:lvlJc w:val="right"/>
      <w:pPr>
        <w:ind w:left="8190" w:hanging="180"/>
      </w:pPr>
    </w:lvl>
  </w:abstractNum>
  <w:abstractNum w:abstractNumId="14" w15:restartNumberingAfterBreak="0">
    <w:nsid w:val="36E93B9B"/>
    <w:multiLevelType w:val="hybridMultilevel"/>
    <w:tmpl w:val="00669DEE"/>
    <w:lvl w:ilvl="0" w:tplc="471C71A2">
      <w:start w:val="1"/>
      <w:numFmt w:val="lowerLetter"/>
      <w:pStyle w:val="Paralevel1"/>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5" w15:restartNumberingAfterBreak="0">
    <w:nsid w:val="37BF6797"/>
    <w:multiLevelType w:val="hybridMultilevel"/>
    <w:tmpl w:val="E616826E"/>
    <w:lvl w:ilvl="0" w:tplc="153E35D8">
      <w:start w:val="1"/>
      <w:numFmt w:val="upperRoman"/>
      <w:lvlText w:val="%1."/>
      <w:lvlJc w:val="left"/>
      <w:pPr>
        <w:ind w:left="1344" w:hanging="720"/>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16" w15:restartNumberingAfterBreak="0">
    <w:nsid w:val="49213B40"/>
    <w:multiLevelType w:val="hybridMultilevel"/>
    <w:tmpl w:val="6D70CF12"/>
    <w:lvl w:ilvl="0" w:tplc="C7664376">
      <w:start w:val="1"/>
      <w:numFmt w:val="lowerLetter"/>
      <w:lvlText w:val="%1)"/>
      <w:lvlJc w:val="left"/>
      <w:pPr>
        <w:ind w:left="3600" w:hanging="360"/>
      </w:pPr>
      <w:rPr>
        <w:rFonts w:hint="default"/>
      </w:rPr>
    </w:lvl>
    <w:lvl w:ilvl="1" w:tplc="040A0019" w:tentative="1">
      <w:start w:val="1"/>
      <w:numFmt w:val="lowerLetter"/>
      <w:lvlText w:val="%2."/>
      <w:lvlJc w:val="left"/>
      <w:pPr>
        <w:ind w:left="4320" w:hanging="360"/>
      </w:pPr>
    </w:lvl>
    <w:lvl w:ilvl="2" w:tplc="040A001B" w:tentative="1">
      <w:start w:val="1"/>
      <w:numFmt w:val="lowerRoman"/>
      <w:lvlText w:val="%3."/>
      <w:lvlJc w:val="right"/>
      <w:pPr>
        <w:ind w:left="5040" w:hanging="180"/>
      </w:pPr>
    </w:lvl>
    <w:lvl w:ilvl="3" w:tplc="040A000F" w:tentative="1">
      <w:start w:val="1"/>
      <w:numFmt w:val="decimal"/>
      <w:lvlText w:val="%4."/>
      <w:lvlJc w:val="left"/>
      <w:pPr>
        <w:ind w:left="5760" w:hanging="360"/>
      </w:pPr>
    </w:lvl>
    <w:lvl w:ilvl="4" w:tplc="040A0019" w:tentative="1">
      <w:start w:val="1"/>
      <w:numFmt w:val="lowerLetter"/>
      <w:lvlText w:val="%5."/>
      <w:lvlJc w:val="left"/>
      <w:pPr>
        <w:ind w:left="6480" w:hanging="360"/>
      </w:pPr>
    </w:lvl>
    <w:lvl w:ilvl="5" w:tplc="040A001B" w:tentative="1">
      <w:start w:val="1"/>
      <w:numFmt w:val="lowerRoman"/>
      <w:lvlText w:val="%6."/>
      <w:lvlJc w:val="right"/>
      <w:pPr>
        <w:ind w:left="7200" w:hanging="180"/>
      </w:pPr>
    </w:lvl>
    <w:lvl w:ilvl="6" w:tplc="040A000F" w:tentative="1">
      <w:start w:val="1"/>
      <w:numFmt w:val="decimal"/>
      <w:lvlText w:val="%7."/>
      <w:lvlJc w:val="left"/>
      <w:pPr>
        <w:ind w:left="7920" w:hanging="360"/>
      </w:pPr>
    </w:lvl>
    <w:lvl w:ilvl="7" w:tplc="040A0019" w:tentative="1">
      <w:start w:val="1"/>
      <w:numFmt w:val="lowerLetter"/>
      <w:lvlText w:val="%8."/>
      <w:lvlJc w:val="left"/>
      <w:pPr>
        <w:ind w:left="8640" w:hanging="360"/>
      </w:pPr>
    </w:lvl>
    <w:lvl w:ilvl="8" w:tplc="040A001B" w:tentative="1">
      <w:start w:val="1"/>
      <w:numFmt w:val="lowerRoman"/>
      <w:lvlText w:val="%9."/>
      <w:lvlJc w:val="right"/>
      <w:pPr>
        <w:ind w:left="9360" w:hanging="180"/>
      </w:pPr>
    </w:lvl>
  </w:abstractNum>
  <w:abstractNum w:abstractNumId="17" w15:restartNumberingAfterBreak="0">
    <w:nsid w:val="4CF35693"/>
    <w:multiLevelType w:val="multilevel"/>
    <w:tmpl w:val="29FC196C"/>
    <w:numStyleLink w:val="Normallist"/>
  </w:abstractNum>
  <w:abstractNum w:abstractNumId="18" w15:restartNumberingAfterBreak="0">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5459296C"/>
    <w:multiLevelType w:val="hybridMultilevel"/>
    <w:tmpl w:val="0C36EA9A"/>
    <w:lvl w:ilvl="0" w:tplc="1876D522">
      <w:start w:val="1"/>
      <w:numFmt w:val="lowerLetter"/>
      <w:lvlText w:val="%1)"/>
      <w:lvlJc w:val="left"/>
      <w:pPr>
        <w:ind w:left="990" w:hanging="360"/>
      </w:pPr>
      <w:rPr>
        <w:rFonts w:hint="default"/>
      </w:rPr>
    </w:lvl>
    <w:lvl w:ilvl="1" w:tplc="040A0019" w:tentative="1">
      <w:start w:val="1"/>
      <w:numFmt w:val="lowerLetter"/>
      <w:lvlText w:val="%2."/>
      <w:lvlJc w:val="left"/>
      <w:pPr>
        <w:ind w:left="1710" w:hanging="360"/>
      </w:pPr>
    </w:lvl>
    <w:lvl w:ilvl="2" w:tplc="040A001B" w:tentative="1">
      <w:start w:val="1"/>
      <w:numFmt w:val="lowerRoman"/>
      <w:lvlText w:val="%3."/>
      <w:lvlJc w:val="right"/>
      <w:pPr>
        <w:ind w:left="2430" w:hanging="180"/>
      </w:pPr>
    </w:lvl>
    <w:lvl w:ilvl="3" w:tplc="040A000F" w:tentative="1">
      <w:start w:val="1"/>
      <w:numFmt w:val="decimal"/>
      <w:lvlText w:val="%4."/>
      <w:lvlJc w:val="left"/>
      <w:pPr>
        <w:ind w:left="3150" w:hanging="360"/>
      </w:pPr>
    </w:lvl>
    <w:lvl w:ilvl="4" w:tplc="040A0019" w:tentative="1">
      <w:start w:val="1"/>
      <w:numFmt w:val="lowerLetter"/>
      <w:lvlText w:val="%5."/>
      <w:lvlJc w:val="left"/>
      <w:pPr>
        <w:ind w:left="3870" w:hanging="360"/>
      </w:pPr>
    </w:lvl>
    <w:lvl w:ilvl="5" w:tplc="040A001B" w:tentative="1">
      <w:start w:val="1"/>
      <w:numFmt w:val="lowerRoman"/>
      <w:lvlText w:val="%6."/>
      <w:lvlJc w:val="right"/>
      <w:pPr>
        <w:ind w:left="4590" w:hanging="180"/>
      </w:pPr>
    </w:lvl>
    <w:lvl w:ilvl="6" w:tplc="040A000F" w:tentative="1">
      <w:start w:val="1"/>
      <w:numFmt w:val="decimal"/>
      <w:lvlText w:val="%7."/>
      <w:lvlJc w:val="left"/>
      <w:pPr>
        <w:ind w:left="5310" w:hanging="360"/>
      </w:pPr>
    </w:lvl>
    <w:lvl w:ilvl="7" w:tplc="040A0019" w:tentative="1">
      <w:start w:val="1"/>
      <w:numFmt w:val="lowerLetter"/>
      <w:lvlText w:val="%8."/>
      <w:lvlJc w:val="left"/>
      <w:pPr>
        <w:ind w:left="6030" w:hanging="360"/>
      </w:pPr>
    </w:lvl>
    <w:lvl w:ilvl="8" w:tplc="040A001B" w:tentative="1">
      <w:start w:val="1"/>
      <w:numFmt w:val="lowerRoman"/>
      <w:lvlText w:val="%9."/>
      <w:lvlJc w:val="right"/>
      <w:pPr>
        <w:ind w:left="6750" w:hanging="180"/>
      </w:pPr>
    </w:lvl>
  </w:abstractNum>
  <w:abstractNum w:abstractNumId="20" w15:restartNumberingAfterBreak="0">
    <w:nsid w:val="55B84EC8"/>
    <w:multiLevelType w:val="hybridMultilevel"/>
    <w:tmpl w:val="A46C35F4"/>
    <w:lvl w:ilvl="0" w:tplc="C38666C8">
      <w:start w:val="1"/>
      <w:numFmt w:val="lowerRoman"/>
      <w:lvlText w:val="%1)"/>
      <w:lvlJc w:val="left"/>
      <w:pPr>
        <w:ind w:left="3216" w:hanging="720"/>
      </w:pPr>
      <w:rPr>
        <w:rFonts w:hint="default"/>
      </w:rPr>
    </w:lvl>
    <w:lvl w:ilvl="1" w:tplc="040A0019" w:tentative="1">
      <w:start w:val="1"/>
      <w:numFmt w:val="lowerLetter"/>
      <w:lvlText w:val="%2."/>
      <w:lvlJc w:val="left"/>
      <w:pPr>
        <w:ind w:left="3576" w:hanging="360"/>
      </w:pPr>
    </w:lvl>
    <w:lvl w:ilvl="2" w:tplc="040A001B" w:tentative="1">
      <w:start w:val="1"/>
      <w:numFmt w:val="lowerRoman"/>
      <w:lvlText w:val="%3."/>
      <w:lvlJc w:val="right"/>
      <w:pPr>
        <w:ind w:left="4296" w:hanging="180"/>
      </w:pPr>
    </w:lvl>
    <w:lvl w:ilvl="3" w:tplc="040A000F" w:tentative="1">
      <w:start w:val="1"/>
      <w:numFmt w:val="decimal"/>
      <w:lvlText w:val="%4."/>
      <w:lvlJc w:val="left"/>
      <w:pPr>
        <w:ind w:left="5016" w:hanging="360"/>
      </w:pPr>
    </w:lvl>
    <w:lvl w:ilvl="4" w:tplc="040A0019" w:tentative="1">
      <w:start w:val="1"/>
      <w:numFmt w:val="lowerLetter"/>
      <w:lvlText w:val="%5."/>
      <w:lvlJc w:val="left"/>
      <w:pPr>
        <w:ind w:left="5736" w:hanging="360"/>
      </w:pPr>
    </w:lvl>
    <w:lvl w:ilvl="5" w:tplc="040A001B" w:tentative="1">
      <w:start w:val="1"/>
      <w:numFmt w:val="lowerRoman"/>
      <w:lvlText w:val="%6."/>
      <w:lvlJc w:val="right"/>
      <w:pPr>
        <w:ind w:left="6456" w:hanging="180"/>
      </w:pPr>
    </w:lvl>
    <w:lvl w:ilvl="6" w:tplc="040A000F" w:tentative="1">
      <w:start w:val="1"/>
      <w:numFmt w:val="decimal"/>
      <w:lvlText w:val="%7."/>
      <w:lvlJc w:val="left"/>
      <w:pPr>
        <w:ind w:left="7176" w:hanging="360"/>
      </w:pPr>
    </w:lvl>
    <w:lvl w:ilvl="7" w:tplc="040A0019" w:tentative="1">
      <w:start w:val="1"/>
      <w:numFmt w:val="lowerLetter"/>
      <w:lvlText w:val="%8."/>
      <w:lvlJc w:val="left"/>
      <w:pPr>
        <w:ind w:left="7896" w:hanging="360"/>
      </w:pPr>
    </w:lvl>
    <w:lvl w:ilvl="8" w:tplc="040A001B" w:tentative="1">
      <w:start w:val="1"/>
      <w:numFmt w:val="lowerRoman"/>
      <w:lvlText w:val="%9."/>
      <w:lvlJc w:val="right"/>
      <w:pPr>
        <w:ind w:left="8616" w:hanging="180"/>
      </w:pPr>
    </w:lvl>
  </w:abstractNum>
  <w:abstractNum w:abstractNumId="21" w15:restartNumberingAfterBreak="0">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C3100"/>
    <w:multiLevelType w:val="hybridMultilevel"/>
    <w:tmpl w:val="8EC0017C"/>
    <w:lvl w:ilvl="0" w:tplc="A39AD172">
      <w:start w:val="1"/>
      <w:numFmt w:val="decimal"/>
      <w:lvlText w:val="%1."/>
      <w:lvlJc w:val="left"/>
      <w:pPr>
        <w:ind w:left="984" w:hanging="360"/>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23" w15:restartNumberingAfterBreak="0">
    <w:nsid w:val="738D2646"/>
    <w:multiLevelType w:val="hybridMultilevel"/>
    <w:tmpl w:val="1F7AD106"/>
    <w:lvl w:ilvl="0" w:tplc="38962962">
      <w:start w:val="1"/>
      <w:numFmt w:val="lowerRoman"/>
      <w:lvlText w:val="%1)"/>
      <w:lvlJc w:val="left"/>
      <w:pPr>
        <w:ind w:left="3216" w:hanging="720"/>
      </w:pPr>
      <w:rPr>
        <w:rFonts w:hint="default"/>
      </w:rPr>
    </w:lvl>
    <w:lvl w:ilvl="1" w:tplc="040A0019" w:tentative="1">
      <w:start w:val="1"/>
      <w:numFmt w:val="lowerLetter"/>
      <w:lvlText w:val="%2."/>
      <w:lvlJc w:val="left"/>
      <w:pPr>
        <w:ind w:left="3576" w:hanging="360"/>
      </w:pPr>
    </w:lvl>
    <w:lvl w:ilvl="2" w:tplc="040A001B" w:tentative="1">
      <w:start w:val="1"/>
      <w:numFmt w:val="lowerRoman"/>
      <w:lvlText w:val="%3."/>
      <w:lvlJc w:val="right"/>
      <w:pPr>
        <w:ind w:left="4296" w:hanging="180"/>
      </w:pPr>
    </w:lvl>
    <w:lvl w:ilvl="3" w:tplc="040A000F" w:tentative="1">
      <w:start w:val="1"/>
      <w:numFmt w:val="decimal"/>
      <w:lvlText w:val="%4."/>
      <w:lvlJc w:val="left"/>
      <w:pPr>
        <w:ind w:left="5016" w:hanging="360"/>
      </w:pPr>
    </w:lvl>
    <w:lvl w:ilvl="4" w:tplc="040A0019" w:tentative="1">
      <w:start w:val="1"/>
      <w:numFmt w:val="lowerLetter"/>
      <w:lvlText w:val="%5."/>
      <w:lvlJc w:val="left"/>
      <w:pPr>
        <w:ind w:left="5736" w:hanging="360"/>
      </w:pPr>
    </w:lvl>
    <w:lvl w:ilvl="5" w:tplc="040A001B" w:tentative="1">
      <w:start w:val="1"/>
      <w:numFmt w:val="lowerRoman"/>
      <w:lvlText w:val="%6."/>
      <w:lvlJc w:val="right"/>
      <w:pPr>
        <w:ind w:left="6456" w:hanging="180"/>
      </w:pPr>
    </w:lvl>
    <w:lvl w:ilvl="6" w:tplc="040A000F" w:tentative="1">
      <w:start w:val="1"/>
      <w:numFmt w:val="decimal"/>
      <w:lvlText w:val="%7."/>
      <w:lvlJc w:val="left"/>
      <w:pPr>
        <w:ind w:left="7176" w:hanging="360"/>
      </w:pPr>
    </w:lvl>
    <w:lvl w:ilvl="7" w:tplc="040A0019" w:tentative="1">
      <w:start w:val="1"/>
      <w:numFmt w:val="lowerLetter"/>
      <w:lvlText w:val="%8."/>
      <w:lvlJc w:val="left"/>
      <w:pPr>
        <w:ind w:left="7896" w:hanging="360"/>
      </w:pPr>
    </w:lvl>
    <w:lvl w:ilvl="8" w:tplc="040A001B" w:tentative="1">
      <w:start w:val="1"/>
      <w:numFmt w:val="lowerRoman"/>
      <w:lvlText w:val="%9."/>
      <w:lvlJc w:val="right"/>
      <w:pPr>
        <w:ind w:left="8616" w:hanging="180"/>
      </w:pPr>
    </w:lvl>
  </w:abstractNum>
  <w:abstractNum w:abstractNumId="24" w15:restartNumberingAfterBreak="0">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24"/>
  </w:num>
  <w:num w:numId="2">
    <w:abstractNumId w:val="9"/>
  </w:num>
  <w:num w:numId="3">
    <w:abstractNumId w:val="18"/>
  </w:num>
  <w:num w:numId="4">
    <w:abstractNumId w:val="17"/>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23"/>
  </w:num>
  <w:num w:numId="18">
    <w:abstractNumId w:val="11"/>
  </w:num>
  <w:num w:numId="19">
    <w:abstractNumId w:val="14"/>
  </w:num>
  <w:num w:numId="20">
    <w:abstractNumId w:val="12"/>
  </w:num>
  <w:num w:numId="21">
    <w:abstractNumId w:val="13"/>
  </w:num>
  <w:num w:numId="22">
    <w:abstractNumId w:val="19"/>
  </w:num>
  <w:num w:numId="23">
    <w:abstractNumId w:val="10"/>
  </w:num>
  <w:num w:numId="24">
    <w:abstractNumId w:val="2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comments="0" w:insDel="0" w:formatting="0" w:inkAnnotations="0"/>
  <w:defaultTabStop w:val="624"/>
  <w:hyphenationZone w:val="425"/>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E6"/>
    <w:rsid w:val="000002F1"/>
    <w:rsid w:val="00000529"/>
    <w:rsid w:val="00000AFB"/>
    <w:rsid w:val="000014EE"/>
    <w:rsid w:val="0000165E"/>
    <w:rsid w:val="000019D4"/>
    <w:rsid w:val="00001C3F"/>
    <w:rsid w:val="00001E9A"/>
    <w:rsid w:val="00002CF6"/>
    <w:rsid w:val="000038DF"/>
    <w:rsid w:val="00003BC3"/>
    <w:rsid w:val="00003CE8"/>
    <w:rsid w:val="00004429"/>
    <w:rsid w:val="00004468"/>
    <w:rsid w:val="0000513D"/>
    <w:rsid w:val="00005508"/>
    <w:rsid w:val="000055F3"/>
    <w:rsid w:val="000060CD"/>
    <w:rsid w:val="00006176"/>
    <w:rsid w:val="00006218"/>
    <w:rsid w:val="00006A88"/>
    <w:rsid w:val="00006DF3"/>
    <w:rsid w:val="000075C5"/>
    <w:rsid w:val="00007B08"/>
    <w:rsid w:val="00007C3F"/>
    <w:rsid w:val="00007E52"/>
    <w:rsid w:val="0001001A"/>
    <w:rsid w:val="0001011D"/>
    <w:rsid w:val="00010483"/>
    <w:rsid w:val="0001055B"/>
    <w:rsid w:val="000105A1"/>
    <w:rsid w:val="00010A5C"/>
    <w:rsid w:val="00011082"/>
    <w:rsid w:val="000115A4"/>
    <w:rsid w:val="000121BC"/>
    <w:rsid w:val="00012532"/>
    <w:rsid w:val="00012868"/>
    <w:rsid w:val="00012970"/>
    <w:rsid w:val="00012EE6"/>
    <w:rsid w:val="00013592"/>
    <w:rsid w:val="000137DF"/>
    <w:rsid w:val="00013881"/>
    <w:rsid w:val="00013A67"/>
    <w:rsid w:val="00013AE9"/>
    <w:rsid w:val="0001425D"/>
    <w:rsid w:val="000142B5"/>
    <w:rsid w:val="000149E6"/>
    <w:rsid w:val="00014D2C"/>
    <w:rsid w:val="0001510B"/>
    <w:rsid w:val="000151B2"/>
    <w:rsid w:val="000152E0"/>
    <w:rsid w:val="00015712"/>
    <w:rsid w:val="00015CE7"/>
    <w:rsid w:val="00015E1F"/>
    <w:rsid w:val="00016388"/>
    <w:rsid w:val="000170CE"/>
    <w:rsid w:val="0001771C"/>
    <w:rsid w:val="00017CE8"/>
    <w:rsid w:val="00020096"/>
    <w:rsid w:val="00020268"/>
    <w:rsid w:val="00020291"/>
    <w:rsid w:val="00020D96"/>
    <w:rsid w:val="00022408"/>
    <w:rsid w:val="0002312A"/>
    <w:rsid w:val="00023165"/>
    <w:rsid w:val="000233FB"/>
    <w:rsid w:val="00023D31"/>
    <w:rsid w:val="00023FAB"/>
    <w:rsid w:val="00024217"/>
    <w:rsid w:val="000247B0"/>
    <w:rsid w:val="00025747"/>
    <w:rsid w:val="00025821"/>
    <w:rsid w:val="00026997"/>
    <w:rsid w:val="00026C5D"/>
    <w:rsid w:val="00026CD0"/>
    <w:rsid w:val="00027D20"/>
    <w:rsid w:val="00030496"/>
    <w:rsid w:val="000307AA"/>
    <w:rsid w:val="00031168"/>
    <w:rsid w:val="00031B48"/>
    <w:rsid w:val="00033321"/>
    <w:rsid w:val="00033E0B"/>
    <w:rsid w:val="00033E30"/>
    <w:rsid w:val="000341B1"/>
    <w:rsid w:val="00034CB6"/>
    <w:rsid w:val="000357B6"/>
    <w:rsid w:val="00035B43"/>
    <w:rsid w:val="00035DF0"/>
    <w:rsid w:val="00035EDE"/>
    <w:rsid w:val="0003700E"/>
    <w:rsid w:val="000377F1"/>
    <w:rsid w:val="000378FE"/>
    <w:rsid w:val="00037DDE"/>
    <w:rsid w:val="0004002F"/>
    <w:rsid w:val="000401A3"/>
    <w:rsid w:val="000403E8"/>
    <w:rsid w:val="00040670"/>
    <w:rsid w:val="00041A13"/>
    <w:rsid w:val="00041C14"/>
    <w:rsid w:val="0004251A"/>
    <w:rsid w:val="00042603"/>
    <w:rsid w:val="000429D3"/>
    <w:rsid w:val="00043190"/>
    <w:rsid w:val="00043EC0"/>
    <w:rsid w:val="0004419C"/>
    <w:rsid w:val="000447E4"/>
    <w:rsid w:val="0004490C"/>
    <w:rsid w:val="00045400"/>
    <w:rsid w:val="00045F2B"/>
    <w:rsid w:val="00046E83"/>
    <w:rsid w:val="000501C5"/>
    <w:rsid w:val="00050674"/>
    <w:rsid w:val="00050722"/>
    <w:rsid w:val="000509B4"/>
    <w:rsid w:val="00050BB3"/>
    <w:rsid w:val="00050EBE"/>
    <w:rsid w:val="00051066"/>
    <w:rsid w:val="000510B8"/>
    <w:rsid w:val="00051883"/>
    <w:rsid w:val="00051BD5"/>
    <w:rsid w:val="0005200D"/>
    <w:rsid w:val="00052B5A"/>
    <w:rsid w:val="00053422"/>
    <w:rsid w:val="00053D6E"/>
    <w:rsid w:val="00053E45"/>
    <w:rsid w:val="00054B46"/>
    <w:rsid w:val="0005566E"/>
    <w:rsid w:val="000562DE"/>
    <w:rsid w:val="000565E8"/>
    <w:rsid w:val="0005663D"/>
    <w:rsid w:val="00056AF3"/>
    <w:rsid w:val="000570BF"/>
    <w:rsid w:val="00057E94"/>
    <w:rsid w:val="0006099C"/>
    <w:rsid w:val="000609AE"/>
    <w:rsid w:val="00060A87"/>
    <w:rsid w:val="00062FD6"/>
    <w:rsid w:val="000633D5"/>
    <w:rsid w:val="0006346B"/>
    <w:rsid w:val="00063B52"/>
    <w:rsid w:val="00063CB1"/>
    <w:rsid w:val="00063CF3"/>
    <w:rsid w:val="00063E0A"/>
    <w:rsid w:val="0006424A"/>
    <w:rsid w:val="00064556"/>
    <w:rsid w:val="00064A9F"/>
    <w:rsid w:val="00064F20"/>
    <w:rsid w:val="00065CC7"/>
    <w:rsid w:val="000667E4"/>
    <w:rsid w:val="00066AE9"/>
    <w:rsid w:val="00066BD5"/>
    <w:rsid w:val="0006740C"/>
    <w:rsid w:val="00067451"/>
    <w:rsid w:val="0007022B"/>
    <w:rsid w:val="00070F0B"/>
    <w:rsid w:val="000714AC"/>
    <w:rsid w:val="000715CE"/>
    <w:rsid w:val="00071886"/>
    <w:rsid w:val="00071AEF"/>
    <w:rsid w:val="00072207"/>
    <w:rsid w:val="00072762"/>
    <w:rsid w:val="00072ABD"/>
    <w:rsid w:val="00073133"/>
    <w:rsid w:val="00073EB0"/>
    <w:rsid w:val="000742BC"/>
    <w:rsid w:val="00074F43"/>
    <w:rsid w:val="0007539A"/>
    <w:rsid w:val="000754FD"/>
    <w:rsid w:val="00075506"/>
    <w:rsid w:val="00075572"/>
    <w:rsid w:val="000758B8"/>
    <w:rsid w:val="00076136"/>
    <w:rsid w:val="000761B6"/>
    <w:rsid w:val="00076C47"/>
    <w:rsid w:val="00076F18"/>
    <w:rsid w:val="000770E2"/>
    <w:rsid w:val="0007719E"/>
    <w:rsid w:val="00077211"/>
    <w:rsid w:val="00077D2F"/>
    <w:rsid w:val="00080211"/>
    <w:rsid w:val="00081286"/>
    <w:rsid w:val="00082692"/>
    <w:rsid w:val="000826FE"/>
    <w:rsid w:val="00082A0C"/>
    <w:rsid w:val="00082EA3"/>
    <w:rsid w:val="000833BF"/>
    <w:rsid w:val="00083E3E"/>
    <w:rsid w:val="00083EB1"/>
    <w:rsid w:val="0008429B"/>
    <w:rsid w:val="0008431D"/>
    <w:rsid w:val="00084368"/>
    <w:rsid w:val="000846EE"/>
    <w:rsid w:val="00084AD4"/>
    <w:rsid w:val="000851BE"/>
    <w:rsid w:val="00085602"/>
    <w:rsid w:val="00085AB7"/>
    <w:rsid w:val="00085E3F"/>
    <w:rsid w:val="000866B3"/>
    <w:rsid w:val="00087519"/>
    <w:rsid w:val="000876D8"/>
    <w:rsid w:val="00087B22"/>
    <w:rsid w:val="000903DC"/>
    <w:rsid w:val="00090D29"/>
    <w:rsid w:val="00090DAF"/>
    <w:rsid w:val="000914C0"/>
    <w:rsid w:val="000914C2"/>
    <w:rsid w:val="00091523"/>
    <w:rsid w:val="000917BE"/>
    <w:rsid w:val="00091CA7"/>
    <w:rsid w:val="00092148"/>
    <w:rsid w:val="00092204"/>
    <w:rsid w:val="0009233F"/>
    <w:rsid w:val="000923AE"/>
    <w:rsid w:val="0009301D"/>
    <w:rsid w:val="00093022"/>
    <w:rsid w:val="00093C87"/>
    <w:rsid w:val="00093DED"/>
    <w:rsid w:val="00094688"/>
    <w:rsid w:val="00095303"/>
    <w:rsid w:val="000958BA"/>
    <w:rsid w:val="00095DA9"/>
    <w:rsid w:val="0009640C"/>
    <w:rsid w:val="00097573"/>
    <w:rsid w:val="000975D8"/>
    <w:rsid w:val="000977F9"/>
    <w:rsid w:val="000A1155"/>
    <w:rsid w:val="000A135E"/>
    <w:rsid w:val="000A203E"/>
    <w:rsid w:val="000A22F0"/>
    <w:rsid w:val="000A2CDF"/>
    <w:rsid w:val="000A2D31"/>
    <w:rsid w:val="000A2F52"/>
    <w:rsid w:val="000A36A8"/>
    <w:rsid w:val="000A3A53"/>
    <w:rsid w:val="000A3FA2"/>
    <w:rsid w:val="000A4400"/>
    <w:rsid w:val="000A4560"/>
    <w:rsid w:val="000A45EB"/>
    <w:rsid w:val="000A47A7"/>
    <w:rsid w:val="000A4ADF"/>
    <w:rsid w:val="000A4B64"/>
    <w:rsid w:val="000A5041"/>
    <w:rsid w:val="000A54C3"/>
    <w:rsid w:val="000A5646"/>
    <w:rsid w:val="000A566D"/>
    <w:rsid w:val="000A5DB3"/>
    <w:rsid w:val="000A62BD"/>
    <w:rsid w:val="000A66FF"/>
    <w:rsid w:val="000A6920"/>
    <w:rsid w:val="000A6C88"/>
    <w:rsid w:val="000A772E"/>
    <w:rsid w:val="000A7856"/>
    <w:rsid w:val="000A79BA"/>
    <w:rsid w:val="000A7E0C"/>
    <w:rsid w:val="000B0871"/>
    <w:rsid w:val="000B095B"/>
    <w:rsid w:val="000B0C05"/>
    <w:rsid w:val="000B11B1"/>
    <w:rsid w:val="000B17F3"/>
    <w:rsid w:val="000B1A32"/>
    <w:rsid w:val="000B1EB5"/>
    <w:rsid w:val="000B2BF2"/>
    <w:rsid w:val="000B2D29"/>
    <w:rsid w:val="000B3181"/>
    <w:rsid w:val="000B324E"/>
    <w:rsid w:val="000B357C"/>
    <w:rsid w:val="000B3AEE"/>
    <w:rsid w:val="000B3B46"/>
    <w:rsid w:val="000B3C8D"/>
    <w:rsid w:val="000B4B36"/>
    <w:rsid w:val="000B4D6D"/>
    <w:rsid w:val="000B5796"/>
    <w:rsid w:val="000B5FBA"/>
    <w:rsid w:val="000B681E"/>
    <w:rsid w:val="000B6DA8"/>
    <w:rsid w:val="000B6F0A"/>
    <w:rsid w:val="000B750E"/>
    <w:rsid w:val="000C0636"/>
    <w:rsid w:val="000C0949"/>
    <w:rsid w:val="000C0D8C"/>
    <w:rsid w:val="000C14DF"/>
    <w:rsid w:val="000C170C"/>
    <w:rsid w:val="000C2034"/>
    <w:rsid w:val="000C21EC"/>
    <w:rsid w:val="000C245A"/>
    <w:rsid w:val="000C2F22"/>
    <w:rsid w:val="000C32E5"/>
    <w:rsid w:val="000C3B1C"/>
    <w:rsid w:val="000C3C99"/>
    <w:rsid w:val="000C4068"/>
    <w:rsid w:val="000C42AA"/>
    <w:rsid w:val="000C4EA1"/>
    <w:rsid w:val="000C5937"/>
    <w:rsid w:val="000C5C6B"/>
    <w:rsid w:val="000C60E4"/>
    <w:rsid w:val="000C6A16"/>
    <w:rsid w:val="000C6CD3"/>
    <w:rsid w:val="000C6EBA"/>
    <w:rsid w:val="000C7382"/>
    <w:rsid w:val="000C7F3C"/>
    <w:rsid w:val="000D027B"/>
    <w:rsid w:val="000D0B99"/>
    <w:rsid w:val="000D12C7"/>
    <w:rsid w:val="000D1562"/>
    <w:rsid w:val="000D1BE6"/>
    <w:rsid w:val="000D2EFB"/>
    <w:rsid w:val="000D33C0"/>
    <w:rsid w:val="000D345A"/>
    <w:rsid w:val="000D3C2D"/>
    <w:rsid w:val="000D3C58"/>
    <w:rsid w:val="000D3FB6"/>
    <w:rsid w:val="000D4A8C"/>
    <w:rsid w:val="000D4AC7"/>
    <w:rsid w:val="000D5319"/>
    <w:rsid w:val="000D53D7"/>
    <w:rsid w:val="000D57B2"/>
    <w:rsid w:val="000D5B3A"/>
    <w:rsid w:val="000D63EF"/>
    <w:rsid w:val="000D6770"/>
    <w:rsid w:val="000D6855"/>
    <w:rsid w:val="000D79A3"/>
    <w:rsid w:val="000D7E7E"/>
    <w:rsid w:val="000D7E81"/>
    <w:rsid w:val="000D7E91"/>
    <w:rsid w:val="000E0DAD"/>
    <w:rsid w:val="000E182D"/>
    <w:rsid w:val="000E306F"/>
    <w:rsid w:val="000E323C"/>
    <w:rsid w:val="000E33DC"/>
    <w:rsid w:val="000E359B"/>
    <w:rsid w:val="000E3FBF"/>
    <w:rsid w:val="000E4272"/>
    <w:rsid w:val="000E42C1"/>
    <w:rsid w:val="000E46E1"/>
    <w:rsid w:val="000E47E2"/>
    <w:rsid w:val="000E49F8"/>
    <w:rsid w:val="000E50BE"/>
    <w:rsid w:val="000E569F"/>
    <w:rsid w:val="000E5BB5"/>
    <w:rsid w:val="000E660E"/>
    <w:rsid w:val="000E6BAB"/>
    <w:rsid w:val="000E6DA6"/>
    <w:rsid w:val="000E71CC"/>
    <w:rsid w:val="000E72D9"/>
    <w:rsid w:val="000E7558"/>
    <w:rsid w:val="000F008D"/>
    <w:rsid w:val="000F1650"/>
    <w:rsid w:val="000F22F2"/>
    <w:rsid w:val="000F2481"/>
    <w:rsid w:val="000F25F0"/>
    <w:rsid w:val="000F2753"/>
    <w:rsid w:val="000F2AE1"/>
    <w:rsid w:val="000F306A"/>
    <w:rsid w:val="000F44BD"/>
    <w:rsid w:val="000F483E"/>
    <w:rsid w:val="000F576B"/>
    <w:rsid w:val="000F5CD4"/>
    <w:rsid w:val="000F5D77"/>
    <w:rsid w:val="000F6024"/>
    <w:rsid w:val="000F64A7"/>
    <w:rsid w:val="000F64DF"/>
    <w:rsid w:val="000F6DCB"/>
    <w:rsid w:val="000F70D5"/>
    <w:rsid w:val="000F7192"/>
    <w:rsid w:val="000F733D"/>
    <w:rsid w:val="000F77FD"/>
    <w:rsid w:val="000F783E"/>
    <w:rsid w:val="000F78C9"/>
    <w:rsid w:val="00100186"/>
    <w:rsid w:val="001001F4"/>
    <w:rsid w:val="00100404"/>
    <w:rsid w:val="001020CF"/>
    <w:rsid w:val="001029A7"/>
    <w:rsid w:val="00102FAA"/>
    <w:rsid w:val="00103739"/>
    <w:rsid w:val="00103867"/>
    <w:rsid w:val="00104382"/>
    <w:rsid w:val="001046A0"/>
    <w:rsid w:val="00104E1A"/>
    <w:rsid w:val="00105260"/>
    <w:rsid w:val="00105282"/>
    <w:rsid w:val="001055FD"/>
    <w:rsid w:val="00105754"/>
    <w:rsid w:val="00105AAE"/>
    <w:rsid w:val="0010762A"/>
    <w:rsid w:val="0010778E"/>
    <w:rsid w:val="00107D67"/>
    <w:rsid w:val="001103B2"/>
    <w:rsid w:val="0011049E"/>
    <w:rsid w:val="00110517"/>
    <w:rsid w:val="0011107B"/>
    <w:rsid w:val="001115CE"/>
    <w:rsid w:val="001117BA"/>
    <w:rsid w:val="00111C19"/>
    <w:rsid w:val="00111D50"/>
    <w:rsid w:val="0011222E"/>
    <w:rsid w:val="00112515"/>
    <w:rsid w:val="00112CF6"/>
    <w:rsid w:val="00113151"/>
    <w:rsid w:val="001131E1"/>
    <w:rsid w:val="001139D0"/>
    <w:rsid w:val="00113F3C"/>
    <w:rsid w:val="0011449E"/>
    <w:rsid w:val="001149E9"/>
    <w:rsid w:val="001149F7"/>
    <w:rsid w:val="00114F9A"/>
    <w:rsid w:val="0011577F"/>
    <w:rsid w:val="00116F75"/>
    <w:rsid w:val="0011764D"/>
    <w:rsid w:val="001179A2"/>
    <w:rsid w:val="001202E3"/>
    <w:rsid w:val="00120449"/>
    <w:rsid w:val="00120B84"/>
    <w:rsid w:val="00120E9C"/>
    <w:rsid w:val="0012155B"/>
    <w:rsid w:val="0012180A"/>
    <w:rsid w:val="001218D1"/>
    <w:rsid w:val="00122C79"/>
    <w:rsid w:val="00122D2B"/>
    <w:rsid w:val="0012369C"/>
    <w:rsid w:val="00123FEA"/>
    <w:rsid w:val="0012518E"/>
    <w:rsid w:val="00125397"/>
    <w:rsid w:val="001256CE"/>
    <w:rsid w:val="001257A2"/>
    <w:rsid w:val="001257C2"/>
    <w:rsid w:val="00125A6F"/>
    <w:rsid w:val="00125F00"/>
    <w:rsid w:val="00125F1B"/>
    <w:rsid w:val="0012626F"/>
    <w:rsid w:val="001263E0"/>
    <w:rsid w:val="001269A0"/>
    <w:rsid w:val="0012793E"/>
    <w:rsid w:val="00127DF3"/>
    <w:rsid w:val="00127F3B"/>
    <w:rsid w:val="0013059D"/>
    <w:rsid w:val="00130676"/>
    <w:rsid w:val="00130DA7"/>
    <w:rsid w:val="00131431"/>
    <w:rsid w:val="0013156F"/>
    <w:rsid w:val="00131932"/>
    <w:rsid w:val="00131BC2"/>
    <w:rsid w:val="00131C32"/>
    <w:rsid w:val="0013263D"/>
    <w:rsid w:val="00132660"/>
    <w:rsid w:val="00132978"/>
    <w:rsid w:val="00132EB8"/>
    <w:rsid w:val="00133D37"/>
    <w:rsid w:val="00133E89"/>
    <w:rsid w:val="00133FA7"/>
    <w:rsid w:val="00134123"/>
    <w:rsid w:val="001344DF"/>
    <w:rsid w:val="00134C2B"/>
    <w:rsid w:val="00135AC6"/>
    <w:rsid w:val="0013632D"/>
    <w:rsid w:val="00136A1B"/>
    <w:rsid w:val="0013714A"/>
    <w:rsid w:val="0013726D"/>
    <w:rsid w:val="00137A07"/>
    <w:rsid w:val="00137F5D"/>
    <w:rsid w:val="00140EE2"/>
    <w:rsid w:val="001416FA"/>
    <w:rsid w:val="00141A55"/>
    <w:rsid w:val="00141EA4"/>
    <w:rsid w:val="001420A8"/>
    <w:rsid w:val="0014216B"/>
    <w:rsid w:val="00142C3F"/>
    <w:rsid w:val="00142CAF"/>
    <w:rsid w:val="00142E96"/>
    <w:rsid w:val="001431BA"/>
    <w:rsid w:val="001437B5"/>
    <w:rsid w:val="00143C74"/>
    <w:rsid w:val="001442A4"/>
    <w:rsid w:val="00144A93"/>
    <w:rsid w:val="00144CD5"/>
    <w:rsid w:val="001453DA"/>
    <w:rsid w:val="00146016"/>
    <w:rsid w:val="0014654B"/>
    <w:rsid w:val="001466ED"/>
    <w:rsid w:val="00146AEF"/>
    <w:rsid w:val="00147CFA"/>
    <w:rsid w:val="00147CFC"/>
    <w:rsid w:val="00147F33"/>
    <w:rsid w:val="0015072D"/>
    <w:rsid w:val="00150C49"/>
    <w:rsid w:val="00150F62"/>
    <w:rsid w:val="0015129B"/>
    <w:rsid w:val="0015142C"/>
    <w:rsid w:val="00151435"/>
    <w:rsid w:val="001517FF"/>
    <w:rsid w:val="00152078"/>
    <w:rsid w:val="001520B6"/>
    <w:rsid w:val="00152EB0"/>
    <w:rsid w:val="00152F2F"/>
    <w:rsid w:val="0015362F"/>
    <w:rsid w:val="0015431B"/>
    <w:rsid w:val="001544D0"/>
    <w:rsid w:val="00155568"/>
    <w:rsid w:val="0015629E"/>
    <w:rsid w:val="00156689"/>
    <w:rsid w:val="001567A6"/>
    <w:rsid w:val="00156E3D"/>
    <w:rsid w:val="00156F3F"/>
    <w:rsid w:val="00157490"/>
    <w:rsid w:val="00157503"/>
    <w:rsid w:val="00157769"/>
    <w:rsid w:val="00157AD2"/>
    <w:rsid w:val="00157CD5"/>
    <w:rsid w:val="00157CE6"/>
    <w:rsid w:val="00160CAE"/>
    <w:rsid w:val="00161122"/>
    <w:rsid w:val="001615A9"/>
    <w:rsid w:val="0016162F"/>
    <w:rsid w:val="00161702"/>
    <w:rsid w:val="00161A76"/>
    <w:rsid w:val="00161DDF"/>
    <w:rsid w:val="00162BB6"/>
    <w:rsid w:val="00162DB0"/>
    <w:rsid w:val="00163004"/>
    <w:rsid w:val="00163007"/>
    <w:rsid w:val="001635E2"/>
    <w:rsid w:val="00163880"/>
    <w:rsid w:val="00163CB8"/>
    <w:rsid w:val="00163D1C"/>
    <w:rsid w:val="0016412A"/>
    <w:rsid w:val="0016580F"/>
    <w:rsid w:val="001663F9"/>
    <w:rsid w:val="00166A3D"/>
    <w:rsid w:val="00166C63"/>
    <w:rsid w:val="00167444"/>
    <w:rsid w:val="0016755A"/>
    <w:rsid w:val="00170101"/>
    <w:rsid w:val="00170871"/>
    <w:rsid w:val="00170BA5"/>
    <w:rsid w:val="00171814"/>
    <w:rsid w:val="00171AAB"/>
    <w:rsid w:val="00171B33"/>
    <w:rsid w:val="00171E86"/>
    <w:rsid w:val="00172070"/>
    <w:rsid w:val="00173342"/>
    <w:rsid w:val="0017338F"/>
    <w:rsid w:val="001737EA"/>
    <w:rsid w:val="001738B9"/>
    <w:rsid w:val="00173B90"/>
    <w:rsid w:val="00173C3A"/>
    <w:rsid w:val="0017408B"/>
    <w:rsid w:val="00174EE0"/>
    <w:rsid w:val="0017540A"/>
    <w:rsid w:val="00176058"/>
    <w:rsid w:val="00176876"/>
    <w:rsid w:val="00176D2D"/>
    <w:rsid w:val="00176E5C"/>
    <w:rsid w:val="00177387"/>
    <w:rsid w:val="00180049"/>
    <w:rsid w:val="00180618"/>
    <w:rsid w:val="00180731"/>
    <w:rsid w:val="00180747"/>
    <w:rsid w:val="001809CC"/>
    <w:rsid w:val="00180BDF"/>
    <w:rsid w:val="00180FEC"/>
    <w:rsid w:val="0018114B"/>
    <w:rsid w:val="001814A3"/>
    <w:rsid w:val="001814AF"/>
    <w:rsid w:val="00181EC8"/>
    <w:rsid w:val="00182074"/>
    <w:rsid w:val="00182113"/>
    <w:rsid w:val="001823F0"/>
    <w:rsid w:val="00182DA6"/>
    <w:rsid w:val="00183013"/>
    <w:rsid w:val="00183482"/>
    <w:rsid w:val="001835FF"/>
    <w:rsid w:val="001841C8"/>
    <w:rsid w:val="00184349"/>
    <w:rsid w:val="00184372"/>
    <w:rsid w:val="0018498F"/>
    <w:rsid w:val="001864BA"/>
    <w:rsid w:val="001865CB"/>
    <w:rsid w:val="00186905"/>
    <w:rsid w:val="00187A05"/>
    <w:rsid w:val="00187EC5"/>
    <w:rsid w:val="00187EC6"/>
    <w:rsid w:val="0019047E"/>
    <w:rsid w:val="00190A49"/>
    <w:rsid w:val="00190F56"/>
    <w:rsid w:val="001929D6"/>
    <w:rsid w:val="00193D80"/>
    <w:rsid w:val="00194000"/>
    <w:rsid w:val="00194043"/>
    <w:rsid w:val="0019465E"/>
    <w:rsid w:val="00194691"/>
    <w:rsid w:val="00194DDC"/>
    <w:rsid w:val="00194E63"/>
    <w:rsid w:val="00194F53"/>
    <w:rsid w:val="00195CA8"/>
    <w:rsid w:val="00196049"/>
    <w:rsid w:val="00196935"/>
    <w:rsid w:val="001969D6"/>
    <w:rsid w:val="00196A8A"/>
    <w:rsid w:val="001973BF"/>
    <w:rsid w:val="00197785"/>
    <w:rsid w:val="001A13D1"/>
    <w:rsid w:val="001A1C2A"/>
    <w:rsid w:val="001A23E3"/>
    <w:rsid w:val="001A253B"/>
    <w:rsid w:val="001A2B38"/>
    <w:rsid w:val="001A2C1A"/>
    <w:rsid w:val="001A2F21"/>
    <w:rsid w:val="001A429A"/>
    <w:rsid w:val="001A4DC0"/>
    <w:rsid w:val="001A5CD1"/>
    <w:rsid w:val="001A69F1"/>
    <w:rsid w:val="001A7109"/>
    <w:rsid w:val="001A723F"/>
    <w:rsid w:val="001A72E5"/>
    <w:rsid w:val="001A7A77"/>
    <w:rsid w:val="001A7EDC"/>
    <w:rsid w:val="001A7EE9"/>
    <w:rsid w:val="001B108C"/>
    <w:rsid w:val="001B16BD"/>
    <w:rsid w:val="001B2012"/>
    <w:rsid w:val="001B29C2"/>
    <w:rsid w:val="001B2F7C"/>
    <w:rsid w:val="001B2FBE"/>
    <w:rsid w:val="001B307A"/>
    <w:rsid w:val="001B3662"/>
    <w:rsid w:val="001B3C0A"/>
    <w:rsid w:val="001B4032"/>
    <w:rsid w:val="001B4F75"/>
    <w:rsid w:val="001B5690"/>
    <w:rsid w:val="001B5C88"/>
    <w:rsid w:val="001B5F67"/>
    <w:rsid w:val="001B67C5"/>
    <w:rsid w:val="001B7246"/>
    <w:rsid w:val="001B7458"/>
    <w:rsid w:val="001B7732"/>
    <w:rsid w:val="001B7C2C"/>
    <w:rsid w:val="001C02BC"/>
    <w:rsid w:val="001C03BE"/>
    <w:rsid w:val="001C0462"/>
    <w:rsid w:val="001C0845"/>
    <w:rsid w:val="001C0C4E"/>
    <w:rsid w:val="001C10CA"/>
    <w:rsid w:val="001C1F06"/>
    <w:rsid w:val="001C23B7"/>
    <w:rsid w:val="001C2F73"/>
    <w:rsid w:val="001C2FB9"/>
    <w:rsid w:val="001C3028"/>
    <w:rsid w:val="001C33AF"/>
    <w:rsid w:val="001C3C9D"/>
    <w:rsid w:val="001C46ED"/>
    <w:rsid w:val="001C53DC"/>
    <w:rsid w:val="001C5592"/>
    <w:rsid w:val="001C58B4"/>
    <w:rsid w:val="001C59B4"/>
    <w:rsid w:val="001C5DBD"/>
    <w:rsid w:val="001C64F8"/>
    <w:rsid w:val="001C6625"/>
    <w:rsid w:val="001C6BA2"/>
    <w:rsid w:val="001C754F"/>
    <w:rsid w:val="001C7EF5"/>
    <w:rsid w:val="001D03FD"/>
    <w:rsid w:val="001D09A5"/>
    <w:rsid w:val="001D0C04"/>
    <w:rsid w:val="001D0C1A"/>
    <w:rsid w:val="001D1097"/>
    <w:rsid w:val="001D13A1"/>
    <w:rsid w:val="001D13A5"/>
    <w:rsid w:val="001D1525"/>
    <w:rsid w:val="001D198B"/>
    <w:rsid w:val="001D234C"/>
    <w:rsid w:val="001D24E2"/>
    <w:rsid w:val="001D2A1A"/>
    <w:rsid w:val="001D2CD9"/>
    <w:rsid w:val="001D2E6F"/>
    <w:rsid w:val="001D3612"/>
    <w:rsid w:val="001D3874"/>
    <w:rsid w:val="001D3B93"/>
    <w:rsid w:val="001D3E5C"/>
    <w:rsid w:val="001D3FAB"/>
    <w:rsid w:val="001D4475"/>
    <w:rsid w:val="001D56E5"/>
    <w:rsid w:val="001D5A5E"/>
    <w:rsid w:val="001D5C1C"/>
    <w:rsid w:val="001D61D4"/>
    <w:rsid w:val="001D6390"/>
    <w:rsid w:val="001D6633"/>
    <w:rsid w:val="001D66B6"/>
    <w:rsid w:val="001D6E76"/>
    <w:rsid w:val="001D7560"/>
    <w:rsid w:val="001D7580"/>
    <w:rsid w:val="001D7E75"/>
    <w:rsid w:val="001E188E"/>
    <w:rsid w:val="001E27D7"/>
    <w:rsid w:val="001E29D8"/>
    <w:rsid w:val="001E397C"/>
    <w:rsid w:val="001E3F08"/>
    <w:rsid w:val="001E504A"/>
    <w:rsid w:val="001E56D2"/>
    <w:rsid w:val="001E5D18"/>
    <w:rsid w:val="001E6182"/>
    <w:rsid w:val="001E6564"/>
    <w:rsid w:val="001E6F8B"/>
    <w:rsid w:val="001E787C"/>
    <w:rsid w:val="001E7D56"/>
    <w:rsid w:val="001F048D"/>
    <w:rsid w:val="001F0D61"/>
    <w:rsid w:val="001F22E2"/>
    <w:rsid w:val="001F2414"/>
    <w:rsid w:val="001F35B1"/>
    <w:rsid w:val="001F38C2"/>
    <w:rsid w:val="001F413C"/>
    <w:rsid w:val="001F48F2"/>
    <w:rsid w:val="001F4C42"/>
    <w:rsid w:val="001F4C8D"/>
    <w:rsid w:val="001F4CBC"/>
    <w:rsid w:val="001F501D"/>
    <w:rsid w:val="001F55E6"/>
    <w:rsid w:val="001F56BE"/>
    <w:rsid w:val="001F5C56"/>
    <w:rsid w:val="001F5EB1"/>
    <w:rsid w:val="001F617C"/>
    <w:rsid w:val="001F6C82"/>
    <w:rsid w:val="001F72E0"/>
    <w:rsid w:val="001F75DE"/>
    <w:rsid w:val="001F772A"/>
    <w:rsid w:val="001F7DBB"/>
    <w:rsid w:val="00200322"/>
    <w:rsid w:val="00200D58"/>
    <w:rsid w:val="00200D9D"/>
    <w:rsid w:val="00201012"/>
    <w:rsid w:val="00201200"/>
    <w:rsid w:val="002013BE"/>
    <w:rsid w:val="00201749"/>
    <w:rsid w:val="00201926"/>
    <w:rsid w:val="002023B6"/>
    <w:rsid w:val="00202ADC"/>
    <w:rsid w:val="00202CA8"/>
    <w:rsid w:val="002047E2"/>
    <w:rsid w:val="00204CD9"/>
    <w:rsid w:val="0020527D"/>
    <w:rsid w:val="00205312"/>
    <w:rsid w:val="002063A4"/>
    <w:rsid w:val="00207417"/>
    <w:rsid w:val="00207D09"/>
    <w:rsid w:val="00207D9F"/>
    <w:rsid w:val="002103E1"/>
    <w:rsid w:val="00210422"/>
    <w:rsid w:val="00210809"/>
    <w:rsid w:val="00210E75"/>
    <w:rsid w:val="0021145B"/>
    <w:rsid w:val="002124BC"/>
    <w:rsid w:val="00212766"/>
    <w:rsid w:val="00212CEB"/>
    <w:rsid w:val="00214A08"/>
    <w:rsid w:val="0021569E"/>
    <w:rsid w:val="002156CB"/>
    <w:rsid w:val="002161AF"/>
    <w:rsid w:val="002161F4"/>
    <w:rsid w:val="0021648D"/>
    <w:rsid w:val="0021670A"/>
    <w:rsid w:val="00216C15"/>
    <w:rsid w:val="00217603"/>
    <w:rsid w:val="002205A1"/>
    <w:rsid w:val="00222208"/>
    <w:rsid w:val="002225D2"/>
    <w:rsid w:val="00222851"/>
    <w:rsid w:val="00223145"/>
    <w:rsid w:val="00224421"/>
    <w:rsid w:val="002253C7"/>
    <w:rsid w:val="002254F9"/>
    <w:rsid w:val="00225525"/>
    <w:rsid w:val="002257BE"/>
    <w:rsid w:val="00225810"/>
    <w:rsid w:val="00225A6F"/>
    <w:rsid w:val="00225A74"/>
    <w:rsid w:val="002261B9"/>
    <w:rsid w:val="00226F89"/>
    <w:rsid w:val="00227160"/>
    <w:rsid w:val="00227267"/>
    <w:rsid w:val="00227542"/>
    <w:rsid w:val="002308B5"/>
    <w:rsid w:val="00230C1E"/>
    <w:rsid w:val="00230F05"/>
    <w:rsid w:val="002311C7"/>
    <w:rsid w:val="0023149A"/>
    <w:rsid w:val="00231874"/>
    <w:rsid w:val="00232AAC"/>
    <w:rsid w:val="0023313C"/>
    <w:rsid w:val="00233CEF"/>
    <w:rsid w:val="00233F8C"/>
    <w:rsid w:val="002343E7"/>
    <w:rsid w:val="002351BD"/>
    <w:rsid w:val="00235C3F"/>
    <w:rsid w:val="00235F44"/>
    <w:rsid w:val="002360F1"/>
    <w:rsid w:val="0023703C"/>
    <w:rsid w:val="002371EE"/>
    <w:rsid w:val="0023729A"/>
    <w:rsid w:val="002375A0"/>
    <w:rsid w:val="00240302"/>
    <w:rsid w:val="002403F0"/>
    <w:rsid w:val="00240699"/>
    <w:rsid w:val="002407A8"/>
    <w:rsid w:val="00241FA1"/>
    <w:rsid w:val="002431A8"/>
    <w:rsid w:val="00243A56"/>
    <w:rsid w:val="002447A4"/>
    <w:rsid w:val="0024505D"/>
    <w:rsid w:val="00245078"/>
    <w:rsid w:val="0024524C"/>
    <w:rsid w:val="002453A0"/>
    <w:rsid w:val="002453CC"/>
    <w:rsid w:val="002458D1"/>
    <w:rsid w:val="00245AE2"/>
    <w:rsid w:val="00246817"/>
    <w:rsid w:val="00246A38"/>
    <w:rsid w:val="00246C5E"/>
    <w:rsid w:val="002472B2"/>
    <w:rsid w:val="00247707"/>
    <w:rsid w:val="002504DC"/>
    <w:rsid w:val="00250533"/>
    <w:rsid w:val="00250D59"/>
    <w:rsid w:val="0025120B"/>
    <w:rsid w:val="00251265"/>
    <w:rsid w:val="0025148A"/>
    <w:rsid w:val="002515EE"/>
    <w:rsid w:val="00251CD0"/>
    <w:rsid w:val="00252278"/>
    <w:rsid w:val="00252899"/>
    <w:rsid w:val="002534FC"/>
    <w:rsid w:val="00253669"/>
    <w:rsid w:val="00253687"/>
    <w:rsid w:val="00253AF9"/>
    <w:rsid w:val="00254368"/>
    <w:rsid w:val="00255190"/>
    <w:rsid w:val="00255702"/>
    <w:rsid w:val="002557FD"/>
    <w:rsid w:val="00255BB8"/>
    <w:rsid w:val="00255CCA"/>
    <w:rsid w:val="002560D0"/>
    <w:rsid w:val="002560E4"/>
    <w:rsid w:val="00256F53"/>
    <w:rsid w:val="002570D6"/>
    <w:rsid w:val="002570FB"/>
    <w:rsid w:val="002603C1"/>
    <w:rsid w:val="00260544"/>
    <w:rsid w:val="00261F6A"/>
    <w:rsid w:val="0026233E"/>
    <w:rsid w:val="00262577"/>
    <w:rsid w:val="002636D0"/>
    <w:rsid w:val="00263757"/>
    <w:rsid w:val="00263EB7"/>
    <w:rsid w:val="00263FF0"/>
    <w:rsid w:val="0026578C"/>
    <w:rsid w:val="002657F3"/>
    <w:rsid w:val="002659CA"/>
    <w:rsid w:val="00265B71"/>
    <w:rsid w:val="00266099"/>
    <w:rsid w:val="002660DF"/>
    <w:rsid w:val="00266CDF"/>
    <w:rsid w:val="00266E0D"/>
    <w:rsid w:val="00266FD3"/>
    <w:rsid w:val="002671A7"/>
    <w:rsid w:val="0026736F"/>
    <w:rsid w:val="00267E79"/>
    <w:rsid w:val="002701C1"/>
    <w:rsid w:val="00270582"/>
    <w:rsid w:val="0027229F"/>
    <w:rsid w:val="00272A5B"/>
    <w:rsid w:val="00272FB6"/>
    <w:rsid w:val="00273442"/>
    <w:rsid w:val="002736C9"/>
    <w:rsid w:val="002741E1"/>
    <w:rsid w:val="002748F8"/>
    <w:rsid w:val="00274A08"/>
    <w:rsid w:val="002751B7"/>
    <w:rsid w:val="002752B2"/>
    <w:rsid w:val="002753C9"/>
    <w:rsid w:val="00275921"/>
    <w:rsid w:val="00276384"/>
    <w:rsid w:val="00276F99"/>
    <w:rsid w:val="002775CA"/>
    <w:rsid w:val="002775F4"/>
    <w:rsid w:val="00277D6E"/>
    <w:rsid w:val="00277DD2"/>
    <w:rsid w:val="00277E5F"/>
    <w:rsid w:val="002803B4"/>
    <w:rsid w:val="00280AF4"/>
    <w:rsid w:val="002810D2"/>
    <w:rsid w:val="002814C7"/>
    <w:rsid w:val="00281AEB"/>
    <w:rsid w:val="002820DC"/>
    <w:rsid w:val="00282A37"/>
    <w:rsid w:val="002832BC"/>
    <w:rsid w:val="00283CD0"/>
    <w:rsid w:val="00284890"/>
    <w:rsid w:val="00285749"/>
    <w:rsid w:val="0028596B"/>
    <w:rsid w:val="00285BB4"/>
    <w:rsid w:val="00285F1E"/>
    <w:rsid w:val="00286740"/>
    <w:rsid w:val="00286CA8"/>
    <w:rsid w:val="0028752D"/>
    <w:rsid w:val="002875C0"/>
    <w:rsid w:val="00290B9A"/>
    <w:rsid w:val="00290CD5"/>
    <w:rsid w:val="00291E6D"/>
    <w:rsid w:val="002921AF"/>
    <w:rsid w:val="002923F3"/>
    <w:rsid w:val="002929D8"/>
    <w:rsid w:val="00292BC4"/>
    <w:rsid w:val="00292FC1"/>
    <w:rsid w:val="00293651"/>
    <w:rsid w:val="00293C67"/>
    <w:rsid w:val="00293FEE"/>
    <w:rsid w:val="00294302"/>
    <w:rsid w:val="002946F4"/>
    <w:rsid w:val="002948A0"/>
    <w:rsid w:val="00294E93"/>
    <w:rsid w:val="00294EE9"/>
    <w:rsid w:val="00294FAF"/>
    <w:rsid w:val="00296926"/>
    <w:rsid w:val="00296C5A"/>
    <w:rsid w:val="00296CC8"/>
    <w:rsid w:val="002A0387"/>
    <w:rsid w:val="002A1349"/>
    <w:rsid w:val="002A1475"/>
    <w:rsid w:val="002A231E"/>
    <w:rsid w:val="002A237D"/>
    <w:rsid w:val="002A323C"/>
    <w:rsid w:val="002A343F"/>
    <w:rsid w:val="002A4800"/>
    <w:rsid w:val="002A4C53"/>
    <w:rsid w:val="002A4C9F"/>
    <w:rsid w:val="002A5072"/>
    <w:rsid w:val="002A5094"/>
    <w:rsid w:val="002A5194"/>
    <w:rsid w:val="002A57E3"/>
    <w:rsid w:val="002A5D2B"/>
    <w:rsid w:val="002A5DFA"/>
    <w:rsid w:val="002A6B6E"/>
    <w:rsid w:val="002A6F28"/>
    <w:rsid w:val="002A7273"/>
    <w:rsid w:val="002A7C82"/>
    <w:rsid w:val="002B031B"/>
    <w:rsid w:val="002B1187"/>
    <w:rsid w:val="002B12D0"/>
    <w:rsid w:val="002B14DB"/>
    <w:rsid w:val="002B3083"/>
    <w:rsid w:val="002B327E"/>
    <w:rsid w:val="002B33D8"/>
    <w:rsid w:val="002B34F5"/>
    <w:rsid w:val="002B36CE"/>
    <w:rsid w:val="002B3A2E"/>
    <w:rsid w:val="002B3E45"/>
    <w:rsid w:val="002B3F60"/>
    <w:rsid w:val="002B445D"/>
    <w:rsid w:val="002B44BC"/>
    <w:rsid w:val="002B44C9"/>
    <w:rsid w:val="002B52BC"/>
    <w:rsid w:val="002B5B98"/>
    <w:rsid w:val="002B5C61"/>
    <w:rsid w:val="002B5C86"/>
    <w:rsid w:val="002B6751"/>
    <w:rsid w:val="002B68C6"/>
    <w:rsid w:val="002B6A53"/>
    <w:rsid w:val="002B75C8"/>
    <w:rsid w:val="002B7DA0"/>
    <w:rsid w:val="002C0246"/>
    <w:rsid w:val="002C03CC"/>
    <w:rsid w:val="002C0557"/>
    <w:rsid w:val="002C09E3"/>
    <w:rsid w:val="002C0A05"/>
    <w:rsid w:val="002C145D"/>
    <w:rsid w:val="002C1549"/>
    <w:rsid w:val="002C194E"/>
    <w:rsid w:val="002C2229"/>
    <w:rsid w:val="002C245B"/>
    <w:rsid w:val="002C2C3E"/>
    <w:rsid w:val="002C2D44"/>
    <w:rsid w:val="002C4653"/>
    <w:rsid w:val="002C48C6"/>
    <w:rsid w:val="002C533E"/>
    <w:rsid w:val="002C5746"/>
    <w:rsid w:val="002C5AD8"/>
    <w:rsid w:val="002C5E3B"/>
    <w:rsid w:val="002C5E5E"/>
    <w:rsid w:val="002C657E"/>
    <w:rsid w:val="002D0003"/>
    <w:rsid w:val="002D00B8"/>
    <w:rsid w:val="002D027F"/>
    <w:rsid w:val="002D04E6"/>
    <w:rsid w:val="002D054B"/>
    <w:rsid w:val="002D073E"/>
    <w:rsid w:val="002D12AD"/>
    <w:rsid w:val="002D1464"/>
    <w:rsid w:val="002D1656"/>
    <w:rsid w:val="002D16CF"/>
    <w:rsid w:val="002D1849"/>
    <w:rsid w:val="002D230D"/>
    <w:rsid w:val="002D2423"/>
    <w:rsid w:val="002D317D"/>
    <w:rsid w:val="002D4832"/>
    <w:rsid w:val="002D49C6"/>
    <w:rsid w:val="002D4FB0"/>
    <w:rsid w:val="002D582B"/>
    <w:rsid w:val="002D5840"/>
    <w:rsid w:val="002D5D50"/>
    <w:rsid w:val="002D62AC"/>
    <w:rsid w:val="002D65FE"/>
    <w:rsid w:val="002D6977"/>
    <w:rsid w:val="002D6BF9"/>
    <w:rsid w:val="002D7106"/>
    <w:rsid w:val="002D7792"/>
    <w:rsid w:val="002D7B35"/>
    <w:rsid w:val="002D7B60"/>
    <w:rsid w:val="002D7F2B"/>
    <w:rsid w:val="002E0188"/>
    <w:rsid w:val="002E0409"/>
    <w:rsid w:val="002E0DA8"/>
    <w:rsid w:val="002E17A0"/>
    <w:rsid w:val="002E1BFF"/>
    <w:rsid w:val="002E1FC7"/>
    <w:rsid w:val="002E2438"/>
    <w:rsid w:val="002E2D79"/>
    <w:rsid w:val="002E2F67"/>
    <w:rsid w:val="002E3AC8"/>
    <w:rsid w:val="002E3D8C"/>
    <w:rsid w:val="002E4392"/>
    <w:rsid w:val="002E45C7"/>
    <w:rsid w:val="002E4896"/>
    <w:rsid w:val="002E4A8E"/>
    <w:rsid w:val="002E5455"/>
    <w:rsid w:val="002E56F7"/>
    <w:rsid w:val="002E57CA"/>
    <w:rsid w:val="002E5A2B"/>
    <w:rsid w:val="002E5DE0"/>
    <w:rsid w:val="002E61E5"/>
    <w:rsid w:val="002E6955"/>
    <w:rsid w:val="002E7180"/>
    <w:rsid w:val="002E7970"/>
    <w:rsid w:val="002F0080"/>
    <w:rsid w:val="002F061B"/>
    <w:rsid w:val="002F0C0D"/>
    <w:rsid w:val="002F1232"/>
    <w:rsid w:val="002F1256"/>
    <w:rsid w:val="002F12A0"/>
    <w:rsid w:val="002F1CB7"/>
    <w:rsid w:val="002F1DC4"/>
    <w:rsid w:val="002F2BEB"/>
    <w:rsid w:val="002F335D"/>
    <w:rsid w:val="002F38FF"/>
    <w:rsid w:val="002F4761"/>
    <w:rsid w:val="002F49F9"/>
    <w:rsid w:val="002F5432"/>
    <w:rsid w:val="002F5CD5"/>
    <w:rsid w:val="002F6396"/>
    <w:rsid w:val="003009D3"/>
    <w:rsid w:val="00300F9B"/>
    <w:rsid w:val="0030104B"/>
    <w:rsid w:val="003013B2"/>
    <w:rsid w:val="0030174D"/>
    <w:rsid w:val="00301825"/>
    <w:rsid w:val="00301A40"/>
    <w:rsid w:val="00301EE5"/>
    <w:rsid w:val="0030215A"/>
    <w:rsid w:val="003021AD"/>
    <w:rsid w:val="00302337"/>
    <w:rsid w:val="00302463"/>
    <w:rsid w:val="003025A4"/>
    <w:rsid w:val="003027A8"/>
    <w:rsid w:val="00302EEE"/>
    <w:rsid w:val="003037FC"/>
    <w:rsid w:val="00303965"/>
    <w:rsid w:val="00303C06"/>
    <w:rsid w:val="00303C2F"/>
    <w:rsid w:val="00303FC5"/>
    <w:rsid w:val="00304F0F"/>
    <w:rsid w:val="00305B47"/>
    <w:rsid w:val="00306079"/>
    <w:rsid w:val="003061B5"/>
    <w:rsid w:val="00306ABA"/>
    <w:rsid w:val="00306E82"/>
    <w:rsid w:val="003073E5"/>
    <w:rsid w:val="00310707"/>
    <w:rsid w:val="0031070B"/>
    <w:rsid w:val="00310C3D"/>
    <w:rsid w:val="00311B8A"/>
    <w:rsid w:val="00311CCC"/>
    <w:rsid w:val="0031244D"/>
    <w:rsid w:val="00312FA8"/>
    <w:rsid w:val="003131A6"/>
    <w:rsid w:val="003134EC"/>
    <w:rsid w:val="00313CAC"/>
    <w:rsid w:val="0031413F"/>
    <w:rsid w:val="00314FF5"/>
    <w:rsid w:val="00315265"/>
    <w:rsid w:val="003153BB"/>
    <w:rsid w:val="00315820"/>
    <w:rsid w:val="0031671F"/>
    <w:rsid w:val="00317353"/>
    <w:rsid w:val="00317453"/>
    <w:rsid w:val="0031786D"/>
    <w:rsid w:val="00317AB6"/>
    <w:rsid w:val="00317C36"/>
    <w:rsid w:val="00320958"/>
    <w:rsid w:val="00320DEC"/>
    <w:rsid w:val="003217A3"/>
    <w:rsid w:val="00321ABA"/>
    <w:rsid w:val="00323070"/>
    <w:rsid w:val="00323679"/>
    <w:rsid w:val="0032462C"/>
    <w:rsid w:val="00324A51"/>
    <w:rsid w:val="0032509B"/>
    <w:rsid w:val="0032548E"/>
    <w:rsid w:val="003256C4"/>
    <w:rsid w:val="0032581D"/>
    <w:rsid w:val="003263ED"/>
    <w:rsid w:val="00326C47"/>
    <w:rsid w:val="0032790E"/>
    <w:rsid w:val="00327C7F"/>
    <w:rsid w:val="00330C42"/>
    <w:rsid w:val="00331830"/>
    <w:rsid w:val="00332EF7"/>
    <w:rsid w:val="00333279"/>
    <w:rsid w:val="003335B6"/>
    <w:rsid w:val="0033366A"/>
    <w:rsid w:val="00333E57"/>
    <w:rsid w:val="00336912"/>
    <w:rsid w:val="00336E04"/>
    <w:rsid w:val="0033707D"/>
    <w:rsid w:val="00337826"/>
    <w:rsid w:val="003378B0"/>
    <w:rsid w:val="00337C69"/>
    <w:rsid w:val="00337FB5"/>
    <w:rsid w:val="003402AA"/>
    <w:rsid w:val="00340325"/>
    <w:rsid w:val="00341491"/>
    <w:rsid w:val="00341891"/>
    <w:rsid w:val="00341A77"/>
    <w:rsid w:val="00341BDC"/>
    <w:rsid w:val="0034259F"/>
    <w:rsid w:val="003425A3"/>
    <w:rsid w:val="003426F1"/>
    <w:rsid w:val="003428C6"/>
    <w:rsid w:val="003428CE"/>
    <w:rsid w:val="0034340E"/>
    <w:rsid w:val="00343630"/>
    <w:rsid w:val="00343757"/>
    <w:rsid w:val="003449ED"/>
    <w:rsid w:val="00344B20"/>
    <w:rsid w:val="00344FDE"/>
    <w:rsid w:val="00344FEA"/>
    <w:rsid w:val="003451AA"/>
    <w:rsid w:val="0034528C"/>
    <w:rsid w:val="003453C6"/>
    <w:rsid w:val="003455F0"/>
    <w:rsid w:val="00345BF1"/>
    <w:rsid w:val="003461E8"/>
    <w:rsid w:val="003462AA"/>
    <w:rsid w:val="003462FB"/>
    <w:rsid w:val="00346FA9"/>
    <w:rsid w:val="0034718F"/>
    <w:rsid w:val="0034740C"/>
    <w:rsid w:val="003474A8"/>
    <w:rsid w:val="003475F7"/>
    <w:rsid w:val="00347DA4"/>
    <w:rsid w:val="003503C3"/>
    <w:rsid w:val="00350676"/>
    <w:rsid w:val="00350838"/>
    <w:rsid w:val="00350884"/>
    <w:rsid w:val="003508B0"/>
    <w:rsid w:val="003518DD"/>
    <w:rsid w:val="00351CA7"/>
    <w:rsid w:val="003531B6"/>
    <w:rsid w:val="003535D6"/>
    <w:rsid w:val="00353E0C"/>
    <w:rsid w:val="00353F02"/>
    <w:rsid w:val="00354D66"/>
    <w:rsid w:val="00354DB2"/>
    <w:rsid w:val="003552A4"/>
    <w:rsid w:val="00355EA9"/>
    <w:rsid w:val="00356268"/>
    <w:rsid w:val="0035674F"/>
    <w:rsid w:val="003567AD"/>
    <w:rsid w:val="003578E8"/>
    <w:rsid w:val="00357A45"/>
    <w:rsid w:val="00360345"/>
    <w:rsid w:val="00360501"/>
    <w:rsid w:val="00360688"/>
    <w:rsid w:val="00360764"/>
    <w:rsid w:val="00361181"/>
    <w:rsid w:val="00361F25"/>
    <w:rsid w:val="003621D5"/>
    <w:rsid w:val="003623F7"/>
    <w:rsid w:val="00362DFF"/>
    <w:rsid w:val="00362F5B"/>
    <w:rsid w:val="0036320C"/>
    <w:rsid w:val="00363639"/>
    <w:rsid w:val="00363651"/>
    <w:rsid w:val="003637FC"/>
    <w:rsid w:val="00363948"/>
    <w:rsid w:val="00363B2C"/>
    <w:rsid w:val="00363FA2"/>
    <w:rsid w:val="00364DA0"/>
    <w:rsid w:val="00365387"/>
    <w:rsid w:val="003653E6"/>
    <w:rsid w:val="0036545D"/>
    <w:rsid w:val="003665D5"/>
    <w:rsid w:val="0036675A"/>
    <w:rsid w:val="003674EE"/>
    <w:rsid w:val="00367592"/>
    <w:rsid w:val="00370BA8"/>
    <w:rsid w:val="00371D66"/>
    <w:rsid w:val="00371DE1"/>
    <w:rsid w:val="003720D3"/>
    <w:rsid w:val="003725AE"/>
    <w:rsid w:val="00372F11"/>
    <w:rsid w:val="0037352D"/>
    <w:rsid w:val="0037374F"/>
    <w:rsid w:val="00373CB4"/>
    <w:rsid w:val="00373D6F"/>
    <w:rsid w:val="0037428F"/>
    <w:rsid w:val="00374412"/>
    <w:rsid w:val="0037497C"/>
    <w:rsid w:val="00374BB4"/>
    <w:rsid w:val="00374EBC"/>
    <w:rsid w:val="00375020"/>
    <w:rsid w:val="00375414"/>
    <w:rsid w:val="00375565"/>
    <w:rsid w:val="00376077"/>
    <w:rsid w:val="00376135"/>
    <w:rsid w:val="00376731"/>
    <w:rsid w:val="00376872"/>
    <w:rsid w:val="00376AFD"/>
    <w:rsid w:val="00376DEC"/>
    <w:rsid w:val="00376EEE"/>
    <w:rsid w:val="00377623"/>
    <w:rsid w:val="003802F2"/>
    <w:rsid w:val="00380952"/>
    <w:rsid w:val="00380965"/>
    <w:rsid w:val="00380C57"/>
    <w:rsid w:val="00380D9A"/>
    <w:rsid w:val="0038151C"/>
    <w:rsid w:val="00381DA8"/>
    <w:rsid w:val="00382376"/>
    <w:rsid w:val="00382554"/>
    <w:rsid w:val="00382695"/>
    <w:rsid w:val="0038395C"/>
    <w:rsid w:val="00384BA4"/>
    <w:rsid w:val="003858AB"/>
    <w:rsid w:val="003861DF"/>
    <w:rsid w:val="00386C71"/>
    <w:rsid w:val="00386F8F"/>
    <w:rsid w:val="003875D5"/>
    <w:rsid w:val="00387DFC"/>
    <w:rsid w:val="00387E6A"/>
    <w:rsid w:val="0039062B"/>
    <w:rsid w:val="00390C6A"/>
    <w:rsid w:val="00390CCC"/>
    <w:rsid w:val="003910BE"/>
    <w:rsid w:val="00391729"/>
    <w:rsid w:val="00391AB2"/>
    <w:rsid w:val="0039260F"/>
    <w:rsid w:val="00393340"/>
    <w:rsid w:val="003933DC"/>
    <w:rsid w:val="00393407"/>
    <w:rsid w:val="003937E3"/>
    <w:rsid w:val="0039467B"/>
    <w:rsid w:val="00394B9A"/>
    <w:rsid w:val="00395006"/>
    <w:rsid w:val="003953A0"/>
    <w:rsid w:val="003955D8"/>
    <w:rsid w:val="003956F2"/>
    <w:rsid w:val="00395723"/>
    <w:rsid w:val="00395A47"/>
    <w:rsid w:val="00396257"/>
    <w:rsid w:val="00396DD2"/>
    <w:rsid w:val="00397652"/>
    <w:rsid w:val="0039787C"/>
    <w:rsid w:val="00397EB8"/>
    <w:rsid w:val="003A11DA"/>
    <w:rsid w:val="003A1963"/>
    <w:rsid w:val="003A20CD"/>
    <w:rsid w:val="003A2EB1"/>
    <w:rsid w:val="003A3055"/>
    <w:rsid w:val="003A3219"/>
    <w:rsid w:val="003A3341"/>
    <w:rsid w:val="003A3371"/>
    <w:rsid w:val="003A3579"/>
    <w:rsid w:val="003A384F"/>
    <w:rsid w:val="003A4A9D"/>
    <w:rsid w:val="003A4ADA"/>
    <w:rsid w:val="003A4FD0"/>
    <w:rsid w:val="003A5BA2"/>
    <w:rsid w:val="003A5EB3"/>
    <w:rsid w:val="003A5EE6"/>
    <w:rsid w:val="003A61E6"/>
    <w:rsid w:val="003A6328"/>
    <w:rsid w:val="003A6563"/>
    <w:rsid w:val="003A67B5"/>
    <w:rsid w:val="003A6980"/>
    <w:rsid w:val="003A69D1"/>
    <w:rsid w:val="003A69EC"/>
    <w:rsid w:val="003A69F1"/>
    <w:rsid w:val="003A70A3"/>
    <w:rsid w:val="003A7E28"/>
    <w:rsid w:val="003B01C7"/>
    <w:rsid w:val="003B057D"/>
    <w:rsid w:val="003B1545"/>
    <w:rsid w:val="003B1BC5"/>
    <w:rsid w:val="003B22F7"/>
    <w:rsid w:val="003B2582"/>
    <w:rsid w:val="003B335F"/>
    <w:rsid w:val="003B33FC"/>
    <w:rsid w:val="003B3CCB"/>
    <w:rsid w:val="003B3FD8"/>
    <w:rsid w:val="003B472A"/>
    <w:rsid w:val="003B4758"/>
    <w:rsid w:val="003B481F"/>
    <w:rsid w:val="003B4AD6"/>
    <w:rsid w:val="003B500C"/>
    <w:rsid w:val="003B504C"/>
    <w:rsid w:val="003B5969"/>
    <w:rsid w:val="003B5CB5"/>
    <w:rsid w:val="003B618E"/>
    <w:rsid w:val="003B657E"/>
    <w:rsid w:val="003B6BA3"/>
    <w:rsid w:val="003B6D9F"/>
    <w:rsid w:val="003B740F"/>
    <w:rsid w:val="003B7445"/>
    <w:rsid w:val="003B7DCB"/>
    <w:rsid w:val="003C008D"/>
    <w:rsid w:val="003C193C"/>
    <w:rsid w:val="003C1948"/>
    <w:rsid w:val="003C1A78"/>
    <w:rsid w:val="003C205D"/>
    <w:rsid w:val="003C2265"/>
    <w:rsid w:val="003C28DF"/>
    <w:rsid w:val="003C3098"/>
    <w:rsid w:val="003C315C"/>
    <w:rsid w:val="003C38C9"/>
    <w:rsid w:val="003C409D"/>
    <w:rsid w:val="003C4DD1"/>
    <w:rsid w:val="003C4F0C"/>
    <w:rsid w:val="003C558F"/>
    <w:rsid w:val="003C55EA"/>
    <w:rsid w:val="003C5750"/>
    <w:rsid w:val="003C7876"/>
    <w:rsid w:val="003C7A32"/>
    <w:rsid w:val="003C7D0E"/>
    <w:rsid w:val="003C7D93"/>
    <w:rsid w:val="003D062C"/>
    <w:rsid w:val="003D0CA6"/>
    <w:rsid w:val="003D1B27"/>
    <w:rsid w:val="003D20A2"/>
    <w:rsid w:val="003D25D2"/>
    <w:rsid w:val="003D2ECD"/>
    <w:rsid w:val="003D37F3"/>
    <w:rsid w:val="003D3888"/>
    <w:rsid w:val="003D4536"/>
    <w:rsid w:val="003D4648"/>
    <w:rsid w:val="003D5777"/>
    <w:rsid w:val="003D6107"/>
    <w:rsid w:val="003D62D7"/>
    <w:rsid w:val="003D682D"/>
    <w:rsid w:val="003D6908"/>
    <w:rsid w:val="003D6A1B"/>
    <w:rsid w:val="003D6F28"/>
    <w:rsid w:val="003D7235"/>
    <w:rsid w:val="003D7388"/>
    <w:rsid w:val="003D755F"/>
    <w:rsid w:val="003D7F77"/>
    <w:rsid w:val="003E0238"/>
    <w:rsid w:val="003E09D8"/>
    <w:rsid w:val="003E10BD"/>
    <w:rsid w:val="003E11B1"/>
    <w:rsid w:val="003E1C73"/>
    <w:rsid w:val="003E1F30"/>
    <w:rsid w:val="003E2A6E"/>
    <w:rsid w:val="003E2DED"/>
    <w:rsid w:val="003E3E2A"/>
    <w:rsid w:val="003E4543"/>
    <w:rsid w:val="003E4AE2"/>
    <w:rsid w:val="003E55C8"/>
    <w:rsid w:val="003E5B01"/>
    <w:rsid w:val="003E5D03"/>
    <w:rsid w:val="003E5DE5"/>
    <w:rsid w:val="003E7AF2"/>
    <w:rsid w:val="003F0274"/>
    <w:rsid w:val="003F0D55"/>
    <w:rsid w:val="003F0E85"/>
    <w:rsid w:val="003F15CA"/>
    <w:rsid w:val="003F1986"/>
    <w:rsid w:val="003F245E"/>
    <w:rsid w:val="003F35A6"/>
    <w:rsid w:val="003F39D5"/>
    <w:rsid w:val="003F3A09"/>
    <w:rsid w:val="003F3FC9"/>
    <w:rsid w:val="003F4031"/>
    <w:rsid w:val="003F4754"/>
    <w:rsid w:val="003F58BE"/>
    <w:rsid w:val="003F5A21"/>
    <w:rsid w:val="003F5A80"/>
    <w:rsid w:val="003F5AD4"/>
    <w:rsid w:val="003F62B1"/>
    <w:rsid w:val="003F6384"/>
    <w:rsid w:val="003F67EA"/>
    <w:rsid w:val="003F73FF"/>
    <w:rsid w:val="00400169"/>
    <w:rsid w:val="0040046F"/>
    <w:rsid w:val="004010AD"/>
    <w:rsid w:val="00401D59"/>
    <w:rsid w:val="00402B40"/>
    <w:rsid w:val="004032F3"/>
    <w:rsid w:val="004033F4"/>
    <w:rsid w:val="004036C2"/>
    <w:rsid w:val="00403A9A"/>
    <w:rsid w:val="00403B76"/>
    <w:rsid w:val="00403EEC"/>
    <w:rsid w:val="00403FE8"/>
    <w:rsid w:val="004040E7"/>
    <w:rsid w:val="004046AE"/>
    <w:rsid w:val="00404BBD"/>
    <w:rsid w:val="0040586B"/>
    <w:rsid w:val="00405913"/>
    <w:rsid w:val="004059D3"/>
    <w:rsid w:val="00405EF9"/>
    <w:rsid w:val="00406655"/>
    <w:rsid w:val="004076BB"/>
    <w:rsid w:val="00410376"/>
    <w:rsid w:val="00410824"/>
    <w:rsid w:val="00410C55"/>
    <w:rsid w:val="004111F2"/>
    <w:rsid w:val="004114F7"/>
    <w:rsid w:val="00411D0C"/>
    <w:rsid w:val="00412527"/>
    <w:rsid w:val="004127F3"/>
    <w:rsid w:val="004128F9"/>
    <w:rsid w:val="00412A58"/>
    <w:rsid w:val="004138F2"/>
    <w:rsid w:val="00413F9E"/>
    <w:rsid w:val="00414EA1"/>
    <w:rsid w:val="00414F2D"/>
    <w:rsid w:val="00414F5C"/>
    <w:rsid w:val="00414FCD"/>
    <w:rsid w:val="0041515B"/>
    <w:rsid w:val="004161AA"/>
    <w:rsid w:val="004166F6"/>
    <w:rsid w:val="004167FB"/>
    <w:rsid w:val="00416804"/>
    <w:rsid w:val="0041698B"/>
    <w:rsid w:val="00416B96"/>
    <w:rsid w:val="00416E4D"/>
    <w:rsid w:val="00417725"/>
    <w:rsid w:val="00417959"/>
    <w:rsid w:val="00420365"/>
    <w:rsid w:val="004205AB"/>
    <w:rsid w:val="00420E33"/>
    <w:rsid w:val="004221C8"/>
    <w:rsid w:val="004226AA"/>
    <w:rsid w:val="0042285F"/>
    <w:rsid w:val="004228D9"/>
    <w:rsid w:val="00422984"/>
    <w:rsid w:val="00422DDC"/>
    <w:rsid w:val="00423A0F"/>
    <w:rsid w:val="00423B57"/>
    <w:rsid w:val="00423CC9"/>
    <w:rsid w:val="00423E92"/>
    <w:rsid w:val="00424B1A"/>
    <w:rsid w:val="00425111"/>
    <w:rsid w:val="00425257"/>
    <w:rsid w:val="00426657"/>
    <w:rsid w:val="00426727"/>
    <w:rsid w:val="0042695A"/>
    <w:rsid w:val="00426AF7"/>
    <w:rsid w:val="00426BDF"/>
    <w:rsid w:val="00427752"/>
    <w:rsid w:val="0042798D"/>
    <w:rsid w:val="0043051C"/>
    <w:rsid w:val="00430912"/>
    <w:rsid w:val="00430A11"/>
    <w:rsid w:val="00430AE5"/>
    <w:rsid w:val="0043170A"/>
    <w:rsid w:val="0043171C"/>
    <w:rsid w:val="0043175F"/>
    <w:rsid w:val="0043194D"/>
    <w:rsid w:val="00431C58"/>
    <w:rsid w:val="00432225"/>
    <w:rsid w:val="00432371"/>
    <w:rsid w:val="00432570"/>
    <w:rsid w:val="00433421"/>
    <w:rsid w:val="004335CA"/>
    <w:rsid w:val="00433865"/>
    <w:rsid w:val="00434500"/>
    <w:rsid w:val="00434746"/>
    <w:rsid w:val="00434944"/>
    <w:rsid w:val="00434C49"/>
    <w:rsid w:val="00435378"/>
    <w:rsid w:val="00435B51"/>
    <w:rsid w:val="004362D4"/>
    <w:rsid w:val="00436FA7"/>
    <w:rsid w:val="00437285"/>
    <w:rsid w:val="0043796D"/>
    <w:rsid w:val="00437F26"/>
    <w:rsid w:val="004412DE"/>
    <w:rsid w:val="004412FB"/>
    <w:rsid w:val="00441428"/>
    <w:rsid w:val="004414F2"/>
    <w:rsid w:val="0044268D"/>
    <w:rsid w:val="00442F4E"/>
    <w:rsid w:val="00443115"/>
    <w:rsid w:val="0044347E"/>
    <w:rsid w:val="0044369B"/>
    <w:rsid w:val="00443DA8"/>
    <w:rsid w:val="00443F3F"/>
    <w:rsid w:val="00444141"/>
    <w:rsid w:val="00444D06"/>
    <w:rsid w:val="004459FF"/>
    <w:rsid w:val="00445EA4"/>
    <w:rsid w:val="00446522"/>
    <w:rsid w:val="00447660"/>
    <w:rsid w:val="00447AAB"/>
    <w:rsid w:val="00450289"/>
    <w:rsid w:val="00450421"/>
    <w:rsid w:val="00450448"/>
    <w:rsid w:val="00450FE3"/>
    <w:rsid w:val="00451F93"/>
    <w:rsid w:val="0045212E"/>
    <w:rsid w:val="00452296"/>
    <w:rsid w:val="00452DB2"/>
    <w:rsid w:val="00453451"/>
    <w:rsid w:val="00454165"/>
    <w:rsid w:val="00454769"/>
    <w:rsid w:val="004547D8"/>
    <w:rsid w:val="004556E0"/>
    <w:rsid w:val="00456199"/>
    <w:rsid w:val="00456383"/>
    <w:rsid w:val="00457E35"/>
    <w:rsid w:val="00457EDE"/>
    <w:rsid w:val="00457F10"/>
    <w:rsid w:val="00460049"/>
    <w:rsid w:val="004602D4"/>
    <w:rsid w:val="004602EF"/>
    <w:rsid w:val="00460629"/>
    <w:rsid w:val="00460730"/>
    <w:rsid w:val="004613F9"/>
    <w:rsid w:val="00461E4D"/>
    <w:rsid w:val="00462213"/>
    <w:rsid w:val="00462419"/>
    <w:rsid w:val="004626A4"/>
    <w:rsid w:val="004636C8"/>
    <w:rsid w:val="004637AA"/>
    <w:rsid w:val="0046419B"/>
    <w:rsid w:val="0046424E"/>
    <w:rsid w:val="004646B3"/>
    <w:rsid w:val="0046496D"/>
    <w:rsid w:val="00464A56"/>
    <w:rsid w:val="00465189"/>
    <w:rsid w:val="004651C1"/>
    <w:rsid w:val="00465468"/>
    <w:rsid w:val="00465BA1"/>
    <w:rsid w:val="0046613E"/>
    <w:rsid w:val="0046624D"/>
    <w:rsid w:val="00466991"/>
    <w:rsid w:val="004673F4"/>
    <w:rsid w:val="0046767D"/>
    <w:rsid w:val="00467CBB"/>
    <w:rsid w:val="00467DA8"/>
    <w:rsid w:val="00467FCA"/>
    <w:rsid w:val="004702DA"/>
    <w:rsid w:val="0047064C"/>
    <w:rsid w:val="0047068F"/>
    <w:rsid w:val="00470816"/>
    <w:rsid w:val="00470C23"/>
    <w:rsid w:val="00470C4F"/>
    <w:rsid w:val="004711EB"/>
    <w:rsid w:val="0047125F"/>
    <w:rsid w:val="00472412"/>
    <w:rsid w:val="0047257D"/>
    <w:rsid w:val="00472716"/>
    <w:rsid w:val="00472CEA"/>
    <w:rsid w:val="0047364E"/>
    <w:rsid w:val="004737FC"/>
    <w:rsid w:val="00473DAD"/>
    <w:rsid w:val="00473E5D"/>
    <w:rsid w:val="00474084"/>
    <w:rsid w:val="00474DA1"/>
    <w:rsid w:val="00475735"/>
    <w:rsid w:val="00475951"/>
    <w:rsid w:val="00475E4D"/>
    <w:rsid w:val="00475F5A"/>
    <w:rsid w:val="00476071"/>
    <w:rsid w:val="004761AA"/>
    <w:rsid w:val="00477AEA"/>
    <w:rsid w:val="00480478"/>
    <w:rsid w:val="004805A8"/>
    <w:rsid w:val="004806F2"/>
    <w:rsid w:val="0048088A"/>
    <w:rsid w:val="00480BCC"/>
    <w:rsid w:val="00481233"/>
    <w:rsid w:val="00481DB8"/>
    <w:rsid w:val="00482339"/>
    <w:rsid w:val="004825FB"/>
    <w:rsid w:val="00482CA2"/>
    <w:rsid w:val="004832A8"/>
    <w:rsid w:val="004833D0"/>
    <w:rsid w:val="004835E6"/>
    <w:rsid w:val="00485106"/>
    <w:rsid w:val="00485729"/>
    <w:rsid w:val="00485797"/>
    <w:rsid w:val="00485CB1"/>
    <w:rsid w:val="004867AF"/>
    <w:rsid w:val="00486897"/>
    <w:rsid w:val="00486B13"/>
    <w:rsid w:val="00486B59"/>
    <w:rsid w:val="00486C2D"/>
    <w:rsid w:val="004877EE"/>
    <w:rsid w:val="00487A3C"/>
    <w:rsid w:val="00487E95"/>
    <w:rsid w:val="00490044"/>
    <w:rsid w:val="004904E9"/>
    <w:rsid w:val="00490671"/>
    <w:rsid w:val="00490A9B"/>
    <w:rsid w:val="00490EAF"/>
    <w:rsid w:val="00490EC2"/>
    <w:rsid w:val="00491514"/>
    <w:rsid w:val="0049151C"/>
    <w:rsid w:val="00491919"/>
    <w:rsid w:val="00491E0B"/>
    <w:rsid w:val="00491F12"/>
    <w:rsid w:val="00491F56"/>
    <w:rsid w:val="004920D8"/>
    <w:rsid w:val="004920EF"/>
    <w:rsid w:val="00492398"/>
    <w:rsid w:val="0049270E"/>
    <w:rsid w:val="00492C50"/>
    <w:rsid w:val="0049315A"/>
    <w:rsid w:val="004931C4"/>
    <w:rsid w:val="0049339A"/>
    <w:rsid w:val="004935DB"/>
    <w:rsid w:val="00493D22"/>
    <w:rsid w:val="00493DB4"/>
    <w:rsid w:val="00494A2B"/>
    <w:rsid w:val="0049537B"/>
    <w:rsid w:val="0049568D"/>
    <w:rsid w:val="00495843"/>
    <w:rsid w:val="00495EBA"/>
    <w:rsid w:val="00496706"/>
    <w:rsid w:val="00497528"/>
    <w:rsid w:val="00497A4A"/>
    <w:rsid w:val="004A0635"/>
    <w:rsid w:val="004A104B"/>
    <w:rsid w:val="004A123D"/>
    <w:rsid w:val="004A13AA"/>
    <w:rsid w:val="004A18E5"/>
    <w:rsid w:val="004A1FFB"/>
    <w:rsid w:val="004A2C82"/>
    <w:rsid w:val="004A3110"/>
    <w:rsid w:val="004A34FF"/>
    <w:rsid w:val="004A3974"/>
    <w:rsid w:val="004A3AC2"/>
    <w:rsid w:val="004A3ACC"/>
    <w:rsid w:val="004A45E7"/>
    <w:rsid w:val="004A480C"/>
    <w:rsid w:val="004A5483"/>
    <w:rsid w:val="004A588E"/>
    <w:rsid w:val="004A5A10"/>
    <w:rsid w:val="004A6E6F"/>
    <w:rsid w:val="004A7A47"/>
    <w:rsid w:val="004B0700"/>
    <w:rsid w:val="004B1676"/>
    <w:rsid w:val="004B168F"/>
    <w:rsid w:val="004B170B"/>
    <w:rsid w:val="004B229E"/>
    <w:rsid w:val="004B24A8"/>
    <w:rsid w:val="004B2717"/>
    <w:rsid w:val="004B28DA"/>
    <w:rsid w:val="004B28F3"/>
    <w:rsid w:val="004B2C62"/>
    <w:rsid w:val="004B3541"/>
    <w:rsid w:val="004B4D20"/>
    <w:rsid w:val="004B4F55"/>
    <w:rsid w:val="004B4F9D"/>
    <w:rsid w:val="004B56C1"/>
    <w:rsid w:val="004B5D3F"/>
    <w:rsid w:val="004B5FDD"/>
    <w:rsid w:val="004B68D8"/>
    <w:rsid w:val="004B70E3"/>
    <w:rsid w:val="004B7403"/>
    <w:rsid w:val="004B7753"/>
    <w:rsid w:val="004B7791"/>
    <w:rsid w:val="004B7A24"/>
    <w:rsid w:val="004C00A4"/>
    <w:rsid w:val="004C00B4"/>
    <w:rsid w:val="004C0803"/>
    <w:rsid w:val="004C09C1"/>
    <w:rsid w:val="004C0F78"/>
    <w:rsid w:val="004C1865"/>
    <w:rsid w:val="004C22ED"/>
    <w:rsid w:val="004C25A3"/>
    <w:rsid w:val="004C2FE5"/>
    <w:rsid w:val="004C328B"/>
    <w:rsid w:val="004C32BD"/>
    <w:rsid w:val="004C4105"/>
    <w:rsid w:val="004C448B"/>
    <w:rsid w:val="004C5128"/>
    <w:rsid w:val="004C5183"/>
    <w:rsid w:val="004C58AD"/>
    <w:rsid w:val="004C59B6"/>
    <w:rsid w:val="004C5C96"/>
    <w:rsid w:val="004C5DD4"/>
    <w:rsid w:val="004C5E13"/>
    <w:rsid w:val="004C62AE"/>
    <w:rsid w:val="004C6471"/>
    <w:rsid w:val="004C647B"/>
    <w:rsid w:val="004C6C31"/>
    <w:rsid w:val="004C6FFE"/>
    <w:rsid w:val="004C737B"/>
    <w:rsid w:val="004C7815"/>
    <w:rsid w:val="004D0207"/>
    <w:rsid w:val="004D06A4"/>
    <w:rsid w:val="004D06CB"/>
    <w:rsid w:val="004D083E"/>
    <w:rsid w:val="004D09F7"/>
    <w:rsid w:val="004D0C0C"/>
    <w:rsid w:val="004D2484"/>
    <w:rsid w:val="004D25FA"/>
    <w:rsid w:val="004D2782"/>
    <w:rsid w:val="004D2A2C"/>
    <w:rsid w:val="004D2C9C"/>
    <w:rsid w:val="004D2E0F"/>
    <w:rsid w:val="004D4808"/>
    <w:rsid w:val="004D4949"/>
    <w:rsid w:val="004D4F33"/>
    <w:rsid w:val="004D518F"/>
    <w:rsid w:val="004D578B"/>
    <w:rsid w:val="004D59AF"/>
    <w:rsid w:val="004D5B0D"/>
    <w:rsid w:val="004D629F"/>
    <w:rsid w:val="004D691A"/>
    <w:rsid w:val="004D6A78"/>
    <w:rsid w:val="004D6B19"/>
    <w:rsid w:val="004D7640"/>
    <w:rsid w:val="004D77DF"/>
    <w:rsid w:val="004D782E"/>
    <w:rsid w:val="004D7889"/>
    <w:rsid w:val="004D7AFA"/>
    <w:rsid w:val="004D7CDD"/>
    <w:rsid w:val="004D7E58"/>
    <w:rsid w:val="004E0680"/>
    <w:rsid w:val="004E0DF1"/>
    <w:rsid w:val="004E1BE8"/>
    <w:rsid w:val="004E1CF0"/>
    <w:rsid w:val="004E2A73"/>
    <w:rsid w:val="004E2D2B"/>
    <w:rsid w:val="004E2E7B"/>
    <w:rsid w:val="004E3691"/>
    <w:rsid w:val="004E40D1"/>
    <w:rsid w:val="004E4280"/>
    <w:rsid w:val="004E437C"/>
    <w:rsid w:val="004E479F"/>
    <w:rsid w:val="004E58A2"/>
    <w:rsid w:val="004E59C2"/>
    <w:rsid w:val="004E5A15"/>
    <w:rsid w:val="004E644B"/>
    <w:rsid w:val="004E6551"/>
    <w:rsid w:val="004E6814"/>
    <w:rsid w:val="004E6D80"/>
    <w:rsid w:val="004E7259"/>
    <w:rsid w:val="004F11F4"/>
    <w:rsid w:val="004F16CD"/>
    <w:rsid w:val="004F1A81"/>
    <w:rsid w:val="004F1BAE"/>
    <w:rsid w:val="004F1DB9"/>
    <w:rsid w:val="004F1E38"/>
    <w:rsid w:val="004F208E"/>
    <w:rsid w:val="004F253E"/>
    <w:rsid w:val="004F2F55"/>
    <w:rsid w:val="004F334F"/>
    <w:rsid w:val="004F34A7"/>
    <w:rsid w:val="004F36E2"/>
    <w:rsid w:val="004F3945"/>
    <w:rsid w:val="004F3D3D"/>
    <w:rsid w:val="004F5B94"/>
    <w:rsid w:val="004F67CA"/>
    <w:rsid w:val="004F6A49"/>
    <w:rsid w:val="004F6EE2"/>
    <w:rsid w:val="004F6FFC"/>
    <w:rsid w:val="004F7F47"/>
    <w:rsid w:val="00500706"/>
    <w:rsid w:val="00500A4F"/>
    <w:rsid w:val="00500FFA"/>
    <w:rsid w:val="00501001"/>
    <w:rsid w:val="00501690"/>
    <w:rsid w:val="00501B06"/>
    <w:rsid w:val="0050244E"/>
    <w:rsid w:val="005025DC"/>
    <w:rsid w:val="005028BF"/>
    <w:rsid w:val="005028C0"/>
    <w:rsid w:val="005035DB"/>
    <w:rsid w:val="005037D6"/>
    <w:rsid w:val="00503C9B"/>
    <w:rsid w:val="0050461B"/>
    <w:rsid w:val="00504BD2"/>
    <w:rsid w:val="00506D09"/>
    <w:rsid w:val="00506E3A"/>
    <w:rsid w:val="005074C9"/>
    <w:rsid w:val="00507CAD"/>
    <w:rsid w:val="00510B22"/>
    <w:rsid w:val="005122F7"/>
    <w:rsid w:val="00512489"/>
    <w:rsid w:val="00512ED5"/>
    <w:rsid w:val="00513061"/>
    <w:rsid w:val="00513086"/>
    <w:rsid w:val="005133C1"/>
    <w:rsid w:val="0051368F"/>
    <w:rsid w:val="005136D4"/>
    <w:rsid w:val="005137BE"/>
    <w:rsid w:val="00514224"/>
    <w:rsid w:val="00514229"/>
    <w:rsid w:val="00514890"/>
    <w:rsid w:val="005148B3"/>
    <w:rsid w:val="00514F08"/>
    <w:rsid w:val="00514FE6"/>
    <w:rsid w:val="0051528E"/>
    <w:rsid w:val="0051536F"/>
    <w:rsid w:val="005154BB"/>
    <w:rsid w:val="00516051"/>
    <w:rsid w:val="00516BD7"/>
    <w:rsid w:val="00516F20"/>
    <w:rsid w:val="00517DC3"/>
    <w:rsid w:val="005218D9"/>
    <w:rsid w:val="00521976"/>
    <w:rsid w:val="00521BDD"/>
    <w:rsid w:val="00522C1A"/>
    <w:rsid w:val="00522C7A"/>
    <w:rsid w:val="0052326F"/>
    <w:rsid w:val="0052437E"/>
    <w:rsid w:val="005248B1"/>
    <w:rsid w:val="00524C00"/>
    <w:rsid w:val="00524C21"/>
    <w:rsid w:val="00525455"/>
    <w:rsid w:val="00525534"/>
    <w:rsid w:val="0052557D"/>
    <w:rsid w:val="0052564A"/>
    <w:rsid w:val="00525FA5"/>
    <w:rsid w:val="00526EDE"/>
    <w:rsid w:val="005272CE"/>
    <w:rsid w:val="00527560"/>
    <w:rsid w:val="0052772A"/>
    <w:rsid w:val="00527D26"/>
    <w:rsid w:val="00530BE9"/>
    <w:rsid w:val="00530E05"/>
    <w:rsid w:val="00530F4B"/>
    <w:rsid w:val="00532816"/>
    <w:rsid w:val="00532E06"/>
    <w:rsid w:val="00533913"/>
    <w:rsid w:val="00533E88"/>
    <w:rsid w:val="005355AB"/>
    <w:rsid w:val="00535630"/>
    <w:rsid w:val="005356D8"/>
    <w:rsid w:val="0053577E"/>
    <w:rsid w:val="005359D2"/>
    <w:rsid w:val="00536059"/>
    <w:rsid w:val="005360CB"/>
    <w:rsid w:val="00536186"/>
    <w:rsid w:val="00536729"/>
    <w:rsid w:val="00536745"/>
    <w:rsid w:val="00536817"/>
    <w:rsid w:val="00536D05"/>
    <w:rsid w:val="00536D34"/>
    <w:rsid w:val="00537B8B"/>
    <w:rsid w:val="00540128"/>
    <w:rsid w:val="005411A2"/>
    <w:rsid w:val="00541266"/>
    <w:rsid w:val="005429CD"/>
    <w:rsid w:val="00543B02"/>
    <w:rsid w:val="00544560"/>
    <w:rsid w:val="00545559"/>
    <w:rsid w:val="005455D5"/>
    <w:rsid w:val="00545B97"/>
    <w:rsid w:val="00546F3E"/>
    <w:rsid w:val="005475BF"/>
    <w:rsid w:val="00547928"/>
    <w:rsid w:val="00547A47"/>
    <w:rsid w:val="00547E2A"/>
    <w:rsid w:val="00547E32"/>
    <w:rsid w:val="005501F0"/>
    <w:rsid w:val="00550A37"/>
    <w:rsid w:val="005523A1"/>
    <w:rsid w:val="005525F7"/>
    <w:rsid w:val="00553093"/>
    <w:rsid w:val="005538C6"/>
    <w:rsid w:val="00553C08"/>
    <w:rsid w:val="00554436"/>
    <w:rsid w:val="00554CF1"/>
    <w:rsid w:val="0055540A"/>
    <w:rsid w:val="00555670"/>
    <w:rsid w:val="005558E7"/>
    <w:rsid w:val="00555D66"/>
    <w:rsid w:val="0055600F"/>
    <w:rsid w:val="005568F6"/>
    <w:rsid w:val="00557B84"/>
    <w:rsid w:val="00557BB1"/>
    <w:rsid w:val="00557C37"/>
    <w:rsid w:val="00560667"/>
    <w:rsid w:val="00560E23"/>
    <w:rsid w:val="00561183"/>
    <w:rsid w:val="005615C8"/>
    <w:rsid w:val="00561991"/>
    <w:rsid w:val="00561AA4"/>
    <w:rsid w:val="00561BB3"/>
    <w:rsid w:val="0056244C"/>
    <w:rsid w:val="00562A88"/>
    <w:rsid w:val="00562ABA"/>
    <w:rsid w:val="00563216"/>
    <w:rsid w:val="00563D22"/>
    <w:rsid w:val="00564162"/>
    <w:rsid w:val="0056465F"/>
    <w:rsid w:val="00564ACF"/>
    <w:rsid w:val="00564BA7"/>
    <w:rsid w:val="00564EEF"/>
    <w:rsid w:val="0056527D"/>
    <w:rsid w:val="005652A9"/>
    <w:rsid w:val="005654F2"/>
    <w:rsid w:val="00565724"/>
    <w:rsid w:val="00565725"/>
    <w:rsid w:val="005658A4"/>
    <w:rsid w:val="00566AF7"/>
    <w:rsid w:val="00566DDB"/>
    <w:rsid w:val="0056755D"/>
    <w:rsid w:val="00567982"/>
    <w:rsid w:val="00570D77"/>
    <w:rsid w:val="00570FE5"/>
    <w:rsid w:val="00572383"/>
    <w:rsid w:val="00572856"/>
    <w:rsid w:val="0057315F"/>
    <w:rsid w:val="00573C75"/>
    <w:rsid w:val="00574493"/>
    <w:rsid w:val="005744D4"/>
    <w:rsid w:val="00574F38"/>
    <w:rsid w:val="0057533C"/>
    <w:rsid w:val="00575355"/>
    <w:rsid w:val="005756D1"/>
    <w:rsid w:val="00575E9A"/>
    <w:rsid w:val="00575EE5"/>
    <w:rsid w:val="00576930"/>
    <w:rsid w:val="00576E08"/>
    <w:rsid w:val="005774D2"/>
    <w:rsid w:val="00577FAF"/>
    <w:rsid w:val="00580FC8"/>
    <w:rsid w:val="005811B3"/>
    <w:rsid w:val="005816A5"/>
    <w:rsid w:val="00581F31"/>
    <w:rsid w:val="00581FF2"/>
    <w:rsid w:val="0058218F"/>
    <w:rsid w:val="005825DD"/>
    <w:rsid w:val="00582AE1"/>
    <w:rsid w:val="0058349E"/>
    <w:rsid w:val="005835F5"/>
    <w:rsid w:val="00584182"/>
    <w:rsid w:val="005841B6"/>
    <w:rsid w:val="0058437C"/>
    <w:rsid w:val="005846F9"/>
    <w:rsid w:val="005847A9"/>
    <w:rsid w:val="00584C5F"/>
    <w:rsid w:val="00584CE9"/>
    <w:rsid w:val="0058528E"/>
    <w:rsid w:val="005861BF"/>
    <w:rsid w:val="00586B72"/>
    <w:rsid w:val="00586D13"/>
    <w:rsid w:val="00586D9B"/>
    <w:rsid w:val="005875D7"/>
    <w:rsid w:val="00587C92"/>
    <w:rsid w:val="0059031D"/>
    <w:rsid w:val="0059046A"/>
    <w:rsid w:val="00591894"/>
    <w:rsid w:val="00591B1B"/>
    <w:rsid w:val="00592290"/>
    <w:rsid w:val="00592C63"/>
    <w:rsid w:val="005935A4"/>
    <w:rsid w:val="0059395A"/>
    <w:rsid w:val="00594126"/>
    <w:rsid w:val="00594334"/>
    <w:rsid w:val="005958D2"/>
    <w:rsid w:val="00595B59"/>
    <w:rsid w:val="00595D4D"/>
    <w:rsid w:val="00596045"/>
    <w:rsid w:val="005967EB"/>
    <w:rsid w:val="00597A60"/>
    <w:rsid w:val="00597D0E"/>
    <w:rsid w:val="00597D1F"/>
    <w:rsid w:val="00597F61"/>
    <w:rsid w:val="005A0353"/>
    <w:rsid w:val="005A063B"/>
    <w:rsid w:val="005A0752"/>
    <w:rsid w:val="005A1E12"/>
    <w:rsid w:val="005A2F06"/>
    <w:rsid w:val="005A318C"/>
    <w:rsid w:val="005A376A"/>
    <w:rsid w:val="005A3BB6"/>
    <w:rsid w:val="005A44EB"/>
    <w:rsid w:val="005A4630"/>
    <w:rsid w:val="005A5BDF"/>
    <w:rsid w:val="005A5F67"/>
    <w:rsid w:val="005A6F84"/>
    <w:rsid w:val="005A777E"/>
    <w:rsid w:val="005A7CD6"/>
    <w:rsid w:val="005B0494"/>
    <w:rsid w:val="005B1665"/>
    <w:rsid w:val="005B186A"/>
    <w:rsid w:val="005B1DD4"/>
    <w:rsid w:val="005B274E"/>
    <w:rsid w:val="005B2B2F"/>
    <w:rsid w:val="005B3904"/>
    <w:rsid w:val="005B3A56"/>
    <w:rsid w:val="005B3FA8"/>
    <w:rsid w:val="005B41D5"/>
    <w:rsid w:val="005B45C1"/>
    <w:rsid w:val="005B471E"/>
    <w:rsid w:val="005B501B"/>
    <w:rsid w:val="005B531E"/>
    <w:rsid w:val="005B54F1"/>
    <w:rsid w:val="005B59E3"/>
    <w:rsid w:val="005B6379"/>
    <w:rsid w:val="005B6485"/>
    <w:rsid w:val="005B6EF1"/>
    <w:rsid w:val="005B7D0E"/>
    <w:rsid w:val="005B7E1D"/>
    <w:rsid w:val="005C012B"/>
    <w:rsid w:val="005C1049"/>
    <w:rsid w:val="005C15E7"/>
    <w:rsid w:val="005C170E"/>
    <w:rsid w:val="005C17F0"/>
    <w:rsid w:val="005C1A4B"/>
    <w:rsid w:val="005C209F"/>
    <w:rsid w:val="005C2A3E"/>
    <w:rsid w:val="005C2C0B"/>
    <w:rsid w:val="005C3021"/>
    <w:rsid w:val="005C3C4C"/>
    <w:rsid w:val="005C4326"/>
    <w:rsid w:val="005C5BED"/>
    <w:rsid w:val="005C5C84"/>
    <w:rsid w:val="005C6205"/>
    <w:rsid w:val="005C67C8"/>
    <w:rsid w:val="005C6B6A"/>
    <w:rsid w:val="005C7010"/>
    <w:rsid w:val="005C71A0"/>
    <w:rsid w:val="005C740A"/>
    <w:rsid w:val="005C7E26"/>
    <w:rsid w:val="005D0249"/>
    <w:rsid w:val="005D07C9"/>
    <w:rsid w:val="005D0E23"/>
    <w:rsid w:val="005D0F62"/>
    <w:rsid w:val="005D0FD4"/>
    <w:rsid w:val="005D23DC"/>
    <w:rsid w:val="005D253F"/>
    <w:rsid w:val="005D27F4"/>
    <w:rsid w:val="005D3C3D"/>
    <w:rsid w:val="005D3CC6"/>
    <w:rsid w:val="005D421A"/>
    <w:rsid w:val="005D4697"/>
    <w:rsid w:val="005D46AF"/>
    <w:rsid w:val="005D4912"/>
    <w:rsid w:val="005D4A3A"/>
    <w:rsid w:val="005D50AF"/>
    <w:rsid w:val="005D5288"/>
    <w:rsid w:val="005D5916"/>
    <w:rsid w:val="005D5AF8"/>
    <w:rsid w:val="005D67D5"/>
    <w:rsid w:val="005D69F3"/>
    <w:rsid w:val="005D7BA8"/>
    <w:rsid w:val="005E0159"/>
    <w:rsid w:val="005E0407"/>
    <w:rsid w:val="005E0CEF"/>
    <w:rsid w:val="005E0D31"/>
    <w:rsid w:val="005E0E61"/>
    <w:rsid w:val="005E16CC"/>
    <w:rsid w:val="005E195F"/>
    <w:rsid w:val="005E1FD5"/>
    <w:rsid w:val="005E207D"/>
    <w:rsid w:val="005E40BB"/>
    <w:rsid w:val="005E4353"/>
    <w:rsid w:val="005E4AB0"/>
    <w:rsid w:val="005E4BCF"/>
    <w:rsid w:val="005E52C8"/>
    <w:rsid w:val="005E55BC"/>
    <w:rsid w:val="005E58B2"/>
    <w:rsid w:val="005E5B7F"/>
    <w:rsid w:val="005E5E36"/>
    <w:rsid w:val="005E5F70"/>
    <w:rsid w:val="005E65FE"/>
    <w:rsid w:val="005E6895"/>
    <w:rsid w:val="005E6E46"/>
    <w:rsid w:val="005E7B34"/>
    <w:rsid w:val="005E7EED"/>
    <w:rsid w:val="005F01DA"/>
    <w:rsid w:val="005F03EF"/>
    <w:rsid w:val="005F0613"/>
    <w:rsid w:val="005F0912"/>
    <w:rsid w:val="005F0A1E"/>
    <w:rsid w:val="005F0CDE"/>
    <w:rsid w:val="005F0E89"/>
    <w:rsid w:val="005F100C"/>
    <w:rsid w:val="005F1D9E"/>
    <w:rsid w:val="005F2320"/>
    <w:rsid w:val="005F23B5"/>
    <w:rsid w:val="005F2ADE"/>
    <w:rsid w:val="005F303B"/>
    <w:rsid w:val="005F3BC3"/>
    <w:rsid w:val="005F429F"/>
    <w:rsid w:val="005F483B"/>
    <w:rsid w:val="005F581A"/>
    <w:rsid w:val="005F5E7F"/>
    <w:rsid w:val="005F61CD"/>
    <w:rsid w:val="005F64B0"/>
    <w:rsid w:val="005F64DA"/>
    <w:rsid w:val="00600ABC"/>
    <w:rsid w:val="00600B96"/>
    <w:rsid w:val="0060120D"/>
    <w:rsid w:val="006013DE"/>
    <w:rsid w:val="006015C5"/>
    <w:rsid w:val="006015FB"/>
    <w:rsid w:val="00601CCC"/>
    <w:rsid w:val="00603B7C"/>
    <w:rsid w:val="0060471D"/>
    <w:rsid w:val="006047C9"/>
    <w:rsid w:val="00605098"/>
    <w:rsid w:val="0060525A"/>
    <w:rsid w:val="0060657C"/>
    <w:rsid w:val="006071D5"/>
    <w:rsid w:val="0060797F"/>
    <w:rsid w:val="00607CEC"/>
    <w:rsid w:val="00607FC1"/>
    <w:rsid w:val="00610157"/>
    <w:rsid w:val="006103F7"/>
    <w:rsid w:val="006105B3"/>
    <w:rsid w:val="006105DC"/>
    <w:rsid w:val="006107AF"/>
    <w:rsid w:val="00610BE7"/>
    <w:rsid w:val="006114F5"/>
    <w:rsid w:val="00611558"/>
    <w:rsid w:val="0061197F"/>
    <w:rsid w:val="00611F3B"/>
    <w:rsid w:val="00612770"/>
    <w:rsid w:val="00612EEC"/>
    <w:rsid w:val="00612FE2"/>
    <w:rsid w:val="006134E5"/>
    <w:rsid w:val="00613769"/>
    <w:rsid w:val="00614722"/>
    <w:rsid w:val="006147C7"/>
    <w:rsid w:val="00614AA3"/>
    <w:rsid w:val="00614F37"/>
    <w:rsid w:val="006151B0"/>
    <w:rsid w:val="006161B5"/>
    <w:rsid w:val="00616500"/>
    <w:rsid w:val="006171F6"/>
    <w:rsid w:val="0061722B"/>
    <w:rsid w:val="006179CA"/>
    <w:rsid w:val="00617DE6"/>
    <w:rsid w:val="00617F2C"/>
    <w:rsid w:val="00621FD7"/>
    <w:rsid w:val="0062205D"/>
    <w:rsid w:val="006222BA"/>
    <w:rsid w:val="0062308D"/>
    <w:rsid w:val="006233B4"/>
    <w:rsid w:val="0062372C"/>
    <w:rsid w:val="00624CA0"/>
    <w:rsid w:val="00625606"/>
    <w:rsid w:val="00625870"/>
    <w:rsid w:val="006258EB"/>
    <w:rsid w:val="00625E63"/>
    <w:rsid w:val="00625F82"/>
    <w:rsid w:val="0062610F"/>
    <w:rsid w:val="0062651D"/>
    <w:rsid w:val="006266A1"/>
    <w:rsid w:val="00626CFC"/>
    <w:rsid w:val="00627724"/>
    <w:rsid w:val="006279BF"/>
    <w:rsid w:val="00627E54"/>
    <w:rsid w:val="00627F7D"/>
    <w:rsid w:val="006303B4"/>
    <w:rsid w:val="00630801"/>
    <w:rsid w:val="006308D4"/>
    <w:rsid w:val="00630A87"/>
    <w:rsid w:val="00630BB2"/>
    <w:rsid w:val="006312EF"/>
    <w:rsid w:val="0063145D"/>
    <w:rsid w:val="00631464"/>
    <w:rsid w:val="006314E1"/>
    <w:rsid w:val="0063182D"/>
    <w:rsid w:val="00631990"/>
    <w:rsid w:val="00631B61"/>
    <w:rsid w:val="00631F01"/>
    <w:rsid w:val="006323BC"/>
    <w:rsid w:val="00632F42"/>
    <w:rsid w:val="00633183"/>
    <w:rsid w:val="006333A5"/>
    <w:rsid w:val="006336A0"/>
    <w:rsid w:val="0063379D"/>
    <w:rsid w:val="006338B2"/>
    <w:rsid w:val="00634145"/>
    <w:rsid w:val="0063449D"/>
    <w:rsid w:val="006345D3"/>
    <w:rsid w:val="0063462D"/>
    <w:rsid w:val="006359F7"/>
    <w:rsid w:val="00635AD4"/>
    <w:rsid w:val="00636218"/>
    <w:rsid w:val="00636A44"/>
    <w:rsid w:val="00636E7A"/>
    <w:rsid w:val="006370CF"/>
    <w:rsid w:val="0063715D"/>
    <w:rsid w:val="00637432"/>
    <w:rsid w:val="00640DB0"/>
    <w:rsid w:val="00641703"/>
    <w:rsid w:val="006417B1"/>
    <w:rsid w:val="00642414"/>
    <w:rsid w:val="006426E5"/>
    <w:rsid w:val="006431A6"/>
    <w:rsid w:val="0064330A"/>
    <w:rsid w:val="0064352C"/>
    <w:rsid w:val="00643E7A"/>
    <w:rsid w:val="006446E3"/>
    <w:rsid w:val="00644B8B"/>
    <w:rsid w:val="00644E35"/>
    <w:rsid w:val="00644FE7"/>
    <w:rsid w:val="0064539D"/>
    <w:rsid w:val="00645E40"/>
    <w:rsid w:val="006462EE"/>
    <w:rsid w:val="00646621"/>
    <w:rsid w:val="0064695D"/>
    <w:rsid w:val="00646A23"/>
    <w:rsid w:val="00646E3C"/>
    <w:rsid w:val="00647305"/>
    <w:rsid w:val="00647792"/>
    <w:rsid w:val="00647CB1"/>
    <w:rsid w:val="006501AD"/>
    <w:rsid w:val="006507E8"/>
    <w:rsid w:val="00651233"/>
    <w:rsid w:val="00651BFA"/>
    <w:rsid w:val="00651E54"/>
    <w:rsid w:val="006536CE"/>
    <w:rsid w:val="00653724"/>
    <w:rsid w:val="00653807"/>
    <w:rsid w:val="00653E71"/>
    <w:rsid w:val="00654329"/>
    <w:rsid w:val="00654BA0"/>
    <w:rsid w:val="006551ED"/>
    <w:rsid w:val="0065573D"/>
    <w:rsid w:val="0065621B"/>
    <w:rsid w:val="006567DA"/>
    <w:rsid w:val="006568AA"/>
    <w:rsid w:val="0065750B"/>
    <w:rsid w:val="006577AC"/>
    <w:rsid w:val="00657DAD"/>
    <w:rsid w:val="00657F8E"/>
    <w:rsid w:val="00660214"/>
    <w:rsid w:val="00660448"/>
    <w:rsid w:val="00660EEA"/>
    <w:rsid w:val="006612E5"/>
    <w:rsid w:val="0066298D"/>
    <w:rsid w:val="00662AFE"/>
    <w:rsid w:val="00662F8B"/>
    <w:rsid w:val="0066302D"/>
    <w:rsid w:val="0066318D"/>
    <w:rsid w:val="00663247"/>
    <w:rsid w:val="00663863"/>
    <w:rsid w:val="00664464"/>
    <w:rsid w:val="00664901"/>
    <w:rsid w:val="0066539C"/>
    <w:rsid w:val="006667E8"/>
    <w:rsid w:val="00666805"/>
    <w:rsid w:val="006669B7"/>
    <w:rsid w:val="00666CDE"/>
    <w:rsid w:val="0066751E"/>
    <w:rsid w:val="00667D67"/>
    <w:rsid w:val="00670308"/>
    <w:rsid w:val="00670FDC"/>
    <w:rsid w:val="00671360"/>
    <w:rsid w:val="00671B29"/>
    <w:rsid w:val="00671DE1"/>
    <w:rsid w:val="00671FF5"/>
    <w:rsid w:val="0067206B"/>
    <w:rsid w:val="006725C5"/>
    <w:rsid w:val="00672C2D"/>
    <w:rsid w:val="00672F8D"/>
    <w:rsid w:val="00673192"/>
    <w:rsid w:val="00673207"/>
    <w:rsid w:val="00673861"/>
    <w:rsid w:val="006740A4"/>
    <w:rsid w:val="00674808"/>
    <w:rsid w:val="00674DE2"/>
    <w:rsid w:val="00675546"/>
    <w:rsid w:val="0067557B"/>
    <w:rsid w:val="00675581"/>
    <w:rsid w:val="00675926"/>
    <w:rsid w:val="0067608C"/>
    <w:rsid w:val="00676460"/>
    <w:rsid w:val="00676B63"/>
    <w:rsid w:val="00676E10"/>
    <w:rsid w:val="0068087F"/>
    <w:rsid w:val="00680974"/>
    <w:rsid w:val="00680BF4"/>
    <w:rsid w:val="006814BD"/>
    <w:rsid w:val="00681ACC"/>
    <w:rsid w:val="0068299F"/>
    <w:rsid w:val="00683651"/>
    <w:rsid w:val="0068365C"/>
    <w:rsid w:val="006841D4"/>
    <w:rsid w:val="006845B2"/>
    <w:rsid w:val="00684BB8"/>
    <w:rsid w:val="00684BFD"/>
    <w:rsid w:val="00684FBB"/>
    <w:rsid w:val="00686053"/>
    <w:rsid w:val="0068650C"/>
    <w:rsid w:val="0068679B"/>
    <w:rsid w:val="00686B52"/>
    <w:rsid w:val="00687566"/>
    <w:rsid w:val="00687575"/>
    <w:rsid w:val="006876F2"/>
    <w:rsid w:val="00687945"/>
    <w:rsid w:val="00687E87"/>
    <w:rsid w:val="006902EE"/>
    <w:rsid w:val="00691082"/>
    <w:rsid w:val="00691DE1"/>
    <w:rsid w:val="00692B46"/>
    <w:rsid w:val="00692DE8"/>
    <w:rsid w:val="00692E2A"/>
    <w:rsid w:val="00692FE5"/>
    <w:rsid w:val="00693C79"/>
    <w:rsid w:val="00694483"/>
    <w:rsid w:val="00694608"/>
    <w:rsid w:val="00694928"/>
    <w:rsid w:val="00695A04"/>
    <w:rsid w:val="00695D8F"/>
    <w:rsid w:val="00696027"/>
    <w:rsid w:val="006A0060"/>
    <w:rsid w:val="006A05BD"/>
    <w:rsid w:val="006A0AD5"/>
    <w:rsid w:val="006A0C36"/>
    <w:rsid w:val="006A162B"/>
    <w:rsid w:val="006A17DD"/>
    <w:rsid w:val="006A19F5"/>
    <w:rsid w:val="006A1E1D"/>
    <w:rsid w:val="006A2329"/>
    <w:rsid w:val="006A25A3"/>
    <w:rsid w:val="006A2746"/>
    <w:rsid w:val="006A3E9B"/>
    <w:rsid w:val="006A4B4A"/>
    <w:rsid w:val="006A5707"/>
    <w:rsid w:val="006A6065"/>
    <w:rsid w:val="006A6BA0"/>
    <w:rsid w:val="006A6BA9"/>
    <w:rsid w:val="006A72E2"/>
    <w:rsid w:val="006A76F2"/>
    <w:rsid w:val="006A7B73"/>
    <w:rsid w:val="006B0318"/>
    <w:rsid w:val="006B17B7"/>
    <w:rsid w:val="006B1DF1"/>
    <w:rsid w:val="006B2450"/>
    <w:rsid w:val="006B397E"/>
    <w:rsid w:val="006B39FF"/>
    <w:rsid w:val="006B44FF"/>
    <w:rsid w:val="006B5874"/>
    <w:rsid w:val="006B5C03"/>
    <w:rsid w:val="006B6118"/>
    <w:rsid w:val="006B708E"/>
    <w:rsid w:val="006B709F"/>
    <w:rsid w:val="006B78E3"/>
    <w:rsid w:val="006C034B"/>
    <w:rsid w:val="006C07C4"/>
    <w:rsid w:val="006C0FD5"/>
    <w:rsid w:val="006C137C"/>
    <w:rsid w:val="006C17DF"/>
    <w:rsid w:val="006C1ACF"/>
    <w:rsid w:val="006C2127"/>
    <w:rsid w:val="006C21BB"/>
    <w:rsid w:val="006C243D"/>
    <w:rsid w:val="006C2C6A"/>
    <w:rsid w:val="006C2EC0"/>
    <w:rsid w:val="006C3A66"/>
    <w:rsid w:val="006C3EBC"/>
    <w:rsid w:val="006C4629"/>
    <w:rsid w:val="006C4690"/>
    <w:rsid w:val="006C496B"/>
    <w:rsid w:val="006C4AD4"/>
    <w:rsid w:val="006C5202"/>
    <w:rsid w:val="006C5EC3"/>
    <w:rsid w:val="006C62ED"/>
    <w:rsid w:val="006C6416"/>
    <w:rsid w:val="006C65E7"/>
    <w:rsid w:val="006C687D"/>
    <w:rsid w:val="006C7881"/>
    <w:rsid w:val="006C7907"/>
    <w:rsid w:val="006C7963"/>
    <w:rsid w:val="006C7E28"/>
    <w:rsid w:val="006C7F00"/>
    <w:rsid w:val="006D0064"/>
    <w:rsid w:val="006D097F"/>
    <w:rsid w:val="006D17F4"/>
    <w:rsid w:val="006D1FFD"/>
    <w:rsid w:val="006D2154"/>
    <w:rsid w:val="006D2414"/>
    <w:rsid w:val="006D2486"/>
    <w:rsid w:val="006D2CCB"/>
    <w:rsid w:val="006D300E"/>
    <w:rsid w:val="006D35B6"/>
    <w:rsid w:val="006D3610"/>
    <w:rsid w:val="006D3798"/>
    <w:rsid w:val="006D3DC2"/>
    <w:rsid w:val="006D3E83"/>
    <w:rsid w:val="006D4638"/>
    <w:rsid w:val="006D4CA3"/>
    <w:rsid w:val="006D559E"/>
    <w:rsid w:val="006D6156"/>
    <w:rsid w:val="006D653B"/>
    <w:rsid w:val="006D6A49"/>
    <w:rsid w:val="006D6E1F"/>
    <w:rsid w:val="006D7147"/>
    <w:rsid w:val="006D7254"/>
    <w:rsid w:val="006D72E8"/>
    <w:rsid w:val="006E001D"/>
    <w:rsid w:val="006E0CB8"/>
    <w:rsid w:val="006E0ED0"/>
    <w:rsid w:val="006E1297"/>
    <w:rsid w:val="006E2025"/>
    <w:rsid w:val="006E2797"/>
    <w:rsid w:val="006E2E91"/>
    <w:rsid w:val="006E3496"/>
    <w:rsid w:val="006E351D"/>
    <w:rsid w:val="006E39A8"/>
    <w:rsid w:val="006E3AF5"/>
    <w:rsid w:val="006E3C6D"/>
    <w:rsid w:val="006E3C73"/>
    <w:rsid w:val="006E42A0"/>
    <w:rsid w:val="006E42C6"/>
    <w:rsid w:val="006E42D8"/>
    <w:rsid w:val="006E477B"/>
    <w:rsid w:val="006E55C4"/>
    <w:rsid w:val="006E5C60"/>
    <w:rsid w:val="006E630E"/>
    <w:rsid w:val="006E64A4"/>
    <w:rsid w:val="006E6655"/>
    <w:rsid w:val="006E6722"/>
    <w:rsid w:val="006E6A45"/>
    <w:rsid w:val="006E6AE0"/>
    <w:rsid w:val="006E6E0C"/>
    <w:rsid w:val="006E740B"/>
    <w:rsid w:val="006E767A"/>
    <w:rsid w:val="006E7C91"/>
    <w:rsid w:val="006E7E75"/>
    <w:rsid w:val="006F005B"/>
    <w:rsid w:val="006F0814"/>
    <w:rsid w:val="006F0942"/>
    <w:rsid w:val="006F0955"/>
    <w:rsid w:val="006F0C66"/>
    <w:rsid w:val="006F0E7B"/>
    <w:rsid w:val="006F11DA"/>
    <w:rsid w:val="006F295B"/>
    <w:rsid w:val="006F2D95"/>
    <w:rsid w:val="006F2DD9"/>
    <w:rsid w:val="006F3340"/>
    <w:rsid w:val="006F361B"/>
    <w:rsid w:val="006F3AD9"/>
    <w:rsid w:val="006F3B09"/>
    <w:rsid w:val="006F3FBF"/>
    <w:rsid w:val="006F48EC"/>
    <w:rsid w:val="006F4FB1"/>
    <w:rsid w:val="006F5291"/>
    <w:rsid w:val="006F566E"/>
    <w:rsid w:val="006F57D4"/>
    <w:rsid w:val="006F6127"/>
    <w:rsid w:val="006F6CE6"/>
    <w:rsid w:val="006F712F"/>
    <w:rsid w:val="006F7283"/>
    <w:rsid w:val="006F7DC5"/>
    <w:rsid w:val="0070005C"/>
    <w:rsid w:val="00700550"/>
    <w:rsid w:val="007011AA"/>
    <w:rsid w:val="0070250B"/>
    <w:rsid w:val="0070260E"/>
    <w:rsid w:val="007027B9"/>
    <w:rsid w:val="00703B75"/>
    <w:rsid w:val="00703ED7"/>
    <w:rsid w:val="00704853"/>
    <w:rsid w:val="00704AA9"/>
    <w:rsid w:val="0070513C"/>
    <w:rsid w:val="00706756"/>
    <w:rsid w:val="007067D5"/>
    <w:rsid w:val="007076D3"/>
    <w:rsid w:val="00707A0D"/>
    <w:rsid w:val="00707D61"/>
    <w:rsid w:val="00707E71"/>
    <w:rsid w:val="0071097F"/>
    <w:rsid w:val="00710BC2"/>
    <w:rsid w:val="00710FDC"/>
    <w:rsid w:val="0071103F"/>
    <w:rsid w:val="00711A84"/>
    <w:rsid w:val="00713E7E"/>
    <w:rsid w:val="007140A6"/>
    <w:rsid w:val="007141CE"/>
    <w:rsid w:val="00714941"/>
    <w:rsid w:val="007149AF"/>
    <w:rsid w:val="007152AD"/>
    <w:rsid w:val="0071549D"/>
    <w:rsid w:val="0071598E"/>
    <w:rsid w:val="00715D27"/>
    <w:rsid w:val="00715E88"/>
    <w:rsid w:val="007162E0"/>
    <w:rsid w:val="00716CCF"/>
    <w:rsid w:val="00716DBA"/>
    <w:rsid w:val="00716E1F"/>
    <w:rsid w:val="00717004"/>
    <w:rsid w:val="007177F4"/>
    <w:rsid w:val="00717B3F"/>
    <w:rsid w:val="00717C0A"/>
    <w:rsid w:val="0072003A"/>
    <w:rsid w:val="00720229"/>
    <w:rsid w:val="00721838"/>
    <w:rsid w:val="00721C7D"/>
    <w:rsid w:val="00721F7F"/>
    <w:rsid w:val="007228B9"/>
    <w:rsid w:val="0072353C"/>
    <w:rsid w:val="007238EC"/>
    <w:rsid w:val="00723AAC"/>
    <w:rsid w:val="00723B58"/>
    <w:rsid w:val="00723DC9"/>
    <w:rsid w:val="00724118"/>
    <w:rsid w:val="007246AD"/>
    <w:rsid w:val="007249EC"/>
    <w:rsid w:val="00724B0D"/>
    <w:rsid w:val="00724CCE"/>
    <w:rsid w:val="007258FD"/>
    <w:rsid w:val="00725F30"/>
    <w:rsid w:val="0072644C"/>
    <w:rsid w:val="007268B8"/>
    <w:rsid w:val="00726A0F"/>
    <w:rsid w:val="00726F66"/>
    <w:rsid w:val="00727527"/>
    <w:rsid w:val="00727A48"/>
    <w:rsid w:val="00730080"/>
    <w:rsid w:val="00730853"/>
    <w:rsid w:val="00730AE5"/>
    <w:rsid w:val="00730D7C"/>
    <w:rsid w:val="00732952"/>
    <w:rsid w:val="007337FE"/>
    <w:rsid w:val="00733AA7"/>
    <w:rsid w:val="00734088"/>
    <w:rsid w:val="007340C1"/>
    <w:rsid w:val="0073491D"/>
    <w:rsid w:val="007349BE"/>
    <w:rsid w:val="00734CAA"/>
    <w:rsid w:val="007352AD"/>
    <w:rsid w:val="00735854"/>
    <w:rsid w:val="00735926"/>
    <w:rsid w:val="007359E4"/>
    <w:rsid w:val="00735BF2"/>
    <w:rsid w:val="00735FBD"/>
    <w:rsid w:val="00736227"/>
    <w:rsid w:val="00736449"/>
    <w:rsid w:val="007367FC"/>
    <w:rsid w:val="00736E62"/>
    <w:rsid w:val="00737692"/>
    <w:rsid w:val="00737F43"/>
    <w:rsid w:val="007409C0"/>
    <w:rsid w:val="007412FB"/>
    <w:rsid w:val="007414DA"/>
    <w:rsid w:val="007415A2"/>
    <w:rsid w:val="007418EF"/>
    <w:rsid w:val="007424C4"/>
    <w:rsid w:val="007425C9"/>
    <w:rsid w:val="007425F6"/>
    <w:rsid w:val="007432F6"/>
    <w:rsid w:val="0074368B"/>
    <w:rsid w:val="007436D0"/>
    <w:rsid w:val="00743C7D"/>
    <w:rsid w:val="00743F70"/>
    <w:rsid w:val="0074424C"/>
    <w:rsid w:val="0074450D"/>
    <w:rsid w:val="0074507B"/>
    <w:rsid w:val="007454DF"/>
    <w:rsid w:val="007463CB"/>
    <w:rsid w:val="00746C01"/>
    <w:rsid w:val="007471C1"/>
    <w:rsid w:val="007474A2"/>
    <w:rsid w:val="00747E63"/>
    <w:rsid w:val="0075045D"/>
    <w:rsid w:val="00750BC3"/>
    <w:rsid w:val="00750F2F"/>
    <w:rsid w:val="007511A0"/>
    <w:rsid w:val="00751AF8"/>
    <w:rsid w:val="00752035"/>
    <w:rsid w:val="007521F5"/>
    <w:rsid w:val="0075248A"/>
    <w:rsid w:val="00752962"/>
    <w:rsid w:val="00754A5B"/>
    <w:rsid w:val="00754C22"/>
    <w:rsid w:val="0075564D"/>
    <w:rsid w:val="00755964"/>
    <w:rsid w:val="00755B4A"/>
    <w:rsid w:val="00755DB0"/>
    <w:rsid w:val="00756AD0"/>
    <w:rsid w:val="0075751D"/>
    <w:rsid w:val="00757581"/>
    <w:rsid w:val="007578DE"/>
    <w:rsid w:val="00757B33"/>
    <w:rsid w:val="00757E1F"/>
    <w:rsid w:val="00760247"/>
    <w:rsid w:val="00760272"/>
    <w:rsid w:val="00760609"/>
    <w:rsid w:val="00760B3A"/>
    <w:rsid w:val="00760EAE"/>
    <w:rsid w:val="00761902"/>
    <w:rsid w:val="007619BF"/>
    <w:rsid w:val="00761D39"/>
    <w:rsid w:val="00761E62"/>
    <w:rsid w:val="00762122"/>
    <w:rsid w:val="007628BE"/>
    <w:rsid w:val="0076292D"/>
    <w:rsid w:val="00762A77"/>
    <w:rsid w:val="00764BD9"/>
    <w:rsid w:val="007653FD"/>
    <w:rsid w:val="00765569"/>
    <w:rsid w:val="00766067"/>
    <w:rsid w:val="00766FA1"/>
    <w:rsid w:val="0076710B"/>
    <w:rsid w:val="007671F5"/>
    <w:rsid w:val="00767291"/>
    <w:rsid w:val="00767457"/>
    <w:rsid w:val="00770A80"/>
    <w:rsid w:val="00771124"/>
    <w:rsid w:val="007712BB"/>
    <w:rsid w:val="007714BC"/>
    <w:rsid w:val="007720BA"/>
    <w:rsid w:val="00772393"/>
    <w:rsid w:val="00772651"/>
    <w:rsid w:val="00772B23"/>
    <w:rsid w:val="00772CC8"/>
    <w:rsid w:val="00773043"/>
    <w:rsid w:val="00773181"/>
    <w:rsid w:val="00773DE2"/>
    <w:rsid w:val="00773FAD"/>
    <w:rsid w:val="00774208"/>
    <w:rsid w:val="0077561D"/>
    <w:rsid w:val="0077565C"/>
    <w:rsid w:val="00775C48"/>
    <w:rsid w:val="007762CC"/>
    <w:rsid w:val="007763DB"/>
    <w:rsid w:val="00776774"/>
    <w:rsid w:val="00776F5E"/>
    <w:rsid w:val="007779F4"/>
    <w:rsid w:val="00777C37"/>
    <w:rsid w:val="00777D3F"/>
    <w:rsid w:val="0078032D"/>
    <w:rsid w:val="00781928"/>
    <w:rsid w:val="007819E7"/>
    <w:rsid w:val="007822E1"/>
    <w:rsid w:val="00782691"/>
    <w:rsid w:val="00783188"/>
    <w:rsid w:val="007837ED"/>
    <w:rsid w:val="00783CD7"/>
    <w:rsid w:val="007847C6"/>
    <w:rsid w:val="00784F09"/>
    <w:rsid w:val="007858A1"/>
    <w:rsid w:val="00785CCF"/>
    <w:rsid w:val="0078613C"/>
    <w:rsid w:val="0078647B"/>
    <w:rsid w:val="0078656F"/>
    <w:rsid w:val="00786663"/>
    <w:rsid w:val="0078678D"/>
    <w:rsid w:val="00787963"/>
    <w:rsid w:val="00787A5B"/>
    <w:rsid w:val="0079027B"/>
    <w:rsid w:val="007909A9"/>
    <w:rsid w:val="0079164D"/>
    <w:rsid w:val="007919DA"/>
    <w:rsid w:val="007921D7"/>
    <w:rsid w:val="0079295D"/>
    <w:rsid w:val="00792A8F"/>
    <w:rsid w:val="00793185"/>
    <w:rsid w:val="00793B8F"/>
    <w:rsid w:val="00795AAE"/>
    <w:rsid w:val="00795C81"/>
    <w:rsid w:val="00795F4D"/>
    <w:rsid w:val="0079672D"/>
    <w:rsid w:val="0079680A"/>
    <w:rsid w:val="0079680E"/>
    <w:rsid w:val="0079697A"/>
    <w:rsid w:val="007978FE"/>
    <w:rsid w:val="00797BCE"/>
    <w:rsid w:val="007A0042"/>
    <w:rsid w:val="007A040E"/>
    <w:rsid w:val="007A0728"/>
    <w:rsid w:val="007A0AB2"/>
    <w:rsid w:val="007A1835"/>
    <w:rsid w:val="007A2835"/>
    <w:rsid w:val="007A3411"/>
    <w:rsid w:val="007A3B3E"/>
    <w:rsid w:val="007A3F0F"/>
    <w:rsid w:val="007A4E7F"/>
    <w:rsid w:val="007A4EA0"/>
    <w:rsid w:val="007A4FEC"/>
    <w:rsid w:val="007A5362"/>
    <w:rsid w:val="007A54E0"/>
    <w:rsid w:val="007A5BFF"/>
    <w:rsid w:val="007A5C12"/>
    <w:rsid w:val="007A6046"/>
    <w:rsid w:val="007A60A5"/>
    <w:rsid w:val="007A6589"/>
    <w:rsid w:val="007A6DB8"/>
    <w:rsid w:val="007B0052"/>
    <w:rsid w:val="007B039E"/>
    <w:rsid w:val="007B03B5"/>
    <w:rsid w:val="007B03CD"/>
    <w:rsid w:val="007B04C1"/>
    <w:rsid w:val="007B06FD"/>
    <w:rsid w:val="007B159E"/>
    <w:rsid w:val="007B1E93"/>
    <w:rsid w:val="007B2A34"/>
    <w:rsid w:val="007B2E4A"/>
    <w:rsid w:val="007B2F5F"/>
    <w:rsid w:val="007B2FD0"/>
    <w:rsid w:val="007B31AF"/>
    <w:rsid w:val="007B31C5"/>
    <w:rsid w:val="007B32FA"/>
    <w:rsid w:val="007B349A"/>
    <w:rsid w:val="007B4855"/>
    <w:rsid w:val="007B49EE"/>
    <w:rsid w:val="007B5414"/>
    <w:rsid w:val="007B5687"/>
    <w:rsid w:val="007B5830"/>
    <w:rsid w:val="007B58DE"/>
    <w:rsid w:val="007B6D99"/>
    <w:rsid w:val="007B6F38"/>
    <w:rsid w:val="007B7575"/>
    <w:rsid w:val="007B76BA"/>
    <w:rsid w:val="007B76E9"/>
    <w:rsid w:val="007C1253"/>
    <w:rsid w:val="007C16B6"/>
    <w:rsid w:val="007C1A34"/>
    <w:rsid w:val="007C215C"/>
    <w:rsid w:val="007C23B0"/>
    <w:rsid w:val="007C2D4A"/>
    <w:rsid w:val="007C3636"/>
    <w:rsid w:val="007C3673"/>
    <w:rsid w:val="007C3725"/>
    <w:rsid w:val="007C4822"/>
    <w:rsid w:val="007C5B08"/>
    <w:rsid w:val="007C6E81"/>
    <w:rsid w:val="007C7407"/>
    <w:rsid w:val="007C7721"/>
    <w:rsid w:val="007C7C2F"/>
    <w:rsid w:val="007D0289"/>
    <w:rsid w:val="007D0329"/>
    <w:rsid w:val="007D0398"/>
    <w:rsid w:val="007D0936"/>
    <w:rsid w:val="007D0A73"/>
    <w:rsid w:val="007D0DD9"/>
    <w:rsid w:val="007D1075"/>
    <w:rsid w:val="007D12BF"/>
    <w:rsid w:val="007D15BF"/>
    <w:rsid w:val="007D1B71"/>
    <w:rsid w:val="007D2527"/>
    <w:rsid w:val="007D28A8"/>
    <w:rsid w:val="007D2A3C"/>
    <w:rsid w:val="007D30CF"/>
    <w:rsid w:val="007D3F34"/>
    <w:rsid w:val="007D4279"/>
    <w:rsid w:val="007D4673"/>
    <w:rsid w:val="007D4843"/>
    <w:rsid w:val="007D4E02"/>
    <w:rsid w:val="007D52AE"/>
    <w:rsid w:val="007D5E93"/>
    <w:rsid w:val="007D6188"/>
    <w:rsid w:val="007D6522"/>
    <w:rsid w:val="007D66E8"/>
    <w:rsid w:val="007D7099"/>
    <w:rsid w:val="007D70B2"/>
    <w:rsid w:val="007D74FF"/>
    <w:rsid w:val="007E003F"/>
    <w:rsid w:val="007E0673"/>
    <w:rsid w:val="007E0F6C"/>
    <w:rsid w:val="007E2BA8"/>
    <w:rsid w:val="007E3E8D"/>
    <w:rsid w:val="007E409F"/>
    <w:rsid w:val="007E4392"/>
    <w:rsid w:val="007E54D9"/>
    <w:rsid w:val="007E5920"/>
    <w:rsid w:val="007E661F"/>
    <w:rsid w:val="007E6A74"/>
    <w:rsid w:val="007E6C15"/>
    <w:rsid w:val="007E6FF3"/>
    <w:rsid w:val="007E7222"/>
    <w:rsid w:val="007F0459"/>
    <w:rsid w:val="007F05EB"/>
    <w:rsid w:val="007F14A1"/>
    <w:rsid w:val="007F179F"/>
    <w:rsid w:val="007F1B86"/>
    <w:rsid w:val="007F217C"/>
    <w:rsid w:val="007F2591"/>
    <w:rsid w:val="007F26AF"/>
    <w:rsid w:val="007F28C0"/>
    <w:rsid w:val="007F2CAA"/>
    <w:rsid w:val="007F31AF"/>
    <w:rsid w:val="007F32F7"/>
    <w:rsid w:val="007F38AE"/>
    <w:rsid w:val="007F4736"/>
    <w:rsid w:val="007F50FB"/>
    <w:rsid w:val="007F55CE"/>
    <w:rsid w:val="007F57EF"/>
    <w:rsid w:val="007F59F8"/>
    <w:rsid w:val="007F5C25"/>
    <w:rsid w:val="007F603D"/>
    <w:rsid w:val="007F73CD"/>
    <w:rsid w:val="007F7FD8"/>
    <w:rsid w:val="00800942"/>
    <w:rsid w:val="00800DC7"/>
    <w:rsid w:val="008016A0"/>
    <w:rsid w:val="008020B6"/>
    <w:rsid w:val="008020EA"/>
    <w:rsid w:val="008030C9"/>
    <w:rsid w:val="008037F0"/>
    <w:rsid w:val="00803903"/>
    <w:rsid w:val="00805119"/>
    <w:rsid w:val="00805213"/>
    <w:rsid w:val="00805289"/>
    <w:rsid w:val="00805974"/>
    <w:rsid w:val="00805CEC"/>
    <w:rsid w:val="00805E2A"/>
    <w:rsid w:val="008068D4"/>
    <w:rsid w:val="008069E7"/>
    <w:rsid w:val="00806BBE"/>
    <w:rsid w:val="00807056"/>
    <w:rsid w:val="00807F32"/>
    <w:rsid w:val="008100B0"/>
    <w:rsid w:val="008101FE"/>
    <w:rsid w:val="008105A5"/>
    <w:rsid w:val="008106A9"/>
    <w:rsid w:val="008109CC"/>
    <w:rsid w:val="00810BFD"/>
    <w:rsid w:val="008113A2"/>
    <w:rsid w:val="008113F7"/>
    <w:rsid w:val="0081145E"/>
    <w:rsid w:val="00812363"/>
    <w:rsid w:val="008123EC"/>
    <w:rsid w:val="0081283B"/>
    <w:rsid w:val="00812887"/>
    <w:rsid w:val="00812D7B"/>
    <w:rsid w:val="0081305D"/>
    <w:rsid w:val="00813250"/>
    <w:rsid w:val="008136B4"/>
    <w:rsid w:val="00813796"/>
    <w:rsid w:val="00813A85"/>
    <w:rsid w:val="00814318"/>
    <w:rsid w:val="008143BD"/>
    <w:rsid w:val="0081530D"/>
    <w:rsid w:val="008157A9"/>
    <w:rsid w:val="00815FBD"/>
    <w:rsid w:val="00816508"/>
    <w:rsid w:val="00816577"/>
    <w:rsid w:val="00816590"/>
    <w:rsid w:val="008168E3"/>
    <w:rsid w:val="00816919"/>
    <w:rsid w:val="00816DFD"/>
    <w:rsid w:val="00816F81"/>
    <w:rsid w:val="00817999"/>
    <w:rsid w:val="0082010A"/>
    <w:rsid w:val="00820310"/>
    <w:rsid w:val="00820484"/>
    <w:rsid w:val="0082064A"/>
    <w:rsid w:val="008215DF"/>
    <w:rsid w:val="008224D9"/>
    <w:rsid w:val="008224E6"/>
    <w:rsid w:val="00822F38"/>
    <w:rsid w:val="0082368C"/>
    <w:rsid w:val="00824455"/>
    <w:rsid w:val="00824789"/>
    <w:rsid w:val="00824A98"/>
    <w:rsid w:val="00824FAC"/>
    <w:rsid w:val="0082521B"/>
    <w:rsid w:val="0082537C"/>
    <w:rsid w:val="00825A3C"/>
    <w:rsid w:val="0082668A"/>
    <w:rsid w:val="00826892"/>
    <w:rsid w:val="00826E76"/>
    <w:rsid w:val="00827675"/>
    <w:rsid w:val="00827E6C"/>
    <w:rsid w:val="008304F0"/>
    <w:rsid w:val="00830E26"/>
    <w:rsid w:val="008312AD"/>
    <w:rsid w:val="008312D6"/>
    <w:rsid w:val="008316DE"/>
    <w:rsid w:val="00831BC5"/>
    <w:rsid w:val="00831C99"/>
    <w:rsid w:val="00832286"/>
    <w:rsid w:val="00833059"/>
    <w:rsid w:val="008338E8"/>
    <w:rsid w:val="00833A59"/>
    <w:rsid w:val="00834253"/>
    <w:rsid w:val="00834401"/>
    <w:rsid w:val="00834CB8"/>
    <w:rsid w:val="00835FFB"/>
    <w:rsid w:val="0083666C"/>
    <w:rsid w:val="00836914"/>
    <w:rsid w:val="00836B28"/>
    <w:rsid w:val="008372A0"/>
    <w:rsid w:val="008404D6"/>
    <w:rsid w:val="00842973"/>
    <w:rsid w:val="00842DAE"/>
    <w:rsid w:val="00843576"/>
    <w:rsid w:val="00843660"/>
    <w:rsid w:val="00843AC0"/>
    <w:rsid w:val="00843B64"/>
    <w:rsid w:val="00843D31"/>
    <w:rsid w:val="00843EFD"/>
    <w:rsid w:val="00844C4D"/>
    <w:rsid w:val="00844DEC"/>
    <w:rsid w:val="0084509A"/>
    <w:rsid w:val="00845C62"/>
    <w:rsid w:val="00845EA9"/>
    <w:rsid w:val="008462E4"/>
    <w:rsid w:val="00846D3E"/>
    <w:rsid w:val="00847649"/>
    <w:rsid w:val="00847A22"/>
    <w:rsid w:val="00847CF9"/>
    <w:rsid w:val="00847F47"/>
    <w:rsid w:val="00847F59"/>
    <w:rsid w:val="0085044D"/>
    <w:rsid w:val="00850B3A"/>
    <w:rsid w:val="008515A8"/>
    <w:rsid w:val="00851C71"/>
    <w:rsid w:val="00851D5D"/>
    <w:rsid w:val="00851F15"/>
    <w:rsid w:val="00852328"/>
    <w:rsid w:val="00853610"/>
    <w:rsid w:val="00853666"/>
    <w:rsid w:val="00853C01"/>
    <w:rsid w:val="0085446D"/>
    <w:rsid w:val="00854739"/>
    <w:rsid w:val="00854AC5"/>
    <w:rsid w:val="00854C50"/>
    <w:rsid w:val="00854CAE"/>
    <w:rsid w:val="00854E06"/>
    <w:rsid w:val="0085506F"/>
    <w:rsid w:val="008553A4"/>
    <w:rsid w:val="00855737"/>
    <w:rsid w:val="00855E23"/>
    <w:rsid w:val="008560F0"/>
    <w:rsid w:val="00856308"/>
    <w:rsid w:val="008576C8"/>
    <w:rsid w:val="008578D1"/>
    <w:rsid w:val="00860528"/>
    <w:rsid w:val="00860847"/>
    <w:rsid w:val="00860A95"/>
    <w:rsid w:val="00861B59"/>
    <w:rsid w:val="00861B65"/>
    <w:rsid w:val="0086269E"/>
    <w:rsid w:val="00862864"/>
    <w:rsid w:val="008634AC"/>
    <w:rsid w:val="0086533C"/>
    <w:rsid w:val="008653F3"/>
    <w:rsid w:val="00865406"/>
    <w:rsid w:val="00865EFA"/>
    <w:rsid w:val="0086691D"/>
    <w:rsid w:val="00866C59"/>
    <w:rsid w:val="00867BFF"/>
    <w:rsid w:val="00867CFF"/>
    <w:rsid w:val="008708C3"/>
    <w:rsid w:val="00870BC4"/>
    <w:rsid w:val="00871673"/>
    <w:rsid w:val="008716C3"/>
    <w:rsid w:val="00871D64"/>
    <w:rsid w:val="0087236A"/>
    <w:rsid w:val="00872C6A"/>
    <w:rsid w:val="00873137"/>
    <w:rsid w:val="00873AA9"/>
    <w:rsid w:val="00873CB6"/>
    <w:rsid w:val="0087429F"/>
    <w:rsid w:val="00874300"/>
    <w:rsid w:val="00874722"/>
    <w:rsid w:val="008747CA"/>
    <w:rsid w:val="00874B53"/>
    <w:rsid w:val="00874EE4"/>
    <w:rsid w:val="00876840"/>
    <w:rsid w:val="00876971"/>
    <w:rsid w:val="00877142"/>
    <w:rsid w:val="00877EED"/>
    <w:rsid w:val="00880301"/>
    <w:rsid w:val="0088057B"/>
    <w:rsid w:val="00880BEC"/>
    <w:rsid w:val="00880C7F"/>
    <w:rsid w:val="00880CF4"/>
    <w:rsid w:val="00880D63"/>
    <w:rsid w:val="00881228"/>
    <w:rsid w:val="00881425"/>
    <w:rsid w:val="00882024"/>
    <w:rsid w:val="0088228C"/>
    <w:rsid w:val="0088254B"/>
    <w:rsid w:val="008825AA"/>
    <w:rsid w:val="00882768"/>
    <w:rsid w:val="00882B42"/>
    <w:rsid w:val="00883479"/>
    <w:rsid w:val="00883B8A"/>
    <w:rsid w:val="00883BA8"/>
    <w:rsid w:val="008847B8"/>
    <w:rsid w:val="0088480A"/>
    <w:rsid w:val="00885073"/>
    <w:rsid w:val="008856D3"/>
    <w:rsid w:val="00885789"/>
    <w:rsid w:val="00885D13"/>
    <w:rsid w:val="008861C8"/>
    <w:rsid w:val="008869F7"/>
    <w:rsid w:val="008870A5"/>
    <w:rsid w:val="00887A23"/>
    <w:rsid w:val="00890D25"/>
    <w:rsid w:val="0089103C"/>
    <w:rsid w:val="00891744"/>
    <w:rsid w:val="008919AE"/>
    <w:rsid w:val="00891BDC"/>
    <w:rsid w:val="00891FF0"/>
    <w:rsid w:val="00892560"/>
    <w:rsid w:val="008931A6"/>
    <w:rsid w:val="008946D2"/>
    <w:rsid w:val="008946FE"/>
    <w:rsid w:val="008949F3"/>
    <w:rsid w:val="00894EB8"/>
    <w:rsid w:val="0089547E"/>
    <w:rsid w:val="00895753"/>
    <w:rsid w:val="008957DD"/>
    <w:rsid w:val="008958ED"/>
    <w:rsid w:val="00895ABC"/>
    <w:rsid w:val="00895C6B"/>
    <w:rsid w:val="00895F65"/>
    <w:rsid w:val="00895FF7"/>
    <w:rsid w:val="00896164"/>
    <w:rsid w:val="008962E5"/>
    <w:rsid w:val="008965A4"/>
    <w:rsid w:val="00897D98"/>
    <w:rsid w:val="00897EA2"/>
    <w:rsid w:val="008A073F"/>
    <w:rsid w:val="008A0B72"/>
    <w:rsid w:val="008A0DF0"/>
    <w:rsid w:val="008A185B"/>
    <w:rsid w:val="008A221D"/>
    <w:rsid w:val="008A275C"/>
    <w:rsid w:val="008A2C4C"/>
    <w:rsid w:val="008A3858"/>
    <w:rsid w:val="008A3A6C"/>
    <w:rsid w:val="008A4318"/>
    <w:rsid w:val="008A487C"/>
    <w:rsid w:val="008A4DB2"/>
    <w:rsid w:val="008A5D96"/>
    <w:rsid w:val="008A611E"/>
    <w:rsid w:val="008A686A"/>
    <w:rsid w:val="008A6B19"/>
    <w:rsid w:val="008A6DF2"/>
    <w:rsid w:val="008A715D"/>
    <w:rsid w:val="008A72B1"/>
    <w:rsid w:val="008A776C"/>
    <w:rsid w:val="008A77E0"/>
    <w:rsid w:val="008A7DFC"/>
    <w:rsid w:val="008B09F9"/>
    <w:rsid w:val="008B2178"/>
    <w:rsid w:val="008B21D8"/>
    <w:rsid w:val="008B2CE6"/>
    <w:rsid w:val="008B3042"/>
    <w:rsid w:val="008B30FF"/>
    <w:rsid w:val="008B3405"/>
    <w:rsid w:val="008B3737"/>
    <w:rsid w:val="008B3B4D"/>
    <w:rsid w:val="008B3F6E"/>
    <w:rsid w:val="008B4771"/>
    <w:rsid w:val="008B4EDB"/>
    <w:rsid w:val="008B5245"/>
    <w:rsid w:val="008B5A72"/>
    <w:rsid w:val="008B5EAA"/>
    <w:rsid w:val="008B60FD"/>
    <w:rsid w:val="008B6B89"/>
    <w:rsid w:val="008B7468"/>
    <w:rsid w:val="008B7B13"/>
    <w:rsid w:val="008B7D3F"/>
    <w:rsid w:val="008C0277"/>
    <w:rsid w:val="008C02F7"/>
    <w:rsid w:val="008C0657"/>
    <w:rsid w:val="008C077F"/>
    <w:rsid w:val="008C0C2F"/>
    <w:rsid w:val="008C0DD9"/>
    <w:rsid w:val="008C1A2E"/>
    <w:rsid w:val="008C2CBC"/>
    <w:rsid w:val="008C33F5"/>
    <w:rsid w:val="008C350C"/>
    <w:rsid w:val="008C429C"/>
    <w:rsid w:val="008C433D"/>
    <w:rsid w:val="008C4461"/>
    <w:rsid w:val="008C4788"/>
    <w:rsid w:val="008C4B89"/>
    <w:rsid w:val="008C4E2D"/>
    <w:rsid w:val="008C5460"/>
    <w:rsid w:val="008C662C"/>
    <w:rsid w:val="008C6FF5"/>
    <w:rsid w:val="008C786D"/>
    <w:rsid w:val="008C7AAD"/>
    <w:rsid w:val="008C7E54"/>
    <w:rsid w:val="008D0763"/>
    <w:rsid w:val="008D0A56"/>
    <w:rsid w:val="008D1054"/>
    <w:rsid w:val="008D10C1"/>
    <w:rsid w:val="008D135E"/>
    <w:rsid w:val="008D20E3"/>
    <w:rsid w:val="008D2494"/>
    <w:rsid w:val="008D2531"/>
    <w:rsid w:val="008D2609"/>
    <w:rsid w:val="008D2946"/>
    <w:rsid w:val="008D3C1B"/>
    <w:rsid w:val="008D40AB"/>
    <w:rsid w:val="008D4B30"/>
    <w:rsid w:val="008D4C8F"/>
    <w:rsid w:val="008D5266"/>
    <w:rsid w:val="008D5608"/>
    <w:rsid w:val="008D56A9"/>
    <w:rsid w:val="008D6007"/>
    <w:rsid w:val="008D6999"/>
    <w:rsid w:val="008D7012"/>
    <w:rsid w:val="008D7C99"/>
    <w:rsid w:val="008E0FCB"/>
    <w:rsid w:val="008E1710"/>
    <w:rsid w:val="008E1ED1"/>
    <w:rsid w:val="008E2560"/>
    <w:rsid w:val="008E29EB"/>
    <w:rsid w:val="008E2CDD"/>
    <w:rsid w:val="008E3805"/>
    <w:rsid w:val="008E47D5"/>
    <w:rsid w:val="008E4B37"/>
    <w:rsid w:val="008E5169"/>
    <w:rsid w:val="008E5991"/>
    <w:rsid w:val="008E6000"/>
    <w:rsid w:val="008E647C"/>
    <w:rsid w:val="008E75D6"/>
    <w:rsid w:val="008E765A"/>
    <w:rsid w:val="008E7BD4"/>
    <w:rsid w:val="008E7E53"/>
    <w:rsid w:val="008F054A"/>
    <w:rsid w:val="008F0DFE"/>
    <w:rsid w:val="008F1A3D"/>
    <w:rsid w:val="008F1D5D"/>
    <w:rsid w:val="008F1D69"/>
    <w:rsid w:val="008F1FA3"/>
    <w:rsid w:val="008F226B"/>
    <w:rsid w:val="008F2360"/>
    <w:rsid w:val="008F2681"/>
    <w:rsid w:val="008F2B8E"/>
    <w:rsid w:val="008F2CDB"/>
    <w:rsid w:val="008F3580"/>
    <w:rsid w:val="008F3A5C"/>
    <w:rsid w:val="008F3D07"/>
    <w:rsid w:val="008F41C4"/>
    <w:rsid w:val="008F482F"/>
    <w:rsid w:val="008F4BA8"/>
    <w:rsid w:val="008F584E"/>
    <w:rsid w:val="008F58C7"/>
    <w:rsid w:val="008F5D03"/>
    <w:rsid w:val="008F63FC"/>
    <w:rsid w:val="008F6756"/>
    <w:rsid w:val="008F69F8"/>
    <w:rsid w:val="008F6D01"/>
    <w:rsid w:val="008F73FB"/>
    <w:rsid w:val="008F7ED0"/>
    <w:rsid w:val="00900858"/>
    <w:rsid w:val="00900AED"/>
    <w:rsid w:val="00900B31"/>
    <w:rsid w:val="00900B4F"/>
    <w:rsid w:val="00900D27"/>
    <w:rsid w:val="00900EE6"/>
    <w:rsid w:val="0090175A"/>
    <w:rsid w:val="00901966"/>
    <w:rsid w:val="00902075"/>
    <w:rsid w:val="009029A0"/>
    <w:rsid w:val="009029F1"/>
    <w:rsid w:val="00902BB3"/>
    <w:rsid w:val="009034D4"/>
    <w:rsid w:val="0090365A"/>
    <w:rsid w:val="00904290"/>
    <w:rsid w:val="00904322"/>
    <w:rsid w:val="0090469C"/>
    <w:rsid w:val="009049EB"/>
    <w:rsid w:val="00904A52"/>
    <w:rsid w:val="00904F31"/>
    <w:rsid w:val="00906FFD"/>
    <w:rsid w:val="009071D6"/>
    <w:rsid w:val="0090732E"/>
    <w:rsid w:val="00907AF2"/>
    <w:rsid w:val="009111AC"/>
    <w:rsid w:val="0091120F"/>
    <w:rsid w:val="009114EB"/>
    <w:rsid w:val="00911B39"/>
    <w:rsid w:val="00912204"/>
    <w:rsid w:val="00912815"/>
    <w:rsid w:val="0091288E"/>
    <w:rsid w:val="00912917"/>
    <w:rsid w:val="00912AF5"/>
    <w:rsid w:val="0091300F"/>
    <w:rsid w:val="009133B8"/>
    <w:rsid w:val="00913B12"/>
    <w:rsid w:val="009141A8"/>
    <w:rsid w:val="00914724"/>
    <w:rsid w:val="00915539"/>
    <w:rsid w:val="009155F7"/>
    <w:rsid w:val="00915A19"/>
    <w:rsid w:val="00916197"/>
    <w:rsid w:val="00916C4E"/>
    <w:rsid w:val="00916EB9"/>
    <w:rsid w:val="0091730F"/>
    <w:rsid w:val="00917A04"/>
    <w:rsid w:val="00917DCA"/>
    <w:rsid w:val="0092037D"/>
    <w:rsid w:val="00920899"/>
    <w:rsid w:val="00920DB3"/>
    <w:rsid w:val="00920EAE"/>
    <w:rsid w:val="00920F0E"/>
    <w:rsid w:val="0092177A"/>
    <w:rsid w:val="0092178C"/>
    <w:rsid w:val="00921DDD"/>
    <w:rsid w:val="0092212B"/>
    <w:rsid w:val="0092222A"/>
    <w:rsid w:val="00922328"/>
    <w:rsid w:val="00922643"/>
    <w:rsid w:val="00922DCD"/>
    <w:rsid w:val="00923713"/>
    <w:rsid w:val="00923CA2"/>
    <w:rsid w:val="00924F28"/>
    <w:rsid w:val="0092531B"/>
    <w:rsid w:val="0092583B"/>
    <w:rsid w:val="00926780"/>
    <w:rsid w:val="009273B3"/>
    <w:rsid w:val="00927FAC"/>
    <w:rsid w:val="0093050C"/>
    <w:rsid w:val="00930AE1"/>
    <w:rsid w:val="00930D4C"/>
    <w:rsid w:val="0093105D"/>
    <w:rsid w:val="0093141A"/>
    <w:rsid w:val="00931512"/>
    <w:rsid w:val="00931999"/>
    <w:rsid w:val="009321C2"/>
    <w:rsid w:val="00932690"/>
    <w:rsid w:val="00932EF1"/>
    <w:rsid w:val="00933E33"/>
    <w:rsid w:val="00934533"/>
    <w:rsid w:val="00934B12"/>
    <w:rsid w:val="009354F8"/>
    <w:rsid w:val="009359EA"/>
    <w:rsid w:val="00935A5D"/>
    <w:rsid w:val="00935ABF"/>
    <w:rsid w:val="00935EE3"/>
    <w:rsid w:val="00935F31"/>
    <w:rsid w:val="0093693D"/>
    <w:rsid w:val="0093702E"/>
    <w:rsid w:val="00937081"/>
    <w:rsid w:val="009373A2"/>
    <w:rsid w:val="00937C21"/>
    <w:rsid w:val="0094014F"/>
    <w:rsid w:val="009405E4"/>
    <w:rsid w:val="009408EE"/>
    <w:rsid w:val="00940F04"/>
    <w:rsid w:val="0094179A"/>
    <w:rsid w:val="00941ED1"/>
    <w:rsid w:val="009423F3"/>
    <w:rsid w:val="00942D74"/>
    <w:rsid w:val="009430BA"/>
    <w:rsid w:val="00943174"/>
    <w:rsid w:val="00943749"/>
    <w:rsid w:val="00943DB1"/>
    <w:rsid w:val="00944275"/>
    <w:rsid w:val="0094459E"/>
    <w:rsid w:val="00944DBC"/>
    <w:rsid w:val="00945BC5"/>
    <w:rsid w:val="0094626F"/>
    <w:rsid w:val="00946441"/>
    <w:rsid w:val="00946503"/>
    <w:rsid w:val="00946828"/>
    <w:rsid w:val="00946899"/>
    <w:rsid w:val="0094752C"/>
    <w:rsid w:val="009476C0"/>
    <w:rsid w:val="009500D0"/>
    <w:rsid w:val="00950175"/>
    <w:rsid w:val="00950805"/>
    <w:rsid w:val="00950977"/>
    <w:rsid w:val="0095109B"/>
    <w:rsid w:val="00951284"/>
    <w:rsid w:val="00951320"/>
    <w:rsid w:val="0095189E"/>
    <w:rsid w:val="00952090"/>
    <w:rsid w:val="00952732"/>
    <w:rsid w:val="00952C89"/>
    <w:rsid w:val="00952F53"/>
    <w:rsid w:val="00953031"/>
    <w:rsid w:val="00953340"/>
    <w:rsid w:val="00953486"/>
    <w:rsid w:val="009536BA"/>
    <w:rsid w:val="0095387A"/>
    <w:rsid w:val="00953AEF"/>
    <w:rsid w:val="0095492F"/>
    <w:rsid w:val="00954BE1"/>
    <w:rsid w:val="00954E8A"/>
    <w:rsid w:val="00955007"/>
    <w:rsid w:val="009553E5"/>
    <w:rsid w:val="009554DD"/>
    <w:rsid w:val="0095553E"/>
    <w:rsid w:val="0095587F"/>
    <w:rsid w:val="00955D10"/>
    <w:rsid w:val="009564A6"/>
    <w:rsid w:val="00956654"/>
    <w:rsid w:val="00956746"/>
    <w:rsid w:val="009567CF"/>
    <w:rsid w:val="009569B7"/>
    <w:rsid w:val="00956C60"/>
    <w:rsid w:val="00956C72"/>
    <w:rsid w:val="00956CDA"/>
    <w:rsid w:val="00956FF4"/>
    <w:rsid w:val="009576C1"/>
    <w:rsid w:val="0096070D"/>
    <w:rsid w:val="00960F57"/>
    <w:rsid w:val="00961586"/>
    <w:rsid w:val="00961978"/>
    <w:rsid w:val="0096313C"/>
    <w:rsid w:val="009632C7"/>
    <w:rsid w:val="00965870"/>
    <w:rsid w:val="00965D55"/>
    <w:rsid w:val="00965FBA"/>
    <w:rsid w:val="00965FE5"/>
    <w:rsid w:val="009660D8"/>
    <w:rsid w:val="00966228"/>
    <w:rsid w:val="00966A00"/>
    <w:rsid w:val="009672B8"/>
    <w:rsid w:val="00967C41"/>
    <w:rsid w:val="00967DB4"/>
    <w:rsid w:val="00970163"/>
    <w:rsid w:val="0097068C"/>
    <w:rsid w:val="0097107A"/>
    <w:rsid w:val="00971090"/>
    <w:rsid w:val="009715B9"/>
    <w:rsid w:val="00971667"/>
    <w:rsid w:val="00971FB3"/>
    <w:rsid w:val="00972319"/>
    <w:rsid w:val="0097279D"/>
    <w:rsid w:val="00972F80"/>
    <w:rsid w:val="00972FCD"/>
    <w:rsid w:val="00973408"/>
    <w:rsid w:val="0097372D"/>
    <w:rsid w:val="009742ED"/>
    <w:rsid w:val="00974302"/>
    <w:rsid w:val="009744EC"/>
    <w:rsid w:val="00974C38"/>
    <w:rsid w:val="009750E5"/>
    <w:rsid w:val="00975549"/>
    <w:rsid w:val="00976060"/>
    <w:rsid w:val="009764E0"/>
    <w:rsid w:val="0097670D"/>
    <w:rsid w:val="00976715"/>
    <w:rsid w:val="00976B30"/>
    <w:rsid w:val="00976F27"/>
    <w:rsid w:val="00976F80"/>
    <w:rsid w:val="00977FEC"/>
    <w:rsid w:val="00981E03"/>
    <w:rsid w:val="0098297A"/>
    <w:rsid w:val="00982E81"/>
    <w:rsid w:val="00983702"/>
    <w:rsid w:val="0098422E"/>
    <w:rsid w:val="00985223"/>
    <w:rsid w:val="00985D75"/>
    <w:rsid w:val="00986B7E"/>
    <w:rsid w:val="009873EC"/>
    <w:rsid w:val="009878AC"/>
    <w:rsid w:val="00987C4A"/>
    <w:rsid w:val="009905A0"/>
    <w:rsid w:val="00990B2E"/>
    <w:rsid w:val="00990C17"/>
    <w:rsid w:val="00990C56"/>
    <w:rsid w:val="009910E5"/>
    <w:rsid w:val="0099195F"/>
    <w:rsid w:val="00991BA3"/>
    <w:rsid w:val="0099215B"/>
    <w:rsid w:val="00992693"/>
    <w:rsid w:val="00992732"/>
    <w:rsid w:val="00992CA7"/>
    <w:rsid w:val="0099318C"/>
    <w:rsid w:val="009933DA"/>
    <w:rsid w:val="00993479"/>
    <w:rsid w:val="00993BA8"/>
    <w:rsid w:val="00994299"/>
    <w:rsid w:val="009946ED"/>
    <w:rsid w:val="00994AEE"/>
    <w:rsid w:val="00994BE8"/>
    <w:rsid w:val="00994E7F"/>
    <w:rsid w:val="00994F8B"/>
    <w:rsid w:val="009954B6"/>
    <w:rsid w:val="0099559D"/>
    <w:rsid w:val="00995FFA"/>
    <w:rsid w:val="0099662E"/>
    <w:rsid w:val="00996A7E"/>
    <w:rsid w:val="00996F71"/>
    <w:rsid w:val="009975B1"/>
    <w:rsid w:val="00997D31"/>
    <w:rsid w:val="00997ED0"/>
    <w:rsid w:val="009A032E"/>
    <w:rsid w:val="009A0C38"/>
    <w:rsid w:val="009A141D"/>
    <w:rsid w:val="009A1D00"/>
    <w:rsid w:val="009A21A3"/>
    <w:rsid w:val="009A2244"/>
    <w:rsid w:val="009A22B6"/>
    <w:rsid w:val="009A27A3"/>
    <w:rsid w:val="009A2CDD"/>
    <w:rsid w:val="009A2F5D"/>
    <w:rsid w:val="009A32A2"/>
    <w:rsid w:val="009A4224"/>
    <w:rsid w:val="009A4381"/>
    <w:rsid w:val="009A4666"/>
    <w:rsid w:val="009A48F9"/>
    <w:rsid w:val="009A4F22"/>
    <w:rsid w:val="009A5AE8"/>
    <w:rsid w:val="009A5C14"/>
    <w:rsid w:val="009A6B8F"/>
    <w:rsid w:val="009A75B5"/>
    <w:rsid w:val="009A76F0"/>
    <w:rsid w:val="009B0A0D"/>
    <w:rsid w:val="009B0C9B"/>
    <w:rsid w:val="009B1742"/>
    <w:rsid w:val="009B1ACB"/>
    <w:rsid w:val="009B2BA0"/>
    <w:rsid w:val="009B2EC1"/>
    <w:rsid w:val="009B317F"/>
    <w:rsid w:val="009B3AE1"/>
    <w:rsid w:val="009B44A0"/>
    <w:rsid w:val="009B4921"/>
    <w:rsid w:val="009B4A0F"/>
    <w:rsid w:val="009B4BBF"/>
    <w:rsid w:val="009B4E39"/>
    <w:rsid w:val="009B4FD4"/>
    <w:rsid w:val="009B5409"/>
    <w:rsid w:val="009B5767"/>
    <w:rsid w:val="009B5DCD"/>
    <w:rsid w:val="009B5F0A"/>
    <w:rsid w:val="009B64AB"/>
    <w:rsid w:val="009B6CC0"/>
    <w:rsid w:val="009B6E5C"/>
    <w:rsid w:val="009B6FF7"/>
    <w:rsid w:val="009B71D3"/>
    <w:rsid w:val="009B720E"/>
    <w:rsid w:val="009C08C8"/>
    <w:rsid w:val="009C09B8"/>
    <w:rsid w:val="009C0ABC"/>
    <w:rsid w:val="009C0BB3"/>
    <w:rsid w:val="009C2040"/>
    <w:rsid w:val="009C2183"/>
    <w:rsid w:val="009C28CB"/>
    <w:rsid w:val="009C3A87"/>
    <w:rsid w:val="009C3ADC"/>
    <w:rsid w:val="009C43C7"/>
    <w:rsid w:val="009C4501"/>
    <w:rsid w:val="009C51A2"/>
    <w:rsid w:val="009C524A"/>
    <w:rsid w:val="009C5A51"/>
    <w:rsid w:val="009C5BC9"/>
    <w:rsid w:val="009C6A50"/>
    <w:rsid w:val="009C6E2C"/>
    <w:rsid w:val="009C6ED8"/>
    <w:rsid w:val="009C7219"/>
    <w:rsid w:val="009C7DBE"/>
    <w:rsid w:val="009C7E78"/>
    <w:rsid w:val="009D00C8"/>
    <w:rsid w:val="009D0623"/>
    <w:rsid w:val="009D0879"/>
    <w:rsid w:val="009D0B63"/>
    <w:rsid w:val="009D0B93"/>
    <w:rsid w:val="009D0CF4"/>
    <w:rsid w:val="009D0DCB"/>
    <w:rsid w:val="009D1441"/>
    <w:rsid w:val="009D1F8C"/>
    <w:rsid w:val="009D21CD"/>
    <w:rsid w:val="009D238A"/>
    <w:rsid w:val="009D24CB"/>
    <w:rsid w:val="009D26EA"/>
    <w:rsid w:val="009D2B8A"/>
    <w:rsid w:val="009D3F73"/>
    <w:rsid w:val="009D4060"/>
    <w:rsid w:val="009D495C"/>
    <w:rsid w:val="009D4B22"/>
    <w:rsid w:val="009D4C5F"/>
    <w:rsid w:val="009D4F99"/>
    <w:rsid w:val="009D4FB8"/>
    <w:rsid w:val="009D5125"/>
    <w:rsid w:val="009D55BB"/>
    <w:rsid w:val="009D5B62"/>
    <w:rsid w:val="009D5CC3"/>
    <w:rsid w:val="009D6402"/>
    <w:rsid w:val="009D7148"/>
    <w:rsid w:val="009D7441"/>
    <w:rsid w:val="009D7964"/>
    <w:rsid w:val="009E03D1"/>
    <w:rsid w:val="009E0582"/>
    <w:rsid w:val="009E078A"/>
    <w:rsid w:val="009E0CE3"/>
    <w:rsid w:val="009E1008"/>
    <w:rsid w:val="009E1617"/>
    <w:rsid w:val="009E16CB"/>
    <w:rsid w:val="009E1DA0"/>
    <w:rsid w:val="009E2BB8"/>
    <w:rsid w:val="009E34EC"/>
    <w:rsid w:val="009E3656"/>
    <w:rsid w:val="009E3988"/>
    <w:rsid w:val="009E4357"/>
    <w:rsid w:val="009E4D87"/>
    <w:rsid w:val="009E5022"/>
    <w:rsid w:val="009E524D"/>
    <w:rsid w:val="009E5DBA"/>
    <w:rsid w:val="009E65CC"/>
    <w:rsid w:val="009E673E"/>
    <w:rsid w:val="009E750C"/>
    <w:rsid w:val="009E78E8"/>
    <w:rsid w:val="009E7B4D"/>
    <w:rsid w:val="009E7F61"/>
    <w:rsid w:val="009E7F9A"/>
    <w:rsid w:val="009F0459"/>
    <w:rsid w:val="009F0B94"/>
    <w:rsid w:val="009F0BFA"/>
    <w:rsid w:val="009F0C2C"/>
    <w:rsid w:val="009F1144"/>
    <w:rsid w:val="009F126A"/>
    <w:rsid w:val="009F1290"/>
    <w:rsid w:val="009F1C15"/>
    <w:rsid w:val="009F2A36"/>
    <w:rsid w:val="009F321B"/>
    <w:rsid w:val="009F32DA"/>
    <w:rsid w:val="009F3376"/>
    <w:rsid w:val="009F33A9"/>
    <w:rsid w:val="009F4457"/>
    <w:rsid w:val="009F46F5"/>
    <w:rsid w:val="009F4934"/>
    <w:rsid w:val="009F4B1A"/>
    <w:rsid w:val="009F55D4"/>
    <w:rsid w:val="009F576C"/>
    <w:rsid w:val="009F690F"/>
    <w:rsid w:val="009F7711"/>
    <w:rsid w:val="009F7F1F"/>
    <w:rsid w:val="00A001FF"/>
    <w:rsid w:val="00A00477"/>
    <w:rsid w:val="00A005CA"/>
    <w:rsid w:val="00A00787"/>
    <w:rsid w:val="00A00B10"/>
    <w:rsid w:val="00A01380"/>
    <w:rsid w:val="00A01870"/>
    <w:rsid w:val="00A02406"/>
    <w:rsid w:val="00A026D2"/>
    <w:rsid w:val="00A027BE"/>
    <w:rsid w:val="00A02A29"/>
    <w:rsid w:val="00A02C05"/>
    <w:rsid w:val="00A0342D"/>
    <w:rsid w:val="00A03831"/>
    <w:rsid w:val="00A0406D"/>
    <w:rsid w:val="00A04281"/>
    <w:rsid w:val="00A04D5D"/>
    <w:rsid w:val="00A05985"/>
    <w:rsid w:val="00A059CE"/>
    <w:rsid w:val="00A066F7"/>
    <w:rsid w:val="00A06C9C"/>
    <w:rsid w:val="00A10051"/>
    <w:rsid w:val="00A102CD"/>
    <w:rsid w:val="00A1030E"/>
    <w:rsid w:val="00A11215"/>
    <w:rsid w:val="00A1130F"/>
    <w:rsid w:val="00A1213E"/>
    <w:rsid w:val="00A12F97"/>
    <w:rsid w:val="00A1348D"/>
    <w:rsid w:val="00A14BFD"/>
    <w:rsid w:val="00A14CB7"/>
    <w:rsid w:val="00A15616"/>
    <w:rsid w:val="00A15AFD"/>
    <w:rsid w:val="00A16471"/>
    <w:rsid w:val="00A1664F"/>
    <w:rsid w:val="00A16E6C"/>
    <w:rsid w:val="00A1768C"/>
    <w:rsid w:val="00A1773C"/>
    <w:rsid w:val="00A17CEB"/>
    <w:rsid w:val="00A2005A"/>
    <w:rsid w:val="00A202A8"/>
    <w:rsid w:val="00A21A48"/>
    <w:rsid w:val="00A21CE8"/>
    <w:rsid w:val="00A21E21"/>
    <w:rsid w:val="00A2210E"/>
    <w:rsid w:val="00A222D1"/>
    <w:rsid w:val="00A22824"/>
    <w:rsid w:val="00A23208"/>
    <w:rsid w:val="00A232EE"/>
    <w:rsid w:val="00A23354"/>
    <w:rsid w:val="00A2459F"/>
    <w:rsid w:val="00A249B5"/>
    <w:rsid w:val="00A2563F"/>
    <w:rsid w:val="00A25872"/>
    <w:rsid w:val="00A25B69"/>
    <w:rsid w:val="00A261CF"/>
    <w:rsid w:val="00A26274"/>
    <w:rsid w:val="00A26481"/>
    <w:rsid w:val="00A2689A"/>
    <w:rsid w:val="00A26AC4"/>
    <w:rsid w:val="00A26BD2"/>
    <w:rsid w:val="00A270DB"/>
    <w:rsid w:val="00A279C5"/>
    <w:rsid w:val="00A279F3"/>
    <w:rsid w:val="00A27B8B"/>
    <w:rsid w:val="00A3022F"/>
    <w:rsid w:val="00A30885"/>
    <w:rsid w:val="00A30CF7"/>
    <w:rsid w:val="00A30EB1"/>
    <w:rsid w:val="00A31B05"/>
    <w:rsid w:val="00A31B07"/>
    <w:rsid w:val="00A31DE3"/>
    <w:rsid w:val="00A31FCA"/>
    <w:rsid w:val="00A32095"/>
    <w:rsid w:val="00A3290F"/>
    <w:rsid w:val="00A32ABC"/>
    <w:rsid w:val="00A32FC5"/>
    <w:rsid w:val="00A335DF"/>
    <w:rsid w:val="00A33772"/>
    <w:rsid w:val="00A337AE"/>
    <w:rsid w:val="00A33C50"/>
    <w:rsid w:val="00A348B7"/>
    <w:rsid w:val="00A34965"/>
    <w:rsid w:val="00A34C37"/>
    <w:rsid w:val="00A350BB"/>
    <w:rsid w:val="00A3674C"/>
    <w:rsid w:val="00A36790"/>
    <w:rsid w:val="00A368A7"/>
    <w:rsid w:val="00A37807"/>
    <w:rsid w:val="00A378DA"/>
    <w:rsid w:val="00A37E2D"/>
    <w:rsid w:val="00A40109"/>
    <w:rsid w:val="00A413C6"/>
    <w:rsid w:val="00A4172E"/>
    <w:rsid w:val="00A4179D"/>
    <w:rsid w:val="00A41A91"/>
    <w:rsid w:val="00A41B14"/>
    <w:rsid w:val="00A42114"/>
    <w:rsid w:val="00A4214F"/>
    <w:rsid w:val="00A42AE5"/>
    <w:rsid w:val="00A42DDB"/>
    <w:rsid w:val="00A43D32"/>
    <w:rsid w:val="00A44073"/>
    <w:rsid w:val="00A44411"/>
    <w:rsid w:val="00A449F3"/>
    <w:rsid w:val="00A44E46"/>
    <w:rsid w:val="00A456E4"/>
    <w:rsid w:val="00A45861"/>
    <w:rsid w:val="00A46736"/>
    <w:rsid w:val="00A469ED"/>
    <w:rsid w:val="00A469FA"/>
    <w:rsid w:val="00A46BAC"/>
    <w:rsid w:val="00A46D39"/>
    <w:rsid w:val="00A46F94"/>
    <w:rsid w:val="00A472D1"/>
    <w:rsid w:val="00A4782C"/>
    <w:rsid w:val="00A50129"/>
    <w:rsid w:val="00A50DE7"/>
    <w:rsid w:val="00A5157B"/>
    <w:rsid w:val="00A5167D"/>
    <w:rsid w:val="00A51CB8"/>
    <w:rsid w:val="00A51F4B"/>
    <w:rsid w:val="00A529E5"/>
    <w:rsid w:val="00A52C82"/>
    <w:rsid w:val="00A52F5D"/>
    <w:rsid w:val="00A53F50"/>
    <w:rsid w:val="00A54428"/>
    <w:rsid w:val="00A546C3"/>
    <w:rsid w:val="00A547FE"/>
    <w:rsid w:val="00A5490D"/>
    <w:rsid w:val="00A554AF"/>
    <w:rsid w:val="00A55A8F"/>
    <w:rsid w:val="00A55B01"/>
    <w:rsid w:val="00A5651C"/>
    <w:rsid w:val="00A569FB"/>
    <w:rsid w:val="00A56B5B"/>
    <w:rsid w:val="00A56E95"/>
    <w:rsid w:val="00A57097"/>
    <w:rsid w:val="00A57ADE"/>
    <w:rsid w:val="00A605BA"/>
    <w:rsid w:val="00A6090C"/>
    <w:rsid w:val="00A60B43"/>
    <w:rsid w:val="00A60C38"/>
    <w:rsid w:val="00A60E45"/>
    <w:rsid w:val="00A6212E"/>
    <w:rsid w:val="00A622AB"/>
    <w:rsid w:val="00A62B8D"/>
    <w:rsid w:val="00A63836"/>
    <w:rsid w:val="00A63905"/>
    <w:rsid w:val="00A63D4E"/>
    <w:rsid w:val="00A6417A"/>
    <w:rsid w:val="00A64D4F"/>
    <w:rsid w:val="00A657DD"/>
    <w:rsid w:val="00A65B9F"/>
    <w:rsid w:val="00A6601A"/>
    <w:rsid w:val="00A6621E"/>
    <w:rsid w:val="00A662F0"/>
    <w:rsid w:val="00A6656D"/>
    <w:rsid w:val="00A66573"/>
    <w:rsid w:val="00A666A6"/>
    <w:rsid w:val="00A66A4C"/>
    <w:rsid w:val="00A67087"/>
    <w:rsid w:val="00A67890"/>
    <w:rsid w:val="00A67A21"/>
    <w:rsid w:val="00A67A3E"/>
    <w:rsid w:val="00A67E2B"/>
    <w:rsid w:val="00A70703"/>
    <w:rsid w:val="00A70E0C"/>
    <w:rsid w:val="00A70F5B"/>
    <w:rsid w:val="00A70F9D"/>
    <w:rsid w:val="00A7104E"/>
    <w:rsid w:val="00A71DCB"/>
    <w:rsid w:val="00A7208D"/>
    <w:rsid w:val="00A73D83"/>
    <w:rsid w:val="00A740EC"/>
    <w:rsid w:val="00A745A3"/>
    <w:rsid w:val="00A746A7"/>
    <w:rsid w:val="00A74835"/>
    <w:rsid w:val="00A748C2"/>
    <w:rsid w:val="00A753B3"/>
    <w:rsid w:val="00A757BE"/>
    <w:rsid w:val="00A75EF7"/>
    <w:rsid w:val="00A76D63"/>
    <w:rsid w:val="00A76EDB"/>
    <w:rsid w:val="00A77A07"/>
    <w:rsid w:val="00A77C55"/>
    <w:rsid w:val="00A800E8"/>
    <w:rsid w:val="00A80611"/>
    <w:rsid w:val="00A80D1E"/>
    <w:rsid w:val="00A80D9D"/>
    <w:rsid w:val="00A8102A"/>
    <w:rsid w:val="00A810EB"/>
    <w:rsid w:val="00A817D7"/>
    <w:rsid w:val="00A81E88"/>
    <w:rsid w:val="00A827E0"/>
    <w:rsid w:val="00A82C0B"/>
    <w:rsid w:val="00A82F40"/>
    <w:rsid w:val="00A84462"/>
    <w:rsid w:val="00A845E9"/>
    <w:rsid w:val="00A849F9"/>
    <w:rsid w:val="00A84F5A"/>
    <w:rsid w:val="00A85569"/>
    <w:rsid w:val="00A85B40"/>
    <w:rsid w:val="00A86F7D"/>
    <w:rsid w:val="00A87D76"/>
    <w:rsid w:val="00A87F09"/>
    <w:rsid w:val="00A906B7"/>
    <w:rsid w:val="00A91084"/>
    <w:rsid w:val="00A9108E"/>
    <w:rsid w:val="00A911F0"/>
    <w:rsid w:val="00A914AC"/>
    <w:rsid w:val="00A9175E"/>
    <w:rsid w:val="00A9225E"/>
    <w:rsid w:val="00A92677"/>
    <w:rsid w:val="00A9270C"/>
    <w:rsid w:val="00A92B72"/>
    <w:rsid w:val="00A92DDC"/>
    <w:rsid w:val="00A93448"/>
    <w:rsid w:val="00A93782"/>
    <w:rsid w:val="00A93865"/>
    <w:rsid w:val="00A940D2"/>
    <w:rsid w:val="00A94E12"/>
    <w:rsid w:val="00A95449"/>
    <w:rsid w:val="00A95B38"/>
    <w:rsid w:val="00A96833"/>
    <w:rsid w:val="00A96D37"/>
    <w:rsid w:val="00A97214"/>
    <w:rsid w:val="00A978E1"/>
    <w:rsid w:val="00AA0081"/>
    <w:rsid w:val="00AA0655"/>
    <w:rsid w:val="00AA0D10"/>
    <w:rsid w:val="00AA0F8B"/>
    <w:rsid w:val="00AA125D"/>
    <w:rsid w:val="00AA1379"/>
    <w:rsid w:val="00AA13C6"/>
    <w:rsid w:val="00AA167D"/>
    <w:rsid w:val="00AA1885"/>
    <w:rsid w:val="00AA19FE"/>
    <w:rsid w:val="00AA1C14"/>
    <w:rsid w:val="00AA23CC"/>
    <w:rsid w:val="00AA28DE"/>
    <w:rsid w:val="00AA2C16"/>
    <w:rsid w:val="00AA2D25"/>
    <w:rsid w:val="00AA30BD"/>
    <w:rsid w:val="00AA31E4"/>
    <w:rsid w:val="00AA3AF0"/>
    <w:rsid w:val="00AA4784"/>
    <w:rsid w:val="00AA493F"/>
    <w:rsid w:val="00AA49AF"/>
    <w:rsid w:val="00AA4B78"/>
    <w:rsid w:val="00AA5298"/>
    <w:rsid w:val="00AA5454"/>
    <w:rsid w:val="00AA64E4"/>
    <w:rsid w:val="00AA70C2"/>
    <w:rsid w:val="00AA7490"/>
    <w:rsid w:val="00AB0834"/>
    <w:rsid w:val="00AB08C9"/>
    <w:rsid w:val="00AB0B77"/>
    <w:rsid w:val="00AB1145"/>
    <w:rsid w:val="00AB31CB"/>
    <w:rsid w:val="00AB41A3"/>
    <w:rsid w:val="00AB437A"/>
    <w:rsid w:val="00AB4968"/>
    <w:rsid w:val="00AB4FE3"/>
    <w:rsid w:val="00AB5192"/>
    <w:rsid w:val="00AB5340"/>
    <w:rsid w:val="00AC00A6"/>
    <w:rsid w:val="00AC03CC"/>
    <w:rsid w:val="00AC0933"/>
    <w:rsid w:val="00AC0B46"/>
    <w:rsid w:val="00AC0E0C"/>
    <w:rsid w:val="00AC103A"/>
    <w:rsid w:val="00AC2766"/>
    <w:rsid w:val="00AC2F89"/>
    <w:rsid w:val="00AC3005"/>
    <w:rsid w:val="00AC3C51"/>
    <w:rsid w:val="00AC4594"/>
    <w:rsid w:val="00AC45B5"/>
    <w:rsid w:val="00AC4BB5"/>
    <w:rsid w:val="00AC4CE6"/>
    <w:rsid w:val="00AC6992"/>
    <w:rsid w:val="00AC6C78"/>
    <w:rsid w:val="00AC7C96"/>
    <w:rsid w:val="00AD129F"/>
    <w:rsid w:val="00AD157B"/>
    <w:rsid w:val="00AD16F3"/>
    <w:rsid w:val="00AD2003"/>
    <w:rsid w:val="00AD270D"/>
    <w:rsid w:val="00AD2A4E"/>
    <w:rsid w:val="00AD3AB1"/>
    <w:rsid w:val="00AD4185"/>
    <w:rsid w:val="00AD542A"/>
    <w:rsid w:val="00AD549A"/>
    <w:rsid w:val="00AD57D0"/>
    <w:rsid w:val="00AD59AD"/>
    <w:rsid w:val="00AD5A9F"/>
    <w:rsid w:val="00AD5C11"/>
    <w:rsid w:val="00AD5F84"/>
    <w:rsid w:val="00AD64B5"/>
    <w:rsid w:val="00AD6D84"/>
    <w:rsid w:val="00AD6EB1"/>
    <w:rsid w:val="00AD6F84"/>
    <w:rsid w:val="00AD7060"/>
    <w:rsid w:val="00AD7066"/>
    <w:rsid w:val="00AD74A5"/>
    <w:rsid w:val="00AD7809"/>
    <w:rsid w:val="00AD7C61"/>
    <w:rsid w:val="00AD7C9F"/>
    <w:rsid w:val="00AE058C"/>
    <w:rsid w:val="00AE083A"/>
    <w:rsid w:val="00AE16AC"/>
    <w:rsid w:val="00AE1858"/>
    <w:rsid w:val="00AE1A36"/>
    <w:rsid w:val="00AE2101"/>
    <w:rsid w:val="00AE237D"/>
    <w:rsid w:val="00AE2407"/>
    <w:rsid w:val="00AE2C7D"/>
    <w:rsid w:val="00AE2E18"/>
    <w:rsid w:val="00AE2F3B"/>
    <w:rsid w:val="00AE3CEF"/>
    <w:rsid w:val="00AE5DB2"/>
    <w:rsid w:val="00AE6051"/>
    <w:rsid w:val="00AE6798"/>
    <w:rsid w:val="00AE72CB"/>
    <w:rsid w:val="00AE7418"/>
    <w:rsid w:val="00AE7A0F"/>
    <w:rsid w:val="00AF1392"/>
    <w:rsid w:val="00AF1730"/>
    <w:rsid w:val="00AF1732"/>
    <w:rsid w:val="00AF1996"/>
    <w:rsid w:val="00AF1C10"/>
    <w:rsid w:val="00AF2296"/>
    <w:rsid w:val="00AF2385"/>
    <w:rsid w:val="00AF2A6A"/>
    <w:rsid w:val="00AF2B61"/>
    <w:rsid w:val="00AF337B"/>
    <w:rsid w:val="00AF431D"/>
    <w:rsid w:val="00AF45FF"/>
    <w:rsid w:val="00AF5013"/>
    <w:rsid w:val="00AF51DD"/>
    <w:rsid w:val="00AF5B45"/>
    <w:rsid w:val="00AF5D5E"/>
    <w:rsid w:val="00AF5F26"/>
    <w:rsid w:val="00AF600C"/>
    <w:rsid w:val="00AF642B"/>
    <w:rsid w:val="00AF662F"/>
    <w:rsid w:val="00AF7017"/>
    <w:rsid w:val="00AF735F"/>
    <w:rsid w:val="00AF73B0"/>
    <w:rsid w:val="00AF75D6"/>
    <w:rsid w:val="00AF75D9"/>
    <w:rsid w:val="00AF76E1"/>
    <w:rsid w:val="00AF7C07"/>
    <w:rsid w:val="00AF7C52"/>
    <w:rsid w:val="00AF7CEE"/>
    <w:rsid w:val="00AF7FF4"/>
    <w:rsid w:val="00B01717"/>
    <w:rsid w:val="00B03091"/>
    <w:rsid w:val="00B03639"/>
    <w:rsid w:val="00B0376E"/>
    <w:rsid w:val="00B039A3"/>
    <w:rsid w:val="00B040C0"/>
    <w:rsid w:val="00B04323"/>
    <w:rsid w:val="00B0450F"/>
    <w:rsid w:val="00B04CCD"/>
    <w:rsid w:val="00B04DC9"/>
    <w:rsid w:val="00B04DD6"/>
    <w:rsid w:val="00B04FA4"/>
    <w:rsid w:val="00B0569F"/>
    <w:rsid w:val="00B05D40"/>
    <w:rsid w:val="00B067A0"/>
    <w:rsid w:val="00B07353"/>
    <w:rsid w:val="00B0749D"/>
    <w:rsid w:val="00B10072"/>
    <w:rsid w:val="00B105F5"/>
    <w:rsid w:val="00B108B4"/>
    <w:rsid w:val="00B10AC8"/>
    <w:rsid w:val="00B10B70"/>
    <w:rsid w:val="00B10EB8"/>
    <w:rsid w:val="00B110EA"/>
    <w:rsid w:val="00B11364"/>
    <w:rsid w:val="00B11638"/>
    <w:rsid w:val="00B117B7"/>
    <w:rsid w:val="00B119D5"/>
    <w:rsid w:val="00B1209B"/>
    <w:rsid w:val="00B12263"/>
    <w:rsid w:val="00B12702"/>
    <w:rsid w:val="00B12B97"/>
    <w:rsid w:val="00B13022"/>
    <w:rsid w:val="00B138FD"/>
    <w:rsid w:val="00B13991"/>
    <w:rsid w:val="00B139A9"/>
    <w:rsid w:val="00B13D09"/>
    <w:rsid w:val="00B14538"/>
    <w:rsid w:val="00B1489A"/>
    <w:rsid w:val="00B14ECF"/>
    <w:rsid w:val="00B150C6"/>
    <w:rsid w:val="00B15957"/>
    <w:rsid w:val="00B15AC3"/>
    <w:rsid w:val="00B15DC1"/>
    <w:rsid w:val="00B1621B"/>
    <w:rsid w:val="00B16298"/>
    <w:rsid w:val="00B16E0D"/>
    <w:rsid w:val="00B177BF"/>
    <w:rsid w:val="00B2012D"/>
    <w:rsid w:val="00B202A0"/>
    <w:rsid w:val="00B204B9"/>
    <w:rsid w:val="00B20DB0"/>
    <w:rsid w:val="00B21D1D"/>
    <w:rsid w:val="00B22043"/>
    <w:rsid w:val="00B22A98"/>
    <w:rsid w:val="00B22F3F"/>
    <w:rsid w:val="00B2358E"/>
    <w:rsid w:val="00B23816"/>
    <w:rsid w:val="00B23A4C"/>
    <w:rsid w:val="00B23B05"/>
    <w:rsid w:val="00B2437C"/>
    <w:rsid w:val="00B24C5F"/>
    <w:rsid w:val="00B24D71"/>
    <w:rsid w:val="00B24FE8"/>
    <w:rsid w:val="00B257F0"/>
    <w:rsid w:val="00B25B60"/>
    <w:rsid w:val="00B25E73"/>
    <w:rsid w:val="00B26184"/>
    <w:rsid w:val="00B2662A"/>
    <w:rsid w:val="00B26BD7"/>
    <w:rsid w:val="00B26CD6"/>
    <w:rsid w:val="00B27262"/>
    <w:rsid w:val="00B277B2"/>
    <w:rsid w:val="00B278BE"/>
    <w:rsid w:val="00B304FD"/>
    <w:rsid w:val="00B307E7"/>
    <w:rsid w:val="00B30AFB"/>
    <w:rsid w:val="00B30E49"/>
    <w:rsid w:val="00B31280"/>
    <w:rsid w:val="00B3342D"/>
    <w:rsid w:val="00B3349D"/>
    <w:rsid w:val="00B33970"/>
    <w:rsid w:val="00B33DDD"/>
    <w:rsid w:val="00B340CF"/>
    <w:rsid w:val="00B341CE"/>
    <w:rsid w:val="00B348A8"/>
    <w:rsid w:val="00B34DA5"/>
    <w:rsid w:val="00B34E13"/>
    <w:rsid w:val="00B354DF"/>
    <w:rsid w:val="00B3553C"/>
    <w:rsid w:val="00B3677C"/>
    <w:rsid w:val="00B405B7"/>
    <w:rsid w:val="00B405DC"/>
    <w:rsid w:val="00B408EE"/>
    <w:rsid w:val="00B41158"/>
    <w:rsid w:val="00B4128A"/>
    <w:rsid w:val="00B4152E"/>
    <w:rsid w:val="00B41BF6"/>
    <w:rsid w:val="00B41CAE"/>
    <w:rsid w:val="00B41E5B"/>
    <w:rsid w:val="00B41F50"/>
    <w:rsid w:val="00B41FF5"/>
    <w:rsid w:val="00B425B5"/>
    <w:rsid w:val="00B429D7"/>
    <w:rsid w:val="00B43C41"/>
    <w:rsid w:val="00B4422E"/>
    <w:rsid w:val="00B44B82"/>
    <w:rsid w:val="00B44C78"/>
    <w:rsid w:val="00B45192"/>
    <w:rsid w:val="00B45423"/>
    <w:rsid w:val="00B456CC"/>
    <w:rsid w:val="00B45954"/>
    <w:rsid w:val="00B45FF1"/>
    <w:rsid w:val="00B462FC"/>
    <w:rsid w:val="00B46EC0"/>
    <w:rsid w:val="00B472C4"/>
    <w:rsid w:val="00B4799F"/>
    <w:rsid w:val="00B5000E"/>
    <w:rsid w:val="00B50A34"/>
    <w:rsid w:val="00B50EB3"/>
    <w:rsid w:val="00B50FC4"/>
    <w:rsid w:val="00B516CF"/>
    <w:rsid w:val="00B51D7F"/>
    <w:rsid w:val="00B522E8"/>
    <w:rsid w:val="00B52513"/>
    <w:rsid w:val="00B53346"/>
    <w:rsid w:val="00B536FF"/>
    <w:rsid w:val="00B537BC"/>
    <w:rsid w:val="00B5452B"/>
    <w:rsid w:val="00B54D95"/>
    <w:rsid w:val="00B5524E"/>
    <w:rsid w:val="00B56AE0"/>
    <w:rsid w:val="00B56E9E"/>
    <w:rsid w:val="00B577B8"/>
    <w:rsid w:val="00B578B6"/>
    <w:rsid w:val="00B60AB8"/>
    <w:rsid w:val="00B60B42"/>
    <w:rsid w:val="00B6114D"/>
    <w:rsid w:val="00B611E0"/>
    <w:rsid w:val="00B61456"/>
    <w:rsid w:val="00B62237"/>
    <w:rsid w:val="00B6265B"/>
    <w:rsid w:val="00B626A0"/>
    <w:rsid w:val="00B62A4F"/>
    <w:rsid w:val="00B62C3C"/>
    <w:rsid w:val="00B6303A"/>
    <w:rsid w:val="00B63373"/>
    <w:rsid w:val="00B63636"/>
    <w:rsid w:val="00B636C1"/>
    <w:rsid w:val="00B638D4"/>
    <w:rsid w:val="00B63BD6"/>
    <w:rsid w:val="00B64286"/>
    <w:rsid w:val="00B6431D"/>
    <w:rsid w:val="00B643D8"/>
    <w:rsid w:val="00B64960"/>
    <w:rsid w:val="00B64B9A"/>
    <w:rsid w:val="00B652B1"/>
    <w:rsid w:val="00B655D4"/>
    <w:rsid w:val="00B65639"/>
    <w:rsid w:val="00B658BF"/>
    <w:rsid w:val="00B66901"/>
    <w:rsid w:val="00B66B04"/>
    <w:rsid w:val="00B66F20"/>
    <w:rsid w:val="00B66F23"/>
    <w:rsid w:val="00B671C7"/>
    <w:rsid w:val="00B6793E"/>
    <w:rsid w:val="00B67B92"/>
    <w:rsid w:val="00B67E31"/>
    <w:rsid w:val="00B70177"/>
    <w:rsid w:val="00B7033F"/>
    <w:rsid w:val="00B71A35"/>
    <w:rsid w:val="00B71AE6"/>
    <w:rsid w:val="00B71BB3"/>
    <w:rsid w:val="00B71E6D"/>
    <w:rsid w:val="00B71EE7"/>
    <w:rsid w:val="00B71FB5"/>
    <w:rsid w:val="00B72070"/>
    <w:rsid w:val="00B722C8"/>
    <w:rsid w:val="00B72772"/>
    <w:rsid w:val="00B73792"/>
    <w:rsid w:val="00B73A31"/>
    <w:rsid w:val="00B74535"/>
    <w:rsid w:val="00B74944"/>
    <w:rsid w:val="00B74A71"/>
    <w:rsid w:val="00B75033"/>
    <w:rsid w:val="00B7616F"/>
    <w:rsid w:val="00B76569"/>
    <w:rsid w:val="00B7670B"/>
    <w:rsid w:val="00B7778D"/>
    <w:rsid w:val="00B779E1"/>
    <w:rsid w:val="00B77E1A"/>
    <w:rsid w:val="00B80136"/>
    <w:rsid w:val="00B808D5"/>
    <w:rsid w:val="00B80BE0"/>
    <w:rsid w:val="00B81496"/>
    <w:rsid w:val="00B82EA0"/>
    <w:rsid w:val="00B83B5A"/>
    <w:rsid w:val="00B83FC8"/>
    <w:rsid w:val="00B841E3"/>
    <w:rsid w:val="00B8452A"/>
    <w:rsid w:val="00B845F2"/>
    <w:rsid w:val="00B84B5E"/>
    <w:rsid w:val="00B85730"/>
    <w:rsid w:val="00B8598E"/>
    <w:rsid w:val="00B85C6A"/>
    <w:rsid w:val="00B85D7D"/>
    <w:rsid w:val="00B86806"/>
    <w:rsid w:val="00B869E2"/>
    <w:rsid w:val="00B86B2A"/>
    <w:rsid w:val="00B87360"/>
    <w:rsid w:val="00B878CB"/>
    <w:rsid w:val="00B8799D"/>
    <w:rsid w:val="00B87F20"/>
    <w:rsid w:val="00B902DF"/>
    <w:rsid w:val="00B907DD"/>
    <w:rsid w:val="00B9199B"/>
    <w:rsid w:val="00B91AD1"/>
    <w:rsid w:val="00B91B44"/>
    <w:rsid w:val="00B91E62"/>
    <w:rsid w:val="00B91F3C"/>
    <w:rsid w:val="00B921FB"/>
    <w:rsid w:val="00B92365"/>
    <w:rsid w:val="00B92813"/>
    <w:rsid w:val="00B92C2A"/>
    <w:rsid w:val="00B92C9D"/>
    <w:rsid w:val="00B92E3A"/>
    <w:rsid w:val="00B93406"/>
    <w:rsid w:val="00B9376F"/>
    <w:rsid w:val="00B9398D"/>
    <w:rsid w:val="00B93A77"/>
    <w:rsid w:val="00B93DD8"/>
    <w:rsid w:val="00B94C1C"/>
    <w:rsid w:val="00B94CAC"/>
    <w:rsid w:val="00B94CD7"/>
    <w:rsid w:val="00B952DA"/>
    <w:rsid w:val="00B95468"/>
    <w:rsid w:val="00B958ED"/>
    <w:rsid w:val="00B958F1"/>
    <w:rsid w:val="00B95B6F"/>
    <w:rsid w:val="00B96657"/>
    <w:rsid w:val="00B966E2"/>
    <w:rsid w:val="00B96D69"/>
    <w:rsid w:val="00B973A4"/>
    <w:rsid w:val="00B974C7"/>
    <w:rsid w:val="00B974E7"/>
    <w:rsid w:val="00B97777"/>
    <w:rsid w:val="00BA0370"/>
    <w:rsid w:val="00BA0414"/>
    <w:rsid w:val="00BA0436"/>
    <w:rsid w:val="00BA192D"/>
    <w:rsid w:val="00BA1999"/>
    <w:rsid w:val="00BA1A67"/>
    <w:rsid w:val="00BA1ED6"/>
    <w:rsid w:val="00BA2FE7"/>
    <w:rsid w:val="00BA3242"/>
    <w:rsid w:val="00BA4299"/>
    <w:rsid w:val="00BA4A13"/>
    <w:rsid w:val="00BA509D"/>
    <w:rsid w:val="00BA56B3"/>
    <w:rsid w:val="00BA5BDA"/>
    <w:rsid w:val="00BA5EB9"/>
    <w:rsid w:val="00BA61CB"/>
    <w:rsid w:val="00BA65B7"/>
    <w:rsid w:val="00BA6E63"/>
    <w:rsid w:val="00BA781B"/>
    <w:rsid w:val="00BB00C9"/>
    <w:rsid w:val="00BB0248"/>
    <w:rsid w:val="00BB03F9"/>
    <w:rsid w:val="00BB0A4A"/>
    <w:rsid w:val="00BB0E4B"/>
    <w:rsid w:val="00BB1731"/>
    <w:rsid w:val="00BB1BA4"/>
    <w:rsid w:val="00BB1C6E"/>
    <w:rsid w:val="00BB232C"/>
    <w:rsid w:val="00BB2381"/>
    <w:rsid w:val="00BB2415"/>
    <w:rsid w:val="00BB3262"/>
    <w:rsid w:val="00BB35DC"/>
    <w:rsid w:val="00BB3948"/>
    <w:rsid w:val="00BB4A7A"/>
    <w:rsid w:val="00BB602D"/>
    <w:rsid w:val="00BB6BAD"/>
    <w:rsid w:val="00BB6E2C"/>
    <w:rsid w:val="00BB6E94"/>
    <w:rsid w:val="00BB7049"/>
    <w:rsid w:val="00BB7677"/>
    <w:rsid w:val="00BB792B"/>
    <w:rsid w:val="00BC0802"/>
    <w:rsid w:val="00BC1C84"/>
    <w:rsid w:val="00BC217D"/>
    <w:rsid w:val="00BC2228"/>
    <w:rsid w:val="00BC2466"/>
    <w:rsid w:val="00BC268E"/>
    <w:rsid w:val="00BC2E8A"/>
    <w:rsid w:val="00BC33B6"/>
    <w:rsid w:val="00BC37C0"/>
    <w:rsid w:val="00BC4124"/>
    <w:rsid w:val="00BC45B5"/>
    <w:rsid w:val="00BC5139"/>
    <w:rsid w:val="00BC5BAE"/>
    <w:rsid w:val="00BC69DD"/>
    <w:rsid w:val="00BC6A71"/>
    <w:rsid w:val="00BC78F6"/>
    <w:rsid w:val="00BC7B40"/>
    <w:rsid w:val="00BC7F27"/>
    <w:rsid w:val="00BC7F6D"/>
    <w:rsid w:val="00BD0868"/>
    <w:rsid w:val="00BD08E7"/>
    <w:rsid w:val="00BD0E62"/>
    <w:rsid w:val="00BD1167"/>
    <w:rsid w:val="00BD2068"/>
    <w:rsid w:val="00BD2378"/>
    <w:rsid w:val="00BD246B"/>
    <w:rsid w:val="00BD3A48"/>
    <w:rsid w:val="00BD3E60"/>
    <w:rsid w:val="00BD4186"/>
    <w:rsid w:val="00BD48B2"/>
    <w:rsid w:val="00BD4B48"/>
    <w:rsid w:val="00BD4DA4"/>
    <w:rsid w:val="00BD50A4"/>
    <w:rsid w:val="00BD5137"/>
    <w:rsid w:val="00BD5242"/>
    <w:rsid w:val="00BD5518"/>
    <w:rsid w:val="00BD5B07"/>
    <w:rsid w:val="00BD5E1A"/>
    <w:rsid w:val="00BD6134"/>
    <w:rsid w:val="00BD6296"/>
    <w:rsid w:val="00BD677A"/>
    <w:rsid w:val="00BD68D2"/>
    <w:rsid w:val="00BD6C88"/>
    <w:rsid w:val="00BE0316"/>
    <w:rsid w:val="00BE05C6"/>
    <w:rsid w:val="00BE0F36"/>
    <w:rsid w:val="00BE155E"/>
    <w:rsid w:val="00BE1D04"/>
    <w:rsid w:val="00BE1EBE"/>
    <w:rsid w:val="00BE1FD2"/>
    <w:rsid w:val="00BE2667"/>
    <w:rsid w:val="00BE2D19"/>
    <w:rsid w:val="00BE33E0"/>
    <w:rsid w:val="00BE3B67"/>
    <w:rsid w:val="00BE3BD3"/>
    <w:rsid w:val="00BE3C66"/>
    <w:rsid w:val="00BE3EF7"/>
    <w:rsid w:val="00BE4433"/>
    <w:rsid w:val="00BE473B"/>
    <w:rsid w:val="00BE4A45"/>
    <w:rsid w:val="00BE4AB6"/>
    <w:rsid w:val="00BE500C"/>
    <w:rsid w:val="00BE5BA8"/>
    <w:rsid w:val="00BE5E07"/>
    <w:rsid w:val="00BE666A"/>
    <w:rsid w:val="00BE68A0"/>
    <w:rsid w:val="00BE69C7"/>
    <w:rsid w:val="00BE6AAC"/>
    <w:rsid w:val="00BE708D"/>
    <w:rsid w:val="00BF005B"/>
    <w:rsid w:val="00BF04E3"/>
    <w:rsid w:val="00BF0B0E"/>
    <w:rsid w:val="00BF0DD7"/>
    <w:rsid w:val="00BF179A"/>
    <w:rsid w:val="00BF17FD"/>
    <w:rsid w:val="00BF1C78"/>
    <w:rsid w:val="00BF1E09"/>
    <w:rsid w:val="00BF2249"/>
    <w:rsid w:val="00BF3F63"/>
    <w:rsid w:val="00BF4426"/>
    <w:rsid w:val="00BF4785"/>
    <w:rsid w:val="00BF4A8A"/>
    <w:rsid w:val="00BF514A"/>
    <w:rsid w:val="00BF52D0"/>
    <w:rsid w:val="00BF5478"/>
    <w:rsid w:val="00BF6025"/>
    <w:rsid w:val="00BF6272"/>
    <w:rsid w:val="00BF6525"/>
    <w:rsid w:val="00BF6661"/>
    <w:rsid w:val="00BF6691"/>
    <w:rsid w:val="00BF761B"/>
    <w:rsid w:val="00BF77C3"/>
    <w:rsid w:val="00C004AF"/>
    <w:rsid w:val="00C00A86"/>
    <w:rsid w:val="00C00B11"/>
    <w:rsid w:val="00C00B26"/>
    <w:rsid w:val="00C01282"/>
    <w:rsid w:val="00C01D1E"/>
    <w:rsid w:val="00C030B8"/>
    <w:rsid w:val="00C034AA"/>
    <w:rsid w:val="00C034D4"/>
    <w:rsid w:val="00C037D6"/>
    <w:rsid w:val="00C04395"/>
    <w:rsid w:val="00C04ED4"/>
    <w:rsid w:val="00C051B7"/>
    <w:rsid w:val="00C058A8"/>
    <w:rsid w:val="00C06113"/>
    <w:rsid w:val="00C0616A"/>
    <w:rsid w:val="00C0662B"/>
    <w:rsid w:val="00C06B8A"/>
    <w:rsid w:val="00C06CB8"/>
    <w:rsid w:val="00C06D7F"/>
    <w:rsid w:val="00C070D2"/>
    <w:rsid w:val="00C076FF"/>
    <w:rsid w:val="00C07DB3"/>
    <w:rsid w:val="00C104B2"/>
    <w:rsid w:val="00C10852"/>
    <w:rsid w:val="00C123A8"/>
    <w:rsid w:val="00C124B1"/>
    <w:rsid w:val="00C12686"/>
    <w:rsid w:val="00C12FCE"/>
    <w:rsid w:val="00C131D4"/>
    <w:rsid w:val="00C1450A"/>
    <w:rsid w:val="00C145A1"/>
    <w:rsid w:val="00C14F9A"/>
    <w:rsid w:val="00C15191"/>
    <w:rsid w:val="00C151FB"/>
    <w:rsid w:val="00C161BA"/>
    <w:rsid w:val="00C16549"/>
    <w:rsid w:val="00C16DF5"/>
    <w:rsid w:val="00C174A7"/>
    <w:rsid w:val="00C17B98"/>
    <w:rsid w:val="00C20356"/>
    <w:rsid w:val="00C20361"/>
    <w:rsid w:val="00C2049D"/>
    <w:rsid w:val="00C207F7"/>
    <w:rsid w:val="00C209C0"/>
    <w:rsid w:val="00C20C83"/>
    <w:rsid w:val="00C2156D"/>
    <w:rsid w:val="00C22A21"/>
    <w:rsid w:val="00C22AAB"/>
    <w:rsid w:val="00C22AF0"/>
    <w:rsid w:val="00C22C5F"/>
    <w:rsid w:val="00C22C7F"/>
    <w:rsid w:val="00C23062"/>
    <w:rsid w:val="00C230E0"/>
    <w:rsid w:val="00C24378"/>
    <w:rsid w:val="00C24395"/>
    <w:rsid w:val="00C24A3A"/>
    <w:rsid w:val="00C2509D"/>
    <w:rsid w:val="00C254E1"/>
    <w:rsid w:val="00C259C8"/>
    <w:rsid w:val="00C263CE"/>
    <w:rsid w:val="00C26590"/>
    <w:rsid w:val="00C27339"/>
    <w:rsid w:val="00C276E5"/>
    <w:rsid w:val="00C27887"/>
    <w:rsid w:val="00C27ABC"/>
    <w:rsid w:val="00C3064F"/>
    <w:rsid w:val="00C30C63"/>
    <w:rsid w:val="00C311F5"/>
    <w:rsid w:val="00C31201"/>
    <w:rsid w:val="00C31284"/>
    <w:rsid w:val="00C3133A"/>
    <w:rsid w:val="00C318E9"/>
    <w:rsid w:val="00C32046"/>
    <w:rsid w:val="00C321C5"/>
    <w:rsid w:val="00C32A0C"/>
    <w:rsid w:val="00C33453"/>
    <w:rsid w:val="00C335AC"/>
    <w:rsid w:val="00C337B5"/>
    <w:rsid w:val="00C33A21"/>
    <w:rsid w:val="00C33C8E"/>
    <w:rsid w:val="00C341F4"/>
    <w:rsid w:val="00C3541A"/>
    <w:rsid w:val="00C3548B"/>
    <w:rsid w:val="00C354BF"/>
    <w:rsid w:val="00C35ECA"/>
    <w:rsid w:val="00C362DE"/>
    <w:rsid w:val="00C36350"/>
    <w:rsid w:val="00C36595"/>
    <w:rsid w:val="00C368A1"/>
    <w:rsid w:val="00C36B69"/>
    <w:rsid w:val="00C36E37"/>
    <w:rsid w:val="00C3702B"/>
    <w:rsid w:val="00C371D4"/>
    <w:rsid w:val="00C409B0"/>
    <w:rsid w:val="00C40C92"/>
    <w:rsid w:val="00C40DC9"/>
    <w:rsid w:val="00C41127"/>
    <w:rsid w:val="00C4147B"/>
    <w:rsid w:val="00C416F1"/>
    <w:rsid w:val="00C416FC"/>
    <w:rsid w:val="00C41A17"/>
    <w:rsid w:val="00C41F4E"/>
    <w:rsid w:val="00C4205D"/>
    <w:rsid w:val="00C422BD"/>
    <w:rsid w:val="00C4234D"/>
    <w:rsid w:val="00C42C69"/>
    <w:rsid w:val="00C43351"/>
    <w:rsid w:val="00C4377D"/>
    <w:rsid w:val="00C43E7C"/>
    <w:rsid w:val="00C4429D"/>
    <w:rsid w:val="00C444E5"/>
    <w:rsid w:val="00C446F8"/>
    <w:rsid w:val="00C450AE"/>
    <w:rsid w:val="00C454C1"/>
    <w:rsid w:val="00C45D7D"/>
    <w:rsid w:val="00C45FC6"/>
    <w:rsid w:val="00C4742B"/>
    <w:rsid w:val="00C4757F"/>
    <w:rsid w:val="00C47674"/>
    <w:rsid w:val="00C47BF7"/>
    <w:rsid w:val="00C47D5E"/>
    <w:rsid w:val="00C50576"/>
    <w:rsid w:val="00C50A05"/>
    <w:rsid w:val="00C510DE"/>
    <w:rsid w:val="00C51267"/>
    <w:rsid w:val="00C52448"/>
    <w:rsid w:val="00C528CB"/>
    <w:rsid w:val="00C536C2"/>
    <w:rsid w:val="00C54A9E"/>
    <w:rsid w:val="00C54E03"/>
    <w:rsid w:val="00C54E85"/>
    <w:rsid w:val="00C55024"/>
    <w:rsid w:val="00C558DA"/>
    <w:rsid w:val="00C56EE0"/>
    <w:rsid w:val="00C6067E"/>
    <w:rsid w:val="00C6097F"/>
    <w:rsid w:val="00C61068"/>
    <w:rsid w:val="00C612C7"/>
    <w:rsid w:val="00C6168D"/>
    <w:rsid w:val="00C61D2A"/>
    <w:rsid w:val="00C63B54"/>
    <w:rsid w:val="00C64034"/>
    <w:rsid w:val="00C647FD"/>
    <w:rsid w:val="00C64920"/>
    <w:rsid w:val="00C64E4D"/>
    <w:rsid w:val="00C6586D"/>
    <w:rsid w:val="00C70282"/>
    <w:rsid w:val="00C709B0"/>
    <w:rsid w:val="00C70C71"/>
    <w:rsid w:val="00C7133B"/>
    <w:rsid w:val="00C7183C"/>
    <w:rsid w:val="00C71892"/>
    <w:rsid w:val="00C71D54"/>
    <w:rsid w:val="00C72900"/>
    <w:rsid w:val="00C73378"/>
    <w:rsid w:val="00C73982"/>
    <w:rsid w:val="00C73C6C"/>
    <w:rsid w:val="00C73F66"/>
    <w:rsid w:val="00C75773"/>
    <w:rsid w:val="00C75C99"/>
    <w:rsid w:val="00C75D7A"/>
    <w:rsid w:val="00C75F13"/>
    <w:rsid w:val="00C76C84"/>
    <w:rsid w:val="00C770D2"/>
    <w:rsid w:val="00C77650"/>
    <w:rsid w:val="00C8047E"/>
    <w:rsid w:val="00C804FD"/>
    <w:rsid w:val="00C8052D"/>
    <w:rsid w:val="00C80BF7"/>
    <w:rsid w:val="00C81319"/>
    <w:rsid w:val="00C81357"/>
    <w:rsid w:val="00C81FA7"/>
    <w:rsid w:val="00C8250C"/>
    <w:rsid w:val="00C832F2"/>
    <w:rsid w:val="00C83897"/>
    <w:rsid w:val="00C838DF"/>
    <w:rsid w:val="00C839F5"/>
    <w:rsid w:val="00C83A03"/>
    <w:rsid w:val="00C83D81"/>
    <w:rsid w:val="00C84759"/>
    <w:rsid w:val="00C84781"/>
    <w:rsid w:val="00C84DB5"/>
    <w:rsid w:val="00C84F29"/>
    <w:rsid w:val="00C85686"/>
    <w:rsid w:val="00C85B3D"/>
    <w:rsid w:val="00C86918"/>
    <w:rsid w:val="00C86E72"/>
    <w:rsid w:val="00C86EC5"/>
    <w:rsid w:val="00C87149"/>
    <w:rsid w:val="00C872E8"/>
    <w:rsid w:val="00C90DC6"/>
    <w:rsid w:val="00C9146F"/>
    <w:rsid w:val="00C92B88"/>
    <w:rsid w:val="00C92CFA"/>
    <w:rsid w:val="00C93627"/>
    <w:rsid w:val="00C939D9"/>
    <w:rsid w:val="00C93C8A"/>
    <w:rsid w:val="00C940AC"/>
    <w:rsid w:val="00C946B5"/>
    <w:rsid w:val="00C94746"/>
    <w:rsid w:val="00C94BD4"/>
    <w:rsid w:val="00C94CFA"/>
    <w:rsid w:val="00C94E43"/>
    <w:rsid w:val="00C9518F"/>
    <w:rsid w:val="00C95A4A"/>
    <w:rsid w:val="00C95D28"/>
    <w:rsid w:val="00C976F1"/>
    <w:rsid w:val="00C97D43"/>
    <w:rsid w:val="00CA02EB"/>
    <w:rsid w:val="00CA0370"/>
    <w:rsid w:val="00CA05B3"/>
    <w:rsid w:val="00CA0D0A"/>
    <w:rsid w:val="00CA115E"/>
    <w:rsid w:val="00CA1DF8"/>
    <w:rsid w:val="00CA20AF"/>
    <w:rsid w:val="00CA244A"/>
    <w:rsid w:val="00CA256F"/>
    <w:rsid w:val="00CA2D76"/>
    <w:rsid w:val="00CA2FCC"/>
    <w:rsid w:val="00CA354E"/>
    <w:rsid w:val="00CA4D6F"/>
    <w:rsid w:val="00CA5F32"/>
    <w:rsid w:val="00CA6104"/>
    <w:rsid w:val="00CA63B2"/>
    <w:rsid w:val="00CA6856"/>
    <w:rsid w:val="00CA6C7F"/>
    <w:rsid w:val="00CA7239"/>
    <w:rsid w:val="00CB030E"/>
    <w:rsid w:val="00CB0332"/>
    <w:rsid w:val="00CB06F2"/>
    <w:rsid w:val="00CB07E8"/>
    <w:rsid w:val="00CB0CBB"/>
    <w:rsid w:val="00CB1288"/>
    <w:rsid w:val="00CB1345"/>
    <w:rsid w:val="00CB1ADA"/>
    <w:rsid w:val="00CB21B7"/>
    <w:rsid w:val="00CB2662"/>
    <w:rsid w:val="00CB2A01"/>
    <w:rsid w:val="00CB32DB"/>
    <w:rsid w:val="00CB3862"/>
    <w:rsid w:val="00CB3CEE"/>
    <w:rsid w:val="00CB40DE"/>
    <w:rsid w:val="00CB4606"/>
    <w:rsid w:val="00CB494C"/>
    <w:rsid w:val="00CB4C88"/>
    <w:rsid w:val="00CB500C"/>
    <w:rsid w:val="00CB5A4E"/>
    <w:rsid w:val="00CB64F2"/>
    <w:rsid w:val="00CB6843"/>
    <w:rsid w:val="00CB7234"/>
    <w:rsid w:val="00CB78D6"/>
    <w:rsid w:val="00CB7B23"/>
    <w:rsid w:val="00CC075C"/>
    <w:rsid w:val="00CC08B9"/>
    <w:rsid w:val="00CC0A52"/>
    <w:rsid w:val="00CC0D7A"/>
    <w:rsid w:val="00CC10A6"/>
    <w:rsid w:val="00CC1225"/>
    <w:rsid w:val="00CC135C"/>
    <w:rsid w:val="00CC18B0"/>
    <w:rsid w:val="00CC1ACD"/>
    <w:rsid w:val="00CC1B01"/>
    <w:rsid w:val="00CC1F5F"/>
    <w:rsid w:val="00CC2323"/>
    <w:rsid w:val="00CC2A7A"/>
    <w:rsid w:val="00CC2DFC"/>
    <w:rsid w:val="00CC2EE8"/>
    <w:rsid w:val="00CC2FFF"/>
    <w:rsid w:val="00CC30C6"/>
    <w:rsid w:val="00CC3128"/>
    <w:rsid w:val="00CC318A"/>
    <w:rsid w:val="00CC31A9"/>
    <w:rsid w:val="00CC3AA9"/>
    <w:rsid w:val="00CC3E79"/>
    <w:rsid w:val="00CC4890"/>
    <w:rsid w:val="00CC492E"/>
    <w:rsid w:val="00CC554E"/>
    <w:rsid w:val="00CC6173"/>
    <w:rsid w:val="00CC61F1"/>
    <w:rsid w:val="00CC6527"/>
    <w:rsid w:val="00CC68A8"/>
    <w:rsid w:val="00CC7544"/>
    <w:rsid w:val="00CD0B50"/>
    <w:rsid w:val="00CD0C61"/>
    <w:rsid w:val="00CD12C5"/>
    <w:rsid w:val="00CD1876"/>
    <w:rsid w:val="00CD1C74"/>
    <w:rsid w:val="00CD2996"/>
    <w:rsid w:val="00CD31E4"/>
    <w:rsid w:val="00CD39E3"/>
    <w:rsid w:val="00CD4868"/>
    <w:rsid w:val="00CD4C9F"/>
    <w:rsid w:val="00CD578C"/>
    <w:rsid w:val="00CD5936"/>
    <w:rsid w:val="00CD5C45"/>
    <w:rsid w:val="00CD66A0"/>
    <w:rsid w:val="00CD7044"/>
    <w:rsid w:val="00CD7348"/>
    <w:rsid w:val="00CD789D"/>
    <w:rsid w:val="00CD7991"/>
    <w:rsid w:val="00CE00E9"/>
    <w:rsid w:val="00CE03D1"/>
    <w:rsid w:val="00CE04F8"/>
    <w:rsid w:val="00CE08CA"/>
    <w:rsid w:val="00CE110B"/>
    <w:rsid w:val="00CE1378"/>
    <w:rsid w:val="00CE1757"/>
    <w:rsid w:val="00CE18CB"/>
    <w:rsid w:val="00CE1D86"/>
    <w:rsid w:val="00CE21B5"/>
    <w:rsid w:val="00CE2CBE"/>
    <w:rsid w:val="00CE2E2B"/>
    <w:rsid w:val="00CE2EC3"/>
    <w:rsid w:val="00CE3058"/>
    <w:rsid w:val="00CE3501"/>
    <w:rsid w:val="00CE35F1"/>
    <w:rsid w:val="00CE48C0"/>
    <w:rsid w:val="00CE5010"/>
    <w:rsid w:val="00CE524C"/>
    <w:rsid w:val="00CE610D"/>
    <w:rsid w:val="00CE663E"/>
    <w:rsid w:val="00CE7133"/>
    <w:rsid w:val="00CE7C73"/>
    <w:rsid w:val="00CF083F"/>
    <w:rsid w:val="00CF141F"/>
    <w:rsid w:val="00CF176C"/>
    <w:rsid w:val="00CF26DA"/>
    <w:rsid w:val="00CF3422"/>
    <w:rsid w:val="00CF3469"/>
    <w:rsid w:val="00CF3847"/>
    <w:rsid w:val="00CF3A59"/>
    <w:rsid w:val="00CF3B6A"/>
    <w:rsid w:val="00CF3C83"/>
    <w:rsid w:val="00CF3FAA"/>
    <w:rsid w:val="00CF406D"/>
    <w:rsid w:val="00CF4777"/>
    <w:rsid w:val="00CF5271"/>
    <w:rsid w:val="00CF5666"/>
    <w:rsid w:val="00CF5852"/>
    <w:rsid w:val="00CF5BF6"/>
    <w:rsid w:val="00CF5C1C"/>
    <w:rsid w:val="00CF6493"/>
    <w:rsid w:val="00CF73BA"/>
    <w:rsid w:val="00CF7F6B"/>
    <w:rsid w:val="00D003D1"/>
    <w:rsid w:val="00D005B6"/>
    <w:rsid w:val="00D00AFB"/>
    <w:rsid w:val="00D0112D"/>
    <w:rsid w:val="00D01509"/>
    <w:rsid w:val="00D01679"/>
    <w:rsid w:val="00D0287C"/>
    <w:rsid w:val="00D028C6"/>
    <w:rsid w:val="00D028EA"/>
    <w:rsid w:val="00D02AF9"/>
    <w:rsid w:val="00D02D08"/>
    <w:rsid w:val="00D03998"/>
    <w:rsid w:val="00D04952"/>
    <w:rsid w:val="00D0506A"/>
    <w:rsid w:val="00D05388"/>
    <w:rsid w:val="00D0648A"/>
    <w:rsid w:val="00D06580"/>
    <w:rsid w:val="00D069D1"/>
    <w:rsid w:val="00D07274"/>
    <w:rsid w:val="00D075AB"/>
    <w:rsid w:val="00D07DC9"/>
    <w:rsid w:val="00D07FFD"/>
    <w:rsid w:val="00D10361"/>
    <w:rsid w:val="00D10DFF"/>
    <w:rsid w:val="00D116A2"/>
    <w:rsid w:val="00D11C03"/>
    <w:rsid w:val="00D11E92"/>
    <w:rsid w:val="00D12FE7"/>
    <w:rsid w:val="00D13D97"/>
    <w:rsid w:val="00D1427B"/>
    <w:rsid w:val="00D14454"/>
    <w:rsid w:val="00D14BA2"/>
    <w:rsid w:val="00D15D27"/>
    <w:rsid w:val="00D1644D"/>
    <w:rsid w:val="00D16563"/>
    <w:rsid w:val="00D16682"/>
    <w:rsid w:val="00D1670D"/>
    <w:rsid w:val="00D169AF"/>
    <w:rsid w:val="00D170AB"/>
    <w:rsid w:val="00D17356"/>
    <w:rsid w:val="00D17B4B"/>
    <w:rsid w:val="00D17E00"/>
    <w:rsid w:val="00D20115"/>
    <w:rsid w:val="00D20882"/>
    <w:rsid w:val="00D212C4"/>
    <w:rsid w:val="00D21481"/>
    <w:rsid w:val="00D22C1B"/>
    <w:rsid w:val="00D22DCB"/>
    <w:rsid w:val="00D23A77"/>
    <w:rsid w:val="00D23D94"/>
    <w:rsid w:val="00D24D2B"/>
    <w:rsid w:val="00D24D8E"/>
    <w:rsid w:val="00D25249"/>
    <w:rsid w:val="00D25410"/>
    <w:rsid w:val="00D25596"/>
    <w:rsid w:val="00D26034"/>
    <w:rsid w:val="00D27790"/>
    <w:rsid w:val="00D27EF9"/>
    <w:rsid w:val="00D3102C"/>
    <w:rsid w:val="00D3134E"/>
    <w:rsid w:val="00D31A96"/>
    <w:rsid w:val="00D31FEF"/>
    <w:rsid w:val="00D3240D"/>
    <w:rsid w:val="00D3281C"/>
    <w:rsid w:val="00D32AFE"/>
    <w:rsid w:val="00D32F58"/>
    <w:rsid w:val="00D34ADB"/>
    <w:rsid w:val="00D3527A"/>
    <w:rsid w:val="00D35561"/>
    <w:rsid w:val="00D35A84"/>
    <w:rsid w:val="00D36008"/>
    <w:rsid w:val="00D36544"/>
    <w:rsid w:val="00D36CA5"/>
    <w:rsid w:val="00D376D9"/>
    <w:rsid w:val="00D378DE"/>
    <w:rsid w:val="00D40195"/>
    <w:rsid w:val="00D409C1"/>
    <w:rsid w:val="00D40B91"/>
    <w:rsid w:val="00D40D1E"/>
    <w:rsid w:val="00D40D3F"/>
    <w:rsid w:val="00D4125D"/>
    <w:rsid w:val="00D41C6C"/>
    <w:rsid w:val="00D420EF"/>
    <w:rsid w:val="00D4311D"/>
    <w:rsid w:val="00D4380A"/>
    <w:rsid w:val="00D43D1B"/>
    <w:rsid w:val="00D44172"/>
    <w:rsid w:val="00D443FE"/>
    <w:rsid w:val="00D447F6"/>
    <w:rsid w:val="00D452ED"/>
    <w:rsid w:val="00D4592C"/>
    <w:rsid w:val="00D45F34"/>
    <w:rsid w:val="00D464B2"/>
    <w:rsid w:val="00D466F6"/>
    <w:rsid w:val="00D4679A"/>
    <w:rsid w:val="00D46A9E"/>
    <w:rsid w:val="00D46CE0"/>
    <w:rsid w:val="00D46F5C"/>
    <w:rsid w:val="00D4707D"/>
    <w:rsid w:val="00D47229"/>
    <w:rsid w:val="00D47B05"/>
    <w:rsid w:val="00D47D5A"/>
    <w:rsid w:val="00D50B2E"/>
    <w:rsid w:val="00D50E37"/>
    <w:rsid w:val="00D522CF"/>
    <w:rsid w:val="00D523B0"/>
    <w:rsid w:val="00D52789"/>
    <w:rsid w:val="00D52819"/>
    <w:rsid w:val="00D53140"/>
    <w:rsid w:val="00D53276"/>
    <w:rsid w:val="00D53680"/>
    <w:rsid w:val="00D53983"/>
    <w:rsid w:val="00D53F58"/>
    <w:rsid w:val="00D54301"/>
    <w:rsid w:val="00D547E9"/>
    <w:rsid w:val="00D54A50"/>
    <w:rsid w:val="00D56AFF"/>
    <w:rsid w:val="00D572C5"/>
    <w:rsid w:val="00D61529"/>
    <w:rsid w:val="00D61BA9"/>
    <w:rsid w:val="00D62C72"/>
    <w:rsid w:val="00D639F9"/>
    <w:rsid w:val="00D63B8C"/>
    <w:rsid w:val="00D64E68"/>
    <w:rsid w:val="00D65149"/>
    <w:rsid w:val="00D654AE"/>
    <w:rsid w:val="00D657B1"/>
    <w:rsid w:val="00D65D15"/>
    <w:rsid w:val="00D65E01"/>
    <w:rsid w:val="00D660DE"/>
    <w:rsid w:val="00D661CC"/>
    <w:rsid w:val="00D66227"/>
    <w:rsid w:val="00D670D3"/>
    <w:rsid w:val="00D67179"/>
    <w:rsid w:val="00D679D3"/>
    <w:rsid w:val="00D67C65"/>
    <w:rsid w:val="00D70000"/>
    <w:rsid w:val="00D70213"/>
    <w:rsid w:val="00D704C3"/>
    <w:rsid w:val="00D7064F"/>
    <w:rsid w:val="00D70927"/>
    <w:rsid w:val="00D717B8"/>
    <w:rsid w:val="00D71817"/>
    <w:rsid w:val="00D71C23"/>
    <w:rsid w:val="00D71C88"/>
    <w:rsid w:val="00D71F67"/>
    <w:rsid w:val="00D71F9F"/>
    <w:rsid w:val="00D729BB"/>
    <w:rsid w:val="00D72C49"/>
    <w:rsid w:val="00D7313E"/>
    <w:rsid w:val="00D735B3"/>
    <w:rsid w:val="00D73800"/>
    <w:rsid w:val="00D73854"/>
    <w:rsid w:val="00D739B9"/>
    <w:rsid w:val="00D739CC"/>
    <w:rsid w:val="00D74286"/>
    <w:rsid w:val="00D746EE"/>
    <w:rsid w:val="00D748F3"/>
    <w:rsid w:val="00D74AA7"/>
    <w:rsid w:val="00D75A13"/>
    <w:rsid w:val="00D76444"/>
    <w:rsid w:val="00D765BB"/>
    <w:rsid w:val="00D77274"/>
    <w:rsid w:val="00D77328"/>
    <w:rsid w:val="00D80218"/>
    <w:rsid w:val="00D8022C"/>
    <w:rsid w:val="00D8093D"/>
    <w:rsid w:val="00D80AA8"/>
    <w:rsid w:val="00D80AD9"/>
    <w:rsid w:val="00D80D0A"/>
    <w:rsid w:val="00D8108C"/>
    <w:rsid w:val="00D82AB7"/>
    <w:rsid w:val="00D83207"/>
    <w:rsid w:val="00D83521"/>
    <w:rsid w:val="00D84064"/>
    <w:rsid w:val="00D842AE"/>
    <w:rsid w:val="00D842BF"/>
    <w:rsid w:val="00D848A5"/>
    <w:rsid w:val="00D84F39"/>
    <w:rsid w:val="00D850D3"/>
    <w:rsid w:val="00D859F2"/>
    <w:rsid w:val="00D85B93"/>
    <w:rsid w:val="00D85CE9"/>
    <w:rsid w:val="00D85F42"/>
    <w:rsid w:val="00D86574"/>
    <w:rsid w:val="00D86FFF"/>
    <w:rsid w:val="00D871A1"/>
    <w:rsid w:val="00D87C63"/>
    <w:rsid w:val="00D91163"/>
    <w:rsid w:val="00D912D9"/>
    <w:rsid w:val="00D913A8"/>
    <w:rsid w:val="00D915A0"/>
    <w:rsid w:val="00D91D9E"/>
    <w:rsid w:val="00D91F99"/>
    <w:rsid w:val="00D91FBB"/>
    <w:rsid w:val="00D9211C"/>
    <w:rsid w:val="00D9293C"/>
    <w:rsid w:val="00D92B57"/>
    <w:rsid w:val="00D9339A"/>
    <w:rsid w:val="00D9365C"/>
    <w:rsid w:val="00D9389F"/>
    <w:rsid w:val="00D93E15"/>
    <w:rsid w:val="00D94939"/>
    <w:rsid w:val="00D94B0E"/>
    <w:rsid w:val="00D95177"/>
    <w:rsid w:val="00D95F82"/>
    <w:rsid w:val="00D95FA8"/>
    <w:rsid w:val="00D962BC"/>
    <w:rsid w:val="00D96547"/>
    <w:rsid w:val="00D96C5D"/>
    <w:rsid w:val="00D97087"/>
    <w:rsid w:val="00D97194"/>
    <w:rsid w:val="00D9757E"/>
    <w:rsid w:val="00D97B70"/>
    <w:rsid w:val="00D97F0D"/>
    <w:rsid w:val="00D97F21"/>
    <w:rsid w:val="00DA11B9"/>
    <w:rsid w:val="00DA18A3"/>
    <w:rsid w:val="00DA1BCA"/>
    <w:rsid w:val="00DA24D8"/>
    <w:rsid w:val="00DA2618"/>
    <w:rsid w:val="00DA26C4"/>
    <w:rsid w:val="00DA2C25"/>
    <w:rsid w:val="00DA326D"/>
    <w:rsid w:val="00DA3E63"/>
    <w:rsid w:val="00DA413D"/>
    <w:rsid w:val="00DA42C9"/>
    <w:rsid w:val="00DA4416"/>
    <w:rsid w:val="00DA5145"/>
    <w:rsid w:val="00DA51FB"/>
    <w:rsid w:val="00DA52E5"/>
    <w:rsid w:val="00DA53CC"/>
    <w:rsid w:val="00DA5EC8"/>
    <w:rsid w:val="00DA6086"/>
    <w:rsid w:val="00DA67FB"/>
    <w:rsid w:val="00DA6A50"/>
    <w:rsid w:val="00DA7A2C"/>
    <w:rsid w:val="00DB015B"/>
    <w:rsid w:val="00DB01B0"/>
    <w:rsid w:val="00DB0A59"/>
    <w:rsid w:val="00DB0BBE"/>
    <w:rsid w:val="00DB0E67"/>
    <w:rsid w:val="00DB11FD"/>
    <w:rsid w:val="00DB2466"/>
    <w:rsid w:val="00DB2840"/>
    <w:rsid w:val="00DB2E45"/>
    <w:rsid w:val="00DB2FD4"/>
    <w:rsid w:val="00DB3485"/>
    <w:rsid w:val="00DB355D"/>
    <w:rsid w:val="00DB3C13"/>
    <w:rsid w:val="00DB3EDA"/>
    <w:rsid w:val="00DB417E"/>
    <w:rsid w:val="00DB43CC"/>
    <w:rsid w:val="00DB4401"/>
    <w:rsid w:val="00DB4752"/>
    <w:rsid w:val="00DB4925"/>
    <w:rsid w:val="00DB4B8D"/>
    <w:rsid w:val="00DB4D6C"/>
    <w:rsid w:val="00DB4EF1"/>
    <w:rsid w:val="00DB4FB3"/>
    <w:rsid w:val="00DB590D"/>
    <w:rsid w:val="00DB5972"/>
    <w:rsid w:val="00DB5AC5"/>
    <w:rsid w:val="00DB5F74"/>
    <w:rsid w:val="00DB61C4"/>
    <w:rsid w:val="00DB640E"/>
    <w:rsid w:val="00DB746D"/>
    <w:rsid w:val="00DB74DF"/>
    <w:rsid w:val="00DB7C08"/>
    <w:rsid w:val="00DB7C90"/>
    <w:rsid w:val="00DC01E8"/>
    <w:rsid w:val="00DC1437"/>
    <w:rsid w:val="00DC1471"/>
    <w:rsid w:val="00DC147A"/>
    <w:rsid w:val="00DC1511"/>
    <w:rsid w:val="00DC178B"/>
    <w:rsid w:val="00DC2472"/>
    <w:rsid w:val="00DC24B5"/>
    <w:rsid w:val="00DC3404"/>
    <w:rsid w:val="00DC3595"/>
    <w:rsid w:val="00DC365F"/>
    <w:rsid w:val="00DC3775"/>
    <w:rsid w:val="00DC3E1D"/>
    <w:rsid w:val="00DC421F"/>
    <w:rsid w:val="00DC46FF"/>
    <w:rsid w:val="00DC5026"/>
    <w:rsid w:val="00DC548F"/>
    <w:rsid w:val="00DC660E"/>
    <w:rsid w:val="00DC74A0"/>
    <w:rsid w:val="00DD122B"/>
    <w:rsid w:val="00DD1501"/>
    <w:rsid w:val="00DD1969"/>
    <w:rsid w:val="00DD1A4F"/>
    <w:rsid w:val="00DD1DAE"/>
    <w:rsid w:val="00DD1F75"/>
    <w:rsid w:val="00DD2089"/>
    <w:rsid w:val="00DD20C7"/>
    <w:rsid w:val="00DD2230"/>
    <w:rsid w:val="00DD2861"/>
    <w:rsid w:val="00DD28C6"/>
    <w:rsid w:val="00DD2E4C"/>
    <w:rsid w:val="00DD326C"/>
    <w:rsid w:val="00DD32EA"/>
    <w:rsid w:val="00DD3498"/>
    <w:rsid w:val="00DD3561"/>
    <w:rsid w:val="00DD3FEA"/>
    <w:rsid w:val="00DD463B"/>
    <w:rsid w:val="00DD4F74"/>
    <w:rsid w:val="00DD655F"/>
    <w:rsid w:val="00DD6B18"/>
    <w:rsid w:val="00DD7815"/>
    <w:rsid w:val="00DD7C2C"/>
    <w:rsid w:val="00DE0178"/>
    <w:rsid w:val="00DE0928"/>
    <w:rsid w:val="00DE09D5"/>
    <w:rsid w:val="00DE0CAC"/>
    <w:rsid w:val="00DE1421"/>
    <w:rsid w:val="00DE1794"/>
    <w:rsid w:val="00DE1F5B"/>
    <w:rsid w:val="00DE2E6C"/>
    <w:rsid w:val="00DE2F01"/>
    <w:rsid w:val="00DE3226"/>
    <w:rsid w:val="00DE3C62"/>
    <w:rsid w:val="00DE3F59"/>
    <w:rsid w:val="00DE49D5"/>
    <w:rsid w:val="00DE4CE2"/>
    <w:rsid w:val="00DE524F"/>
    <w:rsid w:val="00DE5C7A"/>
    <w:rsid w:val="00DE5FCE"/>
    <w:rsid w:val="00DE67A1"/>
    <w:rsid w:val="00DE6956"/>
    <w:rsid w:val="00DE70CF"/>
    <w:rsid w:val="00DE7369"/>
    <w:rsid w:val="00DF010E"/>
    <w:rsid w:val="00DF0582"/>
    <w:rsid w:val="00DF05D7"/>
    <w:rsid w:val="00DF16EC"/>
    <w:rsid w:val="00DF17DE"/>
    <w:rsid w:val="00DF199B"/>
    <w:rsid w:val="00DF1CF2"/>
    <w:rsid w:val="00DF205F"/>
    <w:rsid w:val="00DF21E1"/>
    <w:rsid w:val="00DF2CC7"/>
    <w:rsid w:val="00DF3172"/>
    <w:rsid w:val="00DF31A3"/>
    <w:rsid w:val="00DF33EE"/>
    <w:rsid w:val="00DF3A13"/>
    <w:rsid w:val="00DF3E4F"/>
    <w:rsid w:val="00DF4ADD"/>
    <w:rsid w:val="00DF4FD2"/>
    <w:rsid w:val="00DF57B7"/>
    <w:rsid w:val="00DF599E"/>
    <w:rsid w:val="00DF5E87"/>
    <w:rsid w:val="00DF5EBF"/>
    <w:rsid w:val="00DF67B3"/>
    <w:rsid w:val="00DF6A89"/>
    <w:rsid w:val="00DF6B90"/>
    <w:rsid w:val="00DF709C"/>
    <w:rsid w:val="00DF73C5"/>
    <w:rsid w:val="00DF7859"/>
    <w:rsid w:val="00E00601"/>
    <w:rsid w:val="00E00BF6"/>
    <w:rsid w:val="00E011D6"/>
    <w:rsid w:val="00E011F0"/>
    <w:rsid w:val="00E01511"/>
    <w:rsid w:val="00E01908"/>
    <w:rsid w:val="00E01BFC"/>
    <w:rsid w:val="00E01DD7"/>
    <w:rsid w:val="00E0216D"/>
    <w:rsid w:val="00E022DC"/>
    <w:rsid w:val="00E0246D"/>
    <w:rsid w:val="00E025D7"/>
    <w:rsid w:val="00E02DA5"/>
    <w:rsid w:val="00E038C8"/>
    <w:rsid w:val="00E03B18"/>
    <w:rsid w:val="00E03EE8"/>
    <w:rsid w:val="00E0442E"/>
    <w:rsid w:val="00E046E1"/>
    <w:rsid w:val="00E04749"/>
    <w:rsid w:val="00E0483B"/>
    <w:rsid w:val="00E048CA"/>
    <w:rsid w:val="00E0517E"/>
    <w:rsid w:val="00E05235"/>
    <w:rsid w:val="00E057A6"/>
    <w:rsid w:val="00E058A9"/>
    <w:rsid w:val="00E06797"/>
    <w:rsid w:val="00E06C35"/>
    <w:rsid w:val="00E0703C"/>
    <w:rsid w:val="00E070E6"/>
    <w:rsid w:val="00E0732B"/>
    <w:rsid w:val="00E07D79"/>
    <w:rsid w:val="00E07ECF"/>
    <w:rsid w:val="00E1011E"/>
    <w:rsid w:val="00E10290"/>
    <w:rsid w:val="00E10461"/>
    <w:rsid w:val="00E10A0E"/>
    <w:rsid w:val="00E10AF1"/>
    <w:rsid w:val="00E10F4E"/>
    <w:rsid w:val="00E1178A"/>
    <w:rsid w:val="00E119DC"/>
    <w:rsid w:val="00E127E2"/>
    <w:rsid w:val="00E12EB5"/>
    <w:rsid w:val="00E13789"/>
    <w:rsid w:val="00E13E53"/>
    <w:rsid w:val="00E13E5F"/>
    <w:rsid w:val="00E13EF2"/>
    <w:rsid w:val="00E14524"/>
    <w:rsid w:val="00E147CB"/>
    <w:rsid w:val="00E149D7"/>
    <w:rsid w:val="00E14FA9"/>
    <w:rsid w:val="00E15502"/>
    <w:rsid w:val="00E15667"/>
    <w:rsid w:val="00E15690"/>
    <w:rsid w:val="00E1596C"/>
    <w:rsid w:val="00E16704"/>
    <w:rsid w:val="00E1707C"/>
    <w:rsid w:val="00E17F2D"/>
    <w:rsid w:val="00E202CF"/>
    <w:rsid w:val="00E212B9"/>
    <w:rsid w:val="00E21C83"/>
    <w:rsid w:val="00E21E32"/>
    <w:rsid w:val="00E228BE"/>
    <w:rsid w:val="00E22D54"/>
    <w:rsid w:val="00E23103"/>
    <w:rsid w:val="00E23949"/>
    <w:rsid w:val="00E2405F"/>
    <w:rsid w:val="00E26AF3"/>
    <w:rsid w:val="00E26BF4"/>
    <w:rsid w:val="00E270A4"/>
    <w:rsid w:val="00E27236"/>
    <w:rsid w:val="00E2747F"/>
    <w:rsid w:val="00E27670"/>
    <w:rsid w:val="00E27E0B"/>
    <w:rsid w:val="00E30A91"/>
    <w:rsid w:val="00E316AD"/>
    <w:rsid w:val="00E322D0"/>
    <w:rsid w:val="00E32871"/>
    <w:rsid w:val="00E32874"/>
    <w:rsid w:val="00E32903"/>
    <w:rsid w:val="00E3381A"/>
    <w:rsid w:val="00E33CD4"/>
    <w:rsid w:val="00E3561B"/>
    <w:rsid w:val="00E362B7"/>
    <w:rsid w:val="00E365A1"/>
    <w:rsid w:val="00E36A63"/>
    <w:rsid w:val="00E37657"/>
    <w:rsid w:val="00E37B7E"/>
    <w:rsid w:val="00E40841"/>
    <w:rsid w:val="00E414C0"/>
    <w:rsid w:val="00E41A7A"/>
    <w:rsid w:val="00E42F80"/>
    <w:rsid w:val="00E43E38"/>
    <w:rsid w:val="00E444BF"/>
    <w:rsid w:val="00E44949"/>
    <w:rsid w:val="00E451C4"/>
    <w:rsid w:val="00E451D4"/>
    <w:rsid w:val="00E461ED"/>
    <w:rsid w:val="00E46268"/>
    <w:rsid w:val="00E46D9A"/>
    <w:rsid w:val="00E46DFD"/>
    <w:rsid w:val="00E475C6"/>
    <w:rsid w:val="00E47BC0"/>
    <w:rsid w:val="00E50521"/>
    <w:rsid w:val="00E517A5"/>
    <w:rsid w:val="00E521DF"/>
    <w:rsid w:val="00E5299D"/>
    <w:rsid w:val="00E53115"/>
    <w:rsid w:val="00E534AB"/>
    <w:rsid w:val="00E5403E"/>
    <w:rsid w:val="00E54147"/>
    <w:rsid w:val="00E5439F"/>
    <w:rsid w:val="00E54456"/>
    <w:rsid w:val="00E54557"/>
    <w:rsid w:val="00E551FB"/>
    <w:rsid w:val="00E565FF"/>
    <w:rsid w:val="00E56BDE"/>
    <w:rsid w:val="00E56BE3"/>
    <w:rsid w:val="00E571F1"/>
    <w:rsid w:val="00E57235"/>
    <w:rsid w:val="00E5764C"/>
    <w:rsid w:val="00E57AAB"/>
    <w:rsid w:val="00E6030C"/>
    <w:rsid w:val="00E6135E"/>
    <w:rsid w:val="00E61A81"/>
    <w:rsid w:val="00E61D81"/>
    <w:rsid w:val="00E61FF0"/>
    <w:rsid w:val="00E624ED"/>
    <w:rsid w:val="00E62EF8"/>
    <w:rsid w:val="00E63378"/>
    <w:rsid w:val="00E635EC"/>
    <w:rsid w:val="00E64451"/>
    <w:rsid w:val="00E64629"/>
    <w:rsid w:val="00E6463E"/>
    <w:rsid w:val="00E6522D"/>
    <w:rsid w:val="00E6528A"/>
    <w:rsid w:val="00E65388"/>
    <w:rsid w:val="00E6578A"/>
    <w:rsid w:val="00E65A3C"/>
    <w:rsid w:val="00E66319"/>
    <w:rsid w:val="00E66D98"/>
    <w:rsid w:val="00E672A3"/>
    <w:rsid w:val="00E672F2"/>
    <w:rsid w:val="00E676D6"/>
    <w:rsid w:val="00E677DE"/>
    <w:rsid w:val="00E707EC"/>
    <w:rsid w:val="00E7082F"/>
    <w:rsid w:val="00E70AD7"/>
    <w:rsid w:val="00E70C24"/>
    <w:rsid w:val="00E71053"/>
    <w:rsid w:val="00E7131C"/>
    <w:rsid w:val="00E71974"/>
    <w:rsid w:val="00E71C1B"/>
    <w:rsid w:val="00E72A78"/>
    <w:rsid w:val="00E733B4"/>
    <w:rsid w:val="00E7389C"/>
    <w:rsid w:val="00E74A03"/>
    <w:rsid w:val="00E74DDA"/>
    <w:rsid w:val="00E752E8"/>
    <w:rsid w:val="00E75755"/>
    <w:rsid w:val="00E771CF"/>
    <w:rsid w:val="00E7724F"/>
    <w:rsid w:val="00E807CB"/>
    <w:rsid w:val="00E80D9E"/>
    <w:rsid w:val="00E80E8E"/>
    <w:rsid w:val="00E81F64"/>
    <w:rsid w:val="00E82130"/>
    <w:rsid w:val="00E8258E"/>
    <w:rsid w:val="00E82724"/>
    <w:rsid w:val="00E8284A"/>
    <w:rsid w:val="00E8298B"/>
    <w:rsid w:val="00E82D1F"/>
    <w:rsid w:val="00E82DCB"/>
    <w:rsid w:val="00E8320D"/>
    <w:rsid w:val="00E833C7"/>
    <w:rsid w:val="00E83437"/>
    <w:rsid w:val="00E83869"/>
    <w:rsid w:val="00E83948"/>
    <w:rsid w:val="00E841ED"/>
    <w:rsid w:val="00E84384"/>
    <w:rsid w:val="00E8456E"/>
    <w:rsid w:val="00E84E02"/>
    <w:rsid w:val="00E84E88"/>
    <w:rsid w:val="00E8519D"/>
    <w:rsid w:val="00E857E9"/>
    <w:rsid w:val="00E85A35"/>
    <w:rsid w:val="00E85B7D"/>
    <w:rsid w:val="00E86211"/>
    <w:rsid w:val="00E865A3"/>
    <w:rsid w:val="00E869AB"/>
    <w:rsid w:val="00E86B25"/>
    <w:rsid w:val="00E877C2"/>
    <w:rsid w:val="00E9007D"/>
    <w:rsid w:val="00E9069B"/>
    <w:rsid w:val="00E908A9"/>
    <w:rsid w:val="00E9121B"/>
    <w:rsid w:val="00E9175A"/>
    <w:rsid w:val="00E92330"/>
    <w:rsid w:val="00E92865"/>
    <w:rsid w:val="00E92DAF"/>
    <w:rsid w:val="00E9356F"/>
    <w:rsid w:val="00E94C12"/>
    <w:rsid w:val="00E95BC0"/>
    <w:rsid w:val="00E9609D"/>
    <w:rsid w:val="00E9664F"/>
    <w:rsid w:val="00E9690E"/>
    <w:rsid w:val="00E96DFA"/>
    <w:rsid w:val="00E96E06"/>
    <w:rsid w:val="00E96F9B"/>
    <w:rsid w:val="00E97008"/>
    <w:rsid w:val="00E9746C"/>
    <w:rsid w:val="00E9790D"/>
    <w:rsid w:val="00E97930"/>
    <w:rsid w:val="00E97963"/>
    <w:rsid w:val="00E97B60"/>
    <w:rsid w:val="00E97C34"/>
    <w:rsid w:val="00EA0ED0"/>
    <w:rsid w:val="00EA10D6"/>
    <w:rsid w:val="00EA16F6"/>
    <w:rsid w:val="00EA1734"/>
    <w:rsid w:val="00EA1859"/>
    <w:rsid w:val="00EA1901"/>
    <w:rsid w:val="00EA263B"/>
    <w:rsid w:val="00EA39E5"/>
    <w:rsid w:val="00EA3CC2"/>
    <w:rsid w:val="00EA3CFF"/>
    <w:rsid w:val="00EA440B"/>
    <w:rsid w:val="00EA4689"/>
    <w:rsid w:val="00EA4E0A"/>
    <w:rsid w:val="00EA4F9F"/>
    <w:rsid w:val="00EA57D4"/>
    <w:rsid w:val="00EA5AA8"/>
    <w:rsid w:val="00EA5C11"/>
    <w:rsid w:val="00EA611D"/>
    <w:rsid w:val="00EA7612"/>
    <w:rsid w:val="00EA78D5"/>
    <w:rsid w:val="00EA7A58"/>
    <w:rsid w:val="00EA7A87"/>
    <w:rsid w:val="00EA7D31"/>
    <w:rsid w:val="00EB07CA"/>
    <w:rsid w:val="00EB22DC"/>
    <w:rsid w:val="00EB254C"/>
    <w:rsid w:val="00EB2E2E"/>
    <w:rsid w:val="00EB3B28"/>
    <w:rsid w:val="00EB45C1"/>
    <w:rsid w:val="00EB46C8"/>
    <w:rsid w:val="00EB4B96"/>
    <w:rsid w:val="00EB4D3B"/>
    <w:rsid w:val="00EB570E"/>
    <w:rsid w:val="00EB57CC"/>
    <w:rsid w:val="00EB599A"/>
    <w:rsid w:val="00EB6086"/>
    <w:rsid w:val="00EB701F"/>
    <w:rsid w:val="00EB79E0"/>
    <w:rsid w:val="00EC0718"/>
    <w:rsid w:val="00EC0BC0"/>
    <w:rsid w:val="00EC0F04"/>
    <w:rsid w:val="00EC1492"/>
    <w:rsid w:val="00EC1D23"/>
    <w:rsid w:val="00EC1F3E"/>
    <w:rsid w:val="00EC264C"/>
    <w:rsid w:val="00EC2B97"/>
    <w:rsid w:val="00EC33FE"/>
    <w:rsid w:val="00EC4418"/>
    <w:rsid w:val="00EC480D"/>
    <w:rsid w:val="00EC5A46"/>
    <w:rsid w:val="00EC63E2"/>
    <w:rsid w:val="00EC671A"/>
    <w:rsid w:val="00EC7FE4"/>
    <w:rsid w:val="00ED16DD"/>
    <w:rsid w:val="00ED1A0F"/>
    <w:rsid w:val="00ED1A6D"/>
    <w:rsid w:val="00ED1DB6"/>
    <w:rsid w:val="00ED2008"/>
    <w:rsid w:val="00ED226E"/>
    <w:rsid w:val="00ED259B"/>
    <w:rsid w:val="00ED2F97"/>
    <w:rsid w:val="00ED387A"/>
    <w:rsid w:val="00ED4157"/>
    <w:rsid w:val="00ED4278"/>
    <w:rsid w:val="00ED42A5"/>
    <w:rsid w:val="00ED442B"/>
    <w:rsid w:val="00ED54D2"/>
    <w:rsid w:val="00ED5F0B"/>
    <w:rsid w:val="00ED611D"/>
    <w:rsid w:val="00ED63BF"/>
    <w:rsid w:val="00ED66E4"/>
    <w:rsid w:val="00ED699A"/>
    <w:rsid w:val="00ED6C02"/>
    <w:rsid w:val="00ED73BE"/>
    <w:rsid w:val="00ED7CD1"/>
    <w:rsid w:val="00ED7D63"/>
    <w:rsid w:val="00EE0818"/>
    <w:rsid w:val="00EE1166"/>
    <w:rsid w:val="00EE1BBD"/>
    <w:rsid w:val="00EE1D49"/>
    <w:rsid w:val="00EE289E"/>
    <w:rsid w:val="00EE2D16"/>
    <w:rsid w:val="00EE2D26"/>
    <w:rsid w:val="00EE2EAD"/>
    <w:rsid w:val="00EE37F5"/>
    <w:rsid w:val="00EE3C18"/>
    <w:rsid w:val="00EE3DA8"/>
    <w:rsid w:val="00EE3FC2"/>
    <w:rsid w:val="00EE4385"/>
    <w:rsid w:val="00EE5200"/>
    <w:rsid w:val="00EE52D0"/>
    <w:rsid w:val="00EE53E1"/>
    <w:rsid w:val="00EE5F8C"/>
    <w:rsid w:val="00EE744C"/>
    <w:rsid w:val="00EE7CDA"/>
    <w:rsid w:val="00EF03F0"/>
    <w:rsid w:val="00EF04DB"/>
    <w:rsid w:val="00EF060B"/>
    <w:rsid w:val="00EF0CE8"/>
    <w:rsid w:val="00EF131E"/>
    <w:rsid w:val="00EF1386"/>
    <w:rsid w:val="00EF1C65"/>
    <w:rsid w:val="00EF22B3"/>
    <w:rsid w:val="00EF2682"/>
    <w:rsid w:val="00EF2733"/>
    <w:rsid w:val="00EF2766"/>
    <w:rsid w:val="00EF2AC1"/>
    <w:rsid w:val="00EF3DCE"/>
    <w:rsid w:val="00EF3E53"/>
    <w:rsid w:val="00EF4F36"/>
    <w:rsid w:val="00EF4F6B"/>
    <w:rsid w:val="00EF4FCD"/>
    <w:rsid w:val="00EF50D6"/>
    <w:rsid w:val="00EF5439"/>
    <w:rsid w:val="00EF55A0"/>
    <w:rsid w:val="00EF5D90"/>
    <w:rsid w:val="00EF5E94"/>
    <w:rsid w:val="00EF64D3"/>
    <w:rsid w:val="00EF6949"/>
    <w:rsid w:val="00EF6A69"/>
    <w:rsid w:val="00EF74C6"/>
    <w:rsid w:val="00EF7504"/>
    <w:rsid w:val="00EF789B"/>
    <w:rsid w:val="00EF7A1C"/>
    <w:rsid w:val="00EF7C56"/>
    <w:rsid w:val="00F00123"/>
    <w:rsid w:val="00F00740"/>
    <w:rsid w:val="00F00B77"/>
    <w:rsid w:val="00F02169"/>
    <w:rsid w:val="00F03DCB"/>
    <w:rsid w:val="00F03EA5"/>
    <w:rsid w:val="00F045F3"/>
    <w:rsid w:val="00F0541F"/>
    <w:rsid w:val="00F05636"/>
    <w:rsid w:val="00F058EA"/>
    <w:rsid w:val="00F05F15"/>
    <w:rsid w:val="00F06CB2"/>
    <w:rsid w:val="00F0713C"/>
    <w:rsid w:val="00F07183"/>
    <w:rsid w:val="00F07C3F"/>
    <w:rsid w:val="00F10378"/>
    <w:rsid w:val="00F10AF7"/>
    <w:rsid w:val="00F10E27"/>
    <w:rsid w:val="00F112D2"/>
    <w:rsid w:val="00F113DA"/>
    <w:rsid w:val="00F1158C"/>
    <w:rsid w:val="00F124A7"/>
    <w:rsid w:val="00F13596"/>
    <w:rsid w:val="00F13B21"/>
    <w:rsid w:val="00F13C92"/>
    <w:rsid w:val="00F14890"/>
    <w:rsid w:val="00F14B28"/>
    <w:rsid w:val="00F14D17"/>
    <w:rsid w:val="00F15403"/>
    <w:rsid w:val="00F15534"/>
    <w:rsid w:val="00F171AF"/>
    <w:rsid w:val="00F177B6"/>
    <w:rsid w:val="00F17FA2"/>
    <w:rsid w:val="00F208FC"/>
    <w:rsid w:val="00F209FF"/>
    <w:rsid w:val="00F21351"/>
    <w:rsid w:val="00F2142B"/>
    <w:rsid w:val="00F216E5"/>
    <w:rsid w:val="00F22156"/>
    <w:rsid w:val="00F2239B"/>
    <w:rsid w:val="00F22832"/>
    <w:rsid w:val="00F23380"/>
    <w:rsid w:val="00F2383B"/>
    <w:rsid w:val="00F23B05"/>
    <w:rsid w:val="00F23B67"/>
    <w:rsid w:val="00F2513C"/>
    <w:rsid w:val="00F25675"/>
    <w:rsid w:val="00F25984"/>
    <w:rsid w:val="00F25B48"/>
    <w:rsid w:val="00F265B5"/>
    <w:rsid w:val="00F26FEA"/>
    <w:rsid w:val="00F276FE"/>
    <w:rsid w:val="00F3037E"/>
    <w:rsid w:val="00F30598"/>
    <w:rsid w:val="00F30819"/>
    <w:rsid w:val="00F30C1C"/>
    <w:rsid w:val="00F313F9"/>
    <w:rsid w:val="00F3159F"/>
    <w:rsid w:val="00F31943"/>
    <w:rsid w:val="00F31FF3"/>
    <w:rsid w:val="00F32B93"/>
    <w:rsid w:val="00F3313B"/>
    <w:rsid w:val="00F336D4"/>
    <w:rsid w:val="00F33EA6"/>
    <w:rsid w:val="00F342E5"/>
    <w:rsid w:val="00F345D1"/>
    <w:rsid w:val="00F34612"/>
    <w:rsid w:val="00F3467B"/>
    <w:rsid w:val="00F346E0"/>
    <w:rsid w:val="00F34A8B"/>
    <w:rsid w:val="00F34EB9"/>
    <w:rsid w:val="00F353EF"/>
    <w:rsid w:val="00F35409"/>
    <w:rsid w:val="00F363FC"/>
    <w:rsid w:val="00F37B49"/>
    <w:rsid w:val="00F37B92"/>
    <w:rsid w:val="00F37DC8"/>
    <w:rsid w:val="00F40152"/>
    <w:rsid w:val="00F40361"/>
    <w:rsid w:val="00F40732"/>
    <w:rsid w:val="00F40877"/>
    <w:rsid w:val="00F40F1D"/>
    <w:rsid w:val="00F4180A"/>
    <w:rsid w:val="00F41E06"/>
    <w:rsid w:val="00F422D0"/>
    <w:rsid w:val="00F42766"/>
    <w:rsid w:val="00F4287C"/>
    <w:rsid w:val="00F4302C"/>
    <w:rsid w:val="00F430E9"/>
    <w:rsid w:val="00F43413"/>
    <w:rsid w:val="00F43626"/>
    <w:rsid w:val="00F43B87"/>
    <w:rsid w:val="00F43CF3"/>
    <w:rsid w:val="00F43F6B"/>
    <w:rsid w:val="00F443BD"/>
    <w:rsid w:val="00F4483D"/>
    <w:rsid w:val="00F45508"/>
    <w:rsid w:val="00F462D5"/>
    <w:rsid w:val="00F468D7"/>
    <w:rsid w:val="00F470D0"/>
    <w:rsid w:val="00F47176"/>
    <w:rsid w:val="00F47204"/>
    <w:rsid w:val="00F474B2"/>
    <w:rsid w:val="00F47530"/>
    <w:rsid w:val="00F50503"/>
    <w:rsid w:val="00F5097B"/>
    <w:rsid w:val="00F509AB"/>
    <w:rsid w:val="00F51DD7"/>
    <w:rsid w:val="00F524B7"/>
    <w:rsid w:val="00F52776"/>
    <w:rsid w:val="00F5323F"/>
    <w:rsid w:val="00F53B4B"/>
    <w:rsid w:val="00F54062"/>
    <w:rsid w:val="00F54EFD"/>
    <w:rsid w:val="00F55313"/>
    <w:rsid w:val="00F55374"/>
    <w:rsid w:val="00F553DC"/>
    <w:rsid w:val="00F5589D"/>
    <w:rsid w:val="00F565E7"/>
    <w:rsid w:val="00F56E46"/>
    <w:rsid w:val="00F57067"/>
    <w:rsid w:val="00F57647"/>
    <w:rsid w:val="00F57B77"/>
    <w:rsid w:val="00F61420"/>
    <w:rsid w:val="00F619EA"/>
    <w:rsid w:val="00F6220C"/>
    <w:rsid w:val="00F6247E"/>
    <w:rsid w:val="00F62C5C"/>
    <w:rsid w:val="00F63063"/>
    <w:rsid w:val="00F646EC"/>
    <w:rsid w:val="00F64D1C"/>
    <w:rsid w:val="00F650C3"/>
    <w:rsid w:val="00F656BF"/>
    <w:rsid w:val="00F6593B"/>
    <w:rsid w:val="00F65994"/>
    <w:rsid w:val="00F65B21"/>
    <w:rsid w:val="00F6753C"/>
    <w:rsid w:val="00F676B2"/>
    <w:rsid w:val="00F701A0"/>
    <w:rsid w:val="00F71755"/>
    <w:rsid w:val="00F7189B"/>
    <w:rsid w:val="00F71D0C"/>
    <w:rsid w:val="00F71DB9"/>
    <w:rsid w:val="00F722C0"/>
    <w:rsid w:val="00F72936"/>
    <w:rsid w:val="00F7294C"/>
    <w:rsid w:val="00F73333"/>
    <w:rsid w:val="00F7392C"/>
    <w:rsid w:val="00F744C3"/>
    <w:rsid w:val="00F744DD"/>
    <w:rsid w:val="00F7450A"/>
    <w:rsid w:val="00F7496D"/>
    <w:rsid w:val="00F751CC"/>
    <w:rsid w:val="00F757EE"/>
    <w:rsid w:val="00F75E7E"/>
    <w:rsid w:val="00F766B9"/>
    <w:rsid w:val="00F766F7"/>
    <w:rsid w:val="00F7693C"/>
    <w:rsid w:val="00F76CAE"/>
    <w:rsid w:val="00F76E8B"/>
    <w:rsid w:val="00F76F0D"/>
    <w:rsid w:val="00F776CF"/>
    <w:rsid w:val="00F77AC9"/>
    <w:rsid w:val="00F803B9"/>
    <w:rsid w:val="00F8091E"/>
    <w:rsid w:val="00F80926"/>
    <w:rsid w:val="00F80FC2"/>
    <w:rsid w:val="00F81431"/>
    <w:rsid w:val="00F81C6C"/>
    <w:rsid w:val="00F82396"/>
    <w:rsid w:val="00F82C49"/>
    <w:rsid w:val="00F82CD0"/>
    <w:rsid w:val="00F82FCF"/>
    <w:rsid w:val="00F83699"/>
    <w:rsid w:val="00F836C7"/>
    <w:rsid w:val="00F83840"/>
    <w:rsid w:val="00F83F07"/>
    <w:rsid w:val="00F8455C"/>
    <w:rsid w:val="00F84712"/>
    <w:rsid w:val="00F84D99"/>
    <w:rsid w:val="00F854BC"/>
    <w:rsid w:val="00F8570E"/>
    <w:rsid w:val="00F859B3"/>
    <w:rsid w:val="00F85FD1"/>
    <w:rsid w:val="00F8615C"/>
    <w:rsid w:val="00F8675B"/>
    <w:rsid w:val="00F86863"/>
    <w:rsid w:val="00F86D1B"/>
    <w:rsid w:val="00F86FE0"/>
    <w:rsid w:val="00F8756A"/>
    <w:rsid w:val="00F87619"/>
    <w:rsid w:val="00F876DF"/>
    <w:rsid w:val="00F87794"/>
    <w:rsid w:val="00F87DF7"/>
    <w:rsid w:val="00F90B89"/>
    <w:rsid w:val="00F91281"/>
    <w:rsid w:val="00F91908"/>
    <w:rsid w:val="00F91D56"/>
    <w:rsid w:val="00F91DB7"/>
    <w:rsid w:val="00F92BBE"/>
    <w:rsid w:val="00F9399A"/>
    <w:rsid w:val="00F93A17"/>
    <w:rsid w:val="00F93A7A"/>
    <w:rsid w:val="00F93C9A"/>
    <w:rsid w:val="00F9443C"/>
    <w:rsid w:val="00F94AE2"/>
    <w:rsid w:val="00F96137"/>
    <w:rsid w:val="00F9616D"/>
    <w:rsid w:val="00F96DE7"/>
    <w:rsid w:val="00F9705A"/>
    <w:rsid w:val="00F9754C"/>
    <w:rsid w:val="00F97835"/>
    <w:rsid w:val="00F978C1"/>
    <w:rsid w:val="00F97AD9"/>
    <w:rsid w:val="00FA04A0"/>
    <w:rsid w:val="00FA09F2"/>
    <w:rsid w:val="00FA102D"/>
    <w:rsid w:val="00FA10CB"/>
    <w:rsid w:val="00FA1543"/>
    <w:rsid w:val="00FA168B"/>
    <w:rsid w:val="00FA22FA"/>
    <w:rsid w:val="00FA27CB"/>
    <w:rsid w:val="00FA2D0B"/>
    <w:rsid w:val="00FA2DAB"/>
    <w:rsid w:val="00FA3451"/>
    <w:rsid w:val="00FA3C8F"/>
    <w:rsid w:val="00FA4854"/>
    <w:rsid w:val="00FA489F"/>
    <w:rsid w:val="00FA49DE"/>
    <w:rsid w:val="00FA54D4"/>
    <w:rsid w:val="00FA595F"/>
    <w:rsid w:val="00FA5D12"/>
    <w:rsid w:val="00FB06AA"/>
    <w:rsid w:val="00FB06F0"/>
    <w:rsid w:val="00FB0889"/>
    <w:rsid w:val="00FB11B6"/>
    <w:rsid w:val="00FB1328"/>
    <w:rsid w:val="00FB1552"/>
    <w:rsid w:val="00FB259A"/>
    <w:rsid w:val="00FB2A88"/>
    <w:rsid w:val="00FB2AC2"/>
    <w:rsid w:val="00FB3296"/>
    <w:rsid w:val="00FB3646"/>
    <w:rsid w:val="00FB3A05"/>
    <w:rsid w:val="00FB3A0A"/>
    <w:rsid w:val="00FB3C26"/>
    <w:rsid w:val="00FB3E15"/>
    <w:rsid w:val="00FB3EDD"/>
    <w:rsid w:val="00FB42E2"/>
    <w:rsid w:val="00FB4CC1"/>
    <w:rsid w:val="00FB4CF8"/>
    <w:rsid w:val="00FB631A"/>
    <w:rsid w:val="00FB6497"/>
    <w:rsid w:val="00FB64FE"/>
    <w:rsid w:val="00FB651A"/>
    <w:rsid w:val="00FB6B3B"/>
    <w:rsid w:val="00FB706F"/>
    <w:rsid w:val="00FB72AF"/>
    <w:rsid w:val="00FB7595"/>
    <w:rsid w:val="00FB7644"/>
    <w:rsid w:val="00FB79E6"/>
    <w:rsid w:val="00FC03FC"/>
    <w:rsid w:val="00FC0EBD"/>
    <w:rsid w:val="00FC1DD3"/>
    <w:rsid w:val="00FC271B"/>
    <w:rsid w:val="00FC2925"/>
    <w:rsid w:val="00FC2D8B"/>
    <w:rsid w:val="00FC3782"/>
    <w:rsid w:val="00FC3ED8"/>
    <w:rsid w:val="00FC403C"/>
    <w:rsid w:val="00FC4E0C"/>
    <w:rsid w:val="00FC503E"/>
    <w:rsid w:val="00FC5241"/>
    <w:rsid w:val="00FC5AC6"/>
    <w:rsid w:val="00FC6223"/>
    <w:rsid w:val="00FC6250"/>
    <w:rsid w:val="00FC65FF"/>
    <w:rsid w:val="00FC6600"/>
    <w:rsid w:val="00FC6A08"/>
    <w:rsid w:val="00FC6D04"/>
    <w:rsid w:val="00FC72F0"/>
    <w:rsid w:val="00FC7392"/>
    <w:rsid w:val="00FC7CA1"/>
    <w:rsid w:val="00FD0AC1"/>
    <w:rsid w:val="00FD0F4A"/>
    <w:rsid w:val="00FD1CB6"/>
    <w:rsid w:val="00FD2403"/>
    <w:rsid w:val="00FD2AE7"/>
    <w:rsid w:val="00FD31E4"/>
    <w:rsid w:val="00FD3648"/>
    <w:rsid w:val="00FD3E21"/>
    <w:rsid w:val="00FD3ECA"/>
    <w:rsid w:val="00FD42A1"/>
    <w:rsid w:val="00FD4B9A"/>
    <w:rsid w:val="00FD4C87"/>
    <w:rsid w:val="00FD52DB"/>
    <w:rsid w:val="00FD5860"/>
    <w:rsid w:val="00FD5D35"/>
    <w:rsid w:val="00FD6C75"/>
    <w:rsid w:val="00FD6EE0"/>
    <w:rsid w:val="00FD77F8"/>
    <w:rsid w:val="00FD7803"/>
    <w:rsid w:val="00FD7AEE"/>
    <w:rsid w:val="00FD7DB4"/>
    <w:rsid w:val="00FD7F37"/>
    <w:rsid w:val="00FE0430"/>
    <w:rsid w:val="00FE04EE"/>
    <w:rsid w:val="00FE0A16"/>
    <w:rsid w:val="00FE0A82"/>
    <w:rsid w:val="00FE0EFD"/>
    <w:rsid w:val="00FE1746"/>
    <w:rsid w:val="00FE1784"/>
    <w:rsid w:val="00FE27DE"/>
    <w:rsid w:val="00FE28E1"/>
    <w:rsid w:val="00FE2AE9"/>
    <w:rsid w:val="00FE2B2A"/>
    <w:rsid w:val="00FE319B"/>
    <w:rsid w:val="00FE3222"/>
    <w:rsid w:val="00FE352D"/>
    <w:rsid w:val="00FE37D1"/>
    <w:rsid w:val="00FE39AD"/>
    <w:rsid w:val="00FE3A86"/>
    <w:rsid w:val="00FE3B6A"/>
    <w:rsid w:val="00FE4C2E"/>
    <w:rsid w:val="00FE539A"/>
    <w:rsid w:val="00FE53FC"/>
    <w:rsid w:val="00FE5641"/>
    <w:rsid w:val="00FE696C"/>
    <w:rsid w:val="00FE7513"/>
    <w:rsid w:val="00FE7767"/>
    <w:rsid w:val="00FE7D62"/>
    <w:rsid w:val="00FE7E14"/>
    <w:rsid w:val="00FF19E8"/>
    <w:rsid w:val="00FF223C"/>
    <w:rsid w:val="00FF2D97"/>
    <w:rsid w:val="00FF328D"/>
    <w:rsid w:val="00FF354D"/>
    <w:rsid w:val="00FF4129"/>
    <w:rsid w:val="00FF45DE"/>
    <w:rsid w:val="00FF48E3"/>
    <w:rsid w:val="00FF4BA3"/>
    <w:rsid w:val="00FF4D3C"/>
    <w:rsid w:val="00FF5306"/>
    <w:rsid w:val="00FF54FC"/>
    <w:rsid w:val="00FF5F1F"/>
    <w:rsid w:val="00FF6327"/>
    <w:rsid w:val="00FF6413"/>
    <w:rsid w:val="00FF731F"/>
    <w:rsid w:val="00FF7378"/>
    <w:rsid w:val="00FF7500"/>
    <w:rsid w:val="00FF7CA6"/>
    <w:rsid w:val="00FF7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32769"/>
    <o:shapelayout v:ext="edit">
      <o:idmap v:ext="edit" data="1"/>
    </o:shapelayout>
  </w:shapeDefaults>
  <w:decimalSymbol w:val="."/>
  <w:listSeparator w:val=","/>
  <w14:docId w14:val="6C4E3A0F"/>
  <w15:docId w15:val="{1B8A4E2F-3241-490E-B495-199A256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0A87"/>
    <w:rPr>
      <w:rFonts w:ascii="Times New Roman" w:hAnsi="Times New Roman"/>
      <w:sz w:val="24"/>
      <w:szCs w:val="24"/>
      <w:lang w:val="es-ES_tradnl" w:eastAsia="de-DE"/>
    </w:rPr>
  </w:style>
  <w:style w:type="paragraph" w:styleId="Heading1">
    <w:name w:val="heading 1"/>
    <w:basedOn w:val="Standardde"/>
    <w:next w:val="Standardde"/>
    <w:link w:val="Heading1Char"/>
    <w:qFormat/>
    <w:rsid w:val="00A67890"/>
    <w:pPr>
      <w:keepNext/>
      <w:pageBreakBefore/>
      <w:outlineLvl w:val="0"/>
    </w:pPr>
    <w:rPr>
      <w:b/>
      <w:bCs/>
      <w:sz w:val="28"/>
    </w:rPr>
  </w:style>
  <w:style w:type="paragraph" w:styleId="Heading2">
    <w:name w:val="heading 2"/>
    <w:aliases w:val="u2,h2,A.B.C.,Ü 2,Chpt"/>
    <w:basedOn w:val="Standardde"/>
    <w:next w:val="Standardde"/>
    <w:link w:val="Heading2Char"/>
    <w:qFormat/>
    <w:rsid w:val="00A67890"/>
    <w:pPr>
      <w:keepNext/>
      <w:spacing w:before="120"/>
      <w:outlineLvl w:val="1"/>
    </w:pPr>
    <w:rPr>
      <w:b/>
      <w:iCs/>
    </w:rPr>
  </w:style>
  <w:style w:type="paragraph" w:styleId="Heading3">
    <w:name w:val="heading 3"/>
    <w:aliases w:val="h3,1.2.3.,Sec"/>
    <w:basedOn w:val="Standardde"/>
    <w:next w:val="Standardde"/>
    <w:link w:val="Heading3Char"/>
    <w:qFormat/>
    <w:rsid w:val="00A67890"/>
    <w:pPr>
      <w:keepNext/>
      <w:spacing w:before="120"/>
      <w:outlineLvl w:val="2"/>
    </w:pPr>
    <w:rPr>
      <w:bCs/>
      <w:i/>
    </w:rPr>
  </w:style>
  <w:style w:type="paragraph" w:styleId="Heading4">
    <w:name w:val="heading 4"/>
    <w:aliases w:val="h4,Level III for #'s"/>
    <w:basedOn w:val="Standardde"/>
    <w:next w:val="Paralevel1"/>
    <w:link w:val="Heading4Char"/>
    <w:qFormat/>
    <w:rsid w:val="00A249B5"/>
    <w:pPr>
      <w:keepNext/>
      <w:outlineLvl w:val="3"/>
    </w:pPr>
    <w:rPr>
      <w:rFonts w:ascii="Times New Roman" w:hAnsi="Times New Roman"/>
      <w:b/>
      <w:i/>
    </w:rPr>
  </w:style>
  <w:style w:type="paragraph" w:styleId="Heading5">
    <w:name w:val="heading 5"/>
    <w:basedOn w:val="Normal"/>
    <w:next w:val="Normal"/>
    <w:link w:val="Heading5Char"/>
    <w:qFormat/>
    <w:rsid w:val="0026736F"/>
    <w:pPr>
      <w:spacing w:before="240" w:after="60"/>
      <w:outlineLvl w:val="4"/>
    </w:pPr>
    <w:rPr>
      <w:b/>
      <w:bCs/>
      <w:i/>
      <w:iCs/>
      <w:sz w:val="20"/>
      <w:szCs w:val="26"/>
    </w:rPr>
  </w:style>
  <w:style w:type="paragraph" w:styleId="Heading6">
    <w:name w:val="heading 6"/>
    <w:basedOn w:val="Normal"/>
    <w:next w:val="Normal"/>
    <w:link w:val="Heading6Char"/>
    <w:qFormat/>
    <w:rsid w:val="00A67890"/>
    <w:pPr>
      <w:spacing w:before="240" w:after="60"/>
      <w:outlineLvl w:val="5"/>
    </w:pPr>
    <w:rPr>
      <w:b/>
      <w:bCs/>
      <w:sz w:val="22"/>
      <w:szCs w:val="22"/>
    </w:rPr>
  </w:style>
  <w:style w:type="paragraph" w:styleId="Heading7">
    <w:name w:val="heading 7"/>
    <w:basedOn w:val="Normal"/>
    <w:next w:val="Normal"/>
    <w:link w:val="Heading7Char"/>
    <w:qFormat/>
    <w:rsid w:val="00A67890"/>
    <w:pPr>
      <w:spacing w:before="240" w:after="60"/>
      <w:outlineLvl w:val="6"/>
    </w:pPr>
  </w:style>
  <w:style w:type="paragraph" w:styleId="Heading8">
    <w:name w:val="heading 8"/>
    <w:basedOn w:val="Normal"/>
    <w:next w:val="Normal"/>
    <w:link w:val="Heading8Char"/>
    <w:qFormat/>
    <w:rsid w:val="00A67890"/>
    <w:pPr>
      <w:spacing w:before="240" w:after="60"/>
      <w:outlineLvl w:val="7"/>
    </w:pPr>
    <w:rPr>
      <w:i/>
      <w:iCs/>
    </w:rPr>
  </w:style>
  <w:style w:type="paragraph" w:styleId="Heading9">
    <w:name w:val="heading 9"/>
    <w:basedOn w:val="Normal"/>
    <w:next w:val="Normal"/>
    <w:link w:val="Heading9Char"/>
    <w:qFormat/>
    <w:rsid w:val="00A6789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val="es-ES_tradnl"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val="es-ES_tradnl"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val="es-ES_tradnl"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val="es-ES_tradnl"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val="es-ES_tradnl"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es-ES_tradnl"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es-ES_tradnl"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es-ES_tradnl" w:eastAsia="de-DE"/>
    </w:rPr>
  </w:style>
  <w:style w:type="character" w:customStyle="1" w:styleId="Heading9Char">
    <w:name w:val="Heading 9 Char"/>
    <w:basedOn w:val="DefaultParagraphFont"/>
    <w:link w:val="Heading9"/>
    <w:locked/>
    <w:rsid w:val="00AC4CE6"/>
    <w:rPr>
      <w:rFonts w:ascii="Arial" w:hAnsi="Arial"/>
      <w:sz w:val="22"/>
      <w:szCs w:val="22"/>
      <w:lang w:val="es-ES_tradnl"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lang w:val="en-GB"/>
    </w:rPr>
  </w:style>
  <w:style w:type="paragraph" w:styleId="Footer">
    <w:name w:val="footer"/>
    <w:basedOn w:val="Normal"/>
    <w:link w:val="FooterChar"/>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uiPriority w:val="99"/>
    <w:locked/>
    <w:rsid w:val="00AC4CE6"/>
    <w:rPr>
      <w:rFonts w:ascii="Arial" w:hAnsi="Arial" w:cs="Arial"/>
      <w:lang w:val="en-GB" w:eastAsia="de-DE"/>
    </w:rPr>
  </w:style>
  <w:style w:type="character" w:styleId="PageNumber">
    <w:name w:val="page number"/>
    <w:basedOn w:val="DefaultParagraphFont"/>
    <w:rsid w:val="00A67890"/>
    <w:rPr>
      <w:rFonts w:cs="Times New Roman"/>
      <w:lang w:val="en-GB"/>
    </w:rPr>
  </w:style>
  <w:style w:type="paragraph" w:styleId="TOC1">
    <w:name w:val="toc 1"/>
    <w:basedOn w:val="Normal"/>
    <w:next w:val="Normal"/>
    <w:autoRedefine/>
    <w:uiPriority w:val="39"/>
    <w:rsid w:val="00F0713C"/>
    <w:pPr>
      <w:tabs>
        <w:tab w:val="left" w:pos="0"/>
        <w:tab w:val="right" w:leader="dot" w:pos="9072"/>
      </w:tabs>
      <w:spacing w:after="120"/>
      <w:ind w:left="1871" w:right="567" w:hanging="624"/>
    </w:pPr>
    <w:rPr>
      <w:b/>
    </w:rPr>
  </w:style>
  <w:style w:type="paragraph" w:styleId="TOC2">
    <w:name w:val="toc 2"/>
    <w:basedOn w:val="Normal"/>
    <w:next w:val="Normal"/>
    <w:autoRedefine/>
    <w:uiPriority w:val="39"/>
    <w:rsid w:val="000D1562"/>
    <w:pPr>
      <w:tabs>
        <w:tab w:val="left" w:pos="709"/>
        <w:tab w:val="left" w:pos="1418"/>
        <w:tab w:val="right" w:leader="dot" w:pos="9072"/>
      </w:tabs>
      <w:spacing w:after="60"/>
      <w:ind w:left="2495" w:right="567" w:hanging="624"/>
    </w:pPr>
    <w:rPr>
      <w:rFonts w:cs="Arial"/>
      <w:noProof/>
      <w:color w:val="000000" w:themeColor="text1"/>
      <w:sz w:val="20"/>
      <w:szCs w:val="20"/>
    </w:rPr>
  </w:style>
  <w:style w:type="paragraph" w:styleId="TOC3">
    <w:name w:val="toc 3"/>
    <w:basedOn w:val="Normal"/>
    <w:next w:val="Normal"/>
    <w:autoRedefine/>
    <w:uiPriority w:val="39"/>
    <w:rsid w:val="00E1011E"/>
    <w:pPr>
      <w:tabs>
        <w:tab w:val="left" w:pos="1418"/>
        <w:tab w:val="right" w:leader="dot" w:pos="9072"/>
      </w:tabs>
      <w:spacing w:after="120"/>
      <w:ind w:left="3006" w:right="567" w:hanging="567"/>
    </w:pPr>
    <w:rPr>
      <w:noProof/>
      <w:sz w:val="20"/>
      <w:szCs w:val="20"/>
      <w:lang w:val="es-ES"/>
    </w:rPr>
  </w:style>
  <w:style w:type="character" w:styleId="Hyperlink">
    <w:name w:val="Hyperlink"/>
    <w:basedOn w:val="DefaultParagraphFont"/>
    <w:uiPriority w:val="99"/>
    <w:rsid w:val="00A67890"/>
    <w:rPr>
      <w:rFonts w:cs="Times New Roman"/>
      <w:color w:val="0000FF"/>
      <w:u w:val="single"/>
      <w:lang w:val="en-GB"/>
    </w:rPr>
  </w:style>
  <w:style w:type="paragraph" w:styleId="Header">
    <w:name w:val="header"/>
    <w:basedOn w:val="Normal"/>
    <w:link w:val="HeaderChar"/>
    <w:uiPriority w:val="99"/>
    <w:rsid w:val="00A67890"/>
    <w:pPr>
      <w:tabs>
        <w:tab w:val="center" w:pos="4536"/>
        <w:tab w:val="right" w:pos="9072"/>
      </w:tabs>
    </w:pPr>
  </w:style>
  <w:style w:type="character" w:customStyle="1" w:styleId="HeaderChar">
    <w:name w:val="Header Char"/>
    <w:basedOn w:val="DefaultParagraphFont"/>
    <w:link w:val="Header"/>
    <w:uiPriority w:val="99"/>
    <w:locked/>
    <w:rsid w:val="00AC4CE6"/>
    <w:rPr>
      <w:rFonts w:ascii="Times New Roman" w:hAnsi="Times New Roman"/>
      <w:sz w:val="24"/>
      <w:szCs w:val="24"/>
      <w:lang w:val="en-GB" w:eastAsia="de-DE"/>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eastAsia="Times New Roman" w:hAnsi="Arial"/>
      <w:snapToGrid w:val="0"/>
      <w:lang w:val="en-GB" w:eastAsia="de-DE"/>
    </w:rPr>
  </w:style>
  <w:style w:type="character" w:styleId="Strong">
    <w:name w:val="Strong"/>
    <w:basedOn w:val="DefaultParagraphFont"/>
    <w:uiPriority w:val="22"/>
    <w:qFormat/>
    <w:rsid w:val="00AC4CE6"/>
    <w:rPr>
      <w:rFonts w:cs="Times New Roman"/>
      <w:b/>
      <w:bCs/>
      <w:lang w:val="en-GB"/>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hAnsi="Tahoma" w:cs="Tahoma"/>
      <w:sz w:val="16"/>
      <w:szCs w:val="16"/>
      <w:lang w:val="en-GB" w:eastAsia="de-DE"/>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lang w:val="en-GB" w:eastAsia="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1"/>
      </w:numPr>
      <w:tabs>
        <w:tab w:val="left" w:pos="578"/>
        <w:tab w:val="left" w:pos="1157"/>
      </w:tabs>
      <w:spacing w:after="240"/>
    </w:pPr>
    <w:rPr>
      <w:sz w:val="22"/>
      <w:szCs w:val="20"/>
      <w:lang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uiPriority w:val="99"/>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lang w:val="en-GB" w:eastAsia="en-US"/>
    </w:rPr>
  </w:style>
  <w:style w:type="paragraph" w:customStyle="1" w:styleId="Paralevel1">
    <w:name w:val="Para level1"/>
    <w:basedOn w:val="Normal"/>
    <w:link w:val="Paralevel1Char"/>
    <w:autoRedefine/>
    <w:uiPriority w:val="99"/>
    <w:rsid w:val="00630BB2"/>
    <w:pPr>
      <w:numPr>
        <w:numId w:val="19"/>
      </w:numPr>
      <w:tabs>
        <w:tab w:val="left" w:pos="0"/>
      </w:tabs>
      <w:spacing w:after="120"/>
    </w:pPr>
    <w:rPr>
      <w:rFonts w:eastAsia="Times New Roman"/>
      <w:sz w:val="20"/>
      <w:szCs w:val="20"/>
      <w:lang w:eastAsia="en-US"/>
    </w:rPr>
  </w:style>
  <w:style w:type="character" w:customStyle="1" w:styleId="Paralevel1Char">
    <w:name w:val="Para level1 Char"/>
    <w:basedOn w:val="DefaultParagraphFont"/>
    <w:link w:val="Paralevel1"/>
    <w:uiPriority w:val="99"/>
    <w:locked/>
    <w:rsid w:val="00630BB2"/>
    <w:rPr>
      <w:rFonts w:ascii="Times New Roman" w:eastAsia="Times New Roman" w:hAnsi="Times New Roman"/>
      <w:lang w:val="es-ES_tradnl"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lang w:val="en-GB" w:eastAsia="de-DE"/>
    </w:rPr>
  </w:style>
  <w:style w:type="character" w:styleId="EndnoteReference">
    <w:name w:val="endnote reference"/>
    <w:basedOn w:val="DefaultParagraphFont"/>
    <w:semiHidden/>
    <w:locked/>
    <w:rsid w:val="00353E0C"/>
    <w:rPr>
      <w:rFonts w:cs="Times New Roman"/>
      <w:vertAlign w:val="superscript"/>
      <w:lang w:val="en-GB"/>
    </w:rPr>
  </w:style>
  <w:style w:type="character" w:styleId="LineNumber">
    <w:name w:val="line number"/>
    <w:basedOn w:val="DefaultParagraphFont"/>
    <w:semiHidden/>
    <w:locked/>
    <w:rsid w:val="00735BF2"/>
    <w:rPr>
      <w:rFonts w:cs="Times New Roman"/>
      <w:lang w:val="en-GB"/>
    </w:rPr>
  </w:style>
  <w:style w:type="character" w:customStyle="1" w:styleId="maintext">
    <w:name w:val="maintext"/>
    <w:basedOn w:val="DefaultParagraphFont"/>
    <w:rsid w:val="006A0AD5"/>
    <w:rPr>
      <w:rFonts w:cs="Times New Roman"/>
      <w:lang w:val="en-GB"/>
    </w:rPr>
  </w:style>
  <w:style w:type="paragraph" w:styleId="NoSpacing">
    <w:name w:val="No Spacing"/>
    <w:qFormat/>
    <w:rsid w:val="006A0AD5"/>
    <w:rPr>
      <w:rFonts w:eastAsia="Times New Roman"/>
      <w:sz w:val="22"/>
      <w:szCs w:val="22"/>
      <w:lang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uiPriority w:val="99"/>
    <w:semiHidden/>
    <w:locked/>
    <w:rsid w:val="009B5DCD"/>
    <w:rPr>
      <w:rFonts w:cs="Times New Roman"/>
      <w:sz w:val="16"/>
      <w:szCs w:val="16"/>
      <w:lang w:val="en-GB"/>
    </w:rPr>
  </w:style>
  <w:style w:type="paragraph" w:styleId="CommentText">
    <w:name w:val="annotation text"/>
    <w:basedOn w:val="Normal"/>
    <w:link w:val="CommentTextChar"/>
    <w:locked/>
    <w:rsid w:val="009B5DCD"/>
    <w:rPr>
      <w:sz w:val="20"/>
      <w:szCs w:val="20"/>
    </w:rPr>
  </w:style>
  <w:style w:type="character" w:customStyle="1" w:styleId="CommentTextChar">
    <w:name w:val="Comment Text Char"/>
    <w:basedOn w:val="DefaultParagraphFont"/>
    <w:link w:val="CommentText"/>
    <w:locked/>
    <w:rsid w:val="005C170E"/>
    <w:rPr>
      <w:rFonts w:ascii="Times New Roman" w:hAnsi="Times New Roman"/>
      <w:lang w:val="en-GB"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b/>
      <w:bCs/>
      <w:lang w:val="en-GB" w:eastAsia="de-DE"/>
    </w:rPr>
  </w:style>
  <w:style w:type="paragraph" w:customStyle="1" w:styleId="StyleHeading1TimesNewRoman">
    <w:name w:val="Style Heading 1 + Times New Roman"/>
    <w:basedOn w:val="Heading1"/>
    <w:link w:val="StyleHeading1TimesNewRomanChar"/>
    <w:rsid w:val="008304F0"/>
    <w:pPr>
      <w:pageBreakBefore w:val="0"/>
      <w:widowControl/>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Paragraph"/>
    <w:rsid w:val="00817999"/>
    <w:pPr>
      <w:numPr>
        <w:numId w:val="2"/>
      </w:numPr>
      <w:spacing w:after="120"/>
      <w:jc w:val="both"/>
    </w:pPr>
    <w:rPr>
      <w:sz w:val="20"/>
      <w:szCs w:val="22"/>
    </w:rPr>
  </w:style>
  <w:style w:type="paragraph" w:customStyle="1" w:styleId="Paralevel2">
    <w:name w:val="Para level2"/>
    <w:basedOn w:val="Normal"/>
    <w:link w:val="Paralevel2Char"/>
    <w:autoRedefine/>
    <w:rsid w:val="00630BB2"/>
    <w:pPr>
      <w:widowControl w:val="0"/>
      <w:autoSpaceDE w:val="0"/>
      <w:autoSpaceDN w:val="0"/>
      <w:adjustRightInd w:val="0"/>
      <w:spacing w:after="120"/>
      <w:ind w:right="-45"/>
    </w:pPr>
    <w:rPr>
      <w:rFonts w:eastAsia="Times New Roman"/>
      <w:sz w:val="20"/>
      <w:szCs w:val="20"/>
      <w:lang w:val="es-ES"/>
    </w:rPr>
  </w:style>
  <w:style w:type="paragraph" w:customStyle="1" w:styleId="StyleHeading3h3123SecTimesNewRomanBold">
    <w:name w:val="Style Heading 3h31.2.3.Sec + Times New Roman Bold"/>
    <w:basedOn w:val="Heading3"/>
    <w:autoRedefine/>
    <w:uiPriority w:val="99"/>
    <w:rsid w:val="00506E3A"/>
    <w:pPr>
      <w:tabs>
        <w:tab w:val="left" w:pos="624"/>
      </w:tabs>
      <w:spacing w:before="240" w:after="120"/>
      <w:jc w:val="left"/>
    </w:pPr>
    <w:rPr>
      <w:rFonts w:ascii="Times New Roman" w:hAnsi="Times New Roman"/>
      <w:b/>
      <w:iCs/>
      <w:szCs w:val="22"/>
      <w:lang w:val="en-GB"/>
    </w:rPr>
  </w:style>
  <w:style w:type="paragraph" w:customStyle="1" w:styleId="StyleHeading2u2h2ABC2ChptTimesNewRomanLinespaci">
    <w:name w:val="Style Heading 2u2h2A.B.C.Ü 2Chpt + Times New Roman Line spaci..."/>
    <w:basedOn w:val="Heading2"/>
    <w:autoRedefine/>
    <w:rsid w:val="00540128"/>
    <w:pPr>
      <w:keepNext w:val="0"/>
      <w:tabs>
        <w:tab w:val="left" w:pos="624"/>
        <w:tab w:val="left" w:pos="1247"/>
        <w:tab w:val="left" w:pos="1440"/>
      </w:tabs>
      <w:spacing w:before="240" w:after="120" w:line="240" w:lineRule="auto"/>
      <w:jc w:val="left"/>
    </w:pPr>
    <w:rPr>
      <w:rFonts w:ascii="Times New Roman" w:hAnsi="Times New Roman"/>
      <w:bCs/>
      <w:iCs w:val="0"/>
      <w:sz w:val="20"/>
    </w:rPr>
  </w:style>
  <w:style w:type="paragraph" w:customStyle="1" w:styleId="StyleHeading2u2h2ABC2ChptTimesNewRoman12ptBef">
    <w:name w:val="Style Heading 2u2h2A.B.C.Ü 2Chpt + Times New Roman 12 pt Bef..."/>
    <w:basedOn w:val="Heading2"/>
    <w:autoRedefine/>
    <w:rsid w:val="005C3021"/>
    <w:pPr>
      <w:keepLines/>
      <w:tabs>
        <w:tab w:val="left" w:pos="624"/>
        <w:tab w:val="left" w:pos="1247"/>
        <w:tab w:val="left" w:pos="1440"/>
      </w:tabs>
      <w:spacing w:before="240" w:line="240" w:lineRule="auto"/>
      <w:jc w:val="left"/>
    </w:pPr>
    <w:rPr>
      <w:rFonts w:ascii="Times New Roman" w:hAnsi="Times New Roman"/>
      <w:bCs/>
      <w:iCs w:val="0"/>
      <w:sz w:val="20"/>
    </w:rPr>
  </w:style>
  <w:style w:type="paragraph" w:customStyle="1" w:styleId="StyleHeading2u2h2ABC2ChptTimesNewRoman12ptLin">
    <w:name w:val="Style Heading 2u2h2A.B.C.Ü 2Chpt + Times New Roman 12 pt Lin..."/>
    <w:basedOn w:val="Heading2"/>
    <w:autoRedefine/>
    <w:rsid w:val="00F443BD"/>
    <w:pPr>
      <w:widowControl/>
      <w:tabs>
        <w:tab w:val="left" w:pos="624"/>
        <w:tab w:val="left" w:pos="1247"/>
        <w:tab w:val="left" w:pos="1440"/>
      </w:tabs>
      <w:spacing w:before="240" w:line="240" w:lineRule="auto"/>
      <w:jc w:val="left"/>
    </w:pPr>
    <w:rPr>
      <w:rFonts w:ascii="Times New Roman" w:hAnsi="Times New Roman"/>
      <w:bCs/>
      <w:sz w:val="20"/>
    </w:rPr>
  </w:style>
  <w:style w:type="paragraph" w:customStyle="1" w:styleId="StyleHeading2u2h2ABC2ChptTimesNewRoman12ptBef1">
    <w:name w:val="Style Heading 2u2h2A.B.C.Ü 2Chpt + Times New Roman 12 pt Bef...1"/>
    <w:basedOn w:val="Heading2"/>
    <w:autoRedefine/>
    <w:rsid w:val="00F443BD"/>
    <w:pPr>
      <w:keepNext w:val="0"/>
      <w:tabs>
        <w:tab w:val="left" w:pos="624"/>
        <w:tab w:val="left" w:pos="1247"/>
        <w:tab w:val="left" w:pos="1440"/>
      </w:tabs>
      <w:spacing w:before="0" w:after="120" w:line="240" w:lineRule="auto"/>
      <w:jc w:val="left"/>
    </w:pPr>
    <w:rPr>
      <w:rFonts w:ascii="Times New Roman" w:hAnsi="Times New Roman"/>
      <w:bCs/>
      <w:iCs w:val="0"/>
      <w:sz w:val="20"/>
    </w:rPr>
  </w:style>
  <w:style w:type="paragraph" w:customStyle="1" w:styleId="Styleberschrift4alexTimesNewRoman">
    <w:name w:val="Style Überschrift 4 alex + Times New Roman"/>
    <w:basedOn w:val="Normal"/>
    <w:next w:val="Normal"/>
    <w:autoRedefine/>
    <w:rsid w:val="00A249B5"/>
    <w:pPr>
      <w:widowControl w:val="0"/>
      <w:numPr>
        <w:ilvl w:val="3"/>
        <w:numId w:val="5"/>
      </w:numPr>
      <w:spacing w:after="120"/>
      <w:jc w:val="both"/>
      <w:outlineLvl w:val="3"/>
    </w:pPr>
    <w:rPr>
      <w:b/>
      <w:i/>
      <w:sz w:val="22"/>
      <w:szCs w:val="20"/>
    </w:rPr>
  </w:style>
  <w:style w:type="character" w:styleId="FollowedHyperlink">
    <w:name w:val="FollowedHyperlink"/>
    <w:basedOn w:val="DefaultParagraphFont"/>
    <w:locked/>
    <w:rsid w:val="001E6F8B"/>
    <w:rPr>
      <w:color w:val="800080"/>
      <w:u w:val="single"/>
      <w:lang w:val="en-GB"/>
    </w:rPr>
  </w:style>
  <w:style w:type="character" w:customStyle="1" w:styleId="StandarddeZchn">
    <w:name w:val="Standard_de Zchn"/>
    <w:basedOn w:val="DefaultParagraphFont"/>
    <w:link w:val="Standardde"/>
    <w:locked/>
    <w:rsid w:val="00DB2FD4"/>
    <w:rPr>
      <w:rFonts w:ascii="Arial" w:hAnsi="Arial"/>
      <w:sz w:val="22"/>
      <w:lang w:val="en-GB" w:eastAsia="de-DE"/>
    </w:rPr>
  </w:style>
  <w:style w:type="character" w:customStyle="1" w:styleId="CharChar">
    <w:name w:val="Char Char"/>
    <w:basedOn w:val="DefaultParagraphFont"/>
    <w:semiHidden/>
    <w:rsid w:val="00805E2A"/>
    <w:rPr>
      <w:rFonts w:eastAsia="MS Mincho"/>
      <w:lang w:val="en-GB"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eastAsia="en-US"/>
    </w:rPr>
  </w:style>
  <w:style w:type="paragraph" w:styleId="TOC8">
    <w:name w:val="toc 8"/>
    <w:basedOn w:val="Normal"/>
    <w:next w:val="Normal"/>
    <w:autoRedefine/>
    <w:semiHidden/>
    <w:locked/>
    <w:rsid w:val="00A67890"/>
    <w:pPr>
      <w:ind w:left="1400"/>
    </w:pPr>
    <w:rPr>
      <w:rFonts w:eastAsia="Times New Roman"/>
      <w:sz w:val="18"/>
      <w:szCs w:val="18"/>
      <w:lang w:eastAsia="en-US"/>
    </w:rPr>
  </w:style>
  <w:style w:type="paragraph" w:styleId="TOC9">
    <w:name w:val="toc 9"/>
    <w:basedOn w:val="Normal"/>
    <w:next w:val="Normal"/>
    <w:autoRedefine/>
    <w:semiHidden/>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tabs>
        <w:tab w:val="num" w:pos="360"/>
      </w:tabs>
      <w:spacing w:before="0" w:after="0" w:line="240" w:lineRule="auto"/>
      <w:ind w:left="36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3"/>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rsid w:val="00A67890"/>
    <w:pPr>
      <w:numPr>
        <w:numId w:val="4"/>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semiHidden/>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pageBreakBefore w:val="0"/>
      <w:widowControl/>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630BB2"/>
    <w:rPr>
      <w:rFonts w:ascii="Times New Roman" w:eastAsia="Times New Roman" w:hAnsi="Times New Roman"/>
      <w:lang w:val="es-ES"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 w:type="paragraph" w:styleId="Bibliography">
    <w:name w:val="Bibliography"/>
    <w:basedOn w:val="Normal"/>
    <w:next w:val="Normal"/>
    <w:uiPriority w:val="37"/>
    <w:semiHidden/>
    <w:unhideWhenUsed/>
    <w:rsid w:val="001D13A1"/>
  </w:style>
  <w:style w:type="paragraph" w:styleId="BlockText">
    <w:name w:val="Block Text"/>
    <w:basedOn w:val="Normal"/>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D13A1"/>
    <w:pPr>
      <w:spacing w:after="120" w:line="480" w:lineRule="auto"/>
    </w:pPr>
  </w:style>
  <w:style w:type="character" w:customStyle="1" w:styleId="BodyText2Char">
    <w:name w:val="Body Text 2 Char"/>
    <w:basedOn w:val="DefaultParagraphFont"/>
    <w:link w:val="BodyText2"/>
    <w:semiHidden/>
    <w:rsid w:val="001D13A1"/>
    <w:rPr>
      <w:rFonts w:ascii="Times New Roman" w:hAnsi="Times New Roman"/>
      <w:sz w:val="24"/>
      <w:szCs w:val="24"/>
      <w:lang w:val="en-GB" w:eastAsia="de-DE"/>
    </w:rPr>
  </w:style>
  <w:style w:type="paragraph" w:styleId="BodyText3">
    <w:name w:val="Body Text 3"/>
    <w:basedOn w:val="Normal"/>
    <w:link w:val="BodyText3Char"/>
    <w:semiHidden/>
    <w:unhideWhenUsed/>
    <w:rsid w:val="001D13A1"/>
    <w:pPr>
      <w:spacing w:after="120"/>
    </w:pPr>
    <w:rPr>
      <w:sz w:val="16"/>
      <w:szCs w:val="16"/>
    </w:rPr>
  </w:style>
  <w:style w:type="character" w:customStyle="1" w:styleId="BodyText3Char">
    <w:name w:val="Body Text 3 Char"/>
    <w:basedOn w:val="DefaultParagraphFont"/>
    <w:link w:val="BodyText3"/>
    <w:semiHidden/>
    <w:rsid w:val="001D13A1"/>
    <w:rPr>
      <w:rFonts w:ascii="Times New Roman" w:hAnsi="Times New Roman"/>
      <w:sz w:val="16"/>
      <w:szCs w:val="16"/>
      <w:lang w:val="en-GB" w:eastAsia="de-DE"/>
    </w:rPr>
  </w:style>
  <w:style w:type="paragraph" w:styleId="BodyTextFirstIndent">
    <w:name w:val="Body Text First Indent"/>
    <w:basedOn w:val="BodyText"/>
    <w:link w:val="BodyTextFirstIndentChar"/>
    <w:rsid w:val="001D13A1"/>
    <w:pPr>
      <w:ind w:firstLine="360"/>
    </w:pPr>
    <w:rPr>
      <w:sz w:val="24"/>
      <w:szCs w:val="24"/>
      <w:lang w:eastAsia="de-DE"/>
    </w:rPr>
  </w:style>
  <w:style w:type="character" w:customStyle="1" w:styleId="BodyTextFirstIndentChar">
    <w:name w:val="Body Text First Indent Char"/>
    <w:basedOn w:val="BodyTextChar"/>
    <w:link w:val="BodyTextFirstIndent"/>
    <w:rsid w:val="001D13A1"/>
    <w:rPr>
      <w:rFonts w:ascii="Times New Roman" w:hAnsi="Times New Roman"/>
      <w:sz w:val="24"/>
      <w:szCs w:val="24"/>
      <w:lang w:val="en-GB" w:eastAsia="de-DE"/>
    </w:rPr>
  </w:style>
  <w:style w:type="paragraph" w:styleId="BodyTextIndent">
    <w:name w:val="Body Text Indent"/>
    <w:basedOn w:val="Normal"/>
    <w:link w:val="BodyTextIndentChar"/>
    <w:semiHidden/>
    <w:unhideWhenUsed/>
    <w:rsid w:val="001D13A1"/>
    <w:pPr>
      <w:spacing w:after="120"/>
      <w:ind w:left="283"/>
    </w:pPr>
  </w:style>
  <w:style w:type="character" w:customStyle="1" w:styleId="BodyTextIndentChar">
    <w:name w:val="Body Text Indent Char"/>
    <w:basedOn w:val="DefaultParagraphFont"/>
    <w:link w:val="BodyTextIndent"/>
    <w:semiHidden/>
    <w:rsid w:val="001D13A1"/>
    <w:rPr>
      <w:rFonts w:ascii="Times New Roman" w:hAnsi="Times New Roman"/>
      <w:sz w:val="24"/>
      <w:szCs w:val="24"/>
      <w:lang w:val="en-GB" w:eastAsia="de-DE"/>
    </w:rPr>
  </w:style>
  <w:style w:type="paragraph" w:styleId="BodyTextFirstIndent2">
    <w:name w:val="Body Text First Indent 2"/>
    <w:basedOn w:val="BodyTextIndent"/>
    <w:link w:val="BodyTextFirstIndent2Char"/>
    <w:semiHidden/>
    <w:unhideWhenUsed/>
    <w:rsid w:val="001D13A1"/>
    <w:pPr>
      <w:spacing w:after="0"/>
      <w:ind w:left="360" w:firstLine="360"/>
    </w:pPr>
  </w:style>
  <w:style w:type="character" w:customStyle="1" w:styleId="BodyTextFirstIndent2Char">
    <w:name w:val="Body Text First Indent 2 Char"/>
    <w:basedOn w:val="BodyTextIndentChar"/>
    <w:link w:val="BodyTextFirstIndent2"/>
    <w:semiHidden/>
    <w:rsid w:val="001D13A1"/>
    <w:rPr>
      <w:rFonts w:ascii="Times New Roman" w:hAnsi="Times New Roman"/>
      <w:sz w:val="24"/>
      <w:szCs w:val="24"/>
      <w:lang w:val="en-GB" w:eastAsia="de-DE"/>
    </w:rPr>
  </w:style>
  <w:style w:type="paragraph" w:styleId="BodyTextIndent2">
    <w:name w:val="Body Text Indent 2"/>
    <w:basedOn w:val="Normal"/>
    <w:link w:val="BodyTextIndent2Char"/>
    <w:semiHidden/>
    <w:unhideWhenUsed/>
    <w:rsid w:val="001D13A1"/>
    <w:pPr>
      <w:spacing w:after="120" w:line="480" w:lineRule="auto"/>
      <w:ind w:left="283"/>
    </w:pPr>
  </w:style>
  <w:style w:type="character" w:customStyle="1" w:styleId="BodyTextIndent2Char">
    <w:name w:val="Body Text Indent 2 Char"/>
    <w:basedOn w:val="DefaultParagraphFont"/>
    <w:link w:val="BodyTextIndent2"/>
    <w:semiHidden/>
    <w:rsid w:val="001D13A1"/>
    <w:rPr>
      <w:rFonts w:ascii="Times New Roman" w:hAnsi="Times New Roman"/>
      <w:sz w:val="24"/>
      <w:szCs w:val="24"/>
      <w:lang w:val="en-GB" w:eastAsia="de-DE"/>
    </w:rPr>
  </w:style>
  <w:style w:type="paragraph" w:styleId="BodyTextIndent3">
    <w:name w:val="Body Text Indent 3"/>
    <w:basedOn w:val="Normal"/>
    <w:link w:val="BodyTextIndent3Char"/>
    <w:semiHidden/>
    <w:unhideWhenUsed/>
    <w:rsid w:val="001D13A1"/>
    <w:pPr>
      <w:spacing w:after="120"/>
      <w:ind w:left="283"/>
    </w:pPr>
    <w:rPr>
      <w:sz w:val="16"/>
      <w:szCs w:val="16"/>
    </w:rPr>
  </w:style>
  <w:style w:type="character" w:customStyle="1" w:styleId="BodyTextIndent3Char">
    <w:name w:val="Body Text Indent 3 Char"/>
    <w:basedOn w:val="DefaultParagraphFont"/>
    <w:link w:val="BodyTextIndent3"/>
    <w:semiHidden/>
    <w:rsid w:val="001D13A1"/>
    <w:rPr>
      <w:rFonts w:ascii="Times New Roman" w:hAnsi="Times New Roman"/>
      <w:sz w:val="16"/>
      <w:szCs w:val="16"/>
      <w:lang w:val="en-GB" w:eastAsia="de-DE"/>
    </w:rPr>
  </w:style>
  <w:style w:type="character" w:styleId="BookTitle">
    <w:name w:val="Book Title"/>
    <w:basedOn w:val="DefaultParagraphFont"/>
    <w:uiPriority w:val="33"/>
    <w:qFormat/>
    <w:rsid w:val="001D13A1"/>
    <w:rPr>
      <w:b/>
      <w:bCs/>
      <w:smallCaps/>
      <w:spacing w:val="5"/>
      <w:lang w:val="en-GB"/>
    </w:rPr>
  </w:style>
  <w:style w:type="paragraph" w:styleId="Closing">
    <w:name w:val="Closing"/>
    <w:basedOn w:val="Normal"/>
    <w:link w:val="ClosingChar"/>
    <w:semiHidden/>
    <w:unhideWhenUsed/>
    <w:rsid w:val="001D13A1"/>
    <w:pPr>
      <w:ind w:left="4252"/>
    </w:pPr>
  </w:style>
  <w:style w:type="character" w:customStyle="1" w:styleId="ClosingChar">
    <w:name w:val="Closing Char"/>
    <w:basedOn w:val="DefaultParagraphFont"/>
    <w:link w:val="Closing"/>
    <w:semiHidden/>
    <w:rsid w:val="001D13A1"/>
    <w:rPr>
      <w:rFonts w:ascii="Times New Roman" w:hAnsi="Times New Roman"/>
      <w:sz w:val="24"/>
      <w:szCs w:val="24"/>
      <w:lang w:val="en-GB" w:eastAsia="de-DE"/>
    </w:rPr>
  </w:style>
  <w:style w:type="table" w:styleId="ColorfulGrid">
    <w:name w:val="Colorful Grid"/>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D13A1"/>
  </w:style>
  <w:style w:type="character" w:customStyle="1" w:styleId="DateChar">
    <w:name w:val="Date Char"/>
    <w:basedOn w:val="DefaultParagraphFont"/>
    <w:link w:val="Date"/>
    <w:rsid w:val="001D13A1"/>
    <w:rPr>
      <w:rFonts w:ascii="Times New Roman" w:hAnsi="Times New Roman"/>
      <w:sz w:val="24"/>
      <w:szCs w:val="24"/>
      <w:lang w:val="en-GB" w:eastAsia="de-DE"/>
    </w:rPr>
  </w:style>
  <w:style w:type="paragraph" w:styleId="DocumentMap">
    <w:name w:val="Document Map"/>
    <w:basedOn w:val="Normal"/>
    <w:link w:val="DocumentMapChar"/>
    <w:semiHidden/>
    <w:unhideWhenUsed/>
    <w:rsid w:val="001D13A1"/>
    <w:rPr>
      <w:rFonts w:ascii="Tahoma" w:hAnsi="Tahoma" w:cs="Tahoma"/>
      <w:sz w:val="16"/>
      <w:szCs w:val="16"/>
    </w:rPr>
  </w:style>
  <w:style w:type="character" w:customStyle="1" w:styleId="DocumentMapChar">
    <w:name w:val="Document Map Char"/>
    <w:basedOn w:val="DefaultParagraphFont"/>
    <w:link w:val="DocumentMap"/>
    <w:semiHidden/>
    <w:rsid w:val="001D13A1"/>
    <w:rPr>
      <w:rFonts w:ascii="Tahoma" w:hAnsi="Tahoma" w:cs="Tahoma"/>
      <w:sz w:val="16"/>
      <w:szCs w:val="16"/>
      <w:lang w:val="en-GB" w:eastAsia="de-DE"/>
    </w:rPr>
  </w:style>
  <w:style w:type="paragraph" w:styleId="E-mailSignature">
    <w:name w:val="E-mail Signature"/>
    <w:basedOn w:val="Normal"/>
    <w:link w:val="E-mailSignatureChar"/>
    <w:semiHidden/>
    <w:unhideWhenUsed/>
    <w:rsid w:val="001D13A1"/>
  </w:style>
  <w:style w:type="character" w:customStyle="1" w:styleId="E-mailSignatureChar">
    <w:name w:val="E-mail Signature Char"/>
    <w:basedOn w:val="DefaultParagraphFont"/>
    <w:link w:val="E-mailSignature"/>
    <w:semiHidden/>
    <w:rsid w:val="001D13A1"/>
    <w:rPr>
      <w:rFonts w:ascii="Times New Roman" w:hAnsi="Times New Roman"/>
      <w:sz w:val="24"/>
      <w:szCs w:val="24"/>
      <w:lang w:val="en-GB" w:eastAsia="de-DE"/>
    </w:rPr>
  </w:style>
  <w:style w:type="character" w:styleId="Emphasis">
    <w:name w:val="Emphasis"/>
    <w:basedOn w:val="DefaultParagraphFont"/>
    <w:qFormat/>
    <w:rsid w:val="001D13A1"/>
    <w:rPr>
      <w:i/>
      <w:iCs/>
      <w:lang w:val="en-GB"/>
    </w:rPr>
  </w:style>
  <w:style w:type="paragraph" w:styleId="EnvelopeAddress">
    <w:name w:val="envelope address"/>
    <w:basedOn w:val="Normal"/>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D13A1"/>
    <w:rPr>
      <w:rFonts w:asciiTheme="majorHAnsi" w:eastAsiaTheme="majorEastAsia" w:hAnsiTheme="majorHAnsi" w:cstheme="majorBidi"/>
      <w:sz w:val="20"/>
      <w:szCs w:val="20"/>
    </w:rPr>
  </w:style>
  <w:style w:type="character" w:styleId="HTMLAcronym">
    <w:name w:val="HTML Acronym"/>
    <w:basedOn w:val="DefaultParagraphFont"/>
    <w:semiHidden/>
    <w:unhideWhenUsed/>
    <w:rsid w:val="001D13A1"/>
    <w:rPr>
      <w:lang w:val="en-GB"/>
    </w:rPr>
  </w:style>
  <w:style w:type="paragraph" w:styleId="HTMLAddress">
    <w:name w:val="HTML Address"/>
    <w:basedOn w:val="Normal"/>
    <w:link w:val="HTMLAddressChar"/>
    <w:semiHidden/>
    <w:unhideWhenUsed/>
    <w:rsid w:val="001D13A1"/>
    <w:rPr>
      <w:i/>
      <w:iCs/>
    </w:rPr>
  </w:style>
  <w:style w:type="character" w:customStyle="1" w:styleId="HTMLAddressChar">
    <w:name w:val="HTML Address Char"/>
    <w:basedOn w:val="DefaultParagraphFont"/>
    <w:link w:val="HTMLAddress"/>
    <w:semiHidden/>
    <w:rsid w:val="001D13A1"/>
    <w:rPr>
      <w:rFonts w:ascii="Times New Roman" w:hAnsi="Times New Roman"/>
      <w:i/>
      <w:iCs/>
      <w:sz w:val="24"/>
      <w:szCs w:val="24"/>
      <w:lang w:val="en-GB" w:eastAsia="de-DE"/>
    </w:rPr>
  </w:style>
  <w:style w:type="character" w:styleId="HTMLCite">
    <w:name w:val="HTML Cite"/>
    <w:basedOn w:val="DefaultParagraphFont"/>
    <w:semiHidden/>
    <w:unhideWhenUsed/>
    <w:rsid w:val="001D13A1"/>
    <w:rPr>
      <w:i/>
      <w:iCs/>
      <w:lang w:val="en-GB"/>
    </w:rPr>
  </w:style>
  <w:style w:type="character" w:styleId="HTMLCode">
    <w:name w:val="HTML Code"/>
    <w:basedOn w:val="DefaultParagraphFont"/>
    <w:semiHidden/>
    <w:unhideWhenUsed/>
    <w:rsid w:val="001D13A1"/>
    <w:rPr>
      <w:rFonts w:ascii="Consolas" w:hAnsi="Consolas" w:cs="Consolas"/>
      <w:sz w:val="20"/>
      <w:szCs w:val="20"/>
      <w:lang w:val="en-GB"/>
    </w:rPr>
  </w:style>
  <w:style w:type="character" w:styleId="HTMLDefinition">
    <w:name w:val="HTML Definition"/>
    <w:basedOn w:val="DefaultParagraphFont"/>
    <w:semiHidden/>
    <w:unhideWhenUsed/>
    <w:rsid w:val="001D13A1"/>
    <w:rPr>
      <w:i/>
      <w:iCs/>
      <w:lang w:val="en-GB"/>
    </w:rPr>
  </w:style>
  <w:style w:type="character" w:styleId="HTMLKeyboard">
    <w:name w:val="HTML Keyboard"/>
    <w:basedOn w:val="DefaultParagraphFont"/>
    <w:semiHidden/>
    <w:unhideWhenUsed/>
    <w:rsid w:val="001D13A1"/>
    <w:rPr>
      <w:rFonts w:ascii="Consolas" w:hAnsi="Consolas" w:cs="Consolas"/>
      <w:sz w:val="20"/>
      <w:szCs w:val="20"/>
      <w:lang w:val="en-GB"/>
    </w:rPr>
  </w:style>
  <w:style w:type="character" w:styleId="HTMLSample">
    <w:name w:val="HTML Sample"/>
    <w:basedOn w:val="DefaultParagraphFont"/>
    <w:semiHidden/>
    <w:unhideWhenUsed/>
    <w:rsid w:val="001D13A1"/>
    <w:rPr>
      <w:rFonts w:ascii="Consolas" w:hAnsi="Consolas" w:cs="Consolas"/>
      <w:sz w:val="24"/>
      <w:szCs w:val="24"/>
      <w:lang w:val="en-GB"/>
    </w:rPr>
  </w:style>
  <w:style w:type="character" w:styleId="HTMLTypewriter">
    <w:name w:val="HTML Typewriter"/>
    <w:basedOn w:val="DefaultParagraphFont"/>
    <w:semiHidden/>
    <w:unhideWhenUsed/>
    <w:rsid w:val="001D13A1"/>
    <w:rPr>
      <w:rFonts w:ascii="Consolas" w:hAnsi="Consolas" w:cs="Consolas"/>
      <w:sz w:val="20"/>
      <w:szCs w:val="20"/>
      <w:lang w:val="en-GB"/>
    </w:rPr>
  </w:style>
  <w:style w:type="character" w:styleId="HTMLVariable">
    <w:name w:val="HTML Variable"/>
    <w:basedOn w:val="DefaultParagraphFont"/>
    <w:semiHidden/>
    <w:unhideWhenUsed/>
    <w:rsid w:val="001D13A1"/>
    <w:rPr>
      <w:i/>
      <w:iCs/>
      <w:lang w:val="en-GB"/>
    </w:rPr>
  </w:style>
  <w:style w:type="paragraph" w:styleId="Index1">
    <w:name w:val="index 1"/>
    <w:basedOn w:val="Normal"/>
    <w:next w:val="Normal"/>
    <w:autoRedefine/>
    <w:semiHidden/>
    <w:unhideWhenUsed/>
    <w:rsid w:val="001D13A1"/>
    <w:pPr>
      <w:ind w:left="240" w:hanging="240"/>
    </w:pPr>
  </w:style>
  <w:style w:type="paragraph" w:styleId="Index2">
    <w:name w:val="index 2"/>
    <w:basedOn w:val="Normal"/>
    <w:next w:val="Normal"/>
    <w:autoRedefine/>
    <w:semiHidden/>
    <w:unhideWhenUsed/>
    <w:rsid w:val="001D13A1"/>
    <w:pPr>
      <w:ind w:left="480" w:hanging="240"/>
    </w:pPr>
  </w:style>
  <w:style w:type="paragraph" w:styleId="Index3">
    <w:name w:val="index 3"/>
    <w:basedOn w:val="Normal"/>
    <w:next w:val="Normal"/>
    <w:autoRedefine/>
    <w:semiHidden/>
    <w:unhideWhenUsed/>
    <w:rsid w:val="001D13A1"/>
    <w:pPr>
      <w:ind w:left="720" w:hanging="240"/>
    </w:pPr>
  </w:style>
  <w:style w:type="paragraph" w:styleId="Index4">
    <w:name w:val="index 4"/>
    <w:basedOn w:val="Normal"/>
    <w:next w:val="Normal"/>
    <w:autoRedefine/>
    <w:semiHidden/>
    <w:unhideWhenUsed/>
    <w:rsid w:val="001D13A1"/>
    <w:pPr>
      <w:ind w:left="960" w:hanging="240"/>
    </w:pPr>
  </w:style>
  <w:style w:type="paragraph" w:styleId="Index5">
    <w:name w:val="index 5"/>
    <w:basedOn w:val="Normal"/>
    <w:next w:val="Normal"/>
    <w:autoRedefine/>
    <w:semiHidden/>
    <w:unhideWhenUsed/>
    <w:rsid w:val="001D13A1"/>
    <w:pPr>
      <w:ind w:left="1200" w:hanging="240"/>
    </w:pPr>
  </w:style>
  <w:style w:type="paragraph" w:styleId="Index6">
    <w:name w:val="index 6"/>
    <w:basedOn w:val="Normal"/>
    <w:next w:val="Normal"/>
    <w:autoRedefine/>
    <w:semiHidden/>
    <w:unhideWhenUsed/>
    <w:rsid w:val="001D13A1"/>
    <w:pPr>
      <w:ind w:left="1440" w:hanging="240"/>
    </w:pPr>
  </w:style>
  <w:style w:type="paragraph" w:styleId="Index7">
    <w:name w:val="index 7"/>
    <w:basedOn w:val="Normal"/>
    <w:next w:val="Normal"/>
    <w:autoRedefine/>
    <w:semiHidden/>
    <w:unhideWhenUsed/>
    <w:rsid w:val="001D13A1"/>
    <w:pPr>
      <w:ind w:left="1680" w:hanging="240"/>
    </w:pPr>
  </w:style>
  <w:style w:type="paragraph" w:styleId="Index8">
    <w:name w:val="index 8"/>
    <w:basedOn w:val="Normal"/>
    <w:next w:val="Normal"/>
    <w:autoRedefine/>
    <w:semiHidden/>
    <w:unhideWhenUsed/>
    <w:rsid w:val="001D13A1"/>
    <w:pPr>
      <w:ind w:left="1920" w:hanging="240"/>
    </w:pPr>
  </w:style>
  <w:style w:type="paragraph" w:styleId="Index9">
    <w:name w:val="index 9"/>
    <w:basedOn w:val="Normal"/>
    <w:next w:val="Normal"/>
    <w:autoRedefine/>
    <w:semiHidden/>
    <w:unhideWhenUsed/>
    <w:rsid w:val="001D13A1"/>
    <w:pPr>
      <w:ind w:left="2160" w:hanging="240"/>
    </w:pPr>
  </w:style>
  <w:style w:type="paragraph" w:styleId="IndexHeading">
    <w:name w:val="index heading"/>
    <w:basedOn w:val="Normal"/>
    <w:next w:val="Index1"/>
    <w:semiHidden/>
    <w:unhideWhenUsed/>
    <w:rsid w:val="001D13A1"/>
    <w:rPr>
      <w:rFonts w:asciiTheme="majorHAnsi" w:eastAsiaTheme="majorEastAsia" w:hAnsiTheme="majorHAnsi" w:cstheme="majorBidi"/>
      <w:b/>
      <w:bCs/>
    </w:rPr>
  </w:style>
  <w:style w:type="character" w:styleId="IntenseEmphasis">
    <w:name w:val="Intense Emphasis"/>
    <w:basedOn w:val="DefaultParagraphFont"/>
    <w:uiPriority w:val="21"/>
    <w:qFormat/>
    <w:rsid w:val="001D13A1"/>
    <w:rPr>
      <w:b/>
      <w:bCs/>
      <w:i/>
      <w:iCs/>
      <w:color w:val="4F81BD" w:themeColor="accent1"/>
      <w:lang w:val="en-GB"/>
    </w:rPr>
  </w:style>
  <w:style w:type="paragraph" w:styleId="IntenseQuote">
    <w:name w:val="Intense Quote"/>
    <w:basedOn w:val="Normal"/>
    <w:next w:val="Normal"/>
    <w:link w:val="IntenseQuoteChar"/>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3A1"/>
    <w:rPr>
      <w:rFonts w:ascii="Times New Roman" w:hAnsi="Times New Roman"/>
      <w:b/>
      <w:bCs/>
      <w:i/>
      <w:iCs/>
      <w:color w:val="4F81BD" w:themeColor="accent1"/>
      <w:sz w:val="24"/>
      <w:szCs w:val="24"/>
      <w:lang w:val="en-GB" w:eastAsia="de-DE"/>
    </w:rPr>
  </w:style>
  <w:style w:type="character" w:styleId="IntenseReference">
    <w:name w:val="Intense Reference"/>
    <w:basedOn w:val="DefaultParagraphFont"/>
    <w:uiPriority w:val="32"/>
    <w:qFormat/>
    <w:rsid w:val="001D13A1"/>
    <w:rPr>
      <w:b/>
      <w:bCs/>
      <w:smallCaps/>
      <w:color w:val="C0504D" w:themeColor="accent2"/>
      <w:spacing w:val="5"/>
      <w:u w:val="single"/>
      <w:lang w:val="en-GB"/>
    </w:rPr>
  </w:style>
  <w:style w:type="table" w:styleId="LightGrid">
    <w:name w:val="Light Grid"/>
    <w:basedOn w:val="TableNormal"/>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1D13A1"/>
    <w:pPr>
      <w:ind w:left="283" w:hanging="283"/>
      <w:contextualSpacing/>
    </w:pPr>
  </w:style>
  <w:style w:type="paragraph" w:styleId="List2">
    <w:name w:val="List 2"/>
    <w:basedOn w:val="Normal"/>
    <w:semiHidden/>
    <w:unhideWhenUsed/>
    <w:rsid w:val="001D13A1"/>
    <w:pPr>
      <w:ind w:left="566" w:hanging="283"/>
      <w:contextualSpacing/>
    </w:pPr>
  </w:style>
  <w:style w:type="paragraph" w:styleId="List3">
    <w:name w:val="List 3"/>
    <w:basedOn w:val="Normal"/>
    <w:semiHidden/>
    <w:unhideWhenUsed/>
    <w:rsid w:val="001D13A1"/>
    <w:pPr>
      <w:ind w:left="849" w:hanging="283"/>
      <w:contextualSpacing/>
    </w:pPr>
  </w:style>
  <w:style w:type="paragraph" w:styleId="List4">
    <w:name w:val="List 4"/>
    <w:basedOn w:val="Normal"/>
    <w:rsid w:val="001D13A1"/>
    <w:pPr>
      <w:ind w:left="1132" w:hanging="283"/>
      <w:contextualSpacing/>
    </w:pPr>
  </w:style>
  <w:style w:type="paragraph" w:styleId="List5">
    <w:name w:val="List 5"/>
    <w:basedOn w:val="Normal"/>
    <w:rsid w:val="001D13A1"/>
    <w:pPr>
      <w:ind w:left="1415" w:hanging="283"/>
      <w:contextualSpacing/>
    </w:pPr>
  </w:style>
  <w:style w:type="paragraph" w:styleId="ListBullet">
    <w:name w:val="List Bullet"/>
    <w:basedOn w:val="Normal"/>
    <w:semiHidden/>
    <w:unhideWhenUsed/>
    <w:rsid w:val="001D13A1"/>
    <w:pPr>
      <w:numPr>
        <w:numId w:val="6"/>
      </w:numPr>
      <w:contextualSpacing/>
    </w:pPr>
  </w:style>
  <w:style w:type="paragraph" w:styleId="ListBullet2">
    <w:name w:val="List Bullet 2"/>
    <w:basedOn w:val="Normal"/>
    <w:semiHidden/>
    <w:unhideWhenUsed/>
    <w:rsid w:val="001D13A1"/>
    <w:pPr>
      <w:numPr>
        <w:numId w:val="7"/>
      </w:numPr>
      <w:contextualSpacing/>
    </w:pPr>
  </w:style>
  <w:style w:type="paragraph" w:styleId="ListBullet3">
    <w:name w:val="List Bullet 3"/>
    <w:basedOn w:val="Normal"/>
    <w:semiHidden/>
    <w:unhideWhenUsed/>
    <w:rsid w:val="001D13A1"/>
    <w:pPr>
      <w:numPr>
        <w:numId w:val="8"/>
      </w:numPr>
      <w:contextualSpacing/>
    </w:pPr>
  </w:style>
  <w:style w:type="paragraph" w:styleId="ListBullet4">
    <w:name w:val="List Bullet 4"/>
    <w:basedOn w:val="Normal"/>
    <w:semiHidden/>
    <w:unhideWhenUsed/>
    <w:rsid w:val="001D13A1"/>
    <w:pPr>
      <w:numPr>
        <w:numId w:val="9"/>
      </w:numPr>
      <w:contextualSpacing/>
    </w:pPr>
  </w:style>
  <w:style w:type="paragraph" w:styleId="ListBullet5">
    <w:name w:val="List Bullet 5"/>
    <w:basedOn w:val="Normal"/>
    <w:semiHidden/>
    <w:unhideWhenUsed/>
    <w:rsid w:val="001D13A1"/>
    <w:pPr>
      <w:numPr>
        <w:numId w:val="10"/>
      </w:numPr>
      <w:contextualSpacing/>
    </w:pPr>
  </w:style>
  <w:style w:type="paragraph" w:styleId="ListContinue">
    <w:name w:val="List Continue"/>
    <w:basedOn w:val="Normal"/>
    <w:semiHidden/>
    <w:unhideWhenUsed/>
    <w:rsid w:val="001D13A1"/>
    <w:pPr>
      <w:spacing w:after="120"/>
      <w:ind w:left="283"/>
      <w:contextualSpacing/>
    </w:pPr>
  </w:style>
  <w:style w:type="paragraph" w:styleId="ListContinue2">
    <w:name w:val="List Continue 2"/>
    <w:basedOn w:val="Normal"/>
    <w:semiHidden/>
    <w:unhideWhenUsed/>
    <w:rsid w:val="001D13A1"/>
    <w:pPr>
      <w:spacing w:after="120"/>
      <w:ind w:left="566"/>
      <w:contextualSpacing/>
    </w:pPr>
  </w:style>
  <w:style w:type="paragraph" w:styleId="ListContinue3">
    <w:name w:val="List Continue 3"/>
    <w:basedOn w:val="Normal"/>
    <w:semiHidden/>
    <w:unhideWhenUsed/>
    <w:rsid w:val="001D13A1"/>
    <w:pPr>
      <w:spacing w:after="120"/>
      <w:ind w:left="849"/>
      <w:contextualSpacing/>
    </w:pPr>
  </w:style>
  <w:style w:type="paragraph" w:styleId="ListContinue4">
    <w:name w:val="List Continue 4"/>
    <w:basedOn w:val="Normal"/>
    <w:semiHidden/>
    <w:unhideWhenUsed/>
    <w:rsid w:val="001D13A1"/>
    <w:pPr>
      <w:spacing w:after="120"/>
      <w:ind w:left="1132"/>
      <w:contextualSpacing/>
    </w:pPr>
  </w:style>
  <w:style w:type="paragraph" w:styleId="ListContinue5">
    <w:name w:val="List Continue 5"/>
    <w:basedOn w:val="Normal"/>
    <w:semiHidden/>
    <w:unhideWhenUsed/>
    <w:rsid w:val="001D13A1"/>
    <w:pPr>
      <w:spacing w:after="120"/>
      <w:ind w:left="1415"/>
      <w:contextualSpacing/>
    </w:pPr>
  </w:style>
  <w:style w:type="paragraph" w:styleId="ListNumber">
    <w:name w:val="List Number"/>
    <w:basedOn w:val="Normal"/>
    <w:rsid w:val="001D13A1"/>
    <w:pPr>
      <w:tabs>
        <w:tab w:val="num" w:pos="360"/>
      </w:tabs>
      <w:ind w:left="360" w:hanging="360"/>
      <w:contextualSpacing/>
    </w:pPr>
  </w:style>
  <w:style w:type="paragraph" w:styleId="ListNumber2">
    <w:name w:val="List Number 2"/>
    <w:basedOn w:val="Normal"/>
    <w:semiHidden/>
    <w:unhideWhenUsed/>
    <w:rsid w:val="001D13A1"/>
    <w:pPr>
      <w:numPr>
        <w:numId w:val="11"/>
      </w:numPr>
      <w:contextualSpacing/>
    </w:pPr>
  </w:style>
  <w:style w:type="paragraph" w:styleId="ListNumber3">
    <w:name w:val="List Number 3"/>
    <w:basedOn w:val="Normal"/>
    <w:semiHidden/>
    <w:unhideWhenUsed/>
    <w:rsid w:val="001D13A1"/>
    <w:pPr>
      <w:numPr>
        <w:numId w:val="12"/>
      </w:numPr>
      <w:contextualSpacing/>
    </w:pPr>
  </w:style>
  <w:style w:type="paragraph" w:styleId="ListNumber4">
    <w:name w:val="List Number 4"/>
    <w:basedOn w:val="Normal"/>
    <w:semiHidden/>
    <w:unhideWhenUsed/>
    <w:rsid w:val="001D13A1"/>
    <w:pPr>
      <w:numPr>
        <w:numId w:val="13"/>
      </w:numPr>
      <w:contextualSpacing/>
    </w:pPr>
  </w:style>
  <w:style w:type="paragraph" w:styleId="ListNumber5">
    <w:name w:val="List Number 5"/>
    <w:basedOn w:val="Normal"/>
    <w:semiHidden/>
    <w:unhideWhenUsed/>
    <w:rsid w:val="001D13A1"/>
    <w:pPr>
      <w:numPr>
        <w:numId w:val="14"/>
      </w:numPr>
      <w:contextualSpacing/>
    </w:pPr>
  </w:style>
  <w:style w:type="paragraph" w:styleId="MacroText">
    <w:name w:val="macro"/>
    <w:link w:val="MacroTextChar"/>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croTextChar">
    <w:name w:val="Macro Text Char"/>
    <w:basedOn w:val="DefaultParagraphFont"/>
    <w:link w:val="MacroText"/>
    <w:semiHidden/>
    <w:rsid w:val="001D13A1"/>
    <w:rPr>
      <w:rFonts w:ascii="Consolas" w:hAnsi="Consolas" w:cs="Consolas"/>
      <w:lang w:val="en-GB" w:eastAsia="de-DE"/>
    </w:rPr>
  </w:style>
  <w:style w:type="table" w:styleId="MediumGrid1">
    <w:name w:val="Medium Grid 1"/>
    <w:basedOn w:val="TableNormal"/>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D13A1"/>
    <w:rPr>
      <w:rFonts w:asciiTheme="majorHAnsi" w:eastAsiaTheme="majorEastAsia" w:hAnsiTheme="majorHAnsi" w:cstheme="majorBidi"/>
      <w:sz w:val="24"/>
      <w:szCs w:val="24"/>
      <w:shd w:val="pct20" w:color="auto" w:fill="auto"/>
      <w:lang w:val="en-GB" w:eastAsia="de-DE"/>
    </w:rPr>
  </w:style>
  <w:style w:type="paragraph" w:styleId="NormalIndent">
    <w:name w:val="Normal Indent"/>
    <w:basedOn w:val="Normal"/>
    <w:semiHidden/>
    <w:unhideWhenUsed/>
    <w:rsid w:val="001D13A1"/>
    <w:pPr>
      <w:ind w:left="720"/>
    </w:pPr>
  </w:style>
  <w:style w:type="paragraph" w:styleId="NoteHeading">
    <w:name w:val="Note Heading"/>
    <w:basedOn w:val="Normal"/>
    <w:next w:val="Normal"/>
    <w:link w:val="NoteHeadingChar"/>
    <w:semiHidden/>
    <w:unhideWhenUsed/>
    <w:rsid w:val="001D13A1"/>
  </w:style>
  <w:style w:type="character" w:customStyle="1" w:styleId="NoteHeadingChar">
    <w:name w:val="Note Heading Char"/>
    <w:basedOn w:val="DefaultParagraphFont"/>
    <w:link w:val="NoteHeading"/>
    <w:semiHidden/>
    <w:rsid w:val="001D13A1"/>
    <w:rPr>
      <w:rFonts w:ascii="Times New Roman" w:hAnsi="Times New Roman"/>
      <w:sz w:val="24"/>
      <w:szCs w:val="24"/>
      <w:lang w:val="en-GB" w:eastAsia="de-DE"/>
    </w:rPr>
  </w:style>
  <w:style w:type="character" w:styleId="PlaceholderText">
    <w:name w:val="Placeholder Text"/>
    <w:basedOn w:val="DefaultParagraphFont"/>
    <w:uiPriority w:val="99"/>
    <w:semiHidden/>
    <w:rsid w:val="001D13A1"/>
    <w:rPr>
      <w:color w:val="808080"/>
      <w:lang w:val="en-GB"/>
    </w:rPr>
  </w:style>
  <w:style w:type="paragraph" w:styleId="PlainText">
    <w:name w:val="Plain Text"/>
    <w:basedOn w:val="Normal"/>
    <w:link w:val="PlainTextChar"/>
    <w:semiHidden/>
    <w:unhideWhenUsed/>
    <w:rsid w:val="001D13A1"/>
    <w:rPr>
      <w:rFonts w:ascii="Consolas" w:hAnsi="Consolas" w:cs="Consolas"/>
      <w:sz w:val="21"/>
      <w:szCs w:val="21"/>
    </w:rPr>
  </w:style>
  <w:style w:type="character" w:customStyle="1" w:styleId="PlainTextChar">
    <w:name w:val="Plain Text Char"/>
    <w:basedOn w:val="DefaultParagraphFont"/>
    <w:link w:val="PlainText"/>
    <w:semiHidden/>
    <w:rsid w:val="001D13A1"/>
    <w:rPr>
      <w:rFonts w:ascii="Consolas" w:hAnsi="Consolas" w:cs="Consolas"/>
      <w:sz w:val="21"/>
      <w:szCs w:val="21"/>
      <w:lang w:val="en-GB" w:eastAsia="de-DE"/>
    </w:rPr>
  </w:style>
  <w:style w:type="paragraph" w:styleId="Quote">
    <w:name w:val="Quote"/>
    <w:basedOn w:val="Normal"/>
    <w:next w:val="Normal"/>
    <w:link w:val="QuoteChar"/>
    <w:uiPriority w:val="29"/>
    <w:qFormat/>
    <w:rsid w:val="001D13A1"/>
    <w:rPr>
      <w:i/>
      <w:iCs/>
      <w:color w:val="000000" w:themeColor="text1"/>
    </w:rPr>
  </w:style>
  <w:style w:type="character" w:customStyle="1" w:styleId="QuoteChar">
    <w:name w:val="Quote Char"/>
    <w:basedOn w:val="DefaultParagraphFont"/>
    <w:link w:val="Quote"/>
    <w:uiPriority w:val="29"/>
    <w:rsid w:val="001D13A1"/>
    <w:rPr>
      <w:rFonts w:ascii="Times New Roman" w:hAnsi="Times New Roman"/>
      <w:i/>
      <w:iCs/>
      <w:color w:val="000000" w:themeColor="text1"/>
      <w:sz w:val="24"/>
      <w:szCs w:val="24"/>
      <w:lang w:val="en-GB" w:eastAsia="de-DE"/>
    </w:rPr>
  </w:style>
  <w:style w:type="paragraph" w:styleId="Salutation">
    <w:name w:val="Salutation"/>
    <w:basedOn w:val="Normal"/>
    <w:next w:val="Normal"/>
    <w:link w:val="SalutationChar"/>
    <w:rsid w:val="001D13A1"/>
  </w:style>
  <w:style w:type="character" w:customStyle="1" w:styleId="SalutationChar">
    <w:name w:val="Salutation Char"/>
    <w:basedOn w:val="DefaultParagraphFont"/>
    <w:link w:val="Salutation"/>
    <w:rsid w:val="001D13A1"/>
    <w:rPr>
      <w:rFonts w:ascii="Times New Roman" w:hAnsi="Times New Roman"/>
      <w:sz w:val="24"/>
      <w:szCs w:val="24"/>
      <w:lang w:val="en-GB" w:eastAsia="de-DE"/>
    </w:rPr>
  </w:style>
  <w:style w:type="paragraph" w:styleId="Signature">
    <w:name w:val="Signature"/>
    <w:basedOn w:val="Normal"/>
    <w:link w:val="SignatureChar"/>
    <w:semiHidden/>
    <w:unhideWhenUsed/>
    <w:rsid w:val="001D13A1"/>
    <w:pPr>
      <w:ind w:left="4252"/>
    </w:pPr>
  </w:style>
  <w:style w:type="character" w:customStyle="1" w:styleId="SignatureChar">
    <w:name w:val="Signature Char"/>
    <w:basedOn w:val="DefaultParagraphFont"/>
    <w:link w:val="Signature"/>
    <w:semiHidden/>
    <w:rsid w:val="001D13A1"/>
    <w:rPr>
      <w:rFonts w:ascii="Times New Roman" w:hAnsi="Times New Roman"/>
      <w:sz w:val="24"/>
      <w:szCs w:val="24"/>
      <w:lang w:val="en-GB" w:eastAsia="de-DE"/>
    </w:rPr>
  </w:style>
  <w:style w:type="paragraph" w:styleId="Subtitle0">
    <w:name w:val="Subtitle"/>
    <w:basedOn w:val="Normal"/>
    <w:next w:val="Normal"/>
    <w:link w:val="SubtitleChar"/>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ubtleEmphasis">
    <w:name w:val="Subtle Emphasis"/>
    <w:basedOn w:val="DefaultParagraphFont"/>
    <w:uiPriority w:val="19"/>
    <w:qFormat/>
    <w:rsid w:val="001D13A1"/>
    <w:rPr>
      <w:i/>
      <w:iCs/>
      <w:color w:val="808080" w:themeColor="text1" w:themeTint="7F"/>
      <w:lang w:val="en-GB"/>
    </w:rPr>
  </w:style>
  <w:style w:type="character" w:styleId="SubtleReference">
    <w:name w:val="Subtle Reference"/>
    <w:basedOn w:val="DefaultParagraphFont"/>
    <w:uiPriority w:val="31"/>
    <w:qFormat/>
    <w:rsid w:val="001D13A1"/>
    <w:rPr>
      <w:smallCaps/>
      <w:color w:val="C0504D" w:themeColor="accent2"/>
      <w:u w:val="single"/>
      <w:lang w:val="en-GB"/>
    </w:rPr>
  </w:style>
  <w:style w:type="table" w:styleId="Table3Deffects1">
    <w:name w:val="Table 3D effects 1"/>
    <w:basedOn w:val="TableNormal"/>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D13A1"/>
    <w:pPr>
      <w:ind w:left="240" w:hanging="240"/>
    </w:pPr>
  </w:style>
  <w:style w:type="table" w:styleId="TableProfessional">
    <w:name w:val="Table Professional"/>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DefaultParagraphFon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val="es-ES_tradnl"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Normal"/>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Normal"/>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 w:type="character" w:customStyle="1" w:styleId="Mention1">
    <w:name w:val="Mention1"/>
    <w:basedOn w:val="DefaultParagraphFont"/>
    <w:uiPriority w:val="99"/>
    <w:semiHidden/>
    <w:unhideWhenUsed/>
    <w:rsid w:val="007F59F8"/>
    <w:rPr>
      <w:color w:val="2B579A"/>
      <w:shd w:val="clear" w:color="auto" w:fill="E6E6E6"/>
    </w:rPr>
  </w:style>
  <w:style w:type="character" w:customStyle="1" w:styleId="DeltaViewInsertion">
    <w:name w:val="DeltaView Insertion"/>
    <w:uiPriority w:val="99"/>
    <w:rsid w:val="009D21CD"/>
    <w:rPr>
      <w:color w:val="0000FF"/>
      <w:u w:val="double"/>
    </w:rPr>
  </w:style>
  <w:style w:type="character" w:customStyle="1" w:styleId="DeltaViewMoveDestination">
    <w:name w:val="DeltaView Move Destination"/>
    <w:uiPriority w:val="99"/>
    <w:rsid w:val="00934533"/>
    <w:rPr>
      <w:color w:val="00C000"/>
      <w:u w:val="double"/>
    </w:rPr>
  </w:style>
  <w:style w:type="paragraph" w:customStyle="1" w:styleId="Style1">
    <w:name w:val="Style1"/>
    <w:basedOn w:val="Paralevel1"/>
    <w:rsid w:val="00E1011E"/>
    <w:pPr>
      <w:numPr>
        <w:numId w:val="0"/>
      </w:numPr>
      <w:ind w:left="1247" w:firstLine="624"/>
    </w:pPr>
    <w:rPr>
      <w:lang w:val="es-ES"/>
    </w:rPr>
  </w:style>
  <w:style w:type="paragraph" w:customStyle="1" w:styleId="Style2">
    <w:name w:val="Style2"/>
    <w:basedOn w:val="Paralevel1"/>
    <w:rsid w:val="00E1011E"/>
    <w:rPr>
      <w:lang w:val="es-ES"/>
    </w:rPr>
  </w:style>
  <w:style w:type="paragraph" w:customStyle="1" w:styleId="Style3">
    <w:name w:val="Style3"/>
    <w:basedOn w:val="Normal"/>
    <w:rsid w:val="00CF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30032544">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161209">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295723659">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9100679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556211475">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633826579">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0225907">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09655380">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2604102">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6077622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894878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8211234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2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62598729">
          <w:marLeft w:val="0"/>
          <w:marRight w:val="0"/>
          <w:marTop w:val="0"/>
          <w:marBottom w:val="0"/>
          <w:divBdr>
            <w:top w:val="none" w:sz="0" w:space="0" w:color="auto"/>
            <w:left w:val="none" w:sz="0" w:space="0" w:color="auto"/>
            <w:bottom w:val="none" w:sz="0" w:space="0" w:color="auto"/>
            <w:right w:val="none" w:sz="0" w:space="0" w:color="auto"/>
          </w:divBdr>
          <w:divsChild>
            <w:div w:id="1201281739">
              <w:marLeft w:val="-225"/>
              <w:marRight w:val="-225"/>
              <w:marTop w:val="0"/>
              <w:marBottom w:val="0"/>
              <w:divBdr>
                <w:top w:val="none" w:sz="0" w:space="0" w:color="auto"/>
                <w:left w:val="none" w:sz="0" w:space="0" w:color="auto"/>
                <w:bottom w:val="none" w:sz="0" w:space="0" w:color="auto"/>
                <w:right w:val="none" w:sz="0" w:space="0" w:color="auto"/>
              </w:divBdr>
              <w:divsChild>
                <w:div w:id="31153671">
                  <w:marLeft w:val="0"/>
                  <w:marRight w:val="0"/>
                  <w:marTop w:val="0"/>
                  <w:marBottom w:val="0"/>
                  <w:divBdr>
                    <w:top w:val="none" w:sz="0" w:space="0" w:color="auto"/>
                    <w:left w:val="none" w:sz="0" w:space="0" w:color="auto"/>
                    <w:bottom w:val="none" w:sz="0" w:space="0" w:color="auto"/>
                    <w:right w:val="none" w:sz="0" w:space="0" w:color="auto"/>
                  </w:divBdr>
                  <w:divsChild>
                    <w:div w:id="143636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921936">
      <w:bodyDiv w:val="1"/>
      <w:marLeft w:val="0"/>
      <w:marRight w:val="0"/>
      <w:marTop w:val="0"/>
      <w:marBottom w:val="0"/>
      <w:divBdr>
        <w:top w:val="none" w:sz="0" w:space="0" w:color="auto"/>
        <w:left w:val="none" w:sz="0" w:space="0" w:color="auto"/>
        <w:bottom w:val="none" w:sz="0" w:space="0" w:color="auto"/>
        <w:right w:val="none" w:sz="0" w:space="0" w:color="auto"/>
      </w:divBdr>
      <w:divsChild>
        <w:div w:id="1641302127">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82995669">
                  <w:marLeft w:val="0"/>
                  <w:marRight w:val="0"/>
                  <w:marTop w:val="0"/>
                  <w:marBottom w:val="0"/>
                  <w:divBdr>
                    <w:top w:val="none" w:sz="0" w:space="0" w:color="auto"/>
                    <w:left w:val="none" w:sz="0" w:space="0" w:color="auto"/>
                    <w:bottom w:val="none" w:sz="0" w:space="0" w:color="auto"/>
                    <w:right w:val="none" w:sz="0" w:space="0" w:color="auto"/>
                  </w:divBdr>
                  <w:divsChild>
                    <w:div w:id="1488398922">
                      <w:marLeft w:val="0"/>
                      <w:marRight w:val="0"/>
                      <w:marTop w:val="0"/>
                      <w:marBottom w:val="0"/>
                      <w:divBdr>
                        <w:top w:val="none" w:sz="0" w:space="0" w:color="auto"/>
                        <w:left w:val="none" w:sz="0" w:space="0" w:color="auto"/>
                        <w:bottom w:val="none" w:sz="0" w:space="0" w:color="auto"/>
                        <w:right w:val="none" w:sz="0" w:space="0" w:color="auto"/>
                      </w:divBdr>
                      <w:divsChild>
                        <w:div w:id="1324697490">
                          <w:marLeft w:val="0"/>
                          <w:marRight w:val="0"/>
                          <w:marTop w:val="0"/>
                          <w:marBottom w:val="0"/>
                          <w:divBdr>
                            <w:top w:val="none" w:sz="0" w:space="0" w:color="auto"/>
                            <w:left w:val="none" w:sz="0" w:space="0" w:color="auto"/>
                            <w:bottom w:val="none" w:sz="0" w:space="0" w:color="auto"/>
                            <w:right w:val="none" w:sz="0" w:space="0" w:color="auto"/>
                          </w:divBdr>
                          <w:divsChild>
                            <w:div w:id="238370038">
                              <w:marLeft w:val="0"/>
                              <w:marRight w:val="0"/>
                              <w:marTop w:val="0"/>
                              <w:marBottom w:val="0"/>
                              <w:divBdr>
                                <w:top w:val="none" w:sz="0" w:space="0" w:color="auto"/>
                                <w:left w:val="none" w:sz="0" w:space="0" w:color="auto"/>
                                <w:bottom w:val="none" w:sz="0" w:space="0" w:color="auto"/>
                                <w:right w:val="none" w:sz="0" w:space="0" w:color="auto"/>
                              </w:divBdr>
                              <w:divsChild>
                                <w:div w:id="1946111525">
                                  <w:marLeft w:val="0"/>
                                  <w:marRight w:val="0"/>
                                  <w:marTop w:val="0"/>
                                  <w:marBottom w:val="0"/>
                                  <w:divBdr>
                                    <w:top w:val="none" w:sz="0" w:space="0" w:color="auto"/>
                                    <w:left w:val="none" w:sz="0" w:space="0" w:color="auto"/>
                                    <w:bottom w:val="none" w:sz="0" w:space="0" w:color="auto"/>
                                    <w:right w:val="none" w:sz="0" w:space="0" w:color="auto"/>
                                  </w:divBdr>
                                  <w:divsChild>
                                    <w:div w:id="472526220">
                                      <w:marLeft w:val="0"/>
                                      <w:marRight w:val="0"/>
                                      <w:marTop w:val="0"/>
                                      <w:marBottom w:val="0"/>
                                      <w:divBdr>
                                        <w:top w:val="none" w:sz="0" w:space="0" w:color="auto"/>
                                        <w:left w:val="none" w:sz="0" w:space="0" w:color="auto"/>
                                        <w:bottom w:val="none" w:sz="0" w:space="0" w:color="auto"/>
                                        <w:right w:val="none" w:sz="0" w:space="0" w:color="auto"/>
                                      </w:divBdr>
                                      <w:divsChild>
                                        <w:div w:id="2012490218">
                                          <w:marLeft w:val="0"/>
                                          <w:marRight w:val="0"/>
                                          <w:marTop w:val="0"/>
                                          <w:marBottom w:val="0"/>
                                          <w:divBdr>
                                            <w:top w:val="none" w:sz="0" w:space="0" w:color="auto"/>
                                            <w:left w:val="none" w:sz="0" w:space="0" w:color="auto"/>
                                            <w:bottom w:val="none" w:sz="0" w:space="0" w:color="auto"/>
                                            <w:right w:val="none" w:sz="0" w:space="0" w:color="auto"/>
                                          </w:divBdr>
                                          <w:divsChild>
                                            <w:div w:id="592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37043260">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44796739">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029">
      <w:bodyDiv w:val="1"/>
      <w:marLeft w:val="0"/>
      <w:marRight w:val="0"/>
      <w:marTop w:val="0"/>
      <w:marBottom w:val="0"/>
      <w:divBdr>
        <w:top w:val="none" w:sz="0" w:space="0" w:color="auto"/>
        <w:left w:val="none" w:sz="0" w:space="0" w:color="auto"/>
        <w:bottom w:val="none" w:sz="0" w:space="0" w:color="auto"/>
        <w:right w:val="none" w:sz="0" w:space="0" w:color="auto"/>
      </w:divBdr>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5048278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0753630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a.de/de/Startseite.html" TargetMode="External"/><Relationship Id="rId18" Type="http://schemas.openxmlformats.org/officeDocument/2006/relationships/hyperlink" Target="https://www.atsdr.cdc.gov/toxprofiles/tp200.pdf" TargetMode="External"/><Relationship Id="rId26" Type="http://schemas.openxmlformats.org/officeDocument/2006/relationships/hyperlink" Target="https://www.chemours.com/Teflon_Fabric_Protector/en_US/products/teflon_ecoelite.html" TargetMode="External"/><Relationship Id="rId39" Type="http://schemas.openxmlformats.org/officeDocument/2006/relationships/hyperlink" Target="http://eippcb.jrc.ec.europa.eu/reference/" TargetMode="External"/><Relationship Id="rId21" Type="http://schemas.openxmlformats.org/officeDocument/2006/relationships/hyperlink" Target="http://www.health.gov.au/internet/main/publishing.nsf/Content/2200FE086D480353CA2580C900817CDC/$File/fs-Health-Based-Guidance-Values.pdf" TargetMode="External"/><Relationship Id="rId34" Type="http://schemas.openxmlformats.org/officeDocument/2006/relationships/hyperlink" Target="https://echa.europa.eu/documents/10162/2f0dfce0-3dcf-4398-8d6b-2e59c86446be" TargetMode="External"/><Relationship Id="rId42" Type="http://schemas.openxmlformats.org/officeDocument/2006/relationships/hyperlink" Target="http://www.solbergfoam.com/Technical-Documentation/Foam-Concentrate-Data-Sheets/ReHealing-Foam/ICAO-Concentrates/RE-HEALING-RF6-F-2011007-3.aspx" TargetMode="External"/><Relationship Id="rId47" Type="http://schemas.openxmlformats.org/officeDocument/2006/relationships/hyperlink" Target="https://www.gpo.gov/fdsys/pkg/FR-2010-01-27/pdf/2010-1477.pdf" TargetMode="External"/><Relationship Id="rId50" Type="http://schemas.openxmlformats.org/officeDocument/2006/relationships/hyperlink" Target="https://www.umweltbundesamt.de/sites/default/files/medien/355/dokumente/hbm_i_values_for_pfoa_and_pfos.pdf" TargetMode="External"/><Relationship Id="rId55" Type="http://schemas.openxmlformats.org/officeDocument/2006/relationships/hyperlink" Target="https://www.iso.org/standard/42742.html" TargetMode="External"/><Relationship Id="rId63" Type="http://schemas.openxmlformats.org/officeDocument/2006/relationships/hyperlink" Target="https://outdoorindustry.org/pdf/FINAL_ZDHC_P05_DWR%20Research_Nov2012.pdf" TargetMode="External"/><Relationship Id="rId68" Type="http://schemas.openxmlformats.org/officeDocument/2006/relationships/hyperlink" Target="http://www.aph.gov.au/Parliamentary_Business/Committees/Senate/Foreign_Affairs_Defence_and_Trade/ADF_facilities/Report_part_B"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epa.gov/sites/production/files/2016-06/documents/drinkingwaterhealthadvisories_pfoa_pfos_updated_5.31.16.pdf" TargetMode="External"/><Relationship Id="rId2" Type="http://schemas.openxmlformats.org/officeDocument/2006/relationships/numbering" Target="numbering.xml"/><Relationship Id="rId16" Type="http://schemas.openxmlformats.org/officeDocument/2006/relationships/hyperlink" Target="http://www.ase.tufts.edu/gdae/Pubs/rp/Economics_of_PVC_revised.pdf" TargetMode="External"/><Relationship Id="rId29" Type="http://schemas.openxmlformats.org/officeDocument/2006/relationships/hyperlink" Target="http://chm.pops.int/Default.aspx?tabid=5171" TargetMode="External"/><Relationship Id="rId11" Type="http://schemas.openxmlformats.org/officeDocument/2006/relationships/hyperlink" Target="http://www.environment.no/" TargetMode="External"/><Relationship Id="rId24" Type="http://schemas.openxmlformats.org/officeDocument/2006/relationships/hyperlink" Target="http://www.gazette.gc.ca/rp-pr/p2/2016/2016-10-05/html/sor-dors252-eng.php" TargetMode="External"/><Relationship Id="rId32" Type="http://schemas.openxmlformats.org/officeDocument/2006/relationships/hyperlink" Target="https://echa.europa.eu/documents/10162/e9cddee6-3164-473d-b590-8fcf9caa50e7" TargetMode="External"/><Relationship Id="rId37" Type="http://schemas.openxmlformats.org/officeDocument/2006/relationships/hyperlink" Target="https://www.efsa.europa.eu/sites/default/files/contamwgpfasfood.pdf" TargetMode="External"/><Relationship Id="rId40" Type="http://schemas.openxmlformats.org/officeDocument/2006/relationships/hyperlink" Target="http://www.ewg.org/research/mapping-contamination-crisis" TargetMode="External"/><Relationship Id="rId45" Type="http://schemas.openxmlformats.org/officeDocument/2006/relationships/hyperlink" Target="https://fluorocouncil.com/PDFs/Guidance-for-Best-Environmental-Practices-BEP-for-the-Global-Apparel-Industry.pdf" TargetMode="External"/><Relationship Id="rId53" Type="http://schemas.openxmlformats.org/officeDocument/2006/relationships/hyperlink" Target="https://doi.org/10.1016/j.envint.2016.02.035" TargetMode="External"/><Relationship Id="rId58" Type="http://schemas.openxmlformats.org/officeDocument/2006/relationships/hyperlink" Target="http://www.defence.gov.au/ID/PFOSPFOA/_master/docs/PSPReports/PreliminarySamplingProgramReportMainReportLessAppendices.pdf" TargetMode="External"/><Relationship Id="rId66" Type="http://schemas.openxmlformats.org/officeDocument/2006/relationships/hyperlink" Target="http://www.nj.gov/dep/watersupply/dwc_quality_pfoa.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m.pops.int/tabid/5339/Default.aspx" TargetMode="External"/><Relationship Id="rId23" Type="http://schemas.openxmlformats.org/officeDocument/2006/relationships/hyperlink" Target="http://www.ec.gc.ca/ese-ees/451C95ED-6236-430C-BE5A-22F91B36773F/PFOA%20%26%20PFCAs_RMA_EN.pdf" TargetMode="External"/><Relationship Id="rId28" Type="http://schemas.openxmlformats.org/officeDocument/2006/relationships/hyperlink" Target="http://chm.pops.int/TheConvention/POPsReviewCommittee/ReportsandDecisions/tabid/3309/Default.aspx" TargetMode="External"/><Relationship Id="rId36" Type="http://schemas.openxmlformats.org/officeDocument/2006/relationships/hyperlink" Target="http://onlinelibrary.wiley.com/doi/10.2903/j.efsa.2011.2183/abstract" TargetMode="External"/><Relationship Id="rId49" Type="http://schemas.openxmlformats.org/officeDocument/2006/relationships/hyperlink" Target="https://worldwide.espacenet.com/publicationDetails/originalDocument?FT=D&amp;date=19971118&amp;DB=EPODOC&amp;locale=en_EP&amp;CC=US&amp;NR=5688379A&amp;KC=A&amp;ND=5" TargetMode="External"/><Relationship Id="rId57" Type="http://schemas.openxmlformats.org/officeDocument/2006/relationships/hyperlink" Target="https://idf.sachsen-anhalt.de/fileadmin/Bibliothek/Politik_und_Verwaltung/MI/IDF/IBK/Dokumente/Forschung/Fo_Publikationen/imk_ber/bericht_187.pdf" TargetMode="External"/><Relationship Id="rId61" Type="http://schemas.openxmlformats.org/officeDocument/2006/relationships/hyperlink" Target="https://ntp.niehs.nih.gov/ntp/ohat/pfoa_pfos/pfoa_pfosmonograph_508.pdf" TargetMode="External"/><Relationship Id="rId10" Type="http://schemas.openxmlformats.org/officeDocument/2006/relationships/hyperlink" Target="http://www.monarpop.at/" TargetMode="External"/><Relationship Id="rId19" Type="http://schemas.openxmlformats.org/officeDocument/2006/relationships/hyperlink" Target="http://www.health.gov.au/internet/main/publishing.nsf/Content/2200FE086D480353CA2580C900817CDC/$File/fs-Health-Based-Guidance-Values.pdf" TargetMode="External"/><Relationship Id="rId31" Type="http://schemas.openxmlformats.org/officeDocument/2006/relationships/hyperlink" Target="http://www.dowcorning.com/content/news/dowcorning_daikin.asp" TargetMode="External"/><Relationship Id="rId44" Type="http://schemas.openxmlformats.org/officeDocument/2006/relationships/hyperlink" Target="http://www.bio-ex.com/products/product/biofilm-fluorosynthetic-afff-foam-concentrate-effective-on-hydrocarbon-fires-9" TargetMode="External"/><Relationship Id="rId52" Type="http://schemas.openxmlformats.org/officeDocument/2006/relationships/hyperlink" Target="http://helcom.fi/Documents/Ministerial2013/Ministerial%20declaration/Adopted_endorsed%20documents/Palette%20of%20cost-effective%20management%20options%20to%20reduce%20pollution%20by%20hazardous%20substances.pdf" TargetMode="External"/><Relationship Id="rId60" Type="http://schemas.openxmlformats.org/officeDocument/2006/relationships/hyperlink" Target="http://chm.pops.int/TheConvention/POPsReviewCommittee/Meetings/POPRC12/POPRC12Followup/PFOAInfo/tabid/5453/Default.aspx" TargetMode="External"/><Relationship Id="rId65" Type="http://schemas.openxmlformats.org/officeDocument/2006/relationships/hyperlink" Target="http://www.ehp.qld.gov.au/assets/documents/regulation/firefighting-foam-policy-notes.pdf"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emi.se" TargetMode="External"/><Relationship Id="rId22" Type="http://schemas.openxmlformats.org/officeDocument/2006/relationships/hyperlink" Target="http://www.miljodirektoratet.no/Documents/publikasjoner/M430/M430.pdf" TargetMode="External"/><Relationship Id="rId27" Type="http://schemas.openxmlformats.org/officeDocument/2006/relationships/hyperlink" Target="http://www.europeanoutdoorgroup.com/files/DWR-Study_Alice_Davies__digital_.pdf" TargetMode="External"/><Relationship Id="rId30" Type="http://schemas.openxmlformats.org/officeDocument/2006/relationships/hyperlink" Target="http://chm.pops.int/TheConvention/POPsReviewCommittee/Meetings/POPRC12/POPRC12Followup/PFOAInfo/tabid/5453/Default.aspx" TargetMode="External"/><Relationship Id="rId35" Type="http://schemas.openxmlformats.org/officeDocument/2006/relationships/hyperlink" Target="https://echa.europa.eu/documents/10162/13632/information_requirements_r11_en.pdf" TargetMode="External"/><Relationship Id="rId43" Type="http://schemas.openxmlformats.org/officeDocument/2006/relationships/hyperlink" Target="http://www.zerofiresystems.nl/en/products-and-services/repression/ecopol-100-fluorine-free-foam.html" TargetMode="External"/><Relationship Id="rId48" Type="http://schemas.openxmlformats.org/officeDocument/2006/relationships/hyperlink" Target="https://www.epa.gov/sites/production/files/2016-05/documents/2016-12361.pdf" TargetMode="External"/><Relationship Id="rId56" Type="http://schemas.openxmlformats.org/officeDocument/2006/relationships/hyperlink" Target="http://www.kemi.se/om-kemikalieinspektionen/verksamhet/handlingsplan-for-en-giftfri-vardag/hogfluorerade-amnen-pfas/pfas-natverk" TargetMode="External"/><Relationship Id="rId64" Type="http://schemas.openxmlformats.org/officeDocument/2006/relationships/hyperlink" Target="http://www2.mst.dk/common/Udgivramme/Frame.asp?http://www2.mst.dk/udgiv/Publications/2005/87-7614-668-5/html/default_eng.htm" TargetMode="External"/><Relationship Id="rId69" Type="http://schemas.openxmlformats.org/officeDocument/2006/relationships/hyperlink" Target="http://chm.pops.int/TheConvention/POPsReviewCommittee/Meetings/POPRC12/POPRC12Followup/PFOAInfo/tabid/5453/Default.aspx"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umweltbundesamt.de/sites/default/files/medien/378/publikationen/fluorinated_fire-fighting_foams_schaumloeschmittel_engl._version_25.6.2013.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fluorocouncil.com/Resources/Research" TargetMode="External"/><Relationship Id="rId17" Type="http://schemas.openxmlformats.org/officeDocument/2006/relationships/hyperlink" Target="http://www.airservicesaustralia.com/wp-content/uploads/251713_Final_PSI-Report.pdf" TargetMode="External"/><Relationship Id="rId25" Type="http://schemas.openxmlformats.org/officeDocument/2006/relationships/hyperlink" Target="https://chemicalwatch.com/56634/norway-proposes-adding-second-pfc-to-un-pops-convention" TargetMode="External"/><Relationship Id="rId33" Type="http://schemas.openxmlformats.org/officeDocument/2006/relationships/hyperlink" Target="https://echa.europa.eu/de/information-on-chemicals/registered-substances" TargetMode="External"/><Relationship Id="rId38" Type="http://schemas.openxmlformats.org/officeDocument/2006/relationships/hyperlink" Target="http://chm.pops.int/TheConvention/POPsReviewCommittee/Meetings/POPRC12/POPRC12Followup/PFOAInfo/tabid/5453/Default.aspx" TargetMode="External"/><Relationship Id="rId46" Type="http://schemas.openxmlformats.org/officeDocument/2006/relationships/hyperlink" Target="http://chm.pops.int/TheConvention/POPsReviewCommittee/Meetings/POPRC12/POPRC12Followup/PFOAInfo/tabid/5453/Default.aspx" TargetMode="External"/><Relationship Id="rId59" Type="http://schemas.openxmlformats.org/officeDocument/2006/relationships/hyperlink" Target="https://www.livsmedelsverket.se/livsmedel-och-innehall/oonskade-amnen/miljogifter/PFAS-poly-och-perfluorerade-alkylsubstanser/riskhantering-pfaa-i-dricksvatten/" TargetMode="External"/><Relationship Id="rId67" Type="http://schemas.openxmlformats.org/officeDocument/2006/relationships/hyperlink" Target="http://www.kemi.se/om-kemikalieinspektionen/verksamhet/handlingsplan-for-en-giftfri-vardag/hogfluorerade-amnen-pfas/pfas-natverk" TargetMode="External"/><Relationship Id="rId20" Type="http://schemas.openxmlformats.org/officeDocument/2006/relationships/hyperlink" Target="http://chm.pops.int/TheConvention/POPsReviewCommittee/Meetings/POPRC12/POPRC12Followup/PFOAInfo/tabid/5453/Default.aspx" TargetMode="External"/><Relationship Id="rId41" Type="http://schemas.openxmlformats.org/officeDocument/2006/relationships/hyperlink" Target="https://www.ecotextile.com/2015042921444/dyes-chemicals-news/dwr-textile-finish-is-renewably-sourced.html" TargetMode="External"/><Relationship Id="rId54" Type="http://schemas.openxmlformats.org/officeDocument/2006/relationships/hyperlink" Target="http://chm.pops.int/TheConvention/POPsReviewCommittee/Meetings/POPRC12/POPRC12Followup/PFOAInfo/tabid/5453/Default.aspx" TargetMode="External"/><Relationship Id="rId62" Type="http://schemas.openxmlformats.org/officeDocument/2006/relationships/hyperlink" Target="http://www.oecd.org/chemicalsafety/risk-management/Risk_Reduction_Approaches%20for%20PFASS.pdf" TargetMode="External"/><Relationship Id="rId70" Type="http://schemas.openxmlformats.org/officeDocument/2006/relationships/hyperlink" Target="http://www.epa.gov/assessing-and-managing-chemicals-under-tsca/20102015-pfoa-stewardship-progra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naturvardsverket.se/Miljoarbete-i-samhallet/Miljoarbete-i-Sverige/Miljoovervakning/Miljoovervakning/Miljogiftssamordning/" TargetMode="External"/><Relationship Id="rId3" Type="http://schemas.openxmlformats.org/officeDocument/2006/relationships/hyperlink" Target="http://www.baden-baden.de/stadtportrait/aktuelles/themen/pfc-problematik/" TargetMode="External"/><Relationship Id="rId7" Type="http://schemas.openxmlformats.org/officeDocument/2006/relationships/hyperlink" Target="http://www.science.gc.ca/ncp" TargetMode="External"/><Relationship Id="rId2" Type="http://schemas.openxmlformats.org/officeDocument/2006/relationships/hyperlink" Target="http://www.landkreis-rastatt.de/,Lde/PFC.html" TargetMode="External"/><Relationship Id="rId1" Type="http://schemas.openxmlformats.org/officeDocument/2006/relationships/hyperlink" Target="https://www.wp.de/staedte/altkreis-brilon/ruhrverband-klagt-im-pft-umweltskandal-auf-schadenersatz-id9731569.html" TargetMode="External"/><Relationship Id="rId6" Type="http://schemas.openxmlformats.org/officeDocument/2006/relationships/hyperlink" Target="http://pubs.aina.ucalgary.ca/ncp/Synopsis20152016.pdf" TargetMode="External"/><Relationship Id="rId5" Type="http://schemas.openxmlformats.org/officeDocument/2006/relationships/hyperlink" Target="http://www.oecd.org/ehs/pfc/" TargetMode="External"/><Relationship Id="rId10" Type="http://schemas.openxmlformats.org/officeDocument/2006/relationships/hyperlink" Target="https://www.umweltbundesamt.de/en/topics/health/assessing-environmentally-related-health-risks/german-environmental-surveys/german-environmental-survey-2014-2017-geres-v" TargetMode="External"/><Relationship Id="rId4" Type="http://schemas.openxmlformats.org/officeDocument/2006/relationships/hyperlink" Target="http://www.saicm.org/Home/tabid/5410/language/en-US/Default.aspx" TargetMode="External"/><Relationship Id="rId9" Type="http://schemas.openxmlformats.org/officeDocument/2006/relationships/hyperlink" Target="http://ki.se/en/imm/health-related-environmental-monitoring-h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A75F-1874-4D11-8E50-09FEC4EF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44669</Words>
  <Characters>254617</Characters>
  <Application>Microsoft Office Word</Application>
  <DocSecurity>4</DocSecurity>
  <Lines>2121</Lines>
  <Paragraphs>597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Management Evaluation Endosulfan</vt:lpstr>
      <vt:lpstr>Risk Management Evaluation Endosulfan</vt:lpstr>
    </vt:vector>
  </TitlesOfParts>
  <Company>Amec Plc</Company>
  <LinksUpToDate>false</LinksUpToDate>
  <CharactersWithSpaces>298689</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Jimena Vallejo Montes</cp:lastModifiedBy>
  <cp:revision>2</cp:revision>
  <cp:lastPrinted>2018-01-18T09:34:00Z</cp:lastPrinted>
  <dcterms:created xsi:type="dcterms:W3CDTF">2018-01-26T08:50:00Z</dcterms:created>
  <dcterms:modified xsi:type="dcterms:W3CDTF">2018-01-26T08:50:00Z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y fmtid="{D5CDD505-2E9C-101B-9397-08002B2CF9AE}" pid="4" name="TranslatedWith">
    <vt:lpwstr>Mercury</vt:lpwstr>
  </property>
  <property fmtid="{D5CDD505-2E9C-101B-9397-08002B2CF9AE}" pid="5" name="GeneratedBy">
    <vt:lpwstr>sara.sanchez.gonzalez</vt:lpwstr>
  </property>
  <property fmtid="{D5CDD505-2E9C-101B-9397-08002B2CF9AE}" pid="6" name="GeneratedDate">
    <vt:lpwstr>8/5/2017 5:04:03 AM</vt:lpwstr>
  </property>
  <property fmtid="{D5CDD505-2E9C-101B-9397-08002B2CF9AE}" pid="7" name="OriginalDocID">
    <vt:lpwstr>0f6ae032-c6bf-4195-bb74-7b95784b5a21</vt:lpwstr>
  </property>
</Properties>
</file>