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8"/>
        <w:gridCol w:w="5394"/>
        <w:gridCol w:w="2675"/>
      </w:tblGrid>
      <w:tr w:rsidR="003C4E63" w:rsidRPr="00211EB6" w14:paraId="15A3F721" w14:textId="77777777" w:rsidTr="005549C8">
        <w:trPr>
          <w:trHeight w:val="895"/>
          <w:jc w:val="right"/>
        </w:trPr>
        <w:tc>
          <w:tcPr>
            <w:tcW w:w="1647" w:type="dxa"/>
            <w:vMerge w:val="restart"/>
          </w:tcPr>
          <w:p w14:paraId="16331305" w14:textId="77777777" w:rsidR="003C4E63" w:rsidRPr="00211EB6" w:rsidRDefault="003C4E63" w:rsidP="005549C8">
            <w:pPr>
              <w:spacing w:before="40"/>
              <w:rPr>
                <w:sz w:val="22"/>
              </w:rPr>
            </w:pPr>
            <w:bookmarkStart w:id="0" w:name="_Toc20198231"/>
            <w:r w:rsidRPr="00211EB6">
              <w:rPr>
                <w:rFonts w:ascii="Arial" w:hAnsi="Arial" w:cs="Arial"/>
                <w:b/>
                <w:sz w:val="27"/>
              </w:rPr>
              <w:t>UNITED</w:t>
            </w:r>
            <w:r w:rsidRPr="00211EB6">
              <w:rPr>
                <w:rFonts w:ascii="Arial" w:hAnsi="Arial" w:cs="Arial"/>
                <w:b/>
                <w:sz w:val="27"/>
              </w:rPr>
              <w:br/>
              <w:t>NATIONS</w:t>
            </w:r>
          </w:p>
        </w:tc>
        <w:tc>
          <w:tcPr>
            <w:tcW w:w="5391" w:type="dxa"/>
            <w:vMerge w:val="restart"/>
          </w:tcPr>
          <w:p w14:paraId="406D6502" w14:textId="77777777" w:rsidR="003C4E63" w:rsidRPr="00211EB6" w:rsidRDefault="003C4E63" w:rsidP="005549C8">
            <w:pPr>
              <w:spacing w:before="40"/>
              <w:rPr>
                <w:sz w:val="22"/>
              </w:rPr>
            </w:pPr>
            <w:r w:rsidRPr="00211EB6">
              <w:rPr>
                <w:noProof/>
                <w:lang w:val="en-US" w:eastAsia="en-US"/>
              </w:rPr>
              <w:drawing>
                <wp:inline distT="0" distB="0" distL="0" distR="0" wp14:anchorId="0C7DC4AB" wp14:editId="4FEE8D4A">
                  <wp:extent cx="974725" cy="526415"/>
                  <wp:effectExtent l="0" t="0" r="0" b="6985"/>
                  <wp:docPr id="2" name="Picture 2"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25" cy="526415"/>
                          </a:xfrm>
                          <a:prstGeom prst="rect">
                            <a:avLst/>
                          </a:prstGeom>
                          <a:noFill/>
                          <a:ln>
                            <a:noFill/>
                          </a:ln>
                        </pic:spPr>
                      </pic:pic>
                    </a:graphicData>
                  </a:graphic>
                </wp:inline>
              </w:drawing>
            </w:r>
          </w:p>
        </w:tc>
        <w:tc>
          <w:tcPr>
            <w:tcW w:w="2674" w:type="dxa"/>
          </w:tcPr>
          <w:p w14:paraId="3FC8CE6D" w14:textId="77777777" w:rsidR="003C4E63" w:rsidRPr="00211EB6" w:rsidRDefault="003C4E63" w:rsidP="005549C8">
            <w:pPr>
              <w:jc w:val="right"/>
              <w:rPr>
                <w:rFonts w:ascii="Arial" w:hAnsi="Arial" w:cs="Arial"/>
                <w:sz w:val="64"/>
                <w:szCs w:val="64"/>
              </w:rPr>
            </w:pPr>
            <w:r w:rsidRPr="00211EB6">
              <w:rPr>
                <w:rFonts w:ascii="Arial" w:hAnsi="Arial" w:cs="Arial"/>
                <w:b/>
                <w:sz w:val="64"/>
                <w:szCs w:val="64"/>
              </w:rPr>
              <w:t>SC</w:t>
            </w:r>
          </w:p>
        </w:tc>
      </w:tr>
      <w:tr w:rsidR="003C4E63" w:rsidRPr="00211EB6" w14:paraId="3D6C1FA8" w14:textId="77777777" w:rsidTr="005549C8">
        <w:trPr>
          <w:trHeight w:val="150"/>
          <w:jc w:val="right"/>
        </w:trPr>
        <w:tc>
          <w:tcPr>
            <w:tcW w:w="1647" w:type="dxa"/>
            <w:vMerge/>
            <w:tcBorders>
              <w:bottom w:val="single" w:sz="4" w:space="0" w:color="auto"/>
            </w:tcBorders>
          </w:tcPr>
          <w:p w14:paraId="4E4C640F" w14:textId="77777777" w:rsidR="003C4E63" w:rsidRPr="00211EB6" w:rsidRDefault="003C4E63" w:rsidP="005549C8">
            <w:pPr>
              <w:rPr>
                <w:b/>
                <w:sz w:val="22"/>
              </w:rPr>
            </w:pPr>
          </w:p>
        </w:tc>
        <w:tc>
          <w:tcPr>
            <w:tcW w:w="5391" w:type="dxa"/>
            <w:vMerge/>
            <w:tcBorders>
              <w:bottom w:val="single" w:sz="4" w:space="0" w:color="auto"/>
            </w:tcBorders>
          </w:tcPr>
          <w:p w14:paraId="63A780B1" w14:textId="77777777" w:rsidR="003C4E63" w:rsidRPr="00211EB6" w:rsidRDefault="003C4E63" w:rsidP="005549C8">
            <w:pPr>
              <w:rPr>
                <w:b/>
                <w:sz w:val="22"/>
              </w:rPr>
            </w:pPr>
          </w:p>
        </w:tc>
        <w:tc>
          <w:tcPr>
            <w:tcW w:w="2674" w:type="dxa"/>
            <w:tcBorders>
              <w:bottom w:val="single" w:sz="4" w:space="0" w:color="auto"/>
            </w:tcBorders>
          </w:tcPr>
          <w:p w14:paraId="2C010010" w14:textId="77777777" w:rsidR="003C4E63" w:rsidRPr="00211EB6" w:rsidRDefault="003C4E63" w:rsidP="005549C8">
            <w:pPr>
              <w:rPr>
                <w:sz w:val="22"/>
              </w:rPr>
            </w:pPr>
            <w:r w:rsidRPr="00211EB6">
              <w:rPr>
                <w:b/>
                <w:sz w:val="28"/>
                <w:szCs w:val="28"/>
              </w:rPr>
              <w:t>UNEP</w:t>
            </w:r>
            <w:r w:rsidRPr="00211EB6">
              <w:rPr>
                <w:sz w:val="20"/>
                <w:szCs w:val="20"/>
              </w:rPr>
              <w:t>/POPS/POPRC.13/2</w:t>
            </w:r>
          </w:p>
        </w:tc>
      </w:tr>
      <w:tr w:rsidR="003C4E63" w:rsidRPr="00211EB6" w14:paraId="7DCEC156" w14:textId="77777777" w:rsidTr="005549C8">
        <w:trPr>
          <w:trHeight w:val="2262"/>
          <w:jc w:val="right"/>
        </w:trPr>
        <w:tc>
          <w:tcPr>
            <w:tcW w:w="1647" w:type="dxa"/>
            <w:tcBorders>
              <w:top w:val="single" w:sz="4" w:space="0" w:color="auto"/>
              <w:bottom w:val="single" w:sz="24" w:space="0" w:color="auto"/>
            </w:tcBorders>
          </w:tcPr>
          <w:p w14:paraId="7807528F" w14:textId="77777777" w:rsidR="003C4E63" w:rsidRPr="00211EB6" w:rsidRDefault="003C4E63" w:rsidP="005549C8">
            <w:pPr>
              <w:spacing w:before="800" w:after="240"/>
              <w:ind w:left="-108"/>
            </w:pPr>
            <w:r w:rsidRPr="00211EB6">
              <w:rPr>
                <w:noProof/>
                <w:lang w:val="en-US" w:eastAsia="en-US"/>
              </w:rPr>
              <w:drawing>
                <wp:inline distT="0" distB="0" distL="0" distR="0" wp14:anchorId="0DAF406E" wp14:editId="174768B2">
                  <wp:extent cx="1009015" cy="793750"/>
                  <wp:effectExtent l="0" t="0" r="635" b="6350"/>
                  <wp:docPr id="3" name="Picture 3"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793750"/>
                          </a:xfrm>
                          <a:prstGeom prst="rect">
                            <a:avLst/>
                          </a:prstGeom>
                          <a:noFill/>
                          <a:ln>
                            <a:noFill/>
                          </a:ln>
                        </pic:spPr>
                      </pic:pic>
                    </a:graphicData>
                  </a:graphic>
                </wp:inline>
              </w:drawing>
            </w:r>
          </w:p>
        </w:tc>
        <w:tc>
          <w:tcPr>
            <w:tcW w:w="5391" w:type="dxa"/>
            <w:tcBorders>
              <w:top w:val="single" w:sz="4" w:space="0" w:color="auto"/>
              <w:bottom w:val="single" w:sz="24" w:space="0" w:color="auto"/>
            </w:tcBorders>
          </w:tcPr>
          <w:p w14:paraId="4BF732AE" w14:textId="77777777" w:rsidR="003C4E63" w:rsidRPr="00211EB6" w:rsidRDefault="003C4E63" w:rsidP="003C4E63">
            <w:pPr>
              <w:pStyle w:val="Heading1"/>
              <w:numPr>
                <w:ilvl w:val="0"/>
                <w:numId w:val="0"/>
              </w:numPr>
              <w:spacing w:before="800" w:after="0"/>
              <w:jc w:val="left"/>
              <w:rPr>
                <w:rFonts w:cs="Arial"/>
                <w:szCs w:val="28"/>
              </w:rPr>
            </w:pPr>
            <w:r w:rsidRPr="00211EB6">
              <w:rPr>
                <w:rFonts w:cs="Arial"/>
                <w:szCs w:val="28"/>
              </w:rPr>
              <w:t>Stockholm Convention</w:t>
            </w:r>
            <w:r w:rsidRPr="00211EB6">
              <w:rPr>
                <w:rFonts w:cs="Arial"/>
                <w:szCs w:val="28"/>
              </w:rPr>
              <w:br/>
              <w:t>on Persistent Organic</w:t>
            </w:r>
            <w:r w:rsidRPr="00211EB6">
              <w:rPr>
                <w:rFonts w:cs="Arial"/>
                <w:szCs w:val="28"/>
              </w:rPr>
              <w:br/>
              <w:t>Pollutants</w:t>
            </w:r>
          </w:p>
        </w:tc>
        <w:tc>
          <w:tcPr>
            <w:tcW w:w="2674" w:type="dxa"/>
            <w:tcBorders>
              <w:top w:val="single" w:sz="4" w:space="0" w:color="auto"/>
              <w:bottom w:val="single" w:sz="24" w:space="0" w:color="auto"/>
            </w:tcBorders>
          </w:tcPr>
          <w:p w14:paraId="65602B6E" w14:textId="77777777" w:rsidR="003C4E63" w:rsidRPr="00211EB6" w:rsidRDefault="003C4E63" w:rsidP="005549C8">
            <w:pPr>
              <w:pStyle w:val="Normal-pool"/>
              <w:spacing w:before="120"/>
            </w:pPr>
            <w:r w:rsidRPr="00211EB6">
              <w:t>Distr.: General</w:t>
            </w:r>
            <w:r w:rsidRPr="00211EB6">
              <w:br/>
              <w:t>13 June 2017</w:t>
            </w:r>
          </w:p>
          <w:p w14:paraId="356EFC38" w14:textId="77777777" w:rsidR="003C4E63" w:rsidRPr="00211EB6" w:rsidRDefault="003C4E63" w:rsidP="005549C8">
            <w:pPr>
              <w:pStyle w:val="Normal-pool"/>
              <w:spacing w:before="120"/>
              <w:rPr>
                <w:sz w:val="22"/>
              </w:rPr>
            </w:pPr>
            <w:r w:rsidRPr="00211EB6">
              <w:t>Original: English</w:t>
            </w:r>
          </w:p>
        </w:tc>
      </w:tr>
    </w:tbl>
    <w:p w14:paraId="7FDC0E01" w14:textId="77777777" w:rsidR="003C4E63" w:rsidRPr="00211EB6" w:rsidRDefault="003C4E63" w:rsidP="003C4E63">
      <w:pPr>
        <w:pStyle w:val="AATitle"/>
        <w:rPr>
          <w:b w:val="0"/>
          <w:lang w:val="en-GB"/>
        </w:rPr>
      </w:pPr>
      <w:r w:rsidRPr="00211EB6">
        <w:rPr>
          <w:lang w:val="en-GB"/>
        </w:rPr>
        <w:t>Persistent Organic Pollutants Review Committee</w:t>
      </w:r>
      <w:r w:rsidRPr="00211EB6">
        <w:rPr>
          <w:lang w:val="en-GB"/>
        </w:rPr>
        <w:br/>
        <w:t>Thirteenth meeting</w:t>
      </w:r>
    </w:p>
    <w:p w14:paraId="38122FAE" w14:textId="77777777" w:rsidR="003C4E63" w:rsidRPr="00211EB6" w:rsidRDefault="003C4E63" w:rsidP="003C4E63">
      <w:pPr>
        <w:pStyle w:val="AATitle"/>
        <w:rPr>
          <w:b w:val="0"/>
          <w:lang w:val="en-GB"/>
        </w:rPr>
      </w:pPr>
      <w:r w:rsidRPr="00211EB6">
        <w:rPr>
          <w:b w:val="0"/>
          <w:lang w:val="en-GB"/>
        </w:rPr>
        <w:t>Rome, 17–20 October 2017</w:t>
      </w:r>
    </w:p>
    <w:p w14:paraId="2CBBEEAB" w14:textId="77777777" w:rsidR="003C4E63" w:rsidRPr="00211EB6" w:rsidRDefault="003C4E63" w:rsidP="003C4E63">
      <w:pPr>
        <w:pStyle w:val="AATitle"/>
        <w:rPr>
          <w:b w:val="0"/>
          <w:lang w:val="en-GB"/>
        </w:rPr>
      </w:pPr>
      <w:r w:rsidRPr="00211EB6">
        <w:rPr>
          <w:b w:val="0"/>
          <w:lang w:val="en-GB"/>
        </w:rPr>
        <w:t>Item 5 (a) (</w:t>
      </w:r>
      <w:proofErr w:type="spellStart"/>
      <w:r w:rsidRPr="00211EB6">
        <w:rPr>
          <w:b w:val="0"/>
          <w:lang w:val="en-GB"/>
        </w:rPr>
        <w:t>i</w:t>
      </w:r>
      <w:proofErr w:type="spellEnd"/>
      <w:r w:rsidRPr="00211EB6">
        <w:rPr>
          <w:b w:val="0"/>
          <w:lang w:val="en-GB"/>
        </w:rPr>
        <w:t>) of the provisional agenda</w:t>
      </w:r>
      <w:r w:rsidRPr="00211EB6">
        <w:rPr>
          <w:b w:val="0"/>
          <w:lang w:val="en-GB"/>
        </w:rPr>
        <w:footnoteReference w:customMarkFollows="1" w:id="2"/>
        <w:t>*</w:t>
      </w:r>
    </w:p>
    <w:p w14:paraId="40BFE266" w14:textId="77777777" w:rsidR="003C4E63" w:rsidRPr="00211EB6" w:rsidRDefault="003C4E63" w:rsidP="003C4E63">
      <w:pPr>
        <w:pStyle w:val="AATitle2"/>
        <w:spacing w:before="60"/>
        <w:rPr>
          <w:lang w:val="en-GB"/>
        </w:rPr>
      </w:pPr>
      <w:r w:rsidRPr="00211EB6">
        <w:rPr>
          <w:lang w:val="en-GB"/>
        </w:rPr>
        <w:t xml:space="preserve">Technical work: consideration of draft risk management evaluations: </w:t>
      </w:r>
      <w:proofErr w:type="spellStart"/>
      <w:r w:rsidRPr="00211EB6">
        <w:rPr>
          <w:lang w:val="en-GB"/>
        </w:rPr>
        <w:t>dicofol</w:t>
      </w:r>
      <w:proofErr w:type="spellEnd"/>
    </w:p>
    <w:p w14:paraId="1C5D3973" w14:textId="77777777" w:rsidR="003C4E63" w:rsidRPr="00211EB6" w:rsidRDefault="003C4E63" w:rsidP="003C4E63">
      <w:pPr>
        <w:pStyle w:val="BBTitle"/>
      </w:pPr>
      <w:r w:rsidRPr="00211EB6">
        <w:t xml:space="preserve">Draft risk management evaluation: </w:t>
      </w:r>
      <w:proofErr w:type="spellStart"/>
      <w:r w:rsidRPr="00211EB6">
        <w:t>dicofol</w:t>
      </w:r>
      <w:proofErr w:type="spellEnd"/>
    </w:p>
    <w:p w14:paraId="3F71B4D0" w14:textId="77777777" w:rsidR="003C4E63" w:rsidRPr="00211EB6" w:rsidRDefault="003C4E63" w:rsidP="003C4E63">
      <w:pPr>
        <w:pStyle w:val="CH2"/>
      </w:pPr>
      <w:r w:rsidRPr="00211EB6">
        <w:tab/>
      </w:r>
      <w:r w:rsidRPr="00211EB6">
        <w:tab/>
        <w:t>Note by the Secretariat</w:t>
      </w:r>
    </w:p>
    <w:p w14:paraId="083266B5" w14:textId="77777777" w:rsidR="003C4E63" w:rsidRPr="00211EB6" w:rsidRDefault="003C4E63" w:rsidP="003C4E63">
      <w:pPr>
        <w:pStyle w:val="CH1"/>
      </w:pPr>
      <w:r w:rsidRPr="00211EB6">
        <w:tab/>
        <w:t>I.</w:t>
      </w:r>
      <w:r w:rsidRPr="00211EB6">
        <w:tab/>
        <w:t>Introduction</w:t>
      </w:r>
    </w:p>
    <w:p w14:paraId="109AEAC0" w14:textId="77777777" w:rsidR="003C4E63" w:rsidRPr="00211EB6" w:rsidRDefault="003C4E63" w:rsidP="003C4E63">
      <w:pPr>
        <w:pStyle w:val="Normalnumber"/>
        <w:numPr>
          <w:ilvl w:val="0"/>
          <w:numId w:val="23"/>
        </w:numPr>
        <w:tabs>
          <w:tab w:val="clear" w:pos="1440"/>
          <w:tab w:val="num" w:pos="1260"/>
          <w:tab w:val="left" w:pos="1814"/>
          <w:tab w:val="left" w:pos="2381"/>
          <w:tab w:val="left" w:pos="2948"/>
          <w:tab w:val="left" w:pos="3515"/>
          <w:tab w:val="left" w:pos="4082"/>
        </w:tabs>
        <w:ind w:left="1260" w:firstLine="0"/>
      </w:pPr>
      <w:r w:rsidRPr="00211EB6">
        <w:t xml:space="preserve">At its twelfth meeting, the Persistent Organic Pollutants Review Committee adopted decision POPRC-12/1 on </w:t>
      </w:r>
      <w:proofErr w:type="spellStart"/>
      <w:r w:rsidRPr="00211EB6">
        <w:t>dicofol</w:t>
      </w:r>
      <w:proofErr w:type="spellEnd"/>
      <w:r w:rsidRPr="00211EB6">
        <w:t xml:space="preserve"> (see UNEP/POPS/POPRC.12/11, annex I). By paragraph 3 of that decision, the Committee decided to establish an </w:t>
      </w:r>
      <w:proofErr w:type="spellStart"/>
      <w:r w:rsidRPr="00211EB6">
        <w:t>intersessional</w:t>
      </w:r>
      <w:proofErr w:type="spellEnd"/>
      <w:r w:rsidRPr="00211EB6">
        <w:t xml:space="preserve"> working group to prepare a risk management evaluation that included an analysis of possible control measures for </w:t>
      </w:r>
      <w:proofErr w:type="spellStart"/>
      <w:r w:rsidRPr="00211EB6">
        <w:t>dicofol</w:t>
      </w:r>
      <w:proofErr w:type="spellEnd"/>
      <w:r w:rsidRPr="00211EB6">
        <w:t xml:space="preserve"> in accordance with Annex F to the Stockholm Convention on Persistent Organic Pollutants.</w:t>
      </w:r>
    </w:p>
    <w:p w14:paraId="222C75AF" w14:textId="77777777" w:rsidR="003C4E63" w:rsidRPr="00211EB6" w:rsidRDefault="003C4E63" w:rsidP="003C4E63">
      <w:pPr>
        <w:pStyle w:val="Normalnumber"/>
        <w:numPr>
          <w:ilvl w:val="0"/>
          <w:numId w:val="23"/>
        </w:numPr>
        <w:tabs>
          <w:tab w:val="clear" w:pos="1440"/>
          <w:tab w:val="num" w:pos="1260"/>
          <w:tab w:val="left" w:pos="1814"/>
          <w:tab w:val="left" w:pos="2381"/>
          <w:tab w:val="left" w:pos="2948"/>
          <w:tab w:val="left" w:pos="3515"/>
          <w:tab w:val="left" w:pos="4082"/>
        </w:tabs>
        <w:ind w:left="1260" w:firstLine="0"/>
      </w:pPr>
      <w:r w:rsidRPr="00211EB6">
        <w:t xml:space="preserve">In accordance with decision POPRC-12/1 and the </w:t>
      </w:r>
      <w:proofErr w:type="spellStart"/>
      <w:r w:rsidRPr="00211EB6">
        <w:t>workplan</w:t>
      </w:r>
      <w:proofErr w:type="spellEnd"/>
      <w:r w:rsidRPr="00211EB6">
        <w:t xml:space="preserve"> for the preparation of a draft risk management evaluation adopted by the Committee (UNEP/POPS/POPRC.12/11, annex III), the </w:t>
      </w:r>
      <w:proofErr w:type="spellStart"/>
      <w:r w:rsidRPr="00211EB6">
        <w:t>intersessional</w:t>
      </w:r>
      <w:proofErr w:type="spellEnd"/>
      <w:r w:rsidRPr="00211EB6">
        <w:t xml:space="preserve"> working group has prepared a draft risk management evaluation, which is set out in the annex to the present note without formal editing. A compilation of comments and responses relating to the draft risk management evaluation is set out in document UNEP/POPS/POPRC.13/INF/5. </w:t>
      </w:r>
    </w:p>
    <w:p w14:paraId="1EAB7B51" w14:textId="77777777" w:rsidR="003C4E63" w:rsidRPr="00211EB6" w:rsidRDefault="003C4E63" w:rsidP="003C4E63">
      <w:pPr>
        <w:pStyle w:val="CH1"/>
      </w:pPr>
      <w:r w:rsidRPr="00211EB6">
        <w:tab/>
        <w:t>II.</w:t>
      </w:r>
      <w:r w:rsidRPr="00211EB6">
        <w:tab/>
        <w:t xml:space="preserve">Proposed action </w:t>
      </w:r>
    </w:p>
    <w:p w14:paraId="33A68381" w14:textId="77777777" w:rsidR="003C4E63" w:rsidRPr="00211EB6" w:rsidRDefault="003C4E63" w:rsidP="003C4E63">
      <w:pPr>
        <w:pStyle w:val="Normalnumber"/>
        <w:numPr>
          <w:ilvl w:val="0"/>
          <w:numId w:val="23"/>
        </w:numPr>
        <w:tabs>
          <w:tab w:val="clear" w:pos="1440"/>
          <w:tab w:val="num" w:pos="1260"/>
          <w:tab w:val="left" w:pos="1814"/>
          <w:tab w:val="left" w:pos="2381"/>
          <w:tab w:val="left" w:pos="2948"/>
          <w:tab w:val="left" w:pos="3515"/>
          <w:tab w:val="left" w:pos="4082"/>
        </w:tabs>
        <w:ind w:left="1260" w:firstLine="0"/>
      </w:pPr>
      <w:r w:rsidRPr="00211EB6">
        <w:t>The Committee may wish:</w:t>
      </w:r>
    </w:p>
    <w:p w14:paraId="160FC4BB" w14:textId="77777777" w:rsidR="003C4E63" w:rsidRPr="00211EB6" w:rsidRDefault="003C4E63" w:rsidP="003C4E63">
      <w:pPr>
        <w:pStyle w:val="Normalnumber"/>
        <w:numPr>
          <w:ilvl w:val="2"/>
          <w:numId w:val="24"/>
        </w:numPr>
        <w:tabs>
          <w:tab w:val="clear" w:pos="2160"/>
        </w:tabs>
        <w:ind w:left="1260" w:firstLine="630"/>
      </w:pPr>
      <w:r w:rsidRPr="00211EB6">
        <w:t>To adopt, with any amendments, the draft risk management evaluation set out in the annex to the present note;</w:t>
      </w:r>
    </w:p>
    <w:p w14:paraId="75FAFDBE" w14:textId="77777777" w:rsidR="003C4E63" w:rsidRPr="00211EB6" w:rsidRDefault="003C4E63" w:rsidP="003C4E63">
      <w:pPr>
        <w:pStyle w:val="Normalnumber"/>
        <w:numPr>
          <w:ilvl w:val="2"/>
          <w:numId w:val="24"/>
        </w:numPr>
        <w:tabs>
          <w:tab w:val="clear" w:pos="2160"/>
        </w:tabs>
        <w:ind w:left="1247" w:firstLine="630"/>
      </w:pPr>
      <w:r w:rsidRPr="00211EB6">
        <w:t xml:space="preserve">To decide, in accordance with paragraph 9 of Article 8 of the Convention, on the basis of the risk profile adopted at its twelfth meeting (UNEP/POPS/POPRC.12/11/Add.1) and the risk management evaluation, whether </w:t>
      </w:r>
      <w:proofErr w:type="spellStart"/>
      <w:r w:rsidRPr="00211EB6">
        <w:t>dicofol</w:t>
      </w:r>
      <w:proofErr w:type="spellEnd"/>
      <w:r w:rsidRPr="00211EB6">
        <w:t xml:space="preserve"> should be recommended for consideration by the Conference of the Parties for listing in Annexes A, B and/or C to the Convention. </w:t>
      </w:r>
    </w:p>
    <w:p w14:paraId="38E54AA0" w14:textId="77777777" w:rsidR="003C4E63" w:rsidRPr="00211EB6" w:rsidRDefault="003C4E63" w:rsidP="003C4E63">
      <w:r w:rsidRPr="00211EB6">
        <w:br w:type="page"/>
      </w:r>
    </w:p>
    <w:p w14:paraId="4F6CA57B" w14:textId="77777777" w:rsidR="003C4E63" w:rsidRPr="00211EB6" w:rsidRDefault="003C4E63" w:rsidP="003C4E63">
      <w:pPr>
        <w:pStyle w:val="ZZAnxheader"/>
        <w:rPr>
          <w:lang w:val="en-GB"/>
        </w:rPr>
      </w:pPr>
      <w:r w:rsidRPr="00211EB6">
        <w:rPr>
          <w:lang w:val="en-GB"/>
        </w:rPr>
        <w:lastRenderedPageBreak/>
        <w:t>Annex</w:t>
      </w:r>
    </w:p>
    <w:p w14:paraId="0D10808A" w14:textId="2FEF84AE" w:rsidR="003C4E63" w:rsidRPr="00211EB6" w:rsidRDefault="003C4E63">
      <w:pPr>
        <w:rPr>
          <w:b/>
          <w:bCs/>
          <w:sz w:val="44"/>
          <w:szCs w:val="44"/>
          <w:lang w:eastAsia="ja-JP"/>
        </w:rPr>
      </w:pPr>
    </w:p>
    <w:p w14:paraId="3C966C6E"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eastAsia="ja-JP"/>
        </w:rPr>
      </w:pPr>
    </w:p>
    <w:p w14:paraId="4D1FDEE9"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eastAsia="ja-JP"/>
        </w:rPr>
      </w:pPr>
    </w:p>
    <w:p w14:paraId="5AB77400"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eastAsia="ja-JP"/>
        </w:rPr>
      </w:pPr>
    </w:p>
    <w:p w14:paraId="4AE9F84B"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eastAsia="ja-JP"/>
        </w:rPr>
      </w:pPr>
    </w:p>
    <w:p w14:paraId="0CE73C5A" w14:textId="77777777" w:rsidR="008304F0" w:rsidRPr="00211EB6" w:rsidRDefault="00912815" w:rsidP="004D2782">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211EB6">
        <w:rPr>
          <w:b/>
          <w:bCs/>
          <w:sz w:val="44"/>
          <w:szCs w:val="44"/>
          <w:lang w:eastAsia="ja-JP"/>
        </w:rPr>
        <w:t>DICOFOL</w:t>
      </w:r>
    </w:p>
    <w:p w14:paraId="1E02F9C7"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7334F9CB" w14:textId="77777777" w:rsidR="008304F0" w:rsidRPr="00211EB6" w:rsidRDefault="00B80BE0" w:rsidP="004D2782">
      <w:pPr>
        <w:tabs>
          <w:tab w:val="left" w:pos="624"/>
          <w:tab w:val="left" w:pos="1247"/>
          <w:tab w:val="left" w:pos="1871"/>
          <w:tab w:val="left" w:pos="2495"/>
          <w:tab w:val="left" w:pos="3119"/>
        </w:tabs>
        <w:autoSpaceDE w:val="0"/>
        <w:autoSpaceDN w:val="0"/>
        <w:adjustRightInd w:val="0"/>
        <w:spacing w:after="120"/>
        <w:jc w:val="center"/>
        <w:rPr>
          <w:b/>
          <w:bCs/>
          <w:sz w:val="44"/>
          <w:szCs w:val="44"/>
        </w:rPr>
      </w:pPr>
      <w:r w:rsidRPr="00211EB6">
        <w:rPr>
          <w:b/>
          <w:bCs/>
          <w:sz w:val="44"/>
          <w:szCs w:val="44"/>
        </w:rPr>
        <w:t xml:space="preserve">DRAFT </w:t>
      </w:r>
      <w:r w:rsidR="008304F0" w:rsidRPr="00211EB6">
        <w:rPr>
          <w:b/>
          <w:bCs/>
          <w:sz w:val="44"/>
          <w:szCs w:val="44"/>
        </w:rPr>
        <w:t>RISK MANAGEMENT EVALUATION</w:t>
      </w:r>
    </w:p>
    <w:p w14:paraId="4AB5C6A0"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3A91B3CE"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02ABAAD9" w14:textId="77777777" w:rsidR="008304F0" w:rsidRPr="00211EB6" w:rsidRDefault="008304F0" w:rsidP="004D2782">
      <w:pPr>
        <w:autoSpaceDE w:val="0"/>
        <w:autoSpaceDN w:val="0"/>
        <w:adjustRightInd w:val="0"/>
        <w:spacing w:after="120"/>
        <w:jc w:val="center"/>
        <w:rPr>
          <w:sz w:val="32"/>
          <w:szCs w:val="32"/>
        </w:rPr>
      </w:pPr>
    </w:p>
    <w:p w14:paraId="0EC6057A" w14:textId="77777777" w:rsidR="008304F0" w:rsidRPr="00211EB6" w:rsidRDefault="008304F0" w:rsidP="004D2782">
      <w:pPr>
        <w:autoSpaceDE w:val="0"/>
        <w:autoSpaceDN w:val="0"/>
        <w:adjustRightInd w:val="0"/>
        <w:spacing w:after="120"/>
        <w:jc w:val="center"/>
        <w:rPr>
          <w:sz w:val="32"/>
          <w:szCs w:val="32"/>
        </w:rPr>
      </w:pPr>
    </w:p>
    <w:p w14:paraId="5DCCC71A" w14:textId="77777777" w:rsidR="008304F0" w:rsidRPr="00211EB6" w:rsidRDefault="008304F0" w:rsidP="004D2782">
      <w:pPr>
        <w:autoSpaceDE w:val="0"/>
        <w:autoSpaceDN w:val="0"/>
        <w:adjustRightInd w:val="0"/>
        <w:spacing w:after="120"/>
        <w:jc w:val="center"/>
        <w:rPr>
          <w:sz w:val="32"/>
          <w:szCs w:val="32"/>
        </w:rPr>
      </w:pPr>
    </w:p>
    <w:p w14:paraId="13FF209E" w14:textId="77777777" w:rsidR="008304F0" w:rsidRPr="00211EB6" w:rsidRDefault="008304F0" w:rsidP="004D2782">
      <w:pPr>
        <w:autoSpaceDE w:val="0"/>
        <w:autoSpaceDN w:val="0"/>
        <w:adjustRightInd w:val="0"/>
        <w:spacing w:after="120"/>
        <w:jc w:val="center"/>
        <w:rPr>
          <w:sz w:val="32"/>
          <w:szCs w:val="32"/>
        </w:rPr>
      </w:pPr>
    </w:p>
    <w:p w14:paraId="3D92FDA7" w14:textId="77777777" w:rsidR="008304F0" w:rsidRPr="00211EB6" w:rsidRDefault="008304F0" w:rsidP="004D2782">
      <w:pPr>
        <w:autoSpaceDE w:val="0"/>
        <w:autoSpaceDN w:val="0"/>
        <w:adjustRightInd w:val="0"/>
        <w:spacing w:after="120"/>
        <w:jc w:val="center"/>
        <w:rPr>
          <w:sz w:val="32"/>
          <w:szCs w:val="32"/>
        </w:rPr>
      </w:pPr>
    </w:p>
    <w:p w14:paraId="4B19C89C" w14:textId="77777777" w:rsidR="008304F0" w:rsidRPr="00211EB6" w:rsidRDefault="008304F0" w:rsidP="004D2782">
      <w:pPr>
        <w:autoSpaceDE w:val="0"/>
        <w:autoSpaceDN w:val="0"/>
        <w:adjustRightInd w:val="0"/>
        <w:spacing w:after="120"/>
        <w:jc w:val="center"/>
        <w:rPr>
          <w:sz w:val="32"/>
          <w:szCs w:val="32"/>
        </w:rPr>
      </w:pPr>
    </w:p>
    <w:p w14:paraId="3731D374" w14:textId="77777777" w:rsidR="008304F0" w:rsidRPr="00211EB6" w:rsidRDefault="008304F0" w:rsidP="004D2782">
      <w:pPr>
        <w:autoSpaceDE w:val="0"/>
        <w:autoSpaceDN w:val="0"/>
        <w:adjustRightInd w:val="0"/>
        <w:spacing w:after="120"/>
        <w:jc w:val="center"/>
        <w:rPr>
          <w:sz w:val="32"/>
          <w:szCs w:val="32"/>
        </w:rPr>
      </w:pPr>
    </w:p>
    <w:p w14:paraId="0D89C742" w14:textId="32559109" w:rsidR="008304F0" w:rsidRPr="00211EB6" w:rsidRDefault="003C4E63" w:rsidP="004D2782">
      <w:pPr>
        <w:tabs>
          <w:tab w:val="left" w:pos="624"/>
          <w:tab w:val="left" w:pos="1247"/>
          <w:tab w:val="left" w:pos="1871"/>
          <w:tab w:val="left" w:pos="2495"/>
          <w:tab w:val="left" w:pos="3119"/>
        </w:tabs>
        <w:autoSpaceDE w:val="0"/>
        <w:autoSpaceDN w:val="0"/>
        <w:adjustRightInd w:val="0"/>
        <w:spacing w:after="120"/>
        <w:jc w:val="center"/>
        <w:rPr>
          <w:sz w:val="32"/>
          <w:szCs w:val="32"/>
        </w:rPr>
      </w:pPr>
      <w:r w:rsidRPr="00211EB6">
        <w:rPr>
          <w:sz w:val="32"/>
          <w:szCs w:val="32"/>
        </w:rPr>
        <w:t>3</w:t>
      </w:r>
      <w:r w:rsidR="0053505C" w:rsidRPr="00211EB6">
        <w:rPr>
          <w:sz w:val="32"/>
          <w:szCs w:val="32"/>
        </w:rPr>
        <w:t xml:space="preserve"> July</w:t>
      </w:r>
      <w:r w:rsidR="00B80BE0" w:rsidRPr="00211EB6">
        <w:rPr>
          <w:sz w:val="32"/>
          <w:szCs w:val="32"/>
        </w:rPr>
        <w:t xml:space="preserve"> 201</w:t>
      </w:r>
      <w:r w:rsidR="00912815" w:rsidRPr="00211EB6">
        <w:rPr>
          <w:sz w:val="32"/>
          <w:szCs w:val="32"/>
        </w:rPr>
        <w:t>7</w:t>
      </w:r>
    </w:p>
    <w:p w14:paraId="79ADF8B4" w14:textId="77777777" w:rsidR="008304F0" w:rsidRPr="00211EB6" w:rsidRDefault="008304F0" w:rsidP="004D2782">
      <w:pPr>
        <w:tabs>
          <w:tab w:val="left" w:pos="624"/>
          <w:tab w:val="left" w:pos="1247"/>
          <w:tab w:val="left" w:pos="1871"/>
          <w:tab w:val="left" w:pos="2495"/>
          <w:tab w:val="left" w:pos="3119"/>
        </w:tabs>
        <w:autoSpaceDE w:val="0"/>
        <w:autoSpaceDN w:val="0"/>
        <w:adjustRightInd w:val="0"/>
        <w:spacing w:after="120"/>
        <w:jc w:val="both"/>
        <w:rPr>
          <w:sz w:val="32"/>
          <w:szCs w:val="32"/>
        </w:rPr>
      </w:pPr>
    </w:p>
    <w:p w14:paraId="222B0768" w14:textId="77777777" w:rsidR="00C151FB" w:rsidRPr="00211EB6" w:rsidRDefault="008304F0" w:rsidP="004D2782">
      <w:pPr>
        <w:rPr>
          <w:rFonts w:eastAsia="Times New Roman"/>
          <w:sz w:val="28"/>
          <w:szCs w:val="28"/>
          <w:lang w:eastAsia="ja-JP"/>
        </w:rPr>
      </w:pPr>
      <w:r w:rsidRPr="00211EB6">
        <w:br w:type="page"/>
      </w:r>
    </w:p>
    <w:p w14:paraId="67C7D78D" w14:textId="77777777" w:rsidR="004D2782" w:rsidRPr="00211EB6" w:rsidRDefault="004D2782" w:rsidP="004D2782">
      <w:pPr>
        <w:pStyle w:val="Standardde"/>
        <w:spacing w:line="240" w:lineRule="auto"/>
        <w:jc w:val="center"/>
        <w:rPr>
          <w:rFonts w:ascii="Times New Roman" w:hAnsi="Times New Roman"/>
          <w:b/>
          <w:sz w:val="28"/>
        </w:rPr>
        <w:sectPr w:rsidR="004D2782" w:rsidRPr="00211EB6" w:rsidSect="00307F16">
          <w:headerReference w:type="even" r:id="rId11"/>
          <w:headerReference w:type="default" r:id="rId12"/>
          <w:footerReference w:type="even" r:id="rId13"/>
          <w:footerReference w:type="default" r:id="rId14"/>
          <w:footerReference w:type="first" r:id="rId15"/>
          <w:pgSz w:w="11906" w:h="16838" w:code="9"/>
          <w:pgMar w:top="907" w:right="994" w:bottom="1411" w:left="1411" w:header="533" w:footer="979" w:gutter="0"/>
          <w:pgNumType w:start="1"/>
          <w:cols w:space="720"/>
          <w:titlePg/>
          <w:docGrid w:linePitch="326"/>
        </w:sectPr>
      </w:pPr>
    </w:p>
    <w:p w14:paraId="78A533F4" w14:textId="77777777" w:rsidR="00C151FB" w:rsidRPr="00211EB6" w:rsidRDefault="00C151FB" w:rsidP="004D2782">
      <w:pPr>
        <w:pStyle w:val="Standardde"/>
        <w:spacing w:line="240" w:lineRule="auto"/>
        <w:jc w:val="center"/>
        <w:rPr>
          <w:rFonts w:ascii="Times New Roman" w:hAnsi="Times New Roman"/>
          <w:b/>
          <w:sz w:val="28"/>
        </w:rPr>
      </w:pPr>
      <w:r w:rsidRPr="00211EB6">
        <w:rPr>
          <w:rFonts w:ascii="Times New Roman" w:hAnsi="Times New Roman"/>
          <w:b/>
          <w:sz w:val="28"/>
        </w:rPr>
        <w:lastRenderedPageBreak/>
        <w:t>Content</w:t>
      </w:r>
      <w:r w:rsidR="00891744" w:rsidRPr="00211EB6">
        <w:rPr>
          <w:rFonts w:ascii="Times New Roman" w:hAnsi="Times New Roman"/>
          <w:b/>
          <w:sz w:val="28"/>
        </w:rPr>
        <w:t>s</w:t>
      </w:r>
    </w:p>
    <w:p w14:paraId="0886E1A6" w14:textId="77777777" w:rsidR="003463BF" w:rsidRPr="00211EB6" w:rsidRDefault="007E3F71">
      <w:pPr>
        <w:pStyle w:val="TOC1"/>
        <w:rPr>
          <w:rFonts w:asciiTheme="minorHAnsi" w:eastAsiaTheme="minorEastAsia" w:hAnsiTheme="minorHAnsi" w:cstheme="minorBidi"/>
          <w:b w:val="0"/>
          <w:noProof/>
          <w:sz w:val="20"/>
          <w:szCs w:val="20"/>
          <w:lang w:eastAsia="en-GB"/>
        </w:rPr>
      </w:pPr>
      <w:r w:rsidRPr="00211EB6">
        <w:rPr>
          <w:sz w:val="20"/>
          <w:szCs w:val="20"/>
        </w:rPr>
        <w:fldChar w:fldCharType="begin"/>
      </w:r>
      <w:r w:rsidR="00C151FB" w:rsidRPr="00211EB6">
        <w:rPr>
          <w:sz w:val="20"/>
          <w:szCs w:val="20"/>
        </w:rPr>
        <w:instrText xml:space="preserve"> TOC \o "1-3" \h \z \u </w:instrText>
      </w:r>
      <w:r w:rsidRPr="00211EB6">
        <w:rPr>
          <w:sz w:val="20"/>
          <w:szCs w:val="20"/>
        </w:rPr>
        <w:fldChar w:fldCharType="separate"/>
      </w:r>
      <w:hyperlink w:anchor="_Toc483491442" w:history="1">
        <w:r w:rsidR="003463BF" w:rsidRPr="00211EB6">
          <w:rPr>
            <w:rStyle w:val="Hyperlink"/>
            <w:noProof/>
            <w:sz w:val="20"/>
            <w:szCs w:val="20"/>
          </w:rPr>
          <w:t>Executive Summary</w:t>
        </w:r>
        <w:r w:rsidR="003463BF" w:rsidRPr="00211EB6">
          <w:rPr>
            <w:noProof/>
            <w:webHidden/>
            <w:sz w:val="20"/>
            <w:szCs w:val="20"/>
          </w:rPr>
          <w:tab/>
        </w:r>
        <w:r w:rsidR="003463BF" w:rsidRPr="00211EB6">
          <w:rPr>
            <w:noProof/>
            <w:webHidden/>
            <w:sz w:val="20"/>
            <w:szCs w:val="20"/>
          </w:rPr>
          <w:fldChar w:fldCharType="begin"/>
        </w:r>
        <w:r w:rsidR="003463BF" w:rsidRPr="00211EB6">
          <w:rPr>
            <w:noProof/>
            <w:webHidden/>
            <w:sz w:val="20"/>
            <w:szCs w:val="20"/>
          </w:rPr>
          <w:instrText xml:space="preserve"> PAGEREF _Toc483491442 \h </w:instrText>
        </w:r>
        <w:r w:rsidR="003463BF" w:rsidRPr="00211EB6">
          <w:rPr>
            <w:noProof/>
            <w:webHidden/>
            <w:sz w:val="20"/>
            <w:szCs w:val="20"/>
          </w:rPr>
        </w:r>
        <w:r w:rsidR="003463BF" w:rsidRPr="00211EB6">
          <w:rPr>
            <w:noProof/>
            <w:webHidden/>
            <w:sz w:val="20"/>
            <w:szCs w:val="20"/>
          </w:rPr>
          <w:fldChar w:fldCharType="separate"/>
        </w:r>
        <w:r w:rsidR="00ED4F14">
          <w:rPr>
            <w:noProof/>
            <w:webHidden/>
            <w:sz w:val="20"/>
            <w:szCs w:val="20"/>
          </w:rPr>
          <w:t>4</w:t>
        </w:r>
        <w:r w:rsidR="003463BF" w:rsidRPr="00211EB6">
          <w:rPr>
            <w:noProof/>
            <w:webHidden/>
            <w:sz w:val="20"/>
            <w:szCs w:val="20"/>
          </w:rPr>
          <w:fldChar w:fldCharType="end"/>
        </w:r>
      </w:hyperlink>
    </w:p>
    <w:p w14:paraId="398B5414" w14:textId="77777777" w:rsidR="003463BF" w:rsidRPr="00211EB6" w:rsidRDefault="00ED4F14">
      <w:pPr>
        <w:pStyle w:val="TOC1"/>
        <w:rPr>
          <w:rFonts w:asciiTheme="minorHAnsi" w:eastAsiaTheme="minorEastAsia" w:hAnsiTheme="minorHAnsi" w:cstheme="minorBidi"/>
          <w:b w:val="0"/>
          <w:noProof/>
          <w:sz w:val="20"/>
          <w:szCs w:val="20"/>
          <w:lang w:eastAsia="en-GB"/>
        </w:rPr>
      </w:pPr>
      <w:hyperlink w:anchor="_Toc483491443" w:history="1">
        <w:r w:rsidR="003463BF" w:rsidRPr="00211EB6">
          <w:rPr>
            <w:rStyle w:val="Hyperlink"/>
            <w:noProof/>
            <w:sz w:val="20"/>
            <w:szCs w:val="20"/>
          </w:rPr>
          <w:t>1</w:t>
        </w:r>
        <w:r w:rsidR="003463BF" w:rsidRPr="00211EB6">
          <w:rPr>
            <w:rFonts w:asciiTheme="minorHAnsi" w:eastAsiaTheme="minorEastAsia" w:hAnsiTheme="minorHAnsi" w:cstheme="minorBidi"/>
            <w:b w:val="0"/>
            <w:noProof/>
            <w:sz w:val="20"/>
            <w:szCs w:val="20"/>
            <w:lang w:eastAsia="en-GB"/>
          </w:rPr>
          <w:tab/>
        </w:r>
        <w:r w:rsidR="003463BF" w:rsidRPr="00211EB6">
          <w:rPr>
            <w:rStyle w:val="Hyperlink"/>
            <w:noProof/>
            <w:sz w:val="20"/>
            <w:szCs w:val="20"/>
          </w:rPr>
          <w:t>Introduction</w:t>
        </w:r>
        <w:r w:rsidR="003463BF" w:rsidRPr="00211EB6">
          <w:rPr>
            <w:noProof/>
            <w:webHidden/>
            <w:sz w:val="20"/>
            <w:szCs w:val="20"/>
          </w:rPr>
          <w:tab/>
        </w:r>
        <w:r w:rsidR="003463BF" w:rsidRPr="00211EB6">
          <w:rPr>
            <w:noProof/>
            <w:webHidden/>
            <w:sz w:val="20"/>
            <w:szCs w:val="20"/>
          </w:rPr>
          <w:fldChar w:fldCharType="begin"/>
        </w:r>
        <w:r w:rsidR="003463BF" w:rsidRPr="00211EB6">
          <w:rPr>
            <w:noProof/>
            <w:webHidden/>
            <w:sz w:val="20"/>
            <w:szCs w:val="20"/>
          </w:rPr>
          <w:instrText xml:space="preserve"> PAGEREF _Toc483491443 \h </w:instrText>
        </w:r>
        <w:r w:rsidR="003463BF" w:rsidRPr="00211EB6">
          <w:rPr>
            <w:noProof/>
            <w:webHidden/>
            <w:sz w:val="20"/>
            <w:szCs w:val="20"/>
          </w:rPr>
        </w:r>
        <w:r w:rsidR="003463BF" w:rsidRPr="00211EB6">
          <w:rPr>
            <w:noProof/>
            <w:webHidden/>
            <w:sz w:val="20"/>
            <w:szCs w:val="20"/>
          </w:rPr>
          <w:fldChar w:fldCharType="separate"/>
        </w:r>
        <w:r>
          <w:rPr>
            <w:noProof/>
            <w:webHidden/>
            <w:sz w:val="20"/>
            <w:szCs w:val="20"/>
          </w:rPr>
          <w:t>5</w:t>
        </w:r>
        <w:r w:rsidR="003463BF" w:rsidRPr="00211EB6">
          <w:rPr>
            <w:noProof/>
            <w:webHidden/>
            <w:sz w:val="20"/>
            <w:szCs w:val="20"/>
          </w:rPr>
          <w:fldChar w:fldCharType="end"/>
        </w:r>
      </w:hyperlink>
    </w:p>
    <w:p w14:paraId="312554A4"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44" w:history="1">
        <w:r w:rsidR="003463BF" w:rsidRPr="00211EB6">
          <w:rPr>
            <w:rStyle w:val="Hyperlink"/>
            <w:sz w:val="20"/>
            <w:szCs w:val="20"/>
          </w:rPr>
          <w:t>1.1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Chemical identity of dicofol</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_Toc483491444 \h </w:instrText>
        </w:r>
        <w:r w:rsidR="003463BF" w:rsidRPr="00211EB6">
          <w:rPr>
            <w:webHidden/>
            <w:sz w:val="20"/>
            <w:szCs w:val="20"/>
          </w:rPr>
        </w:r>
        <w:r w:rsidR="003463BF" w:rsidRPr="00211EB6">
          <w:rPr>
            <w:webHidden/>
            <w:sz w:val="20"/>
            <w:szCs w:val="20"/>
          </w:rPr>
          <w:fldChar w:fldCharType="separate"/>
        </w:r>
        <w:r>
          <w:rPr>
            <w:webHidden/>
            <w:sz w:val="20"/>
            <w:szCs w:val="20"/>
          </w:rPr>
          <w:t>5</w:t>
        </w:r>
        <w:r w:rsidR="003463BF" w:rsidRPr="00211EB6">
          <w:rPr>
            <w:webHidden/>
            <w:sz w:val="20"/>
            <w:szCs w:val="20"/>
          </w:rPr>
          <w:fldChar w:fldCharType="end"/>
        </w:r>
      </w:hyperlink>
    </w:p>
    <w:p w14:paraId="002CD519"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45" w:history="1">
        <w:r w:rsidR="003463BF" w:rsidRPr="00211EB6">
          <w:rPr>
            <w:rStyle w:val="Hyperlink"/>
            <w:sz w:val="20"/>
            <w:szCs w:val="20"/>
          </w:rPr>
          <w:t>1.2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Production and uses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_Toc483491445 \h </w:instrText>
        </w:r>
        <w:r w:rsidR="003463BF" w:rsidRPr="00211EB6">
          <w:rPr>
            <w:webHidden/>
            <w:sz w:val="20"/>
            <w:szCs w:val="20"/>
          </w:rPr>
        </w:r>
        <w:r w:rsidR="003463BF" w:rsidRPr="00211EB6">
          <w:rPr>
            <w:webHidden/>
            <w:sz w:val="20"/>
            <w:szCs w:val="20"/>
          </w:rPr>
          <w:fldChar w:fldCharType="separate"/>
        </w:r>
        <w:r>
          <w:rPr>
            <w:webHidden/>
            <w:sz w:val="20"/>
            <w:szCs w:val="20"/>
          </w:rPr>
          <w:t>6</w:t>
        </w:r>
        <w:r w:rsidR="003463BF" w:rsidRPr="00211EB6">
          <w:rPr>
            <w:webHidden/>
            <w:sz w:val="20"/>
            <w:szCs w:val="20"/>
          </w:rPr>
          <w:fldChar w:fldCharType="end"/>
        </w:r>
      </w:hyperlink>
    </w:p>
    <w:p w14:paraId="52F7D86D"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46" w:history="1">
        <w:r w:rsidR="003463BF" w:rsidRPr="00211EB6">
          <w:rPr>
            <w:rStyle w:val="Hyperlink"/>
            <w:sz w:val="20"/>
            <w:szCs w:val="20"/>
          </w:rPr>
          <w:t>1.3</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Conclusions of the Review Committee regarding Annex E information</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_Toc483491446 \h </w:instrText>
        </w:r>
        <w:r w:rsidR="003463BF" w:rsidRPr="00211EB6">
          <w:rPr>
            <w:webHidden/>
            <w:sz w:val="20"/>
            <w:szCs w:val="20"/>
          </w:rPr>
        </w:r>
        <w:r w:rsidR="003463BF" w:rsidRPr="00211EB6">
          <w:rPr>
            <w:webHidden/>
            <w:sz w:val="20"/>
            <w:szCs w:val="20"/>
          </w:rPr>
          <w:fldChar w:fldCharType="separate"/>
        </w:r>
        <w:r>
          <w:rPr>
            <w:webHidden/>
            <w:sz w:val="20"/>
            <w:szCs w:val="20"/>
          </w:rPr>
          <w:t>7</w:t>
        </w:r>
        <w:r w:rsidR="003463BF" w:rsidRPr="00211EB6">
          <w:rPr>
            <w:webHidden/>
            <w:sz w:val="20"/>
            <w:szCs w:val="20"/>
          </w:rPr>
          <w:fldChar w:fldCharType="end"/>
        </w:r>
      </w:hyperlink>
    </w:p>
    <w:p w14:paraId="0936BE38"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47" w:history="1">
        <w:r w:rsidR="003463BF" w:rsidRPr="00211EB6">
          <w:rPr>
            <w:rStyle w:val="Hyperlink"/>
            <w:sz w:val="20"/>
            <w:szCs w:val="20"/>
          </w:rPr>
          <w:t>1.4</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Data sources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_Toc483491447 \h </w:instrText>
        </w:r>
        <w:r w:rsidR="003463BF" w:rsidRPr="00211EB6">
          <w:rPr>
            <w:webHidden/>
            <w:sz w:val="20"/>
            <w:szCs w:val="20"/>
          </w:rPr>
        </w:r>
        <w:r w:rsidR="003463BF" w:rsidRPr="00211EB6">
          <w:rPr>
            <w:webHidden/>
            <w:sz w:val="20"/>
            <w:szCs w:val="20"/>
          </w:rPr>
          <w:fldChar w:fldCharType="separate"/>
        </w:r>
        <w:r>
          <w:rPr>
            <w:webHidden/>
            <w:sz w:val="20"/>
            <w:szCs w:val="20"/>
          </w:rPr>
          <w:t>7</w:t>
        </w:r>
        <w:r w:rsidR="003463BF" w:rsidRPr="00211EB6">
          <w:rPr>
            <w:webHidden/>
            <w:sz w:val="20"/>
            <w:szCs w:val="20"/>
          </w:rPr>
          <w:fldChar w:fldCharType="end"/>
        </w:r>
      </w:hyperlink>
    </w:p>
    <w:p w14:paraId="142C2C6F"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48" w:history="1">
        <w:r w:rsidR="003463BF" w:rsidRPr="00211EB6">
          <w:rPr>
            <w:rStyle w:val="Hyperlink"/>
            <w:sz w:val="20"/>
            <w:szCs w:val="20"/>
          </w:rPr>
          <w:t>1.4.1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Overview of data submitted by Parties and observers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_Toc483491448 \h </w:instrText>
        </w:r>
        <w:r w:rsidR="003463BF" w:rsidRPr="00211EB6">
          <w:rPr>
            <w:webHidden/>
            <w:sz w:val="20"/>
            <w:szCs w:val="20"/>
          </w:rPr>
        </w:r>
        <w:r w:rsidR="003463BF" w:rsidRPr="00211EB6">
          <w:rPr>
            <w:webHidden/>
            <w:sz w:val="20"/>
            <w:szCs w:val="20"/>
          </w:rPr>
          <w:fldChar w:fldCharType="separate"/>
        </w:r>
        <w:r>
          <w:rPr>
            <w:webHidden/>
            <w:sz w:val="20"/>
            <w:szCs w:val="20"/>
          </w:rPr>
          <w:t>7</w:t>
        </w:r>
        <w:r w:rsidR="003463BF" w:rsidRPr="00211EB6">
          <w:rPr>
            <w:webHidden/>
            <w:sz w:val="20"/>
            <w:szCs w:val="20"/>
          </w:rPr>
          <w:fldChar w:fldCharType="end"/>
        </w:r>
      </w:hyperlink>
    </w:p>
    <w:p w14:paraId="7DB159BD"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49" w:history="1">
        <w:r w:rsidR="003463BF" w:rsidRPr="00211EB6">
          <w:rPr>
            <w:rStyle w:val="Hyperlink"/>
            <w:sz w:val="20"/>
            <w:szCs w:val="20"/>
          </w:rPr>
          <w:t>1.4.2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Other data sources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_Toc483491449 \h </w:instrText>
        </w:r>
        <w:r w:rsidR="003463BF" w:rsidRPr="00211EB6">
          <w:rPr>
            <w:webHidden/>
            <w:sz w:val="20"/>
            <w:szCs w:val="20"/>
          </w:rPr>
        </w:r>
        <w:r w:rsidR="003463BF" w:rsidRPr="00211EB6">
          <w:rPr>
            <w:webHidden/>
            <w:sz w:val="20"/>
            <w:szCs w:val="20"/>
          </w:rPr>
          <w:fldChar w:fldCharType="separate"/>
        </w:r>
        <w:r>
          <w:rPr>
            <w:webHidden/>
            <w:sz w:val="20"/>
            <w:szCs w:val="20"/>
          </w:rPr>
          <w:t>7</w:t>
        </w:r>
        <w:r w:rsidR="003463BF" w:rsidRPr="00211EB6">
          <w:rPr>
            <w:webHidden/>
            <w:sz w:val="20"/>
            <w:szCs w:val="20"/>
          </w:rPr>
          <w:fldChar w:fldCharType="end"/>
        </w:r>
      </w:hyperlink>
    </w:p>
    <w:p w14:paraId="17CCA970"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50" w:history="1">
        <w:r w:rsidR="003463BF" w:rsidRPr="00211EB6">
          <w:rPr>
            <w:rStyle w:val="Hyperlink"/>
            <w:sz w:val="20"/>
            <w:szCs w:val="20"/>
          </w:rPr>
          <w:t>1.5</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Status of the chemical under International Conventions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_Toc483491450 \h </w:instrText>
        </w:r>
        <w:r w:rsidR="003463BF" w:rsidRPr="00211EB6">
          <w:rPr>
            <w:webHidden/>
            <w:sz w:val="20"/>
            <w:szCs w:val="20"/>
          </w:rPr>
        </w:r>
        <w:r w:rsidR="003463BF" w:rsidRPr="00211EB6">
          <w:rPr>
            <w:webHidden/>
            <w:sz w:val="20"/>
            <w:szCs w:val="20"/>
          </w:rPr>
          <w:fldChar w:fldCharType="separate"/>
        </w:r>
        <w:r>
          <w:rPr>
            <w:webHidden/>
            <w:sz w:val="20"/>
            <w:szCs w:val="20"/>
          </w:rPr>
          <w:t>7</w:t>
        </w:r>
        <w:r w:rsidR="003463BF" w:rsidRPr="00211EB6">
          <w:rPr>
            <w:webHidden/>
            <w:sz w:val="20"/>
            <w:szCs w:val="20"/>
          </w:rPr>
          <w:fldChar w:fldCharType="end"/>
        </w:r>
      </w:hyperlink>
    </w:p>
    <w:p w14:paraId="218CF83E"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51" w:history="1">
        <w:r w:rsidR="003463BF" w:rsidRPr="00211EB6">
          <w:rPr>
            <w:rStyle w:val="Hyperlink"/>
            <w:sz w:val="20"/>
            <w:szCs w:val="20"/>
          </w:rPr>
          <w:t>1.6</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Any national or regional control actions taken</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_Toc483491451 \h </w:instrText>
        </w:r>
        <w:r w:rsidR="003463BF" w:rsidRPr="00211EB6">
          <w:rPr>
            <w:webHidden/>
            <w:sz w:val="20"/>
            <w:szCs w:val="20"/>
          </w:rPr>
        </w:r>
        <w:r w:rsidR="003463BF" w:rsidRPr="00211EB6">
          <w:rPr>
            <w:webHidden/>
            <w:sz w:val="20"/>
            <w:szCs w:val="20"/>
          </w:rPr>
          <w:fldChar w:fldCharType="separate"/>
        </w:r>
        <w:r>
          <w:rPr>
            <w:webHidden/>
            <w:sz w:val="20"/>
            <w:szCs w:val="20"/>
          </w:rPr>
          <w:t>8</w:t>
        </w:r>
        <w:r w:rsidR="003463BF" w:rsidRPr="00211EB6">
          <w:rPr>
            <w:webHidden/>
            <w:sz w:val="20"/>
            <w:szCs w:val="20"/>
          </w:rPr>
          <w:fldChar w:fldCharType="end"/>
        </w:r>
      </w:hyperlink>
    </w:p>
    <w:p w14:paraId="381C3219" w14:textId="77777777" w:rsidR="003463BF" w:rsidRPr="00211EB6" w:rsidRDefault="00ED4F14">
      <w:pPr>
        <w:pStyle w:val="TOC1"/>
        <w:rPr>
          <w:rFonts w:asciiTheme="minorHAnsi" w:eastAsiaTheme="minorEastAsia" w:hAnsiTheme="minorHAnsi" w:cstheme="minorBidi"/>
          <w:b w:val="0"/>
          <w:noProof/>
          <w:sz w:val="20"/>
          <w:szCs w:val="20"/>
          <w:lang w:eastAsia="en-GB"/>
        </w:rPr>
      </w:pPr>
      <w:hyperlink w:anchor="_Toc483491452" w:history="1">
        <w:r w:rsidR="003463BF" w:rsidRPr="00211EB6">
          <w:rPr>
            <w:rStyle w:val="Hyperlink"/>
            <w:noProof/>
            <w:sz w:val="20"/>
            <w:szCs w:val="20"/>
          </w:rPr>
          <w:t>2</w:t>
        </w:r>
        <w:r w:rsidR="003463BF" w:rsidRPr="00211EB6">
          <w:rPr>
            <w:rFonts w:asciiTheme="minorHAnsi" w:eastAsiaTheme="minorEastAsia" w:hAnsiTheme="minorHAnsi" w:cstheme="minorBidi"/>
            <w:b w:val="0"/>
            <w:noProof/>
            <w:sz w:val="20"/>
            <w:szCs w:val="20"/>
            <w:lang w:eastAsia="en-GB"/>
          </w:rPr>
          <w:tab/>
        </w:r>
        <w:r w:rsidR="003463BF" w:rsidRPr="00211EB6">
          <w:rPr>
            <w:rStyle w:val="Hyperlink"/>
            <w:noProof/>
            <w:sz w:val="20"/>
            <w:szCs w:val="20"/>
          </w:rPr>
          <w:t>Summary information relevant to the risk management evaluation</w:t>
        </w:r>
        <w:r w:rsidR="003463BF" w:rsidRPr="00211EB6">
          <w:rPr>
            <w:noProof/>
            <w:webHidden/>
            <w:sz w:val="20"/>
            <w:szCs w:val="20"/>
          </w:rPr>
          <w:tab/>
        </w:r>
        <w:r w:rsidR="003463BF" w:rsidRPr="00211EB6">
          <w:rPr>
            <w:noProof/>
            <w:webHidden/>
            <w:sz w:val="20"/>
            <w:szCs w:val="20"/>
          </w:rPr>
          <w:fldChar w:fldCharType="begin"/>
        </w:r>
        <w:r w:rsidR="003463BF" w:rsidRPr="00211EB6">
          <w:rPr>
            <w:noProof/>
            <w:webHidden/>
            <w:sz w:val="20"/>
            <w:szCs w:val="20"/>
          </w:rPr>
          <w:instrText xml:space="preserve"> PAGEREF _Toc483491452 \h </w:instrText>
        </w:r>
        <w:r w:rsidR="003463BF" w:rsidRPr="00211EB6">
          <w:rPr>
            <w:noProof/>
            <w:webHidden/>
            <w:sz w:val="20"/>
            <w:szCs w:val="20"/>
          </w:rPr>
        </w:r>
        <w:r w:rsidR="003463BF" w:rsidRPr="00211EB6">
          <w:rPr>
            <w:noProof/>
            <w:webHidden/>
            <w:sz w:val="20"/>
            <w:szCs w:val="20"/>
          </w:rPr>
          <w:fldChar w:fldCharType="separate"/>
        </w:r>
        <w:r>
          <w:rPr>
            <w:noProof/>
            <w:webHidden/>
            <w:sz w:val="20"/>
            <w:szCs w:val="20"/>
          </w:rPr>
          <w:t>9</w:t>
        </w:r>
        <w:r w:rsidR="003463BF" w:rsidRPr="00211EB6">
          <w:rPr>
            <w:noProof/>
            <w:webHidden/>
            <w:sz w:val="20"/>
            <w:szCs w:val="20"/>
          </w:rPr>
          <w:fldChar w:fldCharType="end"/>
        </w:r>
      </w:hyperlink>
    </w:p>
    <w:p w14:paraId="2CBABF2D"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53" w:history="1">
        <w:r w:rsidR="003463BF" w:rsidRPr="00211EB6">
          <w:rPr>
            <w:rStyle w:val="Hyperlink"/>
            <w:sz w:val="20"/>
            <w:szCs w:val="20"/>
          </w:rPr>
          <w:t>2.1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Identification of possible control measures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_Toc483491453 \h </w:instrText>
        </w:r>
        <w:r w:rsidR="003463BF" w:rsidRPr="00211EB6">
          <w:rPr>
            <w:webHidden/>
            <w:sz w:val="20"/>
            <w:szCs w:val="20"/>
          </w:rPr>
        </w:r>
        <w:r w:rsidR="003463BF" w:rsidRPr="00211EB6">
          <w:rPr>
            <w:webHidden/>
            <w:sz w:val="20"/>
            <w:szCs w:val="20"/>
          </w:rPr>
          <w:fldChar w:fldCharType="separate"/>
        </w:r>
        <w:r>
          <w:rPr>
            <w:webHidden/>
            <w:sz w:val="20"/>
            <w:szCs w:val="20"/>
          </w:rPr>
          <w:t>9</w:t>
        </w:r>
        <w:r w:rsidR="003463BF" w:rsidRPr="00211EB6">
          <w:rPr>
            <w:webHidden/>
            <w:sz w:val="20"/>
            <w:szCs w:val="20"/>
          </w:rPr>
          <w:fldChar w:fldCharType="end"/>
        </w:r>
      </w:hyperlink>
    </w:p>
    <w:p w14:paraId="1344EFE0"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54" w:history="1">
        <w:r w:rsidR="003463BF" w:rsidRPr="00211EB6">
          <w:rPr>
            <w:rStyle w:val="Hyperlink"/>
            <w:sz w:val="20"/>
            <w:szCs w:val="20"/>
          </w:rPr>
          <w:t>2.2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Efficacy and efficiency of possible control measures in meeting risk reduction goals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_Toc483491454 \h </w:instrText>
        </w:r>
        <w:r w:rsidR="003463BF" w:rsidRPr="00211EB6">
          <w:rPr>
            <w:webHidden/>
            <w:sz w:val="20"/>
            <w:szCs w:val="20"/>
          </w:rPr>
        </w:r>
        <w:r w:rsidR="003463BF" w:rsidRPr="00211EB6">
          <w:rPr>
            <w:webHidden/>
            <w:sz w:val="20"/>
            <w:szCs w:val="20"/>
          </w:rPr>
          <w:fldChar w:fldCharType="separate"/>
        </w:r>
        <w:r>
          <w:rPr>
            <w:webHidden/>
            <w:sz w:val="20"/>
            <w:szCs w:val="20"/>
          </w:rPr>
          <w:t>9</w:t>
        </w:r>
        <w:r w:rsidR="003463BF" w:rsidRPr="00211EB6">
          <w:rPr>
            <w:webHidden/>
            <w:sz w:val="20"/>
            <w:szCs w:val="20"/>
          </w:rPr>
          <w:fldChar w:fldCharType="end"/>
        </w:r>
      </w:hyperlink>
    </w:p>
    <w:p w14:paraId="56B325A3"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55" w:history="1">
        <w:r w:rsidR="003463BF" w:rsidRPr="00211EB6">
          <w:rPr>
            <w:rStyle w:val="Hyperlink"/>
            <w:sz w:val="20"/>
            <w:szCs w:val="20"/>
          </w:rPr>
          <w:t>2.2.1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Technical feasibility</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_Toc483491455 \h </w:instrText>
        </w:r>
        <w:r w:rsidR="003463BF" w:rsidRPr="00211EB6">
          <w:rPr>
            <w:webHidden/>
            <w:sz w:val="20"/>
            <w:szCs w:val="20"/>
          </w:rPr>
        </w:r>
        <w:r w:rsidR="003463BF" w:rsidRPr="00211EB6">
          <w:rPr>
            <w:webHidden/>
            <w:sz w:val="20"/>
            <w:szCs w:val="20"/>
          </w:rPr>
          <w:fldChar w:fldCharType="separate"/>
        </w:r>
        <w:r>
          <w:rPr>
            <w:webHidden/>
            <w:sz w:val="20"/>
            <w:szCs w:val="20"/>
          </w:rPr>
          <w:t>9</w:t>
        </w:r>
        <w:r w:rsidR="003463BF" w:rsidRPr="00211EB6">
          <w:rPr>
            <w:webHidden/>
            <w:sz w:val="20"/>
            <w:szCs w:val="20"/>
          </w:rPr>
          <w:fldChar w:fldCharType="end"/>
        </w:r>
      </w:hyperlink>
    </w:p>
    <w:p w14:paraId="31B7C013"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56" w:history="1">
        <w:r w:rsidR="003463BF" w:rsidRPr="00211EB6">
          <w:rPr>
            <w:rStyle w:val="Hyperlink"/>
            <w:sz w:val="20"/>
            <w:szCs w:val="20"/>
          </w:rPr>
          <w:t>2.2.2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Identification of critical uses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_Toc483491456 \h </w:instrText>
        </w:r>
        <w:r w:rsidR="003463BF" w:rsidRPr="00211EB6">
          <w:rPr>
            <w:webHidden/>
            <w:sz w:val="20"/>
            <w:szCs w:val="20"/>
          </w:rPr>
        </w:r>
        <w:r w:rsidR="003463BF" w:rsidRPr="00211EB6">
          <w:rPr>
            <w:webHidden/>
            <w:sz w:val="20"/>
            <w:szCs w:val="20"/>
          </w:rPr>
          <w:fldChar w:fldCharType="separate"/>
        </w:r>
        <w:r>
          <w:rPr>
            <w:webHidden/>
            <w:sz w:val="20"/>
            <w:szCs w:val="20"/>
          </w:rPr>
          <w:t>14</w:t>
        </w:r>
        <w:r w:rsidR="003463BF" w:rsidRPr="00211EB6">
          <w:rPr>
            <w:webHidden/>
            <w:sz w:val="20"/>
            <w:szCs w:val="20"/>
          </w:rPr>
          <w:fldChar w:fldCharType="end"/>
        </w:r>
      </w:hyperlink>
    </w:p>
    <w:p w14:paraId="715054EB"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57" w:history="1">
        <w:r w:rsidR="003463BF" w:rsidRPr="00211EB6">
          <w:rPr>
            <w:rStyle w:val="Hyperlink"/>
            <w:sz w:val="20"/>
            <w:szCs w:val="20"/>
          </w:rPr>
          <w:t>2.2.3</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Costs and benefits of implementing control measures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_Toc483491457 \h </w:instrText>
        </w:r>
        <w:r w:rsidR="003463BF" w:rsidRPr="00211EB6">
          <w:rPr>
            <w:webHidden/>
            <w:sz w:val="20"/>
            <w:szCs w:val="20"/>
          </w:rPr>
        </w:r>
        <w:r w:rsidR="003463BF" w:rsidRPr="00211EB6">
          <w:rPr>
            <w:webHidden/>
            <w:sz w:val="20"/>
            <w:szCs w:val="20"/>
          </w:rPr>
          <w:fldChar w:fldCharType="separate"/>
        </w:r>
        <w:r>
          <w:rPr>
            <w:webHidden/>
            <w:sz w:val="20"/>
            <w:szCs w:val="20"/>
          </w:rPr>
          <w:t>14</w:t>
        </w:r>
        <w:r w:rsidR="003463BF" w:rsidRPr="00211EB6">
          <w:rPr>
            <w:webHidden/>
            <w:sz w:val="20"/>
            <w:szCs w:val="20"/>
          </w:rPr>
          <w:fldChar w:fldCharType="end"/>
        </w:r>
      </w:hyperlink>
    </w:p>
    <w:p w14:paraId="31D6A82B"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58" w:history="1">
        <w:r w:rsidR="003463BF" w:rsidRPr="00211EB6">
          <w:rPr>
            <w:rStyle w:val="Hyperlink"/>
            <w:sz w:val="20"/>
            <w:szCs w:val="20"/>
          </w:rPr>
          <w:t>2.3</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Information on alternatives (products and processes)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_Toc483491458 \h </w:instrText>
        </w:r>
        <w:r w:rsidR="003463BF" w:rsidRPr="00211EB6">
          <w:rPr>
            <w:webHidden/>
            <w:sz w:val="20"/>
            <w:szCs w:val="20"/>
          </w:rPr>
        </w:r>
        <w:r w:rsidR="003463BF" w:rsidRPr="00211EB6">
          <w:rPr>
            <w:webHidden/>
            <w:sz w:val="20"/>
            <w:szCs w:val="20"/>
          </w:rPr>
          <w:fldChar w:fldCharType="separate"/>
        </w:r>
        <w:r>
          <w:rPr>
            <w:webHidden/>
            <w:sz w:val="20"/>
            <w:szCs w:val="20"/>
          </w:rPr>
          <w:t>16</w:t>
        </w:r>
        <w:r w:rsidR="003463BF" w:rsidRPr="00211EB6">
          <w:rPr>
            <w:webHidden/>
            <w:sz w:val="20"/>
            <w:szCs w:val="20"/>
          </w:rPr>
          <w:fldChar w:fldCharType="end"/>
        </w:r>
      </w:hyperlink>
    </w:p>
    <w:p w14:paraId="12FE4993"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59" w:history="1">
        <w:r w:rsidR="003463BF" w:rsidRPr="00211EB6">
          <w:rPr>
            <w:rStyle w:val="Hyperlink"/>
            <w:sz w:val="20"/>
            <w:szCs w:val="20"/>
          </w:rPr>
          <w:t>2.3.1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Overview of alternatives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_Toc483491459 \h </w:instrText>
        </w:r>
        <w:r w:rsidR="003463BF" w:rsidRPr="00211EB6">
          <w:rPr>
            <w:webHidden/>
            <w:sz w:val="20"/>
            <w:szCs w:val="20"/>
          </w:rPr>
        </w:r>
        <w:r w:rsidR="003463BF" w:rsidRPr="00211EB6">
          <w:rPr>
            <w:webHidden/>
            <w:sz w:val="20"/>
            <w:szCs w:val="20"/>
          </w:rPr>
          <w:fldChar w:fldCharType="separate"/>
        </w:r>
        <w:r>
          <w:rPr>
            <w:webHidden/>
            <w:sz w:val="20"/>
            <w:szCs w:val="20"/>
          </w:rPr>
          <w:t>16</w:t>
        </w:r>
        <w:r w:rsidR="003463BF" w:rsidRPr="00211EB6">
          <w:rPr>
            <w:webHidden/>
            <w:sz w:val="20"/>
            <w:szCs w:val="20"/>
          </w:rPr>
          <w:fldChar w:fldCharType="end"/>
        </w:r>
      </w:hyperlink>
    </w:p>
    <w:p w14:paraId="4059389C"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0" w:history="1">
        <w:r w:rsidR="003463BF" w:rsidRPr="00211EB6">
          <w:rPr>
            <w:rStyle w:val="Hyperlink"/>
            <w:sz w:val="20"/>
            <w:szCs w:val="20"/>
          </w:rPr>
          <w:t>2.3.2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Chemical alternatives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_Toc483491460 \h </w:instrText>
        </w:r>
        <w:r w:rsidR="003463BF" w:rsidRPr="00211EB6">
          <w:rPr>
            <w:webHidden/>
            <w:sz w:val="20"/>
            <w:szCs w:val="20"/>
          </w:rPr>
        </w:r>
        <w:r w:rsidR="003463BF" w:rsidRPr="00211EB6">
          <w:rPr>
            <w:webHidden/>
            <w:sz w:val="20"/>
            <w:szCs w:val="20"/>
          </w:rPr>
          <w:fldChar w:fldCharType="separate"/>
        </w:r>
        <w:r>
          <w:rPr>
            <w:webHidden/>
            <w:sz w:val="20"/>
            <w:szCs w:val="20"/>
          </w:rPr>
          <w:t>16</w:t>
        </w:r>
        <w:r w:rsidR="003463BF" w:rsidRPr="00211EB6">
          <w:rPr>
            <w:webHidden/>
            <w:sz w:val="20"/>
            <w:szCs w:val="20"/>
          </w:rPr>
          <w:fldChar w:fldCharType="end"/>
        </w:r>
      </w:hyperlink>
    </w:p>
    <w:p w14:paraId="39DD98F5"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1" w:history="1">
        <w:r w:rsidR="003463BF" w:rsidRPr="00211EB6">
          <w:rPr>
            <w:rStyle w:val="Hyperlink"/>
            <w:sz w:val="20"/>
            <w:szCs w:val="20"/>
          </w:rPr>
          <w:t>2.3.3</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Non-chemical alternatives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_Toc483491461 \h </w:instrText>
        </w:r>
        <w:r w:rsidR="003463BF" w:rsidRPr="00211EB6">
          <w:rPr>
            <w:webHidden/>
            <w:sz w:val="20"/>
            <w:szCs w:val="20"/>
          </w:rPr>
        </w:r>
        <w:r w:rsidR="003463BF" w:rsidRPr="00211EB6">
          <w:rPr>
            <w:webHidden/>
            <w:sz w:val="20"/>
            <w:szCs w:val="20"/>
          </w:rPr>
          <w:fldChar w:fldCharType="separate"/>
        </w:r>
        <w:r>
          <w:rPr>
            <w:webHidden/>
            <w:sz w:val="20"/>
            <w:szCs w:val="20"/>
          </w:rPr>
          <w:t>20</w:t>
        </w:r>
        <w:r w:rsidR="003463BF" w:rsidRPr="00211EB6">
          <w:rPr>
            <w:webHidden/>
            <w:sz w:val="20"/>
            <w:szCs w:val="20"/>
          </w:rPr>
          <w:fldChar w:fldCharType="end"/>
        </w:r>
      </w:hyperlink>
    </w:p>
    <w:p w14:paraId="0541B225"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2" w:history="1">
        <w:r w:rsidR="003463BF" w:rsidRPr="00211EB6">
          <w:rPr>
            <w:rStyle w:val="Hyperlink"/>
            <w:sz w:val="20"/>
            <w:szCs w:val="20"/>
          </w:rPr>
          <w:t>2.3.4</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Summary of alternatives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_Toc483491462 \h </w:instrText>
        </w:r>
        <w:r w:rsidR="003463BF" w:rsidRPr="00211EB6">
          <w:rPr>
            <w:webHidden/>
            <w:sz w:val="20"/>
            <w:szCs w:val="20"/>
          </w:rPr>
        </w:r>
        <w:r w:rsidR="003463BF" w:rsidRPr="00211EB6">
          <w:rPr>
            <w:webHidden/>
            <w:sz w:val="20"/>
            <w:szCs w:val="20"/>
          </w:rPr>
          <w:fldChar w:fldCharType="separate"/>
        </w:r>
        <w:r>
          <w:rPr>
            <w:webHidden/>
            <w:sz w:val="20"/>
            <w:szCs w:val="20"/>
          </w:rPr>
          <w:t>22</w:t>
        </w:r>
        <w:r w:rsidR="003463BF" w:rsidRPr="00211EB6">
          <w:rPr>
            <w:webHidden/>
            <w:sz w:val="20"/>
            <w:szCs w:val="20"/>
          </w:rPr>
          <w:fldChar w:fldCharType="end"/>
        </w:r>
      </w:hyperlink>
    </w:p>
    <w:p w14:paraId="445BDF54"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63" w:history="1">
        <w:r w:rsidR="003463BF" w:rsidRPr="00211EB6">
          <w:rPr>
            <w:rStyle w:val="Hyperlink"/>
            <w:sz w:val="20"/>
            <w:szCs w:val="20"/>
          </w:rPr>
          <w:t>2.4</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Summary of information on impacts on society of implementing possible control measures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_Toc483491463 \h </w:instrText>
        </w:r>
        <w:r w:rsidR="003463BF" w:rsidRPr="00211EB6">
          <w:rPr>
            <w:webHidden/>
            <w:sz w:val="20"/>
            <w:szCs w:val="20"/>
          </w:rPr>
        </w:r>
        <w:r w:rsidR="003463BF" w:rsidRPr="00211EB6">
          <w:rPr>
            <w:webHidden/>
            <w:sz w:val="20"/>
            <w:szCs w:val="20"/>
          </w:rPr>
          <w:fldChar w:fldCharType="separate"/>
        </w:r>
        <w:r>
          <w:rPr>
            <w:webHidden/>
            <w:sz w:val="20"/>
            <w:szCs w:val="20"/>
          </w:rPr>
          <w:t>22</w:t>
        </w:r>
        <w:r w:rsidR="003463BF" w:rsidRPr="00211EB6">
          <w:rPr>
            <w:webHidden/>
            <w:sz w:val="20"/>
            <w:szCs w:val="20"/>
          </w:rPr>
          <w:fldChar w:fldCharType="end"/>
        </w:r>
      </w:hyperlink>
    </w:p>
    <w:p w14:paraId="1393619A"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4" w:history="1">
        <w:r w:rsidR="003463BF" w:rsidRPr="00211EB6">
          <w:rPr>
            <w:rStyle w:val="Hyperlink"/>
            <w:sz w:val="20"/>
            <w:szCs w:val="20"/>
          </w:rPr>
          <w:t>2.4.1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Health, including public, environmental and occupational health</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_Toc483491464 \h </w:instrText>
        </w:r>
        <w:r w:rsidR="003463BF" w:rsidRPr="00211EB6">
          <w:rPr>
            <w:webHidden/>
            <w:sz w:val="20"/>
            <w:szCs w:val="20"/>
          </w:rPr>
        </w:r>
        <w:r w:rsidR="003463BF" w:rsidRPr="00211EB6">
          <w:rPr>
            <w:webHidden/>
            <w:sz w:val="20"/>
            <w:szCs w:val="20"/>
          </w:rPr>
          <w:fldChar w:fldCharType="separate"/>
        </w:r>
        <w:r>
          <w:rPr>
            <w:webHidden/>
            <w:sz w:val="20"/>
            <w:szCs w:val="20"/>
          </w:rPr>
          <w:t>22</w:t>
        </w:r>
        <w:r w:rsidR="003463BF" w:rsidRPr="00211EB6">
          <w:rPr>
            <w:webHidden/>
            <w:sz w:val="20"/>
            <w:szCs w:val="20"/>
          </w:rPr>
          <w:fldChar w:fldCharType="end"/>
        </w:r>
      </w:hyperlink>
    </w:p>
    <w:p w14:paraId="1813FA62"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5" w:history="1">
        <w:r w:rsidR="003463BF" w:rsidRPr="00211EB6">
          <w:rPr>
            <w:rStyle w:val="Hyperlink"/>
            <w:sz w:val="20"/>
            <w:szCs w:val="20"/>
          </w:rPr>
          <w:t>2.4.2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Agriculture, aquaculture and forestry</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_Toc483491465 \h </w:instrText>
        </w:r>
        <w:r w:rsidR="003463BF" w:rsidRPr="00211EB6">
          <w:rPr>
            <w:webHidden/>
            <w:sz w:val="20"/>
            <w:szCs w:val="20"/>
          </w:rPr>
        </w:r>
        <w:r w:rsidR="003463BF" w:rsidRPr="00211EB6">
          <w:rPr>
            <w:webHidden/>
            <w:sz w:val="20"/>
            <w:szCs w:val="20"/>
          </w:rPr>
          <w:fldChar w:fldCharType="separate"/>
        </w:r>
        <w:r>
          <w:rPr>
            <w:webHidden/>
            <w:sz w:val="20"/>
            <w:szCs w:val="20"/>
          </w:rPr>
          <w:t>22</w:t>
        </w:r>
        <w:r w:rsidR="003463BF" w:rsidRPr="00211EB6">
          <w:rPr>
            <w:webHidden/>
            <w:sz w:val="20"/>
            <w:szCs w:val="20"/>
          </w:rPr>
          <w:fldChar w:fldCharType="end"/>
        </w:r>
      </w:hyperlink>
    </w:p>
    <w:p w14:paraId="5179463C"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6" w:history="1">
        <w:r w:rsidR="003463BF" w:rsidRPr="00211EB6">
          <w:rPr>
            <w:rStyle w:val="Hyperlink"/>
            <w:sz w:val="20"/>
            <w:szCs w:val="20"/>
          </w:rPr>
          <w:t>2.4.3</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Biota (biodiversity)</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_Toc483491466 \h </w:instrText>
        </w:r>
        <w:r w:rsidR="003463BF" w:rsidRPr="00211EB6">
          <w:rPr>
            <w:webHidden/>
            <w:sz w:val="20"/>
            <w:szCs w:val="20"/>
          </w:rPr>
        </w:r>
        <w:r w:rsidR="003463BF" w:rsidRPr="00211EB6">
          <w:rPr>
            <w:webHidden/>
            <w:sz w:val="20"/>
            <w:szCs w:val="20"/>
          </w:rPr>
          <w:fldChar w:fldCharType="separate"/>
        </w:r>
        <w:r>
          <w:rPr>
            <w:webHidden/>
            <w:sz w:val="20"/>
            <w:szCs w:val="20"/>
          </w:rPr>
          <w:t>23</w:t>
        </w:r>
        <w:r w:rsidR="003463BF" w:rsidRPr="00211EB6">
          <w:rPr>
            <w:webHidden/>
            <w:sz w:val="20"/>
            <w:szCs w:val="20"/>
          </w:rPr>
          <w:fldChar w:fldCharType="end"/>
        </w:r>
      </w:hyperlink>
    </w:p>
    <w:p w14:paraId="34885453"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7" w:history="1">
        <w:r w:rsidR="003463BF" w:rsidRPr="00211EB6">
          <w:rPr>
            <w:rStyle w:val="Hyperlink"/>
            <w:sz w:val="20"/>
            <w:szCs w:val="20"/>
          </w:rPr>
          <w:t>2.4.4</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Economic aspects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_Toc483491467 \h </w:instrText>
        </w:r>
        <w:r w:rsidR="003463BF" w:rsidRPr="00211EB6">
          <w:rPr>
            <w:webHidden/>
            <w:sz w:val="20"/>
            <w:szCs w:val="20"/>
          </w:rPr>
        </w:r>
        <w:r w:rsidR="003463BF" w:rsidRPr="00211EB6">
          <w:rPr>
            <w:webHidden/>
            <w:sz w:val="20"/>
            <w:szCs w:val="20"/>
          </w:rPr>
          <w:fldChar w:fldCharType="separate"/>
        </w:r>
        <w:r>
          <w:rPr>
            <w:webHidden/>
            <w:sz w:val="20"/>
            <w:szCs w:val="20"/>
          </w:rPr>
          <w:t>23</w:t>
        </w:r>
        <w:r w:rsidR="003463BF" w:rsidRPr="00211EB6">
          <w:rPr>
            <w:webHidden/>
            <w:sz w:val="20"/>
            <w:szCs w:val="20"/>
          </w:rPr>
          <w:fldChar w:fldCharType="end"/>
        </w:r>
      </w:hyperlink>
    </w:p>
    <w:p w14:paraId="6D17B689"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8" w:history="1">
        <w:r w:rsidR="003463BF" w:rsidRPr="00211EB6">
          <w:rPr>
            <w:rStyle w:val="Hyperlink"/>
            <w:sz w:val="20"/>
            <w:szCs w:val="20"/>
          </w:rPr>
          <w:t>2.4.5</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Movement towards sustainable development</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_Toc483491468 \h </w:instrText>
        </w:r>
        <w:r w:rsidR="003463BF" w:rsidRPr="00211EB6">
          <w:rPr>
            <w:webHidden/>
            <w:sz w:val="20"/>
            <w:szCs w:val="20"/>
          </w:rPr>
        </w:r>
        <w:r w:rsidR="003463BF" w:rsidRPr="00211EB6">
          <w:rPr>
            <w:webHidden/>
            <w:sz w:val="20"/>
            <w:szCs w:val="20"/>
          </w:rPr>
          <w:fldChar w:fldCharType="separate"/>
        </w:r>
        <w:r>
          <w:rPr>
            <w:webHidden/>
            <w:sz w:val="20"/>
            <w:szCs w:val="20"/>
          </w:rPr>
          <w:t>23</w:t>
        </w:r>
        <w:r w:rsidR="003463BF" w:rsidRPr="00211EB6">
          <w:rPr>
            <w:webHidden/>
            <w:sz w:val="20"/>
            <w:szCs w:val="20"/>
          </w:rPr>
          <w:fldChar w:fldCharType="end"/>
        </w:r>
      </w:hyperlink>
    </w:p>
    <w:p w14:paraId="41C2A36D"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69" w:history="1">
        <w:r w:rsidR="003463BF" w:rsidRPr="00211EB6">
          <w:rPr>
            <w:rStyle w:val="Hyperlink"/>
            <w:sz w:val="20"/>
            <w:szCs w:val="20"/>
          </w:rPr>
          <w:t>2.4.6</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Social costs (employment etc.)</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_Toc483491469 \h </w:instrText>
        </w:r>
        <w:r w:rsidR="003463BF" w:rsidRPr="00211EB6">
          <w:rPr>
            <w:webHidden/>
            <w:sz w:val="20"/>
            <w:szCs w:val="20"/>
          </w:rPr>
        </w:r>
        <w:r w:rsidR="003463BF" w:rsidRPr="00211EB6">
          <w:rPr>
            <w:webHidden/>
            <w:sz w:val="20"/>
            <w:szCs w:val="20"/>
          </w:rPr>
          <w:fldChar w:fldCharType="separate"/>
        </w:r>
        <w:r>
          <w:rPr>
            <w:webHidden/>
            <w:sz w:val="20"/>
            <w:szCs w:val="20"/>
          </w:rPr>
          <w:t>24</w:t>
        </w:r>
        <w:r w:rsidR="003463BF" w:rsidRPr="00211EB6">
          <w:rPr>
            <w:webHidden/>
            <w:sz w:val="20"/>
            <w:szCs w:val="20"/>
          </w:rPr>
          <w:fldChar w:fldCharType="end"/>
        </w:r>
      </w:hyperlink>
    </w:p>
    <w:p w14:paraId="63045799" w14:textId="77777777" w:rsidR="003463BF" w:rsidRPr="00211EB6" w:rsidRDefault="00ED4F14">
      <w:pPr>
        <w:pStyle w:val="TOC2"/>
        <w:rPr>
          <w:rFonts w:asciiTheme="minorHAnsi" w:eastAsiaTheme="minorEastAsia" w:hAnsiTheme="minorHAnsi" w:cstheme="minorBidi"/>
          <w:sz w:val="20"/>
          <w:szCs w:val="20"/>
          <w:lang w:eastAsia="en-GB"/>
        </w:rPr>
      </w:pPr>
      <w:hyperlink w:anchor="_Toc483491470" w:history="1">
        <w:r w:rsidR="003463BF" w:rsidRPr="00211EB6">
          <w:rPr>
            <w:rStyle w:val="Hyperlink"/>
            <w:sz w:val="20"/>
            <w:szCs w:val="20"/>
          </w:rPr>
          <w:t>2.5</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Other considerations</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_Toc483491470 \h </w:instrText>
        </w:r>
        <w:r w:rsidR="003463BF" w:rsidRPr="00211EB6">
          <w:rPr>
            <w:webHidden/>
            <w:sz w:val="20"/>
            <w:szCs w:val="20"/>
          </w:rPr>
        </w:r>
        <w:r w:rsidR="003463BF" w:rsidRPr="00211EB6">
          <w:rPr>
            <w:webHidden/>
            <w:sz w:val="20"/>
            <w:szCs w:val="20"/>
          </w:rPr>
          <w:fldChar w:fldCharType="separate"/>
        </w:r>
        <w:r>
          <w:rPr>
            <w:webHidden/>
            <w:sz w:val="20"/>
            <w:szCs w:val="20"/>
          </w:rPr>
          <w:t>24</w:t>
        </w:r>
        <w:r w:rsidR="003463BF" w:rsidRPr="00211EB6">
          <w:rPr>
            <w:webHidden/>
            <w:sz w:val="20"/>
            <w:szCs w:val="20"/>
          </w:rPr>
          <w:fldChar w:fldCharType="end"/>
        </w:r>
      </w:hyperlink>
    </w:p>
    <w:p w14:paraId="38A181F7"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71" w:history="1">
        <w:r w:rsidR="003463BF" w:rsidRPr="00211EB6">
          <w:rPr>
            <w:rStyle w:val="Hyperlink"/>
            <w:sz w:val="20"/>
            <w:szCs w:val="20"/>
          </w:rPr>
          <w:t>2.5.1</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Access to information and public education</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_Toc483491471 \h </w:instrText>
        </w:r>
        <w:r w:rsidR="003463BF" w:rsidRPr="00211EB6">
          <w:rPr>
            <w:webHidden/>
            <w:sz w:val="20"/>
            <w:szCs w:val="20"/>
          </w:rPr>
        </w:r>
        <w:r w:rsidR="003463BF" w:rsidRPr="00211EB6">
          <w:rPr>
            <w:webHidden/>
            <w:sz w:val="20"/>
            <w:szCs w:val="20"/>
          </w:rPr>
          <w:fldChar w:fldCharType="separate"/>
        </w:r>
        <w:r>
          <w:rPr>
            <w:webHidden/>
            <w:sz w:val="20"/>
            <w:szCs w:val="20"/>
          </w:rPr>
          <w:t>24</w:t>
        </w:r>
        <w:r w:rsidR="003463BF" w:rsidRPr="00211EB6">
          <w:rPr>
            <w:webHidden/>
            <w:sz w:val="20"/>
            <w:szCs w:val="20"/>
          </w:rPr>
          <w:fldChar w:fldCharType="end"/>
        </w:r>
      </w:hyperlink>
    </w:p>
    <w:p w14:paraId="2703C476" w14:textId="77777777" w:rsidR="003463BF" w:rsidRPr="00211EB6" w:rsidRDefault="00ED4F14">
      <w:pPr>
        <w:pStyle w:val="TOC3"/>
        <w:rPr>
          <w:rFonts w:asciiTheme="minorHAnsi" w:eastAsiaTheme="minorEastAsia" w:hAnsiTheme="minorHAnsi" w:cstheme="minorBidi"/>
          <w:sz w:val="20"/>
          <w:szCs w:val="20"/>
          <w:lang w:eastAsia="en-GB"/>
        </w:rPr>
      </w:pPr>
      <w:hyperlink w:anchor="_Toc483491472" w:history="1">
        <w:r w:rsidR="003463BF" w:rsidRPr="00211EB6">
          <w:rPr>
            <w:rStyle w:val="Hyperlink"/>
            <w:sz w:val="20"/>
            <w:szCs w:val="20"/>
          </w:rPr>
          <w:t>2.5.2</w:t>
        </w:r>
        <w:r w:rsidR="003463BF" w:rsidRPr="00211EB6">
          <w:rPr>
            <w:rFonts w:asciiTheme="minorHAnsi" w:eastAsiaTheme="minorEastAsia" w:hAnsiTheme="minorHAnsi" w:cstheme="minorBidi"/>
            <w:sz w:val="20"/>
            <w:szCs w:val="20"/>
            <w:lang w:eastAsia="en-GB"/>
          </w:rPr>
          <w:tab/>
        </w:r>
        <w:r w:rsidR="003463BF" w:rsidRPr="00211EB6">
          <w:rPr>
            <w:rStyle w:val="Hyperlink"/>
            <w:sz w:val="20"/>
            <w:szCs w:val="20"/>
          </w:rPr>
          <w:t>Status of control and monitoring capacity</w:t>
        </w:r>
        <w:r w:rsidR="003463BF" w:rsidRPr="00211EB6">
          <w:rPr>
            <w:webHidden/>
            <w:sz w:val="20"/>
            <w:szCs w:val="20"/>
          </w:rPr>
          <w:tab/>
        </w:r>
        <w:r w:rsidR="003463BF" w:rsidRPr="00211EB6">
          <w:rPr>
            <w:webHidden/>
            <w:sz w:val="20"/>
            <w:szCs w:val="20"/>
          </w:rPr>
          <w:fldChar w:fldCharType="begin"/>
        </w:r>
        <w:r w:rsidR="003463BF" w:rsidRPr="00211EB6">
          <w:rPr>
            <w:webHidden/>
            <w:sz w:val="20"/>
            <w:szCs w:val="20"/>
          </w:rPr>
          <w:instrText xml:space="preserve"> PAGEREF _Toc483491472 \h </w:instrText>
        </w:r>
        <w:r w:rsidR="003463BF" w:rsidRPr="00211EB6">
          <w:rPr>
            <w:webHidden/>
            <w:sz w:val="20"/>
            <w:szCs w:val="20"/>
          </w:rPr>
        </w:r>
        <w:r w:rsidR="003463BF" w:rsidRPr="00211EB6">
          <w:rPr>
            <w:webHidden/>
            <w:sz w:val="20"/>
            <w:szCs w:val="20"/>
          </w:rPr>
          <w:fldChar w:fldCharType="separate"/>
        </w:r>
        <w:r>
          <w:rPr>
            <w:webHidden/>
            <w:sz w:val="20"/>
            <w:szCs w:val="20"/>
          </w:rPr>
          <w:t>24</w:t>
        </w:r>
        <w:r w:rsidR="003463BF" w:rsidRPr="00211EB6">
          <w:rPr>
            <w:webHidden/>
            <w:sz w:val="20"/>
            <w:szCs w:val="20"/>
          </w:rPr>
          <w:fldChar w:fldCharType="end"/>
        </w:r>
      </w:hyperlink>
    </w:p>
    <w:p w14:paraId="5694B3A4" w14:textId="77777777" w:rsidR="003463BF" w:rsidRPr="00211EB6" w:rsidRDefault="00ED4F14">
      <w:pPr>
        <w:pStyle w:val="TOC1"/>
        <w:rPr>
          <w:rFonts w:asciiTheme="minorHAnsi" w:eastAsiaTheme="minorEastAsia" w:hAnsiTheme="minorHAnsi" w:cstheme="minorBidi"/>
          <w:b w:val="0"/>
          <w:noProof/>
          <w:sz w:val="20"/>
          <w:szCs w:val="20"/>
          <w:lang w:eastAsia="en-GB"/>
        </w:rPr>
      </w:pPr>
      <w:hyperlink w:anchor="_Toc483491473" w:history="1">
        <w:r w:rsidR="003463BF" w:rsidRPr="00211EB6">
          <w:rPr>
            <w:rStyle w:val="Hyperlink"/>
            <w:noProof/>
            <w:sz w:val="20"/>
            <w:szCs w:val="20"/>
          </w:rPr>
          <w:t>3</w:t>
        </w:r>
        <w:r w:rsidR="003463BF" w:rsidRPr="00211EB6">
          <w:rPr>
            <w:rFonts w:asciiTheme="minorHAnsi" w:eastAsiaTheme="minorEastAsia" w:hAnsiTheme="minorHAnsi" w:cstheme="minorBidi"/>
            <w:b w:val="0"/>
            <w:noProof/>
            <w:sz w:val="20"/>
            <w:szCs w:val="20"/>
            <w:lang w:eastAsia="en-GB"/>
          </w:rPr>
          <w:tab/>
        </w:r>
        <w:r w:rsidR="003463BF" w:rsidRPr="00211EB6">
          <w:rPr>
            <w:rStyle w:val="Hyperlink"/>
            <w:noProof/>
            <w:sz w:val="20"/>
            <w:szCs w:val="20"/>
          </w:rPr>
          <w:t>Synthesis of information</w:t>
        </w:r>
        <w:r w:rsidR="003463BF" w:rsidRPr="00211EB6">
          <w:rPr>
            <w:noProof/>
            <w:webHidden/>
            <w:sz w:val="20"/>
            <w:szCs w:val="20"/>
          </w:rPr>
          <w:tab/>
        </w:r>
        <w:r w:rsidR="003463BF" w:rsidRPr="00211EB6">
          <w:rPr>
            <w:noProof/>
            <w:webHidden/>
            <w:sz w:val="20"/>
            <w:szCs w:val="20"/>
          </w:rPr>
          <w:fldChar w:fldCharType="begin"/>
        </w:r>
        <w:r w:rsidR="003463BF" w:rsidRPr="00211EB6">
          <w:rPr>
            <w:noProof/>
            <w:webHidden/>
            <w:sz w:val="20"/>
            <w:szCs w:val="20"/>
          </w:rPr>
          <w:instrText xml:space="preserve"> PAGEREF _Toc483491473 \h </w:instrText>
        </w:r>
        <w:r w:rsidR="003463BF" w:rsidRPr="00211EB6">
          <w:rPr>
            <w:noProof/>
            <w:webHidden/>
            <w:sz w:val="20"/>
            <w:szCs w:val="20"/>
          </w:rPr>
        </w:r>
        <w:r w:rsidR="003463BF" w:rsidRPr="00211EB6">
          <w:rPr>
            <w:noProof/>
            <w:webHidden/>
            <w:sz w:val="20"/>
            <w:szCs w:val="20"/>
          </w:rPr>
          <w:fldChar w:fldCharType="separate"/>
        </w:r>
        <w:r>
          <w:rPr>
            <w:noProof/>
            <w:webHidden/>
            <w:sz w:val="20"/>
            <w:szCs w:val="20"/>
          </w:rPr>
          <w:t>25</w:t>
        </w:r>
        <w:r w:rsidR="003463BF" w:rsidRPr="00211EB6">
          <w:rPr>
            <w:noProof/>
            <w:webHidden/>
            <w:sz w:val="20"/>
            <w:szCs w:val="20"/>
          </w:rPr>
          <w:fldChar w:fldCharType="end"/>
        </w:r>
      </w:hyperlink>
    </w:p>
    <w:p w14:paraId="21BC6D14" w14:textId="4DC6A7F5" w:rsidR="003463BF" w:rsidRPr="00211EB6" w:rsidRDefault="00ED4F14" w:rsidP="00B548C5">
      <w:pPr>
        <w:pStyle w:val="TOC1"/>
        <w:ind w:left="0" w:firstLine="0"/>
        <w:rPr>
          <w:rFonts w:asciiTheme="minorHAnsi" w:eastAsiaTheme="minorEastAsia" w:hAnsiTheme="minorHAnsi" w:cstheme="minorBidi"/>
          <w:b w:val="0"/>
          <w:noProof/>
          <w:sz w:val="20"/>
          <w:szCs w:val="20"/>
          <w:lang w:eastAsia="en-GB"/>
        </w:rPr>
      </w:pPr>
      <w:hyperlink w:anchor="_Toc483491474" w:history="1">
        <w:r w:rsidR="003463BF" w:rsidRPr="00211EB6">
          <w:rPr>
            <w:rStyle w:val="Hyperlink"/>
            <w:noProof/>
            <w:sz w:val="20"/>
            <w:szCs w:val="20"/>
          </w:rPr>
          <w:t>4</w:t>
        </w:r>
        <w:r w:rsidR="00316ABF" w:rsidRPr="00211EB6">
          <w:rPr>
            <w:rFonts w:asciiTheme="minorHAnsi" w:eastAsiaTheme="minorEastAsia" w:hAnsiTheme="minorHAnsi" w:cstheme="minorBidi"/>
            <w:b w:val="0"/>
            <w:noProof/>
            <w:sz w:val="20"/>
            <w:szCs w:val="20"/>
            <w:lang w:eastAsia="en-GB"/>
          </w:rPr>
          <w:t xml:space="preserve">    </w:t>
        </w:r>
        <w:r w:rsidR="003463BF" w:rsidRPr="00211EB6">
          <w:rPr>
            <w:rStyle w:val="Hyperlink"/>
            <w:noProof/>
            <w:sz w:val="20"/>
            <w:szCs w:val="20"/>
          </w:rPr>
          <w:t>Concluding statement</w:t>
        </w:r>
        <w:r w:rsidR="003463BF" w:rsidRPr="00211EB6">
          <w:rPr>
            <w:noProof/>
            <w:webHidden/>
            <w:sz w:val="20"/>
            <w:szCs w:val="20"/>
          </w:rPr>
          <w:tab/>
        </w:r>
        <w:r w:rsidR="003463BF" w:rsidRPr="00211EB6">
          <w:rPr>
            <w:noProof/>
            <w:webHidden/>
            <w:sz w:val="20"/>
            <w:szCs w:val="20"/>
          </w:rPr>
          <w:fldChar w:fldCharType="begin"/>
        </w:r>
        <w:r w:rsidR="003463BF" w:rsidRPr="00211EB6">
          <w:rPr>
            <w:noProof/>
            <w:webHidden/>
            <w:sz w:val="20"/>
            <w:szCs w:val="20"/>
          </w:rPr>
          <w:instrText xml:space="preserve"> PAGEREF _Toc483491474 \h </w:instrText>
        </w:r>
        <w:r w:rsidR="003463BF" w:rsidRPr="00211EB6">
          <w:rPr>
            <w:noProof/>
            <w:webHidden/>
            <w:sz w:val="20"/>
            <w:szCs w:val="20"/>
          </w:rPr>
        </w:r>
        <w:r w:rsidR="003463BF" w:rsidRPr="00211EB6">
          <w:rPr>
            <w:noProof/>
            <w:webHidden/>
            <w:sz w:val="20"/>
            <w:szCs w:val="20"/>
          </w:rPr>
          <w:fldChar w:fldCharType="separate"/>
        </w:r>
        <w:r>
          <w:rPr>
            <w:noProof/>
            <w:webHidden/>
            <w:sz w:val="20"/>
            <w:szCs w:val="20"/>
          </w:rPr>
          <w:t>26</w:t>
        </w:r>
        <w:r w:rsidR="003463BF" w:rsidRPr="00211EB6">
          <w:rPr>
            <w:noProof/>
            <w:webHidden/>
            <w:sz w:val="20"/>
            <w:szCs w:val="20"/>
          </w:rPr>
          <w:fldChar w:fldCharType="end"/>
        </w:r>
      </w:hyperlink>
    </w:p>
    <w:p w14:paraId="0784804A" w14:textId="77777777" w:rsidR="00C65707" w:rsidRPr="00211EB6" w:rsidRDefault="007E3F71" w:rsidP="00B548C5">
      <w:pPr>
        <w:pStyle w:val="Heading1"/>
        <w:keepNext w:val="0"/>
        <w:numPr>
          <w:ilvl w:val="0"/>
          <w:numId w:val="0"/>
        </w:numPr>
        <w:spacing w:line="240" w:lineRule="auto"/>
        <w:jc w:val="left"/>
        <w:rPr>
          <w:sz w:val="20"/>
        </w:rPr>
      </w:pPr>
      <w:r w:rsidRPr="00211EB6">
        <w:rPr>
          <w:sz w:val="20"/>
        </w:rPr>
        <w:fldChar w:fldCharType="end"/>
      </w:r>
      <w:bookmarkStart w:id="1" w:name="_Toc483491442"/>
    </w:p>
    <w:p w14:paraId="35CD4B61" w14:textId="77777777" w:rsidR="00C65707" w:rsidRPr="00211EB6" w:rsidRDefault="00C65707" w:rsidP="00B548C5">
      <w:pPr>
        <w:pStyle w:val="Heading1"/>
        <w:keepNext w:val="0"/>
        <w:numPr>
          <w:ilvl w:val="0"/>
          <w:numId w:val="0"/>
        </w:numPr>
        <w:spacing w:line="240" w:lineRule="auto"/>
        <w:jc w:val="left"/>
        <w:rPr>
          <w:sz w:val="20"/>
        </w:rPr>
      </w:pPr>
    </w:p>
    <w:p w14:paraId="1FD18622" w14:textId="77777777" w:rsidR="00C65707" w:rsidRPr="00211EB6" w:rsidRDefault="00C65707" w:rsidP="00B548C5">
      <w:pPr>
        <w:pStyle w:val="Heading1"/>
        <w:keepNext w:val="0"/>
        <w:numPr>
          <w:ilvl w:val="0"/>
          <w:numId w:val="0"/>
        </w:numPr>
        <w:spacing w:line="240" w:lineRule="auto"/>
        <w:jc w:val="left"/>
        <w:rPr>
          <w:sz w:val="20"/>
        </w:rPr>
      </w:pPr>
    </w:p>
    <w:p w14:paraId="441386A4" w14:textId="77777777" w:rsidR="00C65707" w:rsidRPr="00211EB6" w:rsidRDefault="00C65707" w:rsidP="00B548C5">
      <w:pPr>
        <w:pStyle w:val="Heading1"/>
        <w:keepNext w:val="0"/>
        <w:numPr>
          <w:ilvl w:val="0"/>
          <w:numId w:val="0"/>
        </w:numPr>
        <w:spacing w:line="240" w:lineRule="auto"/>
        <w:jc w:val="left"/>
        <w:rPr>
          <w:sz w:val="20"/>
        </w:rPr>
      </w:pPr>
    </w:p>
    <w:p w14:paraId="3C211593" w14:textId="77777777" w:rsidR="00C65707" w:rsidRPr="00211EB6" w:rsidRDefault="00C65707" w:rsidP="00B548C5">
      <w:pPr>
        <w:pStyle w:val="Heading1"/>
        <w:keepNext w:val="0"/>
        <w:numPr>
          <w:ilvl w:val="0"/>
          <w:numId w:val="0"/>
        </w:numPr>
        <w:spacing w:line="240" w:lineRule="auto"/>
        <w:jc w:val="left"/>
        <w:rPr>
          <w:sz w:val="20"/>
        </w:rPr>
      </w:pPr>
    </w:p>
    <w:p w14:paraId="5C4573A1" w14:textId="77777777" w:rsidR="00C65707" w:rsidRPr="00211EB6" w:rsidRDefault="00C65707" w:rsidP="00B548C5">
      <w:pPr>
        <w:pStyle w:val="Heading1"/>
        <w:keepNext w:val="0"/>
        <w:numPr>
          <w:ilvl w:val="0"/>
          <w:numId w:val="0"/>
        </w:numPr>
        <w:spacing w:line="240" w:lineRule="auto"/>
        <w:jc w:val="left"/>
        <w:rPr>
          <w:sz w:val="20"/>
        </w:rPr>
      </w:pPr>
    </w:p>
    <w:p w14:paraId="6F71CF69" w14:textId="77777777" w:rsidR="00C65707" w:rsidRPr="00211EB6" w:rsidRDefault="00C65707" w:rsidP="00B548C5">
      <w:pPr>
        <w:pStyle w:val="Heading1"/>
        <w:keepNext w:val="0"/>
        <w:numPr>
          <w:ilvl w:val="0"/>
          <w:numId w:val="0"/>
        </w:numPr>
        <w:spacing w:line="240" w:lineRule="auto"/>
        <w:jc w:val="left"/>
        <w:rPr>
          <w:sz w:val="20"/>
        </w:rPr>
      </w:pPr>
    </w:p>
    <w:p w14:paraId="7C2EECDF" w14:textId="77777777" w:rsidR="00C65707" w:rsidRPr="00211EB6" w:rsidRDefault="00C65707" w:rsidP="00B548C5">
      <w:pPr>
        <w:pStyle w:val="Heading1"/>
        <w:keepNext w:val="0"/>
        <w:numPr>
          <w:ilvl w:val="0"/>
          <w:numId w:val="0"/>
        </w:numPr>
        <w:spacing w:line="240" w:lineRule="auto"/>
        <w:jc w:val="left"/>
        <w:rPr>
          <w:sz w:val="20"/>
        </w:rPr>
      </w:pPr>
    </w:p>
    <w:p w14:paraId="2F421F6C" w14:textId="77777777" w:rsidR="00C65707" w:rsidRPr="00211EB6" w:rsidRDefault="00C65707" w:rsidP="00B548C5">
      <w:pPr>
        <w:pStyle w:val="Heading1"/>
        <w:keepNext w:val="0"/>
        <w:numPr>
          <w:ilvl w:val="0"/>
          <w:numId w:val="0"/>
        </w:numPr>
        <w:spacing w:line="240" w:lineRule="auto"/>
        <w:jc w:val="left"/>
        <w:rPr>
          <w:sz w:val="20"/>
        </w:rPr>
      </w:pPr>
    </w:p>
    <w:p w14:paraId="5690D8D7" w14:textId="013A54A1" w:rsidR="00C151FB" w:rsidRPr="00211EB6" w:rsidRDefault="00C151FB" w:rsidP="00B548C5">
      <w:pPr>
        <w:pStyle w:val="Heading1"/>
        <w:keepNext w:val="0"/>
        <w:numPr>
          <w:ilvl w:val="0"/>
          <w:numId w:val="0"/>
        </w:numPr>
        <w:spacing w:line="240" w:lineRule="auto"/>
        <w:jc w:val="left"/>
        <w:rPr>
          <w:rFonts w:ascii="Times New Roman" w:hAnsi="Times New Roman"/>
        </w:rPr>
      </w:pPr>
      <w:r w:rsidRPr="00211EB6">
        <w:rPr>
          <w:rFonts w:ascii="Times New Roman" w:hAnsi="Times New Roman"/>
          <w:sz w:val="24"/>
        </w:rPr>
        <w:t>Executive</w:t>
      </w:r>
      <w:r w:rsidRPr="00211EB6">
        <w:rPr>
          <w:rFonts w:ascii="Times New Roman" w:hAnsi="Times New Roman"/>
        </w:rPr>
        <w:t xml:space="preserve"> </w:t>
      </w:r>
      <w:r w:rsidRPr="00211EB6">
        <w:rPr>
          <w:rFonts w:ascii="Times New Roman" w:hAnsi="Times New Roman"/>
          <w:sz w:val="24"/>
        </w:rPr>
        <w:t>Summary</w:t>
      </w:r>
      <w:bookmarkEnd w:id="1"/>
    </w:p>
    <w:p w14:paraId="0DDBA286" w14:textId="21BD2ECA" w:rsidR="00FC1C88" w:rsidRPr="00211EB6" w:rsidRDefault="00FC1C88" w:rsidP="008C6BCB">
      <w:pPr>
        <w:pStyle w:val="Normalnumber"/>
        <w:numPr>
          <w:ilvl w:val="0"/>
          <w:numId w:val="34"/>
        </w:numPr>
        <w:tabs>
          <w:tab w:val="clear" w:pos="1440"/>
        </w:tabs>
        <w:ind w:left="0" w:firstLine="0"/>
      </w:pPr>
      <w:r w:rsidRPr="00211EB6">
        <w:t xml:space="preserve">At its twelfth meeting the Persistent Organic Pollutants Review Committee (POPRC) reviewed and adopted a revised draft risk profile on </w:t>
      </w:r>
      <w:proofErr w:type="spellStart"/>
      <w:r w:rsidRPr="00211EB6">
        <w:t>dicofol</w:t>
      </w:r>
      <w:proofErr w:type="spellEnd"/>
      <w:r w:rsidRPr="00211EB6">
        <w:t xml:space="preserve">. The POPRC </w:t>
      </w:r>
      <w:r w:rsidR="000B0C90" w:rsidRPr="00211EB6">
        <w:t xml:space="preserve">concluded </w:t>
      </w:r>
      <w:r w:rsidRPr="00211EB6">
        <w:t xml:space="preserve">that </w:t>
      </w:r>
      <w:proofErr w:type="spellStart"/>
      <w:r w:rsidRPr="00211EB6">
        <w:t>dicofol</w:t>
      </w:r>
      <w:proofErr w:type="spellEnd"/>
      <w:r w:rsidRPr="00211EB6">
        <w:t xml:space="preserve"> is likely</w:t>
      </w:r>
      <w:r w:rsidR="000B0C90" w:rsidRPr="00211EB6">
        <w:t>,</w:t>
      </w:r>
      <w:r w:rsidRPr="00211EB6">
        <w:t xml:space="preserve"> as a result of its long-range environmental transport</w:t>
      </w:r>
      <w:r w:rsidR="000B0C90" w:rsidRPr="00211EB6">
        <w:t xml:space="preserve">, </w:t>
      </w:r>
      <w:r w:rsidRPr="00211EB6">
        <w:t xml:space="preserve">to lead to significant adverse human health and environmental effects such that global action is warranted. A risk management evaluation </w:t>
      </w:r>
      <w:r w:rsidR="00B5335A" w:rsidRPr="00211EB6">
        <w:t xml:space="preserve">is therefore required </w:t>
      </w:r>
      <w:r w:rsidRPr="00211EB6">
        <w:t xml:space="preserve">that includes an analysis of possible control measures for </w:t>
      </w:r>
      <w:proofErr w:type="spellStart"/>
      <w:r w:rsidRPr="00211EB6">
        <w:t>dicofol</w:t>
      </w:r>
      <w:proofErr w:type="spellEnd"/>
      <w:r w:rsidRPr="00211EB6">
        <w:t xml:space="preserve"> in accordance with Annex F to the Convention. Parties and observers were invited to submit to the Secretariat the information specified in Annex F before 9 December 2016.</w:t>
      </w:r>
    </w:p>
    <w:p w14:paraId="3DF6B02B" w14:textId="540A24E2" w:rsidR="00FC1C88" w:rsidRPr="00211EB6" w:rsidRDefault="00FC1C88" w:rsidP="008C6BCB">
      <w:pPr>
        <w:pStyle w:val="Normalnumber"/>
        <w:numPr>
          <w:ilvl w:val="0"/>
          <w:numId w:val="34"/>
        </w:numPr>
        <w:tabs>
          <w:tab w:val="clear" w:pos="1440"/>
        </w:tabs>
        <w:ind w:left="0" w:firstLine="0"/>
      </w:pPr>
      <w:r w:rsidRPr="00211EB6">
        <w:t>Responses regarding the information specified in Annex F of the Stockholm Convention have been provided by Austria, Canada, Columbia, India, Japan, Monaco, Serbia (</w:t>
      </w:r>
      <w:r w:rsidR="00315E0D" w:rsidRPr="00211EB6">
        <w:t>P</w:t>
      </w:r>
      <w:r w:rsidRPr="00211EB6">
        <w:t xml:space="preserve">arties) and by Pesticide Action Network (PAN) and IPEN (observers). The risk management evaluation is primarily based on these responses and on </w:t>
      </w:r>
      <w:r w:rsidR="00B5335A" w:rsidRPr="00211EB6">
        <w:t xml:space="preserve">selected </w:t>
      </w:r>
      <w:r w:rsidRPr="00211EB6">
        <w:t xml:space="preserve">additional </w:t>
      </w:r>
      <w:r w:rsidR="00452182" w:rsidRPr="00211EB6">
        <w:t xml:space="preserve">relevant </w:t>
      </w:r>
      <w:r w:rsidRPr="00211EB6">
        <w:t xml:space="preserve">literature. </w:t>
      </w:r>
    </w:p>
    <w:p w14:paraId="3BD13205" w14:textId="7015180A" w:rsidR="00FC1C88" w:rsidRPr="00211EB6" w:rsidRDefault="00FC1C88" w:rsidP="008C6BCB">
      <w:pPr>
        <w:pStyle w:val="Normalnumber"/>
        <w:numPr>
          <w:ilvl w:val="0"/>
          <w:numId w:val="34"/>
        </w:numPr>
        <w:tabs>
          <w:tab w:val="clear" w:pos="1440"/>
        </w:tabs>
        <w:ind w:left="0" w:firstLine="0"/>
      </w:pPr>
      <w:proofErr w:type="spellStart"/>
      <w:r w:rsidRPr="00211EB6">
        <w:t>Dicofol</w:t>
      </w:r>
      <w:proofErr w:type="spellEnd"/>
      <w:r w:rsidRPr="00211EB6">
        <w:t xml:space="preserve"> is an </w:t>
      </w:r>
      <w:proofErr w:type="spellStart"/>
      <w:r w:rsidRPr="00211EB6">
        <w:t>organochlorine</w:t>
      </w:r>
      <w:proofErr w:type="spellEnd"/>
      <w:r w:rsidRPr="00211EB6">
        <w:t xml:space="preserve"> </w:t>
      </w:r>
      <w:proofErr w:type="spellStart"/>
      <w:r w:rsidRPr="00211EB6">
        <w:t>miticid</w:t>
      </w:r>
      <w:r w:rsidR="0011760B" w:rsidRPr="00211EB6">
        <w:t>al</w:t>
      </w:r>
      <w:proofErr w:type="spellEnd"/>
      <w:r w:rsidRPr="00211EB6">
        <w:t xml:space="preserve"> pesticide, used to control mites on a variety of crops. </w:t>
      </w:r>
      <w:proofErr w:type="spellStart"/>
      <w:r w:rsidRPr="00211EB6">
        <w:t>Dicofol</w:t>
      </w:r>
      <w:proofErr w:type="spellEnd"/>
      <w:r w:rsidRPr="00211EB6">
        <w:t xml:space="preserve"> was introduced commercially in 1955. Intended uses of </w:t>
      </w:r>
      <w:proofErr w:type="spellStart"/>
      <w:r w:rsidRPr="00211EB6">
        <w:t>dicofol</w:t>
      </w:r>
      <w:proofErr w:type="spellEnd"/>
      <w:r w:rsidRPr="00211EB6">
        <w:t xml:space="preserve"> cover fruits, vegetables, ornamentals, field crops, </w:t>
      </w:r>
      <w:proofErr w:type="gramStart"/>
      <w:r w:rsidRPr="00211EB6">
        <w:t>cotton</w:t>
      </w:r>
      <w:proofErr w:type="gramEnd"/>
      <w:r w:rsidRPr="00211EB6">
        <w:t xml:space="preserve">, tea, and Christmas tree plantations. Between 2000 and 2007, global production of </w:t>
      </w:r>
      <w:proofErr w:type="spellStart"/>
      <w:r w:rsidRPr="00211EB6">
        <w:t>dicofol</w:t>
      </w:r>
      <w:proofErr w:type="spellEnd"/>
      <w:r w:rsidRPr="00211EB6">
        <w:t xml:space="preserve"> was estimated to have been </w:t>
      </w:r>
      <w:r w:rsidR="0011760B" w:rsidRPr="00211EB6">
        <w:t>2,700-</w:t>
      </w:r>
      <w:r w:rsidRPr="00211EB6">
        <w:t xml:space="preserve">5,500t </w:t>
      </w:r>
      <w:r w:rsidR="00E52AB2" w:rsidRPr="00211EB6">
        <w:t xml:space="preserve">(tonnes) </w:t>
      </w:r>
      <w:r w:rsidRPr="00211EB6">
        <w:t xml:space="preserve">per year but production has declined sharply since then as a number of countries have phased out production and usage, including </w:t>
      </w:r>
      <w:r w:rsidR="002B4A31" w:rsidRPr="00211EB6">
        <w:t xml:space="preserve">Benin, </w:t>
      </w:r>
      <w:r w:rsidRPr="00211EB6">
        <w:t xml:space="preserve">Brazil, Canada, </w:t>
      </w:r>
      <w:r w:rsidR="000B0C90" w:rsidRPr="00211EB6">
        <w:t xml:space="preserve">Columbia, </w:t>
      </w:r>
      <w:r w:rsidRPr="00211EB6">
        <w:t>EU Member States</w:t>
      </w:r>
      <w:r w:rsidR="00DE4C1B" w:rsidRPr="00211EB6">
        <w:t>, Guinea, Japan, Mauritania, Oman, Saudi Arabia, Switzerland</w:t>
      </w:r>
      <w:r w:rsidR="002B4A31" w:rsidRPr="00211EB6">
        <w:t>, and USA</w:t>
      </w:r>
      <w:r w:rsidRPr="00211EB6">
        <w:t xml:space="preserve">. Production of </w:t>
      </w:r>
      <w:proofErr w:type="spellStart"/>
      <w:r w:rsidRPr="00211EB6">
        <w:t>dicofol</w:t>
      </w:r>
      <w:proofErr w:type="spellEnd"/>
      <w:r w:rsidRPr="00211EB6">
        <w:t xml:space="preserve"> now </w:t>
      </w:r>
      <w:r w:rsidR="005A6BA3" w:rsidRPr="00211EB6">
        <w:t xml:space="preserve">takes place in a small number of countries, </w:t>
      </w:r>
      <w:r w:rsidRPr="00211EB6">
        <w:t xml:space="preserve">predominantly </w:t>
      </w:r>
      <w:r w:rsidR="005A6BA3" w:rsidRPr="00211EB6">
        <w:t>at a single plant</w:t>
      </w:r>
      <w:r w:rsidRPr="00211EB6">
        <w:t xml:space="preserve"> </w:t>
      </w:r>
      <w:r w:rsidR="00E52AB2" w:rsidRPr="00211EB6">
        <w:t>India</w:t>
      </w:r>
      <w:r w:rsidR="005A6BA3" w:rsidRPr="00211EB6">
        <w:t>, and reportedly at a plant in Israel</w:t>
      </w:r>
      <w:r w:rsidRPr="00211EB6">
        <w:t xml:space="preserve">. </w:t>
      </w:r>
      <w:proofErr w:type="spellStart"/>
      <w:r w:rsidR="005E1D00" w:rsidRPr="00211EB6">
        <w:t>Dicofol</w:t>
      </w:r>
      <w:proofErr w:type="spellEnd"/>
      <w:r w:rsidR="005E1D00" w:rsidRPr="00211EB6">
        <w:t xml:space="preserve"> is also </w:t>
      </w:r>
      <w:r w:rsidR="00C11420" w:rsidRPr="00211EB6">
        <w:t>authorized</w:t>
      </w:r>
      <w:r w:rsidR="005E1D00" w:rsidRPr="00211EB6">
        <w:t xml:space="preserve"> for specific uses in Mexico. </w:t>
      </w:r>
      <w:r w:rsidRPr="00211EB6">
        <w:t xml:space="preserve">Until recently, China was one of the major global producers of technical DDT and </w:t>
      </w:r>
      <w:proofErr w:type="spellStart"/>
      <w:r w:rsidRPr="00211EB6">
        <w:t>dicofol</w:t>
      </w:r>
      <w:proofErr w:type="spellEnd"/>
      <w:r w:rsidRPr="00211EB6">
        <w:t>, producing approximately 97,000t of technical DDT between 1988 and 2002</w:t>
      </w:r>
      <w:r w:rsidR="00E52AB2" w:rsidRPr="00211EB6">
        <w:t xml:space="preserve">, from which approximately 40,000t </w:t>
      </w:r>
      <w:proofErr w:type="spellStart"/>
      <w:r w:rsidR="00E52AB2" w:rsidRPr="00211EB6">
        <w:t>dicofol</w:t>
      </w:r>
      <w:proofErr w:type="spellEnd"/>
      <w:r w:rsidR="00E52AB2" w:rsidRPr="00211EB6">
        <w:t xml:space="preserve"> was manufactured. </w:t>
      </w:r>
      <w:r w:rsidRPr="00211EB6">
        <w:t xml:space="preserve"> In 2014, the last remaining technical </w:t>
      </w:r>
      <w:proofErr w:type="spellStart"/>
      <w:r w:rsidRPr="00211EB6">
        <w:t>dicofol</w:t>
      </w:r>
      <w:proofErr w:type="spellEnd"/>
      <w:r w:rsidRPr="00211EB6">
        <w:t xml:space="preserve"> producer in China ceased production of technical </w:t>
      </w:r>
      <w:proofErr w:type="spellStart"/>
      <w:r w:rsidRPr="00211EB6">
        <w:t>dicofol</w:t>
      </w:r>
      <w:proofErr w:type="spellEnd"/>
      <w:r w:rsidRPr="00211EB6">
        <w:t xml:space="preserve">. </w:t>
      </w:r>
      <w:proofErr w:type="spellStart"/>
      <w:r w:rsidRPr="00211EB6">
        <w:t>Dicofol</w:t>
      </w:r>
      <w:proofErr w:type="spellEnd"/>
      <w:r w:rsidRPr="00211EB6">
        <w:t xml:space="preserve"> is produced </w:t>
      </w:r>
      <w:r w:rsidR="00F93C7A" w:rsidRPr="00211EB6">
        <w:t xml:space="preserve">predominantly </w:t>
      </w:r>
      <w:r w:rsidRPr="00211EB6">
        <w:t>in India in a closed system in batches</w:t>
      </w:r>
      <w:r w:rsidR="005E1D00" w:rsidRPr="00211EB6">
        <w:t>; production in 2015-</w:t>
      </w:r>
      <w:r w:rsidR="002A7C57" w:rsidRPr="00211EB6">
        <w:t>20</w:t>
      </w:r>
      <w:r w:rsidR="005E1D00" w:rsidRPr="00211EB6">
        <w:t>16 was 93t</w:t>
      </w:r>
      <w:r w:rsidRPr="00211EB6">
        <w:t xml:space="preserve">. The </w:t>
      </w:r>
      <w:r w:rsidR="005E1D00" w:rsidRPr="00211EB6">
        <w:t>expiry date</w:t>
      </w:r>
      <w:r w:rsidR="00933CB1" w:rsidRPr="00211EB6">
        <w:t xml:space="preserve"> for </w:t>
      </w:r>
      <w:r w:rsidR="005E1D00" w:rsidRPr="00211EB6">
        <w:t xml:space="preserve">the </w:t>
      </w:r>
      <w:r w:rsidRPr="00211EB6">
        <w:t xml:space="preserve">production and use of DDT as a closed-system site-limited intermediate in the production of </w:t>
      </w:r>
      <w:proofErr w:type="spellStart"/>
      <w:r w:rsidRPr="00211EB6">
        <w:t>dicofol</w:t>
      </w:r>
      <w:proofErr w:type="spellEnd"/>
      <w:r w:rsidRPr="00211EB6">
        <w:t xml:space="preserve"> </w:t>
      </w:r>
      <w:r w:rsidR="005E1D00" w:rsidRPr="00211EB6">
        <w:t>was</w:t>
      </w:r>
      <w:r w:rsidRPr="00211EB6">
        <w:t xml:space="preserve"> extended until May 2024 (UNEP/POPS/COP.7/4/Rev.1).</w:t>
      </w:r>
    </w:p>
    <w:p w14:paraId="6378BFD5" w14:textId="110C9F3A" w:rsidR="00FC1C88" w:rsidRPr="00211EB6" w:rsidRDefault="00FC1C88" w:rsidP="008C6BCB">
      <w:pPr>
        <w:pStyle w:val="Normalnumber"/>
        <w:numPr>
          <w:ilvl w:val="0"/>
          <w:numId w:val="34"/>
        </w:numPr>
        <w:tabs>
          <w:tab w:val="clear" w:pos="1440"/>
        </w:tabs>
        <w:ind w:left="0" w:firstLine="0"/>
      </w:pPr>
      <w:r w:rsidRPr="00211EB6">
        <w:t xml:space="preserve">Currently applied control measures cover a broad spectrum of possible control measures including the prohibition and restriction of production, use, import and export; the replacement of </w:t>
      </w:r>
      <w:proofErr w:type="spellStart"/>
      <w:r w:rsidRPr="00211EB6">
        <w:t>dicofol</w:t>
      </w:r>
      <w:proofErr w:type="spellEnd"/>
      <w:r w:rsidRPr="00211EB6">
        <w:t xml:space="preserve"> by chemical and/or </w:t>
      </w:r>
      <w:r w:rsidR="00ED4F14">
        <w:br/>
      </w:r>
      <w:r w:rsidRPr="00211EB6">
        <w:t>non-chemical alternatives; the establishment of exposure limits in workplaces; the environmentally sound management of obsolete stock and; the clean-up of contaminated sites.</w:t>
      </w:r>
    </w:p>
    <w:p w14:paraId="2A643C4D" w14:textId="4B3DAE22" w:rsidR="00FC1C88" w:rsidRPr="00211EB6" w:rsidRDefault="00FC1C88" w:rsidP="008C6BCB">
      <w:pPr>
        <w:pStyle w:val="Normalnumber"/>
        <w:numPr>
          <w:ilvl w:val="0"/>
          <w:numId w:val="34"/>
        </w:numPr>
        <w:tabs>
          <w:tab w:val="clear" w:pos="1440"/>
        </w:tabs>
        <w:ind w:left="0" w:firstLine="0"/>
      </w:pPr>
      <w:r w:rsidRPr="00211EB6">
        <w:t xml:space="preserve">The successful prohibition on the production, sale and use of </w:t>
      </w:r>
      <w:proofErr w:type="spellStart"/>
      <w:r w:rsidRPr="00211EB6">
        <w:t>dicofol</w:t>
      </w:r>
      <w:proofErr w:type="spellEnd"/>
      <w:r w:rsidRPr="00211EB6">
        <w:t xml:space="preserve"> by a wide number of nations within different geographies and climatic conditions </w:t>
      </w:r>
      <w:r w:rsidR="005E1D00" w:rsidRPr="00211EB6">
        <w:t xml:space="preserve">and on different crops </w:t>
      </w:r>
      <w:r w:rsidRPr="00211EB6">
        <w:t>indicates that viable chemical and non-chemical alternatives do exist</w:t>
      </w:r>
      <w:r w:rsidR="002A7C57" w:rsidRPr="00211EB6">
        <w:t>;</w:t>
      </w:r>
      <w:r w:rsidR="00DE4C1B" w:rsidRPr="00211EB6">
        <w:t xml:space="preserve"> however</w:t>
      </w:r>
      <w:r w:rsidR="002A7C57" w:rsidRPr="00211EB6">
        <w:t>,</w:t>
      </w:r>
      <w:r w:rsidR="00DE4C1B" w:rsidRPr="00211EB6">
        <w:t xml:space="preserve"> the available information is not sufficient to demonstrate that this is true in all cases</w:t>
      </w:r>
      <w:r w:rsidRPr="00211EB6">
        <w:t xml:space="preserve">. </w:t>
      </w:r>
      <w:r w:rsidR="00DE4C1B" w:rsidRPr="00211EB6">
        <w:t>A</w:t>
      </w:r>
      <w:r w:rsidRPr="00211EB6">
        <w:t xml:space="preserve"> restriction on production and use </w:t>
      </w:r>
      <w:r w:rsidR="005E1D00" w:rsidRPr="00211EB6">
        <w:t xml:space="preserve">is </w:t>
      </w:r>
      <w:r w:rsidRPr="00211EB6">
        <w:t xml:space="preserve">less effective at protecting the environment and human health than a full prohibition but </w:t>
      </w:r>
      <w:r w:rsidR="005E1D00" w:rsidRPr="00211EB6">
        <w:t xml:space="preserve">could </w:t>
      </w:r>
      <w:r w:rsidRPr="00211EB6">
        <w:t xml:space="preserve">reduce the total quantity of </w:t>
      </w:r>
      <w:proofErr w:type="spellStart"/>
      <w:r w:rsidRPr="00211EB6">
        <w:t>dicofol</w:t>
      </w:r>
      <w:proofErr w:type="spellEnd"/>
      <w:r w:rsidRPr="00211EB6">
        <w:t xml:space="preserve"> used and potential exposure under certain scenarios. While there has been a decline in the production and use of </w:t>
      </w:r>
      <w:proofErr w:type="spellStart"/>
      <w:r w:rsidRPr="00211EB6">
        <w:t>dicofol</w:t>
      </w:r>
      <w:proofErr w:type="spellEnd"/>
      <w:r w:rsidRPr="00211EB6">
        <w:t xml:space="preserve">, it has been manufactured in significant quantities, with a diverse set of potential applications and end users. This represents a complex supply chain and challenge for the identification, collection and safe destruction of obsolete </w:t>
      </w:r>
      <w:r w:rsidR="005E1D00" w:rsidRPr="00211EB6">
        <w:t xml:space="preserve">stock </w:t>
      </w:r>
      <w:r w:rsidRPr="00211EB6">
        <w:t xml:space="preserve">of </w:t>
      </w:r>
      <w:proofErr w:type="spellStart"/>
      <w:r w:rsidRPr="00211EB6">
        <w:t>dicofol</w:t>
      </w:r>
      <w:proofErr w:type="spellEnd"/>
      <w:r w:rsidRPr="00211EB6">
        <w:t xml:space="preserve">. While the </w:t>
      </w:r>
      <w:r w:rsidR="007A70EF" w:rsidRPr="00211EB6">
        <w:t xml:space="preserve">identification of </w:t>
      </w:r>
      <w:proofErr w:type="spellStart"/>
      <w:r w:rsidR="007A70EF" w:rsidRPr="00211EB6">
        <w:t>dicofol</w:t>
      </w:r>
      <w:proofErr w:type="spellEnd"/>
      <w:r w:rsidRPr="00211EB6">
        <w:t xml:space="preserve"> may have been </w:t>
      </w:r>
      <w:r w:rsidR="00933CB1" w:rsidRPr="00211EB6">
        <w:t xml:space="preserve">improved through </w:t>
      </w:r>
      <w:r w:rsidRPr="00211EB6">
        <w:t>appropriate labell</w:t>
      </w:r>
      <w:r w:rsidR="00933CB1" w:rsidRPr="00211EB6">
        <w:t>ing</w:t>
      </w:r>
      <w:r w:rsidR="005E1D00" w:rsidRPr="00211EB6">
        <w:t xml:space="preserve"> to identify contents</w:t>
      </w:r>
      <w:r w:rsidR="00686E51" w:rsidRPr="00211EB6">
        <w:t xml:space="preserve"> in some locations</w:t>
      </w:r>
      <w:r w:rsidR="00933CB1" w:rsidRPr="00211EB6">
        <w:t>,</w:t>
      </w:r>
      <w:r w:rsidRPr="00211EB6">
        <w:t xml:space="preserve"> </w:t>
      </w:r>
      <w:r w:rsidR="00686E51" w:rsidRPr="00211EB6">
        <w:t xml:space="preserve">studies suggest </w:t>
      </w:r>
      <w:r w:rsidRPr="00211EB6">
        <w:t xml:space="preserve">an awareness campaign and concerted efforts working with farming communities and other end users </w:t>
      </w:r>
      <w:r w:rsidR="00E52AB2" w:rsidRPr="00211EB6">
        <w:t xml:space="preserve">is </w:t>
      </w:r>
      <w:r w:rsidRPr="00211EB6">
        <w:t>needed to help manage the collection and safe destruction of stock to prevent environment</w:t>
      </w:r>
      <w:r w:rsidR="007A70EF" w:rsidRPr="00211EB6">
        <w:t>al releases</w:t>
      </w:r>
      <w:r w:rsidRPr="00211EB6">
        <w:t xml:space="preserve">.  Limited data is available to help establish maximum residual levels of </w:t>
      </w:r>
      <w:proofErr w:type="spellStart"/>
      <w:r w:rsidRPr="00211EB6">
        <w:t>dicofol</w:t>
      </w:r>
      <w:proofErr w:type="spellEnd"/>
      <w:r w:rsidRPr="00211EB6">
        <w:t xml:space="preserve"> in water, soil, sediment or food</w:t>
      </w:r>
      <w:r w:rsidR="00A14A96" w:rsidRPr="00211EB6">
        <w:t>, making re</w:t>
      </w:r>
      <w:r w:rsidR="00700429" w:rsidRPr="00211EB6">
        <w:t>striction</w:t>
      </w:r>
      <w:r w:rsidR="00A14A96" w:rsidRPr="00211EB6">
        <w:t xml:space="preserve"> difficult</w:t>
      </w:r>
      <w:r w:rsidRPr="00211EB6">
        <w:t xml:space="preserve">. </w:t>
      </w:r>
      <w:r w:rsidR="00B90E13" w:rsidRPr="00211EB6">
        <w:t>M</w:t>
      </w:r>
      <w:r w:rsidR="00FA4CAB" w:rsidRPr="00211EB6">
        <w:t>aximum environmental concentrations for water ha</w:t>
      </w:r>
      <w:r w:rsidR="00B90E13" w:rsidRPr="00211EB6">
        <w:t>ve</w:t>
      </w:r>
      <w:r w:rsidR="00FA4CAB" w:rsidRPr="00211EB6">
        <w:t xml:space="preserve"> been </w:t>
      </w:r>
      <w:r w:rsidR="00B90E13" w:rsidRPr="00211EB6">
        <w:t>developed</w:t>
      </w:r>
      <w:r w:rsidR="00FA4CAB" w:rsidRPr="00211EB6">
        <w:t xml:space="preserve"> by the European Union as an example of measures to protect the environment. </w:t>
      </w:r>
      <w:r w:rsidRPr="00211EB6">
        <w:t xml:space="preserve"> Furthermore</w:t>
      </w:r>
      <w:r w:rsidR="00A14A96" w:rsidRPr="00211EB6">
        <w:t>,</w:t>
      </w:r>
      <w:r w:rsidRPr="00211EB6">
        <w:t xml:space="preserve"> it would be possible to </w:t>
      </w:r>
      <w:r w:rsidR="00E52AB2" w:rsidRPr="00211EB6">
        <w:t xml:space="preserve">limit </w:t>
      </w:r>
      <w:r w:rsidR="00A14A96" w:rsidRPr="00211EB6">
        <w:t xml:space="preserve">some </w:t>
      </w:r>
      <w:r w:rsidRPr="00211EB6">
        <w:t>occupational exposure by imposing restrictions on the nature of manufacture (</w:t>
      </w:r>
      <w:r w:rsidR="00B90E13" w:rsidRPr="00211EB6">
        <w:t xml:space="preserve">e.g. specifying </w:t>
      </w:r>
      <w:r w:rsidRPr="00211EB6">
        <w:t>closed-system</w:t>
      </w:r>
      <w:r w:rsidR="00B90E13" w:rsidRPr="00211EB6">
        <w:t>s</w:t>
      </w:r>
      <w:r w:rsidRPr="00211EB6">
        <w:t xml:space="preserve"> only) and worker activities (</w:t>
      </w:r>
      <w:r w:rsidR="00B90E13" w:rsidRPr="00211EB6">
        <w:t xml:space="preserve">e.g. </w:t>
      </w:r>
      <w:r w:rsidRPr="00211EB6">
        <w:t>ensu</w:t>
      </w:r>
      <w:r w:rsidR="00BC5D91" w:rsidRPr="00211EB6">
        <w:t xml:space="preserve">ring </w:t>
      </w:r>
      <w:r w:rsidRPr="00211EB6">
        <w:t xml:space="preserve">use of correct </w:t>
      </w:r>
      <w:r w:rsidR="006F7BD4" w:rsidRPr="00211EB6">
        <w:t>personal protective equipment</w:t>
      </w:r>
      <w:r w:rsidRPr="00211EB6">
        <w:t xml:space="preserve"> in all global geographic areas).</w:t>
      </w:r>
      <w:r w:rsidR="00491CBF" w:rsidRPr="00211EB6">
        <w:t xml:space="preserve"> </w:t>
      </w:r>
      <w:r w:rsidR="00E32C3C" w:rsidRPr="00211EB6">
        <w:t>However, it is suggested that, in developing countries</w:t>
      </w:r>
      <w:r w:rsidR="007A70EF" w:rsidRPr="00211EB6">
        <w:t xml:space="preserve"> in particular</w:t>
      </w:r>
      <w:r w:rsidR="00E32C3C" w:rsidRPr="00211EB6">
        <w:t>, highly hazardous pesticides may pose significant risks to human health or the environment, because risk reduction measures such as the use of personal protective equipment or maintenance and calibration of pesticide application equipment are not easily implemented or are not effective (FAO</w:t>
      </w:r>
      <w:r w:rsidR="0036437E" w:rsidRPr="00211EB6">
        <w:t>)</w:t>
      </w:r>
      <w:r w:rsidR="00FE2E25" w:rsidRPr="00211EB6">
        <w:t>.</w:t>
      </w:r>
      <w:r w:rsidR="00E32C3C" w:rsidRPr="00211EB6">
        <w:rPr>
          <w:rStyle w:val="FootnoteReference"/>
        </w:rPr>
        <w:footnoteReference w:id="3"/>
      </w:r>
    </w:p>
    <w:p w14:paraId="626A1B5B" w14:textId="3EC0EF84" w:rsidR="00DE4C1B" w:rsidRPr="00211EB6" w:rsidRDefault="00A14A96" w:rsidP="008C6BCB">
      <w:pPr>
        <w:pStyle w:val="Normalnumber"/>
        <w:numPr>
          <w:ilvl w:val="0"/>
          <w:numId w:val="34"/>
        </w:numPr>
        <w:tabs>
          <w:tab w:val="clear" w:pos="1440"/>
        </w:tabs>
        <w:ind w:left="0" w:firstLine="0"/>
      </w:pPr>
      <w:r w:rsidRPr="00211EB6">
        <w:t>A</w:t>
      </w:r>
      <w:r w:rsidR="00DE4C1B" w:rsidRPr="00211EB6">
        <w:t xml:space="preserve"> large number of countries have already transitioned away from the use of </w:t>
      </w:r>
      <w:proofErr w:type="spellStart"/>
      <w:r w:rsidR="00DE4C1B" w:rsidRPr="00211EB6">
        <w:t>dicofol</w:t>
      </w:r>
      <w:proofErr w:type="spellEnd"/>
      <w:r w:rsidR="00DE4C1B" w:rsidRPr="00211EB6">
        <w:t xml:space="preserve"> after prohibition, and that for a major user of </w:t>
      </w:r>
      <w:proofErr w:type="spellStart"/>
      <w:r w:rsidR="00DE4C1B" w:rsidRPr="00211EB6">
        <w:t>dicofol</w:t>
      </w:r>
      <w:proofErr w:type="spellEnd"/>
      <w:r w:rsidR="00DE4C1B" w:rsidRPr="00211EB6">
        <w:t xml:space="preserve"> it has been possible to phase-out </w:t>
      </w:r>
      <w:r w:rsidRPr="00211EB6">
        <w:t xml:space="preserve">its </w:t>
      </w:r>
      <w:r w:rsidR="00DE4C1B" w:rsidRPr="00211EB6">
        <w:t xml:space="preserve">use completely when managed with the correct transitional arrangements. No specific examples of critical uses were provided by the </w:t>
      </w:r>
      <w:r w:rsidR="00315E0D" w:rsidRPr="00211EB6">
        <w:t>Parties</w:t>
      </w:r>
      <w:r w:rsidRPr="00211EB6">
        <w:t xml:space="preserve"> or observers</w:t>
      </w:r>
      <w:r w:rsidR="00DE4C1B" w:rsidRPr="00211EB6">
        <w:t xml:space="preserve"> submitting information</w:t>
      </w:r>
      <w:r w:rsidRPr="00211EB6">
        <w:t xml:space="preserve"> as part of the Annex F survey</w:t>
      </w:r>
      <w:r w:rsidR="00B90E13" w:rsidRPr="00211EB6">
        <w:t xml:space="preserve">; nor </w:t>
      </w:r>
      <w:r w:rsidRPr="00211EB6">
        <w:t xml:space="preserve">have </w:t>
      </w:r>
      <w:r w:rsidR="00B90E13" w:rsidRPr="00211EB6">
        <w:t xml:space="preserve">any critical uses </w:t>
      </w:r>
      <w:r w:rsidRPr="00211EB6">
        <w:t>otherwise been identified.</w:t>
      </w:r>
    </w:p>
    <w:p w14:paraId="1BA8538B" w14:textId="3A706390" w:rsidR="00DE4C1B" w:rsidRPr="00211EB6" w:rsidRDefault="00DE4C1B" w:rsidP="008C6BCB">
      <w:pPr>
        <w:pStyle w:val="Normalnumber"/>
        <w:numPr>
          <w:ilvl w:val="0"/>
          <w:numId w:val="34"/>
        </w:numPr>
        <w:tabs>
          <w:tab w:val="clear" w:pos="1440"/>
        </w:tabs>
        <w:ind w:left="0" w:firstLine="0"/>
      </w:pPr>
      <w:r w:rsidRPr="00211EB6">
        <w:t xml:space="preserve">A range of chemical and non-chemical alternatives to </w:t>
      </w:r>
      <w:proofErr w:type="spellStart"/>
      <w:r w:rsidRPr="00211EB6">
        <w:t>dicofol</w:t>
      </w:r>
      <w:proofErr w:type="spellEnd"/>
      <w:r w:rsidRPr="00211EB6">
        <w:t xml:space="preserve"> are available and accessible in various geographical regions. The alternatives, considered as technically feasible, include over 25 chemical pesticides, biological controls (pathogens and predators), </w:t>
      </w:r>
      <w:r w:rsidR="00AE1DA1" w:rsidRPr="00211EB6">
        <w:t>botanical preparations</w:t>
      </w:r>
      <w:r w:rsidR="00A94D05" w:rsidRPr="00211EB6">
        <w:t xml:space="preserve"> (plant extracts)</w:t>
      </w:r>
      <w:r w:rsidR="00194937" w:rsidRPr="00211EB6">
        <w:t xml:space="preserve">, </w:t>
      </w:r>
      <w:r w:rsidR="003E5EA0" w:rsidRPr="00211EB6">
        <w:t>and</w:t>
      </w:r>
      <w:r w:rsidR="00FB3CC8" w:rsidRPr="00211EB6">
        <w:t xml:space="preserve"> </w:t>
      </w:r>
      <w:proofErr w:type="spellStart"/>
      <w:r w:rsidRPr="00211EB6">
        <w:t>agr</w:t>
      </w:r>
      <w:r w:rsidR="00194937" w:rsidRPr="00211EB6">
        <w:t>oecological</w:t>
      </w:r>
      <w:proofErr w:type="spellEnd"/>
      <w:r w:rsidRPr="00211EB6">
        <w:t xml:space="preserve"> practices (</w:t>
      </w:r>
      <w:r w:rsidR="00194937" w:rsidRPr="00211EB6">
        <w:t xml:space="preserve">such as are used in </w:t>
      </w:r>
      <w:proofErr w:type="spellStart"/>
      <w:r w:rsidR="00194937" w:rsidRPr="00211EB6">
        <w:t>agroecology</w:t>
      </w:r>
      <w:proofErr w:type="spellEnd"/>
      <w:r w:rsidR="00194937" w:rsidRPr="00211EB6">
        <w:t>, organics and integrated pest management or IPM</w:t>
      </w:r>
      <w:r w:rsidRPr="00211EB6">
        <w:t>)</w:t>
      </w:r>
      <w:r w:rsidR="00210CF1" w:rsidRPr="00211EB6">
        <w:t xml:space="preserve">. </w:t>
      </w:r>
      <w:r w:rsidRPr="00211EB6">
        <w:t xml:space="preserve">The range of alternatives reflects the various pest-crop combinations for which </w:t>
      </w:r>
      <w:proofErr w:type="spellStart"/>
      <w:r w:rsidRPr="00211EB6">
        <w:t>dicofol</w:t>
      </w:r>
      <w:proofErr w:type="spellEnd"/>
      <w:r w:rsidRPr="00211EB6">
        <w:t xml:space="preserve"> is or has been applied, in regions with very different climatic conditions</w:t>
      </w:r>
      <w:r w:rsidR="00194937" w:rsidRPr="00211EB6">
        <w:t xml:space="preserve"> and crops</w:t>
      </w:r>
      <w:r w:rsidRPr="00211EB6">
        <w:t xml:space="preserve">. All the alternatives described are considered to be technically feasible, available and accessible in a range of countries.  However, the available information (primarily from Annex F submissions) is not currently sufficient to conclude that these alternatives </w:t>
      </w:r>
      <w:r w:rsidR="002862A7" w:rsidRPr="00211EB6">
        <w:t>are economically feasible</w:t>
      </w:r>
      <w:r w:rsidRPr="00211EB6">
        <w:t xml:space="preserve"> in all cases where </w:t>
      </w:r>
      <w:proofErr w:type="spellStart"/>
      <w:r w:rsidRPr="00211EB6">
        <w:t>dicofol</w:t>
      </w:r>
      <w:proofErr w:type="spellEnd"/>
      <w:r w:rsidRPr="00211EB6">
        <w:t xml:space="preserve"> is still used</w:t>
      </w:r>
      <w:r w:rsidR="00FB3CC8" w:rsidRPr="00211EB6">
        <w:t>. Equally, there is no information to suggest that alternatives cannot be feasibly implemented in all cases</w:t>
      </w:r>
      <w:r w:rsidR="00BC5D91" w:rsidRPr="00211EB6">
        <w:t>.</w:t>
      </w:r>
    </w:p>
    <w:p w14:paraId="2399BB0A" w14:textId="0B8673CC" w:rsidR="00D35363" w:rsidRPr="00211EB6" w:rsidRDefault="00DE4C1B" w:rsidP="008C6BCB">
      <w:pPr>
        <w:pStyle w:val="Normalnumber"/>
        <w:numPr>
          <w:ilvl w:val="0"/>
          <w:numId w:val="34"/>
        </w:numPr>
        <w:tabs>
          <w:tab w:val="clear" w:pos="1440"/>
        </w:tabs>
        <w:ind w:left="0" w:firstLine="0"/>
      </w:pPr>
      <w:r w:rsidRPr="00211EB6">
        <w:t>Non-chemical alternative processes</w:t>
      </w:r>
      <w:r w:rsidR="00194937" w:rsidRPr="00211EB6">
        <w:t xml:space="preserve"> and products</w:t>
      </w:r>
      <w:r w:rsidRPr="00211EB6">
        <w:t xml:space="preserve">, and more specifically </w:t>
      </w:r>
      <w:proofErr w:type="spellStart"/>
      <w:r w:rsidR="00194937" w:rsidRPr="00211EB6">
        <w:t>agroecological</w:t>
      </w:r>
      <w:proofErr w:type="spellEnd"/>
      <w:r w:rsidR="00194937" w:rsidRPr="00211EB6">
        <w:t xml:space="preserve"> and </w:t>
      </w:r>
      <w:r w:rsidRPr="00211EB6">
        <w:t xml:space="preserve">integrated pest management practices, have proven to be efficient as an alternative to </w:t>
      </w:r>
      <w:proofErr w:type="spellStart"/>
      <w:r w:rsidRPr="00211EB6">
        <w:t>dicofol</w:t>
      </w:r>
      <w:proofErr w:type="spellEnd"/>
      <w:r w:rsidRPr="00211EB6">
        <w:t xml:space="preserve"> in </w:t>
      </w:r>
      <w:r w:rsidR="00CD6D8F" w:rsidRPr="00211EB6">
        <w:t xml:space="preserve">a number of </w:t>
      </w:r>
      <w:r w:rsidRPr="00211EB6">
        <w:t xml:space="preserve">countries (including India, China, and Australia) and for </w:t>
      </w:r>
      <w:r w:rsidR="00CD6D8F" w:rsidRPr="00211EB6">
        <w:t xml:space="preserve">a number of </w:t>
      </w:r>
      <w:r w:rsidRPr="00211EB6">
        <w:t xml:space="preserve">crops, such as cotton, tea, citrus, and apples.  However, the existing evidence is not sufficient to demonstrate that this is true for </w:t>
      </w:r>
      <w:r w:rsidR="00A94D05" w:rsidRPr="00211EB6">
        <w:t>all uses</w:t>
      </w:r>
      <w:r w:rsidRPr="00211EB6">
        <w:t>.</w:t>
      </w:r>
      <w:r w:rsidR="00A37FFC" w:rsidRPr="008C6BCB" w:rsidDel="00A37FFC">
        <w:t xml:space="preserve"> </w:t>
      </w:r>
    </w:p>
    <w:p w14:paraId="5BA9234E" w14:textId="0AF42FCB" w:rsidR="00FC1C88" w:rsidRPr="00211EB6" w:rsidRDefault="00D35363" w:rsidP="008C6BCB">
      <w:pPr>
        <w:pStyle w:val="Normalnumber"/>
        <w:numPr>
          <w:ilvl w:val="0"/>
          <w:numId w:val="34"/>
        </w:numPr>
        <w:tabs>
          <w:tab w:val="clear" w:pos="1440"/>
        </w:tabs>
        <w:ind w:left="0" w:firstLine="0"/>
      </w:pPr>
      <w:r w:rsidRPr="00211EB6">
        <w:t xml:space="preserve">In accordance with paragraph 9 of Article 8 of the Convention the POPRC recommends to the Conference of the Parties to the Stockholm Convention to consider listing </w:t>
      </w:r>
      <w:proofErr w:type="spellStart"/>
      <w:r w:rsidRPr="00211EB6">
        <w:t>dicofol</w:t>
      </w:r>
      <w:proofErr w:type="spellEnd"/>
      <w:r w:rsidRPr="00211EB6">
        <w:t xml:space="preserve"> and specifying the related control measures under the Stockholm Convention in Annex A </w:t>
      </w:r>
      <w:r w:rsidR="00AE4394" w:rsidRPr="00211EB6">
        <w:t xml:space="preserve">without </w:t>
      </w:r>
      <w:r w:rsidR="007A70EF" w:rsidRPr="00211EB6">
        <w:t xml:space="preserve">specific </w:t>
      </w:r>
      <w:r w:rsidR="00AE4394" w:rsidRPr="00211EB6">
        <w:t>exemption</w:t>
      </w:r>
      <w:r w:rsidR="007A70EF" w:rsidRPr="00211EB6">
        <w:t>s</w:t>
      </w:r>
      <w:r w:rsidRPr="00211EB6">
        <w:t>.</w:t>
      </w:r>
    </w:p>
    <w:p w14:paraId="02BC5BC7" w14:textId="0210334A" w:rsidR="008D4C8F" w:rsidRPr="00211EB6" w:rsidRDefault="0064044D" w:rsidP="008578FE">
      <w:pPr>
        <w:pStyle w:val="Heading1"/>
        <w:keepNext w:val="0"/>
        <w:numPr>
          <w:ilvl w:val="0"/>
          <w:numId w:val="0"/>
        </w:numPr>
        <w:spacing w:before="240" w:line="240" w:lineRule="auto"/>
        <w:ind w:left="634" w:hanging="634"/>
        <w:jc w:val="left"/>
        <w:rPr>
          <w:rFonts w:ascii="Times New Roman" w:hAnsi="Times New Roman"/>
          <w:sz w:val="24"/>
        </w:rPr>
      </w:pPr>
      <w:bookmarkStart w:id="2" w:name="_Toc483491443"/>
      <w:r w:rsidRPr="00211EB6">
        <w:rPr>
          <w:rFonts w:ascii="Times New Roman" w:hAnsi="Times New Roman"/>
          <w:sz w:val="24"/>
        </w:rPr>
        <w:t>1</w:t>
      </w:r>
      <w:r w:rsidRPr="00211EB6">
        <w:rPr>
          <w:rFonts w:ascii="Times New Roman" w:hAnsi="Times New Roman"/>
          <w:sz w:val="24"/>
        </w:rPr>
        <w:tab/>
      </w:r>
      <w:r w:rsidR="008D4C8F" w:rsidRPr="00211EB6">
        <w:rPr>
          <w:rFonts w:ascii="Times New Roman" w:hAnsi="Times New Roman"/>
          <w:sz w:val="24"/>
        </w:rPr>
        <w:t>Introduction</w:t>
      </w:r>
      <w:bookmarkEnd w:id="2"/>
    </w:p>
    <w:p w14:paraId="0F199F1D" w14:textId="55365D47" w:rsidR="00AD7809" w:rsidRPr="00211EB6" w:rsidRDefault="00C25160" w:rsidP="008C6BCB">
      <w:pPr>
        <w:pStyle w:val="Normalnumber"/>
        <w:numPr>
          <w:ilvl w:val="0"/>
          <w:numId w:val="34"/>
        </w:numPr>
        <w:tabs>
          <w:tab w:val="clear" w:pos="1440"/>
        </w:tabs>
        <w:ind w:left="0" w:firstLine="0"/>
      </w:pPr>
      <w:r w:rsidRPr="00211EB6">
        <w:t>I</w:t>
      </w:r>
      <w:r w:rsidR="00067AE4" w:rsidRPr="00211EB6">
        <w:t xml:space="preserve">n May 2013, the European </w:t>
      </w:r>
      <w:r w:rsidR="008B441B" w:rsidRPr="00211EB6">
        <w:t xml:space="preserve">Union </w:t>
      </w:r>
      <w:r w:rsidR="00067AE4" w:rsidRPr="00211EB6">
        <w:t xml:space="preserve">and its Member States, being </w:t>
      </w:r>
      <w:r w:rsidR="00315E0D" w:rsidRPr="00211EB6">
        <w:t>Parties</w:t>
      </w:r>
      <w:r w:rsidR="00067AE4" w:rsidRPr="00211EB6">
        <w:t xml:space="preserve"> to the Stockholm Convention, submitted </w:t>
      </w:r>
      <w:r w:rsidRPr="00211EB6">
        <w:t xml:space="preserve">to the ninth meeting of the Persistent Organic Pollutants Review Committee (POPRC) </w:t>
      </w:r>
      <w:r w:rsidR="00067AE4" w:rsidRPr="00211EB6">
        <w:t xml:space="preserve">a proposal to list </w:t>
      </w:r>
      <w:proofErr w:type="spellStart"/>
      <w:r w:rsidR="00067AE4" w:rsidRPr="00211EB6">
        <w:t>dicofol</w:t>
      </w:r>
      <w:proofErr w:type="spellEnd"/>
      <w:r w:rsidR="00067AE4" w:rsidRPr="00211EB6">
        <w:t xml:space="preserve"> in Annex A, B and/or C of the Convention (UNEP/POPS/POPRC.9/3). The proposal was further evaluated by the Committee at its tenth and eleventh meetings in Rome in October 2014 and October 2015.</w:t>
      </w:r>
    </w:p>
    <w:p w14:paraId="64F9C964" w14:textId="77777777" w:rsidR="00067AE4" w:rsidRPr="00211EB6" w:rsidRDefault="00067AE4" w:rsidP="008C6BCB">
      <w:pPr>
        <w:pStyle w:val="Normalnumber"/>
        <w:numPr>
          <w:ilvl w:val="0"/>
          <w:numId w:val="34"/>
        </w:numPr>
        <w:tabs>
          <w:tab w:val="clear" w:pos="1440"/>
        </w:tabs>
        <w:ind w:left="0" w:firstLine="0"/>
      </w:pPr>
      <w:r w:rsidRPr="00211EB6">
        <w:t xml:space="preserve">Having examined the proposal, the Committee adopted a decision (POPRC-10/3) that </w:t>
      </w:r>
      <w:proofErr w:type="spellStart"/>
      <w:r w:rsidRPr="00211EB6">
        <w:t>dicofol</w:t>
      </w:r>
      <w:proofErr w:type="spellEnd"/>
      <w:r w:rsidRPr="00211EB6">
        <w:t xml:space="preserve"> me</w:t>
      </w:r>
      <w:r w:rsidR="008B441B" w:rsidRPr="00211EB6">
        <w:t>e</w:t>
      </w:r>
      <w:r w:rsidRPr="00211EB6">
        <w:t>t</w:t>
      </w:r>
      <w:r w:rsidR="008B441B" w:rsidRPr="00211EB6">
        <w:t>s</w:t>
      </w:r>
      <w:r w:rsidRPr="00211EB6">
        <w:t xml:space="preserve"> the criteria of Annex D to the Convention </w:t>
      </w:r>
      <w:r w:rsidR="008B441B" w:rsidRPr="00211EB6">
        <w:t xml:space="preserve">and </w:t>
      </w:r>
      <w:r w:rsidRPr="00211EB6">
        <w:t xml:space="preserve">established an </w:t>
      </w:r>
      <w:proofErr w:type="spellStart"/>
      <w:r w:rsidRPr="00211EB6">
        <w:t>intersessional</w:t>
      </w:r>
      <w:proofErr w:type="spellEnd"/>
      <w:r w:rsidRPr="00211EB6">
        <w:t xml:space="preserve"> working group to review the proposal further and prepare a draft risk profile.</w:t>
      </w:r>
    </w:p>
    <w:p w14:paraId="5DAFF876" w14:textId="0FF78117" w:rsidR="00067AE4" w:rsidRPr="00211EB6" w:rsidRDefault="00067AE4" w:rsidP="008C6BCB">
      <w:pPr>
        <w:pStyle w:val="Normalnumber"/>
        <w:numPr>
          <w:ilvl w:val="0"/>
          <w:numId w:val="34"/>
        </w:numPr>
        <w:tabs>
          <w:tab w:val="clear" w:pos="1440"/>
        </w:tabs>
        <w:ind w:left="0" w:firstLine="0"/>
      </w:pPr>
      <w:r w:rsidRPr="00211EB6">
        <w:t xml:space="preserve">At the twelfth meeting of the POPRC in September 2016 the Committee, having reviewed the risk profile on </w:t>
      </w:r>
      <w:proofErr w:type="spellStart"/>
      <w:r w:rsidRPr="00211EB6">
        <w:t>dicofol</w:t>
      </w:r>
      <w:proofErr w:type="spellEnd"/>
      <w:r w:rsidRPr="00211EB6">
        <w:t>, decided</w:t>
      </w:r>
      <w:r w:rsidR="006F7334" w:rsidRPr="00211EB6">
        <w:t xml:space="preserve"> (POPRC-12/1) in accordance with paragraph 7(a) of Article 8 of the Convention, that </w:t>
      </w:r>
      <w:proofErr w:type="spellStart"/>
      <w:r w:rsidR="006F7334" w:rsidRPr="00211EB6">
        <w:t>dicofol</w:t>
      </w:r>
      <w:proofErr w:type="spellEnd"/>
      <w:r w:rsidR="006F7334" w:rsidRPr="00211EB6">
        <w:t xml:space="preserve"> is likely as a result of its long range environmental transport to lead to significant adverse human health and environmental effects such that global action is warranted</w:t>
      </w:r>
      <w:r w:rsidRPr="00211EB6">
        <w:t xml:space="preserve">. The Committee also established an </w:t>
      </w:r>
      <w:proofErr w:type="spellStart"/>
      <w:r w:rsidRPr="00211EB6">
        <w:t>intersessional</w:t>
      </w:r>
      <w:proofErr w:type="spellEnd"/>
      <w:r w:rsidRPr="00211EB6">
        <w:t xml:space="preserve"> working group to prepare a risk management evaluation that includes an analysis of possible control measures for </w:t>
      </w:r>
      <w:proofErr w:type="spellStart"/>
      <w:r w:rsidRPr="00211EB6">
        <w:t>dicofol</w:t>
      </w:r>
      <w:proofErr w:type="spellEnd"/>
      <w:r w:rsidRPr="00211EB6">
        <w:t>.</w:t>
      </w:r>
    </w:p>
    <w:p w14:paraId="42DBBFBA" w14:textId="0C9B58A2" w:rsidR="00067AE4" w:rsidRPr="00211EB6" w:rsidRDefault="00067AE4" w:rsidP="008C6BCB">
      <w:pPr>
        <w:pStyle w:val="Normalnumber"/>
        <w:numPr>
          <w:ilvl w:val="0"/>
          <w:numId w:val="34"/>
        </w:numPr>
        <w:tabs>
          <w:tab w:val="clear" w:pos="1440"/>
        </w:tabs>
        <w:ind w:left="0" w:firstLine="0"/>
      </w:pPr>
      <w:r w:rsidRPr="00211EB6">
        <w:t xml:space="preserve">Parties and observers were invited to submit to the Secretariat the information specified in Annex F before 9 December 2016. The submitted information and other relevant information </w:t>
      </w:r>
      <w:r w:rsidR="002A7C57" w:rsidRPr="00211EB6">
        <w:t>are</w:t>
      </w:r>
      <w:r w:rsidRPr="00211EB6">
        <w:t xml:space="preserve"> considered in this document.</w:t>
      </w:r>
    </w:p>
    <w:p w14:paraId="03571BE4" w14:textId="0E113D6D" w:rsidR="00895FF7" w:rsidRPr="00211EB6" w:rsidRDefault="00895FF7" w:rsidP="001E269C">
      <w:pPr>
        <w:pStyle w:val="Heading2"/>
      </w:pPr>
      <w:bookmarkStart w:id="3" w:name="_Toc483491444"/>
      <w:r w:rsidRPr="00211EB6">
        <w:t xml:space="preserve">Chemical identity of </w:t>
      </w:r>
      <w:proofErr w:type="spellStart"/>
      <w:r w:rsidR="002D4D3D" w:rsidRPr="00211EB6">
        <w:t>dicofol</w:t>
      </w:r>
      <w:bookmarkStart w:id="4" w:name="_GoBack"/>
      <w:bookmarkEnd w:id="3"/>
      <w:bookmarkEnd w:id="4"/>
      <w:proofErr w:type="spellEnd"/>
    </w:p>
    <w:p w14:paraId="3FD59AB9" w14:textId="7762B06B" w:rsidR="00B90E13" w:rsidRPr="00211EB6" w:rsidRDefault="00067AE4" w:rsidP="008C6BCB">
      <w:pPr>
        <w:pStyle w:val="Normalnumber"/>
        <w:numPr>
          <w:ilvl w:val="0"/>
          <w:numId w:val="34"/>
        </w:numPr>
        <w:tabs>
          <w:tab w:val="clear" w:pos="1440"/>
        </w:tabs>
        <w:ind w:left="0" w:firstLine="0"/>
      </w:pPr>
      <w:bookmarkStart w:id="5" w:name="_Toc130616636"/>
      <w:bookmarkStart w:id="6" w:name="_Toc153938442"/>
      <w:proofErr w:type="spellStart"/>
      <w:r w:rsidRPr="00211EB6">
        <w:t>Dicofol</w:t>
      </w:r>
      <w:proofErr w:type="spellEnd"/>
      <w:r w:rsidRPr="00211EB6">
        <w:t xml:space="preserve"> is </w:t>
      </w:r>
      <w:r w:rsidR="000C712D" w:rsidRPr="00211EB6">
        <w:t xml:space="preserve">an </w:t>
      </w:r>
      <w:proofErr w:type="spellStart"/>
      <w:r w:rsidR="000C712D" w:rsidRPr="00211EB6">
        <w:t>organochlorine</w:t>
      </w:r>
      <w:proofErr w:type="spellEnd"/>
      <w:r w:rsidR="000C712D" w:rsidRPr="00211EB6">
        <w:t xml:space="preserve"> </w:t>
      </w:r>
      <w:proofErr w:type="spellStart"/>
      <w:r w:rsidR="00C25160" w:rsidRPr="00211EB6">
        <w:t>miticidal</w:t>
      </w:r>
      <w:proofErr w:type="spellEnd"/>
      <w:r w:rsidR="00C25160" w:rsidRPr="00211EB6">
        <w:t xml:space="preserve"> </w:t>
      </w:r>
      <w:r w:rsidR="000C712D" w:rsidRPr="00211EB6">
        <w:t xml:space="preserve">pesticide </w:t>
      </w:r>
      <w:r w:rsidR="00CA7F0B" w:rsidRPr="00211EB6">
        <w:t>comprising</w:t>
      </w:r>
      <w:r w:rsidRPr="00211EB6">
        <w:t xml:space="preserve"> two isomers: </w:t>
      </w:r>
      <w:r w:rsidR="007E3F71" w:rsidRPr="00211EB6">
        <w:rPr>
          <w:i/>
        </w:rPr>
        <w:t>p</w:t>
      </w:r>
      <w:proofErr w:type="gramStart"/>
      <w:r w:rsidR="007E3F71" w:rsidRPr="00211EB6">
        <w:rPr>
          <w:i/>
        </w:rPr>
        <w:t>,p</w:t>
      </w:r>
      <w:proofErr w:type="gramEnd"/>
      <w:r w:rsidR="00587872" w:rsidRPr="00211EB6">
        <w:rPr>
          <w:i/>
        </w:rPr>
        <w:t>′</w:t>
      </w:r>
      <w:r w:rsidRPr="00211EB6">
        <w:t>-</w:t>
      </w:r>
      <w:proofErr w:type="spellStart"/>
      <w:r w:rsidRPr="00211EB6">
        <w:t>dicofol</w:t>
      </w:r>
      <w:proofErr w:type="spellEnd"/>
      <w:r w:rsidRPr="00211EB6">
        <w:t xml:space="preserve"> and </w:t>
      </w:r>
      <w:r w:rsidRPr="00211EB6">
        <w:rPr>
          <w:i/>
        </w:rPr>
        <w:t>o,p</w:t>
      </w:r>
      <w:r w:rsidR="00587872" w:rsidRPr="00211EB6">
        <w:rPr>
          <w:i/>
        </w:rPr>
        <w:t>′</w:t>
      </w:r>
      <w:r w:rsidRPr="00211EB6">
        <w:t>-</w:t>
      </w:r>
      <w:proofErr w:type="spellStart"/>
      <w:r w:rsidRPr="00211EB6">
        <w:t>dicofol</w:t>
      </w:r>
      <w:proofErr w:type="spellEnd"/>
      <w:r w:rsidRPr="00211EB6">
        <w:t xml:space="preserve">. The technical product (95% pure) is a brown viscous oil and is composed of 80-85% </w:t>
      </w:r>
      <w:r w:rsidR="007E3F71" w:rsidRPr="00211EB6">
        <w:rPr>
          <w:i/>
        </w:rPr>
        <w:t>p</w:t>
      </w:r>
      <w:proofErr w:type="gramStart"/>
      <w:r w:rsidR="007E3F71" w:rsidRPr="00211EB6">
        <w:rPr>
          <w:i/>
        </w:rPr>
        <w:t>,p</w:t>
      </w:r>
      <w:proofErr w:type="gramEnd"/>
      <w:r w:rsidR="00587872" w:rsidRPr="00211EB6">
        <w:rPr>
          <w:i/>
        </w:rPr>
        <w:t>′</w:t>
      </w:r>
      <w:r w:rsidRPr="00211EB6">
        <w:t>-</w:t>
      </w:r>
      <w:proofErr w:type="spellStart"/>
      <w:r w:rsidRPr="00211EB6">
        <w:t>dicofol</w:t>
      </w:r>
      <w:proofErr w:type="spellEnd"/>
      <w:r w:rsidRPr="00211EB6">
        <w:t xml:space="preserve"> and 15-20% </w:t>
      </w:r>
      <w:r w:rsidR="007E3F71" w:rsidRPr="00211EB6">
        <w:rPr>
          <w:i/>
        </w:rPr>
        <w:t>o,p’</w:t>
      </w:r>
      <w:r w:rsidRPr="00211EB6">
        <w:t>-</w:t>
      </w:r>
      <w:proofErr w:type="spellStart"/>
      <w:r w:rsidRPr="00211EB6">
        <w:t>dicofol</w:t>
      </w:r>
      <w:proofErr w:type="spellEnd"/>
      <w:r w:rsidRPr="00211EB6">
        <w:t xml:space="preserve"> with up to 18 reported impurities. The purer form is generally &gt;95% </w:t>
      </w:r>
      <w:proofErr w:type="spellStart"/>
      <w:r w:rsidRPr="00211EB6">
        <w:t>dicofol</w:t>
      </w:r>
      <w:proofErr w:type="spellEnd"/>
      <w:r w:rsidRPr="00211EB6">
        <w:t xml:space="preserve"> containing less than 0.1% </w:t>
      </w:r>
      <w:r w:rsidR="000C712D" w:rsidRPr="00211EB6">
        <w:t>dichlorodiphenyltrichloroethane (</w:t>
      </w:r>
      <w:r w:rsidRPr="00211EB6">
        <w:t>DDT</w:t>
      </w:r>
      <w:r w:rsidR="000C712D" w:rsidRPr="00211EB6">
        <w:t>)</w:t>
      </w:r>
      <w:r w:rsidRPr="00211EB6">
        <w:t xml:space="preserve"> and related compounds (ΣDDT, i.e. DDT, DDE and DDD) (WHO 1996).</w:t>
      </w:r>
      <w:r w:rsidR="000C712D" w:rsidRPr="00211EB6">
        <w:t xml:space="preserve"> Table 1.1 provides an overview of the key information used for the identification of </w:t>
      </w:r>
      <w:proofErr w:type="spellStart"/>
      <w:r w:rsidR="000C712D" w:rsidRPr="00211EB6">
        <w:t>dicofol</w:t>
      </w:r>
      <w:proofErr w:type="spellEnd"/>
      <w:r w:rsidR="000C712D" w:rsidRPr="00211EB6">
        <w:t>.</w:t>
      </w:r>
    </w:p>
    <w:bookmarkEnd w:id="5"/>
    <w:bookmarkEnd w:id="6"/>
    <w:p w14:paraId="009D7B16" w14:textId="39180098" w:rsidR="00C151FB" w:rsidRPr="00211EB6" w:rsidRDefault="007F4736" w:rsidP="0064044D">
      <w:pPr>
        <w:pStyle w:val="Titletable"/>
        <w:keepNext w:val="0"/>
        <w:keepLines w:val="0"/>
        <w:widowControl w:val="0"/>
        <w:suppressAutoHyphens w:val="0"/>
        <w:ind w:left="0"/>
      </w:pPr>
      <w:r w:rsidRPr="00211EB6">
        <w:t>Table 1</w:t>
      </w:r>
      <w:r w:rsidR="00067AE4" w:rsidRPr="00211EB6">
        <w:t>.1</w:t>
      </w:r>
      <w:r w:rsidR="00955776" w:rsidRPr="00211EB6">
        <w:tab/>
      </w:r>
      <w:r w:rsidRPr="00211EB6">
        <w:t xml:space="preserve">Information pertaining to the chemical identity of </w:t>
      </w:r>
      <w:proofErr w:type="spellStart"/>
      <w:r w:rsidR="00912815" w:rsidRPr="00211EB6">
        <w:t>dicofol</w:t>
      </w:r>
      <w:proofErr w:type="spellEnd"/>
      <w:r w:rsidRPr="00211EB6">
        <w:t xml:space="preserve"> </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140"/>
        <w:gridCol w:w="4465"/>
      </w:tblGrid>
      <w:tr w:rsidR="00067AE4" w:rsidRPr="00211EB6" w14:paraId="716ED39F" w14:textId="77777777" w:rsidTr="00C70E24">
        <w:trPr>
          <w:trHeight w:val="1111"/>
        </w:trPr>
        <w:tc>
          <w:tcPr>
            <w:tcW w:w="1916" w:type="dxa"/>
          </w:tcPr>
          <w:p w14:paraId="3487A03C" w14:textId="77777777" w:rsidR="00067AE4" w:rsidRPr="00211EB6" w:rsidRDefault="00067AE4" w:rsidP="0064044D">
            <w:pPr>
              <w:widowControl w:val="0"/>
              <w:autoSpaceDE w:val="0"/>
              <w:snapToGrid w:val="0"/>
              <w:rPr>
                <w:rFonts w:eastAsia="Arial"/>
                <w:sz w:val="20"/>
                <w:szCs w:val="20"/>
                <w:lang w:eastAsia="ar-SA"/>
              </w:rPr>
            </w:pPr>
            <w:r w:rsidRPr="00211EB6">
              <w:rPr>
                <w:rFonts w:eastAsia="Arial"/>
                <w:sz w:val="20"/>
                <w:szCs w:val="20"/>
                <w:lang w:eastAsia="ar-SA"/>
              </w:rPr>
              <w:t xml:space="preserve">Common name </w:t>
            </w:r>
          </w:p>
          <w:p w14:paraId="521ADBD7" w14:textId="77777777" w:rsidR="00067AE4" w:rsidRPr="00211EB6" w:rsidRDefault="00067AE4" w:rsidP="00307F16">
            <w:pPr>
              <w:widowControl w:val="0"/>
              <w:autoSpaceDE w:val="0"/>
              <w:snapToGrid w:val="0"/>
              <w:rPr>
                <w:rFonts w:eastAsia="Arial"/>
                <w:sz w:val="20"/>
                <w:szCs w:val="20"/>
                <w:lang w:eastAsia="ar-SA"/>
              </w:rPr>
            </w:pPr>
          </w:p>
          <w:p w14:paraId="591F199A" w14:textId="3EA3F4E0" w:rsidR="00067AE4" w:rsidRPr="00211EB6" w:rsidRDefault="00067AE4" w:rsidP="00307F16">
            <w:pPr>
              <w:widowControl w:val="0"/>
              <w:autoSpaceDE w:val="0"/>
              <w:rPr>
                <w:rFonts w:eastAsia="Arial"/>
                <w:sz w:val="20"/>
                <w:szCs w:val="20"/>
                <w:lang w:eastAsia="ar-SA"/>
              </w:rPr>
            </w:pPr>
            <w:r w:rsidRPr="00211EB6">
              <w:rPr>
                <w:rFonts w:eastAsia="Arial"/>
                <w:sz w:val="20"/>
                <w:szCs w:val="20"/>
                <w:lang w:eastAsia="ar-SA"/>
              </w:rPr>
              <w:t>IUPAC Chem. Abstracts</w:t>
            </w:r>
          </w:p>
        </w:tc>
        <w:tc>
          <w:tcPr>
            <w:tcW w:w="7605" w:type="dxa"/>
            <w:gridSpan w:val="2"/>
          </w:tcPr>
          <w:p w14:paraId="19261CDD" w14:textId="77777777" w:rsidR="00067AE4" w:rsidRPr="00211EB6" w:rsidRDefault="00067AE4" w:rsidP="0064044D">
            <w:pPr>
              <w:widowControl w:val="0"/>
              <w:autoSpaceDE w:val="0"/>
              <w:snapToGrid w:val="0"/>
              <w:rPr>
                <w:rFonts w:eastAsia="Arial"/>
                <w:sz w:val="20"/>
                <w:szCs w:val="20"/>
                <w:u w:val="single"/>
                <w:lang w:eastAsia="ar-SA"/>
              </w:rPr>
            </w:pPr>
            <w:proofErr w:type="spellStart"/>
            <w:r w:rsidRPr="00211EB6">
              <w:rPr>
                <w:rFonts w:eastAsia="Arial"/>
                <w:sz w:val="20"/>
                <w:szCs w:val="20"/>
                <w:u w:val="single"/>
                <w:lang w:eastAsia="ar-SA"/>
              </w:rPr>
              <w:t>Dicofol</w:t>
            </w:r>
            <w:proofErr w:type="spellEnd"/>
          </w:p>
          <w:p w14:paraId="662DFDAF" w14:textId="77777777" w:rsidR="00067AE4" w:rsidRPr="00211EB6" w:rsidRDefault="00067AE4" w:rsidP="00307F16">
            <w:pPr>
              <w:widowControl w:val="0"/>
              <w:autoSpaceDE w:val="0"/>
              <w:snapToGrid w:val="0"/>
              <w:rPr>
                <w:rFonts w:eastAsia="Arial"/>
                <w:sz w:val="20"/>
                <w:szCs w:val="20"/>
                <w:u w:val="single"/>
                <w:lang w:eastAsia="ar-SA"/>
              </w:rPr>
            </w:pPr>
          </w:p>
          <w:p w14:paraId="0D6A13A5"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sz w:val="20"/>
                <w:szCs w:val="20"/>
              </w:rPr>
            </w:pPr>
            <w:r w:rsidRPr="00211EB6">
              <w:rPr>
                <w:rFonts w:eastAsia="Times New Roman"/>
                <w:sz w:val="20"/>
                <w:szCs w:val="20"/>
              </w:rPr>
              <w:t>2,2,2-trichloro-1,1-bis(4-chlorophenyl)ethanol</w:t>
            </w:r>
          </w:p>
          <w:p w14:paraId="39805817"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rPr>
            </w:pPr>
            <w:proofErr w:type="spellStart"/>
            <w:r w:rsidRPr="00211EB6">
              <w:rPr>
                <w:rFonts w:eastAsia="Times New Roman"/>
                <w:bCs/>
                <w:sz w:val="20"/>
                <w:szCs w:val="20"/>
              </w:rPr>
              <w:t>Benzenemethanol</w:t>
            </w:r>
            <w:proofErr w:type="spellEnd"/>
            <w:r w:rsidRPr="00211EB6">
              <w:rPr>
                <w:rFonts w:eastAsia="Times New Roman"/>
                <w:bCs/>
                <w:sz w:val="20"/>
                <w:szCs w:val="20"/>
              </w:rPr>
              <w:t>, 4-chloro-α-(4-chlorophenyl)-α-(</w:t>
            </w:r>
            <w:proofErr w:type="spellStart"/>
            <w:r w:rsidRPr="00211EB6">
              <w:rPr>
                <w:rFonts w:eastAsia="Times New Roman"/>
                <w:bCs/>
                <w:sz w:val="20"/>
                <w:szCs w:val="20"/>
              </w:rPr>
              <w:t>trichloromethyl</w:t>
            </w:r>
            <w:proofErr w:type="spellEnd"/>
            <w:r w:rsidRPr="00211EB6">
              <w:rPr>
                <w:rFonts w:eastAsia="Times New Roman"/>
                <w:bCs/>
                <w:sz w:val="20"/>
                <w:szCs w:val="20"/>
              </w:rPr>
              <w:t xml:space="preserve">)- </w:t>
            </w:r>
          </w:p>
          <w:p w14:paraId="0BC03836"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rPr>
            </w:pPr>
            <w:r w:rsidRPr="00211EB6">
              <w:rPr>
                <w:rFonts w:eastAsia="Times New Roman"/>
                <w:bCs/>
                <w:sz w:val="20"/>
                <w:szCs w:val="20"/>
              </w:rPr>
              <w:t xml:space="preserve">4-chloro-alpha-(4-chlorophenyl)-α-(trichloromethyl)benzene-methanol </w:t>
            </w:r>
          </w:p>
          <w:p w14:paraId="68391887"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rPr>
            </w:pPr>
            <w:r w:rsidRPr="00211EB6">
              <w:rPr>
                <w:rFonts w:eastAsia="Times New Roman"/>
                <w:sz w:val="20"/>
                <w:szCs w:val="20"/>
              </w:rPr>
              <w:t>1,1-bis(4'-chlorophenyl)2,2,2-trichloroethanol</w:t>
            </w:r>
          </w:p>
        </w:tc>
      </w:tr>
      <w:tr w:rsidR="00067AE4" w:rsidRPr="00211EB6" w14:paraId="3C81FE44" w14:textId="77777777" w:rsidTr="00C70E24">
        <w:trPr>
          <w:trHeight w:val="363"/>
        </w:trPr>
        <w:tc>
          <w:tcPr>
            <w:tcW w:w="1916" w:type="dxa"/>
          </w:tcPr>
          <w:p w14:paraId="43B98022" w14:textId="77777777" w:rsidR="00067AE4" w:rsidRPr="00211EB6" w:rsidRDefault="00067AE4" w:rsidP="0064044D">
            <w:pPr>
              <w:widowControl w:val="0"/>
              <w:autoSpaceDE w:val="0"/>
              <w:snapToGrid w:val="0"/>
              <w:rPr>
                <w:rFonts w:eastAsia="Arial"/>
                <w:sz w:val="20"/>
                <w:szCs w:val="20"/>
                <w:lang w:eastAsia="ar-SA"/>
              </w:rPr>
            </w:pPr>
            <w:r w:rsidRPr="00211EB6">
              <w:rPr>
                <w:rFonts w:eastAsia="Arial"/>
                <w:sz w:val="20"/>
                <w:szCs w:val="20"/>
                <w:lang w:eastAsia="ar-SA"/>
              </w:rPr>
              <w:t>Other names</w:t>
            </w:r>
          </w:p>
        </w:tc>
        <w:tc>
          <w:tcPr>
            <w:tcW w:w="7605" w:type="dxa"/>
            <w:gridSpan w:val="2"/>
          </w:tcPr>
          <w:p w14:paraId="3E757E7B" w14:textId="7867DA39" w:rsidR="00067AE4" w:rsidRPr="00211EB6" w:rsidRDefault="00067AE4" w:rsidP="0064044D">
            <w:r w:rsidRPr="00211EB6">
              <w:rPr>
                <w:rFonts w:eastAsia="Times New Roman"/>
                <w:bCs/>
                <w:sz w:val="20"/>
                <w:szCs w:val="20"/>
              </w:rPr>
              <w:t xml:space="preserve">1,1-bis(4-chlorophenyl)-2,2,2-trichloroethanol and 1-(2-chlorophenyl)-1-(4- </w:t>
            </w:r>
            <w:proofErr w:type="spellStart"/>
            <w:r w:rsidRPr="00211EB6">
              <w:rPr>
                <w:rFonts w:eastAsia="Times New Roman"/>
                <w:bCs/>
                <w:sz w:val="20"/>
                <w:szCs w:val="20"/>
              </w:rPr>
              <w:t>chlorophenyl</w:t>
            </w:r>
            <w:proofErr w:type="spellEnd"/>
            <w:r w:rsidRPr="00211EB6">
              <w:rPr>
                <w:rFonts w:eastAsia="Times New Roman"/>
                <w:bCs/>
                <w:sz w:val="20"/>
                <w:szCs w:val="20"/>
              </w:rPr>
              <w:t>)-2,2,2-trichloroethanol</w:t>
            </w:r>
            <w:r w:rsidRPr="00211EB6">
              <w:rPr>
                <w:rFonts w:eastAsia="Times New Roman"/>
                <w:sz w:val="20"/>
                <w:szCs w:val="20"/>
              </w:rPr>
              <w:t xml:space="preserve"> (</w:t>
            </w:r>
            <w:proofErr w:type="spellStart"/>
            <w:r w:rsidRPr="00211EB6">
              <w:rPr>
                <w:rFonts w:eastAsia="Times New Roman"/>
                <w:i/>
                <w:sz w:val="20"/>
                <w:szCs w:val="20"/>
              </w:rPr>
              <w:t>p,p</w:t>
            </w:r>
            <w:proofErr w:type="spellEnd"/>
            <w:r w:rsidR="000B0C90" w:rsidRPr="00211EB6">
              <w:rPr>
                <w:rFonts w:eastAsia="Times New Roman"/>
                <w:i/>
                <w:sz w:val="20"/>
                <w:szCs w:val="20"/>
              </w:rPr>
              <w:t>′</w:t>
            </w:r>
            <w:r w:rsidRPr="00211EB6">
              <w:rPr>
                <w:rFonts w:eastAsia="Times New Roman"/>
                <w:sz w:val="20"/>
                <w:szCs w:val="20"/>
              </w:rPr>
              <w:t xml:space="preserve">- and </w:t>
            </w:r>
            <w:proofErr w:type="spellStart"/>
            <w:r w:rsidRPr="00211EB6">
              <w:rPr>
                <w:rFonts w:eastAsia="Times New Roman"/>
                <w:i/>
                <w:sz w:val="20"/>
                <w:szCs w:val="20"/>
              </w:rPr>
              <w:t>o,p</w:t>
            </w:r>
            <w:proofErr w:type="spellEnd"/>
            <w:r w:rsidR="00587872" w:rsidRPr="00211EB6">
              <w:t>′</w:t>
            </w:r>
            <w:r w:rsidRPr="00211EB6">
              <w:rPr>
                <w:rFonts w:eastAsia="Times New Roman"/>
                <w:sz w:val="20"/>
                <w:szCs w:val="20"/>
              </w:rPr>
              <w:t xml:space="preserve">-isomer) </w:t>
            </w:r>
          </w:p>
        </w:tc>
      </w:tr>
      <w:tr w:rsidR="00067AE4" w:rsidRPr="00211EB6" w14:paraId="14D23838" w14:textId="77777777" w:rsidTr="00C70E24">
        <w:trPr>
          <w:trHeight w:val="179"/>
        </w:trPr>
        <w:tc>
          <w:tcPr>
            <w:tcW w:w="1916" w:type="dxa"/>
          </w:tcPr>
          <w:p w14:paraId="6204386A" w14:textId="77777777" w:rsidR="00067AE4" w:rsidRPr="00211EB6" w:rsidRDefault="00067AE4" w:rsidP="0064044D">
            <w:pPr>
              <w:widowControl w:val="0"/>
              <w:autoSpaceDE w:val="0"/>
              <w:snapToGrid w:val="0"/>
              <w:rPr>
                <w:rFonts w:eastAsia="Arial"/>
                <w:sz w:val="20"/>
                <w:szCs w:val="20"/>
                <w:lang w:eastAsia="ar-SA"/>
              </w:rPr>
            </w:pPr>
            <w:r w:rsidRPr="00211EB6">
              <w:rPr>
                <w:rFonts w:eastAsia="Times New Roman"/>
                <w:sz w:val="20"/>
                <w:szCs w:val="20"/>
                <w:lang w:eastAsia="ar-SA"/>
              </w:rPr>
              <w:t>Molecular formula</w:t>
            </w:r>
          </w:p>
        </w:tc>
        <w:tc>
          <w:tcPr>
            <w:tcW w:w="7605" w:type="dxa"/>
            <w:gridSpan w:val="2"/>
          </w:tcPr>
          <w:p w14:paraId="56F51FCF"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rPr>
            </w:pPr>
            <w:r w:rsidRPr="00211EB6">
              <w:rPr>
                <w:rFonts w:eastAsia="Times New Roman"/>
                <w:bCs/>
                <w:sz w:val="20"/>
                <w:szCs w:val="20"/>
              </w:rPr>
              <w:t>C</w:t>
            </w:r>
            <w:r w:rsidRPr="00211EB6">
              <w:rPr>
                <w:rFonts w:eastAsia="Times New Roman"/>
                <w:bCs/>
                <w:sz w:val="20"/>
                <w:szCs w:val="20"/>
                <w:vertAlign w:val="subscript"/>
              </w:rPr>
              <w:t>14</w:t>
            </w:r>
            <w:r w:rsidRPr="00211EB6">
              <w:rPr>
                <w:rFonts w:eastAsia="Times New Roman"/>
                <w:bCs/>
                <w:sz w:val="20"/>
                <w:szCs w:val="20"/>
              </w:rPr>
              <w:t>H</w:t>
            </w:r>
            <w:r w:rsidRPr="00211EB6">
              <w:rPr>
                <w:rFonts w:eastAsia="Times New Roman"/>
                <w:bCs/>
                <w:sz w:val="20"/>
                <w:szCs w:val="20"/>
                <w:vertAlign w:val="subscript"/>
              </w:rPr>
              <w:t>9</w:t>
            </w:r>
            <w:r w:rsidRPr="00211EB6">
              <w:rPr>
                <w:rFonts w:eastAsia="Times New Roman"/>
                <w:bCs/>
                <w:sz w:val="20"/>
                <w:szCs w:val="20"/>
              </w:rPr>
              <w:t>Cl</w:t>
            </w:r>
            <w:r w:rsidRPr="00211EB6">
              <w:rPr>
                <w:rFonts w:eastAsia="Times New Roman"/>
                <w:bCs/>
                <w:sz w:val="20"/>
                <w:szCs w:val="20"/>
                <w:vertAlign w:val="subscript"/>
              </w:rPr>
              <w:t>5</w:t>
            </w:r>
            <w:r w:rsidRPr="00211EB6">
              <w:rPr>
                <w:rFonts w:eastAsia="Times New Roman"/>
                <w:bCs/>
                <w:sz w:val="20"/>
                <w:szCs w:val="20"/>
              </w:rPr>
              <w:t>O</w:t>
            </w:r>
          </w:p>
        </w:tc>
      </w:tr>
      <w:tr w:rsidR="00067AE4" w:rsidRPr="00211EB6" w14:paraId="3F5A71D1" w14:textId="77777777" w:rsidTr="00C70E24">
        <w:trPr>
          <w:trHeight w:val="189"/>
        </w:trPr>
        <w:tc>
          <w:tcPr>
            <w:tcW w:w="1916" w:type="dxa"/>
          </w:tcPr>
          <w:p w14:paraId="5FC38506" w14:textId="77777777" w:rsidR="00067AE4" w:rsidRPr="00211EB6" w:rsidRDefault="00067AE4" w:rsidP="0064044D">
            <w:pPr>
              <w:widowControl w:val="0"/>
              <w:autoSpaceDE w:val="0"/>
              <w:snapToGrid w:val="0"/>
              <w:rPr>
                <w:rFonts w:eastAsia="Arial"/>
                <w:sz w:val="20"/>
                <w:szCs w:val="20"/>
                <w:lang w:eastAsia="ar-SA"/>
              </w:rPr>
            </w:pPr>
            <w:r w:rsidRPr="00211EB6">
              <w:rPr>
                <w:rFonts w:eastAsia="Times New Roman"/>
                <w:sz w:val="20"/>
                <w:szCs w:val="20"/>
                <w:lang w:eastAsia="ar-SA"/>
              </w:rPr>
              <w:t>Molecular weight</w:t>
            </w:r>
          </w:p>
        </w:tc>
        <w:tc>
          <w:tcPr>
            <w:tcW w:w="7605" w:type="dxa"/>
            <w:gridSpan w:val="2"/>
          </w:tcPr>
          <w:p w14:paraId="6AD3185C"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rPr>
            </w:pPr>
            <w:r w:rsidRPr="00211EB6">
              <w:rPr>
                <w:rFonts w:eastAsia="Times New Roman"/>
                <w:bCs/>
                <w:sz w:val="20"/>
                <w:szCs w:val="20"/>
              </w:rPr>
              <w:t xml:space="preserve">370.49 </w:t>
            </w:r>
          </w:p>
        </w:tc>
      </w:tr>
      <w:tr w:rsidR="00067AE4" w:rsidRPr="00211EB6" w14:paraId="0C71A8C2" w14:textId="77777777" w:rsidTr="00C70E24">
        <w:trPr>
          <w:trHeight w:val="555"/>
        </w:trPr>
        <w:tc>
          <w:tcPr>
            <w:tcW w:w="1916" w:type="dxa"/>
          </w:tcPr>
          <w:p w14:paraId="0BCD2417" w14:textId="77777777" w:rsidR="00067AE4" w:rsidRPr="00211EB6" w:rsidRDefault="00067AE4" w:rsidP="0064044D">
            <w:pPr>
              <w:widowControl w:val="0"/>
              <w:autoSpaceDE w:val="0"/>
              <w:snapToGrid w:val="0"/>
              <w:rPr>
                <w:rFonts w:eastAsia="Arial"/>
                <w:sz w:val="20"/>
                <w:szCs w:val="20"/>
                <w:lang w:eastAsia="ar-SA"/>
              </w:rPr>
            </w:pPr>
            <w:r w:rsidRPr="00211EB6">
              <w:rPr>
                <w:rFonts w:eastAsia="Arial"/>
                <w:sz w:val="20"/>
                <w:szCs w:val="20"/>
                <w:lang w:eastAsia="ar-SA"/>
              </w:rPr>
              <w:t xml:space="preserve">CAS registry number </w:t>
            </w:r>
          </w:p>
        </w:tc>
        <w:tc>
          <w:tcPr>
            <w:tcW w:w="3140" w:type="dxa"/>
          </w:tcPr>
          <w:p w14:paraId="57EE2C91" w14:textId="00E99DBD" w:rsidR="00067AE4" w:rsidRPr="00211EB6" w:rsidRDefault="00067AE4" w:rsidP="0064044D">
            <w:pPr>
              <w:widowControl w:val="0"/>
              <w:autoSpaceDE w:val="0"/>
              <w:snapToGrid w:val="0"/>
              <w:rPr>
                <w:sz w:val="20"/>
                <w:szCs w:val="20"/>
              </w:rPr>
            </w:pPr>
            <w:proofErr w:type="spellStart"/>
            <w:r w:rsidRPr="00211EB6">
              <w:rPr>
                <w:sz w:val="20"/>
                <w:szCs w:val="20"/>
              </w:rPr>
              <w:t>dicofol</w:t>
            </w:r>
            <w:proofErr w:type="spellEnd"/>
            <w:r w:rsidRPr="00211EB6">
              <w:rPr>
                <w:sz w:val="20"/>
                <w:szCs w:val="20"/>
              </w:rPr>
              <w:t xml:space="preserve">; </w:t>
            </w:r>
            <w:r w:rsidR="007E3F71" w:rsidRPr="00211EB6">
              <w:rPr>
                <w:i/>
                <w:sz w:val="20"/>
              </w:rPr>
              <w:t>p,p</w:t>
            </w:r>
            <w:r w:rsidR="00587872" w:rsidRPr="00211EB6">
              <w:rPr>
                <w:i/>
                <w:sz w:val="20"/>
              </w:rPr>
              <w:t>′</w:t>
            </w:r>
            <w:r w:rsidRPr="00211EB6">
              <w:rPr>
                <w:sz w:val="20"/>
                <w:szCs w:val="20"/>
              </w:rPr>
              <w:t>-</w:t>
            </w:r>
            <w:proofErr w:type="spellStart"/>
            <w:r w:rsidRPr="00211EB6">
              <w:rPr>
                <w:sz w:val="20"/>
                <w:szCs w:val="20"/>
              </w:rPr>
              <w:t>dicofol</w:t>
            </w:r>
            <w:proofErr w:type="spellEnd"/>
          </w:p>
          <w:p w14:paraId="50CDFF77" w14:textId="0DD2A13E" w:rsidR="00067AE4" w:rsidRPr="00211EB6" w:rsidRDefault="007E3F71" w:rsidP="00FE2E25">
            <w:r w:rsidRPr="00211EB6">
              <w:rPr>
                <w:i/>
                <w:sz w:val="20"/>
              </w:rPr>
              <w:t>o,p</w:t>
            </w:r>
            <w:r w:rsidR="00587872" w:rsidRPr="00211EB6">
              <w:t>′</w:t>
            </w:r>
            <w:r w:rsidR="00067AE4" w:rsidRPr="00211EB6">
              <w:rPr>
                <w:sz w:val="20"/>
                <w:szCs w:val="20"/>
              </w:rPr>
              <w:t>-</w:t>
            </w:r>
            <w:proofErr w:type="spellStart"/>
            <w:r w:rsidR="00067AE4" w:rsidRPr="00211EB6">
              <w:rPr>
                <w:sz w:val="20"/>
                <w:szCs w:val="20"/>
              </w:rPr>
              <w:t>dicofol</w:t>
            </w:r>
            <w:proofErr w:type="spellEnd"/>
          </w:p>
        </w:tc>
        <w:tc>
          <w:tcPr>
            <w:tcW w:w="4465" w:type="dxa"/>
          </w:tcPr>
          <w:p w14:paraId="09CE50E0" w14:textId="77777777" w:rsidR="00067AE4" w:rsidRPr="00211EB6" w:rsidRDefault="00067AE4" w:rsidP="0064044D">
            <w:pPr>
              <w:widowControl w:val="0"/>
              <w:autoSpaceDE w:val="0"/>
              <w:snapToGrid w:val="0"/>
              <w:rPr>
                <w:sz w:val="20"/>
                <w:szCs w:val="20"/>
              </w:rPr>
            </w:pPr>
            <w:r w:rsidRPr="00211EB6">
              <w:rPr>
                <w:sz w:val="20"/>
                <w:szCs w:val="20"/>
              </w:rPr>
              <w:t>115-32-2</w:t>
            </w:r>
          </w:p>
          <w:p w14:paraId="4B015048" w14:textId="77777777" w:rsidR="00067AE4" w:rsidRPr="00211EB6" w:rsidRDefault="00067AE4" w:rsidP="0064044D">
            <w:pPr>
              <w:widowControl w:val="0"/>
              <w:autoSpaceDE w:val="0"/>
              <w:snapToGrid w:val="0"/>
              <w:rPr>
                <w:rFonts w:eastAsia="Arial"/>
                <w:sz w:val="20"/>
                <w:szCs w:val="20"/>
                <w:lang w:eastAsia="ar-SA"/>
              </w:rPr>
            </w:pPr>
            <w:r w:rsidRPr="00211EB6">
              <w:rPr>
                <w:rFonts w:eastAsia="Arial"/>
                <w:sz w:val="20"/>
                <w:szCs w:val="20"/>
                <w:lang w:eastAsia="ar-SA"/>
              </w:rPr>
              <w:t>10606-46-9</w:t>
            </w:r>
          </w:p>
        </w:tc>
      </w:tr>
      <w:tr w:rsidR="00067AE4" w:rsidRPr="00211EB6" w14:paraId="497AF93E" w14:textId="77777777" w:rsidTr="00C70E24">
        <w:trPr>
          <w:trHeight w:val="919"/>
        </w:trPr>
        <w:tc>
          <w:tcPr>
            <w:tcW w:w="1916" w:type="dxa"/>
          </w:tcPr>
          <w:p w14:paraId="7F63E2B4" w14:textId="77777777" w:rsidR="00067AE4" w:rsidRPr="00211EB6" w:rsidRDefault="00067AE4" w:rsidP="0064044D">
            <w:pPr>
              <w:widowControl w:val="0"/>
              <w:autoSpaceDE w:val="0"/>
              <w:snapToGrid w:val="0"/>
              <w:rPr>
                <w:rFonts w:eastAsia="Arial"/>
                <w:sz w:val="20"/>
                <w:szCs w:val="20"/>
                <w:lang w:eastAsia="ar-SA"/>
              </w:rPr>
            </w:pPr>
            <w:r w:rsidRPr="00211EB6">
              <w:rPr>
                <w:rFonts w:eastAsia="Arial"/>
                <w:sz w:val="20"/>
                <w:szCs w:val="20"/>
                <w:lang w:eastAsia="ar-SA"/>
              </w:rPr>
              <w:t>Trade name</w:t>
            </w:r>
            <w:r w:rsidR="008B441B" w:rsidRPr="00211EB6">
              <w:rPr>
                <w:rFonts w:eastAsia="Arial"/>
                <w:sz w:val="20"/>
                <w:szCs w:val="20"/>
                <w:lang w:eastAsia="ar-SA"/>
              </w:rPr>
              <w:t>s</w:t>
            </w:r>
          </w:p>
        </w:tc>
        <w:tc>
          <w:tcPr>
            <w:tcW w:w="7605" w:type="dxa"/>
            <w:gridSpan w:val="2"/>
          </w:tcPr>
          <w:p w14:paraId="35FD177D"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bCs/>
                <w:sz w:val="20"/>
                <w:szCs w:val="20"/>
                <w:u w:val="single"/>
              </w:rPr>
            </w:pPr>
            <w:r w:rsidRPr="00211EB6">
              <w:rPr>
                <w:rFonts w:eastAsia="Times New Roman"/>
                <w:sz w:val="20"/>
                <w:szCs w:val="20"/>
              </w:rPr>
              <w:t>1,1-bis(</w:t>
            </w:r>
            <w:proofErr w:type="spellStart"/>
            <w:r w:rsidRPr="00211EB6">
              <w:rPr>
                <w:rFonts w:eastAsia="Times New Roman"/>
                <w:sz w:val="20"/>
                <w:szCs w:val="20"/>
              </w:rPr>
              <w:t>chlorophenyl</w:t>
            </w:r>
            <w:proofErr w:type="spellEnd"/>
            <w:r w:rsidRPr="00211EB6">
              <w:rPr>
                <w:rFonts w:eastAsia="Times New Roman"/>
                <w:sz w:val="20"/>
                <w:szCs w:val="20"/>
              </w:rPr>
              <w:t>)-2,2,2-trichloroethanol; 4-chloro-α-(4-chlorophenyl)-α-(</w:t>
            </w:r>
            <w:proofErr w:type="spellStart"/>
            <w:r w:rsidRPr="00211EB6">
              <w:rPr>
                <w:rFonts w:eastAsia="Times New Roman"/>
                <w:sz w:val="20"/>
                <w:szCs w:val="20"/>
              </w:rPr>
              <w:t>trichloromethyl</w:t>
            </w:r>
            <w:proofErr w:type="spellEnd"/>
            <w:r w:rsidRPr="00211EB6">
              <w:rPr>
                <w:rFonts w:eastAsia="Times New Roman"/>
                <w:sz w:val="20"/>
                <w:szCs w:val="20"/>
              </w:rPr>
              <w:t xml:space="preserve">)-; </w:t>
            </w:r>
            <w:proofErr w:type="spellStart"/>
            <w:r w:rsidRPr="00211EB6">
              <w:rPr>
                <w:rFonts w:eastAsia="Times New Roman"/>
                <w:sz w:val="20"/>
                <w:szCs w:val="20"/>
              </w:rPr>
              <w:t>Acarin</w:t>
            </w:r>
            <w:proofErr w:type="spellEnd"/>
            <w:r w:rsidRPr="00211EB6">
              <w:rPr>
                <w:rFonts w:eastAsia="Times New Roman"/>
                <w:sz w:val="20"/>
                <w:szCs w:val="20"/>
              </w:rPr>
              <w:t xml:space="preserve">; </w:t>
            </w:r>
            <w:r w:rsidR="000C712D" w:rsidRPr="00211EB6">
              <w:rPr>
                <w:rFonts w:eastAsia="Times New Roman"/>
                <w:sz w:val="20"/>
                <w:szCs w:val="20"/>
              </w:rPr>
              <w:t xml:space="preserve">AK-20 HC free; </w:t>
            </w:r>
            <w:proofErr w:type="spellStart"/>
            <w:r w:rsidRPr="00211EB6">
              <w:rPr>
                <w:rFonts w:eastAsia="Times New Roman"/>
                <w:sz w:val="20"/>
                <w:szCs w:val="20"/>
              </w:rPr>
              <w:t>Benzenemethanol</w:t>
            </w:r>
            <w:proofErr w:type="spellEnd"/>
            <w:r w:rsidRPr="00211EB6">
              <w:rPr>
                <w:rFonts w:eastAsia="Times New Roman"/>
                <w:sz w:val="20"/>
                <w:szCs w:val="20"/>
              </w:rPr>
              <w:t xml:space="preserve">; </w:t>
            </w:r>
            <w:proofErr w:type="spellStart"/>
            <w:r w:rsidRPr="00211EB6">
              <w:rPr>
                <w:rFonts w:eastAsia="Times New Roman"/>
                <w:sz w:val="20"/>
                <w:szCs w:val="20"/>
              </w:rPr>
              <w:t>Carbax</w:t>
            </w:r>
            <w:proofErr w:type="spellEnd"/>
            <w:r w:rsidRPr="00211EB6">
              <w:rPr>
                <w:rFonts w:eastAsia="Times New Roman"/>
                <w:sz w:val="20"/>
                <w:szCs w:val="20"/>
              </w:rPr>
              <w:t xml:space="preserve">; </w:t>
            </w:r>
            <w:proofErr w:type="spellStart"/>
            <w:r w:rsidRPr="00211EB6">
              <w:rPr>
                <w:rFonts w:eastAsia="Times New Roman"/>
                <w:sz w:val="20"/>
                <w:szCs w:val="20"/>
              </w:rPr>
              <w:t>Cekudifol</w:t>
            </w:r>
            <w:proofErr w:type="spellEnd"/>
            <w:r w:rsidRPr="00211EB6">
              <w:rPr>
                <w:rFonts w:eastAsia="Times New Roman"/>
                <w:sz w:val="20"/>
                <w:szCs w:val="20"/>
              </w:rPr>
              <w:t xml:space="preserve">; CPCA; </w:t>
            </w:r>
            <w:proofErr w:type="spellStart"/>
            <w:r w:rsidRPr="00211EB6">
              <w:rPr>
                <w:rFonts w:eastAsia="Times New Roman"/>
                <w:sz w:val="20"/>
                <w:szCs w:val="20"/>
              </w:rPr>
              <w:t>Decofol</w:t>
            </w:r>
            <w:proofErr w:type="spellEnd"/>
            <w:r w:rsidRPr="00211EB6">
              <w:rPr>
                <w:rFonts w:eastAsia="Times New Roman"/>
                <w:sz w:val="20"/>
                <w:szCs w:val="20"/>
              </w:rPr>
              <w:t xml:space="preserve">; </w:t>
            </w:r>
            <w:proofErr w:type="spellStart"/>
            <w:r w:rsidRPr="00211EB6">
              <w:rPr>
                <w:rFonts w:eastAsia="Times New Roman"/>
                <w:sz w:val="20"/>
                <w:szCs w:val="20"/>
              </w:rPr>
              <w:t>Dicaron</w:t>
            </w:r>
            <w:proofErr w:type="spellEnd"/>
            <w:r w:rsidRPr="00211EB6">
              <w:rPr>
                <w:rFonts w:eastAsia="Times New Roman"/>
                <w:sz w:val="20"/>
                <w:szCs w:val="20"/>
              </w:rPr>
              <w:t xml:space="preserve">; </w:t>
            </w:r>
            <w:proofErr w:type="spellStart"/>
            <w:r w:rsidRPr="00211EB6">
              <w:rPr>
                <w:rFonts w:eastAsia="Times New Roman"/>
                <w:sz w:val="20"/>
                <w:szCs w:val="20"/>
              </w:rPr>
              <w:t>Dichlorokelthane</w:t>
            </w:r>
            <w:proofErr w:type="spellEnd"/>
            <w:r w:rsidRPr="00211EB6">
              <w:rPr>
                <w:rFonts w:eastAsia="Times New Roman"/>
                <w:sz w:val="20"/>
                <w:szCs w:val="20"/>
              </w:rPr>
              <w:t xml:space="preserve">; </w:t>
            </w:r>
            <w:proofErr w:type="spellStart"/>
            <w:r w:rsidRPr="00211EB6">
              <w:rPr>
                <w:rFonts w:eastAsia="Times New Roman"/>
                <w:sz w:val="20"/>
                <w:szCs w:val="20"/>
              </w:rPr>
              <w:t>Dicomite</w:t>
            </w:r>
            <w:proofErr w:type="spellEnd"/>
            <w:r w:rsidRPr="00211EB6">
              <w:rPr>
                <w:rFonts w:eastAsia="Times New Roman"/>
                <w:sz w:val="20"/>
                <w:szCs w:val="20"/>
              </w:rPr>
              <w:t xml:space="preserve">; </w:t>
            </w:r>
            <w:proofErr w:type="spellStart"/>
            <w:r w:rsidRPr="00211EB6">
              <w:rPr>
                <w:rFonts w:eastAsia="Times New Roman"/>
                <w:sz w:val="20"/>
                <w:szCs w:val="20"/>
              </w:rPr>
              <w:t>Difol</w:t>
            </w:r>
            <w:proofErr w:type="spellEnd"/>
            <w:r w:rsidRPr="00211EB6">
              <w:rPr>
                <w:rFonts w:eastAsia="Times New Roman"/>
                <w:sz w:val="20"/>
                <w:szCs w:val="20"/>
              </w:rPr>
              <w:t xml:space="preserve">; DTMC; ENT 23648; FW293; </w:t>
            </w:r>
            <w:proofErr w:type="spellStart"/>
            <w:r w:rsidRPr="00211EB6">
              <w:rPr>
                <w:rFonts w:eastAsia="Times New Roman"/>
                <w:sz w:val="20"/>
                <w:szCs w:val="20"/>
              </w:rPr>
              <w:t>Hilfol</w:t>
            </w:r>
            <w:proofErr w:type="spellEnd"/>
            <w:r w:rsidRPr="00211EB6">
              <w:rPr>
                <w:rFonts w:eastAsia="Times New Roman"/>
                <w:sz w:val="20"/>
                <w:szCs w:val="20"/>
              </w:rPr>
              <w:t xml:space="preserve">; </w:t>
            </w:r>
            <w:proofErr w:type="spellStart"/>
            <w:r w:rsidRPr="00211EB6">
              <w:rPr>
                <w:rFonts w:eastAsia="Times New Roman"/>
                <w:sz w:val="20"/>
                <w:szCs w:val="20"/>
              </w:rPr>
              <w:t>Hilfol</w:t>
            </w:r>
            <w:proofErr w:type="spellEnd"/>
            <w:r w:rsidRPr="00211EB6">
              <w:rPr>
                <w:rFonts w:eastAsia="Times New Roman"/>
                <w:sz w:val="20"/>
                <w:szCs w:val="20"/>
              </w:rPr>
              <w:t xml:space="preserve"> 18.5 EC; </w:t>
            </w:r>
            <w:proofErr w:type="spellStart"/>
            <w:r w:rsidRPr="00211EB6">
              <w:rPr>
                <w:rFonts w:eastAsia="Times New Roman"/>
                <w:sz w:val="20"/>
                <w:szCs w:val="20"/>
              </w:rPr>
              <w:t>Kelthane</w:t>
            </w:r>
            <w:proofErr w:type="spellEnd"/>
            <w:r w:rsidRPr="00211EB6">
              <w:rPr>
                <w:rFonts w:eastAsia="Times New Roman"/>
                <w:sz w:val="20"/>
                <w:szCs w:val="20"/>
              </w:rPr>
              <w:t xml:space="preserve">; </w:t>
            </w:r>
            <w:proofErr w:type="spellStart"/>
            <w:r w:rsidRPr="00211EB6">
              <w:rPr>
                <w:rFonts w:eastAsia="Times New Roman"/>
                <w:sz w:val="20"/>
                <w:szCs w:val="20"/>
              </w:rPr>
              <w:t>Kelthanethanol</w:t>
            </w:r>
            <w:proofErr w:type="spellEnd"/>
            <w:r w:rsidRPr="00211EB6">
              <w:rPr>
                <w:rFonts w:eastAsia="Times New Roman"/>
                <w:sz w:val="20"/>
                <w:szCs w:val="20"/>
              </w:rPr>
              <w:t xml:space="preserve">; </w:t>
            </w:r>
            <w:proofErr w:type="spellStart"/>
            <w:r w:rsidRPr="00211EB6">
              <w:rPr>
                <w:rFonts w:eastAsia="Times New Roman"/>
                <w:sz w:val="20"/>
                <w:szCs w:val="20"/>
              </w:rPr>
              <w:t>Kelthane</w:t>
            </w:r>
            <w:proofErr w:type="spellEnd"/>
            <w:r w:rsidRPr="00211EB6">
              <w:rPr>
                <w:rFonts w:eastAsia="Times New Roman"/>
                <w:sz w:val="20"/>
                <w:szCs w:val="20"/>
              </w:rPr>
              <w:t xml:space="preserve"> A; </w:t>
            </w:r>
            <w:proofErr w:type="spellStart"/>
            <w:r w:rsidRPr="00211EB6">
              <w:rPr>
                <w:rFonts w:eastAsia="Times New Roman"/>
                <w:sz w:val="20"/>
                <w:szCs w:val="20"/>
              </w:rPr>
              <w:t>Kelthane</w:t>
            </w:r>
            <w:proofErr w:type="spellEnd"/>
            <w:r w:rsidRPr="00211EB6">
              <w:rPr>
                <w:rFonts w:eastAsia="Times New Roman"/>
                <w:sz w:val="20"/>
                <w:szCs w:val="20"/>
              </w:rPr>
              <w:t xml:space="preserve"> (DOT); </w:t>
            </w:r>
            <w:proofErr w:type="spellStart"/>
            <w:r w:rsidRPr="00211EB6">
              <w:rPr>
                <w:rFonts w:eastAsia="Times New Roman"/>
                <w:sz w:val="20"/>
                <w:szCs w:val="20"/>
              </w:rPr>
              <w:t>Kelthane</w:t>
            </w:r>
            <w:proofErr w:type="spellEnd"/>
            <w:r w:rsidRPr="00211EB6">
              <w:rPr>
                <w:rFonts w:eastAsia="Times New Roman"/>
                <w:sz w:val="20"/>
                <w:szCs w:val="20"/>
              </w:rPr>
              <w:t xml:space="preserve"> Dust Base; </w:t>
            </w:r>
            <w:proofErr w:type="spellStart"/>
            <w:r w:rsidRPr="00211EB6">
              <w:rPr>
                <w:rFonts w:eastAsia="Times New Roman"/>
                <w:sz w:val="20"/>
                <w:szCs w:val="20"/>
              </w:rPr>
              <w:t>Kelthane</w:t>
            </w:r>
            <w:proofErr w:type="spellEnd"/>
            <w:r w:rsidRPr="00211EB6">
              <w:rPr>
                <w:rFonts w:eastAsia="Times New Roman"/>
                <w:sz w:val="20"/>
                <w:szCs w:val="20"/>
              </w:rPr>
              <w:t xml:space="preserve"> 35; </w:t>
            </w:r>
            <w:proofErr w:type="spellStart"/>
            <w:r w:rsidRPr="00211EB6">
              <w:rPr>
                <w:rFonts w:eastAsia="Times New Roman"/>
                <w:sz w:val="20"/>
                <w:szCs w:val="20"/>
              </w:rPr>
              <w:t>Milbol</w:t>
            </w:r>
            <w:proofErr w:type="spellEnd"/>
            <w:r w:rsidRPr="00211EB6">
              <w:rPr>
                <w:rFonts w:eastAsia="Times New Roman"/>
                <w:sz w:val="20"/>
                <w:szCs w:val="20"/>
              </w:rPr>
              <w:t xml:space="preserve">; </w:t>
            </w:r>
            <w:proofErr w:type="spellStart"/>
            <w:r w:rsidRPr="00211EB6">
              <w:rPr>
                <w:rFonts w:eastAsia="Times New Roman"/>
                <w:sz w:val="20"/>
                <w:szCs w:val="20"/>
              </w:rPr>
              <w:t>Mitigan</w:t>
            </w:r>
            <w:proofErr w:type="spellEnd"/>
            <w:r w:rsidRPr="00211EB6">
              <w:rPr>
                <w:rFonts w:eastAsia="Times New Roman"/>
                <w:sz w:val="20"/>
                <w:szCs w:val="20"/>
              </w:rPr>
              <w:t xml:space="preserve">; </w:t>
            </w:r>
            <w:r w:rsidRPr="00211EB6">
              <w:rPr>
                <w:rFonts w:eastAsia="Times New Roman"/>
                <w:i/>
                <w:sz w:val="20"/>
                <w:szCs w:val="20"/>
              </w:rPr>
              <w:t>p,p’</w:t>
            </w:r>
            <w:r w:rsidRPr="00211EB6">
              <w:rPr>
                <w:rFonts w:eastAsia="Times New Roman"/>
                <w:sz w:val="20"/>
                <w:szCs w:val="20"/>
              </w:rPr>
              <w:t>-</w:t>
            </w:r>
            <w:proofErr w:type="spellStart"/>
            <w:r w:rsidRPr="00211EB6">
              <w:rPr>
                <w:rFonts w:eastAsia="Times New Roman"/>
                <w:sz w:val="20"/>
                <w:szCs w:val="20"/>
              </w:rPr>
              <w:t>dicofol</w:t>
            </w:r>
            <w:proofErr w:type="spellEnd"/>
            <w:r w:rsidRPr="00211EB6">
              <w:rPr>
                <w:rFonts w:eastAsia="Times New Roman"/>
                <w:sz w:val="20"/>
                <w:szCs w:val="20"/>
              </w:rPr>
              <w:t xml:space="preserve">; NA2761 (DOT); NCI-C00486 </w:t>
            </w:r>
          </w:p>
        </w:tc>
      </w:tr>
      <w:tr w:rsidR="00067AE4" w:rsidRPr="00211EB6" w14:paraId="61CB852E" w14:textId="77777777" w:rsidTr="00C70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572"/>
        </w:trPr>
        <w:tc>
          <w:tcPr>
            <w:tcW w:w="1916" w:type="dxa"/>
            <w:tcBorders>
              <w:top w:val="single" w:sz="4" w:space="0" w:color="000000"/>
              <w:left w:val="single" w:sz="4" w:space="0" w:color="000000"/>
              <w:bottom w:val="single" w:sz="4" w:space="0" w:color="auto"/>
            </w:tcBorders>
          </w:tcPr>
          <w:p w14:paraId="0DB88968" w14:textId="77777777" w:rsidR="00067AE4" w:rsidRPr="00211EB6" w:rsidRDefault="00067AE4" w:rsidP="0064044D">
            <w:pPr>
              <w:widowControl w:val="0"/>
              <w:tabs>
                <w:tab w:val="left" w:pos="680"/>
              </w:tabs>
              <w:snapToGrid w:val="0"/>
              <w:rPr>
                <w:rFonts w:eastAsia="Times New Roman"/>
                <w:sz w:val="20"/>
                <w:szCs w:val="20"/>
                <w:lang w:eastAsia="ar-SA"/>
              </w:rPr>
            </w:pPr>
            <w:r w:rsidRPr="00211EB6">
              <w:rPr>
                <w:rFonts w:eastAsia="Times New Roman"/>
                <w:sz w:val="20"/>
                <w:szCs w:val="20"/>
                <w:lang w:eastAsia="ar-SA"/>
              </w:rPr>
              <w:t>Structural formulas of the isomers</w:t>
            </w:r>
          </w:p>
        </w:tc>
        <w:tc>
          <w:tcPr>
            <w:tcW w:w="7605" w:type="dxa"/>
            <w:gridSpan w:val="2"/>
            <w:tcBorders>
              <w:top w:val="single" w:sz="4" w:space="0" w:color="000000"/>
              <w:left w:val="single" w:sz="4" w:space="0" w:color="000000"/>
              <w:bottom w:val="single" w:sz="4" w:space="0" w:color="auto"/>
              <w:right w:val="single" w:sz="4" w:space="0" w:color="000000"/>
            </w:tcBorders>
          </w:tcPr>
          <w:p w14:paraId="7B7C1200" w14:textId="77777777" w:rsidR="00067AE4" w:rsidRPr="00211EB6" w:rsidRDefault="00067AE4" w:rsidP="0064044D">
            <w:pPr>
              <w:widowControl w:val="0"/>
              <w:tabs>
                <w:tab w:val="left" w:pos="1247"/>
                <w:tab w:val="left" w:pos="1814"/>
                <w:tab w:val="left" w:pos="2381"/>
                <w:tab w:val="left" w:pos="2948"/>
                <w:tab w:val="left" w:pos="3515"/>
              </w:tabs>
              <w:autoSpaceDE w:val="0"/>
              <w:rPr>
                <w:rFonts w:eastAsia="Times New Roman"/>
                <w:sz w:val="20"/>
                <w:szCs w:val="20"/>
              </w:rPr>
            </w:pPr>
            <w:r w:rsidRPr="00211EB6">
              <w:rPr>
                <w:noProof/>
                <w:lang w:val="en-US" w:eastAsia="en-US"/>
              </w:rPr>
              <w:drawing>
                <wp:inline distT="0" distB="0" distL="0" distR="0" wp14:anchorId="77A84E51" wp14:editId="0ED1689F">
                  <wp:extent cx="3663315" cy="942975"/>
                  <wp:effectExtent l="0" t="0" r="0" b="9525"/>
                  <wp:docPr id="1" name="Grafik 0" descr="Stru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tructure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6786" cy="985054"/>
                          </a:xfrm>
                          <a:prstGeom prst="rect">
                            <a:avLst/>
                          </a:prstGeom>
                          <a:noFill/>
                          <a:ln>
                            <a:noFill/>
                          </a:ln>
                        </pic:spPr>
                      </pic:pic>
                    </a:graphicData>
                  </a:graphic>
                </wp:inline>
              </w:drawing>
            </w:r>
          </w:p>
        </w:tc>
      </w:tr>
    </w:tbl>
    <w:p w14:paraId="57C1273A" w14:textId="2F0F46DB" w:rsidR="00067AE4" w:rsidRPr="00211EB6" w:rsidRDefault="00FE5454" w:rsidP="00795D7B">
      <w:pPr>
        <w:pStyle w:val="StyleHeading2u2h2ABC2ChptTimesNewRomanLinespaci"/>
        <w:numPr>
          <w:ilvl w:val="0"/>
          <w:numId w:val="0"/>
        </w:numPr>
        <w:ind w:left="576" w:hanging="576"/>
      </w:pPr>
      <w:bookmarkStart w:id="7" w:name="_Toc483491445"/>
      <w:r w:rsidRPr="00211EB6">
        <w:t>1.2</w:t>
      </w:r>
      <w:r w:rsidRPr="00211EB6">
        <w:tab/>
      </w:r>
      <w:r w:rsidR="00067AE4" w:rsidRPr="00211EB6">
        <w:t>Production and uses</w:t>
      </w:r>
      <w:bookmarkEnd w:id="7"/>
    </w:p>
    <w:p w14:paraId="280ABD08" w14:textId="77777777" w:rsidR="00067AE4" w:rsidRPr="00211EB6" w:rsidRDefault="00067AE4" w:rsidP="00EE4FB5">
      <w:pPr>
        <w:pStyle w:val="Heading5"/>
        <w:numPr>
          <w:ilvl w:val="0"/>
          <w:numId w:val="0"/>
        </w:numPr>
        <w:ind w:left="1009" w:hanging="1009"/>
      </w:pPr>
      <w:r w:rsidRPr="00211EB6">
        <w:t>Production</w:t>
      </w:r>
    </w:p>
    <w:p w14:paraId="3F029108" w14:textId="335F999E" w:rsidR="00067AE4" w:rsidRPr="00211EB6" w:rsidRDefault="00067AE4" w:rsidP="008C6BCB">
      <w:pPr>
        <w:pStyle w:val="Normalnumber"/>
        <w:numPr>
          <w:ilvl w:val="0"/>
          <w:numId w:val="34"/>
        </w:numPr>
        <w:tabs>
          <w:tab w:val="clear" w:pos="1440"/>
        </w:tabs>
        <w:ind w:left="0" w:firstLine="0"/>
      </w:pPr>
      <w:proofErr w:type="spellStart"/>
      <w:r w:rsidRPr="00211EB6">
        <w:t>Dicofol</w:t>
      </w:r>
      <w:proofErr w:type="spellEnd"/>
      <w:r w:rsidRPr="00211EB6">
        <w:t xml:space="preserve"> can </w:t>
      </w:r>
      <w:r w:rsidR="00FE2E25" w:rsidRPr="00211EB6">
        <w:t>be</w:t>
      </w:r>
      <w:r w:rsidRPr="00211EB6">
        <w:t xml:space="preserve"> manufactured by the hydroxylation of DDT (van de </w:t>
      </w:r>
      <w:proofErr w:type="spellStart"/>
      <w:r w:rsidRPr="00211EB6">
        <w:t>Plassche</w:t>
      </w:r>
      <w:proofErr w:type="spellEnd"/>
      <w:r w:rsidRPr="00211EB6">
        <w:t xml:space="preserve"> </w:t>
      </w:r>
      <w:r w:rsidRPr="00211EB6">
        <w:rPr>
          <w:i/>
        </w:rPr>
        <w:t>et al</w:t>
      </w:r>
      <w:r w:rsidRPr="00211EB6">
        <w:t>. 2003)</w:t>
      </w:r>
      <w:r w:rsidR="00CA7F0B" w:rsidRPr="00211EB6">
        <w:t>, or directly, without isolation of DDT</w:t>
      </w:r>
      <w:r w:rsidRPr="00211EB6">
        <w:t xml:space="preserve"> </w:t>
      </w:r>
      <w:r w:rsidR="00CA7F0B" w:rsidRPr="00211EB6">
        <w:t>by</w:t>
      </w:r>
      <w:r w:rsidR="000B0C90" w:rsidRPr="00211EB6">
        <w:t xml:space="preserve"> </w:t>
      </w:r>
      <w:r w:rsidRPr="00211EB6">
        <w:t>the reaction of chloral (</w:t>
      </w:r>
      <w:proofErr w:type="spellStart"/>
      <w:r w:rsidR="00F93C7A" w:rsidRPr="00211EB6">
        <w:t>trichloroacetaldehyde</w:t>
      </w:r>
      <w:proofErr w:type="spellEnd"/>
      <w:r w:rsidRPr="00211EB6">
        <w:t>)</w:t>
      </w:r>
      <w:r w:rsidR="00CA7F0B" w:rsidRPr="00211EB6">
        <w:t xml:space="preserve"> with </w:t>
      </w:r>
      <w:proofErr w:type="spellStart"/>
      <w:r w:rsidRPr="00211EB6">
        <w:t>monochlorobenzene</w:t>
      </w:r>
      <w:proofErr w:type="spellEnd"/>
      <w:r w:rsidRPr="00211EB6">
        <w:t xml:space="preserve"> </w:t>
      </w:r>
      <w:r w:rsidR="00CA7F0B" w:rsidRPr="00211EB6">
        <w:t xml:space="preserve">in the presence of </w:t>
      </w:r>
      <w:proofErr w:type="spellStart"/>
      <w:r w:rsidRPr="00211EB6">
        <w:t>oleum</w:t>
      </w:r>
      <w:proofErr w:type="spellEnd"/>
      <w:r w:rsidRPr="00211EB6">
        <w:t xml:space="preserve"> (SO</w:t>
      </w:r>
      <w:r w:rsidRPr="00211EB6">
        <w:rPr>
          <w:vertAlign w:val="subscript"/>
        </w:rPr>
        <w:t>3</w:t>
      </w:r>
      <w:r w:rsidRPr="00211EB6">
        <w:t xml:space="preserve"> and H</w:t>
      </w:r>
      <w:r w:rsidRPr="00211EB6">
        <w:rPr>
          <w:vertAlign w:val="subscript"/>
        </w:rPr>
        <w:t>2</w:t>
      </w:r>
      <w:r w:rsidRPr="00211EB6">
        <w:t>SO</w:t>
      </w:r>
      <w:r w:rsidRPr="00211EB6">
        <w:rPr>
          <w:vertAlign w:val="subscript"/>
        </w:rPr>
        <w:t>4</w:t>
      </w:r>
      <w:r w:rsidRPr="00211EB6">
        <w:t>)</w:t>
      </w:r>
      <w:r w:rsidR="00CA7F0B" w:rsidRPr="00211EB6">
        <w:t xml:space="preserve"> followed by </w:t>
      </w:r>
      <w:proofErr w:type="spellStart"/>
      <w:r w:rsidR="00CA7F0B" w:rsidRPr="00211EB6">
        <w:t>dehydrochlorination</w:t>
      </w:r>
      <w:proofErr w:type="spellEnd"/>
      <w:r w:rsidR="00CA7F0B" w:rsidRPr="00211EB6">
        <w:t>, chlorination and hydrolysis</w:t>
      </w:r>
      <w:r w:rsidRPr="00211EB6">
        <w:t xml:space="preserve">. Between 2000 and 2007, global production of </w:t>
      </w:r>
      <w:proofErr w:type="spellStart"/>
      <w:r w:rsidRPr="00211EB6">
        <w:t>dicofol</w:t>
      </w:r>
      <w:proofErr w:type="spellEnd"/>
      <w:r w:rsidRPr="00211EB6">
        <w:t xml:space="preserve"> was estimated to have been </w:t>
      </w:r>
      <w:r w:rsidR="004B7ED4" w:rsidRPr="00211EB6">
        <w:t xml:space="preserve">2,700 - </w:t>
      </w:r>
      <w:r w:rsidRPr="00211EB6">
        <w:t xml:space="preserve">5,500t per year </w:t>
      </w:r>
      <w:r w:rsidR="00832A26" w:rsidRPr="00211EB6">
        <w:t>(</w:t>
      </w:r>
      <w:r w:rsidR="004B7ED4" w:rsidRPr="00211EB6">
        <w:t xml:space="preserve">OSPAR, 2002; </w:t>
      </w:r>
      <w:proofErr w:type="spellStart"/>
      <w:r w:rsidR="00832A26" w:rsidRPr="00211EB6">
        <w:t>Hoferkamp</w:t>
      </w:r>
      <w:proofErr w:type="spellEnd"/>
      <w:r w:rsidR="00832A26" w:rsidRPr="00211EB6">
        <w:t xml:space="preserve"> </w:t>
      </w:r>
      <w:r w:rsidR="00832A26" w:rsidRPr="008C6BCB">
        <w:t>et al</w:t>
      </w:r>
      <w:r w:rsidR="00832A26" w:rsidRPr="00211EB6">
        <w:t xml:space="preserve">. 2010) </w:t>
      </w:r>
      <w:r w:rsidRPr="00211EB6">
        <w:t xml:space="preserve">but production has declined sharply since </w:t>
      </w:r>
      <w:r w:rsidR="000C712D" w:rsidRPr="00211EB6">
        <w:t>2007</w:t>
      </w:r>
      <w:r w:rsidRPr="00211EB6">
        <w:t xml:space="preserve"> as a number of counties have </w:t>
      </w:r>
      <w:r w:rsidR="000C712D" w:rsidRPr="00211EB6">
        <w:t xml:space="preserve">since initiated </w:t>
      </w:r>
      <w:r w:rsidRPr="00211EB6">
        <w:t>phase</w:t>
      </w:r>
      <w:r w:rsidR="008B441B" w:rsidRPr="00211EB6">
        <w:t>-</w:t>
      </w:r>
      <w:r w:rsidRPr="00211EB6">
        <w:t>out</w:t>
      </w:r>
      <w:r w:rsidR="008B441B" w:rsidRPr="00211EB6">
        <w:t>s</w:t>
      </w:r>
      <w:r w:rsidRPr="00211EB6">
        <w:t xml:space="preserve"> </w:t>
      </w:r>
      <w:r w:rsidR="000C712D" w:rsidRPr="00211EB6">
        <w:t xml:space="preserve">of </w:t>
      </w:r>
      <w:r w:rsidRPr="00211EB6">
        <w:t>their production and usage</w:t>
      </w:r>
      <w:r w:rsidR="00832A26" w:rsidRPr="00211EB6">
        <w:t xml:space="preserve">. </w:t>
      </w:r>
    </w:p>
    <w:p w14:paraId="6082B16D" w14:textId="3F7AF250" w:rsidR="00067AE4" w:rsidRPr="00211EB6" w:rsidRDefault="00067AE4" w:rsidP="008C6BCB">
      <w:pPr>
        <w:pStyle w:val="Normalnumber"/>
        <w:numPr>
          <w:ilvl w:val="0"/>
          <w:numId w:val="34"/>
        </w:numPr>
        <w:tabs>
          <w:tab w:val="clear" w:pos="1440"/>
        </w:tabs>
        <w:ind w:left="0" w:firstLine="0"/>
      </w:pPr>
      <w:r w:rsidRPr="00211EB6">
        <w:t xml:space="preserve">Production of </w:t>
      </w:r>
      <w:proofErr w:type="spellStart"/>
      <w:r w:rsidRPr="00211EB6">
        <w:t>dicofol</w:t>
      </w:r>
      <w:proofErr w:type="spellEnd"/>
      <w:r w:rsidRPr="00211EB6">
        <w:t xml:space="preserve"> </w:t>
      </w:r>
      <w:r w:rsidR="000C712D" w:rsidRPr="00211EB6">
        <w:t xml:space="preserve">is </w:t>
      </w:r>
      <w:r w:rsidRPr="00211EB6">
        <w:t xml:space="preserve">now </w:t>
      </w:r>
      <w:r w:rsidR="000C712D" w:rsidRPr="00211EB6">
        <w:t xml:space="preserve">limited to </w:t>
      </w:r>
      <w:r w:rsidR="0014541B" w:rsidRPr="00211EB6">
        <w:t xml:space="preserve">companies </w:t>
      </w:r>
      <w:r w:rsidR="000C712D" w:rsidRPr="00211EB6">
        <w:t xml:space="preserve">in a small number of nations. </w:t>
      </w:r>
      <w:r w:rsidR="00347DC4" w:rsidRPr="00211EB6">
        <w:t xml:space="preserve">In India this includes the </w:t>
      </w:r>
      <w:r w:rsidR="0014541B" w:rsidRPr="00211EB6">
        <w:t xml:space="preserve">manufacturers </w:t>
      </w:r>
      <w:r w:rsidR="00347DC4" w:rsidRPr="00211EB6">
        <w:t>Hindustan Insecticides Limited</w:t>
      </w:r>
      <w:r w:rsidR="00DC1539" w:rsidRPr="00211EB6">
        <w:t xml:space="preserve"> (HIL)</w:t>
      </w:r>
      <w:r w:rsidR="003E6579" w:rsidRPr="00211EB6">
        <w:t xml:space="preserve"> and </w:t>
      </w:r>
      <w:proofErr w:type="spellStart"/>
      <w:r w:rsidR="003E6579" w:rsidRPr="00211EB6">
        <w:t>Indofil</w:t>
      </w:r>
      <w:proofErr w:type="spellEnd"/>
      <w:r w:rsidR="003E6579" w:rsidRPr="00211EB6">
        <w:t xml:space="preserve"> Industries Limited</w:t>
      </w:r>
      <w:r w:rsidR="009B44DD" w:rsidRPr="00211EB6">
        <w:t>,</w:t>
      </w:r>
      <w:r w:rsidR="003E6579" w:rsidRPr="00211EB6">
        <w:rPr>
          <w:rStyle w:val="FootnoteReference"/>
        </w:rPr>
        <w:footnoteReference w:id="4"/>
      </w:r>
      <w:r w:rsidR="00347DC4" w:rsidRPr="00211EB6">
        <w:t xml:space="preserve"> and in Israel this includes the company </w:t>
      </w:r>
      <w:proofErr w:type="spellStart"/>
      <w:r w:rsidR="00347DC4" w:rsidRPr="00211EB6">
        <w:t>Adama</w:t>
      </w:r>
      <w:proofErr w:type="spellEnd"/>
      <w:r w:rsidR="008E0B39" w:rsidRPr="00211EB6">
        <w:rPr>
          <w:rStyle w:val="FootnoteReference"/>
        </w:rPr>
        <w:footnoteReference w:id="5"/>
      </w:r>
      <w:r w:rsidR="00347DC4" w:rsidRPr="00211EB6">
        <w:t xml:space="preserve"> (formerly </w:t>
      </w:r>
      <w:proofErr w:type="spellStart"/>
      <w:r w:rsidR="00347DC4" w:rsidRPr="00211EB6">
        <w:t>Makhteshim</w:t>
      </w:r>
      <w:proofErr w:type="spellEnd"/>
      <w:r w:rsidR="00347DC4" w:rsidRPr="00211EB6">
        <w:t xml:space="preserve"> </w:t>
      </w:r>
      <w:proofErr w:type="spellStart"/>
      <w:r w:rsidR="00347DC4" w:rsidRPr="00211EB6">
        <w:t>Agan</w:t>
      </w:r>
      <w:proofErr w:type="spellEnd"/>
      <w:r w:rsidR="00347DC4" w:rsidRPr="00211EB6">
        <w:t xml:space="preserve">). </w:t>
      </w:r>
      <w:r w:rsidR="000C712D" w:rsidRPr="00211EB6">
        <w:t xml:space="preserve">Based on the information provided </w:t>
      </w:r>
      <w:r w:rsidR="00347DC4" w:rsidRPr="00211EB6">
        <w:t xml:space="preserve">through Annex F responses </w:t>
      </w:r>
      <w:r w:rsidR="000C712D" w:rsidRPr="00211EB6">
        <w:t xml:space="preserve">production is now </w:t>
      </w:r>
      <w:r w:rsidRPr="00211EB6">
        <w:t xml:space="preserve">predominantly </w:t>
      </w:r>
      <w:r w:rsidR="000C712D" w:rsidRPr="00211EB6">
        <w:t xml:space="preserve">limited </w:t>
      </w:r>
      <w:r w:rsidR="00347DC4" w:rsidRPr="00211EB6">
        <w:t>t</w:t>
      </w:r>
      <w:r w:rsidR="000C712D" w:rsidRPr="00211EB6">
        <w:t xml:space="preserve">o </w:t>
      </w:r>
      <w:r w:rsidR="00347DC4" w:rsidRPr="00211EB6">
        <w:t xml:space="preserve">the facility based in India, although </w:t>
      </w:r>
      <w:r w:rsidR="00DC1539" w:rsidRPr="00211EB6">
        <w:t xml:space="preserve">no </w:t>
      </w:r>
      <w:r w:rsidR="00347DC4" w:rsidRPr="00211EB6">
        <w:t xml:space="preserve">further information on the production facility based in Israel </w:t>
      </w:r>
      <w:r w:rsidR="00DC1539" w:rsidRPr="00211EB6">
        <w:t>has been identified</w:t>
      </w:r>
      <w:r w:rsidR="00347DC4" w:rsidRPr="00211EB6">
        <w:t>.</w:t>
      </w:r>
      <w:r w:rsidRPr="00211EB6">
        <w:t xml:space="preserve"> In 2015-2016 </w:t>
      </w:r>
      <w:r w:rsidR="008B441B" w:rsidRPr="00211EB6">
        <w:t xml:space="preserve">production at </w:t>
      </w:r>
      <w:r w:rsidRPr="00211EB6">
        <w:t xml:space="preserve">the </w:t>
      </w:r>
      <w:r w:rsidR="00347DC4" w:rsidRPr="00211EB6">
        <w:t xml:space="preserve">facility based in </w:t>
      </w:r>
      <w:r w:rsidR="000D0A79" w:rsidRPr="00211EB6">
        <w:t xml:space="preserve">India </w:t>
      </w:r>
      <w:r w:rsidRPr="00211EB6">
        <w:t>was 93t</w:t>
      </w:r>
      <w:r w:rsidR="00D64DEC" w:rsidRPr="00211EB6">
        <w:t xml:space="preserve"> </w:t>
      </w:r>
      <w:r w:rsidRPr="00211EB6">
        <w:t>(India,</w:t>
      </w:r>
      <w:r w:rsidR="00347DC4" w:rsidRPr="00211EB6">
        <w:t xml:space="preserve"> </w:t>
      </w:r>
      <w:r w:rsidRPr="00211EB6">
        <w:t>2016)</w:t>
      </w:r>
      <w:r w:rsidR="008B441B" w:rsidRPr="00211EB6">
        <w:t xml:space="preserve"> with </w:t>
      </w:r>
      <w:proofErr w:type="spellStart"/>
      <w:r w:rsidR="00347DC4" w:rsidRPr="00211EB6">
        <w:t>d</w:t>
      </w:r>
      <w:r w:rsidRPr="00211EB6">
        <w:t>icofol</w:t>
      </w:r>
      <w:proofErr w:type="spellEnd"/>
      <w:r w:rsidRPr="00211EB6">
        <w:t xml:space="preserve"> produced in a closed system </w:t>
      </w:r>
      <w:r w:rsidR="00347DC4" w:rsidRPr="00211EB6">
        <w:t>as</w:t>
      </w:r>
      <w:r w:rsidRPr="00211EB6">
        <w:t xml:space="preserve"> </w:t>
      </w:r>
      <w:r w:rsidR="00347DC4" w:rsidRPr="00211EB6">
        <w:t xml:space="preserve">a </w:t>
      </w:r>
      <w:r w:rsidRPr="00211EB6">
        <w:t>batch</w:t>
      </w:r>
      <w:r w:rsidR="00347DC4" w:rsidRPr="00211EB6">
        <w:t xml:space="preserve"> process</w:t>
      </w:r>
      <w:r w:rsidRPr="00211EB6">
        <w:t xml:space="preserve">. The </w:t>
      </w:r>
      <w:r w:rsidR="006756A0" w:rsidRPr="00211EB6">
        <w:t>expiry dat</w:t>
      </w:r>
      <w:r w:rsidR="009749CA" w:rsidRPr="00211EB6">
        <w:t>e</w:t>
      </w:r>
      <w:r w:rsidR="006756A0" w:rsidRPr="00211EB6">
        <w:t xml:space="preserve"> for the </w:t>
      </w:r>
      <w:r w:rsidRPr="00211EB6">
        <w:t xml:space="preserve">production and use of DDT as a closed-system site-limited intermediate in the production of </w:t>
      </w:r>
      <w:proofErr w:type="spellStart"/>
      <w:r w:rsidRPr="00211EB6">
        <w:t>dicofol</w:t>
      </w:r>
      <w:proofErr w:type="spellEnd"/>
      <w:r w:rsidRPr="00211EB6">
        <w:t xml:space="preserve"> has been extended until May 2024 (UNEP/POPS/COP.7/4/Rev.1).</w:t>
      </w:r>
    </w:p>
    <w:p w14:paraId="10DD946B" w14:textId="2BFB0111" w:rsidR="00067AE4" w:rsidRPr="00211EB6" w:rsidRDefault="00902643" w:rsidP="008C6BCB">
      <w:pPr>
        <w:pStyle w:val="Normalnumber"/>
        <w:numPr>
          <w:ilvl w:val="0"/>
          <w:numId w:val="34"/>
        </w:numPr>
        <w:tabs>
          <w:tab w:val="clear" w:pos="1440"/>
        </w:tabs>
        <w:ind w:left="0" w:firstLine="0"/>
      </w:pPr>
      <w:r w:rsidRPr="00211EB6">
        <w:t>China was previously one of the major producer</w:t>
      </w:r>
      <w:r w:rsidR="00E722A7" w:rsidRPr="00211EB6">
        <w:t xml:space="preserve">s of technical DDT and </w:t>
      </w:r>
      <w:proofErr w:type="spellStart"/>
      <w:r w:rsidR="00E722A7" w:rsidRPr="00211EB6">
        <w:t>dicofol</w:t>
      </w:r>
      <w:proofErr w:type="spellEnd"/>
      <w:r w:rsidR="00E722A7" w:rsidRPr="00211EB6">
        <w:t xml:space="preserve">. It was estimated that </w:t>
      </w:r>
      <w:r w:rsidRPr="00211EB6">
        <w:t xml:space="preserve">97,000t of technical DDT </w:t>
      </w:r>
      <w:r w:rsidR="00E722A7" w:rsidRPr="00211EB6">
        <w:t xml:space="preserve">was produced between 1988 and 2002, with </w:t>
      </w:r>
      <w:r w:rsidRPr="00211EB6">
        <w:t xml:space="preserve">approximately </w:t>
      </w:r>
      <w:r w:rsidR="00E722A7" w:rsidRPr="00211EB6">
        <w:t xml:space="preserve">54,000t </w:t>
      </w:r>
      <w:r w:rsidRPr="00211EB6">
        <w:t xml:space="preserve">used to manufacture </w:t>
      </w:r>
      <w:proofErr w:type="spellStart"/>
      <w:r w:rsidRPr="00211EB6">
        <w:t>dicofol</w:t>
      </w:r>
      <w:proofErr w:type="spellEnd"/>
      <w:r w:rsidRPr="00211EB6">
        <w:t xml:space="preserve"> (40,000t</w:t>
      </w:r>
      <w:r w:rsidR="00792A36" w:rsidRPr="00211EB6">
        <w:t xml:space="preserve"> of </w:t>
      </w:r>
      <w:proofErr w:type="spellStart"/>
      <w:r w:rsidR="00792A36" w:rsidRPr="00211EB6">
        <w:t>dicofol</w:t>
      </w:r>
      <w:proofErr w:type="spellEnd"/>
      <w:r w:rsidR="00792A36" w:rsidRPr="00211EB6">
        <w:t xml:space="preserve"> produced</w:t>
      </w:r>
      <w:r w:rsidRPr="00211EB6">
        <w:t>) (</w:t>
      </w:r>
      <w:proofErr w:type="spellStart"/>
      <w:r w:rsidRPr="00211EB6">
        <w:t>Qiu</w:t>
      </w:r>
      <w:proofErr w:type="spellEnd"/>
      <w:r w:rsidRPr="00211EB6">
        <w:t xml:space="preserve"> </w:t>
      </w:r>
      <w:r w:rsidR="007E3F71" w:rsidRPr="008C6BCB">
        <w:t>et al</w:t>
      </w:r>
      <w:r w:rsidR="00D64DEC" w:rsidRPr="00211EB6">
        <w:t>. 2005)</w:t>
      </w:r>
      <w:r w:rsidR="00067AE4" w:rsidRPr="00211EB6">
        <w:t xml:space="preserve">. In 2014, </w:t>
      </w:r>
      <w:r w:rsidR="00E722A7" w:rsidRPr="00211EB6">
        <w:t xml:space="preserve">it was reported that </w:t>
      </w:r>
      <w:r w:rsidR="00067AE4" w:rsidRPr="00211EB6">
        <w:t xml:space="preserve">the last remaining technical </w:t>
      </w:r>
      <w:proofErr w:type="spellStart"/>
      <w:r w:rsidR="00067AE4" w:rsidRPr="00211EB6">
        <w:t>dicofol</w:t>
      </w:r>
      <w:proofErr w:type="spellEnd"/>
      <w:r w:rsidR="00067AE4" w:rsidRPr="00211EB6">
        <w:t xml:space="preserve"> producer in China ceased production. </w:t>
      </w:r>
    </w:p>
    <w:p w14:paraId="1F937CFA" w14:textId="71CE3FD5" w:rsidR="00067AE4" w:rsidRPr="00211EB6" w:rsidRDefault="00067AE4" w:rsidP="008C6BCB">
      <w:pPr>
        <w:pStyle w:val="Normalnumber"/>
        <w:numPr>
          <w:ilvl w:val="0"/>
          <w:numId w:val="34"/>
        </w:numPr>
        <w:tabs>
          <w:tab w:val="clear" w:pos="1440"/>
        </w:tabs>
        <w:ind w:left="0" w:firstLine="0"/>
      </w:pPr>
      <w:r w:rsidRPr="00211EB6">
        <w:t>Brazil manufactured around 90t</w:t>
      </w:r>
      <w:r w:rsidR="00B1567C" w:rsidRPr="00211EB6">
        <w:t xml:space="preserve"> </w:t>
      </w:r>
      <w:r w:rsidRPr="00211EB6">
        <w:t xml:space="preserve">of </w:t>
      </w:r>
      <w:proofErr w:type="spellStart"/>
      <w:r w:rsidRPr="00211EB6">
        <w:t>dicofol</w:t>
      </w:r>
      <w:proofErr w:type="spellEnd"/>
      <w:r w:rsidRPr="00211EB6">
        <w:t xml:space="preserve"> per annum </w:t>
      </w:r>
      <w:r w:rsidR="00F93C7A" w:rsidRPr="00211EB6">
        <w:t xml:space="preserve">up to </w:t>
      </w:r>
      <w:r w:rsidRPr="00211EB6">
        <w:t>2010 but ha</w:t>
      </w:r>
      <w:r w:rsidR="0014541B" w:rsidRPr="00211EB6">
        <w:t>s</w:t>
      </w:r>
      <w:r w:rsidRPr="00211EB6">
        <w:t xml:space="preserve"> ceased production completely in 2014. Remaining stock in Brazil </w:t>
      </w:r>
      <w:r w:rsidR="00FE2E25" w:rsidRPr="00211EB6">
        <w:t>was</w:t>
      </w:r>
      <w:r w:rsidRPr="00211EB6">
        <w:t xml:space="preserve"> expected to have been fully used/destroyed by 2015</w:t>
      </w:r>
      <w:r w:rsidR="00C13889" w:rsidRPr="00211EB6">
        <w:t xml:space="preserve"> (</w:t>
      </w:r>
      <w:r w:rsidR="00790094" w:rsidRPr="00211EB6">
        <w:t>Brazil</w:t>
      </w:r>
      <w:r w:rsidR="00347DC4" w:rsidRPr="00211EB6">
        <w:t xml:space="preserve">, </w:t>
      </w:r>
      <w:r w:rsidR="00790094" w:rsidRPr="00211EB6">
        <w:t>2016</w:t>
      </w:r>
      <w:r w:rsidR="00C13889" w:rsidRPr="00211EB6">
        <w:t>)</w:t>
      </w:r>
      <w:r w:rsidRPr="00211EB6">
        <w:t xml:space="preserve">. Until 2006 Spain was the major manufacturer and consumer (90 t in 2006) of </w:t>
      </w:r>
      <w:proofErr w:type="spellStart"/>
      <w:r w:rsidRPr="00211EB6">
        <w:t>dicofol</w:t>
      </w:r>
      <w:proofErr w:type="spellEnd"/>
      <w:r w:rsidRPr="00211EB6">
        <w:t xml:space="preserve"> in Europe</w:t>
      </w:r>
      <w:r w:rsidR="0051180F" w:rsidRPr="00211EB6">
        <w:t>, produced only by</w:t>
      </w:r>
      <w:r w:rsidR="00D64DEC" w:rsidRPr="00211EB6">
        <w:t xml:space="preserve"> </w:t>
      </w:r>
      <w:proofErr w:type="spellStart"/>
      <w:r w:rsidR="0051180F" w:rsidRPr="00211EB6">
        <w:t>Montecinca</w:t>
      </w:r>
      <w:proofErr w:type="spellEnd"/>
      <w:r w:rsidR="0051180F" w:rsidRPr="00211EB6">
        <w:t>,</w:t>
      </w:r>
      <w:r w:rsidR="00D64DEC" w:rsidRPr="00211EB6">
        <w:t xml:space="preserve"> </w:t>
      </w:r>
      <w:r w:rsidR="0051180F" w:rsidRPr="00211EB6">
        <w:t xml:space="preserve">S.A. in Barcelona, Spain under contract to Dow Agro Sciences (van de </w:t>
      </w:r>
      <w:proofErr w:type="spellStart"/>
      <w:r w:rsidR="0051180F" w:rsidRPr="00211EB6">
        <w:t>Plassche</w:t>
      </w:r>
      <w:proofErr w:type="spellEnd"/>
      <w:r w:rsidR="0051180F" w:rsidRPr="00211EB6">
        <w:t xml:space="preserve"> </w:t>
      </w:r>
      <w:r w:rsidR="007E3F71" w:rsidRPr="008C6BCB">
        <w:t>et al</w:t>
      </w:r>
      <w:r w:rsidR="0051180F" w:rsidRPr="00211EB6">
        <w:t>. 2003). A</w:t>
      </w:r>
      <w:r w:rsidR="00DC1539" w:rsidRPr="00211EB6">
        <w:t xml:space="preserve">dditionally </w:t>
      </w:r>
      <w:proofErr w:type="spellStart"/>
      <w:r w:rsidRPr="00211EB6">
        <w:t>dicofol</w:t>
      </w:r>
      <w:proofErr w:type="spellEnd"/>
      <w:r w:rsidR="006756A0" w:rsidRPr="00211EB6">
        <w:t>-</w:t>
      </w:r>
      <w:r w:rsidR="00DC1539" w:rsidRPr="00211EB6">
        <w:t xml:space="preserve">based products were also </w:t>
      </w:r>
      <w:r w:rsidRPr="00211EB6">
        <w:t xml:space="preserve">formulated in </w:t>
      </w:r>
      <w:r w:rsidR="006756A0" w:rsidRPr="00211EB6">
        <w:t>a</w:t>
      </w:r>
      <w:r w:rsidR="00DC1539" w:rsidRPr="00211EB6">
        <w:t xml:space="preserve"> </w:t>
      </w:r>
      <w:r w:rsidRPr="00211EB6">
        <w:t xml:space="preserve">plant in Italy (OSPAR, 2008). </w:t>
      </w:r>
      <w:proofErr w:type="spellStart"/>
      <w:r w:rsidR="00FA6206" w:rsidRPr="00211EB6">
        <w:t>Dicofol</w:t>
      </w:r>
      <w:proofErr w:type="spellEnd"/>
      <w:r w:rsidR="00FA6206" w:rsidRPr="00211EB6">
        <w:t xml:space="preserve"> is no longer produced in EU Member States</w:t>
      </w:r>
      <w:r w:rsidRPr="00211EB6">
        <w:t xml:space="preserve">. Production in </w:t>
      </w:r>
      <w:r w:rsidR="008B441B" w:rsidRPr="00211EB6">
        <w:t xml:space="preserve">the </w:t>
      </w:r>
      <w:r w:rsidRPr="00211EB6">
        <w:t xml:space="preserve">USA was estimated </w:t>
      </w:r>
      <w:proofErr w:type="gramStart"/>
      <w:r w:rsidRPr="00211EB6">
        <w:t>at 160 t/y</w:t>
      </w:r>
      <w:proofErr w:type="gramEnd"/>
      <w:r w:rsidRPr="00211EB6">
        <w:t xml:space="preserve"> for the years 1999 to 2004 (</w:t>
      </w:r>
      <w:proofErr w:type="spellStart"/>
      <w:r w:rsidRPr="00211EB6">
        <w:t>Hoferkamp</w:t>
      </w:r>
      <w:proofErr w:type="spellEnd"/>
      <w:r w:rsidRPr="00211EB6">
        <w:t xml:space="preserve"> </w:t>
      </w:r>
      <w:r w:rsidRPr="00211EB6">
        <w:rPr>
          <w:i/>
        </w:rPr>
        <w:t>et al</w:t>
      </w:r>
      <w:r w:rsidRPr="00211EB6">
        <w:t xml:space="preserve">. 2010). </w:t>
      </w:r>
    </w:p>
    <w:p w14:paraId="782E4DD2" w14:textId="77777777" w:rsidR="00067AE4" w:rsidRPr="00211EB6" w:rsidRDefault="00067AE4" w:rsidP="00F97B18">
      <w:pPr>
        <w:pStyle w:val="Heading5"/>
        <w:numPr>
          <w:ilvl w:val="0"/>
          <w:numId w:val="0"/>
        </w:numPr>
        <w:ind w:left="1009" w:hanging="1009"/>
      </w:pPr>
      <w:r w:rsidRPr="00211EB6">
        <w:t>Uses</w:t>
      </w:r>
    </w:p>
    <w:p w14:paraId="3CA68106" w14:textId="454A8191" w:rsidR="0014541B" w:rsidRPr="00211EB6" w:rsidRDefault="00067AE4" w:rsidP="008C6BCB">
      <w:pPr>
        <w:pStyle w:val="Normalnumber"/>
        <w:numPr>
          <w:ilvl w:val="0"/>
          <w:numId w:val="34"/>
        </w:numPr>
        <w:tabs>
          <w:tab w:val="clear" w:pos="1440"/>
        </w:tabs>
        <w:ind w:left="0" w:firstLine="0"/>
      </w:pPr>
      <w:proofErr w:type="spellStart"/>
      <w:r w:rsidRPr="00211EB6">
        <w:t>Dicofol</w:t>
      </w:r>
      <w:proofErr w:type="spellEnd"/>
      <w:r w:rsidRPr="00211EB6">
        <w:t xml:space="preserve"> is an </w:t>
      </w:r>
      <w:proofErr w:type="spellStart"/>
      <w:r w:rsidRPr="00211EB6">
        <w:t>organochlorine</w:t>
      </w:r>
      <w:proofErr w:type="spellEnd"/>
      <w:r w:rsidRPr="00211EB6">
        <w:t xml:space="preserve"> </w:t>
      </w:r>
      <w:proofErr w:type="spellStart"/>
      <w:r w:rsidRPr="00211EB6">
        <w:t>miticid</w:t>
      </w:r>
      <w:r w:rsidR="0076672B" w:rsidRPr="00211EB6">
        <w:t>al</w:t>
      </w:r>
      <w:proofErr w:type="spellEnd"/>
      <w:r w:rsidRPr="00211EB6">
        <w:t xml:space="preserve"> pesticide, used in many countries to control mites on a variety of crops. </w:t>
      </w:r>
      <w:proofErr w:type="spellStart"/>
      <w:r w:rsidRPr="00211EB6">
        <w:t>Dicofol</w:t>
      </w:r>
      <w:proofErr w:type="spellEnd"/>
      <w:r w:rsidRPr="00211EB6">
        <w:t xml:space="preserve"> was introduced commercially in 1955 (WHO 1996). The substance has been used primarily in East and Southeast Asia, the Mediterranean coast, as well as in Northern and </w:t>
      </w:r>
      <w:r w:rsidR="00C13889" w:rsidRPr="00211EB6">
        <w:t xml:space="preserve">Central America (Li </w:t>
      </w:r>
      <w:r w:rsidR="007E3F71" w:rsidRPr="00211EB6">
        <w:rPr>
          <w:i/>
        </w:rPr>
        <w:t>et al</w:t>
      </w:r>
      <w:r w:rsidR="00C13889" w:rsidRPr="00211EB6">
        <w:t>. 2014</w:t>
      </w:r>
      <w:r w:rsidRPr="00211EB6">
        <w:t xml:space="preserve">). Intended uses of </w:t>
      </w:r>
      <w:proofErr w:type="spellStart"/>
      <w:r w:rsidRPr="00211EB6">
        <w:t>dicofol</w:t>
      </w:r>
      <w:proofErr w:type="spellEnd"/>
      <w:r w:rsidRPr="00211EB6">
        <w:t xml:space="preserve"> cover fruits, vegetables, ornamentals such as orchids, field crops, cotton, tea, Christmas tree plantations, and non-agricultural outdoor buildings and structur</w:t>
      </w:r>
      <w:r w:rsidR="00C13889" w:rsidRPr="00211EB6">
        <w:t xml:space="preserve">es (US EPA 1998, Li </w:t>
      </w:r>
      <w:r w:rsidR="00C13889" w:rsidRPr="00211EB6">
        <w:rPr>
          <w:i/>
        </w:rPr>
        <w:t>et al</w:t>
      </w:r>
      <w:r w:rsidR="00C13889" w:rsidRPr="00211EB6">
        <w:t>. 2014</w:t>
      </w:r>
      <w:r w:rsidRPr="00211EB6">
        <w:t>).</w:t>
      </w:r>
      <w:r w:rsidR="0014541B" w:rsidRPr="00211EB6">
        <w:t xml:space="preserve"> In Mexico, there are 17 registrations for </w:t>
      </w:r>
      <w:proofErr w:type="spellStart"/>
      <w:r w:rsidR="0014541B" w:rsidRPr="00211EB6">
        <w:t>dicofol</w:t>
      </w:r>
      <w:proofErr w:type="spellEnd"/>
      <w:r w:rsidR="0014541B" w:rsidRPr="00211EB6">
        <w:t xml:space="preserve"> (potential uses).  It is </w:t>
      </w:r>
      <w:r w:rsidR="00FE2E25" w:rsidRPr="00211EB6">
        <w:t>authorized</w:t>
      </w:r>
      <w:r w:rsidR="0014541B" w:rsidRPr="00211EB6">
        <w:t xml:space="preserve"> for the application on aubergine, chili, strawberry, lime, apple, orange, pear, watermelon, mandarin, grapefruit, vine, citrus fruits, ornamental plants and nursery gardens (Mexico, 2015). In Brazil </w:t>
      </w:r>
      <w:proofErr w:type="spellStart"/>
      <w:r w:rsidR="0014541B" w:rsidRPr="00211EB6">
        <w:t>dicofol</w:t>
      </w:r>
      <w:proofErr w:type="spellEnd"/>
      <w:r w:rsidR="0014541B" w:rsidRPr="00211EB6">
        <w:t xml:space="preserve"> was used as an </w:t>
      </w:r>
      <w:proofErr w:type="spellStart"/>
      <w:r w:rsidR="0014541B" w:rsidRPr="00211EB6">
        <w:t>acaricide</w:t>
      </w:r>
      <w:proofErr w:type="spellEnd"/>
      <w:r w:rsidR="0014541B" w:rsidRPr="00211EB6">
        <w:t xml:space="preserve"> for cotton, citrus and apple crops. However, all use of </w:t>
      </w:r>
      <w:proofErr w:type="spellStart"/>
      <w:r w:rsidR="0014541B" w:rsidRPr="00211EB6">
        <w:t>dicofol</w:t>
      </w:r>
      <w:proofErr w:type="spellEnd"/>
      <w:r w:rsidR="0014541B" w:rsidRPr="00211EB6">
        <w:t xml:space="preserve"> as a pesticide was banned in 2015 (Brazil, 2016). </w:t>
      </w:r>
    </w:p>
    <w:p w14:paraId="11452C38" w14:textId="68C5503A" w:rsidR="00067AE4" w:rsidRPr="00211EB6" w:rsidRDefault="00C13889" w:rsidP="008C6BCB">
      <w:pPr>
        <w:pStyle w:val="Normalnumber"/>
        <w:numPr>
          <w:ilvl w:val="0"/>
          <w:numId w:val="34"/>
        </w:numPr>
        <w:tabs>
          <w:tab w:val="clear" w:pos="1440"/>
        </w:tabs>
        <w:ind w:left="0" w:firstLine="0"/>
      </w:pPr>
      <w:r w:rsidRPr="00211EB6">
        <w:t xml:space="preserve">Li </w:t>
      </w:r>
      <w:r w:rsidRPr="00211EB6">
        <w:rPr>
          <w:i/>
        </w:rPr>
        <w:t>et al</w:t>
      </w:r>
      <w:r w:rsidRPr="00211EB6">
        <w:t>. (2014</w:t>
      </w:r>
      <w:r w:rsidR="00067AE4" w:rsidRPr="00211EB6">
        <w:t xml:space="preserve">) estimated, based on a combination of literature surveys, field surveys and personal communications, a total of 28,200t of </w:t>
      </w:r>
      <w:proofErr w:type="spellStart"/>
      <w:r w:rsidR="00067AE4" w:rsidRPr="00211EB6">
        <w:t>dicofol</w:t>
      </w:r>
      <w:proofErr w:type="spellEnd"/>
      <w:r w:rsidR="00067AE4" w:rsidRPr="00211EB6">
        <w:t xml:space="preserve"> </w:t>
      </w:r>
      <w:r w:rsidR="0076672B" w:rsidRPr="00211EB6">
        <w:t xml:space="preserve">was </w:t>
      </w:r>
      <w:r w:rsidR="00067AE4" w:rsidRPr="00211EB6">
        <w:t>used globally in a 13 year period from 2000 to 2012, mainly in Asia (21,719</w:t>
      </w:r>
      <w:r w:rsidR="006756A0" w:rsidRPr="00211EB6">
        <w:t>t</w:t>
      </w:r>
      <w:r w:rsidR="00067AE4" w:rsidRPr="00211EB6">
        <w:t>; 77% of global usage), followed by North America (1,817t), Europe (1,745t), Latin America (1,538</w:t>
      </w:r>
      <w:r w:rsidR="00704EF4" w:rsidRPr="00211EB6">
        <w:t>t</w:t>
      </w:r>
      <w:r w:rsidR="00067AE4" w:rsidRPr="00211EB6">
        <w:t xml:space="preserve">), Africa (1,434t) and Oceania (13t). China was the main user of </w:t>
      </w:r>
      <w:proofErr w:type="spellStart"/>
      <w:r w:rsidR="00067AE4" w:rsidRPr="00211EB6">
        <w:t>dicofol</w:t>
      </w:r>
      <w:proofErr w:type="spellEnd"/>
      <w:r w:rsidR="00067AE4" w:rsidRPr="00211EB6">
        <w:t xml:space="preserve"> during this time (69% of global total). </w:t>
      </w:r>
    </w:p>
    <w:p w14:paraId="25BE0AC1" w14:textId="1D0500DF" w:rsidR="00067AE4" w:rsidRPr="00211EB6" w:rsidRDefault="00067AE4" w:rsidP="008C6BCB">
      <w:pPr>
        <w:pStyle w:val="Normalnumber"/>
        <w:numPr>
          <w:ilvl w:val="0"/>
          <w:numId w:val="34"/>
        </w:numPr>
        <w:tabs>
          <w:tab w:val="clear" w:pos="1440"/>
        </w:tabs>
        <w:ind w:left="0" w:firstLine="0"/>
      </w:pPr>
      <w:r w:rsidRPr="00211EB6">
        <w:t xml:space="preserve">However, between 2000 and 2012 the estimated </w:t>
      </w:r>
      <w:proofErr w:type="spellStart"/>
      <w:r w:rsidRPr="00211EB6">
        <w:t>dicofol</w:t>
      </w:r>
      <w:proofErr w:type="spellEnd"/>
      <w:r w:rsidRPr="00211EB6">
        <w:t xml:space="preserve"> usage decreased by 75% in China (from 2,013 t to 530</w:t>
      </w:r>
      <w:r w:rsidR="000B3D66" w:rsidRPr="00211EB6">
        <w:t> </w:t>
      </w:r>
      <w:r w:rsidRPr="00211EB6">
        <w:t xml:space="preserve">t), 69% in India (from 145 t to 43 t) and 90% in the USA (from 324 t to 33 t) with most use occurring in California and Florida. The decrease of estimated global use from 2000 (3,350 t) to 2012 (730 t) was approximately 80%. In Europe </w:t>
      </w:r>
      <w:proofErr w:type="spellStart"/>
      <w:r w:rsidRPr="00211EB6">
        <w:t>dicofol</w:t>
      </w:r>
      <w:proofErr w:type="spellEnd"/>
      <w:r w:rsidRPr="00211EB6">
        <w:t xml:space="preserve"> usage was estimated to </w:t>
      </w:r>
      <w:r w:rsidR="0076672B" w:rsidRPr="00211EB6">
        <w:t xml:space="preserve">have </w:t>
      </w:r>
      <w:r w:rsidRPr="00211EB6">
        <w:t>decrease</w:t>
      </w:r>
      <w:r w:rsidR="0076672B" w:rsidRPr="00211EB6">
        <w:t>d</w:t>
      </w:r>
      <w:r w:rsidRPr="00211EB6">
        <w:t xml:space="preserve"> from 317t to 32t between 2000 and 2009 (Li </w:t>
      </w:r>
      <w:r w:rsidR="007E3F71" w:rsidRPr="00211EB6">
        <w:rPr>
          <w:i/>
        </w:rPr>
        <w:t>et al</w:t>
      </w:r>
      <w:r w:rsidRPr="00211EB6">
        <w:t>. 201</w:t>
      </w:r>
      <w:r w:rsidR="006C0D1B" w:rsidRPr="00211EB6">
        <w:t>4</w:t>
      </w:r>
      <w:r w:rsidRPr="00211EB6">
        <w:t xml:space="preserve">). According to estimated emission data published by van der </w:t>
      </w:r>
      <w:proofErr w:type="spellStart"/>
      <w:r w:rsidRPr="00211EB6">
        <w:t>Gon</w:t>
      </w:r>
      <w:proofErr w:type="spellEnd"/>
      <w:r w:rsidRPr="00211EB6">
        <w:t xml:space="preserve"> </w:t>
      </w:r>
      <w:r w:rsidR="007E3F71" w:rsidRPr="00211EB6">
        <w:rPr>
          <w:i/>
        </w:rPr>
        <w:t>et al</w:t>
      </w:r>
      <w:r w:rsidRPr="00211EB6">
        <w:t xml:space="preserve">. (2007), the major consuming countries in </w:t>
      </w:r>
      <w:r w:rsidR="00F36EDB" w:rsidRPr="00211EB6">
        <w:t xml:space="preserve">Europe in </w:t>
      </w:r>
      <w:r w:rsidRPr="00211EB6">
        <w:t xml:space="preserve">2000 were Spain, Italy, Turkey, Romania, and France. </w:t>
      </w:r>
      <w:proofErr w:type="spellStart"/>
      <w:r w:rsidR="00566396" w:rsidRPr="00211EB6">
        <w:t>Dicofol</w:t>
      </w:r>
      <w:proofErr w:type="spellEnd"/>
      <w:r w:rsidR="00566396" w:rsidRPr="00211EB6">
        <w:t xml:space="preserve"> has been used in Ukraine, but the current situation is unclear (UNECE, 2010). </w:t>
      </w:r>
    </w:p>
    <w:p w14:paraId="06AF609D" w14:textId="07287F8C" w:rsidR="00DC1539" w:rsidRPr="00211EB6" w:rsidRDefault="00DC1539" w:rsidP="008C6BCB">
      <w:pPr>
        <w:pStyle w:val="Normalnumber"/>
        <w:numPr>
          <w:ilvl w:val="0"/>
          <w:numId w:val="34"/>
        </w:numPr>
        <w:tabs>
          <w:tab w:val="clear" w:pos="1440"/>
        </w:tabs>
        <w:ind w:left="0" w:firstLine="0"/>
      </w:pPr>
      <w:r w:rsidRPr="00211EB6">
        <w:t xml:space="preserve">It is expected that the observed decline in global </w:t>
      </w:r>
      <w:proofErr w:type="spellStart"/>
      <w:r w:rsidRPr="00211EB6">
        <w:t>dicofol</w:t>
      </w:r>
      <w:proofErr w:type="spellEnd"/>
      <w:r w:rsidRPr="00211EB6">
        <w:t xml:space="preserve"> usage over the period 2000-2012 has continued since this study period</w:t>
      </w:r>
      <w:r w:rsidR="00F36EDB" w:rsidRPr="00211EB6">
        <w:t>;</w:t>
      </w:r>
      <w:r w:rsidRPr="00211EB6">
        <w:t xml:space="preserve"> therefore, it is estimated that the current global </w:t>
      </w:r>
      <w:proofErr w:type="spellStart"/>
      <w:r w:rsidRPr="00211EB6">
        <w:t>dicofol</w:t>
      </w:r>
      <w:proofErr w:type="spellEnd"/>
      <w:r w:rsidRPr="00211EB6">
        <w:t xml:space="preserve"> use is </w:t>
      </w:r>
      <w:proofErr w:type="gramStart"/>
      <w:r w:rsidRPr="00211EB6">
        <w:t>well below 1,000 t/y</w:t>
      </w:r>
      <w:proofErr w:type="gramEnd"/>
      <w:r w:rsidRPr="00211EB6">
        <w:t>.</w:t>
      </w:r>
    </w:p>
    <w:p w14:paraId="7748E6BC" w14:textId="391D017D" w:rsidR="00C151FB" w:rsidRPr="00211EB6" w:rsidRDefault="00C151FB" w:rsidP="00795D7B">
      <w:pPr>
        <w:pStyle w:val="Heading2"/>
        <w:numPr>
          <w:ilvl w:val="1"/>
          <w:numId w:val="17"/>
        </w:numPr>
        <w:tabs>
          <w:tab w:val="clear" w:pos="756"/>
        </w:tabs>
        <w:ind w:left="630" w:hanging="630"/>
      </w:pPr>
      <w:bookmarkStart w:id="8" w:name="_Toc483491446"/>
      <w:r w:rsidRPr="00211EB6">
        <w:t xml:space="preserve">Conclusions of the Review Committee regarding Annex </w:t>
      </w:r>
      <w:r w:rsidR="0025080B" w:rsidRPr="00211EB6">
        <w:t>E</w:t>
      </w:r>
      <w:r w:rsidRPr="00211EB6">
        <w:t xml:space="preserve"> information</w:t>
      </w:r>
      <w:bookmarkEnd w:id="8"/>
    </w:p>
    <w:p w14:paraId="2B3CDFF0" w14:textId="77777777" w:rsidR="0025080B" w:rsidRPr="00211EB6" w:rsidRDefault="0025080B" w:rsidP="008C6BCB">
      <w:pPr>
        <w:pStyle w:val="Normalnumber"/>
        <w:numPr>
          <w:ilvl w:val="0"/>
          <w:numId w:val="34"/>
        </w:numPr>
        <w:tabs>
          <w:tab w:val="clear" w:pos="1440"/>
        </w:tabs>
        <w:ind w:left="0" w:firstLine="0"/>
      </w:pPr>
      <w:r w:rsidRPr="00211EB6">
        <w:t xml:space="preserve">At its tenth meeting in October 2014, the Committee concluded that </w:t>
      </w:r>
      <w:proofErr w:type="spellStart"/>
      <w:r w:rsidRPr="00211EB6">
        <w:t>dicofol</w:t>
      </w:r>
      <w:proofErr w:type="spellEnd"/>
      <w:r w:rsidRPr="00211EB6">
        <w:t xml:space="preserve"> fulfilled the screening criteria specified in Annex D (POPRC-10/3). The Committee also decided to establish an ad-hoc working group to review the proposal further and prepare a draft risk profile in accordance with Annex E of the Convention.</w:t>
      </w:r>
    </w:p>
    <w:p w14:paraId="5967CDF5" w14:textId="77777777" w:rsidR="0025080B" w:rsidRPr="00211EB6" w:rsidRDefault="0025080B" w:rsidP="008C6BCB">
      <w:pPr>
        <w:pStyle w:val="Normalnumber"/>
        <w:numPr>
          <w:ilvl w:val="0"/>
          <w:numId w:val="34"/>
        </w:numPr>
        <w:tabs>
          <w:tab w:val="clear" w:pos="1440"/>
        </w:tabs>
        <w:ind w:left="0" w:firstLine="0"/>
      </w:pPr>
      <w:r w:rsidRPr="00211EB6">
        <w:t xml:space="preserve">At its eleventh meeting in October 2015 the Committee considered the draft risk profile for </w:t>
      </w:r>
      <w:proofErr w:type="spellStart"/>
      <w:r w:rsidRPr="00211EB6">
        <w:t>dicofol</w:t>
      </w:r>
      <w:proofErr w:type="spellEnd"/>
      <w:r w:rsidRPr="00211EB6">
        <w:t xml:space="preserve"> (UNEP/POPS/POPRC.11/3), comments and responses relating to the draft risk profile (UNEP/POPS/POPRC.11/INF/8) and additional information on </w:t>
      </w:r>
      <w:proofErr w:type="spellStart"/>
      <w:r w:rsidRPr="00211EB6">
        <w:t>dicofol</w:t>
      </w:r>
      <w:proofErr w:type="spellEnd"/>
      <w:r w:rsidRPr="00211EB6">
        <w:t xml:space="preserve"> (UNEP/POPS/POPRC.11/INF/15) and agreed to defer its decision on the draft risk profile for </w:t>
      </w:r>
      <w:proofErr w:type="spellStart"/>
      <w:r w:rsidRPr="00211EB6">
        <w:t>dicofol</w:t>
      </w:r>
      <w:proofErr w:type="spellEnd"/>
      <w:r w:rsidRPr="00211EB6">
        <w:t xml:space="preserve"> to the twelfth meeting of the Committee (POPRC-11/2).</w:t>
      </w:r>
    </w:p>
    <w:p w14:paraId="7E550CB0" w14:textId="05D7BC28" w:rsidR="0025080B" w:rsidRPr="00211EB6" w:rsidRDefault="0025080B" w:rsidP="008C6BCB">
      <w:pPr>
        <w:pStyle w:val="Normalnumber"/>
        <w:numPr>
          <w:ilvl w:val="0"/>
          <w:numId w:val="34"/>
        </w:numPr>
        <w:tabs>
          <w:tab w:val="clear" w:pos="1440"/>
        </w:tabs>
        <w:ind w:left="0" w:firstLine="0"/>
      </w:pPr>
      <w:r w:rsidRPr="00211EB6">
        <w:t xml:space="preserve">At its twelfth meeting in September 2016, the Committee adopted the risk profile for </w:t>
      </w:r>
      <w:proofErr w:type="spellStart"/>
      <w:r w:rsidRPr="00211EB6">
        <w:t>dicofol</w:t>
      </w:r>
      <w:proofErr w:type="spellEnd"/>
      <w:r w:rsidRPr="00211EB6">
        <w:t xml:space="preserve"> (UNEP/POPS/POPRC.12/11/Add.1)</w:t>
      </w:r>
      <w:r w:rsidR="00001BBF" w:rsidRPr="00211EB6">
        <w:t xml:space="preserve"> and</w:t>
      </w:r>
      <w:r w:rsidR="00047C39" w:rsidRPr="00211EB6">
        <w:t xml:space="preserve"> </w:t>
      </w:r>
      <w:r w:rsidR="00B11AE3" w:rsidRPr="00211EB6">
        <w:t>decided</w:t>
      </w:r>
      <w:r w:rsidR="000B3D66" w:rsidRPr="00211EB6">
        <w:t xml:space="preserve"> </w:t>
      </w:r>
      <w:r w:rsidR="00443DE8" w:rsidRPr="00211EB6">
        <w:t xml:space="preserve">(POPRC-12/1) </w:t>
      </w:r>
      <w:r w:rsidR="006F7334" w:rsidRPr="00211EB6">
        <w:t xml:space="preserve">in accordance with paragraph 7(a) of Article 8 of the Convention, that </w:t>
      </w:r>
      <w:proofErr w:type="spellStart"/>
      <w:r w:rsidR="006F7334" w:rsidRPr="00211EB6">
        <w:t>dicofol</w:t>
      </w:r>
      <w:proofErr w:type="spellEnd"/>
      <w:r w:rsidR="006F7334" w:rsidRPr="00211EB6">
        <w:t xml:space="preserve"> is likely as a result of its long range environmental transport to lead to significant adverse human health and environmental effects such that global action is warranted</w:t>
      </w:r>
      <w:r w:rsidRPr="00211EB6">
        <w:t>;</w:t>
      </w:r>
      <w:r w:rsidR="00704EF4" w:rsidRPr="00211EB6">
        <w:t xml:space="preserve"> </w:t>
      </w:r>
      <w:r w:rsidRPr="00211EB6">
        <w:t xml:space="preserve">established an </w:t>
      </w:r>
      <w:proofErr w:type="spellStart"/>
      <w:r w:rsidRPr="00211EB6">
        <w:t>intersessional</w:t>
      </w:r>
      <w:proofErr w:type="spellEnd"/>
      <w:r w:rsidRPr="00211EB6">
        <w:t xml:space="preserve"> working group to prepare a risk management evaluation that includes an analysis of possible control measures for </w:t>
      </w:r>
      <w:proofErr w:type="spellStart"/>
      <w:r w:rsidRPr="00211EB6">
        <w:t>dicofol</w:t>
      </w:r>
      <w:proofErr w:type="spellEnd"/>
      <w:r w:rsidRPr="00211EB6">
        <w:t xml:space="preserve"> in accordance with Annex F to the Convention;</w:t>
      </w:r>
      <w:r w:rsidR="00704EF4" w:rsidRPr="00211EB6">
        <w:t xml:space="preserve"> </w:t>
      </w:r>
      <w:r w:rsidR="00047C39" w:rsidRPr="00211EB6">
        <w:t xml:space="preserve">and </w:t>
      </w:r>
      <w:r w:rsidR="00F36EDB" w:rsidRPr="00211EB6">
        <w:t xml:space="preserve">invited </w:t>
      </w:r>
      <w:r w:rsidRPr="00211EB6">
        <w:t>Parties and observers to submit to the Secretariat the information specified in Annex F before 9 December 2016.</w:t>
      </w:r>
    </w:p>
    <w:p w14:paraId="1FD4B03A" w14:textId="691E9DF9" w:rsidR="00C151FB" w:rsidRPr="00211EB6" w:rsidRDefault="00C151FB" w:rsidP="001E269C">
      <w:pPr>
        <w:pStyle w:val="Heading2"/>
      </w:pPr>
      <w:bookmarkStart w:id="9" w:name="_Toc483491447"/>
      <w:r w:rsidRPr="00211EB6">
        <w:t>Data sources</w:t>
      </w:r>
      <w:bookmarkEnd w:id="9"/>
    </w:p>
    <w:p w14:paraId="3D797750" w14:textId="38833B6F" w:rsidR="00C151FB" w:rsidRPr="00211EB6" w:rsidRDefault="00C151FB" w:rsidP="001E269C">
      <w:pPr>
        <w:pStyle w:val="Heading3"/>
      </w:pPr>
      <w:bookmarkStart w:id="10" w:name="_Toc483491448"/>
      <w:r w:rsidRPr="00211EB6">
        <w:t>Overview of data submitted by Parties and observers</w:t>
      </w:r>
      <w:bookmarkEnd w:id="10"/>
    </w:p>
    <w:p w14:paraId="77E31485" w14:textId="5FBE220D" w:rsidR="00EF285A" w:rsidRPr="00211EB6" w:rsidRDefault="00EF285A" w:rsidP="008C6BCB">
      <w:pPr>
        <w:pStyle w:val="Normalnumber"/>
        <w:numPr>
          <w:ilvl w:val="0"/>
          <w:numId w:val="34"/>
        </w:numPr>
        <w:tabs>
          <w:tab w:val="clear" w:pos="1440"/>
        </w:tabs>
        <w:ind w:left="0" w:firstLine="0"/>
      </w:pPr>
      <w:bookmarkStart w:id="11" w:name="_Ref252536567"/>
      <w:r w:rsidRPr="00211EB6">
        <w:t xml:space="preserve">This </w:t>
      </w:r>
      <w:r w:rsidR="000B3D66" w:rsidRPr="00211EB6">
        <w:t>r</w:t>
      </w:r>
      <w:r w:rsidRPr="00211EB6">
        <w:t xml:space="preserve">isk </w:t>
      </w:r>
      <w:r w:rsidR="000B3D66" w:rsidRPr="00211EB6">
        <w:t>m</w:t>
      </w:r>
      <w:r w:rsidRPr="00211EB6">
        <w:t xml:space="preserve">anagement </w:t>
      </w:r>
      <w:r w:rsidR="000B3D66" w:rsidRPr="00211EB6">
        <w:t>e</w:t>
      </w:r>
      <w:r w:rsidRPr="00211EB6">
        <w:t xml:space="preserve">valuation is primarily based on information that has been provided by </w:t>
      </w:r>
      <w:r w:rsidR="00315E0D" w:rsidRPr="00211EB6">
        <w:t>Parties</w:t>
      </w:r>
      <w:r w:rsidRPr="00211EB6">
        <w:t xml:space="preserve"> to the Convention and observers. Responses regarding the information specified in Annex F of the Stockholm Convention (risk management) have been provided by the following countries and observers</w:t>
      </w:r>
      <w:r w:rsidR="00AC7BA6" w:rsidRPr="00211EB6">
        <w:t>:</w:t>
      </w:r>
      <w:r w:rsidRPr="00211EB6">
        <w:t xml:space="preserve"> </w:t>
      </w:r>
    </w:p>
    <w:p w14:paraId="5B6E7680" w14:textId="7BCFB856" w:rsidR="002964BB" w:rsidRPr="00211EB6" w:rsidRDefault="0076672B" w:rsidP="001E269C">
      <w:pPr>
        <w:pStyle w:val="Paralevel1"/>
        <w:numPr>
          <w:ilvl w:val="0"/>
          <w:numId w:val="25"/>
        </w:numPr>
        <w:ind w:left="0" w:firstLine="619"/>
        <w:rPr>
          <w:lang w:val="en-GB"/>
        </w:rPr>
      </w:pPr>
      <w:r w:rsidRPr="00211EB6">
        <w:rPr>
          <w:lang w:val="en-GB"/>
        </w:rPr>
        <w:t>Parties</w:t>
      </w:r>
      <w:r w:rsidR="00EF285A" w:rsidRPr="00211EB6">
        <w:rPr>
          <w:lang w:val="en-GB"/>
        </w:rPr>
        <w:t>: Austria, Canada, Col</w:t>
      </w:r>
      <w:r w:rsidR="00D952B9" w:rsidRPr="00211EB6">
        <w:rPr>
          <w:lang w:val="en-GB"/>
        </w:rPr>
        <w:t>o</w:t>
      </w:r>
      <w:r w:rsidR="00EF285A" w:rsidRPr="00211EB6">
        <w:rPr>
          <w:lang w:val="en-GB"/>
        </w:rPr>
        <w:t>mbia, India, Japan, Monaco, Serbia</w:t>
      </w:r>
      <w:bookmarkEnd w:id="11"/>
      <w:r w:rsidR="001E269C" w:rsidRPr="00211EB6">
        <w:rPr>
          <w:lang w:val="en-GB"/>
        </w:rPr>
        <w:t>;</w:t>
      </w:r>
    </w:p>
    <w:p w14:paraId="0D4EA07F" w14:textId="37C50223" w:rsidR="00B90E13" w:rsidRPr="00211EB6" w:rsidRDefault="00EF285A" w:rsidP="001E269C">
      <w:pPr>
        <w:pStyle w:val="Paralevel1"/>
        <w:numPr>
          <w:ilvl w:val="0"/>
          <w:numId w:val="25"/>
        </w:numPr>
        <w:ind w:left="0" w:firstLine="619"/>
        <w:rPr>
          <w:lang w:val="en-GB"/>
        </w:rPr>
      </w:pPr>
      <w:r w:rsidRPr="00211EB6">
        <w:rPr>
          <w:lang w:val="en-GB"/>
        </w:rPr>
        <w:t xml:space="preserve">Observers: </w:t>
      </w:r>
      <w:r w:rsidR="006C1FEA" w:rsidRPr="00211EB6">
        <w:rPr>
          <w:lang w:val="en-GB"/>
        </w:rPr>
        <w:t xml:space="preserve">Pesticide Action Network (PAN) and </w:t>
      </w:r>
      <w:r w:rsidR="00B86357" w:rsidRPr="00211EB6">
        <w:rPr>
          <w:lang w:val="en-GB"/>
        </w:rPr>
        <w:t>IPEN</w:t>
      </w:r>
      <w:r w:rsidR="00704EF4" w:rsidRPr="00211EB6">
        <w:rPr>
          <w:lang w:val="en-GB"/>
        </w:rPr>
        <w:t>.</w:t>
      </w:r>
    </w:p>
    <w:p w14:paraId="1C6FE415" w14:textId="46AA18F8" w:rsidR="00704EF4" w:rsidRPr="00211EB6" w:rsidRDefault="008947EA" w:rsidP="001E269C">
      <w:pPr>
        <w:pStyle w:val="Heading3"/>
      </w:pPr>
      <w:bookmarkStart w:id="12" w:name="_Toc483491449"/>
      <w:r w:rsidRPr="00211EB6">
        <w:t>Other data sources</w:t>
      </w:r>
      <w:bookmarkEnd w:id="12"/>
    </w:p>
    <w:p w14:paraId="0B8DB919" w14:textId="77777777" w:rsidR="00EF285A" w:rsidRPr="00211EB6" w:rsidRDefault="00EF285A" w:rsidP="008C6BCB">
      <w:pPr>
        <w:pStyle w:val="Normalnumber"/>
        <w:numPr>
          <w:ilvl w:val="0"/>
          <w:numId w:val="34"/>
        </w:numPr>
        <w:tabs>
          <w:tab w:val="clear" w:pos="1440"/>
        </w:tabs>
        <w:ind w:left="0" w:firstLine="0"/>
      </w:pPr>
      <w:r w:rsidRPr="00211EB6">
        <w:t xml:space="preserve">Additional references, including those previously cited in the risk profile on </w:t>
      </w:r>
      <w:proofErr w:type="spellStart"/>
      <w:r w:rsidRPr="00211EB6">
        <w:t>dicofol</w:t>
      </w:r>
      <w:proofErr w:type="spellEnd"/>
      <w:r w:rsidRPr="00211EB6">
        <w:t xml:space="preserve"> (UNEP/POPS/POPRC.12/11/Add.1), and others, are listed under “References”. </w:t>
      </w:r>
    </w:p>
    <w:p w14:paraId="5702A1CA" w14:textId="280B3C4F" w:rsidR="00C151FB" w:rsidRPr="00211EB6" w:rsidRDefault="00C151FB" w:rsidP="001E269C">
      <w:pPr>
        <w:pStyle w:val="Heading2"/>
      </w:pPr>
      <w:bookmarkStart w:id="13" w:name="_Toc166913976"/>
      <w:bookmarkStart w:id="14" w:name="_Ref252538701"/>
      <w:bookmarkStart w:id="15" w:name="_Toc483491450"/>
      <w:bookmarkEnd w:id="13"/>
      <w:r w:rsidRPr="00211EB6">
        <w:t xml:space="preserve">Status of </w:t>
      </w:r>
      <w:r w:rsidR="000357B6" w:rsidRPr="00211EB6">
        <w:t>the chemical</w:t>
      </w:r>
      <w:r w:rsidRPr="00211EB6">
        <w:t xml:space="preserve"> under International Conventions</w:t>
      </w:r>
      <w:bookmarkEnd w:id="14"/>
      <w:bookmarkEnd w:id="15"/>
      <w:r w:rsidRPr="00211EB6">
        <w:t xml:space="preserve"> </w:t>
      </w:r>
    </w:p>
    <w:p w14:paraId="1B059495" w14:textId="77777777" w:rsidR="000357B6" w:rsidRPr="00211EB6" w:rsidRDefault="00912815" w:rsidP="008C6BCB">
      <w:pPr>
        <w:pStyle w:val="Normalnumber"/>
        <w:numPr>
          <w:ilvl w:val="0"/>
          <w:numId w:val="34"/>
        </w:numPr>
        <w:tabs>
          <w:tab w:val="clear" w:pos="1440"/>
        </w:tabs>
        <w:ind w:left="0" w:firstLine="0"/>
      </w:pPr>
      <w:proofErr w:type="spellStart"/>
      <w:r w:rsidRPr="00211EB6">
        <w:t>Dicofol</w:t>
      </w:r>
      <w:proofErr w:type="spellEnd"/>
      <w:r w:rsidRPr="00211EB6">
        <w:t xml:space="preserve"> is</w:t>
      </w:r>
      <w:r w:rsidR="00C151FB" w:rsidRPr="00211EB6">
        <w:t xml:space="preserve"> subject to a number of agreements, regulations and action plans:</w:t>
      </w:r>
    </w:p>
    <w:p w14:paraId="4021D592" w14:textId="2C4CE097" w:rsidR="00EF285A" w:rsidRPr="00211EB6" w:rsidRDefault="00EF285A" w:rsidP="001E269C">
      <w:pPr>
        <w:pStyle w:val="Paralevel2"/>
      </w:pPr>
      <w:r w:rsidRPr="00211EB6">
        <w:t xml:space="preserve">In December 2009 </w:t>
      </w:r>
      <w:proofErr w:type="spellStart"/>
      <w:r w:rsidRPr="00211EB6">
        <w:t>dicofol</w:t>
      </w:r>
      <w:proofErr w:type="spellEnd"/>
      <w:r w:rsidRPr="00211EB6">
        <w:t xml:space="preserve"> was proposed to be added to Annex I (prohibition of production and use) of the Aarhus Protocol on Persistent Organic Pollutants (POPs) under the Convention on Long-Range </w:t>
      </w:r>
      <w:proofErr w:type="spellStart"/>
      <w:r w:rsidRPr="00211EB6">
        <w:t>Transboundary</w:t>
      </w:r>
      <w:proofErr w:type="spellEnd"/>
      <w:r w:rsidRPr="00211EB6">
        <w:t xml:space="preserve"> Air Pollution</w:t>
      </w:r>
      <w:r w:rsidR="00D952B9" w:rsidRPr="00211EB6">
        <w:t xml:space="preserve"> (LRTAP)</w:t>
      </w:r>
      <w:r w:rsidRPr="00211EB6">
        <w:t xml:space="preserve">. The POPs Task Force (except for one expert) concluded that </w:t>
      </w:r>
      <w:proofErr w:type="spellStart"/>
      <w:r w:rsidR="0076672B" w:rsidRPr="00211EB6">
        <w:t>d</w:t>
      </w:r>
      <w:r w:rsidRPr="00211EB6">
        <w:t>icofol</w:t>
      </w:r>
      <w:proofErr w:type="spellEnd"/>
      <w:r w:rsidRPr="00211EB6">
        <w:t xml:space="preserve"> met the indicative numerical values of the Executive Body decision 1998/2. However, no finali</w:t>
      </w:r>
      <w:r w:rsidR="003E5EA0" w:rsidRPr="00211EB6">
        <w:t>s</w:t>
      </w:r>
      <w:r w:rsidRPr="00211EB6">
        <w:t xml:space="preserve">ed action for </w:t>
      </w:r>
      <w:proofErr w:type="spellStart"/>
      <w:r w:rsidRPr="00211EB6">
        <w:t>dicofol</w:t>
      </w:r>
      <w:proofErr w:type="spellEnd"/>
      <w:r w:rsidRPr="00211EB6">
        <w:t xml:space="preserve"> under the LRTAP POPs Protocol was taken pending further consideration under the Stockholm Convention. In December 2013, the Executive Body of LRTAP decided to defer any discussion of </w:t>
      </w:r>
      <w:proofErr w:type="spellStart"/>
      <w:r w:rsidRPr="00211EB6">
        <w:t>dicofol</w:t>
      </w:r>
      <w:proofErr w:type="spellEnd"/>
      <w:r w:rsidRPr="00211EB6">
        <w:t xml:space="preserve"> until after COP7 of the Stockholm Convention in 2015</w:t>
      </w:r>
      <w:r w:rsidRPr="00211EB6">
        <w:rPr>
          <w:rStyle w:val="FootnoteReference"/>
        </w:rPr>
        <w:footnoteReference w:id="6"/>
      </w:r>
      <w:r w:rsidRPr="00211EB6">
        <w:t xml:space="preserve"> (USA</w:t>
      </w:r>
      <w:r w:rsidR="006C1FEA" w:rsidRPr="00211EB6">
        <w:t>, 2015</w:t>
      </w:r>
      <w:r w:rsidRPr="00211EB6">
        <w:t>)</w:t>
      </w:r>
      <w:r w:rsidR="001E269C" w:rsidRPr="00211EB6">
        <w:t>;</w:t>
      </w:r>
    </w:p>
    <w:p w14:paraId="6D0B19C7" w14:textId="682C329A" w:rsidR="00EF285A" w:rsidRPr="00211EB6" w:rsidRDefault="00EF285A" w:rsidP="001E269C">
      <w:pPr>
        <w:pStyle w:val="Paralevel2"/>
      </w:pPr>
      <w:r w:rsidRPr="00211EB6">
        <w:t xml:space="preserve">The OSPAR Commission included </w:t>
      </w:r>
      <w:proofErr w:type="spellStart"/>
      <w:r w:rsidRPr="00211EB6">
        <w:t>dicofol</w:t>
      </w:r>
      <w:proofErr w:type="spellEnd"/>
      <w:r w:rsidRPr="00211EB6">
        <w:t xml:space="preserve"> in the List of Chemicals for Priority Action (by 2</w:t>
      </w:r>
      <w:r w:rsidR="001E269C" w:rsidRPr="00211EB6">
        <w:t>004);</w:t>
      </w:r>
    </w:p>
    <w:p w14:paraId="6F13A045" w14:textId="68C562AA" w:rsidR="004D5259" w:rsidRPr="00211EB6" w:rsidRDefault="00CB2A7B" w:rsidP="001E269C">
      <w:pPr>
        <w:pStyle w:val="Paralevel2"/>
      </w:pPr>
      <w:r w:rsidRPr="00211EB6">
        <w:t>In 2012,</w:t>
      </w:r>
      <w:r w:rsidR="00D0322A" w:rsidRPr="00211EB6">
        <w:t xml:space="preserve"> the Chemical Review Committee </w:t>
      </w:r>
      <w:r w:rsidRPr="00211EB6">
        <w:t>of the Rotterdam Convention on the Prior I</w:t>
      </w:r>
      <w:r w:rsidR="00D0322A" w:rsidRPr="00211EB6">
        <w:t xml:space="preserve">nformed Consent Procedure </w:t>
      </w:r>
      <w:r w:rsidRPr="00211EB6">
        <w:t xml:space="preserve">for Certain Hazardous Chemicals and Pesticides in International Trade considered if </w:t>
      </w:r>
      <w:proofErr w:type="spellStart"/>
      <w:r w:rsidRPr="00211EB6">
        <w:t>dicofol</w:t>
      </w:r>
      <w:proofErr w:type="spellEnd"/>
      <w:r w:rsidRPr="00211EB6">
        <w:t xml:space="preserve"> met the requirements of the Convention. The Committee had before it two notifications and supporting documentation on </w:t>
      </w:r>
      <w:proofErr w:type="spellStart"/>
      <w:r w:rsidRPr="00211EB6">
        <w:t>dicofol</w:t>
      </w:r>
      <w:proofErr w:type="spellEnd"/>
      <w:r w:rsidRPr="00211EB6">
        <w:t xml:space="preserve"> submitted by the European Union and Japan. The Committee decided that, as only one of these notifications of final regulatory action from one prior informed consent region had met the criteria set out in Annex II, at the current time </w:t>
      </w:r>
      <w:proofErr w:type="spellStart"/>
      <w:r w:rsidRPr="00211EB6">
        <w:t>dicofol</w:t>
      </w:r>
      <w:proofErr w:type="spellEnd"/>
      <w:r w:rsidRPr="00211EB6">
        <w:t xml:space="preserve"> could not be recommended for inclusion </w:t>
      </w:r>
      <w:r w:rsidR="001E269C" w:rsidRPr="00211EB6">
        <w:t>in Annex III to the Convention;</w:t>
      </w:r>
    </w:p>
    <w:p w14:paraId="494DF8BF" w14:textId="6EB395F2" w:rsidR="00F36EDB" w:rsidRPr="00211EB6" w:rsidRDefault="00EF285A" w:rsidP="001E269C">
      <w:pPr>
        <w:pStyle w:val="Paralevel2"/>
      </w:pPr>
      <w:r w:rsidRPr="00211EB6">
        <w:t xml:space="preserve">Since 2009 the specific exemptions for DDT listed in Annex B of the Stockholm Convention as </w:t>
      </w:r>
      <w:r w:rsidR="00826E27" w:rsidRPr="00211EB6">
        <w:t xml:space="preserve">an </w:t>
      </w:r>
      <w:r w:rsidRPr="00211EB6">
        <w:t xml:space="preserve">intermediate in the production process of </w:t>
      </w:r>
      <w:proofErr w:type="spellStart"/>
      <w:r w:rsidRPr="00211EB6">
        <w:t>dicofol</w:t>
      </w:r>
      <w:proofErr w:type="spellEnd"/>
      <w:r w:rsidRPr="00211EB6">
        <w:t xml:space="preserve"> </w:t>
      </w:r>
      <w:r w:rsidR="00CB2A7B" w:rsidRPr="00211EB6">
        <w:t>ha</w:t>
      </w:r>
      <w:r w:rsidR="00C25160" w:rsidRPr="00211EB6">
        <w:t>ve</w:t>
      </w:r>
      <w:r w:rsidR="00CB2A7B" w:rsidRPr="00211EB6">
        <w:t xml:space="preserve"> expired</w:t>
      </w:r>
      <w:r w:rsidRPr="00211EB6">
        <w:t xml:space="preserve"> and no new registrations may be made with respect to such exemptions. However, </w:t>
      </w:r>
      <w:r w:rsidR="003576DB" w:rsidRPr="00211EB6">
        <w:t xml:space="preserve">after a request from India (UNEP/POPS/COP.7/INF/3), </w:t>
      </w:r>
      <w:r w:rsidR="00282A10" w:rsidRPr="00211EB6">
        <w:t xml:space="preserve">the </w:t>
      </w:r>
      <w:r w:rsidR="00826E27" w:rsidRPr="00211EB6">
        <w:t xml:space="preserve">expiry date for </w:t>
      </w:r>
      <w:r w:rsidRPr="00211EB6">
        <w:t xml:space="preserve">the production and use of DDT as a </w:t>
      </w:r>
      <w:r w:rsidR="006C1FEA" w:rsidRPr="00211EB6">
        <w:t xml:space="preserve">closed-system site-limited intermediate that is chemically transformed in the manufacture of other chemicals that, taking into consideration the criteria in paragraph 1 of Annex D, do not exhibit the characteristics of persistent organic pollutants </w:t>
      </w:r>
      <w:r w:rsidR="00826E27" w:rsidRPr="00211EB6">
        <w:t xml:space="preserve">has been extended </w:t>
      </w:r>
      <w:r w:rsidR="004D5259" w:rsidRPr="00211EB6">
        <w:t xml:space="preserve">from June 2014 </w:t>
      </w:r>
      <w:r w:rsidR="00826E27" w:rsidRPr="00211EB6">
        <w:t>to May 2024,</w:t>
      </w:r>
      <w:r w:rsidR="006C1FEA" w:rsidRPr="00211EB6">
        <w:t xml:space="preserve"> upon notification to the Secretariat.</w:t>
      </w:r>
      <w:r w:rsidR="00B51567" w:rsidRPr="00211EB6">
        <w:t xml:space="preserve"> In March 2014, India submitted a notification to the Secretariat relating to the production and use of 150 t DDT.  To date, this is the only submission of notification to the Secretariat. </w:t>
      </w:r>
      <w:r w:rsidR="004D5259" w:rsidRPr="00211EB6">
        <w:t xml:space="preserve">The exemption for use of DDT as a closed-system site-limited intermediate to produce </w:t>
      </w:r>
      <w:proofErr w:type="spellStart"/>
      <w:r w:rsidR="004D5259" w:rsidRPr="00211EB6">
        <w:t>dicofol</w:t>
      </w:r>
      <w:proofErr w:type="spellEnd"/>
      <w:r w:rsidR="004D5259" w:rsidRPr="00211EB6">
        <w:t xml:space="preserve"> expired for Brazil in 2014 and China withdrew their exemption for this use the same year</w:t>
      </w:r>
      <w:r w:rsidR="001E269C" w:rsidRPr="00211EB6">
        <w:t>.</w:t>
      </w:r>
      <w:r w:rsidR="004D5259" w:rsidRPr="00211EB6">
        <w:rPr>
          <w:rStyle w:val="FootnoteReference"/>
        </w:rPr>
        <w:footnoteReference w:id="7"/>
      </w:r>
    </w:p>
    <w:p w14:paraId="4632DDD7" w14:textId="754E9CDA" w:rsidR="00C151FB" w:rsidRPr="00211EB6" w:rsidRDefault="00C151FB" w:rsidP="001E269C">
      <w:pPr>
        <w:pStyle w:val="Heading2"/>
      </w:pPr>
      <w:bookmarkStart w:id="16" w:name="_Ref254207354"/>
      <w:bookmarkStart w:id="17" w:name="_Toc483491451"/>
      <w:r w:rsidRPr="00211EB6">
        <w:t>Any national or regional control actions taken</w:t>
      </w:r>
      <w:bookmarkEnd w:id="16"/>
      <w:bookmarkEnd w:id="17"/>
    </w:p>
    <w:p w14:paraId="28754F55" w14:textId="6B84EF59" w:rsidR="00B90E13" w:rsidRPr="00211EB6" w:rsidRDefault="00EF285A" w:rsidP="008C6BCB">
      <w:pPr>
        <w:pStyle w:val="Normalnumber"/>
        <w:numPr>
          <w:ilvl w:val="0"/>
          <w:numId w:val="34"/>
        </w:numPr>
        <w:tabs>
          <w:tab w:val="clear" w:pos="1440"/>
        </w:tabs>
        <w:ind w:left="0" w:firstLine="0"/>
      </w:pPr>
      <w:r w:rsidRPr="00211EB6">
        <w:t xml:space="preserve">In several countries or international </w:t>
      </w:r>
      <w:r w:rsidR="00FF0061" w:rsidRPr="00211EB6">
        <w:t>organizations</w:t>
      </w:r>
      <w:r w:rsidRPr="00211EB6">
        <w:t xml:space="preserve"> commercial </w:t>
      </w:r>
      <w:proofErr w:type="spellStart"/>
      <w:r w:rsidRPr="00211EB6">
        <w:t>dicofol</w:t>
      </w:r>
      <w:proofErr w:type="spellEnd"/>
      <w:r w:rsidRPr="00211EB6">
        <w:t xml:space="preserve"> </w:t>
      </w:r>
      <w:r w:rsidR="00405050" w:rsidRPr="00211EB6">
        <w:t>must</w:t>
      </w:r>
      <w:r w:rsidRPr="00211EB6">
        <w:t xml:space="preserve"> meet standards with respect to:</w:t>
      </w:r>
      <w:r w:rsidR="002205A1" w:rsidRPr="00211EB6">
        <w:t xml:space="preserve"> </w:t>
      </w:r>
    </w:p>
    <w:p w14:paraId="37713BA2" w14:textId="2BC48A03" w:rsidR="00B90E13" w:rsidRPr="00211EB6" w:rsidRDefault="00EF285A" w:rsidP="001E269C">
      <w:pPr>
        <w:pStyle w:val="Paralevel2"/>
        <w:numPr>
          <w:ilvl w:val="0"/>
          <w:numId w:val="28"/>
        </w:numPr>
        <w:ind w:left="0" w:firstLine="619"/>
      </w:pPr>
      <w:r w:rsidRPr="00211EB6">
        <w:t xml:space="preserve">The minimum content of the </w:t>
      </w:r>
      <w:proofErr w:type="spellStart"/>
      <w:r w:rsidR="007E3F71" w:rsidRPr="00211EB6">
        <w:rPr>
          <w:i/>
        </w:rPr>
        <w:t>p,p</w:t>
      </w:r>
      <w:proofErr w:type="spellEnd"/>
      <w:r w:rsidR="00587872" w:rsidRPr="00211EB6">
        <w:rPr>
          <w:i/>
        </w:rPr>
        <w:t>′</w:t>
      </w:r>
      <w:r w:rsidRPr="00211EB6">
        <w:t>-isomer;</w:t>
      </w:r>
    </w:p>
    <w:p w14:paraId="0E0981D5" w14:textId="2DEF5A53" w:rsidR="00B90E13" w:rsidRPr="00211EB6" w:rsidRDefault="00EF285A" w:rsidP="001E269C">
      <w:pPr>
        <w:pStyle w:val="Paralevel1"/>
        <w:numPr>
          <w:ilvl w:val="0"/>
          <w:numId w:val="28"/>
        </w:numPr>
        <w:ind w:left="0" w:firstLine="619"/>
        <w:rPr>
          <w:lang w:val="en-GB"/>
        </w:rPr>
      </w:pPr>
      <w:r w:rsidRPr="00211EB6">
        <w:rPr>
          <w:lang w:val="en-GB"/>
        </w:rPr>
        <w:t>The maximum content of DDT and related substances (</w:t>
      </w:r>
      <w:proofErr w:type="spellStart"/>
      <w:r w:rsidRPr="00211EB6">
        <w:rPr>
          <w:lang w:val="en-GB"/>
        </w:rPr>
        <w:t>DDTr</w:t>
      </w:r>
      <w:proofErr w:type="spellEnd"/>
      <w:r w:rsidRPr="00211EB6">
        <w:rPr>
          <w:lang w:val="en-GB"/>
        </w:rPr>
        <w:t>).</w:t>
      </w:r>
    </w:p>
    <w:p w14:paraId="1DC682E6" w14:textId="77777777" w:rsidR="00B90E13" w:rsidRPr="00211EB6" w:rsidRDefault="00EF285A" w:rsidP="008C6BCB">
      <w:pPr>
        <w:pStyle w:val="Normalnumber"/>
        <w:numPr>
          <w:ilvl w:val="0"/>
          <w:numId w:val="34"/>
        </w:numPr>
        <w:tabs>
          <w:tab w:val="clear" w:pos="1440"/>
        </w:tabs>
        <w:ind w:left="0" w:firstLine="0"/>
      </w:pPr>
      <w:r w:rsidRPr="00211EB6">
        <w:t>The following (inter)national regulations exist:</w:t>
      </w:r>
    </w:p>
    <w:p w14:paraId="63988612" w14:textId="625E7860" w:rsidR="004556C5" w:rsidRPr="00211EB6" w:rsidRDefault="004556C5" w:rsidP="0000731B">
      <w:pPr>
        <w:pStyle w:val="ListParagraph"/>
        <w:numPr>
          <w:ilvl w:val="1"/>
          <w:numId w:val="29"/>
        </w:numPr>
        <w:snapToGrid w:val="0"/>
        <w:spacing w:after="120"/>
        <w:ind w:left="0" w:firstLine="634"/>
        <w:contextualSpacing w:val="0"/>
        <w:rPr>
          <w:rFonts w:eastAsia="Times New Roman"/>
          <w:sz w:val="20"/>
          <w:szCs w:val="20"/>
          <w:lang w:eastAsia="en-US"/>
        </w:rPr>
      </w:pPr>
      <w:r w:rsidRPr="00211EB6">
        <w:rPr>
          <w:rFonts w:eastAsia="Times New Roman"/>
          <w:sz w:val="20"/>
          <w:szCs w:val="20"/>
          <w:lang w:eastAsia="en-US"/>
        </w:rPr>
        <w:t xml:space="preserve">FAO/WHO Specification 123/TC/S/F (1992) requires the amount of </w:t>
      </w:r>
      <w:proofErr w:type="spellStart"/>
      <w:r w:rsidRPr="00211EB6">
        <w:rPr>
          <w:rFonts w:eastAsia="Times New Roman"/>
          <w:sz w:val="20"/>
          <w:szCs w:val="20"/>
          <w:lang w:eastAsia="en-US"/>
        </w:rPr>
        <w:t>DDTr</w:t>
      </w:r>
      <w:proofErr w:type="spellEnd"/>
      <w:r w:rsidRPr="00211EB6">
        <w:rPr>
          <w:rFonts w:eastAsia="Times New Roman"/>
          <w:sz w:val="20"/>
          <w:szCs w:val="20"/>
          <w:lang w:eastAsia="en-US"/>
        </w:rPr>
        <w:t xml:space="preserve"> in technical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w:t>
      </w:r>
      <w:r w:rsidR="0000731B" w:rsidRPr="00211EB6">
        <w:rPr>
          <w:rFonts w:eastAsia="Times New Roman"/>
          <w:sz w:val="20"/>
          <w:szCs w:val="20"/>
          <w:lang w:eastAsia="en-US"/>
        </w:rPr>
        <w:t>by weight) to be less than 0.1%;</w:t>
      </w:r>
    </w:p>
    <w:p w14:paraId="6D5C5C8B" w14:textId="6F3A242E" w:rsidR="004556C5" w:rsidRPr="00211EB6" w:rsidRDefault="004556C5" w:rsidP="0000731B">
      <w:pPr>
        <w:pStyle w:val="ListParagraph"/>
        <w:numPr>
          <w:ilvl w:val="1"/>
          <w:numId w:val="29"/>
        </w:numPr>
        <w:snapToGrid w:val="0"/>
        <w:spacing w:after="120"/>
        <w:ind w:left="0" w:firstLine="634"/>
        <w:contextualSpacing w:val="0"/>
        <w:rPr>
          <w:rFonts w:eastAsia="Times New Roman"/>
          <w:sz w:val="20"/>
          <w:szCs w:val="20"/>
          <w:lang w:eastAsia="en-US"/>
        </w:rPr>
      </w:pPr>
      <w:r w:rsidRPr="00211EB6">
        <w:rPr>
          <w:rFonts w:eastAsia="Times New Roman"/>
          <w:sz w:val="20"/>
          <w:szCs w:val="20"/>
          <w:lang w:eastAsia="en-US"/>
        </w:rPr>
        <w:t xml:space="preserve">The limit of 0.1% of </w:t>
      </w:r>
      <w:proofErr w:type="spellStart"/>
      <w:r w:rsidRPr="00211EB6">
        <w:rPr>
          <w:rFonts w:eastAsia="Times New Roman"/>
          <w:sz w:val="20"/>
          <w:szCs w:val="20"/>
          <w:lang w:eastAsia="en-US"/>
        </w:rPr>
        <w:t>DDTr</w:t>
      </w:r>
      <w:proofErr w:type="spellEnd"/>
      <w:r w:rsidRPr="00211EB6">
        <w:rPr>
          <w:rFonts w:eastAsia="Times New Roman"/>
          <w:sz w:val="20"/>
          <w:szCs w:val="20"/>
          <w:lang w:eastAsia="en-US"/>
        </w:rPr>
        <w:t xml:space="preserve"> is </w:t>
      </w:r>
      <w:r w:rsidR="00001BBF" w:rsidRPr="00211EB6">
        <w:rPr>
          <w:rFonts w:eastAsia="Times New Roman"/>
          <w:sz w:val="20"/>
          <w:szCs w:val="20"/>
          <w:lang w:eastAsia="en-US"/>
        </w:rPr>
        <w:t xml:space="preserve">or was </w:t>
      </w:r>
      <w:r w:rsidRPr="00211EB6">
        <w:rPr>
          <w:rFonts w:eastAsia="Times New Roman"/>
          <w:sz w:val="20"/>
          <w:szCs w:val="20"/>
          <w:lang w:eastAsia="en-US"/>
        </w:rPr>
        <w:t>in place in the USA, Canada, Japan, Brazil, Australia and Argentina. Information from other</w:t>
      </w:r>
      <w:r w:rsidR="0000731B" w:rsidRPr="00211EB6">
        <w:rPr>
          <w:rFonts w:eastAsia="Times New Roman"/>
          <w:sz w:val="20"/>
          <w:szCs w:val="20"/>
          <w:lang w:eastAsia="en-US"/>
        </w:rPr>
        <w:t xml:space="preserve"> countries is not available;</w:t>
      </w:r>
    </w:p>
    <w:p w14:paraId="0B5731F1" w14:textId="228B4303" w:rsidR="00FB2535" w:rsidRPr="00211EB6" w:rsidRDefault="00FB2535" w:rsidP="0000731B">
      <w:pPr>
        <w:pStyle w:val="ListParagraph"/>
        <w:numPr>
          <w:ilvl w:val="1"/>
          <w:numId w:val="29"/>
        </w:numPr>
        <w:snapToGrid w:val="0"/>
        <w:spacing w:after="120"/>
        <w:ind w:left="0" w:firstLine="634"/>
        <w:contextualSpacing w:val="0"/>
        <w:rPr>
          <w:rFonts w:eastAsia="Times New Roman"/>
          <w:sz w:val="20"/>
          <w:szCs w:val="20"/>
          <w:lang w:eastAsia="en-US"/>
        </w:rPr>
      </w:pPr>
      <w:r w:rsidRPr="00211EB6">
        <w:rPr>
          <w:rFonts w:eastAsia="Times New Roman"/>
          <w:sz w:val="20"/>
          <w:szCs w:val="20"/>
          <w:lang w:eastAsia="en-US"/>
        </w:rPr>
        <w:t>As discusse</w:t>
      </w:r>
      <w:r w:rsidR="00EF65BC" w:rsidRPr="00211EB6">
        <w:rPr>
          <w:rFonts w:eastAsia="Times New Roman"/>
          <w:sz w:val="20"/>
          <w:szCs w:val="20"/>
          <w:lang w:eastAsia="en-US"/>
        </w:rPr>
        <w:t>d</w:t>
      </w:r>
      <w:r w:rsidRPr="00211EB6">
        <w:rPr>
          <w:rFonts w:eastAsia="Times New Roman"/>
          <w:sz w:val="20"/>
          <w:szCs w:val="20"/>
          <w:lang w:eastAsia="en-US"/>
        </w:rPr>
        <w:t xml:space="preserve"> </w:t>
      </w:r>
      <w:r w:rsidR="001C4049" w:rsidRPr="00211EB6">
        <w:rPr>
          <w:rFonts w:eastAsia="Times New Roman"/>
          <w:sz w:val="20"/>
          <w:szCs w:val="20"/>
          <w:lang w:eastAsia="en-US"/>
        </w:rPr>
        <w:t>in previous sections</w:t>
      </w:r>
      <w:r w:rsidRPr="00211EB6">
        <w:rPr>
          <w:rFonts w:eastAsia="Times New Roman"/>
          <w:sz w:val="20"/>
          <w:szCs w:val="20"/>
          <w:lang w:eastAsia="en-US"/>
        </w:rPr>
        <w:t xml:space="preserve">, many countries have passed national legislation to prohibit or restrict the production and/or use of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For example, in </w:t>
      </w:r>
      <w:r w:rsidR="009749CA" w:rsidRPr="00211EB6">
        <w:rPr>
          <w:rFonts w:eastAsia="Times New Roman"/>
          <w:sz w:val="20"/>
          <w:szCs w:val="20"/>
          <w:lang w:eastAsia="en-US"/>
        </w:rPr>
        <w:t>t</w:t>
      </w:r>
      <w:r w:rsidRPr="00211EB6">
        <w:rPr>
          <w:rFonts w:eastAsia="Times New Roman"/>
          <w:sz w:val="20"/>
          <w:szCs w:val="20"/>
          <w:lang w:eastAsia="en-US"/>
        </w:rPr>
        <w:t xml:space="preserve">he UK, the approval of the marketing of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was revoked on 31 May 2000 but approval for storage and use </w:t>
      </w:r>
      <w:r w:rsidR="009749CA" w:rsidRPr="00211EB6">
        <w:rPr>
          <w:rFonts w:eastAsia="Times New Roman"/>
          <w:sz w:val="20"/>
          <w:szCs w:val="20"/>
          <w:lang w:eastAsia="en-US"/>
        </w:rPr>
        <w:t>wa</w:t>
      </w:r>
      <w:r w:rsidRPr="00211EB6">
        <w:rPr>
          <w:rFonts w:eastAsia="Times New Roman"/>
          <w:sz w:val="20"/>
          <w:szCs w:val="20"/>
          <w:lang w:eastAsia="en-US"/>
        </w:rPr>
        <w:t>s valid until 31</w:t>
      </w:r>
      <w:r w:rsidR="007E3F71" w:rsidRPr="00211EB6">
        <w:rPr>
          <w:rFonts w:eastAsia="Times New Roman"/>
          <w:sz w:val="20"/>
          <w:szCs w:val="20"/>
          <w:lang w:eastAsia="en-US"/>
        </w:rPr>
        <w:t xml:space="preserve"> May 2002</w:t>
      </w:r>
      <w:r w:rsidRPr="00211EB6">
        <w:rPr>
          <w:rFonts w:eastAsia="Times New Roman"/>
          <w:sz w:val="20"/>
          <w:szCs w:val="20"/>
          <w:lang w:eastAsia="en-US"/>
        </w:rPr>
        <w:t xml:space="preserve"> (OSPAR, 2002). </w:t>
      </w:r>
      <w:r w:rsidR="00C071A6" w:rsidRPr="00211EB6">
        <w:rPr>
          <w:rFonts w:eastAsia="Times New Roman"/>
          <w:sz w:val="20"/>
          <w:szCs w:val="20"/>
          <w:lang w:eastAsia="en-US"/>
        </w:rPr>
        <w:t>Most registrations in Europe were revoked duri</w:t>
      </w:r>
      <w:r w:rsidR="0000731B" w:rsidRPr="00211EB6">
        <w:rPr>
          <w:rFonts w:eastAsia="Times New Roman"/>
          <w:sz w:val="20"/>
          <w:szCs w:val="20"/>
          <w:lang w:eastAsia="en-US"/>
        </w:rPr>
        <w:t>ng the late 1990s (OSPAR, 2008);</w:t>
      </w:r>
    </w:p>
    <w:p w14:paraId="2B239E54" w14:textId="2A327362" w:rsidR="00B90E13" w:rsidRPr="00211EB6" w:rsidRDefault="00EF285A" w:rsidP="0000731B">
      <w:pPr>
        <w:pStyle w:val="ListParagraph"/>
        <w:numPr>
          <w:ilvl w:val="1"/>
          <w:numId w:val="29"/>
        </w:numPr>
        <w:snapToGrid w:val="0"/>
        <w:spacing w:after="120"/>
        <w:ind w:left="0" w:firstLine="634"/>
        <w:contextualSpacing w:val="0"/>
        <w:rPr>
          <w:sz w:val="20"/>
        </w:rPr>
      </w:pPr>
      <w:r w:rsidRPr="00211EB6">
        <w:rPr>
          <w:sz w:val="20"/>
        </w:rPr>
        <w:t xml:space="preserve">The </w:t>
      </w:r>
      <w:r w:rsidR="009749CA" w:rsidRPr="00211EB6">
        <w:rPr>
          <w:sz w:val="20"/>
        </w:rPr>
        <w:t xml:space="preserve">permitted </w:t>
      </w:r>
      <w:r w:rsidRPr="00211EB6">
        <w:rPr>
          <w:sz w:val="20"/>
        </w:rPr>
        <w:t xml:space="preserve">use of </w:t>
      </w:r>
      <w:proofErr w:type="spellStart"/>
      <w:r w:rsidRPr="00211EB6">
        <w:rPr>
          <w:sz w:val="20"/>
        </w:rPr>
        <w:t>dicofol</w:t>
      </w:r>
      <w:proofErr w:type="spellEnd"/>
      <w:r w:rsidRPr="00211EB6">
        <w:rPr>
          <w:sz w:val="20"/>
        </w:rPr>
        <w:t xml:space="preserve"> for plant protection products </w:t>
      </w:r>
      <w:r w:rsidR="007E3F71" w:rsidRPr="00211EB6">
        <w:rPr>
          <w:rFonts w:eastAsia="Times New Roman"/>
          <w:sz w:val="20"/>
          <w:szCs w:val="20"/>
          <w:lang w:eastAsia="en-US"/>
        </w:rPr>
        <w:t xml:space="preserve">in the EU </w:t>
      </w:r>
      <w:r w:rsidRPr="00211EB6">
        <w:rPr>
          <w:sz w:val="20"/>
        </w:rPr>
        <w:t>expired by 2010 at the latest according to Commission Decision 2008/764/EC</w:t>
      </w:r>
      <w:r w:rsidRPr="00211EB6">
        <w:rPr>
          <w:rStyle w:val="FootnoteReference"/>
          <w:rFonts w:eastAsia="Times New Roman"/>
          <w:sz w:val="20"/>
          <w:szCs w:val="20"/>
          <w:lang w:eastAsia="en-US"/>
        </w:rPr>
        <w:footnoteReference w:id="8"/>
      </w:r>
      <w:r w:rsidRPr="00211EB6">
        <w:rPr>
          <w:sz w:val="20"/>
        </w:rPr>
        <w:t xml:space="preserve"> . In addition, all non-agricultural uses are prohibited according to the </w:t>
      </w:r>
      <w:proofErr w:type="spellStart"/>
      <w:r w:rsidRPr="00211EB6">
        <w:rPr>
          <w:sz w:val="20"/>
        </w:rPr>
        <w:t>Biocidal</w:t>
      </w:r>
      <w:proofErr w:type="spellEnd"/>
      <w:r w:rsidRPr="00211EB6">
        <w:rPr>
          <w:sz w:val="20"/>
        </w:rPr>
        <w:t xml:space="preserve"> Products Regulation No (EC) 528/2012</w:t>
      </w:r>
      <w:r w:rsidR="0000731B" w:rsidRPr="00211EB6">
        <w:rPr>
          <w:sz w:val="20"/>
        </w:rPr>
        <w:t>;</w:t>
      </w:r>
      <w:r w:rsidRPr="00211EB6">
        <w:rPr>
          <w:rStyle w:val="FootnoteReference"/>
          <w:rFonts w:eastAsia="Times New Roman"/>
          <w:sz w:val="20"/>
          <w:szCs w:val="20"/>
          <w:lang w:eastAsia="en-US"/>
        </w:rPr>
        <w:footnoteReference w:id="9"/>
      </w:r>
    </w:p>
    <w:p w14:paraId="107DC3B3" w14:textId="45AF9E0C" w:rsidR="00EF65BC" w:rsidRPr="00211EB6" w:rsidRDefault="00EF65BC" w:rsidP="0000731B">
      <w:pPr>
        <w:pStyle w:val="ListParagraph"/>
        <w:numPr>
          <w:ilvl w:val="1"/>
          <w:numId w:val="29"/>
        </w:numPr>
        <w:snapToGrid w:val="0"/>
        <w:spacing w:after="120"/>
        <w:ind w:left="0" w:firstLine="634"/>
        <w:contextualSpacing w:val="0"/>
        <w:rPr>
          <w:rFonts w:eastAsia="Times New Roman"/>
          <w:sz w:val="20"/>
          <w:szCs w:val="20"/>
          <w:lang w:eastAsia="en-US"/>
        </w:rPr>
      </w:pP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is </w:t>
      </w:r>
      <w:r w:rsidR="009749CA" w:rsidRPr="00211EB6">
        <w:rPr>
          <w:rFonts w:eastAsia="Times New Roman"/>
          <w:sz w:val="20"/>
          <w:szCs w:val="20"/>
          <w:lang w:eastAsia="en-US"/>
        </w:rPr>
        <w:t>included</w:t>
      </w:r>
      <w:r w:rsidRPr="00211EB6">
        <w:rPr>
          <w:rFonts w:eastAsia="Times New Roman"/>
          <w:sz w:val="20"/>
          <w:szCs w:val="20"/>
          <w:lang w:eastAsia="en-US"/>
        </w:rPr>
        <w:t xml:space="preserve"> in EU Directive 2013/39/EU</w:t>
      </w:r>
      <w:r w:rsidR="001C4049" w:rsidRPr="00211EB6">
        <w:rPr>
          <w:rStyle w:val="FootnoteReference"/>
          <w:rFonts w:eastAsia="Times New Roman"/>
          <w:sz w:val="20"/>
          <w:szCs w:val="20"/>
          <w:lang w:eastAsia="en-US"/>
        </w:rPr>
        <w:footnoteReference w:id="10"/>
      </w:r>
      <w:r w:rsidRPr="00211EB6">
        <w:rPr>
          <w:rFonts w:eastAsia="Times New Roman"/>
          <w:sz w:val="20"/>
          <w:szCs w:val="20"/>
          <w:lang w:eastAsia="en-US"/>
        </w:rPr>
        <w:t xml:space="preserve"> as a priority hazardous substance in the field of water policy. This sets environmental quality standards for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for inland surface waters (1.3 × 10</w:t>
      </w:r>
      <w:r w:rsidRPr="00211EB6">
        <w:rPr>
          <w:rFonts w:eastAsia="Times New Roman"/>
          <w:sz w:val="20"/>
          <w:szCs w:val="20"/>
          <w:vertAlign w:val="superscript"/>
          <w:lang w:eastAsia="en-US"/>
        </w:rPr>
        <w:t>–3</w:t>
      </w:r>
      <w:r w:rsidRPr="00211EB6">
        <w:rPr>
          <w:rFonts w:eastAsia="Times New Roman"/>
          <w:sz w:val="20"/>
          <w:szCs w:val="20"/>
          <w:lang w:eastAsia="en-US"/>
        </w:rPr>
        <w:t xml:space="preserve"> </w:t>
      </w:r>
      <w:proofErr w:type="spellStart"/>
      <w:r w:rsidRPr="00211EB6">
        <w:rPr>
          <w:rFonts w:eastAsia="Times New Roman"/>
          <w:sz w:val="20"/>
          <w:szCs w:val="20"/>
          <w:lang w:eastAsia="en-US"/>
        </w:rPr>
        <w:t>μg</w:t>
      </w:r>
      <w:proofErr w:type="spellEnd"/>
      <w:r w:rsidRPr="00211EB6">
        <w:rPr>
          <w:rFonts w:eastAsia="Times New Roman"/>
          <w:sz w:val="20"/>
          <w:szCs w:val="20"/>
          <w:lang w:eastAsia="en-US"/>
        </w:rPr>
        <w:t>/l); other surface waters (3.2 × 10</w:t>
      </w:r>
      <w:r w:rsidRPr="00211EB6">
        <w:rPr>
          <w:rFonts w:eastAsia="Times New Roman"/>
          <w:sz w:val="20"/>
          <w:szCs w:val="20"/>
          <w:vertAlign w:val="superscript"/>
          <w:lang w:eastAsia="en-US"/>
        </w:rPr>
        <w:t>–5</w:t>
      </w:r>
      <w:r w:rsidRPr="00211EB6">
        <w:rPr>
          <w:rFonts w:eastAsia="Times New Roman"/>
          <w:sz w:val="20"/>
          <w:szCs w:val="20"/>
          <w:lang w:eastAsia="en-US"/>
        </w:rPr>
        <w:t xml:space="preserve"> </w:t>
      </w:r>
      <w:proofErr w:type="spellStart"/>
      <w:r w:rsidRPr="00211EB6">
        <w:rPr>
          <w:rFonts w:eastAsia="Times New Roman"/>
          <w:sz w:val="20"/>
          <w:szCs w:val="20"/>
          <w:lang w:eastAsia="en-US"/>
        </w:rPr>
        <w:t>μg</w:t>
      </w:r>
      <w:proofErr w:type="spellEnd"/>
      <w:r w:rsidRPr="00211EB6">
        <w:rPr>
          <w:rFonts w:eastAsia="Times New Roman"/>
          <w:sz w:val="20"/>
          <w:szCs w:val="20"/>
          <w:lang w:eastAsia="en-US"/>
        </w:rPr>
        <w:t xml:space="preserve">/l); and biota (33 </w:t>
      </w:r>
      <w:proofErr w:type="spellStart"/>
      <w:r w:rsidRPr="00211EB6">
        <w:rPr>
          <w:rFonts w:eastAsia="Times New Roman"/>
          <w:sz w:val="20"/>
          <w:szCs w:val="20"/>
          <w:lang w:eastAsia="en-US"/>
        </w:rPr>
        <w:t>μg</w:t>
      </w:r>
      <w:proofErr w:type="spellEnd"/>
      <w:r w:rsidRPr="00211EB6">
        <w:rPr>
          <w:rFonts w:eastAsia="Times New Roman"/>
          <w:sz w:val="20"/>
          <w:szCs w:val="20"/>
          <w:lang w:eastAsia="en-US"/>
        </w:rPr>
        <w:t xml:space="preserve">/kg wet weight). </w:t>
      </w:r>
      <w:r w:rsidR="00287082" w:rsidRPr="00211EB6">
        <w:rPr>
          <w:rFonts w:eastAsia="Times New Roman"/>
          <w:sz w:val="20"/>
          <w:szCs w:val="20"/>
          <w:lang w:eastAsia="en-US"/>
        </w:rPr>
        <w:t>Additionally</w:t>
      </w:r>
      <w:r w:rsidR="00C071A6" w:rsidRPr="00211EB6">
        <w:rPr>
          <w:rFonts w:eastAsia="Times New Roman"/>
          <w:sz w:val="20"/>
          <w:szCs w:val="20"/>
          <w:lang w:eastAsia="en-US"/>
        </w:rPr>
        <w:t>,</w:t>
      </w:r>
      <w:r w:rsidR="00287082" w:rsidRPr="00211EB6">
        <w:rPr>
          <w:rFonts w:eastAsia="Times New Roman"/>
          <w:sz w:val="20"/>
          <w:szCs w:val="20"/>
          <w:lang w:eastAsia="en-US"/>
        </w:rPr>
        <w:t xml:space="preserve"> because </w:t>
      </w:r>
      <w:proofErr w:type="spellStart"/>
      <w:r w:rsidR="00287082" w:rsidRPr="00211EB6">
        <w:rPr>
          <w:rFonts w:eastAsia="Times New Roman"/>
          <w:sz w:val="20"/>
          <w:szCs w:val="20"/>
          <w:lang w:eastAsia="en-US"/>
        </w:rPr>
        <w:t>dicofol</w:t>
      </w:r>
      <w:proofErr w:type="spellEnd"/>
      <w:r w:rsidR="00287082" w:rsidRPr="00211EB6">
        <w:rPr>
          <w:rFonts w:eastAsia="Times New Roman"/>
          <w:sz w:val="20"/>
          <w:szCs w:val="20"/>
          <w:lang w:eastAsia="en-US"/>
        </w:rPr>
        <w:t xml:space="preserve"> is a priority hazardous substance there is an obligation under the water framework directive for cessation of all discharges to the environment, which goes beyond the EQS target thresho</w:t>
      </w:r>
      <w:r w:rsidR="0000731B" w:rsidRPr="00211EB6">
        <w:rPr>
          <w:rFonts w:eastAsia="Times New Roman"/>
          <w:sz w:val="20"/>
          <w:szCs w:val="20"/>
          <w:lang w:eastAsia="en-US"/>
        </w:rPr>
        <w:t>lds;</w:t>
      </w:r>
    </w:p>
    <w:p w14:paraId="43C972EF" w14:textId="6896FC4C" w:rsidR="004B7ED4" w:rsidRPr="00211EB6" w:rsidRDefault="004B7ED4" w:rsidP="0000731B">
      <w:pPr>
        <w:pStyle w:val="ListParagraph"/>
        <w:numPr>
          <w:ilvl w:val="1"/>
          <w:numId w:val="29"/>
        </w:numPr>
        <w:snapToGrid w:val="0"/>
        <w:spacing w:after="120"/>
        <w:ind w:left="0" w:firstLine="634"/>
        <w:contextualSpacing w:val="0"/>
        <w:rPr>
          <w:rFonts w:eastAsia="Times New Roman"/>
          <w:sz w:val="20"/>
          <w:szCs w:val="20"/>
          <w:lang w:eastAsia="en-US"/>
        </w:rPr>
      </w:pPr>
      <w:r w:rsidRPr="00211EB6">
        <w:rPr>
          <w:rFonts w:eastAsia="Times New Roman"/>
          <w:sz w:val="20"/>
          <w:szCs w:val="20"/>
          <w:lang w:eastAsia="en-US"/>
        </w:rPr>
        <w:t xml:space="preserve">The FAO/WHO have recommended maximum residue levels of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in various foods (WHO, 1996)</w:t>
      </w:r>
      <w:r w:rsidR="0000731B" w:rsidRPr="00211EB6">
        <w:rPr>
          <w:rFonts w:eastAsia="Times New Roman"/>
          <w:sz w:val="20"/>
          <w:szCs w:val="20"/>
          <w:lang w:eastAsia="en-US"/>
        </w:rPr>
        <w:t xml:space="preserve"> (see Table 2.1; Section 2.2.1);</w:t>
      </w:r>
    </w:p>
    <w:p w14:paraId="224B0A8D" w14:textId="7A79EA6C" w:rsidR="004B7ED4" w:rsidRPr="00211EB6" w:rsidRDefault="004B7ED4" w:rsidP="0000731B">
      <w:pPr>
        <w:pStyle w:val="ListParagraph"/>
        <w:numPr>
          <w:ilvl w:val="1"/>
          <w:numId w:val="29"/>
        </w:numPr>
        <w:snapToGrid w:val="0"/>
        <w:spacing w:after="120"/>
        <w:ind w:left="0" w:firstLine="634"/>
        <w:contextualSpacing w:val="0"/>
        <w:rPr>
          <w:rFonts w:eastAsia="Times New Roman"/>
          <w:sz w:val="20"/>
          <w:szCs w:val="20"/>
          <w:lang w:eastAsia="en-US"/>
        </w:rPr>
      </w:pPr>
      <w:r w:rsidRPr="00211EB6">
        <w:rPr>
          <w:rFonts w:eastAsia="Times New Roman"/>
          <w:sz w:val="20"/>
          <w:szCs w:val="20"/>
          <w:lang w:eastAsia="en-US"/>
        </w:rPr>
        <w:t xml:space="preserve">EU Regulation (EC) No 396/2005 (as amended by Commission Regulation (EU) No 899/2012) specifies maximum residue levels of </w:t>
      </w:r>
      <w:proofErr w:type="spellStart"/>
      <w:r w:rsidRPr="00211EB6">
        <w:rPr>
          <w:rFonts w:eastAsia="Times New Roman"/>
          <w:sz w:val="20"/>
          <w:szCs w:val="20"/>
          <w:lang w:eastAsia="en-US"/>
        </w:rPr>
        <w:t>dicofol</w:t>
      </w:r>
      <w:proofErr w:type="spellEnd"/>
      <w:r w:rsidRPr="00211EB6">
        <w:rPr>
          <w:rFonts w:eastAsia="Times New Roman"/>
          <w:sz w:val="20"/>
          <w:szCs w:val="20"/>
          <w:lang w:eastAsia="en-US"/>
        </w:rPr>
        <w:t xml:space="preserve"> in or on food and feed of plant and animal origin (see Table 2.2; Section 2.2.1).</w:t>
      </w:r>
      <w:r w:rsidR="001537AD" w:rsidRPr="00211EB6">
        <w:rPr>
          <w:rFonts w:eastAsia="Times New Roman"/>
          <w:sz w:val="20"/>
          <w:szCs w:val="20"/>
          <w:lang w:eastAsia="en-US"/>
        </w:rPr>
        <w:t xml:space="preserve"> This Regulation also specifies requirements of Member States to conduct sampling to adequately monitor complian</w:t>
      </w:r>
      <w:r w:rsidR="0000731B" w:rsidRPr="00211EB6">
        <w:rPr>
          <w:rFonts w:eastAsia="Times New Roman"/>
          <w:sz w:val="20"/>
          <w:szCs w:val="20"/>
          <w:lang w:eastAsia="en-US"/>
        </w:rPr>
        <w:t>ce with these MRLs (see 2.5.2).</w:t>
      </w:r>
    </w:p>
    <w:p w14:paraId="305F00AC" w14:textId="78EBB0C1" w:rsidR="00B90E13" w:rsidRPr="00211EB6" w:rsidRDefault="00EF285A" w:rsidP="008C6BCB">
      <w:pPr>
        <w:pStyle w:val="Normalnumber"/>
        <w:numPr>
          <w:ilvl w:val="0"/>
          <w:numId w:val="34"/>
        </w:numPr>
        <w:tabs>
          <w:tab w:val="clear" w:pos="1440"/>
        </w:tabs>
        <w:ind w:left="0" w:firstLine="0"/>
      </w:pPr>
      <w:r w:rsidRPr="00211EB6">
        <w:t xml:space="preserve">It is known that KELTHANE® </w:t>
      </w:r>
      <w:r w:rsidR="00CB2A7B" w:rsidRPr="00211EB6">
        <w:t xml:space="preserve">(a trade name product containing </w:t>
      </w:r>
      <w:proofErr w:type="spellStart"/>
      <w:r w:rsidR="00CB2A7B" w:rsidRPr="00211EB6">
        <w:t>dicofol</w:t>
      </w:r>
      <w:proofErr w:type="spellEnd"/>
      <w:r w:rsidR="00CB2A7B" w:rsidRPr="00211EB6">
        <w:t>)</w:t>
      </w:r>
      <w:r w:rsidR="00256B71" w:rsidRPr="00211EB6">
        <w:t>, previously</w:t>
      </w:r>
      <w:r w:rsidR="00CB2A7B" w:rsidRPr="00211EB6">
        <w:t xml:space="preserve"> </w:t>
      </w:r>
      <w:r w:rsidRPr="00211EB6">
        <w:t xml:space="preserve">produced </w:t>
      </w:r>
      <w:r w:rsidR="00256B71" w:rsidRPr="00211EB6">
        <w:t xml:space="preserve">in Spain </w:t>
      </w:r>
      <w:r w:rsidRPr="00211EB6">
        <w:t>by Dow Agro</w:t>
      </w:r>
      <w:r w:rsidR="00D64DEC" w:rsidRPr="00211EB6">
        <w:t xml:space="preserve"> </w:t>
      </w:r>
      <w:r w:rsidRPr="00211EB6">
        <w:t xml:space="preserve">Sciences </w:t>
      </w:r>
      <w:r w:rsidR="00256B71" w:rsidRPr="00211EB6">
        <w:t xml:space="preserve">was </w:t>
      </w:r>
      <w:r w:rsidRPr="00211EB6">
        <w:t xml:space="preserve">purified on-site to meet the 0.1% </w:t>
      </w:r>
      <w:proofErr w:type="spellStart"/>
      <w:r w:rsidRPr="00211EB6">
        <w:t>DDTr</w:t>
      </w:r>
      <w:proofErr w:type="spellEnd"/>
      <w:r w:rsidRPr="00211EB6">
        <w:t xml:space="preserve"> limit</w:t>
      </w:r>
      <w:r w:rsidR="00071BC1" w:rsidRPr="00211EB6">
        <w:t xml:space="preserve"> (van de </w:t>
      </w:r>
      <w:proofErr w:type="spellStart"/>
      <w:r w:rsidR="00071BC1" w:rsidRPr="00211EB6">
        <w:t>Plassche</w:t>
      </w:r>
      <w:proofErr w:type="spellEnd"/>
      <w:r w:rsidR="00071BC1" w:rsidRPr="00211EB6">
        <w:t xml:space="preserve"> </w:t>
      </w:r>
      <w:r w:rsidR="007E3F71" w:rsidRPr="00211EB6">
        <w:rPr>
          <w:i/>
        </w:rPr>
        <w:t>et al</w:t>
      </w:r>
      <w:r w:rsidR="00071BC1" w:rsidRPr="00211EB6">
        <w:t>. 2003)</w:t>
      </w:r>
      <w:r w:rsidRPr="00211EB6">
        <w:t xml:space="preserve">. </w:t>
      </w:r>
      <w:r w:rsidR="00C071A6" w:rsidRPr="00211EB6">
        <w:t xml:space="preserve">Only limited information is available regarding the compliance of </w:t>
      </w:r>
      <w:proofErr w:type="spellStart"/>
      <w:r w:rsidR="00C071A6" w:rsidRPr="00211EB6">
        <w:t>dicofol</w:t>
      </w:r>
      <w:proofErr w:type="spellEnd"/>
      <w:r w:rsidR="00C071A6" w:rsidRPr="00211EB6">
        <w:t xml:space="preserve"> producers with these stringent specifications. T</w:t>
      </w:r>
      <w:r w:rsidRPr="00211EB6">
        <w:t xml:space="preserve">he content of </w:t>
      </w:r>
      <w:proofErr w:type="spellStart"/>
      <w:r w:rsidRPr="00211EB6">
        <w:t>DDTr</w:t>
      </w:r>
      <w:proofErr w:type="spellEnd"/>
      <w:r w:rsidRPr="00211EB6">
        <w:t xml:space="preserve"> in commercial </w:t>
      </w:r>
      <w:proofErr w:type="spellStart"/>
      <w:r w:rsidRPr="00211EB6">
        <w:t>dicofol</w:t>
      </w:r>
      <w:proofErr w:type="spellEnd"/>
      <w:r w:rsidRPr="00211EB6">
        <w:t xml:space="preserve"> made by other producers is unknown. </w:t>
      </w:r>
      <w:r w:rsidR="00826E27" w:rsidRPr="00211EB6">
        <w:t xml:space="preserve">A content of 3.5% </w:t>
      </w:r>
      <w:proofErr w:type="spellStart"/>
      <w:r w:rsidR="00826E27" w:rsidRPr="00211EB6">
        <w:t>DDTr</w:t>
      </w:r>
      <w:proofErr w:type="spellEnd"/>
      <w:r w:rsidR="00826E27" w:rsidRPr="00211EB6">
        <w:t xml:space="preserve"> of </w:t>
      </w:r>
      <w:proofErr w:type="spellStart"/>
      <w:r w:rsidR="00826E27" w:rsidRPr="00211EB6">
        <w:t>dicofol</w:t>
      </w:r>
      <w:proofErr w:type="spellEnd"/>
      <w:r w:rsidR="00826E27" w:rsidRPr="00211EB6">
        <w:t xml:space="preserve"> produced by a company in India has been reported (van de </w:t>
      </w:r>
      <w:proofErr w:type="spellStart"/>
      <w:r w:rsidR="00826E27" w:rsidRPr="00211EB6">
        <w:t>Plass</w:t>
      </w:r>
      <w:r w:rsidR="00562EDB" w:rsidRPr="00211EB6">
        <w:t>che</w:t>
      </w:r>
      <w:proofErr w:type="spellEnd"/>
      <w:r w:rsidR="00562EDB" w:rsidRPr="00211EB6">
        <w:t xml:space="preserve"> </w:t>
      </w:r>
      <w:r w:rsidR="007E3F71" w:rsidRPr="00211EB6">
        <w:rPr>
          <w:i/>
        </w:rPr>
        <w:t>et al</w:t>
      </w:r>
      <w:r w:rsidR="00562EDB" w:rsidRPr="00211EB6">
        <w:t>. 2003). L</w:t>
      </w:r>
      <w:r w:rsidR="00826E27" w:rsidRPr="00211EB6">
        <w:t xml:space="preserve">evels in Turkey have been found </w:t>
      </w:r>
      <w:r w:rsidR="00562EDB" w:rsidRPr="00211EB6">
        <w:t>between 0.3% and</w:t>
      </w:r>
      <w:r w:rsidR="00826E27" w:rsidRPr="00211EB6">
        <w:t xml:space="preserve"> 14.3% (</w:t>
      </w:r>
      <w:proofErr w:type="spellStart"/>
      <w:r w:rsidR="00826E27" w:rsidRPr="00211EB6">
        <w:t>Turgut</w:t>
      </w:r>
      <w:proofErr w:type="spellEnd"/>
      <w:r w:rsidR="00826E27" w:rsidRPr="00211EB6">
        <w:t xml:space="preserve"> </w:t>
      </w:r>
      <w:r w:rsidR="007E3F71" w:rsidRPr="00211EB6">
        <w:rPr>
          <w:i/>
        </w:rPr>
        <w:t>et al</w:t>
      </w:r>
      <w:r w:rsidR="00826E27" w:rsidRPr="00211EB6">
        <w:t>. 2009).</w:t>
      </w:r>
      <w:r w:rsidR="00405050" w:rsidRPr="00211EB6">
        <w:t xml:space="preserve"> In China, it has been reported that </w:t>
      </w:r>
      <w:proofErr w:type="spellStart"/>
      <w:r w:rsidR="00405050" w:rsidRPr="00211EB6">
        <w:t>dicofol</w:t>
      </w:r>
      <w:proofErr w:type="spellEnd"/>
      <w:r w:rsidR="00405050" w:rsidRPr="00211EB6">
        <w:t xml:space="preserve"> product</w:t>
      </w:r>
      <w:r w:rsidR="00566396" w:rsidRPr="00211EB6">
        <w:t>s</w:t>
      </w:r>
      <w:r w:rsidR="00405050" w:rsidRPr="00211EB6">
        <w:t xml:space="preserve"> with high levels of DDT impurities were available on the market after 2003. </w:t>
      </w:r>
      <w:proofErr w:type="spellStart"/>
      <w:r w:rsidR="00405050" w:rsidRPr="00211EB6">
        <w:t>Qiu</w:t>
      </w:r>
      <w:proofErr w:type="spellEnd"/>
      <w:r w:rsidR="00405050" w:rsidRPr="00211EB6">
        <w:t xml:space="preserve"> et al. (2005)</w:t>
      </w:r>
      <w:r w:rsidR="002D4D3D" w:rsidRPr="00211EB6">
        <w:t xml:space="preserve"> reported an average ΣDDT content of 24.4% measured in 23 commercially available </w:t>
      </w:r>
      <w:proofErr w:type="spellStart"/>
      <w:r w:rsidR="002D4D3D" w:rsidRPr="00211EB6">
        <w:t>dicofol</w:t>
      </w:r>
      <w:proofErr w:type="spellEnd"/>
      <w:r w:rsidR="002D4D3D" w:rsidRPr="00211EB6">
        <w:t xml:space="preserve"> formulations. </w:t>
      </w:r>
    </w:p>
    <w:p w14:paraId="41C34A1C" w14:textId="553E9C96" w:rsidR="008A0D01" w:rsidRPr="00211EB6" w:rsidRDefault="00270309" w:rsidP="008C6BCB">
      <w:pPr>
        <w:pStyle w:val="Normalnumber"/>
        <w:numPr>
          <w:ilvl w:val="0"/>
          <w:numId w:val="34"/>
        </w:numPr>
        <w:tabs>
          <w:tab w:val="clear" w:pos="1440"/>
        </w:tabs>
        <w:ind w:left="0" w:firstLine="0"/>
      </w:pPr>
      <w:r w:rsidRPr="00211EB6">
        <w:t xml:space="preserve">In December 2011, the USEPA ordered the voluntary cancellation of technical registration of </w:t>
      </w:r>
      <w:proofErr w:type="spellStart"/>
      <w:r w:rsidRPr="00211EB6">
        <w:t>dicofol</w:t>
      </w:r>
      <w:proofErr w:type="spellEnd"/>
      <w:r w:rsidRPr="00211EB6">
        <w:t xml:space="preserve"> at the request of the registrant (</w:t>
      </w:r>
      <w:proofErr w:type="spellStart"/>
      <w:r w:rsidRPr="00211EB6">
        <w:t>Makhteshim</w:t>
      </w:r>
      <w:proofErr w:type="spellEnd"/>
      <w:r w:rsidRPr="00211EB6">
        <w:t xml:space="preserve"> </w:t>
      </w:r>
      <w:proofErr w:type="spellStart"/>
      <w:r w:rsidRPr="00211EB6">
        <w:t>Agan</w:t>
      </w:r>
      <w:proofErr w:type="spellEnd"/>
      <w:r w:rsidRPr="00211EB6">
        <w:t xml:space="preserve"> of North America, </w:t>
      </w:r>
      <w:proofErr w:type="spellStart"/>
      <w:r w:rsidRPr="00211EB6">
        <w:t>Inc</w:t>
      </w:r>
      <w:proofErr w:type="spellEnd"/>
      <w:r w:rsidRPr="00211EB6">
        <w:t xml:space="preserve">). The cancellation was effective on 14 December 2011, and the existing stocks provision allowed the registrant to reformulate it into end-use products and sell it until </w:t>
      </w:r>
      <w:r w:rsidR="00282A10" w:rsidRPr="00211EB6">
        <w:t xml:space="preserve">31 </w:t>
      </w:r>
      <w:r w:rsidRPr="00211EB6">
        <w:t xml:space="preserve">October 2013. Sale and distribution by others was allowed until </w:t>
      </w:r>
      <w:r w:rsidR="00282A10" w:rsidRPr="00211EB6">
        <w:t xml:space="preserve">31 </w:t>
      </w:r>
      <w:r w:rsidRPr="00211EB6">
        <w:t xml:space="preserve">December 2013, and use was prohibited after </w:t>
      </w:r>
      <w:r w:rsidR="00282A10" w:rsidRPr="00211EB6">
        <w:t xml:space="preserve">31 </w:t>
      </w:r>
      <w:r w:rsidRPr="00211EB6">
        <w:t xml:space="preserve">October 2016 (USA, 2016). </w:t>
      </w:r>
    </w:p>
    <w:p w14:paraId="67652C90" w14:textId="40541335" w:rsidR="00270309" w:rsidRPr="00211EB6" w:rsidRDefault="00270309" w:rsidP="008C6BCB">
      <w:pPr>
        <w:pStyle w:val="Normalnumber"/>
        <w:numPr>
          <w:ilvl w:val="0"/>
          <w:numId w:val="34"/>
        </w:numPr>
        <w:tabs>
          <w:tab w:val="clear" w:pos="1440"/>
        </w:tabs>
        <w:ind w:left="0" w:firstLine="0"/>
      </w:pPr>
      <w:r w:rsidRPr="00211EB6">
        <w:t xml:space="preserve">In Canada, in December 2011, </w:t>
      </w:r>
      <w:proofErr w:type="spellStart"/>
      <w:r w:rsidRPr="00211EB6">
        <w:t>dicofol</w:t>
      </w:r>
      <w:proofErr w:type="spellEnd"/>
      <w:r w:rsidRPr="00211EB6">
        <w:t xml:space="preserve"> was de-registered as a pesticide under the Pest Control Products Act (PCPA). Sales of </w:t>
      </w:r>
      <w:proofErr w:type="spellStart"/>
      <w:r w:rsidRPr="00211EB6">
        <w:t>dicofol</w:t>
      </w:r>
      <w:proofErr w:type="spellEnd"/>
      <w:r w:rsidRPr="00211EB6">
        <w:t xml:space="preserve"> were voluntarily discontinued in Canada in December 2008 and</w:t>
      </w:r>
      <w:r w:rsidR="00282A10" w:rsidRPr="00211EB6">
        <w:t>,</w:t>
      </w:r>
      <w:r w:rsidRPr="00211EB6">
        <w:t xml:space="preserve"> as per the mandatory process set out by the Pest Management Regulatory Agency, remaining stocks were to be used by </w:t>
      </w:r>
      <w:r w:rsidR="00282A10" w:rsidRPr="00211EB6">
        <w:t xml:space="preserve">31 </w:t>
      </w:r>
      <w:r w:rsidRPr="00211EB6">
        <w:t xml:space="preserve">December 2011.  Since this deadline, </w:t>
      </w:r>
      <w:proofErr w:type="spellStart"/>
      <w:r w:rsidRPr="00211EB6">
        <w:t>dicofol</w:t>
      </w:r>
      <w:proofErr w:type="spellEnd"/>
      <w:r w:rsidRPr="00211EB6">
        <w:t xml:space="preserve"> products can no longer be sold or used in Canada (Canada, 2016).</w:t>
      </w:r>
    </w:p>
    <w:p w14:paraId="22763ABE" w14:textId="4D4FEA90" w:rsidR="00566396" w:rsidRPr="00211EB6" w:rsidRDefault="00566396" w:rsidP="008C6BCB">
      <w:pPr>
        <w:pStyle w:val="Normalnumber"/>
        <w:numPr>
          <w:ilvl w:val="0"/>
          <w:numId w:val="34"/>
        </w:numPr>
        <w:tabs>
          <w:tab w:val="clear" w:pos="1440"/>
        </w:tabs>
        <w:ind w:left="0" w:firstLine="0"/>
      </w:pPr>
      <w:r w:rsidRPr="00211EB6">
        <w:t>In Col</w:t>
      </w:r>
      <w:r w:rsidR="00D952B9" w:rsidRPr="00211EB6">
        <w:t>o</w:t>
      </w:r>
      <w:r w:rsidRPr="00211EB6">
        <w:t xml:space="preserve">mbia, the import, production, </w:t>
      </w:r>
      <w:r w:rsidR="00641D83" w:rsidRPr="00211EB6">
        <w:t>commercialization</w:t>
      </w:r>
      <w:r w:rsidRPr="00211EB6">
        <w:t xml:space="preserve"> and use of </w:t>
      </w:r>
      <w:proofErr w:type="spellStart"/>
      <w:r w:rsidRPr="00211EB6">
        <w:t>dicofol</w:t>
      </w:r>
      <w:proofErr w:type="spellEnd"/>
      <w:r w:rsidRPr="00211EB6">
        <w:t xml:space="preserve"> is banned.</w:t>
      </w:r>
    </w:p>
    <w:p w14:paraId="5A01A110" w14:textId="5A215AC9" w:rsidR="00566396" w:rsidRPr="00211EB6" w:rsidRDefault="00566396" w:rsidP="008C6BCB">
      <w:pPr>
        <w:pStyle w:val="Normalnumber"/>
        <w:numPr>
          <w:ilvl w:val="0"/>
          <w:numId w:val="34"/>
        </w:numPr>
        <w:tabs>
          <w:tab w:val="clear" w:pos="1440"/>
        </w:tabs>
        <w:ind w:left="0" w:firstLine="0"/>
      </w:pPr>
      <w:r w:rsidRPr="00211EB6">
        <w:t xml:space="preserve">The use of </w:t>
      </w:r>
      <w:proofErr w:type="spellStart"/>
      <w:r w:rsidRPr="00211EB6">
        <w:t>dicofol</w:t>
      </w:r>
      <w:proofErr w:type="spellEnd"/>
      <w:r w:rsidRPr="00211EB6">
        <w:t xml:space="preserve"> has been banned in the 28 member states of the EU, Benin, Brazil, Canada, Columbia, Guinea, Japan, Mauritania, Oman, Saudi Arabia, Switzerland and the USA (PAN and IPEN.2016).</w:t>
      </w:r>
    </w:p>
    <w:p w14:paraId="5AFC13AE" w14:textId="37E6545D" w:rsidR="007F6016" w:rsidRPr="00211EB6" w:rsidRDefault="003F5127" w:rsidP="008C6BCB">
      <w:pPr>
        <w:pStyle w:val="Normalnumber"/>
        <w:numPr>
          <w:ilvl w:val="0"/>
          <w:numId w:val="34"/>
        </w:numPr>
        <w:tabs>
          <w:tab w:val="clear" w:pos="1440"/>
        </w:tabs>
        <w:ind w:left="0" w:firstLine="0"/>
      </w:pPr>
      <w:r w:rsidRPr="00211EB6">
        <w:t>India</w:t>
      </w:r>
      <w:r w:rsidR="00CB2A7B" w:rsidRPr="00211EB6">
        <w:t xml:space="preserve"> (2016)</w:t>
      </w:r>
      <w:r w:rsidR="002D4D3D" w:rsidRPr="00211EB6">
        <w:t xml:space="preserve"> indicated</w:t>
      </w:r>
      <w:r w:rsidR="00CB2A7B" w:rsidRPr="00211EB6">
        <w:t xml:space="preserve"> that </w:t>
      </w:r>
      <w:r w:rsidR="00CB0EEF" w:rsidRPr="00211EB6">
        <w:t>‘All</w:t>
      </w:r>
      <w:r w:rsidR="006C1FEA" w:rsidRPr="00211EB6">
        <w:t xml:space="preserve"> the control parameters such as the c</w:t>
      </w:r>
      <w:r w:rsidRPr="00211EB6">
        <w:t>ontr</w:t>
      </w:r>
      <w:r w:rsidR="006C1FEA" w:rsidRPr="00211EB6">
        <w:t>ol of discharges or emissions, and p</w:t>
      </w:r>
      <w:r w:rsidRPr="00211EB6">
        <w:t>rohibition of re</w:t>
      </w:r>
      <w:r w:rsidR="006C1FEA" w:rsidRPr="00211EB6">
        <w:t xml:space="preserve">use and recycling of wastes, </w:t>
      </w:r>
      <w:r w:rsidRPr="00211EB6">
        <w:t>are observed during production. The system adopted in HIL is free from fugitive emissions. Monitoring measures are in place to assess possible releases</w:t>
      </w:r>
      <w:r w:rsidR="00CB0EEF" w:rsidRPr="00211EB6">
        <w:t>’</w:t>
      </w:r>
      <w:r w:rsidR="002D4D3D" w:rsidRPr="00211EB6">
        <w:t xml:space="preserve"> for </w:t>
      </w:r>
      <w:proofErr w:type="spellStart"/>
      <w:r w:rsidR="002D4D3D" w:rsidRPr="00211EB6">
        <w:t>dicofol</w:t>
      </w:r>
      <w:proofErr w:type="spellEnd"/>
      <w:r w:rsidR="002D4D3D" w:rsidRPr="00211EB6">
        <w:t xml:space="preserve"> produced in a closed system in controlled batches by HIL.</w:t>
      </w:r>
      <w:r w:rsidR="00316ABF" w:rsidRPr="00211EB6">
        <w:t xml:space="preserve"> </w:t>
      </w:r>
      <w:r w:rsidR="0060781D" w:rsidRPr="00211EB6">
        <w:t>No results of the monitoring were provided.</w:t>
      </w:r>
      <w:bookmarkStart w:id="18" w:name="_Toc473186617"/>
      <w:bookmarkStart w:id="19" w:name="_Toc483491452"/>
      <w:bookmarkEnd w:id="18"/>
    </w:p>
    <w:p w14:paraId="44CF04A2" w14:textId="3290C539" w:rsidR="00C151FB" w:rsidRPr="00211EB6" w:rsidRDefault="00C151FB" w:rsidP="008578FE">
      <w:pPr>
        <w:pStyle w:val="Heading1"/>
        <w:tabs>
          <w:tab w:val="clear" w:pos="432"/>
        </w:tabs>
        <w:spacing w:before="240" w:line="240" w:lineRule="auto"/>
        <w:ind w:left="634" w:hanging="634"/>
        <w:rPr>
          <w:rFonts w:ascii="Times New Roman" w:hAnsi="Times New Roman"/>
        </w:rPr>
      </w:pPr>
      <w:r w:rsidRPr="00211EB6">
        <w:rPr>
          <w:rFonts w:ascii="Times New Roman" w:hAnsi="Times New Roman"/>
        </w:rPr>
        <w:t>Summary information relevant to the risk management evaluation</w:t>
      </w:r>
      <w:bookmarkEnd w:id="19"/>
    </w:p>
    <w:p w14:paraId="54F18781" w14:textId="66676B3E" w:rsidR="00C151FB" w:rsidRPr="00211EB6" w:rsidRDefault="00C151FB" w:rsidP="001E269C">
      <w:pPr>
        <w:pStyle w:val="Heading2"/>
      </w:pPr>
      <w:bookmarkStart w:id="20" w:name="_Ref254208193"/>
      <w:bookmarkStart w:id="21" w:name="_Toc483491453"/>
      <w:r w:rsidRPr="00211EB6">
        <w:t>Identification of possible control measures</w:t>
      </w:r>
      <w:bookmarkEnd w:id="20"/>
      <w:bookmarkEnd w:id="21"/>
      <w:r w:rsidRPr="00211EB6">
        <w:t xml:space="preserve"> </w:t>
      </w:r>
    </w:p>
    <w:p w14:paraId="50E832BC" w14:textId="1BF36CB0" w:rsidR="002C6354" w:rsidRPr="00211EB6" w:rsidRDefault="002C6354" w:rsidP="008C6BCB">
      <w:pPr>
        <w:pStyle w:val="Normalnumber"/>
        <w:numPr>
          <w:ilvl w:val="0"/>
          <w:numId w:val="34"/>
        </w:numPr>
        <w:tabs>
          <w:tab w:val="clear" w:pos="1440"/>
        </w:tabs>
        <w:ind w:left="0" w:firstLine="0"/>
      </w:pPr>
      <w:r w:rsidRPr="00211EB6">
        <w:t xml:space="preserve">Identification of potential control measures should address the potential direct exposure of humans to </w:t>
      </w:r>
      <w:proofErr w:type="spellStart"/>
      <w:r w:rsidRPr="00211EB6">
        <w:t>dicofol</w:t>
      </w:r>
      <w:proofErr w:type="spellEnd"/>
      <w:r w:rsidR="00064BB8" w:rsidRPr="00211EB6">
        <w:t xml:space="preserve"> (</w:t>
      </w:r>
      <w:r w:rsidRPr="00211EB6">
        <w:t>in occupational settings during manufacture, use</w:t>
      </w:r>
      <w:r w:rsidR="001C4049" w:rsidRPr="00211EB6">
        <w:t xml:space="preserve">, </w:t>
      </w:r>
      <w:r w:rsidRPr="00211EB6">
        <w:t>harvesting of crops</w:t>
      </w:r>
      <w:r w:rsidR="001C4049" w:rsidRPr="00211EB6">
        <w:t>, and</w:t>
      </w:r>
      <w:r w:rsidR="004C73BE" w:rsidRPr="00211EB6">
        <w:t xml:space="preserve"> washing of work clothing</w:t>
      </w:r>
      <w:r w:rsidR="00064BB8" w:rsidRPr="00211EB6">
        <w:t xml:space="preserve">) and </w:t>
      </w:r>
      <w:r w:rsidRPr="00211EB6">
        <w:t xml:space="preserve">also indirect exposure from residual levels in food and as a result of </w:t>
      </w:r>
      <w:r w:rsidR="00064BB8" w:rsidRPr="00211EB6">
        <w:t xml:space="preserve">exposure </w:t>
      </w:r>
      <w:r w:rsidRPr="00211EB6">
        <w:t xml:space="preserve">via </w:t>
      </w:r>
      <w:r w:rsidR="00064BB8" w:rsidRPr="00211EB6">
        <w:t xml:space="preserve">the </w:t>
      </w:r>
      <w:r w:rsidRPr="00211EB6">
        <w:t xml:space="preserve">environment, where </w:t>
      </w:r>
      <w:proofErr w:type="spellStart"/>
      <w:r w:rsidRPr="00211EB6">
        <w:t>dicofol</w:t>
      </w:r>
      <w:proofErr w:type="spellEnd"/>
      <w:r w:rsidRPr="00211EB6">
        <w:t xml:space="preserve"> has the potential for </w:t>
      </w:r>
      <w:r w:rsidR="00354178" w:rsidRPr="00211EB6">
        <w:t>long range transport</w:t>
      </w:r>
      <w:r w:rsidR="00D952B9" w:rsidRPr="00211EB6">
        <w:t>, persistence,</w:t>
      </w:r>
      <w:r w:rsidR="00354178" w:rsidRPr="00211EB6">
        <w:t xml:space="preserve"> and </w:t>
      </w:r>
      <w:r w:rsidRPr="00211EB6">
        <w:t xml:space="preserve">bioaccumulation. Consideration should also be given to the </w:t>
      </w:r>
      <w:r w:rsidR="00271318" w:rsidRPr="00211EB6">
        <w:t xml:space="preserve">potential for </w:t>
      </w:r>
      <w:r w:rsidRPr="00211EB6">
        <w:t>negative environmental effects</w:t>
      </w:r>
      <w:r w:rsidR="00354178" w:rsidRPr="00211EB6">
        <w:t>.</w:t>
      </w:r>
      <w:r w:rsidRPr="00211EB6">
        <w:t xml:space="preserve"> Annex F of the Convention also states that</w:t>
      </w:r>
      <w:r w:rsidR="00064BB8" w:rsidRPr="00211EB6">
        <w:t>,</w:t>
      </w:r>
      <w:r w:rsidRPr="00211EB6">
        <w:t xml:space="preserve"> in identifying suitable control measures</w:t>
      </w:r>
      <w:r w:rsidR="00064BB8" w:rsidRPr="00211EB6">
        <w:t>,</w:t>
      </w:r>
      <w:r w:rsidRPr="00211EB6">
        <w:t xml:space="preserve"> consideration should be given to </w:t>
      </w:r>
      <w:r w:rsidR="00271318" w:rsidRPr="00211EB6">
        <w:t xml:space="preserve">relevant information on </w:t>
      </w:r>
      <w:r w:rsidRPr="00211EB6">
        <w:t xml:space="preserve">the socio-economic aspects associated with the control measures identified to allow the Conference of the Parties to take the most appropriate course of action. </w:t>
      </w:r>
    </w:p>
    <w:p w14:paraId="76EF2C16" w14:textId="56A1F6F9" w:rsidR="002C6354" w:rsidRPr="00211EB6" w:rsidRDefault="002C6354" w:rsidP="008C6BCB">
      <w:pPr>
        <w:pStyle w:val="Normalnumber"/>
        <w:numPr>
          <w:ilvl w:val="0"/>
          <w:numId w:val="34"/>
        </w:numPr>
        <w:tabs>
          <w:tab w:val="clear" w:pos="1440"/>
        </w:tabs>
        <w:ind w:left="0" w:firstLine="0"/>
      </w:pPr>
      <w:r w:rsidRPr="00211EB6">
        <w:t xml:space="preserve">Based on the nature of </w:t>
      </w:r>
      <w:proofErr w:type="spellStart"/>
      <w:r w:rsidRPr="00211EB6">
        <w:t>dicofol</w:t>
      </w:r>
      <w:proofErr w:type="spellEnd"/>
      <w:r w:rsidRPr="00211EB6">
        <w:t xml:space="preserve"> produc</w:t>
      </w:r>
      <w:r w:rsidR="00271318" w:rsidRPr="00211EB6">
        <w:t>tion</w:t>
      </w:r>
      <w:r w:rsidRPr="00211EB6">
        <w:t xml:space="preserve"> and use, the following control measures are potentially available</w:t>
      </w:r>
      <w:r w:rsidR="00064BB8" w:rsidRPr="00211EB6">
        <w:t>:</w:t>
      </w:r>
      <w:r w:rsidRPr="00211EB6">
        <w:t xml:space="preserve"> (</w:t>
      </w:r>
      <w:r w:rsidR="005470E4" w:rsidRPr="00211EB6">
        <w:t>1</w:t>
      </w:r>
      <w:r w:rsidRPr="00211EB6">
        <w:t>) Prohibition of production, use, import and export; (</w:t>
      </w:r>
      <w:r w:rsidR="005470E4" w:rsidRPr="00211EB6">
        <w:t>2</w:t>
      </w:r>
      <w:r w:rsidRPr="00211EB6">
        <w:t xml:space="preserve">) </w:t>
      </w:r>
      <w:r w:rsidR="001C4049" w:rsidRPr="00211EB6">
        <w:t>Use restriction including t</w:t>
      </w:r>
      <w:r w:rsidRPr="00211EB6">
        <w:t>ermination of processes which could lead to unintentional release of the chemical (such as specific use conditions and restrictions, through training, and better labelling); (</w:t>
      </w:r>
      <w:r w:rsidR="005470E4" w:rsidRPr="00211EB6">
        <w:t>3</w:t>
      </w:r>
      <w:r w:rsidRPr="00211EB6">
        <w:t>) Clean-up of contaminated sites; (</w:t>
      </w:r>
      <w:r w:rsidR="005470E4" w:rsidRPr="00211EB6">
        <w:t>4</w:t>
      </w:r>
      <w:r w:rsidRPr="00211EB6">
        <w:t>) Environmentally sound management of obsolete stock; (</w:t>
      </w:r>
      <w:r w:rsidR="005470E4" w:rsidRPr="00211EB6">
        <w:t>5</w:t>
      </w:r>
      <w:r w:rsidRPr="00211EB6">
        <w:t>) Establishment of exposure limits in workplaces; and (</w:t>
      </w:r>
      <w:r w:rsidR="005470E4" w:rsidRPr="00211EB6">
        <w:t>6</w:t>
      </w:r>
      <w:r w:rsidRPr="00211EB6">
        <w:t xml:space="preserve">) Establishment of maximum residue limits in water, soil, sediment </w:t>
      </w:r>
      <w:r w:rsidR="004C73BE" w:rsidRPr="00211EB6">
        <w:t>and/</w:t>
      </w:r>
      <w:r w:rsidRPr="00211EB6">
        <w:t>or food.</w:t>
      </w:r>
    </w:p>
    <w:p w14:paraId="507B475F" w14:textId="189DD026" w:rsidR="00C151FB" w:rsidRPr="00211EB6" w:rsidRDefault="00C151FB" w:rsidP="001E269C">
      <w:pPr>
        <w:pStyle w:val="Heading2"/>
      </w:pPr>
      <w:bookmarkStart w:id="22" w:name="_Toc483491454"/>
      <w:r w:rsidRPr="00211EB6">
        <w:t>Efficacy and efficiency of possible control measures in meeting risk reduction goals</w:t>
      </w:r>
      <w:bookmarkEnd w:id="22"/>
    </w:p>
    <w:p w14:paraId="246DD943" w14:textId="1300500A" w:rsidR="00BC2E8A" w:rsidRPr="00211EB6" w:rsidRDefault="00C151FB" w:rsidP="001E269C">
      <w:pPr>
        <w:pStyle w:val="Heading3"/>
      </w:pPr>
      <w:bookmarkStart w:id="23" w:name="_Ref254253559"/>
      <w:bookmarkStart w:id="24" w:name="_Toc483491455"/>
      <w:r w:rsidRPr="00211EB6">
        <w:t>Technical feasibility</w:t>
      </w:r>
      <w:bookmarkEnd w:id="23"/>
      <w:bookmarkEnd w:id="24"/>
    </w:p>
    <w:p w14:paraId="25349956" w14:textId="77777777" w:rsidR="002C6354" w:rsidRPr="00211EB6" w:rsidRDefault="002C6354" w:rsidP="00EE4FB5">
      <w:pPr>
        <w:pStyle w:val="Heading5"/>
        <w:numPr>
          <w:ilvl w:val="0"/>
          <w:numId w:val="0"/>
        </w:numPr>
        <w:ind w:left="1009" w:hanging="1009"/>
      </w:pPr>
      <w:r w:rsidRPr="00211EB6">
        <w:t>Prohibition of production, use, import and export</w:t>
      </w:r>
    </w:p>
    <w:p w14:paraId="6DEB4258" w14:textId="71D87FE4" w:rsidR="00A97953" w:rsidRPr="00211EB6" w:rsidRDefault="00043989" w:rsidP="008C6BCB">
      <w:pPr>
        <w:pStyle w:val="Normalnumber"/>
        <w:numPr>
          <w:ilvl w:val="0"/>
          <w:numId w:val="34"/>
        </w:numPr>
        <w:tabs>
          <w:tab w:val="clear" w:pos="1440"/>
        </w:tabs>
        <w:ind w:left="0" w:firstLine="0"/>
      </w:pPr>
      <w:r w:rsidRPr="00211EB6">
        <w:t>P</w:t>
      </w:r>
      <w:r w:rsidR="002C6354" w:rsidRPr="00211EB6">
        <w:t xml:space="preserve">rohibition </w:t>
      </w:r>
      <w:r w:rsidRPr="00211EB6">
        <w:t xml:space="preserve">of </w:t>
      </w:r>
      <w:r w:rsidR="002C6354" w:rsidRPr="00211EB6">
        <w:t xml:space="preserve">the production, use, import and export of </w:t>
      </w:r>
      <w:proofErr w:type="spellStart"/>
      <w:r w:rsidR="002C6354" w:rsidRPr="00211EB6">
        <w:t>dicofol</w:t>
      </w:r>
      <w:proofErr w:type="spellEnd"/>
      <w:r w:rsidR="002C6354" w:rsidRPr="00211EB6">
        <w:t xml:space="preserve"> has already been successfully implemented by many </w:t>
      </w:r>
      <w:r w:rsidRPr="00211EB6">
        <w:t>countries</w:t>
      </w:r>
      <w:r w:rsidR="00A97953" w:rsidRPr="00211EB6">
        <w:t>, with further details provided in section 1 of this dossier</w:t>
      </w:r>
      <w:r w:rsidR="002C6354" w:rsidRPr="00211EB6">
        <w:t>.</w:t>
      </w:r>
      <w:r w:rsidR="00A97953" w:rsidRPr="00211EB6">
        <w:t xml:space="preserve"> Information provided through the Annex F survey has highlighted a range of chemical alternatives which are already actively </w:t>
      </w:r>
      <w:r w:rsidR="004F7E4C" w:rsidRPr="00211EB6">
        <w:t>in use, including the ten alternatives provided by Canada (Canada, 2016) and three alternatives provided by India (India, 2016)</w:t>
      </w:r>
      <w:r w:rsidR="00AC324E" w:rsidRPr="00211EB6">
        <w:t>.</w:t>
      </w:r>
      <w:r w:rsidR="00F7343D" w:rsidRPr="00211EB6">
        <w:t xml:space="preserve"> </w:t>
      </w:r>
      <w:r w:rsidR="001166A8" w:rsidRPr="00211EB6">
        <w:t>A</w:t>
      </w:r>
      <w:r w:rsidR="00F7343D" w:rsidRPr="00211EB6">
        <w:t xml:space="preserve"> range of non-chemical alternatives </w:t>
      </w:r>
      <w:r w:rsidR="001166A8" w:rsidRPr="00211EB6">
        <w:t xml:space="preserve">have also been identified </w:t>
      </w:r>
      <w:r w:rsidR="00F7343D" w:rsidRPr="00211EB6">
        <w:t>by PAN</w:t>
      </w:r>
      <w:r w:rsidR="00D64DEC" w:rsidRPr="00211EB6">
        <w:t xml:space="preserve"> </w:t>
      </w:r>
      <w:r w:rsidR="00E13C1B" w:rsidRPr="00211EB6">
        <w:t xml:space="preserve">and </w:t>
      </w:r>
      <w:r w:rsidR="00F7343D" w:rsidRPr="00211EB6">
        <w:t>IPEN (2016)</w:t>
      </w:r>
      <w:r w:rsidR="004F7E4C" w:rsidRPr="00211EB6">
        <w:t xml:space="preserve">. </w:t>
      </w:r>
    </w:p>
    <w:p w14:paraId="755D1C75" w14:textId="29628C52" w:rsidR="002C6354" w:rsidRPr="00211EB6" w:rsidRDefault="002C6354" w:rsidP="008C6BCB">
      <w:pPr>
        <w:pStyle w:val="Normalnumber"/>
        <w:numPr>
          <w:ilvl w:val="0"/>
          <w:numId w:val="34"/>
        </w:numPr>
        <w:tabs>
          <w:tab w:val="clear" w:pos="1440"/>
        </w:tabs>
        <w:ind w:left="0" w:firstLine="0"/>
      </w:pPr>
      <w:r w:rsidRPr="00211EB6">
        <w:t xml:space="preserve">To date three Parties have </w:t>
      </w:r>
      <w:r w:rsidR="009D4EA1" w:rsidRPr="00211EB6">
        <w:t xml:space="preserve">made </w:t>
      </w:r>
      <w:r w:rsidRPr="00211EB6">
        <w:t>no</w:t>
      </w:r>
      <w:r w:rsidR="003300DA" w:rsidRPr="00211EB6">
        <w:t>tifi</w:t>
      </w:r>
      <w:r w:rsidR="009D4EA1" w:rsidRPr="00211EB6">
        <w:t>cations</w:t>
      </w:r>
      <w:r w:rsidRPr="00211EB6">
        <w:t xml:space="preserve"> </w:t>
      </w:r>
      <w:r w:rsidR="009D4EA1" w:rsidRPr="00211EB6">
        <w:t xml:space="preserve">to </w:t>
      </w:r>
      <w:r w:rsidRPr="00211EB6">
        <w:t xml:space="preserve">the Secretariat </w:t>
      </w:r>
      <w:r w:rsidR="009D4EA1" w:rsidRPr="00211EB6">
        <w:t xml:space="preserve">for exempted </w:t>
      </w:r>
      <w:r w:rsidRPr="00211EB6">
        <w:t>use</w:t>
      </w:r>
      <w:r w:rsidR="009D4EA1" w:rsidRPr="00211EB6">
        <w:t>s</w:t>
      </w:r>
      <w:r w:rsidRPr="00211EB6">
        <w:t xml:space="preserve"> of DDT </w:t>
      </w:r>
      <w:r w:rsidR="00550D14" w:rsidRPr="00211EB6">
        <w:t xml:space="preserve">for manufacture </w:t>
      </w:r>
      <w:r w:rsidRPr="00211EB6">
        <w:t xml:space="preserve">of </w:t>
      </w:r>
      <w:proofErr w:type="spellStart"/>
      <w:r w:rsidRPr="00211EB6">
        <w:t>dicofol</w:t>
      </w:r>
      <w:proofErr w:type="spellEnd"/>
      <w:r w:rsidRPr="00211EB6">
        <w:t>. As of the 1</w:t>
      </w:r>
      <w:r w:rsidRPr="00211EB6">
        <w:rPr>
          <w:vertAlign w:val="superscript"/>
        </w:rPr>
        <w:t>st</w:t>
      </w:r>
      <w:r w:rsidRPr="00211EB6">
        <w:t xml:space="preserve"> June and 13</w:t>
      </w:r>
      <w:r w:rsidRPr="00211EB6">
        <w:rPr>
          <w:vertAlign w:val="superscript"/>
        </w:rPr>
        <w:t>th</w:t>
      </w:r>
      <w:r w:rsidRPr="00211EB6">
        <w:t xml:space="preserve"> September 2014 respectively, China and Brazil withdrew their request to make use of these exemptions </w:t>
      </w:r>
      <w:proofErr w:type="spellStart"/>
      <w:r w:rsidR="007A0505" w:rsidRPr="00211EB6">
        <w:t>signaling</w:t>
      </w:r>
      <w:proofErr w:type="spellEnd"/>
      <w:r w:rsidRPr="00211EB6">
        <w:t xml:space="preserve"> an end to the production of </w:t>
      </w:r>
      <w:proofErr w:type="spellStart"/>
      <w:r w:rsidRPr="00211EB6">
        <w:t>dicofol</w:t>
      </w:r>
      <w:proofErr w:type="spellEnd"/>
      <w:r w:rsidRPr="00211EB6">
        <w:t xml:space="preserve">. Prior to this date in 1997, China </w:t>
      </w:r>
      <w:r w:rsidR="00D952B9" w:rsidRPr="00211EB6">
        <w:t xml:space="preserve">issued a ban on </w:t>
      </w:r>
      <w:r w:rsidRPr="00211EB6">
        <w:t xml:space="preserve">the use of </w:t>
      </w:r>
      <w:proofErr w:type="spellStart"/>
      <w:r w:rsidRPr="00211EB6">
        <w:t>dicofol</w:t>
      </w:r>
      <w:proofErr w:type="spellEnd"/>
      <w:r w:rsidRPr="00211EB6">
        <w:t xml:space="preserve"> </w:t>
      </w:r>
      <w:r w:rsidR="00673D22" w:rsidRPr="00211EB6">
        <w:t>on tea plants</w:t>
      </w:r>
      <w:r w:rsidRPr="00211EB6">
        <w:t xml:space="preserve"> (UNEP/POPs/POPRC.12/11/Add.1). Based on the Stockholm Convention exemptions for the use of DDT, data from Van der </w:t>
      </w:r>
      <w:proofErr w:type="spellStart"/>
      <w:r w:rsidRPr="00211EB6">
        <w:t>Plassche</w:t>
      </w:r>
      <w:proofErr w:type="spellEnd"/>
      <w:r w:rsidR="00F96C88" w:rsidRPr="00211EB6">
        <w:t xml:space="preserve"> </w:t>
      </w:r>
      <w:r w:rsidR="00F96C88" w:rsidRPr="00211EB6">
        <w:rPr>
          <w:i/>
        </w:rPr>
        <w:t>et al</w:t>
      </w:r>
      <w:r w:rsidR="00F96C88" w:rsidRPr="00211EB6">
        <w:t>.</w:t>
      </w:r>
      <w:r w:rsidR="003D7537" w:rsidRPr="00211EB6">
        <w:t xml:space="preserve"> (</w:t>
      </w:r>
      <w:r w:rsidRPr="00211EB6">
        <w:t>2003</w:t>
      </w:r>
      <w:r w:rsidR="003D7537" w:rsidRPr="00211EB6">
        <w:t>)</w:t>
      </w:r>
      <w:r w:rsidRPr="00211EB6">
        <w:t xml:space="preserve">, and company data from the </w:t>
      </w:r>
      <w:proofErr w:type="spellStart"/>
      <w:r w:rsidRPr="00211EB6">
        <w:t>Adama</w:t>
      </w:r>
      <w:proofErr w:type="spellEnd"/>
      <w:r w:rsidRPr="00211EB6">
        <w:t xml:space="preserve"> (formerly </w:t>
      </w:r>
      <w:proofErr w:type="spellStart"/>
      <w:r w:rsidRPr="00211EB6">
        <w:t>Makhteshim</w:t>
      </w:r>
      <w:proofErr w:type="spellEnd"/>
      <w:r w:rsidRPr="00211EB6">
        <w:t xml:space="preserve"> </w:t>
      </w:r>
      <w:proofErr w:type="spellStart"/>
      <w:r w:rsidRPr="00211EB6">
        <w:t>Agan</w:t>
      </w:r>
      <w:proofErr w:type="spellEnd"/>
      <w:r w:rsidRPr="00211EB6">
        <w:t>) website (</w:t>
      </w:r>
      <w:hyperlink r:id="rId17" w:history="1">
        <w:r w:rsidRPr="00211EB6">
          <w:rPr>
            <w:rStyle w:val="Hyperlink"/>
          </w:rPr>
          <w:t>http://www.adama.com/mexico/es/</w:t>
        </w:r>
      </w:hyperlink>
      <w:r w:rsidRPr="00211EB6">
        <w:t>), it is believed that the production</w:t>
      </w:r>
      <w:r w:rsidR="00E45B88" w:rsidRPr="00211EB6">
        <w:t xml:space="preserve"> (India and Israel)</w:t>
      </w:r>
      <w:r w:rsidRPr="00211EB6">
        <w:t xml:space="preserve">, sale and use of </w:t>
      </w:r>
      <w:proofErr w:type="spellStart"/>
      <w:r w:rsidRPr="00211EB6">
        <w:t>dicofol</w:t>
      </w:r>
      <w:proofErr w:type="spellEnd"/>
      <w:r w:rsidRPr="00211EB6">
        <w:t xml:space="preserve"> now only occurs in a small number of nations globally</w:t>
      </w:r>
      <w:r w:rsidR="00825BD9" w:rsidRPr="00211EB6">
        <w:t xml:space="preserve"> (primarily India, Israel and Mexico)</w:t>
      </w:r>
      <w:r w:rsidRPr="00211EB6">
        <w:t>.</w:t>
      </w:r>
    </w:p>
    <w:p w14:paraId="1019A353" w14:textId="4967F48B" w:rsidR="002C6354" w:rsidRPr="00211EB6" w:rsidRDefault="002C6354" w:rsidP="008C6BCB">
      <w:pPr>
        <w:pStyle w:val="Normalnumber"/>
        <w:numPr>
          <w:ilvl w:val="0"/>
          <w:numId w:val="34"/>
        </w:numPr>
        <w:tabs>
          <w:tab w:val="clear" w:pos="1440"/>
        </w:tabs>
        <w:ind w:left="0" w:firstLine="0"/>
      </w:pPr>
      <w:r w:rsidRPr="00211EB6">
        <w:t xml:space="preserve">The successful prohibition </w:t>
      </w:r>
      <w:r w:rsidR="00043989" w:rsidRPr="00211EB6">
        <w:t xml:space="preserve">of </w:t>
      </w:r>
      <w:r w:rsidRPr="00211EB6">
        <w:t xml:space="preserve">the production, sale and use of </w:t>
      </w:r>
      <w:proofErr w:type="spellStart"/>
      <w:r w:rsidRPr="00211EB6">
        <w:t>dicofol</w:t>
      </w:r>
      <w:proofErr w:type="spellEnd"/>
      <w:r w:rsidRPr="00211EB6">
        <w:t xml:space="preserve"> by a number of nations</w:t>
      </w:r>
      <w:r w:rsidR="00D1235A" w:rsidRPr="00211EB6">
        <w:t xml:space="preserve">, from a variety of geographical </w:t>
      </w:r>
      <w:r w:rsidRPr="00211EB6">
        <w:t xml:space="preserve">and climatic </w:t>
      </w:r>
      <w:r w:rsidR="00D1235A" w:rsidRPr="00211EB6">
        <w:t>regions that</w:t>
      </w:r>
      <w:r w:rsidR="00F909E8" w:rsidRPr="00211EB6">
        <w:t xml:space="preserve"> grow </w:t>
      </w:r>
      <w:r w:rsidR="00D1235A" w:rsidRPr="00211EB6">
        <w:t xml:space="preserve">a diverse range of </w:t>
      </w:r>
      <w:r w:rsidR="00F909E8" w:rsidRPr="00211EB6">
        <w:t xml:space="preserve">crops </w:t>
      </w:r>
      <w:r w:rsidRPr="00211EB6">
        <w:t>indicates that viable chemical and non-chemical alternatives do exist</w:t>
      </w:r>
      <w:r w:rsidR="00F909E8" w:rsidRPr="00211EB6">
        <w:t xml:space="preserve"> and are in use</w:t>
      </w:r>
      <w:r w:rsidRPr="00211EB6">
        <w:t xml:space="preserve">. </w:t>
      </w:r>
      <w:r w:rsidR="00F909E8" w:rsidRPr="00211EB6">
        <w:t>T</w:t>
      </w:r>
      <w:r w:rsidRPr="00211EB6">
        <w:t xml:space="preserve">he specific alternatives </w:t>
      </w:r>
      <w:r w:rsidR="00D1235A" w:rsidRPr="00211EB6">
        <w:t xml:space="preserve">to </w:t>
      </w:r>
      <w:proofErr w:type="spellStart"/>
      <w:r w:rsidR="00D1235A" w:rsidRPr="00211EB6">
        <w:t>dicofol</w:t>
      </w:r>
      <w:proofErr w:type="spellEnd"/>
      <w:r w:rsidR="00D1235A" w:rsidRPr="00211EB6">
        <w:t xml:space="preserve"> </w:t>
      </w:r>
      <w:r w:rsidRPr="00211EB6">
        <w:t xml:space="preserve">that are available for </w:t>
      </w:r>
      <w:proofErr w:type="spellStart"/>
      <w:r w:rsidRPr="00211EB6">
        <w:t>dicofol</w:t>
      </w:r>
      <w:proofErr w:type="spellEnd"/>
      <w:r w:rsidRPr="00211EB6">
        <w:t xml:space="preserve"> </w:t>
      </w:r>
      <w:r w:rsidR="00F909E8" w:rsidRPr="00211EB6">
        <w:t xml:space="preserve">are further </w:t>
      </w:r>
      <w:r w:rsidRPr="00211EB6">
        <w:t xml:space="preserve">discussed </w:t>
      </w:r>
      <w:r w:rsidR="00F909E8" w:rsidRPr="00211EB6">
        <w:t>in</w:t>
      </w:r>
      <w:r w:rsidRPr="00211EB6">
        <w:t xml:space="preserve"> Section </w:t>
      </w:r>
      <w:r w:rsidR="00E45B88" w:rsidRPr="00211EB6">
        <w:t>2.3</w:t>
      </w:r>
      <w:r w:rsidRPr="00211EB6">
        <w:t>. However, useful context on the process of phase-out and the potential technical obstacles is presented here.</w:t>
      </w:r>
    </w:p>
    <w:p w14:paraId="429B7381" w14:textId="05AF2377" w:rsidR="002C6354" w:rsidRPr="00211EB6" w:rsidRDefault="00876212" w:rsidP="008C6BCB">
      <w:pPr>
        <w:pStyle w:val="Normalnumber"/>
        <w:numPr>
          <w:ilvl w:val="0"/>
          <w:numId w:val="34"/>
        </w:numPr>
        <w:tabs>
          <w:tab w:val="clear" w:pos="1440"/>
        </w:tabs>
        <w:ind w:left="0" w:firstLine="0"/>
      </w:pPr>
      <w:r w:rsidRPr="00211EB6">
        <w:t>Chen and Kwan</w:t>
      </w:r>
      <w:r w:rsidR="00D64DEC" w:rsidRPr="00211EB6">
        <w:t xml:space="preserve"> (</w:t>
      </w:r>
      <w:r w:rsidR="002C6354" w:rsidRPr="00211EB6">
        <w:t>2013</w:t>
      </w:r>
      <w:r w:rsidR="00D64DEC" w:rsidRPr="00211EB6">
        <w:t>)</w:t>
      </w:r>
      <w:r w:rsidR="002C6354" w:rsidRPr="00211EB6">
        <w:t xml:space="preserve"> </w:t>
      </w:r>
      <w:r w:rsidR="00D1235A" w:rsidRPr="00211EB6">
        <w:t>reports on</w:t>
      </w:r>
      <w:r w:rsidR="002C6354" w:rsidRPr="00211EB6">
        <w:t xml:space="preserve"> </w:t>
      </w:r>
      <w:r w:rsidR="00F5380F" w:rsidRPr="00211EB6">
        <w:t xml:space="preserve">a </w:t>
      </w:r>
      <w:r w:rsidR="002C6354" w:rsidRPr="00211EB6">
        <w:t>six year project</w:t>
      </w:r>
      <w:r w:rsidR="00D1235A" w:rsidRPr="00211EB6">
        <w:t xml:space="preserve"> in China, </w:t>
      </w:r>
      <w:r w:rsidR="002C6354" w:rsidRPr="00211EB6">
        <w:t>aimed at developing alternative</w:t>
      </w:r>
      <w:r w:rsidR="00D1235A" w:rsidRPr="00211EB6">
        <w:t xml:space="preserve">s </w:t>
      </w:r>
      <w:r w:rsidR="002C6354" w:rsidRPr="00211EB6">
        <w:t xml:space="preserve">to </w:t>
      </w:r>
      <w:proofErr w:type="spellStart"/>
      <w:r w:rsidR="002C6354" w:rsidRPr="00211EB6">
        <w:t>dicofol</w:t>
      </w:r>
      <w:proofErr w:type="spellEnd"/>
      <w:r w:rsidR="002C6354" w:rsidRPr="00211EB6">
        <w:t xml:space="preserve"> </w:t>
      </w:r>
      <w:r w:rsidR="00D1235A" w:rsidRPr="00211EB6">
        <w:t xml:space="preserve">and facilitating </w:t>
      </w:r>
      <w:r w:rsidR="002C6354" w:rsidRPr="00211EB6">
        <w:t xml:space="preserve">the phase-out of </w:t>
      </w:r>
      <w:proofErr w:type="spellStart"/>
      <w:r w:rsidR="002C6354" w:rsidRPr="00211EB6">
        <w:t>dicofol</w:t>
      </w:r>
      <w:proofErr w:type="spellEnd"/>
      <w:r w:rsidR="002C6354" w:rsidRPr="00211EB6">
        <w:t xml:space="preserve"> production and use</w:t>
      </w:r>
      <w:r w:rsidR="005E13C7" w:rsidRPr="00211EB6">
        <w:t xml:space="preserve"> by</w:t>
      </w:r>
      <w:r w:rsidR="002C6354" w:rsidRPr="00211EB6">
        <w:t xml:space="preserve"> </w:t>
      </w:r>
      <w:r w:rsidR="005E13C7" w:rsidRPr="00211EB6">
        <w:t>closing</w:t>
      </w:r>
      <w:r w:rsidR="002C6354" w:rsidRPr="00211EB6">
        <w:t xml:space="preserve"> two facilities that produced </w:t>
      </w:r>
      <w:proofErr w:type="spellStart"/>
      <w:r w:rsidR="002C6354" w:rsidRPr="00211EB6">
        <w:t>dicofol</w:t>
      </w:r>
      <w:proofErr w:type="spellEnd"/>
      <w:r w:rsidR="002C6354" w:rsidRPr="00211EB6">
        <w:t xml:space="preserve"> through an open-system process. Closure of these sites </w:t>
      </w:r>
      <w:r w:rsidR="00673D22" w:rsidRPr="00211EB6">
        <w:t xml:space="preserve">ceased </w:t>
      </w:r>
      <w:r w:rsidR="002C6354" w:rsidRPr="00211EB6">
        <w:t xml:space="preserve">the </w:t>
      </w:r>
      <w:r w:rsidR="005E13C7" w:rsidRPr="00211EB6">
        <w:t xml:space="preserve">production </w:t>
      </w:r>
      <w:r w:rsidR="002C6354" w:rsidRPr="00211EB6">
        <w:t xml:space="preserve">of 1,350 </w:t>
      </w:r>
      <w:r w:rsidR="002D3E54" w:rsidRPr="00211EB6">
        <w:t>t</w:t>
      </w:r>
      <w:r w:rsidR="0065304C" w:rsidRPr="00211EB6">
        <w:t xml:space="preserve"> </w:t>
      </w:r>
      <w:r w:rsidR="002C6354" w:rsidRPr="00211EB6">
        <w:t>of DDT</w:t>
      </w:r>
      <w:r w:rsidR="00043989" w:rsidRPr="00211EB6">
        <w:t>-</w:t>
      </w:r>
      <w:r w:rsidR="002C6354" w:rsidRPr="00211EB6">
        <w:t xml:space="preserve">containing wastes annually, </w:t>
      </w:r>
      <w:r w:rsidR="005E13C7" w:rsidRPr="00211EB6">
        <w:t>and protected</w:t>
      </w:r>
      <w:r w:rsidR="002C6354" w:rsidRPr="00211EB6">
        <w:t xml:space="preserve"> worker</w:t>
      </w:r>
      <w:r w:rsidR="00F909E8" w:rsidRPr="00211EB6">
        <w:t>s</w:t>
      </w:r>
      <w:r w:rsidR="002C6354" w:rsidRPr="00211EB6">
        <w:t xml:space="preserve"> from the exposure to </w:t>
      </w:r>
      <w:proofErr w:type="spellStart"/>
      <w:r w:rsidR="002C6354" w:rsidRPr="00211EB6">
        <w:t>dicofol</w:t>
      </w:r>
      <w:proofErr w:type="spellEnd"/>
      <w:r w:rsidR="002C6354" w:rsidRPr="00211EB6">
        <w:t xml:space="preserve"> and DDT during </w:t>
      </w:r>
      <w:r w:rsidR="005E13C7" w:rsidRPr="00211EB6">
        <w:t xml:space="preserve">the </w:t>
      </w:r>
      <w:r w:rsidR="002C6354" w:rsidRPr="00211EB6">
        <w:t>production</w:t>
      </w:r>
      <w:r w:rsidR="005E13C7" w:rsidRPr="00211EB6">
        <w:t xml:space="preserve"> process</w:t>
      </w:r>
      <w:r w:rsidR="002C6354" w:rsidRPr="00211EB6">
        <w:t xml:space="preserve">. </w:t>
      </w:r>
      <w:r w:rsidR="005E13C7" w:rsidRPr="00211EB6">
        <w:t>Affected workers from these production facilities were consulted in the early stages of the process for the</w:t>
      </w:r>
      <w:r w:rsidR="005B607A" w:rsidRPr="00211EB6">
        <w:t xml:space="preserve"> provision of s</w:t>
      </w:r>
      <w:r w:rsidR="002C6354" w:rsidRPr="00211EB6">
        <w:t xml:space="preserve">ettlement packages and re-training to avoid economic impacts. </w:t>
      </w:r>
      <w:r w:rsidR="005E13C7" w:rsidRPr="00211EB6">
        <w:t>The</w:t>
      </w:r>
      <w:r w:rsidR="002C6354" w:rsidRPr="00211EB6">
        <w:t xml:space="preserve"> </w:t>
      </w:r>
      <w:r w:rsidR="005B607A" w:rsidRPr="00211EB6">
        <w:t>project</w:t>
      </w:r>
      <w:r w:rsidR="002C6354" w:rsidRPr="00211EB6">
        <w:t xml:space="preserve"> </w:t>
      </w:r>
      <w:r w:rsidR="005E13C7" w:rsidRPr="00211EB6">
        <w:t>also aimed</w:t>
      </w:r>
      <w:r w:rsidR="002C6354" w:rsidRPr="00211EB6">
        <w:t xml:space="preserve"> </w:t>
      </w:r>
      <w:r w:rsidR="005E13C7" w:rsidRPr="00211EB6">
        <w:t xml:space="preserve">to </w:t>
      </w:r>
      <w:r w:rsidR="002C6354" w:rsidRPr="00211EB6">
        <w:t xml:space="preserve">train and </w:t>
      </w:r>
      <w:r w:rsidR="005E13C7" w:rsidRPr="00211EB6">
        <w:t xml:space="preserve">educate </w:t>
      </w:r>
      <w:r w:rsidR="002C6354" w:rsidRPr="00211EB6">
        <w:t xml:space="preserve">farmers to develop alternative practices largely based around integrated pest management (IPM) </w:t>
      </w:r>
      <w:r w:rsidR="00A321C1" w:rsidRPr="00211EB6">
        <w:t>utilizing</w:t>
      </w:r>
      <w:r w:rsidR="002C6354" w:rsidRPr="00211EB6">
        <w:t xml:space="preserve"> a mixture of non-chemical practices alongside chemical alternatives to </w:t>
      </w:r>
      <w:proofErr w:type="spellStart"/>
      <w:r w:rsidR="002C6354" w:rsidRPr="00211EB6">
        <w:t>dicofol</w:t>
      </w:r>
      <w:proofErr w:type="spellEnd"/>
      <w:r w:rsidR="002C6354" w:rsidRPr="00211EB6">
        <w:t xml:space="preserve">. The final report for the study presented by </w:t>
      </w:r>
      <w:r w:rsidRPr="00211EB6">
        <w:t>Chen and Kwan</w:t>
      </w:r>
      <w:r w:rsidR="002C6354" w:rsidRPr="00211EB6">
        <w:t xml:space="preserve"> </w:t>
      </w:r>
      <w:r w:rsidR="0065304C" w:rsidRPr="00211EB6">
        <w:t>(</w:t>
      </w:r>
      <w:r w:rsidR="002C6354" w:rsidRPr="00211EB6">
        <w:t>2013</w:t>
      </w:r>
      <w:r w:rsidR="0065304C" w:rsidRPr="00211EB6">
        <w:t>)</w:t>
      </w:r>
      <w:r w:rsidR="002C6354" w:rsidRPr="00211EB6">
        <w:t xml:space="preserve"> </w:t>
      </w:r>
      <w:r w:rsidR="00007977" w:rsidRPr="00211EB6">
        <w:t xml:space="preserve">stated that adoption of these </w:t>
      </w:r>
      <w:r w:rsidR="002C6354" w:rsidRPr="00211EB6">
        <w:t>techniques ha</w:t>
      </w:r>
      <w:r w:rsidR="00043989" w:rsidRPr="00211EB6">
        <w:t>s</w:t>
      </w:r>
      <w:r w:rsidR="002C6354" w:rsidRPr="00211EB6">
        <w:t xml:space="preserve"> been largely successful</w:t>
      </w:r>
      <w:r w:rsidR="00007977" w:rsidRPr="00211EB6">
        <w:t xml:space="preserve">, with use of </w:t>
      </w:r>
      <w:proofErr w:type="spellStart"/>
      <w:r w:rsidR="00007977" w:rsidRPr="00211EB6">
        <w:t>dicofol</w:t>
      </w:r>
      <w:proofErr w:type="spellEnd"/>
      <w:r w:rsidR="00007977" w:rsidRPr="00211EB6">
        <w:t xml:space="preserve"> as a chemical pesticide no longer needed</w:t>
      </w:r>
      <w:r w:rsidR="005B607A" w:rsidRPr="00211EB6">
        <w:t xml:space="preserve"> by the agricultural sector in China</w:t>
      </w:r>
      <w:r w:rsidR="002C6354" w:rsidRPr="00211EB6">
        <w:t>.</w:t>
      </w:r>
    </w:p>
    <w:p w14:paraId="60AAF939" w14:textId="6E7BCB27" w:rsidR="006308D4" w:rsidRPr="00211EB6" w:rsidRDefault="002C6354" w:rsidP="008C6BCB">
      <w:pPr>
        <w:pStyle w:val="Normalnumber"/>
        <w:numPr>
          <w:ilvl w:val="0"/>
          <w:numId w:val="34"/>
        </w:numPr>
        <w:tabs>
          <w:tab w:val="clear" w:pos="1440"/>
        </w:tabs>
        <w:ind w:left="0" w:firstLine="0"/>
      </w:pPr>
      <w:proofErr w:type="spellStart"/>
      <w:r w:rsidRPr="00211EB6">
        <w:t>Eyhorn</w:t>
      </w:r>
      <w:proofErr w:type="spellEnd"/>
      <w:r w:rsidR="00E80328" w:rsidRPr="00211EB6">
        <w:t xml:space="preserve"> (</w:t>
      </w:r>
      <w:r w:rsidRPr="00211EB6">
        <w:t>2007</w:t>
      </w:r>
      <w:r w:rsidR="00E80328" w:rsidRPr="00211EB6">
        <w:t>)</w:t>
      </w:r>
      <w:r w:rsidRPr="00211EB6">
        <w:t xml:space="preserve"> reports a study (</w:t>
      </w:r>
      <w:proofErr w:type="spellStart"/>
      <w:r w:rsidRPr="00211EB6">
        <w:t>Maikaal</w:t>
      </w:r>
      <w:proofErr w:type="spellEnd"/>
      <w:r w:rsidRPr="00211EB6">
        <w:t xml:space="preserve"> </w:t>
      </w:r>
      <w:proofErr w:type="spellStart"/>
      <w:r w:rsidR="00F909E8" w:rsidRPr="00211EB6">
        <w:t>b</w:t>
      </w:r>
      <w:r w:rsidRPr="00211EB6">
        <w:t>io</w:t>
      </w:r>
      <w:r w:rsidR="00F909E8" w:rsidRPr="00211EB6">
        <w:t>R</w:t>
      </w:r>
      <w:r w:rsidRPr="00211EB6">
        <w:t>e</w:t>
      </w:r>
      <w:proofErr w:type="spellEnd"/>
      <w:r w:rsidRPr="00211EB6">
        <w:t xml:space="preserve"> sustainability study) working with </w:t>
      </w:r>
      <w:r w:rsidR="00F909E8" w:rsidRPr="00211EB6">
        <w:t xml:space="preserve">organic </w:t>
      </w:r>
      <w:r w:rsidRPr="00211EB6">
        <w:t>cotton</w:t>
      </w:r>
      <w:r w:rsidR="00673D22" w:rsidRPr="00211EB6">
        <w:t xml:space="preserve"> in India</w:t>
      </w:r>
      <w:r w:rsidRPr="00211EB6">
        <w:t xml:space="preserve">. In this study </w:t>
      </w:r>
      <w:proofErr w:type="spellStart"/>
      <w:r w:rsidRPr="00211EB6">
        <w:t>Eyhorn</w:t>
      </w:r>
      <w:proofErr w:type="spellEnd"/>
      <w:r w:rsidRPr="00211EB6">
        <w:t xml:space="preserve"> </w:t>
      </w:r>
      <w:r w:rsidR="00E80328" w:rsidRPr="00211EB6">
        <w:t xml:space="preserve">(2007) </w:t>
      </w:r>
      <w:r w:rsidRPr="00211EB6">
        <w:t xml:space="preserve">noted that the economic margins for the farmers were particularly tight, meaning that many farmers had a reliance on specific pesticides and were reluctant to change farming practices due to fear of failing crops and economic impacts resulting from such failures. For others these difficult economic conditions meant that they were more willing to experiment with new approaches as the existing approach using </w:t>
      </w:r>
      <w:proofErr w:type="spellStart"/>
      <w:r w:rsidRPr="00211EB6">
        <w:t>dicofol</w:t>
      </w:r>
      <w:proofErr w:type="spellEnd"/>
      <w:r w:rsidRPr="00211EB6">
        <w:t xml:space="preserve"> was equally difficult to maintain. </w:t>
      </w:r>
      <w:proofErr w:type="spellStart"/>
      <w:r w:rsidRPr="00211EB6">
        <w:t>Eyhorn</w:t>
      </w:r>
      <w:proofErr w:type="spellEnd"/>
      <w:r w:rsidR="001F51DB" w:rsidRPr="00211EB6">
        <w:t xml:space="preserve"> (2007)</w:t>
      </w:r>
      <w:r w:rsidRPr="00211EB6">
        <w:t xml:space="preserve"> worked with 60 farmers using conventional chemical approaches and 60 farmers using </w:t>
      </w:r>
      <w:r w:rsidR="00BA7917" w:rsidRPr="00211EB6">
        <w:t xml:space="preserve">organic </w:t>
      </w:r>
      <w:proofErr w:type="spellStart"/>
      <w:r w:rsidR="00BA7917" w:rsidRPr="00211EB6">
        <w:t>agroecologica</w:t>
      </w:r>
      <w:r w:rsidR="00E22642" w:rsidRPr="00211EB6">
        <w:t>l</w:t>
      </w:r>
      <w:proofErr w:type="spellEnd"/>
      <w:r w:rsidRPr="00211EB6">
        <w:t xml:space="preserve"> approaches, based on non-chemical techniques and additional manure spreading. After two years</w:t>
      </w:r>
      <w:r w:rsidR="00123270" w:rsidRPr="00211EB6">
        <w:t>,</w:t>
      </w:r>
      <w:r w:rsidRPr="00211EB6">
        <w:t xml:space="preserve"> review </w:t>
      </w:r>
      <w:r w:rsidR="00123270" w:rsidRPr="00211EB6">
        <w:t xml:space="preserve">of the study outputs demonstrated </w:t>
      </w:r>
      <w:r w:rsidRPr="00211EB6">
        <w:t xml:space="preserve">that crop yields and output from both sets of farmers were broadly </w:t>
      </w:r>
      <w:r w:rsidR="0068666A" w:rsidRPr="00211EB6">
        <w:t>similar;</w:t>
      </w:r>
      <w:r w:rsidRPr="00211EB6">
        <w:t xml:space="preserve"> </w:t>
      </w:r>
      <w:proofErr w:type="spellStart"/>
      <w:r w:rsidR="0068666A" w:rsidRPr="00211EB6">
        <w:t>labor</w:t>
      </w:r>
      <w:proofErr w:type="spellEnd"/>
      <w:r w:rsidRPr="00211EB6">
        <w:t xml:space="preserve"> requirements were also broadly similar, with additional economic savings for the </w:t>
      </w:r>
      <w:r w:rsidR="00BA7917" w:rsidRPr="00211EB6">
        <w:t xml:space="preserve">organic </w:t>
      </w:r>
      <w:r w:rsidRPr="00211EB6">
        <w:t xml:space="preserve">farmers from not using chemical alternatives. </w:t>
      </w:r>
      <w:proofErr w:type="spellStart"/>
      <w:r w:rsidR="00037DE7" w:rsidRPr="00211EB6">
        <w:t>Eyhorn</w:t>
      </w:r>
      <w:proofErr w:type="spellEnd"/>
      <w:r w:rsidR="00037DE7" w:rsidRPr="00211EB6">
        <w:t xml:space="preserve"> states that d</w:t>
      </w:r>
      <w:r w:rsidR="0082542E" w:rsidRPr="00211EB6">
        <w:t xml:space="preserve">ue to 10-20% lower production costs and a 20% </w:t>
      </w:r>
      <w:r w:rsidR="00E13C1B" w:rsidRPr="00211EB6">
        <w:t xml:space="preserve">price premium for </w:t>
      </w:r>
      <w:r w:rsidR="0082542E" w:rsidRPr="00211EB6">
        <w:t xml:space="preserve">organic </w:t>
      </w:r>
      <w:r w:rsidR="00E13C1B" w:rsidRPr="00211EB6">
        <w:t>products</w:t>
      </w:r>
      <w:r w:rsidR="0082542E" w:rsidRPr="00211EB6">
        <w:t xml:space="preserve">, average gross margins from organic cotton fields were, depending on the year, 30-40% higher than in the conventional production system. Organic farms achieved a 10-20% higher income than conventional farms. </w:t>
      </w:r>
      <w:r w:rsidRPr="00211EB6">
        <w:t>However</w:t>
      </w:r>
      <w:r w:rsidR="00D64DEC" w:rsidRPr="00211EB6">
        <w:t>,</w:t>
      </w:r>
      <w:r w:rsidRPr="00211EB6">
        <w:t xml:space="preserve"> </w:t>
      </w:r>
      <w:proofErr w:type="spellStart"/>
      <w:r w:rsidRPr="00211EB6">
        <w:t>Eyhorn</w:t>
      </w:r>
      <w:proofErr w:type="spellEnd"/>
      <w:r w:rsidRPr="00211EB6">
        <w:t xml:space="preserve"> </w:t>
      </w:r>
      <w:r w:rsidR="001F51DB" w:rsidRPr="00211EB6">
        <w:t xml:space="preserve">(2007) </w:t>
      </w:r>
      <w:r w:rsidRPr="00211EB6">
        <w:t xml:space="preserve">did note a drop in crop yields for the first year of the study by 10 – 50% while new practices were installed. </w:t>
      </w:r>
      <w:r w:rsidR="00026ADA" w:rsidRPr="00211EB6">
        <w:t>On that basis</w:t>
      </w:r>
      <w:r w:rsidR="00F8294A" w:rsidRPr="00211EB6">
        <w:t>,</w:t>
      </w:r>
      <w:r w:rsidR="00026ADA" w:rsidRPr="00211EB6">
        <w:t xml:space="preserve"> the study </w:t>
      </w:r>
      <w:r w:rsidR="00947FAB" w:rsidRPr="00211EB6">
        <w:t xml:space="preserve">found </w:t>
      </w:r>
      <w:r w:rsidR="00026ADA" w:rsidRPr="00211EB6">
        <w:t>that the longer term economic position was good with cost neutral / cost savings, and gross margins 30-40% higher than in the conventional production system where the market provides a premium for organic product</w:t>
      </w:r>
      <w:r w:rsidR="00305FBB" w:rsidRPr="00211EB6">
        <w:t>s</w:t>
      </w:r>
      <w:r w:rsidR="00026ADA" w:rsidRPr="00211EB6">
        <w:t xml:space="preserve">, but </w:t>
      </w:r>
      <w:r w:rsidR="00947FAB" w:rsidRPr="00211EB6">
        <w:t>‘</w:t>
      </w:r>
      <w:r w:rsidR="00026ADA" w:rsidRPr="00211EB6">
        <w:t xml:space="preserve">initially </w:t>
      </w:r>
      <w:r w:rsidR="00947FAB" w:rsidRPr="00211EB6">
        <w:t xml:space="preserve">mainly </w:t>
      </w:r>
      <w:r w:rsidR="00026ADA" w:rsidRPr="00211EB6">
        <w:t xml:space="preserve">wealthier farmers </w:t>
      </w:r>
      <w:r w:rsidR="00947FAB" w:rsidRPr="00211EB6">
        <w:t>and farmers who were leaders in their communities adopted organic farming while marginal farmers hesitated to take the risk of conversion’</w:t>
      </w:r>
      <w:r w:rsidR="00026ADA" w:rsidRPr="00211EB6">
        <w:t xml:space="preserve"> due to the costs of the transitional year. The study noted </w:t>
      </w:r>
      <w:r w:rsidR="00305FBB" w:rsidRPr="00211EB6">
        <w:t xml:space="preserve">that </w:t>
      </w:r>
      <w:r w:rsidR="00026ADA" w:rsidRPr="00211EB6">
        <w:t>managing the economic constraints of the conversion period emerged as an important entrance barrier to organic farming, especially for small and resource-poor farmers, however in the long-term, smallholders were likely to be better off in the organic farming system due to lower production costs and stabili</w:t>
      </w:r>
      <w:r w:rsidR="00305FBB" w:rsidRPr="00211EB6">
        <w:t>s</w:t>
      </w:r>
      <w:r w:rsidR="00026ADA" w:rsidRPr="00211EB6">
        <w:t>ed incomes, which help reduce vulnerability to drought and market price fluctuations (</w:t>
      </w:r>
      <w:proofErr w:type="spellStart"/>
      <w:r w:rsidR="00026ADA" w:rsidRPr="00211EB6">
        <w:t>Eyhorn</w:t>
      </w:r>
      <w:proofErr w:type="spellEnd"/>
      <w:r w:rsidR="00026ADA" w:rsidRPr="00211EB6">
        <w:t>, 2007).</w:t>
      </w:r>
    </w:p>
    <w:p w14:paraId="1A27E5FD" w14:textId="3B4061C8" w:rsidR="002C6354" w:rsidRPr="00211EB6" w:rsidRDefault="002C6354" w:rsidP="008C6BCB">
      <w:pPr>
        <w:pStyle w:val="Normalnumber"/>
        <w:numPr>
          <w:ilvl w:val="0"/>
          <w:numId w:val="34"/>
        </w:numPr>
        <w:tabs>
          <w:tab w:val="clear" w:pos="1440"/>
        </w:tabs>
        <w:ind w:left="0" w:firstLine="0"/>
      </w:pPr>
      <w:r w:rsidRPr="00211EB6">
        <w:t xml:space="preserve">Wang </w:t>
      </w:r>
      <w:r w:rsidRPr="00211EB6">
        <w:rPr>
          <w:i/>
        </w:rPr>
        <w:t>et al</w:t>
      </w:r>
      <w:r w:rsidR="00E80328" w:rsidRPr="00211EB6">
        <w:t>. (</w:t>
      </w:r>
      <w:r w:rsidRPr="00211EB6">
        <w:t>2015</w:t>
      </w:r>
      <w:r w:rsidR="00E80328" w:rsidRPr="00211EB6">
        <w:t>)</w:t>
      </w:r>
      <w:r w:rsidRPr="00211EB6">
        <w:t xml:space="preserve"> provide </w:t>
      </w:r>
      <w:r w:rsidR="0022404F" w:rsidRPr="00211EB6">
        <w:t>a</w:t>
      </w:r>
      <w:r w:rsidRPr="00211EB6">
        <w:t xml:space="preserve"> perspective on the technical feasibility of prohibition and switch to alternatives. Wang noted that many farmers in China continued to make use of specific pesticides even when restrictions were implemented and safer alternatives were available. Based on a survey </w:t>
      </w:r>
      <w:r w:rsidR="00305FBB" w:rsidRPr="00211EB6">
        <w:t xml:space="preserve">of </w:t>
      </w:r>
      <w:r w:rsidRPr="00211EB6">
        <w:t xml:space="preserve">472 </w:t>
      </w:r>
      <w:r w:rsidR="0022404F" w:rsidRPr="00211EB6">
        <w:t xml:space="preserve">Chinese </w:t>
      </w:r>
      <w:r w:rsidRPr="00211EB6">
        <w:t xml:space="preserve">farmers on farming practices and </w:t>
      </w:r>
      <w:r w:rsidR="0022404F" w:rsidRPr="00211EB6">
        <w:t xml:space="preserve">their </w:t>
      </w:r>
      <w:r w:rsidRPr="00211EB6">
        <w:t xml:space="preserve">perspectives </w:t>
      </w:r>
      <w:r w:rsidR="00BA7917" w:rsidRPr="00211EB6">
        <w:t xml:space="preserve">on </w:t>
      </w:r>
      <w:r w:rsidRPr="00211EB6">
        <w:t>the use of chemicals</w:t>
      </w:r>
      <w:r w:rsidR="002D3E54" w:rsidRPr="00211EB6">
        <w:t>,</w:t>
      </w:r>
      <w:r w:rsidRPr="00211EB6">
        <w:t xml:space="preserve"> </w:t>
      </w:r>
      <w:r w:rsidR="001F51DB" w:rsidRPr="00211EB6">
        <w:t xml:space="preserve">Wang </w:t>
      </w:r>
      <w:r w:rsidR="001F51DB" w:rsidRPr="00211EB6">
        <w:rPr>
          <w:i/>
        </w:rPr>
        <w:t>et al</w:t>
      </w:r>
      <w:r w:rsidR="001F51DB" w:rsidRPr="00211EB6">
        <w:t xml:space="preserve">. (2015) </w:t>
      </w:r>
      <w:r w:rsidRPr="00211EB6">
        <w:t>highlighted that</w:t>
      </w:r>
      <w:r w:rsidR="002D3E54" w:rsidRPr="00211EB6">
        <w:t>,</w:t>
      </w:r>
      <w:r w:rsidRPr="00211EB6">
        <w:t xml:space="preserve"> again due to economic </w:t>
      </w:r>
      <w:r w:rsidR="005B607A" w:rsidRPr="00211EB6">
        <w:t>constraints</w:t>
      </w:r>
      <w:r w:rsidRPr="00211EB6">
        <w:t xml:space="preserve"> and fear of failing crops</w:t>
      </w:r>
      <w:r w:rsidR="00014AA5" w:rsidRPr="00211EB6">
        <w:t>,</w:t>
      </w:r>
      <w:r w:rsidRPr="00211EB6">
        <w:t xml:space="preserve"> many farmers were reluctant to change </w:t>
      </w:r>
      <w:r w:rsidR="00043989" w:rsidRPr="00211EB6">
        <w:t xml:space="preserve">from their </w:t>
      </w:r>
      <w:r w:rsidRPr="00211EB6">
        <w:t xml:space="preserve">preferred choice </w:t>
      </w:r>
      <w:r w:rsidR="00043989" w:rsidRPr="00211EB6">
        <w:t xml:space="preserve">of </w:t>
      </w:r>
      <w:r w:rsidRPr="00211EB6">
        <w:t>pesticides to untested alternatives</w:t>
      </w:r>
      <w:r w:rsidR="0022404F" w:rsidRPr="00211EB6">
        <w:t xml:space="preserve">. Farmers also </w:t>
      </w:r>
      <w:r w:rsidRPr="00211EB6">
        <w:t>relied heavily on the guidance of pesticide retailers</w:t>
      </w:r>
      <w:r w:rsidR="0022404F" w:rsidRPr="00211EB6">
        <w:t xml:space="preserve"> for advice on</w:t>
      </w:r>
      <w:r w:rsidRPr="00211EB6">
        <w:t xml:space="preserve"> the best alternatives. The study by </w:t>
      </w:r>
      <w:r w:rsidR="00876212" w:rsidRPr="00211EB6">
        <w:t>Chen and Kwan</w:t>
      </w:r>
      <w:r w:rsidR="00BA7917" w:rsidRPr="00211EB6">
        <w:t xml:space="preserve"> (</w:t>
      </w:r>
      <w:r w:rsidRPr="00211EB6">
        <w:t>2013</w:t>
      </w:r>
      <w:r w:rsidR="00BA7917" w:rsidRPr="00211EB6">
        <w:t>)</w:t>
      </w:r>
      <w:r w:rsidRPr="00211EB6">
        <w:t xml:space="preserve"> highlighted the need to work with farmers</w:t>
      </w:r>
      <w:r w:rsidR="00552DB5" w:rsidRPr="00211EB6">
        <w:t>,</w:t>
      </w:r>
      <w:r w:rsidRPr="00211EB6">
        <w:t xml:space="preserve"> with training and education </w:t>
      </w:r>
      <w:r w:rsidR="00552DB5" w:rsidRPr="00211EB6">
        <w:t xml:space="preserve">being particularly </w:t>
      </w:r>
      <w:r w:rsidRPr="00211EB6">
        <w:t xml:space="preserve">important for technical feasibility of changing farming practices. </w:t>
      </w:r>
      <w:r w:rsidR="001F51DB" w:rsidRPr="00211EB6">
        <w:t xml:space="preserve">Wang </w:t>
      </w:r>
      <w:r w:rsidR="001F51DB" w:rsidRPr="00211EB6">
        <w:rPr>
          <w:i/>
        </w:rPr>
        <w:t>et al</w:t>
      </w:r>
      <w:r w:rsidR="001F51DB" w:rsidRPr="00211EB6">
        <w:t xml:space="preserve">. (2015) </w:t>
      </w:r>
      <w:r w:rsidR="00552DB5" w:rsidRPr="00211EB6">
        <w:t xml:space="preserve">also </w:t>
      </w:r>
      <w:r w:rsidRPr="00211EB6">
        <w:t>highlight</w:t>
      </w:r>
      <w:r w:rsidR="00BA7917" w:rsidRPr="00211EB6">
        <w:t>ed</w:t>
      </w:r>
      <w:r w:rsidRPr="00211EB6">
        <w:t xml:space="preserve"> the need to work with pesticide retailers to ensure that the </w:t>
      </w:r>
      <w:r w:rsidR="005B607A" w:rsidRPr="00211EB6">
        <w:t xml:space="preserve">pesticide restrictions were upheld and that the </w:t>
      </w:r>
      <w:r w:rsidRPr="00211EB6">
        <w:t xml:space="preserve">best guidance is available in </w:t>
      </w:r>
      <w:r w:rsidR="005B607A" w:rsidRPr="00211EB6">
        <w:t>selection of pesticides</w:t>
      </w:r>
      <w:r w:rsidRPr="00211EB6">
        <w:t>.</w:t>
      </w:r>
    </w:p>
    <w:p w14:paraId="07AECC11" w14:textId="62B41AB6" w:rsidR="002C6354" w:rsidRPr="00211EB6" w:rsidRDefault="00C85428" w:rsidP="008C6BCB">
      <w:pPr>
        <w:pStyle w:val="Normalnumber"/>
        <w:numPr>
          <w:ilvl w:val="0"/>
          <w:numId w:val="34"/>
        </w:numPr>
        <w:tabs>
          <w:tab w:val="clear" w:pos="1440"/>
        </w:tabs>
        <w:ind w:left="0" w:firstLine="0"/>
      </w:pPr>
      <w:r w:rsidRPr="00211EB6">
        <w:t>P</w:t>
      </w:r>
      <w:r w:rsidR="002C6354" w:rsidRPr="00211EB6">
        <w:t>rohibition would likely represent the most effective means to protect human health and the environment</w:t>
      </w:r>
      <w:r w:rsidR="00DA6945" w:rsidRPr="00211EB6">
        <w:t xml:space="preserve"> from the risks associated with </w:t>
      </w:r>
      <w:proofErr w:type="spellStart"/>
      <w:r w:rsidR="00DA6945" w:rsidRPr="00211EB6">
        <w:t>dicofol</w:t>
      </w:r>
      <w:proofErr w:type="spellEnd"/>
      <w:r w:rsidR="002C6354" w:rsidRPr="00211EB6">
        <w:t xml:space="preserve">. Data reviewed and presented within this dossier suggests that many nations </w:t>
      </w:r>
      <w:r w:rsidR="002F54BB" w:rsidRPr="00211EB6">
        <w:t xml:space="preserve">with different crops and </w:t>
      </w:r>
      <w:r w:rsidR="002C6354" w:rsidRPr="00211EB6">
        <w:t xml:space="preserve">from different geographies and climatic regions have already successfully implemented a prohibition, with transition to alternative chemicals or non-chemical alternative options </w:t>
      </w:r>
      <w:r w:rsidR="008904C9" w:rsidRPr="00211EB6">
        <w:t>available.</w:t>
      </w:r>
      <w:r w:rsidR="002C6354" w:rsidRPr="00211EB6">
        <w:t xml:space="preserve"> </w:t>
      </w:r>
      <w:r w:rsidR="008904C9" w:rsidRPr="00211EB6">
        <w:t xml:space="preserve">Data provided through the Annex F survey suggests that a number of chemical alternatives are already widely available, although data on price and efficacy was not sufficient to provide critical review. Review of transition to non-chemical alternatives suggests that this may prove a highly successful option should a prohibition be implemented. </w:t>
      </w:r>
      <w:r w:rsidR="002C6354" w:rsidRPr="00211EB6">
        <w:t xml:space="preserve">However the studies reviewed have </w:t>
      </w:r>
      <w:r w:rsidR="00552DB5" w:rsidRPr="00211EB6">
        <w:t xml:space="preserve">also </w:t>
      </w:r>
      <w:r w:rsidR="002C6354" w:rsidRPr="00211EB6">
        <w:t>highlighted th</w:t>
      </w:r>
      <w:r w:rsidR="005B607A" w:rsidRPr="00211EB6">
        <w:t xml:space="preserve">e possibility of socio-economic impacts in the short term and need for a </w:t>
      </w:r>
      <w:r w:rsidR="002C6354" w:rsidRPr="00211EB6">
        <w:t>transitional phase</w:t>
      </w:r>
      <w:r w:rsidR="008904C9" w:rsidRPr="00211EB6">
        <w:t xml:space="preserve"> to </w:t>
      </w:r>
      <w:r w:rsidR="00116DC2" w:rsidRPr="00211EB6">
        <w:t>minimize</w:t>
      </w:r>
      <w:r w:rsidR="008904C9" w:rsidRPr="00211EB6">
        <w:t xml:space="preserve"> these impact</w:t>
      </w:r>
      <w:r w:rsidR="002C6354" w:rsidRPr="00211EB6">
        <w:t>s.</w:t>
      </w:r>
    </w:p>
    <w:p w14:paraId="57D761A5" w14:textId="77777777" w:rsidR="002C6354" w:rsidRPr="00211EB6" w:rsidRDefault="006308D4" w:rsidP="00C92776">
      <w:pPr>
        <w:pStyle w:val="Heading5"/>
        <w:numPr>
          <w:ilvl w:val="0"/>
          <w:numId w:val="0"/>
        </w:numPr>
      </w:pPr>
      <w:r w:rsidRPr="00211EB6">
        <w:t>R</w:t>
      </w:r>
      <w:r w:rsidR="002C6354" w:rsidRPr="00211EB6">
        <w:t xml:space="preserve">estriction of production, use, import and export; Termination of processes which could lead to unintentional release of the chemical; Establishment of exposure limits in workplaces </w:t>
      </w:r>
    </w:p>
    <w:p w14:paraId="7CC9DCFE" w14:textId="2FF41830" w:rsidR="002C6354" w:rsidRPr="00211EB6" w:rsidRDefault="002C6354" w:rsidP="008C6BCB">
      <w:pPr>
        <w:pStyle w:val="Normalnumber"/>
        <w:numPr>
          <w:ilvl w:val="0"/>
          <w:numId w:val="34"/>
        </w:numPr>
        <w:tabs>
          <w:tab w:val="clear" w:pos="1440"/>
        </w:tabs>
        <w:ind w:left="0" w:firstLine="0"/>
      </w:pPr>
      <w:r w:rsidRPr="00211EB6">
        <w:t xml:space="preserve">Information on the restriction of uses for </w:t>
      </w:r>
      <w:proofErr w:type="spellStart"/>
      <w:r w:rsidRPr="00211EB6">
        <w:t>dicofol</w:t>
      </w:r>
      <w:proofErr w:type="spellEnd"/>
      <w:r w:rsidRPr="00211EB6">
        <w:t xml:space="preserve"> to protect human health and the environment are very limited. Data from China stated that the use of </w:t>
      </w:r>
      <w:proofErr w:type="spellStart"/>
      <w:r w:rsidRPr="00211EB6">
        <w:t>dicofol</w:t>
      </w:r>
      <w:proofErr w:type="spellEnd"/>
      <w:r w:rsidRPr="00211EB6">
        <w:t xml:space="preserve"> on tea </w:t>
      </w:r>
      <w:r w:rsidR="00947FAB" w:rsidRPr="00211EB6">
        <w:t xml:space="preserve">plants </w:t>
      </w:r>
      <w:r w:rsidRPr="00211EB6">
        <w:t xml:space="preserve">was </w:t>
      </w:r>
      <w:r w:rsidR="00947FAB" w:rsidRPr="00211EB6">
        <w:t xml:space="preserve">banned </w:t>
      </w:r>
      <w:r w:rsidRPr="00211EB6">
        <w:t>in 1997</w:t>
      </w:r>
      <w:r w:rsidR="002F54BB" w:rsidRPr="00211EB6">
        <w:t xml:space="preserve">, </w:t>
      </w:r>
      <w:r w:rsidRPr="00211EB6">
        <w:t>while uses on other crops were allowed to continue</w:t>
      </w:r>
      <w:r w:rsidR="002F54BB" w:rsidRPr="00211EB6">
        <w:t xml:space="preserve"> </w:t>
      </w:r>
      <w:r w:rsidR="00030E9B" w:rsidRPr="00211EB6">
        <w:t xml:space="preserve">until 2014 when production in China ceased </w:t>
      </w:r>
      <w:r w:rsidR="002F54BB" w:rsidRPr="00211EB6">
        <w:t>(UNEP/POPs/POPRC.12/11/Add.1).</w:t>
      </w:r>
      <w:r w:rsidRPr="00211EB6">
        <w:t xml:space="preserve"> Data from an addendum to the USA Registration Eligibility Decision (RED) for </w:t>
      </w:r>
      <w:proofErr w:type="spellStart"/>
      <w:r w:rsidRPr="00211EB6">
        <w:t>dicofol</w:t>
      </w:r>
      <w:proofErr w:type="spellEnd"/>
      <w:r w:rsidRPr="00211EB6">
        <w:t xml:space="preserve"> in 2006 also highlighted issues with worker exposure in farming communities</w:t>
      </w:r>
      <w:r w:rsidR="000A356B" w:rsidRPr="00211EB6">
        <w:t xml:space="preserve"> in the US</w:t>
      </w:r>
      <w:r w:rsidR="00DD3D12" w:rsidRPr="00211EB6">
        <w:t>A</w:t>
      </w:r>
      <w:r w:rsidRPr="00211EB6">
        <w:t>. As part of the RED dossier development for pesticide eligibility</w:t>
      </w:r>
      <w:r w:rsidR="00471466" w:rsidRPr="00211EB6">
        <w:t>,</w:t>
      </w:r>
      <w:r w:rsidRPr="00211EB6">
        <w:t xml:space="preserve"> ‘restricted entry intervals’ (REI) are developed. These REI indicate a safe period of time after treatment during which workers should not return to the treated area. As a default the REI is set to 12 hours, however after review of additional toxicological information it was necessary to review the toxicological end-points and amend the REIs. For cotton and alfalfa which are harvested mechanically the use of 12 hour REIs was allowed to be retained. However for fruit crops such as citrus, grapes, strawberries, and tomatoes, as well as pecans, mint, and cucumber which may be harvested manually</w:t>
      </w:r>
      <w:r w:rsidR="00552DB5" w:rsidRPr="00211EB6">
        <w:t>,</w:t>
      </w:r>
      <w:r w:rsidRPr="00211EB6">
        <w:t xml:space="preserve"> the REIs were extended to between 20 days (Bermuda grass) and 87 days (citrus fruits) </w:t>
      </w:r>
      <w:r w:rsidR="000A356B" w:rsidRPr="00211EB6">
        <w:t xml:space="preserve">due to concerns over worker exposures </w:t>
      </w:r>
      <w:r w:rsidRPr="00211EB6">
        <w:t>(USEPA, 2006).</w:t>
      </w:r>
    </w:p>
    <w:p w14:paraId="3CB99B51" w14:textId="2C571DEF" w:rsidR="00117D3E" w:rsidRPr="00211EB6" w:rsidRDefault="002C6354" w:rsidP="008C6BCB">
      <w:pPr>
        <w:pStyle w:val="Normalnumber"/>
        <w:numPr>
          <w:ilvl w:val="0"/>
          <w:numId w:val="34"/>
        </w:numPr>
        <w:tabs>
          <w:tab w:val="clear" w:pos="1440"/>
        </w:tabs>
        <w:ind w:left="0" w:firstLine="0"/>
      </w:pPr>
      <w:r w:rsidRPr="00211EB6">
        <w:t xml:space="preserve">Standard occupational exposure limits (OEL) for the use of </w:t>
      </w:r>
      <w:proofErr w:type="spellStart"/>
      <w:r w:rsidRPr="00211EB6">
        <w:t>dicofol</w:t>
      </w:r>
      <w:proofErr w:type="spellEnd"/>
      <w:r w:rsidRPr="00211EB6">
        <w:t xml:space="preserve"> have not been </w:t>
      </w:r>
      <w:r w:rsidR="00552DB5" w:rsidRPr="00211EB6">
        <w:t>identified</w:t>
      </w:r>
      <w:r w:rsidRPr="00211EB6">
        <w:t>. However industry</w:t>
      </w:r>
      <w:r w:rsidR="00552DB5" w:rsidRPr="00211EB6">
        <w:t>-</w:t>
      </w:r>
      <w:r w:rsidRPr="00211EB6">
        <w:t xml:space="preserve">developed occupational exposure limits are reported by </w:t>
      </w:r>
      <w:proofErr w:type="spellStart"/>
      <w:r w:rsidRPr="00211EB6">
        <w:t>Cropcare</w:t>
      </w:r>
      <w:proofErr w:type="spellEnd"/>
      <w:r w:rsidRPr="00211EB6">
        <w:t xml:space="preserve"> (2001) and Rohm and Haas (Reported in Cornell, </w:t>
      </w:r>
      <w:r w:rsidR="00E80328" w:rsidRPr="00211EB6">
        <w:t>1993</w:t>
      </w:r>
      <w:r w:rsidRPr="00211EB6">
        <w:t>) as an 8</w:t>
      </w:r>
      <w:r w:rsidR="002F54BB" w:rsidRPr="00211EB6">
        <w:t>-</w:t>
      </w:r>
      <w:r w:rsidRPr="00211EB6">
        <w:t>hour time weighted average of 0.1 mg/m</w:t>
      </w:r>
      <w:r w:rsidRPr="00211EB6">
        <w:rPr>
          <w:vertAlign w:val="superscript"/>
        </w:rPr>
        <w:t>3</w:t>
      </w:r>
      <w:r w:rsidRPr="00211EB6">
        <w:t>, and short term exposure limit of 0.3 mg/m</w:t>
      </w:r>
      <w:r w:rsidRPr="00211EB6">
        <w:rPr>
          <w:vertAlign w:val="superscript"/>
        </w:rPr>
        <w:t>3</w:t>
      </w:r>
      <w:r w:rsidRPr="00211EB6">
        <w:t xml:space="preserve">. The OELs reported are based on atmospheric concentrations, while both references highlight that absorption through dermal contact with atmospheric concentrations is a key mechanism for exposure. </w:t>
      </w:r>
      <w:proofErr w:type="spellStart"/>
      <w:r w:rsidR="00117D3E" w:rsidRPr="00211EB6">
        <w:t>Nigg</w:t>
      </w:r>
      <w:proofErr w:type="spellEnd"/>
      <w:r w:rsidR="00117D3E" w:rsidRPr="00211EB6">
        <w:t xml:space="preserve"> et al (1991) provide some further </w:t>
      </w:r>
      <w:r w:rsidR="00131267" w:rsidRPr="00211EB6">
        <w:t xml:space="preserve">data on occupational exposure based on analysis of urine from workers mixing and spraying </w:t>
      </w:r>
      <w:proofErr w:type="spellStart"/>
      <w:r w:rsidR="00131267" w:rsidRPr="00211EB6">
        <w:t>dicofol</w:t>
      </w:r>
      <w:proofErr w:type="spellEnd"/>
      <w:r w:rsidR="00131267" w:rsidRPr="00211EB6">
        <w:t xml:space="preserve"> to treat citrus crops. The ten day study </w:t>
      </w:r>
      <w:proofErr w:type="spellStart"/>
      <w:r w:rsidR="007D7355" w:rsidRPr="00211EB6">
        <w:t>analyzed</w:t>
      </w:r>
      <w:proofErr w:type="spellEnd"/>
      <w:r w:rsidR="00131267" w:rsidRPr="00211EB6">
        <w:t xml:space="preserve"> samples for the </w:t>
      </w:r>
      <w:proofErr w:type="spellStart"/>
      <w:r w:rsidR="00131267" w:rsidRPr="00211EB6">
        <w:t>dicofol</w:t>
      </w:r>
      <w:proofErr w:type="spellEnd"/>
      <w:r w:rsidR="00131267" w:rsidRPr="00211EB6">
        <w:t xml:space="preserve"> metabolite </w:t>
      </w:r>
      <w:proofErr w:type="spellStart"/>
      <w:r w:rsidR="00131267" w:rsidRPr="00211EB6">
        <w:t>dichlorobenzilic</w:t>
      </w:r>
      <w:proofErr w:type="spellEnd"/>
      <w:r w:rsidR="00131267" w:rsidRPr="00211EB6">
        <w:t xml:space="preserve"> acid (DCBA) as a means </w:t>
      </w:r>
      <w:r w:rsidR="00AC324E" w:rsidRPr="00211EB6">
        <w:t xml:space="preserve">of </w:t>
      </w:r>
      <w:r w:rsidR="00131267" w:rsidRPr="00211EB6">
        <w:t>assess</w:t>
      </w:r>
      <w:r w:rsidR="00AC324E" w:rsidRPr="00211EB6">
        <w:t>ing</w:t>
      </w:r>
      <w:r w:rsidR="00131267" w:rsidRPr="00211EB6">
        <w:t xml:space="preserve"> exposure to </w:t>
      </w:r>
      <w:proofErr w:type="spellStart"/>
      <w:r w:rsidR="00131267" w:rsidRPr="00211EB6">
        <w:t>dicofol</w:t>
      </w:r>
      <w:proofErr w:type="spellEnd"/>
      <w:r w:rsidR="00131267" w:rsidRPr="00211EB6">
        <w:t>. Excretion rates for DCBA over test period of use were in the range of 19</w:t>
      </w:r>
      <w:r w:rsidR="00AC324E" w:rsidRPr="00211EB6">
        <w:t>-</w:t>
      </w:r>
      <w:r w:rsidR="00131267" w:rsidRPr="00211EB6">
        <w:t xml:space="preserve">42 µg/day. This was used to correlate an estimated dermal exposure of </w:t>
      </w:r>
      <w:proofErr w:type="spellStart"/>
      <w:r w:rsidR="00131267" w:rsidRPr="00211EB6">
        <w:t>dicofol</w:t>
      </w:r>
      <w:proofErr w:type="spellEnd"/>
      <w:r w:rsidR="00131267" w:rsidRPr="00211EB6">
        <w:t xml:space="preserve"> ranging between 2.7</w:t>
      </w:r>
      <w:r w:rsidR="00AC324E" w:rsidRPr="00211EB6">
        <w:t xml:space="preserve"> and </w:t>
      </w:r>
      <w:r w:rsidR="00131267" w:rsidRPr="00211EB6">
        <w:t xml:space="preserve">13 mg/day. </w:t>
      </w:r>
    </w:p>
    <w:p w14:paraId="672FE53F" w14:textId="0080370F" w:rsidR="002C6354" w:rsidRPr="00211EB6" w:rsidRDefault="002C6354" w:rsidP="008C6BCB">
      <w:pPr>
        <w:pStyle w:val="Normalnumber"/>
        <w:numPr>
          <w:ilvl w:val="0"/>
          <w:numId w:val="34"/>
        </w:numPr>
        <w:tabs>
          <w:tab w:val="clear" w:pos="1440"/>
        </w:tabs>
        <w:ind w:left="0" w:firstLine="0"/>
      </w:pPr>
      <w:r w:rsidRPr="00211EB6">
        <w:t xml:space="preserve">The US EPA </w:t>
      </w:r>
      <w:r w:rsidR="00E80328" w:rsidRPr="00211EB6">
        <w:t xml:space="preserve">(2006) </w:t>
      </w:r>
      <w:r w:rsidRPr="00211EB6">
        <w:t xml:space="preserve">RED document highlights what personal protective equipment (PPE) should be used when working with </w:t>
      </w:r>
      <w:proofErr w:type="spellStart"/>
      <w:r w:rsidRPr="00211EB6">
        <w:t>dicofol</w:t>
      </w:r>
      <w:proofErr w:type="spellEnd"/>
      <w:r w:rsidR="00552DB5" w:rsidRPr="00211EB6">
        <w:t>-</w:t>
      </w:r>
      <w:r w:rsidRPr="00211EB6">
        <w:t xml:space="preserve">based products. For both liquid emulsion based products and </w:t>
      </w:r>
      <w:proofErr w:type="spellStart"/>
      <w:r w:rsidRPr="00211EB6">
        <w:t>wettable</w:t>
      </w:r>
      <w:proofErr w:type="spellEnd"/>
      <w:r w:rsidRPr="00211EB6">
        <w:t xml:space="preserve"> powders this includes the need to ensure that skin</w:t>
      </w:r>
      <w:r w:rsidR="00C85428" w:rsidRPr="00211EB6">
        <w:t>, face, and head be</w:t>
      </w:r>
      <w:r w:rsidRPr="00211EB6">
        <w:t xml:space="preserve"> covered and that chemical-resistant protecti</w:t>
      </w:r>
      <w:r w:rsidR="00661602" w:rsidRPr="00211EB6">
        <w:t>on</w:t>
      </w:r>
      <w:r w:rsidR="000A5D96" w:rsidRPr="00211EB6">
        <w:t xml:space="preserve"> </w:t>
      </w:r>
      <w:r w:rsidRPr="00211EB6">
        <w:t>should be worn at all times</w:t>
      </w:r>
      <w:r w:rsidR="00661602" w:rsidRPr="00211EB6">
        <w:t xml:space="preserve">. </w:t>
      </w:r>
      <w:r w:rsidR="000A5D96" w:rsidRPr="00211EB6">
        <w:t>However, it is suggested that</w:t>
      </w:r>
      <w:r w:rsidR="00305FBB" w:rsidRPr="00211EB6">
        <w:t>,</w:t>
      </w:r>
      <w:r w:rsidR="000A5D96" w:rsidRPr="00211EB6">
        <w:t xml:space="preserve"> in developing countries, highly hazardous pesticides may pose significant risks to human health or the environment, because risk reduction measures such as the use of personal protective equipment or maintenance and calibration of pesticide application equipment are not easily implemented or are not effective (FAO). A number of studies indicate that the level of use and awareness of PPE in </w:t>
      </w:r>
      <w:r w:rsidR="00305FBB" w:rsidRPr="00211EB6">
        <w:t xml:space="preserve">certain </w:t>
      </w:r>
      <w:r w:rsidR="000A5D96" w:rsidRPr="00211EB6">
        <w:t>developing countries is insufficient to ensure the safety of farm workers using hazardous pesticides (Banerjee et al., 2014</w:t>
      </w:r>
      <w:proofErr w:type="gramStart"/>
      <w:r w:rsidR="000A5D96" w:rsidRPr="00211EB6">
        <w:t xml:space="preserve">;  </w:t>
      </w:r>
      <w:proofErr w:type="spellStart"/>
      <w:r w:rsidR="000A5D96" w:rsidRPr="00211EB6">
        <w:t>Gesesew</w:t>
      </w:r>
      <w:proofErr w:type="spellEnd"/>
      <w:proofErr w:type="gramEnd"/>
      <w:r w:rsidR="000A5D96" w:rsidRPr="00211EB6">
        <w:t xml:space="preserve"> et al., 2016; </w:t>
      </w:r>
      <w:proofErr w:type="spellStart"/>
      <w:r w:rsidR="000A5D96" w:rsidRPr="00211EB6">
        <w:t>Neupane</w:t>
      </w:r>
      <w:proofErr w:type="spellEnd"/>
      <w:r w:rsidR="000A5D96" w:rsidRPr="00211EB6">
        <w:t xml:space="preserve"> et al., 2014).</w:t>
      </w:r>
    </w:p>
    <w:p w14:paraId="7FAC806D" w14:textId="76946CCF" w:rsidR="00F7343D" w:rsidRPr="00211EB6" w:rsidRDefault="002C6354" w:rsidP="008C6BCB">
      <w:pPr>
        <w:pStyle w:val="Normalnumber"/>
        <w:numPr>
          <w:ilvl w:val="0"/>
          <w:numId w:val="34"/>
        </w:numPr>
        <w:tabs>
          <w:tab w:val="clear" w:pos="1440"/>
        </w:tabs>
        <w:ind w:left="0" w:firstLine="0"/>
      </w:pPr>
      <w:r w:rsidRPr="00211EB6">
        <w:t xml:space="preserve">Potential for exposure and impacts on human health during the manufacture of </w:t>
      </w:r>
      <w:proofErr w:type="spellStart"/>
      <w:r w:rsidRPr="00211EB6">
        <w:t>dicofol</w:t>
      </w:r>
      <w:proofErr w:type="spellEnd"/>
      <w:r w:rsidRPr="00211EB6">
        <w:t xml:space="preserve"> depend upon the manufacturing process. </w:t>
      </w:r>
      <w:r w:rsidR="00876212" w:rsidRPr="00211EB6">
        <w:t>Chen and Kwan</w:t>
      </w:r>
      <w:r w:rsidR="002F54BB" w:rsidRPr="00211EB6">
        <w:t xml:space="preserve"> (</w:t>
      </w:r>
      <w:r w:rsidRPr="00211EB6">
        <w:t>2013</w:t>
      </w:r>
      <w:r w:rsidR="002F54BB" w:rsidRPr="00211EB6">
        <w:t>)</w:t>
      </w:r>
      <w:r w:rsidRPr="00211EB6">
        <w:t xml:space="preserve"> highlighted the increased risks to workers from production processes using the open-system and </w:t>
      </w:r>
      <w:r w:rsidR="002F54BB" w:rsidRPr="00211EB6">
        <w:t xml:space="preserve">the </w:t>
      </w:r>
      <w:r w:rsidRPr="00211EB6">
        <w:t xml:space="preserve">need to move to closed-system production processes. The OELs presented by Rohm and Haas (reported in Cornell, </w:t>
      </w:r>
      <w:r w:rsidR="00E80328" w:rsidRPr="00211EB6">
        <w:t>1993</w:t>
      </w:r>
      <w:r w:rsidRPr="00211EB6">
        <w:t xml:space="preserve">) and </w:t>
      </w:r>
      <w:proofErr w:type="spellStart"/>
      <w:r w:rsidRPr="00211EB6">
        <w:t>Cropcare</w:t>
      </w:r>
      <w:proofErr w:type="spellEnd"/>
      <w:r w:rsidRPr="00211EB6">
        <w:t xml:space="preserve"> (2001) highlight the dangers of potential atmospheric concentration build up and exposure, particularly through dermal contact with atmospheric </w:t>
      </w:r>
      <w:proofErr w:type="spellStart"/>
      <w:r w:rsidR="007D7355" w:rsidRPr="00211EB6">
        <w:t>vapors</w:t>
      </w:r>
      <w:proofErr w:type="spellEnd"/>
      <w:r w:rsidRPr="00211EB6">
        <w:t xml:space="preserve">. The </w:t>
      </w:r>
      <w:r w:rsidR="00876212" w:rsidRPr="00211EB6">
        <w:t>Chen and Kwan</w:t>
      </w:r>
      <w:r w:rsidR="002F54BB" w:rsidRPr="00211EB6">
        <w:t xml:space="preserve"> (</w:t>
      </w:r>
      <w:r w:rsidRPr="00211EB6">
        <w:t>2013</w:t>
      </w:r>
      <w:r w:rsidR="002F54BB" w:rsidRPr="00211EB6">
        <w:t>)</w:t>
      </w:r>
      <w:r w:rsidRPr="00211EB6">
        <w:t xml:space="preserve"> study notes that the two remaining open-system production plants in China closed in 2009. Indi</w:t>
      </w:r>
      <w:r w:rsidR="00031D22" w:rsidRPr="00211EB6">
        <w:t xml:space="preserve">a’s request for the continuation of </w:t>
      </w:r>
      <w:r w:rsidRPr="00211EB6">
        <w:t xml:space="preserve">the exemption for use of DDT as an intermediate in the manufacture of </w:t>
      </w:r>
      <w:proofErr w:type="spellStart"/>
      <w:r w:rsidRPr="00211EB6">
        <w:t>dicofol</w:t>
      </w:r>
      <w:proofErr w:type="spellEnd"/>
      <w:r w:rsidRPr="00211EB6">
        <w:t xml:space="preserve"> </w:t>
      </w:r>
      <w:r w:rsidR="008F3CB5" w:rsidRPr="00211EB6">
        <w:t xml:space="preserve">indicates that it occurs </w:t>
      </w:r>
      <w:r w:rsidR="00445FC4" w:rsidRPr="00211EB6">
        <w:t xml:space="preserve">in </w:t>
      </w:r>
      <w:r w:rsidR="008F3CB5" w:rsidRPr="00211EB6">
        <w:t xml:space="preserve">a </w:t>
      </w:r>
      <w:r w:rsidR="00445FC4" w:rsidRPr="00211EB6">
        <w:t xml:space="preserve">closed-system process at HIL </w:t>
      </w:r>
      <w:r w:rsidR="00031D22" w:rsidRPr="00211EB6">
        <w:t xml:space="preserve">(UNEP/POPS/COP.7/INF/3) </w:t>
      </w:r>
      <w:r w:rsidR="000A356B" w:rsidRPr="00211EB6">
        <w:t xml:space="preserve">and </w:t>
      </w:r>
      <w:r w:rsidRPr="00211EB6">
        <w:t>states:</w:t>
      </w:r>
      <w:r w:rsidR="00F7343D" w:rsidRPr="00211EB6">
        <w:t xml:space="preserve"> </w:t>
      </w:r>
    </w:p>
    <w:p w14:paraId="17C7C505" w14:textId="5A25BA5D" w:rsidR="002C6354" w:rsidRPr="00211EB6" w:rsidRDefault="007E3F71" w:rsidP="008C6BCB">
      <w:pPr>
        <w:pStyle w:val="Normalnumber"/>
        <w:numPr>
          <w:ilvl w:val="0"/>
          <w:numId w:val="34"/>
        </w:numPr>
        <w:tabs>
          <w:tab w:val="clear" w:pos="1440"/>
        </w:tabs>
        <w:ind w:left="0" w:firstLine="0"/>
      </w:pPr>
      <w:r w:rsidRPr="00211EB6">
        <w:t>“</w:t>
      </w:r>
      <w:proofErr w:type="spellStart"/>
      <w:r w:rsidRPr="00211EB6">
        <w:t>Dicofol</w:t>
      </w:r>
      <w:proofErr w:type="spellEnd"/>
      <w:r w:rsidRPr="00211EB6">
        <w:t xml:space="preserve"> is produced in a closed system in batches. Through condensation of chloral and </w:t>
      </w:r>
      <w:proofErr w:type="spellStart"/>
      <w:r w:rsidRPr="00211EB6">
        <w:t>monochlorobenzene</w:t>
      </w:r>
      <w:proofErr w:type="spellEnd"/>
      <w:r w:rsidRPr="00211EB6">
        <w:t xml:space="preserve"> (MCB), DDT is produced which is further </w:t>
      </w:r>
      <w:proofErr w:type="spellStart"/>
      <w:r w:rsidRPr="00211EB6">
        <w:t>dehydrochlorinated</w:t>
      </w:r>
      <w:proofErr w:type="spellEnd"/>
      <w:r w:rsidRPr="00211EB6">
        <w:t xml:space="preserve"> to DDE followed by </w:t>
      </w:r>
      <w:proofErr w:type="spellStart"/>
      <w:r w:rsidRPr="00211EB6">
        <w:t>tetrachloro</w:t>
      </w:r>
      <w:proofErr w:type="spellEnd"/>
      <w:r w:rsidRPr="00211EB6">
        <w:t xml:space="preserve"> through chlorination.  </w:t>
      </w:r>
      <w:proofErr w:type="spellStart"/>
      <w:r w:rsidRPr="00211EB6">
        <w:t>Tetrachloro</w:t>
      </w:r>
      <w:proofErr w:type="spellEnd"/>
      <w:r w:rsidRPr="00211EB6">
        <w:t xml:space="preserve"> further </w:t>
      </w:r>
      <w:proofErr w:type="spellStart"/>
      <w:r w:rsidR="007D7355" w:rsidRPr="00211EB6">
        <w:t>hydrolyzed</w:t>
      </w:r>
      <w:proofErr w:type="spellEnd"/>
      <w:r w:rsidRPr="00211EB6">
        <w:t xml:space="preserve"> by an acidic medium to produce </w:t>
      </w:r>
      <w:proofErr w:type="spellStart"/>
      <w:r w:rsidRPr="00211EB6">
        <w:t>dicofol</w:t>
      </w:r>
      <w:proofErr w:type="spellEnd"/>
      <w:r w:rsidRPr="00211EB6">
        <w:t xml:space="preserve">.  Non transformed manufacture wastes ethylene dichloride (EDC) is recovered from the final product for re-use through distillation.  Whole manufacturing process is done in closed system where after every </w:t>
      </w:r>
      <w:r w:rsidR="007D7355" w:rsidRPr="00211EB6">
        <w:t>step</w:t>
      </w:r>
      <w:r w:rsidRPr="00211EB6">
        <w:t xml:space="preserve"> transformed materials are transferred through closed lines and reaction process occurs in closed vessel”.</w:t>
      </w:r>
    </w:p>
    <w:p w14:paraId="65DE0830" w14:textId="47DF512C" w:rsidR="002C6354" w:rsidRPr="00211EB6" w:rsidRDefault="002C6354" w:rsidP="008C6BCB">
      <w:pPr>
        <w:pStyle w:val="Normalnumber"/>
        <w:numPr>
          <w:ilvl w:val="0"/>
          <w:numId w:val="34"/>
        </w:numPr>
        <w:tabs>
          <w:tab w:val="clear" w:pos="1440"/>
        </w:tabs>
        <w:ind w:left="0" w:firstLine="0"/>
        <w:rPr>
          <w:i/>
        </w:rPr>
      </w:pPr>
      <w:r w:rsidRPr="00211EB6">
        <w:t xml:space="preserve">It is unclear </w:t>
      </w:r>
      <w:r w:rsidR="00D82901" w:rsidRPr="00211EB6">
        <w:t xml:space="preserve">from publicly available literature </w:t>
      </w:r>
      <w:r w:rsidRPr="00211EB6">
        <w:t xml:space="preserve">whether </w:t>
      </w:r>
      <w:proofErr w:type="spellStart"/>
      <w:r w:rsidRPr="00211EB6">
        <w:t>Adama</w:t>
      </w:r>
      <w:proofErr w:type="spellEnd"/>
      <w:r w:rsidRPr="00211EB6">
        <w:t xml:space="preserve"> Insecticides Limited </w:t>
      </w:r>
      <w:r w:rsidR="008F3CB5" w:rsidRPr="00211EB6">
        <w:t xml:space="preserve">in Israel </w:t>
      </w:r>
      <w:r w:rsidRPr="00211EB6">
        <w:t xml:space="preserve">(formerly </w:t>
      </w:r>
      <w:proofErr w:type="spellStart"/>
      <w:r w:rsidRPr="00211EB6">
        <w:t>Makhteshim</w:t>
      </w:r>
      <w:proofErr w:type="spellEnd"/>
      <w:r w:rsidRPr="00211EB6">
        <w:t xml:space="preserve"> </w:t>
      </w:r>
      <w:proofErr w:type="spellStart"/>
      <w:r w:rsidRPr="00211EB6">
        <w:t>Agan</w:t>
      </w:r>
      <w:proofErr w:type="spellEnd"/>
      <w:r w:rsidRPr="00211EB6">
        <w:t xml:space="preserve">) </w:t>
      </w:r>
      <w:r w:rsidR="00657327" w:rsidRPr="00211EB6">
        <w:t>is</w:t>
      </w:r>
      <w:r w:rsidRPr="00211EB6">
        <w:t xml:space="preserve"> still actively manufacturing </w:t>
      </w:r>
      <w:proofErr w:type="spellStart"/>
      <w:r w:rsidRPr="00211EB6">
        <w:t>dicofol</w:t>
      </w:r>
      <w:proofErr w:type="spellEnd"/>
      <w:r w:rsidRPr="00211EB6">
        <w:t xml:space="preserve"> and whether this process is open or closed.</w:t>
      </w:r>
    </w:p>
    <w:p w14:paraId="11ECFC32" w14:textId="7FFA620A" w:rsidR="002C6354" w:rsidRPr="00211EB6" w:rsidRDefault="002C6354" w:rsidP="008C6BCB">
      <w:pPr>
        <w:pStyle w:val="Normalnumber"/>
        <w:numPr>
          <w:ilvl w:val="0"/>
          <w:numId w:val="34"/>
        </w:numPr>
        <w:tabs>
          <w:tab w:val="clear" w:pos="1440"/>
        </w:tabs>
        <w:ind w:left="0" w:firstLine="0"/>
        <w:rPr>
          <w:i/>
        </w:rPr>
      </w:pPr>
      <w:r w:rsidRPr="00211EB6">
        <w:t>Based on the information reviewed</w:t>
      </w:r>
      <w:r w:rsidR="00AF291F" w:rsidRPr="00211EB6">
        <w:t>,</w:t>
      </w:r>
      <w:r w:rsidRPr="00211EB6">
        <w:t xml:space="preserve"> the restrictions on the </w:t>
      </w:r>
      <w:r w:rsidR="007C2411" w:rsidRPr="00211EB6">
        <w:t xml:space="preserve">production and </w:t>
      </w:r>
      <w:r w:rsidRPr="00211EB6">
        <w:t xml:space="preserve">use of </w:t>
      </w:r>
      <w:proofErr w:type="spellStart"/>
      <w:r w:rsidRPr="00211EB6">
        <w:t>dicofol</w:t>
      </w:r>
      <w:proofErr w:type="spellEnd"/>
      <w:r w:rsidRPr="00211EB6">
        <w:t xml:space="preserve"> could </w:t>
      </w:r>
      <w:r w:rsidR="00031D22" w:rsidRPr="00211EB6">
        <w:t>take</w:t>
      </w:r>
      <w:r w:rsidRPr="00211EB6">
        <w:t xml:space="preserve"> two forms. Firstly</w:t>
      </w:r>
      <w:r w:rsidR="00665F82" w:rsidRPr="00211EB6">
        <w:t>,</w:t>
      </w:r>
      <w:r w:rsidRPr="00211EB6">
        <w:t xml:space="preserve"> to protect </w:t>
      </w:r>
      <w:r w:rsidR="00031D22" w:rsidRPr="00211EB6">
        <w:t xml:space="preserve">manufacturing </w:t>
      </w:r>
      <w:r w:rsidRPr="00211EB6">
        <w:t xml:space="preserve">workers, </w:t>
      </w:r>
      <w:r w:rsidR="00AF291F" w:rsidRPr="00211EB6">
        <w:t xml:space="preserve">occupational </w:t>
      </w:r>
      <w:r w:rsidR="00B87D5A" w:rsidRPr="00211EB6">
        <w:t xml:space="preserve">exposure could be reduced by </w:t>
      </w:r>
      <w:r w:rsidRPr="00211EB6">
        <w:t>phas</w:t>
      </w:r>
      <w:r w:rsidR="00B87D5A" w:rsidRPr="00211EB6">
        <w:t>ing</w:t>
      </w:r>
      <w:r w:rsidRPr="00211EB6">
        <w:t xml:space="preserve">-out all remaining </w:t>
      </w:r>
      <w:r w:rsidR="004E59A7">
        <w:br/>
      </w:r>
      <w:r w:rsidRPr="00211EB6">
        <w:t xml:space="preserve">open-production facilities to </w:t>
      </w:r>
      <w:r w:rsidR="00B87D5A" w:rsidRPr="00211EB6">
        <w:t xml:space="preserve">use </w:t>
      </w:r>
      <w:r w:rsidRPr="00211EB6">
        <w:t xml:space="preserve">closed-systems only. This would </w:t>
      </w:r>
      <w:r w:rsidR="009C39ED" w:rsidRPr="00211EB6">
        <w:t>limit</w:t>
      </w:r>
      <w:r w:rsidRPr="00211EB6">
        <w:t xml:space="preserve"> the risk of exposure during manufacture. Secondly during agricultural use </w:t>
      </w:r>
      <w:r w:rsidR="00B87D5A" w:rsidRPr="00211EB6">
        <w:t xml:space="preserve">of </w:t>
      </w:r>
      <w:proofErr w:type="spellStart"/>
      <w:r w:rsidR="009C39ED" w:rsidRPr="00211EB6">
        <w:t>dicofol</w:t>
      </w:r>
      <w:proofErr w:type="spellEnd"/>
      <w:r w:rsidR="009C39ED" w:rsidRPr="00211EB6">
        <w:t xml:space="preserve"> the use of </w:t>
      </w:r>
      <w:r w:rsidRPr="00211EB6">
        <w:t xml:space="preserve">the correct PPE and suitable REIs </w:t>
      </w:r>
      <w:r w:rsidR="00B87D5A" w:rsidRPr="00211EB6">
        <w:t xml:space="preserve">could help to better </w:t>
      </w:r>
      <w:r w:rsidRPr="00211EB6">
        <w:t>protect farm workers, particularly during</w:t>
      </w:r>
      <w:r w:rsidR="00031D22" w:rsidRPr="00211EB6">
        <w:t xml:space="preserve"> application and</w:t>
      </w:r>
      <w:r w:rsidRPr="00211EB6">
        <w:t xml:space="preserve"> the manual harvest of some crops. </w:t>
      </w:r>
      <w:r w:rsidR="009F652E" w:rsidRPr="00211EB6">
        <w:t>T</w:t>
      </w:r>
      <w:r w:rsidRPr="00211EB6">
        <w:t xml:space="preserve">he issue of exposure via food or </w:t>
      </w:r>
      <w:r w:rsidR="00445FC4" w:rsidRPr="00211EB6">
        <w:t>through</w:t>
      </w:r>
      <w:r w:rsidRPr="00211EB6">
        <w:t xml:space="preserve"> </w:t>
      </w:r>
      <w:r w:rsidR="00445FC4" w:rsidRPr="00211EB6">
        <w:t xml:space="preserve">the </w:t>
      </w:r>
      <w:r w:rsidRPr="00211EB6">
        <w:t xml:space="preserve">environment is more complex, </w:t>
      </w:r>
      <w:r w:rsidR="000739A0" w:rsidRPr="00211EB6">
        <w:t xml:space="preserve">and </w:t>
      </w:r>
      <w:r w:rsidR="00B87D5A" w:rsidRPr="00211EB6">
        <w:t xml:space="preserve">possible restrictions could limit </w:t>
      </w:r>
      <w:r w:rsidRPr="00211EB6">
        <w:t xml:space="preserve">the use of </w:t>
      </w:r>
      <w:proofErr w:type="spellStart"/>
      <w:r w:rsidRPr="00211EB6">
        <w:t>dicofol</w:t>
      </w:r>
      <w:proofErr w:type="spellEnd"/>
      <w:r w:rsidRPr="00211EB6">
        <w:t xml:space="preserve"> to specific crop-pest combinations</w:t>
      </w:r>
      <w:r w:rsidR="00D82901" w:rsidRPr="00211EB6">
        <w:t>, however there is insufficient evidence to conclude how effective this would be</w:t>
      </w:r>
      <w:r w:rsidR="00031D22" w:rsidRPr="00211EB6">
        <w:t>.</w:t>
      </w:r>
      <w:r w:rsidRPr="00211EB6">
        <w:t xml:space="preserve"> </w:t>
      </w:r>
      <w:r w:rsidR="008F3CB5" w:rsidRPr="00211EB6">
        <w:t>A</w:t>
      </w:r>
      <w:r w:rsidRPr="00211EB6">
        <w:t xml:space="preserve"> restriction on production and use would be less effective than a prohibition but would reduce the total quantity of </w:t>
      </w:r>
      <w:proofErr w:type="spellStart"/>
      <w:r w:rsidRPr="00211EB6">
        <w:t>dicofol</w:t>
      </w:r>
      <w:proofErr w:type="spellEnd"/>
      <w:r w:rsidRPr="00211EB6">
        <w:t xml:space="preserve"> used and potential exposure under certain scenarios. </w:t>
      </w:r>
    </w:p>
    <w:p w14:paraId="4B93CD13" w14:textId="62221EC5" w:rsidR="00B90E13" w:rsidRPr="00211EB6" w:rsidRDefault="002C6354" w:rsidP="00C92776">
      <w:pPr>
        <w:pStyle w:val="Heading5"/>
        <w:numPr>
          <w:ilvl w:val="0"/>
          <w:numId w:val="0"/>
        </w:numPr>
        <w:ind w:left="1008" w:hanging="1008"/>
      </w:pPr>
      <w:r w:rsidRPr="00211EB6">
        <w:t xml:space="preserve">Environmentally sound management of obsolete stock; Clean-up of contaminated sites </w:t>
      </w:r>
    </w:p>
    <w:p w14:paraId="002F339D" w14:textId="11C267D2" w:rsidR="002C6354" w:rsidRPr="00211EB6" w:rsidRDefault="00220E67" w:rsidP="008C6BCB">
      <w:pPr>
        <w:pStyle w:val="Normalnumber"/>
        <w:numPr>
          <w:ilvl w:val="0"/>
          <w:numId w:val="34"/>
        </w:numPr>
        <w:tabs>
          <w:tab w:val="clear" w:pos="1440"/>
        </w:tabs>
        <w:ind w:left="0" w:firstLine="0"/>
      </w:pPr>
      <w:r w:rsidRPr="00211EB6">
        <w:t xml:space="preserve">Although global production and use of </w:t>
      </w:r>
      <w:proofErr w:type="spellStart"/>
      <w:r w:rsidRPr="00211EB6">
        <w:t>dicofol</w:t>
      </w:r>
      <w:proofErr w:type="spellEnd"/>
      <w:r w:rsidRPr="00211EB6">
        <w:t xml:space="preserve"> has undergone significant reductions, </w:t>
      </w:r>
      <w:r w:rsidR="00B87D5A" w:rsidRPr="00211EB6">
        <w:t xml:space="preserve">there may </w:t>
      </w:r>
      <w:r w:rsidR="002C6354" w:rsidRPr="00211EB6">
        <w:t xml:space="preserve">potentially </w:t>
      </w:r>
      <w:r w:rsidR="00B87D5A" w:rsidRPr="00211EB6">
        <w:t xml:space="preserve">be </w:t>
      </w:r>
      <w:r w:rsidR="002C6354" w:rsidRPr="00211EB6">
        <w:t xml:space="preserve">stock of </w:t>
      </w:r>
      <w:proofErr w:type="spellStart"/>
      <w:r w:rsidR="002C6354" w:rsidRPr="00211EB6">
        <w:t>dicofol</w:t>
      </w:r>
      <w:proofErr w:type="spellEnd"/>
      <w:r w:rsidR="002C6354" w:rsidRPr="00211EB6">
        <w:t xml:space="preserve"> remaining in a number of locations across the globe. Additionally, the continued manufacture and sale of </w:t>
      </w:r>
      <w:proofErr w:type="spellStart"/>
      <w:r w:rsidR="002C6354" w:rsidRPr="00211EB6">
        <w:t>dicofol</w:t>
      </w:r>
      <w:proofErr w:type="spellEnd"/>
      <w:r w:rsidR="002C6354" w:rsidRPr="00211EB6">
        <w:t xml:space="preserve"> is still </w:t>
      </w:r>
      <w:proofErr w:type="spellStart"/>
      <w:r w:rsidR="002C6354" w:rsidRPr="00211EB6">
        <w:t>ongoing</w:t>
      </w:r>
      <w:proofErr w:type="spellEnd"/>
      <w:r w:rsidRPr="00211EB6">
        <w:t xml:space="preserve"> in a </w:t>
      </w:r>
      <w:r w:rsidR="00902FA4" w:rsidRPr="00211EB6">
        <w:t>limited number of countries</w:t>
      </w:r>
      <w:r w:rsidR="002C6354" w:rsidRPr="00211EB6">
        <w:t xml:space="preserve">. </w:t>
      </w:r>
    </w:p>
    <w:p w14:paraId="2DDBBC1E" w14:textId="6FF1D61E" w:rsidR="002C6354" w:rsidRPr="00211EB6" w:rsidRDefault="002C6354" w:rsidP="008C6BCB">
      <w:pPr>
        <w:pStyle w:val="Normalnumber"/>
        <w:numPr>
          <w:ilvl w:val="0"/>
          <w:numId w:val="34"/>
        </w:numPr>
        <w:tabs>
          <w:tab w:val="clear" w:pos="1440"/>
        </w:tabs>
        <w:ind w:left="0" w:firstLine="0"/>
      </w:pPr>
      <w:r w:rsidRPr="00211EB6">
        <w:t>The management of obsolete stock</w:t>
      </w:r>
      <w:r w:rsidR="004F10E8" w:rsidRPr="00211EB6">
        <w:t xml:space="preserve"> </w:t>
      </w:r>
      <w:r w:rsidRPr="00211EB6">
        <w:t xml:space="preserve">of </w:t>
      </w:r>
      <w:proofErr w:type="spellStart"/>
      <w:r w:rsidRPr="00211EB6">
        <w:t>dicofol</w:t>
      </w:r>
      <w:proofErr w:type="spellEnd"/>
      <w:r w:rsidRPr="00211EB6">
        <w:t xml:space="preserve"> presents a challenging issue due to the complexity of the supply chain and end users. </w:t>
      </w:r>
      <w:proofErr w:type="spellStart"/>
      <w:r w:rsidR="007C2411" w:rsidRPr="00211EB6">
        <w:t>D</w:t>
      </w:r>
      <w:r w:rsidRPr="00211EB6">
        <w:t>icofol</w:t>
      </w:r>
      <w:proofErr w:type="spellEnd"/>
      <w:r w:rsidRPr="00211EB6">
        <w:t xml:space="preserve"> products have been designed both for use on crops within larger scale operations, </w:t>
      </w:r>
      <w:r w:rsidR="004F10E8" w:rsidRPr="00211EB6">
        <w:t xml:space="preserve">and </w:t>
      </w:r>
      <w:r w:rsidRPr="00211EB6">
        <w:t>for use on ornamentals such as orchids and rosebushes</w:t>
      </w:r>
      <w:r w:rsidR="007C2411" w:rsidRPr="00211EB6">
        <w:t>. P</w:t>
      </w:r>
      <w:r w:rsidRPr="00211EB6">
        <w:t xml:space="preserve">roduct size can </w:t>
      </w:r>
      <w:r w:rsidR="007C2411" w:rsidRPr="00211EB6">
        <w:t xml:space="preserve">also </w:t>
      </w:r>
      <w:r w:rsidRPr="00211EB6">
        <w:t>vary significantly from as small as 1 litre containers (</w:t>
      </w:r>
      <w:r w:rsidR="00791F37" w:rsidRPr="00211EB6">
        <w:t xml:space="preserve">AK-20 HC Free, produced by </w:t>
      </w:r>
      <w:proofErr w:type="spellStart"/>
      <w:r w:rsidR="00791F37" w:rsidRPr="00211EB6">
        <w:t>Adama</w:t>
      </w:r>
      <w:proofErr w:type="spellEnd"/>
      <w:r w:rsidR="00FF3A90" w:rsidRPr="00211EB6">
        <w:t>)</w:t>
      </w:r>
      <w:r w:rsidR="00AF1CFA" w:rsidRPr="00211EB6">
        <w:rPr>
          <w:rStyle w:val="FootnoteReference"/>
        </w:rPr>
        <w:footnoteReference w:id="11"/>
      </w:r>
      <w:r w:rsidRPr="00211EB6">
        <w:t xml:space="preserve"> to 200 kg containers (Hindustan Insecticide limited website</w:t>
      </w:r>
      <w:r w:rsidR="00FF3A90" w:rsidRPr="00211EB6">
        <w:t>).</w:t>
      </w:r>
      <w:r w:rsidR="00AF1CFA" w:rsidRPr="00211EB6">
        <w:rPr>
          <w:rStyle w:val="FootnoteReference"/>
        </w:rPr>
        <w:footnoteReference w:id="12"/>
      </w:r>
      <w:r w:rsidRPr="00211EB6">
        <w:t xml:space="preserve"> This makes the identification, collection, and secure destruction of </w:t>
      </w:r>
      <w:proofErr w:type="spellStart"/>
      <w:r w:rsidR="004F10E8" w:rsidRPr="00211EB6">
        <w:t>dicofol</w:t>
      </w:r>
      <w:proofErr w:type="spellEnd"/>
      <w:r w:rsidRPr="00211EB6">
        <w:t xml:space="preserve"> </w:t>
      </w:r>
      <w:r w:rsidR="00E13C1B" w:rsidRPr="00211EB6">
        <w:t xml:space="preserve">stocks </w:t>
      </w:r>
      <w:r w:rsidRPr="00211EB6">
        <w:t xml:space="preserve">particularly challenging due to the disperse nature </w:t>
      </w:r>
      <w:r w:rsidR="004F10E8" w:rsidRPr="00211EB6">
        <w:t>and the locations of remaining stock</w:t>
      </w:r>
      <w:r w:rsidRPr="00211EB6">
        <w:t>. The International POPs Elimination Project (IPEP) (</w:t>
      </w:r>
      <w:proofErr w:type="spellStart"/>
      <w:r w:rsidRPr="00211EB6">
        <w:t>Saoke</w:t>
      </w:r>
      <w:proofErr w:type="spellEnd"/>
      <w:r w:rsidRPr="00211EB6">
        <w:t>,</w:t>
      </w:r>
      <w:r w:rsidR="00E80328" w:rsidRPr="00211EB6">
        <w:t xml:space="preserve"> </w:t>
      </w:r>
      <w:r w:rsidRPr="00211EB6">
        <w:t xml:space="preserve">2005) provides an overview of work conducted in Africa to locate and manage obsolete stock of pesticides in a secure fashion. The study report found the presence of </w:t>
      </w:r>
      <w:proofErr w:type="spellStart"/>
      <w:r w:rsidRPr="00211EB6">
        <w:t>dicofol</w:t>
      </w:r>
      <w:proofErr w:type="spellEnd"/>
      <w:r w:rsidRPr="00211EB6">
        <w:t xml:space="preserve"> based products at two sites in Nairobi with a total quantity of 255 litres of </w:t>
      </w:r>
      <w:proofErr w:type="spellStart"/>
      <w:r w:rsidRPr="00211EB6">
        <w:t>dicofol</w:t>
      </w:r>
      <w:proofErr w:type="spellEnd"/>
      <w:r w:rsidRPr="00211EB6">
        <w:t xml:space="preserve"> (as active ingredient). A further quantity of 0.4kg of </w:t>
      </w:r>
      <w:proofErr w:type="spellStart"/>
      <w:r w:rsidRPr="00211EB6">
        <w:t>dicofol</w:t>
      </w:r>
      <w:proofErr w:type="spellEnd"/>
      <w:r w:rsidRPr="00211EB6">
        <w:t xml:space="preserve"> (total quantity of active ingredient) was also found at a site in the Rift Valley, </w:t>
      </w:r>
      <w:proofErr w:type="spellStart"/>
      <w:r w:rsidRPr="00211EB6">
        <w:t>Na</w:t>
      </w:r>
      <w:r w:rsidR="00657327" w:rsidRPr="00211EB6">
        <w:t>kuru</w:t>
      </w:r>
      <w:proofErr w:type="spellEnd"/>
      <w:r w:rsidRPr="00211EB6">
        <w:t xml:space="preserve">. This highlights the need for education campaigns and concerted efforts to help work with farmers and other consumers to reclaim obsolete products for safe management. It also highlights a potential risk for the mismanagement of obsolete </w:t>
      </w:r>
      <w:r w:rsidR="004F10E8" w:rsidRPr="00211EB6">
        <w:t>stock</w:t>
      </w:r>
      <w:r w:rsidR="00A71D9C" w:rsidRPr="00211EB6">
        <w:t xml:space="preserve"> </w:t>
      </w:r>
      <w:r w:rsidRPr="00211EB6">
        <w:t xml:space="preserve">and potential release to environment either </w:t>
      </w:r>
      <w:r w:rsidR="00955776" w:rsidRPr="00211EB6">
        <w:t>intentionally</w:t>
      </w:r>
      <w:r w:rsidRPr="00211EB6">
        <w:t xml:space="preserve"> or unintentionally from the loss of containment during storage or handling.</w:t>
      </w:r>
    </w:p>
    <w:p w14:paraId="61CC9993" w14:textId="00ECA9FD" w:rsidR="002C6354" w:rsidRPr="00211EB6" w:rsidRDefault="004F10E8" w:rsidP="008C6BCB">
      <w:pPr>
        <w:pStyle w:val="Normalnumber"/>
        <w:numPr>
          <w:ilvl w:val="0"/>
          <w:numId w:val="34"/>
        </w:numPr>
        <w:tabs>
          <w:tab w:val="clear" w:pos="1440"/>
        </w:tabs>
        <w:ind w:left="0" w:firstLine="0"/>
      </w:pPr>
      <w:r w:rsidRPr="00211EB6">
        <w:t>One</w:t>
      </w:r>
      <w:r w:rsidR="002C6354" w:rsidRPr="00211EB6">
        <w:t xml:space="preserve"> option for secure disposal of </w:t>
      </w:r>
      <w:proofErr w:type="spellStart"/>
      <w:r w:rsidR="002C6354" w:rsidRPr="00211EB6">
        <w:t>dicofol</w:t>
      </w:r>
      <w:proofErr w:type="spellEnd"/>
      <w:r w:rsidR="002C6354" w:rsidRPr="00211EB6">
        <w:t xml:space="preserve"> products, as with many other persistent organic pollutant compounds</w:t>
      </w:r>
      <w:r w:rsidR="00C4081C" w:rsidRPr="00211EB6">
        <w:t>,</w:t>
      </w:r>
      <w:r w:rsidR="002C6354" w:rsidRPr="00211EB6">
        <w:t xml:space="preserve"> is through thermal destruction. </w:t>
      </w:r>
      <w:r w:rsidR="00220E67" w:rsidRPr="00211EB6">
        <w:t>Thermal</w:t>
      </w:r>
      <w:r w:rsidR="002C6354" w:rsidRPr="00211EB6">
        <w:t xml:space="preserve"> destruction of </w:t>
      </w:r>
      <w:proofErr w:type="spellStart"/>
      <w:r w:rsidR="002C6354" w:rsidRPr="00211EB6">
        <w:t>dicofol</w:t>
      </w:r>
      <w:proofErr w:type="spellEnd"/>
      <w:r w:rsidR="002C6354" w:rsidRPr="00211EB6">
        <w:t xml:space="preserve"> does not pose a technical problem</w:t>
      </w:r>
      <w:r w:rsidR="00220E67" w:rsidRPr="00211EB6">
        <w:t>, however</w:t>
      </w:r>
      <w:r w:rsidR="002C6354" w:rsidRPr="00211EB6">
        <w:t xml:space="preserve"> access to appropriate destruction facilities is limited</w:t>
      </w:r>
      <w:r w:rsidR="00220E67" w:rsidRPr="00211EB6">
        <w:t xml:space="preserve"> in some countries</w:t>
      </w:r>
      <w:r w:rsidR="002C6354" w:rsidRPr="00211EB6">
        <w:t xml:space="preserve">. </w:t>
      </w:r>
      <w:r w:rsidR="00350FAB" w:rsidRPr="00211EB6">
        <w:t>Torres</w:t>
      </w:r>
      <w:r w:rsidR="00F96C88" w:rsidRPr="00211EB6">
        <w:t xml:space="preserve"> (</w:t>
      </w:r>
      <w:r w:rsidR="002C6354" w:rsidRPr="00211EB6">
        <w:t>2008</w:t>
      </w:r>
      <w:r w:rsidR="00F96C88" w:rsidRPr="00211EB6">
        <w:t>)</w:t>
      </w:r>
      <w:r w:rsidR="002C6354" w:rsidRPr="00211EB6">
        <w:t xml:space="preserve"> also provides details of an alternate means of destruction. This involves the use of supercritical water oxidation (SCWO) and subcritical water oxidation (SBWO). The use of SCWO and SBWO is useful where the maximum organic content is limited to 20%. The process works through the use </w:t>
      </w:r>
      <w:r w:rsidRPr="00211EB6">
        <w:t xml:space="preserve">of </w:t>
      </w:r>
      <w:r w:rsidR="002C6354" w:rsidRPr="00211EB6">
        <w:t xml:space="preserve">oxidant products, such as hydrogen peroxide, oxygen, nitrite, nitrate, and water at temperatures and pressures above the critical point of water (374°C and 218 atmospheres) and in subcritical conditions (370°C and 262 atmospheres) to treat waste. Under these conditions, organic materials become very soluble in water and </w:t>
      </w:r>
      <w:r w:rsidR="00C4081C" w:rsidRPr="00211EB6">
        <w:t xml:space="preserve">are </w:t>
      </w:r>
      <w:r w:rsidR="002C6354" w:rsidRPr="00211EB6">
        <w:t xml:space="preserve">then </w:t>
      </w:r>
      <w:r w:rsidR="00FF3A90" w:rsidRPr="00211EB6">
        <w:t>oxidized</w:t>
      </w:r>
      <w:r w:rsidR="002C6354" w:rsidRPr="00211EB6">
        <w:t xml:space="preserve"> to produce carbon dioxide, water, and salts or inorganic acids. </w:t>
      </w:r>
    </w:p>
    <w:p w14:paraId="123D0B13" w14:textId="2914C34D" w:rsidR="0077348C" w:rsidRPr="00211EB6" w:rsidRDefault="00220E67" w:rsidP="008C6BCB">
      <w:pPr>
        <w:pStyle w:val="Normalnumber"/>
        <w:numPr>
          <w:ilvl w:val="0"/>
          <w:numId w:val="34"/>
        </w:numPr>
        <w:tabs>
          <w:tab w:val="clear" w:pos="1440"/>
        </w:tabs>
        <w:ind w:left="0" w:firstLine="0"/>
      </w:pPr>
      <w:r w:rsidRPr="00211EB6">
        <w:t>C</w:t>
      </w:r>
      <w:r w:rsidR="002C6354" w:rsidRPr="00211EB6">
        <w:t>ontaminated sites, particular</w:t>
      </w:r>
      <w:r w:rsidR="00C4081C" w:rsidRPr="00211EB6">
        <w:t>ly</w:t>
      </w:r>
      <w:r w:rsidR="002C6354" w:rsidRPr="00211EB6">
        <w:t xml:space="preserve"> at former manufactur</w:t>
      </w:r>
      <w:r w:rsidR="00305FBB" w:rsidRPr="00211EB6">
        <w:t>ing</w:t>
      </w:r>
      <w:r w:rsidRPr="00211EB6">
        <w:t xml:space="preserve"> sites</w:t>
      </w:r>
      <w:r w:rsidR="002D3E54" w:rsidRPr="00211EB6">
        <w:t>, remain a concern</w:t>
      </w:r>
      <w:r w:rsidR="002C6354" w:rsidRPr="00211EB6">
        <w:t xml:space="preserve">. </w:t>
      </w:r>
      <w:r w:rsidR="0077348C" w:rsidRPr="00211EB6">
        <w:t xml:space="preserve">Chen and Kwan (2013) discuss the identification of two contaminated sites of former manufacture where </w:t>
      </w:r>
      <w:proofErr w:type="spellStart"/>
      <w:r w:rsidR="0077348C" w:rsidRPr="00211EB6">
        <w:t>dicofol</w:t>
      </w:r>
      <w:proofErr w:type="spellEnd"/>
      <w:r w:rsidR="0077348C" w:rsidRPr="00211EB6">
        <w:t xml:space="preserve"> was produced using open systems. The Great </w:t>
      </w:r>
      <w:r w:rsidR="00922405" w:rsidRPr="00211EB6">
        <w:t>W</w:t>
      </w:r>
      <w:r w:rsidR="0077348C" w:rsidRPr="00211EB6">
        <w:t xml:space="preserve">all </w:t>
      </w:r>
      <w:r w:rsidR="00922405" w:rsidRPr="00211EB6">
        <w:t>P</w:t>
      </w:r>
      <w:r w:rsidR="0077348C" w:rsidRPr="00211EB6">
        <w:t xml:space="preserve">esticide and </w:t>
      </w:r>
      <w:r w:rsidR="00922405" w:rsidRPr="00211EB6">
        <w:t>C</w:t>
      </w:r>
      <w:r w:rsidR="0077348C" w:rsidRPr="00211EB6">
        <w:t xml:space="preserve">hemical </w:t>
      </w:r>
      <w:r w:rsidR="00922405" w:rsidRPr="00211EB6">
        <w:t>G</w:t>
      </w:r>
      <w:r w:rsidR="0077348C" w:rsidRPr="00211EB6">
        <w:t xml:space="preserve">roup site at </w:t>
      </w:r>
      <w:proofErr w:type="spellStart"/>
      <w:r w:rsidR="0077348C" w:rsidRPr="00211EB6">
        <w:t>Zhanjiakau</w:t>
      </w:r>
      <w:proofErr w:type="spellEnd"/>
      <w:r w:rsidR="0077348C" w:rsidRPr="00211EB6">
        <w:t xml:space="preserve"> in the </w:t>
      </w:r>
      <w:proofErr w:type="spellStart"/>
      <w:r w:rsidR="0077348C" w:rsidRPr="00211EB6">
        <w:t>Hebei</w:t>
      </w:r>
      <w:proofErr w:type="spellEnd"/>
      <w:r w:rsidR="0077348C" w:rsidRPr="00211EB6">
        <w:t xml:space="preserve"> province of China was remediated by Veolia in 2012, while the second site at Shandong owned by the Da Cheng </w:t>
      </w:r>
      <w:r w:rsidR="00D46E94" w:rsidRPr="00211EB6">
        <w:t>Company</w:t>
      </w:r>
      <w:r w:rsidR="0077348C" w:rsidRPr="00211EB6">
        <w:t xml:space="preserve"> still awaits remediation. Liu et al (2015), provide details of a soil sampling study at a former </w:t>
      </w:r>
      <w:proofErr w:type="spellStart"/>
      <w:r w:rsidR="0077348C" w:rsidRPr="00211EB6">
        <w:t>dicofol</w:t>
      </w:r>
      <w:proofErr w:type="spellEnd"/>
      <w:r w:rsidR="0077348C" w:rsidRPr="00211EB6">
        <w:t xml:space="preserve"> manufacture site in Shandong. </w:t>
      </w:r>
      <w:proofErr w:type="spellStart"/>
      <w:r w:rsidR="0077348C" w:rsidRPr="00211EB6">
        <w:t>Dicofol</w:t>
      </w:r>
      <w:proofErr w:type="spellEnd"/>
      <w:r w:rsidR="0077348C" w:rsidRPr="00211EB6">
        <w:t xml:space="preserve"> was detected in </w:t>
      </w:r>
      <w:r w:rsidR="00D46E94" w:rsidRPr="00211EB6">
        <w:t xml:space="preserve">soil cores in </w:t>
      </w:r>
      <w:r w:rsidR="0077348C" w:rsidRPr="00211EB6">
        <w:t xml:space="preserve">concentrations ranging from 0.5 </w:t>
      </w:r>
      <w:r w:rsidR="00AC324E" w:rsidRPr="00211EB6">
        <w:t xml:space="preserve">to </w:t>
      </w:r>
      <w:r w:rsidR="0077348C" w:rsidRPr="00211EB6">
        <w:t>1440</w:t>
      </w:r>
      <w:r w:rsidR="00AC324E" w:rsidRPr="00211EB6">
        <w:t xml:space="preserve"> </w:t>
      </w:r>
      <w:r w:rsidR="0077348C" w:rsidRPr="00211EB6">
        <w:t xml:space="preserve">mg/kg, with the highest concentrations </w:t>
      </w:r>
      <w:r w:rsidR="00D46E94" w:rsidRPr="00211EB6">
        <w:t>found</w:t>
      </w:r>
      <w:r w:rsidR="0077348C" w:rsidRPr="00211EB6">
        <w:t xml:space="preserve"> in the middle of the production facility area. This was despite the fact that the original surface had been a concrete floor approximately 0.5 metres thick. Soil cores were taken from surface level to a depth of 5 metres, with the highest </w:t>
      </w:r>
      <w:proofErr w:type="spellStart"/>
      <w:r w:rsidR="0077348C" w:rsidRPr="00211EB6">
        <w:t>dicofol</w:t>
      </w:r>
      <w:proofErr w:type="spellEnd"/>
      <w:r w:rsidR="0077348C" w:rsidRPr="00211EB6">
        <w:t xml:space="preserve"> concentrations found in the 2.5-3</w:t>
      </w:r>
      <w:r w:rsidR="00AC324E" w:rsidRPr="00211EB6">
        <w:t xml:space="preserve"> </w:t>
      </w:r>
      <w:r w:rsidR="0077348C" w:rsidRPr="00211EB6">
        <w:t xml:space="preserve">metre range. While the study does not provide details </w:t>
      </w:r>
      <w:r w:rsidR="00AC324E" w:rsidRPr="00211EB6">
        <w:t>of</w:t>
      </w:r>
      <w:r w:rsidR="0077348C" w:rsidRPr="00211EB6">
        <w:t xml:space="preserve"> the cost of remediation</w:t>
      </w:r>
      <w:r w:rsidR="00AC324E" w:rsidRPr="00211EB6">
        <w:t>,</w:t>
      </w:r>
      <w:r w:rsidR="0077348C" w:rsidRPr="00211EB6">
        <w:t xml:space="preserve"> comparison to similar remediation of contaminated soils (involving excavation and thermal </w:t>
      </w:r>
      <w:r w:rsidR="00A70F5E" w:rsidRPr="00211EB6">
        <w:t>treatment</w:t>
      </w:r>
      <w:r w:rsidR="0077348C" w:rsidRPr="00211EB6">
        <w:t xml:space="preserve">) </w:t>
      </w:r>
      <w:r w:rsidR="00A70F5E" w:rsidRPr="00211EB6">
        <w:t xml:space="preserve">quoted within the RME for PCP (UNEP/POPS/POPRC.10/2) provides estimates of around 3.2 million USD for a former contaminated production site for PCP in </w:t>
      </w:r>
      <w:proofErr w:type="spellStart"/>
      <w:r w:rsidR="00A70F5E" w:rsidRPr="00211EB6">
        <w:t>Haverton</w:t>
      </w:r>
      <w:proofErr w:type="spellEnd"/>
      <w:r w:rsidR="00A70F5E" w:rsidRPr="00211EB6">
        <w:t xml:space="preserve">, </w:t>
      </w:r>
      <w:r w:rsidR="00D46E94" w:rsidRPr="00211EB6">
        <w:t xml:space="preserve">USA </w:t>
      </w:r>
      <w:r w:rsidR="00A70F5E" w:rsidRPr="00211EB6">
        <w:t>and 3.7 million USD (converted from NZ dollars) for a similar former site of production in New Zealand.</w:t>
      </w:r>
    </w:p>
    <w:p w14:paraId="012C79FE" w14:textId="70B55C2C" w:rsidR="002C6354" w:rsidRPr="00211EB6" w:rsidRDefault="002C6354" w:rsidP="008C6BCB">
      <w:pPr>
        <w:pStyle w:val="Normalnumber"/>
        <w:numPr>
          <w:ilvl w:val="0"/>
          <w:numId w:val="34"/>
        </w:numPr>
        <w:tabs>
          <w:tab w:val="clear" w:pos="1440"/>
        </w:tabs>
        <w:ind w:left="0" w:firstLine="0"/>
      </w:pPr>
      <w:proofErr w:type="spellStart"/>
      <w:r w:rsidRPr="00211EB6">
        <w:t>Dicofol</w:t>
      </w:r>
      <w:proofErr w:type="spellEnd"/>
      <w:r w:rsidRPr="00211EB6">
        <w:t xml:space="preserve"> has been produced and formulated by a number of operators in a wide set of geographies spanning most continents. </w:t>
      </w:r>
      <w:r w:rsidR="00876212" w:rsidRPr="00211EB6">
        <w:t>Chen and Kwan</w:t>
      </w:r>
      <w:r w:rsidRPr="00211EB6">
        <w:t xml:space="preserve"> </w:t>
      </w:r>
      <w:r w:rsidR="00C4081C" w:rsidRPr="00211EB6">
        <w:t>(</w:t>
      </w:r>
      <w:r w:rsidRPr="00211EB6">
        <w:t>2013</w:t>
      </w:r>
      <w:r w:rsidR="00C4081C" w:rsidRPr="00211EB6">
        <w:t>)</w:t>
      </w:r>
      <w:r w:rsidRPr="00211EB6">
        <w:t xml:space="preserve"> highlight</w:t>
      </w:r>
      <w:r w:rsidR="007C2411" w:rsidRPr="00211EB6">
        <w:t>ed</w:t>
      </w:r>
      <w:r w:rsidRPr="00211EB6">
        <w:t xml:space="preserve"> the significance of </w:t>
      </w:r>
      <w:proofErr w:type="spellStart"/>
      <w:r w:rsidRPr="00211EB6">
        <w:t>dicofol</w:t>
      </w:r>
      <w:proofErr w:type="spellEnd"/>
      <w:r w:rsidRPr="00211EB6">
        <w:t xml:space="preserve"> manufacture for the </w:t>
      </w:r>
      <w:r w:rsidR="00D21B29" w:rsidRPr="00211EB6">
        <w:t xml:space="preserve">emissions to environment of </w:t>
      </w:r>
      <w:proofErr w:type="spellStart"/>
      <w:r w:rsidR="00D21B29" w:rsidRPr="00211EB6">
        <w:t>dicofol</w:t>
      </w:r>
      <w:proofErr w:type="spellEnd"/>
      <w:r w:rsidR="00D21B29" w:rsidRPr="00211EB6">
        <w:t xml:space="preserve">, and contamination of soil, sediment and biota.  </w:t>
      </w:r>
      <w:r w:rsidR="007C2411" w:rsidRPr="00211EB6">
        <w:t>Furthermore,</w:t>
      </w:r>
      <w:r w:rsidRPr="00211EB6">
        <w:t xml:space="preserve"> </w:t>
      </w:r>
      <w:proofErr w:type="spellStart"/>
      <w:r w:rsidR="007C2411" w:rsidRPr="00211EB6">
        <w:t>Qiu</w:t>
      </w:r>
      <w:proofErr w:type="spellEnd"/>
      <w:r w:rsidR="007C2411" w:rsidRPr="00211EB6">
        <w:t xml:space="preserve"> </w:t>
      </w:r>
      <w:r w:rsidR="00E80328" w:rsidRPr="00211EB6">
        <w:rPr>
          <w:i/>
        </w:rPr>
        <w:t>et al</w:t>
      </w:r>
      <w:r w:rsidR="00E80328" w:rsidRPr="00211EB6">
        <w:t>. (2005)</w:t>
      </w:r>
      <w:r w:rsidRPr="00211EB6">
        <w:t xml:space="preserve"> commented on atmospheric concentrations of DDT over the </w:t>
      </w:r>
      <w:proofErr w:type="spellStart"/>
      <w:r w:rsidRPr="00211EB6">
        <w:t>Taihu</w:t>
      </w:r>
      <w:proofErr w:type="spellEnd"/>
      <w:r w:rsidRPr="00211EB6">
        <w:t xml:space="preserve"> Lake, near Shanghai</w:t>
      </w:r>
      <w:r w:rsidR="003D0467" w:rsidRPr="00211EB6">
        <w:t>,</w:t>
      </w:r>
      <w:r w:rsidRPr="00211EB6">
        <w:t xml:space="preserve"> which were identified as being linked with the manufacture of </w:t>
      </w:r>
      <w:proofErr w:type="spellStart"/>
      <w:r w:rsidRPr="00211EB6">
        <w:t>dicofol</w:t>
      </w:r>
      <w:proofErr w:type="spellEnd"/>
      <w:r w:rsidRPr="00211EB6">
        <w:t xml:space="preserve"> at a plant on the north side of the lake. The monitoring and remediation of contaminated sites is a significant undertaking which will in turn likely have high associated costs.</w:t>
      </w:r>
    </w:p>
    <w:p w14:paraId="2250B3BB" w14:textId="103EE701" w:rsidR="002C6354" w:rsidRPr="00211EB6" w:rsidRDefault="002C6354" w:rsidP="008C6BCB">
      <w:pPr>
        <w:pStyle w:val="Normalnumber"/>
        <w:numPr>
          <w:ilvl w:val="0"/>
          <w:numId w:val="34"/>
        </w:numPr>
        <w:tabs>
          <w:tab w:val="clear" w:pos="1440"/>
        </w:tabs>
        <w:ind w:left="0" w:firstLine="0"/>
      </w:pPr>
      <w:r w:rsidRPr="00211EB6">
        <w:t xml:space="preserve">To </w:t>
      </w:r>
      <w:r w:rsidR="00FF3A90" w:rsidRPr="00211EB6">
        <w:t>summarize</w:t>
      </w:r>
      <w:r w:rsidR="00C4081C" w:rsidRPr="00211EB6">
        <w:t>,</w:t>
      </w:r>
      <w:r w:rsidRPr="00211EB6">
        <w:t xml:space="preserve"> while there has been a decline in the production and use of </w:t>
      </w:r>
      <w:proofErr w:type="spellStart"/>
      <w:r w:rsidRPr="00211EB6">
        <w:t>dicofol</w:t>
      </w:r>
      <w:proofErr w:type="spellEnd"/>
      <w:r w:rsidRPr="00211EB6">
        <w:t xml:space="preserve">, it has been manufactured in significant quantities, with a diverse set of potential applications and end users. This represents a complex supply chain and challenge for the identification, collection and safe destruction of obsolete </w:t>
      </w:r>
      <w:r w:rsidR="004F10E8" w:rsidRPr="00211EB6">
        <w:t xml:space="preserve">stock </w:t>
      </w:r>
      <w:r w:rsidRPr="00211EB6">
        <w:t xml:space="preserve">of </w:t>
      </w:r>
      <w:proofErr w:type="spellStart"/>
      <w:r w:rsidRPr="00211EB6">
        <w:t>dicofol</w:t>
      </w:r>
      <w:proofErr w:type="spellEnd"/>
      <w:r w:rsidRPr="00211EB6">
        <w:t xml:space="preserve">. While the sale of such goods may have been appropriately labelled </w:t>
      </w:r>
      <w:r w:rsidR="00953D70" w:rsidRPr="00211EB6">
        <w:t xml:space="preserve">(with safety information) </w:t>
      </w:r>
      <w:r w:rsidRPr="00211EB6">
        <w:t xml:space="preserve">to help identify </w:t>
      </w:r>
      <w:proofErr w:type="spellStart"/>
      <w:r w:rsidR="002D3E54" w:rsidRPr="00211EB6">
        <w:t>dicofol</w:t>
      </w:r>
      <w:proofErr w:type="spellEnd"/>
      <w:r w:rsidR="002D3E54" w:rsidRPr="00211EB6">
        <w:t xml:space="preserve"> products</w:t>
      </w:r>
      <w:r w:rsidRPr="00211EB6">
        <w:t xml:space="preserve">, an awareness campaign and concerted efforts working with farming communities and other end users would likely be needed to help manage the collection and safe destruction of </w:t>
      </w:r>
      <w:r w:rsidR="004F10E8" w:rsidRPr="00211EB6">
        <w:t xml:space="preserve">obsolete stock </w:t>
      </w:r>
      <w:r w:rsidRPr="00211EB6">
        <w:t xml:space="preserve">to prevent mismanaged loss to </w:t>
      </w:r>
      <w:r w:rsidR="00235734" w:rsidRPr="00211EB6">
        <w:t xml:space="preserve">the </w:t>
      </w:r>
      <w:r w:rsidR="0078079D" w:rsidRPr="00211EB6">
        <w:t>environment.</w:t>
      </w:r>
    </w:p>
    <w:p w14:paraId="0D0BD817" w14:textId="77777777" w:rsidR="006308D4" w:rsidRPr="00211EB6" w:rsidRDefault="002C6354" w:rsidP="00C92776">
      <w:pPr>
        <w:pStyle w:val="Heading5"/>
        <w:numPr>
          <w:ilvl w:val="0"/>
          <w:numId w:val="0"/>
        </w:numPr>
        <w:ind w:left="1008" w:hanging="1008"/>
      </w:pPr>
      <w:r w:rsidRPr="00211EB6">
        <w:t>Establishment of maximum residue limits in water, soil, sediment or food</w:t>
      </w:r>
    </w:p>
    <w:p w14:paraId="1A6DB074" w14:textId="2CA3692F" w:rsidR="002C6354" w:rsidRPr="00211EB6" w:rsidRDefault="002C6354" w:rsidP="008C6BCB">
      <w:pPr>
        <w:pStyle w:val="Normalnumber"/>
        <w:numPr>
          <w:ilvl w:val="0"/>
          <w:numId w:val="34"/>
        </w:numPr>
        <w:tabs>
          <w:tab w:val="clear" w:pos="1440"/>
        </w:tabs>
        <w:ind w:left="0" w:firstLine="0"/>
      </w:pPr>
      <w:r w:rsidRPr="00211EB6">
        <w:t xml:space="preserve">There is only limited data on the setting of maximum environmental levels for </w:t>
      </w:r>
      <w:proofErr w:type="spellStart"/>
      <w:r w:rsidRPr="00211EB6">
        <w:t>dicofol</w:t>
      </w:r>
      <w:proofErr w:type="spellEnd"/>
      <w:r w:rsidRPr="00211EB6">
        <w:t>.</w:t>
      </w:r>
      <w:r w:rsidR="003300DA" w:rsidRPr="00211EB6">
        <w:t xml:space="preserve"> T</w:t>
      </w:r>
      <w:r w:rsidRPr="00211EB6">
        <w:t xml:space="preserve">he EU Directive on Environmental Quality Standards (EQS) (2013/39/EU) sets both maximum annual average concentrations for surface waters and maximum concentrations in aquatic biota. For surface waters these values are </w:t>
      </w:r>
      <w:proofErr w:type="gramStart"/>
      <w:r w:rsidRPr="00211EB6">
        <w:t xml:space="preserve">1.3 </w:t>
      </w:r>
      <w:proofErr w:type="spellStart"/>
      <w:r w:rsidRPr="00211EB6">
        <w:t>ng</w:t>
      </w:r>
      <w:proofErr w:type="spellEnd"/>
      <w:r w:rsidRPr="00211EB6">
        <w:t xml:space="preserve">/l (reported </w:t>
      </w:r>
      <w:r w:rsidR="00157099" w:rsidRPr="00211EB6">
        <w:t xml:space="preserve">within the EQS Directive </w:t>
      </w:r>
      <w:r w:rsidRPr="00211EB6">
        <w:t>as 1.3 x10</w:t>
      </w:r>
      <w:r w:rsidRPr="00211EB6">
        <w:rPr>
          <w:vertAlign w:val="superscript"/>
        </w:rPr>
        <w:t>-3</w:t>
      </w:r>
      <w:r w:rsidRPr="00211EB6">
        <w:t xml:space="preserve"> µg/l)</w:t>
      </w:r>
      <w:proofErr w:type="gramEnd"/>
      <w:r w:rsidRPr="00211EB6">
        <w:t xml:space="preserve"> for inland waters and 0.032 </w:t>
      </w:r>
      <w:proofErr w:type="spellStart"/>
      <w:r w:rsidRPr="00211EB6">
        <w:t>ng</w:t>
      </w:r>
      <w:proofErr w:type="spellEnd"/>
      <w:r w:rsidRPr="00211EB6">
        <w:t>/l (reported as 3.2 x10</w:t>
      </w:r>
      <w:r w:rsidRPr="00211EB6">
        <w:rPr>
          <w:vertAlign w:val="superscript"/>
        </w:rPr>
        <w:t xml:space="preserve">-5 </w:t>
      </w:r>
      <w:r w:rsidRPr="00211EB6">
        <w:t xml:space="preserve">µg/l) for all other surface waters. The maximum concentrate for biota within the aquatic compartment is 0.033 mg/kg (reported </w:t>
      </w:r>
      <w:r w:rsidR="00157099" w:rsidRPr="00211EB6">
        <w:t xml:space="preserve">in the EQS Directive </w:t>
      </w:r>
      <w:r w:rsidRPr="00211EB6">
        <w:t xml:space="preserve">as </w:t>
      </w:r>
      <w:r w:rsidR="00157099" w:rsidRPr="00211EB6">
        <w:t xml:space="preserve">33 </w:t>
      </w:r>
      <w:r w:rsidRPr="00211EB6">
        <w:t xml:space="preserve">µg/kg) wet weight. </w:t>
      </w:r>
      <w:r w:rsidR="00E17CB4" w:rsidRPr="00211EB6">
        <w:t>As a means of comparison</w:t>
      </w:r>
      <w:r w:rsidR="00AC324E" w:rsidRPr="00211EB6">
        <w:t>,</w:t>
      </w:r>
      <w:r w:rsidR="00E17CB4" w:rsidRPr="00211EB6">
        <w:t xml:space="preserve"> research by Loos (2012) provided limits of quantification for surface waters as low </w:t>
      </w:r>
      <w:proofErr w:type="gramStart"/>
      <w:r w:rsidR="00E17CB4" w:rsidRPr="00211EB6">
        <w:t>as 0.005 µg/l</w:t>
      </w:r>
      <w:proofErr w:type="gramEnd"/>
      <w:r w:rsidR="00E17CB4" w:rsidRPr="00211EB6">
        <w:t xml:space="preserve">. </w:t>
      </w:r>
      <w:r w:rsidRPr="00211EB6">
        <w:t>The dossier</w:t>
      </w:r>
      <w:r w:rsidR="003D0467" w:rsidRPr="00211EB6">
        <w:t>,</w:t>
      </w:r>
      <w:r w:rsidRPr="00211EB6">
        <w:t xml:space="preserve"> developed as the evidence base for creation of critical thresholds under the EQS </w:t>
      </w:r>
      <w:r w:rsidR="00157099" w:rsidRPr="00211EB6">
        <w:t xml:space="preserve">Directive </w:t>
      </w:r>
      <w:r w:rsidRPr="00211EB6">
        <w:t xml:space="preserve">also provides data on </w:t>
      </w:r>
      <w:r w:rsidR="00FD19D5" w:rsidRPr="00211EB6">
        <w:t xml:space="preserve">a wide range of </w:t>
      </w:r>
      <w:r w:rsidRPr="00211EB6">
        <w:t>predicted environmental concentrations (PEC) for Europe. The PEC values quoted in the dossier (</w:t>
      </w:r>
      <w:r w:rsidR="00E80328" w:rsidRPr="00211EB6">
        <w:t xml:space="preserve">EC </w:t>
      </w:r>
      <w:proofErr w:type="spellStart"/>
      <w:r w:rsidRPr="00211EB6">
        <w:t>Dicofol</w:t>
      </w:r>
      <w:proofErr w:type="spellEnd"/>
      <w:r w:rsidRPr="00211EB6">
        <w:t xml:space="preserve"> EQS dossier, 2011) range </w:t>
      </w:r>
      <w:proofErr w:type="gramStart"/>
      <w:r w:rsidRPr="00211EB6">
        <w:t xml:space="preserve">from 0.097 µg/l as a measured concentration by James </w:t>
      </w:r>
      <w:r w:rsidRPr="00211EB6">
        <w:rPr>
          <w:i/>
        </w:rPr>
        <w:t>et al</w:t>
      </w:r>
      <w:r w:rsidR="001F51DB" w:rsidRPr="00211EB6">
        <w:t>. (</w:t>
      </w:r>
      <w:r w:rsidRPr="00211EB6">
        <w:t>2009</w:t>
      </w:r>
      <w:r w:rsidR="001F51DB" w:rsidRPr="00211EB6">
        <w:t>)</w:t>
      </w:r>
      <w:proofErr w:type="gramEnd"/>
      <w:r w:rsidRPr="00211EB6">
        <w:t xml:space="preserve"> </w:t>
      </w:r>
      <w:r w:rsidR="00235734" w:rsidRPr="00211EB6">
        <w:t xml:space="preserve">to </w:t>
      </w:r>
      <w:r w:rsidRPr="00211EB6">
        <w:t xml:space="preserve">115 µg/l as a modelled concentration by </w:t>
      </w:r>
      <w:proofErr w:type="spellStart"/>
      <w:r w:rsidRPr="00211EB6">
        <w:t>Daginnus</w:t>
      </w:r>
      <w:proofErr w:type="spellEnd"/>
      <w:r w:rsidRPr="00211EB6">
        <w:t xml:space="preserve"> </w:t>
      </w:r>
      <w:r w:rsidRPr="00211EB6">
        <w:rPr>
          <w:i/>
        </w:rPr>
        <w:t>et al</w:t>
      </w:r>
      <w:r w:rsidR="001F51DB" w:rsidRPr="00211EB6">
        <w:t>. (</w:t>
      </w:r>
      <w:r w:rsidRPr="00211EB6">
        <w:t>2009</w:t>
      </w:r>
      <w:r w:rsidR="001F51DB" w:rsidRPr="00211EB6">
        <w:t>)</w:t>
      </w:r>
      <w:r w:rsidRPr="00211EB6">
        <w:t>.</w:t>
      </w:r>
    </w:p>
    <w:p w14:paraId="7D1715E9" w14:textId="54A8D9B9" w:rsidR="002C6354" w:rsidRPr="00211EB6" w:rsidRDefault="002C6354" w:rsidP="008C6BCB">
      <w:pPr>
        <w:pStyle w:val="Normalnumber"/>
        <w:numPr>
          <w:ilvl w:val="0"/>
          <w:numId w:val="34"/>
        </w:numPr>
        <w:tabs>
          <w:tab w:val="clear" w:pos="1440"/>
        </w:tabs>
        <w:ind w:left="0" w:firstLine="0"/>
      </w:pPr>
      <w:r w:rsidRPr="00211EB6">
        <w:t>Under the EU regulation on pesticide residues in food and feed (EU 899/2012) (Austria</w:t>
      </w:r>
      <w:r w:rsidR="00791F37" w:rsidRPr="00211EB6">
        <w:t>,</w:t>
      </w:r>
      <w:r w:rsidRPr="00211EB6">
        <w:t xml:space="preserve"> </w:t>
      </w:r>
      <w:r w:rsidR="00791F37" w:rsidRPr="00211EB6">
        <w:t>2016</w:t>
      </w:r>
      <w:r w:rsidRPr="00211EB6">
        <w:t xml:space="preserve">) maximum allowable concentrations are set for </w:t>
      </w:r>
      <w:proofErr w:type="spellStart"/>
      <w:r w:rsidRPr="00211EB6">
        <w:t>dicofol</w:t>
      </w:r>
      <w:proofErr w:type="spellEnd"/>
      <w:r w:rsidRPr="00211EB6">
        <w:t xml:space="preserve"> in a variety of food and feed goods. </w:t>
      </w:r>
      <w:r w:rsidR="00E637FA" w:rsidRPr="00211EB6">
        <w:t xml:space="preserve">In Australia, all pesticides registered for use have maximum residues limits for all domestic production set under the Agricultural and Veterinary Chemicals Code Instrument No. 4 (MRL Standard) </w:t>
      </w:r>
      <w:r w:rsidR="00D64DEC" w:rsidRPr="00211EB6">
        <w:t>establish</w:t>
      </w:r>
      <w:r w:rsidR="00E637FA" w:rsidRPr="00211EB6">
        <w:t>ed in 2012.</w:t>
      </w:r>
      <w:r w:rsidRPr="00211EB6">
        <w:t xml:space="preserve"> Additionally</w:t>
      </w:r>
      <w:r w:rsidR="003D0467" w:rsidRPr="00211EB6">
        <w:t>,</w:t>
      </w:r>
      <w:r w:rsidRPr="00211EB6">
        <w:t xml:space="preserve"> the US </w:t>
      </w:r>
      <w:r w:rsidR="000A356B" w:rsidRPr="00211EB6">
        <w:t>F</w:t>
      </w:r>
      <w:r w:rsidRPr="00211EB6">
        <w:t xml:space="preserve">ood and </w:t>
      </w:r>
      <w:r w:rsidR="000A356B" w:rsidRPr="00211EB6">
        <w:t>D</w:t>
      </w:r>
      <w:r w:rsidRPr="00211EB6">
        <w:t xml:space="preserve">rug </w:t>
      </w:r>
      <w:r w:rsidR="000A356B" w:rsidRPr="00211EB6">
        <w:t>A</w:t>
      </w:r>
      <w:r w:rsidRPr="00211EB6">
        <w:t>dministration (US FDA), under CPG Sec. 575.100 sets maximum concentrations for food and feed for a variety of different pesticides. Under the US FDA</w:t>
      </w:r>
      <w:r w:rsidR="003D0467" w:rsidRPr="00211EB6">
        <w:t>,</w:t>
      </w:r>
      <w:r w:rsidRPr="00211EB6">
        <w:t xml:space="preserve"> the maximum allowable concentration for </w:t>
      </w:r>
      <w:proofErr w:type="spellStart"/>
      <w:r w:rsidRPr="00211EB6">
        <w:t>dicofol</w:t>
      </w:r>
      <w:proofErr w:type="spellEnd"/>
      <w:r w:rsidRPr="00211EB6">
        <w:t xml:space="preserve"> within animal feed is 0.5 mg/kg (reported as 0.5 ppm) </w:t>
      </w:r>
      <w:r w:rsidR="005F4BFF" w:rsidRPr="00211EB6">
        <w:t>(US FDA, 2016)</w:t>
      </w:r>
      <w:r w:rsidR="000A356B" w:rsidRPr="00211EB6">
        <w:t>.</w:t>
      </w:r>
    </w:p>
    <w:p w14:paraId="79B083F0" w14:textId="35027E7C" w:rsidR="0032437D" w:rsidRPr="00211EB6" w:rsidRDefault="0032437D" w:rsidP="008C6BCB">
      <w:pPr>
        <w:pStyle w:val="Normalnumber"/>
        <w:numPr>
          <w:ilvl w:val="0"/>
          <w:numId w:val="34"/>
        </w:numPr>
        <w:tabs>
          <w:tab w:val="clear" w:pos="1440"/>
        </w:tabs>
        <w:ind w:left="0" w:firstLine="0"/>
      </w:pPr>
      <w:r w:rsidRPr="00211EB6">
        <w:t xml:space="preserve">Maximum residue limits </w:t>
      </w:r>
      <w:r w:rsidR="008A0D01" w:rsidRPr="00211EB6">
        <w:t xml:space="preserve">(MRLs) </w:t>
      </w:r>
      <w:r w:rsidRPr="00211EB6">
        <w:t xml:space="preserve">for </w:t>
      </w:r>
      <w:proofErr w:type="spellStart"/>
      <w:r w:rsidRPr="00211EB6">
        <w:t>dicofol</w:t>
      </w:r>
      <w:proofErr w:type="spellEnd"/>
      <w:r w:rsidRPr="00211EB6">
        <w:t xml:space="preserve"> were recommended by a joint FAO/WHO Meeting (WHO, 1996) (see Table 2.1)</w:t>
      </w:r>
      <w:r w:rsidR="0078079D" w:rsidRPr="00211EB6">
        <w:t>.</w:t>
      </w:r>
      <w:r w:rsidR="00045433" w:rsidRPr="00211EB6">
        <w:rPr>
          <w:rStyle w:val="FootnoteReference"/>
        </w:rPr>
        <w:footnoteReference w:id="13"/>
      </w:r>
      <w:r w:rsidRPr="00211EB6">
        <w:t xml:space="preserve"> Table 2.2 provides details of the </w:t>
      </w:r>
      <w:r w:rsidR="008A0D01" w:rsidRPr="00211EB6">
        <w:t xml:space="preserve">MRLs </w:t>
      </w:r>
      <w:r w:rsidRPr="00211EB6">
        <w:t xml:space="preserve">set under EU and Australian regulations for comparison of </w:t>
      </w:r>
      <w:r w:rsidR="00FD19D5" w:rsidRPr="00211EB6">
        <w:t xml:space="preserve">some </w:t>
      </w:r>
      <w:r w:rsidRPr="00211EB6">
        <w:t>working limits that have been set.</w:t>
      </w:r>
    </w:p>
    <w:p w14:paraId="03C29330" w14:textId="77777777" w:rsidR="00FF4FBD" w:rsidRPr="00211EB6" w:rsidRDefault="00FF4FBD" w:rsidP="008C6BCB">
      <w:pPr>
        <w:pStyle w:val="Normalnumber"/>
        <w:numPr>
          <w:ilvl w:val="0"/>
          <w:numId w:val="34"/>
        </w:numPr>
        <w:tabs>
          <w:tab w:val="clear" w:pos="1440"/>
        </w:tabs>
        <w:ind w:left="0" w:firstLine="0"/>
      </w:pPr>
      <w:r w:rsidRPr="00211EB6">
        <w:t xml:space="preserve">Data available to help establish maximum residual levels of </w:t>
      </w:r>
      <w:proofErr w:type="spellStart"/>
      <w:r w:rsidRPr="00211EB6">
        <w:t>dicofol</w:t>
      </w:r>
      <w:proofErr w:type="spellEnd"/>
      <w:r w:rsidRPr="00211EB6">
        <w:t xml:space="preserve"> in water, soil, sediment or food is limited. Further data on development of environmental limits for the natural environment would be needed to draw more complete conclusions.</w:t>
      </w:r>
    </w:p>
    <w:p w14:paraId="2EEF8644" w14:textId="37834D8F" w:rsidR="00B90E13" w:rsidRPr="00211EB6" w:rsidRDefault="0087310C" w:rsidP="002A4DD1">
      <w:pPr>
        <w:pStyle w:val="Paralevel1"/>
        <w:numPr>
          <w:ilvl w:val="0"/>
          <w:numId w:val="0"/>
        </w:numPr>
        <w:rPr>
          <w:b/>
          <w:lang w:val="en-GB"/>
        </w:rPr>
      </w:pPr>
      <w:r w:rsidRPr="00211EB6">
        <w:rPr>
          <w:b/>
          <w:lang w:val="en-GB"/>
        </w:rPr>
        <w:t>Table 2.1</w:t>
      </w:r>
      <w:r w:rsidR="00955776" w:rsidRPr="00211EB6">
        <w:rPr>
          <w:b/>
          <w:lang w:val="en-GB"/>
        </w:rPr>
        <w:tab/>
      </w:r>
      <w:r w:rsidR="0032437D" w:rsidRPr="00211EB6">
        <w:rPr>
          <w:b/>
          <w:lang w:val="en-GB"/>
        </w:rPr>
        <w:t xml:space="preserve">Recommended maximum residue limits (MDLs) for </w:t>
      </w:r>
      <w:proofErr w:type="spellStart"/>
      <w:r w:rsidR="0032437D" w:rsidRPr="00211EB6">
        <w:rPr>
          <w:b/>
          <w:lang w:val="en-GB"/>
        </w:rPr>
        <w:t>dicofol</w:t>
      </w:r>
      <w:proofErr w:type="spellEnd"/>
      <w:r w:rsidR="0032437D" w:rsidRPr="00211EB6">
        <w:rPr>
          <w:b/>
          <w:lang w:val="en-GB"/>
        </w:rPr>
        <w:t xml:space="preserve"> (WHO, 1996)</w:t>
      </w:r>
    </w:p>
    <w:tbl>
      <w:tblPr>
        <w:tblStyle w:val="TableGrid"/>
        <w:tblW w:w="0" w:type="auto"/>
        <w:tblLook w:val="04A0" w:firstRow="1" w:lastRow="0" w:firstColumn="1" w:lastColumn="0" w:noHBand="0" w:noVBand="1"/>
      </w:tblPr>
      <w:tblGrid>
        <w:gridCol w:w="4548"/>
        <w:gridCol w:w="4819"/>
      </w:tblGrid>
      <w:tr w:rsidR="0032437D" w:rsidRPr="00211EB6" w14:paraId="0534C8F8" w14:textId="77777777" w:rsidTr="003C4E63">
        <w:tc>
          <w:tcPr>
            <w:tcW w:w="4548" w:type="dxa"/>
            <w:shd w:val="clear" w:color="auto" w:fill="D9D9D9" w:themeFill="background1" w:themeFillShade="D9"/>
          </w:tcPr>
          <w:p w14:paraId="35FE9A6C" w14:textId="77777777" w:rsidR="0032437D" w:rsidRPr="00211EB6" w:rsidRDefault="0032437D" w:rsidP="00525047">
            <w:pPr>
              <w:pStyle w:val="ListParagraph"/>
              <w:tabs>
                <w:tab w:val="left" w:pos="709"/>
                <w:tab w:val="left" w:pos="851"/>
              </w:tabs>
              <w:suppressAutoHyphens/>
              <w:spacing w:after="120"/>
              <w:ind w:left="360"/>
              <w:rPr>
                <w:b/>
                <w:sz w:val="20"/>
                <w:szCs w:val="20"/>
                <w:lang w:val="en-GB" w:eastAsia="en-US"/>
              </w:rPr>
            </w:pPr>
          </w:p>
        </w:tc>
        <w:tc>
          <w:tcPr>
            <w:tcW w:w="4819" w:type="dxa"/>
            <w:shd w:val="clear" w:color="auto" w:fill="D9D9D9" w:themeFill="background1" w:themeFillShade="D9"/>
          </w:tcPr>
          <w:p w14:paraId="0376F229" w14:textId="77777777" w:rsidR="0032437D" w:rsidRPr="00211EB6" w:rsidRDefault="0032437D" w:rsidP="00525047">
            <w:pPr>
              <w:tabs>
                <w:tab w:val="left" w:pos="709"/>
                <w:tab w:val="left" w:pos="851"/>
              </w:tabs>
              <w:suppressAutoHyphens/>
              <w:spacing w:after="120"/>
              <w:rPr>
                <w:b/>
                <w:sz w:val="20"/>
                <w:szCs w:val="20"/>
                <w:lang w:val="en-GB" w:eastAsia="en-US"/>
              </w:rPr>
            </w:pPr>
            <w:r w:rsidRPr="00211EB6">
              <w:rPr>
                <w:b/>
                <w:sz w:val="20"/>
                <w:szCs w:val="20"/>
                <w:lang w:val="en-GB" w:eastAsia="en-US"/>
              </w:rPr>
              <w:t>Maximum residue limit (mg/kg)</w:t>
            </w:r>
          </w:p>
        </w:tc>
      </w:tr>
      <w:tr w:rsidR="0032437D" w:rsidRPr="00211EB6" w14:paraId="45453FBA" w14:textId="77777777" w:rsidTr="003A4610">
        <w:tc>
          <w:tcPr>
            <w:tcW w:w="4548" w:type="dxa"/>
          </w:tcPr>
          <w:p w14:paraId="27D6B2D8" w14:textId="23C91A23"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 xml:space="preserve">Walnuts </w:t>
            </w:r>
            <w:r w:rsidR="00E13C1B" w:rsidRPr="00211EB6">
              <w:rPr>
                <w:sz w:val="20"/>
                <w:szCs w:val="20"/>
                <w:lang w:val="en-GB" w:eastAsia="en-US"/>
              </w:rPr>
              <w:t xml:space="preserve">and </w:t>
            </w:r>
            <w:r w:rsidR="007F3FB5" w:rsidRPr="00211EB6">
              <w:rPr>
                <w:sz w:val="20"/>
                <w:szCs w:val="20"/>
                <w:lang w:val="en-GB" w:eastAsia="en-US"/>
              </w:rPr>
              <w:t>pecans</w:t>
            </w:r>
          </w:p>
        </w:tc>
        <w:tc>
          <w:tcPr>
            <w:tcW w:w="4819" w:type="dxa"/>
          </w:tcPr>
          <w:p w14:paraId="7297D14C"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0.01</w:t>
            </w:r>
          </w:p>
        </w:tc>
      </w:tr>
      <w:tr w:rsidR="0032437D" w:rsidRPr="00211EB6" w14:paraId="2ECDC645" w14:textId="77777777" w:rsidTr="003A4610">
        <w:tc>
          <w:tcPr>
            <w:tcW w:w="4548" w:type="dxa"/>
          </w:tcPr>
          <w:p w14:paraId="31694B53" w14:textId="2A2CCA77"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Milk</w:t>
            </w:r>
            <w:r w:rsidR="007F3FB5" w:rsidRPr="00211EB6">
              <w:rPr>
                <w:sz w:val="20"/>
                <w:szCs w:val="20"/>
                <w:lang w:val="en-GB" w:eastAsia="en-US"/>
              </w:rPr>
              <w:t xml:space="preserve">, eggs and </w:t>
            </w:r>
            <w:r w:rsidR="003E5EA0" w:rsidRPr="00211EB6">
              <w:rPr>
                <w:sz w:val="20"/>
                <w:szCs w:val="20"/>
                <w:lang w:val="en-GB" w:eastAsia="en-US"/>
              </w:rPr>
              <w:t>poultry</w:t>
            </w:r>
            <w:r w:rsidRPr="00211EB6">
              <w:rPr>
                <w:sz w:val="20"/>
                <w:szCs w:val="20"/>
                <w:lang w:val="en-GB" w:eastAsia="en-US"/>
              </w:rPr>
              <w:t xml:space="preserve"> </w:t>
            </w:r>
          </w:p>
        </w:tc>
        <w:tc>
          <w:tcPr>
            <w:tcW w:w="4819" w:type="dxa"/>
          </w:tcPr>
          <w:p w14:paraId="2F7B7895"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0.05</w:t>
            </w:r>
          </w:p>
        </w:tc>
      </w:tr>
      <w:tr w:rsidR="0032437D" w:rsidRPr="00211EB6" w14:paraId="367D13A5" w14:textId="77777777" w:rsidTr="003A4610">
        <w:tc>
          <w:tcPr>
            <w:tcW w:w="4548" w:type="dxa"/>
          </w:tcPr>
          <w:p w14:paraId="45AEBC28" w14:textId="441DFC61"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Beans</w:t>
            </w:r>
            <w:r w:rsidR="007F3FB5" w:rsidRPr="00211EB6">
              <w:rPr>
                <w:sz w:val="20"/>
                <w:szCs w:val="20"/>
                <w:lang w:val="en-GB" w:eastAsia="en-US"/>
              </w:rPr>
              <w:t xml:space="preserve"> and cotton seeds</w:t>
            </w:r>
            <w:r w:rsidRPr="00211EB6">
              <w:rPr>
                <w:sz w:val="20"/>
                <w:szCs w:val="20"/>
                <w:lang w:val="en-GB" w:eastAsia="en-US"/>
              </w:rPr>
              <w:t xml:space="preserve"> </w:t>
            </w:r>
          </w:p>
        </w:tc>
        <w:tc>
          <w:tcPr>
            <w:tcW w:w="4819" w:type="dxa"/>
          </w:tcPr>
          <w:p w14:paraId="5B751A41"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0.1</w:t>
            </w:r>
          </w:p>
        </w:tc>
      </w:tr>
      <w:tr w:rsidR="0032437D" w:rsidRPr="00211EB6" w14:paraId="1127A685" w14:textId="77777777" w:rsidTr="003A4610">
        <w:tc>
          <w:tcPr>
            <w:tcW w:w="4548" w:type="dxa"/>
          </w:tcPr>
          <w:p w14:paraId="77676739" w14:textId="77777777"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 xml:space="preserve">Melons (excludes watermelon) </w:t>
            </w:r>
          </w:p>
        </w:tc>
        <w:tc>
          <w:tcPr>
            <w:tcW w:w="4819" w:type="dxa"/>
          </w:tcPr>
          <w:p w14:paraId="54EFDE15"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0.2</w:t>
            </w:r>
          </w:p>
        </w:tc>
      </w:tr>
      <w:tr w:rsidR="0032437D" w:rsidRPr="00211EB6" w14:paraId="619E3320" w14:textId="77777777" w:rsidTr="003A4610">
        <w:tc>
          <w:tcPr>
            <w:tcW w:w="4548" w:type="dxa"/>
          </w:tcPr>
          <w:p w14:paraId="1D1174D6" w14:textId="433D1908"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Cucumber</w:t>
            </w:r>
            <w:r w:rsidR="007F3FB5" w:rsidRPr="00211EB6">
              <w:rPr>
                <w:sz w:val="20"/>
                <w:szCs w:val="20"/>
                <w:lang w:val="en-GB" w:eastAsia="en-US"/>
              </w:rPr>
              <w:t xml:space="preserve">, </w:t>
            </w:r>
            <w:r w:rsidR="003D0467" w:rsidRPr="00211EB6">
              <w:rPr>
                <w:sz w:val="20"/>
                <w:szCs w:val="20"/>
                <w:lang w:val="en-GB" w:eastAsia="en-US"/>
              </w:rPr>
              <w:t>beef</w:t>
            </w:r>
            <w:r w:rsidR="007F3FB5" w:rsidRPr="00211EB6">
              <w:rPr>
                <w:sz w:val="20"/>
                <w:szCs w:val="20"/>
                <w:lang w:val="en-GB" w:eastAsia="en-US"/>
              </w:rPr>
              <w:t xml:space="preserve">, </w:t>
            </w:r>
            <w:r w:rsidR="003D0467" w:rsidRPr="00211EB6">
              <w:rPr>
                <w:sz w:val="20"/>
                <w:szCs w:val="20"/>
                <w:lang w:val="en-GB" w:eastAsia="en-US"/>
              </w:rPr>
              <w:t xml:space="preserve">poultry </w:t>
            </w:r>
            <w:r w:rsidR="007F3FB5" w:rsidRPr="00211EB6">
              <w:rPr>
                <w:sz w:val="20"/>
                <w:szCs w:val="20"/>
                <w:lang w:val="en-GB" w:eastAsia="en-US"/>
              </w:rPr>
              <w:t xml:space="preserve">and </w:t>
            </w:r>
            <w:r w:rsidR="003D0467" w:rsidRPr="00211EB6">
              <w:rPr>
                <w:sz w:val="20"/>
                <w:szCs w:val="20"/>
                <w:lang w:val="en-GB" w:eastAsia="en-US"/>
              </w:rPr>
              <w:t xml:space="preserve">cotton </w:t>
            </w:r>
            <w:r w:rsidR="007F3FB5" w:rsidRPr="00211EB6">
              <w:rPr>
                <w:sz w:val="20"/>
                <w:szCs w:val="20"/>
                <w:lang w:val="en-GB" w:eastAsia="en-US"/>
              </w:rPr>
              <w:t>seed oil</w:t>
            </w:r>
            <w:r w:rsidRPr="00211EB6">
              <w:rPr>
                <w:sz w:val="20"/>
                <w:szCs w:val="20"/>
                <w:lang w:val="en-GB" w:eastAsia="en-US"/>
              </w:rPr>
              <w:t xml:space="preserve"> </w:t>
            </w:r>
          </w:p>
        </w:tc>
        <w:tc>
          <w:tcPr>
            <w:tcW w:w="4819" w:type="dxa"/>
          </w:tcPr>
          <w:p w14:paraId="41BBEDCA"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0.5</w:t>
            </w:r>
          </w:p>
        </w:tc>
      </w:tr>
      <w:tr w:rsidR="0032437D" w:rsidRPr="00211EB6" w14:paraId="3211AB2E" w14:textId="77777777" w:rsidTr="003A4610">
        <w:tc>
          <w:tcPr>
            <w:tcW w:w="4548" w:type="dxa"/>
          </w:tcPr>
          <w:p w14:paraId="3405EF24" w14:textId="344ACD68"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Plums</w:t>
            </w:r>
            <w:r w:rsidR="003A4610" w:rsidRPr="00211EB6">
              <w:rPr>
                <w:sz w:val="20"/>
                <w:szCs w:val="20"/>
                <w:lang w:val="en-GB" w:eastAsia="en-US"/>
              </w:rPr>
              <w:t>, peppers, squash and tomato</w:t>
            </w:r>
          </w:p>
        </w:tc>
        <w:tc>
          <w:tcPr>
            <w:tcW w:w="4819" w:type="dxa"/>
          </w:tcPr>
          <w:p w14:paraId="62B41836"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1</w:t>
            </w:r>
          </w:p>
        </w:tc>
      </w:tr>
      <w:tr w:rsidR="0032437D" w:rsidRPr="00211EB6" w14:paraId="1033278D" w14:textId="77777777" w:rsidTr="003A4610">
        <w:tc>
          <w:tcPr>
            <w:tcW w:w="4548" w:type="dxa"/>
          </w:tcPr>
          <w:p w14:paraId="6AE0DC33" w14:textId="77777777"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Prunes</w:t>
            </w:r>
          </w:p>
        </w:tc>
        <w:tc>
          <w:tcPr>
            <w:tcW w:w="4819" w:type="dxa"/>
          </w:tcPr>
          <w:p w14:paraId="4F6C7E39"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3</w:t>
            </w:r>
          </w:p>
        </w:tc>
      </w:tr>
      <w:tr w:rsidR="0032437D" w:rsidRPr="00211EB6" w14:paraId="42E1E9BD" w14:textId="77777777" w:rsidTr="003A4610">
        <w:tc>
          <w:tcPr>
            <w:tcW w:w="4548" w:type="dxa"/>
          </w:tcPr>
          <w:p w14:paraId="1E96B83D" w14:textId="3D4F634A"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C</w:t>
            </w:r>
            <w:r w:rsidR="003A4610" w:rsidRPr="00211EB6">
              <w:rPr>
                <w:sz w:val="20"/>
                <w:szCs w:val="20"/>
                <w:lang w:val="en-GB" w:eastAsia="en-US"/>
              </w:rPr>
              <w:t>itrus fruit, cherries, grapes, and peach</w:t>
            </w:r>
            <w:r w:rsidRPr="00211EB6">
              <w:rPr>
                <w:sz w:val="20"/>
                <w:szCs w:val="20"/>
                <w:lang w:val="en-GB" w:eastAsia="en-US"/>
              </w:rPr>
              <w:t xml:space="preserve"> </w:t>
            </w:r>
          </w:p>
        </w:tc>
        <w:tc>
          <w:tcPr>
            <w:tcW w:w="4819" w:type="dxa"/>
          </w:tcPr>
          <w:p w14:paraId="1726B45C"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5</w:t>
            </w:r>
          </w:p>
        </w:tc>
      </w:tr>
      <w:tr w:rsidR="0032437D" w:rsidRPr="00211EB6" w14:paraId="4A1F99E2" w14:textId="77777777" w:rsidTr="003A4610">
        <w:tc>
          <w:tcPr>
            <w:tcW w:w="4548" w:type="dxa"/>
          </w:tcPr>
          <w:p w14:paraId="3A46BE8F" w14:textId="43FB2310" w:rsidR="0032437D" w:rsidRPr="00211EB6" w:rsidRDefault="0032437D" w:rsidP="00814407">
            <w:pPr>
              <w:tabs>
                <w:tab w:val="left" w:pos="709"/>
                <w:tab w:val="left" w:pos="851"/>
              </w:tabs>
              <w:suppressAutoHyphens/>
              <w:spacing w:after="120"/>
              <w:rPr>
                <w:sz w:val="20"/>
                <w:szCs w:val="20"/>
                <w:lang w:val="en-GB" w:eastAsia="en-US"/>
              </w:rPr>
            </w:pPr>
            <w:r w:rsidRPr="00211EB6">
              <w:rPr>
                <w:sz w:val="20"/>
                <w:szCs w:val="20"/>
                <w:lang w:val="en-GB" w:eastAsia="en-US"/>
              </w:rPr>
              <w:t>Hops</w:t>
            </w:r>
            <w:r w:rsidR="003A4610" w:rsidRPr="00211EB6">
              <w:rPr>
                <w:sz w:val="20"/>
                <w:szCs w:val="20"/>
                <w:lang w:val="en-GB" w:eastAsia="en-US"/>
              </w:rPr>
              <w:t xml:space="preserve"> and tea</w:t>
            </w:r>
          </w:p>
        </w:tc>
        <w:tc>
          <w:tcPr>
            <w:tcW w:w="4819" w:type="dxa"/>
          </w:tcPr>
          <w:p w14:paraId="47094818" w14:textId="77777777" w:rsidR="0032437D" w:rsidRPr="00211EB6" w:rsidRDefault="0032437D" w:rsidP="00525047">
            <w:pPr>
              <w:tabs>
                <w:tab w:val="left" w:pos="709"/>
                <w:tab w:val="left" w:pos="851"/>
              </w:tabs>
              <w:suppressAutoHyphens/>
              <w:spacing w:after="120"/>
              <w:rPr>
                <w:sz w:val="20"/>
                <w:szCs w:val="20"/>
                <w:lang w:val="en-GB" w:eastAsia="en-US"/>
              </w:rPr>
            </w:pPr>
            <w:r w:rsidRPr="00211EB6">
              <w:rPr>
                <w:sz w:val="20"/>
                <w:szCs w:val="20"/>
                <w:lang w:val="en-GB" w:eastAsia="en-US"/>
              </w:rPr>
              <w:t xml:space="preserve">50 </w:t>
            </w:r>
          </w:p>
        </w:tc>
      </w:tr>
    </w:tbl>
    <w:p w14:paraId="395F52C9" w14:textId="77777777" w:rsidR="004B7ED4" w:rsidRPr="00211EB6" w:rsidRDefault="004B7ED4" w:rsidP="002A4DD1">
      <w:pPr>
        <w:pStyle w:val="Paralevel1"/>
        <w:numPr>
          <w:ilvl w:val="0"/>
          <w:numId w:val="0"/>
        </w:numPr>
        <w:rPr>
          <w:lang w:val="en-GB"/>
        </w:rPr>
      </w:pPr>
    </w:p>
    <w:p w14:paraId="73B92691" w14:textId="035916BE" w:rsidR="002C6354" w:rsidRPr="00211EB6" w:rsidRDefault="002C6354" w:rsidP="008578FE">
      <w:pPr>
        <w:pStyle w:val="Paralevel1"/>
        <w:numPr>
          <w:ilvl w:val="0"/>
          <w:numId w:val="0"/>
        </w:numPr>
        <w:rPr>
          <w:b/>
          <w:lang w:val="en-GB"/>
        </w:rPr>
      </w:pPr>
      <w:r w:rsidRPr="00211EB6">
        <w:rPr>
          <w:b/>
          <w:lang w:val="en-GB"/>
        </w:rPr>
        <w:t>Table 2.</w:t>
      </w:r>
      <w:r w:rsidR="004B7ED4" w:rsidRPr="00211EB6">
        <w:rPr>
          <w:b/>
          <w:lang w:val="en-GB"/>
        </w:rPr>
        <w:t>2</w:t>
      </w:r>
      <w:r w:rsidR="00955776" w:rsidRPr="00211EB6">
        <w:rPr>
          <w:b/>
          <w:lang w:val="en-GB"/>
        </w:rPr>
        <w:tab/>
      </w:r>
      <w:r w:rsidRPr="00211EB6">
        <w:rPr>
          <w:b/>
          <w:lang w:val="en-GB"/>
        </w:rPr>
        <w:t xml:space="preserve">Maximum residual concentration for </w:t>
      </w:r>
      <w:proofErr w:type="spellStart"/>
      <w:r w:rsidRPr="00211EB6">
        <w:rPr>
          <w:b/>
          <w:lang w:val="en-GB"/>
        </w:rPr>
        <w:t>dicofol</w:t>
      </w:r>
      <w:proofErr w:type="spellEnd"/>
      <w:r w:rsidRPr="00211EB6">
        <w:rPr>
          <w:b/>
          <w:lang w:val="en-GB"/>
        </w:rPr>
        <w:t xml:space="preserve"> in food (all values as mg/kg)</w:t>
      </w:r>
    </w:p>
    <w:tbl>
      <w:tblPr>
        <w:tblStyle w:val="TableGrid"/>
        <w:tblW w:w="0" w:type="auto"/>
        <w:tblLook w:val="04A0" w:firstRow="1" w:lastRow="0" w:firstColumn="1" w:lastColumn="0" w:noHBand="0" w:noVBand="1"/>
      </w:tblPr>
      <w:tblGrid>
        <w:gridCol w:w="2242"/>
        <w:gridCol w:w="3640"/>
        <w:gridCol w:w="3835"/>
      </w:tblGrid>
      <w:tr w:rsidR="002C6354" w:rsidRPr="00211EB6" w14:paraId="57B07D45" w14:textId="77777777" w:rsidTr="003C4E63">
        <w:trPr>
          <w:tblHeader/>
        </w:trPr>
        <w:tc>
          <w:tcPr>
            <w:tcW w:w="2263" w:type="dxa"/>
            <w:shd w:val="clear" w:color="auto" w:fill="D9D9D9" w:themeFill="background1" w:themeFillShade="D9"/>
          </w:tcPr>
          <w:p w14:paraId="21097420" w14:textId="77777777" w:rsidR="002C6354" w:rsidRPr="00211EB6" w:rsidRDefault="002C6354" w:rsidP="002A4DD1">
            <w:pPr>
              <w:pStyle w:val="Paralevel1"/>
              <w:numPr>
                <w:ilvl w:val="0"/>
                <w:numId w:val="0"/>
              </w:numPr>
              <w:rPr>
                <w:lang w:val="en-GB"/>
              </w:rPr>
            </w:pPr>
          </w:p>
        </w:tc>
        <w:tc>
          <w:tcPr>
            <w:tcW w:w="3686" w:type="dxa"/>
            <w:shd w:val="clear" w:color="auto" w:fill="D9D9D9" w:themeFill="background1" w:themeFillShade="D9"/>
          </w:tcPr>
          <w:p w14:paraId="02B8B563" w14:textId="36ED5749" w:rsidR="002C6354" w:rsidRPr="00211EB6" w:rsidRDefault="0086572B" w:rsidP="002A4DD1">
            <w:pPr>
              <w:pStyle w:val="Paralevel1"/>
              <w:numPr>
                <w:ilvl w:val="0"/>
                <w:numId w:val="0"/>
              </w:numPr>
              <w:rPr>
                <w:b/>
                <w:lang w:val="en-GB"/>
              </w:rPr>
            </w:pPr>
            <w:r w:rsidRPr="00211EB6">
              <w:rPr>
                <w:b/>
                <w:lang w:val="en-GB"/>
              </w:rPr>
              <w:t xml:space="preserve">European Union </w:t>
            </w:r>
            <w:r w:rsidR="002C6354" w:rsidRPr="00211EB6">
              <w:rPr>
                <w:b/>
                <w:lang w:val="en-GB"/>
              </w:rPr>
              <w:t>(</w:t>
            </w:r>
            <w:r w:rsidR="00697718" w:rsidRPr="00211EB6">
              <w:rPr>
                <w:b/>
                <w:lang w:val="en-GB"/>
              </w:rPr>
              <w:t>Regulation (</w:t>
            </w:r>
            <w:r w:rsidR="002C6354" w:rsidRPr="00211EB6">
              <w:rPr>
                <w:b/>
                <w:lang w:val="en-GB"/>
              </w:rPr>
              <w:t>EU</w:t>
            </w:r>
            <w:r w:rsidR="00697718" w:rsidRPr="00211EB6">
              <w:rPr>
                <w:b/>
                <w:lang w:val="en-GB"/>
              </w:rPr>
              <w:t xml:space="preserve">)No </w:t>
            </w:r>
            <w:r w:rsidR="002C6354" w:rsidRPr="00211EB6">
              <w:rPr>
                <w:b/>
                <w:lang w:val="en-GB"/>
              </w:rPr>
              <w:t>899/2012)*</w:t>
            </w:r>
          </w:p>
          <w:p w14:paraId="03134E91" w14:textId="77777777" w:rsidR="003244DE" w:rsidRPr="00211EB6" w:rsidRDefault="003244DE" w:rsidP="002A4DD1">
            <w:pPr>
              <w:pStyle w:val="Paralevel1"/>
              <w:numPr>
                <w:ilvl w:val="0"/>
                <w:numId w:val="0"/>
              </w:numPr>
              <w:rPr>
                <w:b/>
                <w:lang w:val="en-GB"/>
              </w:rPr>
            </w:pPr>
            <w:r w:rsidRPr="00211EB6">
              <w:rPr>
                <w:b/>
                <w:lang w:val="en-GB"/>
              </w:rPr>
              <w:t xml:space="preserve">Thresholds based on limits for </w:t>
            </w:r>
            <w:proofErr w:type="spellStart"/>
            <w:r w:rsidRPr="00211EB6">
              <w:rPr>
                <w:b/>
                <w:lang w:val="en-GB"/>
              </w:rPr>
              <w:t>dicofol</w:t>
            </w:r>
            <w:proofErr w:type="spellEnd"/>
          </w:p>
        </w:tc>
        <w:tc>
          <w:tcPr>
            <w:tcW w:w="3883" w:type="dxa"/>
            <w:shd w:val="clear" w:color="auto" w:fill="D9D9D9" w:themeFill="background1" w:themeFillShade="D9"/>
          </w:tcPr>
          <w:p w14:paraId="16B9BB9D" w14:textId="1DAFACD4" w:rsidR="002C6354" w:rsidRPr="00211EB6" w:rsidRDefault="007B72F5" w:rsidP="002A4DD1">
            <w:pPr>
              <w:pStyle w:val="Paralevel1"/>
              <w:numPr>
                <w:ilvl w:val="0"/>
                <w:numId w:val="0"/>
              </w:numPr>
              <w:rPr>
                <w:b/>
                <w:lang w:val="en-GB"/>
              </w:rPr>
            </w:pPr>
            <w:r w:rsidRPr="00211EB6">
              <w:rPr>
                <w:b/>
                <w:lang w:val="en-GB"/>
              </w:rPr>
              <w:t xml:space="preserve">Australian </w:t>
            </w:r>
            <w:r w:rsidR="00E637FA" w:rsidRPr="00211EB6">
              <w:rPr>
                <w:b/>
                <w:lang w:val="en-GB"/>
              </w:rPr>
              <w:t>Agricultural and Veterinary Chemicals Code Instrument No. 4 (MRL Standard) 2012</w:t>
            </w:r>
            <w:r w:rsidR="002C6354" w:rsidRPr="00211EB6">
              <w:rPr>
                <w:b/>
                <w:lang w:val="en-GB"/>
              </w:rPr>
              <w:t>**</w:t>
            </w:r>
          </w:p>
          <w:p w14:paraId="6E5F4394" w14:textId="77860679" w:rsidR="003244DE" w:rsidRPr="00211EB6" w:rsidRDefault="00E637FA" w:rsidP="002A4DD1">
            <w:pPr>
              <w:pStyle w:val="Paralevel1"/>
              <w:numPr>
                <w:ilvl w:val="0"/>
                <w:numId w:val="0"/>
              </w:numPr>
              <w:rPr>
                <w:b/>
                <w:lang w:val="en-GB"/>
              </w:rPr>
            </w:pPr>
            <w:r w:rsidRPr="00211EB6">
              <w:rPr>
                <w:b/>
                <w:lang w:val="en-GB"/>
              </w:rPr>
              <w:t xml:space="preserve">Limits for </w:t>
            </w:r>
            <w:proofErr w:type="spellStart"/>
            <w:r w:rsidRPr="00211EB6">
              <w:rPr>
                <w:b/>
                <w:lang w:val="en-GB"/>
              </w:rPr>
              <w:t>dicofol</w:t>
            </w:r>
            <w:proofErr w:type="spellEnd"/>
            <w:r w:rsidRPr="00211EB6">
              <w:rPr>
                <w:b/>
                <w:lang w:val="en-GB"/>
              </w:rPr>
              <w:t xml:space="preserve"> for all domestic uses</w:t>
            </w:r>
          </w:p>
        </w:tc>
      </w:tr>
      <w:tr w:rsidR="002C6354" w:rsidRPr="00211EB6" w14:paraId="115B7028" w14:textId="77777777" w:rsidTr="007B72F5">
        <w:tc>
          <w:tcPr>
            <w:tcW w:w="2263" w:type="dxa"/>
          </w:tcPr>
          <w:p w14:paraId="28C2951D" w14:textId="77777777" w:rsidR="002C6354" w:rsidRPr="00211EB6" w:rsidRDefault="002C6354" w:rsidP="002A4DD1">
            <w:pPr>
              <w:pStyle w:val="Paralevel1"/>
              <w:numPr>
                <w:ilvl w:val="0"/>
                <w:numId w:val="0"/>
              </w:numPr>
              <w:rPr>
                <w:lang w:val="en-GB"/>
              </w:rPr>
            </w:pPr>
            <w:r w:rsidRPr="00211EB6">
              <w:rPr>
                <w:lang w:val="en-GB"/>
              </w:rPr>
              <w:t>Cereals</w:t>
            </w:r>
          </w:p>
        </w:tc>
        <w:tc>
          <w:tcPr>
            <w:tcW w:w="3686" w:type="dxa"/>
          </w:tcPr>
          <w:p w14:paraId="4BDF333B" w14:textId="77777777" w:rsidR="002C6354" w:rsidRPr="00211EB6" w:rsidRDefault="002C6354" w:rsidP="002A4DD1">
            <w:pPr>
              <w:pStyle w:val="Paralevel1"/>
              <w:numPr>
                <w:ilvl w:val="0"/>
                <w:numId w:val="0"/>
              </w:numPr>
              <w:rPr>
                <w:lang w:val="en-GB"/>
              </w:rPr>
            </w:pPr>
            <w:r w:rsidRPr="00211EB6">
              <w:rPr>
                <w:lang w:val="en-GB"/>
              </w:rPr>
              <w:t>0.01</w:t>
            </w:r>
          </w:p>
        </w:tc>
        <w:tc>
          <w:tcPr>
            <w:tcW w:w="3883" w:type="dxa"/>
          </w:tcPr>
          <w:p w14:paraId="4CBD3307" w14:textId="77777777" w:rsidR="002C6354" w:rsidRPr="00211EB6" w:rsidRDefault="002C6354" w:rsidP="002A4DD1">
            <w:pPr>
              <w:pStyle w:val="Paralevel1"/>
              <w:numPr>
                <w:ilvl w:val="0"/>
                <w:numId w:val="0"/>
              </w:numPr>
              <w:rPr>
                <w:lang w:val="en-GB"/>
              </w:rPr>
            </w:pPr>
            <w:r w:rsidRPr="00211EB6">
              <w:rPr>
                <w:lang w:val="en-GB"/>
              </w:rPr>
              <w:t>-</w:t>
            </w:r>
          </w:p>
        </w:tc>
      </w:tr>
      <w:tr w:rsidR="002C6354" w:rsidRPr="00211EB6" w14:paraId="177FEA2D" w14:textId="77777777" w:rsidTr="007B72F5">
        <w:tc>
          <w:tcPr>
            <w:tcW w:w="2263" w:type="dxa"/>
          </w:tcPr>
          <w:p w14:paraId="7BEA757C" w14:textId="77777777" w:rsidR="002C6354" w:rsidRPr="00211EB6" w:rsidRDefault="002C6354" w:rsidP="002A4DD1">
            <w:pPr>
              <w:pStyle w:val="Paralevel1"/>
              <w:numPr>
                <w:ilvl w:val="0"/>
                <w:numId w:val="0"/>
              </w:numPr>
              <w:rPr>
                <w:lang w:val="en-GB"/>
              </w:rPr>
            </w:pPr>
            <w:r w:rsidRPr="00211EB6">
              <w:rPr>
                <w:lang w:val="en-GB"/>
              </w:rPr>
              <w:t>Citrus</w:t>
            </w:r>
          </w:p>
        </w:tc>
        <w:tc>
          <w:tcPr>
            <w:tcW w:w="3686" w:type="dxa"/>
          </w:tcPr>
          <w:p w14:paraId="6CAA16C5"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5438862A" w14:textId="77777777" w:rsidR="002C6354" w:rsidRPr="00211EB6" w:rsidRDefault="002C6354" w:rsidP="002A4DD1">
            <w:pPr>
              <w:pStyle w:val="Paralevel1"/>
              <w:numPr>
                <w:ilvl w:val="0"/>
                <w:numId w:val="0"/>
              </w:numPr>
              <w:rPr>
                <w:lang w:val="en-GB"/>
              </w:rPr>
            </w:pPr>
            <w:r w:rsidRPr="00211EB6">
              <w:rPr>
                <w:lang w:val="en-GB"/>
              </w:rPr>
              <w:t>0.5</w:t>
            </w:r>
          </w:p>
        </w:tc>
      </w:tr>
      <w:tr w:rsidR="003A504D" w:rsidRPr="00211EB6" w14:paraId="7EC1D2C1" w14:textId="77777777" w:rsidTr="00FB019F">
        <w:tc>
          <w:tcPr>
            <w:tcW w:w="2263" w:type="dxa"/>
          </w:tcPr>
          <w:p w14:paraId="21478FEC" w14:textId="77777777" w:rsidR="003A504D" w:rsidRPr="00211EB6" w:rsidRDefault="003A504D" w:rsidP="002A4DD1">
            <w:pPr>
              <w:pStyle w:val="Paralevel1"/>
              <w:numPr>
                <w:ilvl w:val="0"/>
                <w:numId w:val="0"/>
              </w:numPr>
              <w:rPr>
                <w:lang w:val="en-GB"/>
              </w:rPr>
            </w:pPr>
            <w:r w:rsidRPr="00211EB6">
              <w:rPr>
                <w:lang w:val="en-GB"/>
              </w:rPr>
              <w:t xml:space="preserve">Fruits </w:t>
            </w:r>
          </w:p>
        </w:tc>
        <w:tc>
          <w:tcPr>
            <w:tcW w:w="3686" w:type="dxa"/>
          </w:tcPr>
          <w:p w14:paraId="516926D4" w14:textId="77777777" w:rsidR="003A504D" w:rsidRPr="00211EB6" w:rsidRDefault="003A504D" w:rsidP="002A4DD1">
            <w:pPr>
              <w:pStyle w:val="Paralevel1"/>
              <w:numPr>
                <w:ilvl w:val="0"/>
                <w:numId w:val="0"/>
              </w:numPr>
              <w:rPr>
                <w:lang w:val="en-GB"/>
              </w:rPr>
            </w:pPr>
            <w:r w:rsidRPr="00211EB6">
              <w:rPr>
                <w:lang w:val="en-GB"/>
              </w:rPr>
              <w:t>-</w:t>
            </w:r>
          </w:p>
        </w:tc>
        <w:tc>
          <w:tcPr>
            <w:tcW w:w="3883" w:type="dxa"/>
          </w:tcPr>
          <w:p w14:paraId="4A03618A" w14:textId="77777777" w:rsidR="003A504D" w:rsidRPr="00211EB6" w:rsidRDefault="003A504D" w:rsidP="002A4DD1">
            <w:pPr>
              <w:pStyle w:val="Paralevel1"/>
              <w:numPr>
                <w:ilvl w:val="0"/>
                <w:numId w:val="0"/>
              </w:numPr>
              <w:rPr>
                <w:lang w:val="en-GB"/>
              </w:rPr>
            </w:pPr>
            <w:r w:rsidRPr="00211EB6">
              <w:rPr>
                <w:lang w:val="en-GB"/>
              </w:rPr>
              <w:t>5 (excludes strawberry)</w:t>
            </w:r>
          </w:p>
        </w:tc>
      </w:tr>
      <w:tr w:rsidR="002C6354" w:rsidRPr="00211EB6" w14:paraId="2690CC9B" w14:textId="77777777" w:rsidTr="007B72F5">
        <w:tc>
          <w:tcPr>
            <w:tcW w:w="2263" w:type="dxa"/>
          </w:tcPr>
          <w:p w14:paraId="6CBF3E55" w14:textId="77777777" w:rsidR="002C6354" w:rsidRPr="00211EB6" w:rsidRDefault="002C6354" w:rsidP="002A4DD1">
            <w:pPr>
              <w:pStyle w:val="Paralevel1"/>
              <w:numPr>
                <w:ilvl w:val="0"/>
                <w:numId w:val="0"/>
              </w:numPr>
              <w:rPr>
                <w:lang w:val="en-GB"/>
              </w:rPr>
            </w:pPr>
            <w:r w:rsidRPr="00211EB6">
              <w:rPr>
                <w:lang w:val="en-GB"/>
              </w:rPr>
              <w:t>Pomes</w:t>
            </w:r>
          </w:p>
        </w:tc>
        <w:tc>
          <w:tcPr>
            <w:tcW w:w="3686" w:type="dxa"/>
          </w:tcPr>
          <w:p w14:paraId="7FC72568"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15F30197" w14:textId="77777777" w:rsidR="002C6354" w:rsidRPr="00211EB6" w:rsidRDefault="002C6354" w:rsidP="002A4DD1">
            <w:pPr>
              <w:pStyle w:val="Paralevel1"/>
              <w:numPr>
                <w:ilvl w:val="0"/>
                <w:numId w:val="0"/>
              </w:numPr>
              <w:rPr>
                <w:lang w:val="en-GB"/>
              </w:rPr>
            </w:pPr>
            <w:r w:rsidRPr="00211EB6">
              <w:rPr>
                <w:lang w:val="en-GB"/>
              </w:rPr>
              <w:t>0.2</w:t>
            </w:r>
          </w:p>
        </w:tc>
      </w:tr>
      <w:tr w:rsidR="002C6354" w:rsidRPr="00211EB6" w14:paraId="0DA08269" w14:textId="77777777" w:rsidTr="007B72F5">
        <w:tc>
          <w:tcPr>
            <w:tcW w:w="2263" w:type="dxa"/>
          </w:tcPr>
          <w:p w14:paraId="1C062C7B" w14:textId="77777777" w:rsidR="002C6354" w:rsidRPr="00211EB6" w:rsidRDefault="002C6354" w:rsidP="002A4DD1">
            <w:pPr>
              <w:pStyle w:val="Paralevel1"/>
              <w:numPr>
                <w:ilvl w:val="0"/>
                <w:numId w:val="0"/>
              </w:numPr>
              <w:rPr>
                <w:lang w:val="en-GB"/>
              </w:rPr>
            </w:pPr>
            <w:proofErr w:type="spellStart"/>
            <w:r w:rsidRPr="00211EB6">
              <w:rPr>
                <w:lang w:val="en-GB"/>
              </w:rPr>
              <w:t>Stonefruit</w:t>
            </w:r>
            <w:proofErr w:type="spellEnd"/>
          </w:p>
        </w:tc>
        <w:tc>
          <w:tcPr>
            <w:tcW w:w="3686" w:type="dxa"/>
          </w:tcPr>
          <w:p w14:paraId="33E519D1"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771C2410" w14:textId="77777777" w:rsidR="002C6354" w:rsidRPr="00211EB6" w:rsidRDefault="002C6354" w:rsidP="002A4DD1">
            <w:pPr>
              <w:pStyle w:val="Paralevel1"/>
              <w:numPr>
                <w:ilvl w:val="0"/>
                <w:numId w:val="0"/>
              </w:numPr>
              <w:rPr>
                <w:lang w:val="en-GB"/>
              </w:rPr>
            </w:pPr>
            <w:r w:rsidRPr="00211EB6">
              <w:rPr>
                <w:lang w:val="en-GB"/>
              </w:rPr>
              <w:t>1</w:t>
            </w:r>
          </w:p>
        </w:tc>
      </w:tr>
      <w:tr w:rsidR="002C6354" w:rsidRPr="00211EB6" w14:paraId="5D9A117E" w14:textId="77777777" w:rsidTr="00FB019F">
        <w:tc>
          <w:tcPr>
            <w:tcW w:w="2263" w:type="dxa"/>
          </w:tcPr>
          <w:p w14:paraId="61B7AEB7" w14:textId="77777777" w:rsidR="002C6354" w:rsidRPr="00211EB6" w:rsidRDefault="002C6354" w:rsidP="002A4DD1">
            <w:pPr>
              <w:pStyle w:val="Paralevel1"/>
              <w:numPr>
                <w:ilvl w:val="0"/>
                <w:numId w:val="0"/>
              </w:numPr>
              <w:rPr>
                <w:lang w:val="en-GB"/>
              </w:rPr>
            </w:pPr>
            <w:r w:rsidRPr="00211EB6">
              <w:rPr>
                <w:lang w:val="en-GB"/>
              </w:rPr>
              <w:t>Berries</w:t>
            </w:r>
          </w:p>
        </w:tc>
        <w:tc>
          <w:tcPr>
            <w:tcW w:w="3686" w:type="dxa"/>
          </w:tcPr>
          <w:p w14:paraId="5EB681A3"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1A983E48" w14:textId="6BB33868" w:rsidR="002C6354" w:rsidRPr="00211EB6" w:rsidRDefault="003A504D" w:rsidP="002A4DD1">
            <w:pPr>
              <w:pStyle w:val="Paralevel1"/>
              <w:numPr>
                <w:ilvl w:val="0"/>
                <w:numId w:val="0"/>
              </w:numPr>
              <w:rPr>
                <w:lang w:val="en-GB"/>
              </w:rPr>
            </w:pPr>
            <w:r w:rsidRPr="00211EB6">
              <w:rPr>
                <w:lang w:val="en-GB"/>
              </w:rPr>
              <w:t>1 (strawberry)</w:t>
            </w:r>
          </w:p>
        </w:tc>
      </w:tr>
      <w:tr w:rsidR="002C6354" w:rsidRPr="00211EB6" w14:paraId="4208D6F6" w14:textId="77777777" w:rsidTr="00FB019F">
        <w:tc>
          <w:tcPr>
            <w:tcW w:w="2263" w:type="dxa"/>
          </w:tcPr>
          <w:p w14:paraId="7A9DF798" w14:textId="77777777" w:rsidR="002C6354" w:rsidRPr="00211EB6" w:rsidRDefault="002C6354" w:rsidP="002A4DD1">
            <w:pPr>
              <w:pStyle w:val="Paralevel1"/>
              <w:numPr>
                <w:ilvl w:val="0"/>
                <w:numId w:val="0"/>
              </w:numPr>
              <w:rPr>
                <w:lang w:val="en-GB"/>
              </w:rPr>
            </w:pPr>
            <w:r w:rsidRPr="00211EB6">
              <w:rPr>
                <w:lang w:val="en-GB"/>
              </w:rPr>
              <w:t>Tomatoes</w:t>
            </w:r>
          </w:p>
        </w:tc>
        <w:tc>
          <w:tcPr>
            <w:tcW w:w="3686" w:type="dxa"/>
          </w:tcPr>
          <w:p w14:paraId="193086D8"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75B1D36C" w14:textId="5587CFB6" w:rsidR="002C6354" w:rsidRPr="00211EB6" w:rsidRDefault="003A504D" w:rsidP="002A4DD1">
            <w:pPr>
              <w:pStyle w:val="Paralevel1"/>
              <w:numPr>
                <w:ilvl w:val="0"/>
                <w:numId w:val="0"/>
              </w:numPr>
              <w:rPr>
                <w:lang w:val="en-GB"/>
              </w:rPr>
            </w:pPr>
            <w:r w:rsidRPr="00211EB6">
              <w:rPr>
                <w:lang w:val="en-GB"/>
              </w:rPr>
              <w:t>1</w:t>
            </w:r>
          </w:p>
        </w:tc>
      </w:tr>
      <w:tr w:rsidR="002C6354" w:rsidRPr="00211EB6" w14:paraId="52D0F41F" w14:textId="77777777" w:rsidTr="007B72F5">
        <w:tc>
          <w:tcPr>
            <w:tcW w:w="2263" w:type="dxa"/>
          </w:tcPr>
          <w:p w14:paraId="682B779A" w14:textId="77777777" w:rsidR="002C6354" w:rsidRPr="00211EB6" w:rsidRDefault="002C6354" w:rsidP="002A4DD1">
            <w:pPr>
              <w:pStyle w:val="Paralevel1"/>
              <w:numPr>
                <w:ilvl w:val="0"/>
                <w:numId w:val="0"/>
              </w:numPr>
              <w:rPr>
                <w:lang w:val="en-GB"/>
              </w:rPr>
            </w:pPr>
            <w:r w:rsidRPr="00211EB6">
              <w:rPr>
                <w:lang w:val="en-GB"/>
              </w:rPr>
              <w:t>Pulses</w:t>
            </w:r>
          </w:p>
        </w:tc>
        <w:tc>
          <w:tcPr>
            <w:tcW w:w="3686" w:type="dxa"/>
          </w:tcPr>
          <w:p w14:paraId="66983FC9"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79D3F0FC" w14:textId="77777777" w:rsidR="002C6354" w:rsidRPr="00211EB6" w:rsidRDefault="002C6354" w:rsidP="002A4DD1">
            <w:pPr>
              <w:pStyle w:val="Paralevel1"/>
              <w:numPr>
                <w:ilvl w:val="0"/>
                <w:numId w:val="0"/>
              </w:numPr>
              <w:rPr>
                <w:lang w:val="en-GB"/>
              </w:rPr>
            </w:pPr>
            <w:r w:rsidRPr="00211EB6">
              <w:rPr>
                <w:lang w:val="en-GB"/>
              </w:rPr>
              <w:t>0.5</w:t>
            </w:r>
          </w:p>
        </w:tc>
      </w:tr>
      <w:tr w:rsidR="002C6354" w:rsidRPr="00211EB6" w14:paraId="4821C34B" w14:textId="77777777" w:rsidTr="007B72F5">
        <w:tc>
          <w:tcPr>
            <w:tcW w:w="2263" w:type="dxa"/>
          </w:tcPr>
          <w:p w14:paraId="35323DC7" w14:textId="77777777" w:rsidR="002C6354" w:rsidRPr="00211EB6" w:rsidRDefault="002C6354" w:rsidP="002A4DD1">
            <w:pPr>
              <w:pStyle w:val="Paralevel1"/>
              <w:numPr>
                <w:ilvl w:val="0"/>
                <w:numId w:val="0"/>
              </w:numPr>
              <w:rPr>
                <w:lang w:val="en-GB"/>
              </w:rPr>
            </w:pPr>
            <w:r w:rsidRPr="00211EB6">
              <w:rPr>
                <w:lang w:val="en-GB"/>
              </w:rPr>
              <w:t>Fungi</w:t>
            </w:r>
          </w:p>
        </w:tc>
        <w:tc>
          <w:tcPr>
            <w:tcW w:w="3686" w:type="dxa"/>
          </w:tcPr>
          <w:p w14:paraId="6378C013"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2A6D8F5E" w14:textId="77777777" w:rsidR="002C6354" w:rsidRPr="00211EB6" w:rsidRDefault="002C6354" w:rsidP="002A4DD1">
            <w:pPr>
              <w:pStyle w:val="Paralevel1"/>
              <w:numPr>
                <w:ilvl w:val="0"/>
                <w:numId w:val="0"/>
              </w:numPr>
              <w:rPr>
                <w:lang w:val="en-GB"/>
              </w:rPr>
            </w:pPr>
            <w:r w:rsidRPr="00211EB6">
              <w:rPr>
                <w:lang w:val="en-GB"/>
              </w:rPr>
              <w:t>-</w:t>
            </w:r>
          </w:p>
        </w:tc>
      </w:tr>
      <w:tr w:rsidR="003A504D" w:rsidRPr="00211EB6" w14:paraId="48AE8D2A" w14:textId="77777777" w:rsidTr="00FB019F">
        <w:tc>
          <w:tcPr>
            <w:tcW w:w="2263" w:type="dxa"/>
          </w:tcPr>
          <w:p w14:paraId="524DEC49" w14:textId="77777777" w:rsidR="003A504D" w:rsidRPr="00211EB6" w:rsidRDefault="003A504D" w:rsidP="002A4DD1">
            <w:pPr>
              <w:pStyle w:val="Paralevel1"/>
              <w:numPr>
                <w:ilvl w:val="0"/>
                <w:numId w:val="0"/>
              </w:numPr>
              <w:rPr>
                <w:lang w:val="en-GB"/>
              </w:rPr>
            </w:pPr>
            <w:r w:rsidRPr="00211EB6">
              <w:rPr>
                <w:lang w:val="en-GB"/>
              </w:rPr>
              <w:t xml:space="preserve">Cucumber, Gherkin </w:t>
            </w:r>
          </w:p>
        </w:tc>
        <w:tc>
          <w:tcPr>
            <w:tcW w:w="3686" w:type="dxa"/>
          </w:tcPr>
          <w:p w14:paraId="126E96C5" w14:textId="77777777" w:rsidR="003A504D" w:rsidRPr="00211EB6" w:rsidRDefault="003A504D" w:rsidP="002A4DD1">
            <w:pPr>
              <w:pStyle w:val="Paralevel1"/>
              <w:numPr>
                <w:ilvl w:val="0"/>
                <w:numId w:val="0"/>
              </w:numPr>
              <w:rPr>
                <w:lang w:val="en-GB"/>
              </w:rPr>
            </w:pPr>
            <w:r w:rsidRPr="00211EB6">
              <w:rPr>
                <w:lang w:val="en-GB"/>
              </w:rPr>
              <w:t>-</w:t>
            </w:r>
          </w:p>
        </w:tc>
        <w:tc>
          <w:tcPr>
            <w:tcW w:w="3883" w:type="dxa"/>
          </w:tcPr>
          <w:p w14:paraId="379ACCC6" w14:textId="77777777" w:rsidR="003A504D" w:rsidRPr="00211EB6" w:rsidRDefault="003A504D" w:rsidP="002A4DD1">
            <w:pPr>
              <w:pStyle w:val="Paralevel1"/>
              <w:numPr>
                <w:ilvl w:val="0"/>
                <w:numId w:val="0"/>
              </w:numPr>
              <w:rPr>
                <w:lang w:val="en-GB"/>
              </w:rPr>
            </w:pPr>
            <w:r w:rsidRPr="00211EB6">
              <w:rPr>
                <w:lang w:val="en-GB"/>
              </w:rPr>
              <w:t>2</w:t>
            </w:r>
          </w:p>
        </w:tc>
      </w:tr>
      <w:tr w:rsidR="002C6354" w:rsidRPr="00211EB6" w14:paraId="2E5B08CC" w14:textId="77777777" w:rsidTr="00FB019F">
        <w:tc>
          <w:tcPr>
            <w:tcW w:w="2263" w:type="dxa"/>
          </w:tcPr>
          <w:p w14:paraId="6B6A57CD" w14:textId="77777777" w:rsidR="002C6354" w:rsidRPr="00211EB6" w:rsidRDefault="002C6354" w:rsidP="002A4DD1">
            <w:pPr>
              <w:pStyle w:val="Paralevel1"/>
              <w:numPr>
                <w:ilvl w:val="0"/>
                <w:numId w:val="0"/>
              </w:numPr>
              <w:rPr>
                <w:lang w:val="en-GB"/>
              </w:rPr>
            </w:pPr>
            <w:r w:rsidRPr="00211EB6">
              <w:rPr>
                <w:lang w:val="en-GB"/>
              </w:rPr>
              <w:t>Brassicas</w:t>
            </w:r>
          </w:p>
        </w:tc>
        <w:tc>
          <w:tcPr>
            <w:tcW w:w="3686" w:type="dxa"/>
          </w:tcPr>
          <w:p w14:paraId="69B7419D"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365D24D6" w14:textId="5638628A" w:rsidR="002C6354" w:rsidRPr="00211EB6" w:rsidRDefault="003A504D" w:rsidP="002A4DD1">
            <w:pPr>
              <w:pStyle w:val="Paralevel1"/>
              <w:numPr>
                <w:ilvl w:val="0"/>
                <w:numId w:val="0"/>
              </w:numPr>
              <w:rPr>
                <w:lang w:val="en-GB"/>
              </w:rPr>
            </w:pPr>
            <w:r w:rsidRPr="00211EB6">
              <w:rPr>
                <w:lang w:val="en-GB"/>
              </w:rPr>
              <w:t>5</w:t>
            </w:r>
          </w:p>
        </w:tc>
      </w:tr>
      <w:tr w:rsidR="002C6354" w:rsidRPr="00211EB6" w14:paraId="79DB64CD" w14:textId="77777777" w:rsidTr="00FB019F">
        <w:tc>
          <w:tcPr>
            <w:tcW w:w="2263" w:type="dxa"/>
          </w:tcPr>
          <w:p w14:paraId="756D58E4" w14:textId="77777777" w:rsidR="002C6354" w:rsidRPr="00211EB6" w:rsidRDefault="002C6354" w:rsidP="002A4DD1">
            <w:pPr>
              <w:pStyle w:val="Paralevel1"/>
              <w:numPr>
                <w:ilvl w:val="0"/>
                <w:numId w:val="0"/>
              </w:numPr>
              <w:rPr>
                <w:lang w:val="en-GB"/>
              </w:rPr>
            </w:pPr>
            <w:r w:rsidRPr="00211EB6">
              <w:rPr>
                <w:lang w:val="en-GB"/>
              </w:rPr>
              <w:t>Leafy vegetables</w:t>
            </w:r>
          </w:p>
        </w:tc>
        <w:tc>
          <w:tcPr>
            <w:tcW w:w="3686" w:type="dxa"/>
          </w:tcPr>
          <w:p w14:paraId="7EF81A69"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0F1A2A74" w14:textId="4C2937C7" w:rsidR="002C6354" w:rsidRPr="00211EB6" w:rsidRDefault="003A504D" w:rsidP="002A4DD1">
            <w:pPr>
              <w:pStyle w:val="Paralevel1"/>
              <w:numPr>
                <w:ilvl w:val="0"/>
                <w:numId w:val="0"/>
              </w:numPr>
              <w:rPr>
                <w:lang w:val="en-GB"/>
              </w:rPr>
            </w:pPr>
            <w:r w:rsidRPr="00211EB6">
              <w:rPr>
                <w:lang w:val="en-GB"/>
              </w:rPr>
              <w:t>5</w:t>
            </w:r>
          </w:p>
        </w:tc>
      </w:tr>
      <w:tr w:rsidR="002C6354" w:rsidRPr="00211EB6" w14:paraId="5A8B2D49" w14:textId="77777777" w:rsidTr="007B72F5">
        <w:tc>
          <w:tcPr>
            <w:tcW w:w="2263" w:type="dxa"/>
          </w:tcPr>
          <w:p w14:paraId="70B7034E" w14:textId="77777777" w:rsidR="002C6354" w:rsidRPr="00211EB6" w:rsidRDefault="002C6354" w:rsidP="002A4DD1">
            <w:pPr>
              <w:pStyle w:val="Paralevel1"/>
              <w:numPr>
                <w:ilvl w:val="0"/>
                <w:numId w:val="0"/>
              </w:numPr>
              <w:rPr>
                <w:lang w:val="en-GB"/>
              </w:rPr>
            </w:pPr>
            <w:r w:rsidRPr="00211EB6">
              <w:rPr>
                <w:lang w:val="en-GB"/>
              </w:rPr>
              <w:t>Meat products</w:t>
            </w:r>
          </w:p>
        </w:tc>
        <w:tc>
          <w:tcPr>
            <w:tcW w:w="3686" w:type="dxa"/>
          </w:tcPr>
          <w:p w14:paraId="3806CAD6" w14:textId="77777777" w:rsidR="002C6354" w:rsidRPr="00211EB6" w:rsidRDefault="002C6354" w:rsidP="002A4DD1">
            <w:pPr>
              <w:pStyle w:val="Paralevel1"/>
              <w:numPr>
                <w:ilvl w:val="0"/>
                <w:numId w:val="0"/>
              </w:numPr>
              <w:rPr>
                <w:lang w:val="en-GB"/>
              </w:rPr>
            </w:pPr>
            <w:r w:rsidRPr="00211EB6">
              <w:rPr>
                <w:lang w:val="en-GB"/>
              </w:rPr>
              <w:t>0.02</w:t>
            </w:r>
          </w:p>
        </w:tc>
        <w:tc>
          <w:tcPr>
            <w:tcW w:w="3883" w:type="dxa"/>
          </w:tcPr>
          <w:p w14:paraId="77A04530" w14:textId="77777777" w:rsidR="002C6354" w:rsidRPr="00211EB6" w:rsidRDefault="002C6354" w:rsidP="002A4DD1">
            <w:pPr>
              <w:pStyle w:val="Paralevel1"/>
              <w:numPr>
                <w:ilvl w:val="0"/>
                <w:numId w:val="0"/>
              </w:numPr>
              <w:rPr>
                <w:lang w:val="en-GB"/>
              </w:rPr>
            </w:pPr>
            <w:r w:rsidRPr="00211EB6">
              <w:rPr>
                <w:lang w:val="en-GB"/>
              </w:rPr>
              <w:t>-</w:t>
            </w:r>
          </w:p>
        </w:tc>
      </w:tr>
      <w:tr w:rsidR="002C6354" w:rsidRPr="00211EB6" w14:paraId="3FDE8ED5" w14:textId="77777777" w:rsidTr="00FB019F">
        <w:tc>
          <w:tcPr>
            <w:tcW w:w="2263" w:type="dxa"/>
          </w:tcPr>
          <w:p w14:paraId="28552442" w14:textId="77777777" w:rsidR="002C6354" w:rsidRPr="00211EB6" w:rsidRDefault="002C6354" w:rsidP="002A4DD1">
            <w:pPr>
              <w:pStyle w:val="Paralevel1"/>
              <w:numPr>
                <w:ilvl w:val="0"/>
                <w:numId w:val="0"/>
              </w:numPr>
              <w:rPr>
                <w:lang w:val="en-GB"/>
              </w:rPr>
            </w:pPr>
            <w:r w:rsidRPr="00211EB6">
              <w:rPr>
                <w:lang w:val="en-GB"/>
              </w:rPr>
              <w:t>Nuts</w:t>
            </w:r>
          </w:p>
        </w:tc>
        <w:tc>
          <w:tcPr>
            <w:tcW w:w="3686" w:type="dxa"/>
          </w:tcPr>
          <w:p w14:paraId="655CD08A" w14:textId="77777777" w:rsidR="002C6354" w:rsidRPr="00211EB6" w:rsidRDefault="002C6354" w:rsidP="002A4DD1">
            <w:pPr>
              <w:pStyle w:val="Paralevel1"/>
              <w:numPr>
                <w:ilvl w:val="0"/>
                <w:numId w:val="0"/>
              </w:numPr>
              <w:rPr>
                <w:lang w:val="en-GB"/>
              </w:rPr>
            </w:pPr>
            <w:r w:rsidRPr="00211EB6">
              <w:rPr>
                <w:lang w:val="en-GB"/>
              </w:rPr>
              <w:t>0.05</w:t>
            </w:r>
          </w:p>
        </w:tc>
        <w:tc>
          <w:tcPr>
            <w:tcW w:w="3883" w:type="dxa"/>
          </w:tcPr>
          <w:p w14:paraId="34B932CC" w14:textId="644D997E" w:rsidR="002C6354" w:rsidRPr="00211EB6" w:rsidRDefault="003A504D" w:rsidP="002A4DD1">
            <w:pPr>
              <w:pStyle w:val="Paralevel1"/>
              <w:numPr>
                <w:ilvl w:val="0"/>
                <w:numId w:val="0"/>
              </w:numPr>
              <w:rPr>
                <w:lang w:val="en-GB"/>
              </w:rPr>
            </w:pPr>
            <w:r w:rsidRPr="00211EB6">
              <w:rPr>
                <w:lang w:val="en-GB"/>
              </w:rPr>
              <w:t xml:space="preserve">5 (almonds) </w:t>
            </w:r>
          </w:p>
        </w:tc>
      </w:tr>
      <w:tr w:rsidR="002C6354" w:rsidRPr="00211EB6" w14:paraId="5D919307" w14:textId="77777777" w:rsidTr="00FB019F">
        <w:tc>
          <w:tcPr>
            <w:tcW w:w="2263" w:type="dxa"/>
          </w:tcPr>
          <w:p w14:paraId="581A493C" w14:textId="77777777" w:rsidR="002C6354" w:rsidRPr="00211EB6" w:rsidRDefault="002C6354" w:rsidP="002A4DD1">
            <w:pPr>
              <w:pStyle w:val="Paralevel1"/>
              <w:numPr>
                <w:ilvl w:val="0"/>
                <w:numId w:val="0"/>
              </w:numPr>
              <w:rPr>
                <w:lang w:val="en-GB"/>
              </w:rPr>
            </w:pPr>
            <w:r w:rsidRPr="00211EB6">
              <w:rPr>
                <w:lang w:val="en-GB"/>
              </w:rPr>
              <w:t>Seeds / oil seeds</w:t>
            </w:r>
          </w:p>
        </w:tc>
        <w:tc>
          <w:tcPr>
            <w:tcW w:w="3686" w:type="dxa"/>
          </w:tcPr>
          <w:p w14:paraId="0378640F" w14:textId="77777777" w:rsidR="002C6354" w:rsidRPr="00211EB6" w:rsidRDefault="002C6354" w:rsidP="002A4DD1">
            <w:pPr>
              <w:pStyle w:val="Paralevel1"/>
              <w:numPr>
                <w:ilvl w:val="0"/>
                <w:numId w:val="0"/>
              </w:numPr>
              <w:rPr>
                <w:lang w:val="en-GB"/>
              </w:rPr>
            </w:pPr>
            <w:r w:rsidRPr="00211EB6">
              <w:rPr>
                <w:lang w:val="en-GB"/>
              </w:rPr>
              <w:t>0.05</w:t>
            </w:r>
          </w:p>
        </w:tc>
        <w:tc>
          <w:tcPr>
            <w:tcW w:w="3883" w:type="dxa"/>
          </w:tcPr>
          <w:p w14:paraId="3CA33E15" w14:textId="617F9877" w:rsidR="002C6354" w:rsidRPr="00211EB6" w:rsidRDefault="003A504D" w:rsidP="002A4DD1">
            <w:pPr>
              <w:pStyle w:val="Paralevel1"/>
              <w:numPr>
                <w:ilvl w:val="0"/>
                <w:numId w:val="0"/>
              </w:numPr>
              <w:rPr>
                <w:lang w:val="en-GB"/>
              </w:rPr>
            </w:pPr>
            <w:r w:rsidRPr="00211EB6">
              <w:rPr>
                <w:lang w:val="en-GB"/>
              </w:rPr>
              <w:t xml:space="preserve">0.1 (cotton seed) </w:t>
            </w:r>
          </w:p>
        </w:tc>
      </w:tr>
      <w:tr w:rsidR="002C6354" w:rsidRPr="00211EB6" w14:paraId="6B8DD374" w14:textId="77777777" w:rsidTr="00FB019F">
        <w:tc>
          <w:tcPr>
            <w:tcW w:w="2263" w:type="dxa"/>
          </w:tcPr>
          <w:p w14:paraId="34C266DC" w14:textId="77777777" w:rsidR="002C6354" w:rsidRPr="00211EB6" w:rsidRDefault="002C6354" w:rsidP="002A4DD1">
            <w:pPr>
              <w:pStyle w:val="Paralevel1"/>
              <w:numPr>
                <w:ilvl w:val="0"/>
                <w:numId w:val="0"/>
              </w:numPr>
              <w:rPr>
                <w:lang w:val="en-GB"/>
              </w:rPr>
            </w:pPr>
            <w:r w:rsidRPr="00211EB6">
              <w:rPr>
                <w:lang w:val="en-GB"/>
              </w:rPr>
              <w:t>Tea</w:t>
            </w:r>
          </w:p>
        </w:tc>
        <w:tc>
          <w:tcPr>
            <w:tcW w:w="3686" w:type="dxa"/>
          </w:tcPr>
          <w:p w14:paraId="20F0CE4E" w14:textId="77777777" w:rsidR="002C6354" w:rsidRPr="00211EB6" w:rsidRDefault="002C6354" w:rsidP="002A4DD1">
            <w:pPr>
              <w:pStyle w:val="Paralevel1"/>
              <w:numPr>
                <w:ilvl w:val="0"/>
                <w:numId w:val="0"/>
              </w:numPr>
              <w:rPr>
                <w:lang w:val="en-GB"/>
              </w:rPr>
            </w:pPr>
            <w:r w:rsidRPr="00211EB6">
              <w:rPr>
                <w:lang w:val="en-GB"/>
              </w:rPr>
              <w:t>0.05</w:t>
            </w:r>
          </w:p>
        </w:tc>
        <w:tc>
          <w:tcPr>
            <w:tcW w:w="3883" w:type="dxa"/>
          </w:tcPr>
          <w:p w14:paraId="51274BA5" w14:textId="77090A5C" w:rsidR="002C6354" w:rsidRPr="00211EB6" w:rsidRDefault="003A504D" w:rsidP="002A4DD1">
            <w:pPr>
              <w:pStyle w:val="Paralevel1"/>
              <w:numPr>
                <w:ilvl w:val="0"/>
                <w:numId w:val="0"/>
              </w:numPr>
              <w:rPr>
                <w:lang w:val="en-GB"/>
              </w:rPr>
            </w:pPr>
            <w:r w:rsidRPr="00211EB6">
              <w:rPr>
                <w:lang w:val="en-GB"/>
              </w:rPr>
              <w:t>5</w:t>
            </w:r>
          </w:p>
        </w:tc>
      </w:tr>
      <w:tr w:rsidR="003A504D" w:rsidRPr="00211EB6" w14:paraId="25D9D831" w14:textId="77777777" w:rsidTr="00FB019F">
        <w:tc>
          <w:tcPr>
            <w:tcW w:w="2263" w:type="dxa"/>
          </w:tcPr>
          <w:p w14:paraId="3AF5F32A" w14:textId="77777777" w:rsidR="003A504D" w:rsidRPr="00211EB6" w:rsidRDefault="003A504D" w:rsidP="002A4DD1">
            <w:pPr>
              <w:pStyle w:val="Paralevel1"/>
              <w:numPr>
                <w:ilvl w:val="0"/>
                <w:numId w:val="0"/>
              </w:numPr>
              <w:rPr>
                <w:lang w:val="en-GB"/>
              </w:rPr>
            </w:pPr>
            <w:r w:rsidRPr="00211EB6">
              <w:rPr>
                <w:lang w:val="en-GB"/>
              </w:rPr>
              <w:t xml:space="preserve">Hops </w:t>
            </w:r>
          </w:p>
        </w:tc>
        <w:tc>
          <w:tcPr>
            <w:tcW w:w="3686" w:type="dxa"/>
          </w:tcPr>
          <w:p w14:paraId="087E6D00" w14:textId="77777777" w:rsidR="003A504D" w:rsidRPr="00211EB6" w:rsidRDefault="003A504D" w:rsidP="002A4DD1">
            <w:pPr>
              <w:pStyle w:val="Paralevel1"/>
              <w:numPr>
                <w:ilvl w:val="0"/>
                <w:numId w:val="0"/>
              </w:numPr>
              <w:rPr>
                <w:lang w:val="en-GB"/>
              </w:rPr>
            </w:pPr>
            <w:r w:rsidRPr="00211EB6">
              <w:rPr>
                <w:lang w:val="en-GB"/>
              </w:rPr>
              <w:t>-</w:t>
            </w:r>
          </w:p>
        </w:tc>
        <w:tc>
          <w:tcPr>
            <w:tcW w:w="3883" w:type="dxa"/>
          </w:tcPr>
          <w:p w14:paraId="75284B33" w14:textId="77777777" w:rsidR="003A504D" w:rsidRPr="00211EB6" w:rsidRDefault="003A504D" w:rsidP="002A4DD1">
            <w:pPr>
              <w:pStyle w:val="Paralevel1"/>
              <w:numPr>
                <w:ilvl w:val="0"/>
                <w:numId w:val="0"/>
              </w:numPr>
              <w:rPr>
                <w:lang w:val="en-GB"/>
              </w:rPr>
            </w:pPr>
            <w:r w:rsidRPr="00211EB6">
              <w:rPr>
                <w:lang w:val="en-GB"/>
              </w:rPr>
              <w:t>5</w:t>
            </w:r>
          </w:p>
        </w:tc>
      </w:tr>
    </w:tbl>
    <w:p w14:paraId="3147A299" w14:textId="4A3A5F10" w:rsidR="00B90E13" w:rsidRPr="00211EB6" w:rsidRDefault="0086572B" w:rsidP="0086572B">
      <w:pPr>
        <w:pStyle w:val="Paralevel1"/>
        <w:numPr>
          <w:ilvl w:val="0"/>
          <w:numId w:val="0"/>
        </w:numPr>
        <w:snapToGrid w:val="0"/>
        <w:spacing w:after="0"/>
        <w:rPr>
          <w:sz w:val="18"/>
          <w:szCs w:val="18"/>
          <w:lang w:val="en-GB"/>
        </w:rPr>
      </w:pPr>
      <w:r w:rsidRPr="00211EB6">
        <w:rPr>
          <w:sz w:val="18"/>
          <w:szCs w:val="18"/>
          <w:lang w:val="en-GB"/>
        </w:rPr>
        <w:t xml:space="preserve">* </w:t>
      </w:r>
      <w:hyperlink r:id="rId18" w:history="1">
        <w:r w:rsidR="002C6354" w:rsidRPr="00211EB6">
          <w:rPr>
            <w:rStyle w:val="Hyperlink"/>
            <w:sz w:val="18"/>
            <w:szCs w:val="18"/>
            <w:lang w:val="en-GB"/>
          </w:rPr>
          <w:t>http://eur-lex.europa.eu/LexUriServ/LexUriServ.do?uri=OJ:L:2013:226:0001:0017:EN:PDF</w:t>
        </w:r>
      </w:hyperlink>
    </w:p>
    <w:p w14:paraId="24359669" w14:textId="02651697" w:rsidR="00B90E13" w:rsidRPr="00211EB6" w:rsidRDefault="007E3F71" w:rsidP="0086572B">
      <w:pPr>
        <w:pStyle w:val="Paralevel1"/>
        <w:numPr>
          <w:ilvl w:val="0"/>
          <w:numId w:val="0"/>
        </w:numPr>
        <w:snapToGrid w:val="0"/>
        <w:spacing w:after="0"/>
        <w:rPr>
          <w:rStyle w:val="Hyperlink"/>
          <w:sz w:val="18"/>
          <w:szCs w:val="18"/>
          <w:lang w:val="en-GB"/>
        </w:rPr>
      </w:pPr>
      <w:r w:rsidRPr="00211EB6">
        <w:rPr>
          <w:sz w:val="18"/>
          <w:szCs w:val="18"/>
          <w:lang w:val="en-GB"/>
        </w:rPr>
        <w:t xml:space="preserve">** </w:t>
      </w:r>
      <w:hyperlink r:id="rId19" w:history="1">
        <w:r w:rsidRPr="00211EB6">
          <w:rPr>
            <w:rStyle w:val="Hyperlink"/>
            <w:sz w:val="18"/>
            <w:szCs w:val="18"/>
            <w:lang w:val="en-GB"/>
          </w:rPr>
          <w:t>https://www.legislation.gov.au/Details/F2014C00970</w:t>
        </w:r>
      </w:hyperlink>
    </w:p>
    <w:p w14:paraId="37B196D2" w14:textId="77777777" w:rsidR="00525047" w:rsidRPr="00211EB6" w:rsidRDefault="00525047" w:rsidP="002A4DD1">
      <w:pPr>
        <w:pStyle w:val="Paralevel1"/>
        <w:numPr>
          <w:ilvl w:val="0"/>
          <w:numId w:val="0"/>
        </w:numPr>
        <w:rPr>
          <w:lang w:val="en-GB"/>
        </w:rPr>
      </w:pPr>
    </w:p>
    <w:p w14:paraId="2887B4E8" w14:textId="12DDA6E6" w:rsidR="002C6354" w:rsidRPr="00211EB6" w:rsidRDefault="00157099" w:rsidP="008C6BCB">
      <w:pPr>
        <w:pStyle w:val="Normalnumber"/>
        <w:numPr>
          <w:ilvl w:val="0"/>
          <w:numId w:val="34"/>
        </w:numPr>
        <w:tabs>
          <w:tab w:val="clear" w:pos="1440"/>
        </w:tabs>
        <w:ind w:left="0" w:firstLine="0"/>
      </w:pPr>
      <w:r w:rsidRPr="00211EB6">
        <w:t>Additionally</w:t>
      </w:r>
      <w:r w:rsidR="003D0467" w:rsidRPr="00211EB6">
        <w:t>,</w:t>
      </w:r>
      <w:r w:rsidRPr="00211EB6">
        <w:t xml:space="preserve"> data from the EU, USA and Australia also provide guidelines for limits set on residual concentrations in food and feed. </w:t>
      </w:r>
      <w:r w:rsidR="00256B71" w:rsidRPr="00211EB6">
        <w:t>T</w:t>
      </w:r>
      <w:r w:rsidR="00267422" w:rsidRPr="00211EB6">
        <w:t xml:space="preserve">hese limits can provide some guidance on the work completed by a number of nations to identify and set safe limits. </w:t>
      </w:r>
      <w:r w:rsidR="002C6354" w:rsidRPr="00211EB6">
        <w:t xml:space="preserve">The risk profile for </w:t>
      </w:r>
      <w:proofErr w:type="spellStart"/>
      <w:r w:rsidR="002C6354" w:rsidRPr="00211EB6">
        <w:t>dicofol</w:t>
      </w:r>
      <w:proofErr w:type="spellEnd"/>
      <w:r w:rsidR="002C6354" w:rsidRPr="00211EB6">
        <w:t xml:space="preserve"> provided addition</w:t>
      </w:r>
      <w:r w:rsidR="00232F54" w:rsidRPr="00211EB6">
        <w:t>al</w:t>
      </w:r>
      <w:r w:rsidR="002C6354" w:rsidRPr="00211EB6">
        <w:t xml:space="preserve"> data on acceptable daily intakes (ADI) developed in</w:t>
      </w:r>
      <w:r w:rsidR="00301F72" w:rsidRPr="00211EB6">
        <w:t xml:space="preserve"> </w:t>
      </w:r>
      <w:r w:rsidR="002C6354" w:rsidRPr="00211EB6">
        <w:t>the EU (JMPR,</w:t>
      </w:r>
      <w:r w:rsidR="005603EC" w:rsidRPr="00211EB6">
        <w:t xml:space="preserve"> </w:t>
      </w:r>
      <w:r w:rsidR="002C6354" w:rsidRPr="00211EB6">
        <w:t xml:space="preserve">2011) and USA (US EPA, 1998) as </w:t>
      </w:r>
      <w:r w:rsidR="00301F72" w:rsidRPr="00211EB6">
        <w:t xml:space="preserve">0.001 mg/kg </w:t>
      </w:r>
      <w:proofErr w:type="spellStart"/>
      <w:proofErr w:type="gramStart"/>
      <w:r w:rsidR="00301F72" w:rsidRPr="00211EB6">
        <w:t>bw</w:t>
      </w:r>
      <w:proofErr w:type="spellEnd"/>
      <w:proofErr w:type="gramEnd"/>
      <w:r w:rsidR="00301F72" w:rsidRPr="00211EB6">
        <w:t xml:space="preserve">, </w:t>
      </w:r>
      <w:r w:rsidR="002C6354" w:rsidRPr="00211EB6">
        <w:t xml:space="preserve">0.002 mg/kg </w:t>
      </w:r>
      <w:proofErr w:type="spellStart"/>
      <w:r w:rsidR="002C6354" w:rsidRPr="00211EB6">
        <w:t>bw</w:t>
      </w:r>
      <w:proofErr w:type="spellEnd"/>
      <w:r w:rsidR="002C6354" w:rsidRPr="00211EB6">
        <w:t xml:space="preserve"> and 0.0004 mg/kg </w:t>
      </w:r>
      <w:proofErr w:type="spellStart"/>
      <w:r w:rsidR="002C6354" w:rsidRPr="00211EB6">
        <w:t>bw</w:t>
      </w:r>
      <w:proofErr w:type="spellEnd"/>
      <w:r w:rsidR="002C6354" w:rsidRPr="00211EB6">
        <w:t xml:space="preserve"> respectively. </w:t>
      </w:r>
      <w:r w:rsidR="00256B71" w:rsidRPr="00211EB6">
        <w:t xml:space="preserve">Additionally, Australia has established an ADI value for </w:t>
      </w:r>
      <w:proofErr w:type="spellStart"/>
      <w:r w:rsidR="00256B71" w:rsidRPr="00211EB6">
        <w:t>dicofol</w:t>
      </w:r>
      <w:proofErr w:type="spellEnd"/>
      <w:r w:rsidR="00256B71" w:rsidRPr="00211EB6">
        <w:t xml:space="preserve"> of 0.001 mg/kg </w:t>
      </w:r>
      <w:proofErr w:type="spellStart"/>
      <w:proofErr w:type="gramStart"/>
      <w:r w:rsidR="00256B71" w:rsidRPr="00211EB6">
        <w:t>bw</w:t>
      </w:r>
      <w:proofErr w:type="spellEnd"/>
      <w:proofErr w:type="gramEnd"/>
      <w:r w:rsidR="00256B71" w:rsidRPr="00211EB6">
        <w:t xml:space="preserve"> (Australian Government, 2016). </w:t>
      </w:r>
    </w:p>
    <w:p w14:paraId="7933E0A0" w14:textId="16254524" w:rsidR="00C151FB" w:rsidRPr="00211EB6" w:rsidRDefault="00C151FB" w:rsidP="001E269C">
      <w:pPr>
        <w:pStyle w:val="Heading3"/>
      </w:pPr>
      <w:bookmarkStart w:id="25" w:name="_Ref254284666"/>
      <w:bookmarkStart w:id="26" w:name="_Toc483491456"/>
      <w:r w:rsidRPr="00211EB6">
        <w:t>Identification of critical uses</w:t>
      </w:r>
      <w:bookmarkEnd w:id="25"/>
      <w:bookmarkEnd w:id="26"/>
    </w:p>
    <w:p w14:paraId="563D4ABE" w14:textId="0EC1AD46" w:rsidR="002C6354" w:rsidRPr="00211EB6" w:rsidRDefault="002C6354" w:rsidP="008C6BCB">
      <w:pPr>
        <w:pStyle w:val="Normalnumber"/>
        <w:numPr>
          <w:ilvl w:val="0"/>
          <w:numId w:val="34"/>
        </w:numPr>
        <w:tabs>
          <w:tab w:val="clear" w:pos="1440"/>
        </w:tabs>
        <w:ind w:left="0" w:firstLine="0"/>
      </w:pPr>
      <w:proofErr w:type="spellStart"/>
      <w:r w:rsidRPr="00211EB6">
        <w:t>Dicofol</w:t>
      </w:r>
      <w:proofErr w:type="spellEnd"/>
      <w:r w:rsidRPr="00211EB6">
        <w:t xml:space="preserve"> has been used as pesticide for the treatment of mites in a wide range of crops and also on ornamentals such as orchids and rose bushes. However</w:t>
      </w:r>
      <w:r w:rsidR="00A11E85" w:rsidRPr="00211EB6">
        <w:t>,</w:t>
      </w:r>
      <w:r w:rsidRPr="00211EB6">
        <w:t xml:space="preserve"> a number of prohibitions have now been established by many countries across the globe </w:t>
      </w:r>
      <w:r w:rsidR="00FD19D5" w:rsidRPr="00211EB6">
        <w:t xml:space="preserve">growing different crops </w:t>
      </w:r>
      <w:r w:rsidRPr="00211EB6">
        <w:t>in different geographies and climatic conditions, with transition to alternative options (both chemical and non-chemical)</w:t>
      </w:r>
      <w:r w:rsidR="00267422" w:rsidRPr="00211EB6">
        <w:t xml:space="preserve"> adopted by many nations</w:t>
      </w:r>
      <w:r w:rsidRPr="00211EB6">
        <w:t xml:space="preserve">. </w:t>
      </w:r>
      <w:r w:rsidR="00267422" w:rsidRPr="00211EB6">
        <w:t xml:space="preserve">Insufficient data has been found both from the Annex F survey </w:t>
      </w:r>
      <w:r w:rsidR="00FD19D5" w:rsidRPr="00211EB6">
        <w:t>and a</w:t>
      </w:r>
      <w:r w:rsidR="00267422" w:rsidRPr="00211EB6">
        <w:t xml:space="preserve"> wider supporting literature search on </w:t>
      </w:r>
      <w:r w:rsidR="00FD19D5" w:rsidRPr="00211EB6">
        <w:t xml:space="preserve">whether there are any uses that </w:t>
      </w:r>
      <w:r w:rsidR="00267422" w:rsidRPr="00211EB6">
        <w:t>can be defined as critical.</w:t>
      </w:r>
      <w:r w:rsidR="00FD19D5" w:rsidRPr="00211EB6">
        <w:t xml:space="preserve"> None have been identified by Parties or observers</w:t>
      </w:r>
      <w:r w:rsidR="00A04615" w:rsidRPr="00211EB6">
        <w:t xml:space="preserve"> or through the review of literature</w:t>
      </w:r>
      <w:r w:rsidR="00FD19D5" w:rsidRPr="00211EB6">
        <w:t>.</w:t>
      </w:r>
    </w:p>
    <w:p w14:paraId="0869352A" w14:textId="5748E0E2" w:rsidR="002C6354" w:rsidRPr="00211EB6" w:rsidRDefault="002C6354" w:rsidP="008C6BCB">
      <w:pPr>
        <w:pStyle w:val="Normalnumber"/>
        <w:numPr>
          <w:ilvl w:val="0"/>
          <w:numId w:val="34"/>
        </w:numPr>
        <w:tabs>
          <w:tab w:val="clear" w:pos="1440"/>
        </w:tabs>
        <w:ind w:left="0" w:firstLine="0"/>
      </w:pPr>
      <w:r w:rsidRPr="00211EB6">
        <w:t xml:space="preserve">Possible critical uses for which there may not be an alternative available in country will arise where there are specific crop-pest combinations where a chemical and/or non-chemical alternative is not yet available. There is also the possibility that there may be cases where there are technical </w:t>
      </w:r>
      <w:r w:rsidR="00707F68" w:rsidRPr="00211EB6">
        <w:t>obstacles</w:t>
      </w:r>
      <w:r w:rsidRPr="00211EB6">
        <w:t xml:space="preserve"> which make transition to alternative options more difficult</w:t>
      </w:r>
      <w:r w:rsidR="00393CCF" w:rsidRPr="00211EB6">
        <w:t>. F</w:t>
      </w:r>
      <w:r w:rsidR="00267422" w:rsidRPr="00211EB6">
        <w:t>or</w:t>
      </w:r>
      <w:r w:rsidR="00393CCF" w:rsidRPr="00211EB6">
        <w:t xml:space="preserve"> </w:t>
      </w:r>
      <w:r w:rsidR="00267422" w:rsidRPr="00211EB6">
        <w:t>example</w:t>
      </w:r>
      <w:r w:rsidR="00393CCF" w:rsidRPr="00211EB6">
        <w:t xml:space="preserve">, </w:t>
      </w:r>
      <w:r w:rsidR="00E00338" w:rsidRPr="00211EB6">
        <w:t xml:space="preserve">an initial </w:t>
      </w:r>
      <w:r w:rsidR="00393CCF" w:rsidRPr="00211EB6">
        <w:t>reduction in crop yields during transition to alternate methods for pest control in cotton fields in India,</w:t>
      </w:r>
      <w:r w:rsidR="00267422" w:rsidRPr="00211EB6">
        <w:t xml:space="preserve"> </w:t>
      </w:r>
      <w:r w:rsidR="00393CCF" w:rsidRPr="00211EB6">
        <w:t>as reported</w:t>
      </w:r>
      <w:r w:rsidR="00267422" w:rsidRPr="00211EB6">
        <w:t xml:space="preserve"> by </w:t>
      </w:r>
      <w:proofErr w:type="spellStart"/>
      <w:r w:rsidR="00267422" w:rsidRPr="00211EB6">
        <w:t>Eyhorn</w:t>
      </w:r>
      <w:proofErr w:type="spellEnd"/>
      <w:r w:rsidR="00267422" w:rsidRPr="00211EB6">
        <w:t xml:space="preserve"> </w:t>
      </w:r>
      <w:r w:rsidR="00267422" w:rsidRPr="00211EB6">
        <w:rPr>
          <w:i/>
        </w:rPr>
        <w:t>et al</w:t>
      </w:r>
      <w:r w:rsidR="00393CCF" w:rsidRPr="00211EB6">
        <w:t>.</w:t>
      </w:r>
      <w:r w:rsidR="00267422" w:rsidRPr="00211EB6">
        <w:t xml:space="preserve"> (2007)</w:t>
      </w:r>
      <w:r w:rsidRPr="00211EB6">
        <w:t xml:space="preserve">. </w:t>
      </w:r>
      <w:r w:rsidR="00393CCF" w:rsidRPr="00211EB6">
        <w:t xml:space="preserve">However, </w:t>
      </w:r>
      <w:r w:rsidR="00A11E85" w:rsidRPr="00211EB6">
        <w:t xml:space="preserve">studies such as those by </w:t>
      </w:r>
      <w:proofErr w:type="spellStart"/>
      <w:r w:rsidR="00393CCF" w:rsidRPr="00211EB6">
        <w:t>Eyhorn</w:t>
      </w:r>
      <w:proofErr w:type="spellEnd"/>
      <w:r w:rsidR="00393CCF" w:rsidRPr="00211EB6">
        <w:t xml:space="preserve"> (2007) and </w:t>
      </w:r>
      <w:r w:rsidR="00876212" w:rsidRPr="00211EB6">
        <w:t>Chen and Kwan</w:t>
      </w:r>
      <w:r w:rsidR="00393CCF" w:rsidRPr="00211EB6">
        <w:t xml:space="preserve"> (2006) </w:t>
      </w:r>
      <w:r w:rsidR="00FF4FBD" w:rsidRPr="00211EB6">
        <w:t>demonstrated</w:t>
      </w:r>
      <w:r w:rsidR="007A50B8" w:rsidRPr="00211EB6">
        <w:t xml:space="preserve"> that</w:t>
      </w:r>
      <w:r w:rsidR="00FF4FBD" w:rsidRPr="00211EB6">
        <w:t xml:space="preserve"> it was possible to </w:t>
      </w:r>
      <w:r w:rsidR="00E4185B" w:rsidRPr="00211EB6">
        <w:t>remove</w:t>
      </w:r>
      <w:r w:rsidR="00FF4FBD" w:rsidRPr="00211EB6">
        <w:t xml:space="preserve"> </w:t>
      </w:r>
      <w:proofErr w:type="spellStart"/>
      <w:r w:rsidR="00FF4FBD" w:rsidRPr="00211EB6">
        <w:t>dicofol</w:t>
      </w:r>
      <w:proofErr w:type="spellEnd"/>
      <w:r w:rsidR="00FF4FBD" w:rsidRPr="00211EB6">
        <w:t xml:space="preserve"> </w:t>
      </w:r>
      <w:r w:rsidR="007A50B8" w:rsidRPr="00211EB6">
        <w:t xml:space="preserve">from these applications when </w:t>
      </w:r>
      <w:r w:rsidR="00FF4FBD" w:rsidRPr="00211EB6">
        <w:t xml:space="preserve">a transition processes </w:t>
      </w:r>
      <w:r w:rsidR="007A50B8" w:rsidRPr="00211EB6">
        <w:t>was put in place to</w:t>
      </w:r>
      <w:r w:rsidR="00FF4FBD" w:rsidRPr="00211EB6">
        <w:t xml:space="preserve"> </w:t>
      </w:r>
      <w:r w:rsidR="007A50B8" w:rsidRPr="00211EB6">
        <w:t xml:space="preserve">overcome </w:t>
      </w:r>
      <w:r w:rsidR="00FF4FBD" w:rsidRPr="00211EB6">
        <w:t>a number of technical and practical obstacles.</w:t>
      </w:r>
    </w:p>
    <w:p w14:paraId="47295371" w14:textId="632724FA" w:rsidR="002C6354" w:rsidRPr="00211EB6" w:rsidRDefault="002C6354" w:rsidP="008C6BCB">
      <w:pPr>
        <w:pStyle w:val="Normalnumber"/>
        <w:numPr>
          <w:ilvl w:val="0"/>
          <w:numId w:val="34"/>
        </w:numPr>
        <w:tabs>
          <w:tab w:val="clear" w:pos="1440"/>
        </w:tabs>
        <w:ind w:left="0" w:firstLine="0"/>
      </w:pPr>
      <w:r w:rsidRPr="00211EB6">
        <w:t xml:space="preserve">The </w:t>
      </w:r>
      <w:r w:rsidR="00267422" w:rsidRPr="00211EB6">
        <w:t xml:space="preserve">evidence reviewed suggests that chemical and/or non-chemical alternatives are </w:t>
      </w:r>
      <w:r w:rsidR="008C21B3" w:rsidRPr="00211EB6">
        <w:t xml:space="preserve">technically </w:t>
      </w:r>
      <w:r w:rsidR="00267422" w:rsidRPr="00211EB6">
        <w:t xml:space="preserve">feasible for </w:t>
      </w:r>
      <w:proofErr w:type="spellStart"/>
      <w:r w:rsidR="00267422" w:rsidRPr="00211EB6">
        <w:t>dicofol</w:t>
      </w:r>
      <w:proofErr w:type="spellEnd"/>
      <w:r w:rsidR="00267422" w:rsidRPr="00211EB6">
        <w:t xml:space="preserve">. The identification of critical uses based on crop/pest combinations for </w:t>
      </w:r>
      <w:proofErr w:type="spellStart"/>
      <w:r w:rsidR="00267422" w:rsidRPr="00211EB6">
        <w:t>dicofol</w:t>
      </w:r>
      <w:proofErr w:type="spellEnd"/>
      <w:r w:rsidR="00267422" w:rsidRPr="00211EB6">
        <w:t xml:space="preserve"> may therefore relate to transitional issues for replacement by alternative approaches</w:t>
      </w:r>
      <w:r w:rsidR="00FD19D5" w:rsidRPr="00211EB6">
        <w:t>, such as technology transfer and financial management</w:t>
      </w:r>
      <w:r w:rsidR="00267422" w:rsidRPr="00211EB6">
        <w:t xml:space="preserve">. </w:t>
      </w:r>
      <w:r w:rsidR="00FC564D" w:rsidRPr="00211EB6">
        <w:t xml:space="preserve">This could be managed with technical and financial assistance under the auspices of the Convention </w:t>
      </w:r>
      <w:r w:rsidR="00707F68" w:rsidRPr="00211EB6">
        <w:t xml:space="preserve">with </w:t>
      </w:r>
      <w:r w:rsidR="00FC564D" w:rsidRPr="00211EB6">
        <w:t xml:space="preserve">a time-limited exemption for transition. </w:t>
      </w:r>
    </w:p>
    <w:p w14:paraId="1772DEF5" w14:textId="4415293F" w:rsidR="00C151FB" w:rsidRPr="00211EB6" w:rsidRDefault="00C151FB" w:rsidP="001E269C">
      <w:pPr>
        <w:pStyle w:val="Heading3"/>
      </w:pPr>
      <w:bookmarkStart w:id="27" w:name="_Toc483491457"/>
      <w:r w:rsidRPr="00211EB6">
        <w:t>Costs and benefits of implementing control measures</w:t>
      </w:r>
      <w:bookmarkEnd w:id="27"/>
    </w:p>
    <w:p w14:paraId="2CE02CBB" w14:textId="77777777" w:rsidR="00347DA4" w:rsidRPr="00211EB6" w:rsidRDefault="00491919" w:rsidP="00EE4FB5">
      <w:pPr>
        <w:pStyle w:val="Heading5"/>
        <w:numPr>
          <w:ilvl w:val="0"/>
          <w:numId w:val="0"/>
        </w:numPr>
        <w:ind w:left="1009" w:hanging="1009"/>
      </w:pPr>
      <w:r w:rsidRPr="00211EB6">
        <w:t>Prohibition on use</w:t>
      </w:r>
    </w:p>
    <w:p w14:paraId="2F20BF9A" w14:textId="6FC2669B" w:rsidR="002C6354" w:rsidRPr="00211EB6" w:rsidRDefault="002C6354" w:rsidP="008C6BCB">
      <w:pPr>
        <w:pStyle w:val="Normalnumber"/>
        <w:numPr>
          <w:ilvl w:val="0"/>
          <w:numId w:val="34"/>
        </w:numPr>
        <w:tabs>
          <w:tab w:val="clear" w:pos="1440"/>
        </w:tabs>
        <w:ind w:left="0" w:firstLine="0"/>
      </w:pPr>
      <w:r w:rsidRPr="00211EB6">
        <w:t>Prohibition o</w:t>
      </w:r>
      <w:r w:rsidR="00232F54" w:rsidRPr="00211EB6">
        <w:t>f</w:t>
      </w:r>
      <w:r w:rsidRPr="00211EB6">
        <w:t xml:space="preserve"> the production, use, import and export of </w:t>
      </w:r>
      <w:proofErr w:type="spellStart"/>
      <w:r w:rsidRPr="00211EB6">
        <w:t>dicofol</w:t>
      </w:r>
      <w:proofErr w:type="spellEnd"/>
      <w:r w:rsidRPr="00211EB6">
        <w:t xml:space="preserve"> would represent the </w:t>
      </w:r>
      <w:r w:rsidR="00232F54" w:rsidRPr="00211EB6">
        <w:t xml:space="preserve">most effective </w:t>
      </w:r>
      <w:r w:rsidRPr="00211EB6">
        <w:t xml:space="preserve">measure for protection of both the environment and human health under the Stockholm Convention. This would cease all current and </w:t>
      </w:r>
      <w:r w:rsidR="00232F54" w:rsidRPr="00211EB6">
        <w:t xml:space="preserve">potential </w:t>
      </w:r>
      <w:r w:rsidRPr="00211EB6">
        <w:t xml:space="preserve">future releases of </w:t>
      </w:r>
      <w:proofErr w:type="spellStart"/>
      <w:r w:rsidRPr="00211EB6">
        <w:t>dicofol</w:t>
      </w:r>
      <w:proofErr w:type="spellEnd"/>
      <w:r w:rsidRPr="00211EB6">
        <w:t xml:space="preserve">, while existing environmental concentrations would decline over time. The risk profile on </w:t>
      </w:r>
      <w:proofErr w:type="spellStart"/>
      <w:r w:rsidRPr="00211EB6">
        <w:t>dicofol</w:t>
      </w:r>
      <w:proofErr w:type="spellEnd"/>
      <w:r w:rsidRPr="00211EB6">
        <w:t xml:space="preserve"> (UNEP/POPS/POPRC.12/11/add.1) provides detailed information on the toxicological and environmental effects that can be attributed to exposure of </w:t>
      </w:r>
      <w:proofErr w:type="spellStart"/>
      <w:r w:rsidRPr="00211EB6">
        <w:t>dicofol</w:t>
      </w:r>
      <w:proofErr w:type="spellEnd"/>
      <w:r w:rsidRPr="00211EB6">
        <w:t xml:space="preserve"> at doses which cause effects. The prohibition of </w:t>
      </w:r>
      <w:proofErr w:type="spellStart"/>
      <w:r w:rsidRPr="00211EB6">
        <w:t>dicofol</w:t>
      </w:r>
      <w:proofErr w:type="spellEnd"/>
      <w:r w:rsidRPr="00211EB6">
        <w:t xml:space="preserve"> would remove these risks and related economic costs for </w:t>
      </w:r>
      <w:r w:rsidR="002E1031" w:rsidRPr="00211EB6">
        <w:t xml:space="preserve">addressing </w:t>
      </w:r>
      <w:r w:rsidRPr="00211EB6">
        <w:t xml:space="preserve">health </w:t>
      </w:r>
      <w:r w:rsidR="002E1031" w:rsidRPr="00211EB6">
        <w:t xml:space="preserve">and environmental </w:t>
      </w:r>
      <w:r w:rsidRPr="00211EB6">
        <w:t xml:space="preserve">effects linked to </w:t>
      </w:r>
      <w:r w:rsidR="002E1031" w:rsidRPr="00211EB6">
        <w:t xml:space="preserve">releases and </w:t>
      </w:r>
      <w:r w:rsidRPr="00211EB6">
        <w:t>exposure.</w:t>
      </w:r>
    </w:p>
    <w:p w14:paraId="16633D3B" w14:textId="546B550E" w:rsidR="002C6354" w:rsidRPr="00211EB6" w:rsidRDefault="002C6354" w:rsidP="008C6BCB">
      <w:pPr>
        <w:pStyle w:val="Normalnumber"/>
        <w:numPr>
          <w:ilvl w:val="0"/>
          <w:numId w:val="34"/>
        </w:numPr>
        <w:tabs>
          <w:tab w:val="clear" w:pos="1440"/>
        </w:tabs>
        <w:ind w:left="0" w:firstLine="0"/>
      </w:pPr>
      <w:r w:rsidRPr="00211EB6">
        <w:t xml:space="preserve">Possible costs related to the prohibition of </w:t>
      </w:r>
      <w:proofErr w:type="spellStart"/>
      <w:r w:rsidRPr="00211EB6">
        <w:t>dicofol</w:t>
      </w:r>
      <w:proofErr w:type="spellEnd"/>
      <w:r w:rsidRPr="00211EB6">
        <w:t xml:space="preserve"> </w:t>
      </w:r>
      <w:r w:rsidR="00232F54" w:rsidRPr="00211EB6">
        <w:t xml:space="preserve">and the associated use of </w:t>
      </w:r>
      <w:r w:rsidRPr="00211EB6">
        <w:t>chemical and non-chemical alternatives include</w:t>
      </w:r>
      <w:r w:rsidR="00EA1500" w:rsidRPr="00211EB6">
        <w:t>:</w:t>
      </w:r>
      <w:r w:rsidRPr="00211EB6">
        <w:t xml:space="preserve"> (1) Implementation costs for governments and authorities; (2) Cost impacts on</w:t>
      </w:r>
      <w:r w:rsidR="002E1031" w:rsidRPr="00211EB6">
        <w:t xml:space="preserve"> </w:t>
      </w:r>
      <w:r w:rsidR="0087348B" w:rsidRPr="00211EB6">
        <w:t xml:space="preserve">the two </w:t>
      </w:r>
      <w:r w:rsidR="00044DBA" w:rsidRPr="00211EB6">
        <w:t xml:space="preserve">companies that still  </w:t>
      </w:r>
      <w:r w:rsidR="002E1031" w:rsidRPr="00211EB6">
        <w:t>manufactur</w:t>
      </w:r>
      <w:r w:rsidR="00044DBA" w:rsidRPr="00211EB6">
        <w:t>e</w:t>
      </w:r>
      <w:r w:rsidRPr="00211EB6">
        <w:t xml:space="preserve"> </w:t>
      </w:r>
      <w:proofErr w:type="spellStart"/>
      <w:r w:rsidR="00044DBA" w:rsidRPr="00211EB6">
        <w:t>dicofol</w:t>
      </w:r>
      <w:proofErr w:type="spellEnd"/>
      <w:r w:rsidRPr="00211EB6">
        <w:t xml:space="preserve">; (3) </w:t>
      </w:r>
      <w:r w:rsidR="002E1031" w:rsidRPr="00211EB6">
        <w:t>Possible c</w:t>
      </w:r>
      <w:r w:rsidRPr="00211EB6">
        <w:t xml:space="preserve">ost impacts on </w:t>
      </w:r>
      <w:r w:rsidR="00327061" w:rsidRPr="00211EB6">
        <w:t xml:space="preserve">farmers using </w:t>
      </w:r>
      <w:proofErr w:type="spellStart"/>
      <w:r w:rsidR="00327061" w:rsidRPr="00211EB6">
        <w:t>dicofol</w:t>
      </w:r>
      <w:proofErr w:type="spellEnd"/>
      <w:r w:rsidRPr="00211EB6">
        <w:t xml:space="preserve"> (for use of alternatives and </w:t>
      </w:r>
      <w:r w:rsidR="00327061" w:rsidRPr="00211EB6">
        <w:t xml:space="preserve">possible initial changes in </w:t>
      </w:r>
      <w:r w:rsidRPr="00211EB6">
        <w:t xml:space="preserve">productivity in terms of quantity or quality); (4) </w:t>
      </w:r>
      <w:r w:rsidR="002133A8" w:rsidRPr="00211EB6">
        <w:t>C</w:t>
      </w:r>
      <w:r w:rsidR="00327061" w:rsidRPr="00211EB6">
        <w:t xml:space="preserve">ost </w:t>
      </w:r>
      <w:r w:rsidRPr="00211EB6">
        <w:t>impacts on society for agricultural products</w:t>
      </w:r>
      <w:r w:rsidR="00327061" w:rsidRPr="00211EB6">
        <w:t xml:space="preserve"> grown using </w:t>
      </w:r>
      <w:proofErr w:type="spellStart"/>
      <w:r w:rsidR="00327061" w:rsidRPr="00211EB6">
        <w:t>dicofol</w:t>
      </w:r>
      <w:proofErr w:type="spellEnd"/>
      <w:r w:rsidR="00327061" w:rsidRPr="00211EB6">
        <w:t>,</w:t>
      </w:r>
      <w:r w:rsidRPr="00211EB6">
        <w:t xml:space="preserve"> costs for management of obsolete pesticides and remediation of contaminated sites, </w:t>
      </w:r>
      <w:r w:rsidR="00327061" w:rsidRPr="00211EB6">
        <w:t xml:space="preserve">and </w:t>
      </w:r>
      <w:r w:rsidRPr="00211EB6">
        <w:t xml:space="preserve">waste disposal costs; </w:t>
      </w:r>
      <w:r w:rsidR="00982986" w:rsidRPr="00211EB6">
        <w:t xml:space="preserve">and </w:t>
      </w:r>
      <w:r w:rsidRPr="00211EB6">
        <w:t>(5) Cost impacts on environment and health</w:t>
      </w:r>
      <w:r w:rsidR="00327061" w:rsidRPr="00211EB6">
        <w:t xml:space="preserve"> due to </w:t>
      </w:r>
      <w:proofErr w:type="spellStart"/>
      <w:r w:rsidR="00327061" w:rsidRPr="00211EB6">
        <w:t>dicofol</w:t>
      </w:r>
      <w:proofErr w:type="spellEnd"/>
      <w:r w:rsidR="00327061" w:rsidRPr="00211EB6">
        <w:t xml:space="preserve"> use. </w:t>
      </w:r>
      <w:r w:rsidR="00D23F8D" w:rsidRPr="00211EB6">
        <w:t xml:space="preserve">No data has been identified / provided to calculate the scale of these </w:t>
      </w:r>
      <w:r w:rsidR="002F42B7" w:rsidRPr="00211EB6">
        <w:t xml:space="preserve">possible </w:t>
      </w:r>
      <w:r w:rsidR="00D23F8D" w:rsidRPr="00211EB6">
        <w:t>costs.</w:t>
      </w:r>
    </w:p>
    <w:p w14:paraId="24ADFB2C" w14:textId="1C781AFE" w:rsidR="00934710" w:rsidRPr="00211EB6" w:rsidRDefault="004126A9" w:rsidP="008C6BCB">
      <w:pPr>
        <w:pStyle w:val="Normalnumber"/>
        <w:numPr>
          <w:ilvl w:val="0"/>
          <w:numId w:val="34"/>
        </w:numPr>
        <w:tabs>
          <w:tab w:val="clear" w:pos="1440"/>
        </w:tabs>
        <w:ind w:left="0" w:firstLine="0"/>
      </w:pPr>
      <w:r w:rsidRPr="00211EB6">
        <w:t xml:space="preserve">There is only limited information providing a cost impact assessment for the comparison of pesticide prices and transition from </w:t>
      </w:r>
      <w:proofErr w:type="spellStart"/>
      <w:r w:rsidRPr="00211EB6">
        <w:t>dicofol</w:t>
      </w:r>
      <w:proofErr w:type="spellEnd"/>
      <w:r w:rsidRPr="00211EB6">
        <w:t xml:space="preserve"> to other chemical alternatives. Van der </w:t>
      </w:r>
      <w:proofErr w:type="spellStart"/>
      <w:r w:rsidRPr="00211EB6">
        <w:t>Gon</w:t>
      </w:r>
      <w:proofErr w:type="spellEnd"/>
      <w:r w:rsidRPr="00211EB6">
        <w:t xml:space="preserve"> (2006) </w:t>
      </w:r>
      <w:r w:rsidR="005D7A0A" w:rsidRPr="00211EB6">
        <w:t xml:space="preserve">of </w:t>
      </w:r>
      <w:proofErr w:type="gramStart"/>
      <w:r w:rsidR="005D7A0A" w:rsidRPr="00211EB6">
        <w:t>TNO,</w:t>
      </w:r>
      <w:proofErr w:type="gramEnd"/>
      <w:r w:rsidR="005D7A0A" w:rsidRPr="00211EB6">
        <w:t xml:space="preserve"> </w:t>
      </w:r>
      <w:r w:rsidRPr="00211EB6">
        <w:t xml:space="preserve">provides such a study for the European geographic area based on data from 2002. This study which is also included within the </w:t>
      </w:r>
      <w:r w:rsidR="00A22A1A" w:rsidRPr="00211EB6">
        <w:t>UNECE (2010) exploration of management options</w:t>
      </w:r>
      <w:r w:rsidR="00934710" w:rsidRPr="00211EB6">
        <w:t xml:space="preserve">. The </w:t>
      </w:r>
      <w:r w:rsidR="005D7A0A" w:rsidRPr="00211EB6">
        <w:t>UNECE</w:t>
      </w:r>
      <w:r w:rsidR="00934710" w:rsidRPr="00211EB6">
        <w:t xml:space="preserve"> dossier states:</w:t>
      </w:r>
    </w:p>
    <w:p w14:paraId="1A0726A0" w14:textId="4EBC81BC" w:rsidR="00934710" w:rsidRPr="00211EB6" w:rsidRDefault="00934710" w:rsidP="004D7151">
      <w:pPr>
        <w:pStyle w:val="ListParagraph"/>
        <w:autoSpaceDE w:val="0"/>
        <w:autoSpaceDN w:val="0"/>
        <w:adjustRightInd w:val="0"/>
        <w:spacing w:after="120"/>
        <w:ind w:left="0"/>
        <w:rPr>
          <w:sz w:val="20"/>
          <w:szCs w:val="20"/>
          <w:lang w:eastAsia="en-GB"/>
        </w:rPr>
      </w:pPr>
      <w:r w:rsidRPr="00211EB6">
        <w:rPr>
          <w:sz w:val="20"/>
          <w:szCs w:val="20"/>
        </w:rPr>
        <w:t>“</w:t>
      </w:r>
      <w:r w:rsidRPr="00211EB6">
        <w:rPr>
          <w:i/>
          <w:sz w:val="20"/>
          <w:szCs w:val="20"/>
          <w:lang w:eastAsia="en-GB"/>
        </w:rPr>
        <w:t xml:space="preserve">TNO has established that prices of alternative substances are ranging from one to five times the price of </w:t>
      </w:r>
      <w:proofErr w:type="spellStart"/>
      <w:r w:rsidRPr="00211EB6">
        <w:rPr>
          <w:i/>
          <w:sz w:val="20"/>
          <w:szCs w:val="20"/>
          <w:lang w:eastAsia="en-GB"/>
        </w:rPr>
        <w:t>dicofol</w:t>
      </w:r>
      <w:proofErr w:type="spellEnd"/>
      <w:r w:rsidRPr="00211EB6">
        <w:rPr>
          <w:i/>
          <w:sz w:val="20"/>
          <w:szCs w:val="20"/>
          <w:lang w:eastAsia="en-GB"/>
        </w:rPr>
        <w:t xml:space="preserve">. TNO estimated the costs for replacing </w:t>
      </w:r>
      <w:proofErr w:type="spellStart"/>
      <w:r w:rsidRPr="00211EB6">
        <w:rPr>
          <w:i/>
          <w:sz w:val="20"/>
          <w:szCs w:val="20"/>
          <w:lang w:eastAsia="en-GB"/>
        </w:rPr>
        <w:t>dicofol</w:t>
      </w:r>
      <w:proofErr w:type="spellEnd"/>
      <w:r w:rsidRPr="00211EB6">
        <w:rPr>
          <w:i/>
          <w:sz w:val="20"/>
          <w:szCs w:val="20"/>
          <w:lang w:eastAsia="en-GB"/>
        </w:rPr>
        <w:t xml:space="preserve"> to range from 90 Euro to 665 Euro per kilogram </w:t>
      </w:r>
      <w:proofErr w:type="spellStart"/>
      <w:r w:rsidRPr="00211EB6">
        <w:rPr>
          <w:i/>
          <w:sz w:val="20"/>
          <w:szCs w:val="20"/>
          <w:lang w:eastAsia="en-GB"/>
        </w:rPr>
        <w:t>dicofol</w:t>
      </w:r>
      <w:proofErr w:type="spellEnd"/>
      <w:r w:rsidRPr="00211EB6">
        <w:rPr>
          <w:i/>
          <w:sz w:val="20"/>
          <w:szCs w:val="20"/>
          <w:lang w:eastAsia="en-GB"/>
        </w:rPr>
        <w:t xml:space="preserve"> replaced, depending on the price of the compounds used as a substitute. In practice in most cases the most economical options will be selected. Only in very typical situation more expensive alternatives have to be used. This means that the overall costs of substitution will be near the lowest estimates. For this projection the costs are estimated to be 100 Euro per tonne replaced</w:t>
      </w:r>
      <w:r w:rsidRPr="00211EB6">
        <w:rPr>
          <w:sz w:val="20"/>
          <w:szCs w:val="20"/>
          <w:lang w:eastAsia="en-GB"/>
        </w:rPr>
        <w:t>”</w:t>
      </w:r>
      <w:r w:rsidR="0086572B" w:rsidRPr="00211EB6">
        <w:rPr>
          <w:sz w:val="20"/>
          <w:szCs w:val="20"/>
          <w:lang w:eastAsia="en-GB"/>
        </w:rPr>
        <w:t>.</w:t>
      </w:r>
    </w:p>
    <w:p w14:paraId="19B4C57C" w14:textId="2E5BE2FA" w:rsidR="004126A9" w:rsidRPr="00211EB6" w:rsidRDefault="00CB149E" w:rsidP="0086572B">
      <w:pPr>
        <w:autoSpaceDE w:val="0"/>
        <w:autoSpaceDN w:val="0"/>
        <w:adjustRightInd w:val="0"/>
        <w:spacing w:after="120"/>
        <w:rPr>
          <w:sz w:val="20"/>
          <w:szCs w:val="20"/>
        </w:rPr>
      </w:pPr>
      <w:r w:rsidRPr="00211EB6">
        <w:rPr>
          <w:sz w:val="20"/>
          <w:szCs w:val="20"/>
        </w:rPr>
        <w:t xml:space="preserve">It is of </w:t>
      </w:r>
      <w:r w:rsidR="00A22A1A" w:rsidRPr="00211EB6">
        <w:rPr>
          <w:sz w:val="20"/>
          <w:szCs w:val="20"/>
        </w:rPr>
        <w:t xml:space="preserve">note that </w:t>
      </w:r>
      <w:proofErr w:type="spellStart"/>
      <w:r w:rsidR="00A22A1A" w:rsidRPr="00211EB6">
        <w:rPr>
          <w:sz w:val="20"/>
          <w:szCs w:val="20"/>
        </w:rPr>
        <w:t>dicofol</w:t>
      </w:r>
      <w:proofErr w:type="spellEnd"/>
      <w:r w:rsidR="00A22A1A" w:rsidRPr="00211EB6">
        <w:rPr>
          <w:sz w:val="20"/>
          <w:szCs w:val="20"/>
        </w:rPr>
        <w:t xml:space="preserve"> is no longer used within the European Union.</w:t>
      </w:r>
    </w:p>
    <w:p w14:paraId="7830C271" w14:textId="76E27102" w:rsidR="002C6354" w:rsidRPr="00211EB6" w:rsidRDefault="00A22A1A" w:rsidP="008C6BCB">
      <w:pPr>
        <w:pStyle w:val="Normalnumber"/>
        <w:numPr>
          <w:ilvl w:val="0"/>
          <w:numId w:val="34"/>
        </w:numPr>
        <w:tabs>
          <w:tab w:val="clear" w:pos="1440"/>
        </w:tabs>
        <w:ind w:left="0" w:firstLine="0"/>
      </w:pPr>
      <w:r w:rsidRPr="00211EB6">
        <w:t>Other</w:t>
      </w:r>
      <w:r w:rsidR="002C6354" w:rsidRPr="00211EB6">
        <w:t xml:space="preserve"> case studies presented by </w:t>
      </w:r>
      <w:r w:rsidR="00876212" w:rsidRPr="00211EB6">
        <w:t>Chen and Kwan</w:t>
      </w:r>
      <w:r w:rsidR="002C6354" w:rsidRPr="00211EB6">
        <w:t xml:space="preserve"> </w:t>
      </w:r>
      <w:r w:rsidR="00634EFB" w:rsidRPr="00211EB6">
        <w:t>(</w:t>
      </w:r>
      <w:r w:rsidR="002C6354" w:rsidRPr="00211EB6">
        <w:t>2013</w:t>
      </w:r>
      <w:r w:rsidR="00634EFB" w:rsidRPr="00211EB6">
        <w:t>)</w:t>
      </w:r>
      <w:r w:rsidR="002C6354" w:rsidRPr="00211EB6">
        <w:t xml:space="preserve"> and </w:t>
      </w:r>
      <w:proofErr w:type="spellStart"/>
      <w:r w:rsidR="002C6354" w:rsidRPr="00211EB6">
        <w:t>Eyhorn</w:t>
      </w:r>
      <w:proofErr w:type="spellEnd"/>
      <w:r w:rsidR="002C6354" w:rsidRPr="00211EB6">
        <w:t xml:space="preserve"> </w:t>
      </w:r>
      <w:r w:rsidR="00634EFB" w:rsidRPr="00211EB6">
        <w:t>(</w:t>
      </w:r>
      <w:r w:rsidR="002C6354" w:rsidRPr="00211EB6">
        <w:t>2007</w:t>
      </w:r>
      <w:r w:rsidR="00634EFB" w:rsidRPr="00211EB6">
        <w:t>)</w:t>
      </w:r>
      <w:r w:rsidR="002C6354" w:rsidRPr="00211EB6">
        <w:t xml:space="preserve"> provide </w:t>
      </w:r>
      <w:r w:rsidRPr="00211EB6">
        <w:t>further insights for Asia around</w:t>
      </w:r>
      <w:r w:rsidR="002C6354" w:rsidRPr="00211EB6">
        <w:t xml:space="preserve"> the potential economic costs </w:t>
      </w:r>
      <w:r w:rsidR="00327061" w:rsidRPr="00211EB6">
        <w:t xml:space="preserve">and benefits </w:t>
      </w:r>
      <w:r w:rsidR="00BB0975" w:rsidRPr="00211EB6">
        <w:t xml:space="preserve">of </w:t>
      </w:r>
      <w:r w:rsidR="002C6354" w:rsidRPr="00211EB6">
        <w:t xml:space="preserve">prohibition. </w:t>
      </w:r>
      <w:r w:rsidR="00876212" w:rsidRPr="00211EB6">
        <w:t>Chen and Kwan</w:t>
      </w:r>
      <w:r w:rsidR="002C6354" w:rsidRPr="00211EB6">
        <w:t xml:space="preserve"> </w:t>
      </w:r>
      <w:r w:rsidR="00634EFB" w:rsidRPr="00211EB6">
        <w:t>(</w:t>
      </w:r>
      <w:r w:rsidR="002C6354" w:rsidRPr="00211EB6">
        <w:t>2013</w:t>
      </w:r>
      <w:r w:rsidR="00634EFB" w:rsidRPr="00211EB6">
        <w:t>)</w:t>
      </w:r>
      <w:r w:rsidR="002C6354" w:rsidRPr="00211EB6">
        <w:t xml:space="preserve"> </w:t>
      </w:r>
      <w:proofErr w:type="gramStart"/>
      <w:r w:rsidR="002C6354" w:rsidRPr="00211EB6">
        <w:t>makes</w:t>
      </w:r>
      <w:proofErr w:type="gramEnd"/>
      <w:r w:rsidR="00BB0975" w:rsidRPr="00211EB6">
        <w:t xml:space="preserve"> it</w:t>
      </w:r>
      <w:r w:rsidR="002C6354" w:rsidRPr="00211EB6">
        <w:t xml:space="preserve"> clear that the production facilities manufacturing </w:t>
      </w:r>
      <w:proofErr w:type="spellStart"/>
      <w:r w:rsidR="002C6354" w:rsidRPr="00211EB6">
        <w:t>dicofol</w:t>
      </w:r>
      <w:proofErr w:type="spellEnd"/>
      <w:r w:rsidR="002C6354" w:rsidRPr="00211EB6">
        <w:t xml:space="preserve"> employed a sizeable workforce. The transition arrangements in the study involved the need for settlement packages and retraining of workers to </w:t>
      </w:r>
      <w:r w:rsidR="00F81D64" w:rsidRPr="00211EB6">
        <w:t>minimize</w:t>
      </w:r>
      <w:r w:rsidR="002C6354" w:rsidRPr="00211EB6">
        <w:t xml:space="preserve"> the economic impacts on this target group. </w:t>
      </w:r>
      <w:r w:rsidR="005B39B9" w:rsidRPr="00211EB6">
        <w:t>Additionally, c</w:t>
      </w:r>
      <w:r w:rsidR="002C6354" w:rsidRPr="00211EB6">
        <w:t xml:space="preserve">onsiderable effort </w:t>
      </w:r>
      <w:r w:rsidR="005B39B9" w:rsidRPr="00211EB6">
        <w:t xml:space="preserve">was made </w:t>
      </w:r>
      <w:r w:rsidR="002C6354" w:rsidRPr="00211EB6">
        <w:t xml:space="preserve">to work with farmers </w:t>
      </w:r>
      <w:r w:rsidR="00BB0975" w:rsidRPr="00211EB6">
        <w:t>through</w:t>
      </w:r>
      <w:r w:rsidR="002C6354" w:rsidRPr="00211EB6">
        <w:t xml:space="preserve"> training program</w:t>
      </w:r>
      <w:r w:rsidR="00305FBB" w:rsidRPr="00211EB6">
        <w:t>me</w:t>
      </w:r>
      <w:r w:rsidR="00634EFB" w:rsidRPr="00211EB6">
        <w:t>s</w:t>
      </w:r>
      <w:r w:rsidR="002C6354" w:rsidRPr="00211EB6">
        <w:t xml:space="preserve"> and transition to alternative practices linked to IPM. The co-financed GEF project cost 17.6 million US dollars over a six year period. </w:t>
      </w:r>
      <w:r w:rsidR="00327061" w:rsidRPr="00211EB6">
        <w:t xml:space="preserve">However, </w:t>
      </w:r>
      <w:r w:rsidR="00D23F8D" w:rsidRPr="00211EB6">
        <w:t xml:space="preserve">it should be </w:t>
      </w:r>
      <w:r w:rsidR="00F81D64" w:rsidRPr="00211EB6">
        <w:t>recognized</w:t>
      </w:r>
      <w:r w:rsidR="00D23F8D" w:rsidRPr="00211EB6">
        <w:t xml:space="preserve"> that </w:t>
      </w:r>
      <w:r w:rsidR="00327061" w:rsidRPr="00211EB6">
        <w:t xml:space="preserve">China was a major global producer of technical DDT and </w:t>
      </w:r>
      <w:proofErr w:type="spellStart"/>
      <w:r w:rsidR="00327061" w:rsidRPr="00211EB6">
        <w:t>dicofol</w:t>
      </w:r>
      <w:proofErr w:type="spellEnd"/>
      <w:r w:rsidR="00327061" w:rsidRPr="00211EB6">
        <w:t xml:space="preserve">, </w:t>
      </w:r>
      <w:r w:rsidR="00BB0975" w:rsidRPr="00211EB6">
        <w:t>and the</w:t>
      </w:r>
      <w:r w:rsidR="00D23F8D" w:rsidRPr="00211EB6">
        <w:t xml:space="preserve"> </w:t>
      </w:r>
      <w:r w:rsidR="007B72F5" w:rsidRPr="00211EB6">
        <w:t xml:space="preserve">related cost of the GEF project can be expected to mirror the </w:t>
      </w:r>
      <w:r w:rsidR="00D23F8D" w:rsidRPr="00211EB6">
        <w:t xml:space="preserve">scale of the industry. </w:t>
      </w:r>
      <w:r w:rsidR="00327061" w:rsidRPr="00211EB6">
        <w:t xml:space="preserve">Recent figures from the production facility in India estimate annual production during 2015 – 2016 at only 93t (India, 2016). </w:t>
      </w:r>
      <w:proofErr w:type="spellStart"/>
      <w:r w:rsidR="002C6354" w:rsidRPr="00211EB6">
        <w:t>Eyhorn</w:t>
      </w:r>
      <w:proofErr w:type="spellEnd"/>
      <w:r w:rsidR="002C6354" w:rsidRPr="00211EB6">
        <w:t xml:space="preserve"> </w:t>
      </w:r>
      <w:r w:rsidR="00634EFB" w:rsidRPr="00211EB6">
        <w:t>(</w:t>
      </w:r>
      <w:r w:rsidR="002C6354" w:rsidRPr="00211EB6">
        <w:t>2007</w:t>
      </w:r>
      <w:r w:rsidR="00634EFB" w:rsidRPr="00211EB6">
        <w:t>)</w:t>
      </w:r>
      <w:r w:rsidR="002C6354" w:rsidRPr="00211EB6">
        <w:t xml:space="preserve"> highlighted the economic </w:t>
      </w:r>
      <w:r w:rsidR="00DA1F3C" w:rsidRPr="00211EB6">
        <w:t>constraints</w:t>
      </w:r>
      <w:r w:rsidR="002C6354" w:rsidRPr="00211EB6">
        <w:t xml:space="preserve"> that </w:t>
      </w:r>
      <w:r w:rsidR="00DA1F3C" w:rsidRPr="00211EB6">
        <w:t xml:space="preserve">face </w:t>
      </w:r>
      <w:r w:rsidR="002C6354" w:rsidRPr="00211EB6">
        <w:t>farming communities in India</w:t>
      </w:r>
      <w:r w:rsidR="00DA1F3C" w:rsidRPr="00211EB6">
        <w:t xml:space="preserve">, </w:t>
      </w:r>
      <w:r w:rsidR="002C6354" w:rsidRPr="00211EB6">
        <w:t>and</w:t>
      </w:r>
      <w:r w:rsidR="002133A8" w:rsidRPr="00211EB6">
        <w:t xml:space="preserve"> </w:t>
      </w:r>
      <w:r w:rsidR="002D3CB2" w:rsidRPr="00211EB6">
        <w:t>hesitance</w:t>
      </w:r>
      <w:r w:rsidR="002C6354" w:rsidRPr="00211EB6">
        <w:t xml:space="preserve"> to move to </w:t>
      </w:r>
      <w:r w:rsidR="002D3CB2" w:rsidRPr="00211EB6">
        <w:t xml:space="preserve">untested </w:t>
      </w:r>
      <w:r w:rsidR="002C6354" w:rsidRPr="00211EB6">
        <w:t>alternatives</w:t>
      </w:r>
      <w:r w:rsidR="00655170" w:rsidRPr="00211EB6">
        <w:t>.</w:t>
      </w:r>
    </w:p>
    <w:p w14:paraId="01A06A3B" w14:textId="21696CE6" w:rsidR="002C6354" w:rsidRPr="00211EB6" w:rsidRDefault="00E32DE1" w:rsidP="008C6BCB">
      <w:pPr>
        <w:pStyle w:val="Normalnumber"/>
        <w:numPr>
          <w:ilvl w:val="0"/>
          <w:numId w:val="34"/>
        </w:numPr>
        <w:tabs>
          <w:tab w:val="clear" w:pos="1440"/>
        </w:tabs>
        <w:ind w:left="0" w:firstLine="0"/>
      </w:pPr>
      <w:r w:rsidRPr="00211EB6">
        <w:t>P</w:t>
      </w:r>
      <w:r w:rsidR="002C6354" w:rsidRPr="00211EB6">
        <w:t xml:space="preserve">rohibition on the production, use, import and export of </w:t>
      </w:r>
      <w:proofErr w:type="spellStart"/>
      <w:r w:rsidR="002C6354" w:rsidRPr="00211EB6">
        <w:t>dicofol</w:t>
      </w:r>
      <w:proofErr w:type="spellEnd"/>
      <w:r w:rsidR="002C6354" w:rsidRPr="00211EB6">
        <w:t xml:space="preserve"> has already been completed by many nations around the globe with different </w:t>
      </w:r>
      <w:r w:rsidR="00EE1F07" w:rsidRPr="00211EB6">
        <w:t xml:space="preserve">crops, </w:t>
      </w:r>
      <w:r w:rsidR="002C6354" w:rsidRPr="00211EB6">
        <w:t>geographies and climatic conditions, demonstrating that it is technically feasible</w:t>
      </w:r>
      <w:r w:rsidR="00EE1F07" w:rsidRPr="00211EB6">
        <w:t>. I</w:t>
      </w:r>
      <w:r w:rsidR="002C6354" w:rsidRPr="00211EB6">
        <w:t>n the longer term no significant economic impact has been identified</w:t>
      </w:r>
      <w:r w:rsidR="00E411AA" w:rsidRPr="00211EB6">
        <w:t xml:space="preserve"> (at least for those countries with </w:t>
      </w:r>
      <w:r w:rsidR="00DA1F3C" w:rsidRPr="00211EB6">
        <w:t>prohibitions</w:t>
      </w:r>
      <w:r w:rsidR="00E411AA" w:rsidRPr="00211EB6">
        <w:t>)</w:t>
      </w:r>
      <w:r w:rsidR="002C6354" w:rsidRPr="00211EB6">
        <w:t xml:space="preserve">. However the transitional costs and impacts may mean that short term </w:t>
      </w:r>
      <w:r w:rsidR="00E411AA" w:rsidRPr="00211EB6">
        <w:t>e</w:t>
      </w:r>
      <w:r w:rsidR="002C6354" w:rsidRPr="00211EB6">
        <w:t xml:space="preserve">ffects </w:t>
      </w:r>
      <w:r w:rsidR="00DA1F3C" w:rsidRPr="00211EB6">
        <w:t>(such as</w:t>
      </w:r>
      <w:r w:rsidR="007B72F5" w:rsidRPr="00211EB6">
        <w:t xml:space="preserve"> </w:t>
      </w:r>
      <w:r w:rsidR="00DA1F3C" w:rsidRPr="00211EB6">
        <w:t>reduced crop yields, training costs for farm workers to adopt new approaches and economic impacts for workers within pesticide manufactur</w:t>
      </w:r>
      <w:r w:rsidR="008C21B3" w:rsidRPr="00211EB6">
        <w:t>ing</w:t>
      </w:r>
      <w:r w:rsidR="00DA1F3C" w:rsidRPr="00211EB6">
        <w:t xml:space="preserve"> industries) </w:t>
      </w:r>
      <w:r w:rsidR="002C6354" w:rsidRPr="00211EB6">
        <w:t>are possible and this should be considered as part of the POP</w:t>
      </w:r>
      <w:r w:rsidR="001B2A08" w:rsidRPr="00211EB6">
        <w:t>s</w:t>
      </w:r>
      <w:r w:rsidR="002C6354" w:rsidRPr="00211EB6">
        <w:t xml:space="preserve"> </w:t>
      </w:r>
      <w:r w:rsidR="009F2CC5" w:rsidRPr="00211EB6">
        <w:t xml:space="preserve">Review Committee </w:t>
      </w:r>
      <w:r w:rsidR="002C6354" w:rsidRPr="00211EB6">
        <w:t>assessment</w:t>
      </w:r>
      <w:r w:rsidR="00EE1F07" w:rsidRPr="00211EB6">
        <w:t xml:space="preserve"> and technical assistance programme of the Convention.</w:t>
      </w:r>
    </w:p>
    <w:p w14:paraId="0218129C" w14:textId="77777777" w:rsidR="006308D4" w:rsidRPr="00211EB6" w:rsidRDefault="006308D4" w:rsidP="00EE4FB5">
      <w:pPr>
        <w:pStyle w:val="Heading5"/>
        <w:numPr>
          <w:ilvl w:val="0"/>
          <w:numId w:val="0"/>
        </w:numPr>
        <w:ind w:left="1009" w:hanging="1009"/>
        <w:rPr>
          <w:lang w:eastAsia="fr-FR"/>
        </w:rPr>
      </w:pPr>
      <w:r w:rsidRPr="00211EB6">
        <w:rPr>
          <w:lang w:eastAsia="fr-FR"/>
        </w:rPr>
        <w:t>Restriction on use</w:t>
      </w:r>
    </w:p>
    <w:p w14:paraId="708E8E7C" w14:textId="3FA3AC30" w:rsidR="002C6354" w:rsidRPr="00211EB6" w:rsidRDefault="002C6354" w:rsidP="008C6BCB">
      <w:pPr>
        <w:pStyle w:val="Normalnumber"/>
        <w:numPr>
          <w:ilvl w:val="0"/>
          <w:numId w:val="34"/>
        </w:numPr>
        <w:tabs>
          <w:tab w:val="clear" w:pos="1440"/>
        </w:tabs>
        <w:ind w:left="0" w:firstLine="0"/>
      </w:pPr>
      <w:r w:rsidRPr="00211EB6">
        <w:t xml:space="preserve">A restriction on the production, use, import and export on </w:t>
      </w:r>
      <w:proofErr w:type="spellStart"/>
      <w:r w:rsidRPr="00211EB6">
        <w:t>dicofol</w:t>
      </w:r>
      <w:proofErr w:type="spellEnd"/>
      <w:r w:rsidRPr="00211EB6">
        <w:t xml:space="preserve"> would </w:t>
      </w:r>
      <w:r w:rsidR="00EE1F07" w:rsidRPr="00211EB6">
        <w:t xml:space="preserve">likely </w:t>
      </w:r>
      <w:r w:rsidRPr="00211EB6">
        <w:t xml:space="preserve">be less effective than a full prohibition but would limit the potential release and exposure of </w:t>
      </w:r>
      <w:proofErr w:type="spellStart"/>
      <w:r w:rsidRPr="00211EB6">
        <w:t>dicofol</w:t>
      </w:r>
      <w:proofErr w:type="spellEnd"/>
      <w:r w:rsidR="00634EFB" w:rsidRPr="00211EB6">
        <w:t xml:space="preserve"> under certain scenarios</w:t>
      </w:r>
      <w:r w:rsidRPr="00211EB6">
        <w:t xml:space="preserve">. In developing what kind of restriction </w:t>
      </w:r>
      <w:r w:rsidR="00EE1F07" w:rsidRPr="00211EB6">
        <w:t xml:space="preserve">could </w:t>
      </w:r>
      <w:r w:rsidRPr="00211EB6">
        <w:t xml:space="preserve">be needed it is necessary to establish </w:t>
      </w:r>
      <w:r w:rsidR="00E32DE1" w:rsidRPr="00211EB6">
        <w:t xml:space="preserve">the </w:t>
      </w:r>
      <w:r w:rsidRPr="00211EB6">
        <w:t xml:space="preserve">key criteria for the manufacture and use of </w:t>
      </w:r>
      <w:proofErr w:type="spellStart"/>
      <w:r w:rsidRPr="00211EB6">
        <w:t>dicofol</w:t>
      </w:r>
      <w:proofErr w:type="spellEnd"/>
      <w:r w:rsidRPr="00211EB6">
        <w:t xml:space="preserve"> </w:t>
      </w:r>
      <w:r w:rsidR="00FC564D" w:rsidRPr="00211EB6">
        <w:t>and</w:t>
      </w:r>
      <w:r w:rsidR="00E32DE1" w:rsidRPr="00211EB6">
        <w:t xml:space="preserve"> also to</w:t>
      </w:r>
      <w:r w:rsidR="00FC564D" w:rsidRPr="00211EB6">
        <w:t xml:space="preserve"> identify</w:t>
      </w:r>
      <w:r w:rsidRPr="00211EB6">
        <w:t xml:space="preserve"> critical uses </w:t>
      </w:r>
      <w:r w:rsidR="00EE1F07" w:rsidRPr="00211EB6">
        <w:t>that would</w:t>
      </w:r>
      <w:r w:rsidRPr="00211EB6">
        <w:t xml:space="preserve"> form part of the restriction. The evidence reviewed and presented within this dossier has highlighted that in particular the open-system production of </w:t>
      </w:r>
      <w:proofErr w:type="spellStart"/>
      <w:r w:rsidRPr="00211EB6">
        <w:t>dicofol</w:t>
      </w:r>
      <w:proofErr w:type="spellEnd"/>
      <w:r w:rsidRPr="00211EB6">
        <w:t xml:space="preserve"> represents a high risk, both from direct exposure of workers </w:t>
      </w:r>
      <w:r w:rsidR="00FC564D" w:rsidRPr="00211EB6">
        <w:t xml:space="preserve">and </w:t>
      </w:r>
      <w:r w:rsidRPr="00211EB6">
        <w:t xml:space="preserve">also the generation of wastes contaminated with both </w:t>
      </w:r>
      <w:proofErr w:type="spellStart"/>
      <w:r w:rsidRPr="00211EB6">
        <w:t>dicofol</w:t>
      </w:r>
      <w:proofErr w:type="spellEnd"/>
      <w:r w:rsidRPr="00211EB6">
        <w:t xml:space="preserve"> and DDT. Information provided by India (India</w:t>
      </w:r>
      <w:r w:rsidR="00634EFB" w:rsidRPr="00211EB6">
        <w:t>, 2016</w:t>
      </w:r>
      <w:r w:rsidRPr="00211EB6">
        <w:t xml:space="preserve">) </w:t>
      </w:r>
      <w:r w:rsidR="002133A8" w:rsidRPr="00211EB6">
        <w:t xml:space="preserve">states </w:t>
      </w:r>
      <w:r w:rsidRPr="00211EB6">
        <w:t xml:space="preserve">that the facility operated by Hindustan Insecticides Limited is a closed-system only. </w:t>
      </w:r>
      <w:r w:rsidR="00E411AA" w:rsidRPr="00211EB6">
        <w:t>I</w:t>
      </w:r>
      <w:r w:rsidRPr="00211EB6">
        <w:t xml:space="preserve">t is unclear whether the production facility in Israel operated by </w:t>
      </w:r>
      <w:proofErr w:type="spellStart"/>
      <w:r w:rsidRPr="00211EB6">
        <w:t>Adama</w:t>
      </w:r>
      <w:proofErr w:type="spellEnd"/>
      <w:r w:rsidRPr="00211EB6">
        <w:t xml:space="preserve"> (formerly </w:t>
      </w:r>
      <w:proofErr w:type="spellStart"/>
      <w:r w:rsidRPr="00211EB6">
        <w:t>Makhteshim</w:t>
      </w:r>
      <w:proofErr w:type="spellEnd"/>
      <w:r w:rsidRPr="00211EB6">
        <w:t xml:space="preserve"> </w:t>
      </w:r>
      <w:proofErr w:type="spellStart"/>
      <w:r w:rsidRPr="00211EB6">
        <w:t>Agan</w:t>
      </w:r>
      <w:proofErr w:type="spellEnd"/>
      <w:r w:rsidRPr="00211EB6">
        <w:t>) is closed or open.</w:t>
      </w:r>
    </w:p>
    <w:p w14:paraId="27FD3002" w14:textId="068A61D0" w:rsidR="002C6354" w:rsidRPr="00211EB6" w:rsidRDefault="002C6354" w:rsidP="008C6BCB">
      <w:pPr>
        <w:pStyle w:val="Normalnumber"/>
        <w:numPr>
          <w:ilvl w:val="0"/>
          <w:numId w:val="34"/>
        </w:numPr>
        <w:tabs>
          <w:tab w:val="clear" w:pos="1440"/>
        </w:tabs>
        <w:ind w:left="0" w:firstLine="0"/>
      </w:pPr>
      <w:r w:rsidRPr="00211EB6">
        <w:t>Guideline</w:t>
      </w:r>
      <w:r w:rsidR="00634EFB" w:rsidRPr="00211EB6">
        <w:t>s</w:t>
      </w:r>
      <w:r w:rsidRPr="00211EB6">
        <w:t xml:space="preserve"> prepared by the US EPA (2006) highlighted the need for specific PPE when working with </w:t>
      </w:r>
      <w:proofErr w:type="spellStart"/>
      <w:r w:rsidRPr="00211EB6">
        <w:t>dicofol</w:t>
      </w:r>
      <w:proofErr w:type="spellEnd"/>
      <w:r w:rsidRPr="00211EB6">
        <w:t xml:space="preserve"> during manufacture or use</w:t>
      </w:r>
      <w:r w:rsidR="00E32DE1" w:rsidRPr="00211EB6">
        <w:t xml:space="preserve"> and </w:t>
      </w:r>
      <w:r w:rsidRPr="00211EB6">
        <w:t xml:space="preserve">included the development of REI values for protection of farm workers entering treated areas. These </w:t>
      </w:r>
      <w:r w:rsidR="00FC564D" w:rsidRPr="00211EB6">
        <w:t xml:space="preserve">REI </w:t>
      </w:r>
      <w:r w:rsidRPr="00211EB6">
        <w:t xml:space="preserve">values ranged </w:t>
      </w:r>
      <w:r w:rsidR="00982986" w:rsidRPr="00211EB6">
        <w:t xml:space="preserve">from </w:t>
      </w:r>
      <w:r w:rsidRPr="00211EB6">
        <w:t xml:space="preserve">20 – 87 days, highlighting the risk to farm workers, particularly those </w:t>
      </w:r>
      <w:r w:rsidR="002E1031" w:rsidRPr="00211EB6">
        <w:t xml:space="preserve">working with </w:t>
      </w:r>
      <w:r w:rsidRPr="00211EB6">
        <w:t xml:space="preserve">crops where harvesting is completed manually. </w:t>
      </w:r>
      <w:r w:rsidR="00AB0B37" w:rsidRPr="00211EB6">
        <w:t>There is no evidence that</w:t>
      </w:r>
      <w:r w:rsidR="00634EFB" w:rsidRPr="00211EB6">
        <w:t xml:space="preserve"> the identified PPE and REIs are in use for all global farming communities</w:t>
      </w:r>
      <w:r w:rsidR="00AB0B37" w:rsidRPr="00211EB6">
        <w:t xml:space="preserve"> and urban users</w:t>
      </w:r>
      <w:r w:rsidR="00634EFB" w:rsidRPr="00211EB6">
        <w:t xml:space="preserve">. </w:t>
      </w:r>
      <w:r w:rsidRPr="00211EB6">
        <w:t xml:space="preserve">Restrictions could </w:t>
      </w:r>
      <w:r w:rsidR="00B763B6" w:rsidRPr="00211EB6">
        <w:t xml:space="preserve">potentially </w:t>
      </w:r>
      <w:r w:rsidRPr="00211EB6">
        <w:t xml:space="preserve">be used to protect these workers with the use of </w:t>
      </w:r>
      <w:proofErr w:type="spellStart"/>
      <w:r w:rsidRPr="00211EB6">
        <w:t>dicofol</w:t>
      </w:r>
      <w:proofErr w:type="spellEnd"/>
      <w:r w:rsidRPr="00211EB6">
        <w:t xml:space="preserve"> limited to only crops that are harvested mechanically such as cotton and alfalfa.</w:t>
      </w:r>
      <w:r w:rsidR="00DA1F3C" w:rsidRPr="00211EB6">
        <w:t xml:space="preserve"> </w:t>
      </w:r>
      <w:r w:rsidR="00394B7B" w:rsidRPr="00211EB6">
        <w:t xml:space="preserve">It should be noted that while REI </w:t>
      </w:r>
      <w:r w:rsidR="00902FA4" w:rsidRPr="00211EB6">
        <w:t xml:space="preserve">values </w:t>
      </w:r>
      <w:r w:rsidR="00394B7B" w:rsidRPr="00211EB6">
        <w:t xml:space="preserve">decrease the quantity of </w:t>
      </w:r>
      <w:proofErr w:type="spellStart"/>
      <w:r w:rsidR="00394B7B" w:rsidRPr="00211EB6">
        <w:t>dicofol</w:t>
      </w:r>
      <w:proofErr w:type="spellEnd"/>
      <w:r w:rsidR="00394B7B" w:rsidRPr="00211EB6">
        <w:t xml:space="preserve"> entering the environment, limiting the risks to workers from direct exposure, </w:t>
      </w:r>
      <w:r w:rsidR="00305FBB" w:rsidRPr="00211EB6">
        <w:t>they</w:t>
      </w:r>
      <w:r w:rsidR="00394B7B" w:rsidRPr="00211EB6">
        <w:t xml:space="preserve"> may do little to limit environmental exposure in use and manufacturing sites and may not limit long range transport </w:t>
      </w:r>
      <w:r w:rsidR="0034600B" w:rsidRPr="00211EB6">
        <w:t xml:space="preserve">of </w:t>
      </w:r>
      <w:proofErr w:type="spellStart"/>
      <w:r w:rsidR="00394B7B" w:rsidRPr="00211EB6">
        <w:t>dicofol</w:t>
      </w:r>
      <w:proofErr w:type="spellEnd"/>
      <w:r w:rsidR="00394B7B" w:rsidRPr="00211EB6">
        <w:t>.</w:t>
      </w:r>
    </w:p>
    <w:p w14:paraId="372778BF" w14:textId="0F2C85F3" w:rsidR="002C6354" w:rsidRPr="00211EB6" w:rsidRDefault="002C6354" w:rsidP="008C6BCB">
      <w:pPr>
        <w:pStyle w:val="Normalnumber"/>
        <w:numPr>
          <w:ilvl w:val="0"/>
          <w:numId w:val="34"/>
        </w:numPr>
        <w:tabs>
          <w:tab w:val="clear" w:pos="1440"/>
        </w:tabs>
        <w:ind w:left="0" w:firstLine="0"/>
      </w:pPr>
      <w:r w:rsidRPr="00211EB6">
        <w:t xml:space="preserve">Finally a </w:t>
      </w:r>
      <w:r w:rsidR="00F2077B" w:rsidRPr="00211EB6">
        <w:t xml:space="preserve">time-limited </w:t>
      </w:r>
      <w:r w:rsidRPr="00211EB6">
        <w:t xml:space="preserve">restriction to </w:t>
      </w:r>
      <w:r w:rsidR="00F2077B" w:rsidRPr="00211EB6">
        <w:t xml:space="preserve">use </w:t>
      </w:r>
      <w:proofErr w:type="spellStart"/>
      <w:r w:rsidR="00CB149E" w:rsidRPr="00211EB6">
        <w:t>dicofol</w:t>
      </w:r>
      <w:proofErr w:type="spellEnd"/>
      <w:r w:rsidR="00CB149E" w:rsidRPr="00211EB6">
        <w:t xml:space="preserve"> </w:t>
      </w:r>
      <w:r w:rsidRPr="00211EB6">
        <w:t xml:space="preserve">only </w:t>
      </w:r>
      <w:r w:rsidR="00CB149E" w:rsidRPr="00211EB6">
        <w:t xml:space="preserve">for </w:t>
      </w:r>
      <w:r w:rsidRPr="00211EB6">
        <w:t>those crop</w:t>
      </w:r>
      <w:r w:rsidR="00F2077B" w:rsidRPr="00211EB6">
        <w:t>/pest complexes</w:t>
      </w:r>
      <w:r w:rsidRPr="00211EB6">
        <w:t xml:space="preserve"> identified as critical could limit the use of </w:t>
      </w:r>
      <w:proofErr w:type="spellStart"/>
      <w:r w:rsidRPr="00211EB6">
        <w:t>dicofol</w:t>
      </w:r>
      <w:proofErr w:type="spellEnd"/>
      <w:r w:rsidRPr="00211EB6">
        <w:t xml:space="preserve">. However in </w:t>
      </w:r>
      <w:r w:rsidR="004F5CAA" w:rsidRPr="00211EB6">
        <w:t xml:space="preserve">attempting to </w:t>
      </w:r>
      <w:r w:rsidRPr="00211EB6">
        <w:t>identify critical</w:t>
      </w:r>
      <w:r w:rsidR="00AA0413" w:rsidRPr="00211EB6">
        <w:t xml:space="preserve"> uses</w:t>
      </w:r>
      <w:r w:rsidRPr="00211EB6">
        <w:t xml:space="preserve">, </w:t>
      </w:r>
      <w:r w:rsidR="00DA1F3C" w:rsidRPr="00211EB6">
        <w:t xml:space="preserve">there is insufficient </w:t>
      </w:r>
      <w:r w:rsidR="00AA0413" w:rsidRPr="00211EB6">
        <w:t>information</w:t>
      </w:r>
      <w:r w:rsidR="00DA1F3C" w:rsidRPr="00211EB6">
        <w:t xml:space="preserve">, and </w:t>
      </w:r>
      <w:r w:rsidR="004F5CAA" w:rsidRPr="00211EB6">
        <w:t xml:space="preserve">no </w:t>
      </w:r>
      <w:r w:rsidR="00DA1F3C" w:rsidRPr="00211EB6">
        <w:t xml:space="preserve">specific examples of critical uses </w:t>
      </w:r>
      <w:r w:rsidR="00AA0413" w:rsidRPr="00211EB6">
        <w:t>were</w:t>
      </w:r>
      <w:r w:rsidR="00DA1F3C" w:rsidRPr="00211EB6">
        <w:t xml:space="preserve"> provided by </w:t>
      </w:r>
      <w:r w:rsidR="00315E0D" w:rsidRPr="00211EB6">
        <w:t>Parties</w:t>
      </w:r>
      <w:r w:rsidR="00DA1F3C" w:rsidRPr="00211EB6">
        <w:t xml:space="preserve"> or observers as part of the Annex F survey.</w:t>
      </w:r>
    </w:p>
    <w:p w14:paraId="004FFDD3" w14:textId="28892A77" w:rsidR="00DA1F3C" w:rsidRPr="00211EB6" w:rsidRDefault="002C6354" w:rsidP="008C6BCB">
      <w:pPr>
        <w:pStyle w:val="Normalnumber"/>
        <w:numPr>
          <w:ilvl w:val="0"/>
          <w:numId w:val="34"/>
        </w:numPr>
        <w:tabs>
          <w:tab w:val="clear" w:pos="1440"/>
        </w:tabs>
        <w:ind w:left="0" w:firstLine="0"/>
      </w:pPr>
      <w:r w:rsidRPr="00211EB6">
        <w:t xml:space="preserve">A restriction on the use of </w:t>
      </w:r>
      <w:proofErr w:type="spellStart"/>
      <w:r w:rsidRPr="00211EB6">
        <w:t>dicofol</w:t>
      </w:r>
      <w:proofErr w:type="spellEnd"/>
      <w:r w:rsidRPr="00211EB6">
        <w:t xml:space="preserve"> for specific crops would likely entail similar activities and cost impacts as </w:t>
      </w:r>
      <w:r w:rsidR="00E411AA" w:rsidRPr="00211EB6">
        <w:t xml:space="preserve">a </w:t>
      </w:r>
      <w:r w:rsidRPr="00211EB6">
        <w:t>prohibition</w:t>
      </w:r>
      <w:r w:rsidR="002E1031" w:rsidRPr="00211EB6">
        <w:t>, as</w:t>
      </w:r>
      <w:r w:rsidR="00DA1F3C" w:rsidRPr="00211EB6">
        <w:t xml:space="preserve"> detailed in the previous section</w:t>
      </w:r>
      <w:r w:rsidR="00C6255A" w:rsidRPr="00211EB6">
        <w:t>.</w:t>
      </w:r>
    </w:p>
    <w:p w14:paraId="17C9313E" w14:textId="339BB03C" w:rsidR="002C6354" w:rsidRPr="00211EB6" w:rsidRDefault="002C6354" w:rsidP="008C6BCB">
      <w:pPr>
        <w:pStyle w:val="Normalnumber"/>
        <w:numPr>
          <w:ilvl w:val="0"/>
          <w:numId w:val="34"/>
        </w:numPr>
        <w:tabs>
          <w:tab w:val="clear" w:pos="1440"/>
        </w:tabs>
        <w:ind w:left="0" w:firstLine="0"/>
      </w:pPr>
      <w:r w:rsidRPr="00211EB6">
        <w:t xml:space="preserve">To </w:t>
      </w:r>
      <w:r w:rsidR="005470E4" w:rsidRPr="00211EB6">
        <w:t>summarize</w:t>
      </w:r>
      <w:r w:rsidR="00B763B6" w:rsidRPr="00211EB6">
        <w:t>,</w:t>
      </w:r>
      <w:r w:rsidRPr="00211EB6">
        <w:t xml:space="preserve"> a restriction on the production, use, import and export of </w:t>
      </w:r>
      <w:proofErr w:type="spellStart"/>
      <w:r w:rsidRPr="00211EB6">
        <w:t>dicofol</w:t>
      </w:r>
      <w:proofErr w:type="spellEnd"/>
      <w:r w:rsidRPr="00211EB6">
        <w:t xml:space="preserve"> would likely be less effective at protecting the environment and human health than a full prohibition.</w:t>
      </w:r>
      <w:r w:rsidR="00EE1F07" w:rsidRPr="00211EB6">
        <w:t xml:space="preserve"> I</w:t>
      </w:r>
      <w:r w:rsidRPr="00211EB6">
        <w:t xml:space="preserve">t could be possible to limit the use of </w:t>
      </w:r>
      <w:proofErr w:type="spellStart"/>
      <w:r w:rsidRPr="00211EB6">
        <w:t>dicofol</w:t>
      </w:r>
      <w:proofErr w:type="spellEnd"/>
      <w:r w:rsidRPr="00211EB6">
        <w:t xml:space="preserve"> to only key critical uses</w:t>
      </w:r>
      <w:r w:rsidR="0079281C" w:rsidRPr="00211EB6">
        <w:t>,</w:t>
      </w:r>
      <w:r w:rsidRPr="00211EB6">
        <w:t xml:space="preserve"> which would limit potential exposure while also limiting economic impacts where technical</w:t>
      </w:r>
      <w:r w:rsidR="00E411AA" w:rsidRPr="00211EB6">
        <w:t>ly</w:t>
      </w:r>
      <w:r w:rsidRPr="00211EB6">
        <w:t xml:space="preserve"> feasible options are unavailable for specific crop/pest combinations. </w:t>
      </w:r>
      <w:r w:rsidR="00EE1F07" w:rsidRPr="00211EB6">
        <w:t xml:space="preserve">However, no critical uses have been identified. </w:t>
      </w:r>
      <w:r w:rsidRPr="00211EB6">
        <w:t>Furthermore</w:t>
      </w:r>
      <w:r w:rsidR="00F2077B" w:rsidRPr="00211EB6">
        <w:t>,</w:t>
      </w:r>
      <w:r w:rsidRPr="00211EB6">
        <w:t xml:space="preserve"> it </w:t>
      </w:r>
      <w:r w:rsidR="00D82901" w:rsidRPr="00211EB6">
        <w:t>would</w:t>
      </w:r>
      <w:r w:rsidR="0079281C" w:rsidRPr="00211EB6">
        <w:t xml:space="preserve"> </w:t>
      </w:r>
      <w:r w:rsidRPr="00211EB6">
        <w:t xml:space="preserve">be </w:t>
      </w:r>
      <w:r w:rsidR="00EE1F07" w:rsidRPr="00211EB6">
        <w:t xml:space="preserve">technically </w:t>
      </w:r>
      <w:r w:rsidRPr="00211EB6">
        <w:t xml:space="preserve">possible to </w:t>
      </w:r>
      <w:r w:rsidR="002E1031" w:rsidRPr="00211EB6">
        <w:t xml:space="preserve">limit </w:t>
      </w:r>
      <w:r w:rsidRPr="00211EB6">
        <w:t>occupational exposure by imposing restrictions on the nature of manufacture (</w:t>
      </w:r>
      <w:r w:rsidR="00982986" w:rsidRPr="00211EB6">
        <w:t xml:space="preserve">e.g. specifying </w:t>
      </w:r>
      <w:r w:rsidRPr="00211EB6">
        <w:t>closed-system</w:t>
      </w:r>
      <w:r w:rsidR="00982986" w:rsidRPr="00211EB6">
        <w:t>s</w:t>
      </w:r>
      <w:r w:rsidRPr="00211EB6">
        <w:t xml:space="preserve"> only) and worker activities </w:t>
      </w:r>
      <w:r w:rsidR="00EE1F07" w:rsidRPr="00211EB6">
        <w:t>(</w:t>
      </w:r>
      <w:r w:rsidR="00982986" w:rsidRPr="00211EB6">
        <w:t xml:space="preserve">e.g. </w:t>
      </w:r>
      <w:r w:rsidR="00EE1F07" w:rsidRPr="00211EB6">
        <w:t>recommending use of correct PPE in all global geographic areas</w:t>
      </w:r>
      <w:r w:rsidR="00A11E85" w:rsidRPr="00211EB6">
        <w:t xml:space="preserve">. </w:t>
      </w:r>
      <w:r w:rsidR="00D82901" w:rsidRPr="00211EB6">
        <w:t>A number of studies suggest that PPE is not easily implemented in developing countries, and may not be effective, is currently not worn by a large number of small-scale pesticide users in hot climates, and that many governments have not been able to enforce its use (</w:t>
      </w:r>
      <w:r w:rsidR="00424392" w:rsidRPr="00211EB6">
        <w:t>NPASP, 2012; Banerjee et al., 2014</w:t>
      </w:r>
      <w:r w:rsidR="00D82901" w:rsidRPr="00211EB6">
        <w:t xml:space="preserve">; </w:t>
      </w:r>
      <w:proofErr w:type="spellStart"/>
      <w:r w:rsidR="00D82901" w:rsidRPr="00211EB6">
        <w:t>Neupane</w:t>
      </w:r>
      <w:proofErr w:type="spellEnd"/>
      <w:r w:rsidR="00D82901" w:rsidRPr="00211EB6">
        <w:t xml:space="preserve"> et al., 2014).  It is, h</w:t>
      </w:r>
      <w:r w:rsidR="00DA1F3C" w:rsidRPr="00211EB6">
        <w:t>owever</w:t>
      </w:r>
      <w:r w:rsidR="00A11E85" w:rsidRPr="00211EB6">
        <w:t xml:space="preserve">, </w:t>
      </w:r>
      <w:r w:rsidR="00DA1F3C" w:rsidRPr="00211EB6">
        <w:t xml:space="preserve">important to highlight that </w:t>
      </w:r>
      <w:r w:rsidR="00A11E85" w:rsidRPr="00211EB6">
        <w:t xml:space="preserve">information </w:t>
      </w:r>
      <w:r w:rsidR="00DA1F3C" w:rsidRPr="00211EB6">
        <w:t xml:space="preserve">on the scale of economic costs </w:t>
      </w:r>
      <w:r w:rsidR="00A11E85" w:rsidRPr="00211EB6">
        <w:t xml:space="preserve">due to </w:t>
      </w:r>
      <w:r w:rsidR="00DA1F3C" w:rsidRPr="00211EB6">
        <w:t xml:space="preserve">a restriction on </w:t>
      </w:r>
      <w:proofErr w:type="spellStart"/>
      <w:r w:rsidR="00DA1F3C" w:rsidRPr="00211EB6">
        <w:t>dicofol</w:t>
      </w:r>
      <w:proofErr w:type="spellEnd"/>
      <w:r w:rsidR="00DA1F3C" w:rsidRPr="00211EB6">
        <w:t xml:space="preserve"> have not been identified. </w:t>
      </w:r>
    </w:p>
    <w:p w14:paraId="1C72C3BC" w14:textId="23D6FE6A" w:rsidR="00C151FB" w:rsidRPr="00211EB6" w:rsidRDefault="00C151FB" w:rsidP="001E269C">
      <w:pPr>
        <w:pStyle w:val="Heading2"/>
      </w:pPr>
      <w:bookmarkStart w:id="28" w:name="_Toc483491458"/>
      <w:r w:rsidRPr="00211EB6">
        <w:t>Information on alternatives (products and processes)</w:t>
      </w:r>
      <w:bookmarkEnd w:id="28"/>
    </w:p>
    <w:p w14:paraId="79CBCB95" w14:textId="5A9C1D9E" w:rsidR="0063462D" w:rsidRPr="00211EB6" w:rsidRDefault="005548BB" w:rsidP="001E269C">
      <w:pPr>
        <w:pStyle w:val="Heading3"/>
      </w:pPr>
      <w:bookmarkStart w:id="29" w:name="_Toc483491459"/>
      <w:r w:rsidRPr="00211EB6">
        <w:t>Overview</w:t>
      </w:r>
      <w:r w:rsidR="002C0557" w:rsidRPr="00211EB6">
        <w:t xml:space="preserve"> of </w:t>
      </w:r>
      <w:r w:rsidR="00C151FB" w:rsidRPr="00211EB6">
        <w:t>alternatives</w:t>
      </w:r>
      <w:bookmarkEnd w:id="29"/>
    </w:p>
    <w:p w14:paraId="1A4DFFB4" w14:textId="25BEF087" w:rsidR="005F3434" w:rsidRPr="00211EB6" w:rsidRDefault="005F3434" w:rsidP="008C6BCB">
      <w:pPr>
        <w:pStyle w:val="Normalnumber"/>
        <w:numPr>
          <w:ilvl w:val="0"/>
          <w:numId w:val="34"/>
        </w:numPr>
        <w:tabs>
          <w:tab w:val="clear" w:pos="1440"/>
        </w:tabs>
        <w:ind w:left="0" w:firstLine="0"/>
        <w:rPr>
          <w:b/>
        </w:rPr>
      </w:pPr>
      <w:r w:rsidRPr="00211EB6">
        <w:t xml:space="preserve">Based on the responses </w:t>
      </w:r>
      <w:r w:rsidR="003D548A" w:rsidRPr="00211EB6">
        <w:t xml:space="preserve">provided </w:t>
      </w:r>
      <w:r w:rsidRPr="00211EB6">
        <w:t>to the Annex F request for information, the supporting information from Canada, PAN and IPEN</w:t>
      </w:r>
      <w:r w:rsidR="00F2077B" w:rsidRPr="00211EB6">
        <w:t>,</w:t>
      </w:r>
      <w:r w:rsidRPr="00211EB6">
        <w:t xml:space="preserve"> and additional </w:t>
      </w:r>
      <w:r w:rsidR="003D548A" w:rsidRPr="00211EB6">
        <w:t xml:space="preserve">literature </w:t>
      </w:r>
      <w:r w:rsidRPr="00211EB6">
        <w:t xml:space="preserve">references, a range of alternatives to </w:t>
      </w:r>
      <w:proofErr w:type="spellStart"/>
      <w:r w:rsidRPr="00211EB6">
        <w:t>dicofol</w:t>
      </w:r>
      <w:proofErr w:type="spellEnd"/>
      <w:r w:rsidRPr="00211EB6">
        <w:t xml:space="preserve"> have been identified. </w:t>
      </w:r>
      <w:proofErr w:type="spellStart"/>
      <w:r w:rsidR="00E411AA" w:rsidRPr="00211EB6">
        <w:t>D</w:t>
      </w:r>
      <w:r w:rsidR="003D548A" w:rsidRPr="00211EB6">
        <w:t>icofol</w:t>
      </w:r>
      <w:proofErr w:type="spellEnd"/>
      <w:r w:rsidR="003D548A" w:rsidRPr="00211EB6">
        <w:t xml:space="preserve"> has been used across a broad range of</w:t>
      </w:r>
      <w:r w:rsidRPr="00211EB6">
        <w:t xml:space="preserve"> crop</w:t>
      </w:r>
      <w:r w:rsidR="003D548A" w:rsidRPr="00211EB6">
        <w:t xml:space="preserve"> type</w:t>
      </w:r>
      <w:r w:rsidRPr="00211EB6">
        <w:t>s</w:t>
      </w:r>
      <w:r w:rsidR="003D548A" w:rsidRPr="00211EB6">
        <w:t>, as well as ornamentals</w:t>
      </w:r>
      <w:r w:rsidR="00F2077B" w:rsidRPr="00211EB6">
        <w:t>,</w:t>
      </w:r>
      <w:r w:rsidR="003D548A" w:rsidRPr="00211EB6">
        <w:t xml:space="preserve"> in</w:t>
      </w:r>
      <w:r w:rsidRPr="00211EB6">
        <w:t xml:space="preserve"> </w:t>
      </w:r>
      <w:r w:rsidR="003D548A" w:rsidRPr="00211EB6">
        <w:t xml:space="preserve">an equally broad set of </w:t>
      </w:r>
      <w:r w:rsidRPr="00211EB6">
        <w:t xml:space="preserve">geographical regions (see section 1), </w:t>
      </w:r>
      <w:r w:rsidR="00E411AA" w:rsidRPr="00211EB6">
        <w:t xml:space="preserve">and </w:t>
      </w:r>
      <w:r w:rsidRPr="00211EB6">
        <w:t xml:space="preserve">different types of alternatives are available, including chemical alternatives, biological controls, </w:t>
      </w:r>
      <w:r w:rsidR="00AE1DA1" w:rsidRPr="00211EB6">
        <w:t>botanical preparations</w:t>
      </w:r>
      <w:r w:rsidR="0087622E" w:rsidRPr="00211EB6">
        <w:t xml:space="preserve">, </w:t>
      </w:r>
      <w:proofErr w:type="spellStart"/>
      <w:r w:rsidR="00730358" w:rsidRPr="00211EB6">
        <w:t>agroecological</w:t>
      </w:r>
      <w:proofErr w:type="spellEnd"/>
      <w:r w:rsidR="00730358" w:rsidRPr="00211EB6">
        <w:t xml:space="preserve"> </w:t>
      </w:r>
      <w:r w:rsidRPr="00211EB6">
        <w:t>practices</w:t>
      </w:r>
      <w:r w:rsidR="003D548A" w:rsidRPr="00211EB6">
        <w:t xml:space="preserve"> such as</w:t>
      </w:r>
      <w:r w:rsidRPr="00211EB6">
        <w:t xml:space="preserve"> </w:t>
      </w:r>
      <w:r w:rsidR="00730358" w:rsidRPr="00211EB6">
        <w:t xml:space="preserve">those used in </w:t>
      </w:r>
      <w:proofErr w:type="spellStart"/>
      <w:r w:rsidR="00730358" w:rsidRPr="00211EB6">
        <w:t>agroecology</w:t>
      </w:r>
      <w:proofErr w:type="spellEnd"/>
      <w:r w:rsidR="00730358" w:rsidRPr="00211EB6">
        <w:t>, organic</w:t>
      </w:r>
      <w:r w:rsidR="00793F96" w:rsidRPr="00211EB6">
        <w:t xml:space="preserve"> farming</w:t>
      </w:r>
      <w:r w:rsidR="00730358" w:rsidRPr="00211EB6">
        <w:t xml:space="preserve"> and</w:t>
      </w:r>
      <w:r w:rsidRPr="00211EB6">
        <w:t xml:space="preserve"> IPM.</w:t>
      </w:r>
    </w:p>
    <w:p w14:paraId="3D575782" w14:textId="77777777" w:rsidR="005F3434" w:rsidRPr="00211EB6" w:rsidRDefault="005F3434" w:rsidP="008C6BCB">
      <w:pPr>
        <w:pStyle w:val="Normalnumber"/>
        <w:numPr>
          <w:ilvl w:val="0"/>
          <w:numId w:val="34"/>
        </w:numPr>
        <w:tabs>
          <w:tab w:val="clear" w:pos="1440"/>
        </w:tabs>
        <w:ind w:left="0" w:firstLine="0"/>
      </w:pPr>
      <w:r w:rsidRPr="00211EB6">
        <w:t>In the response to the Annex F information request</w:t>
      </w:r>
      <w:r w:rsidR="00E411AA" w:rsidRPr="00211EB6">
        <w:t>,</w:t>
      </w:r>
      <w:r w:rsidRPr="00211EB6">
        <w:t xml:space="preserve"> Canada and India report on potential alternative chemical pesticides to </w:t>
      </w:r>
      <w:proofErr w:type="spellStart"/>
      <w:r w:rsidRPr="00211EB6">
        <w:t>dicofol</w:t>
      </w:r>
      <w:proofErr w:type="spellEnd"/>
      <w:r w:rsidRPr="00211EB6">
        <w:t>. Ten pesticides are registered in Canada for the control of mites and reference to the approved uses is made. India reports on four alternative chemical pesticides.</w:t>
      </w:r>
    </w:p>
    <w:p w14:paraId="5AC4FC21" w14:textId="158493E1" w:rsidR="005F3434" w:rsidRPr="00211EB6" w:rsidRDefault="005F3434" w:rsidP="008C6BCB">
      <w:pPr>
        <w:pStyle w:val="Normalnumber"/>
        <w:numPr>
          <w:ilvl w:val="0"/>
          <w:numId w:val="34"/>
        </w:numPr>
        <w:tabs>
          <w:tab w:val="clear" w:pos="1440"/>
        </w:tabs>
        <w:ind w:left="0" w:firstLine="0"/>
      </w:pPr>
      <w:r w:rsidRPr="00211EB6">
        <w:t xml:space="preserve">PAN and IPEN </w:t>
      </w:r>
      <w:r w:rsidR="003D548A" w:rsidRPr="00211EB6">
        <w:t xml:space="preserve">have </w:t>
      </w:r>
      <w:r w:rsidRPr="00211EB6">
        <w:t>provide</w:t>
      </w:r>
      <w:r w:rsidR="003D548A" w:rsidRPr="00211EB6">
        <w:t>d</w:t>
      </w:r>
      <w:r w:rsidRPr="00211EB6">
        <w:t xml:space="preserve"> information on non-chemical alternatives to </w:t>
      </w:r>
      <w:proofErr w:type="spellStart"/>
      <w:r w:rsidRPr="00211EB6">
        <w:t>dicofol</w:t>
      </w:r>
      <w:proofErr w:type="spellEnd"/>
      <w:r w:rsidRPr="00211EB6">
        <w:t>, i.e. biological control systems</w:t>
      </w:r>
      <w:r w:rsidR="0087622E" w:rsidRPr="00211EB6">
        <w:t xml:space="preserve">, </w:t>
      </w:r>
      <w:r w:rsidR="00AE1DA1" w:rsidRPr="00211EB6">
        <w:t>botanical preparations</w:t>
      </w:r>
      <w:r w:rsidRPr="00211EB6">
        <w:t xml:space="preserve"> and agricultural practices. Specific information on </w:t>
      </w:r>
      <w:proofErr w:type="spellStart"/>
      <w:r w:rsidR="000E4EA1" w:rsidRPr="00211EB6">
        <w:t>agroecological</w:t>
      </w:r>
      <w:proofErr w:type="spellEnd"/>
      <w:r w:rsidR="000E4EA1" w:rsidRPr="00211EB6">
        <w:t xml:space="preserve"> </w:t>
      </w:r>
      <w:r w:rsidRPr="00211EB6">
        <w:t xml:space="preserve">practices and IPM as alternative processes to the use of </w:t>
      </w:r>
      <w:proofErr w:type="spellStart"/>
      <w:r w:rsidRPr="00211EB6">
        <w:t>dicofol</w:t>
      </w:r>
      <w:proofErr w:type="spellEnd"/>
      <w:r w:rsidRPr="00211EB6">
        <w:t xml:space="preserve"> is provided for the following crops: cotton, tea, citrus and ornamental crops.</w:t>
      </w:r>
    </w:p>
    <w:p w14:paraId="52095906" w14:textId="40A47AA6" w:rsidR="005F3434" w:rsidRPr="00211EB6" w:rsidRDefault="005F3434" w:rsidP="008C6BCB">
      <w:pPr>
        <w:pStyle w:val="Normalnumber"/>
        <w:numPr>
          <w:ilvl w:val="0"/>
          <w:numId w:val="34"/>
        </w:numPr>
        <w:tabs>
          <w:tab w:val="clear" w:pos="1440"/>
        </w:tabs>
        <w:ind w:left="0" w:firstLine="0"/>
      </w:pPr>
      <w:r w:rsidRPr="00211EB6">
        <w:t xml:space="preserve">Additional information on all these potential chemical and non-chemical alternatives to </w:t>
      </w:r>
      <w:proofErr w:type="spellStart"/>
      <w:r w:rsidRPr="00211EB6">
        <w:t>dicofol</w:t>
      </w:r>
      <w:proofErr w:type="spellEnd"/>
      <w:r w:rsidRPr="00211EB6">
        <w:t xml:space="preserve"> </w:t>
      </w:r>
      <w:r w:rsidR="00073434" w:rsidRPr="00211EB6">
        <w:t xml:space="preserve">is </w:t>
      </w:r>
      <w:r w:rsidR="003D548A" w:rsidRPr="00211EB6">
        <w:t>also</w:t>
      </w:r>
      <w:r w:rsidRPr="00211EB6">
        <w:t xml:space="preserve"> available from </w:t>
      </w:r>
      <w:r w:rsidR="00073434" w:rsidRPr="00211EB6">
        <w:t>the</w:t>
      </w:r>
      <w:r w:rsidRPr="00211EB6">
        <w:t xml:space="preserve"> literature and cover</w:t>
      </w:r>
      <w:r w:rsidR="004E6252" w:rsidRPr="00211EB6">
        <w:t>s</w:t>
      </w:r>
      <w:r w:rsidRPr="00211EB6">
        <w:t xml:space="preserve"> a range of crops and geographical regions</w:t>
      </w:r>
      <w:r w:rsidR="003D548A" w:rsidRPr="00211EB6">
        <w:t>, demonstrating that alternatives do exist and are already in active use</w:t>
      </w:r>
      <w:r w:rsidRPr="00211EB6">
        <w:t>.</w:t>
      </w:r>
      <w:r w:rsidR="003D548A" w:rsidRPr="00211EB6">
        <w:t xml:space="preserve"> This section of the risk management evaluation provides a</w:t>
      </w:r>
      <w:r w:rsidR="00752AA3" w:rsidRPr="00211EB6">
        <w:t xml:space="preserve">n </w:t>
      </w:r>
      <w:r w:rsidR="003D548A" w:rsidRPr="00211EB6">
        <w:t xml:space="preserve">overview of the main chemical and non-chemical alternatives, including their properties, technical application and potential for </w:t>
      </w:r>
      <w:r w:rsidR="00752AA3" w:rsidRPr="00211EB6">
        <w:t xml:space="preserve">use as </w:t>
      </w:r>
      <w:r w:rsidR="003D548A" w:rsidRPr="00211EB6">
        <w:t>alternative</w:t>
      </w:r>
      <w:r w:rsidR="00752AA3" w:rsidRPr="00211EB6">
        <w:t>s</w:t>
      </w:r>
      <w:r w:rsidR="003D548A" w:rsidRPr="00211EB6">
        <w:t xml:space="preserve"> to </w:t>
      </w:r>
      <w:proofErr w:type="spellStart"/>
      <w:r w:rsidR="003D548A" w:rsidRPr="00211EB6">
        <w:t>dicofol</w:t>
      </w:r>
      <w:proofErr w:type="spellEnd"/>
      <w:r w:rsidR="003D548A" w:rsidRPr="00211EB6">
        <w:t>.</w:t>
      </w:r>
      <w:r w:rsidRPr="00211EB6">
        <w:t xml:space="preserve"> </w:t>
      </w:r>
    </w:p>
    <w:p w14:paraId="4BA92F9E" w14:textId="5D33D19E" w:rsidR="00A026D2" w:rsidRPr="00211EB6" w:rsidRDefault="00A026D2" w:rsidP="001E269C">
      <w:pPr>
        <w:pStyle w:val="Heading3"/>
      </w:pPr>
      <w:bookmarkStart w:id="30" w:name="_Toc483491460"/>
      <w:r w:rsidRPr="00211EB6">
        <w:t>Chemical alternatives</w:t>
      </w:r>
      <w:bookmarkEnd w:id="30"/>
      <w:r w:rsidRPr="00211EB6">
        <w:t xml:space="preserve"> </w:t>
      </w:r>
    </w:p>
    <w:p w14:paraId="3494A494" w14:textId="0A3E7CA0" w:rsidR="0037352D" w:rsidRPr="00211EB6" w:rsidRDefault="005F3434" w:rsidP="008C6BCB">
      <w:pPr>
        <w:pStyle w:val="Normalnumber"/>
        <w:numPr>
          <w:ilvl w:val="0"/>
          <w:numId w:val="34"/>
        </w:numPr>
        <w:tabs>
          <w:tab w:val="clear" w:pos="1440"/>
        </w:tabs>
        <w:ind w:left="0" w:firstLine="0"/>
      </w:pPr>
      <w:r w:rsidRPr="00211EB6">
        <w:t xml:space="preserve">Over 25 chemical alternatives to </w:t>
      </w:r>
      <w:proofErr w:type="spellStart"/>
      <w:r w:rsidRPr="00211EB6">
        <w:t>dicofol</w:t>
      </w:r>
      <w:proofErr w:type="spellEnd"/>
      <w:r w:rsidRPr="00211EB6">
        <w:t xml:space="preserve"> are available for specific crop-pest combinations. </w:t>
      </w:r>
      <w:r w:rsidR="00B708FC" w:rsidRPr="00211EB6">
        <w:t>Some of the chemical alternatives have been evaluated as part of the assessment of a</w:t>
      </w:r>
      <w:r w:rsidR="004E6252" w:rsidRPr="00211EB6">
        <w:t xml:space="preserve">lternatives to </w:t>
      </w:r>
      <w:proofErr w:type="spellStart"/>
      <w:r w:rsidR="004E6252" w:rsidRPr="00211EB6">
        <w:t>endosulfan</w:t>
      </w:r>
      <w:proofErr w:type="spellEnd"/>
      <w:r w:rsidR="004E6252" w:rsidRPr="00211EB6">
        <w:t xml:space="preserve"> (UNEP/</w:t>
      </w:r>
      <w:r w:rsidR="00B708FC" w:rsidRPr="00211EB6">
        <w:t>POPS</w:t>
      </w:r>
      <w:r w:rsidR="004E6252" w:rsidRPr="00211EB6">
        <w:t>/POPRC.8/INF/</w:t>
      </w:r>
      <w:r w:rsidR="00B708FC" w:rsidRPr="00211EB6">
        <w:t xml:space="preserve">13). </w:t>
      </w:r>
      <w:r w:rsidRPr="00211EB6">
        <w:t xml:space="preserve">This section provides a breakdown of </w:t>
      </w:r>
      <w:r w:rsidR="00C9124E" w:rsidRPr="00211EB6">
        <w:t>the key</w:t>
      </w:r>
      <w:r w:rsidRPr="00211EB6">
        <w:t xml:space="preserve"> alternatives</w:t>
      </w:r>
      <w:r w:rsidR="00C9124E" w:rsidRPr="00211EB6">
        <w:t xml:space="preserve">, identified based on the information provided by </w:t>
      </w:r>
      <w:r w:rsidR="00315E0D" w:rsidRPr="00211EB6">
        <w:t>Parties</w:t>
      </w:r>
      <w:r w:rsidR="00C9124E" w:rsidRPr="00211EB6">
        <w:t xml:space="preserve"> and observers as part of the Annex F responses and upon the frequency with which alternatives were identified in the literature. These sections include </w:t>
      </w:r>
      <w:r w:rsidRPr="00211EB6">
        <w:t>an analysis of their technical feasibility (highlighting the potential strengths and weaknesses), costs, efficacy, risks, availability and accessibility.</w:t>
      </w:r>
    </w:p>
    <w:p w14:paraId="0BFC4354" w14:textId="2F34DAA5" w:rsidR="004126A9" w:rsidRPr="00211EB6" w:rsidRDefault="00211F2D" w:rsidP="008C6BCB">
      <w:pPr>
        <w:pStyle w:val="Normalnumber"/>
        <w:numPr>
          <w:ilvl w:val="0"/>
          <w:numId w:val="34"/>
        </w:numPr>
        <w:tabs>
          <w:tab w:val="clear" w:pos="1440"/>
        </w:tabs>
        <w:ind w:left="0" w:firstLine="0"/>
      </w:pPr>
      <w:r w:rsidRPr="00211EB6">
        <w:t>Any transition to alternative substances must be mindful of the health and environmental hazard profiles of the alternatives under consideration. Simply replacing persistent organic pollutants with other hazardous chemicals should therefore be avoided and safer alternatives should be pursued. To ensure that a potential alternative leads to the protection of human health and the environment, the chemical being considered should be assessed to determine whether it is safer than persistent organic pollutants</w:t>
      </w:r>
      <w:r w:rsidR="0015019C" w:rsidRPr="00211EB6">
        <w:t>, or has other undesirable hazardous characteristics</w:t>
      </w:r>
      <w:r w:rsidRPr="00211EB6">
        <w:t>. For an evaluation of the safety of alternatives, a risk profile for the chemicals under consideration should be developed. As this might be difficult if there is a lack of information on hazard properties or exposure data, a simple analysis of risk should be performed, taking into consideration the weight of available evidence. It should first be confirmed that the alternatives do not have POPs properties and thus should not meet the screening criteria of Annex D of the Stockholm Convention (persistence, bioaccumulation, potential for long-range transport, and adverse effects).</w:t>
      </w:r>
    </w:p>
    <w:p w14:paraId="457A95FC" w14:textId="77777777" w:rsidR="004138F2" w:rsidRPr="00211EB6" w:rsidRDefault="004138F2" w:rsidP="00EE4FB5">
      <w:pPr>
        <w:pStyle w:val="Heading5"/>
        <w:numPr>
          <w:ilvl w:val="0"/>
          <w:numId w:val="0"/>
        </w:numPr>
        <w:ind w:left="1009" w:hanging="1009"/>
      </w:pPr>
      <w:proofErr w:type="spellStart"/>
      <w:r w:rsidRPr="00211EB6">
        <w:t>A</w:t>
      </w:r>
      <w:r w:rsidR="005F3434" w:rsidRPr="00211EB6">
        <w:t>bamectin</w:t>
      </w:r>
      <w:proofErr w:type="spellEnd"/>
    </w:p>
    <w:p w14:paraId="0AD8C4AF" w14:textId="38D1128F" w:rsidR="005F3434" w:rsidRPr="00211EB6" w:rsidRDefault="005F3434" w:rsidP="008C6BCB">
      <w:pPr>
        <w:pStyle w:val="Normalnumber"/>
        <w:numPr>
          <w:ilvl w:val="0"/>
          <w:numId w:val="34"/>
        </w:numPr>
        <w:tabs>
          <w:tab w:val="clear" w:pos="1440"/>
        </w:tabs>
        <w:ind w:left="0" w:firstLine="0"/>
      </w:pPr>
      <w:proofErr w:type="spellStart"/>
      <w:r w:rsidRPr="00211EB6">
        <w:t>Abamectin</w:t>
      </w:r>
      <w:proofErr w:type="spellEnd"/>
      <w:r w:rsidRPr="00211EB6">
        <w:t xml:space="preserve"> (CAS-No 71751-41-2) is a mixture of </w:t>
      </w:r>
      <w:proofErr w:type="spellStart"/>
      <w:r w:rsidRPr="00211EB6">
        <w:t>avermectin</w:t>
      </w:r>
      <w:proofErr w:type="spellEnd"/>
      <w:r w:rsidRPr="00211EB6">
        <w:t xml:space="preserve"> B1a (min 80%) and </w:t>
      </w:r>
      <w:proofErr w:type="spellStart"/>
      <w:r w:rsidRPr="00211EB6">
        <w:t>avermectin</w:t>
      </w:r>
      <w:proofErr w:type="spellEnd"/>
      <w:r w:rsidRPr="00211EB6">
        <w:t xml:space="preserve"> B1b (max 20%). The </w:t>
      </w:r>
      <w:proofErr w:type="spellStart"/>
      <w:r w:rsidRPr="00211EB6">
        <w:t>avermectins</w:t>
      </w:r>
      <w:proofErr w:type="spellEnd"/>
      <w:r w:rsidRPr="00211EB6">
        <w:t xml:space="preserve"> are compounds derived from the soil bacterium </w:t>
      </w:r>
      <w:r w:rsidR="007E3F71" w:rsidRPr="00211EB6">
        <w:rPr>
          <w:i/>
        </w:rPr>
        <w:t xml:space="preserve">Streptomyces </w:t>
      </w:r>
      <w:proofErr w:type="spellStart"/>
      <w:r w:rsidR="007E3F71" w:rsidRPr="00211EB6">
        <w:rPr>
          <w:i/>
        </w:rPr>
        <w:t>avermitilis</w:t>
      </w:r>
      <w:proofErr w:type="spellEnd"/>
      <w:r w:rsidRPr="00211EB6">
        <w:t xml:space="preserve">. </w:t>
      </w:r>
      <w:proofErr w:type="spellStart"/>
      <w:r w:rsidRPr="00211EB6">
        <w:t>Abamectin</w:t>
      </w:r>
      <w:proofErr w:type="spellEnd"/>
      <w:r w:rsidRPr="00211EB6">
        <w:t xml:space="preserve"> is a natural fermentation product of this bacterium and acts as an </w:t>
      </w:r>
      <w:proofErr w:type="spellStart"/>
      <w:r w:rsidRPr="00211EB6">
        <w:t>acaricide</w:t>
      </w:r>
      <w:proofErr w:type="spellEnd"/>
      <w:r w:rsidRPr="00211EB6">
        <w:t xml:space="preserve">, </w:t>
      </w:r>
      <w:proofErr w:type="spellStart"/>
      <w:r w:rsidRPr="00211EB6">
        <w:t>nematicide</w:t>
      </w:r>
      <w:proofErr w:type="spellEnd"/>
      <w:r w:rsidRPr="00211EB6">
        <w:t xml:space="preserve"> and insecticide for use in a wide variety of crops. </w:t>
      </w:r>
      <w:proofErr w:type="spellStart"/>
      <w:r w:rsidRPr="00211EB6">
        <w:t>Abamectin</w:t>
      </w:r>
      <w:proofErr w:type="spellEnd"/>
      <w:r w:rsidRPr="00211EB6">
        <w:t xml:space="preserve"> is used to control insect and mite pests of a range of agronomic, fruit, vegetable and ornamental crops. </w:t>
      </w:r>
      <w:proofErr w:type="spellStart"/>
      <w:r w:rsidR="004F55B8" w:rsidRPr="00211EB6">
        <w:t>Abamectin</w:t>
      </w:r>
      <w:proofErr w:type="spellEnd"/>
      <w:r w:rsidR="004F55B8" w:rsidRPr="00211EB6">
        <w:t xml:space="preserve"> is used to control insect, tick and mite pests of a range of fruit, vegetable and ornamental crops.</w:t>
      </w:r>
    </w:p>
    <w:p w14:paraId="38FE22C6" w14:textId="77777777" w:rsidR="005F3434" w:rsidRPr="00211EB6" w:rsidRDefault="003D548A" w:rsidP="008C6BCB">
      <w:pPr>
        <w:pStyle w:val="Normalnumber"/>
        <w:numPr>
          <w:ilvl w:val="0"/>
          <w:numId w:val="34"/>
        </w:numPr>
        <w:tabs>
          <w:tab w:val="clear" w:pos="1440"/>
        </w:tabs>
        <w:ind w:left="0" w:firstLine="0"/>
      </w:pPr>
      <w:r w:rsidRPr="00211EB6">
        <w:t xml:space="preserve">India (2016) reported that </w:t>
      </w:r>
      <w:proofErr w:type="spellStart"/>
      <w:r w:rsidRPr="00211EB6">
        <w:t>a</w:t>
      </w:r>
      <w:r w:rsidR="005F3434" w:rsidRPr="00211EB6">
        <w:t>bamectin</w:t>
      </w:r>
      <w:proofErr w:type="spellEnd"/>
      <w:r w:rsidR="005F3434" w:rsidRPr="00211EB6">
        <w:t xml:space="preserve"> </w:t>
      </w:r>
      <w:r w:rsidR="00C9124E" w:rsidRPr="00211EB6">
        <w:t>(</w:t>
      </w:r>
      <w:proofErr w:type="spellStart"/>
      <w:r w:rsidR="00C9124E" w:rsidRPr="00211EB6">
        <w:t>abamectin</w:t>
      </w:r>
      <w:proofErr w:type="spellEnd"/>
      <w:r w:rsidR="00C9124E" w:rsidRPr="00211EB6">
        <w:t xml:space="preserve"> technical) </w:t>
      </w:r>
      <w:r w:rsidR="005F3434" w:rsidRPr="00211EB6">
        <w:t xml:space="preserve">is </w:t>
      </w:r>
      <w:r w:rsidRPr="00211EB6">
        <w:t xml:space="preserve">a potential alternative to </w:t>
      </w:r>
      <w:proofErr w:type="spellStart"/>
      <w:r w:rsidRPr="00211EB6">
        <w:t>dicofol</w:t>
      </w:r>
      <w:proofErr w:type="spellEnd"/>
      <w:r w:rsidRPr="00211EB6">
        <w:t xml:space="preserve"> within their nation</w:t>
      </w:r>
      <w:r w:rsidR="00C9124E" w:rsidRPr="00211EB6">
        <w:t>.</w:t>
      </w:r>
      <w:r w:rsidR="005F3434" w:rsidRPr="00211EB6">
        <w:t xml:space="preserve"> </w:t>
      </w:r>
    </w:p>
    <w:p w14:paraId="0888DE6C" w14:textId="17846000" w:rsidR="005F3434" w:rsidRPr="00211EB6" w:rsidRDefault="005F3434" w:rsidP="008C6BCB">
      <w:pPr>
        <w:pStyle w:val="Normalnumber"/>
        <w:numPr>
          <w:ilvl w:val="0"/>
          <w:numId w:val="34"/>
        </w:numPr>
        <w:tabs>
          <w:tab w:val="clear" w:pos="1440"/>
        </w:tabs>
        <w:ind w:left="0" w:firstLine="0"/>
      </w:pPr>
      <w:r w:rsidRPr="00211EB6">
        <w:t>According to Manners</w:t>
      </w:r>
      <w:r w:rsidR="00752AA3" w:rsidRPr="00211EB6">
        <w:t xml:space="preserve"> (</w:t>
      </w:r>
      <w:r w:rsidRPr="00211EB6">
        <w:t>2013</w:t>
      </w:r>
      <w:r w:rsidR="00752AA3" w:rsidRPr="00211EB6">
        <w:t>)</w:t>
      </w:r>
      <w:r w:rsidRPr="00211EB6">
        <w:t xml:space="preserve">, </w:t>
      </w:r>
      <w:proofErr w:type="spellStart"/>
      <w:r w:rsidR="0087622E" w:rsidRPr="00211EB6">
        <w:t>a</w:t>
      </w:r>
      <w:r w:rsidRPr="00211EB6">
        <w:t>bamectin</w:t>
      </w:r>
      <w:proofErr w:type="spellEnd"/>
      <w:r w:rsidRPr="00211EB6">
        <w:t xml:space="preserve"> is registered (or with minor use permit) in Australia for ornamental use against two spotted </w:t>
      </w:r>
      <w:r w:rsidR="00C9124E" w:rsidRPr="00211EB6">
        <w:t xml:space="preserve">spider </w:t>
      </w:r>
      <w:r w:rsidRPr="00211EB6">
        <w:t xml:space="preserve">mite, </w:t>
      </w:r>
      <w:proofErr w:type="spellStart"/>
      <w:r w:rsidR="007E3F71" w:rsidRPr="00211EB6">
        <w:rPr>
          <w:i/>
        </w:rPr>
        <w:t>Tetranychus</w:t>
      </w:r>
      <w:proofErr w:type="spellEnd"/>
      <w:r w:rsidR="007E3F71" w:rsidRPr="00211EB6">
        <w:rPr>
          <w:i/>
        </w:rPr>
        <w:t xml:space="preserve"> </w:t>
      </w:r>
      <w:proofErr w:type="spellStart"/>
      <w:r w:rsidR="007E3F71" w:rsidRPr="00211EB6">
        <w:rPr>
          <w:i/>
        </w:rPr>
        <w:t>urticae</w:t>
      </w:r>
      <w:proofErr w:type="spellEnd"/>
      <w:r w:rsidRPr="00211EB6">
        <w:t xml:space="preserve">. Occasional </w:t>
      </w:r>
      <w:proofErr w:type="spellStart"/>
      <w:r w:rsidRPr="00211EB6">
        <w:t>abamectin</w:t>
      </w:r>
      <w:proofErr w:type="spellEnd"/>
      <w:r w:rsidRPr="00211EB6">
        <w:t xml:space="preserve"> resistance has been detected at high levels in Australian horticulture. </w:t>
      </w:r>
    </w:p>
    <w:p w14:paraId="05C99C92" w14:textId="6C1BE46B" w:rsidR="005F3434" w:rsidRPr="00211EB6" w:rsidRDefault="005F3434" w:rsidP="008C6BCB">
      <w:pPr>
        <w:pStyle w:val="Normalnumber"/>
        <w:numPr>
          <w:ilvl w:val="0"/>
          <w:numId w:val="34"/>
        </w:numPr>
        <w:tabs>
          <w:tab w:val="clear" w:pos="1440"/>
        </w:tabs>
        <w:ind w:left="0" w:firstLine="0"/>
      </w:pPr>
      <w:r w:rsidRPr="00211EB6">
        <w:t xml:space="preserve">Rodrigues and Pena </w:t>
      </w:r>
      <w:r w:rsidR="00424392" w:rsidRPr="00211EB6">
        <w:t>(</w:t>
      </w:r>
      <w:r w:rsidRPr="00211EB6">
        <w:t>2012</w:t>
      </w:r>
      <w:r w:rsidR="00424392" w:rsidRPr="00211EB6">
        <w:t>)</w:t>
      </w:r>
      <w:r w:rsidRPr="00211EB6">
        <w:t xml:space="preserve"> applied and assessed </w:t>
      </w:r>
      <w:proofErr w:type="spellStart"/>
      <w:r w:rsidRPr="00211EB6">
        <w:t>abamectin</w:t>
      </w:r>
      <w:proofErr w:type="spellEnd"/>
      <w:r w:rsidRPr="00211EB6">
        <w:t xml:space="preserve"> for the control of the red palm mite (</w:t>
      </w:r>
      <w:proofErr w:type="spellStart"/>
      <w:r w:rsidRPr="00211EB6">
        <w:rPr>
          <w:rFonts w:ascii="AdvPTimesI" w:hAnsi="AdvPTimesI" w:cs="AdvPTimesI"/>
          <w:i/>
          <w:sz w:val="19"/>
          <w:szCs w:val="19"/>
          <w:lang w:eastAsia="en-GB"/>
        </w:rPr>
        <w:t>Raoiella</w:t>
      </w:r>
      <w:proofErr w:type="spellEnd"/>
      <w:r w:rsidRPr="00211EB6">
        <w:rPr>
          <w:rFonts w:ascii="AdvPTimesI" w:hAnsi="AdvPTimesI" w:cs="AdvPTimesI"/>
          <w:i/>
          <w:sz w:val="19"/>
          <w:szCs w:val="19"/>
          <w:lang w:eastAsia="en-GB"/>
        </w:rPr>
        <w:t xml:space="preserve"> </w:t>
      </w:r>
      <w:proofErr w:type="spellStart"/>
      <w:r w:rsidRPr="00211EB6">
        <w:rPr>
          <w:rFonts w:ascii="AdvPTimesI" w:hAnsi="AdvPTimesI" w:cs="AdvPTimesI"/>
          <w:i/>
          <w:sz w:val="19"/>
          <w:szCs w:val="19"/>
          <w:lang w:eastAsia="en-GB"/>
        </w:rPr>
        <w:t>indica</w:t>
      </w:r>
      <w:proofErr w:type="spellEnd"/>
      <w:r w:rsidRPr="00211EB6">
        <w:rPr>
          <w:rFonts w:ascii="AdvPTimesI" w:hAnsi="AdvPTimesI" w:cs="AdvPTimesI"/>
          <w:sz w:val="19"/>
          <w:szCs w:val="19"/>
          <w:lang w:eastAsia="en-GB"/>
        </w:rPr>
        <w:t xml:space="preserve"> </w:t>
      </w:r>
      <w:proofErr w:type="spellStart"/>
      <w:r w:rsidRPr="00211EB6">
        <w:rPr>
          <w:rFonts w:ascii="AdvPTimes" w:hAnsi="AdvPTimes" w:cs="AdvPTimes"/>
          <w:i/>
          <w:sz w:val="19"/>
          <w:szCs w:val="19"/>
          <w:lang w:eastAsia="en-GB"/>
        </w:rPr>
        <w:t>Hirst</w:t>
      </w:r>
      <w:proofErr w:type="spellEnd"/>
      <w:r w:rsidRPr="00211EB6">
        <w:t xml:space="preserve">) on coconuts in Florida. Using spray treatments in field trials, </w:t>
      </w:r>
      <w:proofErr w:type="spellStart"/>
      <w:r w:rsidRPr="00211EB6">
        <w:t>abamectin</w:t>
      </w:r>
      <w:proofErr w:type="spellEnd"/>
      <w:r w:rsidRPr="00211EB6">
        <w:t xml:space="preserve"> was effective in reducing the mite population, compared to the untreated control, especially at 8 and 14 days after treatment. No statistical differences were observed </w:t>
      </w:r>
      <w:r w:rsidR="00C9124E" w:rsidRPr="00211EB6">
        <w:t>among all treatments applied</w:t>
      </w:r>
      <w:r w:rsidR="00967420" w:rsidRPr="00211EB6">
        <w:t xml:space="preserve"> (i.e. </w:t>
      </w:r>
      <w:proofErr w:type="spellStart"/>
      <w:r w:rsidR="0087622E" w:rsidRPr="00211EB6">
        <w:t>etoxazole</w:t>
      </w:r>
      <w:proofErr w:type="spellEnd"/>
      <w:r w:rsidR="0087622E" w:rsidRPr="00211EB6">
        <w:t xml:space="preserve">, </w:t>
      </w:r>
      <w:proofErr w:type="spellStart"/>
      <w:r w:rsidR="0087622E" w:rsidRPr="00211EB6">
        <w:t>a</w:t>
      </w:r>
      <w:r w:rsidR="00A8283C" w:rsidRPr="00211EB6">
        <w:t>bamectin</w:t>
      </w:r>
      <w:proofErr w:type="spellEnd"/>
      <w:r w:rsidR="00A8283C" w:rsidRPr="00211EB6">
        <w:t xml:space="preserve"> and </w:t>
      </w:r>
      <w:r w:rsidR="0087622E" w:rsidRPr="00211EB6">
        <w:t>s</w:t>
      </w:r>
      <w:r w:rsidR="00A8283C" w:rsidRPr="00211EB6">
        <w:t>ulphur</w:t>
      </w:r>
      <w:r w:rsidR="00967420" w:rsidRPr="00211EB6">
        <w:t>)</w:t>
      </w:r>
      <w:r w:rsidR="00C9124E" w:rsidRPr="00211EB6">
        <w:t xml:space="preserve">, including </w:t>
      </w:r>
      <w:proofErr w:type="spellStart"/>
      <w:r w:rsidR="00C9124E" w:rsidRPr="00211EB6">
        <w:t>abamectin</w:t>
      </w:r>
      <w:proofErr w:type="spellEnd"/>
      <w:r w:rsidR="00C9124E" w:rsidRPr="00211EB6">
        <w:t xml:space="preserve"> </w:t>
      </w:r>
      <w:r w:rsidRPr="00211EB6">
        <w:t>at 42 and 55 days after treatment</w:t>
      </w:r>
      <w:r w:rsidR="00C9124E" w:rsidRPr="00211EB6">
        <w:t xml:space="preserve">, suggesting the chemicals no longer have an effect on mites at 42 days </w:t>
      </w:r>
      <w:r w:rsidR="00967420" w:rsidRPr="00211EB6">
        <w:t>or more</w:t>
      </w:r>
      <w:r w:rsidR="00C9124E" w:rsidRPr="00211EB6">
        <w:t xml:space="preserve"> after treatment</w:t>
      </w:r>
      <w:r w:rsidRPr="00211EB6">
        <w:t>.</w:t>
      </w:r>
    </w:p>
    <w:p w14:paraId="22883D85" w14:textId="481CE2A8" w:rsidR="00005B88" w:rsidRPr="00211EB6" w:rsidRDefault="005F3434" w:rsidP="008C6BCB">
      <w:pPr>
        <w:pStyle w:val="Normalnumber"/>
        <w:numPr>
          <w:ilvl w:val="0"/>
          <w:numId w:val="34"/>
        </w:numPr>
        <w:tabs>
          <w:tab w:val="clear" w:pos="1440"/>
        </w:tabs>
        <w:ind w:left="0" w:firstLine="0"/>
      </w:pPr>
      <w:proofErr w:type="spellStart"/>
      <w:r w:rsidRPr="00211EB6">
        <w:t>Lasota</w:t>
      </w:r>
      <w:proofErr w:type="spellEnd"/>
      <w:r w:rsidRPr="00211EB6">
        <w:t xml:space="preserve"> and </w:t>
      </w:r>
      <w:proofErr w:type="spellStart"/>
      <w:r w:rsidRPr="00211EB6">
        <w:t>Dybas</w:t>
      </w:r>
      <w:proofErr w:type="spellEnd"/>
      <w:r w:rsidR="005603EC" w:rsidRPr="00211EB6">
        <w:t xml:space="preserve"> (</w:t>
      </w:r>
      <w:r w:rsidRPr="00211EB6">
        <w:t>1990</w:t>
      </w:r>
      <w:r w:rsidR="005603EC" w:rsidRPr="00211EB6">
        <w:t>)</w:t>
      </w:r>
      <w:r w:rsidRPr="00211EB6">
        <w:t xml:space="preserve"> stated that </w:t>
      </w:r>
      <w:proofErr w:type="spellStart"/>
      <w:r w:rsidRPr="00211EB6">
        <w:t>abamectin</w:t>
      </w:r>
      <w:proofErr w:type="spellEnd"/>
      <w:r w:rsidRPr="00211EB6">
        <w:t xml:space="preserve"> is highly unstable to light and has been shown to </w:t>
      </w:r>
      <w:proofErr w:type="spellStart"/>
      <w:r w:rsidRPr="00211EB6">
        <w:t>photodegrade</w:t>
      </w:r>
      <w:proofErr w:type="spellEnd"/>
      <w:r w:rsidRPr="00211EB6">
        <w:t xml:space="preserve"> rapidly on plant and soil surfaces and in water following agricultural applications. </w:t>
      </w:r>
      <w:proofErr w:type="spellStart"/>
      <w:r w:rsidRPr="00211EB6">
        <w:t>Abamectin</w:t>
      </w:r>
      <w:proofErr w:type="spellEnd"/>
      <w:r w:rsidRPr="00211EB6">
        <w:t xml:space="preserve"> was also found to be degraded readily by soil microorganisms. </w:t>
      </w:r>
      <w:proofErr w:type="spellStart"/>
      <w:r w:rsidRPr="00211EB6">
        <w:t>Abamectin</w:t>
      </w:r>
      <w:proofErr w:type="spellEnd"/>
      <w:r w:rsidRPr="00211EB6">
        <w:t xml:space="preserve"> residues in or on crops are very low, typically less than 0.025 ppm, resulting in minimal exposure to </w:t>
      </w:r>
      <w:r w:rsidR="00211F2D" w:rsidRPr="00211EB6">
        <w:t>hu</w:t>
      </w:r>
      <w:r w:rsidRPr="00211EB6">
        <w:t>man</w:t>
      </w:r>
      <w:r w:rsidR="00211F2D" w:rsidRPr="00211EB6">
        <w:t>s</w:t>
      </w:r>
      <w:r w:rsidRPr="00211EB6">
        <w:t xml:space="preserve"> from harvesting or consumption of treated crops. In addition, </w:t>
      </w:r>
      <w:proofErr w:type="spellStart"/>
      <w:r w:rsidRPr="00211EB6">
        <w:t>abamectin</w:t>
      </w:r>
      <w:proofErr w:type="spellEnd"/>
      <w:r w:rsidRPr="00211EB6">
        <w:t xml:space="preserve"> does not persist or accumulate in the environment. Its instability as well as its low water solubility and tight binding to soil, limit </w:t>
      </w:r>
      <w:proofErr w:type="spellStart"/>
      <w:r w:rsidRPr="00211EB6">
        <w:t>abamectin's</w:t>
      </w:r>
      <w:proofErr w:type="spellEnd"/>
      <w:r w:rsidRPr="00211EB6">
        <w:t xml:space="preserve"> bioavailability in non-target organisms and, furthermore, prevent it from leaching into groundwater or entering the aquatic environment.</w:t>
      </w:r>
      <w:r w:rsidR="004F55B8" w:rsidRPr="00211EB6">
        <w:t xml:space="preserve"> </w:t>
      </w:r>
      <w:proofErr w:type="spellStart"/>
      <w:r w:rsidR="008E0A77" w:rsidRPr="00211EB6">
        <w:t>Abamectin</w:t>
      </w:r>
      <w:proofErr w:type="spellEnd"/>
      <w:r w:rsidR="008E0A77" w:rsidRPr="00211EB6">
        <w:t xml:space="preserve"> can have adverse impacts on pollinators and biological control organisms</w:t>
      </w:r>
      <w:r w:rsidR="00067874" w:rsidRPr="00211EB6">
        <w:t xml:space="preserve"> (Khan </w:t>
      </w:r>
      <w:r w:rsidR="00067874" w:rsidRPr="00211EB6">
        <w:rPr>
          <w:i/>
        </w:rPr>
        <w:t>et al.</w:t>
      </w:r>
      <w:r w:rsidR="00067874" w:rsidRPr="00211EB6">
        <w:t xml:space="preserve">, 2015; Broughton </w:t>
      </w:r>
      <w:r w:rsidR="00067874" w:rsidRPr="00211EB6">
        <w:rPr>
          <w:i/>
        </w:rPr>
        <w:t>et al.,</w:t>
      </w:r>
      <w:r w:rsidR="00067874" w:rsidRPr="00211EB6">
        <w:t xml:space="preserve"> 2013; Jin </w:t>
      </w:r>
      <w:r w:rsidR="00067874" w:rsidRPr="00211EB6">
        <w:rPr>
          <w:i/>
        </w:rPr>
        <w:t>et al.</w:t>
      </w:r>
      <w:r w:rsidR="00067874" w:rsidRPr="00211EB6">
        <w:t>, 2014).</w:t>
      </w:r>
      <w:r w:rsidR="008E0A77" w:rsidRPr="00211EB6">
        <w:t xml:space="preserve"> </w:t>
      </w:r>
      <w:proofErr w:type="spellStart"/>
      <w:r w:rsidR="008E0A77" w:rsidRPr="00211EB6">
        <w:t>Abamectin</w:t>
      </w:r>
      <w:proofErr w:type="spellEnd"/>
      <w:r w:rsidR="008E0A77" w:rsidRPr="00211EB6">
        <w:t xml:space="preserve"> was found to decrease the longevity of forager worker bees (</w:t>
      </w:r>
      <w:proofErr w:type="spellStart"/>
      <w:r w:rsidR="008E0A77" w:rsidRPr="00211EB6">
        <w:t>Aljedani</w:t>
      </w:r>
      <w:proofErr w:type="spellEnd"/>
      <w:r w:rsidR="008E0A77" w:rsidRPr="00211EB6">
        <w:t xml:space="preserve"> and </w:t>
      </w:r>
      <w:proofErr w:type="spellStart"/>
      <w:r w:rsidR="008E0A77" w:rsidRPr="00211EB6">
        <w:t>Almeh</w:t>
      </w:r>
      <w:r w:rsidR="002451E3" w:rsidRPr="00211EB6">
        <w:t>m</w:t>
      </w:r>
      <w:r w:rsidR="008E0A77" w:rsidRPr="00211EB6">
        <w:t>adi</w:t>
      </w:r>
      <w:proofErr w:type="spellEnd"/>
      <w:r w:rsidR="008E0A77" w:rsidRPr="00211EB6">
        <w:t xml:space="preserve">, 2016). </w:t>
      </w:r>
      <w:r w:rsidR="00005B88" w:rsidRPr="00211EB6">
        <w:t xml:space="preserve">A summary of the Global </w:t>
      </w:r>
      <w:r w:rsidR="00AD0637" w:rsidRPr="00211EB6">
        <w:t>Harmonized</w:t>
      </w:r>
      <w:r w:rsidR="00005B88" w:rsidRPr="00211EB6">
        <w:t xml:space="preserve"> System (GHS) classification of hazards for </w:t>
      </w:r>
      <w:proofErr w:type="spellStart"/>
      <w:r w:rsidR="00005B88" w:rsidRPr="00211EB6">
        <w:t>abamectin</w:t>
      </w:r>
      <w:proofErr w:type="spellEnd"/>
      <w:r w:rsidR="00005B88" w:rsidRPr="00211EB6">
        <w:t xml:space="preserve"> is provided within Table </w:t>
      </w:r>
      <w:r w:rsidR="008F6B23" w:rsidRPr="00211EB6">
        <w:t>2.3</w:t>
      </w:r>
      <w:r w:rsidR="00005B88" w:rsidRPr="00211EB6">
        <w:t>.</w:t>
      </w:r>
    </w:p>
    <w:p w14:paraId="05EC1CE4" w14:textId="77777777" w:rsidR="00780019" w:rsidRPr="00211EB6" w:rsidRDefault="00780019" w:rsidP="00EE4FB5">
      <w:pPr>
        <w:pStyle w:val="Heading5"/>
        <w:numPr>
          <w:ilvl w:val="0"/>
          <w:numId w:val="0"/>
        </w:numPr>
        <w:ind w:left="1009" w:hanging="1009"/>
      </w:pPr>
      <w:proofErr w:type="spellStart"/>
      <w:r w:rsidRPr="00211EB6">
        <w:t>Propargite</w:t>
      </w:r>
      <w:proofErr w:type="spellEnd"/>
    </w:p>
    <w:p w14:paraId="4E1D1611" w14:textId="0516BB49" w:rsidR="003D06B5" w:rsidRPr="00211EB6" w:rsidRDefault="00780019" w:rsidP="008C6BCB">
      <w:pPr>
        <w:pStyle w:val="Normalnumber"/>
        <w:numPr>
          <w:ilvl w:val="0"/>
          <w:numId w:val="34"/>
        </w:numPr>
        <w:tabs>
          <w:tab w:val="clear" w:pos="1440"/>
        </w:tabs>
        <w:ind w:left="0" w:firstLine="0"/>
      </w:pPr>
      <w:r w:rsidRPr="00211EB6">
        <w:t xml:space="preserve">India (2016) reported that </w:t>
      </w:r>
      <w:proofErr w:type="spellStart"/>
      <w:r w:rsidR="004F55B8" w:rsidRPr="00211EB6">
        <w:t>propargite</w:t>
      </w:r>
      <w:proofErr w:type="spellEnd"/>
      <w:r w:rsidR="004F55B8" w:rsidRPr="00211EB6">
        <w:t xml:space="preserve"> (CAS-no 2312-35-8)</w:t>
      </w:r>
      <w:r w:rsidRPr="00211EB6">
        <w:t xml:space="preserve"> is a potential alternative to </w:t>
      </w:r>
      <w:proofErr w:type="spellStart"/>
      <w:r w:rsidRPr="00211EB6">
        <w:t>dicofol</w:t>
      </w:r>
      <w:proofErr w:type="spellEnd"/>
      <w:r w:rsidRPr="00211EB6">
        <w:t xml:space="preserve"> within their nation, and is marketed under the </w:t>
      </w:r>
      <w:proofErr w:type="spellStart"/>
      <w:r w:rsidRPr="00211EB6">
        <w:t>tradename</w:t>
      </w:r>
      <w:proofErr w:type="spellEnd"/>
      <w:r w:rsidRPr="00211EB6">
        <w:t xml:space="preserve"> </w:t>
      </w:r>
      <w:proofErr w:type="spellStart"/>
      <w:r w:rsidRPr="00211EB6">
        <w:t>Propargite</w:t>
      </w:r>
      <w:proofErr w:type="spellEnd"/>
      <w:r w:rsidRPr="00211EB6">
        <w:t xml:space="preserve"> 57% EC. </w:t>
      </w:r>
      <w:proofErr w:type="spellStart"/>
      <w:r w:rsidRPr="00211EB6">
        <w:t>Propargite</w:t>
      </w:r>
      <w:proofErr w:type="spellEnd"/>
      <w:r w:rsidRPr="00211EB6">
        <w:t xml:space="preserve"> is registered (or with minor use permit) in Australia for ornamental use against </w:t>
      </w:r>
      <w:r w:rsidR="004F55B8" w:rsidRPr="00211EB6">
        <w:t xml:space="preserve">the </w:t>
      </w:r>
      <w:r w:rsidRPr="00211EB6">
        <w:t>two</w:t>
      </w:r>
      <w:r w:rsidR="004F55B8" w:rsidRPr="00211EB6">
        <w:t>-</w:t>
      </w:r>
      <w:r w:rsidRPr="00211EB6">
        <w:t xml:space="preserve">spotted </w:t>
      </w:r>
      <w:r w:rsidR="00C9124E" w:rsidRPr="00211EB6">
        <w:t xml:space="preserve">spider </w:t>
      </w:r>
      <w:r w:rsidRPr="00211EB6">
        <w:t xml:space="preserve">mite, </w:t>
      </w:r>
      <w:proofErr w:type="spellStart"/>
      <w:r w:rsidRPr="00211EB6">
        <w:rPr>
          <w:i/>
        </w:rPr>
        <w:t>Tetranychus</w:t>
      </w:r>
      <w:proofErr w:type="spellEnd"/>
      <w:r w:rsidRPr="00211EB6">
        <w:rPr>
          <w:i/>
        </w:rPr>
        <w:t xml:space="preserve"> </w:t>
      </w:r>
      <w:proofErr w:type="spellStart"/>
      <w:r w:rsidRPr="00211EB6">
        <w:rPr>
          <w:i/>
        </w:rPr>
        <w:t>urticae</w:t>
      </w:r>
      <w:proofErr w:type="spellEnd"/>
      <w:r w:rsidRPr="00211EB6">
        <w:t xml:space="preserve">.  There is occasional detection of low levels of resistance in Australian cotton and roses to </w:t>
      </w:r>
      <w:proofErr w:type="spellStart"/>
      <w:r w:rsidRPr="00211EB6">
        <w:t>propargite</w:t>
      </w:r>
      <w:proofErr w:type="spellEnd"/>
      <w:r w:rsidRPr="00211EB6">
        <w:t xml:space="preserve"> (Manners, 2013).</w:t>
      </w:r>
    </w:p>
    <w:p w14:paraId="4CE46FB4" w14:textId="77777777" w:rsidR="00780019" w:rsidRPr="00211EB6" w:rsidRDefault="00780019" w:rsidP="008C6BCB">
      <w:pPr>
        <w:pStyle w:val="Normalnumber"/>
        <w:numPr>
          <w:ilvl w:val="0"/>
          <w:numId w:val="34"/>
        </w:numPr>
        <w:tabs>
          <w:tab w:val="clear" w:pos="1440"/>
        </w:tabs>
        <w:ind w:left="0" w:firstLine="0"/>
      </w:pPr>
      <w:proofErr w:type="spellStart"/>
      <w:r w:rsidRPr="00211EB6">
        <w:t>Propargite</w:t>
      </w:r>
      <w:proofErr w:type="spellEnd"/>
      <w:r w:rsidRPr="00211EB6">
        <w:t xml:space="preserve"> can be used to control </w:t>
      </w:r>
      <w:proofErr w:type="spellStart"/>
      <w:r w:rsidRPr="00211EB6">
        <w:t>phytophagous</w:t>
      </w:r>
      <w:proofErr w:type="spellEnd"/>
      <w:r w:rsidRPr="00211EB6">
        <w:t xml:space="preserve"> mites on a variety of crops, including vines, fruit trees, tomatoes, vegetables, ornamentals, cotton and maize. </w:t>
      </w:r>
    </w:p>
    <w:p w14:paraId="729E2AF3" w14:textId="2B9AE5FF" w:rsidR="00C03CC6" w:rsidRPr="00211EB6" w:rsidRDefault="00C03CC6" w:rsidP="008C6BCB">
      <w:pPr>
        <w:pStyle w:val="Normalnumber"/>
        <w:numPr>
          <w:ilvl w:val="0"/>
          <w:numId w:val="34"/>
        </w:numPr>
        <w:tabs>
          <w:tab w:val="clear" w:pos="1440"/>
        </w:tabs>
        <w:ind w:left="0" w:firstLine="0"/>
      </w:pPr>
      <w:proofErr w:type="spellStart"/>
      <w:r w:rsidRPr="00211EB6">
        <w:t>Propargite</w:t>
      </w:r>
      <w:proofErr w:type="spellEnd"/>
      <w:r w:rsidRPr="00211EB6">
        <w:t xml:space="preserve"> generally has been shown to have low acute toxicity via the oral and dermal routes of exposure. However, it is considered to be severely irritating to both the skin and eyes, and dermal sensiti</w:t>
      </w:r>
      <w:r w:rsidR="003E5EA0" w:rsidRPr="00211EB6">
        <w:t>s</w:t>
      </w:r>
      <w:r w:rsidRPr="00211EB6">
        <w:t xml:space="preserve">ation effects have been observed. </w:t>
      </w:r>
      <w:proofErr w:type="spellStart"/>
      <w:r w:rsidR="00752AA3" w:rsidRPr="00211EB6">
        <w:t>P</w:t>
      </w:r>
      <w:r w:rsidRPr="00211EB6">
        <w:t>ropargite</w:t>
      </w:r>
      <w:proofErr w:type="spellEnd"/>
      <w:r w:rsidRPr="00211EB6">
        <w:t xml:space="preserve"> poses a potential for adverse effects on reproduction in birds and mammals. Risk to aquatic organisms and </w:t>
      </w:r>
      <w:proofErr w:type="gramStart"/>
      <w:r w:rsidRPr="00211EB6">
        <w:t>plants is</w:t>
      </w:r>
      <w:proofErr w:type="gramEnd"/>
      <w:r w:rsidRPr="00211EB6">
        <w:t xml:space="preserve"> generally lower than the risk for birds and mammals (US EPA, 2001).</w:t>
      </w:r>
      <w:r w:rsidR="004F55B8" w:rsidRPr="00211EB6">
        <w:t xml:space="preserve"> </w:t>
      </w:r>
      <w:r w:rsidR="008E0A77" w:rsidRPr="00211EB6">
        <w:t xml:space="preserve">In a laboratory study, Rhodes et al. (2013) have associated exposure to </w:t>
      </w:r>
      <w:proofErr w:type="spellStart"/>
      <w:r w:rsidR="008E0A77" w:rsidRPr="00211EB6">
        <w:t>propargite</w:t>
      </w:r>
      <w:proofErr w:type="spellEnd"/>
      <w:r w:rsidR="008E0A77" w:rsidRPr="00211EB6">
        <w:t xml:space="preserve"> with an increased risk of Parkinson’s disease. </w:t>
      </w:r>
      <w:r w:rsidR="004F55B8" w:rsidRPr="00211EB6">
        <w:t>According to the US EPA (2001)</w:t>
      </w:r>
      <w:r w:rsidR="008D2B10" w:rsidRPr="00211EB6">
        <w:t>,</w:t>
      </w:r>
      <w:r w:rsidR="004F55B8" w:rsidRPr="00211EB6">
        <w:t xml:space="preserve"> </w:t>
      </w:r>
      <w:proofErr w:type="spellStart"/>
      <w:r w:rsidR="004F55B8" w:rsidRPr="00211EB6">
        <w:t>propargite</w:t>
      </w:r>
      <w:proofErr w:type="spellEnd"/>
      <w:r w:rsidR="004F55B8" w:rsidRPr="00211EB6">
        <w:t xml:space="preserve"> is classified as a probable human carcinogen based on the appearance of intestinal </w:t>
      </w:r>
      <w:r w:rsidR="003E5EA0" w:rsidRPr="00211EB6">
        <w:t>tumours</w:t>
      </w:r>
      <w:r w:rsidR="004F55B8" w:rsidRPr="00211EB6">
        <w:t xml:space="preserve"> in test animals. In 1999, US EPA revoked tolerances for the use of </w:t>
      </w:r>
      <w:proofErr w:type="spellStart"/>
      <w:r w:rsidR="004F55B8" w:rsidRPr="00211EB6">
        <w:t>propargite</w:t>
      </w:r>
      <w:proofErr w:type="spellEnd"/>
      <w:r w:rsidR="004F55B8" w:rsidRPr="00211EB6">
        <w:t xml:space="preserve"> on apricots, apples, peaches, pears, plums, figs, cranberries, strawberries, green beans, and lima beans since those uses were believed to pose an unacceptable carcinogenicity dietary risk.</w:t>
      </w:r>
      <w:r w:rsidR="00005B88" w:rsidRPr="00211EB6">
        <w:t xml:space="preserve"> A summary of the GHS classification </w:t>
      </w:r>
      <w:r w:rsidR="008D2B10" w:rsidRPr="00211EB6">
        <w:t>of hazards</w:t>
      </w:r>
      <w:r w:rsidR="00005B88" w:rsidRPr="00211EB6">
        <w:t xml:space="preserve"> for </w:t>
      </w:r>
      <w:proofErr w:type="spellStart"/>
      <w:r w:rsidR="00005B88" w:rsidRPr="00211EB6">
        <w:t>propargite</w:t>
      </w:r>
      <w:proofErr w:type="spellEnd"/>
      <w:r w:rsidR="00005B88" w:rsidRPr="00211EB6">
        <w:t xml:space="preserve"> is also included in Table 2.</w:t>
      </w:r>
      <w:r w:rsidR="008F6B23" w:rsidRPr="00211EB6">
        <w:t>3</w:t>
      </w:r>
      <w:r w:rsidR="00005B88" w:rsidRPr="00211EB6">
        <w:t>.</w:t>
      </w:r>
    </w:p>
    <w:p w14:paraId="38E28EF5" w14:textId="3245E561" w:rsidR="005F3434" w:rsidRPr="00211EB6" w:rsidRDefault="005F3434" w:rsidP="00AD0637">
      <w:pPr>
        <w:pStyle w:val="Heading5"/>
        <w:numPr>
          <w:ilvl w:val="0"/>
          <w:numId w:val="0"/>
        </w:numPr>
        <w:ind w:left="1008" w:hanging="1008"/>
      </w:pPr>
      <w:proofErr w:type="spellStart"/>
      <w:r w:rsidRPr="00211EB6">
        <w:t>Bifenzate</w:t>
      </w:r>
      <w:proofErr w:type="spellEnd"/>
    </w:p>
    <w:p w14:paraId="66932F62" w14:textId="77777777" w:rsidR="005F3434" w:rsidRPr="00211EB6" w:rsidRDefault="005F3434" w:rsidP="008C6BCB">
      <w:pPr>
        <w:pStyle w:val="Normalnumber"/>
        <w:numPr>
          <w:ilvl w:val="0"/>
          <w:numId w:val="34"/>
        </w:numPr>
        <w:tabs>
          <w:tab w:val="clear" w:pos="1440"/>
        </w:tabs>
        <w:ind w:left="0" w:firstLine="0"/>
      </w:pPr>
      <w:proofErr w:type="spellStart"/>
      <w:r w:rsidRPr="00211EB6">
        <w:t>Bifenazate</w:t>
      </w:r>
      <w:proofErr w:type="spellEnd"/>
      <w:r w:rsidRPr="00211EB6">
        <w:t xml:space="preserve"> (CAS-No 149877-41-8) is an </w:t>
      </w:r>
      <w:proofErr w:type="spellStart"/>
      <w:r w:rsidRPr="00211EB6">
        <w:t>acaricide</w:t>
      </w:r>
      <w:proofErr w:type="spellEnd"/>
      <w:r w:rsidRPr="00211EB6">
        <w:t xml:space="preserve"> </w:t>
      </w:r>
      <w:r w:rsidR="00752AA3" w:rsidRPr="00211EB6">
        <w:t xml:space="preserve">effective </w:t>
      </w:r>
      <w:r w:rsidRPr="00211EB6">
        <w:t xml:space="preserve">against a wide range of </w:t>
      </w:r>
      <w:proofErr w:type="spellStart"/>
      <w:r w:rsidRPr="00211EB6">
        <w:t>phytophagous</w:t>
      </w:r>
      <w:proofErr w:type="spellEnd"/>
      <w:r w:rsidRPr="00211EB6">
        <w:t xml:space="preserve"> mites and used in a range of crops and ornamentals</w:t>
      </w:r>
      <w:r w:rsidR="003D06B5" w:rsidRPr="00211EB6">
        <w:t xml:space="preserve"> in Canada, USA and Australia</w:t>
      </w:r>
      <w:r w:rsidR="008D2B10" w:rsidRPr="00211EB6">
        <w:t>.</w:t>
      </w:r>
    </w:p>
    <w:p w14:paraId="378DAF66" w14:textId="77777777" w:rsidR="005F3434" w:rsidRPr="00211EB6" w:rsidRDefault="005F3434" w:rsidP="008C6BCB">
      <w:pPr>
        <w:pStyle w:val="Normalnumber"/>
        <w:numPr>
          <w:ilvl w:val="0"/>
          <w:numId w:val="34"/>
        </w:numPr>
        <w:tabs>
          <w:tab w:val="clear" w:pos="1440"/>
        </w:tabs>
        <w:ind w:left="0" w:firstLine="0"/>
      </w:pPr>
      <w:proofErr w:type="spellStart"/>
      <w:r w:rsidRPr="00211EB6">
        <w:t>Bifenazate</w:t>
      </w:r>
      <w:proofErr w:type="spellEnd"/>
      <w:r w:rsidRPr="00211EB6">
        <w:t xml:space="preserve"> is registered in Canada for the control of mites. </w:t>
      </w:r>
      <w:proofErr w:type="spellStart"/>
      <w:r w:rsidRPr="00211EB6">
        <w:t>Bifenazate</w:t>
      </w:r>
      <w:proofErr w:type="spellEnd"/>
      <w:r w:rsidRPr="00211EB6">
        <w:t xml:space="preserve"> is the active ingredient in the end-use products </w:t>
      </w:r>
      <w:proofErr w:type="spellStart"/>
      <w:r w:rsidRPr="00211EB6">
        <w:t>Acramite</w:t>
      </w:r>
      <w:proofErr w:type="spellEnd"/>
      <w:r w:rsidRPr="00211EB6">
        <w:t xml:space="preserve"> 50 WS and </w:t>
      </w:r>
      <w:proofErr w:type="spellStart"/>
      <w:r w:rsidRPr="00211EB6">
        <w:t>Floramite</w:t>
      </w:r>
      <w:proofErr w:type="spellEnd"/>
      <w:r w:rsidRPr="00211EB6">
        <w:t xml:space="preserve"> SC. </w:t>
      </w:r>
      <w:proofErr w:type="spellStart"/>
      <w:r w:rsidRPr="00211EB6">
        <w:t>Acramite</w:t>
      </w:r>
      <w:proofErr w:type="spellEnd"/>
      <w:r w:rsidRPr="00211EB6">
        <w:t xml:space="preserve"> 50 WS is used to control European red mite, two-spotted spider mite and McDaniel mite (apples only) on apples and grapes, while </w:t>
      </w:r>
      <w:proofErr w:type="spellStart"/>
      <w:r w:rsidRPr="00211EB6">
        <w:t>Floramite</w:t>
      </w:r>
      <w:proofErr w:type="spellEnd"/>
      <w:r w:rsidRPr="00211EB6">
        <w:t xml:space="preserve"> SC is used to control two-spotted spider mite and Lewis mite on greenhouse ornamentals, including </w:t>
      </w:r>
      <w:r w:rsidR="004F55B8" w:rsidRPr="00211EB6">
        <w:t xml:space="preserve">in </w:t>
      </w:r>
      <w:proofErr w:type="spellStart"/>
      <w:r w:rsidRPr="00211EB6">
        <w:t>shadehouses</w:t>
      </w:r>
      <w:proofErr w:type="spellEnd"/>
      <w:r w:rsidRPr="00211EB6">
        <w:t xml:space="preserve"> and </w:t>
      </w:r>
      <w:proofErr w:type="spellStart"/>
      <w:r w:rsidRPr="00211EB6">
        <w:t>interiorscapes</w:t>
      </w:r>
      <w:proofErr w:type="spellEnd"/>
      <w:r w:rsidRPr="00211EB6">
        <w:t>.</w:t>
      </w:r>
    </w:p>
    <w:p w14:paraId="518EAC01" w14:textId="77777777" w:rsidR="005F3434" w:rsidRPr="00211EB6" w:rsidRDefault="005F3434" w:rsidP="008C6BCB">
      <w:pPr>
        <w:pStyle w:val="Normalnumber"/>
        <w:numPr>
          <w:ilvl w:val="0"/>
          <w:numId w:val="34"/>
        </w:numPr>
        <w:tabs>
          <w:tab w:val="clear" w:pos="1440"/>
        </w:tabs>
        <w:ind w:left="0" w:firstLine="0"/>
      </w:pPr>
      <w:r w:rsidRPr="00211EB6">
        <w:t xml:space="preserve">In the response to the Annex F information request, Canada indicated that </w:t>
      </w:r>
      <w:proofErr w:type="spellStart"/>
      <w:r w:rsidRPr="00211EB6">
        <w:t>bifenazate</w:t>
      </w:r>
      <w:proofErr w:type="spellEnd"/>
      <w:r w:rsidRPr="00211EB6">
        <w:t xml:space="preserve"> </w:t>
      </w:r>
      <w:r w:rsidR="00D30E3C" w:rsidRPr="00211EB6">
        <w:t xml:space="preserve">is both </w:t>
      </w:r>
      <w:r w:rsidRPr="00211EB6">
        <w:t>available and accessible in Canada, has been evaluated for its human health and environmental safety, and is currently registered and used in Canada; hence, it is considered to be technically feasible</w:t>
      </w:r>
      <w:r w:rsidR="00C9124E" w:rsidRPr="00211EB6">
        <w:t xml:space="preserve"> in Canada</w:t>
      </w:r>
      <w:r w:rsidRPr="00211EB6">
        <w:t>.</w:t>
      </w:r>
    </w:p>
    <w:p w14:paraId="696974EF" w14:textId="77777777" w:rsidR="005F3434" w:rsidRPr="00211EB6" w:rsidRDefault="005F3434" w:rsidP="008C6BCB">
      <w:pPr>
        <w:pStyle w:val="Normalnumber"/>
        <w:numPr>
          <w:ilvl w:val="0"/>
          <w:numId w:val="34"/>
        </w:numPr>
        <w:tabs>
          <w:tab w:val="clear" w:pos="1440"/>
        </w:tabs>
        <w:ind w:left="0" w:firstLine="0"/>
      </w:pPr>
      <w:r w:rsidRPr="00211EB6">
        <w:t xml:space="preserve">Based on an evaluation of available scientific information, under the approved conditions of use, </w:t>
      </w:r>
      <w:r w:rsidR="003D06B5" w:rsidRPr="00211EB6">
        <w:t xml:space="preserve">Canada (2016) states that </w:t>
      </w:r>
      <w:proofErr w:type="spellStart"/>
      <w:r w:rsidRPr="00211EB6">
        <w:t>bifenazate</w:t>
      </w:r>
      <w:proofErr w:type="spellEnd"/>
      <w:r w:rsidRPr="00211EB6">
        <w:t xml:space="preserve"> has </w:t>
      </w:r>
      <w:r w:rsidR="0072733C" w:rsidRPr="00211EB6">
        <w:t xml:space="preserve">societal </w:t>
      </w:r>
      <w:r w:rsidRPr="00211EB6">
        <w:t>value and does not present an unacceptable risk to human health or the environment.</w:t>
      </w:r>
    </w:p>
    <w:p w14:paraId="0DB7D51C" w14:textId="0222895C" w:rsidR="005F3434" w:rsidRPr="00211EB6" w:rsidRDefault="005F3434" w:rsidP="008C6BCB">
      <w:pPr>
        <w:pStyle w:val="Normalnumber"/>
        <w:numPr>
          <w:ilvl w:val="0"/>
          <w:numId w:val="34"/>
        </w:numPr>
        <w:tabs>
          <w:tab w:val="clear" w:pos="1440"/>
        </w:tabs>
        <w:ind w:left="0" w:firstLine="0"/>
      </w:pPr>
      <w:r w:rsidRPr="00211EB6">
        <w:t xml:space="preserve">According to </w:t>
      </w:r>
      <w:proofErr w:type="spellStart"/>
      <w:r w:rsidRPr="00211EB6">
        <w:t>Dutcher</w:t>
      </w:r>
      <w:proofErr w:type="spellEnd"/>
      <w:r w:rsidRPr="00211EB6">
        <w:t xml:space="preserve"> </w:t>
      </w:r>
      <w:r w:rsidRPr="00211EB6">
        <w:rPr>
          <w:i/>
        </w:rPr>
        <w:t>et al</w:t>
      </w:r>
      <w:r w:rsidRPr="00211EB6">
        <w:t>.</w:t>
      </w:r>
      <w:r w:rsidR="005603EC" w:rsidRPr="00211EB6">
        <w:t xml:space="preserve"> (</w:t>
      </w:r>
      <w:r w:rsidRPr="00211EB6">
        <w:t>2009</w:t>
      </w:r>
      <w:r w:rsidR="005603EC" w:rsidRPr="00211EB6">
        <w:t>)</w:t>
      </w:r>
      <w:r w:rsidRPr="00211EB6">
        <w:t xml:space="preserve">, </w:t>
      </w:r>
      <w:proofErr w:type="spellStart"/>
      <w:r w:rsidRPr="00211EB6">
        <w:t>bifenazate</w:t>
      </w:r>
      <w:proofErr w:type="spellEnd"/>
      <w:r w:rsidRPr="00211EB6">
        <w:t xml:space="preserve"> is an effective chemical control for pecan leaf scorch mite in the USA. In field trials </w:t>
      </w:r>
      <w:proofErr w:type="spellStart"/>
      <w:r w:rsidRPr="00211EB6">
        <w:t>bifenazate</w:t>
      </w:r>
      <w:proofErr w:type="spellEnd"/>
      <w:r w:rsidRPr="00211EB6">
        <w:t xml:space="preserve"> was tested as a possible replacement for </w:t>
      </w:r>
      <w:proofErr w:type="spellStart"/>
      <w:r w:rsidRPr="00211EB6">
        <w:t>dicofol</w:t>
      </w:r>
      <w:proofErr w:type="spellEnd"/>
      <w:r w:rsidRPr="00211EB6">
        <w:t xml:space="preserve">. </w:t>
      </w:r>
      <w:proofErr w:type="spellStart"/>
      <w:r w:rsidRPr="00211EB6">
        <w:t>Dutcher</w:t>
      </w:r>
      <w:proofErr w:type="spellEnd"/>
      <w:r w:rsidRPr="00211EB6">
        <w:t xml:space="preserve"> </w:t>
      </w:r>
      <w:r w:rsidRPr="00211EB6">
        <w:rPr>
          <w:i/>
        </w:rPr>
        <w:t>et al.</w:t>
      </w:r>
      <w:r w:rsidRPr="00211EB6">
        <w:t xml:space="preserve"> indicate</w:t>
      </w:r>
      <w:r w:rsidR="00D30E3C" w:rsidRPr="00211EB6">
        <w:t>d</w:t>
      </w:r>
      <w:r w:rsidRPr="00211EB6">
        <w:t xml:space="preserve"> that the cost of control with </w:t>
      </w:r>
      <w:proofErr w:type="spellStart"/>
      <w:r w:rsidRPr="00211EB6">
        <w:t>bifenazate</w:t>
      </w:r>
      <w:proofErr w:type="spellEnd"/>
      <w:r w:rsidRPr="00211EB6">
        <w:t xml:space="preserve"> may be justified when based on literature values of the potential yield reductions associated with a lack of mite control in pecan. </w:t>
      </w:r>
      <w:r w:rsidR="00005B88" w:rsidRPr="00211EB6">
        <w:t>A summary of the GHS classification</w:t>
      </w:r>
      <w:r w:rsidR="008D2B10" w:rsidRPr="00211EB6">
        <w:t xml:space="preserve"> of hazards</w:t>
      </w:r>
      <w:r w:rsidR="00005B88" w:rsidRPr="00211EB6">
        <w:t xml:space="preserve"> for </w:t>
      </w:r>
      <w:proofErr w:type="spellStart"/>
      <w:r w:rsidR="00005B88" w:rsidRPr="00211EB6">
        <w:t>bifenazate</w:t>
      </w:r>
      <w:proofErr w:type="spellEnd"/>
      <w:r w:rsidR="00005B88" w:rsidRPr="00211EB6">
        <w:t xml:space="preserve"> is provided in Table 2.</w:t>
      </w:r>
      <w:r w:rsidR="008F6B23" w:rsidRPr="00211EB6">
        <w:t>3</w:t>
      </w:r>
      <w:r w:rsidR="00005B88" w:rsidRPr="00211EB6">
        <w:t>.</w:t>
      </w:r>
      <w:r w:rsidR="002E124C" w:rsidRPr="00211EB6">
        <w:t xml:space="preserve"> </w:t>
      </w:r>
    </w:p>
    <w:p w14:paraId="6077564E" w14:textId="77777777" w:rsidR="005F3434" w:rsidRPr="00211EB6" w:rsidRDefault="005F3434" w:rsidP="00EE4FB5">
      <w:pPr>
        <w:pStyle w:val="Heading5"/>
        <w:numPr>
          <w:ilvl w:val="0"/>
          <w:numId w:val="0"/>
        </w:numPr>
        <w:ind w:left="1009" w:hanging="1009"/>
      </w:pPr>
      <w:proofErr w:type="spellStart"/>
      <w:r w:rsidRPr="00211EB6">
        <w:t>Fenbutatin</w:t>
      </w:r>
      <w:proofErr w:type="spellEnd"/>
      <w:r w:rsidRPr="00211EB6">
        <w:t xml:space="preserve"> Oxide</w:t>
      </w:r>
    </w:p>
    <w:p w14:paraId="1DFA065C" w14:textId="16EE63E9" w:rsidR="00400690" w:rsidRPr="00211EB6" w:rsidRDefault="00400690" w:rsidP="008C6BCB">
      <w:pPr>
        <w:pStyle w:val="Normalnumber"/>
        <w:numPr>
          <w:ilvl w:val="0"/>
          <w:numId w:val="34"/>
        </w:numPr>
        <w:tabs>
          <w:tab w:val="clear" w:pos="1440"/>
        </w:tabs>
        <w:ind w:left="0" w:firstLine="0"/>
      </w:pPr>
      <w:proofErr w:type="spellStart"/>
      <w:r w:rsidRPr="00211EB6">
        <w:t>Fenbutatin</w:t>
      </w:r>
      <w:proofErr w:type="spellEnd"/>
      <w:r w:rsidRPr="00211EB6">
        <w:t xml:space="preserve"> oxide (CAS-No 13356-08-6) is an </w:t>
      </w:r>
      <w:proofErr w:type="spellStart"/>
      <w:r w:rsidRPr="00211EB6">
        <w:t>organotin</w:t>
      </w:r>
      <w:proofErr w:type="spellEnd"/>
      <w:r w:rsidRPr="00211EB6">
        <w:t xml:space="preserve"> compound. </w:t>
      </w:r>
      <w:proofErr w:type="spellStart"/>
      <w:r w:rsidRPr="00211EB6">
        <w:t>Fenbutatin</w:t>
      </w:r>
      <w:proofErr w:type="spellEnd"/>
      <w:r w:rsidRPr="00211EB6">
        <w:t xml:space="preserve"> oxide is registered in Canada for the control of mites. </w:t>
      </w:r>
      <w:proofErr w:type="spellStart"/>
      <w:r w:rsidRPr="00211EB6">
        <w:t>Fenbutatin</w:t>
      </w:r>
      <w:proofErr w:type="spellEnd"/>
      <w:r w:rsidRPr="00211EB6">
        <w:t xml:space="preserve"> oxide is an insecticide used to control mites in greenhouse food (tomatoes, cucumbers) and ornamental crops and for outdoor uses on ornamental nursery stock. The end-use products, formulated as </w:t>
      </w:r>
      <w:proofErr w:type="spellStart"/>
      <w:r w:rsidRPr="00211EB6">
        <w:t>wettable</w:t>
      </w:r>
      <w:proofErr w:type="spellEnd"/>
      <w:r w:rsidRPr="00211EB6">
        <w:t xml:space="preserve"> powders, can be applied in the greenhouse by conventional hydraulic handheld sprayers and outdoors with low volume ground boom equipment and backpack sprayers.</w:t>
      </w:r>
    </w:p>
    <w:p w14:paraId="1BD2C739" w14:textId="77777777" w:rsidR="00400690" w:rsidRPr="00211EB6" w:rsidRDefault="00400690" w:rsidP="008C6BCB">
      <w:pPr>
        <w:pStyle w:val="Normalnumber"/>
        <w:numPr>
          <w:ilvl w:val="0"/>
          <w:numId w:val="34"/>
        </w:numPr>
        <w:tabs>
          <w:tab w:val="clear" w:pos="1440"/>
        </w:tabs>
        <w:ind w:left="0" w:firstLine="0"/>
      </w:pPr>
      <w:r w:rsidRPr="00211EB6">
        <w:t xml:space="preserve">In the response to the Annex F information request, Canada indicated that </w:t>
      </w:r>
      <w:proofErr w:type="spellStart"/>
      <w:r w:rsidRPr="00211EB6">
        <w:t>fenbutatin</w:t>
      </w:r>
      <w:proofErr w:type="spellEnd"/>
      <w:r w:rsidRPr="00211EB6">
        <w:t xml:space="preserve"> oxide, </w:t>
      </w:r>
      <w:r w:rsidR="00D30E3C" w:rsidRPr="00211EB6">
        <w:t xml:space="preserve">is both </w:t>
      </w:r>
      <w:r w:rsidRPr="00211EB6">
        <w:t>available and accessible in Canada, has been evaluated for its human health and environmental safety, and is currently registered and used in Canada; hence, it is considered to be technically feasible</w:t>
      </w:r>
      <w:r w:rsidR="0033300C" w:rsidRPr="00211EB6">
        <w:t xml:space="preserve"> in Canada</w:t>
      </w:r>
      <w:r w:rsidRPr="00211EB6">
        <w:t xml:space="preserve">. </w:t>
      </w:r>
      <w:proofErr w:type="spellStart"/>
      <w:r w:rsidRPr="00211EB6">
        <w:t>Fenbutatin</w:t>
      </w:r>
      <w:proofErr w:type="spellEnd"/>
      <w:r w:rsidRPr="00211EB6">
        <w:t xml:space="preserve"> oxide is unlikely to affect human health provided that risk reduction measures are implemented</w:t>
      </w:r>
      <w:r w:rsidR="0033300C" w:rsidRPr="00211EB6">
        <w:t>, such as protective equipment for handlers, advisory label statements on potential spray drift and run off, buffer zones for aquatic and terrestrial habitats</w:t>
      </w:r>
      <w:r w:rsidRPr="00211EB6">
        <w:t xml:space="preserve">. </w:t>
      </w:r>
      <w:proofErr w:type="spellStart"/>
      <w:r w:rsidRPr="00211EB6">
        <w:t>Fenbutatin</w:t>
      </w:r>
      <w:proofErr w:type="spellEnd"/>
      <w:r w:rsidRPr="00211EB6">
        <w:t xml:space="preserve"> oxide is toxic to aquatic organisms</w:t>
      </w:r>
      <w:r w:rsidR="003D06B5" w:rsidRPr="00211EB6">
        <w:t xml:space="preserve"> (Canada, 2016)</w:t>
      </w:r>
      <w:r w:rsidRPr="00211EB6">
        <w:t>.</w:t>
      </w:r>
    </w:p>
    <w:p w14:paraId="00319A58" w14:textId="77777777" w:rsidR="00400690" w:rsidRPr="00211EB6" w:rsidRDefault="00400690" w:rsidP="008C6BCB">
      <w:pPr>
        <w:pStyle w:val="Normalnumber"/>
        <w:numPr>
          <w:ilvl w:val="0"/>
          <w:numId w:val="34"/>
        </w:numPr>
        <w:tabs>
          <w:tab w:val="clear" w:pos="1440"/>
        </w:tabs>
        <w:ind w:left="0" w:firstLine="0"/>
      </w:pPr>
      <w:r w:rsidRPr="00211EB6">
        <w:t xml:space="preserve">Based on a hazard assessment of alternatives to </w:t>
      </w:r>
      <w:proofErr w:type="spellStart"/>
      <w:r w:rsidRPr="00211EB6">
        <w:t>dicofol</w:t>
      </w:r>
      <w:proofErr w:type="spellEnd"/>
      <w:r w:rsidRPr="00211EB6">
        <w:t xml:space="preserve">, including </w:t>
      </w:r>
      <w:proofErr w:type="spellStart"/>
      <w:r w:rsidRPr="00211EB6">
        <w:t>fenbutatin</w:t>
      </w:r>
      <w:proofErr w:type="spellEnd"/>
      <w:r w:rsidRPr="00211EB6">
        <w:t xml:space="preserve"> oxide, Sánchez et al., 2010 stated that compared to </w:t>
      </w:r>
      <w:proofErr w:type="spellStart"/>
      <w:r w:rsidRPr="00211EB6">
        <w:t>dicofol</w:t>
      </w:r>
      <w:proofErr w:type="spellEnd"/>
      <w:r w:rsidRPr="00211EB6">
        <w:t xml:space="preserve">, </w:t>
      </w:r>
      <w:proofErr w:type="spellStart"/>
      <w:r w:rsidRPr="00211EB6">
        <w:t>fenbutatitn</w:t>
      </w:r>
      <w:proofErr w:type="spellEnd"/>
      <w:r w:rsidRPr="00211EB6">
        <w:t xml:space="preserve"> oxide is “better for humans but in most cases wors</w:t>
      </w:r>
      <w:r w:rsidR="00D30E3C" w:rsidRPr="00211EB6">
        <w:t>e</w:t>
      </w:r>
      <w:r w:rsidRPr="00211EB6">
        <w:t xml:space="preserve"> for the environment, aquatic life specific</w:t>
      </w:r>
      <w:r w:rsidR="00D30E3C" w:rsidRPr="00211EB6">
        <w:t>ally being an issue</w:t>
      </w:r>
      <w:r w:rsidRPr="00211EB6">
        <w:t xml:space="preserve">”. </w:t>
      </w:r>
      <w:proofErr w:type="spellStart"/>
      <w:r w:rsidRPr="00211EB6">
        <w:t>Fenbutatin</w:t>
      </w:r>
      <w:proofErr w:type="spellEnd"/>
      <w:r w:rsidRPr="00211EB6">
        <w:t xml:space="preserve"> oxide is relative</w:t>
      </w:r>
      <w:r w:rsidR="00A8552C" w:rsidRPr="00211EB6">
        <w:t>ly</w:t>
      </w:r>
      <w:r w:rsidRPr="00211EB6">
        <w:t xml:space="preserve"> immobile and persistent in the environment, with no apparent major route of dissipation. It is practically non-toxic to birds on an acute basis</w:t>
      </w:r>
      <w:r w:rsidR="00D30E3C" w:rsidRPr="00211EB6">
        <w:t>, but</w:t>
      </w:r>
      <w:r w:rsidRPr="00211EB6">
        <w:t xml:space="preserve"> extremely toxic to both freshwater and estuarine aquatic organisms.</w:t>
      </w:r>
      <w:r w:rsidR="007C6D14" w:rsidRPr="00211EB6">
        <w:t xml:space="preserve"> In mice, </w:t>
      </w:r>
      <w:proofErr w:type="spellStart"/>
      <w:r w:rsidR="007C6D14" w:rsidRPr="00211EB6">
        <w:t>fenbutatin</w:t>
      </w:r>
      <w:proofErr w:type="spellEnd"/>
      <w:r w:rsidR="007C6D14" w:rsidRPr="00211EB6">
        <w:t xml:space="preserve"> oxide caused a significant decrease in </w:t>
      </w:r>
      <w:proofErr w:type="spellStart"/>
      <w:r w:rsidR="007C6D14" w:rsidRPr="00211EB6">
        <w:t>epididymal</w:t>
      </w:r>
      <w:proofErr w:type="spellEnd"/>
      <w:r w:rsidR="007C6D14" w:rsidRPr="00211EB6">
        <w:t xml:space="preserve"> sperm count, sperm motility, sperm viability and sperm function (Reddy et al, 2006).</w:t>
      </w:r>
    </w:p>
    <w:p w14:paraId="09FAE422" w14:textId="4464D863" w:rsidR="00400690" w:rsidRPr="00211EB6" w:rsidRDefault="00400690" w:rsidP="008C6BCB">
      <w:pPr>
        <w:pStyle w:val="Normalnumber"/>
        <w:numPr>
          <w:ilvl w:val="0"/>
          <w:numId w:val="34"/>
        </w:numPr>
        <w:tabs>
          <w:tab w:val="clear" w:pos="1440"/>
        </w:tabs>
        <w:ind w:left="0" w:firstLine="0"/>
      </w:pPr>
      <w:r w:rsidRPr="00211EB6">
        <w:t>According to Manners</w:t>
      </w:r>
      <w:r w:rsidR="005603EC" w:rsidRPr="00211EB6">
        <w:t xml:space="preserve"> (</w:t>
      </w:r>
      <w:r w:rsidRPr="00211EB6">
        <w:t>2013</w:t>
      </w:r>
      <w:r w:rsidR="005603EC" w:rsidRPr="00211EB6">
        <w:t>)</w:t>
      </w:r>
      <w:r w:rsidRPr="00211EB6">
        <w:t xml:space="preserve">, </w:t>
      </w:r>
      <w:proofErr w:type="spellStart"/>
      <w:r w:rsidRPr="00211EB6">
        <w:t>fenbutatin</w:t>
      </w:r>
      <w:proofErr w:type="spellEnd"/>
      <w:r w:rsidRPr="00211EB6">
        <w:t xml:space="preserve"> oxide is registered (or with minor use permit) in Australia for ornamental use against </w:t>
      </w:r>
      <w:r w:rsidR="004F55B8" w:rsidRPr="00211EB6">
        <w:t xml:space="preserve">the </w:t>
      </w:r>
      <w:r w:rsidRPr="00211EB6">
        <w:t>two</w:t>
      </w:r>
      <w:r w:rsidR="004F55B8" w:rsidRPr="00211EB6">
        <w:t>-</w:t>
      </w:r>
      <w:r w:rsidRPr="00211EB6">
        <w:t xml:space="preserve">spotted </w:t>
      </w:r>
      <w:r w:rsidR="0033300C" w:rsidRPr="00211EB6">
        <w:t xml:space="preserve">spider </w:t>
      </w:r>
      <w:r w:rsidRPr="00211EB6">
        <w:t xml:space="preserve">mite, </w:t>
      </w:r>
      <w:proofErr w:type="spellStart"/>
      <w:r w:rsidR="007E3F71" w:rsidRPr="00211EB6">
        <w:rPr>
          <w:i/>
        </w:rPr>
        <w:t>Tetranychus</w:t>
      </w:r>
      <w:proofErr w:type="spellEnd"/>
      <w:r w:rsidR="007E3F71" w:rsidRPr="00211EB6">
        <w:rPr>
          <w:i/>
        </w:rPr>
        <w:t xml:space="preserve"> </w:t>
      </w:r>
      <w:proofErr w:type="spellStart"/>
      <w:r w:rsidR="007E3F71" w:rsidRPr="00211EB6">
        <w:rPr>
          <w:i/>
        </w:rPr>
        <w:t>urticae</w:t>
      </w:r>
      <w:proofErr w:type="spellEnd"/>
      <w:r w:rsidRPr="00211EB6">
        <w:t xml:space="preserve">. </w:t>
      </w:r>
      <w:proofErr w:type="spellStart"/>
      <w:r w:rsidRPr="00211EB6">
        <w:t>Fenbutatin</w:t>
      </w:r>
      <w:proofErr w:type="spellEnd"/>
      <w:r w:rsidR="004F55B8" w:rsidRPr="00211EB6">
        <w:t xml:space="preserve"> </w:t>
      </w:r>
      <w:r w:rsidRPr="00211EB6">
        <w:t>oxide has sporadic high level resistance. High level resistance develops easily, but is unstable and reverts over time.</w:t>
      </w:r>
      <w:r w:rsidR="004F55B8" w:rsidRPr="00211EB6">
        <w:t xml:space="preserve"> </w:t>
      </w:r>
      <w:r w:rsidR="00005B88" w:rsidRPr="00211EB6">
        <w:t xml:space="preserve">A summary of the GHS classification </w:t>
      </w:r>
      <w:r w:rsidR="007C6D14" w:rsidRPr="00211EB6">
        <w:t xml:space="preserve">of hazards </w:t>
      </w:r>
      <w:r w:rsidR="00005B88" w:rsidRPr="00211EB6">
        <w:t xml:space="preserve">for </w:t>
      </w:r>
      <w:proofErr w:type="spellStart"/>
      <w:r w:rsidR="00005B88" w:rsidRPr="00211EB6">
        <w:t>fenbutatin</w:t>
      </w:r>
      <w:proofErr w:type="spellEnd"/>
      <w:r w:rsidR="00005B88" w:rsidRPr="00211EB6">
        <w:t xml:space="preserve"> oxide is provided in Table 2.</w:t>
      </w:r>
      <w:r w:rsidR="008D5B48" w:rsidRPr="00211EB6">
        <w:t>3</w:t>
      </w:r>
      <w:r w:rsidR="004F55B8" w:rsidRPr="00211EB6">
        <w:t xml:space="preserve">. </w:t>
      </w:r>
    </w:p>
    <w:p w14:paraId="790EAEBD" w14:textId="77777777" w:rsidR="00400690" w:rsidRPr="00211EB6" w:rsidRDefault="00400690" w:rsidP="00EE4FB5">
      <w:pPr>
        <w:pStyle w:val="Heading5"/>
        <w:numPr>
          <w:ilvl w:val="0"/>
          <w:numId w:val="0"/>
        </w:numPr>
        <w:ind w:left="1009" w:hanging="1009"/>
      </w:pPr>
      <w:proofErr w:type="spellStart"/>
      <w:r w:rsidRPr="00211EB6">
        <w:t>Pyridaben</w:t>
      </w:r>
      <w:proofErr w:type="spellEnd"/>
    </w:p>
    <w:p w14:paraId="43526E54" w14:textId="77777777" w:rsidR="00400690" w:rsidRPr="00211EB6" w:rsidRDefault="00400690" w:rsidP="008C6BCB">
      <w:pPr>
        <w:pStyle w:val="Normalnumber"/>
        <w:numPr>
          <w:ilvl w:val="0"/>
          <w:numId w:val="34"/>
        </w:numPr>
        <w:tabs>
          <w:tab w:val="clear" w:pos="1440"/>
        </w:tabs>
        <w:ind w:left="0" w:firstLine="0"/>
      </w:pPr>
      <w:proofErr w:type="spellStart"/>
      <w:r w:rsidRPr="00211EB6">
        <w:t>Pyridaben</w:t>
      </w:r>
      <w:proofErr w:type="spellEnd"/>
      <w:r w:rsidRPr="00211EB6">
        <w:t xml:space="preserve"> (CAS-No 96489-71-3) is an insecticide and </w:t>
      </w:r>
      <w:proofErr w:type="spellStart"/>
      <w:r w:rsidRPr="00211EB6">
        <w:t>acaricide</w:t>
      </w:r>
      <w:proofErr w:type="spellEnd"/>
      <w:r w:rsidRPr="00211EB6">
        <w:t xml:space="preserve">. It is used to control mites and white flies on ornamental plants, flowers and foliage (non-food) crops in green houses, and to control mites on apples, pears and almonds. </w:t>
      </w:r>
    </w:p>
    <w:p w14:paraId="4C5F69CD" w14:textId="77777777" w:rsidR="00400690" w:rsidRPr="00211EB6" w:rsidRDefault="00400690" w:rsidP="008C6BCB">
      <w:pPr>
        <w:pStyle w:val="Normalnumber"/>
        <w:numPr>
          <w:ilvl w:val="0"/>
          <w:numId w:val="34"/>
        </w:numPr>
        <w:tabs>
          <w:tab w:val="clear" w:pos="1440"/>
        </w:tabs>
        <w:ind w:left="0" w:firstLine="0"/>
      </w:pPr>
      <w:proofErr w:type="spellStart"/>
      <w:r w:rsidRPr="00211EB6">
        <w:t>Pyridaben</w:t>
      </w:r>
      <w:proofErr w:type="spellEnd"/>
      <w:r w:rsidRPr="00211EB6">
        <w:t xml:space="preserve"> is registered in Canada for the control of mites. </w:t>
      </w:r>
      <w:proofErr w:type="spellStart"/>
      <w:r w:rsidRPr="00211EB6">
        <w:t>Pyridaben</w:t>
      </w:r>
      <w:proofErr w:type="spellEnd"/>
      <w:r w:rsidRPr="00211EB6">
        <w:t xml:space="preserve"> oxide is registered for greenhouse food and non-food crops, terrestrial food/feed crops and ornamentals. Registered </w:t>
      </w:r>
      <w:proofErr w:type="spellStart"/>
      <w:r w:rsidRPr="00211EB6">
        <w:t>pyridaben</w:t>
      </w:r>
      <w:proofErr w:type="spellEnd"/>
      <w:r w:rsidRPr="00211EB6">
        <w:t xml:space="preserve"> end-use products are formulated as </w:t>
      </w:r>
      <w:proofErr w:type="spellStart"/>
      <w:r w:rsidRPr="00211EB6">
        <w:t>wettable</w:t>
      </w:r>
      <w:proofErr w:type="spellEnd"/>
      <w:r w:rsidRPr="00211EB6">
        <w:t xml:space="preserve"> powder, to be applied using field sprayers or hand-held spray equipment.</w:t>
      </w:r>
    </w:p>
    <w:p w14:paraId="036ABCC9" w14:textId="77777777" w:rsidR="00400690" w:rsidRPr="00211EB6" w:rsidRDefault="00400690" w:rsidP="008C6BCB">
      <w:pPr>
        <w:pStyle w:val="Normalnumber"/>
        <w:numPr>
          <w:ilvl w:val="0"/>
          <w:numId w:val="34"/>
        </w:numPr>
        <w:tabs>
          <w:tab w:val="clear" w:pos="1440"/>
        </w:tabs>
        <w:ind w:left="0" w:firstLine="0"/>
      </w:pPr>
      <w:r w:rsidRPr="00211EB6">
        <w:t xml:space="preserve">In the response to the Annex F information request, Canada indicated that </w:t>
      </w:r>
      <w:proofErr w:type="spellStart"/>
      <w:r w:rsidRPr="00211EB6">
        <w:t>pyridaben</w:t>
      </w:r>
      <w:proofErr w:type="spellEnd"/>
      <w:r w:rsidRPr="00211EB6">
        <w:t xml:space="preserve"> </w:t>
      </w:r>
      <w:r w:rsidR="00D30E3C" w:rsidRPr="00211EB6">
        <w:t xml:space="preserve">is both </w:t>
      </w:r>
      <w:r w:rsidRPr="00211EB6">
        <w:t>available and accessible in Canada, has been evaluated for its human health and environmental safety, and is currently registered and used in Canada; hence, it is considered to be technically feasible</w:t>
      </w:r>
      <w:r w:rsidR="0033300C" w:rsidRPr="00211EB6">
        <w:t xml:space="preserve"> in Canada</w:t>
      </w:r>
      <w:r w:rsidRPr="00211EB6">
        <w:t xml:space="preserve">. </w:t>
      </w:r>
    </w:p>
    <w:p w14:paraId="30D9204B" w14:textId="77777777" w:rsidR="00400690" w:rsidRPr="00211EB6" w:rsidRDefault="00F96C88" w:rsidP="008C6BCB">
      <w:pPr>
        <w:pStyle w:val="Normalnumber"/>
        <w:numPr>
          <w:ilvl w:val="0"/>
          <w:numId w:val="34"/>
        </w:numPr>
        <w:tabs>
          <w:tab w:val="clear" w:pos="1440"/>
        </w:tabs>
        <w:ind w:left="0" w:firstLine="0"/>
      </w:pPr>
      <w:r w:rsidRPr="00211EB6">
        <w:t>Rodrigues and Peña (2012)</w:t>
      </w:r>
      <w:r w:rsidR="00400690" w:rsidRPr="00211EB6">
        <w:t xml:space="preserve"> applied and assessed </w:t>
      </w:r>
      <w:proofErr w:type="spellStart"/>
      <w:r w:rsidR="00400690" w:rsidRPr="00211EB6">
        <w:t>pyridaben</w:t>
      </w:r>
      <w:proofErr w:type="spellEnd"/>
      <w:r w:rsidR="00400690" w:rsidRPr="00211EB6">
        <w:t xml:space="preserve"> for the control of the red palm mite (</w:t>
      </w:r>
      <w:proofErr w:type="spellStart"/>
      <w:r w:rsidR="00400690" w:rsidRPr="00211EB6">
        <w:rPr>
          <w:rFonts w:ascii="AdvPTimesI" w:hAnsi="AdvPTimesI" w:cs="AdvPTimesI"/>
          <w:i/>
          <w:sz w:val="19"/>
          <w:szCs w:val="19"/>
          <w:lang w:eastAsia="en-GB"/>
        </w:rPr>
        <w:t>Raoiella</w:t>
      </w:r>
      <w:proofErr w:type="spellEnd"/>
      <w:r w:rsidR="00400690" w:rsidRPr="00211EB6">
        <w:rPr>
          <w:rFonts w:ascii="AdvPTimesI" w:hAnsi="AdvPTimesI" w:cs="AdvPTimesI"/>
          <w:i/>
          <w:sz w:val="19"/>
          <w:szCs w:val="19"/>
          <w:lang w:eastAsia="en-GB"/>
        </w:rPr>
        <w:t xml:space="preserve"> </w:t>
      </w:r>
      <w:proofErr w:type="spellStart"/>
      <w:r w:rsidR="00400690" w:rsidRPr="00211EB6">
        <w:rPr>
          <w:rFonts w:ascii="AdvPTimesI" w:hAnsi="AdvPTimesI" w:cs="AdvPTimesI"/>
          <w:i/>
          <w:sz w:val="19"/>
          <w:szCs w:val="19"/>
          <w:lang w:eastAsia="en-GB"/>
        </w:rPr>
        <w:t>indica</w:t>
      </w:r>
      <w:proofErr w:type="spellEnd"/>
      <w:r w:rsidR="00400690" w:rsidRPr="00211EB6">
        <w:rPr>
          <w:rFonts w:ascii="AdvPTimesI" w:hAnsi="AdvPTimesI" w:cs="AdvPTimesI"/>
          <w:sz w:val="19"/>
          <w:szCs w:val="19"/>
          <w:lang w:eastAsia="en-GB"/>
        </w:rPr>
        <w:t xml:space="preserve"> </w:t>
      </w:r>
      <w:proofErr w:type="spellStart"/>
      <w:r w:rsidR="00400690" w:rsidRPr="00211EB6">
        <w:rPr>
          <w:rFonts w:ascii="AdvPTimes" w:hAnsi="AdvPTimes" w:cs="AdvPTimes"/>
          <w:i/>
          <w:sz w:val="19"/>
          <w:szCs w:val="19"/>
          <w:lang w:eastAsia="en-GB"/>
        </w:rPr>
        <w:t>Hirst</w:t>
      </w:r>
      <w:proofErr w:type="spellEnd"/>
      <w:r w:rsidR="00400690" w:rsidRPr="00211EB6">
        <w:t xml:space="preserve">) on coconuts in Florida. Using spray treatments in field trials, </w:t>
      </w:r>
      <w:proofErr w:type="spellStart"/>
      <w:r w:rsidR="00400690" w:rsidRPr="00211EB6">
        <w:t>pyridaben</w:t>
      </w:r>
      <w:proofErr w:type="spellEnd"/>
      <w:r w:rsidR="00400690" w:rsidRPr="00211EB6">
        <w:t xml:space="preserve"> was effective in reducing the mite population, compared to the untreated control.</w:t>
      </w:r>
    </w:p>
    <w:p w14:paraId="14B8BCB5" w14:textId="46DD5631" w:rsidR="00400690" w:rsidRPr="00211EB6" w:rsidRDefault="00400690" w:rsidP="008C6BCB">
      <w:pPr>
        <w:pStyle w:val="Normalnumber"/>
        <w:numPr>
          <w:ilvl w:val="0"/>
          <w:numId w:val="34"/>
        </w:numPr>
        <w:tabs>
          <w:tab w:val="clear" w:pos="1440"/>
        </w:tabs>
        <w:ind w:left="0" w:firstLine="0"/>
      </w:pPr>
      <w:r w:rsidRPr="00211EB6">
        <w:t xml:space="preserve">Based on a hazard assessment of alternatives to </w:t>
      </w:r>
      <w:proofErr w:type="spellStart"/>
      <w:r w:rsidRPr="00211EB6">
        <w:t>dicofol</w:t>
      </w:r>
      <w:proofErr w:type="spellEnd"/>
      <w:r w:rsidRPr="00211EB6">
        <w:t xml:space="preserve">, including </w:t>
      </w:r>
      <w:proofErr w:type="spellStart"/>
      <w:r w:rsidRPr="00211EB6">
        <w:t>pyridaben</w:t>
      </w:r>
      <w:proofErr w:type="spellEnd"/>
      <w:r w:rsidRPr="00211EB6">
        <w:t xml:space="preserve">, Sánchez </w:t>
      </w:r>
      <w:r w:rsidRPr="00211EB6">
        <w:rPr>
          <w:i/>
        </w:rPr>
        <w:t>et al</w:t>
      </w:r>
      <w:r w:rsidRPr="00211EB6">
        <w:t>.</w:t>
      </w:r>
      <w:r w:rsidR="005603EC" w:rsidRPr="00211EB6">
        <w:t xml:space="preserve"> (</w:t>
      </w:r>
      <w:r w:rsidRPr="00211EB6">
        <w:t>2010</w:t>
      </w:r>
      <w:proofErr w:type="gramStart"/>
      <w:r w:rsidR="005603EC" w:rsidRPr="00211EB6">
        <w:t>)</w:t>
      </w:r>
      <w:r w:rsidRPr="00211EB6">
        <w:t>,</w:t>
      </w:r>
      <w:proofErr w:type="gramEnd"/>
      <w:r w:rsidRPr="00211EB6">
        <w:t xml:space="preserve"> stated that aquatic toxicity, </w:t>
      </w:r>
      <w:proofErr w:type="spellStart"/>
      <w:r w:rsidRPr="00211EB6">
        <w:t>bioconcentration</w:t>
      </w:r>
      <w:proofErr w:type="spellEnd"/>
      <w:r w:rsidRPr="00211EB6">
        <w:t xml:space="preserve"> and environmental fate of </w:t>
      </w:r>
      <w:proofErr w:type="spellStart"/>
      <w:r w:rsidRPr="00211EB6">
        <w:t>pyridaben</w:t>
      </w:r>
      <w:proofErr w:type="spellEnd"/>
      <w:r w:rsidRPr="00211EB6">
        <w:t xml:space="preserve"> are similar to synthetic </w:t>
      </w:r>
      <w:proofErr w:type="spellStart"/>
      <w:r w:rsidRPr="00211EB6">
        <w:t>pyrethroids</w:t>
      </w:r>
      <w:proofErr w:type="spellEnd"/>
      <w:r w:rsidRPr="00211EB6">
        <w:t xml:space="preserve"> used in agriculture. The main distinguishing feature is that </w:t>
      </w:r>
      <w:proofErr w:type="spellStart"/>
      <w:r w:rsidRPr="00211EB6">
        <w:t>pyridaben</w:t>
      </w:r>
      <w:proofErr w:type="spellEnd"/>
      <w:r w:rsidRPr="00211EB6">
        <w:t xml:space="preserve"> is more photo-labile than most </w:t>
      </w:r>
      <w:proofErr w:type="spellStart"/>
      <w:r w:rsidRPr="00211EB6">
        <w:t>pyrethroid</w:t>
      </w:r>
      <w:r w:rsidR="00A8552C" w:rsidRPr="00211EB6">
        <w:t>s</w:t>
      </w:r>
      <w:proofErr w:type="spellEnd"/>
      <w:r w:rsidR="00A8552C" w:rsidRPr="00211EB6">
        <w:t xml:space="preserve"> i.e. </w:t>
      </w:r>
      <w:proofErr w:type="spellStart"/>
      <w:r w:rsidRPr="00211EB6">
        <w:t>pyridaben</w:t>
      </w:r>
      <w:proofErr w:type="spellEnd"/>
      <w:r w:rsidRPr="00211EB6">
        <w:t xml:space="preserve"> can be </w:t>
      </w:r>
      <w:proofErr w:type="spellStart"/>
      <w:r w:rsidRPr="00211EB6">
        <w:t>photochemically</w:t>
      </w:r>
      <w:proofErr w:type="spellEnd"/>
      <w:r w:rsidRPr="00211EB6">
        <w:t xml:space="preserve"> degraded. </w:t>
      </w:r>
      <w:r w:rsidR="0033300C" w:rsidRPr="00211EB6">
        <w:t xml:space="preserve">Laboratory studies show that </w:t>
      </w:r>
      <w:proofErr w:type="spellStart"/>
      <w:r w:rsidR="0033300C" w:rsidRPr="00211EB6">
        <w:t>pyridaben</w:t>
      </w:r>
      <w:proofErr w:type="spellEnd"/>
      <w:r w:rsidR="0033300C" w:rsidRPr="00211EB6">
        <w:t xml:space="preserve"> is acutely toxic to fish and invertebrates, with invertebrates being more sensitive than fish to </w:t>
      </w:r>
      <w:proofErr w:type="spellStart"/>
      <w:r w:rsidR="0033300C" w:rsidRPr="00211EB6">
        <w:t>pyridaben</w:t>
      </w:r>
      <w:proofErr w:type="spellEnd"/>
      <w:r w:rsidR="0033300C" w:rsidRPr="00211EB6">
        <w:t xml:space="preserve"> (Rand and Clark, 2000).</w:t>
      </w:r>
      <w:r w:rsidRPr="00211EB6">
        <w:t xml:space="preserve"> </w:t>
      </w:r>
      <w:r w:rsidR="005603EC" w:rsidRPr="00211EB6">
        <w:t xml:space="preserve">Sánchez </w:t>
      </w:r>
      <w:r w:rsidR="005603EC" w:rsidRPr="00211EB6">
        <w:rPr>
          <w:i/>
        </w:rPr>
        <w:t>et al</w:t>
      </w:r>
      <w:r w:rsidR="005603EC" w:rsidRPr="00211EB6">
        <w:t>. (2010)</w:t>
      </w:r>
      <w:r w:rsidRPr="00211EB6">
        <w:t xml:space="preserve">, state that chemical inhibitor agents of mitochondrial electron transport are as dangerous as </w:t>
      </w:r>
      <w:proofErr w:type="spellStart"/>
      <w:r w:rsidRPr="00211EB6">
        <w:t>dicofol</w:t>
      </w:r>
      <w:proofErr w:type="spellEnd"/>
      <w:r w:rsidRPr="00211EB6">
        <w:t xml:space="preserve"> to </w:t>
      </w:r>
      <w:r w:rsidR="0026591E" w:rsidRPr="00211EB6">
        <w:t xml:space="preserve">the </w:t>
      </w:r>
      <w:r w:rsidRPr="00211EB6">
        <w:t>environment and/or humans.</w:t>
      </w:r>
      <w:r w:rsidR="009D1911" w:rsidRPr="00211EB6">
        <w:t xml:space="preserve"> In mice, </w:t>
      </w:r>
      <w:proofErr w:type="spellStart"/>
      <w:r w:rsidR="009D1911" w:rsidRPr="00211EB6">
        <w:t>pyridaben</w:t>
      </w:r>
      <w:proofErr w:type="spellEnd"/>
      <w:r w:rsidR="009D1911" w:rsidRPr="00211EB6">
        <w:t xml:space="preserve"> can induce DNA damage and chromatin abnormalities in sperm (</w:t>
      </w:r>
      <w:proofErr w:type="spellStart"/>
      <w:r w:rsidR="009D1911" w:rsidRPr="00211EB6">
        <w:t>Ebadi</w:t>
      </w:r>
      <w:proofErr w:type="spellEnd"/>
      <w:r w:rsidR="009D1911" w:rsidRPr="00211EB6">
        <w:t xml:space="preserve"> et al, 2013).</w:t>
      </w:r>
      <w:r w:rsidR="00005B88" w:rsidRPr="00211EB6">
        <w:t xml:space="preserve"> A summary of the GHS classification</w:t>
      </w:r>
      <w:r w:rsidR="007C6D14" w:rsidRPr="00211EB6">
        <w:t xml:space="preserve"> of hazards</w:t>
      </w:r>
      <w:r w:rsidR="00005B88" w:rsidRPr="00211EB6">
        <w:t xml:space="preserve"> for </w:t>
      </w:r>
      <w:proofErr w:type="spellStart"/>
      <w:r w:rsidR="00005B88" w:rsidRPr="00211EB6">
        <w:t>pyridaben</w:t>
      </w:r>
      <w:proofErr w:type="spellEnd"/>
      <w:r w:rsidR="00005B88" w:rsidRPr="00211EB6">
        <w:t xml:space="preserve"> is provided in Table 2.</w:t>
      </w:r>
      <w:r w:rsidR="008F6B23" w:rsidRPr="00211EB6">
        <w:t>3</w:t>
      </w:r>
      <w:r w:rsidR="00005B88" w:rsidRPr="00211EB6">
        <w:t>.</w:t>
      </w:r>
    </w:p>
    <w:p w14:paraId="0E099D2E" w14:textId="1D2309FF" w:rsidR="00B346FD" w:rsidRPr="00211EB6" w:rsidRDefault="00B346FD" w:rsidP="008F6B23">
      <w:pPr>
        <w:pStyle w:val="Heading5"/>
        <w:keepNext/>
        <w:numPr>
          <w:ilvl w:val="0"/>
          <w:numId w:val="0"/>
        </w:numPr>
        <w:ind w:left="1008" w:hanging="1008"/>
      </w:pPr>
      <w:proofErr w:type="spellStart"/>
      <w:r w:rsidRPr="00211EB6">
        <w:t>Tebufenpyrad</w:t>
      </w:r>
      <w:proofErr w:type="spellEnd"/>
    </w:p>
    <w:p w14:paraId="749AA1FC" w14:textId="318583B5" w:rsidR="00B346FD" w:rsidRPr="00211EB6" w:rsidRDefault="00B346FD" w:rsidP="008C6BCB">
      <w:pPr>
        <w:pStyle w:val="Normalnumber"/>
        <w:numPr>
          <w:ilvl w:val="0"/>
          <w:numId w:val="34"/>
        </w:numPr>
        <w:tabs>
          <w:tab w:val="clear" w:pos="1440"/>
        </w:tabs>
        <w:ind w:left="0" w:firstLine="0"/>
      </w:pPr>
      <w:proofErr w:type="spellStart"/>
      <w:r w:rsidRPr="00211EB6">
        <w:t>Tebufenpyrad</w:t>
      </w:r>
      <w:proofErr w:type="spellEnd"/>
      <w:r w:rsidRPr="00211EB6">
        <w:t xml:space="preserve"> is registered (</w:t>
      </w:r>
      <w:r w:rsidR="0034600B" w:rsidRPr="00211EB6">
        <w:t>w</w:t>
      </w:r>
      <w:r w:rsidRPr="00211EB6">
        <w:t xml:space="preserve">ith minor use permitted) in Australia for ornamental use against two spotted spider mites (Manners, 2013).  High resistance to </w:t>
      </w:r>
      <w:proofErr w:type="spellStart"/>
      <w:r w:rsidRPr="00211EB6">
        <w:t>tebufenpyrad</w:t>
      </w:r>
      <w:proofErr w:type="spellEnd"/>
      <w:r w:rsidRPr="00211EB6">
        <w:t xml:space="preserve"> was confirmed in Australia (Manners, 2013). </w:t>
      </w:r>
      <w:proofErr w:type="spellStart"/>
      <w:r w:rsidRPr="00211EB6">
        <w:t>Tebufenpyrad</w:t>
      </w:r>
      <w:proofErr w:type="spellEnd"/>
      <w:r w:rsidRPr="00211EB6">
        <w:t xml:space="preserve"> shows </w:t>
      </w:r>
      <w:proofErr w:type="spellStart"/>
      <w:r w:rsidRPr="00211EB6">
        <w:t>genotoxic</w:t>
      </w:r>
      <w:proofErr w:type="spellEnd"/>
      <w:r w:rsidRPr="00211EB6">
        <w:t xml:space="preserve"> activity in human cells in vitro (</w:t>
      </w:r>
      <w:proofErr w:type="spellStart"/>
      <w:r w:rsidRPr="00211EB6">
        <w:t>Graillot</w:t>
      </w:r>
      <w:proofErr w:type="spellEnd"/>
      <w:r w:rsidRPr="00211EB6">
        <w:t xml:space="preserve"> </w:t>
      </w:r>
      <w:r w:rsidRPr="00211EB6">
        <w:rPr>
          <w:i/>
        </w:rPr>
        <w:t>et al.</w:t>
      </w:r>
      <w:r w:rsidRPr="00211EB6">
        <w:t>, 2012).</w:t>
      </w:r>
    </w:p>
    <w:p w14:paraId="0E2C2EF8" w14:textId="77777777" w:rsidR="00400690" w:rsidRPr="00211EB6" w:rsidRDefault="00400690" w:rsidP="00EE4FB5">
      <w:pPr>
        <w:pStyle w:val="Heading5"/>
        <w:numPr>
          <w:ilvl w:val="0"/>
          <w:numId w:val="0"/>
        </w:numPr>
        <w:ind w:left="1009" w:hanging="1009"/>
      </w:pPr>
      <w:r w:rsidRPr="00211EB6">
        <w:t>Other chemical alternatives</w:t>
      </w:r>
    </w:p>
    <w:p w14:paraId="501290F2" w14:textId="55EC1EBF" w:rsidR="0033300C" w:rsidRPr="00211EB6" w:rsidRDefault="00400690" w:rsidP="008C6BCB">
      <w:pPr>
        <w:pStyle w:val="Normalnumber"/>
        <w:numPr>
          <w:ilvl w:val="0"/>
          <w:numId w:val="34"/>
        </w:numPr>
        <w:tabs>
          <w:tab w:val="clear" w:pos="1440"/>
        </w:tabs>
        <w:ind w:left="0" w:firstLine="0"/>
      </w:pPr>
      <w:r w:rsidRPr="00211EB6">
        <w:t xml:space="preserve">Apart from the chemical alternatives described above, a range of other chemical alternatives to </w:t>
      </w:r>
      <w:proofErr w:type="spellStart"/>
      <w:r w:rsidRPr="00211EB6">
        <w:t>dicofol</w:t>
      </w:r>
      <w:proofErr w:type="spellEnd"/>
      <w:r w:rsidRPr="00211EB6">
        <w:t xml:space="preserve"> are identified in the literature</w:t>
      </w:r>
      <w:r w:rsidR="0033300C" w:rsidRPr="00211EB6">
        <w:t xml:space="preserve"> and based on the responses to Annex F information request (Canada and India). The alternatives are used on a range of crops and in various geographical regions. </w:t>
      </w:r>
      <w:r w:rsidR="00B346FD" w:rsidRPr="00211EB6">
        <w:t>Some of the alternatives meet the FAO/WHO criteria for a Highly Hazardous Pesticide</w:t>
      </w:r>
      <w:r w:rsidR="008F09CD" w:rsidRPr="00211EB6">
        <w:t>.</w:t>
      </w:r>
      <w:r w:rsidR="00B346FD" w:rsidRPr="00211EB6">
        <w:rPr>
          <w:rStyle w:val="FootnoteReference"/>
        </w:rPr>
        <w:footnoteReference w:id="14"/>
      </w:r>
      <w:r w:rsidR="00B346FD" w:rsidRPr="00211EB6">
        <w:t xml:space="preserve">  </w:t>
      </w:r>
      <w:r w:rsidR="0033300C" w:rsidRPr="00211EB6">
        <w:t>Table 2.</w:t>
      </w:r>
      <w:r w:rsidR="00AA7273" w:rsidRPr="00211EB6">
        <w:t xml:space="preserve">3 </w:t>
      </w:r>
      <w:r w:rsidR="0033300C" w:rsidRPr="00211EB6">
        <w:t xml:space="preserve">provides an overview of the chemical alternatives to </w:t>
      </w:r>
      <w:proofErr w:type="spellStart"/>
      <w:r w:rsidR="0033300C" w:rsidRPr="00211EB6">
        <w:t>dicofol</w:t>
      </w:r>
      <w:proofErr w:type="spellEnd"/>
      <w:r w:rsidR="0033300C" w:rsidRPr="00211EB6">
        <w:t xml:space="preserve"> as reported in the Annex F response, including those described above.</w:t>
      </w:r>
    </w:p>
    <w:p w14:paraId="068876DA" w14:textId="3CE49462" w:rsidR="00933089" w:rsidRPr="00211EB6" w:rsidRDefault="00933089" w:rsidP="008C6BCB">
      <w:pPr>
        <w:pStyle w:val="Normalnumber"/>
        <w:numPr>
          <w:ilvl w:val="0"/>
          <w:numId w:val="34"/>
        </w:numPr>
        <w:tabs>
          <w:tab w:val="clear" w:pos="1440"/>
        </w:tabs>
        <w:ind w:left="0" w:firstLine="0"/>
      </w:pPr>
      <w:r w:rsidRPr="00211EB6">
        <w:t>The alternatives reported by Canada are available and accessible in Canada and have been evaluated for their human health and environmental safety. They are considered to be technically feasible by Canada.</w:t>
      </w:r>
    </w:p>
    <w:p w14:paraId="734F7E3C" w14:textId="32958C45" w:rsidR="0033300C" w:rsidRPr="00211EB6" w:rsidRDefault="0033300C" w:rsidP="002A4DD1">
      <w:pPr>
        <w:pStyle w:val="Paralevel1"/>
        <w:numPr>
          <w:ilvl w:val="0"/>
          <w:numId w:val="0"/>
        </w:numPr>
        <w:rPr>
          <w:b/>
          <w:lang w:val="en-GB"/>
        </w:rPr>
      </w:pPr>
      <w:r w:rsidRPr="00211EB6">
        <w:rPr>
          <w:b/>
          <w:lang w:val="en-GB"/>
        </w:rPr>
        <w:t>Table 2.</w:t>
      </w:r>
      <w:r w:rsidR="00955776" w:rsidRPr="00211EB6">
        <w:rPr>
          <w:b/>
          <w:lang w:val="en-GB"/>
        </w:rPr>
        <w:t>3</w:t>
      </w:r>
      <w:r w:rsidR="00955776" w:rsidRPr="00211EB6">
        <w:rPr>
          <w:b/>
          <w:lang w:val="en-GB"/>
        </w:rPr>
        <w:tab/>
      </w:r>
      <w:r w:rsidRPr="00211EB6">
        <w:rPr>
          <w:b/>
          <w:lang w:val="en-GB"/>
        </w:rPr>
        <w:t>Overview of chemical alternatives reported in responses to the Annex F information request</w:t>
      </w:r>
      <w:r w:rsidR="008F6B23" w:rsidRPr="00211EB6">
        <w:rPr>
          <w:b/>
          <w:lang w:val="en-GB"/>
        </w:rPr>
        <w:t xml:space="preserve"> and a summary of the GHS classification of hazards</w:t>
      </w:r>
    </w:p>
    <w:tbl>
      <w:tblPr>
        <w:tblStyle w:val="TableGrid"/>
        <w:tblW w:w="9367" w:type="dxa"/>
        <w:tblLook w:val="04A0" w:firstRow="1" w:lastRow="0" w:firstColumn="1" w:lastColumn="0" w:noHBand="0" w:noVBand="1"/>
      </w:tblPr>
      <w:tblGrid>
        <w:gridCol w:w="1758"/>
        <w:gridCol w:w="2223"/>
        <w:gridCol w:w="5386"/>
      </w:tblGrid>
      <w:tr w:rsidR="00005B88" w:rsidRPr="00211EB6" w14:paraId="78BB795F" w14:textId="77777777" w:rsidTr="0078079D">
        <w:trPr>
          <w:trHeight w:hRule="exact" w:val="902"/>
          <w:tblHeader/>
        </w:trPr>
        <w:tc>
          <w:tcPr>
            <w:tcW w:w="1758" w:type="dxa"/>
            <w:shd w:val="clear" w:color="auto" w:fill="D9D9D9" w:themeFill="background1" w:themeFillShade="D9"/>
          </w:tcPr>
          <w:p w14:paraId="4BAABA55" w14:textId="77777777" w:rsidR="00005B88" w:rsidRPr="00211EB6" w:rsidRDefault="00005B88" w:rsidP="002A4DD1">
            <w:pPr>
              <w:pStyle w:val="Paralevel1"/>
              <w:numPr>
                <w:ilvl w:val="0"/>
                <w:numId w:val="0"/>
              </w:numPr>
              <w:rPr>
                <w:b/>
                <w:lang w:val="en-GB"/>
              </w:rPr>
            </w:pPr>
            <w:r w:rsidRPr="00211EB6">
              <w:rPr>
                <w:b/>
                <w:lang w:val="en-GB"/>
              </w:rPr>
              <w:t xml:space="preserve">Chemical alternative to </w:t>
            </w:r>
            <w:proofErr w:type="spellStart"/>
            <w:r w:rsidRPr="00211EB6">
              <w:rPr>
                <w:b/>
                <w:lang w:val="en-GB"/>
              </w:rPr>
              <w:t>dicofol</w:t>
            </w:r>
            <w:proofErr w:type="spellEnd"/>
          </w:p>
        </w:tc>
        <w:tc>
          <w:tcPr>
            <w:tcW w:w="2223" w:type="dxa"/>
            <w:shd w:val="clear" w:color="auto" w:fill="D9D9D9" w:themeFill="background1" w:themeFillShade="D9"/>
          </w:tcPr>
          <w:p w14:paraId="6FBB3681" w14:textId="277E6787" w:rsidR="00005B88" w:rsidRPr="00211EB6" w:rsidRDefault="00005B88" w:rsidP="002A4DD1">
            <w:pPr>
              <w:pStyle w:val="Paralevel1"/>
              <w:numPr>
                <w:ilvl w:val="0"/>
                <w:numId w:val="0"/>
              </w:numPr>
              <w:rPr>
                <w:b/>
                <w:lang w:val="en-GB"/>
              </w:rPr>
            </w:pPr>
            <w:r w:rsidRPr="00211EB6">
              <w:rPr>
                <w:b/>
                <w:lang w:val="en-GB"/>
              </w:rPr>
              <w:t xml:space="preserve">Reported </w:t>
            </w:r>
            <w:r w:rsidR="00793F96" w:rsidRPr="00211EB6">
              <w:rPr>
                <w:b/>
                <w:lang w:val="en-GB"/>
              </w:rPr>
              <w:t xml:space="preserve">as an alternative </w:t>
            </w:r>
            <w:r w:rsidRPr="00211EB6">
              <w:rPr>
                <w:b/>
                <w:lang w:val="en-GB"/>
              </w:rPr>
              <w:t xml:space="preserve">by </w:t>
            </w:r>
            <w:r w:rsidR="00793F96" w:rsidRPr="00211EB6">
              <w:rPr>
                <w:b/>
                <w:lang w:val="en-GB"/>
              </w:rPr>
              <w:t xml:space="preserve">Parties and Observers </w:t>
            </w:r>
            <w:r w:rsidRPr="00211EB6">
              <w:rPr>
                <w:b/>
                <w:lang w:val="en-GB"/>
              </w:rPr>
              <w:t>(Annex F</w:t>
            </w:r>
            <w:r w:rsidR="00793F96" w:rsidRPr="00211EB6">
              <w:rPr>
                <w:b/>
                <w:lang w:val="en-GB"/>
              </w:rPr>
              <w:t xml:space="preserve"> Survey</w:t>
            </w:r>
            <w:r w:rsidRPr="00211EB6">
              <w:rPr>
                <w:b/>
                <w:lang w:val="en-GB"/>
              </w:rPr>
              <w:t>)</w:t>
            </w:r>
          </w:p>
        </w:tc>
        <w:tc>
          <w:tcPr>
            <w:tcW w:w="5386" w:type="dxa"/>
            <w:shd w:val="clear" w:color="auto" w:fill="D9D9D9" w:themeFill="background1" w:themeFillShade="D9"/>
          </w:tcPr>
          <w:p w14:paraId="7C26D4B7" w14:textId="5E5B6132" w:rsidR="00005B88" w:rsidRPr="00211EB6" w:rsidRDefault="00005B88" w:rsidP="002A4DD1">
            <w:pPr>
              <w:pStyle w:val="Paralevel1"/>
              <w:numPr>
                <w:ilvl w:val="0"/>
                <w:numId w:val="0"/>
              </w:numPr>
              <w:rPr>
                <w:b/>
                <w:lang w:val="en-GB"/>
              </w:rPr>
            </w:pPr>
            <w:r w:rsidRPr="00211EB6">
              <w:rPr>
                <w:b/>
                <w:lang w:val="en-GB"/>
              </w:rPr>
              <w:t xml:space="preserve">Global </w:t>
            </w:r>
            <w:r w:rsidR="008D5B48" w:rsidRPr="00211EB6">
              <w:rPr>
                <w:b/>
                <w:lang w:val="en-GB"/>
              </w:rPr>
              <w:t>Harmonized</w:t>
            </w:r>
            <w:r w:rsidRPr="00211EB6">
              <w:rPr>
                <w:b/>
                <w:lang w:val="en-GB"/>
              </w:rPr>
              <w:t xml:space="preserve"> System (GHS)</w:t>
            </w:r>
            <w:r w:rsidR="00793F96" w:rsidRPr="00211EB6">
              <w:rPr>
                <w:rStyle w:val="FootnoteReference"/>
                <w:b/>
                <w:lang w:val="en-GB"/>
              </w:rPr>
              <w:footnoteReference w:id="15"/>
            </w:r>
            <w:r w:rsidRPr="00211EB6">
              <w:rPr>
                <w:b/>
                <w:lang w:val="en-GB"/>
              </w:rPr>
              <w:t xml:space="preserve"> </w:t>
            </w:r>
            <w:r w:rsidR="00793F96" w:rsidRPr="00211EB6">
              <w:rPr>
                <w:b/>
                <w:lang w:val="en-GB"/>
              </w:rPr>
              <w:t>hazard classifications</w:t>
            </w:r>
            <w:r w:rsidRPr="00211EB6">
              <w:rPr>
                <w:b/>
                <w:lang w:val="en-GB"/>
              </w:rPr>
              <w:t>–</w:t>
            </w:r>
          </w:p>
        </w:tc>
      </w:tr>
      <w:tr w:rsidR="00005B88" w:rsidRPr="00211EB6" w14:paraId="6386079D" w14:textId="77777777" w:rsidTr="00793F96">
        <w:trPr>
          <w:trHeight w:hRule="exact" w:val="1269"/>
        </w:trPr>
        <w:tc>
          <w:tcPr>
            <w:tcW w:w="1758" w:type="dxa"/>
          </w:tcPr>
          <w:p w14:paraId="4B2C2C52" w14:textId="77777777" w:rsidR="00005B88" w:rsidRPr="00211EB6" w:rsidRDefault="00005B88" w:rsidP="002A4DD1">
            <w:pPr>
              <w:pStyle w:val="Paralevel1"/>
              <w:numPr>
                <w:ilvl w:val="0"/>
                <w:numId w:val="0"/>
              </w:numPr>
              <w:rPr>
                <w:lang w:val="en-GB"/>
              </w:rPr>
            </w:pPr>
            <w:proofErr w:type="spellStart"/>
            <w:r w:rsidRPr="00211EB6">
              <w:rPr>
                <w:lang w:val="en-GB"/>
              </w:rPr>
              <w:t>Abamectin</w:t>
            </w:r>
            <w:proofErr w:type="spellEnd"/>
          </w:p>
        </w:tc>
        <w:tc>
          <w:tcPr>
            <w:tcW w:w="2223" w:type="dxa"/>
          </w:tcPr>
          <w:p w14:paraId="78AD1489" w14:textId="77777777" w:rsidR="00005B88" w:rsidRPr="00211EB6" w:rsidRDefault="00005B88" w:rsidP="002A4DD1">
            <w:pPr>
              <w:pStyle w:val="Paralevel1"/>
              <w:numPr>
                <w:ilvl w:val="0"/>
                <w:numId w:val="0"/>
              </w:numPr>
              <w:rPr>
                <w:lang w:val="en-GB"/>
              </w:rPr>
            </w:pPr>
            <w:r w:rsidRPr="00211EB6">
              <w:rPr>
                <w:lang w:val="en-GB"/>
              </w:rPr>
              <w:t>India (</w:t>
            </w:r>
            <w:proofErr w:type="spellStart"/>
            <w:r w:rsidRPr="00211EB6">
              <w:rPr>
                <w:lang w:val="en-GB"/>
              </w:rPr>
              <w:t>Abamectin</w:t>
            </w:r>
            <w:proofErr w:type="spellEnd"/>
            <w:r w:rsidRPr="00211EB6">
              <w:rPr>
                <w:lang w:val="en-GB"/>
              </w:rPr>
              <w:t xml:space="preserve"> technical)</w:t>
            </w:r>
          </w:p>
        </w:tc>
        <w:tc>
          <w:tcPr>
            <w:tcW w:w="5386" w:type="dxa"/>
          </w:tcPr>
          <w:p w14:paraId="22F9C84D" w14:textId="77777777" w:rsidR="00005B88" w:rsidRPr="00211EB6" w:rsidRDefault="00005B88" w:rsidP="002A4DD1">
            <w:pPr>
              <w:pStyle w:val="Paralevel1"/>
              <w:numPr>
                <w:ilvl w:val="0"/>
                <w:numId w:val="0"/>
              </w:numPr>
              <w:rPr>
                <w:lang w:val="en-GB"/>
              </w:rPr>
            </w:pPr>
            <w:r w:rsidRPr="00211EB6">
              <w:rPr>
                <w:lang w:val="en-GB"/>
              </w:rPr>
              <w:t>H300 - Fatal if swallowed; H330 - Fatal if inhaled; H361d - Suspected of damaging the unborn child; H372 - causes damage to organs through prolonged or repeated exposure; H400 - Very toxic to aquatic life; H410 - very toxic to aquatic life with long lasting effects.</w:t>
            </w:r>
          </w:p>
        </w:tc>
      </w:tr>
      <w:tr w:rsidR="00005B88" w:rsidRPr="00211EB6" w14:paraId="3E5586D9" w14:textId="77777777" w:rsidTr="00005B88">
        <w:trPr>
          <w:trHeight w:hRule="exact" w:val="993"/>
        </w:trPr>
        <w:tc>
          <w:tcPr>
            <w:tcW w:w="1758" w:type="dxa"/>
          </w:tcPr>
          <w:p w14:paraId="27DF037A" w14:textId="77777777" w:rsidR="00005B88" w:rsidRPr="00211EB6" w:rsidRDefault="00005B88" w:rsidP="002A4DD1">
            <w:pPr>
              <w:pStyle w:val="Paralevel1"/>
              <w:numPr>
                <w:ilvl w:val="0"/>
                <w:numId w:val="0"/>
              </w:numPr>
              <w:rPr>
                <w:lang w:val="en-GB"/>
              </w:rPr>
            </w:pPr>
            <w:proofErr w:type="spellStart"/>
            <w:r w:rsidRPr="00211EB6">
              <w:rPr>
                <w:lang w:val="en-GB"/>
              </w:rPr>
              <w:t>Acequinocyl</w:t>
            </w:r>
            <w:proofErr w:type="spellEnd"/>
            <w:r w:rsidRPr="00211EB6">
              <w:rPr>
                <w:lang w:val="en-GB"/>
              </w:rPr>
              <w:t xml:space="preserve"> </w:t>
            </w:r>
          </w:p>
        </w:tc>
        <w:tc>
          <w:tcPr>
            <w:tcW w:w="2223" w:type="dxa"/>
          </w:tcPr>
          <w:p w14:paraId="3195394F"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44C46B4F" w14:textId="77777777" w:rsidR="00005B88" w:rsidRPr="00211EB6" w:rsidRDefault="00005B88" w:rsidP="002A4DD1">
            <w:pPr>
              <w:pStyle w:val="Paralevel1"/>
              <w:numPr>
                <w:ilvl w:val="0"/>
                <w:numId w:val="0"/>
              </w:numPr>
              <w:rPr>
                <w:lang w:val="en-GB"/>
              </w:rPr>
            </w:pPr>
            <w:r w:rsidRPr="00211EB6">
              <w:rPr>
                <w:lang w:val="en-GB"/>
              </w:rPr>
              <w:t>H317 - May cause an allergic skin reaction; H370 (lung) (inhalation) - Causes damage to organs; H373 (blood system) - May cause damage to organs; H400 - Very toxic to aquatic life; H410 - very toxic to aquatic life with long lasting effects.</w:t>
            </w:r>
          </w:p>
        </w:tc>
      </w:tr>
      <w:tr w:rsidR="00005B88" w:rsidRPr="00211EB6" w14:paraId="16504D6F" w14:textId="77777777" w:rsidTr="00005B88">
        <w:trPr>
          <w:trHeight w:hRule="exact" w:val="714"/>
        </w:trPr>
        <w:tc>
          <w:tcPr>
            <w:tcW w:w="1758" w:type="dxa"/>
          </w:tcPr>
          <w:p w14:paraId="722301CE" w14:textId="77777777" w:rsidR="00005B88" w:rsidRPr="00211EB6" w:rsidRDefault="00005B88" w:rsidP="002A4DD1">
            <w:pPr>
              <w:pStyle w:val="Paralevel1"/>
              <w:numPr>
                <w:ilvl w:val="0"/>
                <w:numId w:val="0"/>
              </w:numPr>
              <w:rPr>
                <w:lang w:val="en-GB"/>
              </w:rPr>
            </w:pPr>
            <w:proofErr w:type="spellStart"/>
            <w:r w:rsidRPr="00211EB6">
              <w:rPr>
                <w:lang w:val="en-GB"/>
              </w:rPr>
              <w:t>Bifenzate</w:t>
            </w:r>
            <w:proofErr w:type="spellEnd"/>
          </w:p>
        </w:tc>
        <w:tc>
          <w:tcPr>
            <w:tcW w:w="2223" w:type="dxa"/>
          </w:tcPr>
          <w:p w14:paraId="440926E9"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2E2681DA" w14:textId="77777777" w:rsidR="00005B88" w:rsidRPr="00211EB6" w:rsidRDefault="00005B88" w:rsidP="002A4DD1">
            <w:pPr>
              <w:pStyle w:val="Paralevel1"/>
              <w:numPr>
                <w:ilvl w:val="0"/>
                <w:numId w:val="0"/>
              </w:numPr>
              <w:rPr>
                <w:lang w:val="en-GB"/>
              </w:rPr>
            </w:pPr>
            <w:r w:rsidRPr="00211EB6">
              <w:rPr>
                <w:lang w:val="en-GB"/>
              </w:rPr>
              <w:t>H317 - May cause an allergic skin reaction; H373 - May cause damage to organs; H400 - Very toxic to aquatic life; H410 - very toxic to aquatic life with long lasting effects.</w:t>
            </w:r>
          </w:p>
        </w:tc>
      </w:tr>
      <w:tr w:rsidR="00005B88" w:rsidRPr="00211EB6" w14:paraId="33097411" w14:textId="77777777" w:rsidTr="00005B88">
        <w:trPr>
          <w:trHeight w:hRule="exact" w:val="692"/>
        </w:trPr>
        <w:tc>
          <w:tcPr>
            <w:tcW w:w="1758" w:type="dxa"/>
          </w:tcPr>
          <w:p w14:paraId="21B74882" w14:textId="77777777" w:rsidR="00005B88" w:rsidRPr="00211EB6" w:rsidRDefault="00005B88" w:rsidP="002A4DD1">
            <w:pPr>
              <w:pStyle w:val="Paralevel1"/>
              <w:numPr>
                <w:ilvl w:val="0"/>
                <w:numId w:val="0"/>
              </w:numPr>
              <w:rPr>
                <w:lang w:val="en-GB"/>
              </w:rPr>
            </w:pPr>
            <w:proofErr w:type="spellStart"/>
            <w:r w:rsidRPr="00211EB6">
              <w:rPr>
                <w:lang w:val="en-GB"/>
              </w:rPr>
              <w:t>Cyflumetofen</w:t>
            </w:r>
            <w:proofErr w:type="spellEnd"/>
            <w:r w:rsidRPr="00211EB6">
              <w:rPr>
                <w:lang w:val="en-GB"/>
              </w:rPr>
              <w:t xml:space="preserve"> </w:t>
            </w:r>
          </w:p>
        </w:tc>
        <w:tc>
          <w:tcPr>
            <w:tcW w:w="2223" w:type="dxa"/>
          </w:tcPr>
          <w:p w14:paraId="0F656B03"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40C70604" w14:textId="77777777" w:rsidR="00005B88" w:rsidRPr="00211EB6" w:rsidRDefault="00005B88" w:rsidP="002A4DD1">
            <w:pPr>
              <w:pStyle w:val="Paralevel1"/>
              <w:numPr>
                <w:ilvl w:val="0"/>
                <w:numId w:val="0"/>
              </w:numPr>
              <w:rPr>
                <w:lang w:val="en-GB"/>
              </w:rPr>
            </w:pPr>
            <w:r w:rsidRPr="00211EB6">
              <w:rPr>
                <w:lang w:val="en-GB"/>
              </w:rPr>
              <w:t>H300 - Fatal if swallowed; H331 - Toxic if inhaled; H400 - Very toxic to aquatic life; H410 - very toxic to aquatic life with long lasting effects.</w:t>
            </w:r>
          </w:p>
          <w:p w14:paraId="2E3E9C93" w14:textId="77777777" w:rsidR="00005B88" w:rsidRPr="00211EB6" w:rsidRDefault="00005B88" w:rsidP="002A4DD1">
            <w:pPr>
              <w:pStyle w:val="Paralevel1"/>
              <w:rPr>
                <w:lang w:val="en-GB"/>
              </w:rPr>
            </w:pPr>
            <w:r w:rsidRPr="00211EB6">
              <w:rPr>
                <w:lang w:val="en-GB"/>
              </w:rPr>
              <w:t>"</w:t>
            </w:r>
          </w:p>
        </w:tc>
      </w:tr>
      <w:tr w:rsidR="00005B88" w:rsidRPr="00211EB6" w14:paraId="0699E456" w14:textId="77777777" w:rsidTr="00005B88">
        <w:trPr>
          <w:trHeight w:hRule="exact" w:val="575"/>
        </w:trPr>
        <w:tc>
          <w:tcPr>
            <w:tcW w:w="1758" w:type="dxa"/>
          </w:tcPr>
          <w:p w14:paraId="0CB680A7" w14:textId="142F7F82" w:rsidR="00005B88" w:rsidRPr="00211EB6" w:rsidRDefault="00005B88" w:rsidP="002A4DD1">
            <w:pPr>
              <w:pStyle w:val="Paralevel1"/>
              <w:numPr>
                <w:ilvl w:val="0"/>
                <w:numId w:val="0"/>
              </w:numPr>
              <w:rPr>
                <w:lang w:val="en-GB"/>
              </w:rPr>
            </w:pPr>
            <w:proofErr w:type="spellStart"/>
            <w:r w:rsidRPr="00211EB6">
              <w:rPr>
                <w:lang w:val="en-GB"/>
              </w:rPr>
              <w:t>Etoxazole</w:t>
            </w:r>
            <w:proofErr w:type="spellEnd"/>
            <w:r w:rsidRPr="00211EB6">
              <w:rPr>
                <w:lang w:val="en-GB"/>
              </w:rPr>
              <w:t xml:space="preserve"> </w:t>
            </w:r>
          </w:p>
        </w:tc>
        <w:tc>
          <w:tcPr>
            <w:tcW w:w="2223" w:type="dxa"/>
          </w:tcPr>
          <w:p w14:paraId="50723D4A"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49A629AE" w14:textId="77777777" w:rsidR="00005B88" w:rsidRPr="00211EB6" w:rsidRDefault="00005B88" w:rsidP="002A4DD1">
            <w:pPr>
              <w:pStyle w:val="Paralevel1"/>
              <w:numPr>
                <w:ilvl w:val="0"/>
                <w:numId w:val="0"/>
              </w:numPr>
              <w:rPr>
                <w:lang w:val="en-GB"/>
              </w:rPr>
            </w:pPr>
            <w:r w:rsidRPr="00211EB6">
              <w:rPr>
                <w:lang w:val="en-GB"/>
              </w:rPr>
              <w:t>H400 - Very toxic to aquatic life; H410 - very toxic to aquatic life with long lasting effects.</w:t>
            </w:r>
          </w:p>
        </w:tc>
      </w:tr>
      <w:tr w:rsidR="00005B88" w:rsidRPr="00211EB6" w14:paraId="0352BC37" w14:textId="77777777" w:rsidTr="00005B88">
        <w:trPr>
          <w:trHeight w:hRule="exact" w:val="710"/>
        </w:trPr>
        <w:tc>
          <w:tcPr>
            <w:tcW w:w="1758" w:type="dxa"/>
          </w:tcPr>
          <w:p w14:paraId="58D96ED6" w14:textId="77777777" w:rsidR="00005B88" w:rsidRPr="00211EB6" w:rsidRDefault="00005B88" w:rsidP="002A4DD1">
            <w:pPr>
              <w:pStyle w:val="Paralevel1"/>
              <w:numPr>
                <w:ilvl w:val="0"/>
                <w:numId w:val="0"/>
              </w:numPr>
              <w:rPr>
                <w:lang w:val="en-GB"/>
              </w:rPr>
            </w:pPr>
            <w:proofErr w:type="spellStart"/>
            <w:r w:rsidRPr="00211EB6">
              <w:rPr>
                <w:lang w:val="en-GB"/>
              </w:rPr>
              <w:t>Fenazaquin</w:t>
            </w:r>
            <w:proofErr w:type="spellEnd"/>
            <w:r w:rsidRPr="00211EB6">
              <w:rPr>
                <w:lang w:val="en-GB"/>
              </w:rPr>
              <w:t xml:space="preserve"> </w:t>
            </w:r>
          </w:p>
        </w:tc>
        <w:tc>
          <w:tcPr>
            <w:tcW w:w="2223" w:type="dxa"/>
          </w:tcPr>
          <w:p w14:paraId="287DFF68" w14:textId="77777777" w:rsidR="00005B88" w:rsidRPr="00211EB6" w:rsidRDefault="00005B88" w:rsidP="002A4DD1">
            <w:pPr>
              <w:pStyle w:val="Paralevel1"/>
              <w:numPr>
                <w:ilvl w:val="0"/>
                <w:numId w:val="0"/>
              </w:numPr>
              <w:rPr>
                <w:lang w:val="en-GB"/>
              </w:rPr>
            </w:pPr>
            <w:r w:rsidRPr="00211EB6">
              <w:rPr>
                <w:lang w:val="en-GB"/>
              </w:rPr>
              <w:t>India (Magister 10% EC)</w:t>
            </w:r>
          </w:p>
        </w:tc>
        <w:tc>
          <w:tcPr>
            <w:tcW w:w="5386" w:type="dxa"/>
          </w:tcPr>
          <w:p w14:paraId="04BBEF55" w14:textId="77777777" w:rsidR="00005B88" w:rsidRPr="00211EB6" w:rsidRDefault="00005B88" w:rsidP="002A4DD1">
            <w:pPr>
              <w:pStyle w:val="Paralevel1"/>
              <w:numPr>
                <w:ilvl w:val="0"/>
                <w:numId w:val="0"/>
              </w:numPr>
              <w:rPr>
                <w:lang w:val="en-GB"/>
              </w:rPr>
            </w:pPr>
            <w:r w:rsidRPr="00211EB6">
              <w:rPr>
                <w:lang w:val="en-GB"/>
              </w:rPr>
              <w:t>H301 - Toxic if swallowed; H332 - Harmful if inhaled; H400 - Very toxic to aquatic life; H410 - very toxic to aquatic life with long lasting effects.</w:t>
            </w:r>
          </w:p>
          <w:p w14:paraId="38D94C59" w14:textId="77777777" w:rsidR="00005B88" w:rsidRPr="00211EB6" w:rsidRDefault="00005B88" w:rsidP="002A4DD1">
            <w:pPr>
              <w:pStyle w:val="Paralevel1"/>
              <w:rPr>
                <w:lang w:val="en-GB"/>
              </w:rPr>
            </w:pPr>
            <w:r w:rsidRPr="00211EB6">
              <w:rPr>
                <w:lang w:val="en-GB"/>
              </w:rPr>
              <w:t>"</w:t>
            </w:r>
          </w:p>
        </w:tc>
      </w:tr>
      <w:tr w:rsidR="00005B88" w:rsidRPr="00211EB6" w14:paraId="6231F952" w14:textId="77777777" w:rsidTr="00005B88">
        <w:trPr>
          <w:trHeight w:hRule="exact" w:val="706"/>
        </w:trPr>
        <w:tc>
          <w:tcPr>
            <w:tcW w:w="1758" w:type="dxa"/>
          </w:tcPr>
          <w:p w14:paraId="180B4135" w14:textId="77777777" w:rsidR="00005B88" w:rsidRPr="00211EB6" w:rsidRDefault="00005B88" w:rsidP="002A4DD1">
            <w:pPr>
              <w:pStyle w:val="Paralevel1"/>
              <w:numPr>
                <w:ilvl w:val="0"/>
                <w:numId w:val="0"/>
              </w:numPr>
              <w:rPr>
                <w:lang w:val="en-GB"/>
              </w:rPr>
            </w:pPr>
            <w:proofErr w:type="spellStart"/>
            <w:r w:rsidRPr="00211EB6">
              <w:rPr>
                <w:lang w:val="en-GB"/>
              </w:rPr>
              <w:t>Fenbutatin</w:t>
            </w:r>
            <w:proofErr w:type="spellEnd"/>
            <w:r w:rsidRPr="00211EB6">
              <w:rPr>
                <w:lang w:val="en-GB"/>
              </w:rPr>
              <w:t xml:space="preserve"> oxide</w:t>
            </w:r>
          </w:p>
        </w:tc>
        <w:tc>
          <w:tcPr>
            <w:tcW w:w="2223" w:type="dxa"/>
          </w:tcPr>
          <w:p w14:paraId="02D13CB7"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3012F446" w14:textId="77777777" w:rsidR="00005B88" w:rsidRPr="00211EB6" w:rsidRDefault="00005B88" w:rsidP="002A4DD1">
            <w:pPr>
              <w:pStyle w:val="Paralevel1"/>
              <w:numPr>
                <w:ilvl w:val="0"/>
                <w:numId w:val="0"/>
              </w:numPr>
              <w:rPr>
                <w:lang w:val="en-GB"/>
              </w:rPr>
            </w:pPr>
            <w:r w:rsidRPr="00211EB6">
              <w:rPr>
                <w:lang w:val="en-GB"/>
              </w:rPr>
              <w:t>H315 - Causes skin irritation; H319 - Serious eye irritation; H330 - Fatal if inhaled; H400 - Very toxic to aquatic life; H410 - very toxic to aquatic life with long lasting effects.</w:t>
            </w:r>
          </w:p>
        </w:tc>
      </w:tr>
      <w:tr w:rsidR="00005B88" w:rsidRPr="00211EB6" w14:paraId="328983C3" w14:textId="77777777" w:rsidTr="00005B88">
        <w:trPr>
          <w:trHeight w:hRule="exact" w:val="712"/>
        </w:trPr>
        <w:tc>
          <w:tcPr>
            <w:tcW w:w="1758" w:type="dxa"/>
          </w:tcPr>
          <w:p w14:paraId="3236B21B" w14:textId="77777777" w:rsidR="00005B88" w:rsidRPr="00211EB6" w:rsidRDefault="00005B88" w:rsidP="002A4DD1">
            <w:pPr>
              <w:pStyle w:val="Paralevel1"/>
              <w:numPr>
                <w:ilvl w:val="0"/>
                <w:numId w:val="0"/>
              </w:numPr>
              <w:rPr>
                <w:lang w:val="en-GB"/>
              </w:rPr>
            </w:pPr>
            <w:proofErr w:type="spellStart"/>
            <w:r w:rsidRPr="00211EB6">
              <w:rPr>
                <w:lang w:val="en-GB"/>
              </w:rPr>
              <w:t>Fenpyroximate</w:t>
            </w:r>
            <w:proofErr w:type="spellEnd"/>
            <w:r w:rsidRPr="00211EB6">
              <w:rPr>
                <w:lang w:val="en-GB"/>
              </w:rPr>
              <w:t xml:space="preserve"> </w:t>
            </w:r>
          </w:p>
        </w:tc>
        <w:tc>
          <w:tcPr>
            <w:tcW w:w="2223" w:type="dxa"/>
          </w:tcPr>
          <w:p w14:paraId="775B7E30"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0C04E31D" w14:textId="77777777" w:rsidR="00005B88" w:rsidRPr="00211EB6" w:rsidRDefault="00005B88" w:rsidP="002A4DD1">
            <w:pPr>
              <w:pStyle w:val="Paralevel1"/>
              <w:numPr>
                <w:ilvl w:val="0"/>
                <w:numId w:val="0"/>
              </w:numPr>
              <w:rPr>
                <w:lang w:val="en-GB"/>
              </w:rPr>
            </w:pPr>
            <w:r w:rsidRPr="00211EB6">
              <w:rPr>
                <w:lang w:val="en-GB"/>
              </w:rPr>
              <w:t>H301 - Toxic if swallowed; H317 - May cause an allergic skin reaction; H330 - Fatal if inhaled; H400 - Very toxic to aquatic life; H410 - very toxic to aquatic life with long lasting effects.</w:t>
            </w:r>
          </w:p>
        </w:tc>
      </w:tr>
      <w:tr w:rsidR="00005B88" w:rsidRPr="00211EB6" w14:paraId="45E90FD9" w14:textId="77777777" w:rsidTr="00005B88">
        <w:trPr>
          <w:trHeight w:hRule="exact" w:val="737"/>
        </w:trPr>
        <w:tc>
          <w:tcPr>
            <w:tcW w:w="1758" w:type="dxa"/>
          </w:tcPr>
          <w:p w14:paraId="60909A77" w14:textId="77777777" w:rsidR="00005B88" w:rsidRPr="00211EB6" w:rsidRDefault="00005B88" w:rsidP="002A4DD1">
            <w:pPr>
              <w:pStyle w:val="Paralevel1"/>
              <w:numPr>
                <w:ilvl w:val="0"/>
                <w:numId w:val="0"/>
              </w:numPr>
              <w:rPr>
                <w:lang w:val="en-GB"/>
              </w:rPr>
            </w:pPr>
            <w:proofErr w:type="spellStart"/>
            <w:r w:rsidRPr="00211EB6">
              <w:rPr>
                <w:lang w:val="en-GB"/>
              </w:rPr>
              <w:t>Formetanate</w:t>
            </w:r>
            <w:proofErr w:type="spellEnd"/>
            <w:r w:rsidRPr="00211EB6">
              <w:rPr>
                <w:lang w:val="en-GB"/>
              </w:rPr>
              <w:t xml:space="preserve"> hydrochloride</w:t>
            </w:r>
          </w:p>
        </w:tc>
        <w:tc>
          <w:tcPr>
            <w:tcW w:w="2223" w:type="dxa"/>
          </w:tcPr>
          <w:p w14:paraId="2682C423"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01AB44B1" w14:textId="7B8F03DD" w:rsidR="00005B88" w:rsidRPr="00211EB6" w:rsidRDefault="00005B88" w:rsidP="002A4DD1">
            <w:pPr>
              <w:pStyle w:val="Paralevel1"/>
              <w:numPr>
                <w:ilvl w:val="0"/>
                <w:numId w:val="0"/>
              </w:numPr>
              <w:rPr>
                <w:lang w:val="en-GB"/>
              </w:rPr>
            </w:pPr>
            <w:r w:rsidRPr="00211EB6">
              <w:rPr>
                <w:lang w:val="en-GB"/>
              </w:rPr>
              <w:t>H300 - Fatal if swallowed; H317 - May cause an allergic skin reaction; H330 - Fatal if inhaled; H400 - Very toxic to aquatic life; H410 - very toxic to aq</w:t>
            </w:r>
            <w:r w:rsidR="00525047" w:rsidRPr="00211EB6">
              <w:rPr>
                <w:lang w:val="en-GB"/>
              </w:rPr>
              <w:t xml:space="preserve">uatic life with long lasting </w:t>
            </w:r>
            <w:proofErr w:type="spellStart"/>
            <w:r w:rsidRPr="00211EB6">
              <w:rPr>
                <w:lang w:val="en-GB"/>
              </w:rPr>
              <w:t>ects</w:t>
            </w:r>
            <w:proofErr w:type="spellEnd"/>
            <w:r w:rsidRPr="00211EB6">
              <w:rPr>
                <w:lang w:val="en-GB"/>
              </w:rPr>
              <w:t>.</w:t>
            </w:r>
          </w:p>
          <w:p w14:paraId="2276E2D7" w14:textId="77777777" w:rsidR="00005B88" w:rsidRPr="00211EB6" w:rsidRDefault="00005B88" w:rsidP="002A4DD1">
            <w:pPr>
              <w:pStyle w:val="Paralevel1"/>
              <w:rPr>
                <w:lang w:val="en-GB"/>
              </w:rPr>
            </w:pPr>
            <w:r w:rsidRPr="00211EB6">
              <w:rPr>
                <w:lang w:val="en-GB"/>
              </w:rPr>
              <w:t>"</w:t>
            </w:r>
          </w:p>
        </w:tc>
      </w:tr>
      <w:tr w:rsidR="00005B88" w:rsidRPr="00211EB6" w14:paraId="6A884024" w14:textId="77777777" w:rsidTr="00005B88">
        <w:trPr>
          <w:trHeight w:hRule="exact" w:val="990"/>
        </w:trPr>
        <w:tc>
          <w:tcPr>
            <w:tcW w:w="1758" w:type="dxa"/>
          </w:tcPr>
          <w:p w14:paraId="1911DC17" w14:textId="77777777" w:rsidR="00005B88" w:rsidRPr="00211EB6" w:rsidRDefault="00005B88" w:rsidP="002A4DD1">
            <w:pPr>
              <w:pStyle w:val="Paralevel1"/>
              <w:numPr>
                <w:ilvl w:val="0"/>
                <w:numId w:val="0"/>
              </w:numPr>
              <w:rPr>
                <w:lang w:val="en-GB"/>
              </w:rPr>
            </w:pPr>
            <w:proofErr w:type="spellStart"/>
            <w:r w:rsidRPr="00211EB6">
              <w:rPr>
                <w:lang w:val="en-GB"/>
              </w:rPr>
              <w:t>Propargite</w:t>
            </w:r>
            <w:proofErr w:type="spellEnd"/>
            <w:r w:rsidRPr="00211EB6">
              <w:rPr>
                <w:lang w:val="en-GB"/>
              </w:rPr>
              <w:t xml:space="preserve"> </w:t>
            </w:r>
          </w:p>
        </w:tc>
        <w:tc>
          <w:tcPr>
            <w:tcW w:w="2223" w:type="dxa"/>
          </w:tcPr>
          <w:p w14:paraId="5D35132E" w14:textId="77777777" w:rsidR="00005B88" w:rsidRPr="00211EB6" w:rsidRDefault="00005B88" w:rsidP="002A4DD1">
            <w:pPr>
              <w:pStyle w:val="Paralevel1"/>
              <w:numPr>
                <w:ilvl w:val="0"/>
                <w:numId w:val="0"/>
              </w:numPr>
              <w:rPr>
                <w:lang w:val="en-GB"/>
              </w:rPr>
            </w:pPr>
            <w:r w:rsidRPr="00211EB6">
              <w:rPr>
                <w:lang w:val="en-GB"/>
              </w:rPr>
              <w:t>India (</w:t>
            </w:r>
            <w:proofErr w:type="spellStart"/>
            <w:r w:rsidRPr="00211EB6">
              <w:rPr>
                <w:lang w:val="en-GB"/>
              </w:rPr>
              <w:t>Propargite</w:t>
            </w:r>
            <w:proofErr w:type="spellEnd"/>
            <w:r w:rsidRPr="00211EB6">
              <w:rPr>
                <w:lang w:val="en-GB"/>
              </w:rPr>
              <w:t xml:space="preserve"> 57% EC)</w:t>
            </w:r>
          </w:p>
        </w:tc>
        <w:tc>
          <w:tcPr>
            <w:tcW w:w="5386" w:type="dxa"/>
          </w:tcPr>
          <w:p w14:paraId="582DA7B9" w14:textId="77777777" w:rsidR="00005B88" w:rsidRPr="00211EB6" w:rsidRDefault="00005B88" w:rsidP="002A4DD1">
            <w:pPr>
              <w:pStyle w:val="Paralevel1"/>
              <w:numPr>
                <w:ilvl w:val="0"/>
                <w:numId w:val="0"/>
              </w:numPr>
              <w:rPr>
                <w:lang w:val="en-GB"/>
              </w:rPr>
            </w:pPr>
            <w:r w:rsidRPr="00211EB6">
              <w:rPr>
                <w:lang w:val="en-GB"/>
              </w:rPr>
              <w:t>H315 - Causes skin irritation; H318 - Causes serious eye damage; H331 - Toxic if inhaled; H351 - Suspected of causing cancer; H400 - Very toxic to aquatic life; H410 - very toxic to aquatic life with long lasting effects.</w:t>
            </w:r>
          </w:p>
        </w:tc>
      </w:tr>
      <w:tr w:rsidR="00005B88" w:rsidRPr="00211EB6" w14:paraId="0B9D58D5" w14:textId="77777777" w:rsidTr="00005B88">
        <w:trPr>
          <w:trHeight w:hRule="exact" w:val="714"/>
        </w:trPr>
        <w:tc>
          <w:tcPr>
            <w:tcW w:w="1758" w:type="dxa"/>
          </w:tcPr>
          <w:p w14:paraId="0811A06A" w14:textId="77777777" w:rsidR="00005B88" w:rsidRPr="00211EB6" w:rsidRDefault="00005B88" w:rsidP="002A4DD1">
            <w:pPr>
              <w:pStyle w:val="Paralevel1"/>
              <w:numPr>
                <w:ilvl w:val="0"/>
                <w:numId w:val="0"/>
              </w:numPr>
              <w:rPr>
                <w:lang w:val="en-GB"/>
              </w:rPr>
            </w:pPr>
            <w:proofErr w:type="spellStart"/>
            <w:r w:rsidRPr="00211EB6">
              <w:rPr>
                <w:lang w:val="en-GB"/>
              </w:rPr>
              <w:t>Pyridaben</w:t>
            </w:r>
            <w:proofErr w:type="spellEnd"/>
          </w:p>
        </w:tc>
        <w:tc>
          <w:tcPr>
            <w:tcW w:w="2223" w:type="dxa"/>
          </w:tcPr>
          <w:p w14:paraId="2743B53C"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6B8C9782" w14:textId="77777777" w:rsidR="00005B88" w:rsidRPr="00211EB6" w:rsidRDefault="00005B88" w:rsidP="002A4DD1">
            <w:pPr>
              <w:pStyle w:val="Paralevel1"/>
              <w:numPr>
                <w:ilvl w:val="0"/>
                <w:numId w:val="0"/>
              </w:numPr>
              <w:rPr>
                <w:lang w:val="en-GB"/>
              </w:rPr>
            </w:pPr>
            <w:r w:rsidRPr="00211EB6">
              <w:rPr>
                <w:lang w:val="en-GB"/>
              </w:rPr>
              <w:t>H301 - Toxic if swallowed; H331 - Toxic if inhaled; H400 - Very toxic to aquatic life; H410 - very toxic to aquatic life with long lasting effects.</w:t>
            </w:r>
          </w:p>
        </w:tc>
      </w:tr>
      <w:tr w:rsidR="00005B88" w:rsidRPr="00211EB6" w14:paraId="15B55C84" w14:textId="77777777" w:rsidTr="00347997">
        <w:trPr>
          <w:trHeight w:hRule="exact" w:val="828"/>
        </w:trPr>
        <w:tc>
          <w:tcPr>
            <w:tcW w:w="1758" w:type="dxa"/>
          </w:tcPr>
          <w:p w14:paraId="2E658792" w14:textId="77777777" w:rsidR="00005B88" w:rsidRPr="00211EB6" w:rsidRDefault="00005B88" w:rsidP="002A4DD1">
            <w:pPr>
              <w:pStyle w:val="Paralevel1"/>
              <w:numPr>
                <w:ilvl w:val="0"/>
                <w:numId w:val="0"/>
              </w:numPr>
              <w:rPr>
                <w:lang w:val="en-GB"/>
              </w:rPr>
            </w:pPr>
            <w:proofErr w:type="spellStart"/>
            <w:r w:rsidRPr="00211EB6">
              <w:rPr>
                <w:lang w:val="en-GB"/>
              </w:rPr>
              <w:t>Spirodiclofen</w:t>
            </w:r>
            <w:proofErr w:type="spellEnd"/>
            <w:r w:rsidRPr="00211EB6">
              <w:rPr>
                <w:lang w:val="en-GB"/>
              </w:rPr>
              <w:t xml:space="preserve"> </w:t>
            </w:r>
          </w:p>
        </w:tc>
        <w:tc>
          <w:tcPr>
            <w:tcW w:w="2223" w:type="dxa"/>
          </w:tcPr>
          <w:p w14:paraId="080EBB9E"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38404C21" w14:textId="38941E09" w:rsidR="00005B88" w:rsidRPr="00211EB6" w:rsidRDefault="00104AEA" w:rsidP="002A4DD1">
            <w:pPr>
              <w:pStyle w:val="Paralevel1"/>
              <w:numPr>
                <w:ilvl w:val="0"/>
                <w:numId w:val="0"/>
              </w:numPr>
              <w:rPr>
                <w:lang w:val="en-GB"/>
              </w:rPr>
            </w:pPr>
            <w:r w:rsidRPr="00211EB6">
              <w:rPr>
                <w:lang w:val="en-GB"/>
              </w:rPr>
              <w:t>317 - May cause an allergic skin reaction; H351 - Suspected of causing cancer; H410 - Very toxic to aquatic life with long lasting effects</w:t>
            </w:r>
            <w:r w:rsidR="00540E68" w:rsidRPr="00211EB6">
              <w:rPr>
                <w:rStyle w:val="FootnoteReference"/>
                <w:lang w:val="en-GB"/>
              </w:rPr>
              <w:footnoteReference w:id="16"/>
            </w:r>
            <w:r w:rsidRPr="00211EB6">
              <w:rPr>
                <w:lang w:val="en-GB"/>
              </w:rPr>
              <w:t>.</w:t>
            </w:r>
          </w:p>
        </w:tc>
      </w:tr>
      <w:tr w:rsidR="00005B88" w:rsidRPr="00211EB6" w14:paraId="31D5560F" w14:textId="77777777" w:rsidTr="00005B88">
        <w:trPr>
          <w:trHeight w:hRule="exact" w:val="284"/>
        </w:trPr>
        <w:tc>
          <w:tcPr>
            <w:tcW w:w="1758" w:type="dxa"/>
          </w:tcPr>
          <w:p w14:paraId="69AAF537" w14:textId="05F2A250" w:rsidR="00005B88" w:rsidRPr="00211EB6" w:rsidRDefault="00005B88" w:rsidP="002A4DD1">
            <w:pPr>
              <w:pStyle w:val="Paralevel1"/>
              <w:numPr>
                <w:ilvl w:val="0"/>
                <w:numId w:val="0"/>
              </w:numPr>
              <w:rPr>
                <w:lang w:val="en-GB"/>
              </w:rPr>
            </w:pPr>
            <w:proofErr w:type="spellStart"/>
            <w:r w:rsidRPr="00211EB6">
              <w:rPr>
                <w:lang w:val="en-GB"/>
              </w:rPr>
              <w:t>Spiromesifen</w:t>
            </w:r>
            <w:proofErr w:type="spellEnd"/>
            <w:r w:rsidRPr="00211EB6">
              <w:rPr>
                <w:lang w:val="en-GB"/>
              </w:rPr>
              <w:t xml:space="preserve"> </w:t>
            </w:r>
          </w:p>
        </w:tc>
        <w:tc>
          <w:tcPr>
            <w:tcW w:w="2223" w:type="dxa"/>
          </w:tcPr>
          <w:p w14:paraId="5E8E20D6" w14:textId="77777777" w:rsidR="00005B88" w:rsidRPr="00211EB6" w:rsidRDefault="00005B88" w:rsidP="002A4DD1">
            <w:pPr>
              <w:pStyle w:val="Paralevel1"/>
              <w:numPr>
                <w:ilvl w:val="0"/>
                <w:numId w:val="0"/>
              </w:numPr>
              <w:rPr>
                <w:lang w:val="en-GB"/>
              </w:rPr>
            </w:pPr>
            <w:r w:rsidRPr="00211EB6">
              <w:rPr>
                <w:lang w:val="en-GB"/>
              </w:rPr>
              <w:t>Canada</w:t>
            </w:r>
          </w:p>
        </w:tc>
        <w:tc>
          <w:tcPr>
            <w:tcW w:w="5386" w:type="dxa"/>
          </w:tcPr>
          <w:p w14:paraId="0D8E9420" w14:textId="392788BA" w:rsidR="00005B88" w:rsidRPr="00211EB6" w:rsidRDefault="00933089" w:rsidP="002A4DD1">
            <w:pPr>
              <w:pStyle w:val="Paralevel1"/>
              <w:numPr>
                <w:ilvl w:val="0"/>
                <w:numId w:val="0"/>
              </w:numPr>
              <w:rPr>
                <w:lang w:val="en-GB"/>
              </w:rPr>
            </w:pPr>
            <w:r w:rsidRPr="00211EB6">
              <w:rPr>
                <w:lang w:val="en-GB"/>
              </w:rPr>
              <w:t>H332 - Harmful if inhaled; H410 - Very toxic to aquatic life .with long lasting effects.</w:t>
            </w:r>
          </w:p>
        </w:tc>
      </w:tr>
      <w:tr w:rsidR="00005B88" w:rsidRPr="00211EB6" w14:paraId="0AA4655C" w14:textId="77777777" w:rsidTr="00793F96">
        <w:trPr>
          <w:trHeight w:hRule="exact" w:val="1230"/>
        </w:trPr>
        <w:tc>
          <w:tcPr>
            <w:tcW w:w="1758" w:type="dxa"/>
          </w:tcPr>
          <w:p w14:paraId="60534D65" w14:textId="77777777" w:rsidR="00005B88" w:rsidRPr="00211EB6" w:rsidRDefault="00005B88" w:rsidP="002A4DD1">
            <w:pPr>
              <w:pStyle w:val="Paralevel1"/>
              <w:numPr>
                <w:ilvl w:val="0"/>
                <w:numId w:val="0"/>
              </w:numPr>
              <w:rPr>
                <w:lang w:val="en-GB"/>
              </w:rPr>
            </w:pPr>
            <w:proofErr w:type="spellStart"/>
            <w:r w:rsidRPr="00211EB6">
              <w:rPr>
                <w:lang w:val="en-GB"/>
              </w:rPr>
              <w:t>Tebufenpyrad</w:t>
            </w:r>
            <w:proofErr w:type="spellEnd"/>
            <w:r w:rsidRPr="00211EB6">
              <w:rPr>
                <w:lang w:val="en-GB"/>
              </w:rPr>
              <w:t xml:space="preserve">  </w:t>
            </w:r>
          </w:p>
        </w:tc>
        <w:tc>
          <w:tcPr>
            <w:tcW w:w="2223" w:type="dxa"/>
          </w:tcPr>
          <w:p w14:paraId="76CD149F" w14:textId="77777777" w:rsidR="00005B88" w:rsidRPr="00211EB6" w:rsidRDefault="00005B88" w:rsidP="002A4DD1">
            <w:pPr>
              <w:pStyle w:val="Paralevel1"/>
              <w:numPr>
                <w:ilvl w:val="0"/>
                <w:numId w:val="0"/>
              </w:numPr>
              <w:rPr>
                <w:lang w:val="en-GB"/>
              </w:rPr>
            </w:pPr>
            <w:r w:rsidRPr="00211EB6">
              <w:rPr>
                <w:lang w:val="en-GB"/>
              </w:rPr>
              <w:t>India</w:t>
            </w:r>
          </w:p>
        </w:tc>
        <w:tc>
          <w:tcPr>
            <w:tcW w:w="5386" w:type="dxa"/>
          </w:tcPr>
          <w:p w14:paraId="349D1E69" w14:textId="77777777" w:rsidR="00005B88" w:rsidRPr="00211EB6" w:rsidRDefault="00005B88" w:rsidP="002A4DD1">
            <w:pPr>
              <w:pStyle w:val="Paralevel1"/>
              <w:numPr>
                <w:ilvl w:val="0"/>
                <w:numId w:val="0"/>
              </w:numPr>
              <w:rPr>
                <w:lang w:val="en-GB"/>
              </w:rPr>
            </w:pPr>
            <w:r w:rsidRPr="00211EB6">
              <w:rPr>
                <w:lang w:val="en-GB"/>
              </w:rPr>
              <w:t>H301 - Toxic if swallowed; H317 - May cause an allergic skin reaction; H332 - Harmful if inhaled; H373 (gastro-intestinal tract) (oral) - May cause damage to organs; H400 - Very toxic to aquatic life; H410 - very toxic to aquatic life with long lasting effects.</w:t>
            </w:r>
          </w:p>
        </w:tc>
      </w:tr>
    </w:tbl>
    <w:p w14:paraId="4A41DA25" w14:textId="3A698F65" w:rsidR="00C151FB" w:rsidRPr="00211EB6" w:rsidRDefault="00CA354E" w:rsidP="001E269C">
      <w:pPr>
        <w:pStyle w:val="Heading3"/>
      </w:pPr>
      <w:bookmarkStart w:id="31" w:name="_Ref473036069"/>
      <w:bookmarkStart w:id="32" w:name="_Toc483491461"/>
      <w:r w:rsidRPr="00211EB6">
        <w:t>Non-chemical alternatives</w:t>
      </w:r>
      <w:bookmarkEnd w:id="31"/>
      <w:bookmarkEnd w:id="32"/>
      <w:r w:rsidRPr="00211EB6">
        <w:t xml:space="preserve"> </w:t>
      </w:r>
    </w:p>
    <w:p w14:paraId="5B5A9F4C" w14:textId="026DDCAC" w:rsidR="00400690" w:rsidRPr="00211EB6" w:rsidRDefault="00104AEA" w:rsidP="008C6BCB">
      <w:pPr>
        <w:pStyle w:val="Normalnumber"/>
        <w:numPr>
          <w:ilvl w:val="0"/>
          <w:numId w:val="34"/>
        </w:numPr>
        <w:tabs>
          <w:tab w:val="clear" w:pos="1440"/>
        </w:tabs>
        <w:ind w:left="0" w:firstLine="0"/>
      </w:pPr>
      <w:r w:rsidRPr="00211EB6">
        <w:t xml:space="preserve">In line with the evaluation of alternatives to </w:t>
      </w:r>
      <w:proofErr w:type="spellStart"/>
      <w:r w:rsidRPr="00211EB6">
        <w:t>endosulfan</w:t>
      </w:r>
      <w:proofErr w:type="spellEnd"/>
      <w:r w:rsidRPr="00211EB6">
        <w:t xml:space="preserve"> (POPRC-8/6: Assessment of alternatives to </w:t>
      </w:r>
      <w:proofErr w:type="spellStart"/>
      <w:r w:rsidRPr="00211EB6">
        <w:t>endosulfan</w:t>
      </w:r>
      <w:proofErr w:type="spellEnd"/>
      <w:r w:rsidRPr="00211EB6">
        <w:t>), PAN and IPEN, i</w:t>
      </w:r>
      <w:r w:rsidR="00400690" w:rsidRPr="00211EB6">
        <w:t xml:space="preserve">n their response to the Annex F information request, </w:t>
      </w:r>
      <w:r w:rsidR="00A8552C" w:rsidRPr="00211EB6">
        <w:t xml:space="preserve">suggested </w:t>
      </w:r>
      <w:r w:rsidR="00400690" w:rsidRPr="00211EB6">
        <w:t>that</w:t>
      </w:r>
      <w:r w:rsidR="00CB149E" w:rsidRPr="00211EB6">
        <w:t>,</w:t>
      </w:r>
      <w:r w:rsidR="00400690" w:rsidRPr="00211EB6">
        <w:t xml:space="preserve"> for pest control</w:t>
      </w:r>
      <w:r w:rsidR="00CB149E" w:rsidRPr="00211EB6">
        <w:t>,</w:t>
      </w:r>
      <w:r w:rsidR="00400690" w:rsidRPr="00211EB6">
        <w:t xml:space="preserve"> priority should be given to ecosystem-based approaches.  Furthermore, ICCM4 recommended that when phasing out highly hazardous pesticides (which include POPs), emphasis should be placed on </w:t>
      </w:r>
      <w:proofErr w:type="spellStart"/>
      <w:r w:rsidR="00400690" w:rsidRPr="00211EB6">
        <w:t>agroecological</w:t>
      </w:r>
      <w:proofErr w:type="spellEnd"/>
      <w:r w:rsidR="00400690" w:rsidRPr="00211EB6">
        <w:t xml:space="preserve"> practices</w:t>
      </w:r>
      <w:r w:rsidR="008F09CD" w:rsidRPr="00211EB6">
        <w:t>.</w:t>
      </w:r>
      <w:r w:rsidRPr="00211EB6">
        <w:rPr>
          <w:rStyle w:val="FootnoteReference"/>
        </w:rPr>
        <w:footnoteReference w:id="17"/>
      </w:r>
      <w:r w:rsidR="00400690" w:rsidRPr="00211EB6">
        <w:t xml:space="preserve"> </w:t>
      </w:r>
    </w:p>
    <w:p w14:paraId="3E9E08FE" w14:textId="06A83C52" w:rsidR="00400690" w:rsidRPr="00211EB6" w:rsidRDefault="00DB319D" w:rsidP="008C6BCB">
      <w:pPr>
        <w:pStyle w:val="Normalnumber"/>
        <w:numPr>
          <w:ilvl w:val="0"/>
          <w:numId w:val="34"/>
        </w:numPr>
        <w:tabs>
          <w:tab w:val="clear" w:pos="1440"/>
        </w:tabs>
        <w:ind w:left="0" w:firstLine="0"/>
      </w:pPr>
      <w:r w:rsidRPr="00211EB6">
        <w:t>Mites are renowned for rapidly developing resistance to repeated applications of the same pesticides</w:t>
      </w:r>
      <w:r w:rsidR="00266790" w:rsidRPr="00211EB6">
        <w:t xml:space="preserve"> (Manners, 2013)</w:t>
      </w:r>
      <w:r w:rsidRPr="00211EB6">
        <w:t xml:space="preserve">. </w:t>
      </w:r>
      <w:r w:rsidR="00876212" w:rsidRPr="00211EB6">
        <w:t xml:space="preserve">Furthermore, </w:t>
      </w:r>
      <w:r w:rsidR="00400690" w:rsidRPr="00211EB6">
        <w:t>Manners</w:t>
      </w:r>
      <w:r w:rsidR="00F96C88" w:rsidRPr="00211EB6">
        <w:t xml:space="preserve"> (</w:t>
      </w:r>
      <w:r w:rsidR="00400690" w:rsidRPr="00211EB6">
        <w:t>2013</w:t>
      </w:r>
      <w:r w:rsidR="00F96C88" w:rsidRPr="00211EB6">
        <w:t>)</w:t>
      </w:r>
      <w:r w:rsidR="00400690" w:rsidRPr="00211EB6">
        <w:t xml:space="preserve"> concluded that</w:t>
      </w:r>
      <w:r w:rsidR="00A8552C" w:rsidRPr="00211EB6">
        <w:t>,</w:t>
      </w:r>
      <w:r w:rsidR="00400690" w:rsidRPr="00211EB6">
        <w:t xml:space="preserve"> given the likelihood that resistance will eventually develop for a chemical product, relying on chemicals to control the two-spotted mite (</w:t>
      </w:r>
      <w:proofErr w:type="spellStart"/>
      <w:r w:rsidR="00400690" w:rsidRPr="00211EB6">
        <w:rPr>
          <w:i/>
        </w:rPr>
        <w:t>Tetranychus</w:t>
      </w:r>
      <w:proofErr w:type="spellEnd"/>
      <w:r w:rsidR="00400690" w:rsidRPr="00211EB6">
        <w:rPr>
          <w:i/>
        </w:rPr>
        <w:t xml:space="preserve"> </w:t>
      </w:r>
      <w:proofErr w:type="spellStart"/>
      <w:r w:rsidR="00400690" w:rsidRPr="00211EB6">
        <w:rPr>
          <w:i/>
        </w:rPr>
        <w:t>urticae</w:t>
      </w:r>
      <w:proofErr w:type="spellEnd"/>
      <w:r w:rsidR="00400690" w:rsidRPr="00211EB6">
        <w:t xml:space="preserve">) is a poor long-term plan. It </w:t>
      </w:r>
      <w:r w:rsidR="00A8552C" w:rsidRPr="00211EB6">
        <w:t xml:space="preserve">was </w:t>
      </w:r>
      <w:r w:rsidR="00400690" w:rsidRPr="00211EB6">
        <w:t xml:space="preserve">recommended to consider insecticide application as a minor but essential part of an overall mite management plan. </w:t>
      </w:r>
    </w:p>
    <w:p w14:paraId="4FCBBEB5" w14:textId="42BD2890" w:rsidR="00400690" w:rsidRPr="00211EB6" w:rsidRDefault="00400690" w:rsidP="008C6BCB">
      <w:pPr>
        <w:pStyle w:val="Normalnumber"/>
        <w:numPr>
          <w:ilvl w:val="0"/>
          <w:numId w:val="34"/>
        </w:numPr>
        <w:tabs>
          <w:tab w:val="clear" w:pos="1440"/>
        </w:tabs>
        <w:ind w:left="0" w:firstLine="0"/>
      </w:pPr>
      <w:r w:rsidRPr="00211EB6">
        <w:t xml:space="preserve">The sections below describe the identified non-chemical alternatives to </w:t>
      </w:r>
      <w:proofErr w:type="spellStart"/>
      <w:r w:rsidRPr="00211EB6">
        <w:t>dicofol</w:t>
      </w:r>
      <w:proofErr w:type="spellEnd"/>
      <w:r w:rsidRPr="00211EB6">
        <w:t xml:space="preserve"> in two groups, i.e. biological control systems </w:t>
      </w:r>
      <w:r w:rsidR="00DB319D" w:rsidRPr="00211EB6">
        <w:t xml:space="preserve">and </w:t>
      </w:r>
      <w:r w:rsidR="00AE1DA1" w:rsidRPr="00211EB6">
        <w:t>botanical preparations</w:t>
      </w:r>
      <w:r w:rsidR="00DB319D" w:rsidRPr="00211EB6">
        <w:t>;</w:t>
      </w:r>
      <w:r w:rsidRPr="00211EB6">
        <w:t xml:space="preserve"> and </w:t>
      </w:r>
      <w:proofErr w:type="spellStart"/>
      <w:r w:rsidR="0046182A" w:rsidRPr="00211EB6">
        <w:t>agroecological</w:t>
      </w:r>
      <w:proofErr w:type="spellEnd"/>
      <w:r w:rsidR="0046182A" w:rsidRPr="00211EB6">
        <w:t xml:space="preserve"> </w:t>
      </w:r>
      <w:r w:rsidRPr="00211EB6">
        <w:t>practices.</w:t>
      </w:r>
    </w:p>
    <w:p w14:paraId="565FF5B4" w14:textId="03B32827" w:rsidR="001D6633" w:rsidRPr="00211EB6" w:rsidRDefault="00400690" w:rsidP="00EE4FB5">
      <w:pPr>
        <w:pStyle w:val="Heading5"/>
        <w:numPr>
          <w:ilvl w:val="0"/>
          <w:numId w:val="0"/>
        </w:numPr>
        <w:ind w:left="1009" w:hanging="1009"/>
      </w:pPr>
      <w:r w:rsidRPr="00211EB6">
        <w:t>Biological control systems</w:t>
      </w:r>
      <w:r w:rsidR="00DB319D" w:rsidRPr="00211EB6">
        <w:t xml:space="preserve"> and </w:t>
      </w:r>
      <w:r w:rsidR="00AE1DA1" w:rsidRPr="00211EB6">
        <w:t>botanical preparations</w:t>
      </w:r>
    </w:p>
    <w:p w14:paraId="3A61CCF6" w14:textId="6BDBAC23" w:rsidR="00400690" w:rsidRPr="00211EB6" w:rsidRDefault="00400690" w:rsidP="008C6BCB">
      <w:pPr>
        <w:pStyle w:val="Normalnumber"/>
        <w:numPr>
          <w:ilvl w:val="0"/>
          <w:numId w:val="34"/>
        </w:numPr>
        <w:tabs>
          <w:tab w:val="clear" w:pos="1440"/>
        </w:tabs>
        <w:ind w:left="0" w:firstLine="0"/>
      </w:pPr>
      <w:r w:rsidRPr="00211EB6">
        <w:t>Various biological control systems</w:t>
      </w:r>
      <w:r w:rsidR="00DB319D" w:rsidRPr="00211EB6">
        <w:t xml:space="preserve"> and </w:t>
      </w:r>
      <w:r w:rsidR="00AE1DA1" w:rsidRPr="00211EB6">
        <w:t>botanical preparations</w:t>
      </w:r>
      <w:r w:rsidRPr="00211EB6">
        <w:t>, i.e. reduction of pest populations by natural enemies</w:t>
      </w:r>
      <w:r w:rsidR="00F0780D" w:rsidRPr="00211EB6">
        <w:t xml:space="preserve"> or</w:t>
      </w:r>
      <w:r w:rsidR="00DB319D" w:rsidRPr="00211EB6">
        <w:t xml:space="preserve"> plant extracts</w:t>
      </w:r>
      <w:r w:rsidRPr="00211EB6">
        <w:t xml:space="preserve">, are available as a potential alternative to </w:t>
      </w:r>
      <w:proofErr w:type="spellStart"/>
      <w:r w:rsidRPr="00211EB6">
        <w:t>dicofol</w:t>
      </w:r>
      <w:proofErr w:type="spellEnd"/>
      <w:r w:rsidRPr="00211EB6">
        <w:t xml:space="preserve">. </w:t>
      </w:r>
      <w:r w:rsidR="003E6495" w:rsidRPr="00211EB6">
        <w:t>When transitioning to biological control systems</w:t>
      </w:r>
      <w:r w:rsidR="00DB319D" w:rsidRPr="00211EB6">
        <w:t xml:space="preserve"> or </w:t>
      </w:r>
      <w:r w:rsidR="00AE1DA1" w:rsidRPr="00211EB6">
        <w:t>botanical preparations</w:t>
      </w:r>
      <w:r w:rsidR="003E6495" w:rsidRPr="00211EB6">
        <w:t>, consideration must be given to national and regional assessment outcomes</w:t>
      </w:r>
      <w:r w:rsidR="006267E1" w:rsidRPr="00211EB6">
        <w:t>.</w:t>
      </w:r>
    </w:p>
    <w:p w14:paraId="5500D9A6" w14:textId="5F607B48" w:rsidR="00400690" w:rsidRPr="00211EB6" w:rsidRDefault="00400690" w:rsidP="008C6BCB">
      <w:pPr>
        <w:pStyle w:val="Normalnumber"/>
        <w:numPr>
          <w:ilvl w:val="0"/>
          <w:numId w:val="34"/>
        </w:numPr>
        <w:tabs>
          <w:tab w:val="clear" w:pos="1440"/>
        </w:tabs>
        <w:ind w:left="0" w:firstLine="0"/>
      </w:pPr>
      <w:r w:rsidRPr="00211EB6">
        <w:t xml:space="preserve">In the response to the Annex F information request PAN and IPEN provided information on biological control options (pathogens and predators) </w:t>
      </w:r>
      <w:r w:rsidR="00DB319D" w:rsidRPr="00211EB6">
        <w:t xml:space="preserve">and </w:t>
      </w:r>
      <w:r w:rsidR="00AE1DA1" w:rsidRPr="00211EB6">
        <w:t>botanical preparations</w:t>
      </w:r>
      <w:r w:rsidR="00DB319D" w:rsidRPr="00211EB6">
        <w:t xml:space="preserve"> </w:t>
      </w:r>
      <w:r w:rsidRPr="00211EB6">
        <w:t xml:space="preserve">with a focus on India, given the current use of </w:t>
      </w:r>
      <w:proofErr w:type="spellStart"/>
      <w:r w:rsidRPr="00211EB6">
        <w:t>dicofol</w:t>
      </w:r>
      <w:proofErr w:type="spellEnd"/>
      <w:r w:rsidRPr="00211EB6">
        <w:t xml:space="preserve"> and its specific climatic conditions.</w:t>
      </w:r>
    </w:p>
    <w:p w14:paraId="1CAA9ECE" w14:textId="0F2116F8" w:rsidR="004138F2" w:rsidRPr="00211EB6" w:rsidRDefault="00400690" w:rsidP="008C6BCB">
      <w:pPr>
        <w:pStyle w:val="Normalnumber"/>
        <w:numPr>
          <w:ilvl w:val="0"/>
          <w:numId w:val="34"/>
        </w:numPr>
        <w:tabs>
          <w:tab w:val="clear" w:pos="1440"/>
        </w:tabs>
        <w:ind w:left="0" w:firstLine="0"/>
      </w:pPr>
      <w:proofErr w:type="spellStart"/>
      <w:r w:rsidRPr="00211EB6">
        <w:rPr>
          <w:i/>
        </w:rPr>
        <w:t>Beauveria</w:t>
      </w:r>
      <w:proofErr w:type="spellEnd"/>
      <w:r w:rsidRPr="00211EB6">
        <w:rPr>
          <w:i/>
        </w:rPr>
        <w:t xml:space="preserve"> </w:t>
      </w:r>
      <w:proofErr w:type="spellStart"/>
      <w:r w:rsidRPr="00211EB6">
        <w:rPr>
          <w:i/>
        </w:rPr>
        <w:t>bassiana</w:t>
      </w:r>
      <w:proofErr w:type="spellEnd"/>
      <w:r w:rsidRPr="00211EB6">
        <w:t xml:space="preserve"> is a naturally occurring </w:t>
      </w:r>
      <w:proofErr w:type="spellStart"/>
      <w:r w:rsidRPr="00211EB6">
        <w:t>entomopathogenic</w:t>
      </w:r>
      <w:proofErr w:type="spellEnd"/>
      <w:r w:rsidRPr="00211EB6">
        <w:t xml:space="preserve"> fungus causing white </w:t>
      </w:r>
      <w:proofErr w:type="spellStart"/>
      <w:r w:rsidRPr="00211EB6">
        <w:t>muscadine</w:t>
      </w:r>
      <w:proofErr w:type="spellEnd"/>
      <w:r w:rsidRPr="00211EB6">
        <w:t xml:space="preserve"> disease in foliar pests through contact action. </w:t>
      </w:r>
      <w:r w:rsidRPr="00211EB6">
        <w:rPr>
          <w:rFonts w:eastAsia="SimSun"/>
          <w:szCs w:val="28"/>
        </w:rPr>
        <w:t xml:space="preserve">Susceptible foliar pests include mites, as well as aphids, boll weevil, caterpillars, codling moth, coffee berry borer, Colorado potato beetle, diamondback moth, European corn borer, fire ants, flies, grasshoppers, Japanese beetle, leafhoppers, leaf-feeding insects, </w:t>
      </w:r>
      <w:proofErr w:type="spellStart"/>
      <w:r w:rsidRPr="00211EB6">
        <w:rPr>
          <w:rFonts w:eastAsia="SimSun"/>
          <w:szCs w:val="28"/>
        </w:rPr>
        <w:t>mealybug</w:t>
      </w:r>
      <w:proofErr w:type="spellEnd"/>
      <w:r w:rsidRPr="00211EB6">
        <w:rPr>
          <w:rFonts w:eastAsia="SimSun"/>
          <w:szCs w:val="28"/>
        </w:rPr>
        <w:t xml:space="preserve">, Mexican bean beetle, </w:t>
      </w:r>
      <w:proofErr w:type="spellStart"/>
      <w:r w:rsidRPr="00211EB6">
        <w:rPr>
          <w:rFonts w:eastAsia="SimSun"/>
          <w:szCs w:val="28"/>
        </w:rPr>
        <w:t>psyllids</w:t>
      </w:r>
      <w:proofErr w:type="spellEnd"/>
      <w:r w:rsidRPr="00211EB6">
        <w:rPr>
          <w:rFonts w:eastAsia="SimSun"/>
          <w:szCs w:val="28"/>
        </w:rPr>
        <w:t xml:space="preserve"> (</w:t>
      </w:r>
      <w:proofErr w:type="spellStart"/>
      <w:r w:rsidRPr="00211EB6">
        <w:rPr>
          <w:rFonts w:eastAsia="SimSun"/>
          <w:szCs w:val="28"/>
        </w:rPr>
        <w:t>lygus</w:t>
      </w:r>
      <w:proofErr w:type="spellEnd"/>
      <w:r w:rsidRPr="00211EB6">
        <w:rPr>
          <w:rFonts w:eastAsia="SimSun"/>
          <w:szCs w:val="28"/>
        </w:rPr>
        <w:t xml:space="preserve"> bugs and chinch bugs), </w:t>
      </w:r>
      <w:proofErr w:type="spellStart"/>
      <w:r w:rsidRPr="00211EB6">
        <w:rPr>
          <w:rFonts w:eastAsia="SimSun"/>
          <w:szCs w:val="28"/>
        </w:rPr>
        <w:t>thrips</w:t>
      </w:r>
      <w:proofErr w:type="spellEnd"/>
      <w:r w:rsidRPr="00211EB6">
        <w:rPr>
          <w:rFonts w:eastAsia="SimSun"/>
          <w:szCs w:val="28"/>
        </w:rPr>
        <w:t xml:space="preserve">, whiteflies, and weevils (Caldwell </w:t>
      </w:r>
      <w:r w:rsidRPr="00211EB6">
        <w:rPr>
          <w:rFonts w:eastAsia="SimSun"/>
          <w:i/>
          <w:szCs w:val="28"/>
        </w:rPr>
        <w:t>et al</w:t>
      </w:r>
      <w:r w:rsidRPr="00211EB6">
        <w:rPr>
          <w:rFonts w:eastAsia="SimSun"/>
          <w:szCs w:val="28"/>
        </w:rPr>
        <w:t xml:space="preserve">., 2013). </w:t>
      </w:r>
      <w:proofErr w:type="spellStart"/>
      <w:r w:rsidRPr="00211EB6">
        <w:rPr>
          <w:rFonts w:eastAsia="SimSun"/>
          <w:i/>
          <w:szCs w:val="28"/>
        </w:rPr>
        <w:t>Beauveria</w:t>
      </w:r>
      <w:proofErr w:type="spellEnd"/>
      <w:r w:rsidRPr="00211EB6">
        <w:rPr>
          <w:rFonts w:eastAsia="SimSun"/>
          <w:i/>
          <w:szCs w:val="28"/>
        </w:rPr>
        <w:t xml:space="preserve"> </w:t>
      </w:r>
      <w:proofErr w:type="spellStart"/>
      <w:r w:rsidRPr="00211EB6">
        <w:rPr>
          <w:rFonts w:eastAsia="SimSun"/>
          <w:i/>
          <w:szCs w:val="28"/>
        </w:rPr>
        <w:t>bassiana</w:t>
      </w:r>
      <w:proofErr w:type="spellEnd"/>
      <w:r w:rsidRPr="00211EB6">
        <w:rPr>
          <w:rFonts w:eastAsia="SimSun"/>
          <w:szCs w:val="28"/>
        </w:rPr>
        <w:t xml:space="preserve"> is available in a number of commercial formulations in different countries and can be applied by standard spray equipment. These products are generally non-toxic to beneficial insects although some, such as ladyb</w:t>
      </w:r>
      <w:r w:rsidR="00E96D65" w:rsidRPr="00211EB6">
        <w:rPr>
          <w:rFonts w:eastAsia="SimSun"/>
          <w:szCs w:val="28"/>
        </w:rPr>
        <w:t>irds</w:t>
      </w:r>
      <w:r w:rsidRPr="00211EB6">
        <w:rPr>
          <w:rFonts w:eastAsia="SimSun"/>
          <w:szCs w:val="28"/>
        </w:rPr>
        <w:t xml:space="preserve">, can be affected. </w:t>
      </w:r>
      <w:proofErr w:type="spellStart"/>
      <w:r w:rsidRPr="00211EB6">
        <w:rPr>
          <w:rFonts w:eastAsia="SimSun"/>
          <w:i/>
          <w:szCs w:val="28"/>
        </w:rPr>
        <w:t>Beauveria</w:t>
      </w:r>
      <w:proofErr w:type="spellEnd"/>
      <w:r w:rsidRPr="00211EB6">
        <w:rPr>
          <w:rFonts w:eastAsia="SimSun"/>
          <w:szCs w:val="28"/>
        </w:rPr>
        <w:t xml:space="preserve"> products should not be applied to water, as they are potentially toxic to fish. When and how often to apply depends on the pest being targeted, and the temperature</w:t>
      </w:r>
      <w:r w:rsidR="00E96D65" w:rsidRPr="00211EB6">
        <w:rPr>
          <w:rFonts w:eastAsia="SimSun"/>
          <w:szCs w:val="28"/>
        </w:rPr>
        <w:t xml:space="preserve"> (</w:t>
      </w:r>
      <w:r w:rsidR="00161E99" w:rsidRPr="00211EB6">
        <w:rPr>
          <w:rFonts w:eastAsia="SimSun"/>
          <w:szCs w:val="28"/>
        </w:rPr>
        <w:t>UNEP/POPS/POPRC.8/INF/14/Rev.1</w:t>
      </w:r>
      <w:r w:rsidR="00E96D65" w:rsidRPr="00211EB6">
        <w:rPr>
          <w:rFonts w:eastAsia="SimSun"/>
          <w:szCs w:val="28"/>
        </w:rPr>
        <w:t>)</w:t>
      </w:r>
      <w:r w:rsidRPr="00211EB6">
        <w:rPr>
          <w:rFonts w:eastAsia="SimSun"/>
          <w:szCs w:val="28"/>
        </w:rPr>
        <w:t>.</w:t>
      </w:r>
    </w:p>
    <w:p w14:paraId="589B1515" w14:textId="19521837" w:rsidR="00400690" w:rsidRPr="00211EB6" w:rsidRDefault="00400690" w:rsidP="008C6BCB">
      <w:pPr>
        <w:pStyle w:val="Normalnumber"/>
        <w:numPr>
          <w:ilvl w:val="0"/>
          <w:numId w:val="34"/>
        </w:numPr>
        <w:tabs>
          <w:tab w:val="clear" w:pos="1440"/>
        </w:tabs>
        <w:ind w:left="0" w:firstLine="0"/>
      </w:pPr>
      <w:proofErr w:type="spellStart"/>
      <w:r w:rsidRPr="00211EB6">
        <w:rPr>
          <w:i/>
        </w:rPr>
        <w:t>Metarhizium</w:t>
      </w:r>
      <w:proofErr w:type="spellEnd"/>
      <w:r w:rsidRPr="00211EB6">
        <w:rPr>
          <w:i/>
        </w:rPr>
        <w:t xml:space="preserve"> </w:t>
      </w:r>
      <w:proofErr w:type="spellStart"/>
      <w:r w:rsidRPr="00211EB6">
        <w:rPr>
          <w:i/>
        </w:rPr>
        <w:t>anisopliae</w:t>
      </w:r>
      <w:proofErr w:type="spellEnd"/>
      <w:r w:rsidRPr="00211EB6">
        <w:t xml:space="preserve"> is a widely distributed natural soil fungus that attacks a variety of insects, causing green </w:t>
      </w:r>
      <w:proofErr w:type="spellStart"/>
      <w:r w:rsidRPr="00211EB6">
        <w:t>muscadine</w:t>
      </w:r>
      <w:proofErr w:type="spellEnd"/>
      <w:r w:rsidRPr="00211EB6">
        <w:t xml:space="preserve"> disease. It is </w:t>
      </w:r>
      <w:r w:rsidR="007027F3" w:rsidRPr="00211EB6">
        <w:t xml:space="preserve">used </w:t>
      </w:r>
      <w:r w:rsidRPr="00211EB6">
        <w:t>commercially in a number of countries</w:t>
      </w:r>
      <w:r w:rsidR="001F741D" w:rsidRPr="00211EB6">
        <w:t xml:space="preserve">, such as India, Canada and </w:t>
      </w:r>
      <w:r w:rsidR="008A190B" w:rsidRPr="00211EB6">
        <w:t xml:space="preserve">the </w:t>
      </w:r>
      <w:r w:rsidR="001F741D" w:rsidRPr="00211EB6">
        <w:t>USA</w:t>
      </w:r>
      <w:r w:rsidRPr="00211EB6">
        <w:t xml:space="preserve">. </w:t>
      </w:r>
      <w:proofErr w:type="spellStart"/>
      <w:r w:rsidRPr="00211EB6">
        <w:rPr>
          <w:i/>
        </w:rPr>
        <w:t>Metarhizium</w:t>
      </w:r>
      <w:proofErr w:type="spellEnd"/>
      <w:r w:rsidRPr="00211EB6">
        <w:rPr>
          <w:i/>
        </w:rPr>
        <w:t xml:space="preserve"> </w:t>
      </w:r>
      <w:proofErr w:type="spellStart"/>
      <w:r w:rsidRPr="00211EB6">
        <w:rPr>
          <w:i/>
        </w:rPr>
        <w:t>anisopliae</w:t>
      </w:r>
      <w:proofErr w:type="spellEnd"/>
      <w:r w:rsidRPr="00211EB6">
        <w:t xml:space="preserve"> has been approved in the USA as a microbial pesticide active ingredient for non-food use in greenhouses and nurseries, and at limited outdoor sites not near bodies of water. Susceptible pests include mites, as well as aphids, </w:t>
      </w:r>
      <w:proofErr w:type="spellStart"/>
      <w:r w:rsidRPr="00211EB6">
        <w:t>thrips</w:t>
      </w:r>
      <w:proofErr w:type="spellEnd"/>
      <w:r w:rsidRPr="00211EB6">
        <w:t xml:space="preserve">, leaf hopper, whiteflies, scarabs, weevils, gnats, ticks, locusts, termites, cockroaches, flies, and mosquito larvae </w:t>
      </w:r>
      <w:r w:rsidRPr="00211EB6">
        <w:rPr>
          <w:rFonts w:eastAsia="SimSun"/>
          <w:szCs w:val="28"/>
        </w:rPr>
        <w:t xml:space="preserve">(Caldwell </w:t>
      </w:r>
      <w:r w:rsidR="007E3F71" w:rsidRPr="00211EB6">
        <w:rPr>
          <w:rFonts w:eastAsia="SimSun"/>
          <w:i/>
          <w:szCs w:val="28"/>
        </w:rPr>
        <w:t>et al</w:t>
      </w:r>
      <w:r w:rsidRPr="00211EB6">
        <w:rPr>
          <w:rFonts w:eastAsia="SimSun"/>
          <w:szCs w:val="28"/>
        </w:rPr>
        <w:t>., 2013)</w:t>
      </w:r>
      <w:r w:rsidRPr="00211EB6">
        <w:t xml:space="preserve">. </w:t>
      </w:r>
      <w:proofErr w:type="spellStart"/>
      <w:r w:rsidRPr="00211EB6">
        <w:rPr>
          <w:i/>
        </w:rPr>
        <w:t>Metarhizium</w:t>
      </w:r>
      <w:proofErr w:type="spellEnd"/>
      <w:r w:rsidRPr="00211EB6">
        <w:rPr>
          <w:i/>
        </w:rPr>
        <w:t xml:space="preserve"> </w:t>
      </w:r>
      <w:proofErr w:type="spellStart"/>
      <w:r w:rsidRPr="00211EB6">
        <w:rPr>
          <w:i/>
        </w:rPr>
        <w:t>anisopliae</w:t>
      </w:r>
      <w:proofErr w:type="spellEnd"/>
      <w:r w:rsidRPr="00211EB6">
        <w:t xml:space="preserve"> is not toxic or infectious to mammals but inhalation of the spores can cause allergic reactions. It is not harmful to earthworms, lady b</w:t>
      </w:r>
      <w:r w:rsidR="00E96D65" w:rsidRPr="00211EB6">
        <w:t>irds</w:t>
      </w:r>
      <w:r w:rsidRPr="00211EB6">
        <w:t>, green lacewings, parasitic wasps, honey bee larvae, and honey bee adults</w:t>
      </w:r>
      <w:r w:rsidR="00161E99" w:rsidRPr="00211EB6">
        <w:t xml:space="preserve"> (UNEP/POPS/POPRC.8/INF/14/Rev.1)</w:t>
      </w:r>
      <w:r w:rsidRPr="00211EB6">
        <w:t xml:space="preserve">. </w:t>
      </w:r>
    </w:p>
    <w:p w14:paraId="5084B513" w14:textId="0FACF7F1" w:rsidR="00400690" w:rsidRPr="00211EB6" w:rsidRDefault="00400690" w:rsidP="008C6BCB">
      <w:pPr>
        <w:pStyle w:val="Normalnumber"/>
        <w:numPr>
          <w:ilvl w:val="0"/>
          <w:numId w:val="34"/>
        </w:numPr>
        <w:tabs>
          <w:tab w:val="clear" w:pos="1440"/>
        </w:tabs>
        <w:ind w:left="0" w:firstLine="0"/>
      </w:pPr>
      <w:r w:rsidRPr="00211EB6">
        <w:t xml:space="preserve">Kumar </w:t>
      </w:r>
      <w:r w:rsidR="00DB319D" w:rsidRPr="00211EB6">
        <w:t>(</w:t>
      </w:r>
      <w:r w:rsidRPr="00211EB6">
        <w:t>2011</w:t>
      </w:r>
      <w:r w:rsidR="00DB319D" w:rsidRPr="00211EB6">
        <w:t>)</w:t>
      </w:r>
      <w:r w:rsidRPr="00211EB6">
        <w:t xml:space="preserve"> evaluated the fungal pathogen </w:t>
      </w:r>
      <w:proofErr w:type="spellStart"/>
      <w:r w:rsidRPr="00211EB6">
        <w:rPr>
          <w:i/>
        </w:rPr>
        <w:t>Hirsutella</w:t>
      </w:r>
      <w:proofErr w:type="spellEnd"/>
      <w:r w:rsidRPr="00211EB6">
        <w:rPr>
          <w:i/>
        </w:rPr>
        <w:t xml:space="preserve"> </w:t>
      </w:r>
      <w:proofErr w:type="spellStart"/>
      <w:r w:rsidRPr="00211EB6">
        <w:rPr>
          <w:i/>
        </w:rPr>
        <w:t>thompsonii</w:t>
      </w:r>
      <w:proofErr w:type="spellEnd"/>
      <w:r w:rsidRPr="00211EB6">
        <w:t xml:space="preserve"> as a </w:t>
      </w:r>
      <w:proofErr w:type="spellStart"/>
      <w:r w:rsidRPr="00211EB6">
        <w:t>mycoacaricide</w:t>
      </w:r>
      <w:proofErr w:type="spellEnd"/>
      <w:r w:rsidRPr="00211EB6">
        <w:t xml:space="preserve"> for </w:t>
      </w:r>
      <w:proofErr w:type="spellStart"/>
      <w:r w:rsidR="007E3F71" w:rsidRPr="00211EB6">
        <w:rPr>
          <w:i/>
        </w:rPr>
        <w:t>Aceria</w:t>
      </w:r>
      <w:proofErr w:type="spellEnd"/>
      <w:r w:rsidR="007E3F71" w:rsidRPr="00211EB6">
        <w:rPr>
          <w:i/>
        </w:rPr>
        <w:t xml:space="preserve"> </w:t>
      </w:r>
      <w:proofErr w:type="spellStart"/>
      <w:r w:rsidR="007E3F71" w:rsidRPr="00211EB6">
        <w:rPr>
          <w:i/>
        </w:rPr>
        <w:t>guerreronis</w:t>
      </w:r>
      <w:proofErr w:type="spellEnd"/>
      <w:r w:rsidRPr="00211EB6">
        <w:t xml:space="preserve"> on coconut in India. The fungus was found to be capable of bringing down the mite population </w:t>
      </w:r>
      <w:r w:rsidR="00161E99" w:rsidRPr="00211EB6">
        <w:t xml:space="preserve">by </w:t>
      </w:r>
      <w:r w:rsidRPr="00211EB6">
        <w:t xml:space="preserve">up to 90%, resulting in considerable reduction in pre-harvest nut damage. In several trials, the fungal treatment was superior to </w:t>
      </w:r>
      <w:proofErr w:type="spellStart"/>
      <w:r w:rsidRPr="00211EB6">
        <w:t>dicofol</w:t>
      </w:r>
      <w:proofErr w:type="spellEnd"/>
      <w:r w:rsidRPr="00211EB6">
        <w:t>.</w:t>
      </w:r>
      <w:r w:rsidR="00E96D65" w:rsidRPr="00211EB6">
        <w:t xml:space="preserve"> Kumar (2011) indicates that, therefore, over the years state and central governments in India have shown interest in </w:t>
      </w:r>
      <w:r w:rsidR="00E96D65" w:rsidRPr="00211EB6">
        <w:rPr>
          <w:i/>
        </w:rPr>
        <w:t xml:space="preserve">H. </w:t>
      </w:r>
      <w:proofErr w:type="spellStart"/>
      <w:r w:rsidR="00E96D65" w:rsidRPr="00211EB6">
        <w:rPr>
          <w:i/>
        </w:rPr>
        <w:t>thompsonii</w:t>
      </w:r>
      <w:proofErr w:type="spellEnd"/>
      <w:r w:rsidR="00E96D65" w:rsidRPr="00211EB6">
        <w:t xml:space="preserve"> as a </w:t>
      </w:r>
      <w:proofErr w:type="spellStart"/>
      <w:r w:rsidR="00E96D65" w:rsidRPr="00211EB6">
        <w:t>mycoacaricide</w:t>
      </w:r>
      <w:proofErr w:type="spellEnd"/>
      <w:r w:rsidR="00E96D65" w:rsidRPr="00211EB6">
        <w:t xml:space="preserve"> for the coconut mite.</w:t>
      </w:r>
    </w:p>
    <w:p w14:paraId="50DA73A3" w14:textId="22FC1B19" w:rsidR="00E1186F" w:rsidRPr="00211EB6" w:rsidRDefault="00E1186F" w:rsidP="008C6BCB">
      <w:pPr>
        <w:pStyle w:val="Normalnumber"/>
        <w:numPr>
          <w:ilvl w:val="0"/>
          <w:numId w:val="34"/>
        </w:numPr>
        <w:tabs>
          <w:tab w:val="clear" w:pos="1440"/>
        </w:tabs>
        <w:ind w:left="0" w:firstLine="0"/>
      </w:pPr>
      <w:r w:rsidRPr="00211EB6">
        <w:t>In the</w:t>
      </w:r>
      <w:r w:rsidR="00F50791" w:rsidRPr="00211EB6">
        <w:t>ir</w:t>
      </w:r>
      <w:r w:rsidRPr="00211EB6">
        <w:t xml:space="preserve"> response to the Annex F information request</w:t>
      </w:r>
      <w:r w:rsidR="00F50791" w:rsidRPr="00211EB6">
        <w:t>,</w:t>
      </w:r>
      <w:r w:rsidRPr="00211EB6">
        <w:t xml:space="preserve"> </w:t>
      </w:r>
      <w:r w:rsidR="00A97444" w:rsidRPr="00211EB6">
        <w:t xml:space="preserve">PAN </w:t>
      </w:r>
      <w:r w:rsidR="00ED754B" w:rsidRPr="00211EB6">
        <w:t>and</w:t>
      </w:r>
      <w:r w:rsidR="00A97444" w:rsidRPr="00211EB6">
        <w:t xml:space="preserve"> IPEN</w:t>
      </w:r>
      <w:r w:rsidRPr="00211EB6">
        <w:t xml:space="preserve"> also mention the introduction of predators in order to control mites. Potential predators (insects) as an alternative to </w:t>
      </w:r>
      <w:proofErr w:type="spellStart"/>
      <w:r w:rsidRPr="00211EB6">
        <w:t>dicofol</w:t>
      </w:r>
      <w:proofErr w:type="spellEnd"/>
      <w:r w:rsidRPr="00211EB6">
        <w:t xml:space="preserve"> include lace-wings</w:t>
      </w:r>
      <w:r w:rsidR="00A97444" w:rsidRPr="00211EB6">
        <w:t>,</w:t>
      </w:r>
      <w:r w:rsidRPr="00211EB6">
        <w:t xml:space="preserve"> </w:t>
      </w:r>
      <w:r w:rsidRPr="00211EB6">
        <w:rPr>
          <w:rFonts w:eastAsia="SimSun"/>
        </w:rPr>
        <w:t>ladybirds</w:t>
      </w:r>
      <w:r w:rsidR="00A97444" w:rsidRPr="00211EB6">
        <w:rPr>
          <w:rFonts w:eastAsia="SimSun"/>
        </w:rPr>
        <w:t xml:space="preserve">, </w:t>
      </w:r>
      <w:r w:rsidRPr="00211EB6">
        <w:rPr>
          <w:rFonts w:eastAsia="SimSun"/>
        </w:rPr>
        <w:t>minute pirate bug</w:t>
      </w:r>
      <w:r w:rsidRPr="00211EB6">
        <w:rPr>
          <w:rFonts w:eastAsia="SimSun"/>
          <w:i/>
        </w:rPr>
        <w:t>,</w:t>
      </w:r>
      <w:r w:rsidR="004D01FF" w:rsidRPr="00211EB6">
        <w:rPr>
          <w:rFonts w:eastAsia="SimSun"/>
          <w:i/>
        </w:rPr>
        <w:t xml:space="preserve"> </w:t>
      </w:r>
      <w:r w:rsidRPr="00211EB6">
        <w:rPr>
          <w:rFonts w:eastAsia="SimSun"/>
        </w:rPr>
        <w:t>insidious flower bug, damsel bugs</w:t>
      </w:r>
      <w:r w:rsidR="00A97444" w:rsidRPr="00211EB6">
        <w:rPr>
          <w:rFonts w:eastAsia="SimSun"/>
        </w:rPr>
        <w:t>,</w:t>
      </w:r>
      <w:r w:rsidRPr="00211EB6">
        <w:rPr>
          <w:rFonts w:eastAsia="SimSun"/>
        </w:rPr>
        <w:t xml:space="preserve"> aphid midge</w:t>
      </w:r>
      <w:r w:rsidR="00A97444" w:rsidRPr="00211EB6">
        <w:rPr>
          <w:rFonts w:eastAsia="SimSun"/>
        </w:rPr>
        <w:t>,</w:t>
      </w:r>
      <w:r w:rsidRPr="00211EB6">
        <w:rPr>
          <w:rFonts w:eastAsia="SimSun"/>
          <w:i/>
        </w:rPr>
        <w:t xml:space="preserve"> </w:t>
      </w:r>
      <w:r w:rsidRPr="00211EB6">
        <w:rPr>
          <w:rFonts w:eastAsia="SimSun"/>
        </w:rPr>
        <w:t>predatory mites</w:t>
      </w:r>
      <w:r w:rsidRPr="00211EB6">
        <w:rPr>
          <w:rFonts w:eastAsia="SimSun"/>
          <w:i/>
        </w:rPr>
        <w:t xml:space="preserve">, </w:t>
      </w:r>
      <w:r w:rsidRPr="00211EB6">
        <w:rPr>
          <w:rFonts w:eastAsia="SimSun"/>
        </w:rPr>
        <w:t>rove beetles</w:t>
      </w:r>
      <w:r w:rsidR="00A97444" w:rsidRPr="00211EB6">
        <w:rPr>
          <w:rFonts w:eastAsia="SimSun"/>
        </w:rPr>
        <w:t>,</w:t>
      </w:r>
      <w:r w:rsidRPr="00211EB6">
        <w:rPr>
          <w:rFonts w:eastAsia="SimSun"/>
        </w:rPr>
        <w:t xml:space="preserve"> hover flies, </w:t>
      </w:r>
      <w:proofErr w:type="spellStart"/>
      <w:r w:rsidRPr="00211EB6">
        <w:rPr>
          <w:rFonts w:eastAsia="SimSun"/>
        </w:rPr>
        <w:t>mirid</w:t>
      </w:r>
      <w:proofErr w:type="spellEnd"/>
      <w:r w:rsidRPr="00211EB6">
        <w:rPr>
          <w:rFonts w:eastAsia="SimSun"/>
        </w:rPr>
        <w:t xml:space="preserve"> bugs and predatory </w:t>
      </w:r>
      <w:proofErr w:type="spellStart"/>
      <w:r w:rsidRPr="00211EB6">
        <w:rPr>
          <w:rFonts w:eastAsia="SimSun"/>
        </w:rPr>
        <w:t>thrips</w:t>
      </w:r>
      <w:proofErr w:type="spellEnd"/>
      <w:r w:rsidRPr="00211EB6">
        <w:rPr>
          <w:rFonts w:eastAsia="SimSun"/>
        </w:rPr>
        <w:t>.</w:t>
      </w:r>
    </w:p>
    <w:p w14:paraId="0E2369B4" w14:textId="2B5913AB" w:rsidR="0025293D" w:rsidRPr="00211EB6" w:rsidRDefault="0025293D" w:rsidP="008C6BCB">
      <w:pPr>
        <w:pStyle w:val="Normalnumber"/>
        <w:numPr>
          <w:ilvl w:val="0"/>
          <w:numId w:val="34"/>
        </w:numPr>
        <w:tabs>
          <w:tab w:val="clear" w:pos="1440"/>
        </w:tabs>
        <w:ind w:left="0" w:firstLine="0"/>
      </w:pPr>
      <w:r w:rsidRPr="00211EB6">
        <w:t xml:space="preserve">Botanical </w:t>
      </w:r>
      <w:r w:rsidR="00DB319D" w:rsidRPr="00211EB6">
        <w:t xml:space="preserve">preparations </w:t>
      </w:r>
      <w:r w:rsidRPr="00211EB6">
        <w:t xml:space="preserve">or plant extracts are also used against mites, often as part of </w:t>
      </w:r>
      <w:proofErr w:type="spellStart"/>
      <w:r w:rsidR="00435BA0" w:rsidRPr="00211EB6">
        <w:t>agroecology</w:t>
      </w:r>
      <w:proofErr w:type="spellEnd"/>
      <w:r w:rsidR="00435BA0" w:rsidRPr="00211EB6">
        <w:t>, organic</w:t>
      </w:r>
      <w:r w:rsidR="00793F96" w:rsidRPr="00211EB6">
        <w:t xml:space="preserve"> farming</w:t>
      </w:r>
      <w:r w:rsidR="00435BA0" w:rsidRPr="00211EB6">
        <w:t xml:space="preserve"> and </w:t>
      </w:r>
      <w:r w:rsidRPr="00211EB6">
        <w:t xml:space="preserve">IPM. </w:t>
      </w:r>
      <w:r w:rsidR="00435BA0" w:rsidRPr="00211EB6">
        <w:t xml:space="preserve">In the response to the Annex F information request PAN and IPEN identified a number of </w:t>
      </w:r>
      <w:r w:rsidR="00DB319D" w:rsidRPr="00211EB6">
        <w:t xml:space="preserve">botanical </w:t>
      </w:r>
      <w:r w:rsidR="00435BA0" w:rsidRPr="00211EB6">
        <w:t xml:space="preserve">extracts that can be used to control mites. These include: </w:t>
      </w:r>
      <w:proofErr w:type="spellStart"/>
      <w:r w:rsidR="007E3F71" w:rsidRPr="00211EB6">
        <w:rPr>
          <w:i/>
        </w:rPr>
        <w:t>Clerodendrum</w:t>
      </w:r>
      <w:proofErr w:type="spellEnd"/>
      <w:r w:rsidR="007E3F71" w:rsidRPr="00211EB6">
        <w:rPr>
          <w:i/>
        </w:rPr>
        <w:t xml:space="preserve"> </w:t>
      </w:r>
      <w:proofErr w:type="spellStart"/>
      <w:r w:rsidR="007E3F71" w:rsidRPr="00211EB6">
        <w:rPr>
          <w:i/>
        </w:rPr>
        <w:t>viscosum</w:t>
      </w:r>
      <w:proofErr w:type="spellEnd"/>
      <w:r w:rsidR="007E3F71" w:rsidRPr="00211EB6">
        <w:rPr>
          <w:i/>
        </w:rPr>
        <w:t xml:space="preserve">, </w:t>
      </w:r>
      <w:proofErr w:type="spellStart"/>
      <w:r w:rsidR="007E3F71" w:rsidRPr="00211EB6">
        <w:rPr>
          <w:i/>
        </w:rPr>
        <w:t>Melia</w:t>
      </w:r>
      <w:proofErr w:type="spellEnd"/>
      <w:r w:rsidR="007E3F71" w:rsidRPr="00211EB6">
        <w:rPr>
          <w:i/>
        </w:rPr>
        <w:t xml:space="preserve"> </w:t>
      </w:r>
      <w:proofErr w:type="spellStart"/>
      <w:r w:rsidR="007E3F71" w:rsidRPr="00211EB6">
        <w:rPr>
          <w:i/>
        </w:rPr>
        <w:t>azadirach</w:t>
      </w:r>
      <w:proofErr w:type="spellEnd"/>
      <w:r w:rsidR="007E3F71" w:rsidRPr="00211EB6">
        <w:rPr>
          <w:i/>
        </w:rPr>
        <w:t xml:space="preserve">, </w:t>
      </w:r>
      <w:proofErr w:type="spellStart"/>
      <w:r w:rsidR="007E3F71" w:rsidRPr="00211EB6">
        <w:rPr>
          <w:i/>
        </w:rPr>
        <w:t>Vitex</w:t>
      </w:r>
      <w:proofErr w:type="spellEnd"/>
      <w:r w:rsidR="007E3F71" w:rsidRPr="00211EB6">
        <w:rPr>
          <w:i/>
        </w:rPr>
        <w:t xml:space="preserve"> </w:t>
      </w:r>
      <w:proofErr w:type="spellStart"/>
      <w:r w:rsidR="007E3F71" w:rsidRPr="00211EB6">
        <w:rPr>
          <w:i/>
        </w:rPr>
        <w:t>negundo</w:t>
      </w:r>
      <w:proofErr w:type="spellEnd"/>
      <w:r w:rsidR="007E3F71" w:rsidRPr="00211EB6">
        <w:rPr>
          <w:i/>
        </w:rPr>
        <w:t xml:space="preserve">, </w:t>
      </w:r>
      <w:proofErr w:type="spellStart"/>
      <w:r w:rsidR="007E3F71" w:rsidRPr="00211EB6">
        <w:rPr>
          <w:i/>
        </w:rPr>
        <w:t>Gliricidia</w:t>
      </w:r>
      <w:proofErr w:type="spellEnd"/>
      <w:r w:rsidR="007E3F71" w:rsidRPr="00211EB6">
        <w:rPr>
          <w:i/>
        </w:rPr>
        <w:t xml:space="preserve"> </w:t>
      </w:r>
      <w:proofErr w:type="spellStart"/>
      <w:r w:rsidR="007E3F71" w:rsidRPr="00211EB6">
        <w:rPr>
          <w:i/>
        </w:rPr>
        <w:t>maculata</w:t>
      </w:r>
      <w:proofErr w:type="spellEnd"/>
      <w:r w:rsidR="007E3F71" w:rsidRPr="00211EB6">
        <w:rPr>
          <w:i/>
        </w:rPr>
        <w:t xml:space="preserve">, </w:t>
      </w:r>
      <w:proofErr w:type="spellStart"/>
      <w:r w:rsidR="007E3F71" w:rsidRPr="00211EB6">
        <w:rPr>
          <w:i/>
        </w:rPr>
        <w:t>Wedelia</w:t>
      </w:r>
      <w:proofErr w:type="spellEnd"/>
      <w:r w:rsidR="007E3F71" w:rsidRPr="00211EB6">
        <w:rPr>
          <w:i/>
        </w:rPr>
        <w:t xml:space="preserve"> </w:t>
      </w:r>
      <w:proofErr w:type="spellStart"/>
      <w:r w:rsidR="007E3F71" w:rsidRPr="00211EB6">
        <w:rPr>
          <w:i/>
        </w:rPr>
        <w:t>chinensis</w:t>
      </w:r>
      <w:proofErr w:type="spellEnd"/>
      <w:r w:rsidR="007E3F71" w:rsidRPr="00211EB6">
        <w:rPr>
          <w:i/>
        </w:rPr>
        <w:t xml:space="preserve">, </w:t>
      </w:r>
      <w:proofErr w:type="spellStart"/>
      <w:r w:rsidR="007E3F71" w:rsidRPr="00211EB6">
        <w:rPr>
          <w:i/>
        </w:rPr>
        <w:t>Morinda</w:t>
      </w:r>
      <w:proofErr w:type="spellEnd"/>
      <w:r w:rsidR="007E3F71" w:rsidRPr="00211EB6">
        <w:rPr>
          <w:i/>
        </w:rPr>
        <w:t xml:space="preserve"> </w:t>
      </w:r>
      <w:proofErr w:type="spellStart"/>
      <w:r w:rsidR="007E3F71" w:rsidRPr="00211EB6">
        <w:rPr>
          <w:i/>
        </w:rPr>
        <w:t>tinctoria</w:t>
      </w:r>
      <w:proofErr w:type="spellEnd"/>
      <w:r w:rsidR="007E3F71" w:rsidRPr="00211EB6">
        <w:rPr>
          <w:i/>
        </w:rPr>
        <w:t xml:space="preserve">, </w:t>
      </w:r>
      <w:proofErr w:type="spellStart"/>
      <w:r w:rsidR="007E3F71" w:rsidRPr="00211EB6">
        <w:rPr>
          <w:i/>
        </w:rPr>
        <w:t>Pongamia</w:t>
      </w:r>
      <w:proofErr w:type="spellEnd"/>
      <w:r w:rsidR="007E3F71" w:rsidRPr="00211EB6">
        <w:rPr>
          <w:i/>
        </w:rPr>
        <w:t xml:space="preserve"> </w:t>
      </w:r>
      <w:proofErr w:type="spellStart"/>
      <w:r w:rsidR="007E3F71" w:rsidRPr="00211EB6">
        <w:rPr>
          <w:i/>
        </w:rPr>
        <w:t>glabra</w:t>
      </w:r>
      <w:proofErr w:type="spellEnd"/>
      <w:r w:rsidR="007E3F71" w:rsidRPr="00211EB6">
        <w:rPr>
          <w:i/>
        </w:rPr>
        <w:t xml:space="preserve">, </w:t>
      </w:r>
      <w:r w:rsidR="007E3F71" w:rsidRPr="00211EB6">
        <w:t>garlic</w:t>
      </w:r>
      <w:r w:rsidR="007E3F71" w:rsidRPr="00211EB6">
        <w:rPr>
          <w:i/>
        </w:rPr>
        <w:t xml:space="preserve">, </w:t>
      </w:r>
      <w:proofErr w:type="spellStart"/>
      <w:r w:rsidR="007E3F71" w:rsidRPr="00211EB6">
        <w:rPr>
          <w:i/>
        </w:rPr>
        <w:t>Swietenia</w:t>
      </w:r>
      <w:proofErr w:type="spellEnd"/>
      <w:r w:rsidR="007E3F71" w:rsidRPr="00211EB6">
        <w:rPr>
          <w:i/>
        </w:rPr>
        <w:t xml:space="preserve"> </w:t>
      </w:r>
      <w:proofErr w:type="spellStart"/>
      <w:r w:rsidR="007E3F71" w:rsidRPr="00211EB6">
        <w:rPr>
          <w:i/>
        </w:rPr>
        <w:t>mahagoni</w:t>
      </w:r>
      <w:proofErr w:type="spellEnd"/>
      <w:r w:rsidR="007E3F71" w:rsidRPr="00211EB6">
        <w:rPr>
          <w:i/>
        </w:rPr>
        <w:t xml:space="preserve"> </w:t>
      </w:r>
      <w:r w:rsidR="007E3F71" w:rsidRPr="00211EB6">
        <w:t>seeds</w:t>
      </w:r>
      <w:r w:rsidR="007E3F71" w:rsidRPr="00211EB6">
        <w:rPr>
          <w:i/>
        </w:rPr>
        <w:t xml:space="preserve">, </w:t>
      </w:r>
      <w:proofErr w:type="spellStart"/>
      <w:r w:rsidR="007E3F71" w:rsidRPr="00211EB6">
        <w:rPr>
          <w:i/>
        </w:rPr>
        <w:t>Sophora</w:t>
      </w:r>
      <w:proofErr w:type="spellEnd"/>
      <w:r w:rsidR="007E3F71" w:rsidRPr="00211EB6">
        <w:rPr>
          <w:i/>
        </w:rPr>
        <w:t xml:space="preserve"> </w:t>
      </w:r>
      <w:proofErr w:type="spellStart"/>
      <w:r w:rsidR="007E3F71" w:rsidRPr="00211EB6">
        <w:rPr>
          <w:i/>
        </w:rPr>
        <w:t>flavescens</w:t>
      </w:r>
      <w:proofErr w:type="spellEnd"/>
      <w:r w:rsidR="007E3F71" w:rsidRPr="00211EB6">
        <w:rPr>
          <w:i/>
        </w:rPr>
        <w:t xml:space="preserve">, </w:t>
      </w:r>
      <w:proofErr w:type="spellStart"/>
      <w:r w:rsidR="007E3F71" w:rsidRPr="00211EB6">
        <w:rPr>
          <w:i/>
        </w:rPr>
        <w:t>Acorus</w:t>
      </w:r>
      <w:proofErr w:type="spellEnd"/>
      <w:r w:rsidR="007E3F71" w:rsidRPr="00211EB6">
        <w:rPr>
          <w:i/>
        </w:rPr>
        <w:t xml:space="preserve"> </w:t>
      </w:r>
      <w:proofErr w:type="spellStart"/>
      <w:r w:rsidR="007E3F71" w:rsidRPr="00211EB6">
        <w:rPr>
          <w:i/>
        </w:rPr>
        <w:t>calamus</w:t>
      </w:r>
      <w:proofErr w:type="spellEnd"/>
      <w:r w:rsidR="007E3F71" w:rsidRPr="00211EB6">
        <w:rPr>
          <w:i/>
        </w:rPr>
        <w:t xml:space="preserve"> rhizomes, Xanthium </w:t>
      </w:r>
      <w:proofErr w:type="spellStart"/>
      <w:r w:rsidR="007E3F71" w:rsidRPr="00211EB6">
        <w:rPr>
          <w:i/>
        </w:rPr>
        <w:t>strumarium</w:t>
      </w:r>
      <w:proofErr w:type="spellEnd"/>
      <w:r w:rsidR="007E3F71" w:rsidRPr="00211EB6">
        <w:rPr>
          <w:i/>
        </w:rPr>
        <w:t xml:space="preserve">, </w:t>
      </w:r>
      <w:proofErr w:type="spellStart"/>
      <w:r w:rsidR="007E3F71" w:rsidRPr="00211EB6">
        <w:rPr>
          <w:i/>
        </w:rPr>
        <w:t>Clerodendrum</w:t>
      </w:r>
      <w:proofErr w:type="spellEnd"/>
      <w:r w:rsidR="007E3F71" w:rsidRPr="00211EB6">
        <w:rPr>
          <w:i/>
        </w:rPr>
        <w:t xml:space="preserve"> </w:t>
      </w:r>
      <w:proofErr w:type="spellStart"/>
      <w:r w:rsidR="007E3F71" w:rsidRPr="00211EB6">
        <w:rPr>
          <w:i/>
        </w:rPr>
        <w:t>infortunatum</w:t>
      </w:r>
      <w:proofErr w:type="spellEnd"/>
      <w:r w:rsidR="007E3F71" w:rsidRPr="00211EB6">
        <w:rPr>
          <w:i/>
        </w:rPr>
        <w:t xml:space="preserve">, </w:t>
      </w:r>
      <w:proofErr w:type="spellStart"/>
      <w:r w:rsidR="007E3F71" w:rsidRPr="00211EB6">
        <w:rPr>
          <w:i/>
        </w:rPr>
        <w:t>Aegle</w:t>
      </w:r>
      <w:proofErr w:type="spellEnd"/>
      <w:r w:rsidR="007E3F71" w:rsidRPr="00211EB6">
        <w:rPr>
          <w:i/>
        </w:rPr>
        <w:t xml:space="preserve"> </w:t>
      </w:r>
      <w:proofErr w:type="spellStart"/>
      <w:r w:rsidR="007E3F71" w:rsidRPr="00211EB6">
        <w:rPr>
          <w:i/>
        </w:rPr>
        <w:t>marmelos</w:t>
      </w:r>
      <w:proofErr w:type="spellEnd"/>
      <w:r w:rsidR="007E3F71" w:rsidRPr="00211EB6">
        <w:rPr>
          <w:i/>
        </w:rPr>
        <w:t xml:space="preserve">, </w:t>
      </w:r>
      <w:proofErr w:type="spellStart"/>
      <w:r w:rsidR="007E3F71" w:rsidRPr="00211EB6">
        <w:rPr>
          <w:i/>
        </w:rPr>
        <w:t>Clerodendrum</w:t>
      </w:r>
      <w:proofErr w:type="spellEnd"/>
      <w:r w:rsidR="007E3F71" w:rsidRPr="00211EB6">
        <w:rPr>
          <w:i/>
        </w:rPr>
        <w:t xml:space="preserve"> </w:t>
      </w:r>
      <w:proofErr w:type="spellStart"/>
      <w:r w:rsidR="007E3F71" w:rsidRPr="00211EB6">
        <w:rPr>
          <w:i/>
        </w:rPr>
        <w:t>inerme</w:t>
      </w:r>
      <w:proofErr w:type="spellEnd"/>
      <w:r w:rsidR="007E3F71" w:rsidRPr="00211EB6">
        <w:rPr>
          <w:i/>
        </w:rPr>
        <w:t xml:space="preserve">, </w:t>
      </w:r>
      <w:proofErr w:type="spellStart"/>
      <w:r w:rsidR="007E3F71" w:rsidRPr="00211EB6">
        <w:rPr>
          <w:i/>
        </w:rPr>
        <w:t>Phlogacanthus</w:t>
      </w:r>
      <w:proofErr w:type="spellEnd"/>
      <w:r w:rsidR="007E3F71" w:rsidRPr="00211EB6">
        <w:rPr>
          <w:i/>
        </w:rPr>
        <w:t xml:space="preserve"> </w:t>
      </w:r>
      <w:proofErr w:type="spellStart"/>
      <w:r w:rsidR="007E3F71" w:rsidRPr="00211EB6">
        <w:rPr>
          <w:i/>
        </w:rPr>
        <w:t>tubiflorus</w:t>
      </w:r>
      <w:proofErr w:type="spellEnd"/>
      <w:r w:rsidR="007E3F71" w:rsidRPr="00211EB6">
        <w:rPr>
          <w:i/>
        </w:rPr>
        <w:t xml:space="preserve">, </w:t>
      </w:r>
      <w:proofErr w:type="spellStart"/>
      <w:r w:rsidR="007E3F71" w:rsidRPr="00211EB6">
        <w:rPr>
          <w:i/>
        </w:rPr>
        <w:t>Achanthus</w:t>
      </w:r>
      <w:proofErr w:type="spellEnd"/>
      <w:r w:rsidR="007E3F71" w:rsidRPr="00211EB6">
        <w:rPr>
          <w:i/>
        </w:rPr>
        <w:t xml:space="preserve"> </w:t>
      </w:r>
      <w:proofErr w:type="spellStart"/>
      <w:r w:rsidR="007E3F71" w:rsidRPr="00211EB6">
        <w:rPr>
          <w:i/>
        </w:rPr>
        <w:t>aspera</w:t>
      </w:r>
      <w:proofErr w:type="spellEnd"/>
      <w:r w:rsidR="007E3F71" w:rsidRPr="00211EB6">
        <w:rPr>
          <w:i/>
        </w:rPr>
        <w:t xml:space="preserve">, Artemisia </w:t>
      </w:r>
      <w:proofErr w:type="spellStart"/>
      <w:r w:rsidR="007E3F71" w:rsidRPr="00211EB6">
        <w:rPr>
          <w:i/>
        </w:rPr>
        <w:t>nilagirica</w:t>
      </w:r>
      <w:proofErr w:type="spellEnd"/>
      <w:r w:rsidR="007E3F71" w:rsidRPr="00211EB6">
        <w:rPr>
          <w:i/>
        </w:rPr>
        <w:t xml:space="preserve">, </w:t>
      </w:r>
      <w:proofErr w:type="spellStart"/>
      <w:r w:rsidR="007E3F71" w:rsidRPr="00211EB6">
        <w:rPr>
          <w:i/>
        </w:rPr>
        <w:t>Phyllanthus</w:t>
      </w:r>
      <w:proofErr w:type="spellEnd"/>
      <w:r w:rsidR="007E3F71" w:rsidRPr="00211EB6">
        <w:rPr>
          <w:i/>
        </w:rPr>
        <w:t xml:space="preserve"> </w:t>
      </w:r>
      <w:proofErr w:type="spellStart"/>
      <w:r w:rsidR="007E3F71" w:rsidRPr="00211EB6">
        <w:rPr>
          <w:i/>
        </w:rPr>
        <w:t>amarus</w:t>
      </w:r>
      <w:proofErr w:type="spellEnd"/>
      <w:r w:rsidR="00435BA0" w:rsidRPr="00211EB6">
        <w:t xml:space="preserve"> and </w:t>
      </w:r>
      <w:r w:rsidR="007E3F71" w:rsidRPr="00211EB6">
        <w:rPr>
          <w:i/>
        </w:rPr>
        <w:t xml:space="preserve">Lantana </w:t>
      </w:r>
      <w:proofErr w:type="spellStart"/>
      <w:r w:rsidR="007E3F71" w:rsidRPr="00211EB6">
        <w:rPr>
          <w:i/>
        </w:rPr>
        <w:t>camara</w:t>
      </w:r>
      <w:proofErr w:type="spellEnd"/>
      <w:r w:rsidR="00435BA0" w:rsidRPr="00211EB6">
        <w:t>.</w:t>
      </w:r>
      <w:r w:rsidRPr="00211EB6">
        <w:t xml:space="preserve"> </w:t>
      </w:r>
      <w:proofErr w:type="spellStart"/>
      <w:r w:rsidRPr="00211EB6">
        <w:t>Mamun</w:t>
      </w:r>
      <w:proofErr w:type="spellEnd"/>
      <w:r w:rsidRPr="00211EB6">
        <w:t xml:space="preserve"> and Ahmed (2011) reviewed the widely available indigenous plants that may be used for the control of pests of tea in Bangladesh. </w:t>
      </w:r>
      <w:r w:rsidR="008A190B" w:rsidRPr="00211EB6">
        <w:t>They report that b</w:t>
      </w:r>
      <w:r w:rsidR="0037035C" w:rsidRPr="00211EB6">
        <w:t xml:space="preserve">otanical products are environmentally safe, less hazardous, economic and easily available. Several of the indigenous plant extracts reviewed can effectively be used to control red spider mites on tea, such as the extracts of </w:t>
      </w:r>
      <w:proofErr w:type="spellStart"/>
      <w:r w:rsidR="0037035C" w:rsidRPr="00211EB6">
        <w:t>karanja</w:t>
      </w:r>
      <w:proofErr w:type="spellEnd"/>
      <w:r w:rsidR="0037035C" w:rsidRPr="00211EB6">
        <w:t xml:space="preserve"> (</w:t>
      </w:r>
      <w:proofErr w:type="spellStart"/>
      <w:r w:rsidR="0037035C" w:rsidRPr="00211EB6">
        <w:rPr>
          <w:i/>
        </w:rPr>
        <w:t>Pongamia</w:t>
      </w:r>
      <w:proofErr w:type="spellEnd"/>
      <w:r w:rsidR="0037035C" w:rsidRPr="00211EB6">
        <w:rPr>
          <w:i/>
        </w:rPr>
        <w:t xml:space="preserve"> </w:t>
      </w:r>
      <w:proofErr w:type="spellStart"/>
      <w:r w:rsidR="0037035C" w:rsidRPr="00211EB6">
        <w:rPr>
          <w:i/>
        </w:rPr>
        <w:t>pinnata</w:t>
      </w:r>
      <w:proofErr w:type="spellEnd"/>
      <w:r w:rsidR="0037035C" w:rsidRPr="00211EB6">
        <w:t>), sweet flag (</w:t>
      </w:r>
      <w:proofErr w:type="spellStart"/>
      <w:r w:rsidR="0037035C" w:rsidRPr="00211EB6">
        <w:rPr>
          <w:i/>
        </w:rPr>
        <w:t>Acorus</w:t>
      </w:r>
      <w:proofErr w:type="spellEnd"/>
      <w:r w:rsidR="0037035C" w:rsidRPr="00211EB6">
        <w:rPr>
          <w:i/>
        </w:rPr>
        <w:t xml:space="preserve"> </w:t>
      </w:r>
      <w:proofErr w:type="spellStart"/>
      <w:r w:rsidR="0037035C" w:rsidRPr="00211EB6">
        <w:rPr>
          <w:i/>
        </w:rPr>
        <w:t>calamus</w:t>
      </w:r>
      <w:proofErr w:type="spellEnd"/>
      <w:r w:rsidR="0037035C" w:rsidRPr="00211EB6">
        <w:t>), coriander (</w:t>
      </w:r>
      <w:proofErr w:type="spellStart"/>
      <w:r w:rsidR="0037035C" w:rsidRPr="00211EB6">
        <w:rPr>
          <w:i/>
        </w:rPr>
        <w:t>Coriandrum</w:t>
      </w:r>
      <w:proofErr w:type="spellEnd"/>
      <w:r w:rsidR="0037035C" w:rsidRPr="00211EB6">
        <w:rPr>
          <w:i/>
        </w:rPr>
        <w:t xml:space="preserve"> </w:t>
      </w:r>
      <w:proofErr w:type="spellStart"/>
      <w:r w:rsidR="0037035C" w:rsidRPr="00211EB6">
        <w:rPr>
          <w:i/>
        </w:rPr>
        <w:t>sativum</w:t>
      </w:r>
      <w:proofErr w:type="spellEnd"/>
      <w:r w:rsidR="0037035C" w:rsidRPr="00211EB6">
        <w:t xml:space="preserve">) and </w:t>
      </w:r>
      <w:proofErr w:type="spellStart"/>
      <w:r w:rsidR="0037035C" w:rsidRPr="00211EB6">
        <w:t>artemesia</w:t>
      </w:r>
      <w:proofErr w:type="spellEnd"/>
      <w:r w:rsidR="0037035C" w:rsidRPr="00211EB6">
        <w:t xml:space="preserve"> (</w:t>
      </w:r>
      <w:r w:rsidR="0037035C" w:rsidRPr="00211EB6">
        <w:rPr>
          <w:i/>
        </w:rPr>
        <w:t>Artemisia vulgaris</w:t>
      </w:r>
      <w:r w:rsidR="0037035C" w:rsidRPr="00211EB6">
        <w:t>).</w:t>
      </w:r>
      <w:r w:rsidR="00E1186F" w:rsidRPr="00211EB6">
        <w:t xml:space="preserve"> One botanical preparation – </w:t>
      </w:r>
      <w:proofErr w:type="spellStart"/>
      <w:r w:rsidR="00E1186F" w:rsidRPr="00211EB6">
        <w:t>neem</w:t>
      </w:r>
      <w:proofErr w:type="spellEnd"/>
      <w:r w:rsidR="00E1186F" w:rsidRPr="00211EB6">
        <w:t xml:space="preserve"> or </w:t>
      </w:r>
      <w:proofErr w:type="spellStart"/>
      <w:r w:rsidR="00E1186F" w:rsidRPr="00211EB6">
        <w:t>azadiractin</w:t>
      </w:r>
      <w:proofErr w:type="spellEnd"/>
      <w:r w:rsidR="00E1186F" w:rsidRPr="00211EB6">
        <w:t xml:space="preserve"> – is approved by the Government of India for mite control on tea (PAN and IPEN 2016)</w:t>
      </w:r>
      <w:r w:rsidR="00252EBD" w:rsidRPr="00211EB6">
        <w:t>.</w:t>
      </w:r>
      <w:r w:rsidR="00161E99" w:rsidRPr="00211EB6">
        <w:rPr>
          <w:rStyle w:val="FootnoteReference"/>
        </w:rPr>
        <w:footnoteReference w:id="18"/>
      </w:r>
    </w:p>
    <w:p w14:paraId="7F9AE305" w14:textId="7096CF62" w:rsidR="00400690" w:rsidRPr="00211EB6" w:rsidRDefault="00400690" w:rsidP="008C6BCB">
      <w:pPr>
        <w:pStyle w:val="Normalnumber"/>
        <w:numPr>
          <w:ilvl w:val="0"/>
          <w:numId w:val="34"/>
        </w:numPr>
        <w:tabs>
          <w:tab w:val="clear" w:pos="1440"/>
        </w:tabs>
        <w:ind w:left="0" w:firstLine="0"/>
      </w:pPr>
      <w:r w:rsidRPr="00211EB6">
        <w:t>All the biological alternatives described above are already in use and therefore technically feasible</w:t>
      </w:r>
      <w:r w:rsidR="008A190B" w:rsidRPr="00211EB6">
        <w:t>, at least in the geographical and other circumstances where they are applied</w:t>
      </w:r>
      <w:r w:rsidRPr="00211EB6">
        <w:t>. They are al</w:t>
      </w:r>
      <w:r w:rsidR="007027F3" w:rsidRPr="00211EB6">
        <w:t>s</w:t>
      </w:r>
      <w:r w:rsidRPr="00211EB6">
        <w:t xml:space="preserve">o widely accessible, including in developing countries. </w:t>
      </w:r>
      <w:r w:rsidR="00E96D65" w:rsidRPr="00211EB6">
        <w:t>No information</w:t>
      </w:r>
      <w:r w:rsidRPr="00211EB6">
        <w:t xml:space="preserve"> on the costs of replacing </w:t>
      </w:r>
      <w:proofErr w:type="spellStart"/>
      <w:r w:rsidRPr="00211EB6">
        <w:t>dicofol</w:t>
      </w:r>
      <w:proofErr w:type="spellEnd"/>
      <w:r w:rsidRPr="00211EB6">
        <w:t xml:space="preserve"> with biological alternatives</w:t>
      </w:r>
      <w:r w:rsidR="00E96D65" w:rsidRPr="00211EB6">
        <w:t xml:space="preserve"> was found.</w:t>
      </w:r>
      <w:r w:rsidR="00F121A5" w:rsidRPr="00211EB6">
        <w:t xml:space="preserve"> As stated in </w:t>
      </w:r>
      <w:r w:rsidR="00F50791" w:rsidRPr="00211EB6">
        <w:t xml:space="preserve">the </w:t>
      </w:r>
      <w:r w:rsidR="00F121A5" w:rsidRPr="00211EB6">
        <w:t xml:space="preserve">section on technical feasibility, </w:t>
      </w:r>
      <w:proofErr w:type="spellStart"/>
      <w:r w:rsidR="00F121A5" w:rsidRPr="00211EB6">
        <w:t>Eyhorn</w:t>
      </w:r>
      <w:proofErr w:type="spellEnd"/>
      <w:r w:rsidR="00F121A5" w:rsidRPr="00211EB6">
        <w:t xml:space="preserve"> (2007) reported that the longer term economic position of using organic </w:t>
      </w:r>
      <w:proofErr w:type="spellStart"/>
      <w:r w:rsidR="00F121A5" w:rsidRPr="00211EB6">
        <w:t>agroecologica</w:t>
      </w:r>
      <w:r w:rsidR="00A97444" w:rsidRPr="00211EB6">
        <w:t>l</w:t>
      </w:r>
      <w:proofErr w:type="spellEnd"/>
      <w:r w:rsidR="00F121A5" w:rsidRPr="00211EB6">
        <w:t xml:space="preserve"> approaches on cotton fields compared to chemical approaches was good with cost neutral / cost savings. However, it was likely only wealthier farmers would be able to make such a change due to the costs of the transitional year.</w:t>
      </w:r>
    </w:p>
    <w:p w14:paraId="62F2F337" w14:textId="77777777" w:rsidR="00400690" w:rsidRPr="00211EB6" w:rsidRDefault="00400690" w:rsidP="00EE4FB5">
      <w:pPr>
        <w:pStyle w:val="Heading5"/>
        <w:numPr>
          <w:ilvl w:val="0"/>
          <w:numId w:val="0"/>
        </w:numPr>
        <w:ind w:left="1009" w:hanging="1009"/>
      </w:pPr>
      <w:r w:rsidRPr="00211EB6">
        <w:t>Agricultural practices</w:t>
      </w:r>
      <w:r w:rsidR="00E1186F" w:rsidRPr="00211EB6">
        <w:t xml:space="preserve">, </w:t>
      </w:r>
      <w:proofErr w:type="spellStart"/>
      <w:r w:rsidR="00E1186F" w:rsidRPr="00211EB6">
        <w:t>agroecology</w:t>
      </w:r>
      <w:proofErr w:type="spellEnd"/>
      <w:r w:rsidR="00E1186F" w:rsidRPr="00211EB6">
        <w:t>, organics</w:t>
      </w:r>
      <w:r w:rsidRPr="00211EB6">
        <w:t xml:space="preserve"> and Integrated Pest Management (IPM)</w:t>
      </w:r>
    </w:p>
    <w:p w14:paraId="1D696351" w14:textId="24D23136" w:rsidR="00400690" w:rsidRPr="00211EB6" w:rsidRDefault="00400690" w:rsidP="008C6BCB">
      <w:pPr>
        <w:pStyle w:val="Normalnumber"/>
        <w:numPr>
          <w:ilvl w:val="0"/>
          <w:numId w:val="34"/>
        </w:numPr>
        <w:tabs>
          <w:tab w:val="clear" w:pos="1440"/>
        </w:tabs>
        <w:ind w:left="0" w:firstLine="0"/>
      </w:pPr>
      <w:r w:rsidRPr="00211EB6">
        <w:t xml:space="preserve">Agricultural practices </w:t>
      </w:r>
      <w:r w:rsidR="008A190B" w:rsidRPr="00211EB6">
        <w:t xml:space="preserve">herein </w:t>
      </w:r>
      <w:r w:rsidRPr="00211EB6">
        <w:t>mean any cultural practice to support pest management. The agricultural practices include</w:t>
      </w:r>
      <w:r w:rsidR="00BB4174" w:rsidRPr="00211EB6">
        <w:t>d here are</w:t>
      </w:r>
      <w:r w:rsidRPr="00211EB6">
        <w:t xml:space="preserve"> mainly practices that are used in </w:t>
      </w:r>
      <w:proofErr w:type="spellStart"/>
      <w:r w:rsidR="00BB4174" w:rsidRPr="00211EB6">
        <w:t>agroecology</w:t>
      </w:r>
      <w:proofErr w:type="spellEnd"/>
      <w:r w:rsidR="00BB4174" w:rsidRPr="00211EB6">
        <w:t xml:space="preserve">, </w:t>
      </w:r>
      <w:r w:rsidRPr="00211EB6">
        <w:t>IPM and organic farming, such as varietal selection, use of certified pest free plants, selection of appropriate planting time, crop rotation or the use of botanical pesticides</w:t>
      </w:r>
      <w:r w:rsidR="00BB4174" w:rsidRPr="00211EB6">
        <w:t xml:space="preserve"> or biological controls</w:t>
      </w:r>
      <w:r w:rsidRPr="00211EB6">
        <w:t xml:space="preserve">. </w:t>
      </w:r>
    </w:p>
    <w:p w14:paraId="6F13E833" w14:textId="47DCA68D" w:rsidR="00400690" w:rsidRPr="00211EB6" w:rsidRDefault="00BB4174" w:rsidP="008C6BCB">
      <w:pPr>
        <w:pStyle w:val="Normalnumber"/>
        <w:numPr>
          <w:ilvl w:val="0"/>
          <w:numId w:val="34"/>
        </w:numPr>
        <w:tabs>
          <w:tab w:val="clear" w:pos="1440"/>
        </w:tabs>
        <w:ind w:left="0" w:firstLine="0"/>
      </w:pPr>
      <w:proofErr w:type="spellStart"/>
      <w:r w:rsidRPr="00211EB6">
        <w:t>Agroecology</w:t>
      </w:r>
      <w:proofErr w:type="spellEnd"/>
      <w:r w:rsidRPr="00211EB6">
        <w:t>, organic</w:t>
      </w:r>
      <w:r w:rsidR="00793F96" w:rsidRPr="00211EB6">
        <w:t xml:space="preserve"> farming</w:t>
      </w:r>
      <w:r w:rsidRPr="00211EB6">
        <w:t xml:space="preserve"> and </w:t>
      </w:r>
      <w:r w:rsidR="00400690" w:rsidRPr="00211EB6">
        <w:t xml:space="preserve">IPM </w:t>
      </w:r>
      <w:r w:rsidRPr="00211EB6">
        <w:t>all</w:t>
      </w:r>
      <w:r w:rsidR="00400690" w:rsidRPr="00211EB6">
        <w:t xml:space="preserve"> </w:t>
      </w:r>
      <w:r w:rsidR="009203DB" w:rsidRPr="00211EB6">
        <w:t>emphasize</w:t>
      </w:r>
      <w:r w:rsidR="00400690" w:rsidRPr="00211EB6">
        <w:t xml:space="preserve"> the growth of a healthy crop with the least possible disruption to agro-ecosystems and encourage natural pest control mechanisms. </w:t>
      </w:r>
    </w:p>
    <w:p w14:paraId="69BFDB32" w14:textId="5D48951A" w:rsidR="00400690" w:rsidRPr="00211EB6" w:rsidRDefault="00400690" w:rsidP="008C6BCB">
      <w:pPr>
        <w:pStyle w:val="Normalnumber"/>
        <w:numPr>
          <w:ilvl w:val="0"/>
          <w:numId w:val="34"/>
        </w:numPr>
        <w:tabs>
          <w:tab w:val="clear" w:pos="1440"/>
        </w:tabs>
        <w:ind w:left="0" w:firstLine="0"/>
      </w:pPr>
      <w:r w:rsidRPr="00211EB6">
        <w:t>Manners</w:t>
      </w:r>
      <w:r w:rsidR="001F51DB" w:rsidRPr="00211EB6">
        <w:t xml:space="preserve"> (</w:t>
      </w:r>
      <w:r w:rsidRPr="00211EB6">
        <w:t>2013</w:t>
      </w:r>
      <w:r w:rsidR="001F51DB" w:rsidRPr="00211EB6">
        <w:t>)</w:t>
      </w:r>
      <w:r w:rsidRPr="00211EB6">
        <w:t xml:space="preserve"> mentions a number of relatively simple practices to reduce the likelihood that the two spotted spider mite (TSM) will infest or re-infest crops, such as: </w:t>
      </w:r>
      <w:r w:rsidR="00BB4174" w:rsidRPr="00211EB6">
        <w:t>“</w:t>
      </w:r>
      <w:r w:rsidRPr="00211EB6">
        <w:t xml:space="preserve">1. </w:t>
      </w:r>
      <w:proofErr w:type="gramStart"/>
      <w:r w:rsidR="00BB4174" w:rsidRPr="00211EB6">
        <w:t>W</w:t>
      </w:r>
      <w:r w:rsidRPr="00211EB6">
        <w:t>herever</w:t>
      </w:r>
      <w:proofErr w:type="gramEnd"/>
      <w:r w:rsidRPr="00211EB6">
        <w:t xml:space="preserve"> possible, reduce weeds that may harbour TSM, particularly </w:t>
      </w:r>
      <w:proofErr w:type="spellStart"/>
      <w:r w:rsidRPr="00211EB6">
        <w:t>solanaceous</w:t>
      </w:r>
      <w:proofErr w:type="spellEnd"/>
      <w:r w:rsidRPr="00211EB6">
        <w:t xml:space="preserve"> weeds, clover and mallows. 2. Avoid introducing infested seedlings or other plant material into the crop. 3. Remove/quarantine old, infested plants that may be a source of mites for new plantings.  4. In glasshouses, mite-proof screens and doors can sometimes be installed to reduce the likelihood of pests entering. 5. Reduce staff movement in and through areas that are known to have mite populations.  6. Overhead watering may help reduce populations of TSM. However, be aware that wet plants are more difficult to monitor when using methods such as beating.  7. Identify infestations early through regular monitoring. 8. Examine monitoring records to determine patterns in farm infestations."</w:t>
      </w:r>
    </w:p>
    <w:p w14:paraId="09769028" w14:textId="40011469" w:rsidR="00400690" w:rsidRPr="00211EB6" w:rsidRDefault="00D01340" w:rsidP="008C6BCB">
      <w:pPr>
        <w:pStyle w:val="Normalnumber"/>
        <w:numPr>
          <w:ilvl w:val="0"/>
          <w:numId w:val="34"/>
        </w:numPr>
        <w:tabs>
          <w:tab w:val="clear" w:pos="1440"/>
        </w:tabs>
        <w:ind w:left="0" w:firstLine="0"/>
      </w:pPr>
      <w:r w:rsidRPr="00211EB6">
        <w:t xml:space="preserve">Chen </w:t>
      </w:r>
      <w:r w:rsidR="00876212" w:rsidRPr="00211EB6">
        <w:t>and Kwan</w:t>
      </w:r>
      <w:r w:rsidRPr="00211EB6">
        <w:t xml:space="preserve"> </w:t>
      </w:r>
      <w:r w:rsidR="00BB4174" w:rsidRPr="00211EB6">
        <w:t>(</w:t>
      </w:r>
      <w:r w:rsidRPr="00211EB6">
        <w:t>2013</w:t>
      </w:r>
      <w:r w:rsidR="00BB4174" w:rsidRPr="00211EB6">
        <w:t>)</w:t>
      </w:r>
      <w:r w:rsidRPr="00211EB6">
        <w:t xml:space="preserve"> document</w:t>
      </w:r>
      <w:r w:rsidR="00BB4174" w:rsidRPr="00211EB6">
        <w:t>ed</w:t>
      </w:r>
      <w:r w:rsidRPr="00211EB6">
        <w:t xml:space="preserve"> </w:t>
      </w:r>
      <w:r w:rsidR="002A7081" w:rsidRPr="00211EB6">
        <w:t xml:space="preserve">IPM </w:t>
      </w:r>
      <w:r w:rsidR="00400690" w:rsidRPr="00211EB6">
        <w:t>technologies for leaf mites control in China</w:t>
      </w:r>
      <w:r w:rsidR="003E6495" w:rsidRPr="00211EB6">
        <w:t>.</w:t>
      </w:r>
      <w:r w:rsidR="00400690" w:rsidRPr="00211EB6">
        <w:t xml:space="preserve">  </w:t>
      </w:r>
      <w:r w:rsidR="009B0393" w:rsidRPr="00211EB6">
        <w:t xml:space="preserve">Overall, the IPM demonstration in the three demonstration sites covered a total area of </w:t>
      </w:r>
      <w:r w:rsidR="003274F5" w:rsidRPr="00211EB6">
        <w:t xml:space="preserve">31,000 hectares (reported as 465,447 </w:t>
      </w:r>
      <w:proofErr w:type="gramStart"/>
      <w:r w:rsidR="003274F5" w:rsidRPr="00211EB6">
        <w:t>mu</w:t>
      </w:r>
      <w:proofErr w:type="gramEnd"/>
      <w:r w:rsidR="003274F5" w:rsidRPr="00211EB6">
        <w:t xml:space="preserve"> in Chen and Kwan, 2013)</w:t>
      </w:r>
      <w:r w:rsidR="009B0393" w:rsidRPr="00211EB6">
        <w:t xml:space="preserve">. The demonstration areas covered 11 towns, 200 villages, with participation of over 1,800 families. Through demonstration, 8 types of alternatives were identified as economically viable substitute of </w:t>
      </w:r>
      <w:proofErr w:type="spellStart"/>
      <w:r w:rsidR="009B0393" w:rsidRPr="00211EB6">
        <w:t>dicofol</w:t>
      </w:r>
      <w:proofErr w:type="spellEnd"/>
      <w:r w:rsidR="009B0393" w:rsidRPr="00211EB6">
        <w:t xml:space="preserve"> for mites control for cotton. </w:t>
      </w:r>
      <w:r w:rsidR="00400690" w:rsidRPr="00211EB6">
        <w:t xml:space="preserve">The project concludes that the successful introduction, demonstration and promotion of IPM technologies to substitute </w:t>
      </w:r>
      <w:proofErr w:type="spellStart"/>
      <w:r w:rsidR="00400690" w:rsidRPr="00211EB6">
        <w:t>dicofol</w:t>
      </w:r>
      <w:proofErr w:type="spellEnd"/>
      <w:r w:rsidR="00400690" w:rsidRPr="00211EB6">
        <w:t xml:space="preserve"> usage provided a viable alternative to pesticide use, resulted in significant benefits to the farmers in terms of reduced quantity and frequency of pesticide use, increased quantity and improved quality of crops, expanded market and export potential</w:t>
      </w:r>
      <w:r w:rsidR="008A190B" w:rsidRPr="00211EB6">
        <w:t xml:space="preserve"> and</w:t>
      </w:r>
      <w:r w:rsidR="00400690" w:rsidRPr="00211EB6">
        <w:t xml:space="preserve"> generated increased profit. Furthermore, the elimination of </w:t>
      </w:r>
      <w:proofErr w:type="spellStart"/>
      <w:r w:rsidR="00400690" w:rsidRPr="00211EB6">
        <w:t>dicofol</w:t>
      </w:r>
      <w:proofErr w:type="spellEnd"/>
      <w:r w:rsidR="00400690" w:rsidRPr="00211EB6">
        <w:t xml:space="preserve"> use contributed to food safety, human health and the local and global environment.</w:t>
      </w:r>
      <w:r w:rsidR="001A4B48" w:rsidRPr="00211EB6">
        <w:t xml:space="preserve"> </w:t>
      </w:r>
      <w:r w:rsidR="00BB4174" w:rsidRPr="00211EB6">
        <w:t>The</w:t>
      </w:r>
      <w:r w:rsidR="007027F3" w:rsidRPr="00211EB6">
        <w:t xml:space="preserve"> </w:t>
      </w:r>
      <w:r w:rsidR="00400690" w:rsidRPr="00211EB6">
        <w:t xml:space="preserve">IPM </w:t>
      </w:r>
      <w:r w:rsidR="001A4B48" w:rsidRPr="00211EB6">
        <w:t>techniques</w:t>
      </w:r>
      <w:r w:rsidR="00400690" w:rsidRPr="00211EB6">
        <w:t xml:space="preserve"> effectively implemented and demonstrated in three counties in China on cotton, citrus and apples</w:t>
      </w:r>
      <w:r w:rsidR="001A4B48" w:rsidRPr="00211EB6">
        <w:t>, included</w:t>
      </w:r>
      <w:r w:rsidR="001F741D" w:rsidRPr="00211EB6">
        <w:t xml:space="preserve"> for example the investigation and forecast of the development of leaf mite in order to keep timely and effective control; increase </w:t>
      </w:r>
      <w:r w:rsidR="001A4B48" w:rsidRPr="00211EB6">
        <w:t xml:space="preserve">in </w:t>
      </w:r>
      <w:r w:rsidR="001F741D" w:rsidRPr="00211EB6">
        <w:t xml:space="preserve">cover plants in orchards </w:t>
      </w:r>
      <w:r w:rsidR="001A4B48" w:rsidRPr="00211EB6">
        <w:t>to</w:t>
      </w:r>
      <w:r w:rsidR="001F741D" w:rsidRPr="00211EB6">
        <w:t xml:space="preserve"> provide habitat to natural enemies of leaf mite; the adjustment of cultivation </w:t>
      </w:r>
      <w:r w:rsidR="001A4B48" w:rsidRPr="00211EB6">
        <w:t xml:space="preserve">to make it </w:t>
      </w:r>
      <w:r w:rsidR="00E96D65" w:rsidRPr="00211EB6">
        <w:t>unsuited for</w:t>
      </w:r>
      <w:r w:rsidR="001F741D" w:rsidRPr="00211EB6">
        <w:t xml:space="preserve"> the development of mites; and the improvement of varieties which could be resistant to mites.</w:t>
      </w:r>
      <w:r w:rsidR="00400690" w:rsidRPr="00211EB6">
        <w:t xml:space="preserve"> Total 3 years (2010-2012) economic benefits generated to the farmers in the three </w:t>
      </w:r>
      <w:r w:rsidR="007027F3" w:rsidRPr="00211EB6">
        <w:t xml:space="preserve">crop types </w:t>
      </w:r>
      <w:r w:rsidR="00400690" w:rsidRPr="00211EB6">
        <w:t>demonstration amounted to RMB 1,512 million</w:t>
      </w:r>
      <w:r w:rsidR="00E96D65" w:rsidRPr="00211EB6">
        <w:t xml:space="preserve"> (approximately 240 million USD in 2012)</w:t>
      </w:r>
      <w:r w:rsidR="001A4B48" w:rsidRPr="00211EB6">
        <w:t xml:space="preserve"> (</w:t>
      </w:r>
      <w:r w:rsidR="00876212" w:rsidRPr="00211EB6">
        <w:t>Chen and Kwan</w:t>
      </w:r>
      <w:r w:rsidR="001A4B48" w:rsidRPr="00211EB6">
        <w:t>, 2013</w:t>
      </w:r>
      <w:r w:rsidR="00E96D65" w:rsidRPr="00211EB6">
        <w:t>)</w:t>
      </w:r>
      <w:r w:rsidR="00400690" w:rsidRPr="00211EB6">
        <w:t xml:space="preserve">. </w:t>
      </w:r>
    </w:p>
    <w:p w14:paraId="24850DB3" w14:textId="44195A33" w:rsidR="00400690" w:rsidRPr="00211EB6" w:rsidRDefault="00400690" w:rsidP="008C6BCB">
      <w:pPr>
        <w:pStyle w:val="Normalnumber"/>
        <w:numPr>
          <w:ilvl w:val="0"/>
          <w:numId w:val="34"/>
        </w:numPr>
        <w:tabs>
          <w:tab w:val="clear" w:pos="1440"/>
        </w:tabs>
        <w:ind w:left="0" w:firstLine="0"/>
      </w:pPr>
      <w:r w:rsidRPr="00211EB6">
        <w:t xml:space="preserve">PAN and IPEN </w:t>
      </w:r>
      <w:r w:rsidR="00AC32BE" w:rsidRPr="00211EB6">
        <w:t xml:space="preserve">(2016) </w:t>
      </w:r>
      <w:r w:rsidRPr="00211EB6">
        <w:t xml:space="preserve">report on a number of recommendations for non-chemical </w:t>
      </w:r>
      <w:proofErr w:type="spellStart"/>
      <w:r w:rsidR="00AC32BE" w:rsidRPr="00211EB6">
        <w:t>agroecological</w:t>
      </w:r>
      <w:proofErr w:type="spellEnd"/>
      <w:r w:rsidR="00AC32BE" w:rsidRPr="00211EB6">
        <w:t xml:space="preserve"> </w:t>
      </w:r>
      <w:r w:rsidRPr="00211EB6">
        <w:t xml:space="preserve">and IPM control of mites in </w:t>
      </w:r>
      <w:r w:rsidR="00AC32BE" w:rsidRPr="00211EB6">
        <w:t>cotton, citrus, cut flowers and</w:t>
      </w:r>
      <w:r w:rsidRPr="00211EB6">
        <w:t xml:space="preserve"> tea. Use of good agricultural practices greatly helps to prevent mites from reaching economically damaging levels</w:t>
      </w:r>
      <w:r w:rsidR="008B1222" w:rsidRPr="00211EB6">
        <w:t>. These include</w:t>
      </w:r>
      <w:r w:rsidRPr="00211EB6">
        <w:t xml:space="preserve"> </w:t>
      </w:r>
      <w:r w:rsidR="003E6495" w:rsidRPr="00211EB6">
        <w:t>for example (but not limited to)</w:t>
      </w:r>
      <w:r w:rsidRPr="00211EB6">
        <w:t xml:space="preserve"> </w:t>
      </w:r>
      <w:r w:rsidR="00AC32BE" w:rsidRPr="00211EB6">
        <w:t>using mite-tolerant varieties;</w:t>
      </w:r>
      <w:r w:rsidRPr="00211EB6">
        <w:t xml:space="preserve"> thinning out dense shade </w:t>
      </w:r>
      <w:r w:rsidR="00AC32BE" w:rsidRPr="00211EB6">
        <w:t>in tea plantations</w:t>
      </w:r>
      <w:r w:rsidRPr="00211EB6">
        <w:t xml:space="preserve"> to prevent the excessive </w:t>
      </w:r>
      <w:proofErr w:type="spellStart"/>
      <w:r w:rsidRPr="00211EB6">
        <w:t>buil</w:t>
      </w:r>
      <w:r w:rsidR="008B1222" w:rsidRPr="00211EB6">
        <w:t>d</w:t>
      </w:r>
      <w:r w:rsidRPr="00211EB6">
        <w:t>up</w:t>
      </w:r>
      <w:proofErr w:type="spellEnd"/>
      <w:r w:rsidRPr="00211EB6">
        <w:t xml:space="preserve"> of mites; </w:t>
      </w:r>
      <w:r w:rsidR="00AC32BE" w:rsidRPr="00211EB6">
        <w:t xml:space="preserve">using cover crops in citrus orchards to provide habitat for natural enemies;; avoiding water stress; ensuring good drainage; </w:t>
      </w:r>
      <w:r w:rsidRPr="00211EB6">
        <w:t xml:space="preserve">uprooting and burning infested plants; </w:t>
      </w:r>
      <w:r w:rsidR="00AC32BE" w:rsidRPr="00211EB6">
        <w:t>removing alternate host plants (</w:t>
      </w:r>
      <w:proofErr w:type="spellStart"/>
      <w:r w:rsidR="007E3F71" w:rsidRPr="00211EB6">
        <w:rPr>
          <w:i/>
        </w:rPr>
        <w:t>Borreria</w:t>
      </w:r>
      <w:proofErr w:type="spellEnd"/>
      <w:r w:rsidR="007E3F71" w:rsidRPr="00211EB6">
        <w:rPr>
          <w:i/>
        </w:rPr>
        <w:t xml:space="preserve"> </w:t>
      </w:r>
      <w:proofErr w:type="spellStart"/>
      <w:r w:rsidR="007E3F71" w:rsidRPr="00211EB6">
        <w:rPr>
          <w:i/>
        </w:rPr>
        <w:t>hispida</w:t>
      </w:r>
      <w:proofErr w:type="spellEnd"/>
      <w:r w:rsidR="007E3F71" w:rsidRPr="00211EB6">
        <w:rPr>
          <w:i/>
        </w:rPr>
        <w:t xml:space="preserve">, </w:t>
      </w:r>
      <w:proofErr w:type="spellStart"/>
      <w:r w:rsidR="007E3F71" w:rsidRPr="00211EB6">
        <w:rPr>
          <w:i/>
        </w:rPr>
        <w:t>Scoparia</w:t>
      </w:r>
      <w:proofErr w:type="spellEnd"/>
      <w:r w:rsidR="007E3F71" w:rsidRPr="00211EB6">
        <w:rPr>
          <w:i/>
        </w:rPr>
        <w:t xml:space="preserve"> </w:t>
      </w:r>
      <w:proofErr w:type="spellStart"/>
      <w:r w:rsidR="007E3F71" w:rsidRPr="00211EB6">
        <w:rPr>
          <w:i/>
        </w:rPr>
        <w:t>dulcis</w:t>
      </w:r>
      <w:proofErr w:type="spellEnd"/>
      <w:r w:rsidR="007E3F71" w:rsidRPr="00211EB6">
        <w:rPr>
          <w:i/>
        </w:rPr>
        <w:t xml:space="preserve">, </w:t>
      </w:r>
      <w:proofErr w:type="spellStart"/>
      <w:r w:rsidR="007E3F71" w:rsidRPr="00211EB6">
        <w:rPr>
          <w:i/>
        </w:rPr>
        <w:t>Melochia</w:t>
      </w:r>
      <w:proofErr w:type="spellEnd"/>
      <w:r w:rsidR="007E3F71" w:rsidRPr="00211EB6">
        <w:rPr>
          <w:i/>
        </w:rPr>
        <w:t xml:space="preserve"> </w:t>
      </w:r>
      <w:proofErr w:type="spellStart"/>
      <w:r w:rsidR="007E3F71" w:rsidRPr="00211EB6">
        <w:rPr>
          <w:i/>
        </w:rPr>
        <w:t>corchorifolia</w:t>
      </w:r>
      <w:proofErr w:type="spellEnd"/>
      <w:r w:rsidR="00AC32BE" w:rsidRPr="00211EB6">
        <w:t xml:space="preserve"> and </w:t>
      </w:r>
      <w:proofErr w:type="spellStart"/>
      <w:r w:rsidR="007E3F71" w:rsidRPr="00211EB6">
        <w:rPr>
          <w:i/>
        </w:rPr>
        <w:t>Fussiala</w:t>
      </w:r>
      <w:proofErr w:type="spellEnd"/>
      <w:r w:rsidR="007E3F71" w:rsidRPr="00211EB6">
        <w:rPr>
          <w:i/>
        </w:rPr>
        <w:t xml:space="preserve"> </w:t>
      </w:r>
      <w:proofErr w:type="spellStart"/>
      <w:r w:rsidR="007E3F71" w:rsidRPr="00211EB6">
        <w:rPr>
          <w:i/>
        </w:rPr>
        <w:t>suffruticosa</w:t>
      </w:r>
      <w:proofErr w:type="spellEnd"/>
      <w:r w:rsidR="00AC32BE" w:rsidRPr="00211EB6">
        <w:t>) in and around tea plantations</w:t>
      </w:r>
      <w:r w:rsidR="00D164E7" w:rsidRPr="00211EB6">
        <w:t xml:space="preserve"> and</w:t>
      </w:r>
      <w:r w:rsidR="00AC32BE" w:rsidRPr="00211EB6">
        <w:t xml:space="preserve">; </w:t>
      </w:r>
      <w:r w:rsidRPr="00211EB6">
        <w:t>keeping the field free of weeds</w:t>
      </w:r>
      <w:r w:rsidR="00D164E7" w:rsidRPr="00211EB6">
        <w:t>.</w:t>
      </w:r>
    </w:p>
    <w:p w14:paraId="1F6B529A" w14:textId="737D14DB" w:rsidR="00576E08" w:rsidRPr="00211EB6" w:rsidRDefault="00576E08" w:rsidP="001E269C">
      <w:pPr>
        <w:pStyle w:val="Heading3"/>
      </w:pPr>
      <w:bookmarkStart w:id="33" w:name="_Toc483491462"/>
      <w:r w:rsidRPr="00211EB6">
        <w:t>Summary of alternatives</w:t>
      </w:r>
      <w:bookmarkEnd w:id="33"/>
    </w:p>
    <w:p w14:paraId="734CAC94" w14:textId="4DF885E4" w:rsidR="00400690" w:rsidRPr="00211EB6" w:rsidRDefault="00400690" w:rsidP="008C6BCB">
      <w:pPr>
        <w:pStyle w:val="Normalnumber"/>
        <w:numPr>
          <w:ilvl w:val="0"/>
          <w:numId w:val="34"/>
        </w:numPr>
        <w:tabs>
          <w:tab w:val="clear" w:pos="1440"/>
        </w:tabs>
        <w:ind w:left="0" w:firstLine="0"/>
        <w:rPr>
          <w:b/>
        </w:rPr>
      </w:pPr>
      <w:r w:rsidRPr="00211EB6">
        <w:t xml:space="preserve">A range of alternatives to </w:t>
      </w:r>
      <w:proofErr w:type="spellStart"/>
      <w:r w:rsidRPr="00211EB6">
        <w:t>dicofol</w:t>
      </w:r>
      <w:proofErr w:type="spellEnd"/>
      <w:r w:rsidRPr="00211EB6">
        <w:t xml:space="preserve"> have been identified. Different types of alternatives are available, including over 25 chemical alternatives, biological controls (pathogens</w:t>
      </w:r>
      <w:r w:rsidR="00AC32BE" w:rsidRPr="00211EB6">
        <w:t xml:space="preserve">, </w:t>
      </w:r>
      <w:r w:rsidRPr="00211EB6">
        <w:t>predators</w:t>
      </w:r>
      <w:r w:rsidR="00AE1DA1" w:rsidRPr="00211EB6">
        <w:t>)</w:t>
      </w:r>
      <w:r w:rsidR="002A7081" w:rsidRPr="00211EB6">
        <w:t>,</w:t>
      </w:r>
      <w:r w:rsidR="00AC32BE" w:rsidRPr="00211EB6">
        <w:t xml:space="preserve"> </w:t>
      </w:r>
      <w:r w:rsidR="00AE1DA1" w:rsidRPr="00211EB6">
        <w:t>botanical preparations</w:t>
      </w:r>
      <w:r w:rsidR="00137474" w:rsidRPr="00211EB6">
        <w:t>,</w:t>
      </w:r>
      <w:r w:rsidRPr="00211EB6">
        <w:t xml:space="preserve"> </w:t>
      </w:r>
      <w:r w:rsidR="00B54CB5" w:rsidRPr="00211EB6">
        <w:t>and agricultural</w:t>
      </w:r>
      <w:r w:rsidRPr="00211EB6">
        <w:t xml:space="preserve"> practices (such as </w:t>
      </w:r>
      <w:r w:rsidR="00436F09" w:rsidRPr="00211EB6">
        <w:t xml:space="preserve">those that are used in </w:t>
      </w:r>
      <w:proofErr w:type="spellStart"/>
      <w:r w:rsidR="00436F09" w:rsidRPr="00211EB6">
        <w:t>agroecology</w:t>
      </w:r>
      <w:proofErr w:type="spellEnd"/>
      <w:r w:rsidR="00436F09" w:rsidRPr="00211EB6">
        <w:t>, organic</w:t>
      </w:r>
      <w:r w:rsidR="00793F96" w:rsidRPr="00211EB6">
        <w:t xml:space="preserve"> farming</w:t>
      </w:r>
      <w:r w:rsidR="00436F09" w:rsidRPr="00211EB6">
        <w:t xml:space="preserve"> and</w:t>
      </w:r>
      <w:r w:rsidR="00E37E4E" w:rsidRPr="00211EB6">
        <w:t xml:space="preserve"> </w:t>
      </w:r>
      <w:r w:rsidRPr="00211EB6">
        <w:t xml:space="preserve">integrated pest management). The range of alternatives reflects the various pest-crop combinations for which </w:t>
      </w:r>
      <w:proofErr w:type="spellStart"/>
      <w:r w:rsidRPr="00211EB6">
        <w:t>dicofol</w:t>
      </w:r>
      <w:proofErr w:type="spellEnd"/>
      <w:r w:rsidRPr="00211EB6">
        <w:t xml:space="preserve"> is applied, in regions with very different climatic conditions.</w:t>
      </w:r>
    </w:p>
    <w:p w14:paraId="5F85AF06" w14:textId="558BFF1A" w:rsidR="002C1549" w:rsidRPr="00211EB6" w:rsidRDefault="00400690" w:rsidP="008C6BCB">
      <w:pPr>
        <w:pStyle w:val="Normalnumber"/>
        <w:numPr>
          <w:ilvl w:val="0"/>
          <w:numId w:val="34"/>
        </w:numPr>
        <w:tabs>
          <w:tab w:val="clear" w:pos="1440"/>
        </w:tabs>
        <w:ind w:left="0" w:firstLine="0"/>
      </w:pPr>
      <w:r w:rsidRPr="00211EB6">
        <w:t>A number of chemical alternatives are available, with proven efficiency</w:t>
      </w:r>
      <w:r w:rsidR="00BD0681" w:rsidRPr="00211EB6">
        <w:t xml:space="preserve"> and efficacy</w:t>
      </w:r>
      <w:r w:rsidRPr="00211EB6">
        <w:t xml:space="preserve">. Some do have a hazard profile similar to </w:t>
      </w:r>
      <w:proofErr w:type="spellStart"/>
      <w:r w:rsidRPr="00211EB6">
        <w:t>dicofol</w:t>
      </w:r>
      <w:proofErr w:type="spellEnd"/>
      <w:r w:rsidR="00F121A5" w:rsidRPr="00211EB6">
        <w:t xml:space="preserve"> or other hazardous characteristics</w:t>
      </w:r>
      <w:r w:rsidRPr="00211EB6">
        <w:t xml:space="preserve">, </w:t>
      </w:r>
      <w:r w:rsidR="00E37E4E" w:rsidRPr="00211EB6">
        <w:t xml:space="preserve">while </w:t>
      </w:r>
      <w:r w:rsidRPr="00211EB6">
        <w:t>other alternative pesticides are considered to be less toxic</w:t>
      </w:r>
      <w:r w:rsidR="00777D35" w:rsidRPr="00211EB6">
        <w:t>.</w:t>
      </w:r>
    </w:p>
    <w:p w14:paraId="26986826" w14:textId="0C238970" w:rsidR="00400690" w:rsidRPr="00211EB6" w:rsidRDefault="00400690" w:rsidP="008C6BCB">
      <w:pPr>
        <w:pStyle w:val="Normalnumber"/>
        <w:numPr>
          <w:ilvl w:val="0"/>
          <w:numId w:val="34"/>
        </w:numPr>
        <w:tabs>
          <w:tab w:val="clear" w:pos="1440"/>
        </w:tabs>
        <w:ind w:left="0" w:firstLine="0"/>
      </w:pPr>
      <w:r w:rsidRPr="00211EB6">
        <w:t>All the alternatives described are considered to be technically feasible</w:t>
      </w:r>
      <w:r w:rsidR="00533DE3" w:rsidRPr="00211EB6">
        <w:t xml:space="preserve"> alternatives</w:t>
      </w:r>
      <w:r w:rsidRPr="00211EB6">
        <w:t>, available and acce</w:t>
      </w:r>
      <w:r w:rsidR="003E5EA0" w:rsidRPr="00211EB6">
        <w:t>ssible in a number of countries</w:t>
      </w:r>
      <w:r w:rsidR="00191795" w:rsidRPr="00211EB6">
        <w:t xml:space="preserve">. No essential uses </w:t>
      </w:r>
      <w:r w:rsidR="003E5EA0" w:rsidRPr="00211EB6">
        <w:t xml:space="preserve">for </w:t>
      </w:r>
      <w:proofErr w:type="spellStart"/>
      <w:r w:rsidR="003E5EA0" w:rsidRPr="00211EB6">
        <w:t>dicofol</w:t>
      </w:r>
      <w:proofErr w:type="spellEnd"/>
      <w:r w:rsidR="003E5EA0" w:rsidRPr="00211EB6">
        <w:t xml:space="preserve"> </w:t>
      </w:r>
      <w:r w:rsidR="00191795" w:rsidRPr="00211EB6">
        <w:t xml:space="preserve">have been identified for which no alternatives are available. Indeed, in the USA about 50% of the </w:t>
      </w:r>
      <w:proofErr w:type="spellStart"/>
      <w:r w:rsidR="00191795" w:rsidRPr="00211EB6">
        <w:t>dicofol</w:t>
      </w:r>
      <w:proofErr w:type="spellEnd"/>
      <w:r w:rsidR="00191795" w:rsidRPr="00211EB6">
        <w:t xml:space="preserve"> used was applied on cotton but only about 4% of the total crop of cotton is treated with </w:t>
      </w:r>
      <w:proofErr w:type="spellStart"/>
      <w:r w:rsidR="00191795" w:rsidRPr="00211EB6">
        <w:t>dicofol</w:t>
      </w:r>
      <w:proofErr w:type="spellEnd"/>
      <w:r w:rsidR="00191795" w:rsidRPr="00211EB6">
        <w:t xml:space="preserve">, suggesting that in many cases alternatives are available and affordable (UNECE, 2010). </w:t>
      </w:r>
      <w:r w:rsidR="008A190B" w:rsidRPr="00211EB6">
        <w:t xml:space="preserve">However, the available information does not allow conclusions to be drawn on whether this is the case for all areas where </w:t>
      </w:r>
      <w:proofErr w:type="spellStart"/>
      <w:r w:rsidR="008A190B" w:rsidRPr="00211EB6">
        <w:t>dicofol</w:t>
      </w:r>
      <w:proofErr w:type="spellEnd"/>
      <w:r w:rsidR="008A190B" w:rsidRPr="00211EB6">
        <w:t xml:space="preserve"> is still used.</w:t>
      </w:r>
      <w:r w:rsidR="00191795" w:rsidRPr="00211EB6">
        <w:t xml:space="preserve"> </w:t>
      </w:r>
    </w:p>
    <w:p w14:paraId="3FE05405" w14:textId="42BD2933" w:rsidR="00400690" w:rsidRPr="00211EB6" w:rsidRDefault="00400690" w:rsidP="008C6BCB">
      <w:pPr>
        <w:pStyle w:val="Normalnumber"/>
        <w:numPr>
          <w:ilvl w:val="0"/>
          <w:numId w:val="34"/>
        </w:numPr>
        <w:tabs>
          <w:tab w:val="clear" w:pos="1440"/>
        </w:tabs>
        <w:ind w:left="0" w:firstLine="0"/>
      </w:pPr>
      <w:r w:rsidRPr="00211EB6">
        <w:t xml:space="preserve">Non-chemical alternative </w:t>
      </w:r>
      <w:r w:rsidR="00436F09" w:rsidRPr="00211EB6">
        <w:t xml:space="preserve">products and </w:t>
      </w:r>
      <w:r w:rsidRPr="00211EB6">
        <w:t>processes, and more specifically</w:t>
      </w:r>
      <w:r w:rsidR="0037035C" w:rsidRPr="00211EB6">
        <w:t xml:space="preserve"> biological control systems</w:t>
      </w:r>
      <w:r w:rsidR="00436F09" w:rsidRPr="00211EB6">
        <w:t xml:space="preserve">, </w:t>
      </w:r>
      <w:r w:rsidR="00AE1DA1" w:rsidRPr="00211EB6">
        <w:t>botanical preparations</w:t>
      </w:r>
      <w:r w:rsidR="00F121A5" w:rsidRPr="00211EB6">
        <w:t xml:space="preserve">, </w:t>
      </w:r>
      <w:proofErr w:type="spellStart"/>
      <w:r w:rsidR="00436F09" w:rsidRPr="00211EB6">
        <w:t>agroecological</w:t>
      </w:r>
      <w:proofErr w:type="spellEnd"/>
      <w:r w:rsidR="00436F09" w:rsidRPr="00211EB6">
        <w:t xml:space="preserve"> practices, organic</w:t>
      </w:r>
      <w:r w:rsidR="00793F96" w:rsidRPr="00211EB6">
        <w:t xml:space="preserve"> farming</w:t>
      </w:r>
      <w:r w:rsidR="0037035C" w:rsidRPr="00211EB6">
        <w:t xml:space="preserve"> and</w:t>
      </w:r>
      <w:r w:rsidRPr="00211EB6">
        <w:t xml:space="preserve"> </w:t>
      </w:r>
      <w:r w:rsidR="00BD0681" w:rsidRPr="00211EB6">
        <w:t>IPM</w:t>
      </w:r>
      <w:r w:rsidRPr="00211EB6">
        <w:t>, ha</w:t>
      </w:r>
      <w:r w:rsidR="0029252E" w:rsidRPr="00211EB6">
        <w:t>ve</w:t>
      </w:r>
      <w:r w:rsidRPr="00211EB6">
        <w:t xml:space="preserve"> prove</w:t>
      </w:r>
      <w:r w:rsidR="0029252E" w:rsidRPr="00211EB6">
        <w:t>n</w:t>
      </w:r>
      <w:r w:rsidRPr="00211EB6">
        <w:t xml:space="preserve"> to be very efficient as an alternative to </w:t>
      </w:r>
      <w:proofErr w:type="spellStart"/>
      <w:r w:rsidRPr="00211EB6">
        <w:t>dicofol</w:t>
      </w:r>
      <w:proofErr w:type="spellEnd"/>
      <w:r w:rsidRPr="00211EB6">
        <w:t xml:space="preserve"> in different countries (including India, China, Australia) and for different crops, such as cotton, tea, citrus, apples. </w:t>
      </w:r>
    </w:p>
    <w:p w14:paraId="1C0411F8" w14:textId="0D542EBA" w:rsidR="00C151FB" w:rsidRPr="00211EB6" w:rsidRDefault="00C151FB" w:rsidP="001E269C">
      <w:pPr>
        <w:pStyle w:val="Heading2"/>
      </w:pPr>
      <w:bookmarkStart w:id="34" w:name="_Toc483491463"/>
      <w:r w:rsidRPr="00211EB6">
        <w:t>Summary of information on impacts on society of implementing possible control measures</w:t>
      </w:r>
      <w:bookmarkEnd w:id="34"/>
      <w:r w:rsidRPr="00211EB6">
        <w:t xml:space="preserve"> </w:t>
      </w:r>
    </w:p>
    <w:p w14:paraId="63321BE0" w14:textId="0B716CC3" w:rsidR="001B3C0A" w:rsidRPr="00211EB6" w:rsidRDefault="00C151FB" w:rsidP="001E269C">
      <w:pPr>
        <w:pStyle w:val="Heading3"/>
      </w:pPr>
      <w:bookmarkStart w:id="35" w:name="_Toc483491464"/>
      <w:r w:rsidRPr="00211EB6">
        <w:t>Health</w:t>
      </w:r>
      <w:r w:rsidR="008D56A9" w:rsidRPr="00211EB6">
        <w:t>, including public, environmental and occupational health</w:t>
      </w:r>
      <w:bookmarkEnd w:id="35"/>
    </w:p>
    <w:p w14:paraId="146456D7" w14:textId="52573FD8" w:rsidR="005A1680" w:rsidRPr="00211EB6" w:rsidRDefault="006810E4" w:rsidP="008C6BCB">
      <w:pPr>
        <w:pStyle w:val="Normalnumber"/>
        <w:numPr>
          <w:ilvl w:val="0"/>
          <w:numId w:val="34"/>
        </w:numPr>
        <w:tabs>
          <w:tab w:val="clear" w:pos="1440"/>
        </w:tabs>
        <w:ind w:left="0" w:firstLine="0"/>
      </w:pPr>
      <w:r w:rsidRPr="00211EB6">
        <w:t xml:space="preserve">The </w:t>
      </w:r>
      <w:r w:rsidR="00BA2F93" w:rsidRPr="00211EB6">
        <w:t>P</w:t>
      </w:r>
      <w:r w:rsidR="00355576" w:rsidRPr="00211EB6">
        <w:t xml:space="preserve">OPRC concluded that </w:t>
      </w:r>
      <w:proofErr w:type="spellStart"/>
      <w:r w:rsidR="000D70A2" w:rsidRPr="00211EB6">
        <w:t>dicofol</w:t>
      </w:r>
      <w:proofErr w:type="spellEnd"/>
      <w:r w:rsidR="00355576" w:rsidRPr="00211EB6">
        <w:t xml:space="preserve"> is likely, as a result of its long-range environmental transport, to lead to significant adverse human health and environmental effects. Several </w:t>
      </w:r>
      <w:r w:rsidR="00315E0D" w:rsidRPr="00211EB6">
        <w:t>Parties</w:t>
      </w:r>
      <w:r w:rsidR="00355576" w:rsidRPr="00211EB6">
        <w:t xml:space="preserve"> and observers state that the current use of </w:t>
      </w:r>
      <w:proofErr w:type="spellStart"/>
      <w:r w:rsidR="000D70A2" w:rsidRPr="00211EB6">
        <w:t>dicofol</w:t>
      </w:r>
      <w:proofErr w:type="spellEnd"/>
      <w:r w:rsidR="00355576" w:rsidRPr="00211EB6">
        <w:t xml:space="preserve"> gives rise to adverse health and environmental effects and expect that the control of </w:t>
      </w:r>
      <w:proofErr w:type="spellStart"/>
      <w:r w:rsidR="000D70A2" w:rsidRPr="00211EB6">
        <w:t>dicofol</w:t>
      </w:r>
      <w:proofErr w:type="spellEnd"/>
      <w:r w:rsidR="00355576" w:rsidRPr="00211EB6">
        <w:t xml:space="preserve"> will positively impact health and the environment. </w:t>
      </w:r>
      <w:r w:rsidR="000D70A2" w:rsidRPr="00211EB6">
        <w:t xml:space="preserve">Several </w:t>
      </w:r>
      <w:r w:rsidR="00315E0D" w:rsidRPr="00211EB6">
        <w:t>Parties</w:t>
      </w:r>
      <w:r w:rsidR="000D70A2" w:rsidRPr="00211EB6">
        <w:t xml:space="preserve"> and observers also stated that it was important to note that </w:t>
      </w:r>
      <w:proofErr w:type="spellStart"/>
      <w:r w:rsidR="000D70A2" w:rsidRPr="00211EB6">
        <w:t>dicofol</w:t>
      </w:r>
      <w:proofErr w:type="spellEnd"/>
      <w:r w:rsidR="000D70A2" w:rsidRPr="00211EB6">
        <w:t xml:space="preserve"> was now banned in many countries with chemical and/or non-chemical alternatives technical</w:t>
      </w:r>
      <w:r w:rsidR="00893519" w:rsidRPr="00211EB6">
        <w:t>ly</w:t>
      </w:r>
      <w:r w:rsidR="000D70A2" w:rsidRPr="00211EB6">
        <w:t xml:space="preserve"> feasible and available. The production and use of </w:t>
      </w:r>
      <w:proofErr w:type="spellStart"/>
      <w:r w:rsidR="000D70A2" w:rsidRPr="00211EB6">
        <w:t>dicofol</w:t>
      </w:r>
      <w:proofErr w:type="spellEnd"/>
      <w:r w:rsidR="000D70A2" w:rsidRPr="00211EB6">
        <w:t xml:space="preserve"> had fallen below 1,000</w:t>
      </w:r>
      <w:r w:rsidR="0014571C" w:rsidRPr="00211EB6">
        <w:t xml:space="preserve">t per year </w:t>
      </w:r>
      <w:r w:rsidR="000D70A2" w:rsidRPr="00211EB6">
        <w:t>by 2012</w:t>
      </w:r>
      <w:r w:rsidR="005A1680" w:rsidRPr="00211EB6">
        <w:t>, compared to 5,500</w:t>
      </w:r>
      <w:r w:rsidR="008C21B3" w:rsidRPr="00211EB6">
        <w:t xml:space="preserve">t </w:t>
      </w:r>
      <w:r w:rsidR="005A1680" w:rsidRPr="00211EB6">
        <w:t>in 2000</w:t>
      </w:r>
      <w:r w:rsidR="000D70A2" w:rsidRPr="00211EB6">
        <w:t xml:space="preserve">, indicating that its use could be justifiably ceased to protect human health and environment. </w:t>
      </w:r>
    </w:p>
    <w:p w14:paraId="669BDF4A" w14:textId="2A8CEA7E" w:rsidR="00C151FB" w:rsidRPr="00211EB6" w:rsidRDefault="00C151FB" w:rsidP="001E269C">
      <w:pPr>
        <w:pStyle w:val="Heading3"/>
      </w:pPr>
      <w:bookmarkStart w:id="36" w:name="_Ref254338445"/>
      <w:bookmarkStart w:id="37" w:name="_Toc483491465"/>
      <w:r w:rsidRPr="00211EB6">
        <w:t>Agriculture, aquaculture and forestry</w:t>
      </w:r>
      <w:bookmarkEnd w:id="36"/>
      <w:bookmarkEnd w:id="37"/>
    </w:p>
    <w:p w14:paraId="07F5558F" w14:textId="41D31FC1" w:rsidR="00FD53BC" w:rsidRPr="00211EB6" w:rsidRDefault="00FD53BC" w:rsidP="008C6BCB">
      <w:pPr>
        <w:pStyle w:val="Normalnumber"/>
        <w:numPr>
          <w:ilvl w:val="0"/>
          <w:numId w:val="34"/>
        </w:numPr>
        <w:tabs>
          <w:tab w:val="clear" w:pos="1440"/>
        </w:tabs>
        <w:ind w:left="0" w:firstLine="0"/>
      </w:pPr>
      <w:r w:rsidRPr="00211EB6">
        <w:t xml:space="preserve">Several </w:t>
      </w:r>
      <w:r w:rsidR="00315E0D" w:rsidRPr="00211EB6">
        <w:t>Parties</w:t>
      </w:r>
      <w:r w:rsidRPr="00211EB6">
        <w:t xml:space="preserve"> and observers to the Stockholm Convention have provided information within the Annex F responses to highlight that many different chemical </w:t>
      </w:r>
      <w:r w:rsidR="00F13130" w:rsidRPr="00211EB6">
        <w:t xml:space="preserve">and non-chemical </w:t>
      </w:r>
      <w:r w:rsidRPr="00211EB6">
        <w:t xml:space="preserve">alternatives exist which could act as viable alternatives to </w:t>
      </w:r>
      <w:proofErr w:type="spellStart"/>
      <w:r w:rsidRPr="00211EB6">
        <w:t>dicofol</w:t>
      </w:r>
      <w:proofErr w:type="spellEnd"/>
      <w:r w:rsidRPr="00211EB6">
        <w:t>. Observer</w:t>
      </w:r>
      <w:r w:rsidR="00F13130" w:rsidRPr="00211EB6">
        <w:t>s</w:t>
      </w:r>
      <w:r w:rsidRPr="00211EB6">
        <w:t xml:space="preserve"> to the Stockholm Convention </w:t>
      </w:r>
      <w:r w:rsidR="006810E4" w:rsidRPr="00211EB6">
        <w:t>(</w:t>
      </w:r>
      <w:r w:rsidR="00784800" w:rsidRPr="00211EB6">
        <w:t xml:space="preserve">PAN and </w:t>
      </w:r>
      <w:r w:rsidR="006810E4" w:rsidRPr="00211EB6">
        <w:t xml:space="preserve">IPEN) </w:t>
      </w:r>
      <w:r w:rsidRPr="00211EB6">
        <w:t xml:space="preserve">also highlighted that many countries have already banned </w:t>
      </w:r>
      <w:proofErr w:type="spellStart"/>
      <w:r w:rsidRPr="00211EB6">
        <w:t>dicofol</w:t>
      </w:r>
      <w:proofErr w:type="spellEnd"/>
      <w:r w:rsidRPr="00211EB6">
        <w:t xml:space="preserve"> and switched to alternative approaches without </w:t>
      </w:r>
      <w:r w:rsidR="00FA6CD0" w:rsidRPr="00211EB6">
        <w:t xml:space="preserve">substantial </w:t>
      </w:r>
      <w:r w:rsidRPr="00211EB6">
        <w:t>economic impacts. The use of</w:t>
      </w:r>
      <w:r w:rsidR="00F13130" w:rsidRPr="00211EB6">
        <w:t xml:space="preserve"> </w:t>
      </w:r>
      <w:r w:rsidRPr="00211EB6">
        <w:t xml:space="preserve">safer chemical </w:t>
      </w:r>
      <w:r w:rsidR="00F13130" w:rsidRPr="00211EB6">
        <w:t xml:space="preserve">or non-chemical </w:t>
      </w:r>
      <w:r w:rsidRPr="00211EB6">
        <w:t xml:space="preserve">alternatives would reduce the risk of health effects to agricultural workers and consumers, while also limiting negative environmental effects from use of </w:t>
      </w:r>
      <w:proofErr w:type="spellStart"/>
      <w:r w:rsidRPr="00211EB6">
        <w:t>dicofol</w:t>
      </w:r>
      <w:proofErr w:type="spellEnd"/>
      <w:r w:rsidRPr="00211EB6">
        <w:t>. Additionally the stud</w:t>
      </w:r>
      <w:r w:rsidR="00955AB8" w:rsidRPr="00211EB6">
        <w:t>ies</w:t>
      </w:r>
      <w:r w:rsidRPr="00211EB6">
        <w:t xml:space="preserve"> documented by </w:t>
      </w:r>
      <w:r w:rsidR="00876212" w:rsidRPr="00211EB6">
        <w:t>Chen and Kwan</w:t>
      </w:r>
      <w:r w:rsidRPr="00211EB6">
        <w:t xml:space="preserve"> (2013) and </w:t>
      </w:r>
      <w:proofErr w:type="spellStart"/>
      <w:r w:rsidRPr="00211EB6">
        <w:t>Eyhorn</w:t>
      </w:r>
      <w:proofErr w:type="spellEnd"/>
      <w:r w:rsidR="001F51DB" w:rsidRPr="00211EB6">
        <w:t xml:space="preserve"> (</w:t>
      </w:r>
      <w:r w:rsidRPr="00211EB6">
        <w:t>2007</w:t>
      </w:r>
      <w:r w:rsidR="001F51DB" w:rsidRPr="00211EB6">
        <w:t>)</w:t>
      </w:r>
      <w:r w:rsidRPr="00211EB6">
        <w:t xml:space="preserve"> both demonstrate that moves towards IPM based approaches can prove successful, with similar crop yields and </w:t>
      </w:r>
      <w:proofErr w:type="spellStart"/>
      <w:r w:rsidR="008E0122" w:rsidRPr="00211EB6">
        <w:t>labor</w:t>
      </w:r>
      <w:proofErr w:type="spellEnd"/>
      <w:r w:rsidRPr="00211EB6">
        <w:t xml:space="preserve"> demands avoiding the use of chemical alternatives completely.</w:t>
      </w:r>
    </w:p>
    <w:p w14:paraId="5473229E" w14:textId="6185CE2D" w:rsidR="00784800" w:rsidRPr="00211EB6" w:rsidRDefault="004B55D4" w:rsidP="008C6BCB">
      <w:pPr>
        <w:pStyle w:val="Normalnumber"/>
        <w:numPr>
          <w:ilvl w:val="0"/>
          <w:numId w:val="34"/>
        </w:numPr>
        <w:tabs>
          <w:tab w:val="clear" w:pos="1440"/>
        </w:tabs>
        <w:ind w:left="0" w:firstLine="0"/>
      </w:pPr>
      <w:proofErr w:type="spellStart"/>
      <w:r w:rsidRPr="00211EB6">
        <w:t>Eyhorn</w:t>
      </w:r>
      <w:proofErr w:type="spellEnd"/>
      <w:r w:rsidRPr="00211EB6">
        <w:t xml:space="preserve"> </w:t>
      </w:r>
      <w:r w:rsidR="001F51DB" w:rsidRPr="00211EB6">
        <w:t>(</w:t>
      </w:r>
      <w:r w:rsidRPr="00211EB6">
        <w:t>2007</w:t>
      </w:r>
      <w:r w:rsidR="001F51DB" w:rsidRPr="00211EB6">
        <w:t>)</w:t>
      </w:r>
      <w:r w:rsidRPr="00211EB6">
        <w:t xml:space="preserve"> </w:t>
      </w:r>
      <w:r w:rsidR="00555F46" w:rsidRPr="00211EB6">
        <w:t xml:space="preserve">indicated that </w:t>
      </w:r>
      <w:r w:rsidR="008E0122" w:rsidRPr="00211EB6">
        <w:t>crop yield reductions of 10–</w:t>
      </w:r>
      <w:r w:rsidRPr="00211EB6">
        <w:t xml:space="preserve">50% in the first year of transition </w:t>
      </w:r>
      <w:r w:rsidR="00555F46" w:rsidRPr="00211EB6">
        <w:t xml:space="preserve">could be expected with </w:t>
      </w:r>
      <w:r w:rsidRPr="00211EB6">
        <w:t xml:space="preserve">new </w:t>
      </w:r>
      <w:r w:rsidR="00F707CF" w:rsidRPr="00211EB6">
        <w:t>techniques,</w:t>
      </w:r>
      <w:r w:rsidR="00555F46" w:rsidRPr="00211EB6">
        <w:t xml:space="preserve"> with income recovery and potential increases occurring after transition compared to</w:t>
      </w:r>
      <w:r w:rsidR="004316E4" w:rsidRPr="00211EB6">
        <w:t xml:space="preserve"> conventional farming</w:t>
      </w:r>
      <w:r w:rsidR="00555F46" w:rsidRPr="00211EB6">
        <w:t xml:space="preserve">. Information such as this is limited to </w:t>
      </w:r>
      <w:r w:rsidR="00793F96" w:rsidRPr="00211EB6">
        <w:t>India</w:t>
      </w:r>
      <w:r w:rsidR="00555F46" w:rsidRPr="00211EB6">
        <w:t xml:space="preserve"> and i</w:t>
      </w:r>
      <w:r w:rsidRPr="00211EB6">
        <w:t xml:space="preserve">t is unclear what additional steps could be taken to limit the </w:t>
      </w:r>
      <w:r w:rsidR="00555F46" w:rsidRPr="00211EB6">
        <w:t xml:space="preserve">transitional </w:t>
      </w:r>
      <w:r w:rsidRPr="00211EB6">
        <w:t>impact</w:t>
      </w:r>
      <w:r w:rsidR="00555F46" w:rsidRPr="00211EB6">
        <w:t>s</w:t>
      </w:r>
      <w:r w:rsidRPr="00211EB6">
        <w:t>.</w:t>
      </w:r>
    </w:p>
    <w:p w14:paraId="6003F58B" w14:textId="28FCDDD9" w:rsidR="00C151FB" w:rsidRPr="00211EB6" w:rsidRDefault="00C151FB" w:rsidP="001E269C">
      <w:pPr>
        <w:pStyle w:val="Heading3"/>
      </w:pPr>
      <w:bookmarkStart w:id="38" w:name="_Toc483491466"/>
      <w:r w:rsidRPr="00211EB6">
        <w:t>Biota (biodiversity)</w:t>
      </w:r>
      <w:bookmarkEnd w:id="38"/>
    </w:p>
    <w:p w14:paraId="12EFAFCA" w14:textId="591FB930" w:rsidR="004B55D4" w:rsidRPr="00211EB6" w:rsidRDefault="004B55D4" w:rsidP="008C6BCB">
      <w:pPr>
        <w:pStyle w:val="Normalnumber"/>
        <w:numPr>
          <w:ilvl w:val="0"/>
          <w:numId w:val="34"/>
        </w:numPr>
        <w:tabs>
          <w:tab w:val="clear" w:pos="1440"/>
        </w:tabs>
        <w:ind w:left="0" w:firstLine="0"/>
      </w:pPr>
      <w:r w:rsidRPr="00211EB6">
        <w:t>O</w:t>
      </w:r>
      <w:r w:rsidR="00BA2F93" w:rsidRPr="00211EB6">
        <w:t>bserver</w:t>
      </w:r>
      <w:r w:rsidR="000872AD" w:rsidRPr="00211EB6">
        <w:t>s</w:t>
      </w:r>
      <w:r w:rsidRPr="00211EB6">
        <w:t xml:space="preserve"> (</w:t>
      </w:r>
      <w:r w:rsidR="000872AD" w:rsidRPr="00211EB6">
        <w:t xml:space="preserve">PAN and </w:t>
      </w:r>
      <w:r w:rsidRPr="00211EB6">
        <w:t>IPEN)</w:t>
      </w:r>
      <w:r w:rsidR="00BA2F93" w:rsidRPr="00211EB6">
        <w:t xml:space="preserve"> expect positive impacts on biodiversity if the use of </w:t>
      </w:r>
      <w:proofErr w:type="spellStart"/>
      <w:r w:rsidRPr="00211EB6">
        <w:t>dicofol</w:t>
      </w:r>
      <w:proofErr w:type="spellEnd"/>
      <w:r w:rsidR="00BA2F93" w:rsidRPr="00211EB6">
        <w:t xml:space="preserve"> is </w:t>
      </w:r>
      <w:r w:rsidRPr="00211EB6">
        <w:t xml:space="preserve">prohibited. </w:t>
      </w:r>
      <w:r w:rsidR="002E4B13" w:rsidRPr="00211EB6">
        <w:t>Information provided by</w:t>
      </w:r>
      <w:r w:rsidRPr="00211EB6">
        <w:t xml:space="preserve"> </w:t>
      </w:r>
      <w:r w:rsidR="004316E4" w:rsidRPr="00211EB6">
        <w:t xml:space="preserve">PAN and </w:t>
      </w:r>
      <w:r w:rsidRPr="00211EB6">
        <w:t>IPEN particularly highlight</w:t>
      </w:r>
      <w:r w:rsidR="002E4B13" w:rsidRPr="00211EB6">
        <w:t>s</w:t>
      </w:r>
      <w:r w:rsidRPr="00211EB6">
        <w:t xml:space="preserve"> the impact of </w:t>
      </w:r>
      <w:proofErr w:type="spellStart"/>
      <w:r w:rsidRPr="00211EB6">
        <w:t>dicofol</w:t>
      </w:r>
      <w:proofErr w:type="spellEnd"/>
      <w:r w:rsidRPr="00211EB6">
        <w:t xml:space="preserve"> upon insects, and the </w:t>
      </w:r>
      <w:r w:rsidR="003703E4" w:rsidRPr="00211EB6">
        <w:t>indirect</w:t>
      </w:r>
      <w:r w:rsidRPr="00211EB6">
        <w:t xml:space="preserve"> effects for the eco-system which will in turn have overall impacts for biodiversity. The use of non-chemical alternatives c</w:t>
      </w:r>
      <w:r w:rsidR="000872AD" w:rsidRPr="00211EB6">
        <w:t>an</w:t>
      </w:r>
      <w:r w:rsidRPr="00211EB6">
        <w:t xml:space="preserve"> prove </w:t>
      </w:r>
      <w:r w:rsidR="00955AB8" w:rsidRPr="00211EB6">
        <w:t>e</w:t>
      </w:r>
      <w:r w:rsidRPr="00211EB6">
        <w:t xml:space="preserve">ffective at mite control for a range of crops without adversely affecting the biodiversity of the natural </w:t>
      </w:r>
      <w:r w:rsidR="000872AD" w:rsidRPr="00211EB6">
        <w:t xml:space="preserve">or agricultural </w:t>
      </w:r>
      <w:r w:rsidRPr="00211EB6">
        <w:t>environment.</w:t>
      </w:r>
      <w:r w:rsidR="000872AD" w:rsidRPr="00211EB6">
        <w:t xml:space="preserve"> Observers </w:t>
      </w:r>
      <w:r w:rsidR="004316E4" w:rsidRPr="00211EB6">
        <w:t>(</w:t>
      </w:r>
      <w:r w:rsidR="000872AD" w:rsidRPr="00211EB6">
        <w:t>PAN and IPEN</w:t>
      </w:r>
      <w:r w:rsidR="004316E4" w:rsidRPr="00211EB6">
        <w:t>)</w:t>
      </w:r>
      <w:r w:rsidR="000872AD" w:rsidRPr="00211EB6">
        <w:t xml:space="preserve"> noted that </w:t>
      </w:r>
      <w:proofErr w:type="spellStart"/>
      <w:r w:rsidR="000872AD" w:rsidRPr="00211EB6">
        <w:t>dicofol</w:t>
      </w:r>
      <w:proofErr w:type="spellEnd"/>
      <w:r w:rsidR="000872AD" w:rsidRPr="00211EB6">
        <w:t xml:space="preserve"> is toxic to predatory mite species that provide valuable natural pest management services.</w:t>
      </w:r>
      <w:r w:rsidR="002E4B13" w:rsidRPr="00211EB6">
        <w:t xml:space="preserve"> Exposure to </w:t>
      </w:r>
      <w:proofErr w:type="spellStart"/>
      <w:r w:rsidR="002E4B13" w:rsidRPr="00211EB6">
        <w:t>sublethal</w:t>
      </w:r>
      <w:proofErr w:type="spellEnd"/>
      <w:r w:rsidR="002E4B13" w:rsidRPr="00211EB6">
        <w:t xml:space="preserve"> amounts of </w:t>
      </w:r>
      <w:proofErr w:type="spellStart"/>
      <w:r w:rsidR="002E4B13" w:rsidRPr="00211EB6">
        <w:t>dicofol</w:t>
      </w:r>
      <w:proofErr w:type="spellEnd"/>
      <w:r w:rsidR="002E4B13" w:rsidRPr="00211EB6">
        <w:t xml:space="preserve"> resulted in task-dependent reduced learning in the honeybee in laboratory studies (Stone </w:t>
      </w:r>
      <w:r w:rsidR="002E4B13" w:rsidRPr="00211EB6">
        <w:rPr>
          <w:i/>
        </w:rPr>
        <w:t>et al.</w:t>
      </w:r>
      <w:r w:rsidR="002E4B13" w:rsidRPr="00211EB6">
        <w:t>, 1997).</w:t>
      </w:r>
    </w:p>
    <w:p w14:paraId="10378724" w14:textId="6D01A811" w:rsidR="00C151FB" w:rsidRPr="00211EB6" w:rsidRDefault="00C151FB" w:rsidP="001E269C">
      <w:pPr>
        <w:pStyle w:val="Heading3"/>
      </w:pPr>
      <w:bookmarkStart w:id="39" w:name="_Toc483491467"/>
      <w:r w:rsidRPr="00211EB6">
        <w:t>Economic aspects</w:t>
      </w:r>
      <w:bookmarkEnd w:id="39"/>
      <w:r w:rsidRPr="00211EB6">
        <w:t xml:space="preserve"> </w:t>
      </w:r>
    </w:p>
    <w:p w14:paraId="3D4830BE" w14:textId="255F1475" w:rsidR="004B55D4" w:rsidRPr="00211EB6" w:rsidRDefault="00D31102" w:rsidP="008C6BCB">
      <w:pPr>
        <w:pStyle w:val="Normalnumber"/>
        <w:numPr>
          <w:ilvl w:val="0"/>
          <w:numId w:val="34"/>
        </w:numPr>
        <w:tabs>
          <w:tab w:val="clear" w:pos="1440"/>
        </w:tabs>
        <w:ind w:left="0" w:firstLine="0"/>
      </w:pPr>
      <w:r w:rsidRPr="00211EB6">
        <w:t>Only very limited data on economic aspects has been provided through the Annex F responses. Equally</w:t>
      </w:r>
      <w:r w:rsidR="009D445E" w:rsidRPr="00211EB6">
        <w:t>,</w:t>
      </w:r>
      <w:r w:rsidRPr="00211EB6">
        <w:t xml:space="preserve"> only limited data has been found from other sources to supplement the development of the risk management evaluation dossier for </w:t>
      </w:r>
      <w:proofErr w:type="spellStart"/>
      <w:r w:rsidRPr="00211EB6">
        <w:t>dicofol</w:t>
      </w:r>
      <w:proofErr w:type="spellEnd"/>
      <w:r w:rsidRPr="00211EB6">
        <w:t xml:space="preserve">. </w:t>
      </w:r>
      <w:r w:rsidR="005743E7" w:rsidRPr="00211EB6">
        <w:t>One Party</w:t>
      </w:r>
      <w:r w:rsidR="00FA6CD0" w:rsidRPr="00211EB6">
        <w:t xml:space="preserve"> (India)</w:t>
      </w:r>
      <w:r w:rsidR="005743E7" w:rsidRPr="00211EB6">
        <w:t xml:space="preserve"> stated within their Annex F response that a comparative analysis of other chemical alternatives within their nation found that </w:t>
      </w:r>
      <w:proofErr w:type="spellStart"/>
      <w:r w:rsidR="005743E7" w:rsidRPr="00211EB6">
        <w:t>dicofol</w:t>
      </w:r>
      <w:proofErr w:type="spellEnd"/>
      <w:r w:rsidR="005743E7" w:rsidRPr="00211EB6">
        <w:t xml:space="preserve"> was the most economically advantageous for treatment of mites</w:t>
      </w:r>
      <w:r w:rsidR="00555F46" w:rsidRPr="00211EB6">
        <w:t>, based on price and efficacy. However further specific details of this analysis have not been provided within the Annex F submission.</w:t>
      </w:r>
      <w:r w:rsidR="005743E7" w:rsidRPr="00211EB6">
        <w:t xml:space="preserve"> Observer</w:t>
      </w:r>
      <w:r w:rsidR="009D445E" w:rsidRPr="00211EB6">
        <w:t>s</w:t>
      </w:r>
      <w:r w:rsidR="005743E7" w:rsidRPr="00211EB6">
        <w:t xml:space="preserve"> </w:t>
      </w:r>
      <w:r w:rsidR="00FA6CD0" w:rsidRPr="00211EB6">
        <w:t>(</w:t>
      </w:r>
      <w:r w:rsidR="009D445E" w:rsidRPr="00211EB6">
        <w:t xml:space="preserve">PAN and </w:t>
      </w:r>
      <w:r w:rsidR="00FA6CD0" w:rsidRPr="00211EB6">
        <w:t xml:space="preserve">IPEN) </w:t>
      </w:r>
      <w:r w:rsidR="005743E7" w:rsidRPr="00211EB6">
        <w:t>provide</w:t>
      </w:r>
      <w:r w:rsidR="000872AD" w:rsidRPr="00211EB6">
        <w:t>d</w:t>
      </w:r>
      <w:r w:rsidR="005743E7" w:rsidRPr="00211EB6">
        <w:t xml:space="preserve"> a counter-point to this noting that </w:t>
      </w:r>
      <w:proofErr w:type="spellStart"/>
      <w:r w:rsidR="005743E7" w:rsidRPr="00211EB6">
        <w:t>dicofol</w:t>
      </w:r>
      <w:proofErr w:type="spellEnd"/>
      <w:r w:rsidR="005743E7" w:rsidRPr="00211EB6">
        <w:t xml:space="preserve"> is already banned in many countries with successful transition to both </w:t>
      </w:r>
      <w:r w:rsidR="000872AD" w:rsidRPr="00211EB6">
        <w:t>non-</w:t>
      </w:r>
      <w:r w:rsidR="005743E7" w:rsidRPr="00211EB6">
        <w:t>chemical and/or chemical alternatives without any obvious negative economic impact witnessed.</w:t>
      </w:r>
    </w:p>
    <w:p w14:paraId="0AD04C5E" w14:textId="24143D52" w:rsidR="00555F46" w:rsidRPr="00211EB6" w:rsidRDefault="00876212" w:rsidP="008C6BCB">
      <w:pPr>
        <w:pStyle w:val="Normalnumber"/>
        <w:numPr>
          <w:ilvl w:val="0"/>
          <w:numId w:val="34"/>
        </w:numPr>
        <w:tabs>
          <w:tab w:val="clear" w:pos="1440"/>
        </w:tabs>
        <w:ind w:left="0" w:firstLine="0"/>
      </w:pPr>
      <w:r w:rsidRPr="00211EB6">
        <w:t>Chen and Kwan</w:t>
      </w:r>
      <w:r w:rsidR="00555F46" w:rsidRPr="00211EB6">
        <w:t xml:space="preserve"> (2013) and </w:t>
      </w:r>
      <w:proofErr w:type="spellStart"/>
      <w:r w:rsidR="00555F46" w:rsidRPr="00211EB6">
        <w:t>Eyhorn</w:t>
      </w:r>
      <w:proofErr w:type="spellEnd"/>
      <w:r w:rsidR="00555F46" w:rsidRPr="00211EB6">
        <w:t xml:space="preserve"> (2007) indicated potential</w:t>
      </w:r>
      <w:r w:rsidR="00BC12B4" w:rsidRPr="00211EB6">
        <w:t xml:space="preserve"> initial</w:t>
      </w:r>
      <w:r w:rsidR="00555F46" w:rsidRPr="00211EB6">
        <w:t xml:space="preserve"> transition costs and impacts upon agricultural output which would also have economic implications for farming communities, but with longer term effects either cost neutral or result in higher incomes than conventional farming approaches in specific circumstances. No data is provided on the full financial impact of the transitional costs to organic farming</w:t>
      </w:r>
      <w:r w:rsidR="002E4B13" w:rsidRPr="00211EB6">
        <w:t>.</w:t>
      </w:r>
    </w:p>
    <w:p w14:paraId="1582B980" w14:textId="6C69773B" w:rsidR="005743E7" w:rsidRPr="00211EB6" w:rsidRDefault="00876212" w:rsidP="008C6BCB">
      <w:pPr>
        <w:pStyle w:val="Normalnumber"/>
        <w:numPr>
          <w:ilvl w:val="0"/>
          <w:numId w:val="34"/>
        </w:numPr>
        <w:tabs>
          <w:tab w:val="clear" w:pos="1440"/>
        </w:tabs>
        <w:ind w:left="0" w:firstLine="0"/>
      </w:pPr>
      <w:r w:rsidRPr="00211EB6">
        <w:t>Chen and Kwan</w:t>
      </w:r>
      <w:r w:rsidR="005743E7" w:rsidRPr="00211EB6">
        <w:t xml:space="preserve"> </w:t>
      </w:r>
      <w:r w:rsidR="006810E4" w:rsidRPr="00211EB6">
        <w:t>(</w:t>
      </w:r>
      <w:r w:rsidR="005743E7" w:rsidRPr="00211EB6">
        <w:t>2013</w:t>
      </w:r>
      <w:r w:rsidR="006810E4" w:rsidRPr="00211EB6">
        <w:t>)</w:t>
      </w:r>
      <w:r w:rsidR="005743E7" w:rsidRPr="00211EB6">
        <w:t xml:space="preserve"> highlighted the need for settlement packages and re-training for those personnel working at </w:t>
      </w:r>
      <w:proofErr w:type="spellStart"/>
      <w:r w:rsidR="005743E7" w:rsidRPr="00211EB6">
        <w:t>dicofol</w:t>
      </w:r>
      <w:proofErr w:type="spellEnd"/>
      <w:r w:rsidR="005743E7" w:rsidRPr="00211EB6">
        <w:t xml:space="preserve"> </w:t>
      </w:r>
      <w:r w:rsidR="00683A29" w:rsidRPr="00211EB6">
        <w:t>manufactur</w:t>
      </w:r>
      <w:r w:rsidR="00955AB8" w:rsidRPr="00211EB6">
        <w:t xml:space="preserve">ing </w:t>
      </w:r>
      <w:r w:rsidR="005743E7" w:rsidRPr="00211EB6">
        <w:t>facilities to limit the impact of ceasing production. Equally</w:t>
      </w:r>
      <w:r w:rsidR="009D445E" w:rsidRPr="00211EB6">
        <w:t>,</w:t>
      </w:r>
      <w:r w:rsidR="005743E7" w:rsidRPr="00211EB6">
        <w:t xml:space="preserve"> considerable effort was placed on training and support for farming communities to help change farming practices and switch to non-chemical approaches largely based around IPM.</w:t>
      </w:r>
    </w:p>
    <w:p w14:paraId="53131A1F" w14:textId="33F6172D" w:rsidR="00C151FB" w:rsidRPr="00211EB6" w:rsidRDefault="00C151FB" w:rsidP="001E269C">
      <w:pPr>
        <w:pStyle w:val="Heading3"/>
      </w:pPr>
      <w:bookmarkStart w:id="40" w:name="_Toc483491468"/>
      <w:r w:rsidRPr="00211EB6">
        <w:t>Movement towards sustainable development</w:t>
      </w:r>
      <w:bookmarkEnd w:id="40"/>
    </w:p>
    <w:p w14:paraId="1EDE0110" w14:textId="4FD23018" w:rsidR="00BA2F93" w:rsidRPr="00211EB6" w:rsidRDefault="00BA2F93" w:rsidP="008C6BCB">
      <w:pPr>
        <w:pStyle w:val="Normalnumber"/>
        <w:numPr>
          <w:ilvl w:val="0"/>
          <w:numId w:val="34"/>
        </w:numPr>
        <w:tabs>
          <w:tab w:val="clear" w:pos="1440"/>
        </w:tabs>
        <w:ind w:left="0" w:firstLine="0"/>
      </w:pPr>
      <w:r w:rsidRPr="00211EB6">
        <w:t xml:space="preserve">Elimination of </w:t>
      </w:r>
      <w:proofErr w:type="spellStart"/>
      <w:r w:rsidR="005743E7" w:rsidRPr="00211EB6">
        <w:t>dicofol</w:t>
      </w:r>
      <w:proofErr w:type="spellEnd"/>
      <w:r w:rsidRPr="00211EB6">
        <w:t xml:space="preserve"> is consistent with sustainable development plans that seek to reduce emissions of toxic chemicals. </w:t>
      </w:r>
      <w:r w:rsidR="000872AD" w:rsidRPr="00211EB6">
        <w:t xml:space="preserve">The elimination of </w:t>
      </w:r>
      <w:proofErr w:type="spellStart"/>
      <w:r w:rsidR="000872AD" w:rsidRPr="00211EB6">
        <w:t>dicofol</w:t>
      </w:r>
      <w:proofErr w:type="spellEnd"/>
      <w:r w:rsidR="000872AD" w:rsidRPr="00211EB6">
        <w:t xml:space="preserve"> is relevant to a number of the Agenda 2030 Sustainable Development Goals, in particular Goal 2 (</w:t>
      </w:r>
      <w:r w:rsidR="0014571C" w:rsidRPr="00211EB6">
        <w:t>e</w:t>
      </w:r>
      <w:r w:rsidR="000872AD" w:rsidRPr="00211EB6">
        <w:t>nd hunger, achieve food security and improved nutrition and promote sustainable agriculture)</w:t>
      </w:r>
      <w:r w:rsidR="009D445E" w:rsidRPr="00211EB6">
        <w:t xml:space="preserve">, </w:t>
      </w:r>
      <w:r w:rsidR="000872AD" w:rsidRPr="00211EB6">
        <w:t>Goal 3 (</w:t>
      </w:r>
      <w:r w:rsidR="0014571C" w:rsidRPr="00211EB6">
        <w:t>e</w:t>
      </w:r>
      <w:r w:rsidR="000872AD" w:rsidRPr="00211EB6">
        <w:t xml:space="preserve">nsure healthy lives and promote well-being </w:t>
      </w:r>
      <w:r w:rsidR="000872AD" w:rsidRPr="00211EB6">
        <w:rPr>
          <w:color w:val="000000" w:themeColor="text1"/>
        </w:rPr>
        <w:t>at all ages)</w:t>
      </w:r>
      <w:r w:rsidR="009D445E" w:rsidRPr="00211EB6">
        <w:rPr>
          <w:color w:val="000000" w:themeColor="text1"/>
        </w:rPr>
        <w:t>, and Goal 15 (</w:t>
      </w:r>
      <w:r w:rsidR="00F50791" w:rsidRPr="00211EB6">
        <w:rPr>
          <w:color w:val="000000" w:themeColor="text1"/>
        </w:rPr>
        <w:t>p</w:t>
      </w:r>
      <w:r w:rsidR="009D445E" w:rsidRPr="00211EB6">
        <w:rPr>
          <w:color w:val="000000" w:themeColor="text1"/>
          <w:lang w:eastAsia="en-GB"/>
        </w:rPr>
        <w:t>rotect, restore, and promote sustainable use of terrestrial ecosystems, sustainably manage forests, combat desertification, and halt and reverse land degradation and halt biodiversity loss</w:t>
      </w:r>
      <w:r w:rsidR="009D445E" w:rsidRPr="00211EB6">
        <w:rPr>
          <w:color w:val="000000" w:themeColor="text1"/>
        </w:rPr>
        <w:t>).</w:t>
      </w:r>
    </w:p>
    <w:p w14:paraId="45DB8892" w14:textId="7701D0BA" w:rsidR="00BA2F93" w:rsidRPr="00211EB6" w:rsidRDefault="00BA2F93" w:rsidP="008C6BCB">
      <w:pPr>
        <w:pStyle w:val="Normalnumber"/>
        <w:numPr>
          <w:ilvl w:val="0"/>
          <w:numId w:val="34"/>
        </w:numPr>
        <w:tabs>
          <w:tab w:val="clear" w:pos="1440"/>
        </w:tabs>
        <w:ind w:left="0" w:firstLine="0"/>
      </w:pPr>
      <w:r w:rsidRPr="00211EB6">
        <w:t>A relevant global plan is the Strategic Approach to International Chemicals Management (SAICM)</w:t>
      </w:r>
      <w:r w:rsidR="008E0122" w:rsidRPr="00211EB6">
        <w:t>.</w:t>
      </w:r>
      <w:r w:rsidRPr="00211EB6">
        <w:rPr>
          <w:rStyle w:val="FootnoteReference"/>
        </w:rPr>
        <w:footnoteReference w:id="19"/>
      </w:r>
      <w:r w:rsidRPr="00211EB6">
        <w:t xml:space="preserve"> SAICM makes the essential link between chemical safety, sustainable development, and poverty reduction. The Global Plan of Action of SAICM contains specific measures to support risk reduction that include </w:t>
      </w:r>
      <w:r w:rsidR="008E0122" w:rsidRPr="00211EB6">
        <w:t>prioritizing</w:t>
      </w:r>
      <w:r w:rsidRPr="00211EB6">
        <w:t xml:space="preserve"> safe and effective alternatives for persistent, </w:t>
      </w:r>
      <w:proofErr w:type="spellStart"/>
      <w:r w:rsidRPr="00211EB6">
        <w:t>bioaccumulative</w:t>
      </w:r>
      <w:proofErr w:type="spellEnd"/>
      <w:r w:rsidRPr="00211EB6">
        <w:t xml:space="preserve"> and toxic substances. </w:t>
      </w:r>
      <w:r w:rsidR="001B2E5F" w:rsidRPr="00211EB6">
        <w:t xml:space="preserve">The Overarching Policy Strategy of SAICM aims to ensure, by 2020, that chemicals or chemical uses that pose an unreasonable and otherwise unmanageable risk to human health and the environment based on a science based risk assessment and taking into account the costs and benefits as well as the availability of safer substitutes and their efficacy, are no longer produced or used for such uses. </w:t>
      </w:r>
      <w:r w:rsidRPr="00211EB6">
        <w:t xml:space="preserve"> Additionally, the FAO has agreed to facilitate the phase out of Highly Hazardous Pesticides,</w:t>
      </w:r>
      <w:r w:rsidRPr="00211EB6">
        <w:rPr>
          <w:rStyle w:val="FootnoteReference"/>
        </w:rPr>
        <w:footnoteReference w:id="20"/>
      </w:r>
      <w:r w:rsidRPr="00211EB6">
        <w:t xml:space="preserve"> the definition of which includes those pesticides that are deemed to be POPs</w:t>
      </w:r>
      <w:r w:rsidR="005A1680" w:rsidRPr="00211EB6">
        <w:t xml:space="preserve"> including</w:t>
      </w:r>
      <w:r w:rsidR="005216AA" w:rsidRPr="00211EB6">
        <w:t>,</w:t>
      </w:r>
      <w:r w:rsidR="005A1680" w:rsidRPr="00211EB6">
        <w:t xml:space="preserve"> therefore</w:t>
      </w:r>
      <w:r w:rsidR="005216AA" w:rsidRPr="00211EB6">
        <w:t>,</w:t>
      </w:r>
      <w:r w:rsidR="005A1680" w:rsidRPr="00211EB6">
        <w:t xml:space="preserve"> </w:t>
      </w:r>
      <w:proofErr w:type="spellStart"/>
      <w:r w:rsidR="005A1680" w:rsidRPr="00211EB6">
        <w:t>dicofol</w:t>
      </w:r>
      <w:proofErr w:type="spellEnd"/>
      <w:r w:rsidRPr="00211EB6">
        <w:t>.</w:t>
      </w:r>
      <w:r w:rsidRPr="00211EB6">
        <w:rPr>
          <w:rStyle w:val="FootnoteReference"/>
        </w:rPr>
        <w:footnoteReference w:id="21"/>
      </w:r>
    </w:p>
    <w:p w14:paraId="12132701" w14:textId="1B6B3EA8" w:rsidR="005743E7" w:rsidRPr="00211EB6" w:rsidRDefault="005743E7" w:rsidP="008C6BCB">
      <w:pPr>
        <w:pStyle w:val="Normalnumber"/>
        <w:numPr>
          <w:ilvl w:val="0"/>
          <w:numId w:val="34"/>
        </w:numPr>
        <w:tabs>
          <w:tab w:val="clear" w:pos="1440"/>
        </w:tabs>
        <w:ind w:left="0" w:firstLine="0"/>
      </w:pPr>
      <w:r w:rsidRPr="00211EB6">
        <w:t xml:space="preserve">The assessment of non-chemical alternatives within section </w:t>
      </w:r>
      <w:r w:rsidR="006603CD" w:rsidRPr="00211EB6">
        <w:fldChar w:fldCharType="begin"/>
      </w:r>
      <w:r w:rsidR="006603CD" w:rsidRPr="00211EB6">
        <w:instrText xml:space="preserve"> REF _Ref473036069 \r \h  \* MERGEFORMAT </w:instrText>
      </w:r>
      <w:r w:rsidR="006603CD" w:rsidRPr="00211EB6">
        <w:fldChar w:fldCharType="separate"/>
      </w:r>
      <w:r w:rsidR="00EC3D95">
        <w:t>2.3.3</w:t>
      </w:r>
      <w:r w:rsidR="006603CD" w:rsidRPr="00211EB6">
        <w:fldChar w:fldCharType="end"/>
      </w:r>
      <w:r w:rsidRPr="00211EB6">
        <w:t xml:space="preserve"> within this dossier ha</w:t>
      </w:r>
      <w:r w:rsidR="00955AB8" w:rsidRPr="00211EB6">
        <w:t>s</w:t>
      </w:r>
      <w:r w:rsidRPr="00211EB6">
        <w:t xml:space="preserve"> highlighted that a number of viable options exist which could be used instead of the application of chemical pesticides. These </w:t>
      </w:r>
      <w:proofErr w:type="spellStart"/>
      <w:r w:rsidR="00316F3C" w:rsidRPr="00211EB6">
        <w:t>agroecological</w:t>
      </w:r>
      <w:proofErr w:type="spellEnd"/>
      <w:r w:rsidRPr="00211EB6">
        <w:t xml:space="preserve"> practices</w:t>
      </w:r>
      <w:r w:rsidR="009D445E" w:rsidRPr="00211EB6">
        <w:t>,</w:t>
      </w:r>
      <w:r w:rsidRPr="00211EB6">
        <w:t xml:space="preserve"> which include the use of biological </w:t>
      </w:r>
      <w:r w:rsidR="00316F3C" w:rsidRPr="00211EB6">
        <w:t>controls</w:t>
      </w:r>
      <w:r w:rsidR="009D445E" w:rsidRPr="00211EB6">
        <w:t xml:space="preserve"> and</w:t>
      </w:r>
      <w:r w:rsidRPr="00211EB6">
        <w:t xml:space="preserve"> plants known to be poisonous to mites, represent a sustainable option to effectively manage the pest without use of chemical options.</w:t>
      </w:r>
      <w:r w:rsidR="005A1680" w:rsidRPr="00211EB6">
        <w:t xml:space="preserve"> Further information on the proportion of farming practices using chemical </w:t>
      </w:r>
      <w:proofErr w:type="spellStart"/>
      <w:r w:rsidR="005A1680" w:rsidRPr="00211EB6">
        <w:t>vs</w:t>
      </w:r>
      <w:proofErr w:type="spellEnd"/>
      <w:r w:rsidR="005A1680" w:rsidRPr="00211EB6">
        <w:t xml:space="preserve"> non-chemical approaches has not been identified.</w:t>
      </w:r>
    </w:p>
    <w:p w14:paraId="03CBFC4D" w14:textId="09DAD049" w:rsidR="00C151FB" w:rsidRPr="00211EB6" w:rsidRDefault="00C151FB" w:rsidP="001E269C">
      <w:pPr>
        <w:pStyle w:val="Heading3"/>
      </w:pPr>
      <w:bookmarkStart w:id="41" w:name="_Toc483491469"/>
      <w:r w:rsidRPr="00211EB6">
        <w:t>Social costs (employment etc.)</w:t>
      </w:r>
      <w:bookmarkEnd w:id="41"/>
    </w:p>
    <w:p w14:paraId="439ACC85" w14:textId="2FF5D039" w:rsidR="005743E7" w:rsidRPr="00211EB6" w:rsidRDefault="00876212" w:rsidP="008C6BCB">
      <w:pPr>
        <w:pStyle w:val="Normalnumber"/>
        <w:numPr>
          <w:ilvl w:val="0"/>
          <w:numId w:val="34"/>
        </w:numPr>
        <w:tabs>
          <w:tab w:val="clear" w:pos="1440"/>
        </w:tabs>
        <w:ind w:left="0" w:firstLine="0"/>
      </w:pPr>
      <w:r w:rsidRPr="00211EB6">
        <w:t>Chen and Kwan</w:t>
      </w:r>
      <w:r w:rsidR="005743E7" w:rsidRPr="00211EB6">
        <w:t xml:space="preserve"> </w:t>
      </w:r>
      <w:r w:rsidR="006C56D8" w:rsidRPr="00211EB6">
        <w:t>(</w:t>
      </w:r>
      <w:r w:rsidR="005743E7" w:rsidRPr="00211EB6">
        <w:t>2013</w:t>
      </w:r>
      <w:r w:rsidR="006C56D8" w:rsidRPr="00211EB6">
        <w:t>)</w:t>
      </w:r>
      <w:r w:rsidR="005743E7" w:rsidRPr="00211EB6">
        <w:t xml:space="preserve"> highlighted potential negative social impacts for those personnel who are employed within the facilities manufacturing </w:t>
      </w:r>
      <w:proofErr w:type="spellStart"/>
      <w:r w:rsidR="005743E7" w:rsidRPr="00211EB6">
        <w:t>dicofol</w:t>
      </w:r>
      <w:proofErr w:type="spellEnd"/>
      <w:r w:rsidR="005743E7" w:rsidRPr="00211EB6">
        <w:t>. However</w:t>
      </w:r>
      <w:r w:rsidR="00D1624D" w:rsidRPr="00211EB6">
        <w:t>,</w:t>
      </w:r>
      <w:r w:rsidR="005743E7" w:rsidRPr="00211EB6">
        <w:t xml:space="preserve"> the global decline in the manufacture and use of </w:t>
      </w:r>
      <w:proofErr w:type="spellStart"/>
      <w:r w:rsidR="005743E7" w:rsidRPr="00211EB6">
        <w:t>dicofol</w:t>
      </w:r>
      <w:proofErr w:type="spellEnd"/>
      <w:r w:rsidR="005743E7" w:rsidRPr="00211EB6">
        <w:t>, which fell below 1,000t per annum in 2012,</w:t>
      </w:r>
      <w:r w:rsidR="005A1680" w:rsidRPr="00211EB6">
        <w:t xml:space="preserve"> compared to 5,500t in 2000,</w:t>
      </w:r>
      <w:r w:rsidR="005743E7" w:rsidRPr="00211EB6">
        <w:t xml:space="preserve"> would mean that a relatively small number of people would be affected should a prohibition on </w:t>
      </w:r>
      <w:proofErr w:type="spellStart"/>
      <w:r w:rsidR="005743E7" w:rsidRPr="00211EB6">
        <w:t>dicofol</w:t>
      </w:r>
      <w:proofErr w:type="spellEnd"/>
      <w:r w:rsidR="005743E7" w:rsidRPr="00211EB6">
        <w:t xml:space="preserve"> be </w:t>
      </w:r>
      <w:r w:rsidR="00955AB8" w:rsidRPr="00211EB6">
        <w:t>introduced</w:t>
      </w:r>
      <w:r w:rsidR="005743E7" w:rsidRPr="00211EB6">
        <w:t xml:space="preserve">. The study by </w:t>
      </w:r>
      <w:r w:rsidRPr="00211EB6">
        <w:t>Chen and Kwan</w:t>
      </w:r>
      <w:r w:rsidR="005743E7" w:rsidRPr="00211EB6">
        <w:t xml:space="preserve"> </w:t>
      </w:r>
      <w:r w:rsidR="0065304C" w:rsidRPr="00211EB6">
        <w:t>(</w:t>
      </w:r>
      <w:r w:rsidR="005743E7" w:rsidRPr="00211EB6">
        <w:t>2013</w:t>
      </w:r>
      <w:r w:rsidR="0065304C" w:rsidRPr="00211EB6">
        <w:t>)</w:t>
      </w:r>
      <w:r w:rsidR="005743E7" w:rsidRPr="00211EB6">
        <w:t xml:space="preserve"> noted that these effects could be offset through support to find alternative employment</w:t>
      </w:r>
      <w:r w:rsidR="005A1680" w:rsidRPr="00211EB6">
        <w:t xml:space="preserve"> at national level</w:t>
      </w:r>
      <w:r w:rsidR="005743E7" w:rsidRPr="00211EB6">
        <w:t>.</w:t>
      </w:r>
    </w:p>
    <w:p w14:paraId="24A4ED26" w14:textId="025042B7" w:rsidR="005743E7" w:rsidRPr="00211EB6" w:rsidRDefault="005743E7" w:rsidP="008C6BCB">
      <w:pPr>
        <w:pStyle w:val="Normalnumber"/>
        <w:numPr>
          <w:ilvl w:val="0"/>
          <w:numId w:val="34"/>
        </w:numPr>
        <w:tabs>
          <w:tab w:val="clear" w:pos="1440"/>
        </w:tabs>
        <w:ind w:left="0" w:firstLine="0"/>
      </w:pPr>
      <w:proofErr w:type="spellStart"/>
      <w:r w:rsidRPr="00211EB6">
        <w:t>Eyhorn</w:t>
      </w:r>
      <w:proofErr w:type="spellEnd"/>
      <w:r w:rsidRPr="00211EB6">
        <w:t xml:space="preserve"> </w:t>
      </w:r>
      <w:r w:rsidR="001F51DB" w:rsidRPr="00211EB6">
        <w:t>(</w:t>
      </w:r>
      <w:r w:rsidRPr="00211EB6">
        <w:t>2007</w:t>
      </w:r>
      <w:r w:rsidR="001F51DB" w:rsidRPr="00211EB6">
        <w:t>)</w:t>
      </w:r>
      <w:r w:rsidRPr="00211EB6">
        <w:t xml:space="preserve"> highlight</w:t>
      </w:r>
      <w:r w:rsidR="00316F3C" w:rsidRPr="00211EB6">
        <w:t>ed</w:t>
      </w:r>
      <w:r w:rsidRPr="00211EB6">
        <w:t xml:space="preserve"> that the move towards an </w:t>
      </w:r>
      <w:r w:rsidR="00316F3C" w:rsidRPr="00211EB6">
        <w:t xml:space="preserve">organic </w:t>
      </w:r>
      <w:r w:rsidR="00793F96" w:rsidRPr="00211EB6">
        <w:t xml:space="preserve">farming </w:t>
      </w:r>
      <w:r w:rsidRPr="00211EB6">
        <w:t>approach for cotton farmers in India</w:t>
      </w:r>
      <w:r w:rsidR="00955AB8" w:rsidRPr="00211EB6">
        <w:t xml:space="preserve"> </w:t>
      </w:r>
      <w:r w:rsidRPr="00211EB6">
        <w:t xml:space="preserve">actually helped </w:t>
      </w:r>
      <w:r w:rsidR="00955AB8" w:rsidRPr="00211EB6">
        <w:t xml:space="preserve">to </w:t>
      </w:r>
      <w:r w:rsidRPr="00211EB6">
        <w:t>empower the farmers</w:t>
      </w:r>
      <w:r w:rsidR="00994EA0" w:rsidRPr="00211EB6">
        <w:t xml:space="preserve">. The fear of failing crops from use of untested approaches, </w:t>
      </w:r>
      <w:r w:rsidR="00BC12B4" w:rsidRPr="00211EB6">
        <w:t>together with tight economic margins</w:t>
      </w:r>
      <w:r w:rsidR="00994EA0" w:rsidRPr="00211EB6">
        <w:t>, meant that farming communities were reluctant to switch to alternative chemicals or approaches and relied heavily on the guidance of pesticide retailers</w:t>
      </w:r>
      <w:r w:rsidR="00BC12B4" w:rsidRPr="00211EB6">
        <w:t xml:space="preserve"> (</w:t>
      </w:r>
      <w:proofErr w:type="spellStart"/>
      <w:r w:rsidR="00BC12B4" w:rsidRPr="00211EB6">
        <w:t>Eyhorn</w:t>
      </w:r>
      <w:proofErr w:type="spellEnd"/>
      <w:r w:rsidR="00BC12B4" w:rsidRPr="00211EB6">
        <w:t xml:space="preserve">, 2007; Wang </w:t>
      </w:r>
      <w:r w:rsidR="00BC12B4" w:rsidRPr="00211EB6">
        <w:rPr>
          <w:i/>
        </w:rPr>
        <w:t>et al.</w:t>
      </w:r>
      <w:r w:rsidR="00BC12B4" w:rsidRPr="00211EB6">
        <w:t>, 2015)</w:t>
      </w:r>
      <w:r w:rsidR="00994EA0" w:rsidRPr="00211EB6">
        <w:t>. However</w:t>
      </w:r>
      <w:r w:rsidR="005216AA" w:rsidRPr="00211EB6">
        <w:t>,</w:t>
      </w:r>
      <w:r w:rsidR="00994EA0" w:rsidRPr="00211EB6">
        <w:t xml:space="preserve"> at the end of a two year study based on 60 farmers using conventional chemical techniques and 60 using </w:t>
      </w:r>
      <w:r w:rsidR="00316F3C" w:rsidRPr="00211EB6">
        <w:t>organic</w:t>
      </w:r>
      <w:r w:rsidR="00793F96" w:rsidRPr="00211EB6">
        <w:t xml:space="preserve"> farming</w:t>
      </w:r>
      <w:r w:rsidR="00994EA0" w:rsidRPr="00211EB6">
        <w:t xml:space="preserve"> approaches, the crop yields were similar</w:t>
      </w:r>
      <w:r w:rsidR="00955AB8" w:rsidRPr="00211EB6">
        <w:t>,</w:t>
      </w:r>
      <w:r w:rsidR="00994EA0" w:rsidRPr="00211EB6">
        <w:t xml:space="preserve"> as were the </w:t>
      </w:r>
      <w:proofErr w:type="spellStart"/>
      <w:r w:rsidR="008E0122" w:rsidRPr="00211EB6">
        <w:t>labor</w:t>
      </w:r>
      <w:proofErr w:type="spellEnd"/>
      <w:r w:rsidR="00994EA0" w:rsidRPr="00211EB6">
        <w:t xml:space="preserve"> requirements. </w:t>
      </w:r>
    </w:p>
    <w:p w14:paraId="662A94AF" w14:textId="0FB86B4E" w:rsidR="00C151FB" w:rsidRPr="00211EB6" w:rsidRDefault="00C151FB" w:rsidP="001E269C">
      <w:pPr>
        <w:pStyle w:val="Heading2"/>
      </w:pPr>
      <w:bookmarkStart w:id="42" w:name="_Toc483491470"/>
      <w:r w:rsidRPr="00211EB6">
        <w:t>Other considerations</w:t>
      </w:r>
      <w:bookmarkEnd w:id="42"/>
      <w:r w:rsidRPr="00211EB6">
        <w:t xml:space="preserve"> </w:t>
      </w:r>
    </w:p>
    <w:p w14:paraId="0A96DB2A" w14:textId="5A77B42D" w:rsidR="00C151FB" w:rsidRPr="00211EB6" w:rsidRDefault="00C151FB" w:rsidP="001E269C">
      <w:pPr>
        <w:pStyle w:val="Heading3"/>
      </w:pPr>
      <w:bookmarkStart w:id="43" w:name="_Toc483491471"/>
      <w:r w:rsidRPr="00211EB6">
        <w:t>Access to information and public education</w:t>
      </w:r>
      <w:bookmarkEnd w:id="43"/>
    </w:p>
    <w:p w14:paraId="586288B6" w14:textId="2A90AD9A" w:rsidR="0037740D" w:rsidRPr="00211EB6" w:rsidRDefault="0037740D" w:rsidP="008C6BCB">
      <w:pPr>
        <w:pStyle w:val="Normalnumber"/>
        <w:numPr>
          <w:ilvl w:val="0"/>
          <w:numId w:val="34"/>
        </w:numPr>
        <w:tabs>
          <w:tab w:val="clear" w:pos="1440"/>
        </w:tabs>
        <w:ind w:left="0" w:firstLine="0"/>
      </w:pPr>
      <w:r w:rsidRPr="00211EB6">
        <w:t xml:space="preserve">Several </w:t>
      </w:r>
      <w:r w:rsidR="00315E0D" w:rsidRPr="00211EB6">
        <w:t>Parties</w:t>
      </w:r>
      <w:r w:rsidRPr="00211EB6">
        <w:t xml:space="preserve"> provided information on actions taken to promote access to information and training. Canada provided details of information which can be found on </w:t>
      </w:r>
      <w:r w:rsidR="00955AB8" w:rsidRPr="00211EB6">
        <w:t>H</w:t>
      </w:r>
      <w:r w:rsidRPr="00211EB6">
        <w:t xml:space="preserve">ealth Canada’s </w:t>
      </w:r>
      <w:r w:rsidR="003703E4" w:rsidRPr="00211EB6">
        <w:t>P</w:t>
      </w:r>
      <w:r w:rsidRPr="00211EB6">
        <w:t xml:space="preserve">est </w:t>
      </w:r>
      <w:r w:rsidR="003703E4" w:rsidRPr="00211EB6">
        <w:t>M</w:t>
      </w:r>
      <w:r w:rsidRPr="00211EB6">
        <w:t xml:space="preserve">anagement </w:t>
      </w:r>
      <w:r w:rsidR="003703E4" w:rsidRPr="00211EB6">
        <w:t>R</w:t>
      </w:r>
      <w:r w:rsidRPr="00211EB6">
        <w:t xml:space="preserve">egulatory </w:t>
      </w:r>
      <w:r w:rsidR="003703E4" w:rsidRPr="00211EB6">
        <w:t>A</w:t>
      </w:r>
      <w:r w:rsidRPr="00211EB6">
        <w:t>gency website</w:t>
      </w:r>
      <w:r w:rsidR="008E0122" w:rsidRPr="00211EB6">
        <w:t>.</w:t>
      </w:r>
      <w:r w:rsidR="001A7D17" w:rsidRPr="00211EB6">
        <w:rPr>
          <w:rStyle w:val="FootnoteReference"/>
        </w:rPr>
        <w:footnoteReference w:id="22"/>
      </w:r>
      <w:r w:rsidRPr="00211EB6">
        <w:t xml:space="preserve"> Additionally</w:t>
      </w:r>
      <w:r w:rsidR="005216AA" w:rsidRPr="00211EB6">
        <w:t>,</w:t>
      </w:r>
      <w:r w:rsidRPr="00211EB6">
        <w:t xml:space="preserve"> Canada also provided review dossiers on a number of chemical alternatives to </w:t>
      </w:r>
      <w:proofErr w:type="spellStart"/>
      <w:r w:rsidRPr="00211EB6">
        <w:t>dicofol</w:t>
      </w:r>
      <w:proofErr w:type="spellEnd"/>
      <w:r w:rsidRPr="00211EB6">
        <w:t xml:space="preserve"> as part of pesticide </w:t>
      </w:r>
      <w:r w:rsidR="003703E4" w:rsidRPr="00211EB6">
        <w:t xml:space="preserve">regulation and </w:t>
      </w:r>
      <w:r w:rsidRPr="00211EB6">
        <w:t xml:space="preserve">registration </w:t>
      </w:r>
      <w:r w:rsidR="001A7D17" w:rsidRPr="00211EB6">
        <w:t>programs</w:t>
      </w:r>
      <w:r w:rsidRPr="00211EB6">
        <w:t xml:space="preserve">. India provided information detailing active </w:t>
      </w:r>
      <w:proofErr w:type="spellStart"/>
      <w:r w:rsidRPr="00211EB6">
        <w:t>ongoing</w:t>
      </w:r>
      <w:proofErr w:type="spellEnd"/>
      <w:r w:rsidRPr="00211EB6">
        <w:t xml:space="preserve"> training </w:t>
      </w:r>
      <w:r w:rsidR="001A7D17" w:rsidRPr="00211EB6">
        <w:t>programs</w:t>
      </w:r>
      <w:r w:rsidRPr="00211EB6">
        <w:t xml:space="preserve"> provided to farming communities on the safe use and storage of pesticides. The European Commission makes a range of information available through the Commission website. This includes both sections on the safe use and management of pesticides in general</w:t>
      </w:r>
      <w:r w:rsidR="008E0122" w:rsidRPr="00211EB6">
        <w:t>,</w:t>
      </w:r>
      <w:r w:rsidR="001A7D17" w:rsidRPr="00211EB6">
        <w:rPr>
          <w:rStyle w:val="FootnoteReference"/>
        </w:rPr>
        <w:footnoteReference w:id="23"/>
      </w:r>
      <w:r w:rsidR="001A7D17" w:rsidRPr="00211EB6">
        <w:t xml:space="preserve"> but also on the topic of persistent organic pollutants</w:t>
      </w:r>
      <w:r w:rsidR="008E0122" w:rsidRPr="00211EB6">
        <w:t>.</w:t>
      </w:r>
      <w:r w:rsidR="001A7D17" w:rsidRPr="00211EB6">
        <w:rPr>
          <w:rStyle w:val="FootnoteReference"/>
        </w:rPr>
        <w:footnoteReference w:id="24"/>
      </w:r>
      <w:r w:rsidR="001A7D17" w:rsidRPr="00211EB6">
        <w:t xml:space="preserve"> </w:t>
      </w:r>
      <w:r w:rsidR="00316F3C" w:rsidRPr="00211EB6">
        <w:t>PAN Germany provides an on-line service for non-chemical pest management in tropical crops</w:t>
      </w:r>
      <w:r w:rsidR="00316F3C" w:rsidRPr="00211EB6">
        <w:rPr>
          <w:rStyle w:val="FootnoteReference"/>
        </w:rPr>
        <w:footnoteReference w:id="25"/>
      </w:r>
      <w:r w:rsidR="00316F3C" w:rsidRPr="00211EB6">
        <w:t>.</w:t>
      </w:r>
      <w:r w:rsidR="005216AA" w:rsidRPr="00211EB6">
        <w:t xml:space="preserve"> FAO provides an </w:t>
      </w:r>
      <w:proofErr w:type="spellStart"/>
      <w:r w:rsidR="005216AA" w:rsidRPr="00211EB6">
        <w:t>agroecology</w:t>
      </w:r>
      <w:proofErr w:type="spellEnd"/>
      <w:r w:rsidR="005216AA" w:rsidRPr="00211EB6">
        <w:t xml:space="preserve"> knowledge hub</w:t>
      </w:r>
      <w:r w:rsidR="00B63F67" w:rsidRPr="00211EB6">
        <w:t>.</w:t>
      </w:r>
      <w:r w:rsidR="005216AA" w:rsidRPr="00211EB6">
        <w:rPr>
          <w:rStyle w:val="FootnoteReference"/>
        </w:rPr>
        <w:footnoteReference w:id="26"/>
      </w:r>
    </w:p>
    <w:p w14:paraId="57239FA2" w14:textId="552B6FEF" w:rsidR="00C151FB" w:rsidRPr="00211EB6" w:rsidRDefault="00C151FB" w:rsidP="001E269C">
      <w:pPr>
        <w:pStyle w:val="Heading3"/>
      </w:pPr>
      <w:bookmarkStart w:id="44" w:name="_Toc483491472"/>
      <w:r w:rsidRPr="00211EB6">
        <w:t>Status of control and monitoring capacity</w:t>
      </w:r>
      <w:bookmarkEnd w:id="44"/>
    </w:p>
    <w:p w14:paraId="0CAFEAD0" w14:textId="143254C0" w:rsidR="001A7D17" w:rsidRPr="00211EB6" w:rsidRDefault="001A7D17" w:rsidP="008C6BCB">
      <w:pPr>
        <w:pStyle w:val="Normalnumber"/>
        <w:numPr>
          <w:ilvl w:val="0"/>
          <w:numId w:val="34"/>
        </w:numPr>
        <w:tabs>
          <w:tab w:val="clear" w:pos="1440"/>
        </w:tabs>
        <w:ind w:left="0" w:firstLine="0"/>
      </w:pPr>
      <w:r w:rsidRPr="00211EB6">
        <w:t xml:space="preserve">Several </w:t>
      </w:r>
      <w:r w:rsidR="00315E0D" w:rsidRPr="00211EB6">
        <w:t>Parties</w:t>
      </w:r>
      <w:r w:rsidRPr="00211EB6">
        <w:t xml:space="preserve"> to the Stockholm Convention stated through the Annex F responses that monitoring and control program</w:t>
      </w:r>
      <w:r w:rsidR="00955AB8" w:rsidRPr="00211EB6">
        <w:t>me</w:t>
      </w:r>
      <w:r w:rsidRPr="00211EB6">
        <w:t>s were either already underway or were planned to start in the near future. Austria (</w:t>
      </w:r>
      <w:r w:rsidR="00F96C88" w:rsidRPr="00211EB6">
        <w:t>2016</w:t>
      </w:r>
      <w:r w:rsidRPr="00211EB6">
        <w:t xml:space="preserve">) provided details held by the Environment Agency </w:t>
      </w:r>
      <w:r w:rsidR="00266790" w:rsidRPr="00211EB6">
        <w:t xml:space="preserve">of Austria </w:t>
      </w:r>
      <w:r w:rsidRPr="00211EB6">
        <w:t xml:space="preserve">for monitoring of </w:t>
      </w:r>
      <w:proofErr w:type="spellStart"/>
      <w:r w:rsidRPr="00211EB6">
        <w:t>dicofol</w:t>
      </w:r>
      <w:proofErr w:type="spellEnd"/>
      <w:r w:rsidRPr="00211EB6">
        <w:t xml:space="preserve"> in wastewater, suspended solids and biota. </w:t>
      </w:r>
      <w:r w:rsidR="00266790" w:rsidRPr="00211EB6">
        <w:t>A</w:t>
      </w:r>
      <w:r w:rsidR="00E50C39" w:rsidRPr="00211EB6">
        <w:t xml:space="preserve"> total of 252 samples </w:t>
      </w:r>
      <w:r w:rsidR="00266790" w:rsidRPr="00211EB6">
        <w:t xml:space="preserve">have been </w:t>
      </w:r>
      <w:proofErr w:type="spellStart"/>
      <w:r w:rsidR="008E0122" w:rsidRPr="00211EB6">
        <w:t>analyzed</w:t>
      </w:r>
      <w:proofErr w:type="spellEnd"/>
      <w:r w:rsidR="00E50C39" w:rsidRPr="00211EB6">
        <w:t xml:space="preserve">, </w:t>
      </w:r>
      <w:r w:rsidR="00266790" w:rsidRPr="00211EB6">
        <w:t xml:space="preserve">with only </w:t>
      </w:r>
      <w:r w:rsidR="00E50C39" w:rsidRPr="00211EB6">
        <w:t xml:space="preserve">one </w:t>
      </w:r>
      <w:r w:rsidR="00266790" w:rsidRPr="00211EB6">
        <w:t xml:space="preserve">sample identified as having concentrations </w:t>
      </w:r>
      <w:r w:rsidR="00E50C39" w:rsidRPr="00211EB6">
        <w:t>above the limit of quantification.</w:t>
      </w:r>
      <w:r w:rsidR="00CB149E" w:rsidRPr="00211EB6">
        <w:t xml:space="preserve"> </w:t>
      </w:r>
      <w:r w:rsidRPr="00211EB6">
        <w:t>Additionally</w:t>
      </w:r>
      <w:r w:rsidR="0019741F" w:rsidRPr="00211EB6">
        <w:t>,</w:t>
      </w:r>
      <w:r w:rsidRPr="00211EB6">
        <w:t xml:space="preserve"> under the European Union EQS </w:t>
      </w:r>
      <w:r w:rsidR="008633C5" w:rsidRPr="00211EB6">
        <w:t>D</w:t>
      </w:r>
      <w:r w:rsidRPr="00211EB6">
        <w:t>irective</w:t>
      </w:r>
      <w:r w:rsidR="008633C5" w:rsidRPr="00211EB6">
        <w:t>,</w:t>
      </w:r>
      <w:r w:rsidRPr="00211EB6">
        <w:t xml:space="preserve"> a mandatory requirement is placed on all European Member States to develop inventories of releases and losses which are </w:t>
      </w:r>
      <w:r w:rsidR="00316F3C" w:rsidRPr="00211EB6">
        <w:t xml:space="preserve">made </w:t>
      </w:r>
      <w:r w:rsidRPr="00211EB6">
        <w:t xml:space="preserve">publically available through river basin management plans. This will include </w:t>
      </w:r>
      <w:proofErr w:type="spellStart"/>
      <w:r w:rsidRPr="00211EB6">
        <w:t>dicofol</w:t>
      </w:r>
      <w:proofErr w:type="spellEnd"/>
      <w:r w:rsidRPr="00211EB6">
        <w:t xml:space="preserve"> as one of the named sets of pollutants for estimates of environmental concentrations in the aquatic environment. </w:t>
      </w:r>
      <w:r w:rsidR="005E2FFD" w:rsidRPr="00211EB6">
        <w:t>Note that inventories of releases and losses relate to the quantities of material released into the environment rather than an obligation for ambient monitoring. They do</w:t>
      </w:r>
      <w:r w:rsidR="005216AA" w:rsidRPr="00211EB6">
        <w:t>,</w:t>
      </w:r>
      <w:r w:rsidR="005E2FFD" w:rsidRPr="00211EB6">
        <w:t xml:space="preserve"> however</w:t>
      </w:r>
      <w:r w:rsidR="005216AA" w:rsidRPr="00211EB6">
        <w:t>,</w:t>
      </w:r>
      <w:r w:rsidR="005E2FFD" w:rsidRPr="00211EB6">
        <w:t xml:space="preserve"> serve as a valuable tool to identify and quantify magnitude of releases to the aquatic environment. </w:t>
      </w:r>
      <w:r w:rsidRPr="00211EB6">
        <w:t>Serbia (</w:t>
      </w:r>
      <w:r w:rsidR="005603EC" w:rsidRPr="00211EB6">
        <w:t>2016</w:t>
      </w:r>
      <w:r w:rsidRPr="00211EB6">
        <w:t>) provided details of plans under Official</w:t>
      </w:r>
      <w:r w:rsidR="005216AA" w:rsidRPr="00211EB6">
        <w:t xml:space="preserve"> </w:t>
      </w:r>
      <w:r w:rsidRPr="00211EB6">
        <w:t>Gazette</w:t>
      </w:r>
      <w:r w:rsidR="005216AA" w:rsidRPr="00211EB6">
        <w:t xml:space="preserve"> </w:t>
      </w:r>
      <w:r w:rsidRPr="00211EB6">
        <w:t>of</w:t>
      </w:r>
      <w:r w:rsidR="005216AA" w:rsidRPr="00211EB6">
        <w:t xml:space="preserve"> </w:t>
      </w:r>
      <w:r w:rsidRPr="00211EB6">
        <w:t>R</w:t>
      </w:r>
      <w:r w:rsidR="00A97444" w:rsidRPr="00211EB6">
        <w:t xml:space="preserve">epublic of </w:t>
      </w:r>
      <w:r w:rsidRPr="00211EB6">
        <w:t>S</w:t>
      </w:r>
      <w:r w:rsidR="00A97444" w:rsidRPr="00211EB6">
        <w:t>erbia</w:t>
      </w:r>
      <w:r w:rsidR="00C90BAB" w:rsidRPr="00211EB6">
        <w:t xml:space="preserve"> </w:t>
      </w:r>
      <w:r w:rsidRPr="00211EB6">
        <w:t xml:space="preserve">No.24/14 which places Serbia in alignment with the European EQS Directive </w:t>
      </w:r>
      <w:r w:rsidR="00391A26" w:rsidRPr="00211EB6">
        <w:t>(2008/105/EC)</w:t>
      </w:r>
      <w:r w:rsidRPr="00211EB6">
        <w:t xml:space="preserve"> and a need </w:t>
      </w:r>
      <w:r w:rsidR="005E2FFD" w:rsidRPr="00211EB6">
        <w:t xml:space="preserve">to </w:t>
      </w:r>
      <w:r w:rsidRPr="00211EB6">
        <w:t xml:space="preserve">limit releases of named substances, including </w:t>
      </w:r>
      <w:proofErr w:type="spellStart"/>
      <w:r w:rsidRPr="00211EB6">
        <w:t>dicofol</w:t>
      </w:r>
      <w:proofErr w:type="spellEnd"/>
      <w:r w:rsidRPr="00211EB6">
        <w:t>. A surface water monitoring program</w:t>
      </w:r>
      <w:r w:rsidR="00955AB8" w:rsidRPr="00211EB6">
        <w:t>me</w:t>
      </w:r>
      <w:r w:rsidRPr="00211EB6">
        <w:t xml:space="preserve"> for </w:t>
      </w:r>
      <w:proofErr w:type="spellStart"/>
      <w:r w:rsidRPr="00211EB6">
        <w:t>dicofol</w:t>
      </w:r>
      <w:proofErr w:type="spellEnd"/>
      <w:r w:rsidRPr="00211EB6">
        <w:t xml:space="preserve"> is expected to start in Serbia by not later than 2018. India (</w:t>
      </w:r>
      <w:r w:rsidR="00955AB8" w:rsidRPr="00211EB6">
        <w:t xml:space="preserve">in their </w:t>
      </w:r>
      <w:r w:rsidRPr="00211EB6">
        <w:t>Annex F response) provided information stating that monitoring program</w:t>
      </w:r>
      <w:r w:rsidR="00955AB8" w:rsidRPr="00211EB6">
        <w:t>me</w:t>
      </w:r>
      <w:r w:rsidRPr="00211EB6">
        <w:t xml:space="preserve">s for </w:t>
      </w:r>
      <w:proofErr w:type="spellStart"/>
      <w:r w:rsidRPr="00211EB6">
        <w:t>dicofol</w:t>
      </w:r>
      <w:proofErr w:type="spellEnd"/>
      <w:r w:rsidRPr="00211EB6">
        <w:t xml:space="preserve"> were still in development, but that there was an intention to conduct monitoring programs in the near future.</w:t>
      </w:r>
    </w:p>
    <w:p w14:paraId="6B8B4796" w14:textId="1F03421B" w:rsidR="00AA7273" w:rsidRPr="00211EB6" w:rsidRDefault="00AA7273" w:rsidP="008C6BCB">
      <w:pPr>
        <w:pStyle w:val="Normalnumber"/>
        <w:numPr>
          <w:ilvl w:val="0"/>
          <w:numId w:val="34"/>
        </w:numPr>
        <w:tabs>
          <w:tab w:val="clear" w:pos="1440"/>
        </w:tabs>
        <w:ind w:left="0" w:firstLine="0"/>
      </w:pPr>
      <w:r w:rsidRPr="00211EB6">
        <w:t xml:space="preserve">Monitoring data is scarce for </w:t>
      </w:r>
      <w:proofErr w:type="spellStart"/>
      <w:r w:rsidRPr="00211EB6">
        <w:t>dicofol</w:t>
      </w:r>
      <w:proofErr w:type="spellEnd"/>
      <w:r w:rsidRPr="00211EB6">
        <w:t xml:space="preserve"> in surface waters, ground waters, sediments and biota. In Europe, James et al. (2009) reported </w:t>
      </w:r>
      <w:r w:rsidR="00CB149E" w:rsidRPr="00211EB6">
        <w:t xml:space="preserve">that </w:t>
      </w:r>
      <w:r w:rsidRPr="00211EB6">
        <w:t xml:space="preserve">only very few EU Member States routinely monitor for </w:t>
      </w:r>
      <w:proofErr w:type="spellStart"/>
      <w:r w:rsidRPr="00211EB6">
        <w:t>dicofol</w:t>
      </w:r>
      <w:proofErr w:type="spellEnd"/>
      <w:r w:rsidRPr="00211EB6">
        <w:t xml:space="preserve"> in water or sediment and there was no routine monitoring of </w:t>
      </w:r>
      <w:proofErr w:type="spellStart"/>
      <w:r w:rsidRPr="00211EB6">
        <w:t>dicofol</w:t>
      </w:r>
      <w:proofErr w:type="spellEnd"/>
      <w:r w:rsidRPr="00211EB6">
        <w:t xml:space="preserve"> in biota. EU Directive 2013/39/EU requires EU Member States to establish supplementary monitoring programmes for priority substances </w:t>
      </w:r>
      <w:r w:rsidR="00934710" w:rsidRPr="00211EB6">
        <w:t xml:space="preserve">added to the Directive, with monitoring required </w:t>
      </w:r>
      <w:r w:rsidRPr="00211EB6">
        <w:t xml:space="preserve">by the end of 2018. Since 2013, a monitoring study of fish in six German rivers indicted general compliance </w:t>
      </w:r>
      <w:r w:rsidR="00CB149E" w:rsidRPr="00211EB6">
        <w:t xml:space="preserve">with the EQS </w:t>
      </w:r>
      <w:r w:rsidRPr="00211EB6">
        <w:t xml:space="preserve">for </w:t>
      </w:r>
      <w:proofErr w:type="spellStart"/>
      <w:r w:rsidRPr="00211EB6">
        <w:t>dicofol</w:t>
      </w:r>
      <w:proofErr w:type="spellEnd"/>
      <w:r w:rsidRPr="00211EB6">
        <w:t xml:space="preserve"> (</w:t>
      </w:r>
      <w:proofErr w:type="spellStart"/>
      <w:r w:rsidRPr="00211EB6">
        <w:t>Fliedner</w:t>
      </w:r>
      <w:proofErr w:type="spellEnd"/>
      <w:r w:rsidRPr="00211EB6">
        <w:t xml:space="preserve"> et al., 2016). However there is little published data for </w:t>
      </w:r>
      <w:proofErr w:type="spellStart"/>
      <w:r w:rsidRPr="00211EB6">
        <w:t>dicofol</w:t>
      </w:r>
      <w:proofErr w:type="spellEnd"/>
      <w:r w:rsidRPr="00211EB6">
        <w:t xml:space="preserve"> levels in most countries, and the situation in terms of compliance with EQS is unclear. A report by </w:t>
      </w:r>
      <w:proofErr w:type="spellStart"/>
      <w:r w:rsidRPr="00211EB6">
        <w:t>E</w:t>
      </w:r>
      <w:r w:rsidR="00CB149E" w:rsidRPr="00211EB6">
        <w:t>ntec</w:t>
      </w:r>
      <w:proofErr w:type="spellEnd"/>
      <w:r w:rsidRPr="00211EB6">
        <w:t xml:space="preserve"> (2011) indicated that the UK, Italy and Demark </w:t>
      </w:r>
      <w:r w:rsidR="00CB149E" w:rsidRPr="00211EB6">
        <w:t>we</w:t>
      </w:r>
      <w:r w:rsidRPr="00211EB6">
        <w:t xml:space="preserve">re expected to meet the EQS, while levels as high as 0.06 µg/L had been measured in France. </w:t>
      </w:r>
      <w:proofErr w:type="spellStart"/>
      <w:r w:rsidRPr="00211EB6">
        <w:t>Dicofol</w:t>
      </w:r>
      <w:proofErr w:type="spellEnd"/>
      <w:r w:rsidRPr="00211EB6">
        <w:t xml:space="preserve"> concentrations previously reported in terrestrial and aquatic organisms and birds in various locations (OSPAR, 2008) were below the MRL stipulated in the EU Directive 2013/39/EU.   A study of groundwater sample</w:t>
      </w:r>
      <w:r w:rsidR="00CB149E" w:rsidRPr="00211EB6">
        <w:t>s</w:t>
      </w:r>
      <w:r w:rsidRPr="00211EB6">
        <w:t xml:space="preserve">, collected from eight tube wells of different vegetable farm fields in Delhi, India reported </w:t>
      </w:r>
      <w:proofErr w:type="spellStart"/>
      <w:r w:rsidRPr="00211EB6">
        <w:t>dicofol</w:t>
      </w:r>
      <w:proofErr w:type="spellEnd"/>
      <w:r w:rsidRPr="00211EB6">
        <w:t xml:space="preserve"> concentrations </w:t>
      </w:r>
      <w:proofErr w:type="gramStart"/>
      <w:r w:rsidRPr="00211EB6">
        <w:t>of 0.191 to 0.293 µg/L (Thakur et al., 2015)</w:t>
      </w:r>
      <w:proofErr w:type="gramEnd"/>
      <w:r w:rsidRPr="00211EB6">
        <w:t>. This is more than two orders of magnitude higher than the EU EQS.</w:t>
      </w:r>
      <w:r w:rsidR="00CB149E" w:rsidRPr="00211EB6">
        <w:t xml:space="preserve"> </w:t>
      </w:r>
    </w:p>
    <w:p w14:paraId="6B7AC270" w14:textId="6680E24A" w:rsidR="00AA7273" w:rsidRPr="00211EB6" w:rsidRDefault="00AA7273" w:rsidP="008C6BCB">
      <w:pPr>
        <w:pStyle w:val="Normalnumber"/>
        <w:numPr>
          <w:ilvl w:val="0"/>
          <w:numId w:val="34"/>
        </w:numPr>
        <w:tabs>
          <w:tab w:val="clear" w:pos="1440"/>
        </w:tabs>
        <w:ind w:left="0" w:firstLine="0"/>
      </w:pPr>
      <w:r w:rsidRPr="00211EB6">
        <w:t xml:space="preserve">For levels of </w:t>
      </w:r>
      <w:proofErr w:type="spellStart"/>
      <w:r w:rsidRPr="00211EB6">
        <w:t>dicofol</w:t>
      </w:r>
      <w:proofErr w:type="spellEnd"/>
      <w:r w:rsidRPr="00211EB6">
        <w:t xml:space="preserve"> found in food, Article 32 of Regulation (EC) No 396/2005 requires </w:t>
      </w:r>
      <w:r w:rsidR="00CB149E" w:rsidRPr="00211EB6">
        <w:t xml:space="preserve">EU </w:t>
      </w:r>
      <w:r w:rsidRPr="00211EB6">
        <w:t xml:space="preserve">Member States to monitor concentrations of pesticide residues to ensure compliance with the stated MRLs (see Table 2.2). National authorities are responsible for taking samples and reporting measured levels to the Commission. The European Food Safety </w:t>
      </w:r>
      <w:proofErr w:type="spellStart"/>
      <w:r w:rsidRPr="00211EB6">
        <w:t>Authoity</w:t>
      </w:r>
      <w:proofErr w:type="spellEnd"/>
      <w:r w:rsidRPr="00211EB6">
        <w:t xml:space="preserve"> (EFSA) </w:t>
      </w:r>
      <w:r w:rsidR="00B63F67" w:rsidRPr="00211EB6">
        <w:t>publishes</w:t>
      </w:r>
      <w:r w:rsidRPr="00211EB6">
        <w:t xml:space="preserve"> annual reports</w:t>
      </w:r>
      <w:r w:rsidRPr="00211EB6">
        <w:rPr>
          <w:rStyle w:val="FootnoteReference"/>
        </w:rPr>
        <w:footnoteReference w:id="27"/>
      </w:r>
      <w:r w:rsidRPr="00211EB6">
        <w:t xml:space="preserve"> of measured pesticide le</w:t>
      </w:r>
      <w:r w:rsidR="00B63F67" w:rsidRPr="00211EB6">
        <w:t>vels based on the data provided</w:t>
      </w:r>
      <w:r w:rsidRPr="00211EB6">
        <w:t xml:space="preserve">. </w:t>
      </w:r>
      <w:proofErr w:type="spellStart"/>
      <w:r w:rsidRPr="00211EB6">
        <w:t>Dicofol</w:t>
      </w:r>
      <w:proofErr w:type="spellEnd"/>
      <w:r w:rsidRPr="00211EB6">
        <w:t xml:space="preserve"> is monitored and report by nearly all Member States in this process. Table 2.4 </w:t>
      </w:r>
      <w:r w:rsidR="00B63F67" w:rsidRPr="00211EB6">
        <w:t>summarizes</w:t>
      </w:r>
      <w:r w:rsidRPr="00211EB6">
        <w:t xml:space="preserve"> the data on </w:t>
      </w:r>
      <w:proofErr w:type="spellStart"/>
      <w:r w:rsidRPr="00211EB6">
        <w:t>dicofol</w:t>
      </w:r>
      <w:proofErr w:type="spellEnd"/>
      <w:r w:rsidRPr="00211EB6">
        <w:t xml:space="preserve"> published in these reports since 2007. </w:t>
      </w:r>
      <w:proofErr w:type="spellStart"/>
      <w:r w:rsidRPr="00211EB6">
        <w:t>Dicofol</w:t>
      </w:r>
      <w:proofErr w:type="spellEnd"/>
      <w:r w:rsidRPr="00211EB6">
        <w:t xml:space="preserve"> has been measured above the MRLs in a small number of cases. In the USA, The Department of Agriculture has carried out a national pesticide residue monitoring program since 1992</w:t>
      </w:r>
      <w:r w:rsidRPr="00211EB6">
        <w:rPr>
          <w:rStyle w:val="FootnoteReference"/>
        </w:rPr>
        <w:footnoteReference w:id="28"/>
      </w:r>
      <w:r w:rsidRPr="00211EB6">
        <w:t xml:space="preserve">.  This sampling programme has detected low (&lt;1 </w:t>
      </w:r>
      <w:r w:rsidR="00CB149E" w:rsidRPr="00211EB6">
        <w:t>µ</w:t>
      </w:r>
      <w:r w:rsidRPr="00211EB6">
        <w:t>g/m</w:t>
      </w:r>
      <w:r w:rsidRPr="00211EB6">
        <w:rPr>
          <w:vertAlign w:val="superscript"/>
        </w:rPr>
        <w:t>3</w:t>
      </w:r>
      <w:r w:rsidRPr="00211EB6">
        <w:t xml:space="preserve">) levels of </w:t>
      </w:r>
      <w:proofErr w:type="spellStart"/>
      <w:r w:rsidRPr="00211EB6">
        <w:t>dicofol</w:t>
      </w:r>
      <w:proofErr w:type="spellEnd"/>
      <w:r w:rsidRPr="00211EB6">
        <w:t xml:space="preserve"> in various fruits and vegetables but no reported sample has been above EPA tolerance levels. In general terms, the number of detections of </w:t>
      </w:r>
      <w:proofErr w:type="spellStart"/>
      <w:r w:rsidRPr="00211EB6">
        <w:t>dicofol</w:t>
      </w:r>
      <w:proofErr w:type="spellEnd"/>
      <w:r w:rsidRPr="00211EB6">
        <w:t xml:space="preserve"> ha</w:t>
      </w:r>
      <w:r w:rsidR="00B63F67" w:rsidRPr="00211EB6">
        <w:t>s</w:t>
      </w:r>
      <w:r w:rsidRPr="00211EB6">
        <w:t xml:space="preserve"> declined in samples in the period 1992-2015.  In the UK, the Expert Committee on Pesticide Residues in Food</w:t>
      </w:r>
      <w:r w:rsidR="00C2140F" w:rsidRPr="00211EB6">
        <w:rPr>
          <w:rStyle w:val="FootnoteReference"/>
        </w:rPr>
        <w:footnoteReference w:id="29"/>
      </w:r>
      <w:r w:rsidRPr="00211EB6">
        <w:t xml:space="preserve">  tested 24 samples of agricultural products</w:t>
      </w:r>
      <w:r w:rsidR="00F809C6" w:rsidRPr="00211EB6">
        <w:t xml:space="preserve"> (</w:t>
      </w:r>
      <w:r w:rsidRPr="00211EB6">
        <w:t>14 from outside EU, 10 from inside the EU</w:t>
      </w:r>
      <w:r w:rsidR="00F809C6" w:rsidRPr="00211EB6">
        <w:t>)</w:t>
      </w:r>
      <w:r w:rsidRPr="00211EB6">
        <w:t xml:space="preserve"> in 2015. </w:t>
      </w:r>
      <w:proofErr w:type="spellStart"/>
      <w:r w:rsidRPr="00211EB6">
        <w:t>Dicofol</w:t>
      </w:r>
      <w:proofErr w:type="spellEnd"/>
      <w:r w:rsidRPr="00211EB6">
        <w:t xml:space="preserve"> was not detected at or above their reporting limits. A study of pesticide residues in Indian tea by </w:t>
      </w:r>
      <w:proofErr w:type="spellStart"/>
      <w:r w:rsidRPr="00211EB6">
        <w:t>Kottiappan</w:t>
      </w:r>
      <w:proofErr w:type="spellEnd"/>
      <w:r w:rsidRPr="00211EB6">
        <w:t xml:space="preserve"> et al. (2013) reported that in 468 samples tested, none were above the EU MRL for </w:t>
      </w:r>
      <w:proofErr w:type="spellStart"/>
      <w:r w:rsidRPr="00211EB6">
        <w:t>dicofol</w:t>
      </w:r>
      <w:proofErr w:type="spellEnd"/>
      <w:r w:rsidRPr="00211EB6">
        <w:t>.</w:t>
      </w:r>
    </w:p>
    <w:p w14:paraId="759825B7" w14:textId="29C6699F" w:rsidR="00EB0F91" w:rsidRPr="00211EB6" w:rsidRDefault="003D1270" w:rsidP="002265A6">
      <w:pPr>
        <w:spacing w:after="120"/>
        <w:rPr>
          <w:b/>
          <w:sz w:val="20"/>
          <w:szCs w:val="20"/>
          <w:lang w:eastAsia="en-US"/>
        </w:rPr>
      </w:pPr>
      <w:r w:rsidRPr="00211EB6">
        <w:rPr>
          <w:b/>
          <w:sz w:val="20"/>
          <w:szCs w:val="20"/>
          <w:lang w:eastAsia="en-US"/>
        </w:rPr>
        <w:t>Table 2.4</w:t>
      </w:r>
      <w:r w:rsidRPr="00211EB6">
        <w:rPr>
          <w:b/>
          <w:sz w:val="20"/>
          <w:szCs w:val="20"/>
          <w:lang w:eastAsia="en-US"/>
        </w:rPr>
        <w:tab/>
      </w:r>
      <w:r w:rsidR="00EB0F91" w:rsidRPr="00211EB6">
        <w:rPr>
          <w:b/>
          <w:sz w:val="20"/>
          <w:szCs w:val="20"/>
          <w:lang w:eastAsia="en-US"/>
        </w:rPr>
        <w:t xml:space="preserve">Summary of data from EFSA Annual Report on Pesticide Residues  </w:t>
      </w:r>
    </w:p>
    <w:tbl>
      <w:tblPr>
        <w:tblStyle w:val="TableGrid1"/>
        <w:tblW w:w="0" w:type="auto"/>
        <w:tblLook w:val="04A0" w:firstRow="1" w:lastRow="0" w:firstColumn="1" w:lastColumn="0" w:noHBand="0" w:noVBand="1"/>
      </w:tblPr>
      <w:tblGrid>
        <w:gridCol w:w="828"/>
        <w:gridCol w:w="3510"/>
        <w:gridCol w:w="2340"/>
        <w:gridCol w:w="2338"/>
      </w:tblGrid>
      <w:tr w:rsidR="00EB0F91" w:rsidRPr="00211EB6" w14:paraId="3C289F14" w14:textId="77777777" w:rsidTr="002265A6">
        <w:trPr>
          <w:tblHeader/>
        </w:trPr>
        <w:tc>
          <w:tcPr>
            <w:tcW w:w="828" w:type="dxa"/>
            <w:shd w:val="clear" w:color="auto" w:fill="D9D9D9" w:themeFill="background1" w:themeFillShade="D9"/>
          </w:tcPr>
          <w:p w14:paraId="68EBDCA2" w14:textId="77777777" w:rsidR="00EB0F91" w:rsidRPr="00211EB6" w:rsidRDefault="00EB0F91" w:rsidP="00E4025C">
            <w:pPr>
              <w:pStyle w:val="ListParagraph"/>
              <w:spacing w:before="20" w:after="20"/>
              <w:ind w:left="0"/>
              <w:rPr>
                <w:b/>
                <w:sz w:val="20"/>
                <w:szCs w:val="20"/>
                <w:lang w:eastAsia="en-US"/>
              </w:rPr>
            </w:pPr>
            <w:r w:rsidRPr="00211EB6">
              <w:rPr>
                <w:b/>
                <w:sz w:val="20"/>
                <w:szCs w:val="20"/>
                <w:lang w:eastAsia="en-US"/>
              </w:rPr>
              <w:t xml:space="preserve">Year </w:t>
            </w:r>
          </w:p>
        </w:tc>
        <w:tc>
          <w:tcPr>
            <w:tcW w:w="3510" w:type="dxa"/>
            <w:shd w:val="clear" w:color="auto" w:fill="D9D9D9" w:themeFill="background1" w:themeFillShade="D9"/>
          </w:tcPr>
          <w:p w14:paraId="2269E3AE" w14:textId="008E4FAC" w:rsidR="00EB0F91" w:rsidRPr="00211EB6" w:rsidRDefault="00EB0F91" w:rsidP="00E4025C">
            <w:pPr>
              <w:autoSpaceDE w:val="0"/>
              <w:autoSpaceDN w:val="0"/>
              <w:adjustRightInd w:val="0"/>
              <w:spacing w:before="20" w:after="20"/>
              <w:rPr>
                <w:b/>
                <w:bCs/>
                <w:sz w:val="20"/>
                <w:szCs w:val="20"/>
                <w:lang w:eastAsia="en-US"/>
              </w:rPr>
            </w:pPr>
            <w:r w:rsidRPr="00211EB6">
              <w:rPr>
                <w:b/>
                <w:bCs/>
                <w:sz w:val="20"/>
                <w:szCs w:val="20"/>
                <w:lang w:eastAsia="en-US"/>
              </w:rPr>
              <w:t>Number of samples above the reporting level</w:t>
            </w:r>
          </w:p>
        </w:tc>
        <w:tc>
          <w:tcPr>
            <w:tcW w:w="2340" w:type="dxa"/>
            <w:shd w:val="clear" w:color="auto" w:fill="D9D9D9" w:themeFill="background1" w:themeFillShade="D9"/>
          </w:tcPr>
          <w:p w14:paraId="4AF63C9B" w14:textId="29CCDA7F" w:rsidR="00EB0F91" w:rsidRPr="00211EB6" w:rsidRDefault="00EB0F91" w:rsidP="00E4025C">
            <w:pPr>
              <w:autoSpaceDE w:val="0"/>
              <w:autoSpaceDN w:val="0"/>
              <w:adjustRightInd w:val="0"/>
              <w:spacing w:before="20" w:after="20"/>
              <w:rPr>
                <w:b/>
                <w:bCs/>
                <w:sz w:val="20"/>
                <w:szCs w:val="20"/>
                <w:lang w:eastAsia="en-US"/>
              </w:rPr>
            </w:pPr>
            <w:r w:rsidRPr="00211EB6">
              <w:rPr>
                <w:b/>
                <w:bCs/>
                <w:sz w:val="20"/>
                <w:szCs w:val="20"/>
                <w:lang w:eastAsia="en-US"/>
              </w:rPr>
              <w:t>Number of samples above the MRL</w:t>
            </w:r>
            <w:r w:rsidR="00232EA7" w:rsidRPr="00211EB6">
              <w:rPr>
                <w:rStyle w:val="FootnoteReference"/>
                <w:b/>
                <w:bCs/>
                <w:sz w:val="20"/>
                <w:szCs w:val="20"/>
                <w:lang w:eastAsia="en-US"/>
              </w:rPr>
              <w:footnoteReference w:id="30"/>
            </w:r>
          </w:p>
        </w:tc>
        <w:tc>
          <w:tcPr>
            <w:tcW w:w="2338" w:type="dxa"/>
            <w:shd w:val="clear" w:color="auto" w:fill="D9D9D9" w:themeFill="background1" w:themeFillShade="D9"/>
          </w:tcPr>
          <w:p w14:paraId="637FE2B1" w14:textId="77777777" w:rsidR="00EB0F91" w:rsidRPr="00211EB6" w:rsidRDefault="00EB0F91" w:rsidP="00E4025C">
            <w:pPr>
              <w:spacing w:before="20" w:after="20"/>
              <w:rPr>
                <w:b/>
                <w:sz w:val="20"/>
                <w:szCs w:val="20"/>
                <w:lang w:eastAsia="en-US"/>
              </w:rPr>
            </w:pPr>
            <w:r w:rsidRPr="00211EB6">
              <w:rPr>
                <w:b/>
                <w:sz w:val="20"/>
                <w:szCs w:val="20"/>
                <w:lang w:eastAsia="en-US"/>
              </w:rPr>
              <w:t xml:space="preserve">Details of non-compliant samples </w:t>
            </w:r>
          </w:p>
        </w:tc>
      </w:tr>
      <w:tr w:rsidR="00EB0F91" w:rsidRPr="00211EB6" w14:paraId="3A7B24FD" w14:textId="77777777" w:rsidTr="002265A6">
        <w:tc>
          <w:tcPr>
            <w:tcW w:w="828" w:type="dxa"/>
          </w:tcPr>
          <w:p w14:paraId="7D6BA8FD"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2007</w:t>
            </w:r>
          </w:p>
        </w:tc>
        <w:tc>
          <w:tcPr>
            <w:tcW w:w="3510" w:type="dxa"/>
          </w:tcPr>
          <w:p w14:paraId="263EF33D" w14:textId="61398E35" w:rsidR="00EB0F91" w:rsidRPr="00211EB6" w:rsidRDefault="00EB0F91" w:rsidP="00E4025C">
            <w:pPr>
              <w:pStyle w:val="Paralevel1"/>
              <w:numPr>
                <w:ilvl w:val="0"/>
                <w:numId w:val="11"/>
              </w:numPr>
              <w:spacing w:before="20" w:after="20"/>
              <w:rPr>
                <w:lang w:val="en-GB"/>
              </w:rPr>
            </w:pPr>
            <w:r w:rsidRPr="00211EB6">
              <w:rPr>
                <w:lang w:val="en-GB"/>
              </w:rPr>
              <w:t>out of 7239 samples)</w:t>
            </w:r>
          </w:p>
        </w:tc>
        <w:tc>
          <w:tcPr>
            <w:tcW w:w="2340" w:type="dxa"/>
          </w:tcPr>
          <w:p w14:paraId="5806326A"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00C902C0" w14:textId="77777777" w:rsidR="00EB0F91" w:rsidRPr="00211EB6" w:rsidRDefault="00EB0F91" w:rsidP="00E4025C">
            <w:pPr>
              <w:spacing w:before="20" w:after="20"/>
              <w:rPr>
                <w:sz w:val="20"/>
                <w:szCs w:val="20"/>
                <w:lang w:eastAsia="en-US"/>
              </w:rPr>
            </w:pPr>
            <w:r w:rsidRPr="00211EB6">
              <w:rPr>
                <w:sz w:val="20"/>
                <w:szCs w:val="20"/>
                <w:lang w:eastAsia="en-US"/>
              </w:rPr>
              <w:t>n/a</w:t>
            </w:r>
          </w:p>
        </w:tc>
      </w:tr>
      <w:tr w:rsidR="00EB0F91" w:rsidRPr="00211EB6" w14:paraId="6D564304" w14:textId="77777777" w:rsidTr="002265A6">
        <w:tc>
          <w:tcPr>
            <w:tcW w:w="828" w:type="dxa"/>
          </w:tcPr>
          <w:p w14:paraId="2146E251"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2008</w:t>
            </w:r>
          </w:p>
        </w:tc>
        <w:tc>
          <w:tcPr>
            <w:tcW w:w="3510" w:type="dxa"/>
          </w:tcPr>
          <w:p w14:paraId="37650BA7" w14:textId="2CF85B6A" w:rsidR="00EB0F91" w:rsidRPr="00211EB6" w:rsidRDefault="00EB0F91" w:rsidP="00E4025C">
            <w:pPr>
              <w:spacing w:before="20" w:after="20"/>
              <w:rPr>
                <w:sz w:val="20"/>
                <w:szCs w:val="20"/>
                <w:lang w:eastAsia="en-US"/>
              </w:rPr>
            </w:pPr>
            <w:r w:rsidRPr="00211EB6">
              <w:rPr>
                <w:sz w:val="20"/>
                <w:szCs w:val="20"/>
                <w:lang w:eastAsia="en-US"/>
              </w:rPr>
              <w:t xml:space="preserve">103 (out of 9369 samples) </w:t>
            </w:r>
          </w:p>
        </w:tc>
        <w:tc>
          <w:tcPr>
            <w:tcW w:w="2340" w:type="dxa"/>
          </w:tcPr>
          <w:p w14:paraId="3A7CD16C" w14:textId="77777777" w:rsidR="00EB0F91" w:rsidRPr="00211EB6" w:rsidRDefault="00EB0F91" w:rsidP="00E4025C">
            <w:pPr>
              <w:spacing w:before="20" w:after="20"/>
              <w:rPr>
                <w:sz w:val="20"/>
                <w:szCs w:val="20"/>
                <w:lang w:eastAsia="en-US"/>
              </w:rPr>
            </w:pPr>
            <w:r w:rsidRPr="00211EB6">
              <w:rPr>
                <w:sz w:val="20"/>
                <w:szCs w:val="20"/>
                <w:lang w:eastAsia="en-US"/>
              </w:rPr>
              <w:t>2</w:t>
            </w:r>
          </w:p>
        </w:tc>
        <w:tc>
          <w:tcPr>
            <w:tcW w:w="2338" w:type="dxa"/>
          </w:tcPr>
          <w:p w14:paraId="617AE836" w14:textId="77777777" w:rsidR="00EB0F91" w:rsidRPr="00211EB6" w:rsidRDefault="00EB0F91" w:rsidP="00E4025C">
            <w:pPr>
              <w:spacing w:before="20" w:after="20"/>
              <w:rPr>
                <w:sz w:val="20"/>
                <w:szCs w:val="20"/>
                <w:lang w:eastAsia="en-US"/>
              </w:rPr>
            </w:pPr>
            <w:r w:rsidRPr="00211EB6">
              <w:rPr>
                <w:sz w:val="20"/>
                <w:szCs w:val="20"/>
                <w:lang w:eastAsia="en-US"/>
              </w:rPr>
              <w:t>Cucumber</w:t>
            </w:r>
          </w:p>
          <w:p w14:paraId="432B4080" w14:textId="77777777" w:rsidR="00EB0F91" w:rsidRPr="00211EB6" w:rsidRDefault="00EB0F91" w:rsidP="00E4025C">
            <w:pPr>
              <w:spacing w:before="20" w:after="20"/>
              <w:rPr>
                <w:sz w:val="20"/>
                <w:szCs w:val="20"/>
                <w:lang w:eastAsia="en-US"/>
              </w:rPr>
            </w:pPr>
            <w:r w:rsidRPr="00211EB6">
              <w:rPr>
                <w:sz w:val="20"/>
                <w:szCs w:val="20"/>
                <w:lang w:eastAsia="en-US"/>
              </w:rPr>
              <w:t xml:space="preserve">Spinach  </w:t>
            </w:r>
          </w:p>
        </w:tc>
      </w:tr>
      <w:tr w:rsidR="00EB0F91" w:rsidRPr="00211EB6" w14:paraId="24745323" w14:textId="77777777" w:rsidTr="002265A6">
        <w:tc>
          <w:tcPr>
            <w:tcW w:w="828" w:type="dxa"/>
          </w:tcPr>
          <w:p w14:paraId="2155EC76"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2009</w:t>
            </w:r>
          </w:p>
        </w:tc>
        <w:tc>
          <w:tcPr>
            <w:tcW w:w="3510" w:type="dxa"/>
          </w:tcPr>
          <w:p w14:paraId="785D3604" w14:textId="130507EB" w:rsidR="00EB0F91" w:rsidRPr="00211EB6" w:rsidRDefault="00EB0F91" w:rsidP="00E4025C">
            <w:pPr>
              <w:pStyle w:val="Paralevel1"/>
              <w:numPr>
                <w:ilvl w:val="0"/>
                <w:numId w:val="12"/>
              </w:numPr>
              <w:spacing w:before="20" w:after="20"/>
              <w:rPr>
                <w:lang w:val="en-GB"/>
              </w:rPr>
            </w:pPr>
            <w:r w:rsidRPr="00211EB6">
              <w:rPr>
                <w:lang w:val="en-GB"/>
              </w:rPr>
              <w:t>(out of 6734 samples)</w:t>
            </w:r>
          </w:p>
        </w:tc>
        <w:tc>
          <w:tcPr>
            <w:tcW w:w="2340" w:type="dxa"/>
          </w:tcPr>
          <w:p w14:paraId="2AEE3EC6"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10EB0D92" w14:textId="77777777" w:rsidR="00EB0F91" w:rsidRPr="00211EB6" w:rsidRDefault="00EB0F91" w:rsidP="00E4025C">
            <w:pPr>
              <w:spacing w:before="20" w:after="20"/>
              <w:rPr>
                <w:sz w:val="20"/>
                <w:szCs w:val="20"/>
                <w:lang w:eastAsia="en-US"/>
              </w:rPr>
            </w:pPr>
            <w:r w:rsidRPr="00211EB6">
              <w:rPr>
                <w:sz w:val="20"/>
                <w:szCs w:val="20"/>
                <w:lang w:eastAsia="en-US"/>
              </w:rPr>
              <w:t>n/a</w:t>
            </w:r>
          </w:p>
        </w:tc>
      </w:tr>
      <w:tr w:rsidR="00EB0F91" w:rsidRPr="00211EB6" w14:paraId="6FA24257" w14:textId="77777777" w:rsidTr="002265A6">
        <w:tc>
          <w:tcPr>
            <w:tcW w:w="828" w:type="dxa"/>
          </w:tcPr>
          <w:p w14:paraId="1DA628EE"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2010</w:t>
            </w:r>
          </w:p>
        </w:tc>
        <w:tc>
          <w:tcPr>
            <w:tcW w:w="3510" w:type="dxa"/>
          </w:tcPr>
          <w:p w14:paraId="0A7CE351" w14:textId="1FE4C02B" w:rsidR="00EB0F91" w:rsidRPr="00211EB6" w:rsidRDefault="00EB0F91" w:rsidP="00E4025C">
            <w:pPr>
              <w:pStyle w:val="Paralevel1"/>
              <w:numPr>
                <w:ilvl w:val="0"/>
                <w:numId w:val="13"/>
              </w:numPr>
              <w:spacing w:before="20" w:after="20"/>
              <w:rPr>
                <w:lang w:val="en-GB"/>
              </w:rPr>
            </w:pPr>
            <w:r w:rsidRPr="00211EB6">
              <w:rPr>
                <w:lang w:val="en-GB"/>
              </w:rPr>
              <w:t>(out of 7493 samples)</w:t>
            </w:r>
          </w:p>
        </w:tc>
        <w:tc>
          <w:tcPr>
            <w:tcW w:w="2340" w:type="dxa"/>
          </w:tcPr>
          <w:p w14:paraId="74295E62" w14:textId="77777777" w:rsidR="00EB0F91" w:rsidRPr="00211EB6" w:rsidRDefault="00EB0F91" w:rsidP="00E4025C">
            <w:pPr>
              <w:spacing w:before="20" w:after="20"/>
              <w:rPr>
                <w:sz w:val="20"/>
                <w:szCs w:val="20"/>
                <w:lang w:eastAsia="en-US"/>
              </w:rPr>
            </w:pPr>
            <w:r w:rsidRPr="00211EB6">
              <w:rPr>
                <w:sz w:val="20"/>
                <w:szCs w:val="20"/>
                <w:lang w:eastAsia="en-US"/>
              </w:rPr>
              <w:t>3</w:t>
            </w:r>
          </w:p>
        </w:tc>
        <w:tc>
          <w:tcPr>
            <w:tcW w:w="2338" w:type="dxa"/>
          </w:tcPr>
          <w:p w14:paraId="7216CC23" w14:textId="77777777" w:rsidR="00EB0F91" w:rsidRPr="00211EB6" w:rsidRDefault="00EB0F91" w:rsidP="00E4025C">
            <w:pPr>
              <w:spacing w:before="20" w:after="20"/>
              <w:rPr>
                <w:sz w:val="20"/>
                <w:szCs w:val="20"/>
                <w:lang w:eastAsia="en-US"/>
              </w:rPr>
            </w:pPr>
            <w:r w:rsidRPr="00211EB6">
              <w:rPr>
                <w:sz w:val="20"/>
                <w:szCs w:val="20"/>
                <w:lang w:eastAsia="en-US"/>
              </w:rPr>
              <w:t>Apples</w:t>
            </w:r>
          </w:p>
        </w:tc>
      </w:tr>
      <w:tr w:rsidR="00EB0F91" w:rsidRPr="00211EB6" w14:paraId="2F15E291" w14:textId="77777777" w:rsidTr="002265A6">
        <w:tc>
          <w:tcPr>
            <w:tcW w:w="828" w:type="dxa"/>
          </w:tcPr>
          <w:p w14:paraId="3ED7E58A"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2011</w:t>
            </w:r>
          </w:p>
        </w:tc>
        <w:tc>
          <w:tcPr>
            <w:tcW w:w="3510" w:type="dxa"/>
          </w:tcPr>
          <w:p w14:paraId="7B8DA231" w14:textId="3DF367B4" w:rsidR="00EB0F91" w:rsidRPr="00211EB6" w:rsidRDefault="00EB0F91" w:rsidP="00E4025C">
            <w:pPr>
              <w:spacing w:before="20" w:after="20"/>
              <w:rPr>
                <w:sz w:val="20"/>
                <w:szCs w:val="20"/>
                <w:lang w:eastAsia="en-US"/>
              </w:rPr>
            </w:pPr>
            <w:r w:rsidRPr="00211EB6">
              <w:rPr>
                <w:sz w:val="20"/>
                <w:szCs w:val="20"/>
                <w:lang w:eastAsia="en-US"/>
              </w:rPr>
              <w:t>&lt;1% (out of 8739 samples)</w:t>
            </w:r>
          </w:p>
        </w:tc>
        <w:tc>
          <w:tcPr>
            <w:tcW w:w="2340" w:type="dxa"/>
          </w:tcPr>
          <w:p w14:paraId="03942173"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64D3DEC4" w14:textId="77777777" w:rsidR="00EB0F91" w:rsidRPr="00211EB6" w:rsidRDefault="00EB0F91" w:rsidP="00E4025C">
            <w:pPr>
              <w:spacing w:before="20" w:after="20"/>
              <w:rPr>
                <w:sz w:val="20"/>
                <w:szCs w:val="20"/>
                <w:lang w:eastAsia="en-US"/>
              </w:rPr>
            </w:pPr>
            <w:r w:rsidRPr="00211EB6">
              <w:rPr>
                <w:sz w:val="20"/>
                <w:szCs w:val="20"/>
                <w:lang w:eastAsia="en-US"/>
              </w:rPr>
              <w:t>n/a</w:t>
            </w:r>
          </w:p>
        </w:tc>
      </w:tr>
      <w:tr w:rsidR="00EB0F91" w:rsidRPr="00211EB6" w14:paraId="33A7CECB" w14:textId="77777777" w:rsidTr="002265A6">
        <w:tc>
          <w:tcPr>
            <w:tcW w:w="828" w:type="dxa"/>
          </w:tcPr>
          <w:p w14:paraId="75A19496"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2012</w:t>
            </w:r>
          </w:p>
        </w:tc>
        <w:tc>
          <w:tcPr>
            <w:tcW w:w="3510" w:type="dxa"/>
          </w:tcPr>
          <w:p w14:paraId="52CE3C5F" w14:textId="77777777" w:rsidR="00EB0F91" w:rsidRPr="00211EB6" w:rsidRDefault="00EB0F91" w:rsidP="00E4025C">
            <w:pPr>
              <w:spacing w:before="20" w:after="20"/>
              <w:rPr>
                <w:sz w:val="20"/>
                <w:szCs w:val="20"/>
                <w:lang w:eastAsia="en-US"/>
              </w:rPr>
            </w:pPr>
            <w:r w:rsidRPr="00211EB6">
              <w:rPr>
                <w:sz w:val="20"/>
                <w:szCs w:val="20"/>
                <w:lang w:eastAsia="en-US"/>
              </w:rPr>
              <w:t>Not specified</w:t>
            </w:r>
          </w:p>
        </w:tc>
        <w:tc>
          <w:tcPr>
            <w:tcW w:w="2340" w:type="dxa"/>
          </w:tcPr>
          <w:p w14:paraId="4CEEE858" w14:textId="77777777" w:rsidR="00EB0F91" w:rsidRPr="00211EB6" w:rsidRDefault="00EB0F91" w:rsidP="00E4025C">
            <w:pPr>
              <w:spacing w:before="20" w:after="20"/>
              <w:rPr>
                <w:sz w:val="20"/>
                <w:szCs w:val="20"/>
                <w:lang w:eastAsia="en-US"/>
              </w:rPr>
            </w:pPr>
            <w:r w:rsidRPr="00211EB6">
              <w:rPr>
                <w:sz w:val="20"/>
                <w:szCs w:val="20"/>
                <w:lang w:eastAsia="en-US"/>
              </w:rPr>
              <w:t>2</w:t>
            </w:r>
          </w:p>
        </w:tc>
        <w:tc>
          <w:tcPr>
            <w:tcW w:w="2338" w:type="dxa"/>
          </w:tcPr>
          <w:p w14:paraId="04545E06" w14:textId="77777777" w:rsidR="00EB0F91" w:rsidRPr="00211EB6" w:rsidRDefault="00EB0F91" w:rsidP="00E4025C">
            <w:pPr>
              <w:spacing w:before="20" w:after="20"/>
              <w:rPr>
                <w:sz w:val="20"/>
                <w:szCs w:val="20"/>
                <w:lang w:eastAsia="en-US"/>
              </w:rPr>
            </w:pPr>
            <w:r w:rsidRPr="00211EB6">
              <w:rPr>
                <w:sz w:val="20"/>
                <w:szCs w:val="20"/>
                <w:lang w:eastAsia="en-US"/>
              </w:rPr>
              <w:t>Peppers (imported from Turkey)</w:t>
            </w:r>
          </w:p>
        </w:tc>
      </w:tr>
      <w:tr w:rsidR="00EB0F91" w:rsidRPr="00211EB6" w14:paraId="6D488EA2" w14:textId="77777777" w:rsidTr="002265A6">
        <w:tc>
          <w:tcPr>
            <w:tcW w:w="828" w:type="dxa"/>
          </w:tcPr>
          <w:p w14:paraId="47B50794"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2013</w:t>
            </w:r>
          </w:p>
        </w:tc>
        <w:tc>
          <w:tcPr>
            <w:tcW w:w="3510" w:type="dxa"/>
          </w:tcPr>
          <w:p w14:paraId="06F09DB3" w14:textId="77777777" w:rsidR="00EB0F91" w:rsidRPr="00211EB6" w:rsidRDefault="00EB0F91" w:rsidP="00E4025C">
            <w:pPr>
              <w:spacing w:before="20" w:after="20"/>
              <w:rPr>
                <w:sz w:val="20"/>
                <w:szCs w:val="20"/>
                <w:lang w:eastAsia="en-US"/>
              </w:rPr>
            </w:pPr>
            <w:r w:rsidRPr="00211EB6">
              <w:rPr>
                <w:sz w:val="20"/>
                <w:szCs w:val="20"/>
                <w:lang w:eastAsia="en-US"/>
              </w:rPr>
              <w:t>Not specified</w:t>
            </w:r>
          </w:p>
        </w:tc>
        <w:tc>
          <w:tcPr>
            <w:tcW w:w="2340" w:type="dxa"/>
          </w:tcPr>
          <w:p w14:paraId="57DE82D7"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0E4E4F65" w14:textId="77777777" w:rsidR="00EB0F91" w:rsidRPr="00211EB6" w:rsidRDefault="00EB0F91" w:rsidP="00E4025C">
            <w:pPr>
              <w:spacing w:before="20" w:after="20"/>
              <w:rPr>
                <w:sz w:val="20"/>
                <w:szCs w:val="20"/>
                <w:lang w:eastAsia="en-US"/>
              </w:rPr>
            </w:pPr>
            <w:r w:rsidRPr="00211EB6">
              <w:rPr>
                <w:sz w:val="20"/>
                <w:szCs w:val="20"/>
                <w:lang w:eastAsia="en-US"/>
              </w:rPr>
              <w:t>n/a</w:t>
            </w:r>
          </w:p>
        </w:tc>
      </w:tr>
      <w:tr w:rsidR="00EB0F91" w:rsidRPr="00211EB6" w14:paraId="1CEDEA30" w14:textId="77777777" w:rsidTr="002265A6">
        <w:tc>
          <w:tcPr>
            <w:tcW w:w="828" w:type="dxa"/>
          </w:tcPr>
          <w:p w14:paraId="1394DEDB"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2014</w:t>
            </w:r>
          </w:p>
        </w:tc>
        <w:tc>
          <w:tcPr>
            <w:tcW w:w="3510" w:type="dxa"/>
          </w:tcPr>
          <w:p w14:paraId="513630BA" w14:textId="77777777" w:rsidR="00EB0F91" w:rsidRPr="00211EB6" w:rsidRDefault="00EB0F91" w:rsidP="00E4025C">
            <w:pPr>
              <w:spacing w:before="20" w:after="20"/>
              <w:rPr>
                <w:sz w:val="20"/>
                <w:szCs w:val="20"/>
                <w:lang w:eastAsia="en-US"/>
              </w:rPr>
            </w:pPr>
            <w:r w:rsidRPr="00211EB6">
              <w:rPr>
                <w:sz w:val="20"/>
                <w:szCs w:val="20"/>
                <w:lang w:eastAsia="en-US"/>
              </w:rPr>
              <w:t xml:space="preserve">Not specified </w:t>
            </w:r>
          </w:p>
        </w:tc>
        <w:tc>
          <w:tcPr>
            <w:tcW w:w="2340" w:type="dxa"/>
          </w:tcPr>
          <w:p w14:paraId="26F8401D"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1CC06BA2" w14:textId="77777777" w:rsidR="00EB0F91" w:rsidRPr="00211EB6" w:rsidRDefault="00EB0F91" w:rsidP="00E4025C">
            <w:pPr>
              <w:spacing w:before="20" w:after="20"/>
              <w:rPr>
                <w:sz w:val="20"/>
                <w:szCs w:val="20"/>
                <w:lang w:eastAsia="en-US"/>
              </w:rPr>
            </w:pPr>
            <w:r w:rsidRPr="00211EB6">
              <w:rPr>
                <w:sz w:val="20"/>
                <w:szCs w:val="20"/>
                <w:lang w:eastAsia="en-US"/>
              </w:rPr>
              <w:t xml:space="preserve">n/a </w:t>
            </w:r>
          </w:p>
        </w:tc>
      </w:tr>
      <w:tr w:rsidR="00EB0F91" w:rsidRPr="00211EB6" w14:paraId="5AAD7980" w14:textId="77777777" w:rsidTr="002265A6">
        <w:tc>
          <w:tcPr>
            <w:tcW w:w="828" w:type="dxa"/>
          </w:tcPr>
          <w:p w14:paraId="6E3E0016" w14:textId="77777777" w:rsidR="00EB0F91" w:rsidRPr="00211EB6" w:rsidRDefault="00EB0F91" w:rsidP="00E4025C">
            <w:pPr>
              <w:pStyle w:val="ListParagraph"/>
              <w:spacing w:before="20" w:after="20"/>
              <w:ind w:left="0"/>
              <w:rPr>
                <w:sz w:val="20"/>
                <w:szCs w:val="20"/>
                <w:lang w:eastAsia="en-US"/>
              </w:rPr>
            </w:pPr>
            <w:r w:rsidRPr="00211EB6">
              <w:rPr>
                <w:sz w:val="20"/>
                <w:szCs w:val="20"/>
                <w:lang w:eastAsia="en-US"/>
              </w:rPr>
              <w:t>2015</w:t>
            </w:r>
          </w:p>
        </w:tc>
        <w:tc>
          <w:tcPr>
            <w:tcW w:w="3510" w:type="dxa"/>
          </w:tcPr>
          <w:p w14:paraId="5B96453A" w14:textId="77777777" w:rsidR="00EB0F91" w:rsidRPr="00211EB6" w:rsidRDefault="00EB0F91" w:rsidP="00E4025C">
            <w:pPr>
              <w:spacing w:before="20" w:after="20"/>
              <w:rPr>
                <w:sz w:val="20"/>
                <w:szCs w:val="20"/>
                <w:lang w:eastAsia="en-US"/>
              </w:rPr>
            </w:pPr>
            <w:r w:rsidRPr="00211EB6">
              <w:rPr>
                <w:sz w:val="20"/>
                <w:szCs w:val="20"/>
                <w:lang w:eastAsia="en-US"/>
              </w:rPr>
              <w:t xml:space="preserve">Not specified </w:t>
            </w:r>
          </w:p>
        </w:tc>
        <w:tc>
          <w:tcPr>
            <w:tcW w:w="2340" w:type="dxa"/>
          </w:tcPr>
          <w:p w14:paraId="2EEA9804" w14:textId="77777777" w:rsidR="00EB0F91" w:rsidRPr="00211EB6" w:rsidRDefault="00EB0F91" w:rsidP="00E4025C">
            <w:pPr>
              <w:spacing w:before="20" w:after="20"/>
              <w:rPr>
                <w:sz w:val="20"/>
                <w:szCs w:val="20"/>
                <w:lang w:eastAsia="en-US"/>
              </w:rPr>
            </w:pPr>
            <w:r w:rsidRPr="00211EB6">
              <w:rPr>
                <w:sz w:val="20"/>
                <w:szCs w:val="20"/>
                <w:lang w:eastAsia="en-US"/>
              </w:rPr>
              <w:t>0</w:t>
            </w:r>
          </w:p>
        </w:tc>
        <w:tc>
          <w:tcPr>
            <w:tcW w:w="2338" w:type="dxa"/>
          </w:tcPr>
          <w:p w14:paraId="78D6920A" w14:textId="77777777" w:rsidR="00EB0F91" w:rsidRPr="00211EB6" w:rsidRDefault="00EB0F91" w:rsidP="00E4025C">
            <w:pPr>
              <w:spacing w:before="20" w:after="20"/>
              <w:rPr>
                <w:sz w:val="20"/>
                <w:szCs w:val="20"/>
                <w:lang w:eastAsia="en-US"/>
              </w:rPr>
            </w:pPr>
            <w:r w:rsidRPr="00211EB6">
              <w:rPr>
                <w:sz w:val="20"/>
                <w:szCs w:val="20"/>
                <w:lang w:eastAsia="en-US"/>
              </w:rPr>
              <w:t>n/a</w:t>
            </w:r>
          </w:p>
        </w:tc>
      </w:tr>
    </w:tbl>
    <w:p w14:paraId="69384B75" w14:textId="31C59A54" w:rsidR="00C151FB" w:rsidRPr="00211EB6" w:rsidRDefault="00C151FB" w:rsidP="009F0CD1">
      <w:pPr>
        <w:pStyle w:val="Heading1"/>
        <w:tabs>
          <w:tab w:val="clear" w:pos="432"/>
        </w:tabs>
        <w:spacing w:before="240" w:line="240" w:lineRule="auto"/>
        <w:ind w:left="634" w:hanging="634"/>
        <w:rPr>
          <w:rFonts w:ascii="Times New Roman" w:hAnsi="Times New Roman"/>
        </w:rPr>
      </w:pPr>
      <w:bookmarkStart w:id="45" w:name="_Toc473186639"/>
      <w:bookmarkStart w:id="46" w:name="_Toc473186640"/>
      <w:bookmarkStart w:id="47" w:name="_Toc483491473"/>
      <w:bookmarkEnd w:id="45"/>
      <w:bookmarkEnd w:id="46"/>
      <w:r w:rsidRPr="00211EB6">
        <w:rPr>
          <w:rFonts w:ascii="Times New Roman" w:hAnsi="Times New Roman"/>
        </w:rPr>
        <w:t>Synthesis of information</w:t>
      </w:r>
      <w:bookmarkEnd w:id="47"/>
    </w:p>
    <w:p w14:paraId="2FB3B952" w14:textId="4EEB29FA" w:rsidR="005548BB" w:rsidRPr="00211EB6" w:rsidRDefault="003C43AD" w:rsidP="008C6BCB">
      <w:pPr>
        <w:pStyle w:val="Normalnumber"/>
        <w:numPr>
          <w:ilvl w:val="0"/>
          <w:numId w:val="34"/>
        </w:numPr>
        <w:tabs>
          <w:tab w:val="clear" w:pos="1440"/>
        </w:tabs>
        <w:ind w:left="0" w:firstLine="0"/>
      </w:pPr>
      <w:proofErr w:type="spellStart"/>
      <w:r w:rsidRPr="00211EB6">
        <w:t>Dicofol</w:t>
      </w:r>
      <w:proofErr w:type="spellEnd"/>
      <w:r w:rsidRPr="00211EB6">
        <w:t xml:space="preserve"> is an </w:t>
      </w:r>
      <w:proofErr w:type="spellStart"/>
      <w:r w:rsidRPr="00211EB6">
        <w:t>organochlorine</w:t>
      </w:r>
      <w:proofErr w:type="spellEnd"/>
      <w:r w:rsidRPr="00211EB6">
        <w:t xml:space="preserve"> </w:t>
      </w:r>
      <w:proofErr w:type="spellStart"/>
      <w:r w:rsidRPr="00211EB6">
        <w:t>miticid</w:t>
      </w:r>
      <w:r w:rsidR="00AA2A16" w:rsidRPr="00211EB6">
        <w:t>al</w:t>
      </w:r>
      <w:proofErr w:type="spellEnd"/>
      <w:r w:rsidRPr="00211EB6">
        <w:t xml:space="preserve"> pesticide, used to control mites on a variety of crops. </w:t>
      </w:r>
      <w:proofErr w:type="spellStart"/>
      <w:r w:rsidRPr="00211EB6">
        <w:t>Dicofol</w:t>
      </w:r>
      <w:proofErr w:type="spellEnd"/>
      <w:r w:rsidRPr="00211EB6">
        <w:t xml:space="preserve"> was introduced commercially in 1955. The substance has been used primarily in East and Southeast Asia, the Mediterranean coast, as well as in Northern and Central America. Intended uses of </w:t>
      </w:r>
      <w:proofErr w:type="spellStart"/>
      <w:r w:rsidRPr="00211EB6">
        <w:t>dicofol</w:t>
      </w:r>
      <w:proofErr w:type="spellEnd"/>
      <w:r w:rsidRPr="00211EB6">
        <w:t xml:space="preserve"> cover fruits, vegetables, ornamentals, field crops, </w:t>
      </w:r>
      <w:proofErr w:type="gramStart"/>
      <w:r w:rsidRPr="00211EB6">
        <w:t>cotton</w:t>
      </w:r>
      <w:proofErr w:type="gramEnd"/>
      <w:r w:rsidRPr="00211EB6">
        <w:t xml:space="preserve">, tea, </w:t>
      </w:r>
      <w:r w:rsidR="006A75D0" w:rsidRPr="00211EB6">
        <w:t xml:space="preserve">and </w:t>
      </w:r>
      <w:r w:rsidRPr="00211EB6">
        <w:t>Christmas tree plantations.</w:t>
      </w:r>
      <w:r w:rsidR="006A75D0" w:rsidRPr="00211EB6">
        <w:t xml:space="preserve"> </w:t>
      </w:r>
      <w:r w:rsidR="005548BB" w:rsidRPr="00211EB6">
        <w:t xml:space="preserve">Between 2000 and 2007, global production of </w:t>
      </w:r>
      <w:proofErr w:type="spellStart"/>
      <w:r w:rsidR="005548BB" w:rsidRPr="00211EB6">
        <w:t>dicofol</w:t>
      </w:r>
      <w:proofErr w:type="spellEnd"/>
      <w:r w:rsidR="005548BB" w:rsidRPr="00211EB6">
        <w:t xml:space="preserve"> was estimated to have been 5,500</w:t>
      </w:r>
      <w:r w:rsidR="0065304C" w:rsidRPr="00211EB6">
        <w:t>t/y</w:t>
      </w:r>
      <w:r w:rsidR="005548BB" w:rsidRPr="00211EB6">
        <w:t xml:space="preserve"> but production has declined sharply since then as a number of count</w:t>
      </w:r>
      <w:r w:rsidR="006A75D0" w:rsidRPr="00211EB6">
        <w:t>r</w:t>
      </w:r>
      <w:r w:rsidR="005548BB" w:rsidRPr="00211EB6">
        <w:t xml:space="preserve">ies have phased out production and usage, including Brazil, </w:t>
      </w:r>
      <w:r w:rsidRPr="00211EB6">
        <w:t xml:space="preserve">Canada, </w:t>
      </w:r>
      <w:r w:rsidR="005548BB" w:rsidRPr="00211EB6">
        <w:t>USA</w:t>
      </w:r>
      <w:r w:rsidR="00E96D65" w:rsidRPr="00211EB6">
        <w:t>,</w:t>
      </w:r>
      <w:r w:rsidR="005548BB" w:rsidRPr="00211EB6">
        <w:t xml:space="preserve"> EU Member States</w:t>
      </w:r>
      <w:r w:rsidR="00E96D65" w:rsidRPr="00211EB6">
        <w:t xml:space="preserve">, Benin, Guinea, Japan, </w:t>
      </w:r>
      <w:r w:rsidR="00DE3281" w:rsidRPr="00211EB6">
        <w:t xml:space="preserve">Columbia, </w:t>
      </w:r>
      <w:r w:rsidR="00E96D65" w:rsidRPr="00211EB6">
        <w:t>Mauritania, Oman, Saudi Arabia and Switzerland</w:t>
      </w:r>
      <w:r w:rsidR="005548BB" w:rsidRPr="00211EB6">
        <w:t xml:space="preserve">. Production of </w:t>
      </w:r>
      <w:proofErr w:type="spellStart"/>
      <w:r w:rsidR="005548BB" w:rsidRPr="00211EB6">
        <w:t>dicofol</w:t>
      </w:r>
      <w:proofErr w:type="spellEnd"/>
      <w:r w:rsidR="005548BB" w:rsidRPr="00211EB6">
        <w:t xml:space="preserve"> now predominantly takes place in </w:t>
      </w:r>
      <w:r w:rsidR="00AA2A16" w:rsidRPr="00211EB6">
        <w:t xml:space="preserve">a small number of nations, with key production remaining in </w:t>
      </w:r>
      <w:r w:rsidR="005548BB" w:rsidRPr="00211EB6">
        <w:t xml:space="preserve">Southern Asia. </w:t>
      </w:r>
      <w:r w:rsidRPr="00211EB6">
        <w:t xml:space="preserve">Until recently, China was one of the major global producers of technical DDT and </w:t>
      </w:r>
      <w:proofErr w:type="spellStart"/>
      <w:r w:rsidRPr="00211EB6">
        <w:t>dicofol</w:t>
      </w:r>
      <w:proofErr w:type="spellEnd"/>
      <w:r w:rsidRPr="00211EB6">
        <w:t xml:space="preserve">, producing approximately 97,000t of technical DDT between 1988 and 2002. In 2014, the last remaining technical </w:t>
      </w:r>
      <w:proofErr w:type="spellStart"/>
      <w:r w:rsidRPr="00211EB6">
        <w:t>dicofol</w:t>
      </w:r>
      <w:proofErr w:type="spellEnd"/>
      <w:r w:rsidRPr="00211EB6">
        <w:t xml:space="preserve"> producer in China ceased production of technical </w:t>
      </w:r>
      <w:proofErr w:type="spellStart"/>
      <w:r w:rsidRPr="00211EB6">
        <w:t>dicofol</w:t>
      </w:r>
      <w:proofErr w:type="spellEnd"/>
      <w:r w:rsidRPr="00211EB6">
        <w:t xml:space="preserve">. </w:t>
      </w:r>
      <w:proofErr w:type="spellStart"/>
      <w:r w:rsidR="005548BB" w:rsidRPr="00211EB6">
        <w:t>Dicofol</w:t>
      </w:r>
      <w:proofErr w:type="spellEnd"/>
      <w:r w:rsidR="005548BB" w:rsidRPr="00211EB6">
        <w:t xml:space="preserve"> is produced </w:t>
      </w:r>
      <w:r w:rsidRPr="00211EB6">
        <w:t xml:space="preserve">in India </w:t>
      </w:r>
      <w:r w:rsidR="005548BB" w:rsidRPr="00211EB6">
        <w:t>in a closed system in batches</w:t>
      </w:r>
      <w:r w:rsidR="001E3ECF" w:rsidRPr="00211EB6">
        <w:t>, at a level of 93t in 2015-2016</w:t>
      </w:r>
      <w:r w:rsidR="005548BB" w:rsidRPr="00211EB6">
        <w:t xml:space="preserve">. The </w:t>
      </w:r>
      <w:r w:rsidR="001E3ECF" w:rsidRPr="00211EB6">
        <w:t>exemption to produce</w:t>
      </w:r>
      <w:r w:rsidR="005548BB" w:rsidRPr="00211EB6">
        <w:t xml:space="preserve"> and use of DDT as a closed-system site-limited intermediate in the production of </w:t>
      </w:r>
      <w:proofErr w:type="spellStart"/>
      <w:r w:rsidR="005548BB" w:rsidRPr="00211EB6">
        <w:t>dicofol</w:t>
      </w:r>
      <w:proofErr w:type="spellEnd"/>
      <w:r w:rsidR="005548BB" w:rsidRPr="00211EB6">
        <w:t xml:space="preserve"> has been extended until May 2024 (UNEP/POPS/COP.7/4/Rev.1).</w:t>
      </w:r>
    </w:p>
    <w:p w14:paraId="1CD95542" w14:textId="2EB634FD" w:rsidR="003C43AD" w:rsidRPr="00211EB6" w:rsidRDefault="003C43AD" w:rsidP="008C6BCB">
      <w:pPr>
        <w:pStyle w:val="Normalnumber"/>
        <w:numPr>
          <w:ilvl w:val="0"/>
          <w:numId w:val="34"/>
        </w:numPr>
        <w:tabs>
          <w:tab w:val="clear" w:pos="1440"/>
        </w:tabs>
        <w:ind w:left="0" w:firstLine="0"/>
      </w:pPr>
      <w:r w:rsidRPr="00211EB6">
        <w:t xml:space="preserve">At its twelfth meeting in September 2016, the Committee adopted the risk profile for </w:t>
      </w:r>
      <w:proofErr w:type="spellStart"/>
      <w:r w:rsidRPr="00211EB6">
        <w:t>dicofol</w:t>
      </w:r>
      <w:proofErr w:type="spellEnd"/>
      <w:r w:rsidRPr="00211EB6">
        <w:t xml:space="preserve"> (UNEP/POPS/POPRC.12/11/Add.1) and </w:t>
      </w:r>
      <w:r w:rsidR="00B53DF1" w:rsidRPr="00211EB6">
        <w:t xml:space="preserve">concluded </w:t>
      </w:r>
      <w:r w:rsidRPr="00211EB6">
        <w:t xml:space="preserve">that </w:t>
      </w:r>
      <w:proofErr w:type="spellStart"/>
      <w:r w:rsidRPr="00211EB6">
        <w:t>dicofol</w:t>
      </w:r>
      <w:proofErr w:type="spellEnd"/>
      <w:r w:rsidRPr="00211EB6">
        <w:t xml:space="preserve"> is likely</w:t>
      </w:r>
      <w:r w:rsidR="00CE4829" w:rsidRPr="00211EB6">
        <w:t>,</w:t>
      </w:r>
      <w:r w:rsidRPr="00211EB6">
        <w:t xml:space="preserve"> as a result of its long-range environmental transport</w:t>
      </w:r>
      <w:r w:rsidR="00CE4829" w:rsidRPr="00211EB6">
        <w:t>,</w:t>
      </w:r>
      <w:r w:rsidRPr="00211EB6">
        <w:t xml:space="preserve"> to lead to significant adverse human health and environmental effects such that global action is warranted</w:t>
      </w:r>
      <w:r w:rsidR="00EB5EEA" w:rsidRPr="00211EB6">
        <w:t xml:space="preserve"> (POPRC-12/1)</w:t>
      </w:r>
      <w:r w:rsidR="00B5335A" w:rsidRPr="00211EB6">
        <w:t>.</w:t>
      </w:r>
    </w:p>
    <w:p w14:paraId="58A88FFB" w14:textId="32B0C220" w:rsidR="002D5D50" w:rsidRPr="00211EB6" w:rsidRDefault="00100F1D" w:rsidP="008C6BCB">
      <w:pPr>
        <w:pStyle w:val="Normalnumber"/>
        <w:numPr>
          <w:ilvl w:val="0"/>
          <w:numId w:val="34"/>
        </w:numPr>
        <w:tabs>
          <w:tab w:val="clear" w:pos="1440"/>
        </w:tabs>
        <w:ind w:left="0" w:firstLine="0"/>
      </w:pPr>
      <w:r w:rsidRPr="00211EB6">
        <w:t>Currently applied control measures cover a broad spectru</w:t>
      </w:r>
      <w:r w:rsidR="00FC3545" w:rsidRPr="00211EB6">
        <w:t xml:space="preserve">m of possible </w:t>
      </w:r>
      <w:r w:rsidR="00AA2A16" w:rsidRPr="00211EB6">
        <w:t>options</w:t>
      </w:r>
      <w:r w:rsidR="00FC3545" w:rsidRPr="00211EB6">
        <w:t xml:space="preserve"> including </w:t>
      </w:r>
      <w:r w:rsidR="000F4CEC" w:rsidRPr="00211EB6">
        <w:t>the p</w:t>
      </w:r>
      <w:r w:rsidR="006A75D0" w:rsidRPr="00211EB6">
        <w:t xml:space="preserve">rohibition </w:t>
      </w:r>
      <w:r w:rsidR="000F4CEC" w:rsidRPr="00211EB6">
        <w:t xml:space="preserve">and restriction of </w:t>
      </w:r>
      <w:r w:rsidR="006A75D0" w:rsidRPr="00211EB6">
        <w:t>production, use, import and export</w:t>
      </w:r>
      <w:r w:rsidR="000F4CEC" w:rsidRPr="00211EB6">
        <w:t>, the replacement by chemical and/or non-chemical alternatives, the establishment of exposure limits in workplaces,</w:t>
      </w:r>
      <w:r w:rsidR="00E50C39" w:rsidRPr="00211EB6">
        <w:t xml:space="preserve"> application of quality standards,</w:t>
      </w:r>
      <w:r w:rsidR="000F4CEC" w:rsidRPr="00211EB6">
        <w:t xml:space="preserve"> the e</w:t>
      </w:r>
      <w:r w:rsidR="006A75D0" w:rsidRPr="00211EB6">
        <w:t>nvironmentally sound ma</w:t>
      </w:r>
      <w:r w:rsidR="000F4CEC" w:rsidRPr="00211EB6">
        <w:t>nagement of obsolete stock and the c</w:t>
      </w:r>
      <w:r w:rsidR="006A75D0" w:rsidRPr="00211EB6">
        <w:t>lean-up of contaminated sites</w:t>
      </w:r>
      <w:r w:rsidR="000F4CEC" w:rsidRPr="00211EB6">
        <w:t>.</w:t>
      </w:r>
    </w:p>
    <w:p w14:paraId="55A86334" w14:textId="027AFE0E" w:rsidR="00AA2A16" w:rsidRPr="00211EB6" w:rsidRDefault="00FC3545" w:rsidP="008C6BCB">
      <w:pPr>
        <w:pStyle w:val="Normalnumber"/>
        <w:numPr>
          <w:ilvl w:val="0"/>
          <w:numId w:val="34"/>
        </w:numPr>
        <w:tabs>
          <w:tab w:val="clear" w:pos="1440"/>
        </w:tabs>
        <w:ind w:left="0" w:firstLine="0"/>
      </w:pPr>
      <w:r w:rsidRPr="00211EB6">
        <w:t xml:space="preserve">The successful prohibition on the production, sale and use of </w:t>
      </w:r>
      <w:proofErr w:type="spellStart"/>
      <w:r w:rsidRPr="00211EB6">
        <w:t>dicofol</w:t>
      </w:r>
      <w:proofErr w:type="spellEnd"/>
      <w:r w:rsidRPr="00211EB6">
        <w:t xml:space="preserve"> by a wide number of nations </w:t>
      </w:r>
      <w:r w:rsidR="0024773E" w:rsidRPr="00211EB6">
        <w:t xml:space="preserve">growing different crops </w:t>
      </w:r>
      <w:r w:rsidRPr="00211EB6">
        <w:t>within different geographies and climatic conditions indicates that viable chemical and non-chemical alternatives do exist</w:t>
      </w:r>
      <w:r w:rsidR="00B5335A" w:rsidRPr="00211EB6">
        <w:t>; however</w:t>
      </w:r>
      <w:r w:rsidR="0019741F" w:rsidRPr="00211EB6">
        <w:t>,</w:t>
      </w:r>
      <w:r w:rsidR="00B5335A" w:rsidRPr="00211EB6">
        <w:t xml:space="preserve"> the available information is not sufficient to demonstrate that this is true in all cases</w:t>
      </w:r>
      <w:r w:rsidRPr="00211EB6">
        <w:t xml:space="preserve">. </w:t>
      </w:r>
      <w:r w:rsidR="00B5335A" w:rsidRPr="00211EB6">
        <w:t>A</w:t>
      </w:r>
      <w:r w:rsidRPr="00211EB6">
        <w:t xml:space="preserve"> restriction on production and use would be less effective</w:t>
      </w:r>
      <w:r w:rsidR="009F7A9B" w:rsidRPr="00211EB6">
        <w:t xml:space="preserve"> at</w:t>
      </w:r>
      <w:r w:rsidRPr="00211EB6">
        <w:t xml:space="preserve"> </w:t>
      </w:r>
      <w:r w:rsidR="009F7A9B" w:rsidRPr="00211EB6">
        <w:t xml:space="preserve">protecting the environment and human health than a full prohibition </w:t>
      </w:r>
      <w:r w:rsidRPr="00211EB6">
        <w:t xml:space="preserve">but would reduce the total quantity of </w:t>
      </w:r>
      <w:proofErr w:type="spellStart"/>
      <w:r w:rsidRPr="00211EB6">
        <w:t>dicofol</w:t>
      </w:r>
      <w:proofErr w:type="spellEnd"/>
      <w:r w:rsidRPr="00211EB6">
        <w:t xml:space="preserve"> used and potential exposure under certain scenarios. </w:t>
      </w:r>
      <w:r w:rsidR="009F7A9B" w:rsidRPr="00211EB6">
        <w:t xml:space="preserve">It could be possible to limit the use of </w:t>
      </w:r>
      <w:proofErr w:type="spellStart"/>
      <w:r w:rsidR="009F7A9B" w:rsidRPr="00211EB6">
        <w:t>dicofol</w:t>
      </w:r>
      <w:proofErr w:type="spellEnd"/>
      <w:r w:rsidR="009F7A9B" w:rsidRPr="00211EB6">
        <w:t xml:space="preserve"> to only key critical uses which would limit potential exposure while also limiting economic impacts where technical</w:t>
      </w:r>
      <w:r w:rsidR="00B5335A" w:rsidRPr="00211EB6">
        <w:t>ly</w:t>
      </w:r>
      <w:r w:rsidR="009F7A9B" w:rsidRPr="00211EB6">
        <w:t xml:space="preserve"> feasible options are unavailable for specific crop/pest combinations. </w:t>
      </w:r>
      <w:r w:rsidR="0024773E" w:rsidRPr="00211EB6">
        <w:t>However, no critical uses have been identified.</w:t>
      </w:r>
      <w:r w:rsidR="00AE7E6E" w:rsidRPr="00211EB6">
        <w:t xml:space="preserve"> No specific examples of critical uses were provided by the </w:t>
      </w:r>
      <w:r w:rsidR="00315E0D" w:rsidRPr="00211EB6">
        <w:t>Parties</w:t>
      </w:r>
      <w:r w:rsidR="00AE7E6E" w:rsidRPr="00211EB6">
        <w:t xml:space="preserve"> and observers submitting information under Annex F.</w:t>
      </w:r>
    </w:p>
    <w:p w14:paraId="37F2A59F" w14:textId="341D9E3D" w:rsidR="005C4549" w:rsidRPr="00211EB6" w:rsidRDefault="009F7A9B" w:rsidP="008C6BCB">
      <w:pPr>
        <w:pStyle w:val="Normalnumber"/>
        <w:numPr>
          <w:ilvl w:val="0"/>
          <w:numId w:val="34"/>
        </w:numPr>
        <w:tabs>
          <w:tab w:val="clear" w:pos="1440"/>
        </w:tabs>
        <w:ind w:left="0" w:firstLine="0"/>
      </w:pPr>
      <w:r w:rsidRPr="00211EB6">
        <w:t>W</w:t>
      </w:r>
      <w:r w:rsidR="00FC3545" w:rsidRPr="00211EB6">
        <w:t xml:space="preserve">hile there has been a decline in the production and use of </w:t>
      </w:r>
      <w:proofErr w:type="spellStart"/>
      <w:r w:rsidR="00FC3545" w:rsidRPr="00211EB6">
        <w:t>dicofol</w:t>
      </w:r>
      <w:proofErr w:type="spellEnd"/>
      <w:r w:rsidR="00FC3545" w:rsidRPr="00211EB6">
        <w:t>, it has been manufactured in significant quantities</w:t>
      </w:r>
      <w:r w:rsidR="005C4549" w:rsidRPr="00211EB6">
        <w:t xml:space="preserve"> in the recent past</w:t>
      </w:r>
      <w:r w:rsidR="00FC3545" w:rsidRPr="00211EB6">
        <w:t>, with a diverse set of potential applications and end users</w:t>
      </w:r>
      <w:r w:rsidR="003D2776" w:rsidRPr="00211EB6">
        <w:t>. Product size can also vary significantly from as small as 1 litre containers to 200 kg containers</w:t>
      </w:r>
      <w:r w:rsidR="00FC3545" w:rsidRPr="00211EB6">
        <w:t xml:space="preserve">. This represents a complex supply chain and challenge for the identification, collection and safe destruction of obsolete </w:t>
      </w:r>
      <w:r w:rsidR="0024773E" w:rsidRPr="00211EB6">
        <w:t xml:space="preserve">stock </w:t>
      </w:r>
      <w:r w:rsidR="00FC3545" w:rsidRPr="00211EB6">
        <w:t xml:space="preserve">of </w:t>
      </w:r>
      <w:proofErr w:type="spellStart"/>
      <w:r w:rsidR="00FC3545" w:rsidRPr="00211EB6">
        <w:t>dicofol</w:t>
      </w:r>
      <w:proofErr w:type="spellEnd"/>
      <w:r w:rsidR="00FC3545" w:rsidRPr="00211EB6">
        <w:t xml:space="preserve">. While such goods may have been appropriately labelled to help identify </w:t>
      </w:r>
      <w:r w:rsidR="0024773E" w:rsidRPr="00211EB6">
        <w:t>the active ingredient</w:t>
      </w:r>
      <w:r w:rsidR="00FC3545" w:rsidRPr="00211EB6">
        <w:t>, an awareness campaign and concerted efforts working with farming communities and other end users would likely be needed to help manage the collection and safe destruction of stock to prevent mismanaged loss to</w:t>
      </w:r>
      <w:r w:rsidR="00B5335A" w:rsidRPr="00211EB6">
        <w:t xml:space="preserve"> the</w:t>
      </w:r>
      <w:r w:rsidR="00FC3545" w:rsidRPr="00211EB6">
        <w:t xml:space="preserve"> environment.  </w:t>
      </w:r>
    </w:p>
    <w:p w14:paraId="72C89588" w14:textId="46264C16" w:rsidR="005C4549" w:rsidRPr="00211EB6" w:rsidRDefault="009F7A9B" w:rsidP="008C6BCB">
      <w:pPr>
        <w:pStyle w:val="Normalnumber"/>
        <w:numPr>
          <w:ilvl w:val="0"/>
          <w:numId w:val="34"/>
        </w:numPr>
        <w:tabs>
          <w:tab w:val="clear" w:pos="1440"/>
        </w:tabs>
        <w:ind w:left="0" w:firstLine="0"/>
      </w:pPr>
      <w:r w:rsidRPr="00211EB6">
        <w:t>Limited d</w:t>
      </w:r>
      <w:r w:rsidR="00FC3545" w:rsidRPr="00211EB6">
        <w:t>ata</w:t>
      </w:r>
      <w:r w:rsidRPr="00211EB6">
        <w:t xml:space="preserve"> is</w:t>
      </w:r>
      <w:r w:rsidR="00FC3545" w:rsidRPr="00211EB6">
        <w:t xml:space="preserve"> available to help establish maximum residual levels of </w:t>
      </w:r>
      <w:proofErr w:type="spellStart"/>
      <w:r w:rsidR="00FC3545" w:rsidRPr="00211EB6">
        <w:t>dicofol</w:t>
      </w:r>
      <w:proofErr w:type="spellEnd"/>
      <w:r w:rsidR="00FC3545" w:rsidRPr="00211EB6">
        <w:t xml:space="preserve"> in water, soil, sediment or food. However</w:t>
      </w:r>
      <w:r w:rsidRPr="00211EB6">
        <w:t>,</w:t>
      </w:r>
      <w:r w:rsidR="00FC3545" w:rsidRPr="00211EB6">
        <w:t xml:space="preserve"> </w:t>
      </w:r>
      <w:r w:rsidR="00E96D65" w:rsidRPr="00211EB6">
        <w:t>where regulatory work has been undertaken to assess and develop limit values for environment, food and feed in the EU, USA and Australia, the data has been reported within this risk management evaluation.</w:t>
      </w:r>
      <w:r w:rsidR="0029252E" w:rsidRPr="00211EB6">
        <w:t xml:space="preserve"> </w:t>
      </w:r>
      <w:r w:rsidR="00EB0F91" w:rsidRPr="00211EB6">
        <w:t xml:space="preserve">Similarly, there is limited monitoring data available to assess compliance with MRL or EQS values established for </w:t>
      </w:r>
      <w:proofErr w:type="spellStart"/>
      <w:r w:rsidR="00EB0F91" w:rsidRPr="00211EB6">
        <w:t>dicofol</w:t>
      </w:r>
      <w:proofErr w:type="spellEnd"/>
      <w:r w:rsidR="00EB0F91" w:rsidRPr="00211EB6">
        <w:t xml:space="preserve"> in food, surface water, ground water and biota. Systematic monitoring of </w:t>
      </w:r>
      <w:proofErr w:type="spellStart"/>
      <w:r w:rsidR="00EB0F91" w:rsidRPr="00211EB6">
        <w:t>dicofol</w:t>
      </w:r>
      <w:proofErr w:type="spellEnd"/>
      <w:r w:rsidR="00EB0F91" w:rsidRPr="00211EB6">
        <w:t xml:space="preserve"> in food is carried out in the EU and USA. The results of this monitoring have been </w:t>
      </w:r>
      <w:r w:rsidR="00B63F67" w:rsidRPr="00211EB6">
        <w:t>summarized</w:t>
      </w:r>
      <w:r w:rsidR="00EB0F91" w:rsidRPr="00211EB6">
        <w:t xml:space="preserve"> in this risk management evaluation. </w:t>
      </w:r>
    </w:p>
    <w:p w14:paraId="141D7B45" w14:textId="1877F17F" w:rsidR="0029252E" w:rsidRPr="00211EB6" w:rsidRDefault="0029252E" w:rsidP="008C6BCB">
      <w:pPr>
        <w:pStyle w:val="Normalnumber"/>
        <w:numPr>
          <w:ilvl w:val="0"/>
          <w:numId w:val="34"/>
        </w:numPr>
        <w:tabs>
          <w:tab w:val="clear" w:pos="1440"/>
        </w:tabs>
        <w:ind w:left="0" w:firstLine="0"/>
      </w:pPr>
      <w:r w:rsidRPr="00211EB6">
        <w:t>Furthermore</w:t>
      </w:r>
      <w:r w:rsidR="00AE7E6E" w:rsidRPr="00211EB6">
        <w:t>,</w:t>
      </w:r>
      <w:r w:rsidRPr="00211EB6">
        <w:t xml:space="preserve"> it would be possible to </w:t>
      </w:r>
      <w:r w:rsidR="00B5335A" w:rsidRPr="00211EB6">
        <w:t xml:space="preserve">reduce/avoid </w:t>
      </w:r>
      <w:r w:rsidRPr="00211EB6">
        <w:t>occupational exposure by imposing restrictions on the nature of manufacture (</w:t>
      </w:r>
      <w:r w:rsidR="00B5335A" w:rsidRPr="00211EB6">
        <w:t xml:space="preserve">such as limiting this to </w:t>
      </w:r>
      <w:r w:rsidRPr="00211EB6">
        <w:t>closed-system</w:t>
      </w:r>
      <w:r w:rsidR="00B5335A" w:rsidRPr="00211EB6">
        <w:t>s</w:t>
      </w:r>
      <w:r w:rsidRPr="00211EB6">
        <w:t xml:space="preserve"> only</w:t>
      </w:r>
      <w:r w:rsidR="0009212E" w:rsidRPr="00211EB6">
        <w:t xml:space="preserve"> and phasing out all remaining open-production facilities</w:t>
      </w:r>
      <w:r w:rsidRPr="00211EB6">
        <w:t>) and worker activities (</w:t>
      </w:r>
      <w:r w:rsidR="00B5335A" w:rsidRPr="00211EB6">
        <w:t xml:space="preserve">e.g. by </w:t>
      </w:r>
      <w:r w:rsidR="00793F96" w:rsidRPr="00211EB6">
        <w:t>requiring</w:t>
      </w:r>
      <w:r w:rsidRPr="00211EB6">
        <w:t xml:space="preserve"> </w:t>
      </w:r>
      <w:r w:rsidR="00443C9C" w:rsidRPr="00211EB6">
        <w:t xml:space="preserve">and enforcing the </w:t>
      </w:r>
      <w:r w:rsidRPr="00211EB6">
        <w:t>use of correct PPE in all global geographic areas).</w:t>
      </w:r>
      <w:r w:rsidR="0019741F" w:rsidRPr="00211EB6">
        <w:t xml:space="preserve"> However, a number of studies indicate that the level of use and awareness of PPE in certain developing countries is insufficient to ensure the safety of farm workers using hazardous pesticides.</w:t>
      </w:r>
    </w:p>
    <w:p w14:paraId="226FDDC1" w14:textId="64B2CEAB" w:rsidR="007649CA" w:rsidRPr="00211EB6" w:rsidRDefault="0029252E" w:rsidP="008C6BCB">
      <w:pPr>
        <w:pStyle w:val="Normalnumber"/>
        <w:numPr>
          <w:ilvl w:val="0"/>
          <w:numId w:val="34"/>
        </w:numPr>
        <w:tabs>
          <w:tab w:val="clear" w:pos="1440"/>
        </w:tabs>
        <w:ind w:left="0" w:firstLine="0"/>
      </w:pPr>
      <w:r w:rsidRPr="00211EB6">
        <w:t>The alternatives</w:t>
      </w:r>
      <w:r w:rsidR="00AE7E6E" w:rsidRPr="00211EB6">
        <w:t xml:space="preserve"> to </w:t>
      </w:r>
      <w:proofErr w:type="spellStart"/>
      <w:r w:rsidR="00AE7E6E" w:rsidRPr="00211EB6">
        <w:t>dicofol</w:t>
      </w:r>
      <w:proofErr w:type="spellEnd"/>
      <w:r w:rsidRPr="00211EB6">
        <w:t>, considered as technically feasible</w:t>
      </w:r>
      <w:r w:rsidR="009C61B2" w:rsidRPr="00211EB6">
        <w:t>, includ</w:t>
      </w:r>
      <w:r w:rsidRPr="00211EB6">
        <w:t>e</w:t>
      </w:r>
      <w:r w:rsidR="009C61B2" w:rsidRPr="00211EB6">
        <w:t xml:space="preserve"> over 25 chemical </w:t>
      </w:r>
      <w:r w:rsidRPr="00211EB6">
        <w:t>pesticides</w:t>
      </w:r>
      <w:r w:rsidR="009C61B2" w:rsidRPr="00211EB6">
        <w:t xml:space="preserve">, </w:t>
      </w:r>
      <w:proofErr w:type="spellStart"/>
      <w:r w:rsidR="00871EAA" w:rsidRPr="00211EB6">
        <w:t>agroecological</w:t>
      </w:r>
      <w:proofErr w:type="spellEnd"/>
      <w:r w:rsidR="00871EAA" w:rsidRPr="00211EB6">
        <w:t xml:space="preserve"> practices such as those used in </w:t>
      </w:r>
      <w:proofErr w:type="spellStart"/>
      <w:r w:rsidR="00871EAA" w:rsidRPr="00211EB6">
        <w:t>agroecology</w:t>
      </w:r>
      <w:proofErr w:type="spellEnd"/>
      <w:r w:rsidR="00871EAA" w:rsidRPr="00211EB6">
        <w:t>, organic</w:t>
      </w:r>
      <w:r w:rsidR="00793F96" w:rsidRPr="00211EB6">
        <w:t xml:space="preserve"> farming</w:t>
      </w:r>
      <w:r w:rsidR="00871EAA" w:rsidRPr="00211EB6">
        <w:t xml:space="preserve"> and IPM,</w:t>
      </w:r>
      <w:r w:rsidR="0019741F" w:rsidRPr="00211EB6">
        <w:t xml:space="preserve"> </w:t>
      </w:r>
      <w:r w:rsidR="009C61B2" w:rsidRPr="00211EB6">
        <w:t>biological controls (pathogens</w:t>
      </w:r>
      <w:r w:rsidR="00871EAA" w:rsidRPr="00211EB6">
        <w:t xml:space="preserve">, </w:t>
      </w:r>
      <w:r w:rsidR="009C61B2" w:rsidRPr="00211EB6">
        <w:t>predators</w:t>
      </w:r>
      <w:r w:rsidR="00443C9C" w:rsidRPr="00211EB6">
        <w:t>)</w:t>
      </w:r>
      <w:r w:rsidR="00871EAA" w:rsidRPr="00211EB6">
        <w:t xml:space="preserve"> and </w:t>
      </w:r>
      <w:r w:rsidR="00443C9C" w:rsidRPr="00211EB6">
        <w:t xml:space="preserve">botanical </w:t>
      </w:r>
      <w:r w:rsidR="00A97444" w:rsidRPr="00211EB6">
        <w:t>preparations</w:t>
      </w:r>
      <w:r w:rsidR="008C6BD3" w:rsidRPr="00211EB6">
        <w:t>.</w:t>
      </w:r>
      <w:r w:rsidR="009C61B2" w:rsidRPr="00211EB6">
        <w:t xml:space="preserve"> The range of alternatives reflects the various pest-crop combinations </w:t>
      </w:r>
      <w:r w:rsidR="001E3ECF" w:rsidRPr="00211EB6">
        <w:t xml:space="preserve">to </w:t>
      </w:r>
      <w:r w:rsidR="009C61B2" w:rsidRPr="00211EB6">
        <w:t xml:space="preserve">which </w:t>
      </w:r>
      <w:proofErr w:type="spellStart"/>
      <w:r w:rsidR="009C61B2" w:rsidRPr="00211EB6">
        <w:t>dicofol</w:t>
      </w:r>
      <w:proofErr w:type="spellEnd"/>
      <w:r w:rsidR="009C61B2" w:rsidRPr="00211EB6">
        <w:t xml:space="preserve"> is</w:t>
      </w:r>
      <w:r w:rsidRPr="00211EB6">
        <w:t xml:space="preserve"> or has been</w:t>
      </w:r>
      <w:r w:rsidR="009C61B2" w:rsidRPr="00211EB6">
        <w:t xml:space="preserve"> applied, in regions with very different climatic conditions.</w:t>
      </w:r>
      <w:r w:rsidRPr="00211EB6">
        <w:t xml:space="preserve"> </w:t>
      </w:r>
      <w:r w:rsidR="009C61B2" w:rsidRPr="00211EB6">
        <w:t xml:space="preserve">All the alternatives described are considered to be technically feasible, available and accessible in a </w:t>
      </w:r>
      <w:r w:rsidRPr="00211EB6">
        <w:t>range</w:t>
      </w:r>
      <w:r w:rsidR="009C61B2" w:rsidRPr="00211EB6">
        <w:t xml:space="preserve"> of countries</w:t>
      </w:r>
      <w:r w:rsidR="00AE7E6E" w:rsidRPr="00211EB6">
        <w:t xml:space="preserve"> (including India, China and Australia) and for different economically important crops, such as cotton, tea, citrus, and apples</w:t>
      </w:r>
      <w:r w:rsidR="009C61B2" w:rsidRPr="00211EB6">
        <w:t>.</w:t>
      </w:r>
      <w:r w:rsidR="00B5335A" w:rsidRPr="00211EB6">
        <w:t xml:space="preserve">  However, the available information (primarily from Annex F submissions) is not currently sufficient to conclude that these alternatives could be feasibly implemented in all cases where </w:t>
      </w:r>
      <w:proofErr w:type="spellStart"/>
      <w:r w:rsidR="00B5335A" w:rsidRPr="00211EB6">
        <w:t>dicofol</w:t>
      </w:r>
      <w:proofErr w:type="spellEnd"/>
      <w:r w:rsidR="00B5335A" w:rsidRPr="00211EB6">
        <w:t xml:space="preserve"> is still used.</w:t>
      </w:r>
      <w:r w:rsidR="007649CA" w:rsidRPr="00211EB6">
        <w:t xml:space="preserve"> </w:t>
      </w:r>
      <w:r w:rsidR="008F07BE" w:rsidRPr="00211EB6">
        <w:t xml:space="preserve">The characteristics of chemical and non-chemical alternatives should be considered when choosing alternatives to </w:t>
      </w:r>
      <w:proofErr w:type="spellStart"/>
      <w:r w:rsidR="008F07BE" w:rsidRPr="00211EB6">
        <w:t>dicofol</w:t>
      </w:r>
      <w:proofErr w:type="spellEnd"/>
      <w:r w:rsidR="00C42FAC" w:rsidRPr="00211EB6">
        <w:t>, and their consistency with sustainable development</w:t>
      </w:r>
      <w:r w:rsidR="008F07BE" w:rsidRPr="00211EB6">
        <w:t xml:space="preserve">. This </w:t>
      </w:r>
      <w:r w:rsidR="00B63F67" w:rsidRPr="00211EB6">
        <w:t>emphasizes</w:t>
      </w:r>
      <w:r w:rsidR="008F07BE" w:rsidRPr="00211EB6">
        <w:t xml:space="preserve"> the need for further assessment under the local conditions and consideration of the specific </w:t>
      </w:r>
      <w:proofErr w:type="spellStart"/>
      <w:r w:rsidR="008F07BE" w:rsidRPr="00211EB6">
        <w:t>agroecosystems</w:t>
      </w:r>
      <w:proofErr w:type="spellEnd"/>
      <w:r w:rsidR="008F07BE" w:rsidRPr="00211EB6">
        <w:t xml:space="preserve"> and agricultural practices used. </w:t>
      </w:r>
    </w:p>
    <w:p w14:paraId="5A1BA9F7" w14:textId="68BA3316" w:rsidR="00ED1A0F" w:rsidRPr="00211EB6" w:rsidRDefault="00ED1A0F" w:rsidP="0058749B">
      <w:pPr>
        <w:pStyle w:val="Heading1"/>
        <w:tabs>
          <w:tab w:val="clear" w:pos="432"/>
        </w:tabs>
        <w:spacing w:before="240" w:line="240" w:lineRule="auto"/>
        <w:ind w:left="630" w:hanging="630"/>
        <w:rPr>
          <w:rFonts w:ascii="Times New Roman" w:hAnsi="Times New Roman"/>
        </w:rPr>
      </w:pPr>
      <w:bookmarkStart w:id="48" w:name="_Toc483491474"/>
      <w:r w:rsidRPr="00211EB6">
        <w:rPr>
          <w:rFonts w:ascii="Times New Roman" w:hAnsi="Times New Roman"/>
        </w:rPr>
        <w:t>Concluding statement</w:t>
      </w:r>
      <w:bookmarkEnd w:id="48"/>
    </w:p>
    <w:bookmarkEnd w:id="0"/>
    <w:p w14:paraId="475F593E" w14:textId="1D09AE57" w:rsidR="003C4E63" w:rsidRPr="00211EB6" w:rsidRDefault="0009470F" w:rsidP="008C6BCB">
      <w:pPr>
        <w:pStyle w:val="Normalnumber"/>
        <w:numPr>
          <w:ilvl w:val="0"/>
          <w:numId w:val="34"/>
        </w:numPr>
        <w:tabs>
          <w:tab w:val="clear" w:pos="1440"/>
        </w:tabs>
        <w:ind w:left="0" w:firstLine="0"/>
        <w:rPr>
          <w:b/>
          <w:sz w:val="28"/>
          <w:szCs w:val="28"/>
          <w:lang w:eastAsia="ar-SA"/>
        </w:rPr>
      </w:pPr>
      <w:r w:rsidRPr="00211EB6">
        <w:t xml:space="preserve">Having </w:t>
      </w:r>
      <w:r w:rsidR="00AE7E6E" w:rsidRPr="00211EB6">
        <w:t>concluded</w:t>
      </w:r>
      <w:r w:rsidRPr="00211EB6">
        <w:t xml:space="preserve"> that </w:t>
      </w:r>
      <w:proofErr w:type="spellStart"/>
      <w:r w:rsidRPr="00211EB6">
        <w:t>dicofol</w:t>
      </w:r>
      <w:proofErr w:type="spellEnd"/>
      <w:r w:rsidRPr="00211EB6">
        <w:t xml:space="preserve"> is likely, as a result of long-range environmental transport, to lead to significant adverse effects on human health and/or the environment such that global action is warranted;</w:t>
      </w:r>
      <w:r w:rsidR="0058749B" w:rsidRPr="00211EB6">
        <w:t xml:space="preserve"> h</w:t>
      </w:r>
      <w:r w:rsidRPr="00211EB6">
        <w:t>aving prepared a risk management evaluation and considered the management options;</w:t>
      </w:r>
      <w:r w:rsidR="0058749B" w:rsidRPr="00211EB6">
        <w:t xml:space="preserve"> t</w:t>
      </w:r>
      <w:r w:rsidRPr="00211EB6">
        <w:t xml:space="preserve">he Persistent Organic Pollutants Review Committee recommends, in accordance with paragraph 9 of Article 8 of the Convention, that </w:t>
      </w:r>
      <w:proofErr w:type="spellStart"/>
      <w:r w:rsidRPr="00211EB6">
        <w:t>dicofol</w:t>
      </w:r>
      <w:proofErr w:type="spellEnd"/>
      <w:r w:rsidRPr="00211EB6">
        <w:t xml:space="preserve"> be considered by the Conference of the Parties to the Stockholm Convention for listing and specifying the related control measures under the Stockholm Convention in Annex A</w:t>
      </w:r>
      <w:r w:rsidR="004A798A" w:rsidRPr="00211EB6">
        <w:t xml:space="preserve"> without specific exemptions</w:t>
      </w:r>
      <w:r w:rsidRPr="00211EB6">
        <w:t xml:space="preserve">. </w:t>
      </w:r>
      <w:r w:rsidR="003C4E63" w:rsidRPr="00211EB6">
        <w:rPr>
          <w:b/>
          <w:sz w:val="28"/>
          <w:szCs w:val="28"/>
        </w:rPr>
        <w:br w:type="page"/>
      </w:r>
    </w:p>
    <w:p w14:paraId="1DDDB4E9" w14:textId="380F8B4A" w:rsidR="003D7537" w:rsidRPr="00211EB6" w:rsidRDefault="003D7537" w:rsidP="00AC5445">
      <w:pPr>
        <w:pStyle w:val="Normal1"/>
        <w:spacing w:after="120"/>
        <w:rPr>
          <w:b/>
          <w:sz w:val="20"/>
          <w:szCs w:val="20"/>
        </w:rPr>
      </w:pPr>
      <w:r w:rsidRPr="00211EB6">
        <w:rPr>
          <w:b/>
          <w:sz w:val="28"/>
          <w:szCs w:val="28"/>
        </w:rPr>
        <w:t>References</w:t>
      </w:r>
    </w:p>
    <w:p w14:paraId="5D71FEBF" w14:textId="77777777" w:rsidR="00B34552" w:rsidRPr="00211EB6" w:rsidRDefault="00B34552" w:rsidP="00307F16">
      <w:pPr>
        <w:spacing w:after="120"/>
        <w:rPr>
          <w:sz w:val="20"/>
          <w:szCs w:val="20"/>
        </w:rPr>
      </w:pPr>
      <w:r w:rsidRPr="00211EB6">
        <w:rPr>
          <w:sz w:val="20"/>
          <w:szCs w:val="20"/>
        </w:rPr>
        <w:t>Austria (2016) Submission of information specified in Annex F of the Stockholm Convention pursuant to Article 8 of the Convention.</w:t>
      </w:r>
    </w:p>
    <w:p w14:paraId="7946D6C0" w14:textId="77777777" w:rsidR="00B34552" w:rsidRPr="00211EB6" w:rsidRDefault="00B34552" w:rsidP="00307F16">
      <w:pPr>
        <w:spacing w:after="120"/>
        <w:rPr>
          <w:sz w:val="20"/>
          <w:szCs w:val="20"/>
        </w:rPr>
      </w:pPr>
      <w:r w:rsidRPr="00211EB6">
        <w:rPr>
          <w:sz w:val="20"/>
          <w:szCs w:val="20"/>
        </w:rPr>
        <w:t xml:space="preserve">Brazil (2016) </w:t>
      </w:r>
      <w:proofErr w:type="gramStart"/>
      <w:r w:rsidRPr="00211EB6">
        <w:rPr>
          <w:sz w:val="20"/>
          <w:szCs w:val="20"/>
        </w:rPr>
        <w:t>Further</w:t>
      </w:r>
      <w:proofErr w:type="gramEnd"/>
      <w:r w:rsidRPr="00211EB6">
        <w:rPr>
          <w:sz w:val="20"/>
          <w:szCs w:val="20"/>
        </w:rPr>
        <w:t xml:space="preserve"> information on </w:t>
      </w:r>
      <w:proofErr w:type="spellStart"/>
      <w:r w:rsidRPr="00211EB6">
        <w:rPr>
          <w:sz w:val="20"/>
          <w:szCs w:val="20"/>
        </w:rPr>
        <w:t>dicofol</w:t>
      </w:r>
      <w:proofErr w:type="spellEnd"/>
      <w:r w:rsidRPr="00211EB6">
        <w:rPr>
          <w:sz w:val="20"/>
          <w:szCs w:val="20"/>
        </w:rPr>
        <w:t xml:space="preserve"> provided by the Brazilian government following the requirements of Annex E request for information.</w:t>
      </w:r>
    </w:p>
    <w:p w14:paraId="2DA97D23" w14:textId="77777777" w:rsidR="00B34552" w:rsidRPr="00211EB6" w:rsidRDefault="00B34552" w:rsidP="00307F16">
      <w:pPr>
        <w:spacing w:after="120"/>
        <w:rPr>
          <w:sz w:val="20"/>
          <w:szCs w:val="20"/>
        </w:rPr>
      </w:pPr>
      <w:r w:rsidRPr="00211EB6">
        <w:rPr>
          <w:sz w:val="20"/>
          <w:szCs w:val="20"/>
        </w:rPr>
        <w:t>India (2016) Submission of information specified in Annex F of the Stockholm Convention pursuant to Article 8 of the Convention.</w:t>
      </w:r>
    </w:p>
    <w:p w14:paraId="5A326514" w14:textId="77777777" w:rsidR="00933CB1" w:rsidRPr="00211EB6" w:rsidRDefault="00933CB1" w:rsidP="00307F16">
      <w:pPr>
        <w:spacing w:after="120"/>
        <w:rPr>
          <w:sz w:val="20"/>
          <w:szCs w:val="20"/>
        </w:rPr>
      </w:pPr>
      <w:r w:rsidRPr="00211EB6">
        <w:rPr>
          <w:sz w:val="20"/>
          <w:szCs w:val="20"/>
        </w:rPr>
        <w:t xml:space="preserve">Mexico (2015) Comment from Mexico to the POPRC </w:t>
      </w:r>
      <w:proofErr w:type="spellStart"/>
      <w:r w:rsidRPr="00211EB6">
        <w:rPr>
          <w:sz w:val="20"/>
          <w:szCs w:val="20"/>
        </w:rPr>
        <w:t>dicofol</w:t>
      </w:r>
      <w:proofErr w:type="spellEnd"/>
      <w:r w:rsidRPr="00211EB6">
        <w:rPr>
          <w:sz w:val="20"/>
          <w:szCs w:val="20"/>
        </w:rPr>
        <w:t xml:space="preserve"> draft risk profile, May 2015. </w:t>
      </w:r>
    </w:p>
    <w:p w14:paraId="5A5CA766" w14:textId="77777777" w:rsidR="00B34552" w:rsidRPr="00211EB6" w:rsidRDefault="00B34552" w:rsidP="00307F16">
      <w:pPr>
        <w:spacing w:after="120"/>
        <w:rPr>
          <w:sz w:val="20"/>
          <w:szCs w:val="20"/>
        </w:rPr>
      </w:pPr>
      <w:r w:rsidRPr="00211EB6">
        <w:rPr>
          <w:sz w:val="20"/>
          <w:szCs w:val="20"/>
        </w:rPr>
        <w:t>PAN and IPEN (2016) submission of information specified in Annex F of the Stockholm Convention pursuant to Article 8 of the Convention.</w:t>
      </w:r>
    </w:p>
    <w:p w14:paraId="2F8EECEA" w14:textId="77777777" w:rsidR="00B34552" w:rsidRPr="00211EB6" w:rsidRDefault="00B34552" w:rsidP="00307F16">
      <w:pPr>
        <w:spacing w:after="120"/>
        <w:rPr>
          <w:sz w:val="20"/>
          <w:szCs w:val="20"/>
        </w:rPr>
      </w:pPr>
      <w:proofErr w:type="gramStart"/>
      <w:r w:rsidRPr="00211EB6">
        <w:rPr>
          <w:sz w:val="20"/>
          <w:szCs w:val="20"/>
        </w:rPr>
        <w:t xml:space="preserve">POPRC-10/3 (2014) Decision on </w:t>
      </w:r>
      <w:proofErr w:type="spellStart"/>
      <w:r w:rsidRPr="00211EB6">
        <w:rPr>
          <w:sz w:val="20"/>
          <w:szCs w:val="20"/>
        </w:rPr>
        <w:t>dicofol</w:t>
      </w:r>
      <w:proofErr w:type="spellEnd"/>
      <w:r w:rsidRPr="00211EB6">
        <w:rPr>
          <w:sz w:val="20"/>
          <w:szCs w:val="20"/>
        </w:rPr>
        <w:t>.</w:t>
      </w:r>
      <w:proofErr w:type="gramEnd"/>
      <w:r w:rsidRPr="00211EB6">
        <w:rPr>
          <w:sz w:val="20"/>
          <w:szCs w:val="20"/>
        </w:rPr>
        <w:t xml:space="preserve"> </w:t>
      </w:r>
    </w:p>
    <w:p w14:paraId="1923A653" w14:textId="77777777" w:rsidR="00B34552" w:rsidRPr="00211EB6" w:rsidRDefault="00B34552" w:rsidP="00307F16">
      <w:pPr>
        <w:spacing w:after="120"/>
        <w:rPr>
          <w:sz w:val="20"/>
          <w:szCs w:val="20"/>
        </w:rPr>
      </w:pPr>
      <w:proofErr w:type="gramStart"/>
      <w:r w:rsidRPr="00211EB6">
        <w:rPr>
          <w:sz w:val="20"/>
          <w:szCs w:val="20"/>
        </w:rPr>
        <w:t xml:space="preserve">POPRC-11/2 (2015) Decision on </w:t>
      </w:r>
      <w:proofErr w:type="spellStart"/>
      <w:r w:rsidRPr="00211EB6">
        <w:rPr>
          <w:sz w:val="20"/>
          <w:szCs w:val="20"/>
        </w:rPr>
        <w:t>dicofol</w:t>
      </w:r>
      <w:proofErr w:type="spellEnd"/>
      <w:r w:rsidRPr="00211EB6">
        <w:rPr>
          <w:sz w:val="20"/>
          <w:szCs w:val="20"/>
        </w:rPr>
        <w:t>.</w:t>
      </w:r>
      <w:proofErr w:type="gramEnd"/>
    </w:p>
    <w:p w14:paraId="07B0856A" w14:textId="77777777" w:rsidR="006F7334" w:rsidRPr="00211EB6" w:rsidRDefault="006F7334" w:rsidP="00307F16">
      <w:pPr>
        <w:spacing w:after="120"/>
        <w:rPr>
          <w:sz w:val="20"/>
          <w:szCs w:val="20"/>
        </w:rPr>
      </w:pPr>
      <w:proofErr w:type="gramStart"/>
      <w:r w:rsidRPr="00211EB6">
        <w:rPr>
          <w:sz w:val="20"/>
          <w:szCs w:val="20"/>
        </w:rPr>
        <w:t xml:space="preserve">POPRC-12/1 (2016) Decision on </w:t>
      </w:r>
      <w:proofErr w:type="spellStart"/>
      <w:r w:rsidRPr="00211EB6">
        <w:rPr>
          <w:sz w:val="20"/>
          <w:szCs w:val="20"/>
        </w:rPr>
        <w:t>dicofol</w:t>
      </w:r>
      <w:proofErr w:type="spellEnd"/>
      <w:r w:rsidRPr="00211EB6">
        <w:rPr>
          <w:sz w:val="20"/>
          <w:szCs w:val="20"/>
        </w:rPr>
        <w:t>.</w:t>
      </w:r>
      <w:proofErr w:type="gramEnd"/>
    </w:p>
    <w:p w14:paraId="19FADD05" w14:textId="77777777" w:rsidR="00B34552" w:rsidRPr="00211EB6" w:rsidRDefault="00B34552" w:rsidP="00307F16">
      <w:pPr>
        <w:spacing w:after="120"/>
        <w:rPr>
          <w:sz w:val="20"/>
          <w:szCs w:val="20"/>
        </w:rPr>
      </w:pPr>
      <w:r w:rsidRPr="00211EB6">
        <w:rPr>
          <w:sz w:val="20"/>
          <w:szCs w:val="20"/>
        </w:rPr>
        <w:t>Serbia (2016) Submission of information specified in Annex F of the Stockholm Convention pursuant to Article 8 of the Convention.</w:t>
      </w:r>
    </w:p>
    <w:p w14:paraId="47FDD46B" w14:textId="77777777" w:rsidR="00B34552" w:rsidRPr="00211EB6" w:rsidRDefault="00B34552" w:rsidP="00307F16">
      <w:pPr>
        <w:spacing w:after="120"/>
        <w:rPr>
          <w:sz w:val="20"/>
          <w:szCs w:val="20"/>
        </w:rPr>
      </w:pPr>
      <w:r w:rsidRPr="00211EB6">
        <w:rPr>
          <w:sz w:val="20"/>
          <w:szCs w:val="20"/>
        </w:rPr>
        <w:t xml:space="preserve">UNEP/POPS/POPRC.9/3 (2013) Proposal to list </w:t>
      </w:r>
      <w:proofErr w:type="spellStart"/>
      <w:r w:rsidRPr="00211EB6">
        <w:rPr>
          <w:sz w:val="20"/>
          <w:szCs w:val="20"/>
        </w:rPr>
        <w:t>dicofol</w:t>
      </w:r>
      <w:proofErr w:type="spellEnd"/>
      <w:r w:rsidRPr="00211EB6">
        <w:rPr>
          <w:sz w:val="20"/>
          <w:szCs w:val="20"/>
        </w:rPr>
        <w:t xml:space="preserve"> in Annexes A, B and/or C to the Stockholm Convention on Persistent Organic Pollutants.</w:t>
      </w:r>
    </w:p>
    <w:p w14:paraId="6FCAF146" w14:textId="77777777" w:rsidR="00B34552" w:rsidRPr="00211EB6" w:rsidRDefault="00B34552" w:rsidP="00307F16">
      <w:pPr>
        <w:spacing w:after="120"/>
        <w:rPr>
          <w:sz w:val="20"/>
          <w:szCs w:val="20"/>
        </w:rPr>
      </w:pPr>
      <w:r w:rsidRPr="00211EB6">
        <w:rPr>
          <w:sz w:val="20"/>
          <w:szCs w:val="20"/>
        </w:rPr>
        <w:t xml:space="preserve">UNEP/POPS/COP.7/4/Rev.1 (2015): Conference of the Parties to the Stockholm Convention on Persistent Organic Pollutants, Seventh meeting, Geneva, 4–15 May 2015, Specific exemptions and acceptable purposes under the Stockholm Convention. </w:t>
      </w:r>
      <w:proofErr w:type="gramStart"/>
      <w:r w:rsidRPr="00211EB6">
        <w:rPr>
          <w:sz w:val="20"/>
          <w:szCs w:val="20"/>
        </w:rPr>
        <w:t>Note by the Secretariat, 11 March 2015.</w:t>
      </w:r>
      <w:proofErr w:type="gramEnd"/>
      <w:r w:rsidRPr="00211EB6">
        <w:rPr>
          <w:sz w:val="20"/>
          <w:szCs w:val="20"/>
        </w:rPr>
        <w:t xml:space="preserve"> </w:t>
      </w:r>
    </w:p>
    <w:p w14:paraId="5796F38E" w14:textId="77777777" w:rsidR="00B34552" w:rsidRPr="00211EB6" w:rsidRDefault="00B34552" w:rsidP="00307F16">
      <w:pPr>
        <w:spacing w:after="120"/>
        <w:rPr>
          <w:sz w:val="20"/>
          <w:szCs w:val="20"/>
        </w:rPr>
      </w:pPr>
      <w:r w:rsidRPr="00211EB6">
        <w:rPr>
          <w:sz w:val="20"/>
          <w:szCs w:val="20"/>
        </w:rPr>
        <w:t xml:space="preserve">UNEP/POPS/POPRC.11/3 (2015) Draft risk profile: </w:t>
      </w:r>
      <w:proofErr w:type="spellStart"/>
      <w:r w:rsidRPr="00211EB6">
        <w:rPr>
          <w:sz w:val="20"/>
          <w:szCs w:val="20"/>
        </w:rPr>
        <w:t>dicofol</w:t>
      </w:r>
      <w:proofErr w:type="spellEnd"/>
      <w:r w:rsidRPr="00211EB6">
        <w:rPr>
          <w:sz w:val="20"/>
          <w:szCs w:val="20"/>
        </w:rPr>
        <w:t>.</w:t>
      </w:r>
    </w:p>
    <w:p w14:paraId="550A626E" w14:textId="77777777" w:rsidR="00B34552" w:rsidRPr="00211EB6" w:rsidRDefault="00B34552" w:rsidP="00307F16">
      <w:pPr>
        <w:spacing w:after="120"/>
        <w:rPr>
          <w:sz w:val="20"/>
          <w:szCs w:val="20"/>
        </w:rPr>
      </w:pPr>
      <w:r w:rsidRPr="00211EB6">
        <w:rPr>
          <w:sz w:val="20"/>
          <w:szCs w:val="20"/>
        </w:rPr>
        <w:t xml:space="preserve">UNEP/POPS/POPRC.11/INF/8 (2015) Comments and responses relating to the draft risk profile on </w:t>
      </w:r>
      <w:proofErr w:type="spellStart"/>
      <w:r w:rsidRPr="00211EB6">
        <w:rPr>
          <w:sz w:val="20"/>
          <w:szCs w:val="20"/>
        </w:rPr>
        <w:t>dicofol</w:t>
      </w:r>
      <w:proofErr w:type="spellEnd"/>
      <w:r w:rsidRPr="00211EB6">
        <w:rPr>
          <w:sz w:val="20"/>
          <w:szCs w:val="20"/>
        </w:rPr>
        <w:t>.</w:t>
      </w:r>
    </w:p>
    <w:p w14:paraId="0A6EF99F" w14:textId="77777777" w:rsidR="00B34552" w:rsidRPr="00211EB6" w:rsidRDefault="00B34552" w:rsidP="00307F16">
      <w:pPr>
        <w:spacing w:after="120"/>
        <w:rPr>
          <w:sz w:val="20"/>
          <w:szCs w:val="20"/>
        </w:rPr>
      </w:pPr>
      <w:r w:rsidRPr="00211EB6">
        <w:rPr>
          <w:sz w:val="20"/>
          <w:szCs w:val="20"/>
        </w:rPr>
        <w:t xml:space="preserve">UNEP/POPS/POPRC.11/INF/15 (2015) Additional information on </w:t>
      </w:r>
      <w:proofErr w:type="spellStart"/>
      <w:r w:rsidRPr="00211EB6">
        <w:rPr>
          <w:sz w:val="20"/>
          <w:szCs w:val="20"/>
        </w:rPr>
        <w:t>dicofol</w:t>
      </w:r>
      <w:proofErr w:type="spellEnd"/>
      <w:r w:rsidRPr="00211EB6">
        <w:rPr>
          <w:sz w:val="20"/>
          <w:szCs w:val="20"/>
        </w:rPr>
        <w:t>.</w:t>
      </w:r>
    </w:p>
    <w:p w14:paraId="5E6AEC34" w14:textId="77777777" w:rsidR="00B34552" w:rsidRPr="00211EB6" w:rsidRDefault="00B34552" w:rsidP="00307F16">
      <w:pPr>
        <w:spacing w:after="120"/>
        <w:rPr>
          <w:sz w:val="20"/>
          <w:szCs w:val="20"/>
        </w:rPr>
      </w:pPr>
      <w:r w:rsidRPr="00211EB6">
        <w:rPr>
          <w:sz w:val="20"/>
          <w:szCs w:val="20"/>
        </w:rPr>
        <w:t xml:space="preserve">UNEP/POPS/POPRC.12/11/Add.1 (2016) Risk profile for </w:t>
      </w:r>
      <w:proofErr w:type="spellStart"/>
      <w:r w:rsidRPr="00211EB6">
        <w:rPr>
          <w:sz w:val="20"/>
          <w:szCs w:val="20"/>
        </w:rPr>
        <w:t>dicofol</w:t>
      </w:r>
      <w:proofErr w:type="spellEnd"/>
      <w:r w:rsidRPr="00211EB6">
        <w:rPr>
          <w:sz w:val="20"/>
          <w:szCs w:val="20"/>
        </w:rPr>
        <w:t>.</w:t>
      </w:r>
    </w:p>
    <w:p w14:paraId="46F45D82" w14:textId="77777777" w:rsidR="00B34552" w:rsidRPr="00211EB6" w:rsidRDefault="00B34552" w:rsidP="00AC5445">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rPr>
      </w:pPr>
      <w:r w:rsidRPr="00211EB6">
        <w:rPr>
          <w:color w:val="000000"/>
          <w:sz w:val="20"/>
          <w:szCs w:val="20"/>
        </w:rPr>
        <w:t>USA (2015) Submission of information specified in Annex E to the Stockholm Convention pursuant to Article 8 of the Convention, (http://chm.pops.int/TheConvention/POPsReviewCommittee/Meetings/POPRC10/ POPRC10Followup/</w:t>
      </w:r>
      <w:proofErr w:type="gramStart"/>
      <w:r w:rsidRPr="00211EB6">
        <w:rPr>
          <w:color w:val="000000"/>
          <w:sz w:val="20"/>
          <w:szCs w:val="20"/>
        </w:rPr>
        <w:t>Dicofol(</w:t>
      </w:r>
      <w:proofErr w:type="gramEnd"/>
      <w:r w:rsidRPr="00211EB6">
        <w:rPr>
          <w:color w:val="000000"/>
          <w:sz w:val="20"/>
          <w:szCs w:val="20"/>
        </w:rPr>
        <w:t>AnnexEinformation)/tabid/4293/Default.aspx).</w:t>
      </w:r>
    </w:p>
    <w:p w14:paraId="27B41D2B" w14:textId="6EF56899" w:rsidR="00B34552" w:rsidRPr="00211EB6" w:rsidRDefault="00B34552" w:rsidP="00AC5445">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rPr>
      </w:pPr>
      <w:proofErr w:type="gramStart"/>
      <w:r w:rsidRPr="00211EB6">
        <w:rPr>
          <w:color w:val="000000"/>
          <w:sz w:val="20"/>
          <w:szCs w:val="20"/>
        </w:rPr>
        <w:t>USA (2016) submission of information specified in Annex F of the Stockholm Convention pursuant to Article 8.</w:t>
      </w:r>
      <w:proofErr w:type="gramEnd"/>
    </w:p>
    <w:p w14:paraId="14D4BE89" w14:textId="77777777" w:rsidR="00B34552" w:rsidRPr="00211EB6" w:rsidRDefault="00B34552" w:rsidP="00AC5445">
      <w:pPr>
        <w:spacing w:after="120"/>
        <w:rPr>
          <w:b/>
          <w:sz w:val="20"/>
          <w:szCs w:val="20"/>
        </w:rPr>
      </w:pPr>
      <w:r w:rsidRPr="00211EB6">
        <w:rPr>
          <w:b/>
          <w:sz w:val="20"/>
          <w:szCs w:val="20"/>
        </w:rPr>
        <w:t>Other References:</w:t>
      </w:r>
    </w:p>
    <w:p w14:paraId="1D5C6AEA" w14:textId="6956476A" w:rsidR="00067874" w:rsidRPr="00211EB6" w:rsidRDefault="00067874" w:rsidP="00256B71">
      <w:pPr>
        <w:spacing w:after="120"/>
        <w:rPr>
          <w:sz w:val="20"/>
          <w:szCs w:val="20"/>
        </w:rPr>
      </w:pPr>
      <w:r w:rsidRPr="00211EB6">
        <w:rPr>
          <w:sz w:val="20"/>
          <w:szCs w:val="20"/>
        </w:rPr>
        <w:t>Australian Government (2016) Acceptable daily intakes for agricultural and veterinary chemicals</w:t>
      </w:r>
      <w:proofErr w:type="gramStart"/>
      <w:r w:rsidRPr="00211EB6">
        <w:rPr>
          <w:sz w:val="20"/>
          <w:szCs w:val="20"/>
        </w:rPr>
        <w:t xml:space="preserve">, </w:t>
      </w:r>
      <w:r w:rsidRPr="00211EB6" w:rsidDel="00067874">
        <w:rPr>
          <w:sz w:val="20"/>
          <w:szCs w:val="20"/>
        </w:rPr>
        <w:t xml:space="preserve"> </w:t>
      </w:r>
      <w:r w:rsidRPr="00211EB6">
        <w:rPr>
          <w:sz w:val="20"/>
          <w:szCs w:val="20"/>
        </w:rPr>
        <w:t>Department</w:t>
      </w:r>
      <w:proofErr w:type="gramEnd"/>
      <w:r w:rsidRPr="00211EB6">
        <w:rPr>
          <w:sz w:val="20"/>
          <w:szCs w:val="20"/>
        </w:rPr>
        <w:t xml:space="preserve"> of Health, Office o</w:t>
      </w:r>
      <w:r w:rsidR="001953E5" w:rsidRPr="00211EB6">
        <w:rPr>
          <w:sz w:val="20"/>
          <w:szCs w:val="20"/>
        </w:rPr>
        <w:t>f Chemical Safety. March 2016.</w:t>
      </w:r>
    </w:p>
    <w:p w14:paraId="7D7E5B29" w14:textId="77777777" w:rsidR="00067874" w:rsidRPr="00211EB6" w:rsidRDefault="00067874" w:rsidP="00E5121E">
      <w:pPr>
        <w:spacing w:after="120"/>
        <w:rPr>
          <w:sz w:val="20"/>
          <w:szCs w:val="20"/>
        </w:rPr>
      </w:pPr>
      <w:proofErr w:type="gramStart"/>
      <w:r w:rsidRPr="00211EB6">
        <w:rPr>
          <w:sz w:val="20"/>
          <w:szCs w:val="20"/>
        </w:rPr>
        <w:t>Australian Pesticides and Veterinary Medicines Authority (2012) Agricultural and Veterinary Chemicals Code Instrument No. 4 (MRL Standard).</w:t>
      </w:r>
      <w:proofErr w:type="gramEnd"/>
      <w:r w:rsidRPr="00211EB6">
        <w:rPr>
          <w:sz w:val="20"/>
          <w:szCs w:val="20"/>
        </w:rPr>
        <w:t xml:space="preserve"> </w:t>
      </w:r>
    </w:p>
    <w:p w14:paraId="7A5E6482" w14:textId="3BDD7A2D" w:rsidR="004F317A" w:rsidRPr="00211EB6" w:rsidRDefault="004F317A" w:rsidP="00067874">
      <w:pPr>
        <w:spacing w:after="120"/>
        <w:rPr>
          <w:sz w:val="20"/>
          <w:szCs w:val="20"/>
        </w:rPr>
      </w:pPr>
      <w:r w:rsidRPr="00211EB6">
        <w:rPr>
          <w:sz w:val="20"/>
          <w:szCs w:val="20"/>
        </w:rPr>
        <w:t xml:space="preserve">Banerjee, I., </w:t>
      </w:r>
      <w:proofErr w:type="spellStart"/>
      <w:r w:rsidRPr="00211EB6">
        <w:rPr>
          <w:sz w:val="20"/>
          <w:szCs w:val="20"/>
        </w:rPr>
        <w:t>Tripathi</w:t>
      </w:r>
      <w:proofErr w:type="spellEnd"/>
      <w:r w:rsidRPr="00211EB6">
        <w:rPr>
          <w:sz w:val="20"/>
          <w:szCs w:val="20"/>
        </w:rPr>
        <w:t xml:space="preserve">, S. K., Roy, A. S., </w:t>
      </w:r>
      <w:proofErr w:type="spellStart"/>
      <w:r w:rsidRPr="00211EB6">
        <w:rPr>
          <w:sz w:val="20"/>
          <w:szCs w:val="20"/>
        </w:rPr>
        <w:t>Sengupta</w:t>
      </w:r>
      <w:proofErr w:type="spellEnd"/>
      <w:r w:rsidRPr="00211EB6">
        <w:rPr>
          <w:sz w:val="20"/>
          <w:szCs w:val="20"/>
        </w:rPr>
        <w:t>, P. (2014) Pesticide use pattern among farmers in a rural district of West Bengal, India, Journal of Natural Science, Biology and Medicine, 5:2, 313-316.</w:t>
      </w:r>
    </w:p>
    <w:p w14:paraId="737C3106" w14:textId="0A6C5DFD" w:rsidR="00067874" w:rsidRPr="00211EB6" w:rsidRDefault="00067874" w:rsidP="00067874">
      <w:pPr>
        <w:spacing w:after="120"/>
        <w:rPr>
          <w:sz w:val="20"/>
          <w:szCs w:val="20"/>
        </w:rPr>
      </w:pPr>
      <w:proofErr w:type="gramStart"/>
      <w:r w:rsidRPr="00211EB6">
        <w:rPr>
          <w:sz w:val="20"/>
          <w:szCs w:val="20"/>
        </w:rPr>
        <w:t xml:space="preserve">Broughton, S., Harrison, J., </w:t>
      </w:r>
      <w:proofErr w:type="spellStart"/>
      <w:r w:rsidRPr="00211EB6">
        <w:rPr>
          <w:sz w:val="20"/>
          <w:szCs w:val="20"/>
        </w:rPr>
        <w:t>Rahman</w:t>
      </w:r>
      <w:proofErr w:type="spellEnd"/>
      <w:r w:rsidRPr="00211EB6">
        <w:rPr>
          <w:sz w:val="20"/>
          <w:szCs w:val="20"/>
        </w:rPr>
        <w:t>, T. (2014).</w:t>
      </w:r>
      <w:proofErr w:type="gramEnd"/>
      <w:r w:rsidRPr="00211EB6">
        <w:rPr>
          <w:sz w:val="20"/>
          <w:szCs w:val="20"/>
        </w:rPr>
        <w:t xml:space="preserve"> Effect of new and old pesticides on </w:t>
      </w:r>
      <w:proofErr w:type="spellStart"/>
      <w:r w:rsidRPr="00211EB6">
        <w:rPr>
          <w:sz w:val="20"/>
          <w:szCs w:val="20"/>
        </w:rPr>
        <w:t>Orius</w:t>
      </w:r>
      <w:proofErr w:type="spellEnd"/>
      <w:r w:rsidRPr="00211EB6">
        <w:rPr>
          <w:sz w:val="20"/>
          <w:szCs w:val="20"/>
        </w:rPr>
        <w:t xml:space="preserve"> </w:t>
      </w:r>
      <w:proofErr w:type="spellStart"/>
      <w:r w:rsidRPr="00211EB6">
        <w:rPr>
          <w:sz w:val="20"/>
          <w:szCs w:val="20"/>
        </w:rPr>
        <w:t>armatus</w:t>
      </w:r>
      <w:proofErr w:type="spellEnd"/>
      <w:r w:rsidRPr="00211EB6">
        <w:rPr>
          <w:sz w:val="20"/>
          <w:szCs w:val="20"/>
        </w:rPr>
        <w:t xml:space="preserve"> (Gross) - an Australian predator of western flower </w:t>
      </w:r>
      <w:proofErr w:type="spellStart"/>
      <w:r w:rsidRPr="00211EB6">
        <w:rPr>
          <w:sz w:val="20"/>
          <w:szCs w:val="20"/>
        </w:rPr>
        <w:t>thrips</w:t>
      </w:r>
      <w:proofErr w:type="spellEnd"/>
      <w:r w:rsidRPr="00211EB6">
        <w:rPr>
          <w:sz w:val="20"/>
          <w:szCs w:val="20"/>
        </w:rPr>
        <w:t xml:space="preserve">, </w:t>
      </w:r>
      <w:proofErr w:type="spellStart"/>
      <w:r w:rsidRPr="00211EB6">
        <w:rPr>
          <w:sz w:val="20"/>
          <w:szCs w:val="20"/>
        </w:rPr>
        <w:t>Frankliniella</w:t>
      </w:r>
      <w:proofErr w:type="spellEnd"/>
      <w:r w:rsidRPr="00211EB6">
        <w:rPr>
          <w:sz w:val="20"/>
          <w:szCs w:val="20"/>
        </w:rPr>
        <w:t xml:space="preserve"> </w:t>
      </w:r>
      <w:proofErr w:type="spellStart"/>
      <w:r w:rsidRPr="00211EB6">
        <w:rPr>
          <w:sz w:val="20"/>
          <w:szCs w:val="20"/>
        </w:rPr>
        <w:t>occidentalis</w:t>
      </w:r>
      <w:proofErr w:type="spellEnd"/>
      <w:r w:rsidRPr="00211EB6">
        <w:rPr>
          <w:sz w:val="20"/>
          <w:szCs w:val="20"/>
        </w:rPr>
        <w:t xml:space="preserve"> (</w:t>
      </w:r>
      <w:proofErr w:type="spellStart"/>
      <w:r w:rsidRPr="00211EB6">
        <w:rPr>
          <w:sz w:val="20"/>
          <w:szCs w:val="20"/>
        </w:rPr>
        <w:t>Pergande</w:t>
      </w:r>
      <w:proofErr w:type="spellEnd"/>
      <w:r w:rsidRPr="00211EB6">
        <w:rPr>
          <w:sz w:val="20"/>
          <w:szCs w:val="20"/>
        </w:rPr>
        <w:t>). Pest Management Science 70(3):389-97.</w:t>
      </w:r>
    </w:p>
    <w:p w14:paraId="7E719A34" w14:textId="77777777" w:rsidR="00067874" w:rsidRPr="00211EB6" w:rsidRDefault="00067874" w:rsidP="00E5121E">
      <w:pPr>
        <w:spacing w:after="120"/>
        <w:rPr>
          <w:sz w:val="20"/>
          <w:szCs w:val="20"/>
        </w:rPr>
      </w:pPr>
      <w:r w:rsidRPr="00211EB6">
        <w:rPr>
          <w:sz w:val="20"/>
          <w:szCs w:val="20"/>
        </w:rPr>
        <w:t xml:space="preserve">Caldwell, B., Sideman, E., Seaman, A., Shelton, A., Smart, C. (2013) Resource Guide to Organic Insect and Disease Management, Cornell University. </w:t>
      </w:r>
      <w:proofErr w:type="gramStart"/>
      <w:r w:rsidRPr="00211EB6">
        <w:rPr>
          <w:sz w:val="20"/>
          <w:szCs w:val="20"/>
        </w:rPr>
        <w:t>202 pp.</w:t>
      </w:r>
      <w:proofErr w:type="gramEnd"/>
    </w:p>
    <w:p w14:paraId="6735B3CD" w14:textId="77777777" w:rsidR="00067874" w:rsidRPr="00211EB6" w:rsidRDefault="00067874" w:rsidP="00E5121E">
      <w:pPr>
        <w:spacing w:after="120"/>
        <w:rPr>
          <w:sz w:val="20"/>
          <w:szCs w:val="20"/>
        </w:rPr>
      </w:pPr>
      <w:r w:rsidRPr="00211EB6">
        <w:rPr>
          <w:sz w:val="20"/>
          <w:szCs w:val="20"/>
        </w:rPr>
        <w:t xml:space="preserve">Chen, Y. and Kwan, W. (2013) Improvement of DDT-based production of </w:t>
      </w:r>
      <w:proofErr w:type="spellStart"/>
      <w:r w:rsidRPr="00211EB6">
        <w:rPr>
          <w:sz w:val="20"/>
          <w:szCs w:val="20"/>
        </w:rPr>
        <w:t>dicofol</w:t>
      </w:r>
      <w:proofErr w:type="spellEnd"/>
      <w:r w:rsidRPr="00211EB6">
        <w:rPr>
          <w:sz w:val="20"/>
          <w:szCs w:val="20"/>
        </w:rPr>
        <w:t xml:space="preserve"> and introduction of alternative technologies including IPM for leaf mites control in China, Terminal Evaluation Report.</w:t>
      </w:r>
    </w:p>
    <w:p w14:paraId="123FA381" w14:textId="510E2AB2" w:rsidR="00067874" w:rsidRPr="00211EB6" w:rsidRDefault="00067874" w:rsidP="00150C08">
      <w:pPr>
        <w:spacing w:after="120"/>
        <w:rPr>
          <w:sz w:val="20"/>
          <w:szCs w:val="20"/>
        </w:rPr>
      </w:pPr>
      <w:r w:rsidRPr="00211EB6">
        <w:rPr>
          <w:sz w:val="20"/>
          <w:szCs w:val="20"/>
        </w:rPr>
        <w:t xml:space="preserve">Cornell University (1993) Pesticide Information Profile: </w:t>
      </w:r>
      <w:proofErr w:type="spellStart"/>
      <w:r w:rsidRPr="00211EB6">
        <w:rPr>
          <w:sz w:val="20"/>
          <w:szCs w:val="20"/>
        </w:rPr>
        <w:t>Dicofol</w:t>
      </w:r>
      <w:proofErr w:type="spellEnd"/>
      <w:r w:rsidRPr="00211EB6">
        <w:rPr>
          <w:sz w:val="20"/>
          <w:szCs w:val="20"/>
        </w:rPr>
        <w:t>. Extension Toxicology Network (http://pmep.cce.cornell.edu/profiles/extoxnet/carbaryl-dicrotophos/dicofol-ext.html)</w:t>
      </w:r>
      <w:r w:rsidR="001953E5" w:rsidRPr="00211EB6">
        <w:rPr>
          <w:sz w:val="20"/>
          <w:szCs w:val="20"/>
        </w:rPr>
        <w:t>.</w:t>
      </w:r>
    </w:p>
    <w:p w14:paraId="2E705226" w14:textId="77777777" w:rsidR="00067874" w:rsidRPr="00211EB6" w:rsidRDefault="00067874">
      <w:pPr>
        <w:spacing w:after="120"/>
        <w:rPr>
          <w:sz w:val="20"/>
          <w:szCs w:val="20"/>
        </w:rPr>
      </w:pPr>
      <w:proofErr w:type="gramStart"/>
      <w:r w:rsidRPr="00211EB6">
        <w:rPr>
          <w:sz w:val="20"/>
          <w:szCs w:val="20"/>
        </w:rPr>
        <w:t xml:space="preserve">Crop Care (2001) MSDS No. 41915, </w:t>
      </w:r>
      <w:proofErr w:type="spellStart"/>
      <w:r w:rsidRPr="00211EB6">
        <w:rPr>
          <w:sz w:val="20"/>
          <w:szCs w:val="20"/>
        </w:rPr>
        <w:t>Kelthane</w:t>
      </w:r>
      <w:proofErr w:type="spellEnd"/>
      <w:r w:rsidRPr="00211EB6">
        <w:rPr>
          <w:sz w:val="20"/>
          <w:szCs w:val="20"/>
        </w:rPr>
        <w:t xml:space="preserve"> (R) MF </w:t>
      </w:r>
      <w:proofErr w:type="spellStart"/>
      <w:r w:rsidRPr="00211EB6">
        <w:rPr>
          <w:sz w:val="20"/>
          <w:szCs w:val="20"/>
        </w:rPr>
        <w:t>Miticide</w:t>
      </w:r>
      <w:proofErr w:type="spellEnd"/>
      <w:r w:rsidRPr="00211EB6">
        <w:rPr>
          <w:sz w:val="20"/>
          <w:szCs w:val="20"/>
        </w:rPr>
        <w:t>.</w:t>
      </w:r>
      <w:proofErr w:type="gramEnd"/>
    </w:p>
    <w:p w14:paraId="260C3DD2" w14:textId="77777777" w:rsidR="00067874" w:rsidRPr="00211EB6" w:rsidRDefault="00067874">
      <w:pPr>
        <w:spacing w:after="120"/>
        <w:rPr>
          <w:sz w:val="20"/>
          <w:szCs w:val="20"/>
        </w:rPr>
      </w:pPr>
      <w:proofErr w:type="spellStart"/>
      <w:r w:rsidRPr="00211EB6">
        <w:rPr>
          <w:sz w:val="20"/>
          <w:szCs w:val="20"/>
        </w:rPr>
        <w:t>Daginnus</w:t>
      </w:r>
      <w:proofErr w:type="spellEnd"/>
      <w:r w:rsidRPr="00211EB6">
        <w:rPr>
          <w:sz w:val="20"/>
          <w:szCs w:val="20"/>
        </w:rPr>
        <w:t xml:space="preserve"> K., </w:t>
      </w:r>
      <w:proofErr w:type="spellStart"/>
      <w:r w:rsidRPr="00211EB6">
        <w:rPr>
          <w:sz w:val="20"/>
          <w:szCs w:val="20"/>
        </w:rPr>
        <w:t>Gottardo</w:t>
      </w:r>
      <w:proofErr w:type="spellEnd"/>
      <w:r w:rsidRPr="00211EB6">
        <w:rPr>
          <w:sz w:val="20"/>
          <w:szCs w:val="20"/>
        </w:rPr>
        <w:t xml:space="preserve"> S., </w:t>
      </w:r>
      <w:proofErr w:type="spellStart"/>
      <w:r w:rsidRPr="00211EB6">
        <w:rPr>
          <w:sz w:val="20"/>
          <w:szCs w:val="20"/>
        </w:rPr>
        <w:t>Mostrag-Szlichtyng</w:t>
      </w:r>
      <w:proofErr w:type="spellEnd"/>
      <w:r w:rsidRPr="00211EB6">
        <w:rPr>
          <w:sz w:val="20"/>
          <w:szCs w:val="20"/>
        </w:rPr>
        <w:t xml:space="preserve"> A., Wilkinson H., Whitehouse P., </w:t>
      </w:r>
      <w:proofErr w:type="spellStart"/>
      <w:r w:rsidRPr="00211EB6">
        <w:rPr>
          <w:sz w:val="20"/>
          <w:szCs w:val="20"/>
        </w:rPr>
        <w:t>Paya</w:t>
      </w:r>
      <w:proofErr w:type="spellEnd"/>
      <w:r w:rsidRPr="00211EB6">
        <w:rPr>
          <w:sz w:val="20"/>
          <w:szCs w:val="20"/>
        </w:rPr>
        <w:t xml:space="preserve">-Pérez a. and </w:t>
      </w:r>
      <w:proofErr w:type="spellStart"/>
      <w:r w:rsidRPr="00211EB6">
        <w:rPr>
          <w:sz w:val="20"/>
          <w:szCs w:val="20"/>
        </w:rPr>
        <w:t>Zaldívar</w:t>
      </w:r>
      <w:proofErr w:type="spellEnd"/>
      <w:r w:rsidRPr="00211EB6">
        <w:rPr>
          <w:sz w:val="20"/>
          <w:szCs w:val="20"/>
        </w:rPr>
        <w:t xml:space="preserve"> J.-M. </w:t>
      </w:r>
      <w:proofErr w:type="gramStart"/>
      <w:r w:rsidRPr="00211EB6">
        <w:rPr>
          <w:sz w:val="20"/>
          <w:szCs w:val="20"/>
        </w:rPr>
        <w:t>(2009). A modelling approach for the prioritisation of chemicals under the Water Framework Directive.</w:t>
      </w:r>
      <w:proofErr w:type="gramEnd"/>
      <w:r w:rsidRPr="00211EB6">
        <w:rPr>
          <w:sz w:val="20"/>
          <w:szCs w:val="20"/>
        </w:rPr>
        <w:t xml:space="preserve"> European Commission, Joint Research Centre, Institute for Health and Consumer </w:t>
      </w:r>
      <w:proofErr w:type="gramStart"/>
      <w:r w:rsidRPr="00211EB6">
        <w:rPr>
          <w:sz w:val="20"/>
          <w:szCs w:val="20"/>
        </w:rPr>
        <w:t>Protection.,</w:t>
      </w:r>
      <w:proofErr w:type="gramEnd"/>
      <w:r w:rsidRPr="00211EB6">
        <w:rPr>
          <w:sz w:val="20"/>
          <w:szCs w:val="20"/>
        </w:rPr>
        <w:t xml:space="preserve"> </w:t>
      </w:r>
      <w:proofErr w:type="spellStart"/>
      <w:r w:rsidRPr="00211EB6">
        <w:rPr>
          <w:sz w:val="20"/>
          <w:szCs w:val="20"/>
        </w:rPr>
        <w:t>Ispra</w:t>
      </w:r>
      <w:proofErr w:type="spellEnd"/>
      <w:r w:rsidRPr="00211EB6">
        <w:rPr>
          <w:sz w:val="20"/>
          <w:szCs w:val="20"/>
        </w:rPr>
        <w:t>, Italy.</w:t>
      </w:r>
    </w:p>
    <w:p w14:paraId="3EAC55BD" w14:textId="77777777" w:rsidR="00067874" w:rsidRPr="00211EB6" w:rsidRDefault="00067874">
      <w:pPr>
        <w:spacing w:after="120"/>
        <w:rPr>
          <w:sz w:val="20"/>
          <w:szCs w:val="20"/>
        </w:rPr>
      </w:pPr>
      <w:proofErr w:type="spellStart"/>
      <w:proofErr w:type="gramStart"/>
      <w:r w:rsidRPr="00211EB6">
        <w:rPr>
          <w:sz w:val="20"/>
          <w:szCs w:val="20"/>
        </w:rPr>
        <w:t>Dutcher</w:t>
      </w:r>
      <w:proofErr w:type="spellEnd"/>
      <w:r w:rsidRPr="00211EB6">
        <w:rPr>
          <w:sz w:val="20"/>
          <w:szCs w:val="20"/>
        </w:rPr>
        <w:t xml:space="preserve">, J., Hudson, W., </w:t>
      </w:r>
      <w:proofErr w:type="spellStart"/>
      <w:r w:rsidRPr="00211EB6">
        <w:rPr>
          <w:sz w:val="20"/>
          <w:szCs w:val="20"/>
        </w:rPr>
        <w:t>Fonsah</w:t>
      </w:r>
      <w:proofErr w:type="spellEnd"/>
      <w:r w:rsidRPr="00211EB6">
        <w:rPr>
          <w:sz w:val="20"/>
          <w:szCs w:val="20"/>
        </w:rPr>
        <w:t xml:space="preserve">, E.G. (2009) Integration of </w:t>
      </w:r>
      <w:proofErr w:type="spellStart"/>
      <w:r w:rsidRPr="00211EB6">
        <w:rPr>
          <w:sz w:val="20"/>
          <w:szCs w:val="20"/>
        </w:rPr>
        <w:t>Bifenazate</w:t>
      </w:r>
      <w:proofErr w:type="spellEnd"/>
      <w:r w:rsidRPr="00211EB6">
        <w:rPr>
          <w:sz w:val="20"/>
          <w:szCs w:val="20"/>
        </w:rPr>
        <w:t xml:space="preserve"> and Western Predatory Mite for control of pecan leaf scorch mite in pecan orchards.</w:t>
      </w:r>
      <w:proofErr w:type="gramEnd"/>
      <w:r w:rsidRPr="00211EB6">
        <w:rPr>
          <w:sz w:val="20"/>
          <w:szCs w:val="20"/>
        </w:rPr>
        <w:t xml:space="preserve"> Journal of Entomological Science, 44(2):98-110.</w:t>
      </w:r>
    </w:p>
    <w:p w14:paraId="46D33C2B" w14:textId="58DFB552" w:rsidR="00B76A56" w:rsidRPr="00211EB6" w:rsidRDefault="00B76A56">
      <w:pPr>
        <w:spacing w:after="120"/>
        <w:rPr>
          <w:sz w:val="20"/>
          <w:szCs w:val="20"/>
        </w:rPr>
      </w:pPr>
      <w:proofErr w:type="spellStart"/>
      <w:r w:rsidRPr="00211EB6">
        <w:rPr>
          <w:sz w:val="20"/>
          <w:szCs w:val="20"/>
        </w:rPr>
        <w:t>Entec</w:t>
      </w:r>
      <w:proofErr w:type="spellEnd"/>
      <w:r w:rsidRPr="00211EB6">
        <w:rPr>
          <w:sz w:val="20"/>
          <w:szCs w:val="20"/>
        </w:rPr>
        <w:t xml:space="preserve"> UK Ltd (2011) Technical Support for the Impact Assessment of the Review of Priority Substances under Directive 2000/60/EC Substance Assessment: </w:t>
      </w:r>
      <w:proofErr w:type="spellStart"/>
      <w:r w:rsidRPr="00211EB6">
        <w:rPr>
          <w:sz w:val="20"/>
          <w:szCs w:val="20"/>
        </w:rPr>
        <w:t>Dicofol</w:t>
      </w:r>
      <w:proofErr w:type="spellEnd"/>
      <w:r w:rsidRPr="00211EB6">
        <w:rPr>
          <w:sz w:val="20"/>
          <w:szCs w:val="20"/>
        </w:rPr>
        <w:t>.</w:t>
      </w:r>
    </w:p>
    <w:p w14:paraId="74621331" w14:textId="44D4564B" w:rsidR="00067874" w:rsidRPr="00211EB6" w:rsidRDefault="00067874">
      <w:pPr>
        <w:spacing w:after="120"/>
        <w:rPr>
          <w:sz w:val="20"/>
          <w:szCs w:val="20"/>
        </w:rPr>
      </w:pPr>
      <w:r w:rsidRPr="00211EB6">
        <w:rPr>
          <w:sz w:val="20"/>
          <w:szCs w:val="20"/>
        </w:rPr>
        <w:t xml:space="preserve">European Commission (2011) Communication and Information Resource Centre for Administrations, Businesses and Citizens, </w:t>
      </w:r>
      <w:proofErr w:type="spellStart"/>
      <w:r w:rsidRPr="00211EB6">
        <w:rPr>
          <w:sz w:val="20"/>
          <w:szCs w:val="20"/>
        </w:rPr>
        <w:t>Dicofol</w:t>
      </w:r>
      <w:proofErr w:type="spellEnd"/>
      <w:r w:rsidRPr="00211EB6">
        <w:rPr>
          <w:sz w:val="20"/>
          <w:szCs w:val="20"/>
        </w:rPr>
        <w:t xml:space="preserve"> EQS dossier: </w:t>
      </w:r>
      <w:r w:rsidR="001953E5" w:rsidRPr="00211EB6">
        <w:rPr>
          <w:sz w:val="20"/>
          <w:szCs w:val="20"/>
        </w:rPr>
        <w:t>(</w:t>
      </w:r>
      <w:r w:rsidRPr="00211EB6">
        <w:rPr>
          <w:sz w:val="20"/>
          <w:szCs w:val="20"/>
        </w:rPr>
        <w:t>https://circabc.europa.eu/webdav/CircaBC/env/wfd/Library/framework_directive/thematic_documents/priority_substances/supporting_substances/eqs_dossiers/Dicofol%20EQS%20dossier%202011.pdf</w:t>
      </w:r>
      <w:r w:rsidR="001953E5" w:rsidRPr="00211EB6">
        <w:rPr>
          <w:sz w:val="20"/>
          <w:szCs w:val="20"/>
        </w:rPr>
        <w:t>).</w:t>
      </w:r>
    </w:p>
    <w:p w14:paraId="71872F57" w14:textId="4BBBAB52" w:rsidR="00067874" w:rsidRPr="00211EB6" w:rsidRDefault="00067874">
      <w:pPr>
        <w:spacing w:after="120"/>
        <w:rPr>
          <w:sz w:val="20"/>
          <w:szCs w:val="20"/>
        </w:rPr>
      </w:pPr>
      <w:proofErr w:type="spellStart"/>
      <w:proofErr w:type="gramStart"/>
      <w:r w:rsidRPr="00211EB6">
        <w:rPr>
          <w:sz w:val="20"/>
          <w:szCs w:val="20"/>
        </w:rPr>
        <w:t>Eyhorn</w:t>
      </w:r>
      <w:proofErr w:type="spellEnd"/>
      <w:r w:rsidRPr="00211EB6">
        <w:rPr>
          <w:sz w:val="20"/>
          <w:szCs w:val="20"/>
        </w:rPr>
        <w:t>, F. (2007)</w:t>
      </w:r>
      <w:r w:rsidR="003D2776" w:rsidRPr="00211EB6">
        <w:rPr>
          <w:sz w:val="20"/>
          <w:szCs w:val="20"/>
        </w:rPr>
        <w:t>.</w:t>
      </w:r>
      <w:proofErr w:type="gramEnd"/>
      <w:r w:rsidRPr="00211EB6">
        <w:rPr>
          <w:sz w:val="20"/>
          <w:szCs w:val="20"/>
        </w:rPr>
        <w:t xml:space="preserve"> </w:t>
      </w:r>
      <w:proofErr w:type="gramStart"/>
      <w:r w:rsidR="003D2776" w:rsidRPr="00211EB6">
        <w:rPr>
          <w:sz w:val="20"/>
          <w:szCs w:val="20"/>
        </w:rPr>
        <w:t>Organic Farming for Sustainable Livelihoods in Developing Countries?</w:t>
      </w:r>
      <w:proofErr w:type="gramEnd"/>
      <w:r w:rsidR="003D2776" w:rsidRPr="00211EB6">
        <w:rPr>
          <w:sz w:val="20"/>
          <w:szCs w:val="20"/>
        </w:rPr>
        <w:t xml:space="preserve"> </w:t>
      </w:r>
      <w:proofErr w:type="gramStart"/>
      <w:r w:rsidR="003D2776" w:rsidRPr="00211EB6">
        <w:rPr>
          <w:sz w:val="20"/>
          <w:szCs w:val="20"/>
        </w:rPr>
        <w:t>The Case of Cotton in India.</w:t>
      </w:r>
      <w:proofErr w:type="gramEnd"/>
      <w:r w:rsidR="003D2776" w:rsidRPr="00211EB6">
        <w:rPr>
          <w:sz w:val="20"/>
          <w:szCs w:val="20"/>
        </w:rPr>
        <w:t xml:space="preserve"> </w:t>
      </w:r>
      <w:proofErr w:type="gramStart"/>
      <w:r w:rsidR="003D2776" w:rsidRPr="00211EB6">
        <w:rPr>
          <w:sz w:val="20"/>
          <w:szCs w:val="20"/>
        </w:rPr>
        <w:t>Swiss Federal Institute of Technology.</w:t>
      </w:r>
      <w:proofErr w:type="gramEnd"/>
      <w:r w:rsidR="003D2776" w:rsidRPr="00211EB6">
        <w:rPr>
          <w:sz w:val="20"/>
          <w:szCs w:val="20"/>
        </w:rPr>
        <w:t xml:space="preserve"> </w:t>
      </w:r>
      <w:proofErr w:type="gramStart"/>
      <w:r w:rsidR="003D2776" w:rsidRPr="00211EB6">
        <w:rPr>
          <w:sz w:val="20"/>
          <w:szCs w:val="20"/>
        </w:rPr>
        <w:t>224 pp.</w:t>
      </w:r>
      <w:proofErr w:type="gramEnd"/>
    </w:p>
    <w:p w14:paraId="3CB875E6" w14:textId="55911830" w:rsidR="00B76A56" w:rsidRPr="00211EB6" w:rsidRDefault="00B76A56">
      <w:pPr>
        <w:spacing w:after="120"/>
        <w:rPr>
          <w:sz w:val="20"/>
          <w:szCs w:val="20"/>
        </w:rPr>
      </w:pPr>
      <w:proofErr w:type="spellStart"/>
      <w:r w:rsidRPr="00211EB6">
        <w:rPr>
          <w:sz w:val="20"/>
          <w:szCs w:val="20"/>
        </w:rPr>
        <w:t>Fliedner</w:t>
      </w:r>
      <w:proofErr w:type="spellEnd"/>
      <w:r w:rsidRPr="00211EB6">
        <w:rPr>
          <w:sz w:val="20"/>
          <w:szCs w:val="20"/>
        </w:rPr>
        <w:t xml:space="preserve">, A., </w:t>
      </w:r>
      <w:proofErr w:type="spellStart"/>
      <w:r w:rsidRPr="00211EB6">
        <w:rPr>
          <w:sz w:val="20"/>
          <w:szCs w:val="20"/>
        </w:rPr>
        <w:t>Lohmann</w:t>
      </w:r>
      <w:proofErr w:type="spellEnd"/>
      <w:r w:rsidRPr="00211EB6">
        <w:rPr>
          <w:sz w:val="20"/>
          <w:szCs w:val="20"/>
        </w:rPr>
        <w:t xml:space="preserve">, N., </w:t>
      </w:r>
      <w:proofErr w:type="spellStart"/>
      <w:r w:rsidRPr="00211EB6">
        <w:rPr>
          <w:sz w:val="20"/>
          <w:szCs w:val="20"/>
        </w:rPr>
        <w:t>Rüdel</w:t>
      </w:r>
      <w:proofErr w:type="spellEnd"/>
      <w:r w:rsidRPr="00211EB6">
        <w:rPr>
          <w:sz w:val="20"/>
          <w:szCs w:val="20"/>
        </w:rPr>
        <w:t xml:space="preserve">, H., </w:t>
      </w:r>
      <w:proofErr w:type="spellStart"/>
      <w:r w:rsidRPr="00211EB6">
        <w:rPr>
          <w:sz w:val="20"/>
          <w:szCs w:val="20"/>
        </w:rPr>
        <w:t>Teubner</w:t>
      </w:r>
      <w:proofErr w:type="spellEnd"/>
      <w:r w:rsidRPr="00211EB6">
        <w:rPr>
          <w:sz w:val="20"/>
          <w:szCs w:val="20"/>
        </w:rPr>
        <w:t xml:space="preserve">, D., </w:t>
      </w:r>
      <w:proofErr w:type="spellStart"/>
      <w:r w:rsidRPr="00211EB6">
        <w:rPr>
          <w:sz w:val="20"/>
          <w:szCs w:val="20"/>
        </w:rPr>
        <w:t>Wellmitz</w:t>
      </w:r>
      <w:proofErr w:type="spellEnd"/>
      <w:r w:rsidRPr="00211EB6">
        <w:rPr>
          <w:sz w:val="20"/>
          <w:szCs w:val="20"/>
        </w:rPr>
        <w:t xml:space="preserve">, J., </w:t>
      </w:r>
      <w:proofErr w:type="spellStart"/>
      <w:r w:rsidRPr="00211EB6">
        <w:rPr>
          <w:sz w:val="20"/>
          <w:szCs w:val="20"/>
        </w:rPr>
        <w:t>Koschorreck</w:t>
      </w:r>
      <w:proofErr w:type="spellEnd"/>
      <w:r w:rsidRPr="00211EB6">
        <w:rPr>
          <w:sz w:val="20"/>
          <w:szCs w:val="20"/>
        </w:rPr>
        <w:t>, J. (2016) Current levels and trends of selected EU Water Framework Directive priority substances in freshwater fish from the German environmental specimen bank. Environmental pollution 216: 866-876.</w:t>
      </w:r>
    </w:p>
    <w:p w14:paraId="4BFE37C3" w14:textId="2E16D364" w:rsidR="004F317A" w:rsidRPr="00211EB6" w:rsidRDefault="004F317A">
      <w:pPr>
        <w:spacing w:after="120"/>
        <w:rPr>
          <w:sz w:val="20"/>
          <w:szCs w:val="20"/>
        </w:rPr>
      </w:pPr>
      <w:proofErr w:type="spellStart"/>
      <w:r w:rsidRPr="00211EB6">
        <w:rPr>
          <w:sz w:val="20"/>
          <w:szCs w:val="20"/>
        </w:rPr>
        <w:t>Gesesew</w:t>
      </w:r>
      <w:proofErr w:type="spellEnd"/>
      <w:r w:rsidRPr="00211EB6">
        <w:rPr>
          <w:sz w:val="20"/>
          <w:szCs w:val="20"/>
        </w:rPr>
        <w:t xml:space="preserve">, H. A., </w:t>
      </w:r>
      <w:proofErr w:type="spellStart"/>
      <w:r w:rsidRPr="00211EB6">
        <w:rPr>
          <w:sz w:val="20"/>
          <w:szCs w:val="20"/>
        </w:rPr>
        <w:t>Woldemichael</w:t>
      </w:r>
      <w:proofErr w:type="spellEnd"/>
      <w:r w:rsidRPr="00211EB6">
        <w:rPr>
          <w:sz w:val="20"/>
          <w:szCs w:val="20"/>
        </w:rPr>
        <w:t xml:space="preserve">, K., Massa, D., </w:t>
      </w:r>
      <w:proofErr w:type="spellStart"/>
      <w:r w:rsidRPr="00211EB6">
        <w:rPr>
          <w:sz w:val="20"/>
          <w:szCs w:val="20"/>
        </w:rPr>
        <w:t>Mwanri</w:t>
      </w:r>
      <w:proofErr w:type="spellEnd"/>
      <w:r w:rsidRPr="00211EB6">
        <w:rPr>
          <w:sz w:val="20"/>
          <w:szCs w:val="20"/>
        </w:rPr>
        <w:t>, L. (2016) Farmers Knowledge, Attitudes, Practices and Health Problems Associated with Pesticide Use in Rural Irrigation Villages, Southwest Ethiopia, PLOS ONE | DOI:10.1371/journal.pone.0162527.</w:t>
      </w:r>
    </w:p>
    <w:p w14:paraId="6A301636" w14:textId="18929F84" w:rsidR="00067874" w:rsidRPr="00211EB6" w:rsidRDefault="00067874">
      <w:pPr>
        <w:spacing w:after="120"/>
        <w:rPr>
          <w:sz w:val="20"/>
          <w:szCs w:val="20"/>
        </w:rPr>
      </w:pPr>
      <w:r w:rsidRPr="00211EB6">
        <w:rPr>
          <w:sz w:val="20"/>
          <w:szCs w:val="20"/>
        </w:rPr>
        <w:t xml:space="preserve">Health Canada (2009) Registration Decision </w:t>
      </w:r>
      <w:proofErr w:type="spellStart"/>
      <w:r w:rsidRPr="00211EB6">
        <w:rPr>
          <w:sz w:val="20"/>
          <w:szCs w:val="20"/>
        </w:rPr>
        <w:t>Bifenazate</w:t>
      </w:r>
      <w:proofErr w:type="spellEnd"/>
      <w:r w:rsidRPr="00211EB6">
        <w:rPr>
          <w:sz w:val="20"/>
          <w:szCs w:val="20"/>
        </w:rPr>
        <w:t xml:space="preserve"> (RD2009-17), Health Canada Pest Management Regulatory Agency, December 23, 2009.</w:t>
      </w:r>
    </w:p>
    <w:p w14:paraId="51D10E53" w14:textId="77777777" w:rsidR="00067874" w:rsidRPr="00211EB6" w:rsidRDefault="00067874">
      <w:pPr>
        <w:spacing w:after="120"/>
        <w:rPr>
          <w:sz w:val="20"/>
          <w:szCs w:val="20"/>
        </w:rPr>
      </w:pPr>
      <w:proofErr w:type="spellStart"/>
      <w:proofErr w:type="gramStart"/>
      <w:r w:rsidRPr="00211EB6">
        <w:rPr>
          <w:sz w:val="20"/>
          <w:szCs w:val="20"/>
        </w:rPr>
        <w:t>Hoferkamp</w:t>
      </w:r>
      <w:proofErr w:type="spellEnd"/>
      <w:r w:rsidRPr="00211EB6">
        <w:rPr>
          <w:sz w:val="20"/>
          <w:szCs w:val="20"/>
        </w:rPr>
        <w:t xml:space="preserve"> L., </w:t>
      </w:r>
      <w:proofErr w:type="spellStart"/>
      <w:r w:rsidRPr="00211EB6">
        <w:rPr>
          <w:sz w:val="20"/>
          <w:szCs w:val="20"/>
        </w:rPr>
        <w:t>Hermanson</w:t>
      </w:r>
      <w:proofErr w:type="spellEnd"/>
      <w:r w:rsidRPr="00211EB6">
        <w:rPr>
          <w:sz w:val="20"/>
          <w:szCs w:val="20"/>
        </w:rPr>
        <w:t xml:space="preserve"> M.H., Muir, D.C. (2010) Current use pesticides in Arctic media; 2000-2007.</w:t>
      </w:r>
      <w:proofErr w:type="gramEnd"/>
      <w:r w:rsidRPr="00211EB6">
        <w:rPr>
          <w:sz w:val="20"/>
          <w:szCs w:val="20"/>
        </w:rPr>
        <w:t xml:space="preserve"> Science of the Total Environment 408(15):2985-94.</w:t>
      </w:r>
    </w:p>
    <w:p w14:paraId="5C1F77E4" w14:textId="79A84B8B" w:rsidR="00067874" w:rsidRPr="00211EB6" w:rsidRDefault="00067874">
      <w:pPr>
        <w:spacing w:after="120"/>
        <w:rPr>
          <w:sz w:val="20"/>
          <w:szCs w:val="20"/>
        </w:rPr>
      </w:pPr>
      <w:proofErr w:type="gramStart"/>
      <w:r w:rsidRPr="00211EB6">
        <w:rPr>
          <w:sz w:val="20"/>
          <w:szCs w:val="20"/>
        </w:rPr>
        <w:t xml:space="preserve">James A., </w:t>
      </w:r>
      <w:proofErr w:type="spellStart"/>
      <w:r w:rsidRPr="00211EB6">
        <w:rPr>
          <w:sz w:val="20"/>
          <w:szCs w:val="20"/>
        </w:rPr>
        <w:t>Bonnomet</w:t>
      </w:r>
      <w:proofErr w:type="spellEnd"/>
      <w:r w:rsidRPr="00211EB6">
        <w:rPr>
          <w:sz w:val="20"/>
          <w:szCs w:val="20"/>
        </w:rPr>
        <w:t xml:space="preserve"> V., Morin A. and Fribourg-Blanc B. (2009).</w:t>
      </w:r>
      <w:proofErr w:type="gramEnd"/>
      <w:r w:rsidRPr="00211EB6">
        <w:rPr>
          <w:sz w:val="20"/>
          <w:szCs w:val="20"/>
        </w:rPr>
        <w:t xml:space="preserve"> </w:t>
      </w:r>
      <w:proofErr w:type="gramStart"/>
      <w:r w:rsidRPr="00211EB6">
        <w:rPr>
          <w:sz w:val="20"/>
          <w:szCs w:val="20"/>
        </w:rPr>
        <w:t>Implementation of requirements on Priority substances within the Context of the Water Framework Directive.</w:t>
      </w:r>
      <w:proofErr w:type="gramEnd"/>
      <w:r w:rsidRPr="00211EB6">
        <w:rPr>
          <w:sz w:val="20"/>
          <w:szCs w:val="20"/>
        </w:rPr>
        <w:t xml:space="preserve"> </w:t>
      </w:r>
      <w:proofErr w:type="gramStart"/>
      <w:r w:rsidRPr="00211EB6">
        <w:rPr>
          <w:sz w:val="20"/>
          <w:szCs w:val="20"/>
        </w:rPr>
        <w:t>Contract N° 07010401/2008/508122/ADA/D2.</w:t>
      </w:r>
      <w:proofErr w:type="gramEnd"/>
      <w:r w:rsidRPr="00211EB6">
        <w:rPr>
          <w:sz w:val="20"/>
          <w:szCs w:val="20"/>
        </w:rPr>
        <w:t xml:space="preserve"> Final dra</w:t>
      </w:r>
      <w:r w:rsidR="00947BA7" w:rsidRPr="00211EB6">
        <w:rPr>
          <w:sz w:val="20"/>
          <w:szCs w:val="20"/>
        </w:rPr>
        <w:t>f</w:t>
      </w:r>
      <w:r w:rsidRPr="00211EB6">
        <w:rPr>
          <w:sz w:val="20"/>
          <w:szCs w:val="20"/>
        </w:rPr>
        <w:t xml:space="preserve">t prioritisation process report on monitoring-based </w:t>
      </w:r>
      <w:proofErr w:type="gramStart"/>
      <w:r w:rsidRPr="00211EB6">
        <w:rPr>
          <w:sz w:val="20"/>
          <w:szCs w:val="20"/>
        </w:rPr>
        <w:t>ranking.</w:t>
      </w:r>
      <w:r w:rsidRPr="00211EB6" w:rsidDel="00067874">
        <w:rPr>
          <w:sz w:val="20"/>
          <w:szCs w:val="20"/>
        </w:rPr>
        <w:t>,</w:t>
      </w:r>
      <w:proofErr w:type="gramEnd"/>
      <w:r w:rsidRPr="00211EB6">
        <w:rPr>
          <w:sz w:val="20"/>
          <w:szCs w:val="20"/>
        </w:rPr>
        <w:t xml:space="preserve"> INERIS / IOW: 58.</w:t>
      </w:r>
    </w:p>
    <w:p w14:paraId="3E475BB1" w14:textId="77777777" w:rsidR="00067874" w:rsidRPr="00211EB6" w:rsidRDefault="00067874" w:rsidP="00067874">
      <w:pPr>
        <w:spacing w:after="120"/>
        <w:rPr>
          <w:sz w:val="20"/>
          <w:szCs w:val="20"/>
        </w:rPr>
      </w:pPr>
      <w:proofErr w:type="gramStart"/>
      <w:r w:rsidRPr="00211EB6">
        <w:rPr>
          <w:sz w:val="20"/>
          <w:szCs w:val="20"/>
        </w:rPr>
        <w:t xml:space="preserve">Jin, T., Lin, Y.Y., Jin, Q.A., Wen, H.B., </w:t>
      </w:r>
      <w:proofErr w:type="spellStart"/>
      <w:r w:rsidRPr="00211EB6">
        <w:rPr>
          <w:sz w:val="20"/>
          <w:szCs w:val="20"/>
        </w:rPr>
        <w:t>Peng</w:t>
      </w:r>
      <w:proofErr w:type="spellEnd"/>
      <w:r w:rsidRPr="00211EB6">
        <w:rPr>
          <w:sz w:val="20"/>
          <w:szCs w:val="20"/>
        </w:rPr>
        <w:t xml:space="preserve">, </w:t>
      </w:r>
      <w:proofErr w:type="spellStart"/>
      <w:r w:rsidRPr="00211EB6">
        <w:rPr>
          <w:sz w:val="20"/>
          <w:szCs w:val="20"/>
        </w:rPr>
        <w:t>Z.q</w:t>
      </w:r>
      <w:proofErr w:type="spellEnd"/>
      <w:r w:rsidRPr="00211EB6">
        <w:rPr>
          <w:sz w:val="20"/>
          <w:szCs w:val="20"/>
        </w:rPr>
        <w:t>. (2014).</w:t>
      </w:r>
      <w:proofErr w:type="gramEnd"/>
      <w:r w:rsidRPr="00211EB6">
        <w:rPr>
          <w:sz w:val="20"/>
          <w:szCs w:val="20"/>
        </w:rPr>
        <w:t xml:space="preserve"> </w:t>
      </w:r>
      <w:proofErr w:type="spellStart"/>
      <w:r w:rsidRPr="00211EB6">
        <w:rPr>
          <w:sz w:val="20"/>
          <w:szCs w:val="20"/>
        </w:rPr>
        <w:t>Sublethal</w:t>
      </w:r>
      <w:proofErr w:type="spellEnd"/>
      <w:r w:rsidRPr="00211EB6">
        <w:rPr>
          <w:sz w:val="20"/>
          <w:szCs w:val="20"/>
        </w:rPr>
        <w:t xml:space="preserve"> effect of </w:t>
      </w:r>
      <w:proofErr w:type="spellStart"/>
      <w:r w:rsidRPr="00211EB6">
        <w:rPr>
          <w:sz w:val="20"/>
          <w:szCs w:val="20"/>
        </w:rPr>
        <w:t>avermectin</w:t>
      </w:r>
      <w:proofErr w:type="spellEnd"/>
      <w:r w:rsidRPr="00211EB6">
        <w:rPr>
          <w:sz w:val="20"/>
          <w:szCs w:val="20"/>
        </w:rPr>
        <w:t xml:space="preserve"> and </w:t>
      </w:r>
      <w:proofErr w:type="spellStart"/>
      <w:r w:rsidRPr="00211EB6">
        <w:rPr>
          <w:sz w:val="20"/>
          <w:szCs w:val="20"/>
        </w:rPr>
        <w:t>acetamiprid</w:t>
      </w:r>
      <w:proofErr w:type="spellEnd"/>
      <w:r w:rsidRPr="00211EB6">
        <w:rPr>
          <w:sz w:val="20"/>
          <w:szCs w:val="20"/>
        </w:rPr>
        <w:t xml:space="preserve"> on the mortality of different life stages of </w:t>
      </w:r>
      <w:proofErr w:type="spellStart"/>
      <w:r w:rsidRPr="00211EB6">
        <w:rPr>
          <w:sz w:val="20"/>
          <w:szCs w:val="20"/>
        </w:rPr>
        <w:t>Brontispa</w:t>
      </w:r>
      <w:proofErr w:type="spellEnd"/>
      <w:r w:rsidRPr="00211EB6">
        <w:rPr>
          <w:sz w:val="20"/>
          <w:szCs w:val="20"/>
        </w:rPr>
        <w:t xml:space="preserve"> </w:t>
      </w:r>
      <w:proofErr w:type="spellStart"/>
      <w:r w:rsidRPr="00211EB6">
        <w:rPr>
          <w:sz w:val="20"/>
          <w:szCs w:val="20"/>
        </w:rPr>
        <w:t>longissima</w:t>
      </w:r>
      <w:proofErr w:type="spellEnd"/>
      <w:r w:rsidRPr="00211EB6">
        <w:rPr>
          <w:sz w:val="20"/>
          <w:szCs w:val="20"/>
        </w:rPr>
        <w:t xml:space="preserve"> (</w:t>
      </w:r>
      <w:proofErr w:type="spellStart"/>
      <w:r w:rsidRPr="00211EB6">
        <w:rPr>
          <w:sz w:val="20"/>
          <w:szCs w:val="20"/>
        </w:rPr>
        <w:t>Gestro</w:t>
      </w:r>
      <w:proofErr w:type="spellEnd"/>
      <w:r w:rsidRPr="00211EB6">
        <w:rPr>
          <w:sz w:val="20"/>
          <w:szCs w:val="20"/>
        </w:rPr>
        <w:t>) (</w:t>
      </w:r>
      <w:proofErr w:type="spellStart"/>
      <w:r w:rsidRPr="00211EB6">
        <w:rPr>
          <w:sz w:val="20"/>
          <w:szCs w:val="20"/>
        </w:rPr>
        <w:t>Coleoptera</w:t>
      </w:r>
      <w:proofErr w:type="spellEnd"/>
      <w:r w:rsidRPr="00211EB6">
        <w:rPr>
          <w:sz w:val="20"/>
          <w:szCs w:val="20"/>
        </w:rPr>
        <w:t xml:space="preserve">: </w:t>
      </w:r>
      <w:proofErr w:type="spellStart"/>
      <w:r w:rsidRPr="00211EB6">
        <w:rPr>
          <w:sz w:val="20"/>
          <w:szCs w:val="20"/>
        </w:rPr>
        <w:t>Hispidae</w:t>
      </w:r>
      <w:proofErr w:type="spellEnd"/>
      <w:r w:rsidRPr="00211EB6">
        <w:rPr>
          <w:sz w:val="20"/>
          <w:szCs w:val="20"/>
        </w:rPr>
        <w:t xml:space="preserve">) and its larvae </w:t>
      </w:r>
      <w:proofErr w:type="spellStart"/>
      <w:r w:rsidRPr="00211EB6">
        <w:rPr>
          <w:sz w:val="20"/>
          <w:szCs w:val="20"/>
        </w:rPr>
        <w:t>parasitoid</w:t>
      </w:r>
      <w:proofErr w:type="spellEnd"/>
      <w:r w:rsidRPr="00211EB6">
        <w:rPr>
          <w:sz w:val="20"/>
          <w:szCs w:val="20"/>
        </w:rPr>
        <w:t xml:space="preserve"> </w:t>
      </w:r>
      <w:proofErr w:type="spellStart"/>
      <w:r w:rsidRPr="00211EB6">
        <w:rPr>
          <w:sz w:val="20"/>
          <w:szCs w:val="20"/>
        </w:rPr>
        <w:t>Asecodes</w:t>
      </w:r>
      <w:proofErr w:type="spellEnd"/>
      <w:r w:rsidRPr="00211EB6">
        <w:rPr>
          <w:sz w:val="20"/>
          <w:szCs w:val="20"/>
        </w:rPr>
        <w:t xml:space="preserve"> </w:t>
      </w:r>
      <w:proofErr w:type="spellStart"/>
      <w:r w:rsidRPr="00211EB6">
        <w:rPr>
          <w:sz w:val="20"/>
          <w:szCs w:val="20"/>
        </w:rPr>
        <w:t>hispinarum</w:t>
      </w:r>
      <w:proofErr w:type="spellEnd"/>
      <w:r w:rsidRPr="00211EB6">
        <w:rPr>
          <w:sz w:val="20"/>
          <w:szCs w:val="20"/>
        </w:rPr>
        <w:t xml:space="preserve"> </w:t>
      </w:r>
      <w:proofErr w:type="spellStart"/>
      <w:r w:rsidRPr="00211EB6">
        <w:rPr>
          <w:sz w:val="20"/>
          <w:szCs w:val="20"/>
        </w:rPr>
        <w:t>Boucek</w:t>
      </w:r>
      <w:proofErr w:type="spellEnd"/>
      <w:r w:rsidRPr="00211EB6">
        <w:rPr>
          <w:sz w:val="20"/>
          <w:szCs w:val="20"/>
        </w:rPr>
        <w:t xml:space="preserve"> (Hymenoptera: </w:t>
      </w:r>
      <w:proofErr w:type="spellStart"/>
      <w:r w:rsidRPr="00211EB6">
        <w:rPr>
          <w:sz w:val="20"/>
          <w:szCs w:val="20"/>
        </w:rPr>
        <w:t>Eulophidae</w:t>
      </w:r>
      <w:proofErr w:type="spellEnd"/>
      <w:r w:rsidRPr="00211EB6">
        <w:rPr>
          <w:sz w:val="20"/>
          <w:szCs w:val="20"/>
        </w:rPr>
        <w:t>), Crop Protection 58:55-60.</w:t>
      </w:r>
    </w:p>
    <w:p w14:paraId="5295646D" w14:textId="77777777" w:rsidR="00067874" w:rsidRPr="00211EB6" w:rsidRDefault="00067874">
      <w:pPr>
        <w:spacing w:after="120"/>
        <w:rPr>
          <w:sz w:val="20"/>
        </w:rPr>
      </w:pPr>
      <w:r w:rsidRPr="00211EB6">
        <w:rPr>
          <w:sz w:val="20"/>
          <w:szCs w:val="20"/>
        </w:rPr>
        <w:t xml:space="preserve">JMPR (2011) </w:t>
      </w:r>
      <w:r w:rsidRPr="00211EB6">
        <w:rPr>
          <w:sz w:val="20"/>
        </w:rPr>
        <w:t xml:space="preserve">Joint FAO/WHO Meeting on Pesticide Residues: (2011) Pesticide residues in food. </w:t>
      </w:r>
      <w:proofErr w:type="gramStart"/>
      <w:r w:rsidRPr="00211EB6">
        <w:rPr>
          <w:sz w:val="20"/>
        </w:rPr>
        <w:t>FAO Plant protection paper.</w:t>
      </w:r>
      <w:proofErr w:type="gramEnd"/>
      <w:r w:rsidRPr="00211EB6">
        <w:rPr>
          <w:sz w:val="20"/>
        </w:rPr>
        <w:t xml:space="preserve"> Report of the Joint Meeting of the FAO Panel of Experts on Pesticide Residues in Food and the Environment and the WHO Core Assessment Group on Pesticide Residues Geneva, Switzerland, 20–29 September 2011.</w:t>
      </w:r>
    </w:p>
    <w:p w14:paraId="6563C996" w14:textId="249D04BB" w:rsidR="00B76A56" w:rsidRPr="00211EB6" w:rsidRDefault="00067874" w:rsidP="00067874">
      <w:pPr>
        <w:spacing w:after="120"/>
        <w:rPr>
          <w:sz w:val="20"/>
          <w:szCs w:val="20"/>
        </w:rPr>
      </w:pPr>
      <w:proofErr w:type="gramStart"/>
      <w:r w:rsidRPr="00211EB6">
        <w:rPr>
          <w:sz w:val="20"/>
          <w:szCs w:val="20"/>
        </w:rPr>
        <w:t xml:space="preserve">Khan, M.A., Khan, H., </w:t>
      </w:r>
      <w:proofErr w:type="spellStart"/>
      <w:r w:rsidRPr="00211EB6">
        <w:rPr>
          <w:sz w:val="20"/>
          <w:szCs w:val="20"/>
        </w:rPr>
        <w:t>Ruberson</w:t>
      </w:r>
      <w:proofErr w:type="spellEnd"/>
      <w:r w:rsidRPr="00211EB6">
        <w:rPr>
          <w:sz w:val="20"/>
          <w:szCs w:val="20"/>
        </w:rPr>
        <w:t>, J.R. (2015).</w:t>
      </w:r>
      <w:proofErr w:type="gramEnd"/>
      <w:r w:rsidRPr="00211EB6">
        <w:rPr>
          <w:sz w:val="20"/>
          <w:szCs w:val="20"/>
        </w:rPr>
        <w:t xml:space="preserve"> Lethal and </w:t>
      </w:r>
      <w:proofErr w:type="spellStart"/>
      <w:r w:rsidRPr="00211EB6">
        <w:rPr>
          <w:sz w:val="20"/>
          <w:szCs w:val="20"/>
        </w:rPr>
        <w:t>behavioral</w:t>
      </w:r>
      <w:proofErr w:type="spellEnd"/>
      <w:r w:rsidRPr="00211EB6">
        <w:rPr>
          <w:sz w:val="20"/>
          <w:szCs w:val="20"/>
        </w:rPr>
        <w:t xml:space="preserve"> effects of selected novel pesticides on adults of </w:t>
      </w:r>
      <w:proofErr w:type="spellStart"/>
      <w:r w:rsidRPr="00211EB6">
        <w:rPr>
          <w:sz w:val="20"/>
          <w:szCs w:val="20"/>
        </w:rPr>
        <w:t>Trichogramma</w:t>
      </w:r>
      <w:proofErr w:type="spellEnd"/>
      <w:r w:rsidRPr="00211EB6">
        <w:rPr>
          <w:sz w:val="20"/>
          <w:szCs w:val="20"/>
        </w:rPr>
        <w:t xml:space="preserve"> </w:t>
      </w:r>
      <w:proofErr w:type="spellStart"/>
      <w:r w:rsidRPr="00211EB6">
        <w:rPr>
          <w:sz w:val="20"/>
          <w:szCs w:val="20"/>
        </w:rPr>
        <w:t>pretiosum</w:t>
      </w:r>
      <w:proofErr w:type="spellEnd"/>
      <w:r w:rsidRPr="00211EB6">
        <w:rPr>
          <w:sz w:val="20"/>
          <w:szCs w:val="20"/>
        </w:rPr>
        <w:t xml:space="preserve"> (Hymenoptera: </w:t>
      </w:r>
      <w:proofErr w:type="spellStart"/>
      <w:r w:rsidRPr="00211EB6">
        <w:rPr>
          <w:sz w:val="20"/>
          <w:szCs w:val="20"/>
        </w:rPr>
        <w:t>Trichogrammatidae</w:t>
      </w:r>
      <w:proofErr w:type="spellEnd"/>
      <w:r w:rsidRPr="00211EB6">
        <w:rPr>
          <w:sz w:val="20"/>
          <w:szCs w:val="20"/>
        </w:rPr>
        <w:t>). Pest Management Science 71(12):1640-8.</w:t>
      </w:r>
    </w:p>
    <w:p w14:paraId="06F50F7B" w14:textId="48A85CA7" w:rsidR="00B76A56" w:rsidRPr="00211EB6" w:rsidRDefault="00B76A56" w:rsidP="00067874">
      <w:pPr>
        <w:spacing w:after="120"/>
        <w:rPr>
          <w:sz w:val="20"/>
          <w:szCs w:val="20"/>
        </w:rPr>
      </w:pPr>
      <w:proofErr w:type="spellStart"/>
      <w:proofErr w:type="gramStart"/>
      <w:r w:rsidRPr="00211EB6">
        <w:rPr>
          <w:sz w:val="20"/>
          <w:szCs w:val="20"/>
        </w:rPr>
        <w:t>Kottiappan</w:t>
      </w:r>
      <w:proofErr w:type="spellEnd"/>
      <w:r w:rsidRPr="00211EB6">
        <w:rPr>
          <w:sz w:val="20"/>
          <w:szCs w:val="20"/>
        </w:rPr>
        <w:t xml:space="preserve">, M., </w:t>
      </w:r>
      <w:proofErr w:type="spellStart"/>
      <w:r w:rsidRPr="00211EB6">
        <w:rPr>
          <w:sz w:val="20"/>
          <w:szCs w:val="20"/>
        </w:rPr>
        <w:t>Dhanakodi</w:t>
      </w:r>
      <w:proofErr w:type="spellEnd"/>
      <w:r w:rsidRPr="00211EB6">
        <w:rPr>
          <w:sz w:val="20"/>
          <w:szCs w:val="20"/>
        </w:rPr>
        <w:t xml:space="preserve">, K., </w:t>
      </w:r>
      <w:proofErr w:type="spellStart"/>
      <w:r w:rsidRPr="00211EB6">
        <w:rPr>
          <w:sz w:val="20"/>
          <w:szCs w:val="20"/>
        </w:rPr>
        <w:t>Annamalai</w:t>
      </w:r>
      <w:proofErr w:type="spellEnd"/>
      <w:r w:rsidRPr="00211EB6">
        <w:rPr>
          <w:sz w:val="20"/>
          <w:szCs w:val="20"/>
        </w:rPr>
        <w:t xml:space="preserve">, S., </w:t>
      </w:r>
      <w:proofErr w:type="spellStart"/>
      <w:r w:rsidRPr="00211EB6">
        <w:rPr>
          <w:sz w:val="20"/>
          <w:szCs w:val="20"/>
        </w:rPr>
        <w:t>Anandhan</w:t>
      </w:r>
      <w:proofErr w:type="spellEnd"/>
      <w:r w:rsidRPr="00211EB6">
        <w:rPr>
          <w:sz w:val="20"/>
          <w:szCs w:val="20"/>
        </w:rPr>
        <w:t>, S.V. (2013) Environmental Monitoring and Assessment (2013) Monitoring of pesticide residues in South Indian tea, 185: 6413–6417.</w:t>
      </w:r>
      <w:proofErr w:type="gramEnd"/>
    </w:p>
    <w:p w14:paraId="06BD3DC7" w14:textId="77777777" w:rsidR="00067874" w:rsidRPr="00211EB6" w:rsidRDefault="00067874">
      <w:pPr>
        <w:spacing w:after="120"/>
        <w:rPr>
          <w:sz w:val="20"/>
          <w:szCs w:val="20"/>
        </w:rPr>
      </w:pPr>
      <w:r w:rsidRPr="00211EB6">
        <w:rPr>
          <w:sz w:val="20"/>
          <w:szCs w:val="20"/>
        </w:rPr>
        <w:t xml:space="preserve">Kumar, P.S. (2001) </w:t>
      </w:r>
      <w:proofErr w:type="spellStart"/>
      <w:r w:rsidRPr="00211EB6">
        <w:rPr>
          <w:sz w:val="20"/>
          <w:szCs w:val="20"/>
        </w:rPr>
        <w:t>Hirsutella</w:t>
      </w:r>
      <w:proofErr w:type="spellEnd"/>
      <w:r w:rsidRPr="00211EB6">
        <w:rPr>
          <w:sz w:val="20"/>
          <w:szCs w:val="20"/>
        </w:rPr>
        <w:t xml:space="preserve"> </w:t>
      </w:r>
      <w:proofErr w:type="spellStart"/>
      <w:r w:rsidRPr="00211EB6">
        <w:rPr>
          <w:sz w:val="20"/>
          <w:szCs w:val="20"/>
        </w:rPr>
        <w:t>thompsonii</w:t>
      </w:r>
      <w:proofErr w:type="spellEnd"/>
      <w:r w:rsidRPr="00211EB6">
        <w:rPr>
          <w:sz w:val="20"/>
          <w:szCs w:val="20"/>
        </w:rPr>
        <w:t xml:space="preserve"> as a </w:t>
      </w:r>
      <w:proofErr w:type="spellStart"/>
      <w:r w:rsidRPr="00211EB6">
        <w:rPr>
          <w:sz w:val="20"/>
          <w:szCs w:val="20"/>
        </w:rPr>
        <w:t>mycoacaricide</w:t>
      </w:r>
      <w:proofErr w:type="spellEnd"/>
      <w:r w:rsidRPr="00211EB6">
        <w:rPr>
          <w:sz w:val="20"/>
          <w:szCs w:val="20"/>
        </w:rPr>
        <w:t xml:space="preserve"> for </w:t>
      </w:r>
      <w:proofErr w:type="spellStart"/>
      <w:r w:rsidRPr="00211EB6">
        <w:rPr>
          <w:sz w:val="20"/>
          <w:szCs w:val="20"/>
        </w:rPr>
        <w:t>Aceria</w:t>
      </w:r>
      <w:proofErr w:type="spellEnd"/>
      <w:r w:rsidRPr="00211EB6">
        <w:rPr>
          <w:sz w:val="20"/>
          <w:szCs w:val="20"/>
        </w:rPr>
        <w:t xml:space="preserve"> </w:t>
      </w:r>
      <w:proofErr w:type="spellStart"/>
      <w:r w:rsidRPr="00211EB6">
        <w:rPr>
          <w:sz w:val="20"/>
          <w:szCs w:val="20"/>
        </w:rPr>
        <w:t>guerreronis</w:t>
      </w:r>
      <w:proofErr w:type="spellEnd"/>
      <w:r w:rsidRPr="00211EB6">
        <w:rPr>
          <w:sz w:val="20"/>
          <w:szCs w:val="20"/>
        </w:rPr>
        <w:t xml:space="preserve"> on coconut in India: research, development, and other aspects, Trends in Acarology, </w:t>
      </w:r>
      <w:proofErr w:type="spellStart"/>
      <w:r w:rsidRPr="00211EB6">
        <w:rPr>
          <w:sz w:val="20"/>
          <w:szCs w:val="20"/>
        </w:rPr>
        <w:t>pp</w:t>
      </w:r>
      <w:proofErr w:type="spellEnd"/>
      <w:r w:rsidRPr="00211EB6">
        <w:rPr>
          <w:sz w:val="20"/>
          <w:szCs w:val="20"/>
        </w:rPr>
        <w:t xml:space="preserve"> 441-444.</w:t>
      </w:r>
    </w:p>
    <w:p w14:paraId="24F7BA4F" w14:textId="77777777" w:rsidR="00067874" w:rsidRPr="00211EB6" w:rsidRDefault="00067874">
      <w:pPr>
        <w:spacing w:after="120"/>
        <w:rPr>
          <w:sz w:val="20"/>
          <w:szCs w:val="20"/>
        </w:rPr>
      </w:pPr>
      <w:proofErr w:type="spellStart"/>
      <w:r w:rsidRPr="00211EB6">
        <w:rPr>
          <w:sz w:val="20"/>
          <w:szCs w:val="20"/>
        </w:rPr>
        <w:t>Lasota</w:t>
      </w:r>
      <w:proofErr w:type="spellEnd"/>
      <w:r w:rsidRPr="00211EB6">
        <w:rPr>
          <w:sz w:val="20"/>
          <w:szCs w:val="20"/>
        </w:rPr>
        <w:t xml:space="preserve">, J.A. and </w:t>
      </w:r>
      <w:proofErr w:type="spellStart"/>
      <w:r w:rsidRPr="00211EB6">
        <w:rPr>
          <w:sz w:val="20"/>
          <w:szCs w:val="20"/>
        </w:rPr>
        <w:t>Dybas</w:t>
      </w:r>
      <w:proofErr w:type="spellEnd"/>
      <w:r w:rsidRPr="00211EB6">
        <w:rPr>
          <w:sz w:val="20"/>
          <w:szCs w:val="20"/>
        </w:rPr>
        <w:t xml:space="preserve">, R.A. (1990) </w:t>
      </w:r>
      <w:proofErr w:type="spellStart"/>
      <w:r w:rsidRPr="00211EB6">
        <w:rPr>
          <w:sz w:val="20"/>
          <w:szCs w:val="20"/>
        </w:rPr>
        <w:t>Abamectin</w:t>
      </w:r>
      <w:proofErr w:type="spellEnd"/>
      <w:r w:rsidRPr="00211EB6">
        <w:rPr>
          <w:sz w:val="20"/>
          <w:szCs w:val="20"/>
        </w:rPr>
        <w:t xml:space="preserve"> as a pesticide for agricultural use. </w:t>
      </w:r>
      <w:proofErr w:type="spellStart"/>
      <w:r w:rsidRPr="00211EB6">
        <w:rPr>
          <w:sz w:val="20"/>
          <w:szCs w:val="20"/>
        </w:rPr>
        <w:t>Acta</w:t>
      </w:r>
      <w:proofErr w:type="spellEnd"/>
      <w:r w:rsidRPr="00211EB6">
        <w:rPr>
          <w:sz w:val="20"/>
          <w:szCs w:val="20"/>
        </w:rPr>
        <w:t xml:space="preserve"> Leiden, 59(1-2):217-25.</w:t>
      </w:r>
    </w:p>
    <w:p w14:paraId="4EB33952" w14:textId="77777777" w:rsidR="00067874" w:rsidRPr="00211EB6" w:rsidRDefault="00067874">
      <w:pPr>
        <w:spacing w:after="120"/>
        <w:rPr>
          <w:sz w:val="20"/>
          <w:szCs w:val="20"/>
        </w:rPr>
      </w:pPr>
      <w:proofErr w:type="gramStart"/>
      <w:r w:rsidRPr="00211EB6">
        <w:rPr>
          <w:sz w:val="20"/>
          <w:szCs w:val="20"/>
        </w:rPr>
        <w:t xml:space="preserve">Li, L., Liu, J., Hu, J. (2014) Global inventory, long-range transport and environmental distribution of </w:t>
      </w:r>
      <w:proofErr w:type="spellStart"/>
      <w:r w:rsidRPr="00211EB6">
        <w:rPr>
          <w:sz w:val="20"/>
          <w:szCs w:val="20"/>
        </w:rPr>
        <w:t>dicofol</w:t>
      </w:r>
      <w:proofErr w:type="spellEnd"/>
      <w:r w:rsidRPr="00211EB6">
        <w:rPr>
          <w:sz w:val="20"/>
          <w:szCs w:val="20"/>
        </w:rPr>
        <w:t>.</w:t>
      </w:r>
      <w:proofErr w:type="gramEnd"/>
      <w:r w:rsidRPr="00211EB6">
        <w:rPr>
          <w:sz w:val="20"/>
          <w:szCs w:val="20"/>
        </w:rPr>
        <w:t xml:space="preserve"> Environmental Science and Technology, 49: 212-222.</w:t>
      </w:r>
    </w:p>
    <w:p w14:paraId="177ED661" w14:textId="20FF65B9" w:rsidR="00DA010A" w:rsidRPr="00211EB6" w:rsidRDefault="00DA010A" w:rsidP="00DA010A">
      <w:pPr>
        <w:spacing w:after="120"/>
        <w:rPr>
          <w:sz w:val="20"/>
          <w:szCs w:val="20"/>
        </w:rPr>
      </w:pPr>
      <w:proofErr w:type="gramStart"/>
      <w:r w:rsidRPr="00211EB6">
        <w:rPr>
          <w:sz w:val="20"/>
          <w:szCs w:val="20"/>
        </w:rPr>
        <w:t>Liu, L et al (2015) DDT Vertical Migration and Formation of Accumulation Layer in Pesticide-Producing Sites.</w:t>
      </w:r>
      <w:proofErr w:type="gramEnd"/>
      <w:r w:rsidRPr="00211EB6">
        <w:rPr>
          <w:sz w:val="20"/>
          <w:szCs w:val="20"/>
        </w:rPr>
        <w:t xml:space="preserve"> Environmental science and technology, 49: 9084-9091</w:t>
      </w:r>
      <w:r w:rsidR="001953E5" w:rsidRPr="00211EB6">
        <w:rPr>
          <w:sz w:val="20"/>
          <w:szCs w:val="20"/>
        </w:rPr>
        <w:t>.</w:t>
      </w:r>
    </w:p>
    <w:p w14:paraId="525F4E0E" w14:textId="00EE21F5" w:rsidR="00E17CB4" w:rsidRPr="00211EB6" w:rsidRDefault="00E17CB4" w:rsidP="00E17CB4">
      <w:pPr>
        <w:spacing w:after="120"/>
        <w:rPr>
          <w:sz w:val="20"/>
          <w:szCs w:val="20"/>
        </w:rPr>
      </w:pPr>
      <w:r w:rsidRPr="00211EB6">
        <w:rPr>
          <w:sz w:val="20"/>
          <w:szCs w:val="20"/>
        </w:rPr>
        <w:t>Loos et al (2012) ‘Analytical methods relevant to the European Commission's 2012 proposal on Priority Substances under the Water Framework Directive</w:t>
      </w:r>
      <w:r w:rsidR="0058749B" w:rsidRPr="00211EB6">
        <w:rPr>
          <w:sz w:val="20"/>
          <w:szCs w:val="20"/>
        </w:rPr>
        <w:t xml:space="preserve"> </w:t>
      </w:r>
      <w:r w:rsidRPr="00211EB6">
        <w:rPr>
          <w:sz w:val="20"/>
          <w:szCs w:val="20"/>
        </w:rPr>
        <w:t xml:space="preserve">‘Report for EU Joint Research Centre, ref: Report EUR 25532 </w:t>
      </w:r>
      <w:proofErr w:type="gramStart"/>
      <w:r w:rsidRPr="00211EB6">
        <w:rPr>
          <w:sz w:val="20"/>
          <w:szCs w:val="20"/>
        </w:rPr>
        <w:t xml:space="preserve">EN </w:t>
      </w:r>
      <w:r w:rsidR="001953E5" w:rsidRPr="00211EB6">
        <w:rPr>
          <w:sz w:val="20"/>
          <w:szCs w:val="20"/>
        </w:rPr>
        <w:t>.</w:t>
      </w:r>
      <w:proofErr w:type="gramEnd"/>
    </w:p>
    <w:p w14:paraId="4CAAE9B6" w14:textId="77777777" w:rsidR="00067874" w:rsidRPr="00211EB6" w:rsidRDefault="00067874">
      <w:pPr>
        <w:spacing w:after="120"/>
        <w:rPr>
          <w:sz w:val="20"/>
          <w:szCs w:val="20"/>
        </w:rPr>
      </w:pPr>
      <w:proofErr w:type="spellStart"/>
      <w:r w:rsidRPr="00211EB6">
        <w:rPr>
          <w:sz w:val="20"/>
          <w:szCs w:val="20"/>
        </w:rPr>
        <w:t>Mamun</w:t>
      </w:r>
      <w:proofErr w:type="spellEnd"/>
      <w:r w:rsidRPr="00211EB6">
        <w:rPr>
          <w:sz w:val="20"/>
          <w:szCs w:val="20"/>
        </w:rPr>
        <w:t xml:space="preserve"> and Ahmed, (2011), Prospect of indigenous plant extracts in tea pest management, International Journal of Agricultural Research Innovations. </w:t>
      </w:r>
      <w:proofErr w:type="gramStart"/>
      <w:r w:rsidRPr="00211EB6">
        <w:rPr>
          <w:sz w:val="20"/>
          <w:szCs w:val="20"/>
        </w:rPr>
        <w:t>&amp; Technology.</w:t>
      </w:r>
      <w:proofErr w:type="gramEnd"/>
      <w:r w:rsidRPr="00211EB6">
        <w:rPr>
          <w:sz w:val="20"/>
          <w:szCs w:val="20"/>
        </w:rPr>
        <w:t xml:space="preserve"> 1(1&amp;2): 16-23, December, 2011 </w:t>
      </w:r>
    </w:p>
    <w:p w14:paraId="53D4CCAC" w14:textId="77777777" w:rsidR="00067874" w:rsidRPr="00211EB6" w:rsidRDefault="00067874">
      <w:pPr>
        <w:spacing w:after="120"/>
        <w:rPr>
          <w:sz w:val="20"/>
          <w:szCs w:val="20"/>
        </w:rPr>
      </w:pPr>
      <w:r w:rsidRPr="00211EB6">
        <w:rPr>
          <w:sz w:val="20"/>
          <w:szCs w:val="20"/>
        </w:rPr>
        <w:t>Manners, A. (2013) Managing two-spotted mite in production nurseries, Nursery and Garden Industry, Australia, Nursery Production, Plant Health &amp; Biosecurity Project.</w:t>
      </w:r>
    </w:p>
    <w:p w14:paraId="17391411" w14:textId="1E8EB62C" w:rsidR="004F317A" w:rsidRPr="00211EB6" w:rsidRDefault="004F317A" w:rsidP="004F317A">
      <w:pPr>
        <w:spacing w:after="120"/>
        <w:rPr>
          <w:sz w:val="20"/>
          <w:szCs w:val="20"/>
        </w:rPr>
      </w:pPr>
      <w:proofErr w:type="spellStart"/>
      <w:r w:rsidRPr="00211EB6">
        <w:rPr>
          <w:sz w:val="20"/>
          <w:szCs w:val="20"/>
        </w:rPr>
        <w:t>Neupane</w:t>
      </w:r>
      <w:proofErr w:type="spellEnd"/>
      <w:r w:rsidRPr="00211EB6">
        <w:rPr>
          <w:sz w:val="20"/>
          <w:szCs w:val="20"/>
        </w:rPr>
        <w:t xml:space="preserve">, D., </w:t>
      </w:r>
      <w:proofErr w:type="spellStart"/>
      <w:r w:rsidRPr="00211EB6">
        <w:rPr>
          <w:sz w:val="20"/>
          <w:szCs w:val="20"/>
        </w:rPr>
        <w:t>Jørs</w:t>
      </w:r>
      <w:proofErr w:type="spellEnd"/>
      <w:r w:rsidRPr="00211EB6">
        <w:rPr>
          <w:sz w:val="20"/>
          <w:szCs w:val="20"/>
        </w:rPr>
        <w:t xml:space="preserve">, E., Brandt, L. (2014) Pesticide use, erythrocyte </w:t>
      </w:r>
      <w:proofErr w:type="spellStart"/>
      <w:r w:rsidRPr="00211EB6">
        <w:rPr>
          <w:sz w:val="20"/>
          <w:szCs w:val="20"/>
        </w:rPr>
        <w:t>acetylcholinesterase</w:t>
      </w:r>
      <w:proofErr w:type="spellEnd"/>
      <w:r w:rsidRPr="00211EB6">
        <w:rPr>
          <w:sz w:val="20"/>
          <w:szCs w:val="20"/>
        </w:rPr>
        <w:t xml:space="preserve"> level and self-reported acute intoxication symptoms among vegetable farmers in Nepal: a cross-sectional study, Environmental Health 2014, 13:98.</w:t>
      </w:r>
    </w:p>
    <w:p w14:paraId="58D9534A" w14:textId="4A996CE0" w:rsidR="00CB33E3" w:rsidRPr="00211EB6" w:rsidRDefault="00CB33E3" w:rsidP="004F317A">
      <w:pPr>
        <w:spacing w:after="120"/>
        <w:rPr>
          <w:sz w:val="20"/>
          <w:szCs w:val="20"/>
        </w:rPr>
      </w:pPr>
      <w:proofErr w:type="spellStart"/>
      <w:r w:rsidRPr="00211EB6">
        <w:rPr>
          <w:sz w:val="20"/>
          <w:szCs w:val="20"/>
        </w:rPr>
        <w:t>Nigg</w:t>
      </w:r>
      <w:proofErr w:type="spellEnd"/>
      <w:r w:rsidRPr="00211EB6">
        <w:rPr>
          <w:sz w:val="20"/>
          <w:szCs w:val="20"/>
        </w:rPr>
        <w:t>, HN et al, 1991, ‘</w:t>
      </w:r>
      <w:proofErr w:type="spellStart"/>
      <w:r w:rsidRPr="00211EB6">
        <w:rPr>
          <w:sz w:val="20"/>
          <w:szCs w:val="20"/>
        </w:rPr>
        <w:t>Dicofol</w:t>
      </w:r>
      <w:proofErr w:type="spellEnd"/>
      <w:r w:rsidRPr="00211EB6">
        <w:rPr>
          <w:sz w:val="20"/>
          <w:szCs w:val="20"/>
        </w:rPr>
        <w:t xml:space="preserve"> exposure to Florida citrus applicators: effects of protective clothing’, Arch Environ </w:t>
      </w:r>
      <w:proofErr w:type="spellStart"/>
      <w:r w:rsidRPr="00211EB6">
        <w:rPr>
          <w:sz w:val="20"/>
          <w:szCs w:val="20"/>
        </w:rPr>
        <w:t>Contam</w:t>
      </w:r>
      <w:proofErr w:type="spellEnd"/>
      <w:r w:rsidRPr="00211EB6">
        <w:rPr>
          <w:sz w:val="20"/>
          <w:szCs w:val="20"/>
        </w:rPr>
        <w:t xml:space="preserve"> </w:t>
      </w:r>
      <w:proofErr w:type="spellStart"/>
      <w:r w:rsidRPr="00211EB6">
        <w:rPr>
          <w:sz w:val="20"/>
          <w:szCs w:val="20"/>
        </w:rPr>
        <w:t>Toxicol</w:t>
      </w:r>
      <w:proofErr w:type="spellEnd"/>
      <w:r w:rsidRPr="00211EB6">
        <w:rPr>
          <w:sz w:val="20"/>
          <w:szCs w:val="20"/>
        </w:rPr>
        <w:t>, 15 (1986), pp. 121-134</w:t>
      </w:r>
      <w:r w:rsidR="001953E5" w:rsidRPr="00211EB6">
        <w:rPr>
          <w:sz w:val="20"/>
          <w:szCs w:val="20"/>
        </w:rPr>
        <w:t>.</w:t>
      </w:r>
    </w:p>
    <w:p w14:paraId="283C69C8" w14:textId="4F091980" w:rsidR="004F317A" w:rsidRPr="00211EB6" w:rsidRDefault="004F317A" w:rsidP="004F317A">
      <w:pPr>
        <w:spacing w:after="120"/>
        <w:rPr>
          <w:sz w:val="20"/>
          <w:szCs w:val="20"/>
        </w:rPr>
      </w:pPr>
      <w:r w:rsidRPr="00211EB6">
        <w:rPr>
          <w:sz w:val="20"/>
          <w:szCs w:val="20"/>
        </w:rPr>
        <w:t>Northern Presbyterian Agricultura</w:t>
      </w:r>
      <w:r w:rsidR="00D71171" w:rsidRPr="00211EB6">
        <w:rPr>
          <w:sz w:val="20"/>
          <w:szCs w:val="20"/>
        </w:rPr>
        <w:t xml:space="preserve">l Services and Partners (2012) </w:t>
      </w:r>
      <w:r w:rsidRPr="00211EB6">
        <w:rPr>
          <w:sz w:val="20"/>
          <w:szCs w:val="20"/>
        </w:rPr>
        <w:t>Ghana’s Pesticide Crisis: The need for further Government action.</w:t>
      </w:r>
    </w:p>
    <w:p w14:paraId="25BCCF5B" w14:textId="493F6F0A" w:rsidR="00067874" w:rsidRPr="00211EB6" w:rsidRDefault="00067874">
      <w:pPr>
        <w:spacing w:after="120"/>
        <w:rPr>
          <w:sz w:val="20"/>
          <w:szCs w:val="20"/>
        </w:rPr>
      </w:pPr>
      <w:r w:rsidRPr="00211EB6">
        <w:rPr>
          <w:sz w:val="20"/>
          <w:szCs w:val="20"/>
        </w:rPr>
        <w:t xml:space="preserve">OSPAR (2008) </w:t>
      </w:r>
      <w:proofErr w:type="gramStart"/>
      <w:r w:rsidRPr="00211EB6">
        <w:rPr>
          <w:sz w:val="20"/>
          <w:szCs w:val="20"/>
        </w:rPr>
        <w:t>Towards</w:t>
      </w:r>
      <w:proofErr w:type="gramEnd"/>
      <w:r w:rsidRPr="00211EB6">
        <w:rPr>
          <w:sz w:val="20"/>
          <w:szCs w:val="20"/>
        </w:rPr>
        <w:t xml:space="preserve"> the cessation target: Emissions, discharges and losses of OSPAR chemicals identified for priority action, available at: www.ospar.org.</w:t>
      </w:r>
    </w:p>
    <w:p w14:paraId="576BACF9" w14:textId="77777777" w:rsidR="00067874" w:rsidRPr="00211EB6" w:rsidRDefault="00067874">
      <w:pPr>
        <w:spacing w:after="120"/>
        <w:rPr>
          <w:sz w:val="20"/>
          <w:szCs w:val="20"/>
        </w:rPr>
      </w:pPr>
      <w:proofErr w:type="spellStart"/>
      <w:r w:rsidRPr="00211EB6">
        <w:rPr>
          <w:sz w:val="20"/>
          <w:szCs w:val="20"/>
        </w:rPr>
        <w:t>Qiu</w:t>
      </w:r>
      <w:proofErr w:type="spellEnd"/>
      <w:r w:rsidRPr="00211EB6">
        <w:rPr>
          <w:sz w:val="20"/>
          <w:szCs w:val="20"/>
        </w:rPr>
        <w:t xml:space="preserve">, X., Zhu, T., Yao, B., Hu, J., Hu, S. (2005) Contribution of </w:t>
      </w:r>
      <w:proofErr w:type="spellStart"/>
      <w:r w:rsidRPr="00211EB6">
        <w:rPr>
          <w:sz w:val="20"/>
          <w:szCs w:val="20"/>
        </w:rPr>
        <w:t>Dicofol</w:t>
      </w:r>
      <w:proofErr w:type="spellEnd"/>
      <w:r w:rsidRPr="00211EB6">
        <w:rPr>
          <w:sz w:val="20"/>
          <w:szCs w:val="20"/>
        </w:rPr>
        <w:t xml:space="preserve"> to the Current DDT Pollution in China. Environmental Science and Technology, 39 (12), 4385–4390. </w:t>
      </w:r>
    </w:p>
    <w:p w14:paraId="58D7C145" w14:textId="2193B3F8" w:rsidR="00067874" w:rsidRPr="00211EB6" w:rsidRDefault="00067874">
      <w:pPr>
        <w:spacing w:after="120"/>
        <w:rPr>
          <w:sz w:val="20"/>
          <w:szCs w:val="20"/>
        </w:rPr>
      </w:pPr>
      <w:r w:rsidRPr="00211EB6">
        <w:rPr>
          <w:sz w:val="20"/>
          <w:szCs w:val="20"/>
        </w:rPr>
        <w:t xml:space="preserve">Rand, </w:t>
      </w:r>
      <w:proofErr w:type="spellStart"/>
      <w:r w:rsidRPr="00211EB6">
        <w:rPr>
          <w:sz w:val="20"/>
          <w:szCs w:val="20"/>
        </w:rPr>
        <w:t>G.M.and</w:t>
      </w:r>
      <w:proofErr w:type="spellEnd"/>
      <w:r w:rsidRPr="00211EB6">
        <w:rPr>
          <w:sz w:val="20"/>
          <w:szCs w:val="20"/>
        </w:rPr>
        <w:t xml:space="preserve"> Clark, J.R. (2000) Hazard/Risk Assessment of </w:t>
      </w:r>
      <w:proofErr w:type="spellStart"/>
      <w:r w:rsidRPr="00211EB6">
        <w:rPr>
          <w:sz w:val="20"/>
          <w:szCs w:val="20"/>
        </w:rPr>
        <w:t>Pyridaben</w:t>
      </w:r>
      <w:proofErr w:type="spellEnd"/>
      <w:r w:rsidRPr="00211EB6">
        <w:rPr>
          <w:sz w:val="20"/>
          <w:szCs w:val="20"/>
        </w:rPr>
        <w:t xml:space="preserve">: I. Aquatic Toxicity and Environmental Chemistry. Ecotoxicology, 9 (3): 157-168.Saoke, P, (2005), Kenya POPs situation report: DDT, pesticides and polychlorinated biphenyls, Report provided under </w:t>
      </w:r>
      <w:proofErr w:type="gramStart"/>
      <w:r w:rsidRPr="00211EB6">
        <w:rPr>
          <w:sz w:val="20"/>
          <w:szCs w:val="20"/>
        </w:rPr>
        <w:t>The</w:t>
      </w:r>
      <w:proofErr w:type="gramEnd"/>
      <w:r w:rsidRPr="00211EB6">
        <w:rPr>
          <w:sz w:val="20"/>
          <w:szCs w:val="20"/>
        </w:rPr>
        <w:t xml:space="preserve"> international POPs elimination project (IPEP)</w:t>
      </w:r>
      <w:r w:rsidR="001953E5" w:rsidRPr="00211EB6">
        <w:rPr>
          <w:sz w:val="20"/>
          <w:szCs w:val="20"/>
        </w:rPr>
        <w:t>.</w:t>
      </w:r>
    </w:p>
    <w:p w14:paraId="7D60615C" w14:textId="01A03874" w:rsidR="00436050" w:rsidRPr="00211EB6" w:rsidRDefault="00436050">
      <w:pPr>
        <w:spacing w:after="120"/>
        <w:rPr>
          <w:sz w:val="20"/>
          <w:szCs w:val="20"/>
        </w:rPr>
      </w:pPr>
      <w:proofErr w:type="gramStart"/>
      <w:r w:rsidRPr="00211EB6">
        <w:rPr>
          <w:sz w:val="20"/>
          <w:szCs w:val="20"/>
        </w:rPr>
        <w:t xml:space="preserve">Reddy, P.S., </w:t>
      </w:r>
      <w:proofErr w:type="spellStart"/>
      <w:r w:rsidRPr="00211EB6">
        <w:rPr>
          <w:sz w:val="20"/>
          <w:szCs w:val="20"/>
        </w:rPr>
        <w:t>Pushpalatha</w:t>
      </w:r>
      <w:proofErr w:type="spellEnd"/>
      <w:r w:rsidRPr="00211EB6">
        <w:rPr>
          <w:sz w:val="20"/>
          <w:szCs w:val="20"/>
        </w:rPr>
        <w:t xml:space="preserve">, T., Reddy, P.S. (2006) Reduction of spermatogenesis and </w:t>
      </w:r>
      <w:proofErr w:type="spellStart"/>
      <w:r w:rsidRPr="00211EB6">
        <w:rPr>
          <w:sz w:val="20"/>
          <w:szCs w:val="20"/>
        </w:rPr>
        <w:t>steroidogenesis</w:t>
      </w:r>
      <w:proofErr w:type="spellEnd"/>
      <w:r w:rsidRPr="00211EB6">
        <w:rPr>
          <w:sz w:val="20"/>
          <w:szCs w:val="20"/>
        </w:rPr>
        <w:t xml:space="preserve"> in mice after </w:t>
      </w:r>
      <w:proofErr w:type="spellStart"/>
      <w:r w:rsidRPr="00211EB6">
        <w:rPr>
          <w:sz w:val="20"/>
          <w:szCs w:val="20"/>
        </w:rPr>
        <w:t>fentin</w:t>
      </w:r>
      <w:proofErr w:type="spellEnd"/>
      <w:r w:rsidRPr="00211EB6">
        <w:rPr>
          <w:sz w:val="20"/>
          <w:szCs w:val="20"/>
        </w:rPr>
        <w:t xml:space="preserve"> and </w:t>
      </w:r>
      <w:proofErr w:type="spellStart"/>
      <w:r w:rsidRPr="00211EB6">
        <w:rPr>
          <w:sz w:val="20"/>
          <w:szCs w:val="20"/>
        </w:rPr>
        <w:t>fenbutatin</w:t>
      </w:r>
      <w:proofErr w:type="spellEnd"/>
      <w:r w:rsidRPr="00211EB6">
        <w:rPr>
          <w:sz w:val="20"/>
          <w:szCs w:val="20"/>
        </w:rPr>
        <w:t xml:space="preserve"> administration, </w:t>
      </w:r>
      <w:proofErr w:type="spellStart"/>
      <w:r w:rsidRPr="00211EB6">
        <w:rPr>
          <w:sz w:val="20"/>
          <w:szCs w:val="20"/>
        </w:rPr>
        <w:t>Toxicol</w:t>
      </w:r>
      <w:proofErr w:type="spellEnd"/>
      <w:r w:rsidRPr="00211EB6">
        <w:rPr>
          <w:sz w:val="20"/>
          <w:szCs w:val="20"/>
        </w:rPr>
        <w:t xml:space="preserve"> </w:t>
      </w:r>
      <w:proofErr w:type="spellStart"/>
      <w:r w:rsidRPr="00211EB6">
        <w:rPr>
          <w:sz w:val="20"/>
          <w:szCs w:val="20"/>
        </w:rPr>
        <w:t>Lett</w:t>
      </w:r>
      <w:proofErr w:type="spellEnd"/>
      <w:r w:rsidRPr="00211EB6">
        <w:rPr>
          <w:sz w:val="20"/>
          <w:szCs w:val="20"/>
        </w:rPr>
        <w:t xml:space="preserve"> 166:53-59.</w:t>
      </w:r>
      <w:proofErr w:type="gramEnd"/>
    </w:p>
    <w:p w14:paraId="681E54B9" w14:textId="3A6BE2B2" w:rsidR="00067874" w:rsidRPr="00211EB6" w:rsidRDefault="00067874">
      <w:pPr>
        <w:spacing w:after="120"/>
        <w:rPr>
          <w:sz w:val="20"/>
          <w:szCs w:val="20"/>
        </w:rPr>
      </w:pPr>
      <w:r w:rsidRPr="00211EB6">
        <w:rPr>
          <w:sz w:val="20"/>
          <w:szCs w:val="20"/>
        </w:rPr>
        <w:t>Rodrigues, J.C. and Peña, J.E. (2012) Experimental and Applied Acarology, 57(3-4):317-29</w:t>
      </w:r>
      <w:r w:rsidR="001953E5" w:rsidRPr="00211EB6">
        <w:rPr>
          <w:sz w:val="20"/>
          <w:szCs w:val="20"/>
        </w:rPr>
        <w:t>.</w:t>
      </w:r>
    </w:p>
    <w:p w14:paraId="6EA5232F" w14:textId="77777777" w:rsidR="00067874" w:rsidRPr="00211EB6" w:rsidRDefault="00067874">
      <w:pPr>
        <w:spacing w:after="120"/>
        <w:rPr>
          <w:sz w:val="20"/>
          <w:szCs w:val="20"/>
        </w:rPr>
      </w:pPr>
      <w:proofErr w:type="gramStart"/>
      <w:r w:rsidRPr="00211EB6">
        <w:rPr>
          <w:sz w:val="20"/>
          <w:szCs w:val="20"/>
        </w:rPr>
        <w:t xml:space="preserve">Sánchez, A.I., Dolores Hernando, M., Vaquero, J.J., </w:t>
      </w:r>
      <w:proofErr w:type="spellStart"/>
      <w:r w:rsidRPr="00211EB6">
        <w:rPr>
          <w:sz w:val="20"/>
          <w:szCs w:val="20"/>
        </w:rPr>
        <w:t>García</w:t>
      </w:r>
      <w:proofErr w:type="spellEnd"/>
      <w:r w:rsidRPr="00211EB6">
        <w:rPr>
          <w:sz w:val="20"/>
          <w:szCs w:val="20"/>
        </w:rPr>
        <w:t xml:space="preserve">, E., </w:t>
      </w:r>
      <w:proofErr w:type="spellStart"/>
      <w:r w:rsidRPr="00211EB6">
        <w:rPr>
          <w:sz w:val="20"/>
          <w:szCs w:val="20"/>
        </w:rPr>
        <w:t>Navas</w:t>
      </w:r>
      <w:proofErr w:type="spellEnd"/>
      <w:r w:rsidRPr="00211EB6">
        <w:rPr>
          <w:sz w:val="20"/>
          <w:szCs w:val="20"/>
        </w:rPr>
        <w:t xml:space="preserve">, J.M. (2010) Hazard Assessment of Alternatives to </w:t>
      </w:r>
      <w:proofErr w:type="spellStart"/>
      <w:r w:rsidRPr="00211EB6">
        <w:rPr>
          <w:sz w:val="20"/>
          <w:szCs w:val="20"/>
        </w:rPr>
        <w:t>Dicofol</w:t>
      </w:r>
      <w:proofErr w:type="spellEnd"/>
      <w:r w:rsidRPr="00211EB6">
        <w:rPr>
          <w:sz w:val="20"/>
          <w:szCs w:val="20"/>
        </w:rPr>
        <w:t>.</w:t>
      </w:r>
      <w:proofErr w:type="gramEnd"/>
      <w:r w:rsidRPr="00211EB6">
        <w:rPr>
          <w:sz w:val="20"/>
          <w:szCs w:val="20"/>
        </w:rPr>
        <w:t xml:space="preserve"> Journal of Environmental Protection, 1: 231-241.</w:t>
      </w:r>
    </w:p>
    <w:p w14:paraId="7AA26991" w14:textId="1DBC65DE" w:rsidR="00436050" w:rsidRPr="00211EB6" w:rsidRDefault="00436050">
      <w:pPr>
        <w:spacing w:after="120"/>
        <w:rPr>
          <w:sz w:val="20"/>
          <w:szCs w:val="20"/>
        </w:rPr>
      </w:pPr>
      <w:r w:rsidRPr="00211EB6">
        <w:rPr>
          <w:sz w:val="20"/>
          <w:szCs w:val="20"/>
        </w:rPr>
        <w:t xml:space="preserve">Stone, J.C., Abramson, C.I., Price, J.M. (1997). </w:t>
      </w:r>
      <w:proofErr w:type="gramStart"/>
      <w:r w:rsidRPr="00211EB6">
        <w:rPr>
          <w:sz w:val="20"/>
          <w:szCs w:val="20"/>
        </w:rPr>
        <w:t xml:space="preserve">Task dependent effects of </w:t>
      </w:r>
      <w:proofErr w:type="spellStart"/>
      <w:r w:rsidRPr="00211EB6">
        <w:rPr>
          <w:sz w:val="20"/>
          <w:szCs w:val="20"/>
        </w:rPr>
        <w:t>dicofol</w:t>
      </w:r>
      <w:proofErr w:type="spellEnd"/>
      <w:r w:rsidRPr="00211EB6">
        <w:rPr>
          <w:sz w:val="20"/>
          <w:szCs w:val="20"/>
        </w:rPr>
        <w:t xml:space="preserve"> (</w:t>
      </w:r>
      <w:proofErr w:type="spellStart"/>
      <w:r w:rsidRPr="00211EB6">
        <w:rPr>
          <w:sz w:val="20"/>
          <w:szCs w:val="20"/>
        </w:rPr>
        <w:t>Kelthane</w:t>
      </w:r>
      <w:proofErr w:type="spellEnd"/>
      <w:r w:rsidRPr="00211EB6">
        <w:rPr>
          <w:sz w:val="20"/>
          <w:szCs w:val="20"/>
        </w:rPr>
        <w:t>) on learning in the honey bee (</w:t>
      </w:r>
      <w:proofErr w:type="spellStart"/>
      <w:r w:rsidRPr="00211EB6">
        <w:rPr>
          <w:sz w:val="20"/>
          <w:szCs w:val="20"/>
        </w:rPr>
        <w:t>Apis</w:t>
      </w:r>
      <w:proofErr w:type="spellEnd"/>
      <w:r w:rsidRPr="00211EB6">
        <w:rPr>
          <w:sz w:val="20"/>
          <w:szCs w:val="20"/>
        </w:rPr>
        <w:t xml:space="preserve"> </w:t>
      </w:r>
      <w:proofErr w:type="spellStart"/>
      <w:r w:rsidRPr="00211EB6">
        <w:rPr>
          <w:sz w:val="20"/>
          <w:szCs w:val="20"/>
        </w:rPr>
        <w:t>mellifera</w:t>
      </w:r>
      <w:proofErr w:type="spellEnd"/>
      <w:r w:rsidRPr="00211EB6">
        <w:rPr>
          <w:sz w:val="20"/>
          <w:szCs w:val="20"/>
        </w:rPr>
        <w:t>).</w:t>
      </w:r>
      <w:proofErr w:type="gramEnd"/>
      <w:r w:rsidRPr="00211EB6">
        <w:rPr>
          <w:sz w:val="20"/>
          <w:szCs w:val="20"/>
        </w:rPr>
        <w:t xml:space="preserve"> Bull Environ </w:t>
      </w:r>
      <w:proofErr w:type="spellStart"/>
      <w:r w:rsidRPr="00211EB6">
        <w:rPr>
          <w:sz w:val="20"/>
          <w:szCs w:val="20"/>
        </w:rPr>
        <w:t>Contam</w:t>
      </w:r>
      <w:proofErr w:type="spellEnd"/>
      <w:r w:rsidRPr="00211EB6">
        <w:rPr>
          <w:sz w:val="20"/>
          <w:szCs w:val="20"/>
        </w:rPr>
        <w:t xml:space="preserve"> </w:t>
      </w:r>
      <w:proofErr w:type="spellStart"/>
      <w:r w:rsidRPr="00211EB6">
        <w:rPr>
          <w:sz w:val="20"/>
          <w:szCs w:val="20"/>
        </w:rPr>
        <w:t>Toxicol</w:t>
      </w:r>
      <w:proofErr w:type="spellEnd"/>
      <w:r w:rsidRPr="00211EB6">
        <w:rPr>
          <w:sz w:val="20"/>
          <w:szCs w:val="20"/>
        </w:rPr>
        <w:t xml:space="preserve"> 58:177-83.</w:t>
      </w:r>
    </w:p>
    <w:p w14:paraId="5E7F1347" w14:textId="0BEC7F38" w:rsidR="00B76A56" w:rsidRPr="00211EB6" w:rsidRDefault="00B76A56">
      <w:pPr>
        <w:spacing w:after="120"/>
        <w:rPr>
          <w:sz w:val="20"/>
          <w:szCs w:val="20"/>
        </w:rPr>
      </w:pPr>
      <w:proofErr w:type="gramStart"/>
      <w:r w:rsidRPr="00211EB6">
        <w:rPr>
          <w:sz w:val="20"/>
          <w:szCs w:val="20"/>
        </w:rPr>
        <w:t xml:space="preserve">Thakur, S., </w:t>
      </w:r>
      <w:proofErr w:type="spellStart"/>
      <w:r w:rsidRPr="00211EB6">
        <w:rPr>
          <w:sz w:val="20"/>
          <w:szCs w:val="20"/>
        </w:rPr>
        <w:t>Gulati</w:t>
      </w:r>
      <w:proofErr w:type="spellEnd"/>
      <w:r w:rsidRPr="00211EB6">
        <w:rPr>
          <w:sz w:val="20"/>
          <w:szCs w:val="20"/>
        </w:rPr>
        <w:t>, K., Jindal, T. (2015) Groundwater contamination through pesticide usage in vegetable growing areas of Delhi.</w:t>
      </w:r>
      <w:proofErr w:type="gramEnd"/>
      <w:r w:rsidRPr="00211EB6">
        <w:rPr>
          <w:sz w:val="20"/>
          <w:szCs w:val="20"/>
        </w:rPr>
        <w:t xml:space="preserve"> International Journal of Multidisciplinary Research and Development, 2 (8): 394-397.</w:t>
      </w:r>
    </w:p>
    <w:p w14:paraId="5043A414" w14:textId="7D77F008" w:rsidR="00067874" w:rsidRPr="00211EB6" w:rsidRDefault="00067874">
      <w:pPr>
        <w:spacing w:after="120"/>
        <w:rPr>
          <w:sz w:val="20"/>
          <w:szCs w:val="20"/>
        </w:rPr>
      </w:pPr>
      <w:r w:rsidRPr="00211EB6">
        <w:rPr>
          <w:sz w:val="20"/>
          <w:szCs w:val="20"/>
        </w:rPr>
        <w:t>Torres, R.T. (2008) Technical assistance to facilitate action on the implementation of the Stockholm Convention on Persistent Organic Pollutants (POPs) - Obsolete POPs Pesticides, PhD thesis in association with UNIDO.</w:t>
      </w:r>
    </w:p>
    <w:p w14:paraId="4DFA8395" w14:textId="33A89436" w:rsidR="00067874" w:rsidRPr="00211EB6" w:rsidRDefault="00067874">
      <w:pPr>
        <w:spacing w:after="120"/>
        <w:rPr>
          <w:sz w:val="20"/>
          <w:szCs w:val="20"/>
        </w:rPr>
      </w:pPr>
      <w:proofErr w:type="spellStart"/>
      <w:r w:rsidRPr="00211EB6">
        <w:rPr>
          <w:sz w:val="20"/>
          <w:szCs w:val="20"/>
        </w:rPr>
        <w:t>Turgut</w:t>
      </w:r>
      <w:proofErr w:type="spellEnd"/>
      <w:r w:rsidRPr="00211EB6">
        <w:rPr>
          <w:sz w:val="20"/>
          <w:szCs w:val="20"/>
        </w:rPr>
        <w:t xml:space="preserve"> C., </w:t>
      </w:r>
      <w:proofErr w:type="spellStart"/>
      <w:r w:rsidRPr="00211EB6">
        <w:rPr>
          <w:sz w:val="20"/>
          <w:szCs w:val="20"/>
        </w:rPr>
        <w:t>Gokbulut</w:t>
      </w:r>
      <w:proofErr w:type="spellEnd"/>
      <w:r w:rsidRPr="00211EB6">
        <w:rPr>
          <w:sz w:val="20"/>
          <w:szCs w:val="20"/>
        </w:rPr>
        <w:t xml:space="preserve"> C., </w:t>
      </w:r>
      <w:proofErr w:type="spellStart"/>
      <w:r w:rsidRPr="00211EB6">
        <w:rPr>
          <w:sz w:val="20"/>
          <w:szCs w:val="20"/>
        </w:rPr>
        <w:t>Cutright</w:t>
      </w:r>
      <w:proofErr w:type="spellEnd"/>
      <w:r w:rsidRPr="00211EB6">
        <w:rPr>
          <w:sz w:val="20"/>
          <w:szCs w:val="20"/>
        </w:rPr>
        <w:t xml:space="preserve"> T.J. (2009) Contents and sources of DDT impurities in </w:t>
      </w:r>
      <w:proofErr w:type="spellStart"/>
      <w:r w:rsidRPr="00211EB6">
        <w:rPr>
          <w:sz w:val="20"/>
          <w:szCs w:val="20"/>
        </w:rPr>
        <w:t>dicofol</w:t>
      </w:r>
      <w:proofErr w:type="spellEnd"/>
      <w:r w:rsidRPr="00211EB6">
        <w:rPr>
          <w:sz w:val="20"/>
          <w:szCs w:val="20"/>
        </w:rPr>
        <w:t xml:space="preserve"> formulations in Turkey, Environmental Science and Pollution Research International, 16:214-217</w:t>
      </w:r>
      <w:r w:rsidR="001953E5" w:rsidRPr="00211EB6">
        <w:rPr>
          <w:sz w:val="20"/>
          <w:szCs w:val="20"/>
        </w:rPr>
        <w:t>.</w:t>
      </w:r>
    </w:p>
    <w:p w14:paraId="1E96CFAF" w14:textId="77777777" w:rsidR="00067874" w:rsidRPr="00211EB6" w:rsidRDefault="00067874" w:rsidP="00E12A04">
      <w:pPr>
        <w:spacing w:after="120"/>
        <w:rPr>
          <w:sz w:val="20"/>
          <w:szCs w:val="20"/>
        </w:rPr>
      </w:pPr>
      <w:r w:rsidRPr="00211EB6">
        <w:rPr>
          <w:sz w:val="20"/>
          <w:szCs w:val="20"/>
        </w:rPr>
        <w:t xml:space="preserve">UNECE (2010) Exploration of management options for </w:t>
      </w:r>
      <w:proofErr w:type="spellStart"/>
      <w:r w:rsidRPr="00211EB6">
        <w:rPr>
          <w:sz w:val="20"/>
          <w:szCs w:val="20"/>
        </w:rPr>
        <w:t>Dicofol</w:t>
      </w:r>
      <w:proofErr w:type="spellEnd"/>
      <w:r w:rsidRPr="00211EB6">
        <w:rPr>
          <w:sz w:val="20"/>
          <w:szCs w:val="20"/>
        </w:rPr>
        <w:t xml:space="preserve">, Paper for the 8th meeting of the UN-ECE CLRTAP Task Force on Persistent Organic Pollutants, Montreal, </w:t>
      </w:r>
      <w:proofErr w:type="gramStart"/>
      <w:r w:rsidRPr="00211EB6">
        <w:rPr>
          <w:sz w:val="20"/>
          <w:szCs w:val="20"/>
        </w:rPr>
        <w:t>18</w:t>
      </w:r>
      <w:proofErr w:type="gramEnd"/>
      <w:r w:rsidRPr="00211EB6">
        <w:rPr>
          <w:sz w:val="20"/>
          <w:szCs w:val="20"/>
        </w:rPr>
        <w:t xml:space="preserve"> - 20 May 2010. </w:t>
      </w:r>
    </w:p>
    <w:p w14:paraId="1AAA3D46" w14:textId="654AADF6" w:rsidR="00067874" w:rsidRPr="00211EB6" w:rsidRDefault="00067874">
      <w:pPr>
        <w:spacing w:after="120"/>
        <w:rPr>
          <w:sz w:val="20"/>
          <w:szCs w:val="20"/>
        </w:rPr>
      </w:pPr>
      <w:r w:rsidRPr="00211EB6">
        <w:rPr>
          <w:sz w:val="20"/>
          <w:szCs w:val="20"/>
        </w:rPr>
        <w:t>UNEP (2015) The Register of Specific Exemptions (http://chm.pops.int/Implementation/Exemptions/RegisterofSpecificExemptions/tabid/1133/)</w:t>
      </w:r>
      <w:r w:rsidR="001953E5" w:rsidRPr="00211EB6">
        <w:rPr>
          <w:sz w:val="20"/>
          <w:szCs w:val="20"/>
        </w:rPr>
        <w:t>.</w:t>
      </w:r>
    </w:p>
    <w:p w14:paraId="0FFD71F6" w14:textId="77777777" w:rsidR="00067874" w:rsidRPr="00211EB6" w:rsidRDefault="00067874">
      <w:pPr>
        <w:spacing w:after="120"/>
        <w:rPr>
          <w:sz w:val="20"/>
          <w:szCs w:val="20"/>
        </w:rPr>
      </w:pPr>
      <w:r w:rsidRPr="00211EB6">
        <w:rPr>
          <w:sz w:val="20"/>
          <w:szCs w:val="20"/>
        </w:rPr>
        <w:t xml:space="preserve">US EPA (1998) RED: Reregistration Eligibility Decision </w:t>
      </w:r>
      <w:proofErr w:type="spellStart"/>
      <w:r w:rsidRPr="00211EB6">
        <w:rPr>
          <w:sz w:val="20"/>
          <w:szCs w:val="20"/>
        </w:rPr>
        <w:t>Dicofol</w:t>
      </w:r>
      <w:proofErr w:type="spellEnd"/>
      <w:r w:rsidRPr="00211EB6">
        <w:rPr>
          <w:sz w:val="20"/>
          <w:szCs w:val="20"/>
        </w:rPr>
        <w:t xml:space="preserve"> (http://www.epa.gov/pesticides/reregistration/REDs/0021red.pdf, 2012-04-16).</w:t>
      </w:r>
    </w:p>
    <w:p w14:paraId="0909A171" w14:textId="7D00A81B" w:rsidR="00067874" w:rsidRPr="00211EB6" w:rsidRDefault="00067874" w:rsidP="004822D4">
      <w:pPr>
        <w:spacing w:after="120"/>
        <w:rPr>
          <w:sz w:val="20"/>
          <w:szCs w:val="20"/>
        </w:rPr>
      </w:pPr>
      <w:r w:rsidRPr="00211EB6">
        <w:rPr>
          <w:sz w:val="20"/>
          <w:szCs w:val="20"/>
        </w:rPr>
        <w:t xml:space="preserve">US EPA (2001) RED: Reregistration Eligibility Decision </w:t>
      </w:r>
      <w:proofErr w:type="spellStart"/>
      <w:r w:rsidRPr="00211EB6">
        <w:rPr>
          <w:sz w:val="20"/>
          <w:szCs w:val="20"/>
        </w:rPr>
        <w:t>Propargite</w:t>
      </w:r>
      <w:proofErr w:type="spellEnd"/>
      <w:r w:rsidRPr="00211EB6">
        <w:rPr>
          <w:sz w:val="20"/>
          <w:szCs w:val="20"/>
        </w:rPr>
        <w:t xml:space="preserve"> (https://archive.epa.gov/pesticides/reregistration/web/pdf/propargite_red.pdf)</w:t>
      </w:r>
      <w:r w:rsidR="001953E5" w:rsidRPr="00211EB6">
        <w:rPr>
          <w:sz w:val="20"/>
          <w:szCs w:val="20"/>
        </w:rPr>
        <w:t>.</w:t>
      </w:r>
    </w:p>
    <w:p w14:paraId="518332EF" w14:textId="77777777" w:rsidR="00067874" w:rsidRPr="00211EB6" w:rsidRDefault="00067874">
      <w:pPr>
        <w:spacing w:after="120"/>
        <w:rPr>
          <w:sz w:val="20"/>
          <w:szCs w:val="20"/>
        </w:rPr>
      </w:pPr>
      <w:r w:rsidRPr="00211EB6">
        <w:rPr>
          <w:sz w:val="20"/>
          <w:szCs w:val="20"/>
        </w:rPr>
        <w:t xml:space="preserve">US EPA (2006) Addendum to </w:t>
      </w:r>
      <w:proofErr w:type="spellStart"/>
      <w:r w:rsidRPr="00211EB6">
        <w:rPr>
          <w:sz w:val="20"/>
          <w:szCs w:val="20"/>
        </w:rPr>
        <w:t>Dicofol</w:t>
      </w:r>
      <w:proofErr w:type="spellEnd"/>
      <w:r w:rsidRPr="00211EB6">
        <w:rPr>
          <w:sz w:val="20"/>
          <w:szCs w:val="20"/>
        </w:rPr>
        <w:t xml:space="preserve"> RED, September 30 2006.</w:t>
      </w:r>
    </w:p>
    <w:p w14:paraId="3145CE38" w14:textId="31A22592" w:rsidR="00067874" w:rsidRPr="00211EB6" w:rsidRDefault="00067874">
      <w:pPr>
        <w:spacing w:after="120"/>
        <w:rPr>
          <w:sz w:val="20"/>
          <w:szCs w:val="20"/>
        </w:rPr>
      </w:pPr>
      <w:r w:rsidRPr="00211EB6">
        <w:rPr>
          <w:sz w:val="20"/>
          <w:szCs w:val="20"/>
        </w:rPr>
        <w:t xml:space="preserve">US FDA (2016), Compliance policy guides - CPG Sec. 575.100 Pesticide Residues in Food </w:t>
      </w:r>
      <w:r w:rsidR="001953E5" w:rsidRPr="00211EB6">
        <w:rPr>
          <w:sz w:val="20"/>
          <w:szCs w:val="20"/>
        </w:rPr>
        <w:t>and Feed – Enforcement Criteria</w:t>
      </w:r>
      <w:r w:rsidRPr="00211EB6">
        <w:rPr>
          <w:sz w:val="20"/>
          <w:szCs w:val="20"/>
        </w:rPr>
        <w:t xml:space="preserve"> </w:t>
      </w:r>
      <w:r w:rsidR="001953E5" w:rsidRPr="00211EB6">
        <w:rPr>
          <w:sz w:val="20"/>
          <w:szCs w:val="20"/>
        </w:rPr>
        <w:t>(</w:t>
      </w:r>
      <w:r w:rsidRPr="00211EB6">
        <w:rPr>
          <w:sz w:val="20"/>
          <w:szCs w:val="20"/>
        </w:rPr>
        <w:t>http://www.fda.gov/ICECI/ComplianceManuals/CompliancePolicyGuidanceManual/ucm123236.htm</w:t>
      </w:r>
      <w:r w:rsidR="001953E5" w:rsidRPr="00211EB6">
        <w:rPr>
          <w:sz w:val="20"/>
          <w:szCs w:val="20"/>
        </w:rPr>
        <w:t>).</w:t>
      </w:r>
    </w:p>
    <w:p w14:paraId="5E051A8D" w14:textId="77777777" w:rsidR="00067874" w:rsidRPr="00211EB6" w:rsidRDefault="00067874">
      <w:pPr>
        <w:spacing w:after="120"/>
        <w:rPr>
          <w:sz w:val="20"/>
          <w:szCs w:val="20"/>
        </w:rPr>
      </w:pPr>
      <w:r w:rsidRPr="00211EB6">
        <w:rPr>
          <w:sz w:val="20"/>
          <w:szCs w:val="20"/>
        </w:rPr>
        <w:t xml:space="preserve">Van de </w:t>
      </w:r>
      <w:proofErr w:type="spellStart"/>
      <w:r w:rsidRPr="00211EB6">
        <w:rPr>
          <w:sz w:val="20"/>
          <w:szCs w:val="20"/>
        </w:rPr>
        <w:t>Plassche</w:t>
      </w:r>
      <w:proofErr w:type="spellEnd"/>
      <w:r w:rsidRPr="00211EB6">
        <w:rPr>
          <w:sz w:val="20"/>
          <w:szCs w:val="20"/>
        </w:rPr>
        <w:t xml:space="preserve"> EJ, </w:t>
      </w:r>
      <w:proofErr w:type="spellStart"/>
      <w:r w:rsidRPr="00211EB6">
        <w:rPr>
          <w:sz w:val="20"/>
          <w:szCs w:val="20"/>
        </w:rPr>
        <w:t>Schwegler</w:t>
      </w:r>
      <w:proofErr w:type="spellEnd"/>
      <w:r w:rsidRPr="00211EB6">
        <w:rPr>
          <w:sz w:val="20"/>
          <w:szCs w:val="20"/>
        </w:rPr>
        <w:t xml:space="preserve"> M, </w:t>
      </w:r>
      <w:proofErr w:type="spellStart"/>
      <w:r w:rsidRPr="00211EB6">
        <w:rPr>
          <w:sz w:val="20"/>
          <w:szCs w:val="20"/>
        </w:rPr>
        <w:t>Rasenberg</w:t>
      </w:r>
      <w:proofErr w:type="spellEnd"/>
      <w:r w:rsidRPr="00211EB6">
        <w:rPr>
          <w:sz w:val="20"/>
          <w:szCs w:val="20"/>
        </w:rPr>
        <w:t xml:space="preserve"> M, Schouten G (2003): DDT in </w:t>
      </w:r>
      <w:proofErr w:type="spellStart"/>
      <w:r w:rsidRPr="00211EB6">
        <w:rPr>
          <w:sz w:val="20"/>
          <w:szCs w:val="20"/>
        </w:rPr>
        <w:t>Dicofol</w:t>
      </w:r>
      <w:proofErr w:type="spellEnd"/>
      <w:r w:rsidRPr="00211EB6">
        <w:rPr>
          <w:sz w:val="20"/>
          <w:szCs w:val="20"/>
        </w:rPr>
        <w:t xml:space="preserve">. </w:t>
      </w:r>
      <w:proofErr w:type="gramStart"/>
      <w:r w:rsidRPr="00211EB6">
        <w:rPr>
          <w:sz w:val="20"/>
          <w:szCs w:val="20"/>
        </w:rPr>
        <w:t>UN-ECE report.</w:t>
      </w:r>
      <w:proofErr w:type="gramEnd"/>
      <w:r w:rsidRPr="00211EB6">
        <w:rPr>
          <w:sz w:val="20"/>
          <w:szCs w:val="20"/>
        </w:rPr>
        <w:t xml:space="preserve"> </w:t>
      </w:r>
      <w:proofErr w:type="gramStart"/>
      <w:r w:rsidRPr="00211EB6">
        <w:rPr>
          <w:sz w:val="20"/>
          <w:szCs w:val="20"/>
        </w:rPr>
        <w:t>(http://www.unece.org/fileadmin/DAM/env/lrtap/TaskForce/popsxg/2000-2003/ddt in dicofol.pdf, 2015-02-18).</w:t>
      </w:r>
      <w:proofErr w:type="gramEnd"/>
    </w:p>
    <w:p w14:paraId="04D875C2" w14:textId="4866FCC5" w:rsidR="00067874" w:rsidRPr="00211EB6" w:rsidRDefault="004C106A">
      <w:pPr>
        <w:spacing w:after="120"/>
        <w:rPr>
          <w:sz w:val="20"/>
          <w:szCs w:val="20"/>
        </w:rPr>
      </w:pPr>
      <w:r w:rsidRPr="00211EB6">
        <w:rPr>
          <w:sz w:val="20"/>
          <w:szCs w:val="20"/>
        </w:rPr>
        <w:t xml:space="preserve">Van der </w:t>
      </w:r>
      <w:proofErr w:type="spellStart"/>
      <w:r w:rsidRPr="00211EB6">
        <w:rPr>
          <w:sz w:val="20"/>
          <w:szCs w:val="20"/>
        </w:rPr>
        <w:t>Gon</w:t>
      </w:r>
      <w:proofErr w:type="spellEnd"/>
      <w:r w:rsidRPr="00211EB6">
        <w:rPr>
          <w:sz w:val="20"/>
          <w:szCs w:val="20"/>
        </w:rPr>
        <w:t xml:space="preserve">, HD et al (2006) Study to the effectiveness of the UNECE Persistent Organic Pollutants (POP) Protocol and cost of additional measures. Phase II: Estimated emission reduction and cost of options for a possible revision of the POP Protocol. TNO </w:t>
      </w:r>
      <w:proofErr w:type="spellStart"/>
      <w:r w:rsidRPr="00211EB6">
        <w:rPr>
          <w:sz w:val="20"/>
          <w:szCs w:val="20"/>
        </w:rPr>
        <w:t>report</w:t>
      </w:r>
      <w:r w:rsidR="00067874" w:rsidRPr="00211EB6">
        <w:rPr>
          <w:sz w:val="20"/>
          <w:szCs w:val="20"/>
        </w:rPr>
        <w:t>Van</w:t>
      </w:r>
      <w:proofErr w:type="spellEnd"/>
      <w:r w:rsidR="00067874" w:rsidRPr="00211EB6">
        <w:rPr>
          <w:sz w:val="20"/>
          <w:szCs w:val="20"/>
        </w:rPr>
        <w:t xml:space="preserve"> der </w:t>
      </w:r>
      <w:proofErr w:type="spellStart"/>
      <w:r w:rsidR="00067874" w:rsidRPr="00211EB6">
        <w:rPr>
          <w:sz w:val="20"/>
          <w:szCs w:val="20"/>
        </w:rPr>
        <w:t>Gon</w:t>
      </w:r>
      <w:proofErr w:type="spellEnd"/>
      <w:r w:rsidR="00067874" w:rsidRPr="00211EB6">
        <w:rPr>
          <w:sz w:val="20"/>
          <w:szCs w:val="20"/>
        </w:rPr>
        <w:t xml:space="preserve">, H.D, </w:t>
      </w:r>
      <w:proofErr w:type="spellStart"/>
      <w:r w:rsidR="00067874" w:rsidRPr="00211EB6">
        <w:rPr>
          <w:sz w:val="20"/>
          <w:szCs w:val="20"/>
        </w:rPr>
        <w:t>Bolscher</w:t>
      </w:r>
      <w:proofErr w:type="spellEnd"/>
      <w:r w:rsidR="00067874" w:rsidRPr="00211EB6">
        <w:rPr>
          <w:sz w:val="20"/>
          <w:szCs w:val="20"/>
        </w:rPr>
        <w:t xml:space="preserve">, M., </w:t>
      </w:r>
      <w:proofErr w:type="spellStart"/>
      <w:r w:rsidR="00067874" w:rsidRPr="00211EB6">
        <w:rPr>
          <w:sz w:val="20"/>
          <w:szCs w:val="20"/>
        </w:rPr>
        <w:t>Visschedijk</w:t>
      </w:r>
      <w:proofErr w:type="spellEnd"/>
      <w:r w:rsidR="00067874" w:rsidRPr="00211EB6">
        <w:rPr>
          <w:sz w:val="20"/>
          <w:szCs w:val="20"/>
        </w:rPr>
        <w:t xml:space="preserve">, A., </w:t>
      </w:r>
      <w:proofErr w:type="spellStart"/>
      <w:r w:rsidR="00067874" w:rsidRPr="00211EB6">
        <w:rPr>
          <w:sz w:val="20"/>
          <w:szCs w:val="20"/>
        </w:rPr>
        <w:t>Zandveld</w:t>
      </w:r>
      <w:proofErr w:type="spellEnd"/>
      <w:r w:rsidR="00067874" w:rsidRPr="00211EB6">
        <w:rPr>
          <w:sz w:val="20"/>
          <w:szCs w:val="20"/>
        </w:rPr>
        <w:t xml:space="preserve">, A. (2007) Emissions of persistent organic pollutants and eight candidate POPs from UNECE–Europe in 2000, 2010 and 2020 and the emission reduction resulting from the implementation of the UNECE POP protocol. Atmospheric Environment, 41: 9245–9261. </w:t>
      </w:r>
    </w:p>
    <w:p w14:paraId="7F2A417B" w14:textId="77777777" w:rsidR="00067874" w:rsidRPr="00211EB6" w:rsidRDefault="00067874">
      <w:pPr>
        <w:spacing w:after="120"/>
        <w:rPr>
          <w:sz w:val="20"/>
          <w:szCs w:val="20"/>
        </w:rPr>
      </w:pPr>
      <w:r w:rsidRPr="00211EB6">
        <w:rPr>
          <w:sz w:val="20"/>
          <w:szCs w:val="20"/>
        </w:rPr>
        <w:t xml:space="preserve">Wang, Y., Wang, Y., </w:t>
      </w:r>
      <w:proofErr w:type="spellStart"/>
      <w:r w:rsidRPr="00211EB6">
        <w:rPr>
          <w:sz w:val="20"/>
          <w:szCs w:val="20"/>
        </w:rPr>
        <w:t>Huo</w:t>
      </w:r>
      <w:proofErr w:type="spellEnd"/>
      <w:r w:rsidRPr="00211EB6">
        <w:rPr>
          <w:sz w:val="20"/>
          <w:szCs w:val="20"/>
        </w:rPr>
        <w:t xml:space="preserve">, X., Zhu, Y. (2015) </w:t>
      </w:r>
      <w:proofErr w:type="gramStart"/>
      <w:r w:rsidRPr="00211EB6">
        <w:rPr>
          <w:sz w:val="20"/>
          <w:szCs w:val="20"/>
        </w:rPr>
        <w:t>Why</w:t>
      </w:r>
      <w:proofErr w:type="gramEnd"/>
      <w:r w:rsidRPr="00211EB6">
        <w:rPr>
          <w:sz w:val="20"/>
          <w:szCs w:val="20"/>
        </w:rPr>
        <w:t xml:space="preserve"> some restricted pesticides are still chosen by some farmers in China? </w:t>
      </w:r>
      <w:proofErr w:type="gramStart"/>
      <w:r w:rsidRPr="00211EB6">
        <w:rPr>
          <w:sz w:val="20"/>
          <w:szCs w:val="20"/>
        </w:rPr>
        <w:t>Empirical evidence from a survey of vegetable and apple growers.</w:t>
      </w:r>
      <w:proofErr w:type="gramEnd"/>
      <w:r w:rsidRPr="00211EB6">
        <w:rPr>
          <w:sz w:val="20"/>
          <w:szCs w:val="20"/>
        </w:rPr>
        <w:t xml:space="preserve"> Food Control, 51: 417-424.</w:t>
      </w:r>
    </w:p>
    <w:p w14:paraId="77D5CCB1" w14:textId="52DF9332" w:rsidR="003D7537" w:rsidRPr="00211EB6" w:rsidRDefault="003D7537">
      <w:pPr>
        <w:spacing w:after="120"/>
        <w:rPr>
          <w:sz w:val="20"/>
        </w:rPr>
      </w:pPr>
      <w:r w:rsidRPr="00211EB6">
        <w:rPr>
          <w:sz w:val="20"/>
          <w:szCs w:val="20"/>
        </w:rPr>
        <w:t xml:space="preserve">WHO (1996) International Programme on Chemical Safety, </w:t>
      </w:r>
      <w:proofErr w:type="spellStart"/>
      <w:r w:rsidRPr="00211EB6">
        <w:rPr>
          <w:sz w:val="20"/>
          <w:szCs w:val="20"/>
        </w:rPr>
        <w:t>Dicofol</w:t>
      </w:r>
      <w:proofErr w:type="spellEnd"/>
      <w:r w:rsidRPr="00211EB6">
        <w:rPr>
          <w:sz w:val="20"/>
          <w:szCs w:val="20"/>
        </w:rPr>
        <w:t xml:space="preserve">, WHO/FAO Data Sheets on Pesticides No. 81 World Health </w:t>
      </w:r>
      <w:r w:rsidR="009D32FB" w:rsidRPr="00211EB6">
        <w:rPr>
          <w:sz w:val="20"/>
          <w:szCs w:val="20"/>
        </w:rPr>
        <w:t xml:space="preserve">Organization. Geneva, July 1996. </w:t>
      </w:r>
      <w:r w:rsidRPr="00211EB6">
        <w:rPr>
          <w:sz w:val="20"/>
          <w:szCs w:val="20"/>
        </w:rPr>
        <w:t>(</w:t>
      </w:r>
      <w:r w:rsidR="004C73BE" w:rsidRPr="00211EB6">
        <w:rPr>
          <w:sz w:val="20"/>
          <w:szCs w:val="20"/>
        </w:rPr>
        <w:t>http://apps.who.int/iris/bitstream/10665/63282/1/WHO_PCS_DS_96.81.pdf</w:t>
      </w:r>
      <w:r w:rsidRPr="00211EB6">
        <w:rPr>
          <w:sz w:val="20"/>
          <w:szCs w:val="20"/>
        </w:rPr>
        <w:t>).</w:t>
      </w:r>
    </w:p>
    <w:tbl>
      <w:tblPr>
        <w:tblW w:w="5000" w:type="pct"/>
        <w:jc w:val="right"/>
        <w:tblLook w:val="04A0" w:firstRow="1" w:lastRow="0" w:firstColumn="1" w:lastColumn="0" w:noHBand="0" w:noVBand="1"/>
      </w:tblPr>
      <w:tblGrid>
        <w:gridCol w:w="1943"/>
        <w:gridCol w:w="1943"/>
        <w:gridCol w:w="1943"/>
        <w:gridCol w:w="1944"/>
        <w:gridCol w:w="1944"/>
      </w:tblGrid>
      <w:tr w:rsidR="003C4E63" w:rsidRPr="00211EB6" w14:paraId="3C107E25" w14:textId="77777777" w:rsidTr="005549C8">
        <w:trPr>
          <w:jc w:val="right"/>
        </w:trPr>
        <w:tc>
          <w:tcPr>
            <w:tcW w:w="1942" w:type="dxa"/>
            <w:shd w:val="clear" w:color="auto" w:fill="auto"/>
          </w:tcPr>
          <w:p w14:paraId="30B188B0" w14:textId="73406F9F" w:rsidR="003C4E63" w:rsidRPr="00211EB6" w:rsidRDefault="003C4E63" w:rsidP="005549C8">
            <w:pPr>
              <w:pStyle w:val="Normal-pool"/>
              <w:spacing w:before="520"/>
            </w:pPr>
          </w:p>
        </w:tc>
        <w:tc>
          <w:tcPr>
            <w:tcW w:w="1942" w:type="dxa"/>
            <w:shd w:val="clear" w:color="auto" w:fill="auto"/>
          </w:tcPr>
          <w:p w14:paraId="25D58AA0" w14:textId="77777777" w:rsidR="003C4E63" w:rsidRPr="00211EB6" w:rsidRDefault="003C4E63" w:rsidP="005549C8">
            <w:pPr>
              <w:pStyle w:val="Normal-pool"/>
              <w:spacing w:before="520"/>
            </w:pPr>
          </w:p>
        </w:tc>
        <w:tc>
          <w:tcPr>
            <w:tcW w:w="1942" w:type="dxa"/>
            <w:tcBorders>
              <w:bottom w:val="single" w:sz="4" w:space="0" w:color="auto"/>
            </w:tcBorders>
            <w:shd w:val="clear" w:color="auto" w:fill="auto"/>
          </w:tcPr>
          <w:p w14:paraId="0C33E8EE" w14:textId="77777777" w:rsidR="003C4E63" w:rsidRPr="00211EB6" w:rsidRDefault="003C4E63" w:rsidP="005549C8">
            <w:pPr>
              <w:pStyle w:val="Normal-pool"/>
              <w:spacing w:before="520"/>
            </w:pPr>
          </w:p>
        </w:tc>
        <w:tc>
          <w:tcPr>
            <w:tcW w:w="1943" w:type="dxa"/>
            <w:shd w:val="clear" w:color="auto" w:fill="auto"/>
          </w:tcPr>
          <w:p w14:paraId="3E7BACE8" w14:textId="77777777" w:rsidR="003C4E63" w:rsidRPr="00211EB6" w:rsidRDefault="003C4E63" w:rsidP="005549C8">
            <w:pPr>
              <w:pStyle w:val="Normal-pool"/>
              <w:spacing w:before="520"/>
            </w:pPr>
          </w:p>
        </w:tc>
        <w:tc>
          <w:tcPr>
            <w:tcW w:w="1943" w:type="dxa"/>
            <w:shd w:val="clear" w:color="auto" w:fill="auto"/>
          </w:tcPr>
          <w:p w14:paraId="29A50DD5" w14:textId="77777777" w:rsidR="003C4E63" w:rsidRPr="00211EB6" w:rsidRDefault="003C4E63" w:rsidP="005549C8">
            <w:pPr>
              <w:pStyle w:val="Normal-pool"/>
              <w:spacing w:before="520"/>
            </w:pPr>
          </w:p>
        </w:tc>
      </w:tr>
    </w:tbl>
    <w:p w14:paraId="601A9A8F" w14:textId="45358163" w:rsidR="00490044" w:rsidRPr="00211EB6" w:rsidRDefault="00490044">
      <w:pPr>
        <w:spacing w:after="120"/>
        <w:jc w:val="center"/>
        <w:rPr>
          <w:sz w:val="20"/>
          <w:szCs w:val="20"/>
        </w:rPr>
      </w:pPr>
    </w:p>
    <w:sectPr w:rsidR="00490044" w:rsidRPr="00211EB6" w:rsidSect="00307F16">
      <w:type w:val="continuous"/>
      <w:pgSz w:w="11906" w:h="16838" w:code="9"/>
      <w:pgMar w:top="907" w:right="994" w:bottom="1411" w:left="1411" w:header="533" w:footer="9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8BAF9" w14:textId="77777777" w:rsidR="005549C8" w:rsidRDefault="005549C8" w:rsidP="00AC4CE6">
      <w:r>
        <w:separator/>
      </w:r>
    </w:p>
  </w:endnote>
  <w:endnote w:type="continuationSeparator" w:id="0">
    <w:p w14:paraId="6B382106" w14:textId="77777777" w:rsidR="005549C8" w:rsidRDefault="005549C8" w:rsidP="00AC4CE6">
      <w:r>
        <w:continuationSeparator/>
      </w:r>
    </w:p>
  </w:endnote>
  <w:endnote w:type="continuationNotice" w:id="1">
    <w:p w14:paraId="39CCE59D" w14:textId="77777777" w:rsidR="005549C8" w:rsidRDefault="0055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vPTimesI">
    <w:altName w:val="Cambria"/>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7160" w14:textId="05483D6C" w:rsidR="005549C8" w:rsidRPr="004D2782" w:rsidRDefault="005549C8"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ED4F14">
      <w:rPr>
        <w:rStyle w:val="PageNumber"/>
        <w:rFonts w:ascii="Times New Roman" w:hAnsi="Times New Roman"/>
        <w:b/>
        <w:noProof/>
        <w:sz w:val="18"/>
        <w:szCs w:val="18"/>
      </w:rPr>
      <w:t>4</w:t>
    </w:r>
    <w:r w:rsidRPr="004D2782">
      <w:rPr>
        <w:rStyle w:val="PageNumber"/>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FF46" w14:textId="3A216BBE" w:rsidR="005549C8" w:rsidRPr="00490044" w:rsidRDefault="005549C8" w:rsidP="00490044">
    <w:pPr>
      <w:pStyle w:val="Footer"/>
      <w:framePr w:wrap="around" w:vAnchor="text" w:hAnchor="margin" w:xAlign="outside" w:y="1"/>
      <w:rPr>
        <w:rStyle w:val="PageNumber"/>
        <w:rFonts w:ascii="Times New Roman" w:hAnsi="Times New Roman"/>
        <w:b/>
        <w:sz w:val="18"/>
        <w:szCs w:val="18"/>
      </w:rPr>
    </w:pPr>
    <w:r w:rsidRPr="00490044">
      <w:rPr>
        <w:rStyle w:val="PageNumber"/>
        <w:rFonts w:ascii="Times New Roman" w:hAnsi="Times New Roman"/>
        <w:b/>
        <w:sz w:val="18"/>
        <w:szCs w:val="18"/>
      </w:rPr>
      <w:fldChar w:fldCharType="begin"/>
    </w:r>
    <w:r w:rsidRPr="00490044">
      <w:rPr>
        <w:rStyle w:val="PageNumber"/>
        <w:rFonts w:ascii="Times New Roman" w:hAnsi="Times New Roman"/>
        <w:b/>
        <w:sz w:val="18"/>
        <w:szCs w:val="18"/>
      </w:rPr>
      <w:instrText xml:space="preserve">PAGE  </w:instrText>
    </w:r>
    <w:r w:rsidRPr="00490044">
      <w:rPr>
        <w:rStyle w:val="PageNumber"/>
        <w:rFonts w:ascii="Times New Roman" w:hAnsi="Times New Roman"/>
        <w:b/>
        <w:sz w:val="18"/>
        <w:szCs w:val="18"/>
      </w:rPr>
      <w:fldChar w:fldCharType="separate"/>
    </w:r>
    <w:r w:rsidR="00ED4F14">
      <w:rPr>
        <w:rStyle w:val="PageNumber"/>
        <w:rFonts w:ascii="Times New Roman" w:hAnsi="Times New Roman"/>
        <w:b/>
        <w:noProof/>
        <w:sz w:val="18"/>
        <w:szCs w:val="18"/>
      </w:rPr>
      <w:t>5</w:t>
    </w:r>
    <w:r w:rsidRPr="00490044">
      <w:rPr>
        <w:rStyle w:val="PageNumber"/>
        <w:rFonts w:ascii="Times New Roman" w:hAnsi="Times New Roman"/>
        <w:b/>
        <w:sz w:val="18"/>
        <w:szCs w:val="18"/>
      </w:rPr>
      <w:fldChar w:fldCharType="end"/>
    </w:r>
  </w:p>
  <w:p w14:paraId="1861F148" w14:textId="77777777" w:rsidR="005549C8" w:rsidRPr="001517FF" w:rsidRDefault="005549C8" w:rsidP="00E5121E">
    <w:pPr>
      <w:pStyle w:val="Footer"/>
      <w:ind w:right="360" w:firstLine="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5B2C" w14:textId="05B5168F" w:rsidR="005549C8" w:rsidRPr="003C4E63" w:rsidRDefault="005549C8" w:rsidP="003C4E63">
    <w:pPr>
      <w:pStyle w:val="Footer"/>
      <w:tabs>
        <w:tab w:val="clear" w:pos="4536"/>
        <w:tab w:val="clear" w:pos="9072"/>
      </w:tabs>
      <w:spacing w:before="60" w:after="120" w:line="240" w:lineRule="auto"/>
      <w:jc w:val="left"/>
      <w:rPr>
        <w:rFonts w:ascii="Times New Roman" w:hAnsi="Times New Roman" w:cs="Times New Roman"/>
      </w:rPr>
    </w:pPr>
    <w:r w:rsidRPr="003C4E63">
      <w:rPr>
        <w:rFonts w:ascii="Times New Roman" w:hAnsi="Times New Roman" w:cs="Times New Roman"/>
      </w:rPr>
      <w:t>K1706992</w:t>
    </w:r>
    <w:r w:rsidRPr="003C4E63">
      <w:rPr>
        <w:rFonts w:ascii="Times New Roman" w:hAnsi="Times New Roman" w:cs="Times New Roman"/>
      </w:rPr>
      <w:tab/>
    </w:r>
    <w:r>
      <w:rPr>
        <w:rFonts w:ascii="Times New Roman" w:hAnsi="Times New Roman" w:cs="Times New Roman"/>
      </w:rPr>
      <w:t>2</w:t>
    </w:r>
    <w:r w:rsidR="00332B2F">
      <w:rPr>
        <w:rFonts w:ascii="Times New Roman" w:hAnsi="Times New Roman" w:cs="Times New Roman"/>
      </w:rPr>
      <w:t>2</w:t>
    </w:r>
    <w:r>
      <w:rPr>
        <w:rFonts w:ascii="Times New Roman" w:hAnsi="Times New Roman" w:cs="Times New Roman"/>
      </w:rPr>
      <w:t>08</w:t>
    </w:r>
    <w:r w:rsidRPr="003C4E63">
      <w:rPr>
        <w:rFonts w:ascii="Times New Roman" w:hAnsi="Times New Roman" w:cs="Times New Roma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E1A9" w14:textId="77777777" w:rsidR="005549C8" w:rsidRPr="00211EB6" w:rsidRDefault="005549C8" w:rsidP="00211EB6">
      <w:pPr>
        <w:spacing w:before="60"/>
        <w:ind w:left="624"/>
        <w:rPr>
          <w:sz w:val="20"/>
          <w:szCs w:val="20"/>
        </w:rPr>
      </w:pPr>
      <w:r w:rsidRPr="00211EB6">
        <w:rPr>
          <w:sz w:val="20"/>
          <w:szCs w:val="20"/>
        </w:rPr>
        <w:separator/>
      </w:r>
    </w:p>
  </w:footnote>
  <w:footnote w:type="continuationSeparator" w:id="0">
    <w:p w14:paraId="202930E2" w14:textId="77777777" w:rsidR="005549C8" w:rsidRDefault="005549C8" w:rsidP="00AC4CE6">
      <w:r>
        <w:continuationSeparator/>
      </w:r>
    </w:p>
  </w:footnote>
  <w:footnote w:type="continuationNotice" w:id="1">
    <w:p w14:paraId="5CE1A1DE" w14:textId="77777777" w:rsidR="005549C8" w:rsidRDefault="005549C8"/>
  </w:footnote>
  <w:footnote w:id="2">
    <w:p w14:paraId="29883900" w14:textId="77777777" w:rsidR="005549C8" w:rsidRPr="003C4E63" w:rsidRDefault="005549C8" w:rsidP="00211EB6">
      <w:pPr>
        <w:pStyle w:val="FootnoteText"/>
        <w:tabs>
          <w:tab w:val="left" w:pos="624"/>
        </w:tabs>
        <w:spacing w:before="20" w:after="40" w:line="240" w:lineRule="auto"/>
        <w:ind w:left="1247"/>
        <w:rPr>
          <w:rStyle w:val="FootnoteReference"/>
          <w:rFonts w:ascii="Times New Roman" w:hAnsi="Times New Roman"/>
          <w:sz w:val="18"/>
          <w:szCs w:val="18"/>
          <w:vertAlign w:val="baseline"/>
        </w:rPr>
      </w:pPr>
      <w:r w:rsidRPr="003C4E63">
        <w:rPr>
          <w:rStyle w:val="FootnoteReference"/>
          <w:rFonts w:ascii="Times New Roman" w:hAnsi="Times New Roman"/>
          <w:sz w:val="18"/>
          <w:szCs w:val="18"/>
          <w:vertAlign w:val="baseline"/>
          <w:lang w:val="en-US"/>
        </w:rPr>
        <w:t>*</w:t>
      </w:r>
      <w:r w:rsidRPr="003C4E63">
        <w:rPr>
          <w:rFonts w:ascii="Times New Roman" w:hAnsi="Times New Roman"/>
          <w:sz w:val="18"/>
          <w:szCs w:val="18"/>
          <w:lang w:val="en-US"/>
        </w:rPr>
        <w:t xml:space="preserve"> </w:t>
      </w:r>
      <w:r w:rsidRPr="003C4E63">
        <w:rPr>
          <w:rStyle w:val="FootnoteReference"/>
          <w:rFonts w:ascii="Times New Roman" w:hAnsi="Times New Roman"/>
          <w:sz w:val="18"/>
          <w:szCs w:val="18"/>
          <w:vertAlign w:val="baseline"/>
          <w:lang w:val="en-US"/>
        </w:rPr>
        <w:t>UNEP/POPS/POPRC.</w:t>
      </w:r>
      <w:r w:rsidRPr="003C4E63">
        <w:rPr>
          <w:rFonts w:ascii="Times New Roman" w:hAnsi="Times New Roman"/>
          <w:sz w:val="18"/>
          <w:szCs w:val="18"/>
          <w:lang w:val="en-US"/>
        </w:rPr>
        <w:t>13</w:t>
      </w:r>
      <w:r w:rsidRPr="003C4E63">
        <w:rPr>
          <w:rStyle w:val="FootnoteReference"/>
          <w:rFonts w:ascii="Times New Roman" w:hAnsi="Times New Roman"/>
          <w:sz w:val="18"/>
          <w:szCs w:val="18"/>
          <w:vertAlign w:val="baseline"/>
          <w:lang w:val="en-US"/>
        </w:rPr>
        <w:t>/1.</w:t>
      </w:r>
    </w:p>
  </w:footnote>
  <w:footnote w:id="3">
    <w:p w14:paraId="269CCCB7" w14:textId="1CAAEBF8" w:rsidR="005549C8" w:rsidRPr="00412BCA" w:rsidRDefault="005549C8" w:rsidP="00211EB6">
      <w:pPr>
        <w:pStyle w:val="FootnoteText"/>
        <w:tabs>
          <w:tab w:val="left" w:pos="624"/>
        </w:tabs>
        <w:spacing w:before="20" w:after="40" w:line="240" w:lineRule="auto"/>
        <w:ind w:left="1247"/>
        <w:rPr>
          <w:rFonts w:ascii="Times New Roman" w:hAnsi="Times New Roman"/>
          <w:sz w:val="18"/>
          <w:szCs w:val="18"/>
        </w:rPr>
      </w:pPr>
      <w:r w:rsidRPr="00412BCA">
        <w:rPr>
          <w:rStyle w:val="FootnoteReference"/>
          <w:rFonts w:ascii="Times New Roman" w:hAnsi="Times New Roman"/>
          <w:sz w:val="18"/>
          <w:szCs w:val="18"/>
        </w:rPr>
        <w:footnoteRef/>
      </w:r>
      <w:r w:rsidRPr="00F0193D">
        <w:rPr>
          <w:rFonts w:ascii="Times New Roman" w:hAnsi="Times New Roman"/>
          <w:sz w:val="18"/>
          <w:szCs w:val="18"/>
        </w:rPr>
        <w:t xml:space="preserve"> </w:t>
      </w:r>
      <w:hyperlink r:id="rId1" w:history="1">
        <w:r w:rsidRPr="00412BCA">
          <w:rPr>
            <w:rStyle w:val="Hyperlink"/>
            <w:rFonts w:ascii="Times New Roman" w:hAnsi="Times New Roman"/>
            <w:color w:val="auto"/>
            <w:sz w:val="18"/>
            <w:szCs w:val="18"/>
            <w:u w:val="none"/>
          </w:rPr>
          <w:t>http://www.fao.org/agriculture/crops/thematic-sitemap/theme/pests/code/hhp/en/</w:t>
        </w:r>
      </w:hyperlink>
      <w:r>
        <w:rPr>
          <w:rStyle w:val="Hyperlink"/>
          <w:rFonts w:ascii="Times New Roman" w:hAnsi="Times New Roman"/>
          <w:color w:val="auto"/>
          <w:sz w:val="18"/>
          <w:szCs w:val="18"/>
          <w:u w:val="none"/>
        </w:rPr>
        <w:t>.</w:t>
      </w:r>
    </w:p>
  </w:footnote>
  <w:footnote w:id="4">
    <w:p w14:paraId="60085256" w14:textId="1D98501B" w:rsidR="005549C8" w:rsidRPr="002A7C57" w:rsidRDefault="005549C8" w:rsidP="00211EB6">
      <w:pPr>
        <w:pStyle w:val="FootnoteText"/>
        <w:tabs>
          <w:tab w:val="left" w:pos="624"/>
        </w:tabs>
        <w:spacing w:before="20" w:after="40" w:line="240" w:lineRule="auto"/>
        <w:ind w:left="1247"/>
        <w:rPr>
          <w:rFonts w:ascii="Times New Roman" w:hAnsi="Times New Roman"/>
          <w:sz w:val="18"/>
          <w:szCs w:val="18"/>
        </w:rPr>
      </w:pPr>
      <w:r w:rsidRPr="002A7C57">
        <w:rPr>
          <w:rStyle w:val="FootnoteReference"/>
          <w:rFonts w:ascii="Times New Roman" w:hAnsi="Times New Roman"/>
          <w:sz w:val="18"/>
          <w:szCs w:val="18"/>
        </w:rPr>
        <w:footnoteRef/>
      </w:r>
      <w:r w:rsidRPr="002A7C57">
        <w:rPr>
          <w:rFonts w:ascii="Times New Roman" w:hAnsi="Times New Roman"/>
          <w:sz w:val="18"/>
          <w:szCs w:val="18"/>
        </w:rPr>
        <w:t xml:space="preserve"> </w:t>
      </w:r>
      <w:hyperlink r:id="rId2" w:history="1">
        <w:r w:rsidRPr="002A7C57">
          <w:rPr>
            <w:rStyle w:val="Hyperlink"/>
            <w:rFonts w:ascii="Times New Roman" w:hAnsi="Times New Roman"/>
            <w:sz w:val="18"/>
            <w:szCs w:val="18"/>
          </w:rPr>
          <w:t>www.cibrc.nic.in/biopesticides.doc</w:t>
        </w:r>
      </w:hyperlink>
      <w:r w:rsidRPr="002A7C57">
        <w:rPr>
          <w:rFonts w:ascii="Times New Roman" w:hAnsi="Times New Roman"/>
          <w:sz w:val="18"/>
          <w:szCs w:val="18"/>
        </w:rPr>
        <w:t xml:space="preserve">. </w:t>
      </w:r>
    </w:p>
  </w:footnote>
  <w:footnote w:id="5">
    <w:p w14:paraId="68D3CD66" w14:textId="32F60DCB" w:rsidR="005549C8" w:rsidRPr="002A7C57" w:rsidRDefault="005549C8" w:rsidP="00211EB6">
      <w:pPr>
        <w:pStyle w:val="FootnoteText"/>
        <w:tabs>
          <w:tab w:val="left" w:pos="624"/>
        </w:tabs>
        <w:spacing w:before="20" w:after="40" w:line="240" w:lineRule="auto"/>
        <w:ind w:left="1247"/>
        <w:rPr>
          <w:rFonts w:ascii="Times New Roman" w:hAnsi="Times New Roman"/>
        </w:rPr>
      </w:pPr>
      <w:r w:rsidRPr="002A7C57">
        <w:rPr>
          <w:rStyle w:val="FootnoteReference"/>
          <w:rFonts w:ascii="Times New Roman" w:hAnsi="Times New Roman"/>
          <w:sz w:val="18"/>
          <w:szCs w:val="18"/>
        </w:rPr>
        <w:footnoteRef/>
      </w:r>
      <w:r w:rsidRPr="002A7C57">
        <w:rPr>
          <w:rFonts w:ascii="Times New Roman" w:hAnsi="Times New Roman"/>
          <w:sz w:val="18"/>
          <w:szCs w:val="18"/>
        </w:rPr>
        <w:t xml:space="preserve"> </w:t>
      </w:r>
      <w:hyperlink r:id="rId3" w:history="1">
        <w:r w:rsidRPr="002A7C57">
          <w:rPr>
            <w:rStyle w:val="Hyperlink"/>
            <w:rFonts w:ascii="Times New Roman" w:hAnsi="Times New Roman"/>
            <w:sz w:val="18"/>
            <w:szCs w:val="18"/>
          </w:rPr>
          <w:t>http://www.pcpb.or.ke/cropproductsviewform.php</w:t>
        </w:r>
      </w:hyperlink>
      <w:r w:rsidRPr="002A7C57">
        <w:rPr>
          <w:rStyle w:val="Hyperlink"/>
          <w:rFonts w:ascii="Times New Roman" w:hAnsi="Times New Roman"/>
          <w:sz w:val="18"/>
          <w:szCs w:val="18"/>
        </w:rPr>
        <w:t>.</w:t>
      </w:r>
    </w:p>
  </w:footnote>
  <w:footnote w:id="6">
    <w:p w14:paraId="158B324D" w14:textId="645470AF" w:rsidR="005549C8" w:rsidRPr="00307F16" w:rsidRDefault="005549C8" w:rsidP="00211EB6">
      <w:pPr>
        <w:pStyle w:val="FootnoteText"/>
        <w:tabs>
          <w:tab w:val="left" w:pos="624"/>
        </w:tabs>
        <w:spacing w:before="20" w:after="40" w:line="240" w:lineRule="auto"/>
        <w:ind w:left="1247"/>
        <w:rPr>
          <w:rFonts w:ascii="Times New Roman" w:hAnsi="Times New Roman"/>
          <w:sz w:val="18"/>
          <w:szCs w:val="18"/>
        </w:rPr>
      </w:pPr>
      <w:r w:rsidRPr="00B11AE3">
        <w:rPr>
          <w:rStyle w:val="FootnoteReference"/>
          <w:rFonts w:ascii="Times New Roman" w:hAnsi="Times New Roman"/>
          <w:sz w:val="18"/>
          <w:szCs w:val="18"/>
        </w:rPr>
        <w:footnoteRef/>
      </w:r>
      <w:r w:rsidRPr="00B11AE3">
        <w:rPr>
          <w:rFonts w:ascii="Times New Roman" w:hAnsi="Times New Roman"/>
          <w:sz w:val="18"/>
          <w:szCs w:val="18"/>
        </w:rPr>
        <w:t xml:space="preserve"> </w:t>
      </w:r>
      <w:hyperlink r:id="rId4" w:history="1">
        <w:r w:rsidRPr="00B11AE3">
          <w:rPr>
            <w:rStyle w:val="Hyperlink"/>
            <w:rFonts w:ascii="Times New Roman" w:hAnsi="Times New Roman"/>
            <w:sz w:val="18"/>
            <w:szCs w:val="18"/>
            <w:lang w:val="en-US"/>
          </w:rPr>
          <w:t>http://www.unece.org/fileadmin/DAM/env/documents/2013/air/eb/ECE_EB.AIR_122_E.pdf</w:t>
        </w:r>
      </w:hyperlink>
      <w:r w:rsidRPr="00B11AE3">
        <w:rPr>
          <w:rFonts w:ascii="Times New Roman" w:hAnsi="Times New Roman"/>
          <w:sz w:val="18"/>
          <w:szCs w:val="18"/>
          <w:lang w:val="en-US"/>
        </w:rPr>
        <w:t>.</w:t>
      </w:r>
      <w:r>
        <w:rPr>
          <w:rFonts w:ascii="Times New Roman" w:hAnsi="Times New Roman"/>
          <w:sz w:val="18"/>
          <w:szCs w:val="18"/>
          <w:lang w:val="en-US"/>
        </w:rPr>
        <w:t xml:space="preserve"> </w:t>
      </w:r>
    </w:p>
  </w:footnote>
  <w:footnote w:id="7">
    <w:p w14:paraId="2AEF4F72" w14:textId="32232B25" w:rsidR="005549C8" w:rsidRPr="0086115E" w:rsidRDefault="005549C8" w:rsidP="00211EB6">
      <w:pPr>
        <w:pStyle w:val="FootnoteText"/>
        <w:tabs>
          <w:tab w:val="left" w:pos="624"/>
        </w:tabs>
        <w:snapToGrid w:val="0"/>
        <w:spacing w:before="20" w:after="40" w:line="240" w:lineRule="auto"/>
        <w:ind w:left="1247"/>
        <w:rPr>
          <w:rFonts w:ascii="Times New Roman" w:hAnsi="Times New Roman"/>
          <w:sz w:val="18"/>
          <w:szCs w:val="18"/>
        </w:rPr>
      </w:pPr>
      <w:r w:rsidRPr="0086115E">
        <w:rPr>
          <w:rStyle w:val="FootnoteReference"/>
          <w:rFonts w:ascii="Times New Roman" w:hAnsi="Times New Roman"/>
          <w:sz w:val="18"/>
          <w:szCs w:val="18"/>
        </w:rPr>
        <w:footnoteRef/>
      </w:r>
      <w:r w:rsidRPr="0086115E">
        <w:rPr>
          <w:rFonts w:ascii="Times New Roman" w:hAnsi="Times New Roman"/>
          <w:sz w:val="18"/>
          <w:szCs w:val="18"/>
        </w:rPr>
        <w:t xml:space="preserve"> </w:t>
      </w:r>
      <w:hyperlink r:id="rId5" w:history="1">
        <w:r w:rsidRPr="0086115E">
          <w:rPr>
            <w:rStyle w:val="Hyperlink"/>
            <w:rFonts w:ascii="Times New Roman" w:hAnsi="Times New Roman"/>
            <w:sz w:val="18"/>
            <w:szCs w:val="18"/>
          </w:rPr>
          <w:t>http://chm.pops.int/Implementation/Exemptions/Closedsystemsitelimited/tabid/453/Default.aspx</w:t>
        </w:r>
      </w:hyperlink>
      <w:r>
        <w:rPr>
          <w:rStyle w:val="Hyperlink"/>
          <w:rFonts w:ascii="Times New Roman" w:hAnsi="Times New Roman"/>
          <w:sz w:val="18"/>
          <w:szCs w:val="18"/>
        </w:rPr>
        <w:t>.</w:t>
      </w:r>
    </w:p>
  </w:footnote>
  <w:footnote w:id="8">
    <w:p w14:paraId="1815649B" w14:textId="77777777" w:rsidR="005549C8" w:rsidRPr="001C4049" w:rsidRDefault="005549C8" w:rsidP="00211EB6">
      <w:pPr>
        <w:pStyle w:val="FootnoteText"/>
        <w:tabs>
          <w:tab w:val="left" w:pos="624"/>
        </w:tabs>
        <w:snapToGrid w:val="0"/>
        <w:spacing w:before="20" w:after="40" w:line="240" w:lineRule="auto"/>
        <w:ind w:left="1247"/>
        <w:rPr>
          <w:rFonts w:ascii="Times New Roman" w:hAnsi="Times New Roman"/>
          <w:sz w:val="18"/>
          <w:szCs w:val="18"/>
        </w:rPr>
      </w:pPr>
      <w:r w:rsidRPr="001C4049">
        <w:rPr>
          <w:rStyle w:val="FootnoteReference"/>
          <w:rFonts w:ascii="Times New Roman" w:hAnsi="Times New Roman"/>
          <w:sz w:val="18"/>
          <w:szCs w:val="18"/>
        </w:rPr>
        <w:footnoteRef/>
      </w:r>
      <w:r w:rsidRPr="001C4049">
        <w:rPr>
          <w:rFonts w:ascii="Times New Roman" w:hAnsi="Times New Roman"/>
          <w:sz w:val="18"/>
          <w:szCs w:val="18"/>
        </w:rPr>
        <w:t xml:space="preserve"> </w:t>
      </w:r>
      <w:hyperlink r:id="rId6" w:history="1">
        <w:r w:rsidRPr="001C4049">
          <w:rPr>
            <w:rStyle w:val="Hyperlink"/>
            <w:rFonts w:ascii="Times New Roman" w:hAnsi="Times New Roman"/>
            <w:sz w:val="18"/>
            <w:szCs w:val="18"/>
            <w:lang w:val="en-US"/>
          </w:rPr>
          <w:t>http://eur-lex.europa.eu/legal-content/EN/TXT/?uri=CELEX:32008D0764</w:t>
        </w:r>
      </w:hyperlink>
      <w:r w:rsidRPr="001C4049">
        <w:rPr>
          <w:rStyle w:val="Hyperlink"/>
          <w:rFonts w:ascii="Times New Roman" w:hAnsi="Times New Roman"/>
          <w:sz w:val="18"/>
          <w:szCs w:val="18"/>
          <w:u w:val="none"/>
          <w:lang w:val="en-US"/>
        </w:rPr>
        <w:t>.</w:t>
      </w:r>
      <w:r w:rsidRPr="001C4049">
        <w:rPr>
          <w:rFonts w:ascii="Times New Roman" w:hAnsi="Times New Roman"/>
          <w:sz w:val="18"/>
          <w:szCs w:val="18"/>
          <w:lang w:val="en-US"/>
        </w:rPr>
        <w:t xml:space="preserve"> </w:t>
      </w:r>
    </w:p>
  </w:footnote>
  <w:footnote w:id="9">
    <w:p w14:paraId="07C13D5E" w14:textId="77777777" w:rsidR="005549C8" w:rsidRPr="00700429" w:rsidRDefault="005549C8" w:rsidP="00211EB6">
      <w:pPr>
        <w:pStyle w:val="FootnoteText"/>
        <w:tabs>
          <w:tab w:val="left" w:pos="624"/>
        </w:tabs>
        <w:snapToGrid w:val="0"/>
        <w:spacing w:before="20" w:after="40" w:line="240" w:lineRule="auto"/>
        <w:ind w:left="1247"/>
        <w:rPr>
          <w:rFonts w:ascii="Times New Roman" w:hAnsi="Times New Roman"/>
          <w:sz w:val="18"/>
        </w:rPr>
      </w:pPr>
      <w:r w:rsidRPr="001C4049">
        <w:rPr>
          <w:rStyle w:val="FootnoteReference"/>
          <w:rFonts w:ascii="Times New Roman" w:hAnsi="Times New Roman"/>
          <w:sz w:val="18"/>
          <w:szCs w:val="18"/>
        </w:rPr>
        <w:footnoteRef/>
      </w:r>
      <w:r w:rsidRPr="001C4049">
        <w:rPr>
          <w:rFonts w:ascii="Times New Roman" w:hAnsi="Times New Roman"/>
          <w:sz w:val="18"/>
          <w:szCs w:val="18"/>
        </w:rPr>
        <w:t xml:space="preserve"> </w:t>
      </w:r>
      <w:hyperlink r:id="rId7" w:history="1">
        <w:r w:rsidRPr="001C4049">
          <w:rPr>
            <w:rStyle w:val="Hyperlink"/>
            <w:rFonts w:ascii="Times New Roman" w:hAnsi="Times New Roman"/>
            <w:sz w:val="18"/>
            <w:szCs w:val="18"/>
            <w:lang w:val="en-US"/>
          </w:rPr>
          <w:t>http://eur-lex.europa.eu/legal-content/EN/ALL/?uri=OJ:L:2012:167:TOC</w:t>
        </w:r>
      </w:hyperlink>
      <w:r w:rsidRPr="001C4049">
        <w:rPr>
          <w:rStyle w:val="Hyperlink"/>
          <w:rFonts w:ascii="Times New Roman" w:hAnsi="Times New Roman"/>
          <w:sz w:val="18"/>
          <w:szCs w:val="18"/>
          <w:u w:val="none"/>
          <w:lang w:val="en-US"/>
        </w:rPr>
        <w:t>.</w:t>
      </w:r>
    </w:p>
  </w:footnote>
  <w:footnote w:id="10">
    <w:p w14:paraId="31DF3124" w14:textId="756A034E" w:rsidR="005549C8" w:rsidRPr="00116F60" w:rsidRDefault="005549C8" w:rsidP="00211EB6">
      <w:pPr>
        <w:pStyle w:val="FootnoteText"/>
        <w:tabs>
          <w:tab w:val="left" w:pos="624"/>
        </w:tabs>
        <w:snapToGrid w:val="0"/>
        <w:spacing w:before="20" w:after="40" w:line="240" w:lineRule="auto"/>
        <w:ind w:left="1247"/>
        <w:rPr>
          <w:rFonts w:ascii="Times New Roman" w:hAnsi="Times New Roman"/>
          <w:sz w:val="18"/>
          <w:szCs w:val="18"/>
        </w:rPr>
      </w:pPr>
      <w:r w:rsidRPr="00700429">
        <w:rPr>
          <w:rStyle w:val="FootnoteReference"/>
          <w:rFonts w:ascii="Times New Roman" w:hAnsi="Times New Roman"/>
          <w:sz w:val="18"/>
          <w:szCs w:val="18"/>
        </w:rPr>
        <w:footnoteRef/>
      </w:r>
      <w:r w:rsidRPr="00700429">
        <w:rPr>
          <w:rFonts w:ascii="Times New Roman" w:hAnsi="Times New Roman"/>
          <w:sz w:val="18"/>
          <w:szCs w:val="18"/>
        </w:rPr>
        <w:t xml:space="preserve"> </w:t>
      </w:r>
      <w:hyperlink r:id="rId8" w:history="1">
        <w:r w:rsidRPr="00700429">
          <w:rPr>
            <w:rStyle w:val="Hyperlink"/>
            <w:rFonts w:ascii="Times New Roman" w:hAnsi="Times New Roman"/>
            <w:sz w:val="18"/>
            <w:szCs w:val="18"/>
          </w:rPr>
          <w:t>http://eur-lex.europa.eu/LexUriServ/LexUriServ.do?uri=OJ:L:2013:226:0001:0017:EN:PDF</w:t>
        </w:r>
      </w:hyperlink>
      <w:r>
        <w:rPr>
          <w:rFonts w:ascii="Times New Roman" w:hAnsi="Times New Roman"/>
          <w:sz w:val="18"/>
          <w:szCs w:val="18"/>
        </w:rPr>
        <w:t>.</w:t>
      </w:r>
    </w:p>
  </w:footnote>
  <w:footnote w:id="11">
    <w:p w14:paraId="25214007" w14:textId="70B81435" w:rsidR="005549C8" w:rsidRPr="00F81D64" w:rsidRDefault="005549C8" w:rsidP="00211EB6">
      <w:pPr>
        <w:pStyle w:val="FootnoteText"/>
        <w:tabs>
          <w:tab w:val="left" w:pos="624"/>
        </w:tabs>
        <w:snapToGrid w:val="0"/>
        <w:spacing w:before="20" w:after="40" w:line="240" w:lineRule="auto"/>
        <w:ind w:left="1247"/>
        <w:rPr>
          <w:rFonts w:ascii="Times New Roman" w:hAnsi="Times New Roman"/>
          <w:sz w:val="18"/>
          <w:szCs w:val="18"/>
        </w:rPr>
      </w:pPr>
      <w:r w:rsidRPr="00F81D64">
        <w:rPr>
          <w:rStyle w:val="FootnoteReference"/>
          <w:rFonts w:ascii="Times New Roman" w:hAnsi="Times New Roman"/>
          <w:sz w:val="18"/>
          <w:szCs w:val="18"/>
        </w:rPr>
        <w:footnoteRef/>
      </w:r>
      <w:r w:rsidRPr="00F81D64">
        <w:rPr>
          <w:rFonts w:ascii="Times New Roman" w:hAnsi="Times New Roman"/>
          <w:sz w:val="18"/>
          <w:szCs w:val="18"/>
        </w:rPr>
        <w:t xml:space="preserve"> </w:t>
      </w:r>
      <w:hyperlink r:id="rId9" w:history="1">
        <w:r w:rsidRPr="00F81D64">
          <w:rPr>
            <w:rStyle w:val="Hyperlink"/>
            <w:rFonts w:ascii="Times New Roman" w:hAnsi="Times New Roman"/>
            <w:sz w:val="18"/>
            <w:szCs w:val="18"/>
          </w:rPr>
          <w:t>http://www.adama.com/mexico/es/portafolio-de-soluciones/manejo-de-plagas/ak-20.html</w:t>
        </w:r>
      </w:hyperlink>
      <w:r w:rsidRPr="00F81D64">
        <w:rPr>
          <w:rFonts w:ascii="Times New Roman" w:hAnsi="Times New Roman"/>
          <w:sz w:val="18"/>
          <w:szCs w:val="18"/>
        </w:rPr>
        <w:t xml:space="preserve">. </w:t>
      </w:r>
    </w:p>
  </w:footnote>
  <w:footnote w:id="12">
    <w:p w14:paraId="07A20C9C" w14:textId="75284775" w:rsidR="005549C8" w:rsidRDefault="005549C8" w:rsidP="00211EB6">
      <w:pPr>
        <w:pStyle w:val="FootnoteText"/>
        <w:tabs>
          <w:tab w:val="left" w:pos="624"/>
        </w:tabs>
        <w:snapToGrid w:val="0"/>
        <w:spacing w:before="20" w:after="40" w:line="240" w:lineRule="auto"/>
        <w:ind w:left="1247"/>
      </w:pPr>
      <w:r w:rsidRPr="00F81D64">
        <w:rPr>
          <w:rStyle w:val="FootnoteReference"/>
          <w:rFonts w:ascii="Times New Roman" w:hAnsi="Times New Roman"/>
          <w:sz w:val="18"/>
          <w:szCs w:val="18"/>
        </w:rPr>
        <w:footnoteRef/>
      </w:r>
      <w:r w:rsidRPr="00F81D64">
        <w:rPr>
          <w:rFonts w:ascii="Times New Roman" w:hAnsi="Times New Roman"/>
          <w:sz w:val="18"/>
          <w:szCs w:val="18"/>
        </w:rPr>
        <w:t xml:space="preserve"> </w:t>
      </w:r>
      <w:hyperlink r:id="rId10" w:history="1">
        <w:r w:rsidRPr="00F81D64">
          <w:rPr>
            <w:rStyle w:val="Hyperlink"/>
            <w:rFonts w:ascii="Times New Roman" w:hAnsi="Times New Roman"/>
            <w:sz w:val="18"/>
            <w:szCs w:val="18"/>
          </w:rPr>
          <w:t>http://hil.prosix.in/dicofol.php</w:t>
        </w:r>
      </w:hyperlink>
      <w:r w:rsidRPr="00F81D64">
        <w:rPr>
          <w:rFonts w:ascii="Times New Roman" w:hAnsi="Times New Roman"/>
          <w:sz w:val="18"/>
          <w:szCs w:val="18"/>
        </w:rPr>
        <w:t>.</w:t>
      </w:r>
      <w:r>
        <w:rPr>
          <w:rFonts w:ascii="Times New Roman" w:hAnsi="Times New Roman"/>
          <w:sz w:val="18"/>
          <w:szCs w:val="18"/>
        </w:rPr>
        <w:t xml:space="preserve"> </w:t>
      </w:r>
    </w:p>
  </w:footnote>
  <w:footnote w:id="13">
    <w:p w14:paraId="05C636B0" w14:textId="4436BB4E" w:rsidR="005549C8" w:rsidRPr="0086115E" w:rsidRDefault="005549C8" w:rsidP="00211EB6">
      <w:pPr>
        <w:pStyle w:val="FootnoteText"/>
        <w:tabs>
          <w:tab w:val="left" w:pos="624"/>
        </w:tabs>
        <w:spacing w:before="20" w:after="40" w:line="240" w:lineRule="auto"/>
        <w:ind w:left="1247"/>
        <w:rPr>
          <w:rFonts w:ascii="Times New Roman" w:hAnsi="Times New Roman"/>
          <w:sz w:val="18"/>
          <w:szCs w:val="18"/>
        </w:rPr>
      </w:pPr>
      <w:r w:rsidRPr="0086115E">
        <w:rPr>
          <w:rStyle w:val="FootnoteReference"/>
          <w:rFonts w:ascii="Times New Roman" w:hAnsi="Times New Roman"/>
          <w:sz w:val="18"/>
          <w:szCs w:val="18"/>
        </w:rPr>
        <w:footnoteRef/>
      </w:r>
      <w:r w:rsidRPr="0086115E">
        <w:rPr>
          <w:rFonts w:ascii="Times New Roman" w:hAnsi="Times New Roman"/>
          <w:sz w:val="18"/>
          <w:szCs w:val="18"/>
        </w:rPr>
        <w:t xml:space="preserve"> </w:t>
      </w:r>
      <w:r>
        <w:rPr>
          <w:rFonts w:ascii="Times New Roman" w:hAnsi="Times New Roman"/>
          <w:sz w:val="18"/>
          <w:szCs w:val="18"/>
        </w:rPr>
        <w:t xml:space="preserve">It should be noted that </w:t>
      </w:r>
      <w:r w:rsidRPr="00045433">
        <w:rPr>
          <w:rFonts w:ascii="Times New Roman" w:hAnsi="Times New Roman"/>
          <w:sz w:val="18"/>
          <w:szCs w:val="18"/>
        </w:rPr>
        <w:t>MRLs are established for ‘in use’ registered/regulated chemicals</w:t>
      </w:r>
      <w:r>
        <w:rPr>
          <w:rFonts w:ascii="Times New Roman" w:hAnsi="Times New Roman"/>
          <w:sz w:val="18"/>
          <w:szCs w:val="18"/>
        </w:rPr>
        <w:t xml:space="preserve"> and will be therefore </w:t>
      </w:r>
      <w:r w:rsidRPr="00045433">
        <w:rPr>
          <w:rFonts w:ascii="Times New Roman" w:hAnsi="Times New Roman"/>
          <w:sz w:val="18"/>
          <w:szCs w:val="18"/>
        </w:rPr>
        <w:t xml:space="preserve">be relevant during the phase-out of </w:t>
      </w:r>
      <w:proofErr w:type="spellStart"/>
      <w:r w:rsidRPr="00045433">
        <w:rPr>
          <w:rFonts w:ascii="Times New Roman" w:hAnsi="Times New Roman"/>
          <w:sz w:val="18"/>
          <w:szCs w:val="18"/>
        </w:rPr>
        <w:t>dicofol</w:t>
      </w:r>
      <w:proofErr w:type="spellEnd"/>
      <w:r w:rsidRPr="00045433">
        <w:rPr>
          <w:rFonts w:ascii="Times New Roman" w:hAnsi="Times New Roman"/>
          <w:sz w:val="18"/>
          <w:szCs w:val="18"/>
        </w:rPr>
        <w:t xml:space="preserve"> and less relevant once it is banned.</w:t>
      </w:r>
    </w:p>
  </w:footnote>
  <w:footnote w:id="14">
    <w:p w14:paraId="70CD7ED5" w14:textId="2344841F" w:rsidR="005549C8" w:rsidRPr="002F6466" w:rsidRDefault="005549C8" w:rsidP="00211EB6">
      <w:pPr>
        <w:pStyle w:val="FootnoteText"/>
        <w:tabs>
          <w:tab w:val="left" w:pos="624"/>
        </w:tabs>
        <w:spacing w:before="20" w:after="40" w:line="240" w:lineRule="auto"/>
        <w:ind w:left="1247"/>
        <w:rPr>
          <w:rFonts w:ascii="Times New Roman" w:hAnsi="Times New Roman"/>
          <w:sz w:val="18"/>
          <w:szCs w:val="18"/>
        </w:rPr>
      </w:pPr>
      <w:r w:rsidRPr="002F6466">
        <w:rPr>
          <w:rStyle w:val="FootnoteReference"/>
          <w:rFonts w:ascii="Times New Roman" w:hAnsi="Times New Roman"/>
          <w:sz w:val="18"/>
          <w:szCs w:val="18"/>
        </w:rPr>
        <w:footnoteRef/>
      </w:r>
      <w:r w:rsidRPr="002F6466">
        <w:rPr>
          <w:rFonts w:ascii="Times New Roman" w:hAnsi="Times New Roman"/>
          <w:sz w:val="18"/>
          <w:szCs w:val="18"/>
        </w:rPr>
        <w:t xml:space="preserve"> </w:t>
      </w:r>
      <w:hyperlink r:id="rId11" w:history="1">
        <w:r w:rsidRPr="00D02B7C">
          <w:rPr>
            <w:rStyle w:val="Hyperlink"/>
            <w:rFonts w:ascii="Times New Roman" w:hAnsi="Times New Roman"/>
            <w:sz w:val="18"/>
            <w:szCs w:val="18"/>
          </w:rPr>
          <w:t>http://www.fao.org/agriculture/crops/thematic-sitemap/theme/pests/code/hhp/en/</w:t>
        </w:r>
      </w:hyperlink>
      <w:r>
        <w:rPr>
          <w:rFonts w:ascii="Times New Roman" w:hAnsi="Times New Roman"/>
          <w:sz w:val="18"/>
          <w:szCs w:val="18"/>
        </w:rPr>
        <w:t xml:space="preserve">. </w:t>
      </w:r>
    </w:p>
  </w:footnote>
  <w:footnote w:id="15">
    <w:p w14:paraId="520456EF" w14:textId="10B8CAB9" w:rsidR="005549C8" w:rsidRPr="00B548C5" w:rsidRDefault="005549C8" w:rsidP="00211EB6">
      <w:pPr>
        <w:pStyle w:val="FootnoteText"/>
        <w:tabs>
          <w:tab w:val="left" w:pos="624"/>
        </w:tabs>
        <w:spacing w:before="20" w:after="40" w:line="240" w:lineRule="auto"/>
        <w:ind w:left="1247"/>
        <w:rPr>
          <w:rFonts w:ascii="Times New Roman" w:hAnsi="Times New Roman"/>
        </w:rPr>
      </w:pPr>
      <w:r w:rsidRPr="002F6466">
        <w:rPr>
          <w:rStyle w:val="FootnoteReference"/>
          <w:rFonts w:ascii="Times New Roman" w:hAnsi="Times New Roman"/>
          <w:sz w:val="18"/>
          <w:szCs w:val="18"/>
        </w:rPr>
        <w:footnoteRef/>
      </w:r>
      <w:r w:rsidRPr="002F6466">
        <w:rPr>
          <w:rFonts w:ascii="Times New Roman" w:hAnsi="Times New Roman"/>
          <w:sz w:val="18"/>
          <w:szCs w:val="18"/>
        </w:rPr>
        <w:t xml:space="preserve"> GHS hazard classifications based on Annex VI of the European Union Regulation on Classification, Labelling and Packaging of hazardous substances and mixtures</w:t>
      </w:r>
      <w:r>
        <w:rPr>
          <w:rFonts w:ascii="Times New Roman" w:hAnsi="Times New Roman"/>
          <w:sz w:val="18"/>
          <w:szCs w:val="18"/>
        </w:rPr>
        <w:t>.</w:t>
      </w:r>
    </w:p>
  </w:footnote>
  <w:footnote w:id="16">
    <w:p w14:paraId="29A43CDD" w14:textId="6CFFF2C0" w:rsidR="005549C8" w:rsidRPr="0042685F" w:rsidRDefault="005549C8" w:rsidP="00211EB6">
      <w:pPr>
        <w:pStyle w:val="FootnoteText"/>
        <w:tabs>
          <w:tab w:val="left" w:pos="624"/>
        </w:tabs>
        <w:spacing w:before="20" w:after="40" w:line="240" w:lineRule="auto"/>
        <w:ind w:left="1247"/>
        <w:rPr>
          <w:sz w:val="18"/>
          <w:szCs w:val="18"/>
        </w:rPr>
      </w:pPr>
      <w:r w:rsidRPr="0042685F">
        <w:rPr>
          <w:rStyle w:val="FootnoteReference"/>
          <w:rFonts w:ascii="Times New Roman" w:hAnsi="Times New Roman"/>
          <w:sz w:val="18"/>
          <w:szCs w:val="18"/>
        </w:rPr>
        <w:footnoteRef/>
      </w:r>
      <w:r w:rsidRPr="0042685F">
        <w:rPr>
          <w:rFonts w:ascii="Times New Roman" w:hAnsi="Times New Roman"/>
          <w:sz w:val="18"/>
          <w:szCs w:val="18"/>
        </w:rPr>
        <w:t xml:space="preserve"> </w:t>
      </w:r>
      <w:hyperlink r:id="rId12" w:anchor="section=Hazards-Identification" w:history="1">
        <w:r w:rsidRPr="00D02B7C">
          <w:rPr>
            <w:rStyle w:val="Hyperlink"/>
            <w:rFonts w:ascii="Times New Roman" w:hAnsi="Times New Roman"/>
            <w:sz w:val="18"/>
            <w:szCs w:val="18"/>
          </w:rPr>
          <w:t>https://pubchem.ncbi.nlm.nih.gov/compound/177863#section=Hazards-Identification</w:t>
        </w:r>
      </w:hyperlink>
      <w:r w:rsidRPr="0042685F">
        <w:rPr>
          <w:rFonts w:ascii="Times New Roman" w:hAnsi="Times New Roman"/>
          <w:color w:val="000000"/>
          <w:sz w:val="18"/>
          <w:szCs w:val="18"/>
        </w:rPr>
        <w:t>.</w:t>
      </w:r>
      <w:r>
        <w:rPr>
          <w:rFonts w:ascii="Times New Roman" w:hAnsi="Times New Roman"/>
          <w:color w:val="000000"/>
          <w:sz w:val="18"/>
          <w:szCs w:val="18"/>
        </w:rPr>
        <w:t xml:space="preserve"> </w:t>
      </w:r>
    </w:p>
  </w:footnote>
  <w:footnote w:id="17">
    <w:p w14:paraId="700E6880" w14:textId="26D59A23" w:rsidR="005549C8" w:rsidRPr="00347997" w:rsidRDefault="005549C8" w:rsidP="00211EB6">
      <w:pPr>
        <w:pStyle w:val="FootnoteText"/>
        <w:tabs>
          <w:tab w:val="left" w:pos="624"/>
        </w:tabs>
        <w:spacing w:before="20" w:after="40" w:line="240" w:lineRule="auto"/>
        <w:ind w:left="1247"/>
        <w:rPr>
          <w:rFonts w:ascii="Times New Roman" w:hAnsi="Times New Roman"/>
        </w:rPr>
      </w:pPr>
      <w:r w:rsidRPr="0042685F">
        <w:rPr>
          <w:rStyle w:val="FootnoteReference"/>
          <w:rFonts w:ascii="Times New Roman" w:hAnsi="Times New Roman"/>
          <w:sz w:val="18"/>
          <w:szCs w:val="18"/>
        </w:rPr>
        <w:footnoteRef/>
      </w:r>
      <w:r w:rsidRPr="0042685F">
        <w:rPr>
          <w:rFonts w:ascii="Times New Roman" w:hAnsi="Times New Roman"/>
          <w:sz w:val="18"/>
          <w:szCs w:val="18"/>
        </w:rPr>
        <w:t xml:space="preserve"> UN Environment (2015) IV/3 Highly hazardous pesticides, Report of the International Conference on Chemicals Management on the work of its fourth session, SAICM/ICCM.4/15.</w:t>
      </w:r>
    </w:p>
  </w:footnote>
  <w:footnote w:id="18">
    <w:p w14:paraId="7B5AAF77" w14:textId="5A9AC1D1" w:rsidR="005549C8" w:rsidRPr="00BD7E74" w:rsidRDefault="005549C8" w:rsidP="00211EB6">
      <w:pPr>
        <w:pStyle w:val="FootnoteText"/>
        <w:tabs>
          <w:tab w:val="left" w:pos="624"/>
        </w:tabs>
        <w:spacing w:before="20" w:after="40" w:line="240" w:lineRule="auto"/>
        <w:ind w:left="1247"/>
        <w:rPr>
          <w:rFonts w:ascii="Times New Roman" w:hAnsi="Times New Roman"/>
          <w:sz w:val="18"/>
          <w:szCs w:val="18"/>
        </w:rPr>
      </w:pPr>
      <w:r w:rsidRPr="00BD7E74">
        <w:rPr>
          <w:rStyle w:val="FootnoteReference"/>
          <w:rFonts w:ascii="Times New Roman" w:hAnsi="Times New Roman"/>
          <w:sz w:val="18"/>
          <w:szCs w:val="18"/>
        </w:rPr>
        <w:footnoteRef/>
      </w:r>
      <w:r w:rsidRPr="00BD7E74">
        <w:rPr>
          <w:rFonts w:ascii="Times New Roman" w:hAnsi="Times New Roman"/>
          <w:sz w:val="18"/>
          <w:szCs w:val="18"/>
        </w:rPr>
        <w:t xml:space="preserve"> </w:t>
      </w:r>
      <w:hyperlink r:id="rId13" w:history="1">
        <w:r w:rsidRPr="00D02B7C">
          <w:rPr>
            <w:rStyle w:val="Hyperlink"/>
            <w:rFonts w:ascii="Times New Roman" w:hAnsi="Times New Roman"/>
            <w:sz w:val="18"/>
            <w:szCs w:val="18"/>
          </w:rPr>
          <w:t>http://cibrc.nic.in/biopesticides2012.doc</w:t>
        </w:r>
      </w:hyperlink>
      <w:r w:rsidRPr="00BD7E74">
        <w:rPr>
          <w:rFonts w:ascii="Times New Roman" w:hAnsi="Times New Roman"/>
          <w:sz w:val="18"/>
          <w:szCs w:val="18"/>
        </w:rPr>
        <w:t>.</w:t>
      </w:r>
      <w:r>
        <w:rPr>
          <w:rFonts w:ascii="Times New Roman" w:hAnsi="Times New Roman"/>
          <w:sz w:val="18"/>
          <w:szCs w:val="18"/>
        </w:rPr>
        <w:t xml:space="preserve"> </w:t>
      </w:r>
    </w:p>
  </w:footnote>
  <w:footnote w:id="19">
    <w:p w14:paraId="6ECA7BC2" w14:textId="1862AE1B" w:rsidR="005549C8" w:rsidRPr="00307F16" w:rsidRDefault="005549C8" w:rsidP="00211EB6">
      <w:pPr>
        <w:pStyle w:val="FootnoteText"/>
        <w:tabs>
          <w:tab w:val="left" w:pos="624"/>
        </w:tabs>
        <w:spacing w:before="20" w:after="40" w:line="240" w:lineRule="auto"/>
        <w:ind w:left="1247"/>
        <w:jc w:val="left"/>
        <w:rPr>
          <w:rFonts w:ascii="Times New Roman" w:hAnsi="Times New Roman"/>
          <w:sz w:val="18"/>
          <w:szCs w:val="18"/>
        </w:rPr>
      </w:pPr>
      <w:r w:rsidRPr="00307F16">
        <w:rPr>
          <w:rStyle w:val="FootnoteReference"/>
          <w:rFonts w:ascii="Times New Roman" w:hAnsi="Times New Roman"/>
          <w:sz w:val="18"/>
          <w:szCs w:val="18"/>
        </w:rPr>
        <w:footnoteRef/>
      </w:r>
      <w:r w:rsidRPr="00307F16">
        <w:rPr>
          <w:rFonts w:ascii="Times New Roman" w:hAnsi="Times New Roman"/>
          <w:sz w:val="18"/>
          <w:szCs w:val="18"/>
        </w:rPr>
        <w:t xml:space="preserve"> </w:t>
      </w:r>
      <w:r w:rsidRPr="00307F16">
        <w:rPr>
          <w:rFonts w:ascii="Times New Roman" w:hAnsi="Times New Roman"/>
          <w:sz w:val="18"/>
          <w:szCs w:val="18"/>
        </w:rPr>
        <w:tab/>
      </w:r>
      <w:hyperlink r:id="rId14" w:history="1">
        <w:r w:rsidRPr="00D02B7C">
          <w:rPr>
            <w:rStyle w:val="Hyperlink"/>
            <w:rFonts w:ascii="Times New Roman" w:hAnsi="Times New Roman"/>
            <w:sz w:val="18"/>
            <w:szCs w:val="18"/>
          </w:rPr>
          <w:t>http://www.chem.unep.ch/saicm/</w:t>
        </w:r>
      </w:hyperlink>
      <w:r>
        <w:rPr>
          <w:rFonts w:ascii="Times New Roman" w:hAnsi="Times New Roman"/>
          <w:sz w:val="18"/>
          <w:szCs w:val="18"/>
        </w:rPr>
        <w:t xml:space="preserve">. </w:t>
      </w:r>
    </w:p>
  </w:footnote>
  <w:footnote w:id="20">
    <w:p w14:paraId="68FABF6E" w14:textId="3A4DC3B3" w:rsidR="005549C8" w:rsidRPr="00307F16" w:rsidRDefault="005549C8" w:rsidP="00211EB6">
      <w:pPr>
        <w:pStyle w:val="FootnoteText"/>
        <w:tabs>
          <w:tab w:val="left" w:pos="624"/>
        </w:tabs>
        <w:spacing w:before="20" w:after="40" w:line="240" w:lineRule="auto"/>
        <w:ind w:left="1247"/>
        <w:jc w:val="left"/>
        <w:rPr>
          <w:rFonts w:ascii="Times New Roman" w:hAnsi="Times New Roman"/>
          <w:sz w:val="18"/>
          <w:szCs w:val="18"/>
        </w:rPr>
      </w:pPr>
      <w:r w:rsidRPr="00307F16">
        <w:rPr>
          <w:rStyle w:val="FootnoteReference"/>
          <w:rFonts w:ascii="Times New Roman" w:hAnsi="Times New Roman"/>
          <w:sz w:val="18"/>
          <w:szCs w:val="18"/>
        </w:rPr>
        <w:footnoteRef/>
      </w:r>
      <w:r w:rsidRPr="00307F16">
        <w:rPr>
          <w:rFonts w:ascii="Times New Roman" w:hAnsi="Times New Roman"/>
          <w:sz w:val="18"/>
          <w:szCs w:val="18"/>
        </w:rPr>
        <w:t xml:space="preserve"> </w:t>
      </w:r>
      <w:r w:rsidRPr="00307F16">
        <w:rPr>
          <w:rFonts w:ascii="Times New Roman" w:hAnsi="Times New Roman"/>
          <w:sz w:val="18"/>
          <w:szCs w:val="18"/>
        </w:rPr>
        <w:tab/>
      </w:r>
      <w:proofErr w:type="gramStart"/>
      <w:r w:rsidRPr="00307F16">
        <w:rPr>
          <w:rFonts w:ascii="Times New Roman" w:hAnsi="Times New Roman"/>
          <w:sz w:val="18"/>
          <w:szCs w:val="18"/>
        </w:rPr>
        <w:t>New Initiative for Pesticide Risk Reduction.</w:t>
      </w:r>
      <w:proofErr w:type="gramEnd"/>
      <w:r w:rsidRPr="00307F16">
        <w:rPr>
          <w:rFonts w:ascii="Times New Roman" w:hAnsi="Times New Roman"/>
          <w:sz w:val="18"/>
          <w:szCs w:val="18"/>
        </w:rPr>
        <w:t xml:space="preserve"> COAG/2007/Inf.14. FAO Committee on Agriculture, Twentieth Session, Rome, 25-28 April 2007. </w:t>
      </w:r>
      <w:hyperlink r:id="rId15" w:history="1">
        <w:r w:rsidRPr="002216F8">
          <w:rPr>
            <w:rStyle w:val="Hyperlink"/>
            <w:rFonts w:ascii="Times New Roman" w:hAnsi="Times New Roman"/>
            <w:sz w:val="18"/>
            <w:szCs w:val="18"/>
          </w:rPr>
          <w:t>ftp://ftp.fao.org/docrep/fao/meeting/011/j9387e.pdf</w:t>
        </w:r>
      </w:hyperlink>
      <w:r>
        <w:rPr>
          <w:rFonts w:ascii="Times New Roman" w:hAnsi="Times New Roman"/>
          <w:sz w:val="18"/>
          <w:szCs w:val="18"/>
        </w:rPr>
        <w:t xml:space="preserve">  </w:t>
      </w:r>
      <w:r w:rsidRPr="00307F16">
        <w:rPr>
          <w:rFonts w:ascii="Times New Roman" w:hAnsi="Times New Roman"/>
          <w:sz w:val="18"/>
          <w:szCs w:val="18"/>
        </w:rPr>
        <w:t>ftp://ftp.fao.org/docrep/fao/meeting/011/j9387e.pdf.</w:t>
      </w:r>
    </w:p>
  </w:footnote>
  <w:footnote w:id="21">
    <w:p w14:paraId="768EC5D6" w14:textId="43FD0EDB" w:rsidR="005549C8" w:rsidRPr="002265A6" w:rsidRDefault="005549C8" w:rsidP="00211EB6">
      <w:pPr>
        <w:pStyle w:val="FootnoteText"/>
        <w:tabs>
          <w:tab w:val="left" w:pos="624"/>
        </w:tabs>
        <w:spacing w:before="20" w:after="40" w:line="240" w:lineRule="auto"/>
        <w:ind w:left="1247"/>
        <w:jc w:val="left"/>
        <w:rPr>
          <w:rFonts w:ascii="Times New Roman" w:hAnsi="Times New Roman"/>
          <w:sz w:val="18"/>
          <w:szCs w:val="18"/>
        </w:rPr>
      </w:pPr>
      <w:r w:rsidRPr="00307F16">
        <w:rPr>
          <w:rStyle w:val="FootnoteReference"/>
          <w:rFonts w:ascii="Times New Roman" w:hAnsi="Times New Roman"/>
          <w:sz w:val="18"/>
          <w:szCs w:val="18"/>
        </w:rPr>
        <w:footnoteRef/>
      </w:r>
      <w:r w:rsidRPr="00307F16">
        <w:rPr>
          <w:rFonts w:ascii="Times New Roman" w:hAnsi="Times New Roman"/>
          <w:sz w:val="18"/>
          <w:szCs w:val="18"/>
        </w:rPr>
        <w:t xml:space="preserve"> </w:t>
      </w:r>
      <w:r w:rsidRPr="00307F16">
        <w:rPr>
          <w:rFonts w:ascii="Times New Roman" w:hAnsi="Times New Roman"/>
          <w:sz w:val="18"/>
          <w:szCs w:val="18"/>
        </w:rPr>
        <w:tab/>
      </w:r>
      <w:proofErr w:type="gramStart"/>
      <w:r w:rsidRPr="00307F16">
        <w:rPr>
          <w:rFonts w:ascii="Times New Roman" w:hAnsi="Times New Roman"/>
          <w:sz w:val="18"/>
          <w:szCs w:val="18"/>
        </w:rPr>
        <w:t>Recommendations.</w:t>
      </w:r>
      <w:proofErr w:type="gramEnd"/>
      <w:r w:rsidRPr="00307F16">
        <w:rPr>
          <w:rFonts w:ascii="Times New Roman" w:hAnsi="Times New Roman"/>
          <w:sz w:val="18"/>
          <w:szCs w:val="18"/>
        </w:rPr>
        <w:t xml:space="preserve"> First Session of the FAO/WHO Meeting on Pesticide Management and 3rd Session of the FAO Panel of Experts on Pesticide Management, 22-26 October 2007, Rome, Italy. </w:t>
      </w:r>
      <w:hyperlink r:id="rId16" w:history="1">
        <w:r w:rsidRPr="002265A6">
          <w:rPr>
            <w:rStyle w:val="Hyperlink"/>
            <w:rFonts w:ascii="Times New Roman" w:hAnsi="Times New Roman"/>
            <w:sz w:val="18"/>
            <w:szCs w:val="18"/>
          </w:rPr>
          <w:t>http://www.fao.org/fileadmin/templates/agphome/documents/Pests_Pesticides/Code/JMPM_2007_Report.pdf</w:t>
        </w:r>
      </w:hyperlink>
      <w:r w:rsidRPr="002265A6">
        <w:rPr>
          <w:rFonts w:ascii="Times New Roman" w:hAnsi="Times New Roman"/>
          <w:sz w:val="18"/>
          <w:szCs w:val="18"/>
        </w:rPr>
        <w:t xml:space="preserve"> </w:t>
      </w:r>
    </w:p>
  </w:footnote>
  <w:footnote w:id="22">
    <w:p w14:paraId="5E488BA4" w14:textId="77777777" w:rsidR="005549C8" w:rsidRPr="002265A6" w:rsidRDefault="005549C8" w:rsidP="00211EB6">
      <w:pPr>
        <w:pStyle w:val="FootnoteText"/>
        <w:tabs>
          <w:tab w:val="left" w:pos="426"/>
          <w:tab w:val="left" w:pos="624"/>
        </w:tabs>
        <w:spacing w:before="20" w:after="40" w:line="240" w:lineRule="auto"/>
        <w:ind w:left="1247"/>
        <w:rPr>
          <w:rFonts w:ascii="Times New Roman" w:hAnsi="Times New Roman"/>
          <w:sz w:val="18"/>
          <w:szCs w:val="18"/>
        </w:rPr>
      </w:pPr>
      <w:r w:rsidRPr="002265A6">
        <w:rPr>
          <w:rStyle w:val="FootnoteReference"/>
          <w:rFonts w:ascii="Times New Roman" w:hAnsi="Times New Roman"/>
          <w:sz w:val="18"/>
          <w:szCs w:val="18"/>
        </w:rPr>
        <w:footnoteRef/>
      </w:r>
      <w:r w:rsidRPr="002265A6">
        <w:rPr>
          <w:rFonts w:ascii="Times New Roman" w:hAnsi="Times New Roman"/>
          <w:sz w:val="18"/>
          <w:szCs w:val="18"/>
        </w:rPr>
        <w:t xml:space="preserve"> </w:t>
      </w:r>
      <w:hyperlink r:id="rId17" w:history="1">
        <w:r w:rsidRPr="002265A6">
          <w:rPr>
            <w:rStyle w:val="Hyperlink"/>
            <w:rFonts w:ascii="Times New Roman" w:hAnsi="Times New Roman"/>
            <w:sz w:val="18"/>
            <w:szCs w:val="18"/>
          </w:rPr>
          <w:t>http://www.hc-sc.gc.ca/cps-spc/pest/index-eng.php</w:t>
        </w:r>
      </w:hyperlink>
      <w:r w:rsidRPr="002265A6">
        <w:rPr>
          <w:rStyle w:val="Hyperlink"/>
          <w:rFonts w:ascii="Times New Roman" w:hAnsi="Times New Roman"/>
          <w:sz w:val="18"/>
          <w:szCs w:val="18"/>
          <w:u w:val="none"/>
        </w:rPr>
        <w:t>.</w:t>
      </w:r>
    </w:p>
  </w:footnote>
  <w:footnote w:id="23">
    <w:p w14:paraId="2021F7CF" w14:textId="77777777" w:rsidR="005549C8" w:rsidRPr="002265A6" w:rsidRDefault="005549C8" w:rsidP="00211EB6">
      <w:pPr>
        <w:pStyle w:val="FootnoteText"/>
        <w:tabs>
          <w:tab w:val="left" w:pos="624"/>
        </w:tabs>
        <w:spacing w:before="20" w:after="40" w:line="240" w:lineRule="auto"/>
        <w:ind w:left="1247"/>
        <w:rPr>
          <w:rFonts w:ascii="Times New Roman" w:hAnsi="Times New Roman"/>
          <w:sz w:val="18"/>
          <w:szCs w:val="18"/>
        </w:rPr>
      </w:pPr>
      <w:r w:rsidRPr="002265A6">
        <w:rPr>
          <w:rStyle w:val="FootnoteReference"/>
          <w:rFonts w:ascii="Times New Roman" w:hAnsi="Times New Roman"/>
          <w:sz w:val="18"/>
          <w:szCs w:val="18"/>
        </w:rPr>
        <w:footnoteRef/>
      </w:r>
      <w:r w:rsidRPr="002265A6">
        <w:rPr>
          <w:rFonts w:ascii="Times New Roman" w:hAnsi="Times New Roman"/>
          <w:sz w:val="18"/>
          <w:szCs w:val="18"/>
        </w:rPr>
        <w:t xml:space="preserve"> </w:t>
      </w:r>
      <w:hyperlink r:id="rId18" w:history="1">
        <w:r w:rsidRPr="002265A6">
          <w:rPr>
            <w:rStyle w:val="Hyperlink"/>
            <w:rFonts w:ascii="Times New Roman" w:hAnsi="Times New Roman"/>
            <w:sz w:val="18"/>
            <w:szCs w:val="18"/>
          </w:rPr>
          <w:t>https://ec.europa.eu/food/plant/pesticides/sustainable_use_pesticides_en</w:t>
        </w:r>
      </w:hyperlink>
      <w:r w:rsidRPr="002265A6">
        <w:rPr>
          <w:rStyle w:val="Hyperlink"/>
          <w:rFonts w:ascii="Times New Roman" w:hAnsi="Times New Roman"/>
          <w:sz w:val="18"/>
          <w:szCs w:val="18"/>
          <w:u w:val="none"/>
        </w:rPr>
        <w:t>.</w:t>
      </w:r>
    </w:p>
  </w:footnote>
  <w:footnote w:id="24">
    <w:p w14:paraId="522C82E2" w14:textId="77777777" w:rsidR="005549C8" w:rsidRPr="002265A6" w:rsidRDefault="005549C8" w:rsidP="00211EB6">
      <w:pPr>
        <w:pStyle w:val="FootnoteText"/>
        <w:tabs>
          <w:tab w:val="left" w:pos="624"/>
        </w:tabs>
        <w:spacing w:before="20" w:after="40" w:line="240" w:lineRule="auto"/>
        <w:ind w:left="1247"/>
        <w:rPr>
          <w:rFonts w:ascii="Times New Roman" w:hAnsi="Times New Roman"/>
          <w:sz w:val="18"/>
          <w:szCs w:val="18"/>
        </w:rPr>
      </w:pPr>
      <w:r w:rsidRPr="002265A6">
        <w:rPr>
          <w:rStyle w:val="FootnoteReference"/>
          <w:rFonts w:ascii="Times New Roman" w:hAnsi="Times New Roman"/>
          <w:sz w:val="18"/>
          <w:szCs w:val="18"/>
        </w:rPr>
        <w:footnoteRef/>
      </w:r>
      <w:r w:rsidRPr="002265A6">
        <w:rPr>
          <w:rFonts w:ascii="Times New Roman" w:hAnsi="Times New Roman"/>
          <w:sz w:val="18"/>
          <w:szCs w:val="18"/>
        </w:rPr>
        <w:t xml:space="preserve"> </w:t>
      </w:r>
      <w:hyperlink r:id="rId19" w:history="1">
        <w:r w:rsidRPr="002265A6">
          <w:rPr>
            <w:rStyle w:val="Hyperlink"/>
            <w:rFonts w:ascii="Times New Roman" w:hAnsi="Times New Roman"/>
            <w:sz w:val="18"/>
            <w:szCs w:val="18"/>
          </w:rPr>
          <w:t>http://ec.europa.eu/environment/chemicals/international_conventions/index_en.htm</w:t>
        </w:r>
      </w:hyperlink>
      <w:r w:rsidRPr="002265A6">
        <w:rPr>
          <w:rStyle w:val="Hyperlink"/>
          <w:rFonts w:ascii="Times New Roman" w:hAnsi="Times New Roman"/>
          <w:sz w:val="18"/>
          <w:szCs w:val="18"/>
          <w:u w:val="none"/>
        </w:rPr>
        <w:t>.</w:t>
      </w:r>
    </w:p>
  </w:footnote>
  <w:footnote w:id="25">
    <w:p w14:paraId="10A60B45" w14:textId="400A8280" w:rsidR="005549C8" w:rsidRPr="002265A6" w:rsidRDefault="005549C8" w:rsidP="00211EB6">
      <w:pPr>
        <w:pStyle w:val="FootnoteText"/>
        <w:tabs>
          <w:tab w:val="left" w:pos="624"/>
        </w:tabs>
        <w:spacing w:before="20" w:after="40" w:line="240" w:lineRule="auto"/>
        <w:ind w:left="1247"/>
        <w:rPr>
          <w:rFonts w:ascii="Times New Roman" w:hAnsi="Times New Roman"/>
          <w:sz w:val="18"/>
          <w:szCs w:val="18"/>
        </w:rPr>
      </w:pPr>
      <w:r w:rsidRPr="002265A6">
        <w:rPr>
          <w:rStyle w:val="FootnoteReference"/>
          <w:rFonts w:ascii="Times New Roman" w:hAnsi="Times New Roman"/>
          <w:sz w:val="18"/>
          <w:szCs w:val="18"/>
        </w:rPr>
        <w:footnoteRef/>
      </w:r>
      <w:r w:rsidRPr="002265A6">
        <w:rPr>
          <w:rFonts w:ascii="Times New Roman" w:hAnsi="Times New Roman"/>
          <w:sz w:val="18"/>
          <w:szCs w:val="18"/>
        </w:rPr>
        <w:t xml:space="preserve"> </w:t>
      </w:r>
      <w:hyperlink r:id="rId20" w:history="1">
        <w:r w:rsidRPr="002265A6">
          <w:rPr>
            <w:rStyle w:val="Hyperlink"/>
            <w:rFonts w:ascii="Times New Roman" w:hAnsi="Times New Roman"/>
            <w:sz w:val="18"/>
            <w:szCs w:val="18"/>
          </w:rPr>
          <w:t>http://www.oisat.org/</w:t>
        </w:r>
      </w:hyperlink>
      <w:r>
        <w:rPr>
          <w:rStyle w:val="Hyperlink"/>
          <w:rFonts w:ascii="Times New Roman" w:hAnsi="Times New Roman"/>
          <w:sz w:val="18"/>
          <w:szCs w:val="18"/>
        </w:rPr>
        <w:t>.</w:t>
      </w:r>
      <w:r w:rsidRPr="002265A6">
        <w:rPr>
          <w:rFonts w:ascii="Times New Roman" w:hAnsi="Times New Roman"/>
          <w:sz w:val="18"/>
          <w:szCs w:val="18"/>
        </w:rPr>
        <w:t xml:space="preserve"> </w:t>
      </w:r>
    </w:p>
  </w:footnote>
  <w:footnote w:id="26">
    <w:p w14:paraId="1518A465" w14:textId="20D03648" w:rsidR="005549C8" w:rsidRPr="00DD609F" w:rsidRDefault="005549C8" w:rsidP="00211EB6">
      <w:pPr>
        <w:pStyle w:val="FootnoteText"/>
        <w:tabs>
          <w:tab w:val="left" w:pos="624"/>
        </w:tabs>
        <w:spacing w:before="20" w:after="40" w:line="240" w:lineRule="auto"/>
        <w:ind w:left="1247"/>
        <w:rPr>
          <w:rFonts w:ascii="Times New Roman" w:hAnsi="Times New Roman"/>
          <w:sz w:val="18"/>
        </w:rPr>
      </w:pPr>
      <w:r w:rsidRPr="002265A6">
        <w:rPr>
          <w:rStyle w:val="FootnoteReference"/>
          <w:rFonts w:ascii="Times New Roman" w:hAnsi="Times New Roman"/>
          <w:sz w:val="18"/>
          <w:szCs w:val="18"/>
        </w:rPr>
        <w:footnoteRef/>
      </w:r>
      <w:r w:rsidRPr="002265A6">
        <w:rPr>
          <w:rFonts w:ascii="Times New Roman" w:hAnsi="Times New Roman"/>
          <w:sz w:val="18"/>
          <w:szCs w:val="18"/>
        </w:rPr>
        <w:t xml:space="preserve"> </w:t>
      </w:r>
      <w:hyperlink r:id="rId21" w:history="1">
        <w:r w:rsidRPr="00D02B7C">
          <w:rPr>
            <w:rStyle w:val="Hyperlink"/>
            <w:rFonts w:ascii="Times New Roman" w:hAnsi="Times New Roman"/>
            <w:sz w:val="18"/>
            <w:szCs w:val="18"/>
          </w:rPr>
          <w:t>http://www.fao.org/agroecology/en/</w:t>
        </w:r>
      </w:hyperlink>
      <w:r>
        <w:rPr>
          <w:rFonts w:ascii="Times New Roman" w:hAnsi="Times New Roman"/>
          <w:sz w:val="18"/>
          <w:szCs w:val="18"/>
        </w:rPr>
        <w:t xml:space="preserve">. </w:t>
      </w:r>
    </w:p>
  </w:footnote>
  <w:footnote w:id="27">
    <w:p w14:paraId="2177610D" w14:textId="16DA3784" w:rsidR="005549C8" w:rsidRPr="008578FE" w:rsidRDefault="005549C8" w:rsidP="00211EB6">
      <w:pPr>
        <w:pStyle w:val="FootnoteText"/>
        <w:tabs>
          <w:tab w:val="left" w:pos="624"/>
        </w:tabs>
        <w:spacing w:before="20" w:after="40" w:line="240" w:lineRule="auto"/>
        <w:ind w:left="1247"/>
        <w:rPr>
          <w:rFonts w:ascii="Times New Roman" w:hAnsi="Times New Roman"/>
          <w:sz w:val="18"/>
          <w:szCs w:val="18"/>
        </w:rPr>
      </w:pPr>
      <w:r w:rsidRPr="008578FE">
        <w:rPr>
          <w:rStyle w:val="FootnoteReference"/>
          <w:rFonts w:ascii="Times New Roman" w:hAnsi="Times New Roman"/>
          <w:sz w:val="18"/>
          <w:szCs w:val="18"/>
        </w:rPr>
        <w:footnoteRef/>
      </w:r>
      <w:r w:rsidRPr="008578FE">
        <w:rPr>
          <w:rFonts w:ascii="Times New Roman" w:hAnsi="Times New Roman"/>
          <w:sz w:val="18"/>
          <w:szCs w:val="18"/>
        </w:rPr>
        <w:t xml:space="preserve"> </w:t>
      </w:r>
      <w:hyperlink r:id="rId22" w:history="1">
        <w:r w:rsidRPr="008578FE">
          <w:rPr>
            <w:rStyle w:val="Hyperlink"/>
            <w:rFonts w:ascii="Times New Roman" w:hAnsi="Times New Roman"/>
            <w:sz w:val="18"/>
            <w:szCs w:val="18"/>
          </w:rPr>
          <w:t>https://www.actu-environnement.com/media/pdf/news-28813-efsa-rapport-2015-residus-pesticides-aliments.pdf</w:t>
        </w:r>
      </w:hyperlink>
    </w:p>
  </w:footnote>
  <w:footnote w:id="28">
    <w:p w14:paraId="0C976F3C" w14:textId="7A5499F4" w:rsidR="005549C8" w:rsidRPr="008578FE" w:rsidRDefault="005549C8" w:rsidP="00211EB6">
      <w:pPr>
        <w:pStyle w:val="FootnoteText"/>
        <w:tabs>
          <w:tab w:val="left" w:pos="624"/>
        </w:tabs>
        <w:spacing w:before="20" w:after="40" w:line="240" w:lineRule="auto"/>
        <w:ind w:left="1247"/>
        <w:rPr>
          <w:rFonts w:ascii="Times New Roman" w:hAnsi="Times New Roman"/>
          <w:sz w:val="18"/>
          <w:szCs w:val="18"/>
        </w:rPr>
      </w:pPr>
      <w:r w:rsidRPr="008578FE">
        <w:rPr>
          <w:rStyle w:val="FootnoteReference"/>
          <w:rFonts w:ascii="Times New Roman" w:hAnsi="Times New Roman"/>
          <w:sz w:val="18"/>
          <w:szCs w:val="18"/>
        </w:rPr>
        <w:footnoteRef/>
      </w:r>
      <w:r w:rsidRPr="008578FE">
        <w:rPr>
          <w:rFonts w:ascii="Times New Roman" w:hAnsi="Times New Roman"/>
          <w:sz w:val="18"/>
          <w:szCs w:val="18"/>
        </w:rPr>
        <w:t xml:space="preserve"> </w:t>
      </w:r>
      <w:hyperlink r:id="rId23" w:history="1">
        <w:r w:rsidRPr="008578FE">
          <w:rPr>
            <w:rStyle w:val="Hyperlink"/>
            <w:rFonts w:ascii="Times New Roman" w:hAnsi="Times New Roman"/>
            <w:sz w:val="18"/>
            <w:szCs w:val="18"/>
          </w:rPr>
          <w:t>https://www.ams.usda.gov/datasets/pdp/pdpdata</w:t>
        </w:r>
      </w:hyperlink>
    </w:p>
  </w:footnote>
  <w:footnote w:id="29">
    <w:p w14:paraId="0F26E2B6" w14:textId="6F60EABD" w:rsidR="005549C8" w:rsidRPr="008578FE" w:rsidRDefault="005549C8" w:rsidP="00211EB6">
      <w:pPr>
        <w:pStyle w:val="FootnoteText"/>
        <w:tabs>
          <w:tab w:val="left" w:pos="624"/>
        </w:tabs>
        <w:spacing w:before="20" w:after="40" w:line="240" w:lineRule="auto"/>
        <w:ind w:left="1247"/>
        <w:rPr>
          <w:rFonts w:ascii="Times New Roman" w:hAnsi="Times New Roman"/>
          <w:sz w:val="18"/>
          <w:szCs w:val="18"/>
        </w:rPr>
      </w:pPr>
      <w:r w:rsidRPr="008578FE">
        <w:rPr>
          <w:rStyle w:val="FootnoteReference"/>
          <w:rFonts w:ascii="Times New Roman" w:hAnsi="Times New Roman"/>
          <w:sz w:val="18"/>
          <w:szCs w:val="18"/>
        </w:rPr>
        <w:footnoteRef/>
      </w:r>
      <w:hyperlink r:id="rId24" w:history="1">
        <w:r w:rsidRPr="008578FE">
          <w:rPr>
            <w:rStyle w:val="Hyperlink"/>
            <w:rFonts w:ascii="Times New Roman" w:hAnsi="Times New Roman"/>
            <w:sz w:val="18"/>
            <w:szCs w:val="18"/>
          </w:rPr>
          <w:t>https://www.gov.uk/government/uploads/system/uploads/attachment_data/file/487932/pesticide-residues-quarter2-2015-report.pdf</w:t>
        </w:r>
      </w:hyperlink>
    </w:p>
  </w:footnote>
  <w:footnote w:id="30">
    <w:p w14:paraId="32E70717" w14:textId="2BDD95EC" w:rsidR="005549C8" w:rsidRDefault="005549C8" w:rsidP="00211EB6">
      <w:pPr>
        <w:pStyle w:val="FootnoteText"/>
        <w:tabs>
          <w:tab w:val="left" w:pos="624"/>
        </w:tabs>
        <w:spacing w:before="20" w:after="40" w:line="240" w:lineRule="auto"/>
        <w:ind w:left="1247"/>
      </w:pPr>
      <w:r w:rsidRPr="008578FE">
        <w:rPr>
          <w:rStyle w:val="FootnoteReference"/>
          <w:rFonts w:ascii="Times New Roman" w:hAnsi="Times New Roman"/>
          <w:sz w:val="18"/>
          <w:szCs w:val="18"/>
        </w:rPr>
        <w:footnoteRef/>
      </w:r>
      <w:r w:rsidRPr="008578FE">
        <w:rPr>
          <w:rFonts w:ascii="Times New Roman" w:hAnsi="Times New Roman"/>
          <w:sz w:val="18"/>
          <w:szCs w:val="18"/>
        </w:rPr>
        <w:t xml:space="preserve"> MRLs set by Regulation (EU) No 899/2012) are shown in Table 2.2.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A0DE" w14:textId="5920630E" w:rsidR="005549C8" w:rsidRPr="00307F16" w:rsidRDefault="005549C8" w:rsidP="00490044">
    <w:pPr>
      <w:pStyle w:val="Header"/>
      <w:pBdr>
        <w:bottom w:val="single" w:sz="4" w:space="1" w:color="auto"/>
      </w:pBdr>
      <w:rPr>
        <w:b/>
        <w:sz w:val="20"/>
        <w:szCs w:val="20"/>
      </w:rPr>
    </w:pPr>
    <w:r w:rsidRPr="00307F16">
      <w:rPr>
        <w:b/>
        <w:sz w:val="20"/>
        <w:szCs w:val="20"/>
      </w:rPr>
      <w:t>UNEP/POPS/POPRC.13/</w:t>
    </w:r>
    <w:r>
      <w:rPr>
        <w:b/>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3AF2" w14:textId="4A84F8E9" w:rsidR="005549C8" w:rsidRPr="00490044" w:rsidRDefault="005549C8" w:rsidP="00307F16">
    <w:pPr>
      <w:pStyle w:val="Header"/>
      <w:pBdr>
        <w:bottom w:val="single" w:sz="4" w:space="1" w:color="auto"/>
      </w:pBdr>
      <w:jc w:val="right"/>
      <w:rPr>
        <w:b/>
        <w:sz w:val="18"/>
        <w:szCs w:val="18"/>
      </w:rPr>
    </w:pPr>
    <w:r w:rsidRPr="00490044">
      <w:rPr>
        <w:b/>
        <w:sz w:val="18"/>
        <w:szCs w:val="18"/>
      </w:rPr>
      <w:t>UNEP/POPS/POPRC.</w:t>
    </w:r>
    <w:r>
      <w:rPr>
        <w:b/>
        <w:sz w:val="18"/>
        <w:szCs w:val="18"/>
      </w:rPr>
      <w:t>13</w:t>
    </w:r>
    <w:r w:rsidRPr="00490044">
      <w:rPr>
        <w:b/>
        <w:sz w:val="18"/>
        <w:szCs w:val="18"/>
      </w:rPr>
      <w:t>/</w:t>
    </w:r>
    <w:r>
      <w:rPr>
        <w:b/>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40BFD2"/>
    <w:lvl w:ilvl="0">
      <w:start w:val="1"/>
      <w:numFmt w:val="decimal"/>
      <w:pStyle w:val="Subtitle"/>
      <w:lvlText w:val="%1."/>
      <w:lvlJc w:val="left"/>
      <w:pPr>
        <w:tabs>
          <w:tab w:val="num" w:pos="360"/>
        </w:tabs>
        <w:ind w:left="360" w:hanging="360"/>
      </w:pPr>
    </w:lvl>
  </w:abstractNum>
  <w:abstractNum w:abstractNumId="1">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3F20CA"/>
    <w:multiLevelType w:val="hybridMultilevel"/>
    <w:tmpl w:val="C706A5C8"/>
    <w:lvl w:ilvl="0" w:tplc="AF641F08">
      <w:start w:val="1"/>
      <w:numFmt w:val="lowerLetter"/>
      <w:lvlText w:val="(%1)"/>
      <w:lvlJc w:val="left"/>
      <w:pPr>
        <w:tabs>
          <w:tab w:val="num" w:pos="360"/>
        </w:tabs>
        <w:ind w:left="360" w:firstLine="0"/>
      </w:pPr>
      <w:rPr>
        <w:rFonts w:hint="eastAsia"/>
        <w:b w:val="0"/>
        <w:sz w:val="20"/>
        <w:szCs w:val="20"/>
      </w:rPr>
    </w:lvl>
    <w:lvl w:ilvl="1" w:tplc="54965FAC">
      <w:start w:val="1"/>
      <w:numFmt w:val="lowerLetter"/>
      <w:lvlText w:val="%2."/>
      <w:lvlJc w:val="left"/>
      <w:pPr>
        <w:tabs>
          <w:tab w:val="num" w:pos="1440"/>
        </w:tabs>
        <w:ind w:left="1440" w:hanging="360"/>
      </w:pPr>
    </w:lvl>
    <w:lvl w:ilvl="2" w:tplc="D0BEAA72" w:tentative="1">
      <w:start w:val="1"/>
      <w:numFmt w:val="lowerRoman"/>
      <w:lvlText w:val="%3."/>
      <w:lvlJc w:val="right"/>
      <w:pPr>
        <w:tabs>
          <w:tab w:val="num" w:pos="2160"/>
        </w:tabs>
        <w:ind w:left="2160" w:hanging="180"/>
      </w:pPr>
    </w:lvl>
    <w:lvl w:ilvl="3" w:tplc="55306F1E" w:tentative="1">
      <w:start w:val="1"/>
      <w:numFmt w:val="decimal"/>
      <w:lvlText w:val="%4."/>
      <w:lvlJc w:val="left"/>
      <w:pPr>
        <w:tabs>
          <w:tab w:val="num" w:pos="2880"/>
        </w:tabs>
        <w:ind w:left="2880" w:hanging="360"/>
      </w:pPr>
    </w:lvl>
    <w:lvl w:ilvl="4" w:tplc="352E9F70" w:tentative="1">
      <w:start w:val="1"/>
      <w:numFmt w:val="lowerLetter"/>
      <w:lvlText w:val="%5."/>
      <w:lvlJc w:val="left"/>
      <w:pPr>
        <w:tabs>
          <w:tab w:val="num" w:pos="3600"/>
        </w:tabs>
        <w:ind w:left="3600" w:hanging="360"/>
      </w:pPr>
    </w:lvl>
    <w:lvl w:ilvl="5" w:tplc="379831A6" w:tentative="1">
      <w:start w:val="1"/>
      <w:numFmt w:val="lowerRoman"/>
      <w:lvlText w:val="%6."/>
      <w:lvlJc w:val="right"/>
      <w:pPr>
        <w:tabs>
          <w:tab w:val="num" w:pos="4320"/>
        </w:tabs>
        <w:ind w:left="4320" w:hanging="180"/>
      </w:pPr>
    </w:lvl>
    <w:lvl w:ilvl="6" w:tplc="16680C02" w:tentative="1">
      <w:start w:val="1"/>
      <w:numFmt w:val="decimal"/>
      <w:lvlText w:val="%7."/>
      <w:lvlJc w:val="left"/>
      <w:pPr>
        <w:tabs>
          <w:tab w:val="num" w:pos="5040"/>
        </w:tabs>
        <w:ind w:left="5040" w:hanging="360"/>
      </w:pPr>
    </w:lvl>
    <w:lvl w:ilvl="7" w:tplc="EE64F068" w:tentative="1">
      <w:start w:val="1"/>
      <w:numFmt w:val="lowerLetter"/>
      <w:lvlText w:val="%8."/>
      <w:lvlJc w:val="left"/>
      <w:pPr>
        <w:tabs>
          <w:tab w:val="num" w:pos="5760"/>
        </w:tabs>
        <w:ind w:left="5760" w:hanging="360"/>
      </w:pPr>
    </w:lvl>
    <w:lvl w:ilvl="8" w:tplc="9066164C" w:tentative="1">
      <w:start w:val="1"/>
      <w:numFmt w:val="lowerRoman"/>
      <w:lvlText w:val="%9."/>
      <w:lvlJc w:val="right"/>
      <w:pPr>
        <w:tabs>
          <w:tab w:val="num" w:pos="6480"/>
        </w:tabs>
        <w:ind w:left="6480" w:hanging="180"/>
      </w:pPr>
    </w:lvl>
  </w:abstractNum>
  <w:abstractNum w:abstractNumId="3">
    <w:nsid w:val="0FBB1EBF"/>
    <w:multiLevelType w:val="multilevel"/>
    <w:tmpl w:val="9EB6459A"/>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756"/>
        </w:tabs>
        <w:ind w:left="756"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cs="Times New Roman" w:hint="default"/>
      </w:rPr>
    </w:lvl>
    <w:lvl w:ilvl="3">
      <w:start w:val="1"/>
      <w:numFmt w:val="decimal"/>
      <w:pStyle w:val="Heading4"/>
      <w:lvlText w:val="%1.%2.%3.%4"/>
      <w:lvlJc w:val="left"/>
      <w:pPr>
        <w:tabs>
          <w:tab w:val="num" w:pos="851"/>
        </w:tabs>
        <w:ind w:left="851" w:hanging="851"/>
      </w:pPr>
      <w:rPr>
        <w:rFonts w:ascii="Times New Roman" w:hAnsi="Times New Roman" w:cs="Times New Roman" w:hint="default"/>
        <w:b/>
        <w:i w:val="0"/>
        <w:sz w:val="22"/>
        <w:szCs w:val="22"/>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19F767C"/>
    <w:multiLevelType w:val="hybridMultilevel"/>
    <w:tmpl w:val="71E005AA"/>
    <w:lvl w:ilvl="0" w:tplc="E4644FB8">
      <w:start w:val="1"/>
      <w:numFmt w:val="decimal"/>
      <w:lvlText w:val="%1."/>
      <w:lvlJc w:val="left"/>
      <w:pPr>
        <w:tabs>
          <w:tab w:val="num" w:pos="1440"/>
        </w:tabs>
        <w:ind w:left="1440" w:hanging="360"/>
      </w:pPr>
      <w:rPr>
        <w:rFonts w:hint="default"/>
      </w:rPr>
    </w:lvl>
    <w:lvl w:ilvl="1" w:tplc="15AEFA1C">
      <w:start w:val="1"/>
      <w:numFmt w:val="lowerLetter"/>
      <w:lvlText w:val="(%2)"/>
      <w:lvlJc w:val="left"/>
      <w:pPr>
        <w:tabs>
          <w:tab w:val="num" w:pos="1440"/>
        </w:tabs>
        <w:ind w:left="1440" w:hanging="360"/>
      </w:pPr>
      <w:rPr>
        <w:rFonts w:hint="default"/>
      </w:rPr>
    </w:lvl>
    <w:lvl w:ilvl="2" w:tplc="857209F0">
      <w:start w:val="1"/>
      <w:numFmt w:val="lowerLetter"/>
      <w:lvlText w:val="(%3)"/>
      <w:lvlJc w:val="left"/>
      <w:pPr>
        <w:tabs>
          <w:tab w:val="num" w:pos="2160"/>
        </w:tabs>
        <w:ind w:left="2160" w:hanging="180"/>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54451E1"/>
    <w:multiLevelType w:val="hybridMultilevel"/>
    <w:tmpl w:val="7FF4137E"/>
    <w:lvl w:ilvl="0" w:tplc="13AC2E10">
      <w:start w:val="1"/>
      <w:numFmt w:val="lowerLetter"/>
      <w:pStyle w:val="Paralevel2"/>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EF4F37"/>
    <w:multiLevelType w:val="hybridMultilevel"/>
    <w:tmpl w:val="387C4466"/>
    <w:lvl w:ilvl="0" w:tplc="785A9538">
      <w:start w:val="1"/>
      <w:numFmt w:val="decimal"/>
      <w:lvlText w:val="%1."/>
      <w:lvlJc w:val="left"/>
      <w:pPr>
        <w:tabs>
          <w:tab w:val="num" w:pos="1440"/>
        </w:tabs>
        <w:ind w:left="1440" w:hanging="360"/>
      </w:pPr>
      <w:rPr>
        <w:rFonts w:hint="default"/>
        <w:b w:val="0"/>
        <w:i w:val="0"/>
        <w:sz w:val="20"/>
        <w:szCs w:val="20"/>
      </w:rPr>
    </w:lvl>
    <w:lvl w:ilvl="1" w:tplc="15AEFA1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9C12A97"/>
    <w:multiLevelType w:val="multilevel"/>
    <w:tmpl w:val="5414D432"/>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F35693"/>
    <w:multiLevelType w:val="multilevel"/>
    <w:tmpl w:val="29FC196C"/>
    <w:numStyleLink w:val="Normallist"/>
  </w:abstractNum>
  <w:abstractNum w:abstractNumId="9">
    <w:nsid w:val="4DF56E9C"/>
    <w:multiLevelType w:val="multilevel"/>
    <w:tmpl w:val="461AB056"/>
    <w:lvl w:ilvl="0">
      <w:start w:val="1"/>
      <w:numFmt w:val="decimal"/>
      <w:pStyle w:val="Paralevel1"/>
      <w:lvlText w:val="%1"/>
      <w:lvlJc w:val="left"/>
      <w:pPr>
        <w:ind w:left="360" w:hanging="360"/>
      </w:pPr>
      <w:rPr>
        <w:rFonts w:hint="default"/>
        <w:b w:val="0"/>
        <w:i w:val="0"/>
        <w:sz w:val="20"/>
        <w:szCs w:val="20"/>
      </w:rPr>
    </w:lvl>
    <w:lvl w:ilvl="1">
      <w:start w:val="1"/>
      <w:numFmt w:val="lowerLetter"/>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2291BF8"/>
    <w:multiLevelType w:val="multilevel"/>
    <w:tmpl w:val="6366955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64A691E"/>
    <w:multiLevelType w:val="hybridMultilevel"/>
    <w:tmpl w:val="D2209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DE0390"/>
    <w:multiLevelType w:val="hybridMultilevel"/>
    <w:tmpl w:val="FAFEA988"/>
    <w:lvl w:ilvl="0" w:tplc="E4644FB8">
      <w:start w:val="1"/>
      <w:numFmt w:val="decimal"/>
      <w:lvlText w:val="%1."/>
      <w:lvlJc w:val="left"/>
      <w:pPr>
        <w:tabs>
          <w:tab w:val="num" w:pos="1440"/>
        </w:tabs>
        <w:ind w:left="1440" w:hanging="360"/>
      </w:pPr>
      <w:rPr>
        <w:rFonts w:hint="default"/>
      </w:rPr>
    </w:lvl>
    <w:lvl w:ilvl="1" w:tplc="15AEFA1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D73AED"/>
    <w:multiLevelType w:val="hybridMultilevel"/>
    <w:tmpl w:val="AF5AC0B4"/>
    <w:lvl w:ilvl="0" w:tplc="857209F0">
      <w:start w:val="1"/>
      <w:numFmt w:val="lowerLetter"/>
      <w:lvlText w:val="(%1)"/>
      <w:lvlJc w:val="left"/>
      <w:pPr>
        <w:ind w:left="1429" w:hanging="360"/>
      </w:pPr>
      <w:rPr>
        <w:rFonts w:hint="default"/>
        <w:b w:val="0"/>
        <w:sz w:val="20"/>
        <w:szCs w:val="20"/>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70153302"/>
    <w:multiLevelType w:val="hybridMultilevel"/>
    <w:tmpl w:val="4B60308A"/>
    <w:lvl w:ilvl="0" w:tplc="9F0E6C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FA7C70"/>
    <w:multiLevelType w:val="hybridMultilevel"/>
    <w:tmpl w:val="719CC7DC"/>
    <w:lvl w:ilvl="0" w:tplc="857209F0">
      <w:start w:val="1"/>
      <w:numFmt w:val="lowerLetter"/>
      <w:lvlText w:val="(%1)"/>
      <w:lvlJc w:val="left"/>
      <w:pPr>
        <w:ind w:left="979" w:hanging="360"/>
      </w:pPr>
      <w:rPr>
        <w:rFonts w:hint="default"/>
        <w:b w:val="0"/>
        <w:sz w:val="20"/>
        <w:szCs w:val="20"/>
      </w:rPr>
    </w:lvl>
    <w:lvl w:ilvl="1" w:tplc="857209F0">
      <w:start w:val="1"/>
      <w:numFmt w:val="lowerLetter"/>
      <w:lvlText w:val="(%2)"/>
      <w:lvlJc w:val="left"/>
      <w:pPr>
        <w:ind w:left="1699" w:hanging="360"/>
      </w:pPr>
      <w:rPr>
        <w:rFonts w:hint="default"/>
        <w:b w:val="0"/>
        <w:sz w:val="20"/>
        <w:szCs w:val="20"/>
      </w:r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17">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abstractNum w:abstractNumId="18">
    <w:nsid w:val="7FCC776F"/>
    <w:multiLevelType w:val="hybridMultilevel"/>
    <w:tmpl w:val="5878597C"/>
    <w:lvl w:ilvl="0" w:tplc="857209F0">
      <w:start w:val="1"/>
      <w:numFmt w:val="lowerLetter"/>
      <w:lvlText w:val="(%1)"/>
      <w:lvlJc w:val="left"/>
      <w:pPr>
        <w:ind w:left="979" w:hanging="360"/>
      </w:pPr>
      <w:rPr>
        <w:rFonts w:hint="default"/>
        <w:b w:val="0"/>
        <w:sz w:val="20"/>
        <w:szCs w:val="20"/>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num w:numId="1">
    <w:abstractNumId w:val="3"/>
  </w:num>
  <w:num w:numId="2">
    <w:abstractNumId w:val="17"/>
  </w:num>
  <w:num w:numId="3">
    <w:abstractNumId w:val="1"/>
  </w:num>
  <w:num w:numId="4">
    <w:abstractNumId w:val="2"/>
  </w:num>
  <w:num w:numId="5">
    <w:abstractNumId w:val="0"/>
  </w:num>
  <w:num w:numId="6">
    <w:abstractNumId w:val="10"/>
  </w:num>
  <w:num w:numId="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
    <w:abstractNumId w:val="9"/>
  </w:num>
  <w:num w:numId="9">
    <w:abstractNumId w:val="9"/>
    <w:lvlOverride w:ilvl="0">
      <w:startOverride w:val="1"/>
    </w:lvlOverride>
    <w:lvlOverride w:ilvl="1">
      <w:startOverride w:val="3"/>
    </w:lvlOverride>
  </w:num>
  <w:num w:numId="10">
    <w:abstractNumId w:val="9"/>
    <w:lvlOverride w:ilvl="0">
      <w:startOverride w:val="1"/>
    </w:lvlOverride>
    <w:lvlOverride w:ilvl="1">
      <w:startOverride w:val="4"/>
    </w:lvlOverride>
  </w:num>
  <w:num w:numId="11">
    <w:abstractNumId w:val="9"/>
    <w:lvlOverride w:ilvl="0">
      <w:startOverride w:val="71"/>
    </w:lvlOverride>
  </w:num>
  <w:num w:numId="12">
    <w:abstractNumId w:val="9"/>
    <w:lvlOverride w:ilvl="0">
      <w:startOverride w:val="6"/>
    </w:lvlOverride>
  </w:num>
  <w:num w:numId="13">
    <w:abstractNumId w:val="9"/>
    <w:lvlOverride w:ilvl="0">
      <w:startOverride w:val="6"/>
    </w:lvlOverride>
  </w:num>
  <w:num w:numId="14">
    <w:abstractNumId w:val="9"/>
    <w:lvlOverride w:ilvl="0">
      <w:startOverride w:val="1"/>
    </w:lvlOverride>
    <w:lvlOverride w:ilvl="1">
      <w:startOverride w:val="1"/>
    </w:lvlOverride>
  </w:num>
  <w:num w:numId="15">
    <w:abstractNumId w:val="9"/>
    <w:lvlOverride w:ilvl="0">
      <w:startOverride w:val="1"/>
    </w:lvlOverride>
    <w:lvlOverride w:ilvl="1">
      <w:startOverride w:val="1"/>
    </w:lvlOverride>
  </w:num>
  <w:num w:numId="16">
    <w:abstractNumId w:val="9"/>
    <w:lvlOverride w:ilvl="0">
      <w:startOverride w:val="1"/>
    </w:lvlOverride>
    <w:lvlOverride w:ilvl="1">
      <w:startOverride w:val="3"/>
    </w:lvlOverride>
  </w:num>
  <w:num w:numId="1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5"/>
    <w:lvlOverride w:ilvl="0">
      <w:startOverride w:val="1"/>
    </w:lvlOverride>
  </w:num>
  <w:num w:numId="21">
    <w:abstractNumId w:val="9"/>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4"/>
  </w:num>
  <w:num w:numId="25">
    <w:abstractNumId w:val="18"/>
  </w:num>
  <w:num w:numId="26">
    <w:abstractNumId w:val="5"/>
  </w:num>
  <w:num w:numId="27">
    <w:abstractNumId w:val="14"/>
  </w:num>
  <w:num w:numId="28">
    <w:abstractNumId w:val="16"/>
  </w:num>
  <w:num w:numId="29">
    <w:abstractNumId w:val="7"/>
  </w:num>
  <w:num w:numId="3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4">
    <w:abstractNumId w:val="6"/>
  </w:num>
  <w:num w:numId="3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3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4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6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0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1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2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3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4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5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6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3">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4">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5">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6">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7">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8">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79">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80">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81">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182">
    <w:abstractNumId w:val="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61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6"/>
    <w:rsid w:val="000014EE"/>
    <w:rsid w:val="00001BBF"/>
    <w:rsid w:val="00001C3F"/>
    <w:rsid w:val="00002CF6"/>
    <w:rsid w:val="00004429"/>
    <w:rsid w:val="00005052"/>
    <w:rsid w:val="0000513D"/>
    <w:rsid w:val="00005B88"/>
    <w:rsid w:val="00006A88"/>
    <w:rsid w:val="0000731B"/>
    <w:rsid w:val="00007977"/>
    <w:rsid w:val="00007C3F"/>
    <w:rsid w:val="0001001A"/>
    <w:rsid w:val="00010483"/>
    <w:rsid w:val="0001055B"/>
    <w:rsid w:val="00010A5C"/>
    <w:rsid w:val="00011082"/>
    <w:rsid w:val="000115A4"/>
    <w:rsid w:val="000121BC"/>
    <w:rsid w:val="00012532"/>
    <w:rsid w:val="00012868"/>
    <w:rsid w:val="00012970"/>
    <w:rsid w:val="00013592"/>
    <w:rsid w:val="000137DF"/>
    <w:rsid w:val="00013A67"/>
    <w:rsid w:val="00013AE9"/>
    <w:rsid w:val="000149E6"/>
    <w:rsid w:val="00014AA5"/>
    <w:rsid w:val="00014D2C"/>
    <w:rsid w:val="0001510B"/>
    <w:rsid w:val="0001771C"/>
    <w:rsid w:val="00017CE8"/>
    <w:rsid w:val="00020096"/>
    <w:rsid w:val="00020268"/>
    <w:rsid w:val="00020291"/>
    <w:rsid w:val="00020D96"/>
    <w:rsid w:val="000247B0"/>
    <w:rsid w:val="00024D97"/>
    <w:rsid w:val="0002540B"/>
    <w:rsid w:val="00025747"/>
    <w:rsid w:val="00026997"/>
    <w:rsid w:val="00026ADA"/>
    <w:rsid w:val="00026C5D"/>
    <w:rsid w:val="00026CD0"/>
    <w:rsid w:val="00030E9B"/>
    <w:rsid w:val="00031B48"/>
    <w:rsid w:val="00031D22"/>
    <w:rsid w:val="00033321"/>
    <w:rsid w:val="000338AE"/>
    <w:rsid w:val="00033E0B"/>
    <w:rsid w:val="00034CB6"/>
    <w:rsid w:val="000357B6"/>
    <w:rsid w:val="00035B43"/>
    <w:rsid w:val="00035EDE"/>
    <w:rsid w:val="0003700E"/>
    <w:rsid w:val="000378FE"/>
    <w:rsid w:val="00037AA5"/>
    <w:rsid w:val="00037DE7"/>
    <w:rsid w:val="0004002F"/>
    <w:rsid w:val="000401A3"/>
    <w:rsid w:val="000403E8"/>
    <w:rsid w:val="00040670"/>
    <w:rsid w:val="00040D8F"/>
    <w:rsid w:val="000416D6"/>
    <w:rsid w:val="00041A13"/>
    <w:rsid w:val="00041C14"/>
    <w:rsid w:val="0004251A"/>
    <w:rsid w:val="00042603"/>
    <w:rsid w:val="00043190"/>
    <w:rsid w:val="00043989"/>
    <w:rsid w:val="0004490C"/>
    <w:rsid w:val="00044DBA"/>
    <w:rsid w:val="00045433"/>
    <w:rsid w:val="00047C39"/>
    <w:rsid w:val="00050674"/>
    <w:rsid w:val="00050722"/>
    <w:rsid w:val="000509B4"/>
    <w:rsid w:val="00051BD5"/>
    <w:rsid w:val="00052B5A"/>
    <w:rsid w:val="00053422"/>
    <w:rsid w:val="0005566E"/>
    <w:rsid w:val="000560F8"/>
    <w:rsid w:val="000565E8"/>
    <w:rsid w:val="00062FD6"/>
    <w:rsid w:val="000633D5"/>
    <w:rsid w:val="0006346B"/>
    <w:rsid w:val="00063E0A"/>
    <w:rsid w:val="0006424A"/>
    <w:rsid w:val="00064BB8"/>
    <w:rsid w:val="00064F20"/>
    <w:rsid w:val="00067451"/>
    <w:rsid w:val="00067874"/>
    <w:rsid w:val="00067AE4"/>
    <w:rsid w:val="0007022B"/>
    <w:rsid w:val="000715CE"/>
    <w:rsid w:val="00071886"/>
    <w:rsid w:val="00071AEF"/>
    <w:rsid w:val="00071BC1"/>
    <w:rsid w:val="00073434"/>
    <w:rsid w:val="000739A0"/>
    <w:rsid w:val="000742BC"/>
    <w:rsid w:val="000754FD"/>
    <w:rsid w:val="00075506"/>
    <w:rsid w:val="00075572"/>
    <w:rsid w:val="000758B8"/>
    <w:rsid w:val="00075DBD"/>
    <w:rsid w:val="000761B6"/>
    <w:rsid w:val="00076C47"/>
    <w:rsid w:val="00077211"/>
    <w:rsid w:val="00082692"/>
    <w:rsid w:val="00082A0C"/>
    <w:rsid w:val="0008429B"/>
    <w:rsid w:val="0008431D"/>
    <w:rsid w:val="00085E3F"/>
    <w:rsid w:val="00087092"/>
    <w:rsid w:val="000872AD"/>
    <w:rsid w:val="000876D8"/>
    <w:rsid w:val="000903DC"/>
    <w:rsid w:val="00090D29"/>
    <w:rsid w:val="000914C0"/>
    <w:rsid w:val="000914C2"/>
    <w:rsid w:val="000917BE"/>
    <w:rsid w:val="0009212E"/>
    <w:rsid w:val="00092148"/>
    <w:rsid w:val="000923AE"/>
    <w:rsid w:val="00094688"/>
    <w:rsid w:val="0009470F"/>
    <w:rsid w:val="00095774"/>
    <w:rsid w:val="0009640C"/>
    <w:rsid w:val="00097573"/>
    <w:rsid w:val="000975D8"/>
    <w:rsid w:val="000977F9"/>
    <w:rsid w:val="000A203E"/>
    <w:rsid w:val="000A2CDF"/>
    <w:rsid w:val="000A356B"/>
    <w:rsid w:val="000A3FA2"/>
    <w:rsid w:val="000A4400"/>
    <w:rsid w:val="000A4560"/>
    <w:rsid w:val="000A47A7"/>
    <w:rsid w:val="000A4ADF"/>
    <w:rsid w:val="000A4B64"/>
    <w:rsid w:val="000A4F1C"/>
    <w:rsid w:val="000A5041"/>
    <w:rsid w:val="000A566D"/>
    <w:rsid w:val="000A5D96"/>
    <w:rsid w:val="000A5DB3"/>
    <w:rsid w:val="000A66FF"/>
    <w:rsid w:val="000A6920"/>
    <w:rsid w:val="000A79BA"/>
    <w:rsid w:val="000B0B1B"/>
    <w:rsid w:val="000B0C90"/>
    <w:rsid w:val="000B17F3"/>
    <w:rsid w:val="000B1A32"/>
    <w:rsid w:val="000B1EB5"/>
    <w:rsid w:val="000B2D29"/>
    <w:rsid w:val="000B324E"/>
    <w:rsid w:val="000B3B46"/>
    <w:rsid w:val="000B3D66"/>
    <w:rsid w:val="000B4B36"/>
    <w:rsid w:val="000B5DBE"/>
    <w:rsid w:val="000B5FBA"/>
    <w:rsid w:val="000B750E"/>
    <w:rsid w:val="000B7D36"/>
    <w:rsid w:val="000C0636"/>
    <w:rsid w:val="000C0949"/>
    <w:rsid w:val="000C0B14"/>
    <w:rsid w:val="000C0D8C"/>
    <w:rsid w:val="000C14DF"/>
    <w:rsid w:val="000C170C"/>
    <w:rsid w:val="000C2F22"/>
    <w:rsid w:val="000C3B1C"/>
    <w:rsid w:val="000C4068"/>
    <w:rsid w:val="000C4605"/>
    <w:rsid w:val="000C5937"/>
    <w:rsid w:val="000C6CD3"/>
    <w:rsid w:val="000C712D"/>
    <w:rsid w:val="000D027B"/>
    <w:rsid w:val="000D0A79"/>
    <w:rsid w:val="000D1227"/>
    <w:rsid w:val="000D12C7"/>
    <w:rsid w:val="000D1BE6"/>
    <w:rsid w:val="000D33C0"/>
    <w:rsid w:val="000D345A"/>
    <w:rsid w:val="000D3C2D"/>
    <w:rsid w:val="000D3C58"/>
    <w:rsid w:val="000D3FB6"/>
    <w:rsid w:val="000D4A8C"/>
    <w:rsid w:val="000D53D7"/>
    <w:rsid w:val="000D5B3A"/>
    <w:rsid w:val="000D6770"/>
    <w:rsid w:val="000D6855"/>
    <w:rsid w:val="000D70A2"/>
    <w:rsid w:val="000E0079"/>
    <w:rsid w:val="000E182D"/>
    <w:rsid w:val="000E3FBF"/>
    <w:rsid w:val="000E42C1"/>
    <w:rsid w:val="000E47E2"/>
    <w:rsid w:val="000E49F8"/>
    <w:rsid w:val="000E4EA1"/>
    <w:rsid w:val="000E50BE"/>
    <w:rsid w:val="000E660E"/>
    <w:rsid w:val="000E6BAB"/>
    <w:rsid w:val="000E6DA6"/>
    <w:rsid w:val="000E7035"/>
    <w:rsid w:val="000E72D9"/>
    <w:rsid w:val="000E7558"/>
    <w:rsid w:val="000F12A7"/>
    <w:rsid w:val="000F2421"/>
    <w:rsid w:val="000F2753"/>
    <w:rsid w:val="000F2AE1"/>
    <w:rsid w:val="000F44BD"/>
    <w:rsid w:val="000F4CEC"/>
    <w:rsid w:val="000F576B"/>
    <w:rsid w:val="000F64A7"/>
    <w:rsid w:val="000F70D5"/>
    <w:rsid w:val="000F783E"/>
    <w:rsid w:val="00100186"/>
    <w:rsid w:val="00100F1D"/>
    <w:rsid w:val="00103739"/>
    <w:rsid w:val="00104AEA"/>
    <w:rsid w:val="00105260"/>
    <w:rsid w:val="00105AAE"/>
    <w:rsid w:val="0010762A"/>
    <w:rsid w:val="0011049E"/>
    <w:rsid w:val="001115CE"/>
    <w:rsid w:val="00111C19"/>
    <w:rsid w:val="001125BF"/>
    <w:rsid w:val="00113151"/>
    <w:rsid w:val="00113F3C"/>
    <w:rsid w:val="001166A8"/>
    <w:rsid w:val="00116DC2"/>
    <w:rsid w:val="00116F60"/>
    <w:rsid w:val="00116F75"/>
    <w:rsid w:val="0011760B"/>
    <w:rsid w:val="0011790A"/>
    <w:rsid w:val="00117D3E"/>
    <w:rsid w:val="001202E3"/>
    <w:rsid w:val="00120449"/>
    <w:rsid w:val="00120B84"/>
    <w:rsid w:val="001218D1"/>
    <w:rsid w:val="00123270"/>
    <w:rsid w:val="00123596"/>
    <w:rsid w:val="0012369C"/>
    <w:rsid w:val="00125397"/>
    <w:rsid w:val="001257A2"/>
    <w:rsid w:val="001257C2"/>
    <w:rsid w:val="00125F1B"/>
    <w:rsid w:val="001269A0"/>
    <w:rsid w:val="0013059D"/>
    <w:rsid w:val="00130676"/>
    <w:rsid w:val="00131267"/>
    <w:rsid w:val="00131431"/>
    <w:rsid w:val="0013263D"/>
    <w:rsid w:val="00132EB8"/>
    <w:rsid w:val="00133FA7"/>
    <w:rsid w:val="0013632D"/>
    <w:rsid w:val="00136A1B"/>
    <w:rsid w:val="0013714A"/>
    <w:rsid w:val="00137474"/>
    <w:rsid w:val="00137A07"/>
    <w:rsid w:val="00141A55"/>
    <w:rsid w:val="0014216B"/>
    <w:rsid w:val="00142C3F"/>
    <w:rsid w:val="00142CAF"/>
    <w:rsid w:val="00142E96"/>
    <w:rsid w:val="00144CD5"/>
    <w:rsid w:val="0014541B"/>
    <w:rsid w:val="0014571C"/>
    <w:rsid w:val="0015019C"/>
    <w:rsid w:val="00150C08"/>
    <w:rsid w:val="00150D81"/>
    <w:rsid w:val="00150F62"/>
    <w:rsid w:val="001517FF"/>
    <w:rsid w:val="00152078"/>
    <w:rsid w:val="00152EB0"/>
    <w:rsid w:val="00152F2F"/>
    <w:rsid w:val="001537AD"/>
    <w:rsid w:val="001539EE"/>
    <w:rsid w:val="001541EA"/>
    <w:rsid w:val="00155568"/>
    <w:rsid w:val="0015629E"/>
    <w:rsid w:val="00157099"/>
    <w:rsid w:val="00157AD2"/>
    <w:rsid w:val="00157CD5"/>
    <w:rsid w:val="00160CAE"/>
    <w:rsid w:val="00161122"/>
    <w:rsid w:val="0016113E"/>
    <w:rsid w:val="001615A9"/>
    <w:rsid w:val="0016162F"/>
    <w:rsid w:val="00161E99"/>
    <w:rsid w:val="00162BB6"/>
    <w:rsid w:val="00162DB0"/>
    <w:rsid w:val="00163004"/>
    <w:rsid w:val="001635E2"/>
    <w:rsid w:val="0016412A"/>
    <w:rsid w:val="0016580F"/>
    <w:rsid w:val="001663F9"/>
    <w:rsid w:val="00166A3D"/>
    <w:rsid w:val="00167444"/>
    <w:rsid w:val="0016755A"/>
    <w:rsid w:val="00170101"/>
    <w:rsid w:val="00170AB8"/>
    <w:rsid w:val="00170BA5"/>
    <w:rsid w:val="00172070"/>
    <w:rsid w:val="00173C3A"/>
    <w:rsid w:val="0017408B"/>
    <w:rsid w:val="0017540A"/>
    <w:rsid w:val="00175714"/>
    <w:rsid w:val="00176058"/>
    <w:rsid w:val="00176E5C"/>
    <w:rsid w:val="00180618"/>
    <w:rsid w:val="00180731"/>
    <w:rsid w:val="00180747"/>
    <w:rsid w:val="00180EDE"/>
    <w:rsid w:val="0018114B"/>
    <w:rsid w:val="00181498"/>
    <w:rsid w:val="001814AF"/>
    <w:rsid w:val="00181EC8"/>
    <w:rsid w:val="00182074"/>
    <w:rsid w:val="001823F0"/>
    <w:rsid w:val="00182DA6"/>
    <w:rsid w:val="00183482"/>
    <w:rsid w:val="001841C8"/>
    <w:rsid w:val="00184349"/>
    <w:rsid w:val="0018435F"/>
    <w:rsid w:val="0018498F"/>
    <w:rsid w:val="001864BA"/>
    <w:rsid w:val="001865CB"/>
    <w:rsid w:val="00186905"/>
    <w:rsid w:val="00187A05"/>
    <w:rsid w:val="0019047E"/>
    <w:rsid w:val="00190A49"/>
    <w:rsid w:val="00191795"/>
    <w:rsid w:val="001929D6"/>
    <w:rsid w:val="00194043"/>
    <w:rsid w:val="0019465E"/>
    <w:rsid w:val="00194691"/>
    <w:rsid w:val="00194937"/>
    <w:rsid w:val="00194E63"/>
    <w:rsid w:val="00194F53"/>
    <w:rsid w:val="001953E5"/>
    <w:rsid w:val="00196049"/>
    <w:rsid w:val="00196935"/>
    <w:rsid w:val="00196A8A"/>
    <w:rsid w:val="0019741F"/>
    <w:rsid w:val="00197785"/>
    <w:rsid w:val="001A13D1"/>
    <w:rsid w:val="001A1C2A"/>
    <w:rsid w:val="001A23E3"/>
    <w:rsid w:val="001A2AF4"/>
    <w:rsid w:val="001A429A"/>
    <w:rsid w:val="001A4B48"/>
    <w:rsid w:val="001A4DC0"/>
    <w:rsid w:val="001A69F1"/>
    <w:rsid w:val="001A7109"/>
    <w:rsid w:val="001A723F"/>
    <w:rsid w:val="001A72E5"/>
    <w:rsid w:val="001A7D17"/>
    <w:rsid w:val="001B2A08"/>
    <w:rsid w:val="001B2E5F"/>
    <w:rsid w:val="001B2FBE"/>
    <w:rsid w:val="001B3C0A"/>
    <w:rsid w:val="001B4F75"/>
    <w:rsid w:val="001B5690"/>
    <w:rsid w:val="001B7246"/>
    <w:rsid w:val="001B7C2C"/>
    <w:rsid w:val="001C0462"/>
    <w:rsid w:val="001C2F73"/>
    <w:rsid w:val="001C2FB9"/>
    <w:rsid w:val="001C3028"/>
    <w:rsid w:val="001C4049"/>
    <w:rsid w:val="001C46ED"/>
    <w:rsid w:val="001C58B4"/>
    <w:rsid w:val="001C59B4"/>
    <w:rsid w:val="001C5DBD"/>
    <w:rsid w:val="001C6625"/>
    <w:rsid w:val="001D05F4"/>
    <w:rsid w:val="001D09A5"/>
    <w:rsid w:val="001D0C04"/>
    <w:rsid w:val="001D13A5"/>
    <w:rsid w:val="001D1525"/>
    <w:rsid w:val="001D2E6F"/>
    <w:rsid w:val="001D3874"/>
    <w:rsid w:val="001D3B93"/>
    <w:rsid w:val="001D3F93"/>
    <w:rsid w:val="001D3FAB"/>
    <w:rsid w:val="001D4475"/>
    <w:rsid w:val="001D5C1C"/>
    <w:rsid w:val="001D6633"/>
    <w:rsid w:val="001D6E76"/>
    <w:rsid w:val="001D7580"/>
    <w:rsid w:val="001D7E75"/>
    <w:rsid w:val="001E269C"/>
    <w:rsid w:val="001E3ECF"/>
    <w:rsid w:val="001E56D2"/>
    <w:rsid w:val="001E5D18"/>
    <w:rsid w:val="001E6F8B"/>
    <w:rsid w:val="001E787C"/>
    <w:rsid w:val="001E7D56"/>
    <w:rsid w:val="001F048D"/>
    <w:rsid w:val="001F4C42"/>
    <w:rsid w:val="001F4CBC"/>
    <w:rsid w:val="001F51DB"/>
    <w:rsid w:val="001F55E6"/>
    <w:rsid w:val="001F56BE"/>
    <w:rsid w:val="001F6C82"/>
    <w:rsid w:val="001F72E0"/>
    <w:rsid w:val="001F741D"/>
    <w:rsid w:val="001F75DE"/>
    <w:rsid w:val="001F772A"/>
    <w:rsid w:val="001F7DBB"/>
    <w:rsid w:val="00200D58"/>
    <w:rsid w:val="002013BE"/>
    <w:rsid w:val="00201749"/>
    <w:rsid w:val="00201926"/>
    <w:rsid w:val="00202685"/>
    <w:rsid w:val="00202CA8"/>
    <w:rsid w:val="00203824"/>
    <w:rsid w:val="0020445D"/>
    <w:rsid w:val="002047E2"/>
    <w:rsid w:val="0020527D"/>
    <w:rsid w:val="00205312"/>
    <w:rsid w:val="002063A4"/>
    <w:rsid w:val="00206EEF"/>
    <w:rsid w:val="00207417"/>
    <w:rsid w:val="00210422"/>
    <w:rsid w:val="002104EA"/>
    <w:rsid w:val="00210CF1"/>
    <w:rsid w:val="0021145B"/>
    <w:rsid w:val="00211EB6"/>
    <w:rsid w:val="00211F2D"/>
    <w:rsid w:val="002124BC"/>
    <w:rsid w:val="00212766"/>
    <w:rsid w:val="00212CEB"/>
    <w:rsid w:val="002133A8"/>
    <w:rsid w:val="002161AF"/>
    <w:rsid w:val="00216C15"/>
    <w:rsid w:val="00217603"/>
    <w:rsid w:val="002205A1"/>
    <w:rsid w:val="00220E67"/>
    <w:rsid w:val="002225D2"/>
    <w:rsid w:val="00222851"/>
    <w:rsid w:val="00223145"/>
    <w:rsid w:val="0022404F"/>
    <w:rsid w:val="00224421"/>
    <w:rsid w:val="002254F9"/>
    <w:rsid w:val="002257BE"/>
    <w:rsid w:val="00225A74"/>
    <w:rsid w:val="002265A6"/>
    <w:rsid w:val="00227160"/>
    <w:rsid w:val="00227267"/>
    <w:rsid w:val="002308B5"/>
    <w:rsid w:val="00230C1E"/>
    <w:rsid w:val="0023149A"/>
    <w:rsid w:val="00231874"/>
    <w:rsid w:val="00232AAC"/>
    <w:rsid w:val="00232EA7"/>
    <w:rsid w:val="00232F54"/>
    <w:rsid w:val="00233CEF"/>
    <w:rsid w:val="00235734"/>
    <w:rsid w:val="002360F1"/>
    <w:rsid w:val="002375A0"/>
    <w:rsid w:val="002403F0"/>
    <w:rsid w:val="00240699"/>
    <w:rsid w:val="002431A8"/>
    <w:rsid w:val="00243A56"/>
    <w:rsid w:val="0024505D"/>
    <w:rsid w:val="00245078"/>
    <w:rsid w:val="002451E3"/>
    <w:rsid w:val="002453A0"/>
    <w:rsid w:val="002453CC"/>
    <w:rsid w:val="002458D1"/>
    <w:rsid w:val="00246817"/>
    <w:rsid w:val="00247707"/>
    <w:rsid w:val="0024773E"/>
    <w:rsid w:val="0025080B"/>
    <w:rsid w:val="0025120B"/>
    <w:rsid w:val="0025148A"/>
    <w:rsid w:val="0025293D"/>
    <w:rsid w:val="00252EBD"/>
    <w:rsid w:val="002534FC"/>
    <w:rsid w:val="00253687"/>
    <w:rsid w:val="00254368"/>
    <w:rsid w:val="00255190"/>
    <w:rsid w:val="002557FD"/>
    <w:rsid w:val="00255CCA"/>
    <w:rsid w:val="00256B71"/>
    <w:rsid w:val="002570FB"/>
    <w:rsid w:val="00261F6A"/>
    <w:rsid w:val="002636D0"/>
    <w:rsid w:val="00263757"/>
    <w:rsid w:val="00263EB7"/>
    <w:rsid w:val="00263FF0"/>
    <w:rsid w:val="0026578C"/>
    <w:rsid w:val="0026591E"/>
    <w:rsid w:val="00266790"/>
    <w:rsid w:val="002671A7"/>
    <w:rsid w:val="00267422"/>
    <w:rsid w:val="00270309"/>
    <w:rsid w:val="00271318"/>
    <w:rsid w:val="0027229F"/>
    <w:rsid w:val="00274A08"/>
    <w:rsid w:val="002753C9"/>
    <w:rsid w:val="00276F99"/>
    <w:rsid w:val="002775CA"/>
    <w:rsid w:val="00277A14"/>
    <w:rsid w:val="00277DD2"/>
    <w:rsid w:val="00277E5F"/>
    <w:rsid w:val="0028093D"/>
    <w:rsid w:val="00280AF4"/>
    <w:rsid w:val="002810D2"/>
    <w:rsid w:val="00281AEB"/>
    <w:rsid w:val="00282A10"/>
    <w:rsid w:val="00285F1E"/>
    <w:rsid w:val="002862A7"/>
    <w:rsid w:val="00286740"/>
    <w:rsid w:val="00287082"/>
    <w:rsid w:val="0029252E"/>
    <w:rsid w:val="002929D8"/>
    <w:rsid w:val="00292BC4"/>
    <w:rsid w:val="00292FC1"/>
    <w:rsid w:val="002948A0"/>
    <w:rsid w:val="00294FAF"/>
    <w:rsid w:val="002964BB"/>
    <w:rsid w:val="002A1475"/>
    <w:rsid w:val="002A231E"/>
    <w:rsid w:val="002A237D"/>
    <w:rsid w:val="002A242D"/>
    <w:rsid w:val="002A4422"/>
    <w:rsid w:val="002A4C53"/>
    <w:rsid w:val="002A4DD1"/>
    <w:rsid w:val="002A5072"/>
    <w:rsid w:val="002A5194"/>
    <w:rsid w:val="002A6B6E"/>
    <w:rsid w:val="002A7081"/>
    <w:rsid w:val="002A788E"/>
    <w:rsid w:val="002A7AF3"/>
    <w:rsid w:val="002A7C57"/>
    <w:rsid w:val="002B14DB"/>
    <w:rsid w:val="002B3083"/>
    <w:rsid w:val="002B3443"/>
    <w:rsid w:val="002B34F5"/>
    <w:rsid w:val="002B44BC"/>
    <w:rsid w:val="002B4A31"/>
    <w:rsid w:val="002B52BC"/>
    <w:rsid w:val="002B5B98"/>
    <w:rsid w:val="002B5C61"/>
    <w:rsid w:val="002B5C86"/>
    <w:rsid w:val="002B64C5"/>
    <w:rsid w:val="002B6751"/>
    <w:rsid w:val="002B6A53"/>
    <w:rsid w:val="002C0557"/>
    <w:rsid w:val="002C09E3"/>
    <w:rsid w:val="002C145D"/>
    <w:rsid w:val="002C1549"/>
    <w:rsid w:val="002C2C3E"/>
    <w:rsid w:val="002C533E"/>
    <w:rsid w:val="002C5AD8"/>
    <w:rsid w:val="002C5E3B"/>
    <w:rsid w:val="002C6354"/>
    <w:rsid w:val="002C657E"/>
    <w:rsid w:val="002D027F"/>
    <w:rsid w:val="002D04E6"/>
    <w:rsid w:val="002D073E"/>
    <w:rsid w:val="002D16CF"/>
    <w:rsid w:val="002D2E66"/>
    <w:rsid w:val="002D3CB2"/>
    <w:rsid w:val="002D3E54"/>
    <w:rsid w:val="002D4D3D"/>
    <w:rsid w:val="002D4FB0"/>
    <w:rsid w:val="002D5840"/>
    <w:rsid w:val="002D5D50"/>
    <w:rsid w:val="002D62AC"/>
    <w:rsid w:val="002D65FE"/>
    <w:rsid w:val="002D66C7"/>
    <w:rsid w:val="002D6BF9"/>
    <w:rsid w:val="002D7B35"/>
    <w:rsid w:val="002D7B60"/>
    <w:rsid w:val="002E0409"/>
    <w:rsid w:val="002E1031"/>
    <w:rsid w:val="002E124C"/>
    <w:rsid w:val="002E1FC7"/>
    <w:rsid w:val="002E4B13"/>
    <w:rsid w:val="002E56F7"/>
    <w:rsid w:val="002E61E5"/>
    <w:rsid w:val="002F0080"/>
    <w:rsid w:val="002F1F2A"/>
    <w:rsid w:val="002F2BEB"/>
    <w:rsid w:val="002F335D"/>
    <w:rsid w:val="002F42B7"/>
    <w:rsid w:val="002F4761"/>
    <w:rsid w:val="002F49F9"/>
    <w:rsid w:val="002F54BB"/>
    <w:rsid w:val="002F5CD5"/>
    <w:rsid w:val="002F6396"/>
    <w:rsid w:val="002F6466"/>
    <w:rsid w:val="003006A3"/>
    <w:rsid w:val="0030104B"/>
    <w:rsid w:val="0030174D"/>
    <w:rsid w:val="00301825"/>
    <w:rsid w:val="00301F72"/>
    <w:rsid w:val="0030215A"/>
    <w:rsid w:val="00302463"/>
    <w:rsid w:val="003025A4"/>
    <w:rsid w:val="003027A8"/>
    <w:rsid w:val="00303C06"/>
    <w:rsid w:val="00303C2F"/>
    <w:rsid w:val="00305B47"/>
    <w:rsid w:val="00305FBB"/>
    <w:rsid w:val="003073E5"/>
    <w:rsid w:val="00307F16"/>
    <w:rsid w:val="0031070B"/>
    <w:rsid w:val="00310DBD"/>
    <w:rsid w:val="00313CAC"/>
    <w:rsid w:val="0031413F"/>
    <w:rsid w:val="00315820"/>
    <w:rsid w:val="00315E0D"/>
    <w:rsid w:val="00316435"/>
    <w:rsid w:val="00316ABF"/>
    <w:rsid w:val="00316F3C"/>
    <w:rsid w:val="00317353"/>
    <w:rsid w:val="00317453"/>
    <w:rsid w:val="00317AB6"/>
    <w:rsid w:val="00320958"/>
    <w:rsid w:val="00320DEC"/>
    <w:rsid w:val="0032437D"/>
    <w:rsid w:val="003244D3"/>
    <w:rsid w:val="003244DE"/>
    <w:rsid w:val="0032462C"/>
    <w:rsid w:val="00324A51"/>
    <w:rsid w:val="0032509B"/>
    <w:rsid w:val="0032581D"/>
    <w:rsid w:val="003263ED"/>
    <w:rsid w:val="00327061"/>
    <w:rsid w:val="003274F5"/>
    <w:rsid w:val="003300DA"/>
    <w:rsid w:val="00332B2F"/>
    <w:rsid w:val="00332EF7"/>
    <w:rsid w:val="0033300C"/>
    <w:rsid w:val="00333279"/>
    <w:rsid w:val="003335B6"/>
    <w:rsid w:val="00341891"/>
    <w:rsid w:val="003428CE"/>
    <w:rsid w:val="00343757"/>
    <w:rsid w:val="003449ED"/>
    <w:rsid w:val="00344B20"/>
    <w:rsid w:val="003451AA"/>
    <w:rsid w:val="003453C6"/>
    <w:rsid w:val="003457D2"/>
    <w:rsid w:val="00345BF1"/>
    <w:rsid w:val="0034600B"/>
    <w:rsid w:val="003462AA"/>
    <w:rsid w:val="003463BF"/>
    <w:rsid w:val="00346FA9"/>
    <w:rsid w:val="0034740C"/>
    <w:rsid w:val="00347997"/>
    <w:rsid w:val="00347DA4"/>
    <w:rsid w:val="00347DC4"/>
    <w:rsid w:val="00350884"/>
    <w:rsid w:val="003508B0"/>
    <w:rsid w:val="00350FAB"/>
    <w:rsid w:val="003518DD"/>
    <w:rsid w:val="00351CA7"/>
    <w:rsid w:val="003531B6"/>
    <w:rsid w:val="003535D6"/>
    <w:rsid w:val="00353E0C"/>
    <w:rsid w:val="00354178"/>
    <w:rsid w:val="003547F1"/>
    <w:rsid w:val="00355576"/>
    <w:rsid w:val="00355EA9"/>
    <w:rsid w:val="00356268"/>
    <w:rsid w:val="003576DB"/>
    <w:rsid w:val="003623F7"/>
    <w:rsid w:val="00363651"/>
    <w:rsid w:val="003637FC"/>
    <w:rsid w:val="0036437E"/>
    <w:rsid w:val="003665D5"/>
    <w:rsid w:val="0037035C"/>
    <w:rsid w:val="003703E4"/>
    <w:rsid w:val="00370BA8"/>
    <w:rsid w:val="0037352D"/>
    <w:rsid w:val="0037374F"/>
    <w:rsid w:val="00373CB4"/>
    <w:rsid w:val="0037428F"/>
    <w:rsid w:val="00374412"/>
    <w:rsid w:val="0037497C"/>
    <w:rsid w:val="00374BB4"/>
    <w:rsid w:val="00375020"/>
    <w:rsid w:val="00375414"/>
    <w:rsid w:val="00376EEE"/>
    <w:rsid w:val="0037740D"/>
    <w:rsid w:val="00380965"/>
    <w:rsid w:val="00380D9A"/>
    <w:rsid w:val="0038151C"/>
    <w:rsid w:val="00382695"/>
    <w:rsid w:val="003858AB"/>
    <w:rsid w:val="00386927"/>
    <w:rsid w:val="00386C71"/>
    <w:rsid w:val="00387DFC"/>
    <w:rsid w:val="00391A26"/>
    <w:rsid w:val="003933DC"/>
    <w:rsid w:val="00393CCF"/>
    <w:rsid w:val="00394B7B"/>
    <w:rsid w:val="003959A1"/>
    <w:rsid w:val="00395A47"/>
    <w:rsid w:val="00395EFC"/>
    <w:rsid w:val="00396257"/>
    <w:rsid w:val="00397EB8"/>
    <w:rsid w:val="003A11DA"/>
    <w:rsid w:val="003A3219"/>
    <w:rsid w:val="003A3341"/>
    <w:rsid w:val="003A451E"/>
    <w:rsid w:val="003A4610"/>
    <w:rsid w:val="003A4ADA"/>
    <w:rsid w:val="003A4FD0"/>
    <w:rsid w:val="003A504D"/>
    <w:rsid w:val="003A5EE6"/>
    <w:rsid w:val="003A61E6"/>
    <w:rsid w:val="003A6563"/>
    <w:rsid w:val="003A6980"/>
    <w:rsid w:val="003A69D1"/>
    <w:rsid w:val="003A69EC"/>
    <w:rsid w:val="003A70A3"/>
    <w:rsid w:val="003B01C7"/>
    <w:rsid w:val="003B02EB"/>
    <w:rsid w:val="003B1545"/>
    <w:rsid w:val="003B1BC5"/>
    <w:rsid w:val="003B33FC"/>
    <w:rsid w:val="003B4758"/>
    <w:rsid w:val="003B500C"/>
    <w:rsid w:val="003B657E"/>
    <w:rsid w:val="003B6BA3"/>
    <w:rsid w:val="003B6D9F"/>
    <w:rsid w:val="003B7DCB"/>
    <w:rsid w:val="003C2265"/>
    <w:rsid w:val="003C28DF"/>
    <w:rsid w:val="003C409D"/>
    <w:rsid w:val="003C43AD"/>
    <w:rsid w:val="003C4E63"/>
    <w:rsid w:val="003C4F0C"/>
    <w:rsid w:val="003C4F62"/>
    <w:rsid w:val="003C5750"/>
    <w:rsid w:val="003C7A32"/>
    <w:rsid w:val="003C7D93"/>
    <w:rsid w:val="003D0467"/>
    <w:rsid w:val="003D06B5"/>
    <w:rsid w:val="003D1270"/>
    <w:rsid w:val="003D2362"/>
    <w:rsid w:val="003D2776"/>
    <w:rsid w:val="003D548A"/>
    <w:rsid w:val="003D62D7"/>
    <w:rsid w:val="003D6908"/>
    <w:rsid w:val="003D7537"/>
    <w:rsid w:val="003D7F77"/>
    <w:rsid w:val="003E10BD"/>
    <w:rsid w:val="003E1C73"/>
    <w:rsid w:val="003E2A6E"/>
    <w:rsid w:val="003E2DED"/>
    <w:rsid w:val="003E4543"/>
    <w:rsid w:val="003E4AE2"/>
    <w:rsid w:val="003E5B01"/>
    <w:rsid w:val="003E5D03"/>
    <w:rsid w:val="003E5EA0"/>
    <w:rsid w:val="003E6495"/>
    <w:rsid w:val="003E6579"/>
    <w:rsid w:val="003E7627"/>
    <w:rsid w:val="003F0D55"/>
    <w:rsid w:val="003F0E85"/>
    <w:rsid w:val="003F1986"/>
    <w:rsid w:val="003F245E"/>
    <w:rsid w:val="003F5127"/>
    <w:rsid w:val="003F58BE"/>
    <w:rsid w:val="003F5A21"/>
    <w:rsid w:val="003F5AD4"/>
    <w:rsid w:val="003F67EA"/>
    <w:rsid w:val="003F73FF"/>
    <w:rsid w:val="003F7F70"/>
    <w:rsid w:val="00400690"/>
    <w:rsid w:val="004033F4"/>
    <w:rsid w:val="00403AEA"/>
    <w:rsid w:val="00403B76"/>
    <w:rsid w:val="004040E7"/>
    <w:rsid w:val="00404BBD"/>
    <w:rsid w:val="00405050"/>
    <w:rsid w:val="00405913"/>
    <w:rsid w:val="00406EFD"/>
    <w:rsid w:val="004076BB"/>
    <w:rsid w:val="00410C55"/>
    <w:rsid w:val="00411D0C"/>
    <w:rsid w:val="004126A9"/>
    <w:rsid w:val="004138F2"/>
    <w:rsid w:val="00413F9E"/>
    <w:rsid w:val="0041515B"/>
    <w:rsid w:val="004167FB"/>
    <w:rsid w:val="00416804"/>
    <w:rsid w:val="00416B96"/>
    <w:rsid w:val="00416E4D"/>
    <w:rsid w:val="00417725"/>
    <w:rsid w:val="00420365"/>
    <w:rsid w:val="00420D58"/>
    <w:rsid w:val="00420E33"/>
    <w:rsid w:val="0042215D"/>
    <w:rsid w:val="004221C8"/>
    <w:rsid w:val="00422984"/>
    <w:rsid w:val="00423CC9"/>
    <w:rsid w:val="00424392"/>
    <w:rsid w:val="00424B1A"/>
    <w:rsid w:val="00425257"/>
    <w:rsid w:val="0042685F"/>
    <w:rsid w:val="00426AF7"/>
    <w:rsid w:val="00426BDF"/>
    <w:rsid w:val="00427752"/>
    <w:rsid w:val="0042798D"/>
    <w:rsid w:val="00430855"/>
    <w:rsid w:val="00430DC1"/>
    <w:rsid w:val="004316E4"/>
    <w:rsid w:val="0043170A"/>
    <w:rsid w:val="0043171C"/>
    <w:rsid w:val="0043175F"/>
    <w:rsid w:val="0043194D"/>
    <w:rsid w:val="00432225"/>
    <w:rsid w:val="00432371"/>
    <w:rsid w:val="00434746"/>
    <w:rsid w:val="00435B51"/>
    <w:rsid w:val="00435BA0"/>
    <w:rsid w:val="00436050"/>
    <w:rsid w:val="004362D4"/>
    <w:rsid w:val="00436F09"/>
    <w:rsid w:val="00437285"/>
    <w:rsid w:val="0043796D"/>
    <w:rsid w:val="00437F26"/>
    <w:rsid w:val="004412DE"/>
    <w:rsid w:val="0044369B"/>
    <w:rsid w:val="00443A9C"/>
    <w:rsid w:val="00443C9C"/>
    <w:rsid w:val="00443DE8"/>
    <w:rsid w:val="00444D06"/>
    <w:rsid w:val="00445FC4"/>
    <w:rsid w:val="00446522"/>
    <w:rsid w:val="0044682E"/>
    <w:rsid w:val="00447660"/>
    <w:rsid w:val="00450421"/>
    <w:rsid w:val="00451F93"/>
    <w:rsid w:val="00452182"/>
    <w:rsid w:val="00452D0E"/>
    <w:rsid w:val="00453451"/>
    <w:rsid w:val="00454769"/>
    <w:rsid w:val="004556C5"/>
    <w:rsid w:val="00457EDE"/>
    <w:rsid w:val="004602D4"/>
    <w:rsid w:val="004613F9"/>
    <w:rsid w:val="0046182A"/>
    <w:rsid w:val="004626A4"/>
    <w:rsid w:val="004651C1"/>
    <w:rsid w:val="0046624D"/>
    <w:rsid w:val="00466991"/>
    <w:rsid w:val="00467CBB"/>
    <w:rsid w:val="0047064C"/>
    <w:rsid w:val="00470C4F"/>
    <w:rsid w:val="004711EB"/>
    <w:rsid w:val="0047125F"/>
    <w:rsid w:val="00471466"/>
    <w:rsid w:val="0047257D"/>
    <w:rsid w:val="00472716"/>
    <w:rsid w:val="00472CEA"/>
    <w:rsid w:val="00473F7C"/>
    <w:rsid w:val="004744E7"/>
    <w:rsid w:val="00474DA1"/>
    <w:rsid w:val="00475735"/>
    <w:rsid w:val="00475951"/>
    <w:rsid w:val="00475F5A"/>
    <w:rsid w:val="00476071"/>
    <w:rsid w:val="00477AEA"/>
    <w:rsid w:val="004814F8"/>
    <w:rsid w:val="004816F9"/>
    <w:rsid w:val="004822D4"/>
    <w:rsid w:val="00482CA2"/>
    <w:rsid w:val="004832A8"/>
    <w:rsid w:val="00485797"/>
    <w:rsid w:val="00486C2D"/>
    <w:rsid w:val="004877EE"/>
    <w:rsid w:val="00490044"/>
    <w:rsid w:val="00491919"/>
    <w:rsid w:val="00491CBF"/>
    <w:rsid w:val="00491E0B"/>
    <w:rsid w:val="00491F56"/>
    <w:rsid w:val="00493D22"/>
    <w:rsid w:val="00494A2B"/>
    <w:rsid w:val="0049537B"/>
    <w:rsid w:val="00496706"/>
    <w:rsid w:val="004A02FF"/>
    <w:rsid w:val="004A104B"/>
    <w:rsid w:val="004A13AA"/>
    <w:rsid w:val="004A1FFB"/>
    <w:rsid w:val="004A2C82"/>
    <w:rsid w:val="004A3110"/>
    <w:rsid w:val="004A3974"/>
    <w:rsid w:val="004A480C"/>
    <w:rsid w:val="004A6E6F"/>
    <w:rsid w:val="004A798A"/>
    <w:rsid w:val="004B168F"/>
    <w:rsid w:val="004B229E"/>
    <w:rsid w:val="004B24A8"/>
    <w:rsid w:val="004B2528"/>
    <w:rsid w:val="004B28DA"/>
    <w:rsid w:val="004B2C62"/>
    <w:rsid w:val="004B3541"/>
    <w:rsid w:val="004B4D20"/>
    <w:rsid w:val="004B4F55"/>
    <w:rsid w:val="004B55D4"/>
    <w:rsid w:val="004B5D3F"/>
    <w:rsid w:val="004B68D8"/>
    <w:rsid w:val="004B7753"/>
    <w:rsid w:val="004B7ED4"/>
    <w:rsid w:val="004C00A4"/>
    <w:rsid w:val="004C0803"/>
    <w:rsid w:val="004C09C1"/>
    <w:rsid w:val="004C106A"/>
    <w:rsid w:val="004C12E8"/>
    <w:rsid w:val="004C1865"/>
    <w:rsid w:val="004C2151"/>
    <w:rsid w:val="004C22ED"/>
    <w:rsid w:val="004C25A3"/>
    <w:rsid w:val="004C448B"/>
    <w:rsid w:val="004C59B6"/>
    <w:rsid w:val="004C5C96"/>
    <w:rsid w:val="004C5DD4"/>
    <w:rsid w:val="004C6C31"/>
    <w:rsid w:val="004C73BE"/>
    <w:rsid w:val="004D01FF"/>
    <w:rsid w:val="004D06A4"/>
    <w:rsid w:val="004D25FA"/>
    <w:rsid w:val="004D2782"/>
    <w:rsid w:val="004D2C9C"/>
    <w:rsid w:val="004D2E0F"/>
    <w:rsid w:val="004D3FC3"/>
    <w:rsid w:val="004D4949"/>
    <w:rsid w:val="004D4ADF"/>
    <w:rsid w:val="004D4F33"/>
    <w:rsid w:val="004D5259"/>
    <w:rsid w:val="004D578B"/>
    <w:rsid w:val="004D629F"/>
    <w:rsid w:val="004D7151"/>
    <w:rsid w:val="004D782E"/>
    <w:rsid w:val="004D7889"/>
    <w:rsid w:val="004D7CDD"/>
    <w:rsid w:val="004E0DF1"/>
    <w:rsid w:val="004E1BE8"/>
    <w:rsid w:val="004E2A73"/>
    <w:rsid w:val="004E2D2B"/>
    <w:rsid w:val="004E2E7B"/>
    <w:rsid w:val="004E3558"/>
    <w:rsid w:val="004E40D1"/>
    <w:rsid w:val="004E4280"/>
    <w:rsid w:val="004E58A2"/>
    <w:rsid w:val="004E59A7"/>
    <w:rsid w:val="004E6252"/>
    <w:rsid w:val="004F10E8"/>
    <w:rsid w:val="004F16CD"/>
    <w:rsid w:val="004F1A81"/>
    <w:rsid w:val="004F1BAE"/>
    <w:rsid w:val="004F1DB9"/>
    <w:rsid w:val="004F317A"/>
    <w:rsid w:val="004F4463"/>
    <w:rsid w:val="004F55B8"/>
    <w:rsid w:val="004F5CAA"/>
    <w:rsid w:val="004F619D"/>
    <w:rsid w:val="004F67CA"/>
    <w:rsid w:val="004F6A49"/>
    <w:rsid w:val="004F7E4C"/>
    <w:rsid w:val="004F7F47"/>
    <w:rsid w:val="00500706"/>
    <w:rsid w:val="00500A4F"/>
    <w:rsid w:val="00501001"/>
    <w:rsid w:val="00501B06"/>
    <w:rsid w:val="0050244E"/>
    <w:rsid w:val="005035DB"/>
    <w:rsid w:val="00504BD2"/>
    <w:rsid w:val="00506D09"/>
    <w:rsid w:val="00510B22"/>
    <w:rsid w:val="0051180F"/>
    <w:rsid w:val="00512489"/>
    <w:rsid w:val="00512E1D"/>
    <w:rsid w:val="00512ED5"/>
    <w:rsid w:val="00513061"/>
    <w:rsid w:val="00513086"/>
    <w:rsid w:val="00514224"/>
    <w:rsid w:val="00514229"/>
    <w:rsid w:val="00514F08"/>
    <w:rsid w:val="0051528E"/>
    <w:rsid w:val="0051536F"/>
    <w:rsid w:val="005154BB"/>
    <w:rsid w:val="005216AA"/>
    <w:rsid w:val="005218D9"/>
    <w:rsid w:val="00521BDD"/>
    <w:rsid w:val="00522C1A"/>
    <w:rsid w:val="0052437E"/>
    <w:rsid w:val="00525047"/>
    <w:rsid w:val="00525534"/>
    <w:rsid w:val="005272CE"/>
    <w:rsid w:val="00527A01"/>
    <w:rsid w:val="00527D26"/>
    <w:rsid w:val="00530BE9"/>
    <w:rsid w:val="00530E05"/>
    <w:rsid w:val="00532816"/>
    <w:rsid w:val="00533DE3"/>
    <w:rsid w:val="0053505C"/>
    <w:rsid w:val="00535630"/>
    <w:rsid w:val="005356D8"/>
    <w:rsid w:val="005359D2"/>
    <w:rsid w:val="00536186"/>
    <w:rsid w:val="00536745"/>
    <w:rsid w:val="00536D34"/>
    <w:rsid w:val="00537B8B"/>
    <w:rsid w:val="00540E68"/>
    <w:rsid w:val="005430B8"/>
    <w:rsid w:val="005455D5"/>
    <w:rsid w:val="00545B97"/>
    <w:rsid w:val="005470E4"/>
    <w:rsid w:val="00547E32"/>
    <w:rsid w:val="005501F0"/>
    <w:rsid w:val="0055021D"/>
    <w:rsid w:val="00550A37"/>
    <w:rsid w:val="00550D14"/>
    <w:rsid w:val="005523A1"/>
    <w:rsid w:val="005525F7"/>
    <w:rsid w:val="00552DB5"/>
    <w:rsid w:val="00553093"/>
    <w:rsid w:val="005548BB"/>
    <w:rsid w:val="005549C8"/>
    <w:rsid w:val="00555670"/>
    <w:rsid w:val="005558E7"/>
    <w:rsid w:val="00555D66"/>
    <w:rsid w:val="00555F46"/>
    <w:rsid w:val="0055600F"/>
    <w:rsid w:val="00557B84"/>
    <w:rsid w:val="00557C37"/>
    <w:rsid w:val="005603EC"/>
    <w:rsid w:val="00560667"/>
    <w:rsid w:val="00560E23"/>
    <w:rsid w:val="00562ABA"/>
    <w:rsid w:val="00562EDB"/>
    <w:rsid w:val="00563216"/>
    <w:rsid w:val="005654F2"/>
    <w:rsid w:val="00566396"/>
    <w:rsid w:val="00567125"/>
    <w:rsid w:val="005671C6"/>
    <w:rsid w:val="00570D77"/>
    <w:rsid w:val="0057315F"/>
    <w:rsid w:val="005743E7"/>
    <w:rsid w:val="00576930"/>
    <w:rsid w:val="00576CE9"/>
    <w:rsid w:val="00576E08"/>
    <w:rsid w:val="00580E19"/>
    <w:rsid w:val="00581F31"/>
    <w:rsid w:val="00581FF2"/>
    <w:rsid w:val="00582E5F"/>
    <w:rsid w:val="0058349E"/>
    <w:rsid w:val="005835F5"/>
    <w:rsid w:val="0058437C"/>
    <w:rsid w:val="005846F9"/>
    <w:rsid w:val="005847A9"/>
    <w:rsid w:val="00584C5F"/>
    <w:rsid w:val="005861BF"/>
    <w:rsid w:val="00586B72"/>
    <w:rsid w:val="00586D13"/>
    <w:rsid w:val="00586D9B"/>
    <w:rsid w:val="0058749B"/>
    <w:rsid w:val="00587872"/>
    <w:rsid w:val="00587EA3"/>
    <w:rsid w:val="0059031D"/>
    <w:rsid w:val="0059046A"/>
    <w:rsid w:val="00592290"/>
    <w:rsid w:val="00592C63"/>
    <w:rsid w:val="00594942"/>
    <w:rsid w:val="005958D2"/>
    <w:rsid w:val="00595B59"/>
    <w:rsid w:val="00597A60"/>
    <w:rsid w:val="00597D1F"/>
    <w:rsid w:val="005A1680"/>
    <w:rsid w:val="005A198D"/>
    <w:rsid w:val="005A1AC7"/>
    <w:rsid w:val="005A376A"/>
    <w:rsid w:val="005A3BB6"/>
    <w:rsid w:val="005A5B8D"/>
    <w:rsid w:val="005A5BDF"/>
    <w:rsid w:val="005A5F67"/>
    <w:rsid w:val="005A6BA3"/>
    <w:rsid w:val="005A7CD6"/>
    <w:rsid w:val="005B0494"/>
    <w:rsid w:val="005B274E"/>
    <w:rsid w:val="005B2B2F"/>
    <w:rsid w:val="005B39B9"/>
    <w:rsid w:val="005B3FA8"/>
    <w:rsid w:val="005B471E"/>
    <w:rsid w:val="005B54F1"/>
    <w:rsid w:val="005B607A"/>
    <w:rsid w:val="005B6485"/>
    <w:rsid w:val="005C012B"/>
    <w:rsid w:val="005C1049"/>
    <w:rsid w:val="005C15E7"/>
    <w:rsid w:val="005C170E"/>
    <w:rsid w:val="005C1B63"/>
    <w:rsid w:val="005C2C0B"/>
    <w:rsid w:val="005C4104"/>
    <w:rsid w:val="005C4326"/>
    <w:rsid w:val="005C4549"/>
    <w:rsid w:val="005C5BED"/>
    <w:rsid w:val="005C67C8"/>
    <w:rsid w:val="005C6B6A"/>
    <w:rsid w:val="005C7010"/>
    <w:rsid w:val="005C7E26"/>
    <w:rsid w:val="005D0249"/>
    <w:rsid w:val="005D253F"/>
    <w:rsid w:val="005D27F4"/>
    <w:rsid w:val="005D3C3D"/>
    <w:rsid w:val="005D421A"/>
    <w:rsid w:val="005D4697"/>
    <w:rsid w:val="005D4912"/>
    <w:rsid w:val="005D5916"/>
    <w:rsid w:val="005D7A0A"/>
    <w:rsid w:val="005D7BA8"/>
    <w:rsid w:val="005E0CEF"/>
    <w:rsid w:val="005E13C7"/>
    <w:rsid w:val="005E1D00"/>
    <w:rsid w:val="005E207D"/>
    <w:rsid w:val="005E2FFD"/>
    <w:rsid w:val="005E55BC"/>
    <w:rsid w:val="005E58B2"/>
    <w:rsid w:val="005E5E36"/>
    <w:rsid w:val="005E5F70"/>
    <w:rsid w:val="005E6895"/>
    <w:rsid w:val="005E7B34"/>
    <w:rsid w:val="005F03EF"/>
    <w:rsid w:val="005F0CDE"/>
    <w:rsid w:val="005F100C"/>
    <w:rsid w:val="005F1D9E"/>
    <w:rsid w:val="005F23B5"/>
    <w:rsid w:val="005F3434"/>
    <w:rsid w:val="005F4BFF"/>
    <w:rsid w:val="00600B96"/>
    <w:rsid w:val="00603B7C"/>
    <w:rsid w:val="0060471D"/>
    <w:rsid w:val="00605A85"/>
    <w:rsid w:val="0060657C"/>
    <w:rsid w:val="0060781D"/>
    <w:rsid w:val="0060797F"/>
    <w:rsid w:val="00607CEC"/>
    <w:rsid w:val="00610157"/>
    <w:rsid w:val="006103F7"/>
    <w:rsid w:val="006105B3"/>
    <w:rsid w:val="006107AF"/>
    <w:rsid w:val="00611558"/>
    <w:rsid w:val="00611F3B"/>
    <w:rsid w:val="00611F9C"/>
    <w:rsid w:val="00612770"/>
    <w:rsid w:val="00612EEC"/>
    <w:rsid w:val="00612FE2"/>
    <w:rsid w:val="006134E5"/>
    <w:rsid w:val="00613769"/>
    <w:rsid w:val="00614722"/>
    <w:rsid w:val="00615C24"/>
    <w:rsid w:val="00616500"/>
    <w:rsid w:val="0062205D"/>
    <w:rsid w:val="0062308D"/>
    <w:rsid w:val="0062372C"/>
    <w:rsid w:val="00624CA0"/>
    <w:rsid w:val="006258EB"/>
    <w:rsid w:val="006266A1"/>
    <w:rsid w:val="006267E1"/>
    <w:rsid w:val="006303B4"/>
    <w:rsid w:val="006308D4"/>
    <w:rsid w:val="00630A87"/>
    <w:rsid w:val="006312EF"/>
    <w:rsid w:val="00631464"/>
    <w:rsid w:val="00631F01"/>
    <w:rsid w:val="006338B2"/>
    <w:rsid w:val="00634145"/>
    <w:rsid w:val="0063449D"/>
    <w:rsid w:val="0063462D"/>
    <w:rsid w:val="00634EFB"/>
    <w:rsid w:val="00636218"/>
    <w:rsid w:val="0064044D"/>
    <w:rsid w:val="00641703"/>
    <w:rsid w:val="00641D83"/>
    <w:rsid w:val="006431A6"/>
    <w:rsid w:val="00643B9E"/>
    <w:rsid w:val="00643E7A"/>
    <w:rsid w:val="00644B8B"/>
    <w:rsid w:val="0064695D"/>
    <w:rsid w:val="00646A23"/>
    <w:rsid w:val="00647CB1"/>
    <w:rsid w:val="006501AD"/>
    <w:rsid w:val="00651BFA"/>
    <w:rsid w:val="0065304C"/>
    <w:rsid w:val="00654329"/>
    <w:rsid w:val="006547AC"/>
    <w:rsid w:val="00655170"/>
    <w:rsid w:val="006551ED"/>
    <w:rsid w:val="0065621B"/>
    <w:rsid w:val="006567DA"/>
    <w:rsid w:val="006568AA"/>
    <w:rsid w:val="00656E0D"/>
    <w:rsid w:val="00657327"/>
    <w:rsid w:val="0065750B"/>
    <w:rsid w:val="006603CD"/>
    <w:rsid w:val="00660448"/>
    <w:rsid w:val="006612E5"/>
    <w:rsid w:val="00661602"/>
    <w:rsid w:val="0066298D"/>
    <w:rsid w:val="00662AFE"/>
    <w:rsid w:val="0066318D"/>
    <w:rsid w:val="00663AE8"/>
    <w:rsid w:val="006650DD"/>
    <w:rsid w:val="00665F82"/>
    <w:rsid w:val="006661E5"/>
    <w:rsid w:val="00666805"/>
    <w:rsid w:val="006669B7"/>
    <w:rsid w:val="0066751E"/>
    <w:rsid w:val="00667D67"/>
    <w:rsid w:val="00667DAB"/>
    <w:rsid w:val="00671B29"/>
    <w:rsid w:val="00671DE1"/>
    <w:rsid w:val="00671FF5"/>
    <w:rsid w:val="0067206B"/>
    <w:rsid w:val="00673192"/>
    <w:rsid w:val="00673D22"/>
    <w:rsid w:val="00674DE2"/>
    <w:rsid w:val="00675546"/>
    <w:rsid w:val="006756A0"/>
    <w:rsid w:val="00676460"/>
    <w:rsid w:val="00676B63"/>
    <w:rsid w:val="006776D0"/>
    <w:rsid w:val="00680BF4"/>
    <w:rsid w:val="006810E4"/>
    <w:rsid w:val="00681573"/>
    <w:rsid w:val="00681ACC"/>
    <w:rsid w:val="00683651"/>
    <w:rsid w:val="00683A29"/>
    <w:rsid w:val="006845B2"/>
    <w:rsid w:val="00684BB8"/>
    <w:rsid w:val="0068666A"/>
    <w:rsid w:val="0068679B"/>
    <w:rsid w:val="00686B52"/>
    <w:rsid w:val="00686E51"/>
    <w:rsid w:val="00687575"/>
    <w:rsid w:val="006902EE"/>
    <w:rsid w:val="00692B46"/>
    <w:rsid w:val="00692E2A"/>
    <w:rsid w:val="00696027"/>
    <w:rsid w:val="00697718"/>
    <w:rsid w:val="006A0060"/>
    <w:rsid w:val="006A0AD5"/>
    <w:rsid w:val="006A162B"/>
    <w:rsid w:val="006A17DD"/>
    <w:rsid w:val="006A1E1D"/>
    <w:rsid w:val="006A4B4A"/>
    <w:rsid w:val="006A5707"/>
    <w:rsid w:val="006A6BA9"/>
    <w:rsid w:val="006A75D0"/>
    <w:rsid w:val="006A76F2"/>
    <w:rsid w:val="006A7B73"/>
    <w:rsid w:val="006B0318"/>
    <w:rsid w:val="006B397E"/>
    <w:rsid w:val="006B39FF"/>
    <w:rsid w:val="006B3F53"/>
    <w:rsid w:val="006B4247"/>
    <w:rsid w:val="006C0D1B"/>
    <w:rsid w:val="006C0FD5"/>
    <w:rsid w:val="006C137C"/>
    <w:rsid w:val="006C1FEA"/>
    <w:rsid w:val="006C21BB"/>
    <w:rsid w:val="006C2C6A"/>
    <w:rsid w:val="006C3EBC"/>
    <w:rsid w:val="006C4629"/>
    <w:rsid w:val="006C4690"/>
    <w:rsid w:val="006C496B"/>
    <w:rsid w:val="006C56D8"/>
    <w:rsid w:val="006C5EC3"/>
    <w:rsid w:val="006C62ED"/>
    <w:rsid w:val="006C6416"/>
    <w:rsid w:val="006C6855"/>
    <w:rsid w:val="006C7881"/>
    <w:rsid w:val="006C7963"/>
    <w:rsid w:val="006D097F"/>
    <w:rsid w:val="006D1168"/>
    <w:rsid w:val="006D1FFD"/>
    <w:rsid w:val="006D2154"/>
    <w:rsid w:val="006D300E"/>
    <w:rsid w:val="006D3606"/>
    <w:rsid w:val="006D7254"/>
    <w:rsid w:val="006E001D"/>
    <w:rsid w:val="006E0CB8"/>
    <w:rsid w:val="006E1297"/>
    <w:rsid w:val="006E2025"/>
    <w:rsid w:val="006E2797"/>
    <w:rsid w:val="006E3496"/>
    <w:rsid w:val="006E351D"/>
    <w:rsid w:val="006E39A8"/>
    <w:rsid w:val="006E3AF5"/>
    <w:rsid w:val="006E42C6"/>
    <w:rsid w:val="006E477B"/>
    <w:rsid w:val="006E5779"/>
    <w:rsid w:val="006E5C60"/>
    <w:rsid w:val="006E64A4"/>
    <w:rsid w:val="006E6722"/>
    <w:rsid w:val="006E6A45"/>
    <w:rsid w:val="006E6E0C"/>
    <w:rsid w:val="006E740B"/>
    <w:rsid w:val="006F0814"/>
    <w:rsid w:val="006F0942"/>
    <w:rsid w:val="006F0955"/>
    <w:rsid w:val="006F295B"/>
    <w:rsid w:val="006F2D95"/>
    <w:rsid w:val="006F361B"/>
    <w:rsid w:val="006F3B09"/>
    <w:rsid w:val="006F4FB1"/>
    <w:rsid w:val="006F701C"/>
    <w:rsid w:val="006F7334"/>
    <w:rsid w:val="006F7BD4"/>
    <w:rsid w:val="0070005C"/>
    <w:rsid w:val="00700429"/>
    <w:rsid w:val="00700550"/>
    <w:rsid w:val="0070250B"/>
    <w:rsid w:val="007027B9"/>
    <w:rsid w:val="007027F3"/>
    <w:rsid w:val="00703ED7"/>
    <w:rsid w:val="00704AA9"/>
    <w:rsid w:val="00704EF4"/>
    <w:rsid w:val="007067D5"/>
    <w:rsid w:val="00707D61"/>
    <w:rsid w:val="00707F68"/>
    <w:rsid w:val="0071097F"/>
    <w:rsid w:val="00710BC2"/>
    <w:rsid w:val="00710FDC"/>
    <w:rsid w:val="00714941"/>
    <w:rsid w:val="0071598E"/>
    <w:rsid w:val="00715E88"/>
    <w:rsid w:val="007162E0"/>
    <w:rsid w:val="00716E1F"/>
    <w:rsid w:val="00717004"/>
    <w:rsid w:val="00717B3F"/>
    <w:rsid w:val="0072393C"/>
    <w:rsid w:val="00723AAC"/>
    <w:rsid w:val="00723B58"/>
    <w:rsid w:val="00723DC9"/>
    <w:rsid w:val="00724CCE"/>
    <w:rsid w:val="007258FD"/>
    <w:rsid w:val="00726A0F"/>
    <w:rsid w:val="0072733C"/>
    <w:rsid w:val="00730358"/>
    <w:rsid w:val="00730D7C"/>
    <w:rsid w:val="00733AA7"/>
    <w:rsid w:val="00734088"/>
    <w:rsid w:val="007340C1"/>
    <w:rsid w:val="00734CAA"/>
    <w:rsid w:val="007352AD"/>
    <w:rsid w:val="007359E4"/>
    <w:rsid w:val="00735BF2"/>
    <w:rsid w:val="00736227"/>
    <w:rsid w:val="00736449"/>
    <w:rsid w:val="00736E62"/>
    <w:rsid w:val="007414DA"/>
    <w:rsid w:val="007415A2"/>
    <w:rsid w:val="007418EF"/>
    <w:rsid w:val="007424C4"/>
    <w:rsid w:val="007432F6"/>
    <w:rsid w:val="00743C7D"/>
    <w:rsid w:val="00743F70"/>
    <w:rsid w:val="0074424C"/>
    <w:rsid w:val="007454DF"/>
    <w:rsid w:val="007471C1"/>
    <w:rsid w:val="007474A2"/>
    <w:rsid w:val="0075045D"/>
    <w:rsid w:val="00750BC3"/>
    <w:rsid w:val="00750F2F"/>
    <w:rsid w:val="00751AF8"/>
    <w:rsid w:val="00751E60"/>
    <w:rsid w:val="007521F5"/>
    <w:rsid w:val="0075248A"/>
    <w:rsid w:val="00752AA3"/>
    <w:rsid w:val="00754A5B"/>
    <w:rsid w:val="00754C22"/>
    <w:rsid w:val="00755964"/>
    <w:rsid w:val="00755DB0"/>
    <w:rsid w:val="00757581"/>
    <w:rsid w:val="00760272"/>
    <w:rsid w:val="00760B3A"/>
    <w:rsid w:val="00760EAE"/>
    <w:rsid w:val="00762122"/>
    <w:rsid w:val="0076292D"/>
    <w:rsid w:val="007649CA"/>
    <w:rsid w:val="007653FD"/>
    <w:rsid w:val="00765569"/>
    <w:rsid w:val="00766067"/>
    <w:rsid w:val="00766547"/>
    <w:rsid w:val="0076672B"/>
    <w:rsid w:val="00766FA1"/>
    <w:rsid w:val="00767291"/>
    <w:rsid w:val="00767457"/>
    <w:rsid w:val="00771124"/>
    <w:rsid w:val="007714BC"/>
    <w:rsid w:val="007720BA"/>
    <w:rsid w:val="00772651"/>
    <w:rsid w:val="00772B23"/>
    <w:rsid w:val="00772CC8"/>
    <w:rsid w:val="0077348C"/>
    <w:rsid w:val="00775C48"/>
    <w:rsid w:val="00776774"/>
    <w:rsid w:val="007779F4"/>
    <w:rsid w:val="00777D35"/>
    <w:rsid w:val="00777D3F"/>
    <w:rsid w:val="00780019"/>
    <w:rsid w:val="0078079D"/>
    <w:rsid w:val="00781928"/>
    <w:rsid w:val="007822E1"/>
    <w:rsid w:val="00784800"/>
    <w:rsid w:val="00784F09"/>
    <w:rsid w:val="00785CCF"/>
    <w:rsid w:val="00787963"/>
    <w:rsid w:val="00787A5B"/>
    <w:rsid w:val="00790094"/>
    <w:rsid w:val="007909A9"/>
    <w:rsid w:val="007919DA"/>
    <w:rsid w:val="00791F37"/>
    <w:rsid w:val="007921D7"/>
    <w:rsid w:val="0079281C"/>
    <w:rsid w:val="00792A36"/>
    <w:rsid w:val="00793F96"/>
    <w:rsid w:val="00795C81"/>
    <w:rsid w:val="00795D7B"/>
    <w:rsid w:val="0079672D"/>
    <w:rsid w:val="0079680E"/>
    <w:rsid w:val="0079697A"/>
    <w:rsid w:val="007978FE"/>
    <w:rsid w:val="00797BCE"/>
    <w:rsid w:val="007A040E"/>
    <w:rsid w:val="007A0505"/>
    <w:rsid w:val="007A0AB2"/>
    <w:rsid w:val="007A0B18"/>
    <w:rsid w:val="007A3354"/>
    <w:rsid w:val="007A3411"/>
    <w:rsid w:val="007A36C4"/>
    <w:rsid w:val="007A4BC0"/>
    <w:rsid w:val="007A4E7F"/>
    <w:rsid w:val="007A4EA0"/>
    <w:rsid w:val="007A4FEC"/>
    <w:rsid w:val="007A50B8"/>
    <w:rsid w:val="007A5BFF"/>
    <w:rsid w:val="007A5C12"/>
    <w:rsid w:val="007A6E0D"/>
    <w:rsid w:val="007A70EF"/>
    <w:rsid w:val="007B0052"/>
    <w:rsid w:val="007B03CD"/>
    <w:rsid w:val="007B06FD"/>
    <w:rsid w:val="007B159E"/>
    <w:rsid w:val="007B245C"/>
    <w:rsid w:val="007B2A34"/>
    <w:rsid w:val="007B2F5F"/>
    <w:rsid w:val="007B2FD0"/>
    <w:rsid w:val="007B31C5"/>
    <w:rsid w:val="007B349A"/>
    <w:rsid w:val="007B389F"/>
    <w:rsid w:val="007B4855"/>
    <w:rsid w:val="007B5414"/>
    <w:rsid w:val="007B5830"/>
    <w:rsid w:val="007B5C83"/>
    <w:rsid w:val="007B6D99"/>
    <w:rsid w:val="007B6F38"/>
    <w:rsid w:val="007B72F5"/>
    <w:rsid w:val="007B7575"/>
    <w:rsid w:val="007B76BA"/>
    <w:rsid w:val="007B76E9"/>
    <w:rsid w:val="007C1A34"/>
    <w:rsid w:val="007C215C"/>
    <w:rsid w:val="007C2411"/>
    <w:rsid w:val="007C2D4A"/>
    <w:rsid w:val="007C5176"/>
    <w:rsid w:val="007C5B08"/>
    <w:rsid w:val="007C6D14"/>
    <w:rsid w:val="007C7407"/>
    <w:rsid w:val="007D0DD9"/>
    <w:rsid w:val="007D1075"/>
    <w:rsid w:val="007D4843"/>
    <w:rsid w:val="007D4E02"/>
    <w:rsid w:val="007D52AE"/>
    <w:rsid w:val="007D70B2"/>
    <w:rsid w:val="007D7355"/>
    <w:rsid w:val="007E003F"/>
    <w:rsid w:val="007E0673"/>
    <w:rsid w:val="007E2BA8"/>
    <w:rsid w:val="007E3E8D"/>
    <w:rsid w:val="007E3F71"/>
    <w:rsid w:val="007E4D27"/>
    <w:rsid w:val="007E5920"/>
    <w:rsid w:val="007E661F"/>
    <w:rsid w:val="007F14A1"/>
    <w:rsid w:val="007F179F"/>
    <w:rsid w:val="007F3FB5"/>
    <w:rsid w:val="007F4736"/>
    <w:rsid w:val="007F5C25"/>
    <w:rsid w:val="007F6016"/>
    <w:rsid w:val="007F71F2"/>
    <w:rsid w:val="007F7FD8"/>
    <w:rsid w:val="00800942"/>
    <w:rsid w:val="00800DD4"/>
    <w:rsid w:val="00800DF4"/>
    <w:rsid w:val="008020EA"/>
    <w:rsid w:val="008037F0"/>
    <w:rsid w:val="00805CEC"/>
    <w:rsid w:val="00805E2A"/>
    <w:rsid w:val="008068D4"/>
    <w:rsid w:val="008069E7"/>
    <w:rsid w:val="00807056"/>
    <w:rsid w:val="00807F32"/>
    <w:rsid w:val="008105A5"/>
    <w:rsid w:val="008109CC"/>
    <w:rsid w:val="00811227"/>
    <w:rsid w:val="008123EC"/>
    <w:rsid w:val="00812F2E"/>
    <w:rsid w:val="0081305D"/>
    <w:rsid w:val="00814407"/>
    <w:rsid w:val="008157A9"/>
    <w:rsid w:val="00815A35"/>
    <w:rsid w:val="00815FBD"/>
    <w:rsid w:val="00816919"/>
    <w:rsid w:val="00816DFD"/>
    <w:rsid w:val="00817999"/>
    <w:rsid w:val="00822F38"/>
    <w:rsid w:val="00824455"/>
    <w:rsid w:val="00824FAC"/>
    <w:rsid w:val="0082542E"/>
    <w:rsid w:val="00825BD9"/>
    <w:rsid w:val="0082668A"/>
    <w:rsid w:val="00826E27"/>
    <w:rsid w:val="008304F0"/>
    <w:rsid w:val="00830E26"/>
    <w:rsid w:val="008312AD"/>
    <w:rsid w:val="00831C99"/>
    <w:rsid w:val="00832A26"/>
    <w:rsid w:val="008338E8"/>
    <w:rsid w:val="00835A21"/>
    <w:rsid w:val="00836CDD"/>
    <w:rsid w:val="008372A0"/>
    <w:rsid w:val="00840BC9"/>
    <w:rsid w:val="00842973"/>
    <w:rsid w:val="00842DAE"/>
    <w:rsid w:val="00843576"/>
    <w:rsid w:val="00843660"/>
    <w:rsid w:val="00843B64"/>
    <w:rsid w:val="00843D31"/>
    <w:rsid w:val="00844ADF"/>
    <w:rsid w:val="00844C4D"/>
    <w:rsid w:val="0085044D"/>
    <w:rsid w:val="00850B3A"/>
    <w:rsid w:val="008515A8"/>
    <w:rsid w:val="00852328"/>
    <w:rsid w:val="00853610"/>
    <w:rsid w:val="00853666"/>
    <w:rsid w:val="00853876"/>
    <w:rsid w:val="0085446D"/>
    <w:rsid w:val="008548DA"/>
    <w:rsid w:val="00854AC5"/>
    <w:rsid w:val="00854CAE"/>
    <w:rsid w:val="00854E06"/>
    <w:rsid w:val="008553A4"/>
    <w:rsid w:val="00855E23"/>
    <w:rsid w:val="008560F0"/>
    <w:rsid w:val="00856308"/>
    <w:rsid w:val="008576C8"/>
    <w:rsid w:val="008578FE"/>
    <w:rsid w:val="0086115E"/>
    <w:rsid w:val="00861B65"/>
    <w:rsid w:val="008633C5"/>
    <w:rsid w:val="008634AC"/>
    <w:rsid w:val="0086572B"/>
    <w:rsid w:val="00867BFF"/>
    <w:rsid w:val="00867CFF"/>
    <w:rsid w:val="008708C3"/>
    <w:rsid w:val="00870BC4"/>
    <w:rsid w:val="008716C3"/>
    <w:rsid w:val="00871EAA"/>
    <w:rsid w:val="00872C6A"/>
    <w:rsid w:val="0087310C"/>
    <w:rsid w:val="0087348B"/>
    <w:rsid w:val="00873CB6"/>
    <w:rsid w:val="00876212"/>
    <w:rsid w:val="0087622E"/>
    <w:rsid w:val="00880C7F"/>
    <w:rsid w:val="00880CF4"/>
    <w:rsid w:val="0088254B"/>
    <w:rsid w:val="00882768"/>
    <w:rsid w:val="00883B8A"/>
    <w:rsid w:val="0088480A"/>
    <w:rsid w:val="00885073"/>
    <w:rsid w:val="00885D13"/>
    <w:rsid w:val="008861C8"/>
    <w:rsid w:val="008869F7"/>
    <w:rsid w:val="008904C9"/>
    <w:rsid w:val="00890D25"/>
    <w:rsid w:val="0089103C"/>
    <w:rsid w:val="00891744"/>
    <w:rsid w:val="008931A6"/>
    <w:rsid w:val="00893519"/>
    <w:rsid w:val="008946D2"/>
    <w:rsid w:val="008947EA"/>
    <w:rsid w:val="00894EB8"/>
    <w:rsid w:val="008957DD"/>
    <w:rsid w:val="00895FF7"/>
    <w:rsid w:val="008965A4"/>
    <w:rsid w:val="00897D98"/>
    <w:rsid w:val="00897EA2"/>
    <w:rsid w:val="008A073F"/>
    <w:rsid w:val="008A0D01"/>
    <w:rsid w:val="008A0DF0"/>
    <w:rsid w:val="008A190B"/>
    <w:rsid w:val="008A3858"/>
    <w:rsid w:val="008A3A6C"/>
    <w:rsid w:val="008A487C"/>
    <w:rsid w:val="008A5D96"/>
    <w:rsid w:val="008A611E"/>
    <w:rsid w:val="008A6DF2"/>
    <w:rsid w:val="008A776C"/>
    <w:rsid w:val="008A7DFC"/>
    <w:rsid w:val="008B09F9"/>
    <w:rsid w:val="008B1222"/>
    <w:rsid w:val="008B1EC3"/>
    <w:rsid w:val="008B30FF"/>
    <w:rsid w:val="008B3737"/>
    <w:rsid w:val="008B3B4D"/>
    <w:rsid w:val="008B3F6E"/>
    <w:rsid w:val="008B441B"/>
    <w:rsid w:val="008B5A72"/>
    <w:rsid w:val="008B5EAA"/>
    <w:rsid w:val="008B6B89"/>
    <w:rsid w:val="008B7468"/>
    <w:rsid w:val="008B7B13"/>
    <w:rsid w:val="008C0277"/>
    <w:rsid w:val="008C1A2E"/>
    <w:rsid w:val="008C21B3"/>
    <w:rsid w:val="008C33F5"/>
    <w:rsid w:val="008C350C"/>
    <w:rsid w:val="008C4788"/>
    <w:rsid w:val="008C6BCB"/>
    <w:rsid w:val="008C6BD3"/>
    <w:rsid w:val="008C7AAD"/>
    <w:rsid w:val="008D2494"/>
    <w:rsid w:val="008D2531"/>
    <w:rsid w:val="008D2609"/>
    <w:rsid w:val="008D2B10"/>
    <w:rsid w:val="008D3C1B"/>
    <w:rsid w:val="008D4C8F"/>
    <w:rsid w:val="008D56A9"/>
    <w:rsid w:val="008D5B48"/>
    <w:rsid w:val="008D6999"/>
    <w:rsid w:val="008D7C99"/>
    <w:rsid w:val="008E0122"/>
    <w:rsid w:val="008E01CF"/>
    <w:rsid w:val="008E0A77"/>
    <w:rsid w:val="008E0B39"/>
    <w:rsid w:val="008E0FCB"/>
    <w:rsid w:val="008E1ED1"/>
    <w:rsid w:val="008E1F93"/>
    <w:rsid w:val="008E2560"/>
    <w:rsid w:val="008E2CDD"/>
    <w:rsid w:val="008E3805"/>
    <w:rsid w:val="008E4B37"/>
    <w:rsid w:val="008E6000"/>
    <w:rsid w:val="008E647C"/>
    <w:rsid w:val="008E75D6"/>
    <w:rsid w:val="008F07BE"/>
    <w:rsid w:val="008F09CD"/>
    <w:rsid w:val="008F1A3D"/>
    <w:rsid w:val="008F1D69"/>
    <w:rsid w:val="008F1FA3"/>
    <w:rsid w:val="008F226B"/>
    <w:rsid w:val="008F2B8E"/>
    <w:rsid w:val="008F3580"/>
    <w:rsid w:val="008F3A5C"/>
    <w:rsid w:val="008F3CB5"/>
    <w:rsid w:val="008F3D07"/>
    <w:rsid w:val="008F41C4"/>
    <w:rsid w:val="008F4BA8"/>
    <w:rsid w:val="008F584E"/>
    <w:rsid w:val="008F58C7"/>
    <w:rsid w:val="008F6B23"/>
    <w:rsid w:val="008F7ED0"/>
    <w:rsid w:val="0090175A"/>
    <w:rsid w:val="00901966"/>
    <w:rsid w:val="00902643"/>
    <w:rsid w:val="009029F1"/>
    <w:rsid w:val="00902BB3"/>
    <w:rsid w:val="00902FA4"/>
    <w:rsid w:val="00904290"/>
    <w:rsid w:val="0090469C"/>
    <w:rsid w:val="009049EB"/>
    <w:rsid w:val="00904A52"/>
    <w:rsid w:val="00904F31"/>
    <w:rsid w:val="00907AF2"/>
    <w:rsid w:val="00911B39"/>
    <w:rsid w:val="00912815"/>
    <w:rsid w:val="00912917"/>
    <w:rsid w:val="009133B8"/>
    <w:rsid w:val="00913B12"/>
    <w:rsid w:val="00916C4E"/>
    <w:rsid w:val="00916EB9"/>
    <w:rsid w:val="00917DCA"/>
    <w:rsid w:val="009203DB"/>
    <w:rsid w:val="00920DB3"/>
    <w:rsid w:val="0092178C"/>
    <w:rsid w:val="00922328"/>
    <w:rsid w:val="00922405"/>
    <w:rsid w:val="0092340E"/>
    <w:rsid w:val="00924F28"/>
    <w:rsid w:val="00926780"/>
    <w:rsid w:val="0093141A"/>
    <w:rsid w:val="00932690"/>
    <w:rsid w:val="00933089"/>
    <w:rsid w:val="00933CB1"/>
    <w:rsid w:val="00934710"/>
    <w:rsid w:val="009359EA"/>
    <w:rsid w:val="0093702E"/>
    <w:rsid w:val="00937C21"/>
    <w:rsid w:val="0094014F"/>
    <w:rsid w:val="00940F04"/>
    <w:rsid w:val="0094179A"/>
    <w:rsid w:val="00943174"/>
    <w:rsid w:val="009434BC"/>
    <w:rsid w:val="0094459E"/>
    <w:rsid w:val="00944DBC"/>
    <w:rsid w:val="0094626F"/>
    <w:rsid w:val="00946441"/>
    <w:rsid w:val="00946503"/>
    <w:rsid w:val="0094752C"/>
    <w:rsid w:val="00947BA7"/>
    <w:rsid w:val="00947FAB"/>
    <w:rsid w:val="00950977"/>
    <w:rsid w:val="00951320"/>
    <w:rsid w:val="00953031"/>
    <w:rsid w:val="009536BA"/>
    <w:rsid w:val="00953AEF"/>
    <w:rsid w:val="00953D70"/>
    <w:rsid w:val="0095492F"/>
    <w:rsid w:val="0095530B"/>
    <w:rsid w:val="00955776"/>
    <w:rsid w:val="0095587F"/>
    <w:rsid w:val="00955AB8"/>
    <w:rsid w:val="009564A6"/>
    <w:rsid w:val="00956C60"/>
    <w:rsid w:val="00956C72"/>
    <w:rsid w:val="0096070D"/>
    <w:rsid w:val="00960F57"/>
    <w:rsid w:val="009632C7"/>
    <w:rsid w:val="00965FE5"/>
    <w:rsid w:val="00967420"/>
    <w:rsid w:val="00967C41"/>
    <w:rsid w:val="00967DB4"/>
    <w:rsid w:val="00970163"/>
    <w:rsid w:val="0097068C"/>
    <w:rsid w:val="00971090"/>
    <w:rsid w:val="00971667"/>
    <w:rsid w:val="00971FB3"/>
    <w:rsid w:val="009742ED"/>
    <w:rsid w:val="009744EC"/>
    <w:rsid w:val="009749CA"/>
    <w:rsid w:val="009750E5"/>
    <w:rsid w:val="00976060"/>
    <w:rsid w:val="0097670D"/>
    <w:rsid w:val="00976F27"/>
    <w:rsid w:val="00981E03"/>
    <w:rsid w:val="00982986"/>
    <w:rsid w:val="00982E81"/>
    <w:rsid w:val="00983702"/>
    <w:rsid w:val="00985223"/>
    <w:rsid w:val="009878AC"/>
    <w:rsid w:val="00987C4A"/>
    <w:rsid w:val="00990C17"/>
    <w:rsid w:val="00990C56"/>
    <w:rsid w:val="009910E5"/>
    <w:rsid w:val="0099195F"/>
    <w:rsid w:val="0099215B"/>
    <w:rsid w:val="00992693"/>
    <w:rsid w:val="009933DA"/>
    <w:rsid w:val="00993479"/>
    <w:rsid w:val="00994299"/>
    <w:rsid w:val="009946ED"/>
    <w:rsid w:val="00994EA0"/>
    <w:rsid w:val="0099662E"/>
    <w:rsid w:val="009975B1"/>
    <w:rsid w:val="00997ED0"/>
    <w:rsid w:val="009A141D"/>
    <w:rsid w:val="009A1A06"/>
    <w:rsid w:val="009A1D00"/>
    <w:rsid w:val="009A22B6"/>
    <w:rsid w:val="009A2CDD"/>
    <w:rsid w:val="009A4666"/>
    <w:rsid w:val="009A48F9"/>
    <w:rsid w:val="009A5AE8"/>
    <w:rsid w:val="009A6B8F"/>
    <w:rsid w:val="009B0393"/>
    <w:rsid w:val="009B0A0D"/>
    <w:rsid w:val="009B2869"/>
    <w:rsid w:val="009B317F"/>
    <w:rsid w:val="009B44DD"/>
    <w:rsid w:val="009B4921"/>
    <w:rsid w:val="009B4A0F"/>
    <w:rsid w:val="009B4FD4"/>
    <w:rsid w:val="009B5DCD"/>
    <w:rsid w:val="009B5F0A"/>
    <w:rsid w:val="009B6FF7"/>
    <w:rsid w:val="009B71D3"/>
    <w:rsid w:val="009B720E"/>
    <w:rsid w:val="009C09B8"/>
    <w:rsid w:val="009C2183"/>
    <w:rsid w:val="009C28CB"/>
    <w:rsid w:val="009C39ED"/>
    <w:rsid w:val="009C3A87"/>
    <w:rsid w:val="009C4501"/>
    <w:rsid w:val="009C51A2"/>
    <w:rsid w:val="009C524A"/>
    <w:rsid w:val="009C61B2"/>
    <w:rsid w:val="009C7DBE"/>
    <w:rsid w:val="009D0B63"/>
    <w:rsid w:val="009D0DCB"/>
    <w:rsid w:val="009D1911"/>
    <w:rsid w:val="009D1F8C"/>
    <w:rsid w:val="009D238A"/>
    <w:rsid w:val="009D26EA"/>
    <w:rsid w:val="009D32FB"/>
    <w:rsid w:val="009D445E"/>
    <w:rsid w:val="009D495C"/>
    <w:rsid w:val="009D4EA1"/>
    <w:rsid w:val="009D5B62"/>
    <w:rsid w:val="009E03D1"/>
    <w:rsid w:val="009E0582"/>
    <w:rsid w:val="009E1617"/>
    <w:rsid w:val="009E1DA0"/>
    <w:rsid w:val="009E34EC"/>
    <w:rsid w:val="009E3988"/>
    <w:rsid w:val="009E3A41"/>
    <w:rsid w:val="009E524D"/>
    <w:rsid w:val="009E5DBA"/>
    <w:rsid w:val="009E5F26"/>
    <w:rsid w:val="009E65CC"/>
    <w:rsid w:val="009F0BFA"/>
    <w:rsid w:val="009F0C2C"/>
    <w:rsid w:val="009F0CD1"/>
    <w:rsid w:val="009F1144"/>
    <w:rsid w:val="009F1C15"/>
    <w:rsid w:val="009F279E"/>
    <w:rsid w:val="009F2A36"/>
    <w:rsid w:val="009F2CC5"/>
    <w:rsid w:val="009F3376"/>
    <w:rsid w:val="009F4457"/>
    <w:rsid w:val="009F46F5"/>
    <w:rsid w:val="009F4934"/>
    <w:rsid w:val="009F652E"/>
    <w:rsid w:val="009F7A9B"/>
    <w:rsid w:val="009F7F1F"/>
    <w:rsid w:val="00A001FF"/>
    <w:rsid w:val="00A00477"/>
    <w:rsid w:val="00A005CA"/>
    <w:rsid w:val="00A01380"/>
    <w:rsid w:val="00A01870"/>
    <w:rsid w:val="00A026D2"/>
    <w:rsid w:val="00A027BE"/>
    <w:rsid w:val="00A03831"/>
    <w:rsid w:val="00A04281"/>
    <w:rsid w:val="00A04615"/>
    <w:rsid w:val="00A04760"/>
    <w:rsid w:val="00A059CE"/>
    <w:rsid w:val="00A066F7"/>
    <w:rsid w:val="00A077CC"/>
    <w:rsid w:val="00A10051"/>
    <w:rsid w:val="00A11215"/>
    <w:rsid w:val="00A1130F"/>
    <w:rsid w:val="00A11E85"/>
    <w:rsid w:val="00A1348D"/>
    <w:rsid w:val="00A14A96"/>
    <w:rsid w:val="00A14CB7"/>
    <w:rsid w:val="00A15616"/>
    <w:rsid w:val="00A15AFD"/>
    <w:rsid w:val="00A15E11"/>
    <w:rsid w:val="00A16471"/>
    <w:rsid w:val="00A1664F"/>
    <w:rsid w:val="00A1768C"/>
    <w:rsid w:val="00A1773C"/>
    <w:rsid w:val="00A17CEB"/>
    <w:rsid w:val="00A202A8"/>
    <w:rsid w:val="00A21A48"/>
    <w:rsid w:val="00A2210E"/>
    <w:rsid w:val="00A22A1A"/>
    <w:rsid w:val="00A232EE"/>
    <w:rsid w:val="00A23D11"/>
    <w:rsid w:val="00A2563F"/>
    <w:rsid w:val="00A261CF"/>
    <w:rsid w:val="00A26274"/>
    <w:rsid w:val="00A26481"/>
    <w:rsid w:val="00A26AC4"/>
    <w:rsid w:val="00A26BD2"/>
    <w:rsid w:val="00A274CC"/>
    <w:rsid w:val="00A279C5"/>
    <w:rsid w:val="00A27B8B"/>
    <w:rsid w:val="00A30091"/>
    <w:rsid w:val="00A30885"/>
    <w:rsid w:val="00A31B07"/>
    <w:rsid w:val="00A31DE3"/>
    <w:rsid w:val="00A31FCA"/>
    <w:rsid w:val="00A321C1"/>
    <w:rsid w:val="00A3290F"/>
    <w:rsid w:val="00A33772"/>
    <w:rsid w:val="00A34965"/>
    <w:rsid w:val="00A34C37"/>
    <w:rsid w:val="00A350BB"/>
    <w:rsid w:val="00A35C6E"/>
    <w:rsid w:val="00A3674C"/>
    <w:rsid w:val="00A368A7"/>
    <w:rsid w:val="00A378DA"/>
    <w:rsid w:val="00A37FFC"/>
    <w:rsid w:val="00A40109"/>
    <w:rsid w:val="00A41A91"/>
    <w:rsid w:val="00A41B14"/>
    <w:rsid w:val="00A42114"/>
    <w:rsid w:val="00A42AE5"/>
    <w:rsid w:val="00A43D32"/>
    <w:rsid w:val="00A44411"/>
    <w:rsid w:val="00A449F3"/>
    <w:rsid w:val="00A44E46"/>
    <w:rsid w:val="00A456E4"/>
    <w:rsid w:val="00A45861"/>
    <w:rsid w:val="00A46736"/>
    <w:rsid w:val="00A469FA"/>
    <w:rsid w:val="00A50DE7"/>
    <w:rsid w:val="00A52F5D"/>
    <w:rsid w:val="00A546C3"/>
    <w:rsid w:val="00A547FE"/>
    <w:rsid w:val="00A554AF"/>
    <w:rsid w:val="00A55B01"/>
    <w:rsid w:val="00A56B5B"/>
    <w:rsid w:val="00A57ADE"/>
    <w:rsid w:val="00A60C38"/>
    <w:rsid w:val="00A62B8D"/>
    <w:rsid w:val="00A63905"/>
    <w:rsid w:val="00A63D4E"/>
    <w:rsid w:val="00A6417A"/>
    <w:rsid w:val="00A64D4F"/>
    <w:rsid w:val="00A657DD"/>
    <w:rsid w:val="00A65B9F"/>
    <w:rsid w:val="00A6601A"/>
    <w:rsid w:val="00A6621E"/>
    <w:rsid w:val="00A66573"/>
    <w:rsid w:val="00A666A6"/>
    <w:rsid w:val="00A67890"/>
    <w:rsid w:val="00A67A21"/>
    <w:rsid w:val="00A703C8"/>
    <w:rsid w:val="00A70F5B"/>
    <w:rsid w:val="00A70F5E"/>
    <w:rsid w:val="00A71D9C"/>
    <w:rsid w:val="00A73D83"/>
    <w:rsid w:val="00A748C2"/>
    <w:rsid w:val="00A757BE"/>
    <w:rsid w:val="00A76DD3"/>
    <w:rsid w:val="00A77A07"/>
    <w:rsid w:val="00A77C55"/>
    <w:rsid w:val="00A800E8"/>
    <w:rsid w:val="00A80611"/>
    <w:rsid w:val="00A81E88"/>
    <w:rsid w:val="00A827E0"/>
    <w:rsid w:val="00A8283C"/>
    <w:rsid w:val="00A82C0B"/>
    <w:rsid w:val="00A82F40"/>
    <w:rsid w:val="00A845E9"/>
    <w:rsid w:val="00A8552C"/>
    <w:rsid w:val="00A85569"/>
    <w:rsid w:val="00A86F7D"/>
    <w:rsid w:val="00A8731A"/>
    <w:rsid w:val="00A87D42"/>
    <w:rsid w:val="00A87F09"/>
    <w:rsid w:val="00A914AC"/>
    <w:rsid w:val="00A92677"/>
    <w:rsid w:val="00A93050"/>
    <w:rsid w:val="00A940D2"/>
    <w:rsid w:val="00A94D05"/>
    <w:rsid w:val="00A94E12"/>
    <w:rsid w:val="00A95B38"/>
    <w:rsid w:val="00A97444"/>
    <w:rsid w:val="00A978E1"/>
    <w:rsid w:val="00A97953"/>
    <w:rsid w:val="00AA0413"/>
    <w:rsid w:val="00AA0D10"/>
    <w:rsid w:val="00AA0F8B"/>
    <w:rsid w:val="00AA1379"/>
    <w:rsid w:val="00AA13C6"/>
    <w:rsid w:val="00AA1885"/>
    <w:rsid w:val="00AA1ECB"/>
    <w:rsid w:val="00AA23CC"/>
    <w:rsid w:val="00AA28DE"/>
    <w:rsid w:val="00AA2A16"/>
    <w:rsid w:val="00AA31E4"/>
    <w:rsid w:val="00AA4784"/>
    <w:rsid w:val="00AA70C2"/>
    <w:rsid w:val="00AA7273"/>
    <w:rsid w:val="00AA7490"/>
    <w:rsid w:val="00AB08C9"/>
    <w:rsid w:val="00AB0B37"/>
    <w:rsid w:val="00AB0B77"/>
    <w:rsid w:val="00AB31CB"/>
    <w:rsid w:val="00AB437A"/>
    <w:rsid w:val="00AB5340"/>
    <w:rsid w:val="00AC03CC"/>
    <w:rsid w:val="00AC0933"/>
    <w:rsid w:val="00AC0E0C"/>
    <w:rsid w:val="00AC2F89"/>
    <w:rsid w:val="00AC324E"/>
    <w:rsid w:val="00AC32BE"/>
    <w:rsid w:val="00AC4BB5"/>
    <w:rsid w:val="00AC4CE6"/>
    <w:rsid w:val="00AC5445"/>
    <w:rsid w:val="00AC6992"/>
    <w:rsid w:val="00AC7BA6"/>
    <w:rsid w:val="00AC7C96"/>
    <w:rsid w:val="00AD0637"/>
    <w:rsid w:val="00AD157B"/>
    <w:rsid w:val="00AD16F3"/>
    <w:rsid w:val="00AD270D"/>
    <w:rsid w:val="00AD4185"/>
    <w:rsid w:val="00AD542A"/>
    <w:rsid w:val="00AD549A"/>
    <w:rsid w:val="00AD57D0"/>
    <w:rsid w:val="00AD5A9F"/>
    <w:rsid w:val="00AD61B8"/>
    <w:rsid w:val="00AD6EB1"/>
    <w:rsid w:val="00AD7060"/>
    <w:rsid w:val="00AD7066"/>
    <w:rsid w:val="00AD7809"/>
    <w:rsid w:val="00AE058C"/>
    <w:rsid w:val="00AE1858"/>
    <w:rsid w:val="00AE1DA1"/>
    <w:rsid w:val="00AE237D"/>
    <w:rsid w:val="00AE2407"/>
    <w:rsid w:val="00AE2F3B"/>
    <w:rsid w:val="00AE4394"/>
    <w:rsid w:val="00AE6798"/>
    <w:rsid w:val="00AE7E6E"/>
    <w:rsid w:val="00AF1732"/>
    <w:rsid w:val="00AF1CFA"/>
    <w:rsid w:val="00AF291F"/>
    <w:rsid w:val="00AF2C26"/>
    <w:rsid w:val="00AF51DD"/>
    <w:rsid w:val="00AF75D9"/>
    <w:rsid w:val="00AF76E1"/>
    <w:rsid w:val="00AF7C07"/>
    <w:rsid w:val="00B03639"/>
    <w:rsid w:val="00B0376E"/>
    <w:rsid w:val="00B04DC9"/>
    <w:rsid w:val="00B04FA4"/>
    <w:rsid w:val="00B05D40"/>
    <w:rsid w:val="00B067A0"/>
    <w:rsid w:val="00B07353"/>
    <w:rsid w:val="00B108B4"/>
    <w:rsid w:val="00B10B70"/>
    <w:rsid w:val="00B10EB8"/>
    <w:rsid w:val="00B110EA"/>
    <w:rsid w:val="00B11638"/>
    <w:rsid w:val="00B11AE3"/>
    <w:rsid w:val="00B12263"/>
    <w:rsid w:val="00B138FD"/>
    <w:rsid w:val="00B1489A"/>
    <w:rsid w:val="00B1567C"/>
    <w:rsid w:val="00B15AC3"/>
    <w:rsid w:val="00B15DC1"/>
    <w:rsid w:val="00B177BF"/>
    <w:rsid w:val="00B17C6B"/>
    <w:rsid w:val="00B21D1D"/>
    <w:rsid w:val="00B22605"/>
    <w:rsid w:val="00B2358E"/>
    <w:rsid w:val="00B239FB"/>
    <w:rsid w:val="00B24D71"/>
    <w:rsid w:val="00B26184"/>
    <w:rsid w:val="00B277B2"/>
    <w:rsid w:val="00B278BE"/>
    <w:rsid w:val="00B27DC8"/>
    <w:rsid w:val="00B307E7"/>
    <w:rsid w:val="00B30AFB"/>
    <w:rsid w:val="00B339F3"/>
    <w:rsid w:val="00B33DDD"/>
    <w:rsid w:val="00B340CF"/>
    <w:rsid w:val="00B34552"/>
    <w:rsid w:val="00B346FD"/>
    <w:rsid w:val="00B348A8"/>
    <w:rsid w:val="00B34E13"/>
    <w:rsid w:val="00B354DF"/>
    <w:rsid w:val="00B37716"/>
    <w:rsid w:val="00B405B7"/>
    <w:rsid w:val="00B41158"/>
    <w:rsid w:val="00B4128A"/>
    <w:rsid w:val="00B41BF6"/>
    <w:rsid w:val="00B41CAE"/>
    <w:rsid w:val="00B429D7"/>
    <w:rsid w:val="00B43C41"/>
    <w:rsid w:val="00B44FE6"/>
    <w:rsid w:val="00B456C7"/>
    <w:rsid w:val="00B45954"/>
    <w:rsid w:val="00B5000E"/>
    <w:rsid w:val="00B50A34"/>
    <w:rsid w:val="00B50EB3"/>
    <w:rsid w:val="00B51567"/>
    <w:rsid w:val="00B5335A"/>
    <w:rsid w:val="00B53DF1"/>
    <w:rsid w:val="00B548C5"/>
    <w:rsid w:val="00B54CB5"/>
    <w:rsid w:val="00B54D95"/>
    <w:rsid w:val="00B56E9E"/>
    <w:rsid w:val="00B578B6"/>
    <w:rsid w:val="00B60B42"/>
    <w:rsid w:val="00B6114D"/>
    <w:rsid w:val="00B61456"/>
    <w:rsid w:val="00B62237"/>
    <w:rsid w:val="00B626A0"/>
    <w:rsid w:val="00B62A4F"/>
    <w:rsid w:val="00B62C3C"/>
    <w:rsid w:val="00B6303A"/>
    <w:rsid w:val="00B638D4"/>
    <w:rsid w:val="00B63BD6"/>
    <w:rsid w:val="00B63F67"/>
    <w:rsid w:val="00B6431D"/>
    <w:rsid w:val="00B64960"/>
    <w:rsid w:val="00B64B9A"/>
    <w:rsid w:val="00B64D72"/>
    <w:rsid w:val="00B65639"/>
    <w:rsid w:val="00B66901"/>
    <w:rsid w:val="00B66B04"/>
    <w:rsid w:val="00B66F23"/>
    <w:rsid w:val="00B671C7"/>
    <w:rsid w:val="00B67E31"/>
    <w:rsid w:val="00B7033F"/>
    <w:rsid w:val="00B708FC"/>
    <w:rsid w:val="00B71BB3"/>
    <w:rsid w:val="00B71E6D"/>
    <w:rsid w:val="00B71FB5"/>
    <w:rsid w:val="00B72070"/>
    <w:rsid w:val="00B722C8"/>
    <w:rsid w:val="00B7287B"/>
    <w:rsid w:val="00B73792"/>
    <w:rsid w:val="00B74944"/>
    <w:rsid w:val="00B74A71"/>
    <w:rsid w:val="00B75033"/>
    <w:rsid w:val="00B7616F"/>
    <w:rsid w:val="00B763B6"/>
    <w:rsid w:val="00B7670B"/>
    <w:rsid w:val="00B76A56"/>
    <w:rsid w:val="00B779E1"/>
    <w:rsid w:val="00B77E1A"/>
    <w:rsid w:val="00B80BE0"/>
    <w:rsid w:val="00B80C74"/>
    <w:rsid w:val="00B81CC8"/>
    <w:rsid w:val="00B841E3"/>
    <w:rsid w:val="00B845F2"/>
    <w:rsid w:val="00B85730"/>
    <w:rsid w:val="00B8598E"/>
    <w:rsid w:val="00B85C6A"/>
    <w:rsid w:val="00B85D7D"/>
    <w:rsid w:val="00B86357"/>
    <w:rsid w:val="00B87360"/>
    <w:rsid w:val="00B87D5A"/>
    <w:rsid w:val="00B902DF"/>
    <w:rsid w:val="00B90E13"/>
    <w:rsid w:val="00B9199B"/>
    <w:rsid w:val="00B91AD1"/>
    <w:rsid w:val="00B91B44"/>
    <w:rsid w:val="00B921FB"/>
    <w:rsid w:val="00B92365"/>
    <w:rsid w:val="00B92C9D"/>
    <w:rsid w:val="00B92E3A"/>
    <w:rsid w:val="00B9376F"/>
    <w:rsid w:val="00B94CD7"/>
    <w:rsid w:val="00B952DA"/>
    <w:rsid w:val="00B95B6F"/>
    <w:rsid w:val="00B96657"/>
    <w:rsid w:val="00B973A4"/>
    <w:rsid w:val="00B97777"/>
    <w:rsid w:val="00BA1999"/>
    <w:rsid w:val="00BA1A67"/>
    <w:rsid w:val="00BA2949"/>
    <w:rsid w:val="00BA2F93"/>
    <w:rsid w:val="00BA4A13"/>
    <w:rsid w:val="00BA509D"/>
    <w:rsid w:val="00BA5EB9"/>
    <w:rsid w:val="00BA65B7"/>
    <w:rsid w:val="00BA6E63"/>
    <w:rsid w:val="00BA781B"/>
    <w:rsid w:val="00BA7917"/>
    <w:rsid w:val="00BB00C9"/>
    <w:rsid w:val="00BB0975"/>
    <w:rsid w:val="00BB0A4A"/>
    <w:rsid w:val="00BB0E4B"/>
    <w:rsid w:val="00BB1731"/>
    <w:rsid w:val="00BB1945"/>
    <w:rsid w:val="00BB1BA4"/>
    <w:rsid w:val="00BB2381"/>
    <w:rsid w:val="00BB3948"/>
    <w:rsid w:val="00BB4174"/>
    <w:rsid w:val="00BB7677"/>
    <w:rsid w:val="00BC0802"/>
    <w:rsid w:val="00BC12B4"/>
    <w:rsid w:val="00BC1C07"/>
    <w:rsid w:val="00BC2E8A"/>
    <w:rsid w:val="00BC37C0"/>
    <w:rsid w:val="00BC4124"/>
    <w:rsid w:val="00BC45B5"/>
    <w:rsid w:val="00BC5D91"/>
    <w:rsid w:val="00BC7B40"/>
    <w:rsid w:val="00BC7F27"/>
    <w:rsid w:val="00BD0681"/>
    <w:rsid w:val="00BD2068"/>
    <w:rsid w:val="00BD2378"/>
    <w:rsid w:val="00BD3A48"/>
    <w:rsid w:val="00BD48B2"/>
    <w:rsid w:val="00BD50A4"/>
    <w:rsid w:val="00BD5137"/>
    <w:rsid w:val="00BD5518"/>
    <w:rsid w:val="00BD5B07"/>
    <w:rsid w:val="00BD5E1A"/>
    <w:rsid w:val="00BD6296"/>
    <w:rsid w:val="00BD68D2"/>
    <w:rsid w:val="00BD6C88"/>
    <w:rsid w:val="00BD7E74"/>
    <w:rsid w:val="00BE0316"/>
    <w:rsid w:val="00BE0409"/>
    <w:rsid w:val="00BE05C6"/>
    <w:rsid w:val="00BE155E"/>
    <w:rsid w:val="00BE1D04"/>
    <w:rsid w:val="00BE1EBE"/>
    <w:rsid w:val="00BE2667"/>
    <w:rsid w:val="00BE3B67"/>
    <w:rsid w:val="00BE3EF7"/>
    <w:rsid w:val="00BE4A45"/>
    <w:rsid w:val="00BE5BA8"/>
    <w:rsid w:val="00BE69C7"/>
    <w:rsid w:val="00BF005B"/>
    <w:rsid w:val="00BF0B0E"/>
    <w:rsid w:val="00BF17FD"/>
    <w:rsid w:val="00BF3F63"/>
    <w:rsid w:val="00BF52D0"/>
    <w:rsid w:val="00BF5478"/>
    <w:rsid w:val="00BF6025"/>
    <w:rsid w:val="00BF77C3"/>
    <w:rsid w:val="00C004AF"/>
    <w:rsid w:val="00C034AA"/>
    <w:rsid w:val="00C034D4"/>
    <w:rsid w:val="00C037D6"/>
    <w:rsid w:val="00C038A5"/>
    <w:rsid w:val="00C03CC6"/>
    <w:rsid w:val="00C03DAB"/>
    <w:rsid w:val="00C04FB8"/>
    <w:rsid w:val="00C051B7"/>
    <w:rsid w:val="00C06113"/>
    <w:rsid w:val="00C06B8A"/>
    <w:rsid w:val="00C06CB8"/>
    <w:rsid w:val="00C06D7F"/>
    <w:rsid w:val="00C070D2"/>
    <w:rsid w:val="00C071A6"/>
    <w:rsid w:val="00C11420"/>
    <w:rsid w:val="00C123A8"/>
    <w:rsid w:val="00C12FCE"/>
    <w:rsid w:val="00C13889"/>
    <w:rsid w:val="00C145A1"/>
    <w:rsid w:val="00C151FB"/>
    <w:rsid w:val="00C20C83"/>
    <w:rsid w:val="00C2140F"/>
    <w:rsid w:val="00C230E0"/>
    <w:rsid w:val="00C24378"/>
    <w:rsid w:val="00C24395"/>
    <w:rsid w:val="00C24A3A"/>
    <w:rsid w:val="00C25160"/>
    <w:rsid w:val="00C254E1"/>
    <w:rsid w:val="00C259C8"/>
    <w:rsid w:val="00C263CE"/>
    <w:rsid w:val="00C26590"/>
    <w:rsid w:val="00C27339"/>
    <w:rsid w:val="00C276E5"/>
    <w:rsid w:val="00C27887"/>
    <w:rsid w:val="00C30C63"/>
    <w:rsid w:val="00C31201"/>
    <w:rsid w:val="00C31284"/>
    <w:rsid w:val="00C318E9"/>
    <w:rsid w:val="00C31B2E"/>
    <w:rsid w:val="00C32A0C"/>
    <w:rsid w:val="00C33453"/>
    <w:rsid w:val="00C335AC"/>
    <w:rsid w:val="00C337B5"/>
    <w:rsid w:val="00C33A21"/>
    <w:rsid w:val="00C3541A"/>
    <w:rsid w:val="00C368A1"/>
    <w:rsid w:val="00C3702B"/>
    <w:rsid w:val="00C371D4"/>
    <w:rsid w:val="00C4081C"/>
    <w:rsid w:val="00C416FC"/>
    <w:rsid w:val="00C41A17"/>
    <w:rsid w:val="00C4205D"/>
    <w:rsid w:val="00C422BD"/>
    <w:rsid w:val="00C4234D"/>
    <w:rsid w:val="00C42C69"/>
    <w:rsid w:val="00C42FAC"/>
    <w:rsid w:val="00C4429D"/>
    <w:rsid w:val="00C446F8"/>
    <w:rsid w:val="00C450AE"/>
    <w:rsid w:val="00C45D7D"/>
    <w:rsid w:val="00C4682F"/>
    <w:rsid w:val="00C47BF7"/>
    <w:rsid w:val="00C50576"/>
    <w:rsid w:val="00C52448"/>
    <w:rsid w:val="00C558DA"/>
    <w:rsid w:val="00C5669E"/>
    <w:rsid w:val="00C56EE0"/>
    <w:rsid w:val="00C6067E"/>
    <w:rsid w:val="00C60A8E"/>
    <w:rsid w:val="00C6168D"/>
    <w:rsid w:val="00C6255A"/>
    <w:rsid w:val="00C64034"/>
    <w:rsid w:val="00C65707"/>
    <w:rsid w:val="00C6586D"/>
    <w:rsid w:val="00C70E24"/>
    <w:rsid w:val="00C7183C"/>
    <w:rsid w:val="00C71D3E"/>
    <w:rsid w:val="00C73C6C"/>
    <w:rsid w:val="00C73F66"/>
    <w:rsid w:val="00C76C84"/>
    <w:rsid w:val="00C77650"/>
    <w:rsid w:val="00C8047E"/>
    <w:rsid w:val="00C80BF7"/>
    <w:rsid w:val="00C81319"/>
    <w:rsid w:val="00C81FA7"/>
    <w:rsid w:val="00C832F2"/>
    <w:rsid w:val="00C838DF"/>
    <w:rsid w:val="00C83D81"/>
    <w:rsid w:val="00C84759"/>
    <w:rsid w:val="00C84DB5"/>
    <w:rsid w:val="00C84F29"/>
    <w:rsid w:val="00C85428"/>
    <w:rsid w:val="00C86918"/>
    <w:rsid w:val="00C86E72"/>
    <w:rsid w:val="00C86EC5"/>
    <w:rsid w:val="00C900AA"/>
    <w:rsid w:val="00C90BAB"/>
    <w:rsid w:val="00C911C2"/>
    <w:rsid w:val="00C9124E"/>
    <w:rsid w:val="00C92776"/>
    <w:rsid w:val="00C92B88"/>
    <w:rsid w:val="00C92C6A"/>
    <w:rsid w:val="00C946B5"/>
    <w:rsid w:val="00C94746"/>
    <w:rsid w:val="00C94972"/>
    <w:rsid w:val="00C94BD4"/>
    <w:rsid w:val="00C94E43"/>
    <w:rsid w:val="00C95D28"/>
    <w:rsid w:val="00C97D43"/>
    <w:rsid w:val="00CA0D0A"/>
    <w:rsid w:val="00CA1DF8"/>
    <w:rsid w:val="00CA20AF"/>
    <w:rsid w:val="00CA244A"/>
    <w:rsid w:val="00CA256F"/>
    <w:rsid w:val="00CA354E"/>
    <w:rsid w:val="00CA4D6F"/>
    <w:rsid w:val="00CA63B2"/>
    <w:rsid w:val="00CA6C7F"/>
    <w:rsid w:val="00CA7239"/>
    <w:rsid w:val="00CA7F0B"/>
    <w:rsid w:val="00CB0332"/>
    <w:rsid w:val="00CB06F2"/>
    <w:rsid w:val="00CB07E8"/>
    <w:rsid w:val="00CB0EEF"/>
    <w:rsid w:val="00CB0FDE"/>
    <w:rsid w:val="00CB149E"/>
    <w:rsid w:val="00CB1ADA"/>
    <w:rsid w:val="00CB2662"/>
    <w:rsid w:val="00CB2A01"/>
    <w:rsid w:val="00CB2A7B"/>
    <w:rsid w:val="00CB32DB"/>
    <w:rsid w:val="00CB33E3"/>
    <w:rsid w:val="00CB40DE"/>
    <w:rsid w:val="00CB4606"/>
    <w:rsid w:val="00CB5A4E"/>
    <w:rsid w:val="00CB6843"/>
    <w:rsid w:val="00CB6BD7"/>
    <w:rsid w:val="00CB6D75"/>
    <w:rsid w:val="00CC08B9"/>
    <w:rsid w:val="00CC10A6"/>
    <w:rsid w:val="00CC1225"/>
    <w:rsid w:val="00CC2A7A"/>
    <w:rsid w:val="00CC318A"/>
    <w:rsid w:val="00CC3AA9"/>
    <w:rsid w:val="00CC4890"/>
    <w:rsid w:val="00CC492E"/>
    <w:rsid w:val="00CC6173"/>
    <w:rsid w:val="00CC6527"/>
    <w:rsid w:val="00CC68A8"/>
    <w:rsid w:val="00CD0C61"/>
    <w:rsid w:val="00CD12C5"/>
    <w:rsid w:val="00CD2996"/>
    <w:rsid w:val="00CD31E4"/>
    <w:rsid w:val="00CD35C3"/>
    <w:rsid w:val="00CD39E3"/>
    <w:rsid w:val="00CD578C"/>
    <w:rsid w:val="00CD5B64"/>
    <w:rsid w:val="00CD66A0"/>
    <w:rsid w:val="00CD6D8F"/>
    <w:rsid w:val="00CD7044"/>
    <w:rsid w:val="00CE171B"/>
    <w:rsid w:val="00CE18CB"/>
    <w:rsid w:val="00CE2E2B"/>
    <w:rsid w:val="00CE4829"/>
    <w:rsid w:val="00CE524C"/>
    <w:rsid w:val="00CE5E47"/>
    <w:rsid w:val="00CE663E"/>
    <w:rsid w:val="00CE7C73"/>
    <w:rsid w:val="00CF141F"/>
    <w:rsid w:val="00CF26DA"/>
    <w:rsid w:val="00CF3847"/>
    <w:rsid w:val="00CF3A59"/>
    <w:rsid w:val="00CF3C83"/>
    <w:rsid w:val="00CF3FAA"/>
    <w:rsid w:val="00CF4777"/>
    <w:rsid w:val="00CF5852"/>
    <w:rsid w:val="00CF5BF6"/>
    <w:rsid w:val="00CF73BA"/>
    <w:rsid w:val="00D003D1"/>
    <w:rsid w:val="00D00C9D"/>
    <w:rsid w:val="00D01340"/>
    <w:rsid w:val="00D0287C"/>
    <w:rsid w:val="00D02AF9"/>
    <w:rsid w:val="00D02E9B"/>
    <w:rsid w:val="00D0322A"/>
    <w:rsid w:val="00D03998"/>
    <w:rsid w:val="00D04A6A"/>
    <w:rsid w:val="00D05388"/>
    <w:rsid w:val="00D0639B"/>
    <w:rsid w:val="00D06580"/>
    <w:rsid w:val="00D07274"/>
    <w:rsid w:val="00D07FFD"/>
    <w:rsid w:val="00D1235A"/>
    <w:rsid w:val="00D13D97"/>
    <w:rsid w:val="00D14936"/>
    <w:rsid w:val="00D14BA2"/>
    <w:rsid w:val="00D15D27"/>
    <w:rsid w:val="00D1624D"/>
    <w:rsid w:val="00D1644D"/>
    <w:rsid w:val="00D164E7"/>
    <w:rsid w:val="00D169AF"/>
    <w:rsid w:val="00D17E00"/>
    <w:rsid w:val="00D2124B"/>
    <w:rsid w:val="00D21481"/>
    <w:rsid w:val="00D21B29"/>
    <w:rsid w:val="00D22DCB"/>
    <w:rsid w:val="00D23A77"/>
    <w:rsid w:val="00D23F8D"/>
    <w:rsid w:val="00D25249"/>
    <w:rsid w:val="00D26034"/>
    <w:rsid w:val="00D30E3C"/>
    <w:rsid w:val="00D3102C"/>
    <w:rsid w:val="00D31102"/>
    <w:rsid w:val="00D35363"/>
    <w:rsid w:val="00D35561"/>
    <w:rsid w:val="00D36008"/>
    <w:rsid w:val="00D40195"/>
    <w:rsid w:val="00D40B91"/>
    <w:rsid w:val="00D40D1E"/>
    <w:rsid w:val="00D44172"/>
    <w:rsid w:val="00D45F34"/>
    <w:rsid w:val="00D4679A"/>
    <w:rsid w:val="00D46E94"/>
    <w:rsid w:val="00D47229"/>
    <w:rsid w:val="00D47D5A"/>
    <w:rsid w:val="00D50B2E"/>
    <w:rsid w:val="00D523B0"/>
    <w:rsid w:val="00D52789"/>
    <w:rsid w:val="00D56AFF"/>
    <w:rsid w:val="00D61BA9"/>
    <w:rsid w:val="00D62AB6"/>
    <w:rsid w:val="00D62C72"/>
    <w:rsid w:val="00D63B8C"/>
    <w:rsid w:val="00D64DEC"/>
    <w:rsid w:val="00D65149"/>
    <w:rsid w:val="00D657B1"/>
    <w:rsid w:val="00D670D3"/>
    <w:rsid w:val="00D70000"/>
    <w:rsid w:val="00D704C3"/>
    <w:rsid w:val="00D70927"/>
    <w:rsid w:val="00D71171"/>
    <w:rsid w:val="00D717B8"/>
    <w:rsid w:val="00D729BB"/>
    <w:rsid w:val="00D72C49"/>
    <w:rsid w:val="00D73854"/>
    <w:rsid w:val="00D739CC"/>
    <w:rsid w:val="00D74286"/>
    <w:rsid w:val="00D748F3"/>
    <w:rsid w:val="00D74AA7"/>
    <w:rsid w:val="00D77328"/>
    <w:rsid w:val="00D77873"/>
    <w:rsid w:val="00D8093D"/>
    <w:rsid w:val="00D80AA8"/>
    <w:rsid w:val="00D80D0A"/>
    <w:rsid w:val="00D8108C"/>
    <w:rsid w:val="00D82901"/>
    <w:rsid w:val="00D83207"/>
    <w:rsid w:val="00D842AE"/>
    <w:rsid w:val="00D848A5"/>
    <w:rsid w:val="00D859F2"/>
    <w:rsid w:val="00D85CE9"/>
    <w:rsid w:val="00D85F42"/>
    <w:rsid w:val="00D90829"/>
    <w:rsid w:val="00D912D9"/>
    <w:rsid w:val="00D9211C"/>
    <w:rsid w:val="00D92B57"/>
    <w:rsid w:val="00D9339A"/>
    <w:rsid w:val="00D9365C"/>
    <w:rsid w:val="00D93E15"/>
    <w:rsid w:val="00D94939"/>
    <w:rsid w:val="00D94B0E"/>
    <w:rsid w:val="00D95177"/>
    <w:rsid w:val="00D952B9"/>
    <w:rsid w:val="00D95F82"/>
    <w:rsid w:val="00D95FA8"/>
    <w:rsid w:val="00D96547"/>
    <w:rsid w:val="00D96C5D"/>
    <w:rsid w:val="00D97194"/>
    <w:rsid w:val="00D9757E"/>
    <w:rsid w:val="00D97F21"/>
    <w:rsid w:val="00DA010A"/>
    <w:rsid w:val="00DA1BCA"/>
    <w:rsid w:val="00DA1F3C"/>
    <w:rsid w:val="00DA24D8"/>
    <w:rsid w:val="00DA3E63"/>
    <w:rsid w:val="00DA480B"/>
    <w:rsid w:val="00DA5145"/>
    <w:rsid w:val="00DA52E5"/>
    <w:rsid w:val="00DA6086"/>
    <w:rsid w:val="00DA6945"/>
    <w:rsid w:val="00DA7A2C"/>
    <w:rsid w:val="00DB015B"/>
    <w:rsid w:val="00DB0E67"/>
    <w:rsid w:val="00DB2466"/>
    <w:rsid w:val="00DB2840"/>
    <w:rsid w:val="00DB2FD4"/>
    <w:rsid w:val="00DB319D"/>
    <w:rsid w:val="00DB3485"/>
    <w:rsid w:val="00DB4401"/>
    <w:rsid w:val="00DB4D6C"/>
    <w:rsid w:val="00DB4FB3"/>
    <w:rsid w:val="00DB590D"/>
    <w:rsid w:val="00DB626E"/>
    <w:rsid w:val="00DB746D"/>
    <w:rsid w:val="00DB7C08"/>
    <w:rsid w:val="00DB7C90"/>
    <w:rsid w:val="00DB7D0E"/>
    <w:rsid w:val="00DC0F4C"/>
    <w:rsid w:val="00DC1437"/>
    <w:rsid w:val="00DC1471"/>
    <w:rsid w:val="00DC1539"/>
    <w:rsid w:val="00DC2472"/>
    <w:rsid w:val="00DC3404"/>
    <w:rsid w:val="00DC365F"/>
    <w:rsid w:val="00DC3775"/>
    <w:rsid w:val="00DC46FF"/>
    <w:rsid w:val="00DC548F"/>
    <w:rsid w:val="00DD1501"/>
    <w:rsid w:val="00DD1969"/>
    <w:rsid w:val="00DD1A4F"/>
    <w:rsid w:val="00DD2230"/>
    <w:rsid w:val="00DD28C6"/>
    <w:rsid w:val="00DD326C"/>
    <w:rsid w:val="00DD3561"/>
    <w:rsid w:val="00DD3D12"/>
    <w:rsid w:val="00DD6B18"/>
    <w:rsid w:val="00DD7C2C"/>
    <w:rsid w:val="00DE0CAC"/>
    <w:rsid w:val="00DE1F5B"/>
    <w:rsid w:val="00DE2F01"/>
    <w:rsid w:val="00DE3226"/>
    <w:rsid w:val="00DE3281"/>
    <w:rsid w:val="00DE3C62"/>
    <w:rsid w:val="00DE4C1B"/>
    <w:rsid w:val="00DE524F"/>
    <w:rsid w:val="00DE67A1"/>
    <w:rsid w:val="00DF010E"/>
    <w:rsid w:val="00DF0EF8"/>
    <w:rsid w:val="00DF16EC"/>
    <w:rsid w:val="00DF17DE"/>
    <w:rsid w:val="00DF1CF2"/>
    <w:rsid w:val="00DF3172"/>
    <w:rsid w:val="00DF33EE"/>
    <w:rsid w:val="00DF3E4F"/>
    <w:rsid w:val="00DF57B7"/>
    <w:rsid w:val="00DF599E"/>
    <w:rsid w:val="00DF5E87"/>
    <w:rsid w:val="00DF65E6"/>
    <w:rsid w:val="00DF6B90"/>
    <w:rsid w:val="00DF7474"/>
    <w:rsid w:val="00DF7859"/>
    <w:rsid w:val="00E00338"/>
    <w:rsid w:val="00E00BF6"/>
    <w:rsid w:val="00E011D6"/>
    <w:rsid w:val="00E01908"/>
    <w:rsid w:val="00E0216D"/>
    <w:rsid w:val="00E0246D"/>
    <w:rsid w:val="00E038C8"/>
    <w:rsid w:val="00E03B18"/>
    <w:rsid w:val="00E03ECD"/>
    <w:rsid w:val="00E0483B"/>
    <w:rsid w:val="00E048CA"/>
    <w:rsid w:val="00E04FD7"/>
    <w:rsid w:val="00E058A9"/>
    <w:rsid w:val="00E05B89"/>
    <w:rsid w:val="00E06797"/>
    <w:rsid w:val="00E06C35"/>
    <w:rsid w:val="00E0703C"/>
    <w:rsid w:val="00E0732B"/>
    <w:rsid w:val="00E07D79"/>
    <w:rsid w:val="00E07D86"/>
    <w:rsid w:val="00E10AF1"/>
    <w:rsid w:val="00E10F4E"/>
    <w:rsid w:val="00E1186F"/>
    <w:rsid w:val="00E12A04"/>
    <w:rsid w:val="00E13789"/>
    <w:rsid w:val="00E13C1B"/>
    <w:rsid w:val="00E13D7C"/>
    <w:rsid w:val="00E13E53"/>
    <w:rsid w:val="00E13EF2"/>
    <w:rsid w:val="00E14524"/>
    <w:rsid w:val="00E147CB"/>
    <w:rsid w:val="00E14884"/>
    <w:rsid w:val="00E15667"/>
    <w:rsid w:val="00E1596C"/>
    <w:rsid w:val="00E17CB4"/>
    <w:rsid w:val="00E17F2D"/>
    <w:rsid w:val="00E202CF"/>
    <w:rsid w:val="00E21C83"/>
    <w:rsid w:val="00E21E32"/>
    <w:rsid w:val="00E22409"/>
    <w:rsid w:val="00E22642"/>
    <w:rsid w:val="00E228BE"/>
    <w:rsid w:val="00E23103"/>
    <w:rsid w:val="00E27236"/>
    <w:rsid w:val="00E30011"/>
    <w:rsid w:val="00E30A91"/>
    <w:rsid w:val="00E316AD"/>
    <w:rsid w:val="00E32874"/>
    <w:rsid w:val="00E32903"/>
    <w:rsid w:val="00E32C3C"/>
    <w:rsid w:val="00E32DE1"/>
    <w:rsid w:val="00E3561B"/>
    <w:rsid w:val="00E37657"/>
    <w:rsid w:val="00E37E4E"/>
    <w:rsid w:val="00E4025C"/>
    <w:rsid w:val="00E40841"/>
    <w:rsid w:val="00E411AA"/>
    <w:rsid w:val="00E414C0"/>
    <w:rsid w:val="00E4185B"/>
    <w:rsid w:val="00E44949"/>
    <w:rsid w:val="00E451D4"/>
    <w:rsid w:val="00E45B88"/>
    <w:rsid w:val="00E46268"/>
    <w:rsid w:val="00E46D9A"/>
    <w:rsid w:val="00E50C39"/>
    <w:rsid w:val="00E5121E"/>
    <w:rsid w:val="00E521DF"/>
    <w:rsid w:val="00E52AB2"/>
    <w:rsid w:val="00E5403E"/>
    <w:rsid w:val="00E54147"/>
    <w:rsid w:val="00E565FF"/>
    <w:rsid w:val="00E56812"/>
    <w:rsid w:val="00E571F1"/>
    <w:rsid w:val="00E6135E"/>
    <w:rsid w:val="00E61A81"/>
    <w:rsid w:val="00E624ED"/>
    <w:rsid w:val="00E637FA"/>
    <w:rsid w:val="00E64451"/>
    <w:rsid w:val="00E6522D"/>
    <w:rsid w:val="00E65388"/>
    <w:rsid w:val="00E6578A"/>
    <w:rsid w:val="00E66319"/>
    <w:rsid w:val="00E66D98"/>
    <w:rsid w:val="00E672A3"/>
    <w:rsid w:val="00E677DE"/>
    <w:rsid w:val="00E707EC"/>
    <w:rsid w:val="00E7082F"/>
    <w:rsid w:val="00E70AD7"/>
    <w:rsid w:val="00E7131C"/>
    <w:rsid w:val="00E71C1B"/>
    <w:rsid w:val="00E722A7"/>
    <w:rsid w:val="00E733B4"/>
    <w:rsid w:val="00E74DDA"/>
    <w:rsid w:val="00E752E8"/>
    <w:rsid w:val="00E7724F"/>
    <w:rsid w:val="00E80328"/>
    <w:rsid w:val="00E80E8E"/>
    <w:rsid w:val="00E81338"/>
    <w:rsid w:val="00E81F64"/>
    <w:rsid w:val="00E82130"/>
    <w:rsid w:val="00E8258E"/>
    <w:rsid w:val="00E8284A"/>
    <w:rsid w:val="00E8320D"/>
    <w:rsid w:val="00E83437"/>
    <w:rsid w:val="00E83948"/>
    <w:rsid w:val="00E84384"/>
    <w:rsid w:val="00E84E88"/>
    <w:rsid w:val="00E8519D"/>
    <w:rsid w:val="00E857E9"/>
    <w:rsid w:val="00E85B7D"/>
    <w:rsid w:val="00E86958"/>
    <w:rsid w:val="00E86B25"/>
    <w:rsid w:val="00E9007D"/>
    <w:rsid w:val="00E908A9"/>
    <w:rsid w:val="00E9121B"/>
    <w:rsid w:val="00E92865"/>
    <w:rsid w:val="00E94C12"/>
    <w:rsid w:val="00E95BC0"/>
    <w:rsid w:val="00E9609D"/>
    <w:rsid w:val="00E9664F"/>
    <w:rsid w:val="00E96D65"/>
    <w:rsid w:val="00E96DFA"/>
    <w:rsid w:val="00E96E06"/>
    <w:rsid w:val="00E9790D"/>
    <w:rsid w:val="00EA10D6"/>
    <w:rsid w:val="00EA1500"/>
    <w:rsid w:val="00EA1859"/>
    <w:rsid w:val="00EA263B"/>
    <w:rsid w:val="00EA39E5"/>
    <w:rsid w:val="00EA3CC2"/>
    <w:rsid w:val="00EA4689"/>
    <w:rsid w:val="00EA4E0A"/>
    <w:rsid w:val="00EA4F9F"/>
    <w:rsid w:val="00EA5766"/>
    <w:rsid w:val="00EA57D4"/>
    <w:rsid w:val="00EA7A87"/>
    <w:rsid w:val="00EB0F91"/>
    <w:rsid w:val="00EB254C"/>
    <w:rsid w:val="00EB46C8"/>
    <w:rsid w:val="00EB4D3B"/>
    <w:rsid w:val="00EB5EEA"/>
    <w:rsid w:val="00EB79E0"/>
    <w:rsid w:val="00EC0F04"/>
    <w:rsid w:val="00EC1492"/>
    <w:rsid w:val="00EC1F3E"/>
    <w:rsid w:val="00EC264C"/>
    <w:rsid w:val="00EC2B97"/>
    <w:rsid w:val="00EC3D95"/>
    <w:rsid w:val="00EC5171"/>
    <w:rsid w:val="00EC5A46"/>
    <w:rsid w:val="00EC63E2"/>
    <w:rsid w:val="00EC7FE4"/>
    <w:rsid w:val="00ED0FAD"/>
    <w:rsid w:val="00ED1A0F"/>
    <w:rsid w:val="00ED1A6D"/>
    <w:rsid w:val="00ED1DB6"/>
    <w:rsid w:val="00ED2008"/>
    <w:rsid w:val="00ED226E"/>
    <w:rsid w:val="00ED2F97"/>
    <w:rsid w:val="00ED387A"/>
    <w:rsid w:val="00ED3D95"/>
    <w:rsid w:val="00ED4278"/>
    <w:rsid w:val="00ED4F14"/>
    <w:rsid w:val="00ED754B"/>
    <w:rsid w:val="00ED7CD1"/>
    <w:rsid w:val="00ED7D63"/>
    <w:rsid w:val="00EE0108"/>
    <w:rsid w:val="00EE0818"/>
    <w:rsid w:val="00EE1F07"/>
    <w:rsid w:val="00EE2D26"/>
    <w:rsid w:val="00EE2EAD"/>
    <w:rsid w:val="00EE3C18"/>
    <w:rsid w:val="00EE4FB5"/>
    <w:rsid w:val="00EE5F8C"/>
    <w:rsid w:val="00EE744C"/>
    <w:rsid w:val="00EF04DB"/>
    <w:rsid w:val="00EF22B3"/>
    <w:rsid w:val="00EF2766"/>
    <w:rsid w:val="00EF285A"/>
    <w:rsid w:val="00EF35D9"/>
    <w:rsid w:val="00EF3DCE"/>
    <w:rsid w:val="00EF3E53"/>
    <w:rsid w:val="00EF5439"/>
    <w:rsid w:val="00EF64D3"/>
    <w:rsid w:val="00EF65BC"/>
    <w:rsid w:val="00EF6949"/>
    <w:rsid w:val="00EF74C6"/>
    <w:rsid w:val="00EF7504"/>
    <w:rsid w:val="00F00123"/>
    <w:rsid w:val="00F00EA0"/>
    <w:rsid w:val="00F0193D"/>
    <w:rsid w:val="00F03DCB"/>
    <w:rsid w:val="00F03EA5"/>
    <w:rsid w:val="00F045F3"/>
    <w:rsid w:val="00F0541F"/>
    <w:rsid w:val="00F058EA"/>
    <w:rsid w:val="00F05F15"/>
    <w:rsid w:val="00F07183"/>
    <w:rsid w:val="00F0780D"/>
    <w:rsid w:val="00F10378"/>
    <w:rsid w:val="00F10AF7"/>
    <w:rsid w:val="00F10E27"/>
    <w:rsid w:val="00F112D2"/>
    <w:rsid w:val="00F113DA"/>
    <w:rsid w:val="00F121A5"/>
    <w:rsid w:val="00F124A7"/>
    <w:rsid w:val="00F13130"/>
    <w:rsid w:val="00F13596"/>
    <w:rsid w:val="00F14890"/>
    <w:rsid w:val="00F14D17"/>
    <w:rsid w:val="00F15403"/>
    <w:rsid w:val="00F15534"/>
    <w:rsid w:val="00F171AF"/>
    <w:rsid w:val="00F177B6"/>
    <w:rsid w:val="00F17FA2"/>
    <w:rsid w:val="00F2077B"/>
    <w:rsid w:val="00F208FC"/>
    <w:rsid w:val="00F21351"/>
    <w:rsid w:val="00F2142B"/>
    <w:rsid w:val="00F236E0"/>
    <w:rsid w:val="00F23B05"/>
    <w:rsid w:val="00F23B67"/>
    <w:rsid w:val="00F25984"/>
    <w:rsid w:val="00F26FEA"/>
    <w:rsid w:val="00F3037E"/>
    <w:rsid w:val="00F30598"/>
    <w:rsid w:val="00F313F9"/>
    <w:rsid w:val="00F3159F"/>
    <w:rsid w:val="00F32B93"/>
    <w:rsid w:val="00F34612"/>
    <w:rsid w:val="00F3467B"/>
    <w:rsid w:val="00F346E0"/>
    <w:rsid w:val="00F35409"/>
    <w:rsid w:val="00F363FC"/>
    <w:rsid w:val="00F36508"/>
    <w:rsid w:val="00F36EDB"/>
    <w:rsid w:val="00F37B92"/>
    <w:rsid w:val="00F37DC8"/>
    <w:rsid w:val="00F40732"/>
    <w:rsid w:val="00F40877"/>
    <w:rsid w:val="00F40F1D"/>
    <w:rsid w:val="00F4180A"/>
    <w:rsid w:val="00F41E06"/>
    <w:rsid w:val="00F422D0"/>
    <w:rsid w:val="00F4287C"/>
    <w:rsid w:val="00F4302C"/>
    <w:rsid w:val="00F43B87"/>
    <w:rsid w:val="00F43CF3"/>
    <w:rsid w:val="00F43F6B"/>
    <w:rsid w:val="00F4483D"/>
    <w:rsid w:val="00F45453"/>
    <w:rsid w:val="00F46CC2"/>
    <w:rsid w:val="00F470D0"/>
    <w:rsid w:val="00F474B2"/>
    <w:rsid w:val="00F50791"/>
    <w:rsid w:val="00F5097B"/>
    <w:rsid w:val="00F51DD7"/>
    <w:rsid w:val="00F52776"/>
    <w:rsid w:val="00F5323F"/>
    <w:rsid w:val="00F5380F"/>
    <w:rsid w:val="00F53B4B"/>
    <w:rsid w:val="00F54062"/>
    <w:rsid w:val="00F542EE"/>
    <w:rsid w:val="00F54F78"/>
    <w:rsid w:val="00F55374"/>
    <w:rsid w:val="00F5589D"/>
    <w:rsid w:val="00F573CB"/>
    <w:rsid w:val="00F63063"/>
    <w:rsid w:val="00F64D1C"/>
    <w:rsid w:val="00F650C3"/>
    <w:rsid w:val="00F6753C"/>
    <w:rsid w:val="00F707CF"/>
    <w:rsid w:val="00F7189B"/>
    <w:rsid w:val="00F71D0C"/>
    <w:rsid w:val="00F722C0"/>
    <w:rsid w:val="00F7343D"/>
    <w:rsid w:val="00F744C3"/>
    <w:rsid w:val="00F744DD"/>
    <w:rsid w:val="00F751CC"/>
    <w:rsid w:val="00F75F87"/>
    <w:rsid w:val="00F76CAE"/>
    <w:rsid w:val="00F76F0D"/>
    <w:rsid w:val="00F8091E"/>
    <w:rsid w:val="00F809C6"/>
    <w:rsid w:val="00F81C6C"/>
    <w:rsid w:val="00F81D64"/>
    <w:rsid w:val="00F8294A"/>
    <w:rsid w:val="00F82CD0"/>
    <w:rsid w:val="00F82FCF"/>
    <w:rsid w:val="00F83EE9"/>
    <w:rsid w:val="00F84D99"/>
    <w:rsid w:val="00F854BC"/>
    <w:rsid w:val="00F859B3"/>
    <w:rsid w:val="00F8615C"/>
    <w:rsid w:val="00F86D1B"/>
    <w:rsid w:val="00F86FE0"/>
    <w:rsid w:val="00F8756A"/>
    <w:rsid w:val="00F87794"/>
    <w:rsid w:val="00F87DF7"/>
    <w:rsid w:val="00F909E8"/>
    <w:rsid w:val="00F90B89"/>
    <w:rsid w:val="00F91281"/>
    <w:rsid w:val="00F91908"/>
    <w:rsid w:val="00F91D56"/>
    <w:rsid w:val="00F92BBE"/>
    <w:rsid w:val="00F93A17"/>
    <w:rsid w:val="00F93A7A"/>
    <w:rsid w:val="00F93C7A"/>
    <w:rsid w:val="00F9443C"/>
    <w:rsid w:val="00F96C88"/>
    <w:rsid w:val="00F9705A"/>
    <w:rsid w:val="00F97835"/>
    <w:rsid w:val="00F97AD9"/>
    <w:rsid w:val="00F97B18"/>
    <w:rsid w:val="00FA04A0"/>
    <w:rsid w:val="00FA09F2"/>
    <w:rsid w:val="00FA102D"/>
    <w:rsid w:val="00FA1543"/>
    <w:rsid w:val="00FA22FA"/>
    <w:rsid w:val="00FA27CB"/>
    <w:rsid w:val="00FA2D0B"/>
    <w:rsid w:val="00FA2DAB"/>
    <w:rsid w:val="00FA3C8F"/>
    <w:rsid w:val="00FA49DE"/>
    <w:rsid w:val="00FA4CAB"/>
    <w:rsid w:val="00FA595F"/>
    <w:rsid w:val="00FA6206"/>
    <w:rsid w:val="00FA6CD0"/>
    <w:rsid w:val="00FB019F"/>
    <w:rsid w:val="00FB06F0"/>
    <w:rsid w:val="00FB2535"/>
    <w:rsid w:val="00FB2A88"/>
    <w:rsid w:val="00FB3646"/>
    <w:rsid w:val="00FB3A0A"/>
    <w:rsid w:val="00FB3C26"/>
    <w:rsid w:val="00FB3CC8"/>
    <w:rsid w:val="00FB42E2"/>
    <w:rsid w:val="00FB631A"/>
    <w:rsid w:val="00FB64FE"/>
    <w:rsid w:val="00FB6B3B"/>
    <w:rsid w:val="00FB6BC3"/>
    <w:rsid w:val="00FB72AF"/>
    <w:rsid w:val="00FB7595"/>
    <w:rsid w:val="00FC1C88"/>
    <w:rsid w:val="00FC1DD3"/>
    <w:rsid w:val="00FC2D8B"/>
    <w:rsid w:val="00FC3545"/>
    <w:rsid w:val="00FC3782"/>
    <w:rsid w:val="00FC4E0C"/>
    <w:rsid w:val="00FC564D"/>
    <w:rsid w:val="00FC6223"/>
    <w:rsid w:val="00FC6250"/>
    <w:rsid w:val="00FC65FF"/>
    <w:rsid w:val="00FC6D04"/>
    <w:rsid w:val="00FC7CA1"/>
    <w:rsid w:val="00FD060C"/>
    <w:rsid w:val="00FD0F4A"/>
    <w:rsid w:val="00FD19D5"/>
    <w:rsid w:val="00FD2403"/>
    <w:rsid w:val="00FD2AE7"/>
    <w:rsid w:val="00FD3648"/>
    <w:rsid w:val="00FD53BC"/>
    <w:rsid w:val="00FD5860"/>
    <w:rsid w:val="00FD5D35"/>
    <w:rsid w:val="00FD6702"/>
    <w:rsid w:val="00FD6C75"/>
    <w:rsid w:val="00FD7AEE"/>
    <w:rsid w:val="00FE0A16"/>
    <w:rsid w:val="00FE0EFD"/>
    <w:rsid w:val="00FE1784"/>
    <w:rsid w:val="00FE27DE"/>
    <w:rsid w:val="00FE2B2A"/>
    <w:rsid w:val="00FE2E25"/>
    <w:rsid w:val="00FE3222"/>
    <w:rsid w:val="00FE352D"/>
    <w:rsid w:val="00FE39AD"/>
    <w:rsid w:val="00FE4C2E"/>
    <w:rsid w:val="00FE5454"/>
    <w:rsid w:val="00FE5641"/>
    <w:rsid w:val="00FE708C"/>
    <w:rsid w:val="00FE7513"/>
    <w:rsid w:val="00FE7767"/>
    <w:rsid w:val="00FE7D62"/>
    <w:rsid w:val="00FF0061"/>
    <w:rsid w:val="00FF328D"/>
    <w:rsid w:val="00FF3A90"/>
    <w:rsid w:val="00FF45DE"/>
    <w:rsid w:val="00FF4BA3"/>
    <w:rsid w:val="00FF4D3C"/>
    <w:rsid w:val="00FF4FBD"/>
    <w:rsid w:val="00FF5F1F"/>
    <w:rsid w:val="00FF64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eastAsia="de-DE"/>
    </w:rPr>
  </w:style>
  <w:style w:type="paragraph" w:styleId="Heading1">
    <w:name w:val="heading 1"/>
    <w:basedOn w:val="Standardde"/>
    <w:next w:val="Standardde"/>
    <w:link w:val="Heading1Char"/>
    <w:qFormat/>
    <w:rsid w:val="00C65707"/>
    <w:pPr>
      <w:keepNext/>
      <w:numPr>
        <w:numId w:val="1"/>
      </w:numPr>
      <w:ind w:left="431" w:hanging="431"/>
      <w:outlineLvl w:val="0"/>
    </w:pPr>
    <w:rPr>
      <w:b/>
      <w:bCs/>
      <w:sz w:val="28"/>
    </w:rPr>
  </w:style>
  <w:style w:type="paragraph" w:styleId="Heading2">
    <w:name w:val="heading 2"/>
    <w:aliases w:val="u2,h2,A.B.C.,Ü 2,Chpt"/>
    <w:basedOn w:val="Standardde"/>
    <w:next w:val="Standardde"/>
    <w:link w:val="Heading2Char"/>
    <w:qFormat/>
    <w:rsid w:val="001E269C"/>
    <w:pPr>
      <w:keepNext/>
      <w:numPr>
        <w:ilvl w:val="1"/>
        <w:numId w:val="1"/>
      </w:numPr>
      <w:tabs>
        <w:tab w:val="clear" w:pos="756"/>
      </w:tabs>
      <w:spacing w:before="240" w:after="120"/>
      <w:ind w:left="630" w:hanging="630"/>
      <w:outlineLvl w:val="1"/>
    </w:pPr>
    <w:rPr>
      <w:rFonts w:ascii="Times New Roman" w:hAnsi="Times New Roman"/>
      <w:b/>
      <w:iCs/>
    </w:rPr>
  </w:style>
  <w:style w:type="paragraph" w:styleId="Heading3">
    <w:name w:val="heading 3"/>
    <w:aliases w:val="h3,1.2.3.,Sec"/>
    <w:basedOn w:val="Standardde"/>
    <w:next w:val="Standardde"/>
    <w:link w:val="Heading3Char"/>
    <w:qFormat/>
    <w:rsid w:val="001E269C"/>
    <w:pPr>
      <w:keepNext/>
      <w:numPr>
        <w:ilvl w:val="2"/>
        <w:numId w:val="1"/>
      </w:numPr>
      <w:tabs>
        <w:tab w:val="clear" w:pos="1135"/>
      </w:tabs>
      <w:spacing w:before="240" w:after="120"/>
      <w:ind w:left="630" w:hanging="630"/>
      <w:outlineLvl w:val="2"/>
    </w:pPr>
    <w:rPr>
      <w:rFonts w:ascii="Times New Roman" w:hAnsi="Times New Roman"/>
      <w:b/>
      <w:bCs/>
      <w:i/>
    </w:rPr>
  </w:style>
  <w:style w:type="paragraph" w:styleId="Heading4">
    <w:name w:val="heading 4"/>
    <w:aliases w:val="h4,Level III for #'s"/>
    <w:basedOn w:val="Standardde"/>
    <w:next w:val="Standardde"/>
    <w:link w:val="Heading4Char"/>
    <w:qFormat/>
    <w:rsid w:val="00A67890"/>
    <w:pPr>
      <w:keepNext/>
      <w:numPr>
        <w:ilvl w:val="3"/>
        <w:numId w:val="1"/>
      </w:numPr>
      <w:outlineLvl w:val="3"/>
    </w:pPr>
    <w:rPr>
      <w:rFonts w:ascii="Calibri" w:hAnsi="Calibri"/>
      <w:u w:val="single"/>
    </w:rPr>
  </w:style>
  <w:style w:type="paragraph" w:styleId="Heading5">
    <w:name w:val="heading 5"/>
    <w:basedOn w:val="Normal"/>
    <w:next w:val="Normal"/>
    <w:link w:val="Heading5Char"/>
    <w:qFormat/>
    <w:rsid w:val="00E22409"/>
    <w:pPr>
      <w:numPr>
        <w:ilvl w:val="4"/>
        <w:numId w:val="1"/>
      </w:numPr>
      <w:spacing w:before="240" w:after="120"/>
      <w:ind w:left="1009" w:hanging="1009"/>
      <w:outlineLvl w:val="4"/>
    </w:pPr>
    <w:rPr>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65707"/>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1E269C"/>
    <w:rPr>
      <w:rFonts w:ascii="Times New Roman" w:hAnsi="Times New Roman"/>
      <w:b/>
      <w:iCs/>
      <w:sz w:val="22"/>
      <w:lang w:eastAsia="de-DE"/>
    </w:rPr>
  </w:style>
  <w:style w:type="character" w:customStyle="1" w:styleId="Heading3Char">
    <w:name w:val="Heading 3 Char"/>
    <w:aliases w:val="h3 Char,1.2.3. Char,Sec Char"/>
    <w:basedOn w:val="DefaultParagraphFont"/>
    <w:link w:val="Heading3"/>
    <w:locked/>
    <w:rsid w:val="001E269C"/>
    <w:rPr>
      <w:rFonts w:ascii="Times New Roman" w:hAnsi="Times New Roman"/>
      <w:b/>
      <w:bCs/>
      <w:i/>
      <w:sz w:val="22"/>
      <w:lang w:eastAsia="de-DE"/>
    </w:rPr>
  </w:style>
  <w:style w:type="character" w:customStyle="1" w:styleId="Heading4Char">
    <w:name w:val="Heading 4 Char"/>
    <w:aliases w:val="h4 Char,Level III for #'s Char"/>
    <w:basedOn w:val="DefaultParagraphFont"/>
    <w:link w:val="Heading4"/>
    <w:locked/>
    <w:rsid w:val="00DF33EE"/>
    <w:rPr>
      <w:sz w:val="22"/>
      <w:u w:val="single"/>
      <w:lang w:eastAsia="de-DE"/>
    </w:rPr>
  </w:style>
  <w:style w:type="character" w:customStyle="1" w:styleId="Heading5Char">
    <w:name w:val="Heading 5 Char"/>
    <w:basedOn w:val="DefaultParagraphFont"/>
    <w:link w:val="Heading5"/>
    <w:locked/>
    <w:rsid w:val="00E22409"/>
    <w:rPr>
      <w:rFonts w:ascii="Times New Roman" w:hAnsi="Times New Roman"/>
      <w:bCs/>
      <w:i/>
      <w:iCs/>
      <w:szCs w:val="26"/>
      <w:lang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eastAsia="de-DE"/>
    </w:rPr>
  </w:style>
  <w:style w:type="character" w:customStyle="1" w:styleId="Heading7Char">
    <w:name w:val="Heading 7 Char"/>
    <w:basedOn w:val="DefaultParagraphFont"/>
    <w:link w:val="Heading7"/>
    <w:locked/>
    <w:rsid w:val="00AC4CE6"/>
    <w:rPr>
      <w:rFonts w:ascii="Times New Roman" w:hAnsi="Times New Roman"/>
      <w:sz w:val="24"/>
      <w:szCs w:val="24"/>
      <w:lang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eastAsia="de-DE"/>
    </w:rPr>
  </w:style>
  <w:style w:type="character" w:customStyle="1" w:styleId="Heading9Char">
    <w:name w:val="Heading 9 Char"/>
    <w:basedOn w:val="DefaultParagraphFont"/>
    <w:link w:val="Heading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aliases w:val="header protocols,Header Char2,Header Char1 Char1,Header Char Char Char1,Header Char1 Char Char Char1,Header Char Char Char Char Char1,Header Char Char1 Char1,Header Char Char2,Header Char1 Char Char1,Header Char Char Char Char1"/>
    <w:basedOn w:val="Normal"/>
    <w:link w:val="HeaderChar"/>
    <w:rsid w:val="00A67890"/>
    <w:pPr>
      <w:tabs>
        <w:tab w:val="center" w:pos="4536"/>
        <w:tab w:val="right" w:pos="9072"/>
      </w:tabs>
    </w:pPr>
  </w:style>
  <w:style w:type="character" w:customStyle="1" w:styleId="HeaderChar">
    <w:name w:val="Header Char"/>
    <w:aliases w:val="header protocols Char,Header Char2 Char,Header Char1 Char1 Char,Header Char Char Char1 Char,Header Char1 Char Char Char1 Char,Header Char Char Char Char Char1 Char,Header Char Char1 Char1 Char,Header Char Char2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 Char Char,Footnote Text Char Char Char Char,Footnote Text1,Footnote Text Char Char Char,93,single space,Footnote Text Rail EIS,ft,footnote3,Footnotes,Footnote ak,fn cafc,Footnotes Char Char"/>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2A4DD1"/>
    <w:pPr>
      <w:numPr>
        <w:numId w:val="8"/>
      </w:numPr>
      <w:suppressAutoHyphens/>
      <w:spacing w:after="120"/>
      <w:ind w:left="0" w:firstLine="0"/>
    </w:pPr>
    <w:rPr>
      <w:rFonts w:eastAsia="Times New Roman"/>
      <w:sz w:val="20"/>
      <w:szCs w:val="20"/>
      <w:lang w:val="en-US" w:eastAsia="en-US"/>
    </w:rPr>
  </w:style>
  <w:style w:type="character" w:customStyle="1" w:styleId="Paralevel1Char">
    <w:name w:val="Para level1 Char"/>
    <w:basedOn w:val="DefaultParagraphFont"/>
    <w:link w:val="Paralevel1"/>
    <w:locked/>
    <w:rsid w:val="002A4DD1"/>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 w:val="20"/>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rPr>
  </w:style>
  <w:style w:type="paragraph" w:customStyle="1" w:styleId="Paralevel2">
    <w:name w:val="Para level2"/>
    <w:basedOn w:val="Normal"/>
    <w:autoRedefine/>
    <w:rsid w:val="001E269C"/>
    <w:pPr>
      <w:numPr>
        <w:numId w:val="26"/>
      </w:numPr>
      <w:autoSpaceDE w:val="0"/>
      <w:autoSpaceDN w:val="0"/>
      <w:adjustRightInd w:val="0"/>
      <w:spacing w:after="136"/>
      <w:ind w:left="0" w:firstLine="630"/>
    </w:pPr>
    <w:rPr>
      <w:sz w:val="20"/>
      <w:szCs w:val="20"/>
      <w:lang w:eastAsia="en-GB"/>
    </w:rPr>
  </w:style>
  <w:style w:type="paragraph" w:customStyle="1" w:styleId="StyleHeading3h3123SecTimesNewRomanBold">
    <w:name w:val="Style Heading 3h31.2.3.Sec + Times New Roman Bold"/>
    <w:basedOn w:val="Heading3"/>
    <w:autoRedefine/>
    <w:rsid w:val="00540E68"/>
    <w:pPr>
      <w:keepNext w:val="0"/>
      <w:keepLines/>
      <w:tabs>
        <w:tab w:val="num" w:pos="709"/>
      </w:tabs>
      <w:ind w:hanging="1135"/>
      <w:jc w:val="left"/>
    </w:pPr>
    <w:rPr>
      <w:b w:val="0"/>
      <w:iCs/>
    </w:rPr>
  </w:style>
  <w:style w:type="paragraph" w:customStyle="1" w:styleId="StyleHeading2u2h2ABC2ChptTimesNewRomanLinespaci">
    <w:name w:val="Style Heading 2u2h2A.B.C.Ü 2Chpt + Times New Roman Line spaci..."/>
    <w:basedOn w:val="Heading2"/>
    <w:autoRedefine/>
    <w:rsid w:val="004A02FF"/>
    <w:pPr>
      <w:spacing w:line="240" w:lineRule="auto"/>
      <w:ind w:left="576"/>
      <w:jc w:val="left"/>
    </w:pPr>
    <w:rPr>
      <w:bCs/>
      <w:iCs w:val="0"/>
    </w:rPr>
  </w:style>
  <w:style w:type="paragraph" w:customStyle="1" w:styleId="StyleHeading2u2h2ABC2ChptTimesNewRoman12ptBef">
    <w:name w:val="Style Heading 2u2h2A.B.C.Ü 2Chpt + Times New Roman 12 pt Bef..."/>
    <w:basedOn w:val="Heading2"/>
    <w:autoRedefine/>
    <w:rsid w:val="00A67890"/>
    <w:pPr>
      <w:spacing w:line="240" w:lineRule="auto"/>
      <w:ind w:left="578" w:hanging="578"/>
      <w:jc w:val="left"/>
    </w:pPr>
    <w:rPr>
      <w:bCs/>
      <w:iCs w:val="0"/>
      <w:sz w:val="24"/>
    </w:rPr>
  </w:style>
  <w:style w:type="paragraph" w:customStyle="1" w:styleId="StyleHeading2u2h2ABC2ChptTimesNewRoman12ptLin">
    <w:name w:val="Style Heading 2u2h2A.B.C.Ü 2Chpt + Times New Roman 12 pt Lin..."/>
    <w:basedOn w:val="Heading2"/>
    <w:autoRedefine/>
    <w:rsid w:val="00BE1D04"/>
    <w:pPr>
      <w:keepNext w:val="0"/>
      <w:spacing w:line="240" w:lineRule="auto"/>
      <w:ind w:left="578" w:hanging="578"/>
    </w:pPr>
    <w:rPr>
      <w:bCs/>
      <w:iCs w:val="0"/>
      <w:sz w:val="24"/>
    </w:rPr>
  </w:style>
  <w:style w:type="paragraph" w:customStyle="1" w:styleId="StyleHeading2u2h2ABC2ChptTimesNewRoman12ptBef1">
    <w:name w:val="Style Heading 2u2h2A.B.C.Ü 2Chpt + Times New Roman 12 pt Bef...1"/>
    <w:basedOn w:val="Heading2"/>
    <w:autoRedefine/>
    <w:rsid w:val="00A67890"/>
    <w:pPr>
      <w:spacing w:line="240" w:lineRule="auto"/>
      <w:ind w:left="578" w:hanging="578"/>
    </w:pPr>
    <w:rPr>
      <w:bCs/>
      <w:iCs w:val="0"/>
      <w:sz w:val="24"/>
    </w:rPr>
  </w:style>
  <w:style w:type="paragraph" w:customStyle="1" w:styleId="Styleberschrift4alexTimesNewRoman">
    <w:name w:val="Style Überschrift 4 alex + Times New Roman"/>
    <w:basedOn w:val="Normal"/>
    <w:autoRedefine/>
    <w:rsid w:val="00EF3DCE"/>
    <w:pPr>
      <w:widowControl w:val="0"/>
      <w:spacing w:after="120"/>
      <w:jc w:val="both"/>
      <w:outlineLvl w:val="3"/>
    </w:pPr>
    <w:rPr>
      <w:b/>
      <w:sz w:val="20"/>
      <w:szCs w:val="20"/>
    </w:rPr>
  </w:style>
  <w:style w:type="character" w:styleId="FollowedHyperlink">
    <w:name w:val="FollowedHyperlink"/>
    <w:basedOn w:val="DefaultParagraphFont"/>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eastAsia="en-US"/>
    </w:rPr>
  </w:style>
  <w:style w:type="paragraph" w:styleId="TOC8">
    <w:name w:val="toc 8"/>
    <w:basedOn w:val="Normal"/>
    <w:next w:val="Normal"/>
    <w:autoRedefine/>
    <w:semiHidden/>
    <w:locked/>
    <w:rsid w:val="00A67890"/>
    <w:pPr>
      <w:ind w:left="1400"/>
    </w:pPr>
    <w:rPr>
      <w:rFonts w:eastAsia="Times New Roman"/>
      <w:sz w:val="18"/>
      <w:szCs w:val="18"/>
      <w:lang w:eastAsia="en-US"/>
    </w:rPr>
  </w:style>
  <w:style w:type="paragraph" w:styleId="TOC9">
    <w:name w:val="toc 9"/>
    <w:basedOn w:val="Normal"/>
    <w:next w:val="Normal"/>
    <w:autoRedefine/>
    <w:semiHidden/>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numPr>
        <w:numId w:val="5"/>
      </w:numPr>
      <w:spacing w:before="0" w:after="0" w:line="240" w:lineRule="auto"/>
      <w:ind w:firstLine="0"/>
      <w:jc w:val="left"/>
    </w:pPr>
    <w:rPr>
      <w:rFonts w:eastAsia="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uiPriority w:val="99"/>
    <w:rsid w:val="00A67890"/>
    <w:pPr>
      <w:numPr>
        <w:numId w:val="7"/>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semiHidden/>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Mention1">
    <w:name w:val="Mention1"/>
    <w:basedOn w:val="DefaultParagraphFont"/>
    <w:uiPriority w:val="99"/>
    <w:semiHidden/>
    <w:unhideWhenUsed/>
    <w:rsid w:val="00C2140F"/>
    <w:rPr>
      <w:color w:val="2B579A"/>
      <w:shd w:val="clear" w:color="auto" w:fill="E6E6E6"/>
    </w:rPr>
  </w:style>
  <w:style w:type="table" w:customStyle="1" w:styleId="TableGrid1">
    <w:name w:val="Table Grid1"/>
    <w:basedOn w:val="TableNormal"/>
    <w:next w:val="TableGrid"/>
    <w:uiPriority w:val="39"/>
    <w:rsid w:val="00EB0F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ool">
    <w:name w:val="Normal-pool"/>
    <w:link w:val="Normal-poolChar"/>
    <w:rsid w:val="003C4E63"/>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uiPriority w:val="99"/>
    <w:rsid w:val="003C4E63"/>
    <w:rPr>
      <w:rFonts w:ascii="Times New Roman" w:eastAsia="Times New Roman" w:hAnsi="Times New Roman"/>
      <w:lang w:eastAsia="en-US"/>
    </w:rPr>
  </w:style>
  <w:style w:type="character" w:customStyle="1" w:styleId="BBTitleChar">
    <w:name w:val="BB_Title Char"/>
    <w:link w:val="BBTitle"/>
    <w:rsid w:val="003C4E63"/>
    <w:rPr>
      <w:rFonts w:ascii="Times New Roman" w:eastAsia="Times New Roman" w:hAnsi="Times New Roman"/>
      <w:b/>
      <w:sz w:val="28"/>
      <w:szCs w:val="28"/>
      <w:lang w:eastAsia="en-US"/>
    </w:rPr>
  </w:style>
  <w:style w:type="character" w:customStyle="1" w:styleId="CH2Char">
    <w:name w:val="CH2 Char"/>
    <w:link w:val="CH2"/>
    <w:rsid w:val="003C4E63"/>
    <w:rPr>
      <w:rFonts w:ascii="Times New Roman" w:eastAsia="Times New Roman" w:hAnsi="Times New Roman"/>
      <w:b/>
      <w:sz w:val="24"/>
      <w:szCs w:val="24"/>
      <w:lang w:eastAsia="en-US"/>
    </w:rPr>
  </w:style>
  <w:style w:type="paragraph" w:customStyle="1" w:styleId="AATitle">
    <w:name w:val="AA_Title"/>
    <w:basedOn w:val="Normal"/>
    <w:rsid w:val="003C4E63"/>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3C4E63"/>
    <w:pPr>
      <w:tabs>
        <w:tab w:val="clear" w:pos="4082"/>
      </w:tabs>
      <w:spacing w:before="120" w:after="120"/>
      <w:ind w:right="4536"/>
    </w:pPr>
  </w:style>
  <w:style w:type="paragraph" w:customStyle="1" w:styleId="ZZAnxheader">
    <w:name w:val="ZZ_Anx_header"/>
    <w:basedOn w:val="Normal"/>
    <w:rsid w:val="003C4E63"/>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3C4E63"/>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eastAsia="de-DE"/>
    </w:rPr>
  </w:style>
  <w:style w:type="paragraph" w:styleId="Heading1">
    <w:name w:val="heading 1"/>
    <w:basedOn w:val="Standardde"/>
    <w:next w:val="Standardde"/>
    <w:link w:val="Heading1Char"/>
    <w:qFormat/>
    <w:rsid w:val="00C65707"/>
    <w:pPr>
      <w:keepNext/>
      <w:numPr>
        <w:numId w:val="1"/>
      </w:numPr>
      <w:ind w:left="431" w:hanging="431"/>
      <w:outlineLvl w:val="0"/>
    </w:pPr>
    <w:rPr>
      <w:b/>
      <w:bCs/>
      <w:sz w:val="28"/>
    </w:rPr>
  </w:style>
  <w:style w:type="paragraph" w:styleId="Heading2">
    <w:name w:val="heading 2"/>
    <w:aliases w:val="u2,h2,A.B.C.,Ü 2,Chpt"/>
    <w:basedOn w:val="Standardde"/>
    <w:next w:val="Standardde"/>
    <w:link w:val="Heading2Char"/>
    <w:qFormat/>
    <w:rsid w:val="001E269C"/>
    <w:pPr>
      <w:keepNext/>
      <w:numPr>
        <w:ilvl w:val="1"/>
        <w:numId w:val="1"/>
      </w:numPr>
      <w:tabs>
        <w:tab w:val="clear" w:pos="756"/>
      </w:tabs>
      <w:spacing w:before="240" w:after="120"/>
      <w:ind w:left="630" w:hanging="630"/>
      <w:outlineLvl w:val="1"/>
    </w:pPr>
    <w:rPr>
      <w:rFonts w:ascii="Times New Roman" w:hAnsi="Times New Roman"/>
      <w:b/>
      <w:iCs/>
    </w:rPr>
  </w:style>
  <w:style w:type="paragraph" w:styleId="Heading3">
    <w:name w:val="heading 3"/>
    <w:aliases w:val="h3,1.2.3.,Sec"/>
    <w:basedOn w:val="Standardde"/>
    <w:next w:val="Standardde"/>
    <w:link w:val="Heading3Char"/>
    <w:qFormat/>
    <w:rsid w:val="001E269C"/>
    <w:pPr>
      <w:keepNext/>
      <w:numPr>
        <w:ilvl w:val="2"/>
        <w:numId w:val="1"/>
      </w:numPr>
      <w:tabs>
        <w:tab w:val="clear" w:pos="1135"/>
      </w:tabs>
      <w:spacing w:before="240" w:after="120"/>
      <w:ind w:left="630" w:hanging="630"/>
      <w:outlineLvl w:val="2"/>
    </w:pPr>
    <w:rPr>
      <w:rFonts w:ascii="Times New Roman" w:hAnsi="Times New Roman"/>
      <w:b/>
      <w:bCs/>
      <w:i/>
    </w:rPr>
  </w:style>
  <w:style w:type="paragraph" w:styleId="Heading4">
    <w:name w:val="heading 4"/>
    <w:aliases w:val="h4,Level III for #'s"/>
    <w:basedOn w:val="Standardde"/>
    <w:next w:val="Standardde"/>
    <w:link w:val="Heading4Char"/>
    <w:qFormat/>
    <w:rsid w:val="00A67890"/>
    <w:pPr>
      <w:keepNext/>
      <w:numPr>
        <w:ilvl w:val="3"/>
        <w:numId w:val="1"/>
      </w:numPr>
      <w:outlineLvl w:val="3"/>
    </w:pPr>
    <w:rPr>
      <w:rFonts w:ascii="Calibri" w:hAnsi="Calibri"/>
      <w:u w:val="single"/>
    </w:rPr>
  </w:style>
  <w:style w:type="paragraph" w:styleId="Heading5">
    <w:name w:val="heading 5"/>
    <w:basedOn w:val="Normal"/>
    <w:next w:val="Normal"/>
    <w:link w:val="Heading5Char"/>
    <w:qFormat/>
    <w:rsid w:val="00E22409"/>
    <w:pPr>
      <w:numPr>
        <w:ilvl w:val="4"/>
        <w:numId w:val="1"/>
      </w:numPr>
      <w:spacing w:before="240" w:after="120"/>
      <w:ind w:left="1009" w:hanging="1009"/>
      <w:outlineLvl w:val="4"/>
    </w:pPr>
    <w:rPr>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65707"/>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1E269C"/>
    <w:rPr>
      <w:rFonts w:ascii="Times New Roman" w:hAnsi="Times New Roman"/>
      <w:b/>
      <w:iCs/>
      <w:sz w:val="22"/>
      <w:lang w:eastAsia="de-DE"/>
    </w:rPr>
  </w:style>
  <w:style w:type="character" w:customStyle="1" w:styleId="Heading3Char">
    <w:name w:val="Heading 3 Char"/>
    <w:aliases w:val="h3 Char,1.2.3. Char,Sec Char"/>
    <w:basedOn w:val="DefaultParagraphFont"/>
    <w:link w:val="Heading3"/>
    <w:locked/>
    <w:rsid w:val="001E269C"/>
    <w:rPr>
      <w:rFonts w:ascii="Times New Roman" w:hAnsi="Times New Roman"/>
      <w:b/>
      <w:bCs/>
      <w:i/>
      <w:sz w:val="22"/>
      <w:lang w:eastAsia="de-DE"/>
    </w:rPr>
  </w:style>
  <w:style w:type="character" w:customStyle="1" w:styleId="Heading4Char">
    <w:name w:val="Heading 4 Char"/>
    <w:aliases w:val="h4 Char,Level III for #'s Char"/>
    <w:basedOn w:val="DefaultParagraphFont"/>
    <w:link w:val="Heading4"/>
    <w:locked/>
    <w:rsid w:val="00DF33EE"/>
    <w:rPr>
      <w:sz w:val="22"/>
      <w:u w:val="single"/>
      <w:lang w:eastAsia="de-DE"/>
    </w:rPr>
  </w:style>
  <w:style w:type="character" w:customStyle="1" w:styleId="Heading5Char">
    <w:name w:val="Heading 5 Char"/>
    <w:basedOn w:val="DefaultParagraphFont"/>
    <w:link w:val="Heading5"/>
    <w:locked/>
    <w:rsid w:val="00E22409"/>
    <w:rPr>
      <w:rFonts w:ascii="Times New Roman" w:hAnsi="Times New Roman"/>
      <w:bCs/>
      <w:i/>
      <w:iCs/>
      <w:szCs w:val="26"/>
      <w:lang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eastAsia="de-DE"/>
    </w:rPr>
  </w:style>
  <w:style w:type="character" w:customStyle="1" w:styleId="Heading7Char">
    <w:name w:val="Heading 7 Char"/>
    <w:basedOn w:val="DefaultParagraphFont"/>
    <w:link w:val="Heading7"/>
    <w:locked/>
    <w:rsid w:val="00AC4CE6"/>
    <w:rPr>
      <w:rFonts w:ascii="Times New Roman" w:hAnsi="Times New Roman"/>
      <w:sz w:val="24"/>
      <w:szCs w:val="24"/>
      <w:lang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eastAsia="de-DE"/>
    </w:rPr>
  </w:style>
  <w:style w:type="character" w:customStyle="1" w:styleId="Heading9Char">
    <w:name w:val="Heading 9 Char"/>
    <w:basedOn w:val="DefaultParagraphFont"/>
    <w:link w:val="Heading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aliases w:val="header protocols,Header Char2,Header Char1 Char1,Header Char Char Char1,Header Char1 Char Char Char1,Header Char Char Char Char Char1,Header Char Char1 Char1,Header Char Char2,Header Char1 Char Char1,Header Char Char Char Char1"/>
    <w:basedOn w:val="Normal"/>
    <w:link w:val="HeaderChar"/>
    <w:rsid w:val="00A67890"/>
    <w:pPr>
      <w:tabs>
        <w:tab w:val="center" w:pos="4536"/>
        <w:tab w:val="right" w:pos="9072"/>
      </w:tabs>
    </w:pPr>
  </w:style>
  <w:style w:type="character" w:customStyle="1" w:styleId="HeaderChar">
    <w:name w:val="Header Char"/>
    <w:aliases w:val="header protocols Char,Header Char2 Char,Header Char1 Char1 Char,Header Char Char Char1 Char,Header Char1 Char Char Char1 Char,Header Char Char Char Char Char1 Char,Header Char Char1 Char1 Char,Header Char Char2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 Char Char,Footnote Text Char Char Char Char,Footnote Text1,Footnote Text Char Char Char,93,single space,Footnote Text Rail EIS,ft,footnote3,Footnotes,Footnote ak,fn cafc,Footnotes Char Char"/>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2A4DD1"/>
    <w:pPr>
      <w:numPr>
        <w:numId w:val="8"/>
      </w:numPr>
      <w:suppressAutoHyphens/>
      <w:spacing w:after="120"/>
      <w:ind w:left="0" w:firstLine="0"/>
    </w:pPr>
    <w:rPr>
      <w:rFonts w:eastAsia="Times New Roman"/>
      <w:sz w:val="20"/>
      <w:szCs w:val="20"/>
      <w:lang w:val="en-US" w:eastAsia="en-US"/>
    </w:rPr>
  </w:style>
  <w:style w:type="character" w:customStyle="1" w:styleId="Paralevel1Char">
    <w:name w:val="Para level1 Char"/>
    <w:basedOn w:val="DefaultParagraphFont"/>
    <w:link w:val="Paralevel1"/>
    <w:locked/>
    <w:rsid w:val="002A4DD1"/>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 w:val="20"/>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rPr>
  </w:style>
  <w:style w:type="paragraph" w:customStyle="1" w:styleId="Paralevel2">
    <w:name w:val="Para level2"/>
    <w:basedOn w:val="Normal"/>
    <w:autoRedefine/>
    <w:rsid w:val="001E269C"/>
    <w:pPr>
      <w:numPr>
        <w:numId w:val="26"/>
      </w:numPr>
      <w:autoSpaceDE w:val="0"/>
      <w:autoSpaceDN w:val="0"/>
      <w:adjustRightInd w:val="0"/>
      <w:spacing w:after="136"/>
      <w:ind w:left="0" w:firstLine="630"/>
    </w:pPr>
    <w:rPr>
      <w:sz w:val="20"/>
      <w:szCs w:val="20"/>
      <w:lang w:eastAsia="en-GB"/>
    </w:rPr>
  </w:style>
  <w:style w:type="paragraph" w:customStyle="1" w:styleId="StyleHeading3h3123SecTimesNewRomanBold">
    <w:name w:val="Style Heading 3h31.2.3.Sec + Times New Roman Bold"/>
    <w:basedOn w:val="Heading3"/>
    <w:autoRedefine/>
    <w:rsid w:val="00540E68"/>
    <w:pPr>
      <w:keepNext w:val="0"/>
      <w:keepLines/>
      <w:tabs>
        <w:tab w:val="num" w:pos="709"/>
      </w:tabs>
      <w:ind w:hanging="1135"/>
      <w:jc w:val="left"/>
    </w:pPr>
    <w:rPr>
      <w:b w:val="0"/>
      <w:iCs/>
    </w:rPr>
  </w:style>
  <w:style w:type="paragraph" w:customStyle="1" w:styleId="StyleHeading2u2h2ABC2ChptTimesNewRomanLinespaci">
    <w:name w:val="Style Heading 2u2h2A.B.C.Ü 2Chpt + Times New Roman Line spaci..."/>
    <w:basedOn w:val="Heading2"/>
    <w:autoRedefine/>
    <w:rsid w:val="004A02FF"/>
    <w:pPr>
      <w:spacing w:line="240" w:lineRule="auto"/>
      <w:ind w:left="576"/>
      <w:jc w:val="left"/>
    </w:pPr>
    <w:rPr>
      <w:bCs/>
      <w:iCs w:val="0"/>
    </w:rPr>
  </w:style>
  <w:style w:type="paragraph" w:customStyle="1" w:styleId="StyleHeading2u2h2ABC2ChptTimesNewRoman12ptBef">
    <w:name w:val="Style Heading 2u2h2A.B.C.Ü 2Chpt + Times New Roman 12 pt Bef..."/>
    <w:basedOn w:val="Heading2"/>
    <w:autoRedefine/>
    <w:rsid w:val="00A67890"/>
    <w:pPr>
      <w:spacing w:line="240" w:lineRule="auto"/>
      <w:ind w:left="578" w:hanging="578"/>
      <w:jc w:val="left"/>
    </w:pPr>
    <w:rPr>
      <w:bCs/>
      <w:iCs w:val="0"/>
      <w:sz w:val="24"/>
    </w:rPr>
  </w:style>
  <w:style w:type="paragraph" w:customStyle="1" w:styleId="StyleHeading2u2h2ABC2ChptTimesNewRoman12ptLin">
    <w:name w:val="Style Heading 2u2h2A.B.C.Ü 2Chpt + Times New Roman 12 pt Lin..."/>
    <w:basedOn w:val="Heading2"/>
    <w:autoRedefine/>
    <w:rsid w:val="00BE1D04"/>
    <w:pPr>
      <w:keepNext w:val="0"/>
      <w:spacing w:line="240" w:lineRule="auto"/>
      <w:ind w:left="578" w:hanging="578"/>
    </w:pPr>
    <w:rPr>
      <w:bCs/>
      <w:iCs w:val="0"/>
      <w:sz w:val="24"/>
    </w:rPr>
  </w:style>
  <w:style w:type="paragraph" w:customStyle="1" w:styleId="StyleHeading2u2h2ABC2ChptTimesNewRoman12ptBef1">
    <w:name w:val="Style Heading 2u2h2A.B.C.Ü 2Chpt + Times New Roman 12 pt Bef...1"/>
    <w:basedOn w:val="Heading2"/>
    <w:autoRedefine/>
    <w:rsid w:val="00A67890"/>
    <w:pPr>
      <w:spacing w:line="240" w:lineRule="auto"/>
      <w:ind w:left="578" w:hanging="578"/>
    </w:pPr>
    <w:rPr>
      <w:bCs/>
      <w:iCs w:val="0"/>
      <w:sz w:val="24"/>
    </w:rPr>
  </w:style>
  <w:style w:type="paragraph" w:customStyle="1" w:styleId="Styleberschrift4alexTimesNewRoman">
    <w:name w:val="Style Überschrift 4 alex + Times New Roman"/>
    <w:basedOn w:val="Normal"/>
    <w:autoRedefine/>
    <w:rsid w:val="00EF3DCE"/>
    <w:pPr>
      <w:widowControl w:val="0"/>
      <w:spacing w:after="120"/>
      <w:jc w:val="both"/>
      <w:outlineLvl w:val="3"/>
    </w:pPr>
    <w:rPr>
      <w:b/>
      <w:sz w:val="20"/>
      <w:szCs w:val="20"/>
    </w:rPr>
  </w:style>
  <w:style w:type="character" w:styleId="FollowedHyperlink">
    <w:name w:val="FollowedHyperlink"/>
    <w:basedOn w:val="DefaultParagraphFont"/>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eastAsia="en-US"/>
    </w:rPr>
  </w:style>
  <w:style w:type="paragraph" w:styleId="TOC8">
    <w:name w:val="toc 8"/>
    <w:basedOn w:val="Normal"/>
    <w:next w:val="Normal"/>
    <w:autoRedefine/>
    <w:semiHidden/>
    <w:locked/>
    <w:rsid w:val="00A67890"/>
    <w:pPr>
      <w:ind w:left="1400"/>
    </w:pPr>
    <w:rPr>
      <w:rFonts w:eastAsia="Times New Roman"/>
      <w:sz w:val="18"/>
      <w:szCs w:val="18"/>
      <w:lang w:eastAsia="en-US"/>
    </w:rPr>
  </w:style>
  <w:style w:type="paragraph" w:styleId="TOC9">
    <w:name w:val="toc 9"/>
    <w:basedOn w:val="Normal"/>
    <w:next w:val="Normal"/>
    <w:autoRedefine/>
    <w:semiHidden/>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numPr>
        <w:numId w:val="5"/>
      </w:numPr>
      <w:spacing w:before="0" w:after="0" w:line="240" w:lineRule="auto"/>
      <w:ind w:firstLine="0"/>
      <w:jc w:val="left"/>
    </w:pPr>
    <w:rPr>
      <w:rFonts w:eastAsia="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uiPriority w:val="99"/>
    <w:rsid w:val="00A67890"/>
    <w:pPr>
      <w:numPr>
        <w:numId w:val="7"/>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semiHidden/>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Mention1">
    <w:name w:val="Mention1"/>
    <w:basedOn w:val="DefaultParagraphFont"/>
    <w:uiPriority w:val="99"/>
    <w:semiHidden/>
    <w:unhideWhenUsed/>
    <w:rsid w:val="00C2140F"/>
    <w:rPr>
      <w:color w:val="2B579A"/>
      <w:shd w:val="clear" w:color="auto" w:fill="E6E6E6"/>
    </w:rPr>
  </w:style>
  <w:style w:type="table" w:customStyle="1" w:styleId="TableGrid1">
    <w:name w:val="Table Grid1"/>
    <w:basedOn w:val="TableNormal"/>
    <w:next w:val="TableGrid"/>
    <w:uiPriority w:val="39"/>
    <w:rsid w:val="00EB0F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ool">
    <w:name w:val="Normal-pool"/>
    <w:link w:val="Normal-poolChar"/>
    <w:rsid w:val="003C4E63"/>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uiPriority w:val="99"/>
    <w:rsid w:val="003C4E63"/>
    <w:rPr>
      <w:rFonts w:ascii="Times New Roman" w:eastAsia="Times New Roman" w:hAnsi="Times New Roman"/>
      <w:lang w:eastAsia="en-US"/>
    </w:rPr>
  </w:style>
  <w:style w:type="character" w:customStyle="1" w:styleId="BBTitleChar">
    <w:name w:val="BB_Title Char"/>
    <w:link w:val="BBTitle"/>
    <w:rsid w:val="003C4E63"/>
    <w:rPr>
      <w:rFonts w:ascii="Times New Roman" w:eastAsia="Times New Roman" w:hAnsi="Times New Roman"/>
      <w:b/>
      <w:sz w:val="28"/>
      <w:szCs w:val="28"/>
      <w:lang w:eastAsia="en-US"/>
    </w:rPr>
  </w:style>
  <w:style w:type="character" w:customStyle="1" w:styleId="CH2Char">
    <w:name w:val="CH2 Char"/>
    <w:link w:val="CH2"/>
    <w:rsid w:val="003C4E63"/>
    <w:rPr>
      <w:rFonts w:ascii="Times New Roman" w:eastAsia="Times New Roman" w:hAnsi="Times New Roman"/>
      <w:b/>
      <w:sz w:val="24"/>
      <w:szCs w:val="24"/>
      <w:lang w:eastAsia="en-US"/>
    </w:rPr>
  </w:style>
  <w:style w:type="paragraph" w:customStyle="1" w:styleId="AATitle">
    <w:name w:val="AA_Title"/>
    <w:basedOn w:val="Normal"/>
    <w:rsid w:val="003C4E63"/>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3C4E63"/>
    <w:pPr>
      <w:tabs>
        <w:tab w:val="clear" w:pos="4082"/>
      </w:tabs>
      <w:spacing w:before="120" w:after="120"/>
      <w:ind w:right="4536"/>
    </w:pPr>
  </w:style>
  <w:style w:type="paragraph" w:customStyle="1" w:styleId="ZZAnxheader">
    <w:name w:val="ZZ_Anx_header"/>
    <w:basedOn w:val="Normal"/>
    <w:rsid w:val="003C4E63"/>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3C4E6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1032219840">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338314316">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2034065824">
      <w:bodyDiv w:val="1"/>
      <w:marLeft w:val="0"/>
      <w:marRight w:val="0"/>
      <w:marTop w:val="0"/>
      <w:marBottom w:val="0"/>
      <w:divBdr>
        <w:top w:val="none" w:sz="0" w:space="0" w:color="auto"/>
        <w:left w:val="none" w:sz="0" w:space="0" w:color="auto"/>
        <w:bottom w:val="none" w:sz="0" w:space="0" w:color="auto"/>
        <w:right w:val="none" w:sz="0" w:space="0" w:color="auto"/>
      </w:divBdr>
    </w:div>
    <w:div w:id="2070956733">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ur-lex.europa.eu/LexUriServ/LexUriServ.do?uri=OJ:L:2013:226:0001:0017: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dama.com/mexico/e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www.legislation.gov.au/Details/F2014C009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13:226:0001:0017:EN:PDF" TargetMode="External"/><Relationship Id="rId13" Type="http://schemas.openxmlformats.org/officeDocument/2006/relationships/hyperlink" Target="http://cibrc.nic.in/biopesticides2012.doc" TargetMode="External"/><Relationship Id="rId18" Type="http://schemas.openxmlformats.org/officeDocument/2006/relationships/hyperlink" Target="https://ec.europa.eu/food/plant/pesticides/sustainable_use_pesticides_en" TargetMode="External"/><Relationship Id="rId3" Type="http://schemas.openxmlformats.org/officeDocument/2006/relationships/hyperlink" Target="http://www.pcpb.or.ke/cropproductsviewform.php" TargetMode="External"/><Relationship Id="rId21" Type="http://schemas.openxmlformats.org/officeDocument/2006/relationships/hyperlink" Target="http://www.fao.org/agroecology/en/" TargetMode="External"/><Relationship Id="rId7" Type="http://schemas.openxmlformats.org/officeDocument/2006/relationships/hyperlink" Target="http://eur-lex.europa.eu/legal-content/EN/ALL/?uri=OJ:L:2012:167:TOC" TargetMode="External"/><Relationship Id="rId12" Type="http://schemas.openxmlformats.org/officeDocument/2006/relationships/hyperlink" Target="https://pubchem.ncbi.nlm.nih.gov/compound/177863" TargetMode="External"/><Relationship Id="rId17" Type="http://schemas.openxmlformats.org/officeDocument/2006/relationships/hyperlink" Target="http://www.hc-sc.gc.ca/cps-spc/pest/index-eng.php" TargetMode="External"/><Relationship Id="rId2" Type="http://schemas.openxmlformats.org/officeDocument/2006/relationships/hyperlink" Target="http://www.cibrc.nic.in/biopesticides.doc" TargetMode="External"/><Relationship Id="rId16" Type="http://schemas.openxmlformats.org/officeDocument/2006/relationships/hyperlink" Target="http://www.fao.org/fileadmin/templates/agphome/documents/Pests_Pesticides/Code/JMPM_2007_Report.pdf" TargetMode="External"/><Relationship Id="rId20" Type="http://schemas.openxmlformats.org/officeDocument/2006/relationships/hyperlink" Target="http://www.oisat.org/" TargetMode="External"/><Relationship Id="rId1" Type="http://schemas.openxmlformats.org/officeDocument/2006/relationships/hyperlink" Target="http://www.fao.org/agriculture/crops/thematic-sitemap/theme/pests/code/hhp/en/" TargetMode="External"/><Relationship Id="rId6" Type="http://schemas.openxmlformats.org/officeDocument/2006/relationships/hyperlink" Target="http://eur-lex.europa.eu/legal-content/EN/TXT/?uri=CELEX:32008D0764" TargetMode="External"/><Relationship Id="rId11" Type="http://schemas.openxmlformats.org/officeDocument/2006/relationships/hyperlink" Target="http://www.fao.org/agriculture/crops/thematic-sitemap/theme/pests/code/hhp/en/" TargetMode="External"/><Relationship Id="rId24" Type="http://schemas.openxmlformats.org/officeDocument/2006/relationships/hyperlink" Target="https://www.gov.uk/government/uploads/system/uploads/attachment_data/file/487932/pesticide-residues-quarter2-2015-report.pdf" TargetMode="External"/><Relationship Id="rId5" Type="http://schemas.openxmlformats.org/officeDocument/2006/relationships/hyperlink" Target="http://chm.pops.int/Implementation/Exemptions/Closedsystemsitelimited/tabid/453/Default.aspx" TargetMode="External"/><Relationship Id="rId15" Type="http://schemas.openxmlformats.org/officeDocument/2006/relationships/hyperlink" Target="ftp://ftp.fao.org/docrep/fao/meeting/011/j9387e.pdf" TargetMode="External"/><Relationship Id="rId23" Type="http://schemas.openxmlformats.org/officeDocument/2006/relationships/hyperlink" Target="https://www.ams.usda.gov/datasets/pdp/pdpdata" TargetMode="External"/><Relationship Id="rId10" Type="http://schemas.openxmlformats.org/officeDocument/2006/relationships/hyperlink" Target="http://hil.prosix.in/dicofol.php" TargetMode="External"/><Relationship Id="rId19" Type="http://schemas.openxmlformats.org/officeDocument/2006/relationships/hyperlink" Target="http://ec.europa.eu/environment/chemicals/international_conventions/index_en.htm" TargetMode="External"/><Relationship Id="rId4" Type="http://schemas.openxmlformats.org/officeDocument/2006/relationships/hyperlink" Target="http://www.unece.org/fileadmin/DAM/env/documents/2013/air/eb/ECE_EB.AIR_122_E.pdf" TargetMode="External"/><Relationship Id="rId9" Type="http://schemas.openxmlformats.org/officeDocument/2006/relationships/hyperlink" Target="http://www.adama.com/mexico/es/portafolio-de-soluciones/manejo-de-plagas/ak-20.html" TargetMode="External"/><Relationship Id="rId14" Type="http://schemas.openxmlformats.org/officeDocument/2006/relationships/hyperlink" Target="http://www.chem.unep.ch/saicm/" TargetMode="External"/><Relationship Id="rId22" Type="http://schemas.openxmlformats.org/officeDocument/2006/relationships/hyperlink" Target="https://www.actu-environnement.com/media/pdf/news-28813-efsa-rapport-2015-residus-pesticides-ali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CEDA-F652-4FA3-A1F8-756E077F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F69FF53.dotm</Template>
  <TotalTime>2</TotalTime>
  <Pages>29</Pages>
  <Words>19244</Words>
  <Characters>109696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Risk Management Evaluation Endosulfan</vt:lpstr>
    </vt:vector>
  </TitlesOfParts>
  <Company>Amec Plc</Company>
  <LinksUpToDate>false</LinksUpToDate>
  <CharactersWithSpaces>128683</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Cynthia Mwanza</cp:lastModifiedBy>
  <cp:revision>6</cp:revision>
  <cp:lastPrinted>2017-02-10T16:36:00Z</cp:lastPrinted>
  <dcterms:created xsi:type="dcterms:W3CDTF">2017-08-22T06:25:00Z</dcterms:created>
  <dcterms:modified xsi:type="dcterms:W3CDTF">2017-08-22T06:43:00Z</dcterms:modified>
</cp:coreProperties>
</file>