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C95" w:rsidRDefault="00CC1C95" w:rsidP="001B2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SimSun"/>
          <w:b/>
          <w:bCs/>
          <w:sz w:val="36"/>
          <w:szCs w:val="36"/>
          <w:lang w:eastAsia="zh-CN"/>
        </w:rPr>
      </w:pPr>
    </w:p>
    <w:p w:rsidR="00CC1C95" w:rsidRDefault="00CC1C95" w:rsidP="001B2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SimSun"/>
          <w:b/>
          <w:bCs/>
          <w:sz w:val="36"/>
          <w:szCs w:val="36"/>
          <w:lang w:eastAsia="zh-CN"/>
        </w:rPr>
      </w:pPr>
    </w:p>
    <w:p w:rsidR="00CC1C95" w:rsidRDefault="00CC1C95" w:rsidP="001B2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SimSun"/>
          <w:b/>
          <w:bCs/>
          <w:sz w:val="36"/>
          <w:szCs w:val="36"/>
          <w:lang w:eastAsia="zh-CN"/>
        </w:rPr>
      </w:pPr>
    </w:p>
    <w:p w:rsidR="00CC1C95" w:rsidRDefault="00CC1C95" w:rsidP="001B2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SimSun"/>
          <w:b/>
          <w:bCs/>
          <w:sz w:val="36"/>
          <w:szCs w:val="36"/>
          <w:lang w:eastAsia="zh-CN"/>
        </w:rPr>
      </w:pPr>
    </w:p>
    <w:p w:rsidR="00CC1C95" w:rsidRDefault="00CC1C95" w:rsidP="001B2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SimSun"/>
          <w:b/>
          <w:bCs/>
          <w:sz w:val="36"/>
          <w:szCs w:val="36"/>
          <w:lang w:eastAsia="zh-CN"/>
        </w:rPr>
      </w:pPr>
    </w:p>
    <w:p w:rsidR="00CC1C95" w:rsidRPr="00B600A2" w:rsidRDefault="009808BA" w:rsidP="001B2D1B">
      <w:pPr>
        <w:pStyle w:val="Title"/>
        <w:jc w:val="center"/>
        <w:rPr>
          <w:rFonts w:eastAsia="SimSun"/>
          <w:b w:val="0"/>
          <w:bCs/>
          <w:sz w:val="56"/>
          <w:szCs w:val="56"/>
          <w:lang w:eastAsia="zh-CN"/>
        </w:rPr>
      </w:pPr>
      <w:r>
        <w:rPr>
          <w:sz w:val="56"/>
          <w:szCs w:val="56"/>
        </w:rPr>
        <w:t>Draft g</w:t>
      </w:r>
      <w:r w:rsidR="00CC1C95" w:rsidRPr="00B600A2">
        <w:rPr>
          <w:sz w:val="56"/>
          <w:szCs w:val="56"/>
        </w:rPr>
        <w:t>uidance on Sampling</w:t>
      </w:r>
      <w:r w:rsidR="00547720">
        <w:rPr>
          <w:sz w:val="56"/>
          <w:szCs w:val="56"/>
        </w:rPr>
        <w:t>,</w:t>
      </w:r>
      <w:r w:rsidR="00CC1C95" w:rsidRPr="00B600A2">
        <w:rPr>
          <w:sz w:val="56"/>
          <w:szCs w:val="56"/>
        </w:rPr>
        <w:t xml:space="preserve"> Screening and Analysis of Persistent Organic Pollutants in Products and Articles</w:t>
      </w:r>
    </w:p>
    <w:p w:rsidR="00CC1C95" w:rsidRDefault="00CC1C95" w:rsidP="001B2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SimSun"/>
          <w:b/>
          <w:bCs/>
          <w:sz w:val="36"/>
          <w:szCs w:val="36"/>
          <w:lang w:eastAsia="zh-CN"/>
        </w:rPr>
      </w:pPr>
    </w:p>
    <w:p w:rsidR="00CC1C95" w:rsidRPr="00336A8B" w:rsidRDefault="00CC1C95" w:rsidP="001B2D1B">
      <w:pPr>
        <w:jc w:val="center"/>
        <w:rPr>
          <w:sz w:val="36"/>
          <w:szCs w:val="36"/>
        </w:rPr>
      </w:pPr>
      <w:r w:rsidRPr="00336A8B">
        <w:rPr>
          <w:sz w:val="36"/>
          <w:szCs w:val="36"/>
        </w:rPr>
        <w:t>Relevant to the substances listed in Annexes A, B and C</w:t>
      </w:r>
      <w:r w:rsidRPr="00336A8B">
        <w:rPr>
          <w:sz w:val="36"/>
          <w:szCs w:val="36"/>
        </w:rPr>
        <w:br/>
        <w:t>to the Stockholm Convention on Persistent Organic Pollutants in 2009 and 2011</w:t>
      </w:r>
    </w:p>
    <w:p w:rsidR="00CC1C95" w:rsidRDefault="00CC1C95" w:rsidP="001B2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SimSun"/>
          <w:b/>
          <w:bCs/>
          <w:sz w:val="36"/>
          <w:szCs w:val="36"/>
          <w:lang w:eastAsia="zh-CN"/>
        </w:rPr>
      </w:pPr>
    </w:p>
    <w:p w:rsidR="00CC1C95" w:rsidRDefault="00CC1C95" w:rsidP="001B2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SimSun"/>
          <w:b/>
          <w:bCs/>
          <w:sz w:val="36"/>
          <w:szCs w:val="36"/>
          <w:lang w:eastAsia="zh-CN"/>
        </w:rPr>
      </w:pPr>
    </w:p>
    <w:p w:rsidR="00CC1C95" w:rsidRDefault="00CC1C95" w:rsidP="001B2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SimSun"/>
          <w:b/>
          <w:bCs/>
          <w:sz w:val="36"/>
          <w:szCs w:val="36"/>
          <w:lang w:eastAsia="zh-CN"/>
        </w:rPr>
      </w:pPr>
    </w:p>
    <w:p w:rsidR="00CC1C95" w:rsidRDefault="00CC1C95" w:rsidP="001B2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SimSun"/>
          <w:b/>
          <w:bCs/>
          <w:sz w:val="36"/>
          <w:szCs w:val="36"/>
          <w:lang w:eastAsia="zh-CN"/>
        </w:rPr>
      </w:pPr>
    </w:p>
    <w:p w:rsidR="00CC1C95" w:rsidRDefault="00CC1C95" w:rsidP="001B2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SimSun"/>
          <w:b/>
          <w:bCs/>
          <w:sz w:val="36"/>
          <w:szCs w:val="36"/>
          <w:lang w:eastAsia="zh-CN"/>
        </w:rPr>
      </w:pPr>
    </w:p>
    <w:p w:rsidR="00CC1C95" w:rsidRDefault="00CC1C95" w:rsidP="001B2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SimSun"/>
          <w:b/>
          <w:bCs/>
          <w:sz w:val="36"/>
          <w:szCs w:val="36"/>
          <w:lang w:eastAsia="zh-CN"/>
        </w:rPr>
      </w:pPr>
    </w:p>
    <w:p w:rsidR="00CC1C95" w:rsidRPr="00336A8B" w:rsidRDefault="00CC1C95" w:rsidP="001B2D1B">
      <w:pPr>
        <w:jc w:val="center"/>
        <w:rPr>
          <w:sz w:val="36"/>
          <w:szCs w:val="36"/>
        </w:rPr>
      </w:pPr>
      <w:r w:rsidRPr="00336A8B">
        <w:rPr>
          <w:sz w:val="36"/>
          <w:szCs w:val="36"/>
        </w:rPr>
        <w:t>Draft</w:t>
      </w:r>
    </w:p>
    <w:p w:rsidR="00CC1C95" w:rsidRPr="00336A8B" w:rsidRDefault="003A04CF" w:rsidP="001B2D1B">
      <w:pPr>
        <w:jc w:val="center"/>
        <w:rPr>
          <w:sz w:val="36"/>
          <w:szCs w:val="36"/>
        </w:rPr>
      </w:pPr>
      <w:r>
        <w:rPr>
          <w:sz w:val="36"/>
          <w:szCs w:val="36"/>
        </w:rPr>
        <w:t>February</w:t>
      </w:r>
      <w:r w:rsidR="00CC1C95" w:rsidRPr="00336A8B">
        <w:rPr>
          <w:sz w:val="36"/>
          <w:szCs w:val="36"/>
        </w:rPr>
        <w:t xml:space="preserve"> 2013</w:t>
      </w:r>
    </w:p>
    <w:p w:rsidR="00CC1C95" w:rsidRDefault="00CC1C95" w:rsidP="001B2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SimSun"/>
          <w:b/>
          <w:bCs/>
          <w:sz w:val="36"/>
          <w:szCs w:val="36"/>
          <w:lang w:eastAsia="zh-CN"/>
        </w:rPr>
      </w:pPr>
    </w:p>
    <w:p w:rsidR="00CC1C95" w:rsidRDefault="00CC1C95" w:rsidP="001B2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SimSun"/>
          <w:b/>
          <w:bCs/>
          <w:sz w:val="36"/>
          <w:szCs w:val="36"/>
          <w:lang w:eastAsia="zh-CN"/>
        </w:rPr>
      </w:pPr>
    </w:p>
    <w:p w:rsidR="00CC1C95" w:rsidRDefault="00CC1C95" w:rsidP="001B2D1B">
      <w:pPr>
        <w:spacing w:after="200"/>
        <w:jc w:val="left"/>
        <w:rPr>
          <w:rFonts w:eastAsia="SimSun"/>
          <w:b/>
          <w:bCs/>
          <w:sz w:val="36"/>
          <w:szCs w:val="36"/>
          <w:lang w:eastAsia="zh-CN"/>
        </w:rPr>
      </w:pPr>
      <w:r>
        <w:rPr>
          <w:rFonts w:eastAsia="SimSun"/>
          <w:b/>
          <w:bCs/>
          <w:sz w:val="36"/>
          <w:szCs w:val="36"/>
          <w:lang w:eastAsia="zh-CN"/>
        </w:rPr>
        <w:br w:type="page"/>
      </w:r>
    </w:p>
    <w:p w:rsidR="00CC1C95" w:rsidRDefault="00CC1C95">
      <w:pPr>
        <w:snapToGrid/>
        <w:spacing w:after="0"/>
        <w:jc w:val="left"/>
      </w:pPr>
    </w:p>
    <w:tbl>
      <w:tblPr>
        <w:tblpPr w:leftFromText="180" w:rightFromText="180" w:vertAnchor="text" w:horzAnchor="margin" w:tblpY="10596"/>
        <w:tblW w:w="0" w:type="auto"/>
        <w:tblBorders>
          <w:top w:val="single" w:sz="48" w:space="0" w:color="B6DDE8"/>
          <w:left w:val="single" w:sz="48" w:space="0" w:color="B6DDE8"/>
          <w:bottom w:val="single" w:sz="48" w:space="0" w:color="B6DDE8"/>
          <w:right w:val="single" w:sz="48" w:space="0" w:color="B6DDE8"/>
          <w:insideH w:val="single" w:sz="48" w:space="0" w:color="B6DDE8"/>
          <w:insideV w:val="single" w:sz="48" w:space="0" w:color="FFC000"/>
        </w:tblBorders>
        <w:tblLook w:val="00A0"/>
      </w:tblPr>
      <w:tblGrid>
        <w:gridCol w:w="9072"/>
      </w:tblGrid>
      <w:tr w:rsidR="00CC1C95" w:rsidRPr="00703E0E">
        <w:tc>
          <w:tcPr>
            <w:tcW w:w="9072" w:type="dxa"/>
            <w:tcBorders>
              <w:top w:val="single" w:sz="48" w:space="0" w:color="B6DDE8"/>
              <w:left w:val="single" w:sz="48" w:space="0" w:color="B6DDE8"/>
              <w:bottom w:val="single" w:sz="48" w:space="0" w:color="B6DDE8"/>
              <w:right w:val="single" w:sz="48" w:space="0" w:color="B6DDE8"/>
            </w:tcBorders>
            <w:tcMar>
              <w:top w:w="113" w:type="dxa"/>
              <w:left w:w="227" w:type="dxa"/>
              <w:bottom w:w="113" w:type="dxa"/>
              <w:right w:w="227" w:type="dxa"/>
            </w:tcMar>
          </w:tcPr>
          <w:p w:rsidR="00CC1C95" w:rsidRPr="00693598" w:rsidRDefault="00CC1C95" w:rsidP="00254663">
            <w:pPr>
              <w:jc w:val="center"/>
              <w:rPr>
                <w:rFonts w:cs="Calibri"/>
                <w:b/>
              </w:rPr>
            </w:pPr>
            <w:r w:rsidRPr="00693598">
              <w:rPr>
                <w:rFonts w:cs="Calibri"/>
                <w:b/>
              </w:rPr>
              <w:t>Disclaimer</w:t>
            </w:r>
          </w:p>
          <w:p w:rsidR="00CC1C95" w:rsidRPr="00693598" w:rsidRDefault="00CC1C95" w:rsidP="007E6B58">
            <w:r w:rsidRPr="00693598">
              <w:rPr>
                <w:rFonts w:cs="Calibri"/>
              </w:rPr>
              <w:t xml:space="preserve">The views expressed in this publication do not necessarily reflect the views of the Secretariat of </w:t>
            </w:r>
            <w:r>
              <w:rPr>
                <w:rFonts w:cs="Calibri"/>
              </w:rPr>
              <w:t xml:space="preserve">the Stockholm Convention (SSC). SSC </w:t>
            </w:r>
            <w:r w:rsidRPr="00693598">
              <w:rPr>
                <w:rFonts w:cs="Calibri"/>
              </w:rPr>
              <w:t xml:space="preserve">or the UN do not accept responsibility for the accuracy or completeness of the contents and shall not be liable for any loss or damage that may be occasioned, directly or indirectly, through the use of, or reliance on, the contents of this publication. </w:t>
            </w:r>
          </w:p>
        </w:tc>
      </w:tr>
    </w:tbl>
    <w:p w:rsidR="00CC1C95" w:rsidRDefault="00CC1C95">
      <w:pPr>
        <w:snapToGrid/>
        <w:spacing w:after="0"/>
        <w:jc w:val="left"/>
        <w:rPr>
          <w:rFonts w:ascii="Lucida Sans" w:eastAsia="MS Gothic" w:hAnsi="Lucida Sans"/>
          <w:b/>
          <w:bCs/>
          <w:color w:val="365F91"/>
          <w:sz w:val="28"/>
          <w:szCs w:val="28"/>
        </w:rPr>
      </w:pPr>
    </w:p>
    <w:p w:rsidR="00CC1C95" w:rsidRDefault="00CC1C95" w:rsidP="00C4534B">
      <w:pPr>
        <w:spacing w:after="200"/>
        <w:jc w:val="left"/>
        <w:rPr>
          <w:rFonts w:eastAsia="SimSun"/>
          <w:b/>
          <w:bCs/>
          <w:sz w:val="36"/>
          <w:szCs w:val="36"/>
          <w:lang w:eastAsia="zh-CN"/>
        </w:rPr>
      </w:pPr>
      <w:bookmarkStart w:id="0" w:name="_Toc32124318"/>
      <w:r>
        <w:rPr>
          <w:rFonts w:eastAsia="SimSun"/>
          <w:b/>
          <w:bCs/>
          <w:sz w:val="36"/>
          <w:szCs w:val="36"/>
          <w:lang w:eastAsia="zh-CN"/>
        </w:rPr>
        <w:br w:type="page"/>
      </w:r>
    </w:p>
    <w:p w:rsidR="00CC1C95" w:rsidRDefault="00CC1C95" w:rsidP="00EE0DB2">
      <w:pPr>
        <w:pStyle w:val="Heading1"/>
        <w:ind w:left="0" w:firstLine="0"/>
        <w:jc w:val="center"/>
      </w:pPr>
      <w:bookmarkStart w:id="1" w:name="_Toc349335702"/>
      <w:r>
        <w:lastRenderedPageBreak/>
        <w:t>Acknowledgements</w:t>
      </w:r>
      <w:bookmarkEnd w:id="1"/>
    </w:p>
    <w:p w:rsidR="00CC1C95" w:rsidRDefault="00CC1C95" w:rsidP="00336A8B"/>
    <w:p w:rsidR="00CC1C95" w:rsidRPr="00C610A0" w:rsidRDefault="00CC1C95" w:rsidP="00336A8B">
      <w:pPr>
        <w:rPr>
          <w:b/>
        </w:rPr>
      </w:pPr>
      <w:r w:rsidRPr="00C610A0">
        <w:rPr>
          <w:b/>
        </w:rPr>
        <w:t>Lead author:</w:t>
      </w:r>
    </w:p>
    <w:p w:rsidR="00CC1C95" w:rsidRPr="00C610A0" w:rsidRDefault="00CC1C95" w:rsidP="00BB287A">
      <w:r w:rsidRPr="00C610A0">
        <w:t xml:space="preserve">Roland Weber, POPs </w:t>
      </w:r>
      <w:r w:rsidR="00BB287A" w:rsidRPr="00C610A0">
        <w:t>Environmental Consulting</w:t>
      </w:r>
      <w:r w:rsidRPr="00C610A0">
        <w:t>,</w:t>
      </w:r>
      <w:r w:rsidR="00BB287A" w:rsidRPr="00C610A0">
        <w:t xml:space="preserve"> Göppingen,</w:t>
      </w:r>
      <w:r w:rsidRPr="00C610A0">
        <w:t xml:space="preserve"> Germany</w:t>
      </w:r>
    </w:p>
    <w:p w:rsidR="00CC1C95" w:rsidRPr="00C610A0" w:rsidRDefault="00CC1C95" w:rsidP="00336A8B">
      <w:pPr>
        <w:rPr>
          <w:b/>
        </w:rPr>
      </w:pPr>
    </w:p>
    <w:p w:rsidR="00CC1C95" w:rsidRPr="00C610A0" w:rsidRDefault="00CC1C95" w:rsidP="00336A8B">
      <w:pPr>
        <w:rPr>
          <w:b/>
        </w:rPr>
      </w:pPr>
      <w:r w:rsidRPr="00C610A0">
        <w:rPr>
          <w:b/>
        </w:rPr>
        <w:t>Contributors:</w:t>
      </w:r>
    </w:p>
    <w:p w:rsidR="00B61259" w:rsidRPr="00C610A0" w:rsidRDefault="00BB287A" w:rsidP="00B61259">
      <w:r w:rsidRPr="00C610A0">
        <w:t xml:space="preserve">Stefan Posner, </w:t>
      </w:r>
      <w:r w:rsidR="00B61259" w:rsidRPr="00C610A0">
        <w:t>Swerea  IVF AB, Mölndal, Sweden</w:t>
      </w:r>
    </w:p>
    <w:p w:rsidR="00B61259" w:rsidRPr="00C610A0" w:rsidRDefault="00BB287A" w:rsidP="00B61259">
      <w:r w:rsidRPr="00C610A0">
        <w:t xml:space="preserve">Liselott Säll, </w:t>
      </w:r>
      <w:r w:rsidR="00B61259" w:rsidRPr="00C610A0">
        <w:t>Norwegian Pollution Control Authority, Oslo, Norway</w:t>
      </w:r>
    </w:p>
    <w:p w:rsidR="00B61259" w:rsidRPr="00C610A0" w:rsidRDefault="00B61259" w:rsidP="00B61259">
      <w:pPr>
        <w:rPr>
          <w:lang w:val="es-ES"/>
        </w:rPr>
      </w:pPr>
      <w:r w:rsidRPr="00C610A0">
        <w:rPr>
          <w:lang w:val="es-ES"/>
        </w:rPr>
        <w:t>Omotayo Sindiku</w:t>
      </w:r>
      <w:r w:rsidR="00BB287A" w:rsidRPr="00C610A0">
        <w:rPr>
          <w:lang w:val="es-ES"/>
        </w:rPr>
        <w:t xml:space="preserve">, </w:t>
      </w:r>
      <w:r w:rsidRPr="00C610A0">
        <w:rPr>
          <w:lang w:val="es-ES"/>
        </w:rPr>
        <w:t>Iba</w:t>
      </w:r>
      <w:r w:rsidR="00BB287A" w:rsidRPr="00C610A0">
        <w:rPr>
          <w:lang w:val="es-ES"/>
        </w:rPr>
        <w:t>dan University, Ibadan, Nigeria</w:t>
      </w:r>
    </w:p>
    <w:p w:rsidR="00CC1C95" w:rsidRPr="00C610A0" w:rsidRDefault="00CC1C95" w:rsidP="00EE3D8E">
      <w:pPr>
        <w:rPr>
          <w:lang w:val="de-DE"/>
        </w:rPr>
      </w:pPr>
      <w:r w:rsidRPr="00C610A0">
        <w:rPr>
          <w:lang w:val="de-DE"/>
        </w:rPr>
        <w:t>Martin Schlummer</w:t>
      </w:r>
      <w:r w:rsidR="00BB287A" w:rsidRPr="00C610A0">
        <w:rPr>
          <w:lang w:val="de-DE"/>
        </w:rPr>
        <w:t xml:space="preserve">, </w:t>
      </w:r>
      <w:r w:rsidR="000629DA" w:rsidRPr="00C610A0">
        <w:rPr>
          <w:lang w:val="de-DE"/>
        </w:rPr>
        <w:t>Fraunhofer Institute, F</w:t>
      </w:r>
      <w:r w:rsidR="00B61259" w:rsidRPr="00C610A0">
        <w:rPr>
          <w:lang w:val="de-DE"/>
        </w:rPr>
        <w:t xml:space="preserve">reising, </w:t>
      </w:r>
      <w:r w:rsidR="00D21BDD" w:rsidRPr="00C610A0">
        <w:rPr>
          <w:lang w:val="de-DE"/>
        </w:rPr>
        <w:t>Germany</w:t>
      </w:r>
    </w:p>
    <w:p w:rsidR="00CC1C95" w:rsidRPr="00C610A0" w:rsidRDefault="00CC1C95" w:rsidP="00EE3D8E">
      <w:pPr>
        <w:rPr>
          <w:lang w:val="de-DE"/>
        </w:rPr>
      </w:pPr>
      <w:r w:rsidRPr="00C610A0">
        <w:rPr>
          <w:lang w:val="de-DE"/>
        </w:rPr>
        <w:t>Takumi Takasuga</w:t>
      </w:r>
      <w:r w:rsidR="00BB287A" w:rsidRPr="00C610A0">
        <w:rPr>
          <w:lang w:val="de-DE"/>
        </w:rPr>
        <w:t xml:space="preserve">, </w:t>
      </w:r>
      <w:r w:rsidR="000629DA" w:rsidRPr="00C610A0">
        <w:rPr>
          <w:lang w:val="de-DE"/>
        </w:rPr>
        <w:t>Shimadzu Techno</w:t>
      </w:r>
      <w:r w:rsidR="00D62731" w:rsidRPr="00C610A0">
        <w:rPr>
          <w:lang w:val="de-DE"/>
        </w:rPr>
        <w:t xml:space="preserve"> Research</w:t>
      </w:r>
      <w:r w:rsidR="00B61259" w:rsidRPr="00C610A0">
        <w:rPr>
          <w:lang w:val="de-DE"/>
        </w:rPr>
        <w:t xml:space="preserve">, Kyoto, </w:t>
      </w:r>
      <w:r w:rsidR="00D21BDD" w:rsidRPr="00C610A0">
        <w:rPr>
          <w:lang w:val="de-DE"/>
        </w:rPr>
        <w:t>Japan</w:t>
      </w:r>
    </w:p>
    <w:p w:rsidR="000629DA" w:rsidRPr="00B61259" w:rsidRDefault="000629DA" w:rsidP="00B61259">
      <w:r w:rsidRPr="00C610A0">
        <w:t>Xenia Trier</w:t>
      </w:r>
      <w:r w:rsidR="00BB287A" w:rsidRPr="00C610A0">
        <w:t xml:space="preserve">, </w:t>
      </w:r>
      <w:r w:rsidR="00D62731" w:rsidRPr="00C610A0">
        <w:t>Technical University</w:t>
      </w:r>
      <w:r w:rsidR="00B61259" w:rsidRPr="00C610A0">
        <w:t xml:space="preserve"> of Denmark, Søborg, De</w:t>
      </w:r>
      <w:r w:rsidR="00D62731" w:rsidRPr="00C610A0">
        <w:t>nmark</w:t>
      </w:r>
    </w:p>
    <w:p w:rsidR="00CC1C95" w:rsidRDefault="00CC1C95" w:rsidP="00336A8B">
      <w:pPr>
        <w:rPr>
          <w:b/>
          <w:highlight w:val="cyan"/>
        </w:rPr>
      </w:pPr>
    </w:p>
    <w:p w:rsidR="00B61259" w:rsidRPr="00B61259" w:rsidRDefault="00B61259" w:rsidP="00336A8B">
      <w:pPr>
        <w:rPr>
          <w:b/>
          <w:highlight w:val="cyan"/>
        </w:rPr>
      </w:pPr>
    </w:p>
    <w:p w:rsidR="00CC1C95" w:rsidRPr="00C610A0" w:rsidRDefault="00CC1C95" w:rsidP="00336A8B">
      <w:pPr>
        <w:rPr>
          <w:b/>
        </w:rPr>
      </w:pPr>
      <w:r w:rsidRPr="00C610A0">
        <w:rPr>
          <w:b/>
        </w:rPr>
        <w:t>Peer reviewers:</w:t>
      </w:r>
    </w:p>
    <w:p w:rsidR="00397F05" w:rsidRPr="00C610A0" w:rsidRDefault="00397F05" w:rsidP="00397F05">
      <w:r w:rsidRPr="00C610A0">
        <w:t>Christian Bogdal, ETH Zürich, Zürich, Switzerland</w:t>
      </w:r>
    </w:p>
    <w:p w:rsidR="00397F05" w:rsidRPr="00C610A0" w:rsidRDefault="00C610A0" w:rsidP="00397F05">
      <w:r w:rsidRPr="00C610A0">
        <w:t>Jana Klánová</w:t>
      </w:r>
      <w:r w:rsidR="00397F05" w:rsidRPr="00C610A0">
        <w:t>, RECETOX, Brno,</w:t>
      </w:r>
      <w:r w:rsidR="003A04CF" w:rsidRPr="003A04CF">
        <w:t xml:space="preserve"> Masaryk University,</w:t>
      </w:r>
      <w:r w:rsidR="00397F05" w:rsidRPr="00C610A0">
        <w:t xml:space="preserve"> Czech Republic</w:t>
      </w:r>
    </w:p>
    <w:p w:rsidR="00D21BDD" w:rsidRPr="00DF2CB5" w:rsidRDefault="00D21BDD" w:rsidP="00FA02C0">
      <w:r w:rsidRPr="00DF2CB5">
        <w:t>Oladele Osibanjo,</w:t>
      </w:r>
      <w:r w:rsidR="00397F05" w:rsidRPr="00DF2CB5">
        <w:t xml:space="preserve"> </w:t>
      </w:r>
      <w:r w:rsidR="00FA02C0" w:rsidRPr="00DF2CB5">
        <w:t>Basel Convention Coordinating Centre for Training &amp; Technology Transfer for the African Region, University of Ibadan, Ibadan, Nigeria</w:t>
      </w:r>
    </w:p>
    <w:p w:rsidR="00CC1C95" w:rsidRDefault="00FA02C0" w:rsidP="00D62731">
      <w:r w:rsidRPr="00C610A0">
        <w:t>Kateřina Šebková</w:t>
      </w:r>
      <w:r w:rsidR="00D21BDD" w:rsidRPr="00C610A0">
        <w:t xml:space="preserve">, </w:t>
      </w:r>
      <w:r w:rsidR="00D62731" w:rsidRPr="00C610A0">
        <w:t xml:space="preserve">RECETOX, </w:t>
      </w:r>
      <w:r w:rsidR="003A04CF" w:rsidRPr="003A04CF">
        <w:t>Masaryk University,</w:t>
      </w:r>
      <w:r w:rsidR="003A04CF">
        <w:t xml:space="preserve"> </w:t>
      </w:r>
      <w:r w:rsidR="00D62731" w:rsidRPr="00C610A0">
        <w:t>Brno, Czech Republic</w:t>
      </w:r>
    </w:p>
    <w:p w:rsidR="003A04CF" w:rsidRPr="00B61259" w:rsidRDefault="003A04CF" w:rsidP="003A04CF">
      <w:r w:rsidRPr="00C610A0">
        <w:t>Xenia Trier, Technical University of Denmark, Søborg, Denmark</w:t>
      </w:r>
    </w:p>
    <w:p w:rsidR="00D21BDD" w:rsidRPr="00B61259" w:rsidRDefault="00D21BDD" w:rsidP="00B61259">
      <w:pPr>
        <w:rPr>
          <w:highlight w:val="cyan"/>
        </w:rPr>
      </w:pPr>
    </w:p>
    <w:p w:rsidR="00CC1C95" w:rsidRPr="00B61259" w:rsidRDefault="00CC1C95" w:rsidP="00336A8B">
      <w:pPr>
        <w:rPr>
          <w:b/>
          <w:highlight w:val="cyan"/>
        </w:rPr>
      </w:pPr>
    </w:p>
    <w:p w:rsidR="00CC1C95" w:rsidRPr="00562A08" w:rsidRDefault="00CC1C95" w:rsidP="00336A8B">
      <w:pPr>
        <w:rPr>
          <w:b/>
        </w:rPr>
      </w:pPr>
      <w:r w:rsidRPr="00562A08">
        <w:rPr>
          <w:b/>
        </w:rPr>
        <w:t>Funding:</w:t>
      </w:r>
    </w:p>
    <w:p w:rsidR="00CC1C95" w:rsidRPr="00562A08" w:rsidRDefault="00CC1C95" w:rsidP="00336A8B">
      <w:r w:rsidRPr="00562A08">
        <w:t>Norway</w:t>
      </w:r>
    </w:p>
    <w:p w:rsidR="00CC1C95" w:rsidRDefault="00CC1C95">
      <w:pPr>
        <w:snapToGrid/>
        <w:spacing w:after="0"/>
        <w:jc w:val="left"/>
      </w:pPr>
      <w:r>
        <w:br w:type="page"/>
      </w:r>
    </w:p>
    <w:p w:rsidR="00CC1C95" w:rsidRPr="00336A8B" w:rsidRDefault="00CC1C95" w:rsidP="00336A8B"/>
    <w:p w:rsidR="00CC1C95" w:rsidRDefault="00CC1C95" w:rsidP="00EE0DB2">
      <w:pPr>
        <w:spacing w:after="200"/>
        <w:jc w:val="left"/>
        <w:rPr>
          <w:rFonts w:eastAsia="SimSun"/>
          <w:b/>
          <w:bCs/>
          <w:sz w:val="36"/>
          <w:szCs w:val="36"/>
          <w:lang w:eastAsia="zh-CN"/>
        </w:rPr>
      </w:pPr>
      <w:r>
        <w:rPr>
          <w:rFonts w:eastAsia="SimSun"/>
          <w:b/>
          <w:bCs/>
          <w:sz w:val="36"/>
          <w:szCs w:val="36"/>
          <w:lang w:eastAsia="zh-CN"/>
        </w:rPr>
        <w:br w:type="page"/>
      </w:r>
    </w:p>
    <w:p w:rsidR="00CC1C95" w:rsidRPr="00EC556A" w:rsidRDefault="00CC1C95" w:rsidP="00EE0D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SimSun"/>
          <w:b/>
          <w:bCs/>
          <w:sz w:val="36"/>
          <w:szCs w:val="36"/>
          <w:lang w:eastAsia="zh-CN"/>
        </w:rPr>
      </w:pPr>
      <w:r>
        <w:rPr>
          <w:rFonts w:eastAsia="SimSun"/>
          <w:b/>
          <w:bCs/>
          <w:sz w:val="36"/>
          <w:szCs w:val="36"/>
          <w:lang w:eastAsia="zh-CN"/>
        </w:rPr>
        <w:lastRenderedPageBreak/>
        <w:t>Table of contents</w:t>
      </w:r>
    </w:p>
    <w:p w:rsidR="00CC1C95" w:rsidRPr="00EC556A" w:rsidRDefault="00CC1C95" w:rsidP="00EE0DB2">
      <w:pPr>
        <w:outlineLvl w:val="0"/>
        <w:rPr>
          <w:b/>
          <w:bCs/>
          <w:noProof/>
          <w:sz w:val="28"/>
          <w:szCs w:val="28"/>
        </w:rPr>
      </w:pPr>
    </w:p>
    <w:p w:rsidR="00C0598F" w:rsidRDefault="00322F03">
      <w:pPr>
        <w:pStyle w:val="TOC1"/>
        <w:rPr>
          <w:rFonts w:ascii="Times New Roman" w:eastAsia="SimSun" w:hAnsi="Times New Roman"/>
          <w:b w:val="0"/>
          <w:sz w:val="24"/>
          <w:szCs w:val="24"/>
          <w:lang w:val="de-DE" w:eastAsia="zh-CN"/>
        </w:rPr>
      </w:pPr>
      <w:r w:rsidRPr="00322F03">
        <w:rPr>
          <w:b w:val="0"/>
        </w:rPr>
        <w:fldChar w:fldCharType="begin"/>
      </w:r>
      <w:r w:rsidR="00CC1C95" w:rsidRPr="00EC556A">
        <w:rPr>
          <w:b w:val="0"/>
        </w:rPr>
        <w:instrText xml:space="preserve"> TOC \o "1-3" \h \z </w:instrText>
      </w:r>
      <w:r w:rsidRPr="00322F03">
        <w:rPr>
          <w:b w:val="0"/>
        </w:rPr>
        <w:fldChar w:fldCharType="separate"/>
      </w:r>
      <w:hyperlink w:anchor="_Toc349335702" w:history="1">
        <w:r w:rsidR="00C0598F" w:rsidRPr="00A25794">
          <w:rPr>
            <w:rStyle w:val="Hyperlink"/>
          </w:rPr>
          <w:t>Acknowledgements</w:t>
        </w:r>
        <w:r w:rsidR="00C0598F">
          <w:rPr>
            <w:webHidden/>
          </w:rPr>
          <w:tab/>
        </w:r>
        <w:r>
          <w:rPr>
            <w:webHidden/>
          </w:rPr>
          <w:fldChar w:fldCharType="begin"/>
        </w:r>
        <w:r w:rsidR="00C0598F">
          <w:rPr>
            <w:webHidden/>
          </w:rPr>
          <w:instrText xml:space="preserve"> PAGEREF _Toc349335702 \h </w:instrText>
        </w:r>
        <w:r>
          <w:rPr>
            <w:webHidden/>
          </w:rPr>
        </w:r>
        <w:r>
          <w:rPr>
            <w:webHidden/>
          </w:rPr>
          <w:fldChar w:fldCharType="separate"/>
        </w:r>
        <w:r w:rsidR="00C0598F">
          <w:rPr>
            <w:webHidden/>
          </w:rPr>
          <w:t>3</w:t>
        </w:r>
        <w:r>
          <w:rPr>
            <w:webHidden/>
          </w:rPr>
          <w:fldChar w:fldCharType="end"/>
        </w:r>
      </w:hyperlink>
    </w:p>
    <w:p w:rsidR="00C0598F" w:rsidRDefault="00322F03">
      <w:pPr>
        <w:pStyle w:val="TOC1"/>
        <w:rPr>
          <w:rFonts w:ascii="Times New Roman" w:eastAsia="SimSun" w:hAnsi="Times New Roman"/>
          <w:b w:val="0"/>
          <w:sz w:val="24"/>
          <w:szCs w:val="24"/>
          <w:lang w:val="de-DE" w:eastAsia="zh-CN"/>
        </w:rPr>
      </w:pPr>
      <w:hyperlink w:anchor="_Toc349335703" w:history="1">
        <w:r w:rsidR="00C0598F" w:rsidRPr="00A25794">
          <w:rPr>
            <w:rStyle w:val="Hyperlink"/>
          </w:rPr>
          <w:t>List of abbreviations and acronyms</w:t>
        </w:r>
        <w:r w:rsidR="00C0598F">
          <w:rPr>
            <w:webHidden/>
          </w:rPr>
          <w:tab/>
        </w:r>
        <w:r>
          <w:rPr>
            <w:webHidden/>
          </w:rPr>
          <w:fldChar w:fldCharType="begin"/>
        </w:r>
        <w:r w:rsidR="00C0598F">
          <w:rPr>
            <w:webHidden/>
          </w:rPr>
          <w:instrText xml:space="preserve"> PAGEREF _Toc349335703 \h </w:instrText>
        </w:r>
        <w:r>
          <w:rPr>
            <w:webHidden/>
          </w:rPr>
        </w:r>
        <w:r>
          <w:rPr>
            <w:webHidden/>
          </w:rPr>
          <w:fldChar w:fldCharType="separate"/>
        </w:r>
        <w:r w:rsidR="00C0598F">
          <w:rPr>
            <w:webHidden/>
          </w:rPr>
          <w:t>10</w:t>
        </w:r>
        <w:r>
          <w:rPr>
            <w:webHidden/>
          </w:rPr>
          <w:fldChar w:fldCharType="end"/>
        </w:r>
      </w:hyperlink>
    </w:p>
    <w:p w:rsidR="00C0598F" w:rsidRDefault="00322F03">
      <w:pPr>
        <w:pStyle w:val="TOC1"/>
        <w:rPr>
          <w:rFonts w:ascii="Times New Roman" w:eastAsia="SimSun" w:hAnsi="Times New Roman"/>
          <w:b w:val="0"/>
          <w:sz w:val="24"/>
          <w:szCs w:val="24"/>
          <w:lang w:val="de-DE" w:eastAsia="zh-CN"/>
        </w:rPr>
      </w:pPr>
      <w:hyperlink w:anchor="_Toc349335704" w:history="1">
        <w:r w:rsidR="00C0598F" w:rsidRPr="00A25794">
          <w:rPr>
            <w:rStyle w:val="Hyperlink"/>
          </w:rPr>
          <w:t>1</w:t>
        </w:r>
        <w:r w:rsidR="00C0598F">
          <w:rPr>
            <w:rFonts w:ascii="Times New Roman" w:eastAsia="SimSun" w:hAnsi="Times New Roman"/>
            <w:b w:val="0"/>
            <w:sz w:val="24"/>
            <w:szCs w:val="24"/>
            <w:lang w:val="de-DE" w:eastAsia="zh-CN"/>
          </w:rPr>
          <w:tab/>
        </w:r>
        <w:r w:rsidR="00C0598F" w:rsidRPr="00A25794">
          <w:rPr>
            <w:rStyle w:val="Hyperlink"/>
          </w:rPr>
          <w:t>Introduction</w:t>
        </w:r>
        <w:r w:rsidR="00C0598F">
          <w:rPr>
            <w:webHidden/>
          </w:rPr>
          <w:tab/>
        </w:r>
        <w:r>
          <w:rPr>
            <w:webHidden/>
          </w:rPr>
          <w:fldChar w:fldCharType="begin"/>
        </w:r>
        <w:r w:rsidR="00C0598F">
          <w:rPr>
            <w:webHidden/>
          </w:rPr>
          <w:instrText xml:space="preserve"> PAGEREF _Toc349335704 \h </w:instrText>
        </w:r>
        <w:r>
          <w:rPr>
            <w:webHidden/>
          </w:rPr>
        </w:r>
        <w:r>
          <w:rPr>
            <w:webHidden/>
          </w:rPr>
          <w:fldChar w:fldCharType="separate"/>
        </w:r>
        <w:r w:rsidR="00C0598F">
          <w:rPr>
            <w:webHidden/>
          </w:rPr>
          <w:t>12</w:t>
        </w:r>
        <w:r>
          <w:rPr>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705" w:history="1">
        <w:r w:rsidR="00C0598F" w:rsidRPr="00A25794">
          <w:rPr>
            <w:rStyle w:val="Hyperlink"/>
            <w:noProof/>
          </w:rPr>
          <w:t>1.1</w:t>
        </w:r>
        <w:r w:rsidR="00C0598F">
          <w:rPr>
            <w:rFonts w:ascii="Times New Roman" w:eastAsia="SimSun" w:hAnsi="Times New Roman"/>
            <w:noProof/>
            <w:sz w:val="24"/>
            <w:szCs w:val="24"/>
            <w:lang w:val="de-DE" w:eastAsia="zh-CN"/>
          </w:rPr>
          <w:tab/>
        </w:r>
        <w:r w:rsidR="00C0598F" w:rsidRPr="00A25794">
          <w:rPr>
            <w:rStyle w:val="Hyperlink"/>
            <w:noProof/>
          </w:rPr>
          <w:t>Stockholm Convention background on  POPs</w:t>
        </w:r>
        <w:r w:rsidR="00911C7F">
          <w:rPr>
            <w:rStyle w:val="Hyperlink"/>
            <w:noProof/>
          </w:rPr>
          <w:t xml:space="preserve"> listed in 2009 and 2011</w:t>
        </w:r>
        <w:r w:rsidR="00C0598F">
          <w:rPr>
            <w:noProof/>
            <w:webHidden/>
          </w:rPr>
          <w:tab/>
        </w:r>
        <w:r>
          <w:rPr>
            <w:noProof/>
            <w:webHidden/>
          </w:rPr>
          <w:fldChar w:fldCharType="begin"/>
        </w:r>
        <w:r w:rsidR="00C0598F">
          <w:rPr>
            <w:noProof/>
            <w:webHidden/>
          </w:rPr>
          <w:instrText xml:space="preserve"> PAGEREF _Toc349335705 \h </w:instrText>
        </w:r>
        <w:r>
          <w:rPr>
            <w:noProof/>
            <w:webHidden/>
          </w:rPr>
        </w:r>
        <w:r>
          <w:rPr>
            <w:noProof/>
            <w:webHidden/>
          </w:rPr>
          <w:fldChar w:fldCharType="separate"/>
        </w:r>
        <w:r w:rsidR="00C0598F">
          <w:rPr>
            <w:noProof/>
            <w:webHidden/>
          </w:rPr>
          <w:t>12</w:t>
        </w:r>
        <w:r>
          <w:rPr>
            <w:noProof/>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706" w:history="1">
        <w:r w:rsidR="00C0598F" w:rsidRPr="00A25794">
          <w:rPr>
            <w:rStyle w:val="Hyperlink"/>
            <w:noProof/>
          </w:rPr>
          <w:t>1.2</w:t>
        </w:r>
        <w:r w:rsidR="00C0598F">
          <w:rPr>
            <w:rFonts w:ascii="Times New Roman" w:eastAsia="SimSun" w:hAnsi="Times New Roman"/>
            <w:noProof/>
            <w:sz w:val="24"/>
            <w:szCs w:val="24"/>
            <w:lang w:val="de-DE" w:eastAsia="zh-CN"/>
          </w:rPr>
          <w:tab/>
        </w:r>
        <w:r w:rsidR="00C0598F" w:rsidRPr="00A25794">
          <w:rPr>
            <w:rStyle w:val="Hyperlink"/>
            <w:noProof/>
          </w:rPr>
          <w:t>Purpose and objective of this guidance</w:t>
        </w:r>
        <w:r w:rsidR="00C0598F">
          <w:rPr>
            <w:noProof/>
            <w:webHidden/>
          </w:rPr>
          <w:tab/>
        </w:r>
        <w:r>
          <w:rPr>
            <w:noProof/>
            <w:webHidden/>
          </w:rPr>
          <w:fldChar w:fldCharType="begin"/>
        </w:r>
        <w:r w:rsidR="00C0598F">
          <w:rPr>
            <w:noProof/>
            <w:webHidden/>
          </w:rPr>
          <w:instrText xml:space="preserve"> PAGEREF _Toc349335706 \h </w:instrText>
        </w:r>
        <w:r>
          <w:rPr>
            <w:noProof/>
            <w:webHidden/>
          </w:rPr>
        </w:r>
        <w:r>
          <w:rPr>
            <w:noProof/>
            <w:webHidden/>
          </w:rPr>
          <w:fldChar w:fldCharType="separate"/>
        </w:r>
        <w:r w:rsidR="00C0598F">
          <w:rPr>
            <w:noProof/>
            <w:webHidden/>
          </w:rPr>
          <w:t>12</w:t>
        </w:r>
        <w:r>
          <w:rPr>
            <w:noProof/>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707" w:history="1">
        <w:r w:rsidR="00C0598F" w:rsidRPr="00A25794">
          <w:rPr>
            <w:rStyle w:val="Hyperlink"/>
            <w:noProof/>
          </w:rPr>
          <w:t>1.3</w:t>
        </w:r>
        <w:r w:rsidR="00C0598F">
          <w:rPr>
            <w:rFonts w:ascii="Times New Roman" w:eastAsia="SimSun" w:hAnsi="Times New Roman"/>
            <w:noProof/>
            <w:sz w:val="24"/>
            <w:szCs w:val="24"/>
            <w:lang w:val="de-DE" w:eastAsia="zh-CN"/>
          </w:rPr>
          <w:tab/>
        </w:r>
        <w:r w:rsidR="00C0598F" w:rsidRPr="00A25794">
          <w:rPr>
            <w:rStyle w:val="Hyperlink"/>
            <w:noProof/>
          </w:rPr>
          <w:t>Types of articles and products</w:t>
        </w:r>
        <w:r w:rsidR="00C0598F">
          <w:rPr>
            <w:noProof/>
            <w:webHidden/>
          </w:rPr>
          <w:tab/>
        </w:r>
        <w:r>
          <w:rPr>
            <w:noProof/>
            <w:webHidden/>
          </w:rPr>
          <w:fldChar w:fldCharType="begin"/>
        </w:r>
        <w:r w:rsidR="00C0598F">
          <w:rPr>
            <w:noProof/>
            <w:webHidden/>
          </w:rPr>
          <w:instrText xml:space="preserve"> PAGEREF _Toc349335707 \h </w:instrText>
        </w:r>
        <w:r>
          <w:rPr>
            <w:noProof/>
            <w:webHidden/>
          </w:rPr>
        </w:r>
        <w:r>
          <w:rPr>
            <w:noProof/>
            <w:webHidden/>
          </w:rPr>
          <w:fldChar w:fldCharType="separate"/>
        </w:r>
        <w:r w:rsidR="00C0598F">
          <w:rPr>
            <w:noProof/>
            <w:webHidden/>
          </w:rPr>
          <w:t>13</w:t>
        </w:r>
        <w:r>
          <w:rPr>
            <w:noProof/>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708" w:history="1">
        <w:r w:rsidR="00C0598F" w:rsidRPr="00A25794">
          <w:rPr>
            <w:rStyle w:val="Hyperlink"/>
            <w:noProof/>
          </w:rPr>
          <w:t>1.4</w:t>
        </w:r>
        <w:r w:rsidR="00C0598F">
          <w:rPr>
            <w:rFonts w:ascii="Times New Roman" w:eastAsia="SimSun" w:hAnsi="Times New Roman"/>
            <w:noProof/>
            <w:sz w:val="24"/>
            <w:szCs w:val="24"/>
            <w:lang w:val="de-DE" w:eastAsia="zh-CN"/>
          </w:rPr>
          <w:tab/>
        </w:r>
        <w:r w:rsidR="00C0598F" w:rsidRPr="00A25794">
          <w:rPr>
            <w:rStyle w:val="Hyperlink"/>
            <w:noProof/>
          </w:rPr>
          <w:t>Approach to combine screening with confirmation analysis</w:t>
        </w:r>
        <w:r w:rsidR="00C0598F">
          <w:rPr>
            <w:noProof/>
            <w:webHidden/>
          </w:rPr>
          <w:tab/>
        </w:r>
        <w:r>
          <w:rPr>
            <w:noProof/>
            <w:webHidden/>
          </w:rPr>
          <w:fldChar w:fldCharType="begin"/>
        </w:r>
        <w:r w:rsidR="00C0598F">
          <w:rPr>
            <w:noProof/>
            <w:webHidden/>
          </w:rPr>
          <w:instrText xml:space="preserve"> PAGEREF _Toc349335708 \h </w:instrText>
        </w:r>
        <w:r>
          <w:rPr>
            <w:noProof/>
            <w:webHidden/>
          </w:rPr>
        </w:r>
        <w:r>
          <w:rPr>
            <w:noProof/>
            <w:webHidden/>
          </w:rPr>
          <w:fldChar w:fldCharType="separate"/>
        </w:r>
        <w:r w:rsidR="00C0598F">
          <w:rPr>
            <w:noProof/>
            <w:webHidden/>
          </w:rPr>
          <w:t>13</w:t>
        </w:r>
        <w:r>
          <w:rPr>
            <w:noProof/>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709" w:history="1">
        <w:r w:rsidR="00C0598F" w:rsidRPr="00A25794">
          <w:rPr>
            <w:rStyle w:val="Hyperlink"/>
            <w:noProof/>
          </w:rPr>
          <w:t>1.5</w:t>
        </w:r>
        <w:r w:rsidR="00C0598F">
          <w:rPr>
            <w:rFonts w:ascii="Times New Roman" w:eastAsia="SimSun" w:hAnsi="Times New Roman"/>
            <w:noProof/>
            <w:sz w:val="24"/>
            <w:szCs w:val="24"/>
            <w:lang w:val="de-DE" w:eastAsia="zh-CN"/>
          </w:rPr>
          <w:tab/>
        </w:r>
        <w:r w:rsidR="00C0598F" w:rsidRPr="00A25794">
          <w:rPr>
            <w:rStyle w:val="Hyperlink"/>
            <w:noProof/>
          </w:rPr>
          <w:t>Reference to other guidance under the Stockholm Convention</w:t>
        </w:r>
        <w:r w:rsidR="00C0598F">
          <w:rPr>
            <w:noProof/>
            <w:webHidden/>
          </w:rPr>
          <w:tab/>
        </w:r>
        <w:r>
          <w:rPr>
            <w:noProof/>
            <w:webHidden/>
          </w:rPr>
          <w:fldChar w:fldCharType="begin"/>
        </w:r>
        <w:r w:rsidR="00C0598F">
          <w:rPr>
            <w:noProof/>
            <w:webHidden/>
          </w:rPr>
          <w:instrText xml:space="preserve"> PAGEREF _Toc349335709 \h </w:instrText>
        </w:r>
        <w:r>
          <w:rPr>
            <w:noProof/>
            <w:webHidden/>
          </w:rPr>
        </w:r>
        <w:r>
          <w:rPr>
            <w:noProof/>
            <w:webHidden/>
          </w:rPr>
          <w:fldChar w:fldCharType="separate"/>
        </w:r>
        <w:r w:rsidR="00C0598F">
          <w:rPr>
            <w:noProof/>
            <w:webHidden/>
          </w:rPr>
          <w:t>13</w:t>
        </w:r>
        <w:r>
          <w:rPr>
            <w:noProof/>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710" w:history="1">
        <w:r w:rsidR="00C0598F" w:rsidRPr="00A25794">
          <w:rPr>
            <w:rStyle w:val="Hyperlink"/>
            <w:noProof/>
          </w:rPr>
          <w:t>1.6</w:t>
        </w:r>
        <w:r w:rsidR="00C0598F">
          <w:rPr>
            <w:rFonts w:ascii="Times New Roman" w:eastAsia="SimSun" w:hAnsi="Times New Roman"/>
            <w:noProof/>
            <w:sz w:val="24"/>
            <w:szCs w:val="24"/>
            <w:lang w:val="de-DE" w:eastAsia="zh-CN"/>
          </w:rPr>
          <w:tab/>
        </w:r>
        <w:r w:rsidR="00C0598F" w:rsidRPr="00A25794">
          <w:rPr>
            <w:rStyle w:val="Hyperlink"/>
            <w:noProof/>
          </w:rPr>
          <w:t>Approach of presenting case studies</w:t>
        </w:r>
        <w:r w:rsidR="00C0598F">
          <w:rPr>
            <w:noProof/>
            <w:webHidden/>
          </w:rPr>
          <w:tab/>
        </w:r>
        <w:r>
          <w:rPr>
            <w:noProof/>
            <w:webHidden/>
          </w:rPr>
          <w:fldChar w:fldCharType="begin"/>
        </w:r>
        <w:r w:rsidR="00C0598F">
          <w:rPr>
            <w:noProof/>
            <w:webHidden/>
          </w:rPr>
          <w:instrText xml:space="preserve"> PAGEREF _Toc349335710 \h </w:instrText>
        </w:r>
        <w:r>
          <w:rPr>
            <w:noProof/>
            <w:webHidden/>
          </w:rPr>
        </w:r>
        <w:r>
          <w:rPr>
            <w:noProof/>
            <w:webHidden/>
          </w:rPr>
          <w:fldChar w:fldCharType="separate"/>
        </w:r>
        <w:r w:rsidR="00C0598F">
          <w:rPr>
            <w:noProof/>
            <w:webHidden/>
          </w:rPr>
          <w:t>13</w:t>
        </w:r>
        <w:r>
          <w:rPr>
            <w:noProof/>
            <w:webHidden/>
          </w:rPr>
          <w:fldChar w:fldCharType="end"/>
        </w:r>
      </w:hyperlink>
    </w:p>
    <w:p w:rsidR="00C0598F" w:rsidRDefault="00322F03">
      <w:pPr>
        <w:pStyle w:val="TOC1"/>
        <w:rPr>
          <w:rFonts w:ascii="Times New Roman" w:eastAsia="SimSun" w:hAnsi="Times New Roman"/>
          <w:b w:val="0"/>
          <w:sz w:val="24"/>
          <w:szCs w:val="24"/>
          <w:lang w:val="de-DE" w:eastAsia="zh-CN"/>
        </w:rPr>
      </w:pPr>
      <w:hyperlink w:anchor="_Toc349335711" w:history="1">
        <w:r w:rsidR="00C0598F" w:rsidRPr="00A25794">
          <w:rPr>
            <w:rStyle w:val="Hyperlink"/>
          </w:rPr>
          <w:t>2</w:t>
        </w:r>
        <w:r w:rsidR="00C0598F">
          <w:rPr>
            <w:rFonts w:ascii="Times New Roman" w:eastAsia="SimSun" w:hAnsi="Times New Roman"/>
            <w:b w:val="0"/>
            <w:sz w:val="24"/>
            <w:szCs w:val="24"/>
            <w:lang w:val="de-DE" w:eastAsia="zh-CN"/>
          </w:rPr>
          <w:tab/>
        </w:r>
        <w:r w:rsidR="00C0598F" w:rsidRPr="00A25794">
          <w:rPr>
            <w:rStyle w:val="Hyperlink"/>
          </w:rPr>
          <w:t>General considerations and cross-cutting issues</w:t>
        </w:r>
        <w:r w:rsidR="00C0598F">
          <w:rPr>
            <w:webHidden/>
          </w:rPr>
          <w:tab/>
        </w:r>
        <w:r>
          <w:rPr>
            <w:webHidden/>
          </w:rPr>
          <w:fldChar w:fldCharType="begin"/>
        </w:r>
        <w:r w:rsidR="00C0598F">
          <w:rPr>
            <w:webHidden/>
          </w:rPr>
          <w:instrText xml:space="preserve"> PAGEREF _Toc349335711 \h </w:instrText>
        </w:r>
        <w:r>
          <w:rPr>
            <w:webHidden/>
          </w:rPr>
        </w:r>
        <w:r>
          <w:rPr>
            <w:webHidden/>
          </w:rPr>
          <w:fldChar w:fldCharType="separate"/>
        </w:r>
        <w:r w:rsidR="00C0598F">
          <w:rPr>
            <w:webHidden/>
          </w:rPr>
          <w:t>15</w:t>
        </w:r>
        <w:r>
          <w:rPr>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712" w:history="1">
        <w:r w:rsidR="00C0598F" w:rsidRPr="00A25794">
          <w:rPr>
            <w:rStyle w:val="Hyperlink"/>
            <w:noProof/>
          </w:rPr>
          <w:t>2.1</w:t>
        </w:r>
        <w:r w:rsidR="00C0598F">
          <w:rPr>
            <w:rFonts w:ascii="Times New Roman" w:eastAsia="SimSun" w:hAnsi="Times New Roman"/>
            <w:noProof/>
            <w:sz w:val="24"/>
            <w:szCs w:val="24"/>
            <w:lang w:val="de-DE" w:eastAsia="zh-CN"/>
          </w:rPr>
          <w:tab/>
        </w:r>
        <w:r w:rsidR="00C0598F" w:rsidRPr="00A25794">
          <w:rPr>
            <w:rStyle w:val="Hyperlink"/>
            <w:noProof/>
          </w:rPr>
          <w:t>Capacity building and accreditation</w:t>
        </w:r>
        <w:r w:rsidR="00C0598F">
          <w:rPr>
            <w:noProof/>
            <w:webHidden/>
          </w:rPr>
          <w:tab/>
        </w:r>
        <w:r>
          <w:rPr>
            <w:noProof/>
            <w:webHidden/>
          </w:rPr>
          <w:fldChar w:fldCharType="begin"/>
        </w:r>
        <w:r w:rsidR="00C0598F">
          <w:rPr>
            <w:noProof/>
            <w:webHidden/>
          </w:rPr>
          <w:instrText xml:space="preserve"> PAGEREF _Toc349335712 \h </w:instrText>
        </w:r>
        <w:r>
          <w:rPr>
            <w:noProof/>
            <w:webHidden/>
          </w:rPr>
        </w:r>
        <w:r>
          <w:rPr>
            <w:noProof/>
            <w:webHidden/>
          </w:rPr>
          <w:fldChar w:fldCharType="separate"/>
        </w:r>
        <w:r w:rsidR="00C0598F">
          <w:rPr>
            <w:noProof/>
            <w:webHidden/>
          </w:rPr>
          <w:t>15</w:t>
        </w:r>
        <w:r>
          <w:rPr>
            <w:noProof/>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713" w:history="1">
        <w:r w:rsidR="00C0598F" w:rsidRPr="00A25794">
          <w:rPr>
            <w:rStyle w:val="Hyperlink"/>
            <w:noProof/>
          </w:rPr>
          <w:t>2.2</w:t>
        </w:r>
        <w:r w:rsidR="00C0598F">
          <w:rPr>
            <w:rFonts w:ascii="Times New Roman" w:eastAsia="SimSun" w:hAnsi="Times New Roman"/>
            <w:noProof/>
            <w:sz w:val="24"/>
            <w:szCs w:val="24"/>
            <w:lang w:val="de-DE" w:eastAsia="zh-CN"/>
          </w:rPr>
          <w:tab/>
        </w:r>
        <w:r w:rsidR="00C0598F" w:rsidRPr="00A25794">
          <w:rPr>
            <w:rStyle w:val="Hyperlink"/>
            <w:noProof/>
          </w:rPr>
          <w:t>General quality assurance and quality control (QA/QC) considerations</w:t>
        </w:r>
        <w:r w:rsidR="00C0598F">
          <w:rPr>
            <w:noProof/>
            <w:webHidden/>
          </w:rPr>
          <w:tab/>
        </w:r>
        <w:r>
          <w:rPr>
            <w:noProof/>
            <w:webHidden/>
          </w:rPr>
          <w:fldChar w:fldCharType="begin"/>
        </w:r>
        <w:r w:rsidR="00C0598F">
          <w:rPr>
            <w:noProof/>
            <w:webHidden/>
          </w:rPr>
          <w:instrText xml:space="preserve"> PAGEREF _Toc349335713 \h </w:instrText>
        </w:r>
        <w:r>
          <w:rPr>
            <w:noProof/>
            <w:webHidden/>
          </w:rPr>
        </w:r>
        <w:r>
          <w:rPr>
            <w:noProof/>
            <w:webHidden/>
          </w:rPr>
          <w:fldChar w:fldCharType="separate"/>
        </w:r>
        <w:r w:rsidR="00C0598F">
          <w:rPr>
            <w:noProof/>
            <w:webHidden/>
          </w:rPr>
          <w:t>15</w:t>
        </w:r>
        <w:r>
          <w:rPr>
            <w:noProof/>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714" w:history="1">
        <w:r w:rsidR="00C0598F" w:rsidRPr="00A25794">
          <w:rPr>
            <w:rStyle w:val="Hyperlink"/>
            <w:noProof/>
          </w:rPr>
          <w:t>2.3</w:t>
        </w:r>
        <w:r w:rsidR="00C0598F">
          <w:rPr>
            <w:rFonts w:ascii="Times New Roman" w:eastAsia="SimSun" w:hAnsi="Times New Roman"/>
            <w:noProof/>
            <w:sz w:val="24"/>
            <w:szCs w:val="24"/>
            <w:lang w:val="de-DE" w:eastAsia="zh-CN"/>
          </w:rPr>
          <w:tab/>
        </w:r>
        <w:r w:rsidR="00C0598F" w:rsidRPr="00A25794">
          <w:rPr>
            <w:rStyle w:val="Hyperlink"/>
            <w:noProof/>
          </w:rPr>
          <w:t>International standards for analysis of POPs</w:t>
        </w:r>
        <w:r w:rsidR="00C0598F">
          <w:rPr>
            <w:noProof/>
            <w:webHidden/>
          </w:rPr>
          <w:tab/>
        </w:r>
        <w:r>
          <w:rPr>
            <w:noProof/>
            <w:webHidden/>
          </w:rPr>
          <w:fldChar w:fldCharType="begin"/>
        </w:r>
        <w:r w:rsidR="00C0598F">
          <w:rPr>
            <w:noProof/>
            <w:webHidden/>
          </w:rPr>
          <w:instrText xml:space="preserve"> PAGEREF _Toc349335714 \h </w:instrText>
        </w:r>
        <w:r>
          <w:rPr>
            <w:noProof/>
            <w:webHidden/>
          </w:rPr>
        </w:r>
        <w:r>
          <w:rPr>
            <w:noProof/>
            <w:webHidden/>
          </w:rPr>
          <w:fldChar w:fldCharType="separate"/>
        </w:r>
        <w:r w:rsidR="00C0598F">
          <w:rPr>
            <w:noProof/>
            <w:webHidden/>
          </w:rPr>
          <w:t>15</w:t>
        </w:r>
        <w:r>
          <w:rPr>
            <w:noProof/>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715" w:history="1">
        <w:r w:rsidR="00C0598F" w:rsidRPr="00A25794">
          <w:rPr>
            <w:rStyle w:val="Hyperlink"/>
            <w:noProof/>
          </w:rPr>
          <w:t>2.4</w:t>
        </w:r>
        <w:r w:rsidR="00C0598F">
          <w:rPr>
            <w:rFonts w:ascii="Times New Roman" w:eastAsia="SimSun" w:hAnsi="Times New Roman"/>
            <w:noProof/>
            <w:sz w:val="24"/>
            <w:szCs w:val="24"/>
            <w:lang w:val="de-DE" w:eastAsia="zh-CN"/>
          </w:rPr>
          <w:tab/>
        </w:r>
        <w:r w:rsidR="00C0598F" w:rsidRPr="00A25794">
          <w:rPr>
            <w:rStyle w:val="Hyperlink"/>
            <w:noProof/>
          </w:rPr>
          <w:t>Step by step approach</w:t>
        </w:r>
        <w:r w:rsidR="00C0598F">
          <w:rPr>
            <w:noProof/>
            <w:webHidden/>
          </w:rPr>
          <w:tab/>
        </w:r>
        <w:r>
          <w:rPr>
            <w:noProof/>
            <w:webHidden/>
          </w:rPr>
          <w:fldChar w:fldCharType="begin"/>
        </w:r>
        <w:r w:rsidR="00C0598F">
          <w:rPr>
            <w:noProof/>
            <w:webHidden/>
          </w:rPr>
          <w:instrText xml:space="preserve"> PAGEREF _Toc349335715 \h </w:instrText>
        </w:r>
        <w:r>
          <w:rPr>
            <w:noProof/>
            <w:webHidden/>
          </w:rPr>
        </w:r>
        <w:r>
          <w:rPr>
            <w:noProof/>
            <w:webHidden/>
          </w:rPr>
          <w:fldChar w:fldCharType="separate"/>
        </w:r>
        <w:r w:rsidR="00C0598F">
          <w:rPr>
            <w:noProof/>
            <w:webHidden/>
          </w:rPr>
          <w:t>16</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16" w:history="1">
        <w:r w:rsidR="00C0598F" w:rsidRPr="00A25794">
          <w:rPr>
            <w:rStyle w:val="Hyperlink"/>
            <w:noProof/>
          </w:rPr>
          <w:t>2.4.1</w:t>
        </w:r>
        <w:r w:rsidR="00C0598F">
          <w:rPr>
            <w:rFonts w:ascii="Times New Roman" w:eastAsia="SimSun" w:hAnsi="Times New Roman"/>
            <w:noProof/>
            <w:sz w:val="24"/>
            <w:szCs w:val="24"/>
            <w:lang w:val="de-DE" w:eastAsia="zh-CN"/>
          </w:rPr>
          <w:tab/>
        </w:r>
        <w:r w:rsidR="00C0598F" w:rsidRPr="00A25794">
          <w:rPr>
            <w:rStyle w:val="Hyperlink"/>
            <w:noProof/>
          </w:rPr>
          <w:t>Step 1: Survey of products and articles containing  POPs</w:t>
        </w:r>
        <w:r w:rsidR="00DD6F25">
          <w:rPr>
            <w:rStyle w:val="Hyperlink"/>
            <w:noProof/>
          </w:rPr>
          <w:t xml:space="preserve"> listed in 2009 and 2011</w:t>
        </w:r>
        <w:r w:rsidR="00C0598F">
          <w:rPr>
            <w:noProof/>
            <w:webHidden/>
          </w:rPr>
          <w:tab/>
        </w:r>
        <w:r>
          <w:rPr>
            <w:noProof/>
            <w:webHidden/>
          </w:rPr>
          <w:fldChar w:fldCharType="begin"/>
        </w:r>
        <w:r w:rsidR="00C0598F">
          <w:rPr>
            <w:noProof/>
            <w:webHidden/>
          </w:rPr>
          <w:instrText xml:space="preserve"> PAGEREF _Toc349335716 \h </w:instrText>
        </w:r>
        <w:r>
          <w:rPr>
            <w:noProof/>
            <w:webHidden/>
          </w:rPr>
        </w:r>
        <w:r>
          <w:rPr>
            <w:noProof/>
            <w:webHidden/>
          </w:rPr>
          <w:fldChar w:fldCharType="separate"/>
        </w:r>
        <w:r w:rsidR="00C0598F">
          <w:rPr>
            <w:noProof/>
            <w:webHidden/>
          </w:rPr>
          <w:t>16</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17" w:history="1">
        <w:r w:rsidR="00C0598F" w:rsidRPr="00A25794">
          <w:rPr>
            <w:rStyle w:val="Hyperlink"/>
            <w:noProof/>
          </w:rPr>
          <w:t>2.4.2</w:t>
        </w:r>
        <w:r w:rsidR="00C0598F">
          <w:rPr>
            <w:rFonts w:ascii="Times New Roman" w:eastAsia="SimSun" w:hAnsi="Times New Roman"/>
            <w:noProof/>
            <w:sz w:val="24"/>
            <w:szCs w:val="24"/>
            <w:lang w:val="de-DE" w:eastAsia="zh-CN"/>
          </w:rPr>
          <w:tab/>
        </w:r>
        <w:r w:rsidR="00C0598F" w:rsidRPr="00A25794">
          <w:rPr>
            <w:rStyle w:val="Hyperlink"/>
            <w:noProof/>
          </w:rPr>
          <w:t>Step 2: Sample collection</w:t>
        </w:r>
        <w:r w:rsidR="00C0598F">
          <w:rPr>
            <w:noProof/>
            <w:webHidden/>
          </w:rPr>
          <w:tab/>
        </w:r>
        <w:r>
          <w:rPr>
            <w:noProof/>
            <w:webHidden/>
          </w:rPr>
          <w:fldChar w:fldCharType="begin"/>
        </w:r>
        <w:r w:rsidR="00C0598F">
          <w:rPr>
            <w:noProof/>
            <w:webHidden/>
          </w:rPr>
          <w:instrText xml:space="preserve"> PAGEREF _Toc349335717 \h </w:instrText>
        </w:r>
        <w:r>
          <w:rPr>
            <w:noProof/>
            <w:webHidden/>
          </w:rPr>
        </w:r>
        <w:r>
          <w:rPr>
            <w:noProof/>
            <w:webHidden/>
          </w:rPr>
          <w:fldChar w:fldCharType="separate"/>
        </w:r>
        <w:r w:rsidR="00C0598F">
          <w:rPr>
            <w:noProof/>
            <w:webHidden/>
          </w:rPr>
          <w:t>16</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18" w:history="1">
        <w:r w:rsidR="00C0598F" w:rsidRPr="00A25794">
          <w:rPr>
            <w:rStyle w:val="Hyperlink"/>
            <w:noProof/>
          </w:rPr>
          <w:t>2.4.3</w:t>
        </w:r>
        <w:r w:rsidR="00C0598F">
          <w:rPr>
            <w:rFonts w:ascii="Times New Roman" w:eastAsia="SimSun" w:hAnsi="Times New Roman"/>
            <w:noProof/>
            <w:sz w:val="24"/>
            <w:szCs w:val="24"/>
            <w:lang w:val="de-DE" w:eastAsia="zh-CN"/>
          </w:rPr>
          <w:tab/>
        </w:r>
        <w:r w:rsidR="00C0598F" w:rsidRPr="00A25794">
          <w:rPr>
            <w:rStyle w:val="Hyperlink"/>
            <w:noProof/>
          </w:rPr>
          <w:t>Step 3: Optional (further) screening in the laboratory</w:t>
        </w:r>
        <w:r w:rsidR="00C0598F">
          <w:rPr>
            <w:noProof/>
            <w:webHidden/>
          </w:rPr>
          <w:tab/>
        </w:r>
        <w:r>
          <w:rPr>
            <w:noProof/>
            <w:webHidden/>
          </w:rPr>
          <w:fldChar w:fldCharType="begin"/>
        </w:r>
        <w:r w:rsidR="00C0598F">
          <w:rPr>
            <w:noProof/>
            <w:webHidden/>
          </w:rPr>
          <w:instrText xml:space="preserve"> PAGEREF _Toc349335718 \h </w:instrText>
        </w:r>
        <w:r>
          <w:rPr>
            <w:noProof/>
            <w:webHidden/>
          </w:rPr>
        </w:r>
        <w:r>
          <w:rPr>
            <w:noProof/>
            <w:webHidden/>
          </w:rPr>
          <w:fldChar w:fldCharType="separate"/>
        </w:r>
        <w:r w:rsidR="00C0598F">
          <w:rPr>
            <w:noProof/>
            <w:webHidden/>
          </w:rPr>
          <w:t>17</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19" w:history="1">
        <w:r w:rsidR="00C0598F" w:rsidRPr="00A25794">
          <w:rPr>
            <w:rStyle w:val="Hyperlink"/>
            <w:noProof/>
            <w:lang w:eastAsia="nb-NO"/>
          </w:rPr>
          <w:t>2.4.4</w:t>
        </w:r>
        <w:r w:rsidR="00C0598F">
          <w:rPr>
            <w:rFonts w:ascii="Times New Roman" w:eastAsia="SimSun" w:hAnsi="Times New Roman"/>
            <w:noProof/>
            <w:sz w:val="24"/>
            <w:szCs w:val="24"/>
            <w:lang w:val="de-DE" w:eastAsia="zh-CN"/>
          </w:rPr>
          <w:tab/>
        </w:r>
        <w:r w:rsidR="00C0598F" w:rsidRPr="00A25794">
          <w:rPr>
            <w:rStyle w:val="Hyperlink"/>
            <w:noProof/>
            <w:lang w:eastAsia="nb-NO"/>
          </w:rPr>
          <w:t>Step 4: Quantification</w:t>
        </w:r>
        <w:r w:rsidR="00C0598F">
          <w:rPr>
            <w:noProof/>
            <w:webHidden/>
          </w:rPr>
          <w:tab/>
        </w:r>
        <w:r>
          <w:rPr>
            <w:noProof/>
            <w:webHidden/>
          </w:rPr>
          <w:fldChar w:fldCharType="begin"/>
        </w:r>
        <w:r w:rsidR="00C0598F">
          <w:rPr>
            <w:noProof/>
            <w:webHidden/>
          </w:rPr>
          <w:instrText xml:space="preserve"> PAGEREF _Toc349335719 \h </w:instrText>
        </w:r>
        <w:r>
          <w:rPr>
            <w:noProof/>
            <w:webHidden/>
          </w:rPr>
        </w:r>
        <w:r>
          <w:rPr>
            <w:noProof/>
            <w:webHidden/>
          </w:rPr>
          <w:fldChar w:fldCharType="separate"/>
        </w:r>
        <w:r w:rsidR="00C0598F">
          <w:rPr>
            <w:noProof/>
            <w:webHidden/>
          </w:rPr>
          <w:t>17</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20" w:history="1">
        <w:r w:rsidR="00C0598F" w:rsidRPr="00A25794">
          <w:rPr>
            <w:rStyle w:val="Hyperlink"/>
            <w:noProof/>
            <w:lang w:eastAsia="nb-NO"/>
          </w:rPr>
          <w:t>2.4.5</w:t>
        </w:r>
        <w:r w:rsidR="00C0598F">
          <w:rPr>
            <w:rFonts w:ascii="Times New Roman" w:eastAsia="SimSun" w:hAnsi="Times New Roman"/>
            <w:noProof/>
            <w:sz w:val="24"/>
            <w:szCs w:val="24"/>
            <w:lang w:val="de-DE" w:eastAsia="zh-CN"/>
          </w:rPr>
          <w:tab/>
        </w:r>
        <w:r w:rsidR="00C0598F" w:rsidRPr="00A25794">
          <w:rPr>
            <w:rStyle w:val="Hyperlink"/>
            <w:noProof/>
            <w:lang w:eastAsia="nb-NO"/>
          </w:rPr>
          <w:t>Step 5: Documentation and reporting</w:t>
        </w:r>
        <w:r w:rsidR="00C0598F">
          <w:rPr>
            <w:noProof/>
            <w:webHidden/>
          </w:rPr>
          <w:tab/>
        </w:r>
        <w:r>
          <w:rPr>
            <w:noProof/>
            <w:webHidden/>
          </w:rPr>
          <w:fldChar w:fldCharType="begin"/>
        </w:r>
        <w:r w:rsidR="00C0598F">
          <w:rPr>
            <w:noProof/>
            <w:webHidden/>
          </w:rPr>
          <w:instrText xml:space="preserve"> PAGEREF _Toc349335720 \h </w:instrText>
        </w:r>
        <w:r>
          <w:rPr>
            <w:noProof/>
            <w:webHidden/>
          </w:rPr>
        </w:r>
        <w:r>
          <w:rPr>
            <w:noProof/>
            <w:webHidden/>
          </w:rPr>
          <w:fldChar w:fldCharType="separate"/>
        </w:r>
        <w:r w:rsidR="00C0598F">
          <w:rPr>
            <w:noProof/>
            <w:webHidden/>
          </w:rPr>
          <w:t>17</w:t>
        </w:r>
        <w:r>
          <w:rPr>
            <w:noProof/>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721" w:history="1">
        <w:r w:rsidR="00C0598F" w:rsidRPr="00A25794">
          <w:rPr>
            <w:rStyle w:val="Hyperlink"/>
            <w:noProof/>
          </w:rPr>
          <w:t>2.5</w:t>
        </w:r>
        <w:r w:rsidR="00C0598F">
          <w:rPr>
            <w:rFonts w:ascii="Times New Roman" w:eastAsia="SimSun" w:hAnsi="Times New Roman"/>
            <w:noProof/>
            <w:sz w:val="24"/>
            <w:szCs w:val="24"/>
            <w:lang w:val="de-DE" w:eastAsia="zh-CN"/>
          </w:rPr>
          <w:tab/>
        </w:r>
        <w:r w:rsidR="00C0598F" w:rsidRPr="00A25794">
          <w:rPr>
            <w:rStyle w:val="Hyperlink"/>
            <w:noProof/>
          </w:rPr>
          <w:t>Overview on instrumentation</w:t>
        </w:r>
        <w:r w:rsidR="00C0598F">
          <w:rPr>
            <w:noProof/>
            <w:webHidden/>
          </w:rPr>
          <w:tab/>
        </w:r>
        <w:r>
          <w:rPr>
            <w:noProof/>
            <w:webHidden/>
          </w:rPr>
          <w:fldChar w:fldCharType="begin"/>
        </w:r>
        <w:r w:rsidR="00C0598F">
          <w:rPr>
            <w:noProof/>
            <w:webHidden/>
          </w:rPr>
          <w:instrText xml:space="preserve"> PAGEREF _Toc349335721 \h </w:instrText>
        </w:r>
        <w:r>
          <w:rPr>
            <w:noProof/>
            <w:webHidden/>
          </w:rPr>
        </w:r>
        <w:r>
          <w:rPr>
            <w:noProof/>
            <w:webHidden/>
          </w:rPr>
          <w:fldChar w:fldCharType="separate"/>
        </w:r>
        <w:r w:rsidR="00C0598F">
          <w:rPr>
            <w:noProof/>
            <w:webHidden/>
          </w:rPr>
          <w:t>18</w:t>
        </w:r>
        <w:r>
          <w:rPr>
            <w:noProof/>
            <w:webHidden/>
          </w:rPr>
          <w:fldChar w:fldCharType="end"/>
        </w:r>
      </w:hyperlink>
    </w:p>
    <w:p w:rsidR="00C0598F" w:rsidRDefault="00322F03">
      <w:pPr>
        <w:pStyle w:val="TOC1"/>
        <w:rPr>
          <w:rFonts w:ascii="Times New Roman" w:eastAsia="SimSun" w:hAnsi="Times New Roman"/>
          <w:b w:val="0"/>
          <w:sz w:val="24"/>
          <w:szCs w:val="24"/>
          <w:lang w:val="de-DE" w:eastAsia="zh-CN"/>
        </w:rPr>
      </w:pPr>
      <w:hyperlink w:anchor="_Toc349335722" w:history="1">
        <w:r w:rsidR="00C0598F" w:rsidRPr="00A25794">
          <w:rPr>
            <w:rStyle w:val="Hyperlink"/>
          </w:rPr>
          <w:t>3</w:t>
        </w:r>
        <w:r w:rsidR="00C0598F">
          <w:rPr>
            <w:rFonts w:ascii="Times New Roman" w:eastAsia="SimSun" w:hAnsi="Times New Roman"/>
            <w:b w:val="0"/>
            <w:sz w:val="24"/>
            <w:szCs w:val="24"/>
            <w:lang w:val="de-DE" w:eastAsia="zh-CN"/>
          </w:rPr>
          <w:tab/>
        </w:r>
        <w:r w:rsidR="00C0598F" w:rsidRPr="00A25794">
          <w:rPr>
            <w:rStyle w:val="Hyperlink"/>
          </w:rPr>
          <w:t>Sampling, screening and analysis of PFOS and related substances in products and articles</w:t>
        </w:r>
        <w:r w:rsidR="00C0598F">
          <w:rPr>
            <w:webHidden/>
          </w:rPr>
          <w:tab/>
        </w:r>
        <w:r>
          <w:rPr>
            <w:webHidden/>
          </w:rPr>
          <w:fldChar w:fldCharType="begin"/>
        </w:r>
        <w:r w:rsidR="00C0598F">
          <w:rPr>
            <w:webHidden/>
          </w:rPr>
          <w:instrText xml:space="preserve"> PAGEREF _Toc349335722 \h </w:instrText>
        </w:r>
        <w:r>
          <w:rPr>
            <w:webHidden/>
          </w:rPr>
        </w:r>
        <w:r>
          <w:rPr>
            <w:webHidden/>
          </w:rPr>
          <w:fldChar w:fldCharType="separate"/>
        </w:r>
        <w:r w:rsidR="00C0598F">
          <w:rPr>
            <w:webHidden/>
          </w:rPr>
          <w:t>19</w:t>
        </w:r>
        <w:r>
          <w:rPr>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723" w:history="1">
        <w:r w:rsidR="00C0598F" w:rsidRPr="00A25794">
          <w:rPr>
            <w:rStyle w:val="Hyperlink"/>
            <w:noProof/>
          </w:rPr>
          <w:t>3.1</w:t>
        </w:r>
        <w:r w:rsidR="00C0598F">
          <w:rPr>
            <w:rFonts w:ascii="Times New Roman" w:eastAsia="SimSun" w:hAnsi="Times New Roman"/>
            <w:noProof/>
            <w:sz w:val="24"/>
            <w:szCs w:val="24"/>
            <w:lang w:val="de-DE" w:eastAsia="zh-CN"/>
          </w:rPr>
          <w:tab/>
        </w:r>
        <w:r w:rsidR="00C0598F" w:rsidRPr="00A25794">
          <w:rPr>
            <w:rStyle w:val="Hyperlink"/>
            <w:noProof/>
          </w:rPr>
          <w:t>Products and articles possibly containing PFOS</w:t>
        </w:r>
        <w:r w:rsidR="00C0598F">
          <w:rPr>
            <w:noProof/>
            <w:webHidden/>
          </w:rPr>
          <w:tab/>
        </w:r>
        <w:r>
          <w:rPr>
            <w:noProof/>
            <w:webHidden/>
          </w:rPr>
          <w:fldChar w:fldCharType="begin"/>
        </w:r>
        <w:r w:rsidR="00C0598F">
          <w:rPr>
            <w:noProof/>
            <w:webHidden/>
          </w:rPr>
          <w:instrText xml:space="preserve"> PAGEREF _Toc349335723 \h </w:instrText>
        </w:r>
        <w:r>
          <w:rPr>
            <w:noProof/>
            <w:webHidden/>
          </w:rPr>
        </w:r>
        <w:r>
          <w:rPr>
            <w:noProof/>
            <w:webHidden/>
          </w:rPr>
          <w:fldChar w:fldCharType="separate"/>
        </w:r>
        <w:r w:rsidR="00C0598F">
          <w:rPr>
            <w:noProof/>
            <w:webHidden/>
          </w:rPr>
          <w:t>19</w:t>
        </w:r>
        <w:r>
          <w:rPr>
            <w:noProof/>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724" w:history="1">
        <w:r w:rsidR="00C0598F" w:rsidRPr="00A25794">
          <w:rPr>
            <w:rStyle w:val="Hyperlink"/>
            <w:noProof/>
          </w:rPr>
          <w:t>3.2</w:t>
        </w:r>
        <w:r w:rsidR="00C0598F">
          <w:rPr>
            <w:rFonts w:ascii="Times New Roman" w:eastAsia="SimSun" w:hAnsi="Times New Roman"/>
            <w:noProof/>
            <w:sz w:val="24"/>
            <w:szCs w:val="24"/>
            <w:lang w:val="de-DE" w:eastAsia="zh-CN"/>
          </w:rPr>
          <w:tab/>
        </w:r>
        <w:r w:rsidR="00C0598F" w:rsidRPr="00A25794">
          <w:rPr>
            <w:rStyle w:val="Hyperlink"/>
            <w:noProof/>
          </w:rPr>
          <w:t>Step by step approach for PFOS analysis in products and articles</w:t>
        </w:r>
        <w:r w:rsidR="00C0598F">
          <w:rPr>
            <w:noProof/>
            <w:webHidden/>
          </w:rPr>
          <w:tab/>
        </w:r>
        <w:r>
          <w:rPr>
            <w:noProof/>
            <w:webHidden/>
          </w:rPr>
          <w:fldChar w:fldCharType="begin"/>
        </w:r>
        <w:r w:rsidR="00C0598F">
          <w:rPr>
            <w:noProof/>
            <w:webHidden/>
          </w:rPr>
          <w:instrText xml:space="preserve"> PAGEREF _Toc349335724 \h </w:instrText>
        </w:r>
        <w:r>
          <w:rPr>
            <w:noProof/>
            <w:webHidden/>
          </w:rPr>
        </w:r>
        <w:r>
          <w:rPr>
            <w:noProof/>
            <w:webHidden/>
          </w:rPr>
          <w:fldChar w:fldCharType="separate"/>
        </w:r>
        <w:r w:rsidR="00C0598F">
          <w:rPr>
            <w:noProof/>
            <w:webHidden/>
          </w:rPr>
          <w:t>19</w:t>
        </w:r>
        <w:r>
          <w:rPr>
            <w:noProof/>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725" w:history="1">
        <w:r w:rsidR="00C0598F" w:rsidRPr="00A25794">
          <w:rPr>
            <w:rStyle w:val="Hyperlink"/>
            <w:noProof/>
          </w:rPr>
          <w:t>3.3</w:t>
        </w:r>
        <w:r w:rsidR="00C0598F">
          <w:rPr>
            <w:rFonts w:ascii="Times New Roman" w:eastAsia="SimSun" w:hAnsi="Times New Roman"/>
            <w:noProof/>
            <w:sz w:val="24"/>
            <w:szCs w:val="24"/>
            <w:lang w:val="de-DE" w:eastAsia="zh-CN"/>
          </w:rPr>
          <w:tab/>
        </w:r>
        <w:r w:rsidR="00C0598F" w:rsidRPr="00A25794">
          <w:rPr>
            <w:rStyle w:val="Hyperlink"/>
            <w:noProof/>
          </w:rPr>
          <w:t>Screening methods for fluorine/organofluorine chemicals</w:t>
        </w:r>
        <w:r w:rsidR="00C0598F">
          <w:rPr>
            <w:noProof/>
            <w:webHidden/>
          </w:rPr>
          <w:tab/>
        </w:r>
        <w:r>
          <w:rPr>
            <w:noProof/>
            <w:webHidden/>
          </w:rPr>
          <w:fldChar w:fldCharType="begin"/>
        </w:r>
        <w:r w:rsidR="00C0598F">
          <w:rPr>
            <w:noProof/>
            <w:webHidden/>
          </w:rPr>
          <w:instrText xml:space="preserve"> PAGEREF _Toc349335725 \h </w:instrText>
        </w:r>
        <w:r>
          <w:rPr>
            <w:noProof/>
            <w:webHidden/>
          </w:rPr>
        </w:r>
        <w:r>
          <w:rPr>
            <w:noProof/>
            <w:webHidden/>
          </w:rPr>
          <w:fldChar w:fldCharType="separate"/>
        </w:r>
        <w:r w:rsidR="00C0598F">
          <w:rPr>
            <w:noProof/>
            <w:webHidden/>
          </w:rPr>
          <w:t>20</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26" w:history="1">
        <w:r w:rsidR="00C0598F" w:rsidRPr="00A25794">
          <w:rPr>
            <w:rStyle w:val="Hyperlink"/>
            <w:noProof/>
          </w:rPr>
          <w:t>3.3.1</w:t>
        </w:r>
        <w:r w:rsidR="00C0598F">
          <w:rPr>
            <w:rFonts w:ascii="Times New Roman" w:eastAsia="SimSun" w:hAnsi="Times New Roman"/>
            <w:noProof/>
            <w:sz w:val="24"/>
            <w:szCs w:val="24"/>
            <w:lang w:val="de-DE" w:eastAsia="zh-CN"/>
          </w:rPr>
          <w:tab/>
        </w:r>
        <w:r w:rsidR="00C0598F" w:rsidRPr="00A25794">
          <w:rPr>
            <w:rStyle w:val="Hyperlink"/>
            <w:noProof/>
          </w:rPr>
          <w:t>Introduction</w:t>
        </w:r>
        <w:r w:rsidR="00C0598F">
          <w:rPr>
            <w:noProof/>
            <w:webHidden/>
          </w:rPr>
          <w:tab/>
        </w:r>
        <w:r>
          <w:rPr>
            <w:noProof/>
            <w:webHidden/>
          </w:rPr>
          <w:fldChar w:fldCharType="begin"/>
        </w:r>
        <w:r w:rsidR="00C0598F">
          <w:rPr>
            <w:noProof/>
            <w:webHidden/>
          </w:rPr>
          <w:instrText xml:space="preserve"> PAGEREF _Toc349335726 \h </w:instrText>
        </w:r>
        <w:r>
          <w:rPr>
            <w:noProof/>
            <w:webHidden/>
          </w:rPr>
        </w:r>
        <w:r>
          <w:rPr>
            <w:noProof/>
            <w:webHidden/>
          </w:rPr>
          <w:fldChar w:fldCharType="separate"/>
        </w:r>
        <w:r w:rsidR="00C0598F">
          <w:rPr>
            <w:noProof/>
            <w:webHidden/>
          </w:rPr>
          <w:t>20</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27" w:history="1">
        <w:r w:rsidR="00C0598F" w:rsidRPr="00A25794">
          <w:rPr>
            <w:rStyle w:val="Hyperlink"/>
            <w:noProof/>
          </w:rPr>
          <w:t>3.3.2</w:t>
        </w:r>
        <w:r w:rsidR="00C0598F">
          <w:rPr>
            <w:rFonts w:ascii="Times New Roman" w:eastAsia="SimSun" w:hAnsi="Times New Roman"/>
            <w:noProof/>
            <w:sz w:val="24"/>
            <w:szCs w:val="24"/>
            <w:lang w:val="de-DE" w:eastAsia="zh-CN"/>
          </w:rPr>
          <w:tab/>
        </w:r>
        <w:r w:rsidR="00C0598F" w:rsidRPr="00A25794">
          <w:rPr>
            <w:rStyle w:val="Hyperlink"/>
            <w:noProof/>
          </w:rPr>
          <w:t>Screening with the “drop test”</w:t>
        </w:r>
        <w:r w:rsidR="00C0598F">
          <w:rPr>
            <w:noProof/>
            <w:webHidden/>
          </w:rPr>
          <w:tab/>
        </w:r>
        <w:r>
          <w:rPr>
            <w:noProof/>
            <w:webHidden/>
          </w:rPr>
          <w:fldChar w:fldCharType="begin"/>
        </w:r>
        <w:r w:rsidR="00C0598F">
          <w:rPr>
            <w:noProof/>
            <w:webHidden/>
          </w:rPr>
          <w:instrText xml:space="preserve"> PAGEREF _Toc349335727 \h </w:instrText>
        </w:r>
        <w:r>
          <w:rPr>
            <w:noProof/>
            <w:webHidden/>
          </w:rPr>
        </w:r>
        <w:r>
          <w:rPr>
            <w:noProof/>
            <w:webHidden/>
          </w:rPr>
          <w:fldChar w:fldCharType="separate"/>
        </w:r>
        <w:r w:rsidR="00C0598F">
          <w:rPr>
            <w:noProof/>
            <w:webHidden/>
          </w:rPr>
          <w:t>21</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28" w:history="1">
        <w:r w:rsidR="00C0598F" w:rsidRPr="00A25794">
          <w:rPr>
            <w:rStyle w:val="Hyperlink"/>
            <w:noProof/>
          </w:rPr>
          <w:t>3.3.3</w:t>
        </w:r>
        <w:r w:rsidR="00C0598F">
          <w:rPr>
            <w:rFonts w:ascii="Times New Roman" w:eastAsia="SimSun" w:hAnsi="Times New Roman"/>
            <w:noProof/>
            <w:sz w:val="24"/>
            <w:szCs w:val="24"/>
            <w:lang w:val="de-DE" w:eastAsia="zh-CN"/>
          </w:rPr>
          <w:tab/>
        </w:r>
        <w:r w:rsidR="00C0598F" w:rsidRPr="00A25794">
          <w:rPr>
            <w:rStyle w:val="Hyperlink"/>
            <w:noProof/>
          </w:rPr>
          <w:t>Screening of Fluorine with WD-XRF-Analysis</w:t>
        </w:r>
        <w:r w:rsidR="00C0598F">
          <w:rPr>
            <w:noProof/>
            <w:webHidden/>
          </w:rPr>
          <w:tab/>
        </w:r>
        <w:r>
          <w:rPr>
            <w:noProof/>
            <w:webHidden/>
          </w:rPr>
          <w:fldChar w:fldCharType="begin"/>
        </w:r>
        <w:r w:rsidR="00C0598F">
          <w:rPr>
            <w:noProof/>
            <w:webHidden/>
          </w:rPr>
          <w:instrText xml:space="preserve"> PAGEREF _Toc349335728 \h </w:instrText>
        </w:r>
        <w:r>
          <w:rPr>
            <w:noProof/>
            <w:webHidden/>
          </w:rPr>
        </w:r>
        <w:r>
          <w:rPr>
            <w:noProof/>
            <w:webHidden/>
          </w:rPr>
          <w:fldChar w:fldCharType="separate"/>
        </w:r>
        <w:r w:rsidR="00C0598F">
          <w:rPr>
            <w:noProof/>
            <w:webHidden/>
          </w:rPr>
          <w:t>22</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29" w:history="1">
        <w:r w:rsidR="00C0598F" w:rsidRPr="00A25794">
          <w:rPr>
            <w:rStyle w:val="Hyperlink"/>
            <w:noProof/>
          </w:rPr>
          <w:t>3.3.4</w:t>
        </w:r>
        <w:r w:rsidR="00C0598F">
          <w:rPr>
            <w:rFonts w:ascii="Times New Roman" w:eastAsia="SimSun" w:hAnsi="Times New Roman"/>
            <w:noProof/>
            <w:sz w:val="24"/>
            <w:szCs w:val="24"/>
            <w:lang w:val="de-DE" w:eastAsia="zh-CN"/>
          </w:rPr>
          <w:tab/>
        </w:r>
        <w:r w:rsidR="00C0598F" w:rsidRPr="00A25794">
          <w:rPr>
            <w:rStyle w:val="Hyperlink"/>
            <w:noProof/>
          </w:rPr>
          <w:t xml:space="preserve">Fluorine screening with </w:t>
        </w:r>
        <w:r w:rsidR="00C0598F" w:rsidRPr="00A25794">
          <w:rPr>
            <w:rStyle w:val="Hyperlink"/>
            <w:noProof/>
            <w:vertAlign w:val="superscript"/>
          </w:rPr>
          <w:t>19</w:t>
        </w:r>
        <w:r w:rsidR="00C0598F" w:rsidRPr="00A25794">
          <w:rPr>
            <w:rStyle w:val="Hyperlink"/>
            <w:noProof/>
          </w:rPr>
          <w:t>F NMR spectroscopy (Trier 2011, Ellis et al. 2000)</w:t>
        </w:r>
        <w:r w:rsidR="00C0598F">
          <w:rPr>
            <w:noProof/>
            <w:webHidden/>
          </w:rPr>
          <w:tab/>
        </w:r>
        <w:r>
          <w:rPr>
            <w:noProof/>
            <w:webHidden/>
          </w:rPr>
          <w:fldChar w:fldCharType="begin"/>
        </w:r>
        <w:r w:rsidR="00C0598F">
          <w:rPr>
            <w:noProof/>
            <w:webHidden/>
          </w:rPr>
          <w:instrText xml:space="preserve"> PAGEREF _Toc349335729 \h </w:instrText>
        </w:r>
        <w:r>
          <w:rPr>
            <w:noProof/>
            <w:webHidden/>
          </w:rPr>
        </w:r>
        <w:r>
          <w:rPr>
            <w:noProof/>
            <w:webHidden/>
          </w:rPr>
          <w:fldChar w:fldCharType="separate"/>
        </w:r>
        <w:r w:rsidR="00C0598F">
          <w:rPr>
            <w:noProof/>
            <w:webHidden/>
          </w:rPr>
          <w:t>23</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30" w:history="1">
        <w:r w:rsidR="00C0598F" w:rsidRPr="00A25794">
          <w:rPr>
            <w:rStyle w:val="Hyperlink"/>
            <w:noProof/>
          </w:rPr>
          <w:t>3.3.5</w:t>
        </w:r>
        <w:r w:rsidR="00C0598F">
          <w:rPr>
            <w:rFonts w:ascii="Times New Roman" w:eastAsia="SimSun" w:hAnsi="Times New Roman"/>
            <w:noProof/>
            <w:sz w:val="24"/>
            <w:szCs w:val="24"/>
            <w:lang w:val="de-DE" w:eastAsia="zh-CN"/>
          </w:rPr>
          <w:tab/>
        </w:r>
        <w:r w:rsidR="00C0598F" w:rsidRPr="00A25794">
          <w:rPr>
            <w:rStyle w:val="Hyperlink"/>
            <w:noProof/>
          </w:rPr>
          <w:t>Screening of Fluorine: Sliding spark spectroscopy (Wolz et al. 2011)</w:t>
        </w:r>
        <w:r w:rsidR="00C0598F">
          <w:rPr>
            <w:noProof/>
            <w:webHidden/>
          </w:rPr>
          <w:tab/>
        </w:r>
        <w:r>
          <w:rPr>
            <w:noProof/>
            <w:webHidden/>
          </w:rPr>
          <w:fldChar w:fldCharType="begin"/>
        </w:r>
        <w:r w:rsidR="00C0598F">
          <w:rPr>
            <w:noProof/>
            <w:webHidden/>
          </w:rPr>
          <w:instrText xml:space="preserve"> PAGEREF _Toc349335730 \h </w:instrText>
        </w:r>
        <w:r>
          <w:rPr>
            <w:noProof/>
            <w:webHidden/>
          </w:rPr>
        </w:r>
        <w:r>
          <w:rPr>
            <w:noProof/>
            <w:webHidden/>
          </w:rPr>
          <w:fldChar w:fldCharType="separate"/>
        </w:r>
        <w:r w:rsidR="00C0598F">
          <w:rPr>
            <w:noProof/>
            <w:webHidden/>
          </w:rPr>
          <w:t>23</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31" w:history="1">
        <w:r w:rsidR="00C0598F" w:rsidRPr="00A25794">
          <w:rPr>
            <w:rStyle w:val="Hyperlink"/>
            <w:noProof/>
          </w:rPr>
          <w:t>3.3.6</w:t>
        </w:r>
        <w:r w:rsidR="00C0598F">
          <w:rPr>
            <w:rFonts w:ascii="Times New Roman" w:eastAsia="SimSun" w:hAnsi="Times New Roman"/>
            <w:noProof/>
            <w:sz w:val="24"/>
            <w:szCs w:val="24"/>
            <w:lang w:val="de-DE" w:eastAsia="zh-CN"/>
          </w:rPr>
          <w:tab/>
        </w:r>
        <w:r w:rsidR="00C0598F" w:rsidRPr="00A25794">
          <w:rPr>
            <w:rStyle w:val="Hyperlink"/>
            <w:noProof/>
          </w:rPr>
          <w:t>Screening of Fluorine: P&amp;T-GC-EPED (Wolz et al. 2011)</w:t>
        </w:r>
        <w:r w:rsidR="00C0598F">
          <w:rPr>
            <w:noProof/>
            <w:webHidden/>
          </w:rPr>
          <w:tab/>
        </w:r>
        <w:r>
          <w:rPr>
            <w:noProof/>
            <w:webHidden/>
          </w:rPr>
          <w:fldChar w:fldCharType="begin"/>
        </w:r>
        <w:r w:rsidR="00C0598F">
          <w:rPr>
            <w:noProof/>
            <w:webHidden/>
          </w:rPr>
          <w:instrText xml:space="preserve"> PAGEREF _Toc349335731 \h </w:instrText>
        </w:r>
        <w:r>
          <w:rPr>
            <w:noProof/>
            <w:webHidden/>
          </w:rPr>
        </w:r>
        <w:r>
          <w:rPr>
            <w:noProof/>
            <w:webHidden/>
          </w:rPr>
          <w:fldChar w:fldCharType="separate"/>
        </w:r>
        <w:r w:rsidR="00C0598F">
          <w:rPr>
            <w:noProof/>
            <w:webHidden/>
          </w:rPr>
          <w:t>23</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32" w:history="1">
        <w:r w:rsidR="00C0598F" w:rsidRPr="00A25794">
          <w:rPr>
            <w:rStyle w:val="Hyperlink"/>
            <w:noProof/>
          </w:rPr>
          <w:t>3.3.7</w:t>
        </w:r>
        <w:r w:rsidR="00C0598F">
          <w:rPr>
            <w:rFonts w:ascii="Times New Roman" w:eastAsia="SimSun" w:hAnsi="Times New Roman"/>
            <w:noProof/>
            <w:sz w:val="24"/>
            <w:szCs w:val="24"/>
            <w:lang w:val="de-DE" w:eastAsia="zh-CN"/>
          </w:rPr>
          <w:tab/>
        </w:r>
        <w:r w:rsidR="00C0598F" w:rsidRPr="00A25794">
          <w:rPr>
            <w:rStyle w:val="Hyperlink"/>
            <w:noProof/>
          </w:rPr>
          <w:t>Screening of PFOS and related substances: HS-GC-EI-MS or HS-GC-CI-MS</w:t>
        </w:r>
        <w:r w:rsidR="00C0598F">
          <w:rPr>
            <w:noProof/>
            <w:webHidden/>
          </w:rPr>
          <w:tab/>
        </w:r>
        <w:r>
          <w:rPr>
            <w:noProof/>
            <w:webHidden/>
          </w:rPr>
          <w:fldChar w:fldCharType="begin"/>
        </w:r>
        <w:r w:rsidR="00C0598F">
          <w:rPr>
            <w:noProof/>
            <w:webHidden/>
          </w:rPr>
          <w:instrText xml:space="preserve"> PAGEREF _Toc349335732 \h </w:instrText>
        </w:r>
        <w:r>
          <w:rPr>
            <w:noProof/>
            <w:webHidden/>
          </w:rPr>
        </w:r>
        <w:r>
          <w:rPr>
            <w:noProof/>
            <w:webHidden/>
          </w:rPr>
          <w:fldChar w:fldCharType="separate"/>
        </w:r>
        <w:r w:rsidR="00C0598F">
          <w:rPr>
            <w:noProof/>
            <w:webHidden/>
          </w:rPr>
          <w:t>24</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33" w:history="1">
        <w:r w:rsidR="00C0598F" w:rsidRPr="00A25794">
          <w:rPr>
            <w:rStyle w:val="Hyperlink"/>
            <w:noProof/>
          </w:rPr>
          <w:t>3.3.8</w:t>
        </w:r>
        <w:r w:rsidR="00C0598F">
          <w:rPr>
            <w:rFonts w:ascii="Times New Roman" w:eastAsia="SimSun" w:hAnsi="Times New Roman"/>
            <w:noProof/>
            <w:sz w:val="24"/>
            <w:szCs w:val="24"/>
            <w:lang w:val="de-DE" w:eastAsia="zh-CN"/>
          </w:rPr>
          <w:tab/>
        </w:r>
        <w:r w:rsidR="00C0598F" w:rsidRPr="00A25794">
          <w:rPr>
            <w:rStyle w:val="Hyperlink"/>
            <w:noProof/>
          </w:rPr>
          <w:t>Screening of PFOS and related substances in articles with DART-TOF MS</w:t>
        </w:r>
        <w:r w:rsidR="00C0598F">
          <w:rPr>
            <w:noProof/>
            <w:webHidden/>
          </w:rPr>
          <w:tab/>
        </w:r>
        <w:r>
          <w:rPr>
            <w:noProof/>
            <w:webHidden/>
          </w:rPr>
          <w:fldChar w:fldCharType="begin"/>
        </w:r>
        <w:r w:rsidR="00C0598F">
          <w:rPr>
            <w:noProof/>
            <w:webHidden/>
          </w:rPr>
          <w:instrText xml:space="preserve"> PAGEREF _Toc349335733 \h </w:instrText>
        </w:r>
        <w:r>
          <w:rPr>
            <w:noProof/>
            <w:webHidden/>
          </w:rPr>
        </w:r>
        <w:r>
          <w:rPr>
            <w:noProof/>
            <w:webHidden/>
          </w:rPr>
          <w:fldChar w:fldCharType="separate"/>
        </w:r>
        <w:r w:rsidR="00C0598F">
          <w:rPr>
            <w:noProof/>
            <w:webHidden/>
          </w:rPr>
          <w:t>24</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34" w:history="1">
        <w:r w:rsidR="00C0598F" w:rsidRPr="00A25794">
          <w:rPr>
            <w:rStyle w:val="Hyperlink"/>
            <w:noProof/>
          </w:rPr>
          <w:t>3.3.9</w:t>
        </w:r>
        <w:r w:rsidR="00C0598F">
          <w:rPr>
            <w:rFonts w:ascii="Times New Roman" w:eastAsia="SimSun" w:hAnsi="Times New Roman"/>
            <w:noProof/>
            <w:sz w:val="24"/>
            <w:szCs w:val="24"/>
            <w:lang w:val="de-DE" w:eastAsia="zh-CN"/>
          </w:rPr>
          <w:tab/>
        </w:r>
        <w:r w:rsidR="00C0598F" w:rsidRPr="00A25794">
          <w:rPr>
            <w:rStyle w:val="Hyperlink"/>
            <w:noProof/>
          </w:rPr>
          <w:t>Screening of PFOS and PFCs in articles with accurate mass by HRMS</w:t>
        </w:r>
        <w:r w:rsidR="00C0598F">
          <w:rPr>
            <w:noProof/>
            <w:webHidden/>
          </w:rPr>
          <w:tab/>
        </w:r>
        <w:r>
          <w:rPr>
            <w:noProof/>
            <w:webHidden/>
          </w:rPr>
          <w:fldChar w:fldCharType="begin"/>
        </w:r>
        <w:r w:rsidR="00C0598F">
          <w:rPr>
            <w:noProof/>
            <w:webHidden/>
          </w:rPr>
          <w:instrText xml:space="preserve"> PAGEREF _Toc349335734 \h </w:instrText>
        </w:r>
        <w:r>
          <w:rPr>
            <w:noProof/>
            <w:webHidden/>
          </w:rPr>
        </w:r>
        <w:r>
          <w:rPr>
            <w:noProof/>
            <w:webHidden/>
          </w:rPr>
          <w:fldChar w:fldCharType="separate"/>
        </w:r>
        <w:r w:rsidR="00C0598F">
          <w:rPr>
            <w:noProof/>
            <w:webHidden/>
          </w:rPr>
          <w:t>24</w:t>
        </w:r>
        <w:r>
          <w:rPr>
            <w:noProof/>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735" w:history="1">
        <w:r w:rsidR="00C0598F" w:rsidRPr="00A25794">
          <w:rPr>
            <w:rStyle w:val="Hyperlink"/>
            <w:noProof/>
          </w:rPr>
          <w:t>3.4</w:t>
        </w:r>
        <w:r w:rsidR="00C0598F">
          <w:rPr>
            <w:rFonts w:ascii="Times New Roman" w:eastAsia="SimSun" w:hAnsi="Times New Roman"/>
            <w:noProof/>
            <w:sz w:val="24"/>
            <w:szCs w:val="24"/>
            <w:lang w:val="de-DE" w:eastAsia="zh-CN"/>
          </w:rPr>
          <w:tab/>
        </w:r>
        <w:r w:rsidR="00C0598F" w:rsidRPr="00A25794">
          <w:rPr>
            <w:rStyle w:val="Hyperlink"/>
            <w:noProof/>
          </w:rPr>
          <w:t>Qualitative and quantitative analysis of PFOS and related substances</w:t>
        </w:r>
        <w:r w:rsidR="00C0598F">
          <w:rPr>
            <w:noProof/>
            <w:webHidden/>
          </w:rPr>
          <w:tab/>
        </w:r>
        <w:r>
          <w:rPr>
            <w:noProof/>
            <w:webHidden/>
          </w:rPr>
          <w:fldChar w:fldCharType="begin"/>
        </w:r>
        <w:r w:rsidR="00C0598F">
          <w:rPr>
            <w:noProof/>
            <w:webHidden/>
          </w:rPr>
          <w:instrText xml:space="preserve"> PAGEREF _Toc349335735 \h </w:instrText>
        </w:r>
        <w:r>
          <w:rPr>
            <w:noProof/>
            <w:webHidden/>
          </w:rPr>
        </w:r>
        <w:r>
          <w:rPr>
            <w:noProof/>
            <w:webHidden/>
          </w:rPr>
          <w:fldChar w:fldCharType="separate"/>
        </w:r>
        <w:r w:rsidR="00C0598F">
          <w:rPr>
            <w:noProof/>
            <w:webHidden/>
          </w:rPr>
          <w:t>25</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36" w:history="1">
        <w:r w:rsidR="00C0598F" w:rsidRPr="00A25794">
          <w:rPr>
            <w:rStyle w:val="Hyperlink"/>
            <w:noProof/>
          </w:rPr>
          <w:t>3.4.1</w:t>
        </w:r>
        <w:r w:rsidR="00C0598F">
          <w:rPr>
            <w:rFonts w:ascii="Times New Roman" w:eastAsia="SimSun" w:hAnsi="Times New Roman"/>
            <w:noProof/>
            <w:sz w:val="24"/>
            <w:szCs w:val="24"/>
            <w:lang w:val="de-DE" w:eastAsia="zh-CN"/>
          </w:rPr>
          <w:tab/>
        </w:r>
        <w:r w:rsidR="00C0598F" w:rsidRPr="00A25794">
          <w:rPr>
            <w:rStyle w:val="Hyperlink"/>
            <w:noProof/>
          </w:rPr>
          <w:t>Background and general challenges of PFOS/PFC analysis</w:t>
        </w:r>
        <w:r w:rsidR="00C0598F">
          <w:rPr>
            <w:noProof/>
            <w:webHidden/>
          </w:rPr>
          <w:tab/>
        </w:r>
        <w:r>
          <w:rPr>
            <w:noProof/>
            <w:webHidden/>
          </w:rPr>
          <w:fldChar w:fldCharType="begin"/>
        </w:r>
        <w:r w:rsidR="00C0598F">
          <w:rPr>
            <w:noProof/>
            <w:webHidden/>
          </w:rPr>
          <w:instrText xml:space="preserve"> PAGEREF _Toc349335736 \h </w:instrText>
        </w:r>
        <w:r>
          <w:rPr>
            <w:noProof/>
            <w:webHidden/>
          </w:rPr>
        </w:r>
        <w:r>
          <w:rPr>
            <w:noProof/>
            <w:webHidden/>
          </w:rPr>
          <w:fldChar w:fldCharType="separate"/>
        </w:r>
        <w:r w:rsidR="00C0598F">
          <w:rPr>
            <w:noProof/>
            <w:webHidden/>
          </w:rPr>
          <w:t>25</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37" w:history="1">
        <w:r w:rsidR="00C0598F" w:rsidRPr="00A25794">
          <w:rPr>
            <w:rStyle w:val="Hyperlink"/>
            <w:noProof/>
          </w:rPr>
          <w:t>3.4.2</w:t>
        </w:r>
        <w:r w:rsidR="00C0598F">
          <w:rPr>
            <w:rFonts w:ascii="Times New Roman" w:eastAsia="SimSun" w:hAnsi="Times New Roman"/>
            <w:noProof/>
            <w:sz w:val="24"/>
            <w:szCs w:val="24"/>
            <w:lang w:val="de-DE" w:eastAsia="zh-CN"/>
          </w:rPr>
          <w:tab/>
        </w:r>
        <w:r w:rsidR="00C0598F" w:rsidRPr="00A25794">
          <w:rPr>
            <w:rStyle w:val="Hyperlink"/>
            <w:noProof/>
          </w:rPr>
          <w:t>Specific challenges with the analysis of PFOS precursors and bound PFOS</w:t>
        </w:r>
        <w:r w:rsidR="00C0598F">
          <w:rPr>
            <w:noProof/>
            <w:webHidden/>
          </w:rPr>
          <w:tab/>
        </w:r>
        <w:r>
          <w:rPr>
            <w:noProof/>
            <w:webHidden/>
          </w:rPr>
          <w:fldChar w:fldCharType="begin"/>
        </w:r>
        <w:r w:rsidR="00C0598F">
          <w:rPr>
            <w:noProof/>
            <w:webHidden/>
          </w:rPr>
          <w:instrText xml:space="preserve"> PAGEREF _Toc349335737 \h </w:instrText>
        </w:r>
        <w:r>
          <w:rPr>
            <w:noProof/>
            <w:webHidden/>
          </w:rPr>
        </w:r>
        <w:r>
          <w:rPr>
            <w:noProof/>
            <w:webHidden/>
          </w:rPr>
          <w:fldChar w:fldCharType="separate"/>
        </w:r>
        <w:r w:rsidR="00C0598F">
          <w:rPr>
            <w:noProof/>
            <w:webHidden/>
          </w:rPr>
          <w:t>26</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38" w:history="1">
        <w:r w:rsidR="00C0598F" w:rsidRPr="00A25794">
          <w:rPr>
            <w:rStyle w:val="Hyperlink"/>
            <w:noProof/>
            <w:lang w:eastAsia="zh-CN"/>
          </w:rPr>
          <w:t>3.4.3</w:t>
        </w:r>
        <w:r w:rsidR="00C0598F">
          <w:rPr>
            <w:rFonts w:ascii="Times New Roman" w:eastAsia="SimSun" w:hAnsi="Times New Roman"/>
            <w:noProof/>
            <w:sz w:val="24"/>
            <w:szCs w:val="24"/>
            <w:lang w:val="de-DE" w:eastAsia="zh-CN"/>
          </w:rPr>
          <w:tab/>
        </w:r>
        <w:r w:rsidR="00C0598F" w:rsidRPr="00A25794">
          <w:rPr>
            <w:rStyle w:val="Hyperlink"/>
            <w:noProof/>
            <w:lang w:eastAsia="zh-CN"/>
          </w:rPr>
          <w:t>Selected international standards for PFOS analysis</w:t>
        </w:r>
        <w:r w:rsidR="00C0598F">
          <w:rPr>
            <w:noProof/>
            <w:webHidden/>
          </w:rPr>
          <w:tab/>
        </w:r>
        <w:r>
          <w:rPr>
            <w:noProof/>
            <w:webHidden/>
          </w:rPr>
          <w:fldChar w:fldCharType="begin"/>
        </w:r>
        <w:r w:rsidR="00C0598F">
          <w:rPr>
            <w:noProof/>
            <w:webHidden/>
          </w:rPr>
          <w:instrText xml:space="preserve"> PAGEREF _Toc349335738 \h </w:instrText>
        </w:r>
        <w:r>
          <w:rPr>
            <w:noProof/>
            <w:webHidden/>
          </w:rPr>
        </w:r>
        <w:r>
          <w:rPr>
            <w:noProof/>
            <w:webHidden/>
          </w:rPr>
          <w:fldChar w:fldCharType="separate"/>
        </w:r>
        <w:r w:rsidR="00C0598F">
          <w:rPr>
            <w:noProof/>
            <w:webHidden/>
          </w:rPr>
          <w:t>26</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39" w:history="1">
        <w:r w:rsidR="00C0598F" w:rsidRPr="00A25794">
          <w:rPr>
            <w:rStyle w:val="Hyperlink"/>
            <w:noProof/>
          </w:rPr>
          <w:t>3.4.4</w:t>
        </w:r>
        <w:r w:rsidR="00C0598F">
          <w:rPr>
            <w:rFonts w:ascii="Times New Roman" w:eastAsia="SimSun" w:hAnsi="Times New Roman"/>
            <w:noProof/>
            <w:sz w:val="24"/>
            <w:szCs w:val="24"/>
            <w:lang w:val="de-DE" w:eastAsia="zh-CN"/>
          </w:rPr>
          <w:tab/>
        </w:r>
        <w:r w:rsidR="00C0598F" w:rsidRPr="00A25794">
          <w:rPr>
            <w:rStyle w:val="Hyperlink"/>
            <w:noProof/>
          </w:rPr>
          <w:t>Sample pre-treatment</w:t>
        </w:r>
        <w:r w:rsidR="00C0598F">
          <w:rPr>
            <w:noProof/>
            <w:webHidden/>
          </w:rPr>
          <w:tab/>
        </w:r>
        <w:r>
          <w:rPr>
            <w:noProof/>
            <w:webHidden/>
          </w:rPr>
          <w:fldChar w:fldCharType="begin"/>
        </w:r>
        <w:r w:rsidR="00C0598F">
          <w:rPr>
            <w:noProof/>
            <w:webHidden/>
          </w:rPr>
          <w:instrText xml:space="preserve"> PAGEREF _Toc349335739 \h </w:instrText>
        </w:r>
        <w:r>
          <w:rPr>
            <w:noProof/>
            <w:webHidden/>
          </w:rPr>
        </w:r>
        <w:r>
          <w:rPr>
            <w:noProof/>
            <w:webHidden/>
          </w:rPr>
          <w:fldChar w:fldCharType="separate"/>
        </w:r>
        <w:r w:rsidR="00C0598F">
          <w:rPr>
            <w:noProof/>
            <w:webHidden/>
          </w:rPr>
          <w:t>28</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40" w:history="1">
        <w:r w:rsidR="00C0598F" w:rsidRPr="00A25794">
          <w:rPr>
            <w:rStyle w:val="Hyperlink"/>
            <w:noProof/>
          </w:rPr>
          <w:t>3.4.5</w:t>
        </w:r>
        <w:r w:rsidR="00C0598F">
          <w:rPr>
            <w:rFonts w:ascii="Times New Roman" w:eastAsia="SimSun" w:hAnsi="Times New Roman"/>
            <w:noProof/>
            <w:sz w:val="24"/>
            <w:szCs w:val="24"/>
            <w:lang w:val="de-DE" w:eastAsia="zh-CN"/>
          </w:rPr>
          <w:tab/>
        </w:r>
        <w:r w:rsidR="00C0598F" w:rsidRPr="00A25794">
          <w:rPr>
            <w:rStyle w:val="Hyperlink"/>
            <w:noProof/>
          </w:rPr>
          <w:t>Extraction</w:t>
        </w:r>
        <w:r w:rsidR="00C0598F">
          <w:rPr>
            <w:noProof/>
            <w:webHidden/>
          </w:rPr>
          <w:tab/>
        </w:r>
        <w:r>
          <w:rPr>
            <w:noProof/>
            <w:webHidden/>
          </w:rPr>
          <w:fldChar w:fldCharType="begin"/>
        </w:r>
        <w:r w:rsidR="00C0598F">
          <w:rPr>
            <w:noProof/>
            <w:webHidden/>
          </w:rPr>
          <w:instrText xml:space="preserve"> PAGEREF _Toc349335740 \h </w:instrText>
        </w:r>
        <w:r>
          <w:rPr>
            <w:noProof/>
            <w:webHidden/>
          </w:rPr>
        </w:r>
        <w:r>
          <w:rPr>
            <w:noProof/>
            <w:webHidden/>
          </w:rPr>
          <w:fldChar w:fldCharType="separate"/>
        </w:r>
        <w:r w:rsidR="00C0598F">
          <w:rPr>
            <w:noProof/>
            <w:webHidden/>
          </w:rPr>
          <w:t>28</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41" w:history="1">
        <w:r w:rsidR="00C0598F" w:rsidRPr="00A25794">
          <w:rPr>
            <w:rStyle w:val="Hyperlink"/>
            <w:noProof/>
          </w:rPr>
          <w:t>3.4.6</w:t>
        </w:r>
        <w:r w:rsidR="00C0598F">
          <w:rPr>
            <w:rFonts w:ascii="Times New Roman" w:eastAsia="SimSun" w:hAnsi="Times New Roman"/>
            <w:noProof/>
            <w:sz w:val="24"/>
            <w:szCs w:val="24"/>
            <w:lang w:val="de-DE" w:eastAsia="zh-CN"/>
          </w:rPr>
          <w:tab/>
        </w:r>
        <w:r w:rsidR="00C0598F" w:rsidRPr="00A25794">
          <w:rPr>
            <w:rStyle w:val="Hyperlink"/>
            <w:noProof/>
          </w:rPr>
          <w:t>Clean-up</w:t>
        </w:r>
        <w:r w:rsidR="00C0598F">
          <w:rPr>
            <w:noProof/>
            <w:webHidden/>
          </w:rPr>
          <w:tab/>
        </w:r>
        <w:r>
          <w:rPr>
            <w:noProof/>
            <w:webHidden/>
          </w:rPr>
          <w:fldChar w:fldCharType="begin"/>
        </w:r>
        <w:r w:rsidR="00C0598F">
          <w:rPr>
            <w:noProof/>
            <w:webHidden/>
          </w:rPr>
          <w:instrText xml:space="preserve"> PAGEREF _Toc349335741 \h </w:instrText>
        </w:r>
        <w:r>
          <w:rPr>
            <w:noProof/>
            <w:webHidden/>
          </w:rPr>
        </w:r>
        <w:r>
          <w:rPr>
            <w:noProof/>
            <w:webHidden/>
          </w:rPr>
          <w:fldChar w:fldCharType="separate"/>
        </w:r>
        <w:r w:rsidR="00C0598F">
          <w:rPr>
            <w:noProof/>
            <w:webHidden/>
          </w:rPr>
          <w:t>29</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42" w:history="1">
        <w:r w:rsidR="00C0598F" w:rsidRPr="00A25794">
          <w:rPr>
            <w:rStyle w:val="Hyperlink"/>
            <w:noProof/>
          </w:rPr>
          <w:t>3.4.7</w:t>
        </w:r>
        <w:r w:rsidR="00C0598F">
          <w:rPr>
            <w:rFonts w:ascii="Times New Roman" w:eastAsia="SimSun" w:hAnsi="Times New Roman"/>
            <w:noProof/>
            <w:sz w:val="24"/>
            <w:szCs w:val="24"/>
            <w:lang w:val="de-DE" w:eastAsia="zh-CN"/>
          </w:rPr>
          <w:tab/>
        </w:r>
        <w:r w:rsidR="00C0598F" w:rsidRPr="00A25794">
          <w:rPr>
            <w:rStyle w:val="Hyperlink"/>
            <w:noProof/>
          </w:rPr>
          <w:t>Calibration</w:t>
        </w:r>
        <w:r w:rsidR="00C0598F">
          <w:rPr>
            <w:noProof/>
            <w:webHidden/>
          </w:rPr>
          <w:tab/>
        </w:r>
        <w:r>
          <w:rPr>
            <w:noProof/>
            <w:webHidden/>
          </w:rPr>
          <w:fldChar w:fldCharType="begin"/>
        </w:r>
        <w:r w:rsidR="00C0598F">
          <w:rPr>
            <w:noProof/>
            <w:webHidden/>
          </w:rPr>
          <w:instrText xml:space="preserve"> PAGEREF _Toc349335742 \h </w:instrText>
        </w:r>
        <w:r>
          <w:rPr>
            <w:noProof/>
            <w:webHidden/>
          </w:rPr>
        </w:r>
        <w:r>
          <w:rPr>
            <w:noProof/>
            <w:webHidden/>
          </w:rPr>
          <w:fldChar w:fldCharType="separate"/>
        </w:r>
        <w:r w:rsidR="00C0598F">
          <w:rPr>
            <w:noProof/>
            <w:webHidden/>
          </w:rPr>
          <w:t>30</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43" w:history="1">
        <w:r w:rsidR="00C0598F" w:rsidRPr="00A25794">
          <w:rPr>
            <w:rStyle w:val="Hyperlink"/>
            <w:noProof/>
          </w:rPr>
          <w:t>3.4.8</w:t>
        </w:r>
        <w:r w:rsidR="00C0598F">
          <w:rPr>
            <w:rFonts w:ascii="Times New Roman" w:eastAsia="SimSun" w:hAnsi="Times New Roman"/>
            <w:noProof/>
            <w:sz w:val="24"/>
            <w:szCs w:val="24"/>
            <w:lang w:val="de-DE" w:eastAsia="zh-CN"/>
          </w:rPr>
          <w:tab/>
        </w:r>
        <w:r w:rsidR="00C0598F" w:rsidRPr="00A25794">
          <w:rPr>
            <w:rStyle w:val="Hyperlink"/>
            <w:noProof/>
          </w:rPr>
          <w:t>Recovery</w:t>
        </w:r>
        <w:r w:rsidR="00C0598F">
          <w:rPr>
            <w:noProof/>
            <w:webHidden/>
          </w:rPr>
          <w:tab/>
        </w:r>
        <w:r>
          <w:rPr>
            <w:noProof/>
            <w:webHidden/>
          </w:rPr>
          <w:fldChar w:fldCharType="begin"/>
        </w:r>
        <w:r w:rsidR="00C0598F">
          <w:rPr>
            <w:noProof/>
            <w:webHidden/>
          </w:rPr>
          <w:instrText xml:space="preserve"> PAGEREF _Toc349335743 \h </w:instrText>
        </w:r>
        <w:r>
          <w:rPr>
            <w:noProof/>
            <w:webHidden/>
          </w:rPr>
        </w:r>
        <w:r>
          <w:rPr>
            <w:noProof/>
            <w:webHidden/>
          </w:rPr>
          <w:fldChar w:fldCharType="separate"/>
        </w:r>
        <w:r w:rsidR="00C0598F">
          <w:rPr>
            <w:noProof/>
            <w:webHidden/>
          </w:rPr>
          <w:t>30</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44" w:history="1">
        <w:r w:rsidR="00C0598F" w:rsidRPr="00A25794">
          <w:rPr>
            <w:rStyle w:val="Hyperlink"/>
            <w:noProof/>
          </w:rPr>
          <w:t>3.4.9</w:t>
        </w:r>
        <w:r w:rsidR="00C0598F">
          <w:rPr>
            <w:rFonts w:ascii="Times New Roman" w:eastAsia="SimSun" w:hAnsi="Times New Roman"/>
            <w:noProof/>
            <w:sz w:val="24"/>
            <w:szCs w:val="24"/>
            <w:lang w:val="de-DE" w:eastAsia="zh-CN"/>
          </w:rPr>
          <w:tab/>
        </w:r>
        <w:r w:rsidR="00C0598F" w:rsidRPr="00A25794">
          <w:rPr>
            <w:rStyle w:val="Hyperlink"/>
            <w:noProof/>
          </w:rPr>
          <w:t>Blank measurements</w:t>
        </w:r>
        <w:r w:rsidR="00C0598F">
          <w:rPr>
            <w:noProof/>
            <w:webHidden/>
          </w:rPr>
          <w:tab/>
        </w:r>
        <w:r>
          <w:rPr>
            <w:noProof/>
            <w:webHidden/>
          </w:rPr>
          <w:fldChar w:fldCharType="begin"/>
        </w:r>
        <w:r w:rsidR="00C0598F">
          <w:rPr>
            <w:noProof/>
            <w:webHidden/>
          </w:rPr>
          <w:instrText xml:space="preserve"> PAGEREF _Toc349335744 \h </w:instrText>
        </w:r>
        <w:r>
          <w:rPr>
            <w:noProof/>
            <w:webHidden/>
          </w:rPr>
        </w:r>
        <w:r>
          <w:rPr>
            <w:noProof/>
            <w:webHidden/>
          </w:rPr>
          <w:fldChar w:fldCharType="separate"/>
        </w:r>
        <w:r w:rsidR="00C0598F">
          <w:rPr>
            <w:noProof/>
            <w:webHidden/>
          </w:rPr>
          <w:t>30</w:t>
        </w:r>
        <w:r>
          <w:rPr>
            <w:noProof/>
            <w:webHidden/>
          </w:rPr>
          <w:fldChar w:fldCharType="end"/>
        </w:r>
      </w:hyperlink>
    </w:p>
    <w:p w:rsidR="00C0598F" w:rsidRDefault="00322F03">
      <w:pPr>
        <w:pStyle w:val="TOC3"/>
        <w:tabs>
          <w:tab w:val="left" w:pos="1760"/>
        </w:tabs>
        <w:rPr>
          <w:rFonts w:ascii="Times New Roman" w:eastAsia="SimSun" w:hAnsi="Times New Roman"/>
          <w:noProof/>
          <w:sz w:val="24"/>
          <w:szCs w:val="24"/>
          <w:lang w:val="de-DE" w:eastAsia="zh-CN"/>
        </w:rPr>
      </w:pPr>
      <w:hyperlink w:anchor="_Toc349335745" w:history="1">
        <w:r w:rsidR="00C0598F" w:rsidRPr="00A25794">
          <w:rPr>
            <w:rStyle w:val="Hyperlink"/>
            <w:noProof/>
          </w:rPr>
          <w:t>3.4.10</w:t>
        </w:r>
        <w:r w:rsidR="00C0598F">
          <w:rPr>
            <w:rFonts w:ascii="Times New Roman" w:eastAsia="SimSun" w:hAnsi="Times New Roman"/>
            <w:noProof/>
            <w:sz w:val="24"/>
            <w:szCs w:val="24"/>
            <w:lang w:val="de-DE" w:eastAsia="zh-CN"/>
          </w:rPr>
          <w:tab/>
        </w:r>
        <w:r w:rsidR="00C0598F" w:rsidRPr="00A25794">
          <w:rPr>
            <w:rStyle w:val="Hyperlink"/>
            <w:noProof/>
          </w:rPr>
          <w:t>PFOS and selected PFOS related substances monitored</w:t>
        </w:r>
        <w:r w:rsidR="00C0598F">
          <w:rPr>
            <w:noProof/>
            <w:webHidden/>
          </w:rPr>
          <w:tab/>
        </w:r>
        <w:r>
          <w:rPr>
            <w:noProof/>
            <w:webHidden/>
          </w:rPr>
          <w:fldChar w:fldCharType="begin"/>
        </w:r>
        <w:r w:rsidR="00C0598F">
          <w:rPr>
            <w:noProof/>
            <w:webHidden/>
          </w:rPr>
          <w:instrText xml:space="preserve"> PAGEREF _Toc349335745 \h </w:instrText>
        </w:r>
        <w:r>
          <w:rPr>
            <w:noProof/>
            <w:webHidden/>
          </w:rPr>
        </w:r>
        <w:r>
          <w:rPr>
            <w:noProof/>
            <w:webHidden/>
          </w:rPr>
          <w:fldChar w:fldCharType="separate"/>
        </w:r>
        <w:r w:rsidR="00C0598F">
          <w:rPr>
            <w:noProof/>
            <w:webHidden/>
          </w:rPr>
          <w:t>30</w:t>
        </w:r>
        <w:r>
          <w:rPr>
            <w:noProof/>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746" w:history="1">
        <w:r w:rsidR="00C0598F" w:rsidRPr="00A25794">
          <w:rPr>
            <w:rStyle w:val="Hyperlink"/>
            <w:noProof/>
          </w:rPr>
          <w:t>3.5</w:t>
        </w:r>
        <w:r w:rsidR="00C0598F">
          <w:rPr>
            <w:rFonts w:ascii="Times New Roman" w:eastAsia="SimSun" w:hAnsi="Times New Roman"/>
            <w:noProof/>
            <w:sz w:val="24"/>
            <w:szCs w:val="24"/>
            <w:lang w:val="de-DE" w:eastAsia="zh-CN"/>
          </w:rPr>
          <w:tab/>
        </w:r>
        <w:r w:rsidR="00C0598F" w:rsidRPr="00A25794">
          <w:rPr>
            <w:rStyle w:val="Hyperlink"/>
            <w:noProof/>
          </w:rPr>
          <w:t>Example for a LC/MS setting and parameters</w:t>
        </w:r>
        <w:r w:rsidR="00C0598F">
          <w:rPr>
            <w:noProof/>
            <w:webHidden/>
          </w:rPr>
          <w:tab/>
        </w:r>
        <w:r>
          <w:rPr>
            <w:noProof/>
            <w:webHidden/>
          </w:rPr>
          <w:fldChar w:fldCharType="begin"/>
        </w:r>
        <w:r w:rsidR="00C0598F">
          <w:rPr>
            <w:noProof/>
            <w:webHidden/>
          </w:rPr>
          <w:instrText xml:space="preserve"> PAGEREF _Toc349335746 \h </w:instrText>
        </w:r>
        <w:r>
          <w:rPr>
            <w:noProof/>
            <w:webHidden/>
          </w:rPr>
        </w:r>
        <w:r>
          <w:rPr>
            <w:noProof/>
            <w:webHidden/>
          </w:rPr>
          <w:fldChar w:fldCharType="separate"/>
        </w:r>
        <w:r w:rsidR="00C0598F">
          <w:rPr>
            <w:noProof/>
            <w:webHidden/>
          </w:rPr>
          <w:t>31</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47" w:history="1">
        <w:r w:rsidR="00C0598F" w:rsidRPr="00A25794">
          <w:rPr>
            <w:rStyle w:val="Hyperlink"/>
            <w:noProof/>
          </w:rPr>
          <w:t>3.5.1</w:t>
        </w:r>
        <w:r w:rsidR="00C0598F">
          <w:rPr>
            <w:rFonts w:ascii="Times New Roman" w:eastAsia="SimSun" w:hAnsi="Times New Roman"/>
            <w:noProof/>
            <w:sz w:val="24"/>
            <w:szCs w:val="24"/>
            <w:lang w:val="de-DE" w:eastAsia="zh-CN"/>
          </w:rPr>
          <w:tab/>
        </w:r>
        <w:r w:rsidR="00C0598F" w:rsidRPr="00A25794">
          <w:rPr>
            <w:rStyle w:val="Hyperlink"/>
            <w:noProof/>
          </w:rPr>
          <w:t>LC/MS parameters and mass settings for PFOS</w:t>
        </w:r>
        <w:r w:rsidR="00C0598F">
          <w:rPr>
            <w:noProof/>
            <w:webHidden/>
          </w:rPr>
          <w:tab/>
        </w:r>
        <w:r>
          <w:rPr>
            <w:noProof/>
            <w:webHidden/>
          </w:rPr>
          <w:fldChar w:fldCharType="begin"/>
        </w:r>
        <w:r w:rsidR="00C0598F">
          <w:rPr>
            <w:noProof/>
            <w:webHidden/>
          </w:rPr>
          <w:instrText xml:space="preserve"> PAGEREF _Toc349335747 \h </w:instrText>
        </w:r>
        <w:r>
          <w:rPr>
            <w:noProof/>
            <w:webHidden/>
          </w:rPr>
        </w:r>
        <w:r>
          <w:rPr>
            <w:noProof/>
            <w:webHidden/>
          </w:rPr>
          <w:fldChar w:fldCharType="separate"/>
        </w:r>
        <w:r w:rsidR="00C0598F">
          <w:rPr>
            <w:noProof/>
            <w:webHidden/>
          </w:rPr>
          <w:t>31</w:t>
        </w:r>
        <w:r>
          <w:rPr>
            <w:noProof/>
            <w:webHidden/>
          </w:rPr>
          <w:fldChar w:fldCharType="end"/>
        </w:r>
      </w:hyperlink>
    </w:p>
    <w:p w:rsidR="00C0598F" w:rsidRDefault="00322F03">
      <w:pPr>
        <w:pStyle w:val="TOC1"/>
        <w:rPr>
          <w:rFonts w:ascii="Times New Roman" w:eastAsia="SimSun" w:hAnsi="Times New Roman"/>
          <w:b w:val="0"/>
          <w:sz w:val="24"/>
          <w:szCs w:val="24"/>
          <w:lang w:val="de-DE" w:eastAsia="zh-CN"/>
        </w:rPr>
      </w:pPr>
      <w:hyperlink w:anchor="_Toc349335748" w:history="1">
        <w:r w:rsidR="00C0598F" w:rsidRPr="00A25794">
          <w:rPr>
            <w:rStyle w:val="Hyperlink"/>
          </w:rPr>
          <w:t>4</w:t>
        </w:r>
        <w:r w:rsidR="00C0598F">
          <w:rPr>
            <w:rFonts w:ascii="Times New Roman" w:eastAsia="SimSun" w:hAnsi="Times New Roman"/>
            <w:b w:val="0"/>
            <w:sz w:val="24"/>
            <w:szCs w:val="24"/>
            <w:lang w:val="de-DE" w:eastAsia="zh-CN"/>
          </w:rPr>
          <w:tab/>
        </w:r>
        <w:r w:rsidR="00C0598F" w:rsidRPr="00A25794">
          <w:rPr>
            <w:rStyle w:val="Hyperlink"/>
          </w:rPr>
          <w:t>Sampling screening and analysis of POP-PBDEs in articles, products and recycling streams</w:t>
        </w:r>
        <w:r w:rsidR="00C0598F">
          <w:rPr>
            <w:webHidden/>
          </w:rPr>
          <w:tab/>
        </w:r>
        <w:r>
          <w:rPr>
            <w:webHidden/>
          </w:rPr>
          <w:fldChar w:fldCharType="begin"/>
        </w:r>
        <w:r w:rsidR="00C0598F">
          <w:rPr>
            <w:webHidden/>
          </w:rPr>
          <w:instrText xml:space="preserve"> PAGEREF _Toc349335748 \h </w:instrText>
        </w:r>
        <w:r>
          <w:rPr>
            <w:webHidden/>
          </w:rPr>
        </w:r>
        <w:r>
          <w:rPr>
            <w:webHidden/>
          </w:rPr>
          <w:fldChar w:fldCharType="separate"/>
        </w:r>
        <w:r w:rsidR="00C0598F">
          <w:rPr>
            <w:webHidden/>
          </w:rPr>
          <w:t>32</w:t>
        </w:r>
        <w:r>
          <w:rPr>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749" w:history="1">
        <w:r w:rsidR="00C0598F" w:rsidRPr="00A25794">
          <w:rPr>
            <w:rStyle w:val="Hyperlink"/>
            <w:noProof/>
          </w:rPr>
          <w:t>4.1</w:t>
        </w:r>
        <w:r w:rsidR="00C0598F">
          <w:rPr>
            <w:rFonts w:ascii="Times New Roman" w:eastAsia="SimSun" w:hAnsi="Times New Roman"/>
            <w:noProof/>
            <w:sz w:val="24"/>
            <w:szCs w:val="24"/>
            <w:lang w:val="de-DE" w:eastAsia="zh-CN"/>
          </w:rPr>
          <w:tab/>
        </w:r>
        <w:r w:rsidR="00C0598F" w:rsidRPr="00A25794">
          <w:rPr>
            <w:rStyle w:val="Hyperlink"/>
            <w:noProof/>
          </w:rPr>
          <w:t>Products and articles possibly containing PBDE</w:t>
        </w:r>
        <w:r w:rsidR="00C0598F">
          <w:rPr>
            <w:noProof/>
            <w:webHidden/>
          </w:rPr>
          <w:tab/>
        </w:r>
        <w:r>
          <w:rPr>
            <w:noProof/>
            <w:webHidden/>
          </w:rPr>
          <w:fldChar w:fldCharType="begin"/>
        </w:r>
        <w:r w:rsidR="00C0598F">
          <w:rPr>
            <w:noProof/>
            <w:webHidden/>
          </w:rPr>
          <w:instrText xml:space="preserve"> PAGEREF _Toc349335749 \h </w:instrText>
        </w:r>
        <w:r>
          <w:rPr>
            <w:noProof/>
            <w:webHidden/>
          </w:rPr>
        </w:r>
        <w:r>
          <w:rPr>
            <w:noProof/>
            <w:webHidden/>
          </w:rPr>
          <w:fldChar w:fldCharType="separate"/>
        </w:r>
        <w:r w:rsidR="00C0598F">
          <w:rPr>
            <w:noProof/>
            <w:webHidden/>
          </w:rPr>
          <w:t>32</w:t>
        </w:r>
        <w:r>
          <w:rPr>
            <w:noProof/>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750" w:history="1">
        <w:r w:rsidR="00C0598F" w:rsidRPr="00A25794">
          <w:rPr>
            <w:rStyle w:val="Hyperlink"/>
            <w:noProof/>
          </w:rPr>
          <w:t>4.2</w:t>
        </w:r>
        <w:r w:rsidR="00C0598F">
          <w:rPr>
            <w:rFonts w:ascii="Times New Roman" w:eastAsia="SimSun" w:hAnsi="Times New Roman"/>
            <w:noProof/>
            <w:sz w:val="24"/>
            <w:szCs w:val="24"/>
            <w:lang w:val="de-DE" w:eastAsia="zh-CN"/>
          </w:rPr>
          <w:tab/>
        </w:r>
        <w:r w:rsidR="00C0598F" w:rsidRPr="00A25794">
          <w:rPr>
            <w:rStyle w:val="Hyperlink"/>
            <w:noProof/>
          </w:rPr>
          <w:t>Step by step approach for POP-PBDE monitoring in products and articles</w:t>
        </w:r>
        <w:r w:rsidR="00C0598F">
          <w:rPr>
            <w:noProof/>
            <w:webHidden/>
          </w:rPr>
          <w:tab/>
        </w:r>
        <w:r>
          <w:rPr>
            <w:noProof/>
            <w:webHidden/>
          </w:rPr>
          <w:fldChar w:fldCharType="begin"/>
        </w:r>
        <w:r w:rsidR="00C0598F">
          <w:rPr>
            <w:noProof/>
            <w:webHidden/>
          </w:rPr>
          <w:instrText xml:space="preserve"> PAGEREF _Toc349335750 \h </w:instrText>
        </w:r>
        <w:r>
          <w:rPr>
            <w:noProof/>
            <w:webHidden/>
          </w:rPr>
        </w:r>
        <w:r>
          <w:rPr>
            <w:noProof/>
            <w:webHidden/>
          </w:rPr>
          <w:fldChar w:fldCharType="separate"/>
        </w:r>
        <w:r w:rsidR="00C0598F">
          <w:rPr>
            <w:noProof/>
            <w:webHidden/>
          </w:rPr>
          <w:t>32</w:t>
        </w:r>
        <w:r>
          <w:rPr>
            <w:noProof/>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751" w:history="1">
        <w:r w:rsidR="00C0598F" w:rsidRPr="00A25794">
          <w:rPr>
            <w:rStyle w:val="Hyperlink"/>
            <w:noProof/>
          </w:rPr>
          <w:t>4.3</w:t>
        </w:r>
        <w:r w:rsidR="00C0598F">
          <w:rPr>
            <w:rFonts w:ascii="Times New Roman" w:eastAsia="SimSun" w:hAnsi="Times New Roman"/>
            <w:noProof/>
            <w:sz w:val="24"/>
            <w:szCs w:val="24"/>
            <w:lang w:val="de-DE" w:eastAsia="zh-CN"/>
          </w:rPr>
          <w:tab/>
        </w:r>
        <w:r w:rsidR="00C0598F" w:rsidRPr="00A25794">
          <w:rPr>
            <w:rStyle w:val="Hyperlink"/>
            <w:noProof/>
          </w:rPr>
          <w:t>Screening methods for bromine as indication for POP-PBDEs/BFRs</w:t>
        </w:r>
        <w:r w:rsidR="00C0598F">
          <w:rPr>
            <w:noProof/>
            <w:webHidden/>
          </w:rPr>
          <w:tab/>
        </w:r>
        <w:r>
          <w:rPr>
            <w:noProof/>
            <w:webHidden/>
          </w:rPr>
          <w:fldChar w:fldCharType="begin"/>
        </w:r>
        <w:r w:rsidR="00C0598F">
          <w:rPr>
            <w:noProof/>
            <w:webHidden/>
          </w:rPr>
          <w:instrText xml:space="preserve"> PAGEREF _Toc349335751 \h </w:instrText>
        </w:r>
        <w:r>
          <w:rPr>
            <w:noProof/>
            <w:webHidden/>
          </w:rPr>
        </w:r>
        <w:r>
          <w:rPr>
            <w:noProof/>
            <w:webHidden/>
          </w:rPr>
          <w:fldChar w:fldCharType="separate"/>
        </w:r>
        <w:r w:rsidR="00C0598F">
          <w:rPr>
            <w:noProof/>
            <w:webHidden/>
          </w:rPr>
          <w:t>33</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52" w:history="1">
        <w:r w:rsidR="00C0598F" w:rsidRPr="00A25794">
          <w:rPr>
            <w:rStyle w:val="Hyperlink"/>
            <w:noProof/>
            <w:lang w:eastAsia="zh-CN"/>
          </w:rPr>
          <w:t>4.3.1</w:t>
        </w:r>
        <w:r w:rsidR="00C0598F">
          <w:rPr>
            <w:rFonts w:ascii="Times New Roman" w:eastAsia="SimSun" w:hAnsi="Times New Roman"/>
            <w:noProof/>
            <w:sz w:val="24"/>
            <w:szCs w:val="24"/>
            <w:lang w:val="de-DE" w:eastAsia="zh-CN"/>
          </w:rPr>
          <w:tab/>
        </w:r>
        <w:r w:rsidR="00C0598F" w:rsidRPr="00A25794">
          <w:rPr>
            <w:rStyle w:val="Hyperlink"/>
            <w:noProof/>
            <w:lang w:eastAsia="zh-CN"/>
          </w:rPr>
          <w:t>X-ray fluorescence (XRF) (table 4-1)</w:t>
        </w:r>
        <w:r w:rsidR="00C0598F">
          <w:rPr>
            <w:noProof/>
            <w:webHidden/>
          </w:rPr>
          <w:tab/>
        </w:r>
        <w:r>
          <w:rPr>
            <w:noProof/>
            <w:webHidden/>
          </w:rPr>
          <w:fldChar w:fldCharType="begin"/>
        </w:r>
        <w:r w:rsidR="00C0598F">
          <w:rPr>
            <w:noProof/>
            <w:webHidden/>
          </w:rPr>
          <w:instrText xml:space="preserve"> PAGEREF _Toc349335752 \h </w:instrText>
        </w:r>
        <w:r>
          <w:rPr>
            <w:noProof/>
            <w:webHidden/>
          </w:rPr>
        </w:r>
        <w:r>
          <w:rPr>
            <w:noProof/>
            <w:webHidden/>
          </w:rPr>
          <w:fldChar w:fldCharType="separate"/>
        </w:r>
        <w:r w:rsidR="00C0598F">
          <w:rPr>
            <w:noProof/>
            <w:webHidden/>
          </w:rPr>
          <w:t>33</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53" w:history="1">
        <w:r w:rsidR="00C0598F" w:rsidRPr="00A25794">
          <w:rPr>
            <w:rStyle w:val="Hyperlink"/>
            <w:noProof/>
            <w:lang w:eastAsia="zh-CN"/>
          </w:rPr>
          <w:t>4.3.2</w:t>
        </w:r>
        <w:r w:rsidR="00C0598F">
          <w:rPr>
            <w:rFonts w:ascii="Times New Roman" w:eastAsia="SimSun" w:hAnsi="Times New Roman"/>
            <w:noProof/>
            <w:sz w:val="24"/>
            <w:szCs w:val="24"/>
            <w:lang w:val="de-DE" w:eastAsia="zh-CN"/>
          </w:rPr>
          <w:tab/>
        </w:r>
        <w:r w:rsidR="00C0598F" w:rsidRPr="00A25794">
          <w:rPr>
            <w:rStyle w:val="Hyperlink"/>
            <w:noProof/>
            <w:lang w:eastAsia="zh-CN"/>
          </w:rPr>
          <w:t>Sliding spark spectroscopy (table 4-1)</w:t>
        </w:r>
        <w:r w:rsidR="00C0598F">
          <w:rPr>
            <w:noProof/>
            <w:webHidden/>
          </w:rPr>
          <w:tab/>
        </w:r>
        <w:r>
          <w:rPr>
            <w:noProof/>
            <w:webHidden/>
          </w:rPr>
          <w:fldChar w:fldCharType="begin"/>
        </w:r>
        <w:r w:rsidR="00C0598F">
          <w:rPr>
            <w:noProof/>
            <w:webHidden/>
          </w:rPr>
          <w:instrText xml:space="preserve"> PAGEREF _Toc349335753 \h </w:instrText>
        </w:r>
        <w:r>
          <w:rPr>
            <w:noProof/>
            <w:webHidden/>
          </w:rPr>
        </w:r>
        <w:r>
          <w:rPr>
            <w:noProof/>
            <w:webHidden/>
          </w:rPr>
          <w:fldChar w:fldCharType="separate"/>
        </w:r>
        <w:r w:rsidR="00C0598F">
          <w:rPr>
            <w:noProof/>
            <w:webHidden/>
          </w:rPr>
          <w:t>35</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54" w:history="1">
        <w:r w:rsidR="00C0598F" w:rsidRPr="00A25794">
          <w:rPr>
            <w:rStyle w:val="Hyperlink"/>
            <w:noProof/>
            <w:lang w:eastAsia="zh-CN"/>
          </w:rPr>
          <w:t>4.3.3</w:t>
        </w:r>
        <w:r w:rsidR="00C0598F">
          <w:rPr>
            <w:rFonts w:ascii="Times New Roman" w:eastAsia="SimSun" w:hAnsi="Times New Roman"/>
            <w:noProof/>
            <w:sz w:val="24"/>
            <w:szCs w:val="24"/>
            <w:lang w:val="de-DE" w:eastAsia="zh-CN"/>
          </w:rPr>
          <w:tab/>
        </w:r>
        <w:r w:rsidR="00C0598F" w:rsidRPr="00A25794">
          <w:rPr>
            <w:rStyle w:val="Hyperlink"/>
            <w:noProof/>
            <w:lang w:eastAsia="zh-CN"/>
          </w:rPr>
          <w:t>Neutron activation analysis</w:t>
        </w:r>
        <w:r w:rsidR="00C0598F">
          <w:rPr>
            <w:noProof/>
            <w:webHidden/>
          </w:rPr>
          <w:tab/>
        </w:r>
        <w:r>
          <w:rPr>
            <w:noProof/>
            <w:webHidden/>
          </w:rPr>
          <w:fldChar w:fldCharType="begin"/>
        </w:r>
        <w:r w:rsidR="00C0598F">
          <w:rPr>
            <w:noProof/>
            <w:webHidden/>
          </w:rPr>
          <w:instrText xml:space="preserve"> PAGEREF _Toc349335754 \h </w:instrText>
        </w:r>
        <w:r>
          <w:rPr>
            <w:noProof/>
            <w:webHidden/>
          </w:rPr>
        </w:r>
        <w:r>
          <w:rPr>
            <w:noProof/>
            <w:webHidden/>
          </w:rPr>
          <w:fldChar w:fldCharType="separate"/>
        </w:r>
        <w:r w:rsidR="00C0598F">
          <w:rPr>
            <w:noProof/>
            <w:webHidden/>
          </w:rPr>
          <w:t>35</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55" w:history="1">
        <w:r w:rsidR="00C0598F" w:rsidRPr="00A25794">
          <w:rPr>
            <w:rStyle w:val="Hyperlink"/>
            <w:noProof/>
            <w:lang w:eastAsia="zh-CN"/>
          </w:rPr>
          <w:t>4.3.4</w:t>
        </w:r>
        <w:r w:rsidR="00C0598F">
          <w:rPr>
            <w:rFonts w:ascii="Times New Roman" w:eastAsia="SimSun" w:hAnsi="Times New Roman"/>
            <w:noProof/>
            <w:sz w:val="24"/>
            <w:szCs w:val="24"/>
            <w:lang w:val="de-DE" w:eastAsia="zh-CN"/>
          </w:rPr>
          <w:tab/>
        </w:r>
        <w:r w:rsidR="00C0598F" w:rsidRPr="00A25794">
          <w:rPr>
            <w:rStyle w:val="Hyperlink"/>
            <w:noProof/>
            <w:lang w:eastAsia="zh-CN"/>
          </w:rPr>
          <w:t>X-ray transmission technology XRT</w:t>
        </w:r>
        <w:r w:rsidR="00C0598F">
          <w:rPr>
            <w:noProof/>
            <w:webHidden/>
          </w:rPr>
          <w:tab/>
        </w:r>
        <w:r>
          <w:rPr>
            <w:noProof/>
            <w:webHidden/>
          </w:rPr>
          <w:fldChar w:fldCharType="begin"/>
        </w:r>
        <w:r w:rsidR="00C0598F">
          <w:rPr>
            <w:noProof/>
            <w:webHidden/>
          </w:rPr>
          <w:instrText xml:space="preserve"> PAGEREF _Toc349335755 \h </w:instrText>
        </w:r>
        <w:r>
          <w:rPr>
            <w:noProof/>
            <w:webHidden/>
          </w:rPr>
        </w:r>
        <w:r>
          <w:rPr>
            <w:noProof/>
            <w:webHidden/>
          </w:rPr>
          <w:fldChar w:fldCharType="separate"/>
        </w:r>
        <w:r w:rsidR="00C0598F">
          <w:rPr>
            <w:noProof/>
            <w:webHidden/>
          </w:rPr>
          <w:t>35</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56" w:history="1">
        <w:r w:rsidR="00C0598F" w:rsidRPr="00A25794">
          <w:rPr>
            <w:rStyle w:val="Hyperlink"/>
            <w:noProof/>
          </w:rPr>
          <w:t>4.3.5</w:t>
        </w:r>
        <w:r w:rsidR="00C0598F">
          <w:rPr>
            <w:rFonts w:ascii="Times New Roman" w:eastAsia="SimSun" w:hAnsi="Times New Roman"/>
            <w:noProof/>
            <w:sz w:val="24"/>
            <w:szCs w:val="24"/>
            <w:lang w:val="de-DE" w:eastAsia="zh-CN"/>
          </w:rPr>
          <w:tab/>
        </w:r>
        <w:r w:rsidR="00C0598F" w:rsidRPr="00A25794">
          <w:rPr>
            <w:rStyle w:val="Hyperlink"/>
            <w:noProof/>
          </w:rPr>
          <w:t xml:space="preserve">Screening of Bromine by </w:t>
        </w:r>
        <w:r w:rsidR="00C0598F" w:rsidRPr="00A25794">
          <w:rPr>
            <w:rStyle w:val="Hyperlink"/>
            <w:noProof/>
            <w:lang w:eastAsia="zh-CN"/>
          </w:rPr>
          <w:t>combustion-ion chromatography</w:t>
        </w:r>
        <w:r w:rsidR="00C0598F">
          <w:rPr>
            <w:noProof/>
            <w:webHidden/>
          </w:rPr>
          <w:tab/>
        </w:r>
        <w:r>
          <w:rPr>
            <w:noProof/>
            <w:webHidden/>
          </w:rPr>
          <w:fldChar w:fldCharType="begin"/>
        </w:r>
        <w:r w:rsidR="00C0598F">
          <w:rPr>
            <w:noProof/>
            <w:webHidden/>
          </w:rPr>
          <w:instrText xml:space="preserve"> PAGEREF _Toc349335756 \h </w:instrText>
        </w:r>
        <w:r>
          <w:rPr>
            <w:noProof/>
            <w:webHidden/>
          </w:rPr>
        </w:r>
        <w:r>
          <w:rPr>
            <w:noProof/>
            <w:webHidden/>
          </w:rPr>
          <w:fldChar w:fldCharType="separate"/>
        </w:r>
        <w:r w:rsidR="00C0598F">
          <w:rPr>
            <w:noProof/>
            <w:webHidden/>
          </w:rPr>
          <w:t>36</w:t>
        </w:r>
        <w:r>
          <w:rPr>
            <w:noProof/>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757" w:history="1">
        <w:r w:rsidR="00C0598F" w:rsidRPr="00A25794">
          <w:rPr>
            <w:rStyle w:val="Hyperlink"/>
            <w:noProof/>
          </w:rPr>
          <w:t>4.4</w:t>
        </w:r>
        <w:r w:rsidR="00C0598F">
          <w:rPr>
            <w:rFonts w:ascii="Times New Roman" w:eastAsia="SimSun" w:hAnsi="Times New Roman"/>
            <w:noProof/>
            <w:sz w:val="24"/>
            <w:szCs w:val="24"/>
            <w:lang w:val="de-DE" w:eastAsia="zh-CN"/>
          </w:rPr>
          <w:tab/>
        </w:r>
        <w:r w:rsidR="00C0598F" w:rsidRPr="00A25794">
          <w:rPr>
            <w:rStyle w:val="Hyperlink"/>
            <w:noProof/>
          </w:rPr>
          <w:t>Sample preparation, extraction and clean-up</w:t>
        </w:r>
        <w:r w:rsidR="00C0598F">
          <w:rPr>
            <w:noProof/>
            <w:webHidden/>
          </w:rPr>
          <w:tab/>
        </w:r>
        <w:r>
          <w:rPr>
            <w:noProof/>
            <w:webHidden/>
          </w:rPr>
          <w:fldChar w:fldCharType="begin"/>
        </w:r>
        <w:r w:rsidR="00C0598F">
          <w:rPr>
            <w:noProof/>
            <w:webHidden/>
          </w:rPr>
          <w:instrText xml:space="preserve"> PAGEREF _Toc349335757 \h </w:instrText>
        </w:r>
        <w:r>
          <w:rPr>
            <w:noProof/>
            <w:webHidden/>
          </w:rPr>
        </w:r>
        <w:r>
          <w:rPr>
            <w:noProof/>
            <w:webHidden/>
          </w:rPr>
          <w:fldChar w:fldCharType="separate"/>
        </w:r>
        <w:r w:rsidR="00C0598F">
          <w:rPr>
            <w:noProof/>
            <w:webHidden/>
          </w:rPr>
          <w:t>36</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58" w:history="1">
        <w:r w:rsidR="00C0598F" w:rsidRPr="00A25794">
          <w:rPr>
            <w:rStyle w:val="Hyperlink"/>
            <w:rFonts w:eastAsia="Times-Roman"/>
            <w:noProof/>
          </w:rPr>
          <w:t>4.4.1</w:t>
        </w:r>
        <w:r w:rsidR="00C0598F">
          <w:rPr>
            <w:rFonts w:ascii="Times New Roman" w:eastAsia="SimSun" w:hAnsi="Times New Roman"/>
            <w:noProof/>
            <w:sz w:val="24"/>
            <w:szCs w:val="24"/>
            <w:lang w:val="de-DE" w:eastAsia="zh-CN"/>
          </w:rPr>
          <w:tab/>
        </w:r>
        <w:r w:rsidR="00C0598F" w:rsidRPr="00A25794">
          <w:rPr>
            <w:rStyle w:val="Hyperlink"/>
            <w:rFonts w:eastAsia="Times-Roman"/>
            <w:noProof/>
          </w:rPr>
          <w:t>Preparation of plastic samples</w:t>
        </w:r>
        <w:r w:rsidR="00C0598F">
          <w:rPr>
            <w:noProof/>
            <w:webHidden/>
          </w:rPr>
          <w:tab/>
        </w:r>
        <w:r>
          <w:rPr>
            <w:noProof/>
            <w:webHidden/>
          </w:rPr>
          <w:fldChar w:fldCharType="begin"/>
        </w:r>
        <w:r w:rsidR="00C0598F">
          <w:rPr>
            <w:noProof/>
            <w:webHidden/>
          </w:rPr>
          <w:instrText xml:space="preserve"> PAGEREF _Toc349335758 \h </w:instrText>
        </w:r>
        <w:r>
          <w:rPr>
            <w:noProof/>
            <w:webHidden/>
          </w:rPr>
        </w:r>
        <w:r>
          <w:rPr>
            <w:noProof/>
            <w:webHidden/>
          </w:rPr>
          <w:fldChar w:fldCharType="separate"/>
        </w:r>
        <w:r w:rsidR="00C0598F">
          <w:rPr>
            <w:noProof/>
            <w:webHidden/>
          </w:rPr>
          <w:t>37</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59" w:history="1">
        <w:r w:rsidR="00C0598F" w:rsidRPr="00A25794">
          <w:rPr>
            <w:rStyle w:val="Hyperlink"/>
            <w:rFonts w:eastAsia="Times-Roman"/>
            <w:noProof/>
          </w:rPr>
          <w:t>4.4.2</w:t>
        </w:r>
        <w:r w:rsidR="00C0598F">
          <w:rPr>
            <w:rFonts w:ascii="Times New Roman" w:eastAsia="SimSun" w:hAnsi="Times New Roman"/>
            <w:noProof/>
            <w:sz w:val="24"/>
            <w:szCs w:val="24"/>
            <w:lang w:val="de-DE" w:eastAsia="zh-CN"/>
          </w:rPr>
          <w:tab/>
        </w:r>
        <w:r w:rsidR="00C0598F" w:rsidRPr="00A25794">
          <w:rPr>
            <w:rStyle w:val="Hyperlink"/>
            <w:rFonts w:eastAsia="Times-Roman"/>
            <w:noProof/>
          </w:rPr>
          <w:t>Extraction of POP-PBDE and other BFRs from polymers</w:t>
        </w:r>
        <w:r w:rsidR="00C0598F">
          <w:rPr>
            <w:noProof/>
            <w:webHidden/>
          </w:rPr>
          <w:tab/>
        </w:r>
        <w:r>
          <w:rPr>
            <w:noProof/>
            <w:webHidden/>
          </w:rPr>
          <w:fldChar w:fldCharType="begin"/>
        </w:r>
        <w:r w:rsidR="00C0598F">
          <w:rPr>
            <w:noProof/>
            <w:webHidden/>
          </w:rPr>
          <w:instrText xml:space="preserve"> PAGEREF _Toc349335759 \h </w:instrText>
        </w:r>
        <w:r>
          <w:rPr>
            <w:noProof/>
            <w:webHidden/>
          </w:rPr>
        </w:r>
        <w:r>
          <w:rPr>
            <w:noProof/>
            <w:webHidden/>
          </w:rPr>
          <w:fldChar w:fldCharType="separate"/>
        </w:r>
        <w:r w:rsidR="00C0598F">
          <w:rPr>
            <w:noProof/>
            <w:webHidden/>
          </w:rPr>
          <w:t>37</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60" w:history="1">
        <w:r w:rsidR="00C0598F" w:rsidRPr="00A25794">
          <w:rPr>
            <w:rStyle w:val="Hyperlink"/>
            <w:noProof/>
          </w:rPr>
          <w:t>4.4.3</w:t>
        </w:r>
        <w:r w:rsidR="00C0598F">
          <w:rPr>
            <w:rFonts w:ascii="Times New Roman" w:eastAsia="SimSun" w:hAnsi="Times New Roman"/>
            <w:noProof/>
            <w:sz w:val="24"/>
            <w:szCs w:val="24"/>
            <w:lang w:val="de-DE" w:eastAsia="zh-CN"/>
          </w:rPr>
          <w:tab/>
        </w:r>
        <w:r w:rsidR="00C0598F" w:rsidRPr="00A25794">
          <w:rPr>
            <w:rStyle w:val="Hyperlink"/>
            <w:noProof/>
          </w:rPr>
          <w:t>Extraction of flexible and rigid polyurethane foam (Bergmann 2006)</w:t>
        </w:r>
        <w:r w:rsidR="00C0598F">
          <w:rPr>
            <w:noProof/>
            <w:webHidden/>
          </w:rPr>
          <w:tab/>
        </w:r>
        <w:r>
          <w:rPr>
            <w:noProof/>
            <w:webHidden/>
          </w:rPr>
          <w:fldChar w:fldCharType="begin"/>
        </w:r>
        <w:r w:rsidR="00C0598F">
          <w:rPr>
            <w:noProof/>
            <w:webHidden/>
          </w:rPr>
          <w:instrText xml:space="preserve"> PAGEREF _Toc349335760 \h </w:instrText>
        </w:r>
        <w:r>
          <w:rPr>
            <w:noProof/>
            <w:webHidden/>
          </w:rPr>
        </w:r>
        <w:r>
          <w:rPr>
            <w:noProof/>
            <w:webHidden/>
          </w:rPr>
          <w:fldChar w:fldCharType="separate"/>
        </w:r>
        <w:r w:rsidR="00C0598F">
          <w:rPr>
            <w:noProof/>
            <w:webHidden/>
          </w:rPr>
          <w:t>40</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61" w:history="1">
        <w:r w:rsidR="00C0598F" w:rsidRPr="00A25794">
          <w:rPr>
            <w:rStyle w:val="Hyperlink"/>
            <w:noProof/>
          </w:rPr>
          <w:t>4.4.4</w:t>
        </w:r>
        <w:r w:rsidR="00C0598F">
          <w:rPr>
            <w:rFonts w:ascii="Times New Roman" w:eastAsia="SimSun" w:hAnsi="Times New Roman"/>
            <w:noProof/>
            <w:sz w:val="24"/>
            <w:szCs w:val="24"/>
            <w:lang w:val="de-DE" w:eastAsia="zh-CN"/>
          </w:rPr>
          <w:tab/>
        </w:r>
        <w:r w:rsidR="00C0598F" w:rsidRPr="00A25794">
          <w:rPr>
            <w:rStyle w:val="Hyperlink"/>
            <w:noProof/>
          </w:rPr>
          <w:t>Specific considerations on quality assurance</w:t>
        </w:r>
        <w:r w:rsidR="00C0598F">
          <w:rPr>
            <w:noProof/>
            <w:webHidden/>
          </w:rPr>
          <w:tab/>
        </w:r>
        <w:r>
          <w:rPr>
            <w:noProof/>
            <w:webHidden/>
          </w:rPr>
          <w:fldChar w:fldCharType="begin"/>
        </w:r>
        <w:r w:rsidR="00C0598F">
          <w:rPr>
            <w:noProof/>
            <w:webHidden/>
          </w:rPr>
          <w:instrText xml:space="preserve"> PAGEREF _Toc349335761 \h </w:instrText>
        </w:r>
        <w:r>
          <w:rPr>
            <w:noProof/>
            <w:webHidden/>
          </w:rPr>
        </w:r>
        <w:r>
          <w:rPr>
            <w:noProof/>
            <w:webHidden/>
          </w:rPr>
          <w:fldChar w:fldCharType="separate"/>
        </w:r>
        <w:r w:rsidR="00C0598F">
          <w:rPr>
            <w:noProof/>
            <w:webHidden/>
          </w:rPr>
          <w:t>40</w:t>
        </w:r>
        <w:r>
          <w:rPr>
            <w:noProof/>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762" w:history="1">
        <w:r w:rsidR="00C0598F" w:rsidRPr="00A25794">
          <w:rPr>
            <w:rStyle w:val="Hyperlink"/>
            <w:noProof/>
            <w:lang w:val="fr-CH"/>
          </w:rPr>
          <w:t>4.5</w:t>
        </w:r>
        <w:r w:rsidR="00C0598F">
          <w:rPr>
            <w:rFonts w:ascii="Times New Roman" w:eastAsia="SimSun" w:hAnsi="Times New Roman"/>
            <w:noProof/>
            <w:sz w:val="24"/>
            <w:szCs w:val="24"/>
            <w:lang w:val="de-DE" w:eastAsia="zh-CN"/>
          </w:rPr>
          <w:tab/>
        </w:r>
        <w:r w:rsidR="00C0598F" w:rsidRPr="00A25794">
          <w:rPr>
            <w:rStyle w:val="Hyperlink"/>
            <w:noProof/>
            <w:lang w:val="fr-CH"/>
          </w:rPr>
          <w:t>Quantitative (and semi-quantitative) analysis</w:t>
        </w:r>
        <w:r w:rsidR="00C0598F">
          <w:rPr>
            <w:noProof/>
            <w:webHidden/>
          </w:rPr>
          <w:tab/>
        </w:r>
        <w:r>
          <w:rPr>
            <w:noProof/>
            <w:webHidden/>
          </w:rPr>
          <w:fldChar w:fldCharType="begin"/>
        </w:r>
        <w:r w:rsidR="00C0598F">
          <w:rPr>
            <w:noProof/>
            <w:webHidden/>
          </w:rPr>
          <w:instrText xml:space="preserve"> PAGEREF _Toc349335762 \h </w:instrText>
        </w:r>
        <w:r>
          <w:rPr>
            <w:noProof/>
            <w:webHidden/>
          </w:rPr>
        </w:r>
        <w:r>
          <w:rPr>
            <w:noProof/>
            <w:webHidden/>
          </w:rPr>
          <w:fldChar w:fldCharType="separate"/>
        </w:r>
        <w:r w:rsidR="00C0598F">
          <w:rPr>
            <w:noProof/>
            <w:webHidden/>
          </w:rPr>
          <w:t>40</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63" w:history="1">
        <w:r w:rsidR="00C0598F" w:rsidRPr="00A25794">
          <w:rPr>
            <w:rStyle w:val="Hyperlink"/>
            <w:noProof/>
          </w:rPr>
          <w:t>4.5.1</w:t>
        </w:r>
        <w:r w:rsidR="00C0598F">
          <w:rPr>
            <w:rFonts w:ascii="Times New Roman" w:eastAsia="SimSun" w:hAnsi="Times New Roman"/>
            <w:noProof/>
            <w:sz w:val="24"/>
            <w:szCs w:val="24"/>
            <w:lang w:val="de-DE" w:eastAsia="zh-CN"/>
          </w:rPr>
          <w:tab/>
        </w:r>
        <w:r w:rsidR="00C0598F" w:rsidRPr="00A25794">
          <w:rPr>
            <w:rStyle w:val="Hyperlink"/>
            <w:noProof/>
          </w:rPr>
          <w:t>POP-PBDE relevant to the Stockholm Convention and measurement standards</w:t>
        </w:r>
        <w:r w:rsidR="00C0598F">
          <w:rPr>
            <w:noProof/>
            <w:webHidden/>
          </w:rPr>
          <w:tab/>
        </w:r>
        <w:r>
          <w:rPr>
            <w:noProof/>
            <w:webHidden/>
          </w:rPr>
          <w:fldChar w:fldCharType="begin"/>
        </w:r>
        <w:r w:rsidR="00C0598F">
          <w:rPr>
            <w:noProof/>
            <w:webHidden/>
          </w:rPr>
          <w:instrText xml:space="preserve"> PAGEREF _Toc349335763 \h </w:instrText>
        </w:r>
        <w:r>
          <w:rPr>
            <w:noProof/>
            <w:webHidden/>
          </w:rPr>
        </w:r>
        <w:r>
          <w:rPr>
            <w:noProof/>
            <w:webHidden/>
          </w:rPr>
          <w:fldChar w:fldCharType="separate"/>
        </w:r>
        <w:r w:rsidR="00C0598F">
          <w:rPr>
            <w:noProof/>
            <w:webHidden/>
          </w:rPr>
          <w:t>40</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64" w:history="1">
        <w:r w:rsidR="00C0598F" w:rsidRPr="00A25794">
          <w:rPr>
            <w:rStyle w:val="Hyperlink"/>
            <w:noProof/>
          </w:rPr>
          <w:t>4.5.2</w:t>
        </w:r>
        <w:r w:rsidR="00C0598F">
          <w:rPr>
            <w:rFonts w:ascii="Times New Roman" w:eastAsia="SimSun" w:hAnsi="Times New Roman"/>
            <w:noProof/>
            <w:sz w:val="24"/>
            <w:szCs w:val="24"/>
            <w:lang w:val="de-DE" w:eastAsia="zh-CN"/>
          </w:rPr>
          <w:tab/>
        </w:r>
        <w:r w:rsidR="00C0598F" w:rsidRPr="00A25794">
          <w:rPr>
            <w:rStyle w:val="Hyperlink"/>
            <w:rFonts w:eastAsia="Times-Roman"/>
            <w:noProof/>
          </w:rPr>
          <w:t xml:space="preserve">Instrumental analysis of </w:t>
        </w:r>
        <w:r w:rsidR="00C0598F" w:rsidRPr="00A25794">
          <w:rPr>
            <w:rStyle w:val="Hyperlink"/>
            <w:noProof/>
          </w:rPr>
          <w:t>POP-PBDEs</w:t>
        </w:r>
        <w:r w:rsidR="00C0598F">
          <w:rPr>
            <w:noProof/>
            <w:webHidden/>
          </w:rPr>
          <w:tab/>
        </w:r>
        <w:r>
          <w:rPr>
            <w:noProof/>
            <w:webHidden/>
          </w:rPr>
          <w:fldChar w:fldCharType="begin"/>
        </w:r>
        <w:r w:rsidR="00C0598F">
          <w:rPr>
            <w:noProof/>
            <w:webHidden/>
          </w:rPr>
          <w:instrText xml:space="preserve"> PAGEREF _Toc349335764 \h </w:instrText>
        </w:r>
        <w:r>
          <w:rPr>
            <w:noProof/>
            <w:webHidden/>
          </w:rPr>
        </w:r>
        <w:r>
          <w:rPr>
            <w:noProof/>
            <w:webHidden/>
          </w:rPr>
          <w:fldChar w:fldCharType="separate"/>
        </w:r>
        <w:r w:rsidR="00C0598F">
          <w:rPr>
            <w:noProof/>
            <w:webHidden/>
          </w:rPr>
          <w:t>41</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65" w:history="1">
        <w:r w:rsidR="00C0598F" w:rsidRPr="00A25794">
          <w:rPr>
            <w:rStyle w:val="Hyperlink"/>
            <w:noProof/>
          </w:rPr>
          <w:t>4.5.3</w:t>
        </w:r>
        <w:r w:rsidR="00C0598F">
          <w:rPr>
            <w:rFonts w:ascii="Times New Roman" w:eastAsia="SimSun" w:hAnsi="Times New Roman"/>
            <w:noProof/>
            <w:sz w:val="24"/>
            <w:szCs w:val="24"/>
            <w:lang w:val="de-DE" w:eastAsia="zh-CN"/>
          </w:rPr>
          <w:tab/>
        </w:r>
        <w:r w:rsidR="00C0598F" w:rsidRPr="00A25794">
          <w:rPr>
            <w:rStyle w:val="Hyperlink"/>
            <w:noProof/>
          </w:rPr>
          <w:t>Example of a GC/MS setting and parameters for POP-PBDEs (and HBB)</w:t>
        </w:r>
        <w:r w:rsidR="00C0598F">
          <w:rPr>
            <w:noProof/>
            <w:webHidden/>
          </w:rPr>
          <w:tab/>
        </w:r>
        <w:r>
          <w:rPr>
            <w:noProof/>
            <w:webHidden/>
          </w:rPr>
          <w:fldChar w:fldCharType="begin"/>
        </w:r>
        <w:r w:rsidR="00C0598F">
          <w:rPr>
            <w:noProof/>
            <w:webHidden/>
          </w:rPr>
          <w:instrText xml:space="preserve"> PAGEREF _Toc349335765 \h </w:instrText>
        </w:r>
        <w:r>
          <w:rPr>
            <w:noProof/>
            <w:webHidden/>
          </w:rPr>
        </w:r>
        <w:r>
          <w:rPr>
            <w:noProof/>
            <w:webHidden/>
          </w:rPr>
          <w:fldChar w:fldCharType="separate"/>
        </w:r>
        <w:r w:rsidR="00C0598F">
          <w:rPr>
            <w:noProof/>
            <w:webHidden/>
          </w:rPr>
          <w:t>44</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66" w:history="1">
        <w:r w:rsidR="00C0598F" w:rsidRPr="00A25794">
          <w:rPr>
            <w:rStyle w:val="Hyperlink"/>
            <w:bCs/>
            <w:noProof/>
            <w:lang w:eastAsia="zh-CN"/>
          </w:rPr>
          <w:t>4.5.4</w:t>
        </w:r>
        <w:r w:rsidR="00C0598F">
          <w:rPr>
            <w:rFonts w:ascii="Times New Roman" w:eastAsia="SimSun" w:hAnsi="Times New Roman"/>
            <w:noProof/>
            <w:sz w:val="24"/>
            <w:szCs w:val="24"/>
            <w:lang w:val="de-DE" w:eastAsia="zh-CN"/>
          </w:rPr>
          <w:tab/>
        </w:r>
        <w:r w:rsidR="00C0598F" w:rsidRPr="00A25794">
          <w:rPr>
            <w:rStyle w:val="Hyperlink"/>
            <w:bCs/>
            <w:noProof/>
            <w:lang w:eastAsia="zh-CN"/>
          </w:rPr>
          <w:t>International and national standards for PBDE analysis</w:t>
        </w:r>
        <w:r w:rsidR="00C0598F">
          <w:rPr>
            <w:noProof/>
            <w:webHidden/>
          </w:rPr>
          <w:tab/>
        </w:r>
        <w:r>
          <w:rPr>
            <w:noProof/>
            <w:webHidden/>
          </w:rPr>
          <w:fldChar w:fldCharType="begin"/>
        </w:r>
        <w:r w:rsidR="00C0598F">
          <w:rPr>
            <w:noProof/>
            <w:webHidden/>
          </w:rPr>
          <w:instrText xml:space="preserve"> PAGEREF _Toc349335766 \h </w:instrText>
        </w:r>
        <w:r>
          <w:rPr>
            <w:noProof/>
            <w:webHidden/>
          </w:rPr>
        </w:r>
        <w:r>
          <w:rPr>
            <w:noProof/>
            <w:webHidden/>
          </w:rPr>
          <w:fldChar w:fldCharType="separate"/>
        </w:r>
        <w:r w:rsidR="00C0598F">
          <w:rPr>
            <w:noProof/>
            <w:webHidden/>
          </w:rPr>
          <w:t>44</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67" w:history="1">
        <w:r w:rsidR="00C0598F" w:rsidRPr="00A25794">
          <w:rPr>
            <w:rStyle w:val="Hyperlink"/>
            <w:noProof/>
          </w:rPr>
          <w:t>4.5.5</w:t>
        </w:r>
        <w:r w:rsidR="00C0598F">
          <w:rPr>
            <w:rFonts w:ascii="Times New Roman" w:eastAsia="SimSun" w:hAnsi="Times New Roman"/>
            <w:noProof/>
            <w:sz w:val="24"/>
            <w:szCs w:val="24"/>
            <w:lang w:val="de-DE" w:eastAsia="zh-CN"/>
          </w:rPr>
          <w:tab/>
        </w:r>
        <w:r w:rsidR="00C0598F" w:rsidRPr="00A25794">
          <w:rPr>
            <w:rStyle w:val="Hyperlink"/>
            <w:noProof/>
          </w:rPr>
          <w:t>Rapid determination techniques for PBDE analysis with minimised clean-up</w:t>
        </w:r>
        <w:r w:rsidR="00C0598F">
          <w:rPr>
            <w:noProof/>
            <w:webHidden/>
          </w:rPr>
          <w:tab/>
        </w:r>
        <w:r>
          <w:rPr>
            <w:noProof/>
            <w:webHidden/>
          </w:rPr>
          <w:fldChar w:fldCharType="begin"/>
        </w:r>
        <w:r w:rsidR="00C0598F">
          <w:rPr>
            <w:noProof/>
            <w:webHidden/>
          </w:rPr>
          <w:instrText xml:space="preserve"> PAGEREF _Toc349335767 \h </w:instrText>
        </w:r>
        <w:r>
          <w:rPr>
            <w:noProof/>
            <w:webHidden/>
          </w:rPr>
        </w:r>
        <w:r>
          <w:rPr>
            <w:noProof/>
            <w:webHidden/>
          </w:rPr>
          <w:fldChar w:fldCharType="separate"/>
        </w:r>
        <w:r w:rsidR="00C0598F">
          <w:rPr>
            <w:noProof/>
            <w:webHidden/>
          </w:rPr>
          <w:t>45</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68" w:history="1">
        <w:r w:rsidR="00C0598F" w:rsidRPr="00A25794">
          <w:rPr>
            <w:rStyle w:val="Hyperlink"/>
            <w:noProof/>
            <w:lang w:eastAsia="zh-CN"/>
          </w:rPr>
          <w:t>4.5.6</w:t>
        </w:r>
        <w:r w:rsidR="00C0598F">
          <w:rPr>
            <w:rFonts w:ascii="Times New Roman" w:eastAsia="SimSun" w:hAnsi="Times New Roman"/>
            <w:noProof/>
            <w:sz w:val="24"/>
            <w:szCs w:val="24"/>
            <w:lang w:val="de-DE" w:eastAsia="zh-CN"/>
          </w:rPr>
          <w:tab/>
        </w:r>
        <w:r w:rsidR="00C0598F" w:rsidRPr="00A25794">
          <w:rPr>
            <w:rStyle w:val="Hyperlink"/>
            <w:noProof/>
            <w:lang w:eastAsia="zh-CN"/>
          </w:rPr>
          <w:t>Commercial availability of PBDE analysis</w:t>
        </w:r>
        <w:r w:rsidR="00C0598F">
          <w:rPr>
            <w:noProof/>
            <w:webHidden/>
          </w:rPr>
          <w:tab/>
        </w:r>
        <w:r>
          <w:rPr>
            <w:noProof/>
            <w:webHidden/>
          </w:rPr>
          <w:fldChar w:fldCharType="begin"/>
        </w:r>
        <w:r w:rsidR="00C0598F">
          <w:rPr>
            <w:noProof/>
            <w:webHidden/>
          </w:rPr>
          <w:instrText xml:space="preserve"> PAGEREF _Toc349335768 \h </w:instrText>
        </w:r>
        <w:r>
          <w:rPr>
            <w:noProof/>
            <w:webHidden/>
          </w:rPr>
        </w:r>
        <w:r>
          <w:rPr>
            <w:noProof/>
            <w:webHidden/>
          </w:rPr>
          <w:fldChar w:fldCharType="separate"/>
        </w:r>
        <w:r w:rsidR="00C0598F">
          <w:rPr>
            <w:noProof/>
            <w:webHidden/>
          </w:rPr>
          <w:t>45</w:t>
        </w:r>
        <w:r>
          <w:rPr>
            <w:noProof/>
            <w:webHidden/>
          </w:rPr>
          <w:fldChar w:fldCharType="end"/>
        </w:r>
      </w:hyperlink>
    </w:p>
    <w:p w:rsidR="00C0598F" w:rsidRDefault="00322F03">
      <w:pPr>
        <w:pStyle w:val="TOC1"/>
        <w:rPr>
          <w:rFonts w:ascii="Times New Roman" w:eastAsia="SimSun" w:hAnsi="Times New Roman"/>
          <w:b w:val="0"/>
          <w:sz w:val="24"/>
          <w:szCs w:val="24"/>
          <w:lang w:val="de-DE" w:eastAsia="zh-CN"/>
        </w:rPr>
      </w:pPr>
      <w:hyperlink w:anchor="_Toc349335769" w:history="1">
        <w:r w:rsidR="00C0598F" w:rsidRPr="00A25794">
          <w:rPr>
            <w:rStyle w:val="Hyperlink"/>
          </w:rPr>
          <w:t>5</w:t>
        </w:r>
        <w:r w:rsidR="00C0598F">
          <w:rPr>
            <w:rFonts w:ascii="Times New Roman" w:eastAsia="SimSun" w:hAnsi="Times New Roman"/>
            <w:b w:val="0"/>
            <w:sz w:val="24"/>
            <w:szCs w:val="24"/>
            <w:lang w:val="de-DE" w:eastAsia="zh-CN"/>
          </w:rPr>
          <w:tab/>
        </w:r>
        <w:r w:rsidR="00C0598F" w:rsidRPr="00A25794">
          <w:rPr>
            <w:rStyle w:val="Hyperlink"/>
          </w:rPr>
          <w:t>Sampling and analysis of Chlordecone in products and articles</w:t>
        </w:r>
        <w:r w:rsidR="00C0598F">
          <w:rPr>
            <w:webHidden/>
          </w:rPr>
          <w:tab/>
        </w:r>
        <w:r>
          <w:rPr>
            <w:webHidden/>
          </w:rPr>
          <w:fldChar w:fldCharType="begin"/>
        </w:r>
        <w:r w:rsidR="00C0598F">
          <w:rPr>
            <w:webHidden/>
          </w:rPr>
          <w:instrText xml:space="preserve"> PAGEREF _Toc349335769 \h </w:instrText>
        </w:r>
        <w:r>
          <w:rPr>
            <w:webHidden/>
          </w:rPr>
        </w:r>
        <w:r>
          <w:rPr>
            <w:webHidden/>
          </w:rPr>
          <w:fldChar w:fldCharType="separate"/>
        </w:r>
        <w:r w:rsidR="00C0598F">
          <w:rPr>
            <w:webHidden/>
          </w:rPr>
          <w:t>47</w:t>
        </w:r>
        <w:r>
          <w:rPr>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770" w:history="1">
        <w:r w:rsidR="00C0598F" w:rsidRPr="00A25794">
          <w:rPr>
            <w:rStyle w:val="Hyperlink"/>
            <w:noProof/>
          </w:rPr>
          <w:t>5.1</w:t>
        </w:r>
        <w:r w:rsidR="00C0598F">
          <w:rPr>
            <w:rFonts w:ascii="Times New Roman" w:eastAsia="SimSun" w:hAnsi="Times New Roman"/>
            <w:noProof/>
            <w:sz w:val="24"/>
            <w:szCs w:val="24"/>
            <w:lang w:val="de-DE" w:eastAsia="zh-CN"/>
          </w:rPr>
          <w:tab/>
        </w:r>
        <w:r w:rsidR="00C0598F" w:rsidRPr="00A25794">
          <w:rPr>
            <w:rStyle w:val="Hyperlink"/>
            <w:noProof/>
          </w:rPr>
          <w:t>Products and articles possibly containing chlordecone</w:t>
        </w:r>
        <w:r w:rsidR="00C0598F">
          <w:rPr>
            <w:noProof/>
            <w:webHidden/>
          </w:rPr>
          <w:tab/>
        </w:r>
        <w:r>
          <w:rPr>
            <w:noProof/>
            <w:webHidden/>
          </w:rPr>
          <w:fldChar w:fldCharType="begin"/>
        </w:r>
        <w:r w:rsidR="00C0598F">
          <w:rPr>
            <w:noProof/>
            <w:webHidden/>
          </w:rPr>
          <w:instrText xml:space="preserve"> PAGEREF _Toc349335770 \h </w:instrText>
        </w:r>
        <w:r>
          <w:rPr>
            <w:noProof/>
            <w:webHidden/>
          </w:rPr>
        </w:r>
        <w:r>
          <w:rPr>
            <w:noProof/>
            <w:webHidden/>
          </w:rPr>
          <w:fldChar w:fldCharType="separate"/>
        </w:r>
        <w:r w:rsidR="00C0598F">
          <w:rPr>
            <w:noProof/>
            <w:webHidden/>
          </w:rPr>
          <w:t>47</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71" w:history="1">
        <w:r w:rsidR="00C0598F" w:rsidRPr="00A25794">
          <w:rPr>
            <w:rStyle w:val="Hyperlink"/>
            <w:noProof/>
          </w:rPr>
          <w:t>5.1.1</w:t>
        </w:r>
        <w:r w:rsidR="00C0598F">
          <w:rPr>
            <w:rFonts w:ascii="Times New Roman" w:eastAsia="SimSun" w:hAnsi="Times New Roman"/>
            <w:noProof/>
            <w:sz w:val="24"/>
            <w:szCs w:val="24"/>
            <w:lang w:val="de-DE" w:eastAsia="zh-CN"/>
          </w:rPr>
          <w:tab/>
        </w:r>
        <w:r w:rsidR="00C0598F" w:rsidRPr="00A25794">
          <w:rPr>
            <w:rStyle w:val="Hyperlink"/>
            <w:noProof/>
          </w:rPr>
          <w:t>Food products</w:t>
        </w:r>
        <w:r w:rsidR="00C0598F">
          <w:rPr>
            <w:noProof/>
            <w:webHidden/>
          </w:rPr>
          <w:tab/>
        </w:r>
        <w:r>
          <w:rPr>
            <w:noProof/>
            <w:webHidden/>
          </w:rPr>
          <w:fldChar w:fldCharType="begin"/>
        </w:r>
        <w:r w:rsidR="00C0598F">
          <w:rPr>
            <w:noProof/>
            <w:webHidden/>
          </w:rPr>
          <w:instrText xml:space="preserve"> PAGEREF _Toc349335771 \h </w:instrText>
        </w:r>
        <w:r>
          <w:rPr>
            <w:noProof/>
            <w:webHidden/>
          </w:rPr>
        </w:r>
        <w:r>
          <w:rPr>
            <w:noProof/>
            <w:webHidden/>
          </w:rPr>
          <w:fldChar w:fldCharType="separate"/>
        </w:r>
        <w:r w:rsidR="00C0598F">
          <w:rPr>
            <w:noProof/>
            <w:webHidden/>
          </w:rPr>
          <w:t>47</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72" w:history="1">
        <w:r w:rsidR="00C0598F" w:rsidRPr="00A25794">
          <w:rPr>
            <w:rStyle w:val="Hyperlink"/>
            <w:noProof/>
          </w:rPr>
          <w:t>5.1.2</w:t>
        </w:r>
        <w:r w:rsidR="00C0598F">
          <w:rPr>
            <w:rFonts w:ascii="Times New Roman" w:eastAsia="SimSun" w:hAnsi="Times New Roman"/>
            <w:noProof/>
            <w:sz w:val="24"/>
            <w:szCs w:val="24"/>
            <w:lang w:val="de-DE" w:eastAsia="zh-CN"/>
          </w:rPr>
          <w:tab/>
        </w:r>
        <w:r w:rsidR="00C0598F" w:rsidRPr="00A25794">
          <w:rPr>
            <w:rStyle w:val="Hyperlink"/>
            <w:noProof/>
          </w:rPr>
          <w:t>Unintentional trace contaminants in chemicals produced from hexachlorocyclopentadiene</w:t>
        </w:r>
        <w:r w:rsidR="00C0598F">
          <w:rPr>
            <w:noProof/>
            <w:webHidden/>
          </w:rPr>
          <w:tab/>
        </w:r>
        <w:r>
          <w:rPr>
            <w:noProof/>
            <w:webHidden/>
          </w:rPr>
          <w:fldChar w:fldCharType="begin"/>
        </w:r>
        <w:r w:rsidR="00C0598F">
          <w:rPr>
            <w:noProof/>
            <w:webHidden/>
          </w:rPr>
          <w:instrText xml:space="preserve"> PAGEREF _Toc349335772 \h </w:instrText>
        </w:r>
        <w:r>
          <w:rPr>
            <w:noProof/>
            <w:webHidden/>
          </w:rPr>
        </w:r>
        <w:r>
          <w:rPr>
            <w:noProof/>
            <w:webHidden/>
          </w:rPr>
          <w:fldChar w:fldCharType="separate"/>
        </w:r>
        <w:r w:rsidR="00C0598F">
          <w:rPr>
            <w:noProof/>
            <w:webHidden/>
          </w:rPr>
          <w:t>47</w:t>
        </w:r>
        <w:r>
          <w:rPr>
            <w:noProof/>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773" w:history="1">
        <w:r w:rsidR="00C0598F" w:rsidRPr="00A25794">
          <w:rPr>
            <w:rStyle w:val="Hyperlink"/>
            <w:noProof/>
          </w:rPr>
          <w:t>5.2</w:t>
        </w:r>
        <w:r w:rsidR="00C0598F">
          <w:rPr>
            <w:rFonts w:ascii="Times New Roman" w:eastAsia="SimSun" w:hAnsi="Times New Roman"/>
            <w:noProof/>
            <w:sz w:val="24"/>
            <w:szCs w:val="24"/>
            <w:lang w:val="de-DE" w:eastAsia="zh-CN"/>
          </w:rPr>
          <w:tab/>
        </w:r>
        <w:r w:rsidR="00C0598F" w:rsidRPr="00A25794">
          <w:rPr>
            <w:rStyle w:val="Hyperlink"/>
            <w:noProof/>
          </w:rPr>
          <w:t>Analysis of Chlordecone</w:t>
        </w:r>
        <w:r w:rsidR="00C0598F">
          <w:rPr>
            <w:noProof/>
            <w:webHidden/>
          </w:rPr>
          <w:tab/>
        </w:r>
        <w:r>
          <w:rPr>
            <w:noProof/>
            <w:webHidden/>
          </w:rPr>
          <w:fldChar w:fldCharType="begin"/>
        </w:r>
        <w:r w:rsidR="00C0598F">
          <w:rPr>
            <w:noProof/>
            <w:webHidden/>
          </w:rPr>
          <w:instrText xml:space="preserve"> PAGEREF _Toc349335773 \h </w:instrText>
        </w:r>
        <w:r>
          <w:rPr>
            <w:noProof/>
            <w:webHidden/>
          </w:rPr>
        </w:r>
        <w:r>
          <w:rPr>
            <w:noProof/>
            <w:webHidden/>
          </w:rPr>
          <w:fldChar w:fldCharType="separate"/>
        </w:r>
        <w:r w:rsidR="00C0598F">
          <w:rPr>
            <w:noProof/>
            <w:webHidden/>
          </w:rPr>
          <w:t>47</w:t>
        </w:r>
        <w:r>
          <w:rPr>
            <w:noProof/>
            <w:webHidden/>
          </w:rPr>
          <w:fldChar w:fldCharType="end"/>
        </w:r>
      </w:hyperlink>
    </w:p>
    <w:p w:rsidR="00C0598F" w:rsidRDefault="00322F03">
      <w:pPr>
        <w:pStyle w:val="TOC1"/>
        <w:rPr>
          <w:rFonts w:ascii="Times New Roman" w:eastAsia="SimSun" w:hAnsi="Times New Roman"/>
          <w:b w:val="0"/>
          <w:sz w:val="24"/>
          <w:szCs w:val="24"/>
          <w:lang w:val="de-DE" w:eastAsia="zh-CN"/>
        </w:rPr>
      </w:pPr>
      <w:hyperlink w:anchor="_Toc349335774" w:history="1">
        <w:r w:rsidR="00C0598F" w:rsidRPr="00A25794">
          <w:rPr>
            <w:rStyle w:val="Hyperlink"/>
          </w:rPr>
          <w:t>6</w:t>
        </w:r>
        <w:r w:rsidR="00C0598F">
          <w:rPr>
            <w:rFonts w:ascii="Times New Roman" w:eastAsia="SimSun" w:hAnsi="Times New Roman"/>
            <w:b w:val="0"/>
            <w:sz w:val="24"/>
            <w:szCs w:val="24"/>
            <w:lang w:val="de-DE" w:eastAsia="zh-CN"/>
          </w:rPr>
          <w:tab/>
        </w:r>
        <w:r w:rsidR="00C0598F" w:rsidRPr="00A25794">
          <w:rPr>
            <w:rStyle w:val="Hyperlink"/>
          </w:rPr>
          <w:t>Sampling and analysis of PeCBz/HCB and other unintentionally produced POPs in products and articles</w:t>
        </w:r>
        <w:r w:rsidR="00C0598F">
          <w:rPr>
            <w:webHidden/>
          </w:rPr>
          <w:tab/>
        </w:r>
        <w:r>
          <w:rPr>
            <w:webHidden/>
          </w:rPr>
          <w:fldChar w:fldCharType="begin"/>
        </w:r>
        <w:r w:rsidR="00C0598F">
          <w:rPr>
            <w:webHidden/>
          </w:rPr>
          <w:instrText xml:space="preserve"> PAGEREF _Toc349335774 \h </w:instrText>
        </w:r>
        <w:r>
          <w:rPr>
            <w:webHidden/>
          </w:rPr>
        </w:r>
        <w:r>
          <w:rPr>
            <w:webHidden/>
          </w:rPr>
          <w:fldChar w:fldCharType="separate"/>
        </w:r>
        <w:r w:rsidR="00C0598F">
          <w:rPr>
            <w:webHidden/>
          </w:rPr>
          <w:t>48</w:t>
        </w:r>
        <w:r>
          <w:rPr>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775" w:history="1">
        <w:r w:rsidR="00C0598F" w:rsidRPr="00A25794">
          <w:rPr>
            <w:rStyle w:val="Hyperlink"/>
            <w:noProof/>
          </w:rPr>
          <w:t>6.1</w:t>
        </w:r>
        <w:r w:rsidR="00C0598F">
          <w:rPr>
            <w:rFonts w:ascii="Times New Roman" w:eastAsia="SimSun" w:hAnsi="Times New Roman"/>
            <w:noProof/>
            <w:sz w:val="24"/>
            <w:szCs w:val="24"/>
            <w:lang w:val="de-DE" w:eastAsia="zh-CN"/>
          </w:rPr>
          <w:tab/>
        </w:r>
        <w:r w:rsidR="00C0598F" w:rsidRPr="00A25794">
          <w:rPr>
            <w:rStyle w:val="Hyperlink"/>
            <w:noProof/>
          </w:rPr>
          <w:t>Products and articles possibly containing PeCBz/HCB</w:t>
        </w:r>
        <w:r w:rsidR="00C0598F">
          <w:rPr>
            <w:noProof/>
            <w:webHidden/>
          </w:rPr>
          <w:tab/>
        </w:r>
        <w:r>
          <w:rPr>
            <w:noProof/>
            <w:webHidden/>
          </w:rPr>
          <w:fldChar w:fldCharType="begin"/>
        </w:r>
        <w:r w:rsidR="00C0598F">
          <w:rPr>
            <w:noProof/>
            <w:webHidden/>
          </w:rPr>
          <w:instrText xml:space="preserve"> PAGEREF _Toc349335775 \h </w:instrText>
        </w:r>
        <w:r>
          <w:rPr>
            <w:noProof/>
            <w:webHidden/>
          </w:rPr>
        </w:r>
        <w:r>
          <w:rPr>
            <w:noProof/>
            <w:webHidden/>
          </w:rPr>
          <w:fldChar w:fldCharType="separate"/>
        </w:r>
        <w:r w:rsidR="00C0598F">
          <w:rPr>
            <w:noProof/>
            <w:webHidden/>
          </w:rPr>
          <w:t>48</w:t>
        </w:r>
        <w:r>
          <w:rPr>
            <w:noProof/>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776" w:history="1">
        <w:r w:rsidR="00C0598F" w:rsidRPr="00A25794">
          <w:rPr>
            <w:rStyle w:val="Hyperlink"/>
            <w:noProof/>
            <w:lang w:eastAsia="zh-CN"/>
          </w:rPr>
          <w:t>6.2</w:t>
        </w:r>
        <w:r w:rsidR="00C0598F">
          <w:rPr>
            <w:rFonts w:ascii="Times New Roman" w:eastAsia="SimSun" w:hAnsi="Times New Roman"/>
            <w:noProof/>
            <w:sz w:val="24"/>
            <w:szCs w:val="24"/>
            <w:lang w:val="de-DE" w:eastAsia="zh-CN"/>
          </w:rPr>
          <w:tab/>
        </w:r>
        <w:r w:rsidR="00C0598F" w:rsidRPr="00A25794">
          <w:rPr>
            <w:rStyle w:val="Hyperlink"/>
            <w:noProof/>
            <w:lang w:eastAsia="zh-CN"/>
          </w:rPr>
          <w:t xml:space="preserve">Extraction of articles/products </w:t>
        </w:r>
        <w:r w:rsidR="00C0598F" w:rsidRPr="00A25794">
          <w:rPr>
            <w:rStyle w:val="Hyperlink"/>
            <w:noProof/>
          </w:rPr>
          <w:t>possibly containing PeCBz/HCB</w:t>
        </w:r>
        <w:r w:rsidR="00C0598F" w:rsidRPr="00A25794">
          <w:rPr>
            <w:rStyle w:val="Hyperlink"/>
            <w:noProof/>
            <w:lang w:eastAsia="zh-CN"/>
          </w:rPr>
          <w:t xml:space="preserve"> and clean-up</w:t>
        </w:r>
        <w:r w:rsidR="00C0598F">
          <w:rPr>
            <w:noProof/>
            <w:webHidden/>
          </w:rPr>
          <w:tab/>
        </w:r>
        <w:r>
          <w:rPr>
            <w:noProof/>
            <w:webHidden/>
          </w:rPr>
          <w:fldChar w:fldCharType="begin"/>
        </w:r>
        <w:r w:rsidR="00C0598F">
          <w:rPr>
            <w:noProof/>
            <w:webHidden/>
          </w:rPr>
          <w:instrText xml:space="preserve"> PAGEREF _Toc349335776 \h </w:instrText>
        </w:r>
        <w:r>
          <w:rPr>
            <w:noProof/>
            <w:webHidden/>
          </w:rPr>
        </w:r>
        <w:r>
          <w:rPr>
            <w:noProof/>
            <w:webHidden/>
          </w:rPr>
          <w:fldChar w:fldCharType="separate"/>
        </w:r>
        <w:r w:rsidR="00C0598F">
          <w:rPr>
            <w:noProof/>
            <w:webHidden/>
          </w:rPr>
          <w:t>48</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77" w:history="1">
        <w:r w:rsidR="00C0598F" w:rsidRPr="00A25794">
          <w:rPr>
            <w:rStyle w:val="Hyperlink"/>
            <w:noProof/>
          </w:rPr>
          <w:t>6.2.1</w:t>
        </w:r>
        <w:r w:rsidR="00C0598F">
          <w:rPr>
            <w:rFonts w:ascii="Times New Roman" w:eastAsia="SimSun" w:hAnsi="Times New Roman"/>
            <w:noProof/>
            <w:sz w:val="24"/>
            <w:szCs w:val="24"/>
            <w:lang w:val="de-DE" w:eastAsia="zh-CN"/>
          </w:rPr>
          <w:tab/>
        </w:r>
        <w:r w:rsidR="00C0598F" w:rsidRPr="00A25794">
          <w:rPr>
            <w:rStyle w:val="Hyperlink"/>
            <w:noProof/>
          </w:rPr>
          <w:t>Analysis of solvents</w:t>
        </w:r>
        <w:r w:rsidR="00C0598F">
          <w:rPr>
            <w:noProof/>
            <w:webHidden/>
          </w:rPr>
          <w:tab/>
        </w:r>
        <w:r>
          <w:rPr>
            <w:noProof/>
            <w:webHidden/>
          </w:rPr>
          <w:fldChar w:fldCharType="begin"/>
        </w:r>
        <w:r w:rsidR="00C0598F">
          <w:rPr>
            <w:noProof/>
            <w:webHidden/>
          </w:rPr>
          <w:instrText xml:space="preserve"> PAGEREF _Toc349335777 \h </w:instrText>
        </w:r>
        <w:r>
          <w:rPr>
            <w:noProof/>
            <w:webHidden/>
          </w:rPr>
        </w:r>
        <w:r>
          <w:rPr>
            <w:noProof/>
            <w:webHidden/>
          </w:rPr>
          <w:fldChar w:fldCharType="separate"/>
        </w:r>
        <w:r w:rsidR="00C0598F">
          <w:rPr>
            <w:noProof/>
            <w:webHidden/>
          </w:rPr>
          <w:t>48</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78" w:history="1">
        <w:r w:rsidR="00C0598F" w:rsidRPr="00A25794">
          <w:rPr>
            <w:rStyle w:val="Hyperlink"/>
            <w:noProof/>
          </w:rPr>
          <w:t>6.2.2</w:t>
        </w:r>
        <w:r w:rsidR="00C0598F">
          <w:rPr>
            <w:rFonts w:ascii="Times New Roman" w:eastAsia="SimSun" w:hAnsi="Times New Roman"/>
            <w:noProof/>
            <w:sz w:val="24"/>
            <w:szCs w:val="24"/>
            <w:lang w:val="de-DE" w:eastAsia="zh-CN"/>
          </w:rPr>
          <w:tab/>
        </w:r>
        <w:r w:rsidR="00C0598F" w:rsidRPr="00A25794">
          <w:rPr>
            <w:rStyle w:val="Hyperlink"/>
            <w:noProof/>
          </w:rPr>
          <w:t>Extraction and analysis of chemicals dissolving in solvent</w:t>
        </w:r>
        <w:r w:rsidR="00C0598F">
          <w:rPr>
            <w:noProof/>
            <w:webHidden/>
          </w:rPr>
          <w:tab/>
        </w:r>
        <w:r>
          <w:rPr>
            <w:noProof/>
            <w:webHidden/>
          </w:rPr>
          <w:fldChar w:fldCharType="begin"/>
        </w:r>
        <w:r w:rsidR="00C0598F">
          <w:rPr>
            <w:noProof/>
            <w:webHidden/>
          </w:rPr>
          <w:instrText xml:space="preserve"> PAGEREF _Toc349335778 \h </w:instrText>
        </w:r>
        <w:r>
          <w:rPr>
            <w:noProof/>
            <w:webHidden/>
          </w:rPr>
        </w:r>
        <w:r>
          <w:rPr>
            <w:noProof/>
            <w:webHidden/>
          </w:rPr>
          <w:fldChar w:fldCharType="separate"/>
        </w:r>
        <w:r w:rsidR="00C0598F">
          <w:rPr>
            <w:noProof/>
            <w:webHidden/>
          </w:rPr>
          <w:t>49</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79" w:history="1">
        <w:r w:rsidR="00C0598F" w:rsidRPr="00A25794">
          <w:rPr>
            <w:rStyle w:val="Hyperlink"/>
            <w:noProof/>
          </w:rPr>
          <w:t>6.2.3</w:t>
        </w:r>
        <w:r w:rsidR="00C0598F">
          <w:rPr>
            <w:rFonts w:ascii="Times New Roman" w:eastAsia="SimSun" w:hAnsi="Times New Roman"/>
            <w:noProof/>
            <w:sz w:val="24"/>
            <w:szCs w:val="24"/>
            <w:lang w:val="de-DE" w:eastAsia="zh-CN"/>
          </w:rPr>
          <w:tab/>
        </w:r>
        <w:r w:rsidR="00C0598F" w:rsidRPr="00A25794">
          <w:rPr>
            <w:rStyle w:val="Hyperlink"/>
            <w:noProof/>
          </w:rPr>
          <w:t>Extraction of pigments and other samples where matrix need to be broken up</w:t>
        </w:r>
        <w:r w:rsidR="00C0598F">
          <w:rPr>
            <w:noProof/>
            <w:webHidden/>
          </w:rPr>
          <w:tab/>
        </w:r>
        <w:r>
          <w:rPr>
            <w:noProof/>
            <w:webHidden/>
          </w:rPr>
          <w:fldChar w:fldCharType="begin"/>
        </w:r>
        <w:r w:rsidR="00C0598F">
          <w:rPr>
            <w:noProof/>
            <w:webHidden/>
          </w:rPr>
          <w:instrText xml:space="preserve"> PAGEREF _Toc349335779 \h </w:instrText>
        </w:r>
        <w:r>
          <w:rPr>
            <w:noProof/>
            <w:webHidden/>
          </w:rPr>
        </w:r>
        <w:r>
          <w:rPr>
            <w:noProof/>
            <w:webHidden/>
          </w:rPr>
          <w:fldChar w:fldCharType="separate"/>
        </w:r>
        <w:r w:rsidR="00C0598F">
          <w:rPr>
            <w:noProof/>
            <w:webHidden/>
          </w:rPr>
          <w:t>49</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80" w:history="1">
        <w:r w:rsidR="00C0598F" w:rsidRPr="00A25794">
          <w:rPr>
            <w:rStyle w:val="Hyperlink"/>
            <w:noProof/>
            <w:lang w:eastAsia="zh-CN"/>
          </w:rPr>
          <w:t>6.2.4</w:t>
        </w:r>
        <w:r w:rsidR="00C0598F">
          <w:rPr>
            <w:rFonts w:ascii="Times New Roman" w:eastAsia="SimSun" w:hAnsi="Times New Roman"/>
            <w:noProof/>
            <w:sz w:val="24"/>
            <w:szCs w:val="24"/>
            <w:lang w:val="de-DE" w:eastAsia="zh-CN"/>
          </w:rPr>
          <w:tab/>
        </w:r>
        <w:r w:rsidR="00C0598F" w:rsidRPr="00A25794">
          <w:rPr>
            <w:rStyle w:val="Hyperlink"/>
            <w:noProof/>
            <w:lang w:eastAsia="zh-CN"/>
          </w:rPr>
          <w:t>Clean-up</w:t>
        </w:r>
        <w:r w:rsidR="00C0598F">
          <w:rPr>
            <w:noProof/>
            <w:webHidden/>
          </w:rPr>
          <w:tab/>
        </w:r>
        <w:r>
          <w:rPr>
            <w:noProof/>
            <w:webHidden/>
          </w:rPr>
          <w:fldChar w:fldCharType="begin"/>
        </w:r>
        <w:r w:rsidR="00C0598F">
          <w:rPr>
            <w:noProof/>
            <w:webHidden/>
          </w:rPr>
          <w:instrText xml:space="preserve"> PAGEREF _Toc349335780 \h </w:instrText>
        </w:r>
        <w:r>
          <w:rPr>
            <w:noProof/>
            <w:webHidden/>
          </w:rPr>
        </w:r>
        <w:r>
          <w:rPr>
            <w:noProof/>
            <w:webHidden/>
          </w:rPr>
          <w:fldChar w:fldCharType="separate"/>
        </w:r>
        <w:r w:rsidR="00C0598F">
          <w:rPr>
            <w:noProof/>
            <w:webHidden/>
          </w:rPr>
          <w:t>49</w:t>
        </w:r>
        <w:r>
          <w:rPr>
            <w:noProof/>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781" w:history="1">
        <w:r w:rsidR="00C0598F" w:rsidRPr="00A25794">
          <w:rPr>
            <w:rStyle w:val="Hyperlink"/>
            <w:noProof/>
            <w:lang w:eastAsia="zh-CN"/>
          </w:rPr>
          <w:t>6.3</w:t>
        </w:r>
        <w:r w:rsidR="00C0598F">
          <w:rPr>
            <w:rFonts w:ascii="Times New Roman" w:eastAsia="SimSun" w:hAnsi="Times New Roman"/>
            <w:noProof/>
            <w:sz w:val="24"/>
            <w:szCs w:val="24"/>
            <w:lang w:val="de-DE" w:eastAsia="zh-CN"/>
          </w:rPr>
          <w:tab/>
        </w:r>
        <w:r w:rsidR="00C0598F" w:rsidRPr="00A25794">
          <w:rPr>
            <w:rStyle w:val="Hyperlink"/>
            <w:noProof/>
            <w:lang w:eastAsia="zh-CN"/>
          </w:rPr>
          <w:t>Quantitative instrumental analysis</w:t>
        </w:r>
        <w:r w:rsidR="00C0598F">
          <w:rPr>
            <w:noProof/>
            <w:webHidden/>
          </w:rPr>
          <w:tab/>
        </w:r>
        <w:r>
          <w:rPr>
            <w:noProof/>
            <w:webHidden/>
          </w:rPr>
          <w:fldChar w:fldCharType="begin"/>
        </w:r>
        <w:r w:rsidR="00C0598F">
          <w:rPr>
            <w:noProof/>
            <w:webHidden/>
          </w:rPr>
          <w:instrText xml:space="preserve"> PAGEREF _Toc349335781 \h </w:instrText>
        </w:r>
        <w:r>
          <w:rPr>
            <w:noProof/>
            <w:webHidden/>
          </w:rPr>
        </w:r>
        <w:r>
          <w:rPr>
            <w:noProof/>
            <w:webHidden/>
          </w:rPr>
          <w:fldChar w:fldCharType="separate"/>
        </w:r>
        <w:r w:rsidR="00C0598F">
          <w:rPr>
            <w:noProof/>
            <w:webHidden/>
          </w:rPr>
          <w:t>49</w:t>
        </w:r>
        <w:r>
          <w:rPr>
            <w:noProof/>
            <w:webHidden/>
          </w:rPr>
          <w:fldChar w:fldCharType="end"/>
        </w:r>
      </w:hyperlink>
    </w:p>
    <w:p w:rsidR="00C0598F" w:rsidRDefault="00322F03">
      <w:pPr>
        <w:pStyle w:val="TOC1"/>
        <w:tabs>
          <w:tab w:val="left" w:pos="1350"/>
        </w:tabs>
        <w:rPr>
          <w:rFonts w:ascii="Times New Roman" w:eastAsia="SimSun" w:hAnsi="Times New Roman"/>
          <w:b w:val="0"/>
          <w:sz w:val="24"/>
          <w:szCs w:val="24"/>
          <w:lang w:val="de-DE" w:eastAsia="zh-CN"/>
        </w:rPr>
      </w:pPr>
      <w:hyperlink w:anchor="_Toc349335782" w:history="1">
        <w:r w:rsidR="00C0598F" w:rsidRPr="00A25794">
          <w:rPr>
            <w:rStyle w:val="Hyperlink"/>
          </w:rPr>
          <w:t>ANNEX 1</w:t>
        </w:r>
        <w:r w:rsidR="00C0598F">
          <w:rPr>
            <w:rFonts w:ascii="Times New Roman" w:eastAsia="SimSun" w:hAnsi="Times New Roman"/>
            <w:b w:val="0"/>
            <w:sz w:val="24"/>
            <w:szCs w:val="24"/>
            <w:lang w:val="de-DE" w:eastAsia="zh-CN"/>
          </w:rPr>
          <w:tab/>
        </w:r>
        <w:r w:rsidR="00C0598F" w:rsidRPr="00A25794">
          <w:rPr>
            <w:rStyle w:val="Hyperlink"/>
          </w:rPr>
          <w:t xml:space="preserve"> Articles/products which might contain POPs</w:t>
        </w:r>
        <w:r w:rsidR="00A217BA">
          <w:rPr>
            <w:rStyle w:val="Hyperlink"/>
          </w:rPr>
          <w:t xml:space="preserve"> listed in 2009 and 2011</w:t>
        </w:r>
        <w:r w:rsidR="00C0598F">
          <w:rPr>
            <w:webHidden/>
          </w:rPr>
          <w:tab/>
        </w:r>
        <w:r>
          <w:rPr>
            <w:webHidden/>
          </w:rPr>
          <w:fldChar w:fldCharType="begin"/>
        </w:r>
        <w:r w:rsidR="00C0598F">
          <w:rPr>
            <w:webHidden/>
          </w:rPr>
          <w:instrText xml:space="preserve"> PAGEREF _Toc349335782 \h </w:instrText>
        </w:r>
        <w:r>
          <w:rPr>
            <w:webHidden/>
          </w:rPr>
        </w:r>
        <w:r>
          <w:rPr>
            <w:webHidden/>
          </w:rPr>
          <w:fldChar w:fldCharType="separate"/>
        </w:r>
        <w:r w:rsidR="00C0598F">
          <w:rPr>
            <w:webHidden/>
          </w:rPr>
          <w:t>50</w:t>
        </w:r>
        <w:r>
          <w:rPr>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783" w:history="1">
        <w:r w:rsidR="00C0598F" w:rsidRPr="00A25794">
          <w:rPr>
            <w:rStyle w:val="Hyperlink"/>
            <w:noProof/>
          </w:rPr>
          <w:t>Annex 1-A PFOS and PFOS related chemicals in articles and products</w:t>
        </w:r>
        <w:r w:rsidR="00C0598F">
          <w:rPr>
            <w:noProof/>
            <w:webHidden/>
          </w:rPr>
          <w:tab/>
        </w:r>
        <w:r>
          <w:rPr>
            <w:noProof/>
            <w:webHidden/>
          </w:rPr>
          <w:fldChar w:fldCharType="begin"/>
        </w:r>
        <w:r w:rsidR="00C0598F">
          <w:rPr>
            <w:noProof/>
            <w:webHidden/>
          </w:rPr>
          <w:instrText xml:space="preserve"> PAGEREF _Toc349335783 \h </w:instrText>
        </w:r>
        <w:r>
          <w:rPr>
            <w:noProof/>
            <w:webHidden/>
          </w:rPr>
        </w:r>
        <w:r>
          <w:rPr>
            <w:noProof/>
            <w:webHidden/>
          </w:rPr>
          <w:fldChar w:fldCharType="separate"/>
        </w:r>
        <w:r w:rsidR="00C0598F">
          <w:rPr>
            <w:noProof/>
            <w:webHidden/>
          </w:rPr>
          <w:t>50</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84" w:history="1">
        <w:r w:rsidR="00C0598F" w:rsidRPr="00A25794">
          <w:rPr>
            <w:rStyle w:val="Hyperlink"/>
            <w:noProof/>
          </w:rPr>
          <w:t>PFOS and related chemicals in production and as products</w:t>
        </w:r>
        <w:r w:rsidR="00C0598F">
          <w:rPr>
            <w:noProof/>
            <w:webHidden/>
          </w:rPr>
          <w:tab/>
        </w:r>
        <w:r>
          <w:rPr>
            <w:noProof/>
            <w:webHidden/>
          </w:rPr>
          <w:fldChar w:fldCharType="begin"/>
        </w:r>
        <w:r w:rsidR="00C0598F">
          <w:rPr>
            <w:noProof/>
            <w:webHidden/>
          </w:rPr>
          <w:instrText xml:space="preserve"> PAGEREF _Toc349335784 \h </w:instrText>
        </w:r>
        <w:r>
          <w:rPr>
            <w:noProof/>
            <w:webHidden/>
          </w:rPr>
        </w:r>
        <w:r>
          <w:rPr>
            <w:noProof/>
            <w:webHidden/>
          </w:rPr>
          <w:fldChar w:fldCharType="separate"/>
        </w:r>
        <w:r w:rsidR="00C0598F">
          <w:rPr>
            <w:noProof/>
            <w:webHidden/>
          </w:rPr>
          <w:t>50</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85" w:history="1">
        <w:r w:rsidR="00C0598F" w:rsidRPr="00A25794">
          <w:rPr>
            <w:rStyle w:val="Hyperlink"/>
            <w:noProof/>
          </w:rPr>
          <w:t>PFOS in fire-fighting foams</w:t>
        </w:r>
        <w:r w:rsidR="00C0598F">
          <w:rPr>
            <w:noProof/>
            <w:webHidden/>
          </w:rPr>
          <w:tab/>
        </w:r>
        <w:r>
          <w:rPr>
            <w:noProof/>
            <w:webHidden/>
          </w:rPr>
          <w:fldChar w:fldCharType="begin"/>
        </w:r>
        <w:r w:rsidR="00C0598F">
          <w:rPr>
            <w:noProof/>
            <w:webHidden/>
          </w:rPr>
          <w:instrText xml:space="preserve"> PAGEREF _Toc349335785 \h </w:instrText>
        </w:r>
        <w:r>
          <w:rPr>
            <w:noProof/>
            <w:webHidden/>
          </w:rPr>
        </w:r>
        <w:r>
          <w:rPr>
            <w:noProof/>
            <w:webHidden/>
          </w:rPr>
          <w:fldChar w:fldCharType="separate"/>
        </w:r>
        <w:r w:rsidR="00C0598F">
          <w:rPr>
            <w:noProof/>
            <w:webHidden/>
          </w:rPr>
          <w:t>50</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86" w:history="1">
        <w:r w:rsidR="00C0598F" w:rsidRPr="00A25794">
          <w:rPr>
            <w:rStyle w:val="Hyperlink"/>
            <w:noProof/>
          </w:rPr>
          <w:t>Metal plating industries</w:t>
        </w:r>
        <w:r w:rsidR="00C0598F">
          <w:rPr>
            <w:noProof/>
            <w:webHidden/>
          </w:rPr>
          <w:tab/>
        </w:r>
        <w:r>
          <w:rPr>
            <w:noProof/>
            <w:webHidden/>
          </w:rPr>
          <w:fldChar w:fldCharType="begin"/>
        </w:r>
        <w:r w:rsidR="00C0598F">
          <w:rPr>
            <w:noProof/>
            <w:webHidden/>
          </w:rPr>
          <w:instrText xml:space="preserve"> PAGEREF _Toc349335786 \h </w:instrText>
        </w:r>
        <w:r>
          <w:rPr>
            <w:noProof/>
            <w:webHidden/>
          </w:rPr>
        </w:r>
        <w:r>
          <w:rPr>
            <w:noProof/>
            <w:webHidden/>
          </w:rPr>
          <w:fldChar w:fldCharType="separate"/>
        </w:r>
        <w:r w:rsidR="00C0598F">
          <w:rPr>
            <w:noProof/>
            <w:webHidden/>
          </w:rPr>
          <w:t>51</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87" w:history="1">
        <w:r w:rsidR="00C0598F" w:rsidRPr="00A25794">
          <w:rPr>
            <w:rStyle w:val="Hyperlink"/>
            <w:noProof/>
          </w:rPr>
          <w:t>Other relevant industrial uses of PFOS having exemptions</w:t>
        </w:r>
        <w:r w:rsidR="00C0598F">
          <w:rPr>
            <w:noProof/>
            <w:webHidden/>
          </w:rPr>
          <w:tab/>
        </w:r>
        <w:r>
          <w:rPr>
            <w:noProof/>
            <w:webHidden/>
          </w:rPr>
          <w:fldChar w:fldCharType="begin"/>
        </w:r>
        <w:r w:rsidR="00C0598F">
          <w:rPr>
            <w:noProof/>
            <w:webHidden/>
          </w:rPr>
          <w:instrText xml:space="preserve"> PAGEREF _Toc349335787 \h </w:instrText>
        </w:r>
        <w:r>
          <w:rPr>
            <w:noProof/>
            <w:webHidden/>
          </w:rPr>
        </w:r>
        <w:r>
          <w:rPr>
            <w:noProof/>
            <w:webHidden/>
          </w:rPr>
          <w:fldChar w:fldCharType="separate"/>
        </w:r>
        <w:r w:rsidR="00C0598F">
          <w:rPr>
            <w:noProof/>
            <w:webHidden/>
          </w:rPr>
          <w:t>51</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88" w:history="1">
        <w:r w:rsidR="00C0598F" w:rsidRPr="00A25794">
          <w:rPr>
            <w:rStyle w:val="Hyperlink"/>
            <w:noProof/>
          </w:rPr>
          <w:t>Other industrial uses with specific exemptions, but considered less relevant</w:t>
        </w:r>
        <w:r w:rsidR="00C0598F">
          <w:rPr>
            <w:noProof/>
            <w:webHidden/>
          </w:rPr>
          <w:tab/>
        </w:r>
        <w:r>
          <w:rPr>
            <w:noProof/>
            <w:webHidden/>
          </w:rPr>
          <w:fldChar w:fldCharType="begin"/>
        </w:r>
        <w:r w:rsidR="00C0598F">
          <w:rPr>
            <w:noProof/>
            <w:webHidden/>
          </w:rPr>
          <w:instrText xml:space="preserve"> PAGEREF _Toc349335788 \h </w:instrText>
        </w:r>
        <w:r>
          <w:rPr>
            <w:noProof/>
            <w:webHidden/>
          </w:rPr>
        </w:r>
        <w:r>
          <w:rPr>
            <w:noProof/>
            <w:webHidden/>
          </w:rPr>
          <w:fldChar w:fldCharType="separate"/>
        </w:r>
        <w:r w:rsidR="00C0598F">
          <w:rPr>
            <w:noProof/>
            <w:webHidden/>
          </w:rPr>
          <w:t>51</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89" w:history="1">
        <w:r w:rsidR="00C0598F" w:rsidRPr="00A25794">
          <w:rPr>
            <w:rStyle w:val="Hyperlink"/>
            <w:noProof/>
          </w:rPr>
          <w:t>Aviation hydraulic fluids</w:t>
        </w:r>
        <w:r w:rsidR="00C0598F">
          <w:rPr>
            <w:noProof/>
            <w:webHidden/>
          </w:rPr>
          <w:tab/>
        </w:r>
        <w:r>
          <w:rPr>
            <w:noProof/>
            <w:webHidden/>
          </w:rPr>
          <w:fldChar w:fldCharType="begin"/>
        </w:r>
        <w:r w:rsidR="00C0598F">
          <w:rPr>
            <w:noProof/>
            <w:webHidden/>
          </w:rPr>
          <w:instrText xml:space="preserve"> PAGEREF _Toc349335789 \h </w:instrText>
        </w:r>
        <w:r>
          <w:rPr>
            <w:noProof/>
            <w:webHidden/>
          </w:rPr>
        </w:r>
        <w:r>
          <w:rPr>
            <w:noProof/>
            <w:webHidden/>
          </w:rPr>
          <w:fldChar w:fldCharType="separate"/>
        </w:r>
        <w:r w:rsidR="00C0598F">
          <w:rPr>
            <w:noProof/>
            <w:webHidden/>
          </w:rPr>
          <w:t>51</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90" w:history="1">
        <w:r w:rsidR="00C0598F" w:rsidRPr="00A25794">
          <w:rPr>
            <w:rStyle w:val="Hyperlink"/>
            <w:noProof/>
          </w:rPr>
          <w:t>Insect baits and insecticides</w:t>
        </w:r>
        <w:r w:rsidR="00C0598F">
          <w:rPr>
            <w:noProof/>
            <w:webHidden/>
          </w:rPr>
          <w:tab/>
        </w:r>
        <w:r>
          <w:rPr>
            <w:noProof/>
            <w:webHidden/>
          </w:rPr>
          <w:fldChar w:fldCharType="begin"/>
        </w:r>
        <w:r w:rsidR="00C0598F">
          <w:rPr>
            <w:noProof/>
            <w:webHidden/>
          </w:rPr>
          <w:instrText xml:space="preserve"> PAGEREF _Toc349335790 \h </w:instrText>
        </w:r>
        <w:r>
          <w:rPr>
            <w:noProof/>
            <w:webHidden/>
          </w:rPr>
        </w:r>
        <w:r>
          <w:rPr>
            <w:noProof/>
            <w:webHidden/>
          </w:rPr>
          <w:fldChar w:fldCharType="separate"/>
        </w:r>
        <w:r w:rsidR="00C0598F">
          <w:rPr>
            <w:noProof/>
            <w:webHidden/>
          </w:rPr>
          <w:t>52</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91" w:history="1">
        <w:r w:rsidR="00C0598F" w:rsidRPr="00A25794">
          <w:rPr>
            <w:rStyle w:val="Hyperlink"/>
            <w:noProof/>
          </w:rPr>
          <w:t>Articles treated with PFOS and related chemicals</w:t>
        </w:r>
        <w:r w:rsidR="00C0598F">
          <w:rPr>
            <w:noProof/>
            <w:webHidden/>
          </w:rPr>
          <w:tab/>
        </w:r>
        <w:r>
          <w:rPr>
            <w:noProof/>
            <w:webHidden/>
          </w:rPr>
          <w:fldChar w:fldCharType="begin"/>
        </w:r>
        <w:r w:rsidR="00C0598F">
          <w:rPr>
            <w:noProof/>
            <w:webHidden/>
          </w:rPr>
          <w:instrText xml:space="preserve"> PAGEREF _Toc349335791 \h </w:instrText>
        </w:r>
        <w:r>
          <w:rPr>
            <w:noProof/>
            <w:webHidden/>
          </w:rPr>
        </w:r>
        <w:r>
          <w:rPr>
            <w:noProof/>
            <w:webHidden/>
          </w:rPr>
          <w:fldChar w:fldCharType="separate"/>
        </w:r>
        <w:r w:rsidR="00C0598F">
          <w:rPr>
            <w:noProof/>
            <w:webHidden/>
          </w:rPr>
          <w:t>52</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92" w:history="1">
        <w:r w:rsidR="00C0598F" w:rsidRPr="00A25794">
          <w:rPr>
            <w:rStyle w:val="Hyperlink"/>
            <w:noProof/>
          </w:rPr>
          <w:t>Further uses of PFOS in products and articles considered less relevant</w:t>
        </w:r>
        <w:r w:rsidR="00C0598F">
          <w:rPr>
            <w:noProof/>
            <w:webHidden/>
          </w:rPr>
          <w:tab/>
        </w:r>
        <w:r>
          <w:rPr>
            <w:noProof/>
            <w:webHidden/>
          </w:rPr>
          <w:fldChar w:fldCharType="begin"/>
        </w:r>
        <w:r w:rsidR="00C0598F">
          <w:rPr>
            <w:noProof/>
            <w:webHidden/>
          </w:rPr>
          <w:instrText xml:space="preserve"> PAGEREF _Toc349335792 \h </w:instrText>
        </w:r>
        <w:r>
          <w:rPr>
            <w:noProof/>
            <w:webHidden/>
          </w:rPr>
        </w:r>
        <w:r>
          <w:rPr>
            <w:noProof/>
            <w:webHidden/>
          </w:rPr>
          <w:fldChar w:fldCharType="separate"/>
        </w:r>
        <w:r w:rsidR="00C0598F">
          <w:rPr>
            <w:noProof/>
            <w:webHidden/>
          </w:rPr>
          <w:t>53</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93" w:history="1">
        <w:r w:rsidR="00C0598F" w:rsidRPr="00A25794">
          <w:rPr>
            <w:rStyle w:val="Hyperlink"/>
            <w:noProof/>
          </w:rPr>
          <w:t>Monitoring of PFOS in articles in use (stocks)</w:t>
        </w:r>
        <w:r w:rsidR="00C0598F">
          <w:rPr>
            <w:noProof/>
            <w:webHidden/>
          </w:rPr>
          <w:tab/>
        </w:r>
        <w:r>
          <w:rPr>
            <w:noProof/>
            <w:webHidden/>
          </w:rPr>
          <w:fldChar w:fldCharType="begin"/>
        </w:r>
        <w:r w:rsidR="00C0598F">
          <w:rPr>
            <w:noProof/>
            <w:webHidden/>
          </w:rPr>
          <w:instrText xml:space="preserve"> PAGEREF _Toc349335793 \h </w:instrText>
        </w:r>
        <w:r>
          <w:rPr>
            <w:noProof/>
            <w:webHidden/>
          </w:rPr>
        </w:r>
        <w:r>
          <w:rPr>
            <w:noProof/>
            <w:webHidden/>
          </w:rPr>
          <w:fldChar w:fldCharType="separate"/>
        </w:r>
        <w:r w:rsidR="00C0598F">
          <w:rPr>
            <w:noProof/>
            <w:webHidden/>
          </w:rPr>
          <w:t>54</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94" w:history="1">
        <w:r w:rsidR="00C0598F" w:rsidRPr="00A25794">
          <w:rPr>
            <w:rStyle w:val="Hyperlink"/>
            <w:noProof/>
          </w:rPr>
          <w:t>Monitoring of PFOS in reuse and recycling</w:t>
        </w:r>
        <w:r w:rsidR="00C0598F">
          <w:rPr>
            <w:noProof/>
            <w:webHidden/>
          </w:rPr>
          <w:tab/>
        </w:r>
        <w:r>
          <w:rPr>
            <w:noProof/>
            <w:webHidden/>
          </w:rPr>
          <w:fldChar w:fldCharType="begin"/>
        </w:r>
        <w:r w:rsidR="00C0598F">
          <w:rPr>
            <w:noProof/>
            <w:webHidden/>
          </w:rPr>
          <w:instrText xml:space="preserve"> PAGEREF _Toc349335794 \h </w:instrText>
        </w:r>
        <w:r>
          <w:rPr>
            <w:noProof/>
            <w:webHidden/>
          </w:rPr>
        </w:r>
        <w:r>
          <w:rPr>
            <w:noProof/>
            <w:webHidden/>
          </w:rPr>
          <w:fldChar w:fldCharType="separate"/>
        </w:r>
        <w:r w:rsidR="00C0598F">
          <w:rPr>
            <w:noProof/>
            <w:webHidden/>
          </w:rPr>
          <w:t>54</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95" w:history="1">
        <w:r w:rsidR="00C0598F" w:rsidRPr="00A25794">
          <w:rPr>
            <w:rStyle w:val="Hyperlink"/>
            <w:noProof/>
          </w:rPr>
          <w:t>PFOS in biosolids and sludges</w:t>
        </w:r>
        <w:r w:rsidR="00C0598F">
          <w:rPr>
            <w:noProof/>
            <w:webHidden/>
          </w:rPr>
          <w:tab/>
        </w:r>
        <w:r>
          <w:rPr>
            <w:noProof/>
            <w:webHidden/>
          </w:rPr>
          <w:fldChar w:fldCharType="begin"/>
        </w:r>
        <w:r w:rsidR="00C0598F">
          <w:rPr>
            <w:noProof/>
            <w:webHidden/>
          </w:rPr>
          <w:instrText xml:space="preserve"> PAGEREF _Toc349335795 \h </w:instrText>
        </w:r>
        <w:r>
          <w:rPr>
            <w:noProof/>
            <w:webHidden/>
          </w:rPr>
        </w:r>
        <w:r>
          <w:rPr>
            <w:noProof/>
            <w:webHidden/>
          </w:rPr>
          <w:fldChar w:fldCharType="separate"/>
        </w:r>
        <w:r w:rsidR="00C0598F">
          <w:rPr>
            <w:noProof/>
            <w:webHidden/>
          </w:rPr>
          <w:t>54</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96" w:history="1">
        <w:r w:rsidR="00C0598F" w:rsidRPr="00A25794">
          <w:rPr>
            <w:rStyle w:val="Hyperlink"/>
            <w:noProof/>
          </w:rPr>
          <w:t>PFOS in feed, food and drinking water</w:t>
        </w:r>
        <w:r w:rsidR="00C0598F">
          <w:rPr>
            <w:noProof/>
            <w:webHidden/>
          </w:rPr>
          <w:tab/>
        </w:r>
        <w:r>
          <w:rPr>
            <w:noProof/>
            <w:webHidden/>
          </w:rPr>
          <w:fldChar w:fldCharType="begin"/>
        </w:r>
        <w:r w:rsidR="00C0598F">
          <w:rPr>
            <w:noProof/>
            <w:webHidden/>
          </w:rPr>
          <w:instrText xml:space="preserve"> PAGEREF _Toc349335796 \h </w:instrText>
        </w:r>
        <w:r>
          <w:rPr>
            <w:noProof/>
            <w:webHidden/>
          </w:rPr>
        </w:r>
        <w:r>
          <w:rPr>
            <w:noProof/>
            <w:webHidden/>
          </w:rPr>
          <w:fldChar w:fldCharType="separate"/>
        </w:r>
        <w:r w:rsidR="00C0598F">
          <w:rPr>
            <w:noProof/>
            <w:webHidden/>
          </w:rPr>
          <w:t>55</w:t>
        </w:r>
        <w:r>
          <w:rPr>
            <w:noProof/>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797" w:history="1">
        <w:r w:rsidR="00C0598F" w:rsidRPr="00A25794">
          <w:rPr>
            <w:rStyle w:val="Hyperlink"/>
            <w:noProof/>
          </w:rPr>
          <w:t>Annex 1-B: POP-PBDEs in articles and products</w:t>
        </w:r>
        <w:r w:rsidR="00C0598F">
          <w:rPr>
            <w:noProof/>
            <w:webHidden/>
          </w:rPr>
          <w:tab/>
        </w:r>
        <w:r>
          <w:rPr>
            <w:noProof/>
            <w:webHidden/>
          </w:rPr>
          <w:fldChar w:fldCharType="begin"/>
        </w:r>
        <w:r w:rsidR="00C0598F">
          <w:rPr>
            <w:noProof/>
            <w:webHidden/>
          </w:rPr>
          <w:instrText xml:space="preserve"> PAGEREF _Toc349335797 \h </w:instrText>
        </w:r>
        <w:r>
          <w:rPr>
            <w:noProof/>
            <w:webHidden/>
          </w:rPr>
        </w:r>
        <w:r>
          <w:rPr>
            <w:noProof/>
            <w:webHidden/>
          </w:rPr>
          <w:fldChar w:fldCharType="separate"/>
        </w:r>
        <w:r w:rsidR="00C0598F">
          <w:rPr>
            <w:noProof/>
            <w:webHidden/>
          </w:rPr>
          <w:t>56</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98" w:history="1">
        <w:r w:rsidR="00C0598F" w:rsidRPr="00A25794">
          <w:rPr>
            <w:rStyle w:val="Hyperlink"/>
            <w:noProof/>
          </w:rPr>
          <w:t>POP-PBDEs as and in chemical products</w:t>
        </w:r>
        <w:r w:rsidR="00C0598F">
          <w:rPr>
            <w:noProof/>
            <w:webHidden/>
          </w:rPr>
          <w:tab/>
        </w:r>
        <w:r>
          <w:rPr>
            <w:noProof/>
            <w:webHidden/>
          </w:rPr>
          <w:fldChar w:fldCharType="begin"/>
        </w:r>
        <w:r w:rsidR="00C0598F">
          <w:rPr>
            <w:noProof/>
            <w:webHidden/>
          </w:rPr>
          <w:instrText xml:space="preserve"> PAGEREF _Toc349335798 \h </w:instrText>
        </w:r>
        <w:r>
          <w:rPr>
            <w:noProof/>
            <w:webHidden/>
          </w:rPr>
        </w:r>
        <w:r>
          <w:rPr>
            <w:noProof/>
            <w:webHidden/>
          </w:rPr>
          <w:fldChar w:fldCharType="separate"/>
        </w:r>
        <w:r w:rsidR="00C0598F">
          <w:rPr>
            <w:noProof/>
            <w:webHidden/>
          </w:rPr>
          <w:t>56</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799" w:history="1">
        <w:r w:rsidR="00C0598F" w:rsidRPr="00A25794">
          <w:rPr>
            <w:rStyle w:val="Hyperlink"/>
            <w:noProof/>
          </w:rPr>
          <w:t>Second hand EEE in import and on the local market</w:t>
        </w:r>
        <w:r w:rsidR="00C0598F">
          <w:rPr>
            <w:noProof/>
            <w:webHidden/>
          </w:rPr>
          <w:tab/>
        </w:r>
        <w:r>
          <w:rPr>
            <w:noProof/>
            <w:webHidden/>
          </w:rPr>
          <w:fldChar w:fldCharType="begin"/>
        </w:r>
        <w:r w:rsidR="00C0598F">
          <w:rPr>
            <w:noProof/>
            <w:webHidden/>
          </w:rPr>
          <w:instrText xml:space="preserve"> PAGEREF _Toc349335799 \h </w:instrText>
        </w:r>
        <w:r>
          <w:rPr>
            <w:noProof/>
            <w:webHidden/>
          </w:rPr>
        </w:r>
        <w:r>
          <w:rPr>
            <w:noProof/>
            <w:webHidden/>
          </w:rPr>
          <w:fldChar w:fldCharType="separate"/>
        </w:r>
        <w:r w:rsidR="00C0598F">
          <w:rPr>
            <w:noProof/>
            <w:webHidden/>
          </w:rPr>
          <w:t>56</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00" w:history="1">
        <w:r w:rsidR="00C0598F" w:rsidRPr="00A25794">
          <w:rPr>
            <w:rStyle w:val="Hyperlink"/>
            <w:noProof/>
          </w:rPr>
          <w:t>Import of Waste Electrical and Electronic Equipment (WEEE)</w:t>
        </w:r>
        <w:r w:rsidR="00C0598F">
          <w:rPr>
            <w:noProof/>
            <w:webHidden/>
          </w:rPr>
          <w:tab/>
        </w:r>
        <w:r>
          <w:rPr>
            <w:noProof/>
            <w:webHidden/>
          </w:rPr>
          <w:fldChar w:fldCharType="begin"/>
        </w:r>
        <w:r w:rsidR="00C0598F">
          <w:rPr>
            <w:noProof/>
            <w:webHidden/>
          </w:rPr>
          <w:instrText xml:space="preserve"> PAGEREF _Toc349335800 \h </w:instrText>
        </w:r>
        <w:r>
          <w:rPr>
            <w:noProof/>
            <w:webHidden/>
          </w:rPr>
        </w:r>
        <w:r>
          <w:rPr>
            <w:noProof/>
            <w:webHidden/>
          </w:rPr>
          <w:fldChar w:fldCharType="separate"/>
        </w:r>
        <w:r w:rsidR="00C0598F">
          <w:rPr>
            <w:noProof/>
            <w:webHidden/>
          </w:rPr>
          <w:t>57</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01" w:history="1">
        <w:r w:rsidR="00C0598F" w:rsidRPr="00A25794">
          <w:rPr>
            <w:rStyle w:val="Hyperlink"/>
            <w:noProof/>
          </w:rPr>
          <w:t>WEEE plastic for recycling</w:t>
        </w:r>
        <w:r w:rsidR="00C0598F">
          <w:rPr>
            <w:noProof/>
            <w:webHidden/>
          </w:rPr>
          <w:tab/>
        </w:r>
        <w:r>
          <w:rPr>
            <w:noProof/>
            <w:webHidden/>
          </w:rPr>
          <w:fldChar w:fldCharType="begin"/>
        </w:r>
        <w:r w:rsidR="00C0598F">
          <w:rPr>
            <w:noProof/>
            <w:webHidden/>
          </w:rPr>
          <w:instrText xml:space="preserve"> PAGEREF _Toc349335801 \h </w:instrText>
        </w:r>
        <w:r>
          <w:rPr>
            <w:noProof/>
            <w:webHidden/>
          </w:rPr>
        </w:r>
        <w:r>
          <w:rPr>
            <w:noProof/>
            <w:webHidden/>
          </w:rPr>
          <w:fldChar w:fldCharType="separate"/>
        </w:r>
        <w:r w:rsidR="00C0598F">
          <w:rPr>
            <w:noProof/>
            <w:webHidden/>
          </w:rPr>
          <w:t>57</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02" w:history="1">
        <w:r w:rsidR="00C0598F" w:rsidRPr="00A25794">
          <w:rPr>
            <w:rStyle w:val="Hyperlink"/>
            <w:noProof/>
          </w:rPr>
          <w:t>Used cars, buses, and other vehicles (produced before 2005)</w:t>
        </w:r>
        <w:r w:rsidR="00C0598F">
          <w:rPr>
            <w:noProof/>
            <w:webHidden/>
          </w:rPr>
          <w:tab/>
        </w:r>
        <w:r>
          <w:rPr>
            <w:noProof/>
            <w:webHidden/>
          </w:rPr>
          <w:fldChar w:fldCharType="begin"/>
        </w:r>
        <w:r w:rsidR="00C0598F">
          <w:rPr>
            <w:noProof/>
            <w:webHidden/>
          </w:rPr>
          <w:instrText xml:space="preserve"> PAGEREF _Toc349335802 \h </w:instrText>
        </w:r>
        <w:r>
          <w:rPr>
            <w:noProof/>
            <w:webHidden/>
          </w:rPr>
        </w:r>
        <w:r>
          <w:rPr>
            <w:noProof/>
            <w:webHidden/>
          </w:rPr>
          <w:fldChar w:fldCharType="separate"/>
        </w:r>
        <w:r w:rsidR="00C0598F">
          <w:rPr>
            <w:noProof/>
            <w:webHidden/>
          </w:rPr>
          <w:t>58</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03" w:history="1">
        <w:r w:rsidR="00C0598F" w:rsidRPr="00A25794">
          <w:rPr>
            <w:rStyle w:val="Hyperlink"/>
            <w:noProof/>
          </w:rPr>
          <w:t>Furniture and mattresses containing PUR-foam (produced before 2005)</w:t>
        </w:r>
        <w:r w:rsidR="00C0598F">
          <w:rPr>
            <w:noProof/>
            <w:webHidden/>
          </w:rPr>
          <w:tab/>
        </w:r>
        <w:r>
          <w:rPr>
            <w:noProof/>
            <w:webHidden/>
          </w:rPr>
          <w:fldChar w:fldCharType="begin"/>
        </w:r>
        <w:r w:rsidR="00C0598F">
          <w:rPr>
            <w:noProof/>
            <w:webHidden/>
          </w:rPr>
          <w:instrText xml:space="preserve"> PAGEREF _Toc349335803 \h </w:instrText>
        </w:r>
        <w:r>
          <w:rPr>
            <w:noProof/>
            <w:webHidden/>
          </w:rPr>
        </w:r>
        <w:r>
          <w:rPr>
            <w:noProof/>
            <w:webHidden/>
          </w:rPr>
          <w:fldChar w:fldCharType="separate"/>
        </w:r>
        <w:r w:rsidR="00C0598F">
          <w:rPr>
            <w:noProof/>
            <w:webHidden/>
          </w:rPr>
          <w:t>58</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04" w:history="1">
        <w:r w:rsidR="00C0598F" w:rsidRPr="00A25794">
          <w:rPr>
            <w:rStyle w:val="Hyperlink"/>
            <w:noProof/>
          </w:rPr>
          <w:t>PUR foam in other applications</w:t>
        </w:r>
        <w:r w:rsidR="00C0598F">
          <w:rPr>
            <w:noProof/>
            <w:webHidden/>
          </w:rPr>
          <w:tab/>
        </w:r>
        <w:r>
          <w:rPr>
            <w:noProof/>
            <w:webHidden/>
          </w:rPr>
          <w:fldChar w:fldCharType="begin"/>
        </w:r>
        <w:r w:rsidR="00C0598F">
          <w:rPr>
            <w:noProof/>
            <w:webHidden/>
          </w:rPr>
          <w:instrText xml:space="preserve"> PAGEREF _Toc349335804 \h </w:instrText>
        </w:r>
        <w:r>
          <w:rPr>
            <w:noProof/>
            <w:webHidden/>
          </w:rPr>
        </w:r>
        <w:r>
          <w:rPr>
            <w:noProof/>
            <w:webHidden/>
          </w:rPr>
          <w:fldChar w:fldCharType="separate"/>
        </w:r>
        <w:r w:rsidR="00C0598F">
          <w:rPr>
            <w:noProof/>
            <w:webHidden/>
          </w:rPr>
          <w:t>59</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05" w:history="1">
        <w:r w:rsidR="00C0598F" w:rsidRPr="00A25794">
          <w:rPr>
            <w:rStyle w:val="Hyperlink"/>
            <w:noProof/>
          </w:rPr>
          <w:t>Textiles and rubber</w:t>
        </w:r>
        <w:r w:rsidR="00C0598F">
          <w:rPr>
            <w:noProof/>
            <w:webHidden/>
          </w:rPr>
          <w:tab/>
        </w:r>
        <w:r>
          <w:rPr>
            <w:noProof/>
            <w:webHidden/>
          </w:rPr>
          <w:fldChar w:fldCharType="begin"/>
        </w:r>
        <w:r w:rsidR="00C0598F">
          <w:rPr>
            <w:noProof/>
            <w:webHidden/>
          </w:rPr>
          <w:instrText xml:space="preserve"> PAGEREF _Toc349335805 \h </w:instrText>
        </w:r>
        <w:r>
          <w:rPr>
            <w:noProof/>
            <w:webHidden/>
          </w:rPr>
        </w:r>
        <w:r>
          <w:rPr>
            <w:noProof/>
            <w:webHidden/>
          </w:rPr>
          <w:fldChar w:fldCharType="separate"/>
        </w:r>
        <w:r w:rsidR="00C0598F">
          <w:rPr>
            <w:noProof/>
            <w:webHidden/>
          </w:rPr>
          <w:t>59</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06" w:history="1">
        <w:r w:rsidR="00C0598F" w:rsidRPr="00A25794">
          <w:rPr>
            <w:rStyle w:val="Hyperlink"/>
            <w:noProof/>
          </w:rPr>
          <w:t>Articles produced from recycled plastic</w:t>
        </w:r>
        <w:r w:rsidR="00C0598F">
          <w:rPr>
            <w:noProof/>
            <w:webHidden/>
          </w:rPr>
          <w:tab/>
        </w:r>
        <w:r>
          <w:rPr>
            <w:noProof/>
            <w:webHidden/>
          </w:rPr>
          <w:fldChar w:fldCharType="begin"/>
        </w:r>
        <w:r w:rsidR="00C0598F">
          <w:rPr>
            <w:noProof/>
            <w:webHidden/>
          </w:rPr>
          <w:instrText xml:space="preserve"> PAGEREF _Toc349335806 \h </w:instrText>
        </w:r>
        <w:r>
          <w:rPr>
            <w:noProof/>
            <w:webHidden/>
          </w:rPr>
        </w:r>
        <w:r>
          <w:rPr>
            <w:noProof/>
            <w:webHidden/>
          </w:rPr>
          <w:fldChar w:fldCharType="separate"/>
        </w:r>
        <w:r w:rsidR="00C0598F">
          <w:rPr>
            <w:noProof/>
            <w:webHidden/>
          </w:rPr>
          <w:t>59</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07" w:history="1">
        <w:r w:rsidR="00C0598F" w:rsidRPr="00A25794">
          <w:rPr>
            <w:rStyle w:val="Hyperlink"/>
            <w:noProof/>
          </w:rPr>
          <w:t>PUR foam for recycling</w:t>
        </w:r>
        <w:r w:rsidR="00C0598F">
          <w:rPr>
            <w:noProof/>
            <w:webHidden/>
          </w:rPr>
          <w:tab/>
        </w:r>
        <w:r>
          <w:rPr>
            <w:noProof/>
            <w:webHidden/>
          </w:rPr>
          <w:fldChar w:fldCharType="begin"/>
        </w:r>
        <w:r w:rsidR="00C0598F">
          <w:rPr>
            <w:noProof/>
            <w:webHidden/>
          </w:rPr>
          <w:instrText xml:space="preserve"> PAGEREF _Toc349335807 \h </w:instrText>
        </w:r>
        <w:r>
          <w:rPr>
            <w:noProof/>
            <w:webHidden/>
          </w:rPr>
        </w:r>
        <w:r>
          <w:rPr>
            <w:noProof/>
            <w:webHidden/>
          </w:rPr>
          <w:fldChar w:fldCharType="separate"/>
        </w:r>
        <w:r w:rsidR="00C0598F">
          <w:rPr>
            <w:noProof/>
            <w:webHidden/>
          </w:rPr>
          <w:t>59</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08" w:history="1">
        <w:r w:rsidR="00C0598F" w:rsidRPr="00A25794">
          <w:rPr>
            <w:rStyle w:val="Hyperlink"/>
            <w:noProof/>
          </w:rPr>
          <w:t>Articles produced from recycled PUR foam</w:t>
        </w:r>
        <w:r w:rsidR="00C0598F">
          <w:rPr>
            <w:noProof/>
            <w:webHidden/>
          </w:rPr>
          <w:tab/>
        </w:r>
        <w:r>
          <w:rPr>
            <w:noProof/>
            <w:webHidden/>
          </w:rPr>
          <w:fldChar w:fldCharType="begin"/>
        </w:r>
        <w:r w:rsidR="00C0598F">
          <w:rPr>
            <w:noProof/>
            <w:webHidden/>
          </w:rPr>
          <w:instrText xml:space="preserve"> PAGEREF _Toc349335808 \h </w:instrText>
        </w:r>
        <w:r>
          <w:rPr>
            <w:noProof/>
            <w:webHidden/>
          </w:rPr>
        </w:r>
        <w:r>
          <w:rPr>
            <w:noProof/>
            <w:webHidden/>
          </w:rPr>
          <w:fldChar w:fldCharType="separate"/>
        </w:r>
        <w:r w:rsidR="00C0598F">
          <w:rPr>
            <w:noProof/>
            <w:webHidden/>
          </w:rPr>
          <w:t>59</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09" w:history="1">
        <w:r w:rsidR="00C0598F" w:rsidRPr="00A25794">
          <w:rPr>
            <w:rStyle w:val="Hyperlink"/>
            <w:noProof/>
          </w:rPr>
          <w:t>PBDE in biosolids, sewage sludge and industrial sludges</w:t>
        </w:r>
        <w:r w:rsidR="00C0598F">
          <w:rPr>
            <w:noProof/>
            <w:webHidden/>
          </w:rPr>
          <w:tab/>
        </w:r>
        <w:r>
          <w:rPr>
            <w:noProof/>
            <w:webHidden/>
          </w:rPr>
          <w:fldChar w:fldCharType="begin"/>
        </w:r>
        <w:r w:rsidR="00C0598F">
          <w:rPr>
            <w:noProof/>
            <w:webHidden/>
          </w:rPr>
          <w:instrText xml:space="preserve"> PAGEREF _Toc349335809 \h </w:instrText>
        </w:r>
        <w:r>
          <w:rPr>
            <w:noProof/>
            <w:webHidden/>
          </w:rPr>
        </w:r>
        <w:r>
          <w:rPr>
            <w:noProof/>
            <w:webHidden/>
          </w:rPr>
          <w:fldChar w:fldCharType="separate"/>
        </w:r>
        <w:r w:rsidR="00C0598F">
          <w:rPr>
            <w:noProof/>
            <w:webHidden/>
          </w:rPr>
          <w:t>60</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10" w:history="1">
        <w:r w:rsidR="00C0598F" w:rsidRPr="00A25794">
          <w:rPr>
            <w:rStyle w:val="Hyperlink"/>
            <w:noProof/>
          </w:rPr>
          <w:t>PBDEs in feed and food</w:t>
        </w:r>
        <w:r w:rsidR="00C0598F">
          <w:rPr>
            <w:noProof/>
            <w:webHidden/>
          </w:rPr>
          <w:tab/>
        </w:r>
        <w:r>
          <w:rPr>
            <w:noProof/>
            <w:webHidden/>
          </w:rPr>
          <w:fldChar w:fldCharType="begin"/>
        </w:r>
        <w:r w:rsidR="00C0598F">
          <w:rPr>
            <w:noProof/>
            <w:webHidden/>
          </w:rPr>
          <w:instrText xml:space="preserve"> PAGEREF _Toc349335810 \h </w:instrText>
        </w:r>
        <w:r>
          <w:rPr>
            <w:noProof/>
            <w:webHidden/>
          </w:rPr>
        </w:r>
        <w:r>
          <w:rPr>
            <w:noProof/>
            <w:webHidden/>
          </w:rPr>
          <w:fldChar w:fldCharType="separate"/>
        </w:r>
        <w:r w:rsidR="00C0598F">
          <w:rPr>
            <w:noProof/>
            <w:webHidden/>
          </w:rPr>
          <w:t>60</w:t>
        </w:r>
        <w:r>
          <w:rPr>
            <w:noProof/>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811" w:history="1">
        <w:r w:rsidR="00C0598F" w:rsidRPr="00A25794">
          <w:rPr>
            <w:rStyle w:val="Hyperlink"/>
            <w:noProof/>
          </w:rPr>
          <w:t>Annex 1-C: PeCBz and other unintentional POPs (HCB, PCDD, PCDF and PCB) as unintentional trace contaminants in chemicals, chemical in mixtures, and articles</w:t>
        </w:r>
        <w:r w:rsidR="00C0598F">
          <w:rPr>
            <w:noProof/>
            <w:webHidden/>
          </w:rPr>
          <w:tab/>
        </w:r>
        <w:r>
          <w:rPr>
            <w:noProof/>
            <w:webHidden/>
          </w:rPr>
          <w:fldChar w:fldCharType="begin"/>
        </w:r>
        <w:r w:rsidR="00C0598F">
          <w:rPr>
            <w:noProof/>
            <w:webHidden/>
          </w:rPr>
          <w:instrText xml:space="preserve"> PAGEREF _Toc349335811 \h </w:instrText>
        </w:r>
        <w:r>
          <w:rPr>
            <w:noProof/>
            <w:webHidden/>
          </w:rPr>
        </w:r>
        <w:r>
          <w:rPr>
            <w:noProof/>
            <w:webHidden/>
          </w:rPr>
          <w:fldChar w:fldCharType="separate"/>
        </w:r>
        <w:r w:rsidR="00C0598F">
          <w:rPr>
            <w:noProof/>
            <w:webHidden/>
          </w:rPr>
          <w:t>61</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12" w:history="1">
        <w:r w:rsidR="00C0598F" w:rsidRPr="00A25794">
          <w:rPr>
            <w:rStyle w:val="Hyperlink"/>
            <w:noProof/>
          </w:rPr>
          <w:t>PeCBz and HCB as product</w:t>
        </w:r>
        <w:r w:rsidR="00C0598F">
          <w:rPr>
            <w:noProof/>
            <w:webHidden/>
          </w:rPr>
          <w:tab/>
        </w:r>
        <w:r>
          <w:rPr>
            <w:noProof/>
            <w:webHidden/>
          </w:rPr>
          <w:fldChar w:fldCharType="begin"/>
        </w:r>
        <w:r w:rsidR="00C0598F">
          <w:rPr>
            <w:noProof/>
            <w:webHidden/>
          </w:rPr>
          <w:instrText xml:space="preserve"> PAGEREF _Toc349335812 \h </w:instrText>
        </w:r>
        <w:r>
          <w:rPr>
            <w:noProof/>
            <w:webHidden/>
          </w:rPr>
        </w:r>
        <w:r>
          <w:rPr>
            <w:noProof/>
            <w:webHidden/>
          </w:rPr>
          <w:fldChar w:fldCharType="separate"/>
        </w:r>
        <w:r w:rsidR="00C0598F">
          <w:rPr>
            <w:noProof/>
            <w:webHidden/>
          </w:rPr>
          <w:t>61</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13" w:history="1">
        <w:r w:rsidR="00C0598F" w:rsidRPr="00A25794">
          <w:rPr>
            <w:rStyle w:val="Hyperlink"/>
            <w:noProof/>
          </w:rPr>
          <w:t>PeCBz,  HCB, and PCDD/PCDF in pesticides and related organochlorine chemicals</w:t>
        </w:r>
        <w:r w:rsidR="00C0598F">
          <w:rPr>
            <w:noProof/>
            <w:webHidden/>
          </w:rPr>
          <w:tab/>
        </w:r>
        <w:r>
          <w:rPr>
            <w:noProof/>
            <w:webHidden/>
          </w:rPr>
          <w:fldChar w:fldCharType="begin"/>
        </w:r>
        <w:r w:rsidR="00C0598F">
          <w:rPr>
            <w:noProof/>
            <w:webHidden/>
          </w:rPr>
          <w:instrText xml:space="preserve"> PAGEREF _Toc349335813 \h </w:instrText>
        </w:r>
        <w:r>
          <w:rPr>
            <w:noProof/>
            <w:webHidden/>
          </w:rPr>
        </w:r>
        <w:r>
          <w:rPr>
            <w:noProof/>
            <w:webHidden/>
          </w:rPr>
          <w:fldChar w:fldCharType="separate"/>
        </w:r>
        <w:r w:rsidR="00C0598F">
          <w:rPr>
            <w:noProof/>
            <w:webHidden/>
          </w:rPr>
          <w:t>61</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14" w:history="1">
        <w:r w:rsidR="00C0598F" w:rsidRPr="00A25794">
          <w:rPr>
            <w:rStyle w:val="Hyperlink"/>
            <w:noProof/>
          </w:rPr>
          <w:t>PeCBz, HCB in pigments and tetrachlorophthalic anhydride</w:t>
        </w:r>
        <w:r w:rsidR="00C0598F">
          <w:rPr>
            <w:noProof/>
            <w:webHidden/>
          </w:rPr>
          <w:tab/>
        </w:r>
        <w:r>
          <w:rPr>
            <w:noProof/>
            <w:webHidden/>
          </w:rPr>
          <w:fldChar w:fldCharType="begin"/>
        </w:r>
        <w:r w:rsidR="00C0598F">
          <w:rPr>
            <w:noProof/>
            <w:webHidden/>
          </w:rPr>
          <w:instrText xml:space="preserve"> PAGEREF _Toc349335814 \h </w:instrText>
        </w:r>
        <w:r>
          <w:rPr>
            <w:noProof/>
            <w:webHidden/>
          </w:rPr>
        </w:r>
        <w:r>
          <w:rPr>
            <w:noProof/>
            <w:webHidden/>
          </w:rPr>
          <w:fldChar w:fldCharType="separate"/>
        </w:r>
        <w:r w:rsidR="00C0598F">
          <w:rPr>
            <w:noProof/>
            <w:webHidden/>
          </w:rPr>
          <w:t>62</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15" w:history="1">
        <w:r w:rsidR="00C0598F" w:rsidRPr="00A25794">
          <w:rPr>
            <w:rStyle w:val="Hyperlink"/>
            <w:noProof/>
          </w:rPr>
          <w:t>Unintentionally produced POPs in articles</w:t>
        </w:r>
        <w:r w:rsidR="00C0598F">
          <w:rPr>
            <w:noProof/>
            <w:webHidden/>
          </w:rPr>
          <w:tab/>
        </w:r>
        <w:r>
          <w:rPr>
            <w:noProof/>
            <w:webHidden/>
          </w:rPr>
          <w:fldChar w:fldCharType="begin"/>
        </w:r>
        <w:r w:rsidR="00C0598F">
          <w:rPr>
            <w:noProof/>
            <w:webHidden/>
          </w:rPr>
          <w:instrText xml:space="preserve"> PAGEREF _Toc349335815 \h </w:instrText>
        </w:r>
        <w:r>
          <w:rPr>
            <w:noProof/>
            <w:webHidden/>
          </w:rPr>
        </w:r>
        <w:r>
          <w:rPr>
            <w:noProof/>
            <w:webHidden/>
          </w:rPr>
          <w:fldChar w:fldCharType="separate"/>
        </w:r>
        <w:r w:rsidR="00C0598F">
          <w:rPr>
            <w:noProof/>
            <w:webHidden/>
          </w:rPr>
          <w:t>62</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16" w:history="1">
        <w:r w:rsidR="00C0598F" w:rsidRPr="00A25794">
          <w:rPr>
            <w:rStyle w:val="Hyperlink"/>
            <w:noProof/>
          </w:rPr>
          <w:t>PeCBz and HCB in chlorinated solvent</w:t>
        </w:r>
        <w:r w:rsidR="00C0598F">
          <w:rPr>
            <w:noProof/>
            <w:webHidden/>
          </w:rPr>
          <w:tab/>
        </w:r>
        <w:r>
          <w:rPr>
            <w:noProof/>
            <w:webHidden/>
          </w:rPr>
          <w:fldChar w:fldCharType="begin"/>
        </w:r>
        <w:r w:rsidR="00C0598F">
          <w:rPr>
            <w:noProof/>
            <w:webHidden/>
          </w:rPr>
          <w:instrText xml:space="preserve"> PAGEREF _Toc349335816 \h </w:instrText>
        </w:r>
        <w:r>
          <w:rPr>
            <w:noProof/>
            <w:webHidden/>
          </w:rPr>
        </w:r>
        <w:r>
          <w:rPr>
            <w:noProof/>
            <w:webHidden/>
          </w:rPr>
          <w:fldChar w:fldCharType="separate"/>
        </w:r>
        <w:r w:rsidR="00C0598F">
          <w:rPr>
            <w:noProof/>
            <w:webHidden/>
          </w:rPr>
          <w:t>62</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17" w:history="1">
        <w:r w:rsidR="00C0598F" w:rsidRPr="00A25794">
          <w:rPr>
            <w:rStyle w:val="Hyperlink"/>
            <w:noProof/>
          </w:rPr>
          <w:t>PCDD/PCDF and other unintentional POPs in biosolids/sewage sludge</w:t>
        </w:r>
        <w:r w:rsidR="00C0598F">
          <w:rPr>
            <w:noProof/>
            <w:webHidden/>
          </w:rPr>
          <w:tab/>
        </w:r>
        <w:r>
          <w:rPr>
            <w:noProof/>
            <w:webHidden/>
          </w:rPr>
          <w:fldChar w:fldCharType="begin"/>
        </w:r>
        <w:r w:rsidR="00C0598F">
          <w:rPr>
            <w:noProof/>
            <w:webHidden/>
          </w:rPr>
          <w:instrText xml:space="preserve"> PAGEREF _Toc349335817 \h </w:instrText>
        </w:r>
        <w:r>
          <w:rPr>
            <w:noProof/>
            <w:webHidden/>
          </w:rPr>
        </w:r>
        <w:r>
          <w:rPr>
            <w:noProof/>
            <w:webHidden/>
          </w:rPr>
          <w:fldChar w:fldCharType="separate"/>
        </w:r>
        <w:r w:rsidR="00C0598F">
          <w:rPr>
            <w:noProof/>
            <w:webHidden/>
          </w:rPr>
          <w:t>63</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18" w:history="1">
        <w:r w:rsidR="00C0598F" w:rsidRPr="00A25794">
          <w:rPr>
            <w:rStyle w:val="Hyperlink"/>
            <w:noProof/>
          </w:rPr>
          <w:t>Unintentionally produced POPs (PCDD/PCDF, PeCBz, HCB, PCB) in food and feed</w:t>
        </w:r>
        <w:r w:rsidR="00C0598F">
          <w:rPr>
            <w:noProof/>
            <w:webHidden/>
          </w:rPr>
          <w:tab/>
        </w:r>
        <w:r>
          <w:rPr>
            <w:noProof/>
            <w:webHidden/>
          </w:rPr>
          <w:fldChar w:fldCharType="begin"/>
        </w:r>
        <w:r w:rsidR="00C0598F">
          <w:rPr>
            <w:noProof/>
            <w:webHidden/>
          </w:rPr>
          <w:instrText xml:space="preserve"> PAGEREF _Toc349335818 \h </w:instrText>
        </w:r>
        <w:r>
          <w:rPr>
            <w:noProof/>
            <w:webHidden/>
          </w:rPr>
        </w:r>
        <w:r>
          <w:rPr>
            <w:noProof/>
            <w:webHidden/>
          </w:rPr>
          <w:fldChar w:fldCharType="separate"/>
        </w:r>
        <w:r w:rsidR="00C0598F">
          <w:rPr>
            <w:noProof/>
            <w:webHidden/>
          </w:rPr>
          <w:t>63</w:t>
        </w:r>
        <w:r>
          <w:rPr>
            <w:noProof/>
            <w:webHidden/>
          </w:rPr>
          <w:fldChar w:fldCharType="end"/>
        </w:r>
      </w:hyperlink>
    </w:p>
    <w:p w:rsidR="00C0598F" w:rsidRDefault="00322F03">
      <w:pPr>
        <w:pStyle w:val="TOC1"/>
        <w:tabs>
          <w:tab w:val="left" w:pos="1350"/>
        </w:tabs>
        <w:rPr>
          <w:rFonts w:ascii="Times New Roman" w:eastAsia="SimSun" w:hAnsi="Times New Roman"/>
          <w:b w:val="0"/>
          <w:sz w:val="24"/>
          <w:szCs w:val="24"/>
          <w:lang w:val="de-DE" w:eastAsia="zh-CN"/>
        </w:rPr>
      </w:pPr>
      <w:hyperlink w:anchor="_Toc349335819" w:history="1">
        <w:r w:rsidR="00C0598F" w:rsidRPr="00A25794">
          <w:rPr>
            <w:rStyle w:val="Hyperlink"/>
          </w:rPr>
          <w:t>ANNEX 2</w:t>
        </w:r>
        <w:r w:rsidR="00C0598F">
          <w:rPr>
            <w:rFonts w:ascii="Times New Roman" w:eastAsia="SimSun" w:hAnsi="Times New Roman"/>
            <w:b w:val="0"/>
            <w:sz w:val="24"/>
            <w:szCs w:val="24"/>
            <w:lang w:val="de-DE" w:eastAsia="zh-CN"/>
          </w:rPr>
          <w:tab/>
        </w:r>
        <w:r w:rsidR="00C0598F" w:rsidRPr="00A25794">
          <w:rPr>
            <w:rStyle w:val="Hyperlink"/>
          </w:rPr>
          <w:t xml:space="preserve">  Instrumental analysis</w:t>
        </w:r>
        <w:r w:rsidR="00C0598F">
          <w:rPr>
            <w:webHidden/>
          </w:rPr>
          <w:tab/>
        </w:r>
        <w:r>
          <w:rPr>
            <w:webHidden/>
          </w:rPr>
          <w:fldChar w:fldCharType="begin"/>
        </w:r>
        <w:r w:rsidR="00C0598F">
          <w:rPr>
            <w:webHidden/>
          </w:rPr>
          <w:instrText xml:space="preserve"> PAGEREF _Toc349335819 \h </w:instrText>
        </w:r>
        <w:r>
          <w:rPr>
            <w:webHidden/>
          </w:rPr>
        </w:r>
        <w:r>
          <w:rPr>
            <w:webHidden/>
          </w:rPr>
          <w:fldChar w:fldCharType="separate"/>
        </w:r>
        <w:r w:rsidR="00C0598F">
          <w:rPr>
            <w:webHidden/>
          </w:rPr>
          <w:t>65</w:t>
        </w:r>
        <w:r>
          <w:rPr>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820" w:history="1">
        <w:r w:rsidR="00C0598F" w:rsidRPr="00A25794">
          <w:rPr>
            <w:rStyle w:val="Hyperlink"/>
            <w:noProof/>
          </w:rPr>
          <w:t>Annex 2-A: GC/MS analysis of PBDE</w:t>
        </w:r>
        <w:r w:rsidR="00C0598F">
          <w:rPr>
            <w:noProof/>
            <w:webHidden/>
          </w:rPr>
          <w:tab/>
        </w:r>
        <w:r>
          <w:rPr>
            <w:noProof/>
            <w:webHidden/>
          </w:rPr>
          <w:fldChar w:fldCharType="begin"/>
        </w:r>
        <w:r w:rsidR="00C0598F">
          <w:rPr>
            <w:noProof/>
            <w:webHidden/>
          </w:rPr>
          <w:instrText xml:space="preserve"> PAGEREF _Toc349335820 \h </w:instrText>
        </w:r>
        <w:r>
          <w:rPr>
            <w:noProof/>
            <w:webHidden/>
          </w:rPr>
        </w:r>
        <w:r>
          <w:rPr>
            <w:noProof/>
            <w:webHidden/>
          </w:rPr>
          <w:fldChar w:fldCharType="separate"/>
        </w:r>
        <w:r w:rsidR="00C0598F">
          <w:rPr>
            <w:noProof/>
            <w:webHidden/>
          </w:rPr>
          <w:t>65</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21" w:history="1">
        <w:r w:rsidR="00C0598F" w:rsidRPr="00A25794">
          <w:rPr>
            <w:rStyle w:val="Hyperlink"/>
            <w:noProof/>
            <w:lang w:val="fr-FR"/>
          </w:rPr>
          <w:t>PBDEs GC/MS conditions (example)</w:t>
        </w:r>
        <w:r w:rsidR="00C0598F">
          <w:rPr>
            <w:noProof/>
            <w:webHidden/>
          </w:rPr>
          <w:tab/>
        </w:r>
        <w:r>
          <w:rPr>
            <w:noProof/>
            <w:webHidden/>
          </w:rPr>
          <w:fldChar w:fldCharType="begin"/>
        </w:r>
        <w:r w:rsidR="00C0598F">
          <w:rPr>
            <w:noProof/>
            <w:webHidden/>
          </w:rPr>
          <w:instrText xml:space="preserve"> PAGEREF _Toc349335821 \h </w:instrText>
        </w:r>
        <w:r>
          <w:rPr>
            <w:noProof/>
            <w:webHidden/>
          </w:rPr>
        </w:r>
        <w:r>
          <w:rPr>
            <w:noProof/>
            <w:webHidden/>
          </w:rPr>
          <w:fldChar w:fldCharType="separate"/>
        </w:r>
        <w:r w:rsidR="00C0598F">
          <w:rPr>
            <w:noProof/>
            <w:webHidden/>
          </w:rPr>
          <w:t>65</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22" w:history="1">
        <w:r w:rsidR="00C0598F" w:rsidRPr="00A25794">
          <w:rPr>
            <w:rStyle w:val="Hyperlink"/>
            <w:noProof/>
          </w:rPr>
          <w:t>PBDE masses and mass windows</w:t>
        </w:r>
        <w:r w:rsidR="00C0598F">
          <w:rPr>
            <w:noProof/>
            <w:webHidden/>
          </w:rPr>
          <w:tab/>
        </w:r>
        <w:r>
          <w:rPr>
            <w:noProof/>
            <w:webHidden/>
          </w:rPr>
          <w:fldChar w:fldCharType="begin"/>
        </w:r>
        <w:r w:rsidR="00C0598F">
          <w:rPr>
            <w:noProof/>
            <w:webHidden/>
          </w:rPr>
          <w:instrText xml:space="preserve"> PAGEREF _Toc349335822 \h </w:instrText>
        </w:r>
        <w:r>
          <w:rPr>
            <w:noProof/>
            <w:webHidden/>
          </w:rPr>
        </w:r>
        <w:r>
          <w:rPr>
            <w:noProof/>
            <w:webHidden/>
          </w:rPr>
          <w:fldChar w:fldCharType="separate"/>
        </w:r>
        <w:r w:rsidR="00C0598F">
          <w:rPr>
            <w:noProof/>
            <w:webHidden/>
          </w:rPr>
          <w:t>66</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23" w:history="1">
        <w:r w:rsidR="00C0598F" w:rsidRPr="00A25794">
          <w:rPr>
            <w:rStyle w:val="Hyperlink"/>
            <w:noProof/>
          </w:rPr>
          <w:t>PBDE SIM Chromatogram</w:t>
        </w:r>
        <w:r w:rsidR="00C0598F">
          <w:rPr>
            <w:noProof/>
            <w:webHidden/>
          </w:rPr>
          <w:tab/>
        </w:r>
        <w:r>
          <w:rPr>
            <w:noProof/>
            <w:webHidden/>
          </w:rPr>
          <w:fldChar w:fldCharType="begin"/>
        </w:r>
        <w:r w:rsidR="00C0598F">
          <w:rPr>
            <w:noProof/>
            <w:webHidden/>
          </w:rPr>
          <w:instrText xml:space="preserve"> PAGEREF _Toc349335823 \h </w:instrText>
        </w:r>
        <w:r>
          <w:rPr>
            <w:noProof/>
            <w:webHidden/>
          </w:rPr>
        </w:r>
        <w:r>
          <w:rPr>
            <w:noProof/>
            <w:webHidden/>
          </w:rPr>
          <w:fldChar w:fldCharType="separate"/>
        </w:r>
        <w:r w:rsidR="00C0598F">
          <w:rPr>
            <w:noProof/>
            <w:webHidden/>
          </w:rPr>
          <w:t>67</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24" w:history="1">
        <w:r w:rsidR="00C0598F" w:rsidRPr="00A25794">
          <w:rPr>
            <w:rStyle w:val="Hyperlink"/>
            <w:noProof/>
          </w:rPr>
          <w:t>Major POP-BDE congeners in commercial mixtures</w:t>
        </w:r>
        <w:r w:rsidR="00C0598F">
          <w:rPr>
            <w:noProof/>
            <w:webHidden/>
          </w:rPr>
          <w:tab/>
        </w:r>
        <w:r>
          <w:rPr>
            <w:noProof/>
            <w:webHidden/>
          </w:rPr>
          <w:fldChar w:fldCharType="begin"/>
        </w:r>
        <w:r w:rsidR="00C0598F">
          <w:rPr>
            <w:noProof/>
            <w:webHidden/>
          </w:rPr>
          <w:instrText xml:space="preserve"> PAGEREF _Toc349335824 \h </w:instrText>
        </w:r>
        <w:r>
          <w:rPr>
            <w:noProof/>
            <w:webHidden/>
          </w:rPr>
        </w:r>
        <w:r>
          <w:rPr>
            <w:noProof/>
            <w:webHidden/>
          </w:rPr>
          <w:fldChar w:fldCharType="separate"/>
        </w:r>
        <w:r w:rsidR="00C0598F">
          <w:rPr>
            <w:noProof/>
            <w:webHidden/>
          </w:rPr>
          <w:t>68</w:t>
        </w:r>
        <w:r>
          <w:rPr>
            <w:noProof/>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825" w:history="1">
        <w:r w:rsidR="00C0598F" w:rsidRPr="00A25794">
          <w:rPr>
            <w:rStyle w:val="Hyperlink"/>
            <w:noProof/>
          </w:rPr>
          <w:t>Annex 2-B: GC/MS analysis of HBB</w:t>
        </w:r>
        <w:r w:rsidR="00C0598F">
          <w:rPr>
            <w:noProof/>
            <w:webHidden/>
          </w:rPr>
          <w:tab/>
        </w:r>
        <w:r>
          <w:rPr>
            <w:noProof/>
            <w:webHidden/>
          </w:rPr>
          <w:fldChar w:fldCharType="begin"/>
        </w:r>
        <w:r w:rsidR="00C0598F">
          <w:rPr>
            <w:noProof/>
            <w:webHidden/>
          </w:rPr>
          <w:instrText xml:space="preserve"> PAGEREF _Toc349335825 \h </w:instrText>
        </w:r>
        <w:r>
          <w:rPr>
            <w:noProof/>
            <w:webHidden/>
          </w:rPr>
        </w:r>
        <w:r>
          <w:rPr>
            <w:noProof/>
            <w:webHidden/>
          </w:rPr>
          <w:fldChar w:fldCharType="separate"/>
        </w:r>
        <w:r w:rsidR="00C0598F">
          <w:rPr>
            <w:noProof/>
            <w:webHidden/>
          </w:rPr>
          <w:t>70</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26" w:history="1">
        <w:r w:rsidR="00C0598F" w:rsidRPr="00A25794">
          <w:rPr>
            <w:rStyle w:val="Hyperlink"/>
            <w:noProof/>
          </w:rPr>
          <w:t>GC/MS conditions HBB (example)</w:t>
        </w:r>
        <w:r w:rsidR="00C0598F">
          <w:rPr>
            <w:noProof/>
            <w:webHidden/>
          </w:rPr>
          <w:tab/>
        </w:r>
        <w:r>
          <w:rPr>
            <w:noProof/>
            <w:webHidden/>
          </w:rPr>
          <w:fldChar w:fldCharType="begin"/>
        </w:r>
        <w:r w:rsidR="00C0598F">
          <w:rPr>
            <w:noProof/>
            <w:webHidden/>
          </w:rPr>
          <w:instrText xml:space="preserve"> PAGEREF _Toc349335826 \h </w:instrText>
        </w:r>
        <w:r>
          <w:rPr>
            <w:noProof/>
            <w:webHidden/>
          </w:rPr>
        </w:r>
        <w:r>
          <w:rPr>
            <w:noProof/>
            <w:webHidden/>
          </w:rPr>
          <w:fldChar w:fldCharType="separate"/>
        </w:r>
        <w:r w:rsidR="00C0598F">
          <w:rPr>
            <w:noProof/>
            <w:webHidden/>
          </w:rPr>
          <w:t>70</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27" w:history="1">
        <w:r w:rsidR="00C0598F" w:rsidRPr="00A25794">
          <w:rPr>
            <w:rStyle w:val="Hyperlink"/>
            <w:noProof/>
          </w:rPr>
          <w:t>Table A2-4: Masses of detected ions (</w:t>
        </w:r>
        <w:r w:rsidR="00C0598F" w:rsidRPr="00A25794">
          <w:rPr>
            <w:rStyle w:val="Hyperlink"/>
            <w:i/>
            <w:noProof/>
          </w:rPr>
          <w:t>m/z</w:t>
        </w:r>
        <w:r w:rsidR="00C0598F" w:rsidRPr="00A25794">
          <w:rPr>
            <w:rStyle w:val="Hyperlink"/>
            <w:noProof/>
          </w:rPr>
          <w:t>’s) for HBB</w:t>
        </w:r>
        <w:r w:rsidR="00C0598F">
          <w:rPr>
            <w:noProof/>
            <w:webHidden/>
          </w:rPr>
          <w:tab/>
        </w:r>
        <w:r>
          <w:rPr>
            <w:noProof/>
            <w:webHidden/>
          </w:rPr>
          <w:fldChar w:fldCharType="begin"/>
        </w:r>
        <w:r w:rsidR="00C0598F">
          <w:rPr>
            <w:noProof/>
            <w:webHidden/>
          </w:rPr>
          <w:instrText xml:space="preserve"> PAGEREF _Toc349335827 \h </w:instrText>
        </w:r>
        <w:r>
          <w:rPr>
            <w:noProof/>
            <w:webHidden/>
          </w:rPr>
        </w:r>
        <w:r>
          <w:rPr>
            <w:noProof/>
            <w:webHidden/>
          </w:rPr>
          <w:fldChar w:fldCharType="separate"/>
        </w:r>
        <w:r w:rsidR="00C0598F">
          <w:rPr>
            <w:noProof/>
            <w:webHidden/>
          </w:rPr>
          <w:t>70</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28" w:history="1">
        <w:r w:rsidR="00C0598F" w:rsidRPr="00A25794">
          <w:rPr>
            <w:rStyle w:val="Hyperlink"/>
            <w:noProof/>
          </w:rPr>
          <w:t>HBB SIM Chromatogram</w:t>
        </w:r>
        <w:r w:rsidR="00C0598F">
          <w:rPr>
            <w:noProof/>
            <w:webHidden/>
          </w:rPr>
          <w:tab/>
        </w:r>
        <w:r>
          <w:rPr>
            <w:noProof/>
            <w:webHidden/>
          </w:rPr>
          <w:fldChar w:fldCharType="begin"/>
        </w:r>
        <w:r w:rsidR="00C0598F">
          <w:rPr>
            <w:noProof/>
            <w:webHidden/>
          </w:rPr>
          <w:instrText xml:space="preserve"> PAGEREF _Toc349335828 \h </w:instrText>
        </w:r>
        <w:r>
          <w:rPr>
            <w:noProof/>
            <w:webHidden/>
          </w:rPr>
        </w:r>
        <w:r>
          <w:rPr>
            <w:noProof/>
            <w:webHidden/>
          </w:rPr>
          <w:fldChar w:fldCharType="separate"/>
        </w:r>
        <w:r w:rsidR="00C0598F">
          <w:rPr>
            <w:noProof/>
            <w:webHidden/>
          </w:rPr>
          <w:t>71</w:t>
        </w:r>
        <w:r>
          <w:rPr>
            <w:noProof/>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829" w:history="1">
        <w:r w:rsidR="00C0598F" w:rsidRPr="00A25794">
          <w:rPr>
            <w:rStyle w:val="Hyperlink"/>
            <w:noProof/>
          </w:rPr>
          <w:t>Annex 2-C: GC/MS analysis of PeCBz, HCHs and basic pesticide POPs</w:t>
        </w:r>
        <w:r w:rsidR="00C0598F">
          <w:rPr>
            <w:noProof/>
            <w:webHidden/>
          </w:rPr>
          <w:tab/>
        </w:r>
        <w:r>
          <w:rPr>
            <w:noProof/>
            <w:webHidden/>
          </w:rPr>
          <w:fldChar w:fldCharType="begin"/>
        </w:r>
        <w:r w:rsidR="00C0598F">
          <w:rPr>
            <w:noProof/>
            <w:webHidden/>
          </w:rPr>
          <w:instrText xml:space="preserve"> PAGEREF _Toc349335829 \h </w:instrText>
        </w:r>
        <w:r>
          <w:rPr>
            <w:noProof/>
            <w:webHidden/>
          </w:rPr>
        </w:r>
        <w:r>
          <w:rPr>
            <w:noProof/>
            <w:webHidden/>
          </w:rPr>
          <w:fldChar w:fldCharType="separate"/>
        </w:r>
        <w:r w:rsidR="00C0598F">
          <w:rPr>
            <w:noProof/>
            <w:webHidden/>
          </w:rPr>
          <w:t>72</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30" w:history="1">
        <w:r w:rsidR="00C0598F" w:rsidRPr="00A25794">
          <w:rPr>
            <w:rStyle w:val="Hyperlink"/>
            <w:noProof/>
          </w:rPr>
          <w:t>GC/MS conditions PeCBz, HCHs and basic pesticide POPs (example)</w:t>
        </w:r>
        <w:r w:rsidR="00C0598F">
          <w:rPr>
            <w:noProof/>
            <w:webHidden/>
          </w:rPr>
          <w:tab/>
        </w:r>
        <w:r>
          <w:rPr>
            <w:noProof/>
            <w:webHidden/>
          </w:rPr>
          <w:fldChar w:fldCharType="begin"/>
        </w:r>
        <w:r w:rsidR="00C0598F">
          <w:rPr>
            <w:noProof/>
            <w:webHidden/>
          </w:rPr>
          <w:instrText xml:space="preserve"> PAGEREF _Toc349335830 \h </w:instrText>
        </w:r>
        <w:r>
          <w:rPr>
            <w:noProof/>
            <w:webHidden/>
          </w:rPr>
        </w:r>
        <w:r>
          <w:rPr>
            <w:noProof/>
            <w:webHidden/>
          </w:rPr>
          <w:fldChar w:fldCharType="separate"/>
        </w:r>
        <w:r w:rsidR="00C0598F">
          <w:rPr>
            <w:noProof/>
            <w:webHidden/>
          </w:rPr>
          <w:t>72</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31" w:history="1">
        <w:r w:rsidR="00C0598F" w:rsidRPr="00A25794">
          <w:rPr>
            <w:rStyle w:val="Hyperlink"/>
            <w:noProof/>
          </w:rPr>
          <w:t>Table A2-4a?: Masses of detected ions (</w:t>
        </w:r>
        <w:r w:rsidR="00C0598F" w:rsidRPr="00A25794">
          <w:rPr>
            <w:rStyle w:val="Hyperlink"/>
            <w:i/>
            <w:noProof/>
          </w:rPr>
          <w:t>m/z</w:t>
        </w:r>
        <w:r w:rsidR="00C0598F" w:rsidRPr="00A25794">
          <w:rPr>
            <w:rStyle w:val="Hyperlink"/>
            <w:noProof/>
          </w:rPr>
          <w:t xml:space="preserve">’s) for PeCBz and </w:t>
        </w:r>
        <w:r w:rsidR="00C0598F" w:rsidRPr="00A25794">
          <w:rPr>
            <w:rStyle w:val="Hyperlink"/>
            <w:noProof/>
            <w:vertAlign w:val="superscript"/>
          </w:rPr>
          <w:t>13</w:t>
        </w:r>
        <w:r w:rsidR="00C0598F" w:rsidRPr="00A25794">
          <w:rPr>
            <w:rStyle w:val="Hyperlink"/>
            <w:noProof/>
          </w:rPr>
          <w:t>C</w:t>
        </w:r>
        <w:r w:rsidR="00C0598F" w:rsidRPr="00A25794">
          <w:rPr>
            <w:rStyle w:val="Hyperlink"/>
            <w:noProof/>
            <w:vertAlign w:val="subscript"/>
          </w:rPr>
          <w:t>6</w:t>
        </w:r>
        <w:r w:rsidR="00C0598F" w:rsidRPr="00A25794">
          <w:rPr>
            <w:rStyle w:val="Hyperlink"/>
            <w:noProof/>
          </w:rPr>
          <w:t>-PeCBz</w:t>
        </w:r>
        <w:r w:rsidR="00C0598F">
          <w:rPr>
            <w:noProof/>
            <w:webHidden/>
          </w:rPr>
          <w:tab/>
        </w:r>
        <w:r>
          <w:rPr>
            <w:noProof/>
            <w:webHidden/>
          </w:rPr>
          <w:fldChar w:fldCharType="begin"/>
        </w:r>
        <w:r w:rsidR="00C0598F">
          <w:rPr>
            <w:noProof/>
            <w:webHidden/>
          </w:rPr>
          <w:instrText xml:space="preserve"> PAGEREF _Toc349335831 \h </w:instrText>
        </w:r>
        <w:r>
          <w:rPr>
            <w:noProof/>
            <w:webHidden/>
          </w:rPr>
        </w:r>
        <w:r>
          <w:rPr>
            <w:noProof/>
            <w:webHidden/>
          </w:rPr>
          <w:fldChar w:fldCharType="separate"/>
        </w:r>
        <w:r w:rsidR="00C0598F">
          <w:rPr>
            <w:noProof/>
            <w:webHidden/>
          </w:rPr>
          <w:t>72</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32" w:history="1">
        <w:r w:rsidR="00C0598F" w:rsidRPr="00A25794">
          <w:rPr>
            <w:rStyle w:val="Hyperlink"/>
            <w:noProof/>
            <w:lang w:eastAsia="zh-CN"/>
          </w:rPr>
          <w:t>Calibration curve</w:t>
        </w:r>
        <w:r w:rsidR="00C0598F">
          <w:rPr>
            <w:noProof/>
            <w:webHidden/>
          </w:rPr>
          <w:tab/>
        </w:r>
        <w:r>
          <w:rPr>
            <w:noProof/>
            <w:webHidden/>
          </w:rPr>
          <w:fldChar w:fldCharType="begin"/>
        </w:r>
        <w:r w:rsidR="00C0598F">
          <w:rPr>
            <w:noProof/>
            <w:webHidden/>
          </w:rPr>
          <w:instrText xml:space="preserve"> PAGEREF _Toc349335832 \h </w:instrText>
        </w:r>
        <w:r>
          <w:rPr>
            <w:noProof/>
            <w:webHidden/>
          </w:rPr>
        </w:r>
        <w:r>
          <w:rPr>
            <w:noProof/>
            <w:webHidden/>
          </w:rPr>
          <w:fldChar w:fldCharType="separate"/>
        </w:r>
        <w:r w:rsidR="00C0598F">
          <w:rPr>
            <w:noProof/>
            <w:webHidden/>
          </w:rPr>
          <w:t>73</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33" w:history="1">
        <w:r w:rsidR="00C0598F" w:rsidRPr="00A25794">
          <w:rPr>
            <w:rStyle w:val="Hyperlink"/>
            <w:noProof/>
            <w:lang w:eastAsia="zh-CN"/>
          </w:rPr>
          <w:t>Chromatogram PeCBz (DB-17HT 30 m x 0.32 mm I.D. (0.15 μm)</w:t>
        </w:r>
        <w:r w:rsidR="00C0598F">
          <w:rPr>
            <w:noProof/>
            <w:webHidden/>
          </w:rPr>
          <w:tab/>
        </w:r>
        <w:r>
          <w:rPr>
            <w:noProof/>
            <w:webHidden/>
          </w:rPr>
          <w:fldChar w:fldCharType="begin"/>
        </w:r>
        <w:r w:rsidR="00C0598F">
          <w:rPr>
            <w:noProof/>
            <w:webHidden/>
          </w:rPr>
          <w:instrText xml:space="preserve"> PAGEREF _Toc349335833 \h </w:instrText>
        </w:r>
        <w:r>
          <w:rPr>
            <w:noProof/>
            <w:webHidden/>
          </w:rPr>
        </w:r>
        <w:r>
          <w:rPr>
            <w:noProof/>
            <w:webHidden/>
          </w:rPr>
          <w:fldChar w:fldCharType="separate"/>
        </w:r>
        <w:r w:rsidR="00C0598F">
          <w:rPr>
            <w:noProof/>
            <w:webHidden/>
          </w:rPr>
          <w:t>73</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34" w:history="1">
        <w:r w:rsidR="00C0598F" w:rsidRPr="00A25794">
          <w:rPr>
            <w:rStyle w:val="Hyperlink"/>
            <w:noProof/>
          </w:rPr>
          <w:t>Chromatograms HCHs, DDT (and degradation products) and other basic pesticide POPs</w:t>
        </w:r>
        <w:r w:rsidR="00C0598F">
          <w:rPr>
            <w:noProof/>
            <w:webHidden/>
          </w:rPr>
          <w:tab/>
        </w:r>
        <w:r>
          <w:rPr>
            <w:noProof/>
            <w:webHidden/>
          </w:rPr>
          <w:fldChar w:fldCharType="begin"/>
        </w:r>
        <w:r w:rsidR="00C0598F">
          <w:rPr>
            <w:noProof/>
            <w:webHidden/>
          </w:rPr>
          <w:instrText xml:space="preserve"> PAGEREF _Toc349335834 \h </w:instrText>
        </w:r>
        <w:r>
          <w:rPr>
            <w:noProof/>
            <w:webHidden/>
          </w:rPr>
        </w:r>
        <w:r>
          <w:rPr>
            <w:noProof/>
            <w:webHidden/>
          </w:rPr>
          <w:fldChar w:fldCharType="separate"/>
        </w:r>
        <w:r w:rsidR="00C0598F">
          <w:rPr>
            <w:noProof/>
            <w:webHidden/>
          </w:rPr>
          <w:t>74</w:t>
        </w:r>
        <w:r>
          <w:rPr>
            <w:noProof/>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835" w:history="1">
        <w:r w:rsidR="00C0598F" w:rsidRPr="00A25794">
          <w:rPr>
            <w:rStyle w:val="Hyperlink"/>
            <w:noProof/>
          </w:rPr>
          <w:t>Annex 2-D: LC/MS analysis of PFOS</w:t>
        </w:r>
        <w:r w:rsidR="00C0598F">
          <w:rPr>
            <w:noProof/>
            <w:webHidden/>
          </w:rPr>
          <w:tab/>
        </w:r>
        <w:r>
          <w:rPr>
            <w:noProof/>
            <w:webHidden/>
          </w:rPr>
          <w:fldChar w:fldCharType="begin"/>
        </w:r>
        <w:r w:rsidR="00C0598F">
          <w:rPr>
            <w:noProof/>
            <w:webHidden/>
          </w:rPr>
          <w:instrText xml:space="preserve"> PAGEREF _Toc349335835 \h </w:instrText>
        </w:r>
        <w:r>
          <w:rPr>
            <w:noProof/>
            <w:webHidden/>
          </w:rPr>
        </w:r>
        <w:r>
          <w:rPr>
            <w:noProof/>
            <w:webHidden/>
          </w:rPr>
          <w:fldChar w:fldCharType="separate"/>
        </w:r>
        <w:r w:rsidR="00C0598F">
          <w:rPr>
            <w:noProof/>
            <w:webHidden/>
          </w:rPr>
          <w:t>75</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36" w:history="1">
        <w:r w:rsidR="00C0598F" w:rsidRPr="00A25794">
          <w:rPr>
            <w:rStyle w:val="Hyperlink"/>
            <w:noProof/>
            <w:lang w:val="fr-FR"/>
          </w:rPr>
          <w:t>PFOS/PFOA LC/MS/MS conditions (example)</w:t>
        </w:r>
        <w:r w:rsidR="00C0598F">
          <w:rPr>
            <w:noProof/>
            <w:webHidden/>
          </w:rPr>
          <w:tab/>
        </w:r>
        <w:r>
          <w:rPr>
            <w:noProof/>
            <w:webHidden/>
          </w:rPr>
          <w:fldChar w:fldCharType="begin"/>
        </w:r>
        <w:r w:rsidR="00C0598F">
          <w:rPr>
            <w:noProof/>
            <w:webHidden/>
          </w:rPr>
          <w:instrText xml:space="preserve"> PAGEREF _Toc349335836 \h </w:instrText>
        </w:r>
        <w:r>
          <w:rPr>
            <w:noProof/>
            <w:webHidden/>
          </w:rPr>
        </w:r>
        <w:r>
          <w:rPr>
            <w:noProof/>
            <w:webHidden/>
          </w:rPr>
          <w:fldChar w:fldCharType="separate"/>
        </w:r>
        <w:r w:rsidR="00C0598F">
          <w:rPr>
            <w:noProof/>
            <w:webHidden/>
          </w:rPr>
          <w:t>75</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37" w:history="1">
        <w:r w:rsidR="00C0598F" w:rsidRPr="00A25794">
          <w:rPr>
            <w:rStyle w:val="Hyperlink"/>
            <w:noProof/>
          </w:rPr>
          <w:t>PFOS and related substances and PFCs – instrumental approach and masses</w:t>
        </w:r>
        <w:r w:rsidR="00C0598F">
          <w:rPr>
            <w:noProof/>
            <w:webHidden/>
          </w:rPr>
          <w:tab/>
        </w:r>
        <w:r>
          <w:rPr>
            <w:noProof/>
            <w:webHidden/>
          </w:rPr>
          <w:fldChar w:fldCharType="begin"/>
        </w:r>
        <w:r w:rsidR="00C0598F">
          <w:rPr>
            <w:noProof/>
            <w:webHidden/>
          </w:rPr>
          <w:instrText xml:space="preserve"> PAGEREF _Toc349335837 \h </w:instrText>
        </w:r>
        <w:r>
          <w:rPr>
            <w:noProof/>
            <w:webHidden/>
          </w:rPr>
        </w:r>
        <w:r>
          <w:rPr>
            <w:noProof/>
            <w:webHidden/>
          </w:rPr>
          <w:fldChar w:fldCharType="separate"/>
        </w:r>
        <w:r w:rsidR="00C0598F">
          <w:rPr>
            <w:noProof/>
            <w:webHidden/>
          </w:rPr>
          <w:t>76</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38" w:history="1">
        <w:r w:rsidR="00C0598F" w:rsidRPr="00A25794">
          <w:rPr>
            <w:rStyle w:val="Hyperlink"/>
            <w:noProof/>
            <w:lang w:val="de-CH"/>
          </w:rPr>
          <w:t>PFOS LC/MS/MS chromatogram</w:t>
        </w:r>
        <w:r w:rsidR="00C0598F">
          <w:rPr>
            <w:noProof/>
            <w:webHidden/>
          </w:rPr>
          <w:tab/>
        </w:r>
        <w:r>
          <w:rPr>
            <w:noProof/>
            <w:webHidden/>
          </w:rPr>
          <w:fldChar w:fldCharType="begin"/>
        </w:r>
        <w:r w:rsidR="00C0598F">
          <w:rPr>
            <w:noProof/>
            <w:webHidden/>
          </w:rPr>
          <w:instrText xml:space="preserve"> PAGEREF _Toc349335838 \h </w:instrText>
        </w:r>
        <w:r>
          <w:rPr>
            <w:noProof/>
            <w:webHidden/>
          </w:rPr>
        </w:r>
        <w:r>
          <w:rPr>
            <w:noProof/>
            <w:webHidden/>
          </w:rPr>
          <w:fldChar w:fldCharType="separate"/>
        </w:r>
        <w:r w:rsidR="00C0598F">
          <w:rPr>
            <w:noProof/>
            <w:webHidden/>
          </w:rPr>
          <w:t>78</w:t>
        </w:r>
        <w:r>
          <w:rPr>
            <w:noProof/>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839" w:history="1">
        <w:r w:rsidR="00C0598F" w:rsidRPr="00A25794">
          <w:rPr>
            <w:rStyle w:val="Hyperlink"/>
            <w:noProof/>
            <w:lang w:val="en-US"/>
          </w:rPr>
          <w:t>Annex 2-E: LC/MS analysis of Chlordecone</w:t>
        </w:r>
        <w:r w:rsidR="00C0598F">
          <w:rPr>
            <w:noProof/>
            <w:webHidden/>
          </w:rPr>
          <w:tab/>
        </w:r>
        <w:r>
          <w:rPr>
            <w:noProof/>
            <w:webHidden/>
          </w:rPr>
          <w:fldChar w:fldCharType="begin"/>
        </w:r>
        <w:r w:rsidR="00C0598F">
          <w:rPr>
            <w:noProof/>
            <w:webHidden/>
          </w:rPr>
          <w:instrText xml:space="preserve"> PAGEREF _Toc349335839 \h </w:instrText>
        </w:r>
        <w:r>
          <w:rPr>
            <w:noProof/>
            <w:webHidden/>
          </w:rPr>
        </w:r>
        <w:r>
          <w:rPr>
            <w:noProof/>
            <w:webHidden/>
          </w:rPr>
          <w:fldChar w:fldCharType="separate"/>
        </w:r>
        <w:r w:rsidR="00C0598F">
          <w:rPr>
            <w:noProof/>
            <w:webHidden/>
          </w:rPr>
          <w:t>79</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40" w:history="1">
        <w:r w:rsidR="00C0598F" w:rsidRPr="00A25794">
          <w:rPr>
            <w:rStyle w:val="Hyperlink"/>
            <w:noProof/>
          </w:rPr>
          <w:t>Chlordecone LC/MS/MS conditions (example)</w:t>
        </w:r>
        <w:r w:rsidR="00C0598F">
          <w:rPr>
            <w:noProof/>
            <w:webHidden/>
          </w:rPr>
          <w:tab/>
        </w:r>
        <w:r>
          <w:rPr>
            <w:noProof/>
            <w:webHidden/>
          </w:rPr>
          <w:fldChar w:fldCharType="begin"/>
        </w:r>
        <w:r w:rsidR="00C0598F">
          <w:rPr>
            <w:noProof/>
            <w:webHidden/>
          </w:rPr>
          <w:instrText xml:space="preserve"> PAGEREF _Toc349335840 \h </w:instrText>
        </w:r>
        <w:r>
          <w:rPr>
            <w:noProof/>
            <w:webHidden/>
          </w:rPr>
        </w:r>
        <w:r>
          <w:rPr>
            <w:noProof/>
            <w:webHidden/>
          </w:rPr>
          <w:fldChar w:fldCharType="separate"/>
        </w:r>
        <w:r w:rsidR="00C0598F">
          <w:rPr>
            <w:noProof/>
            <w:webHidden/>
          </w:rPr>
          <w:t>79</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41" w:history="1">
        <w:r w:rsidR="00C0598F" w:rsidRPr="00A25794">
          <w:rPr>
            <w:rStyle w:val="Hyperlink"/>
            <w:noProof/>
          </w:rPr>
          <w:t>Chlordecone LC/MS/MS chromatogram</w:t>
        </w:r>
        <w:r w:rsidR="00C0598F">
          <w:rPr>
            <w:noProof/>
            <w:webHidden/>
          </w:rPr>
          <w:tab/>
        </w:r>
        <w:r>
          <w:rPr>
            <w:noProof/>
            <w:webHidden/>
          </w:rPr>
          <w:fldChar w:fldCharType="begin"/>
        </w:r>
        <w:r w:rsidR="00C0598F">
          <w:rPr>
            <w:noProof/>
            <w:webHidden/>
          </w:rPr>
          <w:instrText xml:space="preserve"> PAGEREF _Toc349335841 \h </w:instrText>
        </w:r>
        <w:r>
          <w:rPr>
            <w:noProof/>
            <w:webHidden/>
          </w:rPr>
        </w:r>
        <w:r>
          <w:rPr>
            <w:noProof/>
            <w:webHidden/>
          </w:rPr>
          <w:fldChar w:fldCharType="separate"/>
        </w:r>
        <w:r w:rsidR="00C0598F">
          <w:rPr>
            <w:noProof/>
            <w:webHidden/>
          </w:rPr>
          <w:t>80</w:t>
        </w:r>
        <w:r>
          <w:rPr>
            <w:noProof/>
            <w:webHidden/>
          </w:rPr>
          <w:fldChar w:fldCharType="end"/>
        </w:r>
      </w:hyperlink>
    </w:p>
    <w:p w:rsidR="00C0598F" w:rsidRDefault="00322F03">
      <w:pPr>
        <w:pStyle w:val="TOC1"/>
        <w:tabs>
          <w:tab w:val="left" w:pos="1350"/>
        </w:tabs>
        <w:rPr>
          <w:rFonts w:ascii="Times New Roman" w:eastAsia="SimSun" w:hAnsi="Times New Roman"/>
          <w:b w:val="0"/>
          <w:sz w:val="24"/>
          <w:szCs w:val="24"/>
          <w:lang w:val="de-DE" w:eastAsia="zh-CN"/>
        </w:rPr>
      </w:pPr>
      <w:hyperlink w:anchor="_Toc349335842" w:history="1">
        <w:r w:rsidR="00C0598F" w:rsidRPr="00A25794">
          <w:rPr>
            <w:rStyle w:val="Hyperlink"/>
          </w:rPr>
          <w:t>ANNEX 3</w:t>
        </w:r>
        <w:r w:rsidR="00C0598F">
          <w:rPr>
            <w:rFonts w:ascii="Times New Roman" w:eastAsia="SimSun" w:hAnsi="Times New Roman"/>
            <w:b w:val="0"/>
            <w:sz w:val="24"/>
            <w:szCs w:val="24"/>
            <w:lang w:val="de-DE" w:eastAsia="zh-CN"/>
          </w:rPr>
          <w:tab/>
        </w:r>
        <w:r w:rsidR="00C0598F" w:rsidRPr="00A25794">
          <w:rPr>
            <w:rStyle w:val="Hyperlink"/>
          </w:rPr>
          <w:t>Case studies</w:t>
        </w:r>
        <w:r w:rsidR="00C0598F">
          <w:rPr>
            <w:webHidden/>
          </w:rPr>
          <w:tab/>
        </w:r>
        <w:r>
          <w:rPr>
            <w:webHidden/>
          </w:rPr>
          <w:fldChar w:fldCharType="begin"/>
        </w:r>
        <w:r w:rsidR="00C0598F">
          <w:rPr>
            <w:webHidden/>
          </w:rPr>
          <w:instrText xml:space="preserve"> PAGEREF _Toc349335842 \h </w:instrText>
        </w:r>
        <w:r>
          <w:rPr>
            <w:webHidden/>
          </w:rPr>
        </w:r>
        <w:r>
          <w:rPr>
            <w:webHidden/>
          </w:rPr>
          <w:fldChar w:fldCharType="separate"/>
        </w:r>
        <w:r w:rsidR="00C0598F">
          <w:rPr>
            <w:webHidden/>
          </w:rPr>
          <w:t>81</w:t>
        </w:r>
        <w:r>
          <w:rPr>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843" w:history="1">
        <w:r w:rsidR="00C0598F" w:rsidRPr="00A25794">
          <w:rPr>
            <w:rStyle w:val="Hyperlink"/>
            <w:noProof/>
          </w:rPr>
          <w:t>Case studies of PFOS/PFC screening in products, articles and wastes</w:t>
        </w:r>
        <w:r w:rsidR="00C0598F">
          <w:rPr>
            <w:noProof/>
            <w:webHidden/>
          </w:rPr>
          <w:tab/>
        </w:r>
        <w:r>
          <w:rPr>
            <w:noProof/>
            <w:webHidden/>
          </w:rPr>
          <w:fldChar w:fldCharType="begin"/>
        </w:r>
        <w:r w:rsidR="00C0598F">
          <w:rPr>
            <w:noProof/>
            <w:webHidden/>
          </w:rPr>
          <w:instrText xml:space="preserve"> PAGEREF _Toc349335843 \h </w:instrText>
        </w:r>
        <w:r>
          <w:rPr>
            <w:noProof/>
            <w:webHidden/>
          </w:rPr>
        </w:r>
        <w:r>
          <w:rPr>
            <w:noProof/>
            <w:webHidden/>
          </w:rPr>
          <w:fldChar w:fldCharType="separate"/>
        </w:r>
        <w:r w:rsidR="00C0598F">
          <w:rPr>
            <w:noProof/>
            <w:webHidden/>
          </w:rPr>
          <w:t>81</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44" w:history="1">
        <w:r w:rsidR="00C0598F" w:rsidRPr="00A25794">
          <w:rPr>
            <w:rStyle w:val="Hyperlink"/>
            <w:noProof/>
          </w:rPr>
          <w:t>Monitoring project of PFOS/PFCs in consumer products in Norway and Sweden</w:t>
        </w:r>
        <w:r w:rsidR="00C0598F">
          <w:rPr>
            <w:noProof/>
            <w:webHidden/>
          </w:rPr>
          <w:tab/>
        </w:r>
        <w:r>
          <w:rPr>
            <w:noProof/>
            <w:webHidden/>
          </w:rPr>
          <w:fldChar w:fldCharType="begin"/>
        </w:r>
        <w:r w:rsidR="00C0598F">
          <w:rPr>
            <w:noProof/>
            <w:webHidden/>
          </w:rPr>
          <w:instrText xml:space="preserve"> PAGEREF _Toc349335844 \h </w:instrText>
        </w:r>
        <w:r>
          <w:rPr>
            <w:noProof/>
            <w:webHidden/>
          </w:rPr>
        </w:r>
        <w:r>
          <w:rPr>
            <w:noProof/>
            <w:webHidden/>
          </w:rPr>
          <w:fldChar w:fldCharType="separate"/>
        </w:r>
        <w:r w:rsidR="00C0598F">
          <w:rPr>
            <w:noProof/>
            <w:webHidden/>
          </w:rPr>
          <w:t>81</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45" w:history="1">
        <w:r w:rsidR="00C0598F" w:rsidRPr="00A25794">
          <w:rPr>
            <w:rStyle w:val="Hyperlink"/>
            <w:noProof/>
          </w:rPr>
          <w:t>Case study Baking and Muffin papers (Schlummer et al. 2011)</w:t>
        </w:r>
        <w:r w:rsidR="00C0598F">
          <w:rPr>
            <w:noProof/>
            <w:webHidden/>
          </w:rPr>
          <w:tab/>
        </w:r>
        <w:r>
          <w:rPr>
            <w:noProof/>
            <w:webHidden/>
          </w:rPr>
          <w:fldChar w:fldCharType="begin"/>
        </w:r>
        <w:r w:rsidR="00C0598F">
          <w:rPr>
            <w:noProof/>
            <w:webHidden/>
          </w:rPr>
          <w:instrText xml:space="preserve"> PAGEREF _Toc349335845 \h </w:instrText>
        </w:r>
        <w:r>
          <w:rPr>
            <w:noProof/>
            <w:webHidden/>
          </w:rPr>
        </w:r>
        <w:r>
          <w:rPr>
            <w:noProof/>
            <w:webHidden/>
          </w:rPr>
          <w:fldChar w:fldCharType="separate"/>
        </w:r>
        <w:r w:rsidR="00C0598F">
          <w:rPr>
            <w:noProof/>
            <w:webHidden/>
          </w:rPr>
          <w:t>82</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46" w:history="1">
        <w:r w:rsidR="00C0598F" w:rsidRPr="00A25794">
          <w:rPr>
            <w:rStyle w:val="Hyperlink"/>
            <w:noProof/>
          </w:rPr>
          <w:t>Monitoring of paper packaging for food (Denmark)</w:t>
        </w:r>
        <w:r w:rsidR="00C0598F">
          <w:rPr>
            <w:noProof/>
            <w:webHidden/>
          </w:rPr>
          <w:tab/>
        </w:r>
        <w:r>
          <w:rPr>
            <w:noProof/>
            <w:webHidden/>
          </w:rPr>
          <w:fldChar w:fldCharType="begin"/>
        </w:r>
        <w:r w:rsidR="00C0598F">
          <w:rPr>
            <w:noProof/>
            <w:webHidden/>
          </w:rPr>
          <w:instrText xml:space="preserve"> PAGEREF _Toc349335846 \h </w:instrText>
        </w:r>
        <w:r>
          <w:rPr>
            <w:noProof/>
            <w:webHidden/>
          </w:rPr>
        </w:r>
        <w:r>
          <w:rPr>
            <w:noProof/>
            <w:webHidden/>
          </w:rPr>
          <w:fldChar w:fldCharType="separate"/>
        </w:r>
        <w:r w:rsidR="00C0598F">
          <w:rPr>
            <w:noProof/>
            <w:webHidden/>
          </w:rPr>
          <w:t>82</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47" w:history="1">
        <w:r w:rsidR="00C0598F" w:rsidRPr="00A25794">
          <w:rPr>
            <w:rStyle w:val="Hyperlink"/>
            <w:noProof/>
          </w:rPr>
          <w:t>Non-analytical screening of PFOS/PFCs on the Danish market (Danish Ministry of Environment 2008)</w:t>
        </w:r>
        <w:r w:rsidR="00C0598F">
          <w:rPr>
            <w:noProof/>
            <w:webHidden/>
          </w:rPr>
          <w:tab/>
        </w:r>
        <w:r>
          <w:rPr>
            <w:noProof/>
            <w:webHidden/>
          </w:rPr>
          <w:fldChar w:fldCharType="begin"/>
        </w:r>
        <w:r w:rsidR="00C0598F">
          <w:rPr>
            <w:noProof/>
            <w:webHidden/>
          </w:rPr>
          <w:instrText xml:space="preserve"> PAGEREF _Toc349335847 \h </w:instrText>
        </w:r>
        <w:r>
          <w:rPr>
            <w:noProof/>
            <w:webHidden/>
          </w:rPr>
        </w:r>
        <w:r>
          <w:rPr>
            <w:noProof/>
            <w:webHidden/>
          </w:rPr>
          <w:fldChar w:fldCharType="separate"/>
        </w:r>
        <w:r w:rsidR="00C0598F">
          <w:rPr>
            <w:noProof/>
            <w:webHidden/>
          </w:rPr>
          <w:t>83</w:t>
        </w:r>
        <w:r>
          <w:rPr>
            <w:noProof/>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848" w:history="1">
        <w:r w:rsidR="00C0598F" w:rsidRPr="00A25794">
          <w:rPr>
            <w:rStyle w:val="Hyperlink"/>
            <w:noProof/>
          </w:rPr>
          <w:t>Case studies of PBDE screening in products, articles and wastes</w:t>
        </w:r>
        <w:r w:rsidR="00C0598F">
          <w:rPr>
            <w:noProof/>
            <w:webHidden/>
          </w:rPr>
          <w:tab/>
        </w:r>
        <w:r>
          <w:rPr>
            <w:noProof/>
            <w:webHidden/>
          </w:rPr>
          <w:fldChar w:fldCharType="begin"/>
        </w:r>
        <w:r w:rsidR="00C0598F">
          <w:rPr>
            <w:noProof/>
            <w:webHidden/>
          </w:rPr>
          <w:instrText xml:space="preserve"> PAGEREF _Toc349335848 \h </w:instrText>
        </w:r>
        <w:r>
          <w:rPr>
            <w:noProof/>
            <w:webHidden/>
          </w:rPr>
        </w:r>
        <w:r>
          <w:rPr>
            <w:noProof/>
            <w:webHidden/>
          </w:rPr>
          <w:fldChar w:fldCharType="separate"/>
        </w:r>
        <w:r w:rsidR="00C0598F">
          <w:rPr>
            <w:noProof/>
            <w:webHidden/>
          </w:rPr>
          <w:t>85</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49" w:history="1">
        <w:r w:rsidR="00C0598F" w:rsidRPr="00A25794">
          <w:rPr>
            <w:rStyle w:val="Hyperlink"/>
            <w:noProof/>
          </w:rPr>
          <w:t>Monitoring of PBDEs in WEEE plastic in EU (Wäger et al. 2010)</w:t>
        </w:r>
        <w:r w:rsidR="00C0598F">
          <w:rPr>
            <w:noProof/>
            <w:webHidden/>
          </w:rPr>
          <w:tab/>
        </w:r>
        <w:r>
          <w:rPr>
            <w:noProof/>
            <w:webHidden/>
          </w:rPr>
          <w:fldChar w:fldCharType="begin"/>
        </w:r>
        <w:r w:rsidR="00C0598F">
          <w:rPr>
            <w:noProof/>
            <w:webHidden/>
          </w:rPr>
          <w:instrText xml:space="preserve"> PAGEREF _Toc349335849 \h </w:instrText>
        </w:r>
        <w:r>
          <w:rPr>
            <w:noProof/>
            <w:webHidden/>
          </w:rPr>
        </w:r>
        <w:r>
          <w:rPr>
            <w:noProof/>
            <w:webHidden/>
          </w:rPr>
          <w:fldChar w:fldCharType="separate"/>
        </w:r>
        <w:r w:rsidR="00C0598F">
          <w:rPr>
            <w:noProof/>
            <w:webHidden/>
          </w:rPr>
          <w:t>85</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50" w:history="1">
        <w:r w:rsidR="00C0598F" w:rsidRPr="00A25794">
          <w:rPr>
            <w:rStyle w:val="Hyperlink"/>
            <w:noProof/>
          </w:rPr>
          <w:t>Determination of POPs-PBDE and BFRs in WEEE plastics in Nigeria (Sindiku et al. 2011 and 2012)</w:t>
        </w:r>
        <w:r w:rsidR="00C0598F">
          <w:rPr>
            <w:noProof/>
            <w:webHidden/>
          </w:rPr>
          <w:tab/>
        </w:r>
        <w:r>
          <w:rPr>
            <w:noProof/>
            <w:webHidden/>
          </w:rPr>
          <w:fldChar w:fldCharType="begin"/>
        </w:r>
        <w:r w:rsidR="00C0598F">
          <w:rPr>
            <w:noProof/>
            <w:webHidden/>
          </w:rPr>
          <w:instrText xml:space="preserve"> PAGEREF _Toc349335850 \h </w:instrText>
        </w:r>
        <w:r>
          <w:rPr>
            <w:noProof/>
            <w:webHidden/>
          </w:rPr>
        </w:r>
        <w:r>
          <w:rPr>
            <w:noProof/>
            <w:webHidden/>
          </w:rPr>
          <w:fldChar w:fldCharType="separate"/>
        </w:r>
        <w:r w:rsidR="00C0598F">
          <w:rPr>
            <w:noProof/>
            <w:webHidden/>
          </w:rPr>
          <w:t>85</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51" w:history="1">
        <w:r w:rsidR="00C0598F" w:rsidRPr="00A25794">
          <w:rPr>
            <w:rStyle w:val="Hyperlink"/>
            <w:noProof/>
          </w:rPr>
          <w:t>Monitoring of BFRs in polymers of electronics on Swiss market (Bantelmann et al. 2010)</w:t>
        </w:r>
        <w:r w:rsidR="00C0598F">
          <w:rPr>
            <w:noProof/>
            <w:webHidden/>
          </w:rPr>
          <w:tab/>
        </w:r>
        <w:r>
          <w:rPr>
            <w:noProof/>
            <w:webHidden/>
          </w:rPr>
          <w:fldChar w:fldCharType="begin"/>
        </w:r>
        <w:r w:rsidR="00C0598F">
          <w:rPr>
            <w:noProof/>
            <w:webHidden/>
          </w:rPr>
          <w:instrText xml:space="preserve"> PAGEREF _Toc349335851 \h </w:instrText>
        </w:r>
        <w:r>
          <w:rPr>
            <w:noProof/>
            <w:webHidden/>
          </w:rPr>
        </w:r>
        <w:r>
          <w:rPr>
            <w:noProof/>
            <w:webHidden/>
          </w:rPr>
          <w:fldChar w:fldCharType="separate"/>
        </w:r>
        <w:r w:rsidR="00C0598F">
          <w:rPr>
            <w:noProof/>
            <w:webHidden/>
          </w:rPr>
          <w:t>87</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52" w:history="1">
        <w:r w:rsidR="00C0598F" w:rsidRPr="00A25794">
          <w:rPr>
            <w:rStyle w:val="Hyperlink"/>
            <w:noProof/>
          </w:rPr>
          <w:t>Monitoring POP-PBDEs in carpet rebond from recycled PUR foam (DiGangi et al. 2011)</w:t>
        </w:r>
        <w:r w:rsidR="00C0598F">
          <w:rPr>
            <w:noProof/>
            <w:webHidden/>
          </w:rPr>
          <w:tab/>
        </w:r>
        <w:r>
          <w:rPr>
            <w:noProof/>
            <w:webHidden/>
          </w:rPr>
          <w:fldChar w:fldCharType="begin"/>
        </w:r>
        <w:r w:rsidR="00C0598F">
          <w:rPr>
            <w:noProof/>
            <w:webHidden/>
          </w:rPr>
          <w:instrText xml:space="preserve"> PAGEREF _Toc349335852 \h </w:instrText>
        </w:r>
        <w:r>
          <w:rPr>
            <w:noProof/>
            <w:webHidden/>
          </w:rPr>
        </w:r>
        <w:r>
          <w:rPr>
            <w:noProof/>
            <w:webHidden/>
          </w:rPr>
          <w:fldChar w:fldCharType="separate"/>
        </w:r>
        <w:r w:rsidR="00C0598F">
          <w:rPr>
            <w:noProof/>
            <w:webHidden/>
          </w:rPr>
          <w:t>88</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53" w:history="1">
        <w:r w:rsidR="00C0598F" w:rsidRPr="00A25794">
          <w:rPr>
            <w:rStyle w:val="Hyperlink"/>
            <w:noProof/>
          </w:rPr>
          <w:t>Monitoring of POP-PBDEs and other flame retardants in baby products (Stapleton et al. 2011)</w:t>
        </w:r>
        <w:r w:rsidR="00C0598F">
          <w:rPr>
            <w:noProof/>
            <w:webHidden/>
          </w:rPr>
          <w:tab/>
        </w:r>
        <w:r>
          <w:rPr>
            <w:noProof/>
            <w:webHidden/>
          </w:rPr>
          <w:fldChar w:fldCharType="begin"/>
        </w:r>
        <w:r w:rsidR="00C0598F">
          <w:rPr>
            <w:noProof/>
            <w:webHidden/>
          </w:rPr>
          <w:instrText xml:space="preserve"> PAGEREF _Toc349335853 \h </w:instrText>
        </w:r>
        <w:r>
          <w:rPr>
            <w:noProof/>
            <w:webHidden/>
          </w:rPr>
        </w:r>
        <w:r>
          <w:rPr>
            <w:noProof/>
            <w:webHidden/>
          </w:rPr>
          <w:fldChar w:fldCharType="separate"/>
        </w:r>
        <w:r w:rsidR="00C0598F">
          <w:rPr>
            <w:noProof/>
            <w:webHidden/>
          </w:rPr>
          <w:t>88</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54" w:history="1">
        <w:r w:rsidR="00C0598F" w:rsidRPr="00A25794">
          <w:rPr>
            <w:rStyle w:val="Hyperlink"/>
            <w:noProof/>
          </w:rPr>
          <w:t>Monitoring of POP-PBDE in children toys</w:t>
        </w:r>
        <w:r w:rsidR="00C0598F">
          <w:rPr>
            <w:noProof/>
            <w:webHidden/>
          </w:rPr>
          <w:tab/>
        </w:r>
        <w:r>
          <w:rPr>
            <w:noProof/>
            <w:webHidden/>
          </w:rPr>
          <w:fldChar w:fldCharType="begin"/>
        </w:r>
        <w:r w:rsidR="00C0598F">
          <w:rPr>
            <w:noProof/>
            <w:webHidden/>
          </w:rPr>
          <w:instrText xml:space="preserve"> PAGEREF _Toc349335854 \h </w:instrText>
        </w:r>
        <w:r>
          <w:rPr>
            <w:noProof/>
            <w:webHidden/>
          </w:rPr>
        </w:r>
        <w:r>
          <w:rPr>
            <w:noProof/>
            <w:webHidden/>
          </w:rPr>
          <w:fldChar w:fldCharType="separate"/>
        </w:r>
        <w:r w:rsidR="00C0598F">
          <w:rPr>
            <w:noProof/>
            <w:webHidden/>
          </w:rPr>
          <w:t>89</w:t>
        </w:r>
        <w:r>
          <w:rPr>
            <w:noProof/>
            <w:webHidden/>
          </w:rPr>
          <w:fldChar w:fldCharType="end"/>
        </w:r>
      </w:hyperlink>
    </w:p>
    <w:p w:rsidR="00C0598F" w:rsidRDefault="00322F03">
      <w:pPr>
        <w:pStyle w:val="TOC2"/>
        <w:rPr>
          <w:rFonts w:ascii="Times New Roman" w:eastAsia="SimSun" w:hAnsi="Times New Roman"/>
          <w:noProof/>
          <w:sz w:val="24"/>
          <w:szCs w:val="24"/>
          <w:lang w:val="de-DE" w:eastAsia="zh-CN"/>
        </w:rPr>
      </w:pPr>
      <w:hyperlink w:anchor="_Toc349335855" w:history="1">
        <w:r w:rsidR="00C0598F" w:rsidRPr="00A25794">
          <w:rPr>
            <w:rStyle w:val="Hyperlink"/>
            <w:noProof/>
          </w:rPr>
          <w:t>Case studies of PeCBz, HCB and PCDD/PCDF in articles and products</w:t>
        </w:r>
        <w:r w:rsidR="00C0598F">
          <w:rPr>
            <w:noProof/>
            <w:webHidden/>
          </w:rPr>
          <w:tab/>
        </w:r>
        <w:r>
          <w:rPr>
            <w:noProof/>
            <w:webHidden/>
          </w:rPr>
          <w:fldChar w:fldCharType="begin"/>
        </w:r>
        <w:r w:rsidR="00C0598F">
          <w:rPr>
            <w:noProof/>
            <w:webHidden/>
          </w:rPr>
          <w:instrText xml:space="preserve"> PAGEREF _Toc349335855 \h </w:instrText>
        </w:r>
        <w:r>
          <w:rPr>
            <w:noProof/>
            <w:webHidden/>
          </w:rPr>
        </w:r>
        <w:r>
          <w:rPr>
            <w:noProof/>
            <w:webHidden/>
          </w:rPr>
          <w:fldChar w:fldCharType="separate"/>
        </w:r>
        <w:r w:rsidR="00C0598F">
          <w:rPr>
            <w:noProof/>
            <w:webHidden/>
          </w:rPr>
          <w:t>91</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56" w:history="1">
        <w:r w:rsidR="00C0598F" w:rsidRPr="00A25794">
          <w:rPr>
            <w:rStyle w:val="Hyperlink"/>
            <w:noProof/>
          </w:rPr>
          <w:t>Screening of unintentionally POPs in chloranil (Liu et al. 2012)</w:t>
        </w:r>
        <w:r w:rsidR="00C0598F">
          <w:rPr>
            <w:noProof/>
            <w:webHidden/>
          </w:rPr>
          <w:tab/>
        </w:r>
        <w:r>
          <w:rPr>
            <w:noProof/>
            <w:webHidden/>
          </w:rPr>
          <w:fldChar w:fldCharType="begin"/>
        </w:r>
        <w:r w:rsidR="00C0598F">
          <w:rPr>
            <w:noProof/>
            <w:webHidden/>
          </w:rPr>
          <w:instrText xml:space="preserve"> PAGEREF _Toc349335856 \h </w:instrText>
        </w:r>
        <w:r>
          <w:rPr>
            <w:noProof/>
            <w:webHidden/>
          </w:rPr>
        </w:r>
        <w:r>
          <w:rPr>
            <w:noProof/>
            <w:webHidden/>
          </w:rPr>
          <w:fldChar w:fldCharType="separate"/>
        </w:r>
        <w:r w:rsidR="00C0598F">
          <w:rPr>
            <w:noProof/>
            <w:webHidden/>
          </w:rPr>
          <w:t>91</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57" w:history="1">
        <w:r w:rsidR="00C0598F" w:rsidRPr="00A25794">
          <w:rPr>
            <w:rStyle w:val="Hyperlink"/>
            <w:noProof/>
          </w:rPr>
          <w:t>Monitoring of HCB in (Government of Japan 2006 and 2007 )</w:t>
        </w:r>
        <w:r w:rsidR="00C0598F">
          <w:rPr>
            <w:noProof/>
            <w:webHidden/>
          </w:rPr>
          <w:tab/>
        </w:r>
        <w:r>
          <w:rPr>
            <w:noProof/>
            <w:webHidden/>
          </w:rPr>
          <w:fldChar w:fldCharType="begin"/>
        </w:r>
        <w:r w:rsidR="00C0598F">
          <w:rPr>
            <w:noProof/>
            <w:webHidden/>
          </w:rPr>
          <w:instrText xml:space="preserve"> PAGEREF _Toc349335857 \h </w:instrText>
        </w:r>
        <w:r>
          <w:rPr>
            <w:noProof/>
            <w:webHidden/>
          </w:rPr>
        </w:r>
        <w:r>
          <w:rPr>
            <w:noProof/>
            <w:webHidden/>
          </w:rPr>
          <w:fldChar w:fldCharType="separate"/>
        </w:r>
        <w:r w:rsidR="00C0598F">
          <w:rPr>
            <w:noProof/>
            <w:webHidden/>
          </w:rPr>
          <w:t>91</w:t>
        </w:r>
        <w:r>
          <w:rPr>
            <w:noProof/>
            <w:webHidden/>
          </w:rPr>
          <w:fldChar w:fldCharType="end"/>
        </w:r>
      </w:hyperlink>
    </w:p>
    <w:p w:rsidR="00C0598F" w:rsidRDefault="00322F03">
      <w:pPr>
        <w:pStyle w:val="TOC3"/>
        <w:rPr>
          <w:rFonts w:ascii="Times New Roman" w:eastAsia="SimSun" w:hAnsi="Times New Roman"/>
          <w:noProof/>
          <w:sz w:val="24"/>
          <w:szCs w:val="24"/>
          <w:lang w:val="de-DE" w:eastAsia="zh-CN"/>
        </w:rPr>
      </w:pPr>
      <w:hyperlink w:anchor="_Toc349335858" w:history="1">
        <w:r w:rsidR="00C0598F" w:rsidRPr="00A25794">
          <w:rPr>
            <w:rStyle w:val="Hyperlink"/>
            <w:noProof/>
          </w:rPr>
          <w:t>Monitoring of pesticides for unintentionally POPs (Huang et al. 2012, Holt et al. 2010)</w:t>
        </w:r>
        <w:r w:rsidR="00C0598F">
          <w:rPr>
            <w:noProof/>
            <w:webHidden/>
          </w:rPr>
          <w:tab/>
        </w:r>
        <w:r>
          <w:rPr>
            <w:noProof/>
            <w:webHidden/>
          </w:rPr>
          <w:fldChar w:fldCharType="begin"/>
        </w:r>
        <w:r w:rsidR="00C0598F">
          <w:rPr>
            <w:noProof/>
            <w:webHidden/>
          </w:rPr>
          <w:instrText xml:space="preserve"> PAGEREF _Toc349335858 \h </w:instrText>
        </w:r>
        <w:r>
          <w:rPr>
            <w:noProof/>
            <w:webHidden/>
          </w:rPr>
        </w:r>
        <w:r>
          <w:rPr>
            <w:noProof/>
            <w:webHidden/>
          </w:rPr>
          <w:fldChar w:fldCharType="separate"/>
        </w:r>
        <w:r w:rsidR="00C0598F">
          <w:rPr>
            <w:noProof/>
            <w:webHidden/>
          </w:rPr>
          <w:t>91</w:t>
        </w:r>
        <w:r>
          <w:rPr>
            <w:noProof/>
            <w:webHidden/>
          </w:rPr>
          <w:fldChar w:fldCharType="end"/>
        </w:r>
      </w:hyperlink>
    </w:p>
    <w:p w:rsidR="00CC1C95" w:rsidRPr="00EC556A" w:rsidRDefault="00322F03" w:rsidP="00EE0DB2">
      <w:pPr>
        <w:pStyle w:val="Heading1"/>
        <w:spacing w:after="0"/>
        <w:ind w:left="0" w:firstLine="0"/>
        <w:rPr>
          <w:b w:val="0"/>
          <w:noProof/>
        </w:rPr>
      </w:pPr>
      <w:r w:rsidRPr="00EC556A">
        <w:rPr>
          <w:noProof/>
        </w:rPr>
        <w:fldChar w:fldCharType="end"/>
      </w:r>
      <w:bookmarkEnd w:id="0"/>
    </w:p>
    <w:p w:rsidR="00CC1C95" w:rsidRPr="007523C9" w:rsidRDefault="00CC1C95" w:rsidP="00EE0DB2">
      <w:pPr>
        <w:pStyle w:val="Heading1"/>
        <w:ind w:left="0" w:firstLine="0"/>
      </w:pPr>
      <w:r w:rsidRPr="00EC556A">
        <w:rPr>
          <w:b w:val="0"/>
          <w:bCs w:val="0"/>
          <w:noProof/>
        </w:rPr>
        <w:br w:type="page"/>
      </w:r>
      <w:bookmarkStart w:id="2" w:name="_Toc349335703"/>
      <w:r w:rsidRPr="007523C9">
        <w:rPr>
          <w:b w:val="0"/>
          <w:bCs w:val="0"/>
        </w:rPr>
        <w:lastRenderedPageBreak/>
        <w:t>List of abbreviations and acronyms</w:t>
      </w:r>
      <w:bookmarkEnd w:id="2"/>
    </w:p>
    <w:p w:rsidR="00CC1C95" w:rsidRPr="00EC556A" w:rsidRDefault="00CC1C95" w:rsidP="00EE0DB2">
      <w:pPr>
        <w:rPr>
          <w:b/>
          <w:bCs/>
          <w:sz w:val="32"/>
          <w:szCs w:val="32"/>
        </w:rPr>
      </w:pPr>
    </w:p>
    <w:p w:rsidR="00CC1C95" w:rsidRPr="00EC556A" w:rsidRDefault="00CC1C95" w:rsidP="001261D8">
      <w:pPr>
        <w:tabs>
          <w:tab w:val="left" w:pos="1980"/>
          <w:tab w:val="left" w:pos="2160"/>
        </w:tabs>
        <w:spacing w:after="80"/>
      </w:pPr>
      <w:r w:rsidRPr="00EC556A">
        <w:t>ABS</w:t>
      </w:r>
      <w:r w:rsidRPr="00EC556A">
        <w:tab/>
        <w:t>Acrylonitrile-butadiene-styrene</w:t>
      </w:r>
    </w:p>
    <w:p w:rsidR="00CC1C95" w:rsidRPr="00EC556A" w:rsidRDefault="00CC1C95" w:rsidP="001261D8">
      <w:pPr>
        <w:tabs>
          <w:tab w:val="left" w:pos="1980"/>
          <w:tab w:val="left" w:pos="2160"/>
        </w:tabs>
        <w:spacing w:after="80"/>
      </w:pPr>
      <w:r w:rsidRPr="00EC556A">
        <w:t>ACN</w:t>
      </w:r>
      <w:r w:rsidRPr="00EC556A">
        <w:tab/>
        <w:t>Acetonitrile</w:t>
      </w:r>
    </w:p>
    <w:p w:rsidR="00CC1C95" w:rsidRPr="00EC556A" w:rsidRDefault="00CC1C95" w:rsidP="001261D8">
      <w:pPr>
        <w:tabs>
          <w:tab w:val="left" w:pos="1980"/>
          <w:tab w:val="left" w:pos="2160"/>
        </w:tabs>
        <w:spacing w:after="80"/>
      </w:pPr>
      <w:r w:rsidRPr="00EC556A">
        <w:t>ASR</w:t>
      </w:r>
      <w:r w:rsidRPr="00EC556A">
        <w:tab/>
        <w:t>Accelerated solvent extraction</w:t>
      </w:r>
    </w:p>
    <w:p w:rsidR="00CC1C95" w:rsidRPr="00EC556A" w:rsidRDefault="00CC1C95" w:rsidP="001261D8">
      <w:pPr>
        <w:tabs>
          <w:tab w:val="left" w:pos="1980"/>
          <w:tab w:val="left" w:pos="2160"/>
        </w:tabs>
        <w:spacing w:after="80"/>
      </w:pPr>
      <w:r w:rsidRPr="00EC556A">
        <w:t>BFR</w:t>
      </w:r>
      <w:r w:rsidRPr="00EC556A">
        <w:tab/>
        <w:t>Brominated Flame Retardant</w:t>
      </w:r>
    </w:p>
    <w:p w:rsidR="00CC1C95" w:rsidRPr="00EC556A" w:rsidRDefault="00CC1C95" w:rsidP="001261D8">
      <w:pPr>
        <w:tabs>
          <w:tab w:val="left" w:pos="1980"/>
          <w:tab w:val="left" w:pos="2160"/>
        </w:tabs>
        <w:spacing w:after="80"/>
      </w:pPr>
      <w:r w:rsidRPr="00EC556A">
        <w:t>CEN</w:t>
      </w:r>
      <w:r w:rsidRPr="00EC556A">
        <w:tab/>
        <w:t>European Committee for Standardization</w:t>
      </w:r>
    </w:p>
    <w:p w:rsidR="00CC1C95" w:rsidRPr="00EC556A" w:rsidRDefault="00CC1C95" w:rsidP="001261D8">
      <w:pPr>
        <w:tabs>
          <w:tab w:val="left" w:pos="1980"/>
          <w:tab w:val="left" w:pos="2160"/>
        </w:tabs>
        <w:spacing w:after="80"/>
      </w:pPr>
      <w:r w:rsidRPr="00EC556A">
        <w:t>CME</w:t>
      </w:r>
      <w:r w:rsidRPr="00EC556A">
        <w:tab/>
        <w:t>Cellulose mixed ester</w:t>
      </w:r>
    </w:p>
    <w:p w:rsidR="00CC1C95" w:rsidRPr="00EC556A" w:rsidRDefault="00CC1C95" w:rsidP="001261D8">
      <w:pPr>
        <w:tabs>
          <w:tab w:val="left" w:pos="1980"/>
          <w:tab w:val="left" w:pos="2160"/>
        </w:tabs>
        <w:spacing w:after="80"/>
      </w:pPr>
      <w:r w:rsidRPr="00EC556A">
        <w:t>c-OctaBDE</w:t>
      </w:r>
      <w:r w:rsidRPr="00EC556A">
        <w:tab/>
        <w:t>Commercial Octabromodiphenyl ether</w:t>
      </w:r>
    </w:p>
    <w:p w:rsidR="00CC1C95" w:rsidRPr="00EC556A" w:rsidRDefault="00CC1C95" w:rsidP="001261D8">
      <w:pPr>
        <w:tabs>
          <w:tab w:val="left" w:pos="1980"/>
          <w:tab w:val="left" w:pos="2160"/>
        </w:tabs>
        <w:spacing w:after="80"/>
      </w:pPr>
      <w:r w:rsidRPr="00EC556A">
        <w:t>c-PentaBDE</w:t>
      </w:r>
      <w:r w:rsidRPr="00EC556A">
        <w:tab/>
        <w:t>Commercial Pentabromodiphenyl ether</w:t>
      </w:r>
    </w:p>
    <w:p w:rsidR="00CC1C95" w:rsidRPr="00EC556A" w:rsidRDefault="00CC1C95" w:rsidP="001261D8">
      <w:pPr>
        <w:tabs>
          <w:tab w:val="left" w:pos="1980"/>
          <w:tab w:val="left" w:pos="2160"/>
        </w:tabs>
        <w:spacing w:after="80"/>
      </w:pPr>
      <w:r w:rsidRPr="00EC556A">
        <w:t>COP</w:t>
      </w:r>
      <w:r w:rsidRPr="00EC556A">
        <w:tab/>
        <w:t>Conference Of Parties</w:t>
      </w:r>
    </w:p>
    <w:p w:rsidR="00CC1C95" w:rsidRPr="00EC556A" w:rsidRDefault="00CC1C95" w:rsidP="001261D8">
      <w:pPr>
        <w:tabs>
          <w:tab w:val="left" w:pos="1980"/>
          <w:tab w:val="left" w:pos="2160"/>
        </w:tabs>
        <w:spacing w:after="80"/>
      </w:pPr>
      <w:r w:rsidRPr="00EC556A">
        <w:t>CRT</w:t>
      </w:r>
      <w:r w:rsidRPr="00EC556A">
        <w:tab/>
        <w:t>Cat</w:t>
      </w:r>
      <w:r w:rsidR="00D21BDD">
        <w:t>h</w:t>
      </w:r>
      <w:r w:rsidRPr="00EC556A">
        <w:t>ode Ray Tube</w:t>
      </w:r>
    </w:p>
    <w:p w:rsidR="00CC1C95" w:rsidRPr="00EC556A" w:rsidRDefault="00CC1C95" w:rsidP="001261D8">
      <w:pPr>
        <w:tabs>
          <w:tab w:val="left" w:pos="1980"/>
          <w:tab w:val="left" w:pos="2160"/>
        </w:tabs>
        <w:spacing w:after="80"/>
      </w:pPr>
      <w:r w:rsidRPr="00EC556A">
        <w:t>DART</w:t>
      </w:r>
      <w:r w:rsidRPr="00EC556A">
        <w:tab/>
        <w:t>Direct Analysis in Real Time</w:t>
      </w:r>
    </w:p>
    <w:p w:rsidR="00CC1C95" w:rsidRPr="00EC556A" w:rsidRDefault="00CC1C95" w:rsidP="001261D8">
      <w:pPr>
        <w:tabs>
          <w:tab w:val="left" w:pos="1980"/>
          <w:tab w:val="left" w:pos="2160"/>
        </w:tabs>
        <w:spacing w:after="80"/>
      </w:pPr>
      <w:r w:rsidRPr="00EC556A">
        <w:t>DecaBDE</w:t>
      </w:r>
      <w:r w:rsidRPr="00EC556A">
        <w:tab/>
        <w:t>Decabromodiphenyl ether</w:t>
      </w:r>
    </w:p>
    <w:p w:rsidR="00CC1C95" w:rsidRPr="00EC556A" w:rsidRDefault="00CC1C95" w:rsidP="001261D8">
      <w:pPr>
        <w:tabs>
          <w:tab w:val="left" w:pos="1980"/>
          <w:tab w:val="left" w:pos="2160"/>
        </w:tabs>
        <w:spacing w:after="80"/>
      </w:pPr>
      <w:r w:rsidRPr="00EC556A">
        <w:t>ECD</w:t>
      </w:r>
      <w:r w:rsidRPr="00EC556A">
        <w:tab/>
        <w:t xml:space="preserve">Electron Capture Detector </w:t>
      </w:r>
    </w:p>
    <w:p w:rsidR="00CC1C95" w:rsidRPr="00EC556A" w:rsidRDefault="00CC1C95" w:rsidP="001261D8">
      <w:pPr>
        <w:tabs>
          <w:tab w:val="left" w:pos="1980"/>
          <w:tab w:val="left" w:pos="2160"/>
        </w:tabs>
        <w:spacing w:after="80"/>
      </w:pPr>
      <w:r w:rsidRPr="00EC556A">
        <w:t>EEE</w:t>
      </w:r>
      <w:r w:rsidRPr="00EC556A">
        <w:tab/>
        <w:t xml:space="preserve">Electrical and Electronic Equipment </w:t>
      </w:r>
    </w:p>
    <w:p w:rsidR="00CC1C95" w:rsidRPr="00EC556A" w:rsidRDefault="00CC1C95" w:rsidP="001261D8">
      <w:pPr>
        <w:tabs>
          <w:tab w:val="left" w:pos="1980"/>
          <w:tab w:val="left" w:pos="2160"/>
        </w:tabs>
        <w:spacing w:after="80"/>
        <w:rPr>
          <w:color w:val="000000"/>
        </w:rPr>
      </w:pPr>
      <w:r w:rsidRPr="00EC556A">
        <w:rPr>
          <w:color w:val="000000"/>
        </w:rPr>
        <w:t>EI-MS</w:t>
      </w:r>
      <w:r w:rsidRPr="00EC556A">
        <w:rPr>
          <w:color w:val="000000"/>
        </w:rPr>
        <w:tab/>
        <w:t>Electron Impact Mass Spectrometry</w:t>
      </w:r>
    </w:p>
    <w:p w:rsidR="00D768F4" w:rsidRPr="00D768F4" w:rsidRDefault="00D768F4" w:rsidP="001261D8">
      <w:pPr>
        <w:tabs>
          <w:tab w:val="left" w:pos="1980"/>
          <w:tab w:val="left" w:pos="2160"/>
        </w:tabs>
        <w:spacing w:after="80"/>
        <w:rPr>
          <w:color w:val="000000"/>
        </w:rPr>
      </w:pPr>
      <w:r>
        <w:rPr>
          <w:color w:val="000000"/>
        </w:rPr>
        <w:t>EPED</w:t>
      </w:r>
      <w:r>
        <w:rPr>
          <w:color w:val="000000"/>
        </w:rPr>
        <w:tab/>
      </w:r>
      <w:r w:rsidRPr="00D768F4">
        <w:rPr>
          <w:color w:val="000000"/>
        </w:rPr>
        <w:t>Echelle-Plasma-</w:t>
      </w:r>
      <w:r>
        <w:rPr>
          <w:color w:val="000000"/>
        </w:rPr>
        <w:t>Emission</w:t>
      </w:r>
      <w:r w:rsidRPr="00D768F4">
        <w:rPr>
          <w:color w:val="000000"/>
        </w:rPr>
        <w:t>-</w:t>
      </w:r>
      <w:r>
        <w:rPr>
          <w:color w:val="000000"/>
        </w:rPr>
        <w:t>Detec</w:t>
      </w:r>
      <w:r w:rsidRPr="00D768F4">
        <w:rPr>
          <w:color w:val="000000"/>
        </w:rPr>
        <w:t>tor</w:t>
      </w:r>
    </w:p>
    <w:p w:rsidR="00CC1C95" w:rsidRPr="00404F3C" w:rsidRDefault="00CC1C95" w:rsidP="001261D8">
      <w:pPr>
        <w:tabs>
          <w:tab w:val="left" w:pos="1980"/>
          <w:tab w:val="left" w:pos="2160"/>
        </w:tabs>
        <w:spacing w:after="80"/>
        <w:rPr>
          <w:color w:val="000000"/>
        </w:rPr>
      </w:pPr>
      <w:r w:rsidRPr="00404F3C">
        <w:rPr>
          <w:color w:val="000000"/>
        </w:rPr>
        <w:t>FPF</w:t>
      </w:r>
      <w:r w:rsidRPr="00404F3C">
        <w:rPr>
          <w:color w:val="000000"/>
        </w:rPr>
        <w:tab/>
        <w:t>Flexible Polyurethane Foam</w:t>
      </w:r>
    </w:p>
    <w:p w:rsidR="00CC1C95" w:rsidRPr="00404F3C" w:rsidRDefault="00CC1C95" w:rsidP="001261D8">
      <w:pPr>
        <w:tabs>
          <w:tab w:val="left" w:pos="1980"/>
          <w:tab w:val="left" w:pos="2160"/>
        </w:tabs>
        <w:spacing w:after="80"/>
        <w:rPr>
          <w:color w:val="000000"/>
        </w:rPr>
      </w:pPr>
      <w:r w:rsidRPr="00404F3C">
        <w:rPr>
          <w:color w:val="000000"/>
        </w:rPr>
        <w:t>FR</w:t>
      </w:r>
      <w:r w:rsidRPr="00404F3C">
        <w:rPr>
          <w:color w:val="000000"/>
        </w:rPr>
        <w:tab/>
        <w:t>Flame Retardant</w:t>
      </w:r>
    </w:p>
    <w:p w:rsidR="00CC1C95" w:rsidRPr="00EC556A" w:rsidRDefault="00CC1C95" w:rsidP="001261D8">
      <w:pPr>
        <w:tabs>
          <w:tab w:val="left" w:pos="1980"/>
          <w:tab w:val="left" w:pos="2160"/>
        </w:tabs>
        <w:spacing w:after="80"/>
        <w:rPr>
          <w:color w:val="000000"/>
        </w:rPr>
      </w:pPr>
      <w:r w:rsidRPr="00EC556A">
        <w:rPr>
          <w:color w:val="000000"/>
        </w:rPr>
        <w:t>GLP</w:t>
      </w:r>
      <w:r w:rsidRPr="00EC556A">
        <w:rPr>
          <w:color w:val="000000"/>
        </w:rPr>
        <w:tab/>
        <w:t>Good Laboratory Practice</w:t>
      </w:r>
    </w:p>
    <w:p w:rsidR="00CC1C95" w:rsidRPr="00EC556A" w:rsidRDefault="00CC1C95" w:rsidP="001261D8">
      <w:pPr>
        <w:tabs>
          <w:tab w:val="left" w:pos="1980"/>
          <w:tab w:val="left" w:pos="2160"/>
        </w:tabs>
        <w:spacing w:after="80"/>
        <w:rPr>
          <w:color w:val="000000"/>
        </w:rPr>
      </w:pPr>
      <w:r w:rsidRPr="00EC556A">
        <w:rPr>
          <w:color w:val="000000"/>
        </w:rPr>
        <w:t>HBB</w:t>
      </w:r>
      <w:r w:rsidRPr="00EC556A">
        <w:rPr>
          <w:color w:val="000000"/>
        </w:rPr>
        <w:tab/>
        <w:t>Hexabromobiphenyl</w:t>
      </w:r>
    </w:p>
    <w:p w:rsidR="00CC1C95" w:rsidRPr="00EC556A" w:rsidRDefault="00CC1C95" w:rsidP="001261D8">
      <w:pPr>
        <w:tabs>
          <w:tab w:val="left" w:pos="1980"/>
          <w:tab w:val="left" w:pos="2160"/>
        </w:tabs>
        <w:spacing w:after="80"/>
      </w:pPr>
      <w:r w:rsidRPr="00EC556A">
        <w:rPr>
          <w:color w:val="000000"/>
        </w:rPr>
        <w:t>HBCDD</w:t>
      </w:r>
      <w:r w:rsidRPr="00EC556A">
        <w:rPr>
          <w:color w:val="000000"/>
        </w:rPr>
        <w:tab/>
        <w:t>Hexabromocyclododecane</w:t>
      </w:r>
    </w:p>
    <w:p w:rsidR="00CC1C95" w:rsidRPr="00EC556A" w:rsidRDefault="00CC1C95" w:rsidP="001261D8">
      <w:pPr>
        <w:tabs>
          <w:tab w:val="left" w:pos="1980"/>
          <w:tab w:val="left" w:pos="2160"/>
        </w:tabs>
        <w:spacing w:after="80"/>
      </w:pPr>
      <w:r w:rsidRPr="00EC556A">
        <w:t>HIPS</w:t>
      </w:r>
      <w:r w:rsidRPr="00EC556A">
        <w:tab/>
        <w:t xml:space="preserve">High Impact Polystyrene </w:t>
      </w:r>
    </w:p>
    <w:p w:rsidR="00CC1C95" w:rsidRDefault="00CC1C95" w:rsidP="00D21BDD">
      <w:pPr>
        <w:tabs>
          <w:tab w:val="left" w:pos="1980"/>
          <w:tab w:val="left" w:pos="2160"/>
        </w:tabs>
        <w:spacing w:after="80"/>
      </w:pPr>
      <w:r w:rsidRPr="00EC556A">
        <w:t>HPLC</w:t>
      </w:r>
      <w:r w:rsidRPr="00EC556A">
        <w:tab/>
        <w:t>High p</w:t>
      </w:r>
      <w:r w:rsidR="00D21BDD">
        <w:t>erformance</w:t>
      </w:r>
      <w:r w:rsidRPr="00EC556A">
        <w:t xml:space="preserve"> liquid </w:t>
      </w:r>
      <w:r>
        <w:t>chromatography</w:t>
      </w:r>
    </w:p>
    <w:p w:rsidR="001261D8" w:rsidRDefault="001261D8" w:rsidP="001261D8">
      <w:pPr>
        <w:tabs>
          <w:tab w:val="left" w:pos="1980"/>
          <w:tab w:val="left" w:pos="2160"/>
        </w:tabs>
        <w:spacing w:after="80"/>
      </w:pPr>
      <w:r>
        <w:t>HRMS</w:t>
      </w:r>
      <w:r>
        <w:tab/>
        <w:t>High resolution mass spectrometry</w:t>
      </w:r>
    </w:p>
    <w:p w:rsidR="00CC1C95" w:rsidRPr="00EC556A" w:rsidRDefault="00CC1C95" w:rsidP="001261D8">
      <w:pPr>
        <w:tabs>
          <w:tab w:val="left" w:pos="1980"/>
          <w:tab w:val="left" w:pos="2160"/>
        </w:tabs>
        <w:spacing w:after="80"/>
      </w:pPr>
      <w:r>
        <w:t>LC</w:t>
      </w:r>
      <w:r>
        <w:tab/>
        <w:t>Liquid chromatography</w:t>
      </w:r>
    </w:p>
    <w:p w:rsidR="00CC1C95" w:rsidRPr="00EC556A" w:rsidRDefault="00CC1C95" w:rsidP="001261D8">
      <w:pPr>
        <w:tabs>
          <w:tab w:val="left" w:pos="1980"/>
          <w:tab w:val="left" w:pos="2160"/>
        </w:tabs>
        <w:spacing w:after="80"/>
      </w:pPr>
      <w:r w:rsidRPr="00EC556A">
        <w:t>LIBS</w:t>
      </w:r>
      <w:r w:rsidRPr="00EC556A">
        <w:tab/>
        <w:t>Laser-Induced Breakdown Spectrometry</w:t>
      </w:r>
    </w:p>
    <w:p w:rsidR="00CC1C95" w:rsidRPr="00EC556A" w:rsidRDefault="00CC1C95" w:rsidP="001261D8">
      <w:pPr>
        <w:tabs>
          <w:tab w:val="left" w:pos="1980"/>
          <w:tab w:val="left" w:pos="2160"/>
        </w:tabs>
        <w:spacing w:after="80"/>
      </w:pPr>
      <w:r w:rsidRPr="00EC556A">
        <w:t>LOD</w:t>
      </w:r>
      <w:r w:rsidRPr="00EC556A">
        <w:tab/>
        <w:t>Limit of detection</w:t>
      </w:r>
    </w:p>
    <w:p w:rsidR="000309BA" w:rsidRDefault="000309BA" w:rsidP="001261D8">
      <w:pPr>
        <w:tabs>
          <w:tab w:val="left" w:pos="1980"/>
          <w:tab w:val="left" w:pos="2160"/>
        </w:tabs>
        <w:spacing w:after="80"/>
      </w:pPr>
      <w:r>
        <w:t>LRMS</w:t>
      </w:r>
      <w:r>
        <w:tab/>
        <w:t>Low resolution mass spectrometry</w:t>
      </w:r>
    </w:p>
    <w:p w:rsidR="000309BA" w:rsidRDefault="000309BA" w:rsidP="001261D8">
      <w:pPr>
        <w:tabs>
          <w:tab w:val="left" w:pos="1980"/>
          <w:tab w:val="left" w:pos="2160"/>
        </w:tabs>
        <w:spacing w:after="80"/>
      </w:pPr>
      <w:r>
        <w:t>LCqMS</w:t>
      </w:r>
      <w:r>
        <w:tab/>
        <w:t>Liquid chromatography quadrupole mass spectrometry</w:t>
      </w:r>
    </w:p>
    <w:p w:rsidR="00CC1C95" w:rsidRPr="00EC556A" w:rsidRDefault="00CC1C95" w:rsidP="001261D8">
      <w:pPr>
        <w:tabs>
          <w:tab w:val="left" w:pos="1980"/>
          <w:tab w:val="left" w:pos="2160"/>
        </w:tabs>
        <w:spacing w:after="80"/>
      </w:pPr>
      <w:r w:rsidRPr="00EC556A">
        <w:t>MAE</w:t>
      </w:r>
      <w:r w:rsidRPr="00EC556A">
        <w:tab/>
        <w:t xml:space="preserve">Microwave-Assisted Extraction </w:t>
      </w:r>
    </w:p>
    <w:p w:rsidR="00CC1C95" w:rsidRPr="00EC556A" w:rsidRDefault="00CC1C95" w:rsidP="001261D8">
      <w:pPr>
        <w:tabs>
          <w:tab w:val="left" w:pos="1980"/>
          <w:tab w:val="left" w:pos="2160"/>
        </w:tabs>
        <w:spacing w:after="80"/>
      </w:pPr>
      <w:r w:rsidRPr="00EC556A">
        <w:t>MeOH</w:t>
      </w:r>
      <w:r w:rsidRPr="00EC556A">
        <w:tab/>
        <w:t>Methanol</w:t>
      </w:r>
    </w:p>
    <w:p w:rsidR="00CC1C95" w:rsidRPr="00EC556A" w:rsidRDefault="00CC1C95" w:rsidP="001261D8">
      <w:pPr>
        <w:tabs>
          <w:tab w:val="left" w:pos="1980"/>
          <w:tab w:val="left" w:pos="2160"/>
        </w:tabs>
        <w:spacing w:after="80"/>
      </w:pPr>
      <w:r w:rsidRPr="00EC556A">
        <w:t>MTBE</w:t>
      </w:r>
      <w:r w:rsidRPr="00EC556A">
        <w:tab/>
        <w:t>Methyl tert-butyl ether</w:t>
      </w:r>
    </w:p>
    <w:p w:rsidR="00CC1C95" w:rsidRPr="00EC556A" w:rsidRDefault="00CC1C95" w:rsidP="001261D8">
      <w:pPr>
        <w:tabs>
          <w:tab w:val="left" w:pos="1980"/>
          <w:tab w:val="left" w:pos="2160"/>
        </w:tabs>
        <w:spacing w:after="80"/>
      </w:pPr>
      <w:r w:rsidRPr="00EC556A">
        <w:t>NIR</w:t>
      </w:r>
      <w:r w:rsidRPr="00EC556A">
        <w:tab/>
        <w:t>Near Infrared</w:t>
      </w:r>
    </w:p>
    <w:p w:rsidR="00CC1C95" w:rsidRPr="00EC556A" w:rsidRDefault="00CC1C95" w:rsidP="001261D8">
      <w:pPr>
        <w:tabs>
          <w:tab w:val="left" w:pos="1980"/>
          <w:tab w:val="left" w:pos="2160"/>
        </w:tabs>
        <w:spacing w:after="80"/>
      </w:pPr>
      <w:r w:rsidRPr="00EC556A">
        <w:t>PAPs</w:t>
      </w:r>
      <w:r w:rsidRPr="00EC556A">
        <w:tab/>
        <w:t xml:space="preserve">Polyfluorinated Alkyl Phosphate </w:t>
      </w:r>
      <w:r w:rsidR="001E4B44">
        <w:t>Esters</w:t>
      </w:r>
    </w:p>
    <w:p w:rsidR="00CC1C95" w:rsidRPr="00EC556A" w:rsidRDefault="00CC1C95" w:rsidP="001261D8">
      <w:pPr>
        <w:tabs>
          <w:tab w:val="left" w:pos="1980"/>
          <w:tab w:val="left" w:pos="2160"/>
        </w:tabs>
        <w:spacing w:after="80"/>
      </w:pPr>
      <w:r w:rsidRPr="00EC556A">
        <w:t>PBB</w:t>
      </w:r>
      <w:r w:rsidRPr="00EC556A">
        <w:tab/>
        <w:t>Polybrominated biphenyl</w:t>
      </w:r>
    </w:p>
    <w:p w:rsidR="00CC1C95" w:rsidRPr="00EC556A" w:rsidRDefault="00CC1C95" w:rsidP="001261D8">
      <w:pPr>
        <w:tabs>
          <w:tab w:val="left" w:pos="1980"/>
          <w:tab w:val="left" w:pos="2160"/>
        </w:tabs>
        <w:spacing w:after="80"/>
      </w:pPr>
      <w:r w:rsidRPr="00EC556A">
        <w:t>PBDE</w:t>
      </w:r>
      <w:r w:rsidRPr="00EC556A">
        <w:tab/>
        <w:t>Polybrominated diphenyl ether</w:t>
      </w:r>
    </w:p>
    <w:p w:rsidR="00CC1C95" w:rsidRPr="00EC556A" w:rsidRDefault="00CC1C95" w:rsidP="001261D8">
      <w:pPr>
        <w:tabs>
          <w:tab w:val="left" w:pos="1980"/>
          <w:tab w:val="left" w:pos="2160"/>
        </w:tabs>
        <w:spacing w:after="80"/>
      </w:pPr>
      <w:r w:rsidRPr="00EC556A">
        <w:t>PBDD/PBDF</w:t>
      </w:r>
      <w:r w:rsidRPr="00EC556A">
        <w:tab/>
        <w:t>Polybrominated Dibenzo-p-dioxins and Polybrominated Dibenzofurans</w:t>
      </w:r>
    </w:p>
    <w:p w:rsidR="00CC1C95" w:rsidRPr="00EC556A" w:rsidRDefault="00CC1C95" w:rsidP="001261D8">
      <w:pPr>
        <w:tabs>
          <w:tab w:val="left" w:pos="1980"/>
          <w:tab w:val="left" w:pos="2160"/>
        </w:tabs>
        <w:spacing w:after="80"/>
      </w:pPr>
      <w:r w:rsidRPr="00EC556A">
        <w:t>PBDE</w:t>
      </w:r>
      <w:r w:rsidRPr="00EC556A">
        <w:tab/>
        <w:t>Polybrominated D</w:t>
      </w:r>
      <w:r w:rsidRPr="00EC556A">
        <w:rPr>
          <w:rStyle w:val="PageNumber"/>
        </w:rPr>
        <w:t>iphenyl Ether</w:t>
      </w:r>
    </w:p>
    <w:p w:rsidR="00CC1C95" w:rsidRPr="00EC556A" w:rsidRDefault="00CC1C95" w:rsidP="001261D8">
      <w:pPr>
        <w:tabs>
          <w:tab w:val="left" w:pos="1980"/>
          <w:tab w:val="left" w:pos="2160"/>
        </w:tabs>
        <w:spacing w:after="80"/>
      </w:pPr>
      <w:r w:rsidRPr="00EC556A">
        <w:lastRenderedPageBreak/>
        <w:t>PBT</w:t>
      </w:r>
      <w:r w:rsidRPr="00EC556A">
        <w:tab/>
        <w:t xml:space="preserve">Polybutylene Terephthalate </w:t>
      </w:r>
    </w:p>
    <w:p w:rsidR="00CC1C95" w:rsidRPr="00EC556A" w:rsidRDefault="00CC1C95" w:rsidP="001261D8">
      <w:pPr>
        <w:tabs>
          <w:tab w:val="left" w:pos="1980"/>
          <w:tab w:val="left" w:pos="2160"/>
        </w:tabs>
        <w:spacing w:after="80"/>
      </w:pPr>
      <w:r w:rsidRPr="00EC556A">
        <w:t>PC</w:t>
      </w:r>
      <w:r w:rsidRPr="00EC556A">
        <w:tab/>
        <w:t>Polycarbonate</w:t>
      </w:r>
    </w:p>
    <w:p w:rsidR="00CC1C95" w:rsidRPr="00EC556A" w:rsidRDefault="00CC1C95" w:rsidP="001261D8">
      <w:pPr>
        <w:tabs>
          <w:tab w:val="left" w:pos="1980"/>
          <w:tab w:val="left" w:pos="2160"/>
        </w:tabs>
        <w:spacing w:after="80"/>
      </w:pPr>
      <w:r w:rsidRPr="00EC556A">
        <w:t>PCB</w:t>
      </w:r>
      <w:r w:rsidRPr="00EC556A">
        <w:tab/>
        <w:t>Polychlorinated Biphenyl</w:t>
      </w:r>
    </w:p>
    <w:p w:rsidR="00CC1C95" w:rsidRPr="00EC556A" w:rsidRDefault="00CC1C95" w:rsidP="001261D8">
      <w:pPr>
        <w:tabs>
          <w:tab w:val="left" w:pos="1980"/>
          <w:tab w:val="left" w:pos="2160"/>
        </w:tabs>
        <w:spacing w:after="80"/>
      </w:pPr>
      <w:r w:rsidRPr="00EC556A">
        <w:t>PCDD/PCDF</w:t>
      </w:r>
      <w:r w:rsidRPr="00EC556A">
        <w:tab/>
        <w:t>Polychlorinated dibenzo-</w:t>
      </w:r>
      <w:r w:rsidRPr="00CC1C95">
        <w:t>p</w:t>
      </w:r>
      <w:r w:rsidRPr="00EC556A">
        <w:t>-dioxins and polychlorinated dibenzofurans</w:t>
      </w:r>
    </w:p>
    <w:p w:rsidR="00CC1C95" w:rsidRPr="00EC556A" w:rsidRDefault="00CC1C95" w:rsidP="001261D8">
      <w:pPr>
        <w:tabs>
          <w:tab w:val="left" w:pos="1980"/>
          <w:tab w:val="left" w:pos="2160"/>
        </w:tabs>
        <w:spacing w:after="80"/>
      </w:pPr>
      <w:r w:rsidRPr="00EC556A">
        <w:rPr>
          <w:noProof/>
        </w:rPr>
        <w:t>PET</w:t>
      </w:r>
      <w:r w:rsidRPr="00EC556A">
        <w:rPr>
          <w:noProof/>
        </w:rPr>
        <w:tab/>
        <w:t>Polyethylene Terephthalate</w:t>
      </w:r>
    </w:p>
    <w:p w:rsidR="00CC1C95" w:rsidRPr="00EC556A" w:rsidRDefault="00CC1C95" w:rsidP="001261D8">
      <w:pPr>
        <w:tabs>
          <w:tab w:val="left" w:pos="1980"/>
          <w:tab w:val="left" w:pos="2160"/>
        </w:tabs>
        <w:spacing w:after="80"/>
      </w:pPr>
      <w:r w:rsidRPr="00EC556A">
        <w:t>PeCB</w:t>
      </w:r>
      <w:r w:rsidRPr="00EC556A">
        <w:tab/>
        <w:t>Pentachlorobenzene</w:t>
      </w:r>
    </w:p>
    <w:p w:rsidR="00CC1C95" w:rsidRPr="00EC556A" w:rsidRDefault="00CC1C95" w:rsidP="001261D8">
      <w:pPr>
        <w:tabs>
          <w:tab w:val="left" w:pos="1980"/>
          <w:tab w:val="left" w:pos="2160"/>
        </w:tabs>
        <w:spacing w:after="80"/>
      </w:pPr>
      <w:r w:rsidRPr="00EC556A">
        <w:t>PFAS</w:t>
      </w:r>
      <w:r w:rsidRPr="00EC556A">
        <w:tab/>
      </w:r>
      <w:r w:rsidR="001E4B44" w:rsidRPr="00EC556A">
        <w:t>Per</w:t>
      </w:r>
      <w:r w:rsidR="001E4B44">
        <w:t>-</w:t>
      </w:r>
      <w:r w:rsidR="001E4B44" w:rsidRPr="00EC556A">
        <w:t xml:space="preserve"> </w:t>
      </w:r>
      <w:r w:rsidRPr="00EC556A">
        <w:t>and Polyfluorinated Alkylated Substance</w:t>
      </w:r>
    </w:p>
    <w:p w:rsidR="00CC1C95" w:rsidRPr="00EC556A" w:rsidRDefault="00CC1C95" w:rsidP="001261D8">
      <w:pPr>
        <w:tabs>
          <w:tab w:val="left" w:pos="1980"/>
          <w:tab w:val="left" w:pos="2160"/>
        </w:tabs>
        <w:spacing w:after="80"/>
      </w:pPr>
      <w:r w:rsidRPr="00EC556A">
        <w:t>PFCs</w:t>
      </w:r>
      <w:r w:rsidRPr="00EC556A">
        <w:tab/>
      </w:r>
      <w:r w:rsidR="001E4B44" w:rsidRPr="00EC556A">
        <w:t>Per</w:t>
      </w:r>
      <w:r w:rsidR="001E4B44">
        <w:t>-</w:t>
      </w:r>
      <w:r w:rsidRPr="00EC556A">
        <w:t>and Polyfluorinated Chemicals/Compounds</w:t>
      </w:r>
    </w:p>
    <w:p w:rsidR="00CC1C95" w:rsidRPr="00EC556A" w:rsidRDefault="00CC1C95" w:rsidP="001261D8">
      <w:pPr>
        <w:tabs>
          <w:tab w:val="left" w:pos="1980"/>
          <w:tab w:val="left" w:pos="2160"/>
        </w:tabs>
        <w:spacing w:after="80"/>
      </w:pPr>
      <w:r w:rsidRPr="00EC556A">
        <w:t>PFDA</w:t>
      </w:r>
      <w:r w:rsidRPr="00EC556A">
        <w:tab/>
        <w:t>Perfluorodecanoic acid; Perfluorodecanoate</w:t>
      </w:r>
    </w:p>
    <w:p w:rsidR="00CC1C95" w:rsidRPr="00EC556A" w:rsidRDefault="00CC1C95" w:rsidP="001261D8">
      <w:pPr>
        <w:tabs>
          <w:tab w:val="left" w:pos="1980"/>
          <w:tab w:val="left" w:pos="2160"/>
        </w:tabs>
        <w:spacing w:after="80"/>
      </w:pPr>
      <w:r w:rsidRPr="00EC556A">
        <w:t>PFDoA</w:t>
      </w:r>
      <w:r w:rsidRPr="00EC556A">
        <w:tab/>
        <w:t>Perfluorododecanoic acid; Perfluorododecanoate</w:t>
      </w:r>
    </w:p>
    <w:p w:rsidR="00CC1C95" w:rsidRPr="00EC556A" w:rsidRDefault="00CC1C95" w:rsidP="001261D8">
      <w:pPr>
        <w:tabs>
          <w:tab w:val="left" w:pos="1980"/>
          <w:tab w:val="left" w:pos="2160"/>
        </w:tabs>
        <w:spacing w:after="80"/>
      </w:pPr>
      <w:r w:rsidRPr="00EC556A">
        <w:t>PFHpA</w:t>
      </w:r>
      <w:r w:rsidRPr="00EC556A">
        <w:tab/>
        <w:t>Perfluoroheptanoic acid; Perfluoroheptanoate</w:t>
      </w:r>
    </w:p>
    <w:p w:rsidR="00CC1C95" w:rsidRPr="00EC556A" w:rsidRDefault="00CC1C95" w:rsidP="001261D8">
      <w:pPr>
        <w:tabs>
          <w:tab w:val="left" w:pos="1980"/>
          <w:tab w:val="left" w:pos="2160"/>
        </w:tabs>
        <w:spacing w:after="80"/>
      </w:pPr>
      <w:r w:rsidRPr="00EC556A">
        <w:t>PFHxA</w:t>
      </w:r>
      <w:r w:rsidRPr="00EC556A">
        <w:tab/>
        <w:t>Perfluorohexanoic acid; Perfluorohexanoate</w:t>
      </w:r>
    </w:p>
    <w:p w:rsidR="00CC1C95" w:rsidRPr="00EC556A" w:rsidRDefault="00CC1C95" w:rsidP="001261D8">
      <w:pPr>
        <w:tabs>
          <w:tab w:val="left" w:pos="1980"/>
          <w:tab w:val="left" w:pos="2160"/>
        </w:tabs>
        <w:spacing w:after="80"/>
      </w:pPr>
      <w:r w:rsidRPr="00EC556A">
        <w:t>PFNA</w:t>
      </w:r>
      <w:r w:rsidRPr="00EC556A">
        <w:tab/>
        <w:t>Perfluorononanoic acid; Perfluorononanoate</w:t>
      </w:r>
    </w:p>
    <w:p w:rsidR="00CC1C95" w:rsidRPr="00EC556A" w:rsidRDefault="00CC1C95" w:rsidP="001261D8">
      <w:pPr>
        <w:tabs>
          <w:tab w:val="left" w:pos="1980"/>
          <w:tab w:val="left" w:pos="2160"/>
        </w:tabs>
        <w:spacing w:after="80"/>
      </w:pPr>
      <w:r w:rsidRPr="00EC556A">
        <w:t>PFOA</w:t>
      </w:r>
      <w:r w:rsidRPr="00EC556A">
        <w:tab/>
        <w:t>Perfluorooctanoic acid; Perfluorooctanoate</w:t>
      </w:r>
    </w:p>
    <w:p w:rsidR="00CC1C95" w:rsidRPr="00EC556A" w:rsidRDefault="00CC1C95" w:rsidP="001261D8">
      <w:pPr>
        <w:tabs>
          <w:tab w:val="left" w:pos="1980"/>
          <w:tab w:val="left" w:pos="2160"/>
        </w:tabs>
        <w:spacing w:after="80"/>
      </w:pPr>
      <w:r w:rsidRPr="00EC556A">
        <w:t>PFOS</w:t>
      </w:r>
      <w:r w:rsidRPr="00EC556A">
        <w:tab/>
        <w:t>Perfluorooctane Sulfonic Acid; Perfluorooctane Sulfonate</w:t>
      </w:r>
    </w:p>
    <w:p w:rsidR="00CC1C95" w:rsidRPr="00EC556A" w:rsidRDefault="00CC1C95" w:rsidP="001261D8">
      <w:pPr>
        <w:tabs>
          <w:tab w:val="left" w:pos="1980"/>
          <w:tab w:val="left" w:pos="2160"/>
        </w:tabs>
        <w:spacing w:after="80"/>
      </w:pPr>
      <w:r w:rsidRPr="00EC556A">
        <w:t>PFOSF</w:t>
      </w:r>
      <w:r w:rsidRPr="00EC556A">
        <w:tab/>
        <w:t>Perfluorooctane Sulfonyl Fluoride</w:t>
      </w:r>
    </w:p>
    <w:p w:rsidR="00CC1C95" w:rsidRPr="00EC556A" w:rsidRDefault="00CC1C95" w:rsidP="001261D8">
      <w:pPr>
        <w:tabs>
          <w:tab w:val="left" w:pos="1980"/>
          <w:tab w:val="left" w:pos="2160"/>
        </w:tabs>
        <w:spacing w:after="80"/>
      </w:pPr>
      <w:r w:rsidRPr="00EC556A">
        <w:t>PLE</w:t>
      </w:r>
      <w:r w:rsidRPr="00EC556A">
        <w:tab/>
        <w:t>Pressurised Liquid Extraction</w:t>
      </w:r>
    </w:p>
    <w:p w:rsidR="00CC1C95" w:rsidRPr="00EC556A" w:rsidRDefault="00CC1C95" w:rsidP="001261D8">
      <w:pPr>
        <w:tabs>
          <w:tab w:val="left" w:pos="1980"/>
          <w:tab w:val="left" w:pos="2160"/>
        </w:tabs>
        <w:spacing w:after="80"/>
      </w:pPr>
      <w:r w:rsidRPr="00EC556A">
        <w:t>POPs</w:t>
      </w:r>
      <w:r w:rsidRPr="00EC556A">
        <w:tab/>
        <w:t>Persistent Organic Pollutants</w:t>
      </w:r>
    </w:p>
    <w:p w:rsidR="00CC1C95" w:rsidRPr="00EC556A" w:rsidRDefault="00CC1C95" w:rsidP="001261D8">
      <w:pPr>
        <w:tabs>
          <w:tab w:val="left" w:pos="1980"/>
          <w:tab w:val="left" w:pos="2160"/>
        </w:tabs>
        <w:spacing w:after="80"/>
        <w:ind w:left="1980" w:hanging="1980"/>
      </w:pPr>
      <w:r w:rsidRPr="00EC556A">
        <w:t>POP-PBDEs</w:t>
      </w:r>
      <w:r w:rsidRPr="00EC556A">
        <w:tab/>
        <w:t>Persistent Organic Pollutant polybrominated d</w:t>
      </w:r>
      <w:r w:rsidRPr="00EC556A">
        <w:rPr>
          <w:rStyle w:val="PageNumber"/>
        </w:rPr>
        <w:t xml:space="preserve">iphenyl ethers (the </w:t>
      </w:r>
      <w:r w:rsidRPr="00EC556A">
        <w:t>PBDEs listed in the Convention)</w:t>
      </w:r>
    </w:p>
    <w:p w:rsidR="00CC1C95" w:rsidRPr="00EC556A" w:rsidRDefault="00CC1C95" w:rsidP="001261D8">
      <w:pPr>
        <w:tabs>
          <w:tab w:val="left" w:pos="1980"/>
          <w:tab w:val="left" w:pos="2160"/>
        </w:tabs>
        <w:spacing w:after="80"/>
      </w:pPr>
      <w:r w:rsidRPr="00EC556A">
        <w:t>PP</w:t>
      </w:r>
      <w:r w:rsidRPr="00EC556A">
        <w:tab/>
        <w:t>Polypropylene</w:t>
      </w:r>
    </w:p>
    <w:p w:rsidR="00CC1C95" w:rsidRPr="00EC556A" w:rsidRDefault="00CC1C95" w:rsidP="001261D8">
      <w:pPr>
        <w:tabs>
          <w:tab w:val="left" w:pos="1980"/>
          <w:tab w:val="left" w:pos="2160"/>
        </w:tabs>
        <w:spacing w:after="80"/>
      </w:pPr>
      <w:r w:rsidRPr="00EC556A">
        <w:t>PS</w:t>
      </w:r>
      <w:r w:rsidRPr="00EC556A">
        <w:tab/>
        <w:t>Polystyrene</w:t>
      </w:r>
    </w:p>
    <w:p w:rsidR="00CC1C95" w:rsidRPr="00EC556A" w:rsidRDefault="00CC1C95" w:rsidP="001261D8">
      <w:pPr>
        <w:tabs>
          <w:tab w:val="left" w:pos="1980"/>
          <w:tab w:val="left" w:pos="2160"/>
        </w:tabs>
        <w:spacing w:after="80"/>
      </w:pPr>
      <w:r w:rsidRPr="00EC556A">
        <w:t>PUR</w:t>
      </w:r>
      <w:r w:rsidRPr="00EC556A">
        <w:tab/>
        <w:t>Polyurethane</w:t>
      </w:r>
    </w:p>
    <w:p w:rsidR="00CC1C95" w:rsidRDefault="00CC1C95" w:rsidP="001261D8">
      <w:pPr>
        <w:tabs>
          <w:tab w:val="left" w:pos="1980"/>
          <w:tab w:val="left" w:pos="2160"/>
        </w:tabs>
        <w:spacing w:after="80"/>
        <w:ind w:left="1980" w:hanging="1980"/>
      </w:pPr>
      <w:r w:rsidRPr="00EC556A">
        <w:rPr>
          <w:noProof/>
        </w:rPr>
        <w:t>PXDD/PXDF</w:t>
      </w:r>
      <w:r w:rsidRPr="00EC556A">
        <w:rPr>
          <w:noProof/>
        </w:rPr>
        <w:tab/>
        <w:t xml:space="preserve">Polybrominated-chlorinated </w:t>
      </w:r>
      <w:r w:rsidRPr="00EC556A">
        <w:t>dibenzo-</w:t>
      </w:r>
      <w:r w:rsidRPr="00CC1C95">
        <w:t>p</w:t>
      </w:r>
      <w:r w:rsidRPr="00EC556A">
        <w:t>-dioxins and dibenzofurans</w:t>
      </w:r>
    </w:p>
    <w:p w:rsidR="00CC1C95" w:rsidRPr="00EC556A" w:rsidRDefault="00CC1C95" w:rsidP="001261D8">
      <w:pPr>
        <w:tabs>
          <w:tab w:val="left" w:pos="1980"/>
          <w:tab w:val="left" w:pos="2160"/>
        </w:tabs>
        <w:spacing w:after="80"/>
        <w:ind w:left="1980" w:hanging="1980"/>
        <w:rPr>
          <w:noProof/>
        </w:rPr>
      </w:pPr>
      <w:r>
        <w:t>QA/QC</w:t>
      </w:r>
      <w:r>
        <w:tab/>
        <w:t>Quality assurance and quality control</w:t>
      </w:r>
    </w:p>
    <w:p w:rsidR="00CC1C95" w:rsidRPr="00EC556A" w:rsidRDefault="00CC1C95" w:rsidP="001261D8">
      <w:pPr>
        <w:tabs>
          <w:tab w:val="left" w:pos="1980"/>
          <w:tab w:val="left" w:pos="2160"/>
        </w:tabs>
        <w:spacing w:after="80"/>
        <w:ind w:left="1980" w:hanging="1980"/>
      </w:pPr>
      <w:r w:rsidRPr="00EC556A">
        <w:t>RoHS</w:t>
      </w:r>
      <w:r w:rsidRPr="00EC556A">
        <w:tab/>
        <w:t>Restriction of the use of certain hazardous substances in electrical and electronic equipment</w:t>
      </w:r>
    </w:p>
    <w:p w:rsidR="001261D8" w:rsidRDefault="001261D8" w:rsidP="001261D8">
      <w:pPr>
        <w:tabs>
          <w:tab w:val="left" w:pos="1980"/>
          <w:tab w:val="left" w:pos="2160"/>
        </w:tabs>
        <w:spacing w:after="80"/>
      </w:pPr>
      <w:r>
        <w:t>SCCP</w:t>
      </w:r>
      <w:r>
        <w:tab/>
        <w:t>Short Chain Chlorinated Paraffin</w:t>
      </w:r>
    </w:p>
    <w:p w:rsidR="00CC1C95" w:rsidRPr="00EC556A" w:rsidRDefault="00CC1C95" w:rsidP="001261D8">
      <w:pPr>
        <w:tabs>
          <w:tab w:val="left" w:pos="1980"/>
          <w:tab w:val="left" w:pos="2160"/>
        </w:tabs>
        <w:spacing w:after="80"/>
      </w:pPr>
      <w:r w:rsidRPr="00EC556A">
        <w:t>SC</w:t>
      </w:r>
      <w:r w:rsidRPr="00EC556A">
        <w:tab/>
        <w:t>Stockholm Convention</w:t>
      </w:r>
    </w:p>
    <w:p w:rsidR="00CC1C95" w:rsidRPr="00EC556A" w:rsidRDefault="00CC1C95" w:rsidP="001261D8">
      <w:pPr>
        <w:tabs>
          <w:tab w:val="left" w:pos="1980"/>
          <w:tab w:val="left" w:pos="2160"/>
        </w:tabs>
        <w:spacing w:after="80"/>
      </w:pPr>
      <w:r w:rsidRPr="00EC556A">
        <w:t>SIM</w:t>
      </w:r>
      <w:r w:rsidRPr="00EC556A">
        <w:tab/>
        <w:t>Selected ion monitoring</w:t>
      </w:r>
    </w:p>
    <w:p w:rsidR="00CC1C95" w:rsidRPr="00EC556A" w:rsidRDefault="00CC1C95" w:rsidP="001261D8">
      <w:pPr>
        <w:tabs>
          <w:tab w:val="left" w:pos="1980"/>
          <w:tab w:val="left" w:pos="2160"/>
        </w:tabs>
        <w:spacing w:after="80"/>
      </w:pPr>
      <w:r w:rsidRPr="00EC556A">
        <w:t>SPE</w:t>
      </w:r>
      <w:r w:rsidRPr="00EC556A">
        <w:tab/>
        <w:t>Solid phase extraction</w:t>
      </w:r>
    </w:p>
    <w:p w:rsidR="00CC1C95" w:rsidRPr="00EC556A" w:rsidRDefault="00CC1C95" w:rsidP="001261D8">
      <w:pPr>
        <w:tabs>
          <w:tab w:val="left" w:pos="1980"/>
          <w:tab w:val="left" w:pos="2160"/>
        </w:tabs>
        <w:spacing w:after="80"/>
      </w:pPr>
      <w:r w:rsidRPr="00EC556A">
        <w:t>TBBPA</w:t>
      </w:r>
      <w:r w:rsidRPr="00EC556A">
        <w:tab/>
        <w:t>Tetrabromobisphenol A</w:t>
      </w:r>
    </w:p>
    <w:p w:rsidR="006340BC" w:rsidRDefault="006340BC" w:rsidP="001261D8">
      <w:pPr>
        <w:tabs>
          <w:tab w:val="left" w:pos="1980"/>
          <w:tab w:val="left" w:pos="2160"/>
        </w:tabs>
        <w:spacing w:after="80"/>
      </w:pPr>
      <w:r>
        <w:t>THF</w:t>
      </w:r>
      <w:r>
        <w:tab/>
        <w:t>Tetrahydrofuran</w:t>
      </w:r>
    </w:p>
    <w:p w:rsidR="00CC1C95" w:rsidRPr="00EC556A" w:rsidRDefault="00CC1C95" w:rsidP="001261D8">
      <w:pPr>
        <w:tabs>
          <w:tab w:val="left" w:pos="1980"/>
          <w:tab w:val="left" w:pos="2160"/>
        </w:tabs>
        <w:spacing w:after="80"/>
      </w:pPr>
      <w:r w:rsidRPr="00EC556A">
        <w:t>TOF</w:t>
      </w:r>
      <w:r w:rsidRPr="00EC556A">
        <w:tab/>
        <w:t>Time of Flight</w:t>
      </w:r>
    </w:p>
    <w:p w:rsidR="00CC1C95" w:rsidRPr="00EC556A" w:rsidRDefault="00CC1C95" w:rsidP="001261D8">
      <w:pPr>
        <w:tabs>
          <w:tab w:val="left" w:pos="1980"/>
          <w:tab w:val="left" w:pos="2160"/>
        </w:tabs>
        <w:spacing w:after="80"/>
      </w:pPr>
      <w:r w:rsidRPr="00EC556A">
        <w:t>UAE</w:t>
      </w:r>
      <w:r w:rsidRPr="00EC556A">
        <w:tab/>
        <w:t xml:space="preserve">Ultrasonic-assisted extraction </w:t>
      </w:r>
    </w:p>
    <w:p w:rsidR="00193C74" w:rsidRPr="00193C74" w:rsidRDefault="00193C74" w:rsidP="00193C74">
      <w:pPr>
        <w:tabs>
          <w:tab w:val="left" w:pos="1980"/>
          <w:tab w:val="left" w:pos="2160"/>
        </w:tabs>
        <w:spacing w:after="80"/>
      </w:pPr>
      <w:r w:rsidRPr="00193C74">
        <w:t>WD-XRF</w:t>
      </w:r>
      <w:r>
        <w:tab/>
      </w:r>
      <w:r w:rsidRPr="00193C74">
        <w:t xml:space="preserve">Wavelength dispersive XRF </w:t>
      </w:r>
    </w:p>
    <w:p w:rsidR="00CC1C95" w:rsidRPr="00EC556A" w:rsidRDefault="00CC1C95" w:rsidP="001261D8">
      <w:pPr>
        <w:tabs>
          <w:tab w:val="left" w:pos="1980"/>
          <w:tab w:val="left" w:pos="2160"/>
        </w:tabs>
        <w:spacing w:after="80"/>
      </w:pPr>
      <w:r w:rsidRPr="00EC556A">
        <w:t>WEEE</w:t>
      </w:r>
      <w:r w:rsidRPr="00EC556A">
        <w:tab/>
        <w:t>Waste Electrical and Electronic Equipment</w:t>
      </w:r>
    </w:p>
    <w:p w:rsidR="00CC1C95" w:rsidRPr="00EC556A" w:rsidRDefault="00CC1C95" w:rsidP="001261D8">
      <w:pPr>
        <w:tabs>
          <w:tab w:val="left" w:pos="1980"/>
          <w:tab w:val="left" w:pos="2160"/>
        </w:tabs>
        <w:spacing w:after="80"/>
      </w:pPr>
      <w:r w:rsidRPr="00EC556A">
        <w:t>XRF</w:t>
      </w:r>
      <w:r w:rsidRPr="00EC556A">
        <w:tab/>
        <w:t>X-Ray Fluorescence</w:t>
      </w:r>
    </w:p>
    <w:p w:rsidR="00CC1C95" w:rsidRPr="00EC556A" w:rsidRDefault="00CC1C95" w:rsidP="001261D8">
      <w:pPr>
        <w:tabs>
          <w:tab w:val="left" w:pos="1980"/>
          <w:tab w:val="left" w:pos="2160"/>
        </w:tabs>
        <w:spacing w:after="80"/>
      </w:pPr>
      <w:r w:rsidRPr="00EC556A">
        <w:t>XRT</w:t>
      </w:r>
      <w:r w:rsidRPr="00EC556A">
        <w:tab/>
        <w:t xml:space="preserve">X-Ray Transmission </w:t>
      </w:r>
    </w:p>
    <w:p w:rsidR="00CC1C95" w:rsidRPr="00EC556A" w:rsidRDefault="00CC1C95" w:rsidP="00EE0DB2">
      <w:pPr>
        <w:pStyle w:val="Heading1"/>
        <w:numPr>
          <w:ilvl w:val="0"/>
          <w:numId w:val="9"/>
        </w:numPr>
        <w:tabs>
          <w:tab w:val="num" w:pos="0"/>
        </w:tabs>
        <w:snapToGrid/>
        <w:spacing w:before="200" w:after="60" w:line="276" w:lineRule="auto"/>
        <w:ind w:left="0" w:firstLine="0"/>
        <w:jc w:val="both"/>
      </w:pPr>
      <w:r w:rsidRPr="00EC556A">
        <w:rPr>
          <w:b w:val="0"/>
          <w:bCs w:val="0"/>
        </w:rPr>
        <w:br w:type="page"/>
      </w:r>
      <w:bookmarkStart w:id="3" w:name="_Toc349335704"/>
      <w:r w:rsidRPr="00EC556A">
        <w:rPr>
          <w:b w:val="0"/>
          <w:bCs w:val="0"/>
        </w:rPr>
        <w:lastRenderedPageBreak/>
        <w:t>Introduction</w:t>
      </w:r>
      <w:bookmarkEnd w:id="3"/>
    </w:p>
    <w:p w:rsidR="00CC1C95" w:rsidRPr="006B697F" w:rsidRDefault="00CC1C95" w:rsidP="00EE0DB2">
      <w:pPr>
        <w:pStyle w:val="Heading2"/>
        <w:numPr>
          <w:ilvl w:val="1"/>
          <w:numId w:val="9"/>
        </w:numPr>
        <w:tabs>
          <w:tab w:val="num" w:pos="993"/>
        </w:tabs>
        <w:snapToGrid/>
        <w:spacing w:before="240" w:after="60" w:line="276" w:lineRule="auto"/>
        <w:ind w:left="993" w:firstLine="0"/>
        <w:jc w:val="both"/>
      </w:pPr>
      <w:bookmarkStart w:id="4" w:name="_Toc349335705"/>
      <w:r w:rsidRPr="006B697F">
        <w:rPr>
          <w:b w:val="0"/>
        </w:rPr>
        <w:t xml:space="preserve">Stockholm Convention background </w:t>
      </w:r>
      <w:r>
        <w:rPr>
          <w:b w:val="0"/>
        </w:rPr>
        <w:t>on</w:t>
      </w:r>
      <w:r w:rsidRPr="006B697F">
        <w:rPr>
          <w:b w:val="0"/>
        </w:rPr>
        <w:t xml:space="preserve"> POPs</w:t>
      </w:r>
      <w:bookmarkEnd w:id="4"/>
      <w:r w:rsidR="00811595">
        <w:rPr>
          <w:b w:val="0"/>
        </w:rPr>
        <w:t xml:space="preserve"> listed in 2009 and 2011</w:t>
      </w:r>
    </w:p>
    <w:p w:rsidR="00CC1C95" w:rsidRPr="00EC556A" w:rsidRDefault="00CC1C95" w:rsidP="00EE0DB2">
      <w:pPr>
        <w:ind w:firstLine="360"/>
      </w:pPr>
      <w:r w:rsidRPr="00EC556A">
        <w:t>In 2009 and 201</w:t>
      </w:r>
      <w:r>
        <w:t>1</w:t>
      </w:r>
      <w:r w:rsidRPr="00EC556A">
        <w:t xml:space="preserve"> ten</w:t>
      </w:r>
      <w:r>
        <w:t xml:space="preserve"> new</w:t>
      </w:r>
      <w:r w:rsidRPr="00EC556A">
        <w:t xml:space="preserve"> </w:t>
      </w:r>
      <w:r>
        <w:t>substances</w:t>
      </w:r>
      <w:r w:rsidRPr="00EC556A">
        <w:t xml:space="preserve"> were listed </w:t>
      </w:r>
      <w:r>
        <w:t xml:space="preserve">in the annexes </w:t>
      </w:r>
      <w:r w:rsidRPr="00EC556A">
        <w:t xml:space="preserve">to the Stockholm Convention. Several of these newly listed POPs have been used or are still used in </w:t>
      </w:r>
      <w:r>
        <w:t xml:space="preserve">various products and </w:t>
      </w:r>
      <w:r w:rsidRPr="00EC556A">
        <w:t>articles</w:t>
      </w:r>
      <w:r>
        <w:t xml:space="preserve"> </w:t>
      </w:r>
      <w:r w:rsidRPr="00EC556A">
        <w:t>(see Annex 1-A)</w:t>
      </w:r>
      <w:r>
        <w:t>.</w:t>
      </w:r>
      <w:r w:rsidRPr="00EC556A">
        <w:t xml:space="preserve"> </w:t>
      </w:r>
    </w:p>
    <w:p w:rsidR="00CC1C95" w:rsidRDefault="00CC1C95" w:rsidP="00EE0DB2">
      <w:r>
        <w:t xml:space="preserve">A set of guidance has been developed to assist parties to meet their obligations relevant to the </w:t>
      </w:r>
      <w:r w:rsidR="00A61133">
        <w:t xml:space="preserve">POPS </w:t>
      </w:r>
      <w:r>
        <w:t xml:space="preserve">listed </w:t>
      </w:r>
      <w:r w:rsidR="00A61133">
        <w:t>in 2009 and 2011</w:t>
      </w:r>
      <w:r>
        <w:t>, such as the gui</w:t>
      </w:r>
      <w:r w:rsidRPr="00EC556A">
        <w:t>dance for developing inventories (Stockholm Convention 2012a</w:t>
      </w:r>
      <w:r w:rsidRPr="00EC556A">
        <w:rPr>
          <w:rStyle w:val="FootnoteReference"/>
        </w:rPr>
        <w:footnoteReference w:id="1"/>
      </w:r>
      <w:r w:rsidRPr="00EC556A">
        <w:t>, b</w:t>
      </w:r>
      <w:r w:rsidRPr="00EC556A">
        <w:rPr>
          <w:rStyle w:val="FootnoteReference"/>
        </w:rPr>
        <w:footnoteReference w:id="2"/>
      </w:r>
      <w:r w:rsidRPr="00EC556A">
        <w:t xml:space="preserve">) and for </w:t>
      </w:r>
      <w:r>
        <w:t xml:space="preserve">applying best available technologies and best environment practices </w:t>
      </w:r>
      <w:r w:rsidRPr="00EC556A">
        <w:t>(Stockholm Convention 2012c</w:t>
      </w:r>
      <w:r w:rsidRPr="00EC556A">
        <w:rPr>
          <w:rStyle w:val="FootnoteReference"/>
        </w:rPr>
        <w:footnoteReference w:id="3"/>
      </w:r>
      <w:r w:rsidRPr="00EC556A">
        <w:t>, d</w:t>
      </w:r>
      <w:r w:rsidRPr="00EC556A">
        <w:rPr>
          <w:rStyle w:val="FootnoteReference"/>
        </w:rPr>
        <w:footnoteReference w:id="4"/>
      </w:r>
      <w:r w:rsidRPr="00EC556A">
        <w:t>) giving also an insight on former use</w:t>
      </w:r>
      <w:r>
        <w:t>s</w:t>
      </w:r>
      <w:r w:rsidRPr="00EC556A">
        <w:t xml:space="preserve"> </w:t>
      </w:r>
      <w:r>
        <w:t xml:space="preserve">of these substances </w:t>
      </w:r>
      <w:r w:rsidRPr="00EC556A">
        <w:t xml:space="preserve">and </w:t>
      </w:r>
      <w:r>
        <w:t xml:space="preserve">their </w:t>
      </w:r>
      <w:r w:rsidRPr="00EC556A">
        <w:t xml:space="preserve">relevance </w:t>
      </w:r>
      <w:r>
        <w:t xml:space="preserve">for the </w:t>
      </w:r>
      <w:r w:rsidRPr="00EC556A">
        <w:t>current</w:t>
      </w:r>
      <w:r>
        <w:t xml:space="preserve"> presence of POPs</w:t>
      </w:r>
      <w:r w:rsidRPr="00EC556A">
        <w:t xml:space="preserve"> in articles.</w:t>
      </w:r>
      <w:r>
        <w:t xml:space="preserve"> The draft guidance is available in document UNEP/POPS/COP.6/</w:t>
      </w:r>
      <w:r w:rsidRPr="00097F30">
        <w:t>INF/</w:t>
      </w:r>
      <w:r w:rsidR="006311D5" w:rsidRPr="00097F30">
        <w:t>15</w:t>
      </w:r>
      <w:r w:rsidRPr="00097F30">
        <w:t>.</w:t>
      </w:r>
      <w:r>
        <w:t xml:space="preserve"> Among the new listed POPs in the Stockholm Convention, </w:t>
      </w:r>
      <w:r w:rsidRPr="00EC556A">
        <w:t xml:space="preserve">pentachlorobenzene (PeCBz) </w:t>
      </w:r>
      <w:r w:rsidR="00A61133">
        <w:t xml:space="preserve">was </w:t>
      </w:r>
      <w:r w:rsidRPr="00EC556A">
        <w:t xml:space="preserve">listed in </w:t>
      </w:r>
      <w:r>
        <w:t xml:space="preserve">Annex C </w:t>
      </w:r>
      <w:r w:rsidRPr="00EC556A">
        <w:t>can be present</w:t>
      </w:r>
      <w:r w:rsidR="00A022F2">
        <w:t xml:space="preserve"> as unintentional by-product</w:t>
      </w:r>
      <w:r w:rsidRPr="00EC556A">
        <w:t xml:space="preserve"> in a range of products and articles (see Annex 1-C).</w:t>
      </w:r>
    </w:p>
    <w:p w:rsidR="00CC1C95" w:rsidRDefault="00CC1C95" w:rsidP="00EE0DB2">
      <w:r w:rsidRPr="00EC556A">
        <w:t xml:space="preserve">While production of POP-PBDEs </w:t>
      </w:r>
      <w:r>
        <w:t>is</w:t>
      </w:r>
      <w:r w:rsidRPr="00EC556A">
        <w:t xml:space="preserve"> considered to have stopped in 2004 and therefore </w:t>
      </w:r>
      <w:r>
        <w:t xml:space="preserve">these substances are now contained only </w:t>
      </w:r>
      <w:r w:rsidRPr="00EC556A">
        <w:t>in</w:t>
      </w:r>
      <w:r>
        <w:t xml:space="preserve"> articles in use </w:t>
      </w:r>
      <w:r w:rsidRPr="00EC556A">
        <w:t>and</w:t>
      </w:r>
      <w:r>
        <w:t xml:space="preserve"> in</w:t>
      </w:r>
      <w:r w:rsidRPr="00EC556A">
        <w:t xml:space="preserve"> </w:t>
      </w:r>
      <w:r>
        <w:t xml:space="preserve">the </w:t>
      </w:r>
      <w:r w:rsidRPr="00EC556A">
        <w:t xml:space="preserve">recycling flows, PFOS is still produced in at least three countries (China, Germany and Italy) and possibly </w:t>
      </w:r>
      <w:r>
        <w:t>also</w:t>
      </w:r>
      <w:r w:rsidRPr="00EC556A">
        <w:t xml:space="preserve"> used in a range of new articles and processes where exemptions and acceptable purposes have been granted by the Convention (see Annex 1-A). Furthermore</w:t>
      </w:r>
      <w:r>
        <w:t>,</w:t>
      </w:r>
      <w:r w:rsidRPr="00EC556A">
        <w:t xml:space="preserve"> PFOS might be </w:t>
      </w:r>
      <w:r>
        <w:t xml:space="preserve">still </w:t>
      </w:r>
      <w:r w:rsidRPr="00EC556A">
        <w:t xml:space="preserve">used by parties having not ratified the </w:t>
      </w:r>
      <w:r>
        <w:t>amendments of the Stockholm Convention or by non parties</w:t>
      </w:r>
      <w:r w:rsidRPr="00EC556A">
        <w:t>.</w:t>
      </w:r>
    </w:p>
    <w:p w:rsidR="00CC1C95" w:rsidRDefault="00CC1C95" w:rsidP="00EE0DB2">
      <w:r w:rsidRPr="00EC556A">
        <w:t xml:space="preserve">POP-PBDEs and PFOS are also included in larger re-use and recycling flows (e.g. used </w:t>
      </w:r>
      <w:r>
        <w:t xml:space="preserve">electrical and electronic equipment </w:t>
      </w:r>
      <w:r w:rsidRPr="00EC556A">
        <w:t xml:space="preserve">EEE, </w:t>
      </w:r>
      <w:r>
        <w:t xml:space="preserve">waste electrical and electronic equipment </w:t>
      </w:r>
      <w:r w:rsidRPr="00EC556A">
        <w:t xml:space="preserve">WEEE plastics for recycling, second hand vehicles, synthetic carpets, </w:t>
      </w:r>
      <w:r w:rsidRPr="00EC556A">
        <w:rPr>
          <w:szCs w:val="24"/>
        </w:rPr>
        <w:t xml:space="preserve">certain furniture, textiles, and paper). POP-PBDEs </w:t>
      </w:r>
      <w:r>
        <w:rPr>
          <w:szCs w:val="24"/>
        </w:rPr>
        <w:t xml:space="preserve">are </w:t>
      </w:r>
      <w:r w:rsidRPr="00EC556A">
        <w:rPr>
          <w:szCs w:val="24"/>
        </w:rPr>
        <w:t xml:space="preserve">included </w:t>
      </w:r>
      <w:r>
        <w:rPr>
          <w:szCs w:val="24"/>
        </w:rPr>
        <w:t xml:space="preserve">with </w:t>
      </w:r>
      <w:r w:rsidRPr="00EC556A">
        <w:rPr>
          <w:szCs w:val="24"/>
        </w:rPr>
        <w:t>a time-limited exemption allowing for the recycling of wastes containing these substances and their subsequent use in articles until 2030. Therefore</w:t>
      </w:r>
      <w:r>
        <w:rPr>
          <w:szCs w:val="24"/>
        </w:rPr>
        <w:t>, the</w:t>
      </w:r>
      <w:r w:rsidRPr="00EC556A">
        <w:rPr>
          <w:szCs w:val="24"/>
        </w:rPr>
        <w:t xml:space="preserve"> </w:t>
      </w:r>
      <w:r>
        <w:rPr>
          <w:szCs w:val="24"/>
        </w:rPr>
        <w:t>g</w:t>
      </w:r>
      <w:r w:rsidRPr="00EC556A">
        <w:rPr>
          <w:szCs w:val="24"/>
        </w:rPr>
        <w:t>uid</w:t>
      </w:r>
      <w:r>
        <w:rPr>
          <w:szCs w:val="24"/>
        </w:rPr>
        <w:t>ance</w:t>
      </w:r>
      <w:r w:rsidRPr="00EC556A">
        <w:rPr>
          <w:szCs w:val="24"/>
        </w:rPr>
        <w:t xml:space="preserve"> for </w:t>
      </w:r>
      <w:r>
        <w:rPr>
          <w:szCs w:val="24"/>
        </w:rPr>
        <w:t>r</w:t>
      </w:r>
      <w:r w:rsidRPr="00EC556A">
        <w:rPr>
          <w:szCs w:val="24"/>
        </w:rPr>
        <w:t xml:space="preserve">ecycling and </w:t>
      </w:r>
      <w:r>
        <w:rPr>
          <w:szCs w:val="24"/>
        </w:rPr>
        <w:t>d</w:t>
      </w:r>
      <w:r w:rsidRPr="00EC556A">
        <w:rPr>
          <w:szCs w:val="24"/>
        </w:rPr>
        <w:t>isposal of POP-PBDE ha</w:t>
      </w:r>
      <w:r>
        <w:rPr>
          <w:szCs w:val="24"/>
        </w:rPr>
        <w:t>s</w:t>
      </w:r>
      <w:r w:rsidRPr="00EC556A">
        <w:t xml:space="preserve"> been </w:t>
      </w:r>
      <w:r>
        <w:t>developed</w:t>
      </w:r>
      <w:r w:rsidRPr="00EC556A">
        <w:t xml:space="preserve"> (Stockholm Convention 2012c)</w:t>
      </w:r>
      <w:r w:rsidRPr="00EC556A">
        <w:rPr>
          <w:rFonts w:ascii="(Asiatische Schriftart verwende" w:hAnsi="(Asiatische Schriftart verwende"/>
          <w:vertAlign w:val="superscript"/>
        </w:rPr>
        <w:t>4</w:t>
      </w:r>
      <w:r w:rsidRPr="00EC556A">
        <w:t xml:space="preserve">. </w:t>
      </w:r>
      <w:r w:rsidRPr="00F57342">
        <w:t xml:space="preserve">This guidance considers the recommendations adopted </w:t>
      </w:r>
      <w:r>
        <w:t xml:space="preserve">by decision SC-5/5 </w:t>
      </w:r>
      <w:r w:rsidRPr="00F57342">
        <w:t xml:space="preserve">of the Conference of the Parties </w:t>
      </w:r>
      <w:r>
        <w:t xml:space="preserve">to the Stockholm Convention </w:t>
      </w:r>
      <w:r w:rsidRPr="00F57342">
        <w:t>on separation of POP-PBDEs</w:t>
      </w:r>
      <w:r w:rsidRPr="00EC556A">
        <w:t xml:space="preserve"> containing materials from the recycling </w:t>
      </w:r>
      <w:r>
        <w:t>streams, as outlined in annex to decision POPRC-6/2</w:t>
      </w:r>
      <w:r w:rsidRPr="00EC556A">
        <w:t xml:space="preserve">. This requires to a reasonable extent monitoring of these recycling </w:t>
      </w:r>
      <w:r>
        <w:t>streams,</w:t>
      </w:r>
      <w:r w:rsidRPr="00EC556A">
        <w:t xml:space="preserve"> </w:t>
      </w:r>
      <w:r>
        <w:t>including</w:t>
      </w:r>
      <w:r w:rsidRPr="00EC556A">
        <w:t xml:space="preserve"> the products made from</w:t>
      </w:r>
      <w:r>
        <w:t xml:space="preserve"> the</w:t>
      </w:r>
      <w:r w:rsidRPr="00EC556A">
        <w:t xml:space="preserve"> recycl</w:t>
      </w:r>
      <w:r>
        <w:t>ed materials,</w:t>
      </w:r>
      <w:r w:rsidRPr="00EC556A">
        <w:t xml:space="preserve"> </w:t>
      </w:r>
      <w:r>
        <w:t>for</w:t>
      </w:r>
      <w:r w:rsidRPr="00EC556A">
        <w:t xml:space="preserve"> POP-PBDE</w:t>
      </w:r>
      <w:r>
        <w:t xml:space="preserve"> content,</w:t>
      </w:r>
      <w:r w:rsidRPr="00EC556A">
        <w:t xml:space="preserve"> </w:t>
      </w:r>
      <w:r>
        <w:t xml:space="preserve">to </w:t>
      </w:r>
      <w:r w:rsidRPr="00EC556A">
        <w:t xml:space="preserve">ensure </w:t>
      </w:r>
      <w:r>
        <w:t xml:space="preserve">their </w:t>
      </w:r>
      <w:r w:rsidRPr="00EC556A">
        <w:t>environmental</w:t>
      </w:r>
      <w:r>
        <w:t>ly</w:t>
      </w:r>
      <w:r w:rsidRPr="00EC556A">
        <w:t xml:space="preserve"> sound management (Stockholm Convention 2012c)</w:t>
      </w:r>
      <w:r w:rsidRPr="00EC556A">
        <w:rPr>
          <w:rFonts w:ascii="(Asiatische Schriftart verwende" w:hAnsi="(Asiatische Schriftart verwende"/>
          <w:vertAlign w:val="superscript"/>
        </w:rPr>
        <w:t>4</w:t>
      </w:r>
      <w:r w:rsidRPr="00EC556A">
        <w:t xml:space="preserve">. In case of PFOS and related substances, recycling of articles is not </w:t>
      </w:r>
      <w:r>
        <w:t>allowed</w:t>
      </w:r>
      <w:r w:rsidRPr="00EC556A">
        <w:t xml:space="preserve"> and therefore products at the end of their life have to be managed in an environmental</w:t>
      </w:r>
      <w:r>
        <w:t>ly</w:t>
      </w:r>
      <w:r w:rsidRPr="00EC556A">
        <w:t xml:space="preserve"> sound manner. Also this </w:t>
      </w:r>
      <w:r>
        <w:t>may require</w:t>
      </w:r>
      <w:r w:rsidRPr="00EC556A">
        <w:t xml:space="preserve"> monitoring of material flows potentially contaminated with PFOS and related substances. </w:t>
      </w:r>
    </w:p>
    <w:p w:rsidR="00CC1C95" w:rsidRDefault="00CC1C95" w:rsidP="00EE0DB2">
      <w:r w:rsidRPr="00EC556A">
        <w:t>Furthermore</w:t>
      </w:r>
      <w:r>
        <w:t>,</w:t>
      </w:r>
      <w:r w:rsidRPr="00EC556A">
        <w:t xml:space="preserve"> for developing inventories </w:t>
      </w:r>
      <w:r>
        <w:t>of</w:t>
      </w:r>
      <w:r w:rsidRPr="00EC556A">
        <w:t xml:space="preserve"> the newly listed POPs</w:t>
      </w:r>
      <w:r>
        <w:t>,</w:t>
      </w:r>
      <w:r w:rsidRPr="00EC556A">
        <w:t xml:space="preserve"> monitoring of </w:t>
      </w:r>
      <w:r>
        <w:t xml:space="preserve">POPs content in </w:t>
      </w:r>
      <w:r w:rsidRPr="00EC556A">
        <w:t xml:space="preserve">articles </w:t>
      </w:r>
      <w:r>
        <w:t>would be also useful.</w:t>
      </w:r>
    </w:p>
    <w:p w:rsidR="00CC1C95" w:rsidRPr="00EC556A" w:rsidRDefault="00CC1C95" w:rsidP="00EE0DB2">
      <w:pPr>
        <w:pStyle w:val="Heading2"/>
        <w:numPr>
          <w:ilvl w:val="1"/>
          <w:numId w:val="9"/>
        </w:numPr>
        <w:tabs>
          <w:tab w:val="num" w:pos="993"/>
        </w:tabs>
        <w:snapToGrid/>
        <w:spacing w:before="240" w:after="60" w:line="276" w:lineRule="auto"/>
        <w:ind w:left="993" w:firstLine="0"/>
        <w:jc w:val="both"/>
      </w:pPr>
      <w:bookmarkStart w:id="5" w:name="_Toc346701900"/>
      <w:bookmarkStart w:id="6" w:name="_Toc346701901"/>
      <w:bookmarkStart w:id="7" w:name="_Toc346701902"/>
      <w:bookmarkStart w:id="8" w:name="_Toc346701903"/>
      <w:bookmarkStart w:id="9" w:name="_Toc346701904"/>
      <w:bookmarkStart w:id="10" w:name="_Toc349335706"/>
      <w:bookmarkEnd w:id="5"/>
      <w:bookmarkEnd w:id="6"/>
      <w:bookmarkEnd w:id="7"/>
      <w:bookmarkEnd w:id="8"/>
      <w:bookmarkEnd w:id="9"/>
      <w:r w:rsidRPr="00EC556A">
        <w:rPr>
          <w:b w:val="0"/>
        </w:rPr>
        <w:lastRenderedPageBreak/>
        <w:t>Purpose and objective of this guidance</w:t>
      </w:r>
      <w:bookmarkEnd w:id="10"/>
    </w:p>
    <w:p w:rsidR="00CC1C95" w:rsidRPr="00EC556A" w:rsidRDefault="00CC1C95" w:rsidP="00EE0DB2">
      <w:pPr>
        <w:ind w:firstLine="708"/>
      </w:pPr>
      <w:r w:rsidRPr="00EC556A">
        <w:t xml:space="preserve">This document </w:t>
      </w:r>
      <w:r>
        <w:t>provides</w:t>
      </w:r>
      <w:r w:rsidRPr="00EC556A">
        <w:t xml:space="preserve"> guidance on monitoring</w:t>
      </w:r>
      <w:r>
        <w:t xml:space="preserve"> (sampling, screening and analysis)</w:t>
      </w:r>
      <w:r w:rsidRPr="00EC556A">
        <w:t xml:space="preserve"> </w:t>
      </w:r>
      <w:r>
        <w:t xml:space="preserve">of the </w:t>
      </w:r>
      <w:r w:rsidRPr="00EC556A">
        <w:t>POPs</w:t>
      </w:r>
      <w:r w:rsidR="003923FC">
        <w:t xml:space="preserve"> </w:t>
      </w:r>
      <w:r>
        <w:t>content</w:t>
      </w:r>
      <w:r w:rsidRPr="00EC556A">
        <w:t xml:space="preserve"> in articles and products in use</w:t>
      </w:r>
      <w:r>
        <w:t xml:space="preserve"> and in</w:t>
      </w:r>
      <w:r w:rsidRPr="00EC556A">
        <w:t xml:space="preserve"> the recycling</w:t>
      </w:r>
      <w:r>
        <w:t xml:space="preserve"> streams</w:t>
      </w:r>
      <w:r w:rsidR="003923FC">
        <w:t xml:space="preserve"> for those POPs listed in 2009 and 2011</w:t>
      </w:r>
      <w:r w:rsidRPr="00EC556A">
        <w:t xml:space="preserve">.  </w:t>
      </w:r>
    </w:p>
    <w:p w:rsidR="00CC1C95" w:rsidRPr="00EC556A" w:rsidRDefault="00CC1C95" w:rsidP="00EE0DB2">
      <w:r>
        <w:t>G</w:t>
      </w:r>
      <w:r w:rsidRPr="00EC556A">
        <w:t xml:space="preserve">uidance </w:t>
      </w:r>
      <w:r>
        <w:t>is provided</w:t>
      </w:r>
      <w:r w:rsidRPr="00EC556A">
        <w:t>:</w:t>
      </w:r>
    </w:p>
    <w:p w:rsidR="00CC1C95" w:rsidRPr="00EC556A" w:rsidRDefault="00CC1C95" w:rsidP="000C33DE">
      <w:pPr>
        <w:numPr>
          <w:ilvl w:val="0"/>
          <w:numId w:val="29"/>
        </w:numPr>
        <w:snapToGrid/>
        <w:spacing w:after="0" w:line="276" w:lineRule="auto"/>
      </w:pPr>
      <w:r>
        <w:t>On</w:t>
      </w:r>
      <w:r w:rsidRPr="00EC556A">
        <w:t xml:space="preserve"> articles and products possibly containing </w:t>
      </w:r>
      <w:r>
        <w:t xml:space="preserve">the </w:t>
      </w:r>
      <w:r w:rsidRPr="00EC556A">
        <w:t>POPs</w:t>
      </w:r>
      <w:r w:rsidR="003923FC">
        <w:t xml:space="preserve"> listed in 2009 and 2011</w:t>
      </w:r>
      <w:r>
        <w:t>;</w:t>
      </w:r>
    </w:p>
    <w:p w:rsidR="00CC1C95" w:rsidRPr="00EC556A" w:rsidRDefault="00CC1C95" w:rsidP="000C33DE">
      <w:pPr>
        <w:numPr>
          <w:ilvl w:val="0"/>
          <w:numId w:val="29"/>
        </w:numPr>
        <w:snapToGrid/>
        <w:spacing w:after="0" w:line="276" w:lineRule="auto"/>
      </w:pPr>
      <w:r w:rsidRPr="00EC556A">
        <w:t>To develop strategies for monitoring of  POPs in articles/products</w:t>
      </w:r>
      <w:r>
        <w:t xml:space="preserve"> and recycling streams;</w:t>
      </w:r>
      <w:r w:rsidRPr="00EC556A">
        <w:t xml:space="preserve"> </w:t>
      </w:r>
    </w:p>
    <w:p w:rsidR="00CC1C95" w:rsidRPr="00EC4002" w:rsidRDefault="00CC1C95" w:rsidP="000C33DE">
      <w:pPr>
        <w:numPr>
          <w:ilvl w:val="0"/>
          <w:numId w:val="29"/>
        </w:numPr>
        <w:snapToGrid/>
        <w:spacing w:after="0" w:line="276" w:lineRule="auto"/>
      </w:pPr>
      <w:r w:rsidRPr="00EC4002">
        <w:t xml:space="preserve">On inventory development aspects such as </w:t>
      </w:r>
      <w:r>
        <w:t xml:space="preserve">determining </w:t>
      </w:r>
      <w:r w:rsidRPr="00EC4002">
        <w:t xml:space="preserve">emission/impact factors; </w:t>
      </w:r>
    </w:p>
    <w:p w:rsidR="00CC1C95" w:rsidRPr="00EC556A" w:rsidRDefault="00CC1C95" w:rsidP="000C33DE">
      <w:pPr>
        <w:numPr>
          <w:ilvl w:val="0"/>
          <w:numId w:val="29"/>
        </w:numPr>
        <w:snapToGrid/>
        <w:spacing w:after="0" w:line="276" w:lineRule="auto"/>
      </w:pPr>
      <w:r w:rsidRPr="00EC556A">
        <w:t>For import control</w:t>
      </w:r>
      <w:r>
        <w:t xml:space="preserve"> and</w:t>
      </w:r>
      <w:r w:rsidRPr="00EC556A">
        <w:t xml:space="preserve"> </w:t>
      </w:r>
      <w:r>
        <w:t xml:space="preserve">possible </w:t>
      </w:r>
      <w:r w:rsidRPr="00EC556A">
        <w:t xml:space="preserve">monitoring at customs or </w:t>
      </w:r>
      <w:r>
        <w:t xml:space="preserve">at </w:t>
      </w:r>
      <w:r w:rsidRPr="00EC556A">
        <w:t>consumer protection level</w:t>
      </w:r>
      <w:r>
        <w:t>;</w:t>
      </w:r>
      <w:r w:rsidRPr="00EC556A">
        <w:t xml:space="preserve">  </w:t>
      </w:r>
    </w:p>
    <w:p w:rsidR="00CC1C95" w:rsidRPr="00EC556A" w:rsidRDefault="00CC1C95" w:rsidP="000C33DE">
      <w:pPr>
        <w:numPr>
          <w:ilvl w:val="0"/>
          <w:numId w:val="29"/>
        </w:numPr>
        <w:snapToGrid/>
        <w:spacing w:after="0" w:line="276" w:lineRule="auto"/>
      </w:pPr>
      <w:r w:rsidRPr="00EC556A">
        <w:t xml:space="preserve">For the assessment of human exposure </w:t>
      </w:r>
      <w:r>
        <w:t>through</w:t>
      </w:r>
      <w:r w:rsidRPr="00EC556A">
        <w:t xml:space="preserve"> articles</w:t>
      </w:r>
      <w:r>
        <w:t xml:space="preserve"> in use</w:t>
      </w:r>
      <w:r w:rsidRPr="00EC556A">
        <w:t xml:space="preserve"> and</w:t>
      </w:r>
      <w:r>
        <w:t xml:space="preserve"> through</w:t>
      </w:r>
      <w:r w:rsidRPr="00EC556A">
        <w:t xml:space="preserve"> </w:t>
      </w:r>
      <w:r>
        <w:t xml:space="preserve">recycled </w:t>
      </w:r>
      <w:r w:rsidRPr="00EC556A">
        <w:t>material</w:t>
      </w:r>
      <w:r>
        <w:t>s</w:t>
      </w:r>
      <w:r w:rsidRPr="00EC556A">
        <w:t>.</w:t>
      </w:r>
    </w:p>
    <w:p w:rsidR="00CC1C95" w:rsidRPr="00C43EAD" w:rsidRDefault="00CC1C95" w:rsidP="00EE0DB2">
      <w:pPr>
        <w:rPr>
          <w:bCs/>
          <w:lang w:val="en-US"/>
        </w:rPr>
      </w:pPr>
      <w:r w:rsidRPr="00EC4002">
        <w:rPr>
          <w:b/>
          <w:bCs/>
        </w:rPr>
        <w:t>Please Note:</w:t>
      </w:r>
      <w:r w:rsidRPr="006F28CB">
        <w:rPr>
          <w:bCs/>
        </w:rPr>
        <w:t xml:space="preserve"> This guidance does not aim to develop analytical standard procedures similar to e.g. ISO or CEN standards. This document rather gives support and advice for monitoring some POPs </w:t>
      </w:r>
      <w:r w:rsidR="00DD6F25">
        <w:rPr>
          <w:bCs/>
        </w:rPr>
        <w:t xml:space="preserve">listed in 2009 and 2011 </w:t>
      </w:r>
      <w:r w:rsidRPr="006F28CB">
        <w:rPr>
          <w:bCs/>
        </w:rPr>
        <w:t>with practical information on sampling, screening, and basics on extraction and analysis of samples. Where available the guidance refers to international standards developedfor analysis</w:t>
      </w:r>
      <w:r w:rsidR="00DD6F25">
        <w:rPr>
          <w:bCs/>
        </w:rPr>
        <w:t xml:space="preserve"> for these chemicals.</w:t>
      </w:r>
      <w:r w:rsidRPr="006F28CB">
        <w:rPr>
          <w:bCs/>
        </w:rPr>
        <w:t xml:space="preserve"> </w:t>
      </w:r>
    </w:p>
    <w:p w:rsidR="00CC1C95" w:rsidRPr="00EC556A" w:rsidRDefault="00CC1C95" w:rsidP="00EE0DB2">
      <w:pPr>
        <w:pStyle w:val="Heading2"/>
        <w:numPr>
          <w:ilvl w:val="1"/>
          <w:numId w:val="9"/>
        </w:numPr>
        <w:tabs>
          <w:tab w:val="num" w:pos="993"/>
        </w:tabs>
        <w:snapToGrid/>
        <w:spacing w:before="240" w:after="60" w:line="276" w:lineRule="auto"/>
        <w:ind w:left="993" w:firstLine="0"/>
        <w:jc w:val="both"/>
      </w:pPr>
      <w:bookmarkStart w:id="11" w:name="_Toc349335707"/>
      <w:r w:rsidRPr="00EC556A">
        <w:rPr>
          <w:b w:val="0"/>
        </w:rPr>
        <w:t xml:space="preserve">Types of </w:t>
      </w:r>
      <w:r>
        <w:rPr>
          <w:b w:val="0"/>
        </w:rPr>
        <w:t>a</w:t>
      </w:r>
      <w:r w:rsidRPr="00EC556A">
        <w:rPr>
          <w:b w:val="0"/>
        </w:rPr>
        <w:t xml:space="preserve">rticles and </w:t>
      </w:r>
      <w:r>
        <w:rPr>
          <w:b w:val="0"/>
        </w:rPr>
        <w:t>p</w:t>
      </w:r>
      <w:r w:rsidRPr="00EC556A">
        <w:rPr>
          <w:b w:val="0"/>
        </w:rPr>
        <w:t>roducts</w:t>
      </w:r>
      <w:bookmarkEnd w:id="11"/>
      <w:r w:rsidRPr="00EC556A">
        <w:rPr>
          <w:b w:val="0"/>
        </w:rPr>
        <w:t xml:space="preserve"> </w:t>
      </w:r>
    </w:p>
    <w:p w:rsidR="00CC1C95" w:rsidRPr="00EC556A" w:rsidRDefault="00CC1C95" w:rsidP="00EE0DB2">
      <w:pPr>
        <w:ind w:firstLine="708"/>
      </w:pPr>
      <w:r>
        <w:t>M</w:t>
      </w:r>
      <w:r w:rsidRPr="00EC556A">
        <w:t>ajor articles</w:t>
      </w:r>
      <w:r>
        <w:t>,</w:t>
      </w:r>
      <w:r w:rsidRPr="00EC556A">
        <w:t xml:space="preserve"> products</w:t>
      </w:r>
      <w:r>
        <w:t xml:space="preserve"> and other material,</w:t>
      </w:r>
      <w:r w:rsidRPr="00EC556A">
        <w:t xml:space="preserve"> which m</w:t>
      </w:r>
      <w:r>
        <w:t>ay</w:t>
      </w:r>
      <w:r w:rsidRPr="00EC556A">
        <w:t xml:space="preserve"> contain</w:t>
      </w:r>
      <w:r>
        <w:t xml:space="preserve"> </w:t>
      </w:r>
      <w:r w:rsidRPr="00EC556A">
        <w:t>POPs</w:t>
      </w:r>
      <w:r>
        <w:rPr>
          <w:rStyle w:val="FootnoteReference"/>
        </w:rPr>
        <w:footnoteReference w:id="5"/>
      </w:r>
      <w:r w:rsidR="00DD6F25">
        <w:t xml:space="preserve"> listed in 2009 and 2011</w:t>
      </w:r>
      <w:r>
        <w:t>,</w:t>
      </w:r>
      <w:r w:rsidRPr="00EC556A">
        <w:t xml:space="preserve"> are described</w:t>
      </w:r>
      <w:r>
        <w:t xml:space="preserve"> in Annex 1</w:t>
      </w:r>
      <w:r w:rsidRPr="00EC556A">
        <w:t xml:space="preserve">. Where available, case studies </w:t>
      </w:r>
      <w:r>
        <w:t>on monitoring campaigns</w:t>
      </w:r>
      <w:r w:rsidRPr="00EC556A">
        <w:t xml:space="preserve"> are </w:t>
      </w:r>
      <w:r>
        <w:t>referenced and/or provided in Annex 3</w:t>
      </w:r>
      <w:r w:rsidRPr="00EC556A">
        <w:t xml:space="preserve">. </w:t>
      </w:r>
    </w:p>
    <w:p w:rsidR="00CC1C95" w:rsidRPr="00EC556A" w:rsidRDefault="00CC1C95" w:rsidP="00EE0DB2">
      <w:pPr>
        <w:pStyle w:val="Heading2"/>
        <w:numPr>
          <w:ilvl w:val="1"/>
          <w:numId w:val="9"/>
        </w:numPr>
        <w:tabs>
          <w:tab w:val="num" w:pos="993"/>
        </w:tabs>
        <w:snapToGrid/>
        <w:spacing w:before="240" w:after="60" w:line="276" w:lineRule="auto"/>
        <w:ind w:left="993" w:firstLine="0"/>
        <w:jc w:val="both"/>
      </w:pPr>
      <w:bookmarkStart w:id="12" w:name="_Toc346701908"/>
      <w:bookmarkStart w:id="13" w:name="_Toc349335708"/>
      <w:bookmarkEnd w:id="12"/>
      <w:r w:rsidRPr="00EC556A">
        <w:rPr>
          <w:b w:val="0"/>
        </w:rPr>
        <w:t xml:space="preserve">Approach </w:t>
      </w:r>
      <w:r>
        <w:rPr>
          <w:b w:val="0"/>
        </w:rPr>
        <w:t>to</w:t>
      </w:r>
      <w:r w:rsidRPr="00EC556A">
        <w:rPr>
          <w:b w:val="0"/>
        </w:rPr>
        <w:t xml:space="preserve"> combin</w:t>
      </w:r>
      <w:r>
        <w:rPr>
          <w:b w:val="0"/>
        </w:rPr>
        <w:t>e</w:t>
      </w:r>
      <w:r w:rsidRPr="00EC556A">
        <w:rPr>
          <w:b w:val="0"/>
        </w:rPr>
        <w:t xml:space="preserve"> screening </w:t>
      </w:r>
      <w:r>
        <w:rPr>
          <w:b w:val="0"/>
        </w:rPr>
        <w:t>with</w:t>
      </w:r>
      <w:r w:rsidRPr="00EC556A">
        <w:rPr>
          <w:b w:val="0"/>
        </w:rPr>
        <w:t xml:space="preserve"> confirmation analysis</w:t>
      </w:r>
      <w:bookmarkEnd w:id="13"/>
    </w:p>
    <w:p w:rsidR="00CC1C95" w:rsidRPr="00EC556A" w:rsidRDefault="00CC1C95" w:rsidP="00EE0DB2">
      <w:pPr>
        <w:ind w:firstLine="708"/>
      </w:pPr>
      <w:r w:rsidRPr="00EC556A">
        <w:t xml:space="preserve">The guidance gives an introduction to screening approaches. This includes screening technologies for bromine or fluorine. </w:t>
      </w:r>
      <w:r>
        <w:t xml:space="preserve">In addition, </w:t>
      </w:r>
      <w:r w:rsidRPr="00EC556A">
        <w:t xml:space="preserve">droplet test for </w:t>
      </w:r>
      <w:r w:rsidR="001E4B44" w:rsidRPr="00EC556A">
        <w:t>repellenc</w:t>
      </w:r>
      <w:r w:rsidR="001E4B44">
        <w:t>y</w:t>
      </w:r>
      <w:r>
        <w:t>,</w:t>
      </w:r>
      <w:r w:rsidRPr="00EC556A">
        <w:t xml:space="preserve"> or combustion chromatography for element screening</w:t>
      </w:r>
      <w:r>
        <w:t xml:space="preserve"> are described</w:t>
      </w:r>
      <w:r w:rsidRPr="00EC556A">
        <w:t xml:space="preserve">. </w:t>
      </w:r>
      <w:r>
        <w:t>S</w:t>
      </w:r>
      <w:r w:rsidRPr="00EC556A">
        <w:t>uch screening</w:t>
      </w:r>
      <w:r>
        <w:t xml:space="preserve"> enables</w:t>
      </w:r>
      <w:r w:rsidRPr="00EC556A">
        <w:t xml:space="preserve"> </w:t>
      </w:r>
      <w:r>
        <w:t xml:space="preserve">relatively </w:t>
      </w:r>
      <w:r w:rsidRPr="00EC556A">
        <w:t>cheap</w:t>
      </w:r>
      <w:r>
        <w:t xml:space="preserve"> and simple</w:t>
      </w:r>
      <w:r w:rsidRPr="00EC556A">
        <w:t xml:space="preserve"> pre-selection </w:t>
      </w:r>
      <w:r>
        <w:t>of</w:t>
      </w:r>
      <w:r w:rsidRPr="00EC556A">
        <w:t xml:space="preserve"> some article groups </w:t>
      </w:r>
      <w:r>
        <w:t xml:space="preserve">with regards to their possible POPs content </w:t>
      </w:r>
      <w:r w:rsidRPr="00EC556A">
        <w:t>(e.g. PUR foams for bromine as indication of POP-PBDE content</w:t>
      </w:r>
      <w:r>
        <w:t>,</w:t>
      </w:r>
      <w:r w:rsidRPr="00EC556A">
        <w:t xml:space="preserve"> or carpets for fluorine as indication for PFOS)</w:t>
      </w:r>
      <w:r>
        <w:t>. It helps</w:t>
      </w:r>
      <w:r w:rsidRPr="00EC556A">
        <w:t xml:space="preserve"> to minimise the time and expens</w:t>
      </w:r>
      <w:r>
        <w:t>es for</w:t>
      </w:r>
      <w:r w:rsidRPr="00EC556A">
        <w:t xml:space="preserve"> confirmation analysis</w:t>
      </w:r>
      <w:r>
        <w:t>,</w:t>
      </w:r>
      <w:r w:rsidRPr="00EC556A">
        <w:t xml:space="preserve"> which</w:t>
      </w:r>
      <w:r>
        <w:t xml:space="preserve"> </w:t>
      </w:r>
      <w:r w:rsidRPr="00EC556A">
        <w:t>requires extraction and appropriate clean-up step</w:t>
      </w:r>
      <w:r>
        <w:t>s</w:t>
      </w:r>
      <w:r w:rsidRPr="00EC556A">
        <w:t xml:space="preserve">. For final confirmation or quantification by instrumental analysis basic information is </w:t>
      </w:r>
      <w:r>
        <w:t>provided,</w:t>
      </w:r>
      <w:r w:rsidRPr="00EC556A">
        <w:t xml:space="preserve"> </w:t>
      </w:r>
      <w:r>
        <w:t>including</w:t>
      </w:r>
      <w:r w:rsidRPr="00EC556A">
        <w:t xml:space="preserve"> example</w:t>
      </w:r>
      <w:r>
        <w:t>s</w:t>
      </w:r>
      <w:r w:rsidRPr="00EC556A">
        <w:t xml:space="preserve"> of instrumental setting. Where available</w:t>
      </w:r>
      <w:r>
        <w:t>,</w:t>
      </w:r>
      <w:r w:rsidRPr="00EC556A">
        <w:t xml:space="preserve"> </w:t>
      </w:r>
      <w:r>
        <w:t>the</w:t>
      </w:r>
      <w:r w:rsidRPr="00EC556A">
        <w:t xml:space="preserve"> guidance link</w:t>
      </w:r>
      <w:r>
        <w:t>s</w:t>
      </w:r>
      <w:r w:rsidRPr="00EC556A">
        <w:t xml:space="preserve"> to case studies w</w:t>
      </w:r>
      <w:r>
        <w:t>ith</w:t>
      </w:r>
      <w:r w:rsidRPr="00EC556A">
        <w:t xml:space="preserve"> analytical procedures</w:t>
      </w:r>
      <w:r>
        <w:t xml:space="preserve"> described in detail.</w:t>
      </w:r>
      <w:r w:rsidRPr="00EC556A">
        <w:t xml:space="preserve"> </w:t>
      </w:r>
      <w:r>
        <w:t>Available information is outlined in Annex 2.</w:t>
      </w:r>
    </w:p>
    <w:p w:rsidR="00CC1C95" w:rsidRPr="00EC556A" w:rsidRDefault="00CC1C95" w:rsidP="00EE0DB2">
      <w:pPr>
        <w:pStyle w:val="Heading2"/>
        <w:numPr>
          <w:ilvl w:val="1"/>
          <w:numId w:val="9"/>
        </w:numPr>
        <w:tabs>
          <w:tab w:val="num" w:pos="993"/>
        </w:tabs>
        <w:snapToGrid/>
        <w:spacing w:before="240" w:after="60" w:line="276" w:lineRule="auto"/>
        <w:ind w:left="993" w:firstLine="0"/>
        <w:jc w:val="both"/>
      </w:pPr>
      <w:bookmarkStart w:id="14" w:name="_Toc349335709"/>
      <w:r>
        <w:rPr>
          <w:b w:val="0"/>
        </w:rPr>
        <w:t>Reference</w:t>
      </w:r>
      <w:r w:rsidRPr="00EC556A">
        <w:rPr>
          <w:b w:val="0"/>
        </w:rPr>
        <w:t xml:space="preserve"> to other guidance </w:t>
      </w:r>
      <w:r>
        <w:rPr>
          <w:b w:val="0"/>
        </w:rPr>
        <w:t>under the Stockholm Convention</w:t>
      </w:r>
      <w:bookmarkEnd w:id="14"/>
    </w:p>
    <w:p w:rsidR="00CC1C95" w:rsidRPr="00EC556A" w:rsidRDefault="00CC1C95" w:rsidP="00692087">
      <w:pPr>
        <w:ind w:firstLine="708"/>
      </w:pPr>
      <w:r w:rsidRPr="00EC556A">
        <w:t xml:space="preserve">This guidance is part of a larger set of guidance </w:t>
      </w:r>
      <w:r w:rsidR="000858ED" w:rsidRPr="00B46BC9">
        <w:t>developed to assist parties in developing, updating, and reviewing their implementation plans with information relating to the persistent organic pol</w:t>
      </w:r>
      <w:r w:rsidR="00CA1DAB">
        <w:t xml:space="preserve">lutants listed in 2009 and 2011 </w:t>
      </w:r>
      <w:r>
        <w:t>(UNEP/POPS/COP.6/IN</w:t>
      </w:r>
      <w:r w:rsidRPr="00097F30">
        <w:t>F/</w:t>
      </w:r>
      <w:r w:rsidR="003965EB" w:rsidRPr="00097F30">
        <w:t>15</w:t>
      </w:r>
      <w:r w:rsidRPr="00097F30">
        <w:t>).</w:t>
      </w:r>
      <w:r w:rsidRPr="00EC556A">
        <w:t xml:space="preserve"> Where appropriate</w:t>
      </w:r>
      <w:r>
        <w:t>,</w:t>
      </w:r>
      <w:r w:rsidRPr="00EC556A">
        <w:t xml:space="preserve"> refer</w:t>
      </w:r>
      <w:r>
        <w:t>ence</w:t>
      </w:r>
      <w:r w:rsidRPr="00EC556A">
        <w:t xml:space="preserve"> to th</w:t>
      </w:r>
      <w:r>
        <w:t>is</w:t>
      </w:r>
      <w:r w:rsidRPr="00EC556A">
        <w:t xml:space="preserve"> guidance </w:t>
      </w:r>
      <w:r>
        <w:t>is provided</w:t>
      </w:r>
      <w:r w:rsidRPr="00702B46">
        <w:t xml:space="preserve"> </w:t>
      </w:r>
      <w:r w:rsidRPr="00EC556A">
        <w:t xml:space="preserve">for further reading. </w:t>
      </w:r>
      <w:r>
        <w:t>A p</w:t>
      </w:r>
      <w:r w:rsidRPr="00EC556A">
        <w:t xml:space="preserve">articular link exists to the </w:t>
      </w:r>
      <w:r w:rsidRPr="00140D3A">
        <w:rPr>
          <w:iCs/>
        </w:rPr>
        <w:t xml:space="preserve">Strengthening POPs Regulatory Framework </w:t>
      </w:r>
      <w:r w:rsidRPr="00DF0E40">
        <w:rPr>
          <w:iCs/>
        </w:rPr>
        <w:t>Guidance</w:t>
      </w:r>
      <w:r>
        <w:rPr>
          <w:rFonts w:ascii="(Asiatische Schriftart verwende" w:hAnsi="(Asiatische Schriftart verwende"/>
        </w:rPr>
        <w:t xml:space="preserve">, </w:t>
      </w:r>
      <w:r w:rsidRPr="00DF0E40">
        <w:t>which</w:t>
      </w:r>
      <w:r w:rsidRPr="00EC556A">
        <w:t xml:space="preserve"> </w:t>
      </w:r>
      <w:r>
        <w:t>concerns</w:t>
      </w:r>
      <w:r w:rsidRPr="00EC556A">
        <w:t xml:space="preserve"> improving the regulatory frame</w:t>
      </w:r>
      <w:r>
        <w:t>work</w:t>
      </w:r>
      <w:r w:rsidRPr="00EC556A">
        <w:t xml:space="preserve"> for monitoring of newly listed POPs in articles and products.</w:t>
      </w:r>
      <w:r>
        <w:t xml:space="preserve"> U</w:t>
      </w:r>
      <w:r>
        <w:rPr>
          <w:bCs/>
        </w:rPr>
        <w:t xml:space="preserve">seful information on analytical aspects of POPs can be found in the </w:t>
      </w:r>
      <w:r w:rsidRPr="00C43EAD">
        <w:rPr>
          <w:lang w:val="en-US"/>
        </w:rPr>
        <w:t xml:space="preserve">Guidance on the </w:t>
      </w:r>
      <w:r>
        <w:rPr>
          <w:lang w:val="en-US"/>
        </w:rPr>
        <w:t>G</w:t>
      </w:r>
      <w:r w:rsidRPr="00C43EAD">
        <w:rPr>
          <w:lang w:val="en-US"/>
        </w:rPr>
        <w:t xml:space="preserve">lobal </w:t>
      </w:r>
      <w:r>
        <w:rPr>
          <w:lang w:val="en-US"/>
        </w:rPr>
        <w:t>M</w:t>
      </w:r>
      <w:r w:rsidRPr="00C43EAD">
        <w:rPr>
          <w:lang w:val="en-US"/>
        </w:rPr>
        <w:t xml:space="preserve">onitoring plan for </w:t>
      </w:r>
      <w:r>
        <w:rPr>
          <w:lang w:val="en-US"/>
        </w:rPr>
        <w:t>P</w:t>
      </w:r>
      <w:r w:rsidRPr="00C43EAD">
        <w:rPr>
          <w:lang w:val="en-US"/>
        </w:rPr>
        <w:t xml:space="preserve">ersistent </w:t>
      </w:r>
      <w:r>
        <w:rPr>
          <w:lang w:val="en-US"/>
        </w:rPr>
        <w:t>O</w:t>
      </w:r>
      <w:r w:rsidRPr="00C43EAD">
        <w:rPr>
          <w:lang w:val="en-US"/>
        </w:rPr>
        <w:t xml:space="preserve">rganic </w:t>
      </w:r>
      <w:r>
        <w:rPr>
          <w:lang w:val="en-US"/>
        </w:rPr>
        <w:t>P</w:t>
      </w:r>
      <w:r w:rsidRPr="00C43EAD">
        <w:rPr>
          <w:lang w:val="en-US"/>
        </w:rPr>
        <w:t>ollutants</w:t>
      </w:r>
      <w:r>
        <w:rPr>
          <w:lang w:val="en-US"/>
        </w:rPr>
        <w:t>, recently updated with information relevant to the POPs</w:t>
      </w:r>
      <w:r w:rsidR="00DD6F25">
        <w:rPr>
          <w:lang w:val="en-US"/>
        </w:rPr>
        <w:t xml:space="preserve"> listed in 2009 and 2011</w:t>
      </w:r>
      <w:r>
        <w:rPr>
          <w:lang w:val="en-US"/>
        </w:rPr>
        <w:t xml:space="preserve"> (</w:t>
      </w:r>
      <w:r w:rsidRPr="00C43EAD">
        <w:t>UNEP/POPS/COP.6/INF/31</w:t>
      </w:r>
      <w:r>
        <w:t>).</w:t>
      </w:r>
    </w:p>
    <w:p w:rsidR="00CC1C95" w:rsidRPr="00EC556A" w:rsidRDefault="00CC1C95" w:rsidP="00EE0DB2">
      <w:pPr>
        <w:pStyle w:val="Heading2"/>
        <w:numPr>
          <w:ilvl w:val="1"/>
          <w:numId w:val="9"/>
        </w:numPr>
        <w:tabs>
          <w:tab w:val="num" w:pos="993"/>
        </w:tabs>
        <w:snapToGrid/>
        <w:spacing w:before="240" w:after="60" w:line="276" w:lineRule="auto"/>
        <w:ind w:left="993" w:firstLine="0"/>
        <w:jc w:val="both"/>
      </w:pPr>
      <w:bookmarkStart w:id="15" w:name="_Toc349335710"/>
      <w:bookmarkStart w:id="16" w:name="OLE_LINK1"/>
      <w:r w:rsidRPr="00EC556A">
        <w:rPr>
          <w:b w:val="0"/>
        </w:rPr>
        <w:lastRenderedPageBreak/>
        <w:t xml:space="preserve">Approach of </w:t>
      </w:r>
      <w:r>
        <w:rPr>
          <w:b w:val="0"/>
        </w:rPr>
        <w:t>presenting</w:t>
      </w:r>
      <w:r w:rsidRPr="00EC556A">
        <w:rPr>
          <w:b w:val="0"/>
        </w:rPr>
        <w:t xml:space="preserve"> case studies</w:t>
      </w:r>
      <w:bookmarkEnd w:id="15"/>
    </w:p>
    <w:bookmarkEnd w:id="16"/>
    <w:p w:rsidR="00CC1C95" w:rsidRDefault="00CC1C95" w:rsidP="00EE0DB2">
      <w:pPr>
        <w:ind w:firstLine="708"/>
      </w:pPr>
      <w:r w:rsidRPr="00EC556A">
        <w:t>Where available</w:t>
      </w:r>
      <w:r>
        <w:t>,</w:t>
      </w:r>
      <w:r w:rsidRPr="00EC556A">
        <w:t xml:space="preserve"> best practice case studies for key articles/products possibly containing </w:t>
      </w:r>
      <w:r w:rsidRPr="00B91472">
        <w:t>POPs</w:t>
      </w:r>
      <w:r w:rsidR="00DD6F25">
        <w:t xml:space="preserve"> listed in 2009 and 2011</w:t>
      </w:r>
      <w:r w:rsidRPr="00B91472">
        <w:t xml:space="preserve"> are referenced in the respective chapters and described in Annex 3. If possible, case studies or publications were selected with reports available</w:t>
      </w:r>
      <w:r w:rsidRPr="00EC556A">
        <w:t xml:space="preserve"> in the public domain</w:t>
      </w:r>
      <w:r>
        <w:t xml:space="preserve"> and the access information provided</w:t>
      </w:r>
      <w:r w:rsidRPr="00EC556A">
        <w:t xml:space="preserve">. </w:t>
      </w:r>
    </w:p>
    <w:p w:rsidR="00CC1C95" w:rsidRPr="00EC556A" w:rsidRDefault="00CC1C95" w:rsidP="00EE0DB2">
      <w:r w:rsidRPr="00EC556A">
        <w:t xml:space="preserve">With the inclusion and link to a range of case studies on monitoring </w:t>
      </w:r>
      <w:r>
        <w:t xml:space="preserve">of </w:t>
      </w:r>
      <w:r w:rsidRPr="00EC556A">
        <w:t>POPs</w:t>
      </w:r>
      <w:r w:rsidR="00DD6F25">
        <w:t xml:space="preserve"> listed in 2009 and 2011</w:t>
      </w:r>
      <w:r w:rsidRPr="00EC556A">
        <w:t xml:space="preserve"> in articles and products in different countries/regions, the guidance </w:t>
      </w:r>
      <w:r>
        <w:t>endeavours</w:t>
      </w:r>
      <w:r w:rsidRPr="00EC556A">
        <w:t xml:space="preserve"> </w:t>
      </w:r>
      <w:r>
        <w:t>to provide information on</w:t>
      </w:r>
      <w:r w:rsidRPr="00EC556A">
        <w:t xml:space="preserve"> already performed</w:t>
      </w:r>
      <w:r w:rsidRPr="00EC556A" w:rsidDel="00702B46">
        <w:t xml:space="preserve"> </w:t>
      </w:r>
      <w:r w:rsidRPr="00EC556A">
        <w:t>studies</w:t>
      </w:r>
      <w:r>
        <w:t>,</w:t>
      </w:r>
      <w:r w:rsidRPr="00EC556A">
        <w:t xml:space="preserve"> and </w:t>
      </w:r>
      <w:r>
        <w:t xml:space="preserve">the </w:t>
      </w:r>
      <w:r w:rsidRPr="00EC556A">
        <w:t xml:space="preserve">approaches used. </w:t>
      </w:r>
      <w:r>
        <w:t>T</w:t>
      </w:r>
      <w:r w:rsidRPr="00EC556A">
        <w:t xml:space="preserve">hese case studies </w:t>
      </w:r>
      <w:r>
        <w:t>can be assessed with the view of</w:t>
      </w:r>
      <w:r w:rsidRPr="00EC556A">
        <w:t xml:space="preserve"> selecting</w:t>
      </w:r>
      <w:r>
        <w:t xml:space="preserve"> the most appropriate</w:t>
      </w:r>
      <w:r w:rsidRPr="00EC556A">
        <w:t xml:space="preserve"> approaches and methodologies (sampling and analysis). </w:t>
      </w:r>
      <w:r>
        <w:t xml:space="preserve">Some of the </w:t>
      </w:r>
      <w:r w:rsidRPr="00EC556A">
        <w:t xml:space="preserve">case studies reveal that many former applications of PFOS and PBDE </w:t>
      </w:r>
      <w:r>
        <w:t xml:space="preserve">are </w:t>
      </w:r>
      <w:r w:rsidRPr="00EC556A">
        <w:t>not relevant anymore e.g. in recent surveys PFOS and related substances were no</w:t>
      </w:r>
      <w:r>
        <w:t xml:space="preserve"> more</w:t>
      </w:r>
      <w:r w:rsidRPr="00EC556A">
        <w:t xml:space="preserve"> detected in coated paper </w:t>
      </w:r>
      <w:r>
        <w:t>(</w:t>
      </w:r>
      <w:r w:rsidRPr="00EC556A">
        <w:t>see below).</w:t>
      </w:r>
    </w:p>
    <w:p w:rsidR="00CC1C95" w:rsidRPr="00EC556A" w:rsidRDefault="00CC1C95" w:rsidP="00EE0DB2">
      <w:pPr>
        <w:pStyle w:val="Heading1"/>
        <w:numPr>
          <w:ilvl w:val="0"/>
          <w:numId w:val="9"/>
        </w:numPr>
        <w:tabs>
          <w:tab w:val="num" w:pos="0"/>
        </w:tabs>
        <w:snapToGrid/>
        <w:spacing w:after="0" w:line="276" w:lineRule="auto"/>
        <w:ind w:left="0" w:firstLine="0"/>
        <w:jc w:val="both"/>
      </w:pPr>
      <w:r w:rsidRPr="00EC556A">
        <w:rPr>
          <w:b w:val="0"/>
          <w:bCs w:val="0"/>
        </w:rPr>
        <w:br w:type="page"/>
      </w:r>
      <w:bookmarkStart w:id="17" w:name="_Toc349335711"/>
      <w:r w:rsidRPr="00EC556A">
        <w:rPr>
          <w:b w:val="0"/>
          <w:bCs w:val="0"/>
        </w:rPr>
        <w:lastRenderedPageBreak/>
        <w:t>General considerations and cross-cutting issues</w:t>
      </w:r>
      <w:bookmarkEnd w:id="17"/>
    </w:p>
    <w:p w:rsidR="00CC1C95" w:rsidRPr="00EC556A" w:rsidRDefault="00CC1C95" w:rsidP="00EE0DB2">
      <w:pPr>
        <w:pStyle w:val="Heading2"/>
        <w:numPr>
          <w:ilvl w:val="1"/>
          <w:numId w:val="9"/>
        </w:numPr>
        <w:tabs>
          <w:tab w:val="num" w:pos="993"/>
        </w:tabs>
        <w:snapToGrid/>
        <w:spacing w:before="240" w:after="60" w:line="276" w:lineRule="auto"/>
        <w:ind w:left="993" w:firstLine="0"/>
        <w:jc w:val="both"/>
      </w:pPr>
      <w:bookmarkStart w:id="18" w:name="_Toc349335712"/>
      <w:r w:rsidRPr="00EC556A">
        <w:rPr>
          <w:b w:val="0"/>
        </w:rPr>
        <w:t>Capacity building and accreditation</w:t>
      </w:r>
      <w:bookmarkEnd w:id="18"/>
    </w:p>
    <w:p w:rsidR="00CC1C95" w:rsidRPr="00EE0DB2" w:rsidRDefault="00CC1C95" w:rsidP="00EE0DB2">
      <w:pPr>
        <w:widowControl w:val="0"/>
        <w:ind w:firstLine="450"/>
      </w:pPr>
      <w:r w:rsidRPr="00EE0DB2">
        <w:t xml:space="preserve">Laboratory personnel need to be trained on the different analytical procedures and methodologies for POPs monitoring and also on </w:t>
      </w:r>
      <w:r>
        <w:t>quality assurance and quality control (</w:t>
      </w:r>
      <w:r w:rsidRPr="00EE0DB2">
        <w:t>QA/QC</w:t>
      </w:r>
      <w:r>
        <w:t>)</w:t>
      </w:r>
      <w:r w:rsidRPr="00EE0DB2">
        <w:t>. UNEP has within its activities related to the Global Monitoring plan for Persistent Organic Pollutants (GMP) a program on capacity building for POPs analysis (mainly for governmental laboratories)</w:t>
      </w:r>
      <w:r>
        <w:t xml:space="preserve">, </w:t>
      </w:r>
      <w:r w:rsidRPr="00EE0DB2">
        <w:t xml:space="preserve"> which could be considered. The programme is implemented in cooperation with the University Amsterdam/The Netherlands and the University Oerebro/Sweden. Furthermore capacity building on POPs analysis is offered by JAICA or in summer schools (e.g. by RECETOX, SC Centre Brno, Czech Republic).</w:t>
      </w:r>
    </w:p>
    <w:p w:rsidR="00CC1C95" w:rsidRPr="00EC556A" w:rsidRDefault="00CC1C95" w:rsidP="00EE0DB2">
      <w:pPr>
        <w:widowControl w:val="0"/>
        <w:spacing w:before="120"/>
      </w:pPr>
      <w:r w:rsidRPr="00EC556A">
        <w:t xml:space="preserve">For continuous education of laboratory personnel on general laboratory QA/QC, information resources </w:t>
      </w:r>
      <w:r>
        <w:t>such as</w:t>
      </w:r>
      <w:r w:rsidRPr="00EC556A">
        <w:t xml:space="preserve"> dedicated books with training materials on QA/QC could be utilized.</w:t>
      </w:r>
      <w:r w:rsidRPr="00EC556A">
        <w:rPr>
          <w:rStyle w:val="FootnoteReference"/>
        </w:rPr>
        <w:footnoteReference w:id="6"/>
      </w:r>
      <w:r w:rsidRPr="00EC556A">
        <w:t xml:space="preserve"> Furthermore</w:t>
      </w:r>
      <w:r>
        <w:t>,</w:t>
      </w:r>
      <w:r w:rsidRPr="00EC556A">
        <w:t xml:space="preserve"> learning options </w:t>
      </w:r>
      <w:r>
        <w:t>available through</w:t>
      </w:r>
      <w:r w:rsidRPr="00EC556A">
        <w:t xml:space="preserve"> the </w:t>
      </w:r>
      <w:r>
        <w:t>I</w:t>
      </w:r>
      <w:r w:rsidRPr="00EC556A">
        <w:t xml:space="preserve">nternet (E-learning or Webinars) </w:t>
      </w:r>
      <w:r>
        <w:t>c</w:t>
      </w:r>
      <w:r w:rsidRPr="00EC556A">
        <w:t>ould be explored and assessed for their usefulness.</w:t>
      </w:r>
    </w:p>
    <w:p w:rsidR="00CC1C95" w:rsidRPr="00EE0DB2" w:rsidRDefault="00CC1C95" w:rsidP="00EE0DB2">
      <w:pPr>
        <w:widowControl w:val="0"/>
        <w:ind w:firstLine="450"/>
      </w:pPr>
      <w:r w:rsidRPr="00EE0DB2">
        <w:t xml:space="preserve">To develop own analytical methodologies laboratories might consider accreditation schemes such as ISO 17025. </w:t>
      </w:r>
    </w:p>
    <w:p w:rsidR="00CC1C95" w:rsidRPr="00EC556A" w:rsidRDefault="00CC1C95" w:rsidP="00EE0DB2">
      <w:pPr>
        <w:pStyle w:val="Heading2"/>
        <w:numPr>
          <w:ilvl w:val="1"/>
          <w:numId w:val="9"/>
        </w:numPr>
        <w:tabs>
          <w:tab w:val="num" w:pos="993"/>
        </w:tabs>
        <w:snapToGrid/>
        <w:spacing w:before="240" w:after="60" w:line="276" w:lineRule="auto"/>
        <w:ind w:left="993" w:firstLine="0"/>
        <w:jc w:val="both"/>
      </w:pPr>
      <w:bookmarkStart w:id="19" w:name="_Toc308770671"/>
      <w:bookmarkStart w:id="20" w:name="_Toc308808951"/>
      <w:bookmarkStart w:id="21" w:name="_Toc313904920"/>
      <w:bookmarkStart w:id="22" w:name="_Toc322595516"/>
      <w:bookmarkStart w:id="23" w:name="_Toc349335713"/>
      <w:r w:rsidRPr="00EC556A">
        <w:rPr>
          <w:b w:val="0"/>
        </w:rPr>
        <w:t>General quality assurance and quality control (QA/QC) considerations</w:t>
      </w:r>
      <w:bookmarkEnd w:id="19"/>
      <w:bookmarkEnd w:id="20"/>
      <w:bookmarkEnd w:id="21"/>
      <w:bookmarkEnd w:id="22"/>
      <w:bookmarkEnd w:id="23"/>
    </w:p>
    <w:p w:rsidR="00CC1C95" w:rsidRPr="00EC556A" w:rsidRDefault="00CC1C95" w:rsidP="00A022F2">
      <w:pPr>
        <w:widowControl w:val="0"/>
        <w:ind w:firstLine="450"/>
      </w:pPr>
      <w:r w:rsidRPr="00EC556A">
        <w:t>International and national standard procedures for the analysis of chemicals contain dedicated sections on QA/QC. Other measurement protocols often do not contain dedicated sections on QA/QC and, therefore, if no specific international or national standard procedures are available or used by a laboratory, at least the following common procedures for the quality assurance of quantitative analysis of POPs</w:t>
      </w:r>
      <w:r w:rsidR="00DD6F25">
        <w:t xml:space="preserve"> listed in 2009 and 2011</w:t>
      </w:r>
      <w:r w:rsidRPr="00EC556A">
        <w:t xml:space="preserve"> </w:t>
      </w:r>
      <w:r>
        <w:t>should</w:t>
      </w:r>
      <w:r w:rsidRPr="00EC556A">
        <w:t xml:space="preserve"> be considered:</w:t>
      </w:r>
    </w:p>
    <w:p w:rsidR="00CC1C95" w:rsidRPr="00EE0DB2" w:rsidRDefault="00CC1C95" w:rsidP="000C33DE">
      <w:pPr>
        <w:numPr>
          <w:ilvl w:val="0"/>
          <w:numId w:val="29"/>
        </w:numPr>
        <w:snapToGrid/>
        <w:spacing w:after="0" w:line="276" w:lineRule="auto"/>
      </w:pPr>
      <w:r w:rsidRPr="00EE0DB2">
        <w:t xml:space="preserve">cleaned laboratory equipment, material, and chemicals to be used to avoid contamination from background </w:t>
      </w:r>
    </w:p>
    <w:p w:rsidR="00CC1C95" w:rsidRPr="00EE0DB2" w:rsidRDefault="00CC1C95" w:rsidP="000C33DE">
      <w:pPr>
        <w:numPr>
          <w:ilvl w:val="0"/>
          <w:numId w:val="29"/>
        </w:numPr>
        <w:snapToGrid/>
        <w:spacing w:after="0" w:line="276" w:lineRule="auto"/>
      </w:pPr>
      <w:r w:rsidRPr="00EE0DB2">
        <w:t>system ensur</w:t>
      </w:r>
      <w:r>
        <w:t>ing</w:t>
      </w:r>
      <w:r w:rsidRPr="00EE0DB2">
        <w:t xml:space="preserve"> that effectiveness of the measurements and procedures is continuously supervised through the analysis of procedural blank samples </w:t>
      </w:r>
    </w:p>
    <w:p w:rsidR="00CC1C95" w:rsidRPr="00EE0DB2" w:rsidRDefault="00CC1C95" w:rsidP="000C33DE">
      <w:pPr>
        <w:numPr>
          <w:ilvl w:val="0"/>
          <w:numId w:val="29"/>
        </w:numPr>
        <w:snapToGrid/>
        <w:spacing w:after="0" w:line="276" w:lineRule="auto"/>
      </w:pPr>
      <w:r w:rsidRPr="00EE0DB2">
        <w:t>regular injection of solvent blanks and standard solutions</w:t>
      </w:r>
    </w:p>
    <w:p w:rsidR="00CC1C95" w:rsidRDefault="00CC1C95" w:rsidP="000C33DE">
      <w:pPr>
        <w:numPr>
          <w:ilvl w:val="0"/>
          <w:numId w:val="29"/>
        </w:numPr>
        <w:snapToGrid/>
        <w:spacing w:after="0" w:line="276" w:lineRule="auto"/>
      </w:pPr>
      <w:r w:rsidRPr="00EE0DB2">
        <w:t xml:space="preserve">tests to be carried out to evaluate the </w:t>
      </w:r>
      <w:r w:rsidR="00990BC1">
        <w:t xml:space="preserve">accuracy of the method, e.g. </w:t>
      </w:r>
      <w:r w:rsidRPr="00EE0DB2">
        <w:t xml:space="preserve">efficiency of the extraction methods, the recovery of the analytes, </w:t>
      </w:r>
      <w:r w:rsidR="00990BC1">
        <w:t>stability and loss of analytes in solution during storage, calibration using matrix matched standards or standard addition, and use of proper internal standards</w:t>
      </w:r>
      <w:r w:rsidR="00990BC1" w:rsidRPr="00EE0DB2">
        <w:t xml:space="preserve"> </w:t>
      </w:r>
    </w:p>
    <w:p w:rsidR="00990BC1" w:rsidRPr="00EE0DB2" w:rsidRDefault="00990BC1" w:rsidP="00990BC1">
      <w:pPr>
        <w:numPr>
          <w:ilvl w:val="0"/>
          <w:numId w:val="29"/>
        </w:numPr>
        <w:snapToGrid/>
        <w:spacing w:after="0" w:line="276" w:lineRule="auto"/>
      </w:pPr>
      <w:r w:rsidRPr="00EE0DB2">
        <w:t xml:space="preserve">tests to be carried out to evaluate the precision </w:t>
      </w:r>
      <w:r>
        <w:t xml:space="preserve">(repeatability and reproducibility), </w:t>
      </w:r>
      <w:r w:rsidR="00B8675F">
        <w:t xml:space="preserve">the limits of detection (LODs) and quantification (LOQs), </w:t>
      </w:r>
      <w:r>
        <w:t>the robustness and the specificity of the whole me</w:t>
      </w:r>
      <w:r w:rsidR="00B8675F">
        <w:t>thod, from sampling to detection</w:t>
      </w:r>
      <w:r>
        <w:t xml:space="preserve"> </w:t>
      </w:r>
    </w:p>
    <w:p w:rsidR="00CC1C95" w:rsidRPr="00EE0DB2" w:rsidRDefault="00CC1C95" w:rsidP="000C33DE">
      <w:pPr>
        <w:numPr>
          <w:ilvl w:val="0"/>
          <w:numId w:val="29"/>
        </w:numPr>
        <w:snapToGrid/>
        <w:spacing w:after="0" w:line="276" w:lineRule="auto"/>
      </w:pPr>
      <w:r w:rsidRPr="00EE0DB2">
        <w:t>clearly defined criteria for identification and quantification need to be applied, and calibration curves to be used</w:t>
      </w:r>
    </w:p>
    <w:p w:rsidR="00CC1C95" w:rsidRPr="00EE0DB2" w:rsidRDefault="00CC1C95" w:rsidP="000C33DE">
      <w:pPr>
        <w:numPr>
          <w:ilvl w:val="0"/>
          <w:numId w:val="29"/>
        </w:numPr>
        <w:snapToGrid/>
        <w:spacing w:after="0" w:line="276" w:lineRule="auto"/>
      </w:pPr>
      <w:r w:rsidRPr="00EE0DB2">
        <w:t>storage of analysed samples and data (including instrumental raw data) for a defined time</w:t>
      </w:r>
    </w:p>
    <w:p w:rsidR="00CC1C95" w:rsidRPr="00EC556A" w:rsidRDefault="00CC1C95" w:rsidP="00EE0DB2">
      <w:pPr>
        <w:pStyle w:val="Heading2"/>
        <w:numPr>
          <w:ilvl w:val="1"/>
          <w:numId w:val="9"/>
        </w:numPr>
        <w:tabs>
          <w:tab w:val="num" w:pos="993"/>
        </w:tabs>
        <w:snapToGrid/>
        <w:spacing w:before="240" w:after="60" w:line="276" w:lineRule="auto"/>
        <w:ind w:left="993" w:firstLine="0"/>
        <w:jc w:val="both"/>
      </w:pPr>
      <w:bookmarkStart w:id="24" w:name="_Toc349335714"/>
      <w:r w:rsidRPr="00EC556A">
        <w:rPr>
          <w:b w:val="0"/>
        </w:rPr>
        <w:t>International standards for analysis of POP</w:t>
      </w:r>
      <w:r>
        <w:rPr>
          <w:b w:val="0"/>
        </w:rPr>
        <w:t>s</w:t>
      </w:r>
      <w:bookmarkEnd w:id="24"/>
    </w:p>
    <w:p w:rsidR="00CC1C95" w:rsidRPr="00EC556A" w:rsidRDefault="00CC1C95" w:rsidP="0024237B">
      <w:pPr>
        <w:ind w:firstLine="708"/>
      </w:pPr>
      <w:r w:rsidRPr="00EC556A">
        <w:t>Where possible</w:t>
      </w:r>
      <w:r>
        <w:t>,</w:t>
      </w:r>
      <w:r w:rsidRPr="00EC556A">
        <w:t xml:space="preserve"> links are made to </w:t>
      </w:r>
      <w:r>
        <w:t>existing</w:t>
      </w:r>
      <w:r w:rsidRPr="00EC556A">
        <w:t xml:space="preserve"> international standards for analysis of </w:t>
      </w:r>
      <w:r>
        <w:t>a particular</w:t>
      </w:r>
      <w:r w:rsidRPr="00EC556A">
        <w:t xml:space="preserve"> POP. However</w:t>
      </w:r>
      <w:r>
        <w:t>,</w:t>
      </w:r>
      <w:r w:rsidRPr="00EC556A">
        <w:t xml:space="preserve"> for </w:t>
      </w:r>
      <w:r>
        <w:t xml:space="preserve">a number of article </w:t>
      </w:r>
      <w:r w:rsidRPr="00EC556A">
        <w:t xml:space="preserve">matrices </w:t>
      </w:r>
      <w:r>
        <w:t>no</w:t>
      </w:r>
      <w:r w:rsidRPr="00EC556A">
        <w:t xml:space="preserve"> international standards are available for sampling, extraction and clean-up. E.g. a standard</w:t>
      </w:r>
      <w:r w:rsidR="00A022F2">
        <w:t xml:space="preserve"> for</w:t>
      </w:r>
      <w:r>
        <w:t xml:space="preserve"> </w:t>
      </w:r>
      <w:r w:rsidR="00A022F2">
        <w:t xml:space="preserve">measuring </w:t>
      </w:r>
      <w:r>
        <w:t>PBDEs</w:t>
      </w:r>
      <w:r w:rsidR="00A022F2">
        <w:t xml:space="preserve"> in EEE</w:t>
      </w:r>
      <w:r w:rsidR="0024237B">
        <w:t xml:space="preserve"> (</w:t>
      </w:r>
      <w:r w:rsidR="0024237B" w:rsidRPr="0024237B">
        <w:t>International Standard IEC 62321</w:t>
      </w:r>
      <w:r w:rsidR="0024237B">
        <w:t>)</w:t>
      </w:r>
      <w:r w:rsidR="00A022F2">
        <w:t xml:space="preserve"> in respect to RoHS compliance</w:t>
      </w:r>
      <w:r w:rsidRPr="00EC556A">
        <w:t xml:space="preserve"> is under development and will probably be</w:t>
      </w:r>
      <w:r>
        <w:t>come</w:t>
      </w:r>
      <w:r w:rsidRPr="00EC556A">
        <w:t xml:space="preserve"> available by 2013. </w:t>
      </w:r>
      <w:r>
        <w:t>An</w:t>
      </w:r>
      <w:r w:rsidRPr="00EC556A">
        <w:t xml:space="preserve"> international standard for extractable PFOS in articles</w:t>
      </w:r>
      <w:r>
        <w:t xml:space="preserve"> and its analysis</w:t>
      </w:r>
      <w:r w:rsidRPr="00EC556A">
        <w:t xml:space="preserve"> has been </w:t>
      </w:r>
      <w:r w:rsidRPr="00EC556A">
        <w:rPr>
          <w:szCs w:val="24"/>
        </w:rPr>
        <w:t xml:space="preserve">developed (NPR-CEN/TS 15968) but has not been validated yet. </w:t>
      </w:r>
      <w:r w:rsidR="00B8675F">
        <w:rPr>
          <w:szCs w:val="24"/>
        </w:rPr>
        <w:t>Fu</w:t>
      </w:r>
      <w:r w:rsidR="00130692">
        <w:rPr>
          <w:szCs w:val="24"/>
        </w:rPr>
        <w:t>r</w:t>
      </w:r>
      <w:r w:rsidR="00B8675F">
        <w:rPr>
          <w:szCs w:val="24"/>
        </w:rPr>
        <w:t xml:space="preserve">thermore, </w:t>
      </w:r>
      <w:r w:rsidRPr="00EC556A">
        <w:t>no (standard) analytical procedure is available</w:t>
      </w:r>
      <w:r>
        <w:t xml:space="preserve"> </w:t>
      </w:r>
      <w:r>
        <w:rPr>
          <w:szCs w:val="24"/>
        </w:rPr>
        <w:t>f</w:t>
      </w:r>
      <w:r w:rsidRPr="00EC556A">
        <w:rPr>
          <w:szCs w:val="24"/>
        </w:rPr>
        <w:t>or many of the</w:t>
      </w:r>
      <w:r w:rsidRPr="00EC556A">
        <w:t xml:space="preserve"> 160 listed PFOS related substances </w:t>
      </w:r>
      <w:r w:rsidR="00601F11">
        <w:t>including some</w:t>
      </w:r>
      <w:r w:rsidRPr="00EC556A">
        <w:t xml:space="preserve"> non-extractable PFOS precursors.</w:t>
      </w:r>
    </w:p>
    <w:p w:rsidR="00CC1C95" w:rsidRDefault="00CC1C95" w:rsidP="00EE0DB2">
      <w:r w:rsidRPr="00EC556A">
        <w:t xml:space="preserve">Also for </w:t>
      </w:r>
      <w:r>
        <w:t xml:space="preserve">PeCBz or </w:t>
      </w:r>
      <w:r w:rsidRPr="00EC556A">
        <w:t>HCB the extraction from products like pigments cannot be performed</w:t>
      </w:r>
      <w:r>
        <w:t xml:space="preserve"> appropriately</w:t>
      </w:r>
      <w:r w:rsidRPr="00EC556A">
        <w:t xml:space="preserve"> with available CEN, ISO or EPA standards. Here standard extraction procedures of matrices with e.g. toluene (which is sufficient for most environmental matrices or for sampling adsorbents like PUF filters or XAD resins) do not necessarily lead to satisfying extraction efficiency or reproducibility for products and articles. </w:t>
      </w:r>
      <w:r>
        <w:t>T</w:t>
      </w:r>
      <w:r w:rsidRPr="00EC556A">
        <w:t>he analysis of pigments for PeCBz/HCB and other unintentional POP</w:t>
      </w:r>
      <w:r>
        <w:t>s,</w:t>
      </w:r>
      <w:r w:rsidRPr="00EC556A">
        <w:t xml:space="preserve"> </w:t>
      </w:r>
      <w:r>
        <w:t xml:space="preserve">therefore, </w:t>
      </w:r>
      <w:r w:rsidRPr="00EC556A">
        <w:t xml:space="preserve">needs specific extraction procedures, which are not described (yet) in international standards (see below). </w:t>
      </w:r>
    </w:p>
    <w:p w:rsidR="00CC1C95" w:rsidRPr="00EC556A" w:rsidRDefault="00CC1C95" w:rsidP="00EE0DB2">
      <w:r>
        <w:t>T</w:t>
      </w:r>
      <w:r w:rsidRPr="00EC556A">
        <w:t>he approach of this guidance is to</w:t>
      </w:r>
      <w:r>
        <w:t>:</w:t>
      </w:r>
    </w:p>
    <w:p w:rsidR="00CC1C95" w:rsidRPr="00EC556A" w:rsidRDefault="00CC1C95" w:rsidP="000C33DE">
      <w:pPr>
        <w:numPr>
          <w:ilvl w:val="0"/>
          <w:numId w:val="28"/>
        </w:numPr>
        <w:snapToGrid/>
        <w:spacing w:after="0" w:line="276" w:lineRule="auto"/>
      </w:pPr>
      <w:r w:rsidRPr="00EC556A">
        <w:t>Refer to international standards where they are available and sufficient for the analysis of respective articles and mention their limitations for articles/products</w:t>
      </w:r>
      <w:r>
        <w:t>;</w:t>
      </w:r>
    </w:p>
    <w:p w:rsidR="00CC1C95" w:rsidRPr="00EC556A" w:rsidRDefault="00CC1C95" w:rsidP="000C33DE">
      <w:pPr>
        <w:numPr>
          <w:ilvl w:val="0"/>
          <w:numId w:val="28"/>
        </w:numPr>
        <w:snapToGrid/>
        <w:spacing w:after="0" w:line="276" w:lineRule="auto"/>
      </w:pPr>
      <w:r w:rsidRPr="00EC556A">
        <w:t xml:space="preserve">Describe some standard methodologies used by laboratories experienced in the analysis of </w:t>
      </w:r>
      <w:r>
        <w:t>POPs</w:t>
      </w:r>
      <w:r w:rsidR="00DD6F25">
        <w:t xml:space="preserve"> listed in 2009 and 2011 contained</w:t>
      </w:r>
      <w:r>
        <w:t xml:space="preserve"> in </w:t>
      </w:r>
      <w:r w:rsidRPr="00EC556A">
        <w:t>certain articles and products</w:t>
      </w:r>
      <w:r>
        <w:t>;</w:t>
      </w:r>
    </w:p>
    <w:p w:rsidR="00CC1C95" w:rsidRDefault="00CC1C95" w:rsidP="000C33DE">
      <w:pPr>
        <w:numPr>
          <w:ilvl w:val="0"/>
          <w:numId w:val="28"/>
        </w:numPr>
        <w:snapToGrid/>
        <w:spacing w:after="0" w:line="276" w:lineRule="auto"/>
      </w:pPr>
      <w:r w:rsidRPr="00EC556A">
        <w:t>Describe case studies with link</w:t>
      </w:r>
      <w:r>
        <w:t>s</w:t>
      </w:r>
      <w:r w:rsidRPr="00EC556A">
        <w:t xml:space="preserve"> to reports where </w:t>
      </w:r>
      <w:r>
        <w:t xml:space="preserve">monitoring or </w:t>
      </w:r>
      <w:r w:rsidRPr="00EC556A">
        <w:t xml:space="preserve">analytical procedures for a certain matrix </w:t>
      </w:r>
      <w:r>
        <w:t>are</w:t>
      </w:r>
      <w:r w:rsidRPr="00EC556A">
        <w:t xml:space="preserve"> described</w:t>
      </w:r>
      <w:r>
        <w:t>.</w:t>
      </w:r>
    </w:p>
    <w:p w:rsidR="00CC1C95" w:rsidRPr="00EC556A" w:rsidRDefault="00CC1C95" w:rsidP="00EE0DB2">
      <w:r w:rsidRPr="00EC556A">
        <w:t>For specific matrices</w:t>
      </w:r>
      <w:r>
        <w:t>,</w:t>
      </w:r>
      <w:r w:rsidRPr="00EC556A">
        <w:t xml:space="preserve"> procedures and standards will further be developed. Th</w:t>
      </w:r>
      <w:r>
        <w:t>ey</w:t>
      </w:r>
      <w:r w:rsidRPr="00EC556A">
        <w:t xml:space="preserve"> </w:t>
      </w:r>
      <w:r>
        <w:t>could</w:t>
      </w:r>
      <w:r w:rsidRPr="00EC556A">
        <w:t xml:space="preserve"> be considered </w:t>
      </w:r>
      <w:r>
        <w:t>during</w:t>
      </w:r>
      <w:r w:rsidRPr="00EC556A">
        <w:t xml:space="preserve"> the updat</w:t>
      </w:r>
      <w:r>
        <w:t>ing</w:t>
      </w:r>
      <w:r w:rsidRPr="00EC556A">
        <w:t xml:space="preserve"> of this guidance.</w:t>
      </w:r>
    </w:p>
    <w:p w:rsidR="00CC1C95" w:rsidRPr="00EC556A" w:rsidRDefault="00CC1C95" w:rsidP="00EE0DB2">
      <w:pPr>
        <w:pStyle w:val="Heading2"/>
        <w:numPr>
          <w:ilvl w:val="1"/>
          <w:numId w:val="9"/>
        </w:numPr>
        <w:tabs>
          <w:tab w:val="num" w:pos="993"/>
        </w:tabs>
        <w:snapToGrid/>
        <w:spacing w:after="0" w:line="276" w:lineRule="auto"/>
        <w:ind w:left="993" w:firstLine="0"/>
        <w:jc w:val="both"/>
      </w:pPr>
      <w:bookmarkStart w:id="25" w:name="_Toc349335715"/>
      <w:r w:rsidRPr="00EC556A">
        <w:rPr>
          <w:b w:val="0"/>
        </w:rPr>
        <w:t>Step by step approach</w:t>
      </w:r>
      <w:bookmarkEnd w:id="25"/>
      <w:r w:rsidRPr="00EC556A">
        <w:rPr>
          <w:b w:val="0"/>
        </w:rPr>
        <w:t xml:space="preserve"> </w:t>
      </w:r>
    </w:p>
    <w:p w:rsidR="00CC1C95" w:rsidRPr="00EE0DB2" w:rsidRDefault="00CC1C95" w:rsidP="00EE0DB2">
      <w:pPr>
        <w:ind w:firstLine="720"/>
      </w:pPr>
      <w:r w:rsidRPr="00EE0DB2">
        <w:t xml:space="preserve">To determine the occurrence and quantities of POPs in different articles, including consumer products, representative samples can be purchased from retail outlets and analysed. </w:t>
      </w:r>
    </w:p>
    <w:p w:rsidR="00CC1C95" w:rsidRPr="00EE0DB2" w:rsidRDefault="00CC1C95" w:rsidP="00EE0DB2">
      <w:r w:rsidRPr="00EE0DB2">
        <w:t>A similar strategy can be used to determine the occurrence and quantities of PFOS and its related substances in other materials, such as the industrial materials used downstream in a product chain, consumer products, chemical formulas and industrial blends arriving at the boarders and possibly identified by the customs or other competent authorities.</w:t>
      </w:r>
    </w:p>
    <w:p w:rsidR="00CC1C95" w:rsidRPr="00EC556A" w:rsidRDefault="00CC1C95" w:rsidP="00EE0DB2">
      <w:pPr>
        <w:pStyle w:val="Heading3"/>
        <w:numPr>
          <w:ilvl w:val="2"/>
          <w:numId w:val="9"/>
        </w:numPr>
        <w:tabs>
          <w:tab w:val="num" w:pos="0"/>
        </w:tabs>
        <w:snapToGrid/>
        <w:spacing w:before="240" w:after="60" w:line="276" w:lineRule="auto"/>
        <w:ind w:left="0" w:firstLine="0"/>
        <w:jc w:val="both"/>
      </w:pPr>
      <w:bookmarkStart w:id="26" w:name="_Toc349335716"/>
      <w:r w:rsidRPr="00EC556A">
        <w:t>Step 1: Survey of products and articles containing POPs</w:t>
      </w:r>
      <w:bookmarkEnd w:id="26"/>
      <w:r w:rsidR="00DD6F25">
        <w:t xml:space="preserve"> listed in 2009 and 2011</w:t>
      </w:r>
      <w:r w:rsidRPr="00EC556A">
        <w:t xml:space="preserve"> </w:t>
      </w:r>
    </w:p>
    <w:p w:rsidR="00CC1C95" w:rsidRPr="00EE0DB2" w:rsidRDefault="00CC1C95" w:rsidP="00601F11">
      <w:pPr>
        <w:ind w:firstLine="720"/>
      </w:pPr>
      <w:r w:rsidRPr="00EE0DB2">
        <w:t xml:space="preserve">Before collecting samples, a survey can be conducted to determine the availability of articles that possibly contain or have been treated with </w:t>
      </w:r>
      <w:r w:rsidR="00601F11">
        <w:t>POPs</w:t>
      </w:r>
      <w:r w:rsidRPr="00EE0DB2">
        <w:t xml:space="preserve"> chemicals. Sample candidates can be identified from the list provided in Annex 1 for the respective newly listed POP. If access is easy then the team conducting the study might take samples. Relevant stakeholders for the different groups might be contacted for support and input and for samples.</w:t>
      </w:r>
    </w:p>
    <w:p w:rsidR="00CC1C95" w:rsidRPr="00EC556A" w:rsidRDefault="00CC1C95" w:rsidP="00EE0DB2">
      <w:pPr>
        <w:pStyle w:val="Heading3"/>
        <w:numPr>
          <w:ilvl w:val="2"/>
          <w:numId w:val="9"/>
        </w:numPr>
        <w:tabs>
          <w:tab w:val="num" w:pos="0"/>
        </w:tabs>
        <w:snapToGrid/>
        <w:spacing w:before="240" w:after="60" w:line="276" w:lineRule="auto"/>
        <w:ind w:left="0" w:firstLine="0"/>
        <w:jc w:val="both"/>
      </w:pPr>
      <w:bookmarkStart w:id="27" w:name="_Toc349335717"/>
      <w:r w:rsidRPr="00EC556A">
        <w:t>Step 2: Sample collection</w:t>
      </w:r>
      <w:bookmarkEnd w:id="27"/>
      <w:r w:rsidRPr="00EC556A">
        <w:t xml:space="preserve"> </w:t>
      </w:r>
    </w:p>
    <w:p w:rsidR="00CC1C95" w:rsidRPr="00EE0DB2" w:rsidRDefault="00CC1C95" w:rsidP="00EE0DB2">
      <w:pPr>
        <w:ind w:firstLine="720"/>
      </w:pPr>
      <w:r w:rsidRPr="00EE0DB2">
        <w:t>A sampling protocol is to be used and should contain the following information:</w:t>
      </w:r>
    </w:p>
    <w:p w:rsidR="00CC1C95" w:rsidRPr="00EE0DB2" w:rsidRDefault="00CC1C95" w:rsidP="000C33DE">
      <w:pPr>
        <w:numPr>
          <w:ilvl w:val="0"/>
          <w:numId w:val="28"/>
        </w:numPr>
        <w:snapToGrid/>
        <w:spacing w:after="0" w:line="276" w:lineRule="auto"/>
      </w:pPr>
      <w:r w:rsidRPr="00EE0DB2">
        <w:t>Type of sample</w:t>
      </w:r>
    </w:p>
    <w:p w:rsidR="00CC1C95" w:rsidRPr="00EE0DB2" w:rsidRDefault="00CC1C95" w:rsidP="000C33DE">
      <w:pPr>
        <w:numPr>
          <w:ilvl w:val="0"/>
          <w:numId w:val="28"/>
        </w:numPr>
        <w:snapToGrid/>
        <w:spacing w:after="0" w:line="276" w:lineRule="auto"/>
      </w:pPr>
      <w:r w:rsidRPr="00EE0DB2">
        <w:t>Location of sampling</w:t>
      </w:r>
    </w:p>
    <w:p w:rsidR="00CC1C95" w:rsidRPr="00EE0DB2" w:rsidRDefault="00CC1C95" w:rsidP="000C33DE">
      <w:pPr>
        <w:numPr>
          <w:ilvl w:val="0"/>
          <w:numId w:val="28"/>
        </w:numPr>
        <w:snapToGrid/>
        <w:spacing w:after="0" w:line="276" w:lineRule="auto"/>
      </w:pPr>
      <w:r w:rsidRPr="00EE0DB2">
        <w:t xml:space="preserve">Any relevant information on the sample </w:t>
      </w:r>
    </w:p>
    <w:p w:rsidR="00CC1C95" w:rsidRPr="00EE0DB2" w:rsidRDefault="00CC1C95" w:rsidP="00EE0DB2">
      <w:r w:rsidRPr="00EE0DB2">
        <w:t xml:space="preserve">The sample should be </w:t>
      </w:r>
      <w:r w:rsidR="00B8675F">
        <w:t xml:space="preserve">wrapped in aluminium foil and </w:t>
      </w:r>
      <w:r w:rsidRPr="00EE0DB2">
        <w:t>transferred into a vessel or container (e.g. glass or another inert material) with a cap or screw top. The vessel should be labelled (readable, persistent against solvents and water, with unique information e.g. code related to sampling protocol, if the sample represent any hazard this should be noted and the sample labelled respectively). The collected samples should be stored adequately (e.g. appropriate temperature; possibly exclusion of light).</w:t>
      </w:r>
    </w:p>
    <w:p w:rsidR="00CC1C95" w:rsidRPr="00EE0DB2" w:rsidRDefault="00CC1C95" w:rsidP="00130692">
      <w:r w:rsidRPr="00EE0DB2">
        <w:t xml:space="preserve">Specific care should be given to cross contamination </w:t>
      </w:r>
      <w:r w:rsidR="00601F11">
        <w:t xml:space="preserve">of and </w:t>
      </w:r>
      <w:r w:rsidRPr="00EE0DB2">
        <w:t>in the laboratory</w:t>
      </w:r>
      <w:r>
        <w:t>,</w:t>
      </w:r>
      <w:r w:rsidRPr="00EE0DB2">
        <w:t xml:space="preserve"> in particular if the laboratory also analyses other newly listed POPs in trace quantities (e.g. air</w:t>
      </w:r>
      <w:r>
        <w:t xml:space="preserve"> samples</w:t>
      </w:r>
      <w:r w:rsidRPr="00EE0DB2">
        <w:t xml:space="preserve">). </w:t>
      </w:r>
      <w:r w:rsidR="00DE7177">
        <w:t>Procedural</w:t>
      </w:r>
      <w:r w:rsidR="00B8675F">
        <w:t xml:space="preserve"> blanks, which are blanks that are treated exactly like the samples, provide good indication if there are background or crossover contamination.</w:t>
      </w:r>
      <w:r w:rsidR="00130692">
        <w:t xml:space="preserve"> F</w:t>
      </w:r>
      <w:r w:rsidR="00130692" w:rsidRPr="00130692">
        <w:t>or PFCs special attention should be</w:t>
      </w:r>
      <w:r w:rsidR="00130692">
        <w:t xml:space="preserve"> paid</w:t>
      </w:r>
      <w:r w:rsidR="00130692" w:rsidRPr="00130692">
        <w:t xml:space="preserve"> on contamination in solvents, in the ela</w:t>
      </w:r>
      <w:r w:rsidR="00130692">
        <w:t>stomers in the HPLC instruments and</w:t>
      </w:r>
      <w:r w:rsidR="00130692" w:rsidRPr="00130692">
        <w:t xml:space="preserve"> in coated septa and filters</w:t>
      </w:r>
      <w:r w:rsidR="00130692">
        <w:t xml:space="preserve">. </w:t>
      </w:r>
      <w:r w:rsidR="00130692" w:rsidRPr="00130692">
        <w:t xml:space="preserve"> </w:t>
      </w:r>
      <w:r w:rsidR="00130692">
        <w:t>Furthermore l</w:t>
      </w:r>
      <w:r w:rsidR="00130692" w:rsidRPr="00130692">
        <w:t>ong</w:t>
      </w:r>
      <w:r w:rsidR="00130692">
        <w:t xml:space="preserve"> chain</w:t>
      </w:r>
      <w:r w:rsidR="00130692" w:rsidRPr="00130692">
        <w:t xml:space="preserve"> </w:t>
      </w:r>
      <w:r w:rsidR="00130692">
        <w:t>PFCs</w:t>
      </w:r>
      <w:r w:rsidR="00130692" w:rsidRPr="00130692">
        <w:t xml:space="preserve"> </w:t>
      </w:r>
      <w:r w:rsidR="00130692">
        <w:t xml:space="preserve">can </w:t>
      </w:r>
      <w:r w:rsidR="00130692" w:rsidRPr="00130692">
        <w:t>ad</w:t>
      </w:r>
      <w:r w:rsidR="00130692">
        <w:t>sorb fast and strongly to glass</w:t>
      </w:r>
      <w:r w:rsidR="00130692" w:rsidRPr="00130692">
        <w:t xml:space="preserve">.  </w:t>
      </w:r>
      <w:r w:rsidR="00B8675F">
        <w:t xml:space="preserve">  </w:t>
      </w:r>
    </w:p>
    <w:p w:rsidR="00CC1C95" w:rsidRPr="00EE0DB2" w:rsidRDefault="00CC1C95" w:rsidP="00601F11">
      <w:r w:rsidRPr="00EE0DB2">
        <w:t>The pre-screening of samples can include specific approaches (see also Strengthening POPs Regulatory Framework Guidance):</w:t>
      </w:r>
    </w:p>
    <w:p w:rsidR="00CC1C95" w:rsidRPr="00B8675F" w:rsidRDefault="00CC1C95" w:rsidP="00601F11">
      <w:pPr>
        <w:pStyle w:val="Default"/>
        <w:numPr>
          <w:ilvl w:val="0"/>
          <w:numId w:val="30"/>
        </w:numPr>
        <w:jc w:val="both"/>
        <w:rPr>
          <w:rFonts w:ascii="Calibri" w:hAnsi="Calibri"/>
          <w:sz w:val="22"/>
          <w:szCs w:val="22"/>
          <w:lang w:val="en-GB"/>
        </w:rPr>
      </w:pPr>
      <w:r w:rsidRPr="00B8675F">
        <w:rPr>
          <w:rFonts w:ascii="Calibri" w:hAnsi="Calibri"/>
          <w:sz w:val="22"/>
          <w:szCs w:val="22"/>
        </w:rPr>
        <w:t xml:space="preserve">Considerations on the different use areas (see Annex 1-A) </w:t>
      </w:r>
    </w:p>
    <w:p w:rsidR="00CC1C95" w:rsidRPr="00B8675F" w:rsidRDefault="00CC1C95" w:rsidP="00601F11">
      <w:pPr>
        <w:pStyle w:val="Default"/>
        <w:numPr>
          <w:ilvl w:val="0"/>
          <w:numId w:val="30"/>
        </w:numPr>
        <w:jc w:val="both"/>
        <w:rPr>
          <w:rFonts w:ascii="Calibri" w:hAnsi="Calibri"/>
          <w:sz w:val="22"/>
          <w:szCs w:val="22"/>
          <w:lang w:val="en-GB"/>
        </w:rPr>
      </w:pPr>
      <w:r w:rsidRPr="00B8675F">
        <w:rPr>
          <w:rFonts w:ascii="Calibri" w:hAnsi="Calibri"/>
          <w:sz w:val="22"/>
          <w:szCs w:val="22"/>
        </w:rPr>
        <w:t xml:space="preserve">CAS numbers, chemical names or product names (see Annexes in </w:t>
      </w:r>
      <w:r w:rsidRPr="00B8675F">
        <w:rPr>
          <w:rFonts w:ascii="Calibri" w:hAnsi="Calibri"/>
          <w:iCs/>
          <w:sz w:val="22"/>
          <w:szCs w:val="22"/>
        </w:rPr>
        <w:t>Custom Control Guidance</w:t>
      </w:r>
      <w:r w:rsidRPr="00B8675F">
        <w:rPr>
          <w:rFonts w:ascii="Calibri" w:hAnsi="Calibri"/>
          <w:sz w:val="22"/>
          <w:szCs w:val="22"/>
          <w:vertAlign w:val="superscript"/>
        </w:rPr>
        <w:t>16</w:t>
      </w:r>
      <w:r w:rsidRPr="00B8675F">
        <w:rPr>
          <w:rFonts w:ascii="Calibri" w:hAnsi="Calibri"/>
          <w:sz w:val="22"/>
          <w:szCs w:val="22"/>
        </w:rPr>
        <w:t xml:space="preserve">). </w:t>
      </w:r>
    </w:p>
    <w:p w:rsidR="00CC1C95" w:rsidRPr="00B8675F" w:rsidRDefault="00CC1C95" w:rsidP="00601F11">
      <w:pPr>
        <w:pStyle w:val="Default"/>
        <w:numPr>
          <w:ilvl w:val="0"/>
          <w:numId w:val="30"/>
        </w:numPr>
        <w:jc w:val="both"/>
        <w:rPr>
          <w:rFonts w:ascii="Calibri" w:hAnsi="Calibri"/>
          <w:sz w:val="22"/>
          <w:szCs w:val="22"/>
          <w:lang w:val="en-GB"/>
        </w:rPr>
      </w:pPr>
      <w:r w:rsidRPr="00B8675F">
        <w:rPr>
          <w:rFonts w:ascii="Calibri" w:hAnsi="Calibri"/>
          <w:sz w:val="22"/>
          <w:szCs w:val="22"/>
        </w:rPr>
        <w:t>Certain risk criteria (e.g. importing company, receiving company or use for a specific purpose) or certain chemical properties or performance properties (e.g. stain repellent)</w:t>
      </w:r>
    </w:p>
    <w:p w:rsidR="00CC1C95" w:rsidRPr="00B8675F" w:rsidRDefault="00CC1C95" w:rsidP="00601F11">
      <w:pPr>
        <w:pStyle w:val="Default"/>
        <w:numPr>
          <w:ilvl w:val="0"/>
          <w:numId w:val="30"/>
        </w:numPr>
        <w:jc w:val="both"/>
        <w:rPr>
          <w:rFonts w:ascii="Calibri" w:hAnsi="Calibri"/>
          <w:sz w:val="22"/>
          <w:szCs w:val="22"/>
          <w:lang w:val="en-GB"/>
        </w:rPr>
      </w:pPr>
      <w:r w:rsidRPr="00B8675F">
        <w:rPr>
          <w:rFonts w:ascii="Calibri" w:hAnsi="Calibri"/>
          <w:sz w:val="22"/>
          <w:szCs w:val="22"/>
        </w:rPr>
        <w:t>If applicable, mobile screening methods can be used during the field sampling. Non-destructive methods can even be used for selections of samples in stores and shops. The sensitivity of the screening methodology should cover the regulatory limit for a newly listed POP for a certain sample category. E.g. mobile screening techniques for fluorine can detect fluorine concentration of approximately 0.1% (e.g. Sliding spark spectroscopy or certain XRF). If legislation requires that PFOS is detected below such a level (see e.g. the European legislation for carpets and textiles with a limit value of 1 µg PFOS/m</w:t>
      </w:r>
      <w:r w:rsidRPr="00B8675F">
        <w:rPr>
          <w:rFonts w:ascii="Calibri" w:hAnsi="Calibri"/>
          <w:sz w:val="22"/>
          <w:szCs w:val="22"/>
          <w:vertAlign w:val="superscript"/>
        </w:rPr>
        <w:t>2</w:t>
      </w:r>
      <w:r w:rsidRPr="00B8675F">
        <w:rPr>
          <w:rFonts w:ascii="Calibri" w:hAnsi="Calibri"/>
          <w:sz w:val="22"/>
          <w:szCs w:val="22"/>
        </w:rPr>
        <w:t>) then this screening methods cannot be used for pre-selection of samples for assessment of compliance with the limit value.</w:t>
      </w:r>
    </w:p>
    <w:p w:rsidR="00CC1C95" w:rsidRPr="00EC556A" w:rsidRDefault="00CC1C95" w:rsidP="00EE0DB2">
      <w:pPr>
        <w:pStyle w:val="Heading3"/>
        <w:numPr>
          <w:ilvl w:val="2"/>
          <w:numId w:val="9"/>
        </w:numPr>
        <w:tabs>
          <w:tab w:val="num" w:pos="0"/>
        </w:tabs>
        <w:snapToGrid/>
        <w:spacing w:before="240" w:after="60" w:line="276" w:lineRule="auto"/>
        <w:ind w:left="0" w:firstLine="0"/>
        <w:jc w:val="both"/>
      </w:pPr>
      <w:bookmarkStart w:id="28" w:name="_Toc346701919"/>
      <w:bookmarkStart w:id="29" w:name="_Toc349335718"/>
      <w:bookmarkEnd w:id="28"/>
      <w:r w:rsidRPr="00EC556A">
        <w:t>Step 3: Optional (further) screening in the laboratory</w:t>
      </w:r>
      <w:bookmarkEnd w:id="29"/>
      <w:r w:rsidRPr="00EC556A">
        <w:t xml:space="preserve"> </w:t>
      </w:r>
    </w:p>
    <w:p w:rsidR="00CC1C95" w:rsidRDefault="00CC1C95" w:rsidP="00A62875">
      <w:pPr>
        <w:ind w:firstLine="720"/>
      </w:pPr>
      <w:r>
        <w:t>The s</w:t>
      </w:r>
      <w:r w:rsidRPr="00EC556A">
        <w:t>ample</w:t>
      </w:r>
      <w:r>
        <w:t>d</w:t>
      </w:r>
      <w:r w:rsidRPr="00EC556A">
        <w:t xml:space="preserve"> articles can be screened for the presence of e.g. fluorine or bromine in the laboratory</w:t>
      </w:r>
      <w:r>
        <w:t>,</w:t>
      </w:r>
      <w:r w:rsidRPr="00EC556A">
        <w:t xml:space="preserve"> </w:t>
      </w:r>
      <w:r>
        <w:t>usually</w:t>
      </w:r>
      <w:r w:rsidRPr="00EC556A">
        <w:t xml:space="preserve"> being more sensitive</w:t>
      </w:r>
      <w:r>
        <w:t>,</w:t>
      </w:r>
      <w:r w:rsidRPr="00EC556A">
        <w:t xml:space="preserve"> compared to the mobile equipments used in the field.</w:t>
      </w:r>
      <w:r>
        <w:t xml:space="preserve"> </w:t>
      </w:r>
      <w:r w:rsidRPr="00EC556A">
        <w:t>Screening methods have been developed</w:t>
      </w:r>
      <w:r>
        <w:t>,</w:t>
      </w:r>
      <w:r w:rsidRPr="00EC556A">
        <w:t xml:space="preserve"> which allow determination of </w:t>
      </w:r>
      <w:r>
        <w:t>presence of the</w:t>
      </w:r>
      <w:r w:rsidRPr="00EC556A">
        <w:t xml:space="preserve"> chemical in the sample (see e.g. the DART method described for PFOS and other PFCs or the pyrolysis GC/MS method for PBDEs and other BFRs)</w:t>
      </w:r>
      <w:r>
        <w:t xml:space="preserve"> (see chapter 3 and chapter 4)</w:t>
      </w:r>
      <w:r w:rsidRPr="00EC556A">
        <w:t xml:space="preserve">. </w:t>
      </w:r>
    </w:p>
    <w:p w:rsidR="00CC1C95" w:rsidRPr="00EC556A" w:rsidRDefault="00CC1C95" w:rsidP="00A62875">
      <w:r w:rsidRPr="00EC556A">
        <w:t>When screening methods are applied</w:t>
      </w:r>
      <w:r>
        <w:t>,</w:t>
      </w:r>
      <w:r w:rsidRPr="00EC556A">
        <w:t xml:space="preserve"> it needs to be ensured that the detection limit of the screening method is more sensitive </w:t>
      </w:r>
      <w:r>
        <w:t>than</w:t>
      </w:r>
      <w:r w:rsidRPr="00EC556A">
        <w:t xml:space="preserve"> the legislation limit required for the </w:t>
      </w:r>
      <w:r>
        <w:t>content of the chemical</w:t>
      </w:r>
      <w:r w:rsidRPr="00EC556A">
        <w:t>.</w:t>
      </w:r>
    </w:p>
    <w:p w:rsidR="00CC1C95" w:rsidRPr="00EC556A" w:rsidRDefault="00CC1C95" w:rsidP="00EE0DB2">
      <w:pPr>
        <w:pStyle w:val="Heading3"/>
        <w:numPr>
          <w:ilvl w:val="2"/>
          <w:numId w:val="9"/>
        </w:numPr>
        <w:tabs>
          <w:tab w:val="num" w:pos="0"/>
        </w:tabs>
        <w:snapToGrid/>
        <w:spacing w:before="240" w:after="60" w:line="276" w:lineRule="auto"/>
        <w:ind w:left="0" w:firstLine="0"/>
        <w:jc w:val="both"/>
        <w:rPr>
          <w:lang w:eastAsia="nb-NO"/>
        </w:rPr>
      </w:pPr>
      <w:bookmarkStart w:id="30" w:name="_Toc349335719"/>
      <w:r w:rsidRPr="00EC556A">
        <w:rPr>
          <w:lang w:eastAsia="nb-NO"/>
        </w:rPr>
        <w:t>Step 4: Quantification</w:t>
      </w:r>
      <w:bookmarkEnd w:id="30"/>
    </w:p>
    <w:p w:rsidR="00CC1C95" w:rsidRPr="00EC556A" w:rsidRDefault="00CC1C95" w:rsidP="00EE0DB2">
      <w:pPr>
        <w:ind w:firstLine="708"/>
        <w:rPr>
          <w:szCs w:val="24"/>
        </w:rPr>
      </w:pPr>
      <w:r>
        <w:rPr>
          <w:szCs w:val="24"/>
        </w:rPr>
        <w:t>Usually</w:t>
      </w:r>
      <w:r w:rsidRPr="00EC556A">
        <w:rPr>
          <w:szCs w:val="24"/>
        </w:rPr>
        <w:t xml:space="preserve"> quantification requires that the </w:t>
      </w:r>
      <w:r>
        <w:rPr>
          <w:szCs w:val="24"/>
        </w:rPr>
        <w:t xml:space="preserve">chemical </w:t>
      </w:r>
      <w:r w:rsidRPr="00EC556A">
        <w:rPr>
          <w:szCs w:val="24"/>
        </w:rPr>
        <w:t xml:space="preserve">is extracted </w:t>
      </w:r>
      <w:r>
        <w:rPr>
          <w:szCs w:val="24"/>
        </w:rPr>
        <w:t>from the sample</w:t>
      </w:r>
      <w:r w:rsidRPr="00EC556A">
        <w:rPr>
          <w:szCs w:val="24"/>
        </w:rPr>
        <w:t xml:space="preserve"> and the extract subjected to a clean-up procedure. Extraction methods and the clean-up procedures should be validated and where available </w:t>
      </w:r>
      <w:r>
        <w:rPr>
          <w:szCs w:val="24"/>
        </w:rPr>
        <w:t>taken from</w:t>
      </w:r>
      <w:r w:rsidRPr="00EC556A">
        <w:rPr>
          <w:szCs w:val="24"/>
        </w:rPr>
        <w:t xml:space="preserve"> standard norms. If own procedures are used they should have proven to lead to correct results and being robust against modifications in the sample matrix.</w:t>
      </w:r>
    </w:p>
    <w:p w:rsidR="00CC1C95" w:rsidRDefault="00CC1C95" w:rsidP="00EE0DB2">
      <w:pPr>
        <w:rPr>
          <w:szCs w:val="24"/>
        </w:rPr>
      </w:pPr>
      <w:r w:rsidRPr="00EC556A">
        <w:rPr>
          <w:szCs w:val="24"/>
        </w:rPr>
        <w:t xml:space="preserve">Finally instrumental analysis with appropriate sensitivity to achieve the required detection limits needs to be used for the data acquisition and quantification. Quantification is either done with internal standards (e.g. </w:t>
      </w:r>
      <w:r w:rsidR="00D9671A">
        <w:rPr>
          <w:szCs w:val="24"/>
        </w:rPr>
        <w:t xml:space="preserve">isotope labelled </w:t>
      </w:r>
      <w:r w:rsidRPr="00EC556A">
        <w:rPr>
          <w:szCs w:val="24"/>
        </w:rPr>
        <w:t>standards</w:t>
      </w:r>
      <w:r w:rsidR="00D9671A">
        <w:rPr>
          <w:szCs w:val="24"/>
        </w:rPr>
        <w:t xml:space="preserve">, such as </w:t>
      </w:r>
      <w:r w:rsidR="00D9671A" w:rsidRPr="00EC556A">
        <w:rPr>
          <w:szCs w:val="24"/>
        </w:rPr>
        <w:t xml:space="preserve">carbon </w:t>
      </w:r>
      <w:r w:rsidR="00D9671A" w:rsidRPr="00601F11">
        <w:rPr>
          <w:szCs w:val="24"/>
          <w:vertAlign w:val="superscript"/>
        </w:rPr>
        <w:t>13</w:t>
      </w:r>
      <w:r w:rsidR="00D9671A">
        <w:rPr>
          <w:szCs w:val="24"/>
        </w:rPr>
        <w:t>C</w:t>
      </w:r>
      <w:r w:rsidR="00D9671A" w:rsidRPr="00EC556A">
        <w:rPr>
          <w:szCs w:val="24"/>
        </w:rPr>
        <w:t>-labelled</w:t>
      </w:r>
      <w:r w:rsidR="00D9671A">
        <w:rPr>
          <w:szCs w:val="24"/>
        </w:rPr>
        <w:t xml:space="preserve"> chemicals for mass spectrometric detection</w:t>
      </w:r>
      <w:r w:rsidRPr="00EC556A">
        <w:rPr>
          <w:szCs w:val="24"/>
        </w:rPr>
        <w:t>) or other appropriate analytical standards</w:t>
      </w:r>
      <w:r>
        <w:rPr>
          <w:szCs w:val="24"/>
        </w:rPr>
        <w:t>,</w:t>
      </w:r>
      <w:r w:rsidRPr="00EC556A">
        <w:rPr>
          <w:szCs w:val="24"/>
        </w:rPr>
        <w:t xml:space="preserve"> or by external calibration.</w:t>
      </w:r>
    </w:p>
    <w:p w:rsidR="00CC1C95" w:rsidRPr="00EC556A" w:rsidRDefault="00CC1C95" w:rsidP="00EE0DB2">
      <w:pPr>
        <w:rPr>
          <w:szCs w:val="24"/>
        </w:rPr>
      </w:pPr>
      <w:r>
        <w:rPr>
          <w:szCs w:val="24"/>
        </w:rPr>
        <w:t>D</w:t>
      </w:r>
      <w:r w:rsidRPr="00EC556A">
        <w:rPr>
          <w:szCs w:val="24"/>
        </w:rPr>
        <w:t>ifferent</w:t>
      </w:r>
      <w:r>
        <w:rPr>
          <w:szCs w:val="24"/>
        </w:rPr>
        <w:t xml:space="preserve"> analytical</w:t>
      </w:r>
      <w:r w:rsidRPr="00EC556A">
        <w:rPr>
          <w:szCs w:val="24"/>
        </w:rPr>
        <w:t xml:space="preserve"> methods are described or </w:t>
      </w:r>
      <w:r>
        <w:rPr>
          <w:szCs w:val="24"/>
        </w:rPr>
        <w:t xml:space="preserve">referenced </w:t>
      </w:r>
      <w:r w:rsidRPr="00EC556A">
        <w:rPr>
          <w:szCs w:val="24"/>
        </w:rPr>
        <w:t xml:space="preserve">in the respective sections. For most POPs an example of instrumental settings is described in Annex 2 in combination with a chromatogram. </w:t>
      </w:r>
    </w:p>
    <w:p w:rsidR="00CC1C95" w:rsidRPr="00EC556A" w:rsidRDefault="00CC1C95" w:rsidP="00EE0DB2">
      <w:pPr>
        <w:pStyle w:val="Heading3"/>
        <w:numPr>
          <w:ilvl w:val="2"/>
          <w:numId w:val="9"/>
        </w:numPr>
        <w:tabs>
          <w:tab w:val="num" w:pos="0"/>
        </w:tabs>
        <w:snapToGrid/>
        <w:spacing w:before="240" w:after="60" w:line="276" w:lineRule="auto"/>
        <w:ind w:left="0" w:firstLine="0"/>
        <w:jc w:val="both"/>
        <w:rPr>
          <w:lang w:eastAsia="nb-NO"/>
        </w:rPr>
      </w:pPr>
      <w:bookmarkStart w:id="31" w:name="_Toc349335720"/>
      <w:r w:rsidRPr="00EC556A">
        <w:rPr>
          <w:lang w:eastAsia="nb-NO"/>
        </w:rPr>
        <w:t>Step 5: Documentation and reporting</w:t>
      </w:r>
      <w:bookmarkEnd w:id="31"/>
    </w:p>
    <w:p w:rsidR="00CC1C95" w:rsidRDefault="00CC1C95" w:rsidP="00EE0DB2">
      <w:pPr>
        <w:ind w:firstLine="708"/>
      </w:pPr>
      <w:r>
        <w:t>The result of the screening w</w:t>
      </w:r>
      <w:r w:rsidRPr="00EC556A">
        <w:t>ould be documented in an appropriate form. The reporting might include the compilation of a report on the monitoring study including scope, samples, procedures, and results. The documentation could also include the publication in peer reviewed journals</w:t>
      </w:r>
      <w:r>
        <w:t>,</w:t>
      </w:r>
      <w:r w:rsidRPr="00EC556A">
        <w:t xml:space="preserve"> which at the same time would be a further validation of the methodology used and the results. </w:t>
      </w:r>
    </w:p>
    <w:p w:rsidR="00CC1C95" w:rsidRPr="00EC556A" w:rsidRDefault="00CC1C95" w:rsidP="00EE0DB2">
      <w:r w:rsidRPr="00EC556A">
        <w:t xml:space="preserve">The results would be communicated to the stakeholders concerned or interested (see </w:t>
      </w:r>
      <w:r w:rsidRPr="00815289">
        <w:rPr>
          <w:iCs/>
        </w:rPr>
        <w:t xml:space="preserve">Strengthening POPs Regulatory Framework </w:t>
      </w:r>
      <w:r w:rsidRPr="008C10E6">
        <w:rPr>
          <w:iCs/>
        </w:rPr>
        <w:t>Guidance</w:t>
      </w:r>
      <w:r w:rsidRPr="008C10E6">
        <w:t>).</w:t>
      </w:r>
      <w:r w:rsidRPr="00EC556A">
        <w:t xml:space="preserve"> </w:t>
      </w:r>
    </w:p>
    <w:p w:rsidR="00CC1C95" w:rsidRPr="00EC556A" w:rsidRDefault="00CC1C95" w:rsidP="00EE0DB2">
      <w:pPr>
        <w:pStyle w:val="Heading2"/>
        <w:numPr>
          <w:ilvl w:val="1"/>
          <w:numId w:val="9"/>
        </w:numPr>
        <w:tabs>
          <w:tab w:val="num" w:pos="993"/>
        </w:tabs>
        <w:snapToGrid/>
        <w:spacing w:before="240" w:after="60" w:line="276" w:lineRule="auto"/>
        <w:ind w:left="993" w:firstLine="0"/>
        <w:jc w:val="both"/>
      </w:pPr>
      <w:bookmarkStart w:id="32" w:name="_Toc349335721"/>
      <w:r w:rsidRPr="00EC556A">
        <w:rPr>
          <w:b w:val="0"/>
        </w:rPr>
        <w:t>Overview on instrumentation</w:t>
      </w:r>
      <w:bookmarkEnd w:id="32"/>
    </w:p>
    <w:p w:rsidR="00CC1C95" w:rsidRDefault="00CC1C95" w:rsidP="00EE0DB2">
      <w:pPr>
        <w:ind w:firstLine="708"/>
      </w:pPr>
      <w:r w:rsidRPr="00EC556A">
        <w:t>Figure 2-1 gives an overview on the clean-up and analytical instruments used for an air sample by a commercial laboratory capable to analyse all listed POPs. For the initial listed 12 POPs all compounds could be measured with gas chromatography (GC) coupled to mass spectrometry (MS) and for basic pesticides or PCBs also by GC- Electron Capture Detector (ECD).</w:t>
      </w:r>
    </w:p>
    <w:p w:rsidR="00CC1C95" w:rsidRDefault="00CC1C95" w:rsidP="00EE0DB2">
      <w:r>
        <w:t>F</w:t>
      </w:r>
      <w:r w:rsidRPr="00EC556A">
        <w:t>or two of the POPs</w:t>
      </w:r>
      <w:r w:rsidR="00811595">
        <w:t xml:space="preserve"> listed in 2009 and 2011</w:t>
      </w:r>
      <w:r w:rsidRPr="00EC556A">
        <w:t xml:space="preserve"> (PFOS and Chlordecone), the use of liquid chromatography (LC) is required (see Figure 1). </w:t>
      </w:r>
    </w:p>
    <w:p w:rsidR="00CC1C95" w:rsidRPr="00EC556A" w:rsidRDefault="00CC1C95" w:rsidP="00EE0DB2">
      <w:r w:rsidRPr="00EC556A">
        <w:t>Since the concentrations in products or articles are normally high (sometimes in percent range) compared to environmental samples, high resolution MS</w:t>
      </w:r>
      <w:r>
        <w:t xml:space="preserve"> (HRMS)</w:t>
      </w:r>
      <w:r w:rsidRPr="00EC556A">
        <w:t xml:space="preserve"> is not required for most of the article types to be screened but low resolution MS </w:t>
      </w:r>
      <w:r>
        <w:t xml:space="preserve">(LRMS) </w:t>
      </w:r>
      <w:r w:rsidRPr="00EC556A">
        <w:t>or ECD can be used. For some articles with low regulation limits more sensitive methods might be necessary (e.g. for PFOS in carpets or unintentionally POPs</w:t>
      </w:r>
      <w:r>
        <w:t xml:space="preserve"> </w:t>
      </w:r>
      <w:r w:rsidRPr="00EC556A">
        <w:t>in food/feed).</w:t>
      </w:r>
    </w:p>
    <w:p w:rsidR="00CC1C95" w:rsidRPr="00EC556A" w:rsidRDefault="00F05101" w:rsidP="00EE0DB2">
      <w:r>
        <w:rPr>
          <w:noProof/>
          <w:lang w:eastAsia="en-GB"/>
        </w:rPr>
        <w:drawing>
          <wp:anchor distT="0" distB="0" distL="114300" distR="114300" simplePos="0" relativeHeight="251663872" behindDoc="0" locked="0" layoutInCell="1" allowOverlap="1">
            <wp:simplePos x="0" y="0"/>
            <wp:positionH relativeFrom="column">
              <wp:posOffset>0</wp:posOffset>
            </wp:positionH>
            <wp:positionV relativeFrom="paragraph">
              <wp:posOffset>-114935</wp:posOffset>
            </wp:positionV>
            <wp:extent cx="5969000" cy="4604385"/>
            <wp:effectExtent l="19050" t="0" r="0" b="0"/>
            <wp:wrapNone/>
            <wp:docPr id="30"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 cstate="print"/>
                    <a:srcRect/>
                    <a:stretch>
                      <a:fillRect/>
                    </a:stretch>
                  </pic:blipFill>
                  <pic:spPr bwMode="auto">
                    <a:xfrm>
                      <a:off x="0" y="0"/>
                      <a:ext cx="5969000" cy="4604385"/>
                    </a:xfrm>
                    <a:prstGeom prst="rect">
                      <a:avLst/>
                    </a:prstGeom>
                    <a:noFill/>
                    <a:ln w="9525">
                      <a:noFill/>
                      <a:miter lim="800000"/>
                      <a:headEnd/>
                      <a:tailEnd/>
                    </a:ln>
                  </pic:spPr>
                </pic:pic>
              </a:graphicData>
            </a:graphic>
          </wp:anchor>
        </w:drawing>
      </w:r>
    </w:p>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Default="00CC1C95" w:rsidP="00D21BDD">
      <w:r w:rsidRPr="00815289">
        <w:rPr>
          <w:b/>
        </w:rPr>
        <w:t>Figure 2-1:</w:t>
      </w:r>
      <w:r w:rsidRPr="00EC556A">
        <w:t xml:space="preserve"> Clean up of an air sample and instrumentation for analysis of all listed POPs in air (courtesy Prof</w:t>
      </w:r>
      <w:r w:rsidR="00D21BDD">
        <w:t>.</w:t>
      </w:r>
      <w:r w:rsidRPr="00EC556A">
        <w:t xml:space="preserve"> T</w:t>
      </w:r>
      <w:r w:rsidR="00D21BDD">
        <w:t>akumi Takasug</w:t>
      </w:r>
      <w:r w:rsidR="00692087">
        <w:t>a; Shimadzu Techno</w:t>
      </w:r>
      <w:r w:rsidR="00D21BDD">
        <w:t xml:space="preserve"> Research</w:t>
      </w:r>
      <w:r w:rsidR="00692087">
        <w:t>, J</w:t>
      </w:r>
      <w:r w:rsidRPr="00EC556A">
        <w:t xml:space="preserve">apan). </w:t>
      </w:r>
    </w:p>
    <w:p w:rsidR="00CC1C95" w:rsidRPr="00EC556A" w:rsidRDefault="00CC1C95" w:rsidP="00EE0DB2">
      <w:r w:rsidRPr="00EC556A">
        <w:rPr>
          <w:b/>
          <w:bCs/>
        </w:rPr>
        <w:t>Please note:</w:t>
      </w:r>
      <w:r w:rsidRPr="00EC556A">
        <w:t xml:space="preserve"> For analysis of air with low concentrations of POPs HRMS </w:t>
      </w:r>
      <w:r w:rsidR="00024B28">
        <w:t xml:space="preserve">or sensitive LRMS </w:t>
      </w:r>
      <w:r w:rsidRPr="00EC556A">
        <w:t xml:space="preserve">is used, for analysis of newly listed POPs in articles low resolution GC or ECD is </w:t>
      </w:r>
      <w:r>
        <w:t xml:space="preserve">normally </w:t>
      </w:r>
      <w:r w:rsidRPr="00EC556A">
        <w:t>sufficient (see respective sections in this document).</w:t>
      </w:r>
    </w:p>
    <w:p w:rsidR="00CC1C95" w:rsidRPr="00EC556A" w:rsidRDefault="00CC1C95" w:rsidP="00EE0DB2">
      <w:pPr>
        <w:pStyle w:val="Heading1"/>
        <w:numPr>
          <w:ilvl w:val="0"/>
          <w:numId w:val="9"/>
        </w:numPr>
        <w:tabs>
          <w:tab w:val="num" w:pos="0"/>
        </w:tabs>
        <w:snapToGrid/>
        <w:spacing w:after="0" w:line="276" w:lineRule="auto"/>
        <w:ind w:left="0" w:firstLine="0"/>
        <w:jc w:val="both"/>
      </w:pPr>
      <w:r w:rsidRPr="00EC556A">
        <w:rPr>
          <w:b w:val="0"/>
          <w:bCs w:val="0"/>
        </w:rPr>
        <w:br w:type="page"/>
      </w:r>
      <w:bookmarkStart w:id="33" w:name="_Toc349335722"/>
      <w:r>
        <w:rPr>
          <w:b w:val="0"/>
          <w:bCs w:val="0"/>
        </w:rPr>
        <w:t xml:space="preserve">Sampling, screening </w:t>
      </w:r>
      <w:r w:rsidRPr="00EC556A">
        <w:rPr>
          <w:b w:val="0"/>
          <w:bCs w:val="0"/>
        </w:rPr>
        <w:t xml:space="preserve">and analysis of PFOS and related substances in </w:t>
      </w:r>
      <w:r>
        <w:rPr>
          <w:b w:val="0"/>
          <w:bCs w:val="0"/>
        </w:rPr>
        <w:t xml:space="preserve">products and </w:t>
      </w:r>
      <w:r w:rsidRPr="00EC556A">
        <w:rPr>
          <w:b w:val="0"/>
          <w:bCs w:val="0"/>
        </w:rPr>
        <w:t>articles</w:t>
      </w:r>
      <w:r w:rsidRPr="00EC556A">
        <w:rPr>
          <w:rStyle w:val="FootnoteReference"/>
          <w:b w:val="0"/>
          <w:bCs w:val="0"/>
        </w:rPr>
        <w:footnoteReference w:id="7"/>
      </w:r>
      <w:bookmarkEnd w:id="33"/>
      <w:r>
        <w:rPr>
          <w:b w:val="0"/>
          <w:bCs w:val="0"/>
        </w:rPr>
        <w:t xml:space="preserve"> </w:t>
      </w:r>
    </w:p>
    <w:p w:rsidR="00CC1C95" w:rsidRPr="00EC556A" w:rsidRDefault="00CC1C95" w:rsidP="00EE0DB2">
      <w:pPr>
        <w:pStyle w:val="Heading2"/>
        <w:numPr>
          <w:ilvl w:val="1"/>
          <w:numId w:val="9"/>
        </w:numPr>
        <w:tabs>
          <w:tab w:val="num" w:pos="993"/>
        </w:tabs>
        <w:snapToGrid/>
        <w:spacing w:after="0" w:line="276" w:lineRule="auto"/>
        <w:ind w:left="993" w:firstLine="0"/>
        <w:jc w:val="both"/>
        <w:rPr>
          <w:sz w:val="26"/>
          <w:szCs w:val="26"/>
        </w:rPr>
      </w:pPr>
      <w:bookmarkStart w:id="34" w:name="_Toc349335723"/>
      <w:bookmarkStart w:id="35" w:name="_Toc229387382"/>
      <w:bookmarkStart w:id="36" w:name="_Toc245199123"/>
      <w:bookmarkStart w:id="37" w:name="_Toc247685804"/>
      <w:r w:rsidRPr="00EC556A">
        <w:rPr>
          <w:b w:val="0"/>
          <w:szCs w:val="26"/>
        </w:rPr>
        <w:t>P</w:t>
      </w:r>
      <w:r w:rsidRPr="00EC556A">
        <w:rPr>
          <w:b w:val="0"/>
        </w:rPr>
        <w:t xml:space="preserve">roducts and articles possibly </w:t>
      </w:r>
      <w:r w:rsidRPr="00EC556A">
        <w:rPr>
          <w:b w:val="0"/>
          <w:szCs w:val="26"/>
        </w:rPr>
        <w:t>containing PFOS</w:t>
      </w:r>
      <w:bookmarkEnd w:id="34"/>
    </w:p>
    <w:p w:rsidR="00CC1C95" w:rsidRDefault="00CC1C95" w:rsidP="00EE0DB2">
      <w:pPr>
        <w:ind w:firstLine="708"/>
      </w:pPr>
      <w:r w:rsidRPr="00EC556A">
        <w:t xml:space="preserve">A list of </w:t>
      </w:r>
      <w:r>
        <w:t>possible</w:t>
      </w:r>
      <w:r w:rsidRPr="00EC556A">
        <w:t xml:space="preserve"> PFOS</w:t>
      </w:r>
      <w:r>
        <w:t xml:space="preserve"> uses</w:t>
      </w:r>
      <w:r w:rsidRPr="00EC556A">
        <w:t xml:space="preserve"> and</w:t>
      </w:r>
      <w:r>
        <w:t xml:space="preserve"> those of</w:t>
      </w:r>
      <w:r w:rsidRPr="00EC556A">
        <w:t xml:space="preserve"> related chemicals are</w:t>
      </w:r>
      <w:r>
        <w:t xml:space="preserve"> given</w:t>
      </w:r>
      <w:r w:rsidRPr="00EC556A">
        <w:t xml:space="preserve"> in Annex 1-A. The list contains applications in articles</w:t>
      </w:r>
      <w:r>
        <w:t>,</w:t>
      </w:r>
      <w:r w:rsidRPr="00EC556A">
        <w:t xml:space="preserve"> which are included in specific exemptions or acceptable purposes as well as former uses and possibly impacted recycling flows. Also other potentially contaminated secondary articles from recyc</w:t>
      </w:r>
      <w:r>
        <w:t>led materials</w:t>
      </w:r>
      <w:r w:rsidRPr="00EC556A">
        <w:t xml:space="preserve"> or other contamination are mentioned. This list can be utilized for selecting samples for the screening. </w:t>
      </w:r>
    </w:p>
    <w:p w:rsidR="00CC1C95" w:rsidRDefault="00CC1C95" w:rsidP="00987C56">
      <w:r w:rsidRPr="00EC556A">
        <w:t>A range of PFOS applications are within articles</w:t>
      </w:r>
      <w:r w:rsidRPr="00EC556A">
        <w:rPr>
          <w:rStyle w:val="FootnoteReference"/>
        </w:rPr>
        <w:footnoteReference w:id="8"/>
      </w:r>
      <w:r w:rsidRPr="00EC556A">
        <w:t xml:space="preserve"> (</w:t>
      </w:r>
      <w:r w:rsidR="00692087">
        <w:t xml:space="preserve">e.g. specific fire fighting </w:t>
      </w:r>
      <w:r w:rsidRPr="00EC556A">
        <w:t>foam</w:t>
      </w:r>
      <w:r w:rsidR="00692087">
        <w:t>s</w:t>
      </w:r>
      <w:r w:rsidRPr="00EC556A">
        <w:t>, chromium plating mist suppressant</w:t>
      </w:r>
      <w:r w:rsidR="00692087">
        <w:t>s</w:t>
      </w:r>
      <w:r>
        <w:t>, pesticides</w:t>
      </w:r>
      <w:r w:rsidRPr="00EC556A">
        <w:t xml:space="preserve">) or used for coating of articles (e.g. carpets, textiles, furniture, paper). Several of these applications were granted specific exemptions or acceptable purposes and therefore such newly produced articles can still be </w:t>
      </w:r>
      <w:r>
        <w:t>traded at present</w:t>
      </w:r>
      <w:r w:rsidRPr="00EC556A">
        <w:t xml:space="preserve">. Furthermore a range of articles </w:t>
      </w:r>
      <w:r w:rsidR="00987C56">
        <w:t>with long life expectancy</w:t>
      </w:r>
      <w:r w:rsidR="00987C56" w:rsidRPr="00EC556A">
        <w:t xml:space="preserve"> </w:t>
      </w:r>
      <w:r w:rsidRPr="00EC556A">
        <w:t xml:space="preserve">formerly produced containing PFOS or related substances </w:t>
      </w:r>
      <w:r w:rsidR="00987C56" w:rsidRPr="00EC556A">
        <w:t>might</w:t>
      </w:r>
      <w:r w:rsidR="00987C56">
        <w:t xml:space="preserve"> </w:t>
      </w:r>
      <w:r w:rsidRPr="00EC556A">
        <w:t>be still in use (e.g. carpets, textiles, furniture</w:t>
      </w:r>
      <w:r w:rsidR="00B53580">
        <w:t xml:space="preserve"> </w:t>
      </w:r>
      <w:r w:rsidRPr="00EC556A">
        <w:t xml:space="preserve">and fire fighting foams). </w:t>
      </w:r>
    </w:p>
    <w:p w:rsidR="00CC1C95" w:rsidRDefault="00CC1C95" w:rsidP="00692087">
      <w:r>
        <w:t xml:space="preserve">The current PFOS and related substances use in China (the largest producer and user) is estimated to 100 tonnes </w:t>
      </w:r>
      <w:r w:rsidRPr="00091E5E">
        <w:t xml:space="preserve">mainly used for </w:t>
      </w:r>
      <w:r>
        <w:t>p</w:t>
      </w:r>
      <w:r w:rsidRPr="00091E5E">
        <w:t>lating</w:t>
      </w:r>
      <w:r>
        <w:t xml:space="preserve"> industry (30 – 40 t/y),</w:t>
      </w:r>
      <w:r w:rsidR="00692087">
        <w:t xml:space="preserve"> specific</w:t>
      </w:r>
      <w:r w:rsidRPr="00091E5E">
        <w:t xml:space="preserve"> fire-</w:t>
      </w:r>
      <w:r>
        <w:t>fighting foams (25 to 35 t/y)</w:t>
      </w:r>
      <w:r w:rsidRPr="00091E5E">
        <w:t xml:space="preserve"> </w:t>
      </w:r>
      <w:r>
        <w:t xml:space="preserve">and sulfluramid </w:t>
      </w:r>
      <w:r w:rsidR="00692087">
        <w:t>insecticides</w:t>
      </w:r>
      <w:r>
        <w:t xml:space="preserve"> (4-8 t/y) (Zhang et al. 2012)</w:t>
      </w:r>
      <w:r>
        <w:rPr>
          <w:rStyle w:val="FootnoteReference"/>
        </w:rPr>
        <w:footnoteReference w:id="9"/>
      </w:r>
      <w:r>
        <w:t>.</w:t>
      </w:r>
    </w:p>
    <w:p w:rsidR="00CC1C95" w:rsidRPr="00EC556A" w:rsidRDefault="00CC1C95" w:rsidP="00EE0DB2">
      <w:pPr>
        <w:pStyle w:val="Heading2"/>
        <w:numPr>
          <w:ilvl w:val="1"/>
          <w:numId w:val="9"/>
        </w:numPr>
        <w:tabs>
          <w:tab w:val="num" w:pos="993"/>
        </w:tabs>
        <w:snapToGrid/>
        <w:spacing w:after="0" w:line="276" w:lineRule="auto"/>
        <w:ind w:left="993" w:firstLine="0"/>
        <w:jc w:val="both"/>
      </w:pPr>
      <w:bookmarkStart w:id="38" w:name="_Toc349335724"/>
      <w:r w:rsidRPr="00EC556A">
        <w:rPr>
          <w:b w:val="0"/>
        </w:rPr>
        <w:t>Step by step approach for PFOS analysis in products and articles</w:t>
      </w:r>
      <w:bookmarkEnd w:id="38"/>
    </w:p>
    <w:p w:rsidR="00CC1C95" w:rsidRDefault="00CC1C95" w:rsidP="00A62875">
      <w:pPr>
        <w:ind w:firstLine="708"/>
      </w:pPr>
      <w:r>
        <w:t>The step by step approach for monitoring of POPs</w:t>
      </w:r>
      <w:r w:rsidR="00911C7F">
        <w:t xml:space="preserve"> listed in 2009 and 2011</w:t>
      </w:r>
      <w:r>
        <w:t xml:space="preserve"> is described in 2.4. </w:t>
      </w:r>
      <w:r w:rsidRPr="00EC556A">
        <w:t>To determine the occurrence and quantities of PFOS and its related substances in different articles including consumer products representative samples can be purchased from retail outlets and analysed. A similar strategy can be used to determine the occurrence and quantities of PFOS and its related substances in other materials</w:t>
      </w:r>
      <w:r w:rsidRPr="00101C26">
        <w:t xml:space="preserve"> </w:t>
      </w:r>
      <w:r w:rsidRPr="00EC556A">
        <w:t>and waste</w:t>
      </w:r>
      <w:r>
        <w:t>s</w:t>
      </w:r>
      <w:r w:rsidRPr="00EC556A">
        <w:t>, such as the industrial materials used downstream in a product chain, consumer products and chemical formulas arriving at the boarders and identified by the customs.</w:t>
      </w:r>
    </w:p>
    <w:p w:rsidR="00CC1C95" w:rsidRPr="00A62875" w:rsidRDefault="00CC1C95" w:rsidP="00EE0DB2">
      <w:pPr>
        <w:pStyle w:val="CM21"/>
        <w:spacing w:line="276" w:lineRule="auto"/>
        <w:rPr>
          <w:b/>
          <w:color w:val="000000"/>
          <w:sz w:val="22"/>
          <w:szCs w:val="22"/>
          <w:lang w:val="en-GB"/>
        </w:rPr>
      </w:pPr>
      <w:r w:rsidRPr="00E77A35">
        <w:rPr>
          <w:b/>
          <w:color w:val="000000"/>
          <w:lang w:val="en-GB"/>
        </w:rPr>
        <w:t>Step 1: Survey of products and articles possibly containing PFOS and related substances</w:t>
      </w:r>
    </w:p>
    <w:p w:rsidR="00CC1C95" w:rsidRPr="0024237B" w:rsidRDefault="00CC1C95" w:rsidP="00D768F4">
      <w:pPr>
        <w:pStyle w:val="CM21"/>
        <w:jc w:val="both"/>
        <w:rPr>
          <w:b/>
          <w:color w:val="000000"/>
          <w:sz w:val="22"/>
          <w:szCs w:val="22"/>
          <w:lang w:val="en-GB"/>
        </w:rPr>
      </w:pPr>
      <w:r w:rsidRPr="0024237B">
        <w:rPr>
          <w:color w:val="000000"/>
          <w:sz w:val="22"/>
          <w:szCs w:val="22"/>
          <w:lang w:val="en-GB"/>
        </w:rPr>
        <w:t xml:space="preserve">Before collecting samples, a survey can be conducted to determine the availability of consumer products that contain or have been treated with fluorinated chemicals. Sample candidates can be identified from the list compiled in Annex A-1. Some case studies on </w:t>
      </w:r>
      <w:r w:rsidR="00D768F4" w:rsidRPr="0024237B">
        <w:rPr>
          <w:color w:val="000000"/>
          <w:sz w:val="22"/>
          <w:szCs w:val="22"/>
          <w:lang w:val="en-GB"/>
        </w:rPr>
        <w:t xml:space="preserve">PFOS and other </w:t>
      </w:r>
      <w:r w:rsidR="00B53580" w:rsidRPr="0024237B">
        <w:rPr>
          <w:color w:val="000000"/>
          <w:sz w:val="22"/>
          <w:szCs w:val="22"/>
          <w:lang w:val="en-GB"/>
        </w:rPr>
        <w:t>per</w:t>
      </w:r>
      <w:r w:rsidR="00B53580">
        <w:rPr>
          <w:color w:val="000000"/>
          <w:sz w:val="22"/>
          <w:szCs w:val="22"/>
          <w:lang w:val="en-GB"/>
        </w:rPr>
        <w:t>-</w:t>
      </w:r>
      <w:r w:rsidR="00B53580" w:rsidRPr="0024237B">
        <w:rPr>
          <w:color w:val="000000"/>
          <w:sz w:val="22"/>
          <w:szCs w:val="22"/>
          <w:lang w:val="en-GB"/>
        </w:rPr>
        <w:t xml:space="preserve"> </w:t>
      </w:r>
      <w:r w:rsidR="00D768F4" w:rsidRPr="0024237B">
        <w:rPr>
          <w:color w:val="000000"/>
          <w:sz w:val="22"/>
          <w:szCs w:val="22"/>
          <w:lang w:val="en-GB"/>
        </w:rPr>
        <w:t>and polyfluorinated chemicals (</w:t>
      </w:r>
      <w:r w:rsidRPr="0024237B">
        <w:rPr>
          <w:color w:val="000000"/>
          <w:sz w:val="22"/>
          <w:szCs w:val="22"/>
          <w:lang w:val="en-GB"/>
        </w:rPr>
        <w:t>PFC</w:t>
      </w:r>
      <w:r w:rsidR="00D768F4" w:rsidRPr="0024237B">
        <w:rPr>
          <w:color w:val="000000"/>
          <w:sz w:val="22"/>
          <w:szCs w:val="22"/>
          <w:lang w:val="en-GB"/>
        </w:rPr>
        <w:t>)</w:t>
      </w:r>
      <w:r w:rsidRPr="0024237B">
        <w:rPr>
          <w:color w:val="000000"/>
          <w:sz w:val="22"/>
          <w:szCs w:val="22"/>
          <w:lang w:val="en-GB"/>
        </w:rPr>
        <w:t xml:space="preserve"> monitoring described below developed a survey approach. Relevant stakeholders for the different use groups might be contacted for support and input and for samples. Relevant stakeholders to be contacted for the different use categories are listed in Annex 1-A</w:t>
      </w:r>
    </w:p>
    <w:p w:rsidR="00CC1C95" w:rsidRPr="00A62875" w:rsidRDefault="00CC1C95" w:rsidP="00A62875">
      <w:pPr>
        <w:pStyle w:val="Default"/>
        <w:rPr>
          <w:lang w:val="en-GB" w:eastAsia="nb-NO"/>
        </w:rPr>
      </w:pPr>
    </w:p>
    <w:p w:rsidR="00CC1C95" w:rsidRPr="00A62875" w:rsidRDefault="00CC1C95" w:rsidP="00EE0DB2">
      <w:pPr>
        <w:pStyle w:val="CM21"/>
        <w:spacing w:line="276" w:lineRule="auto"/>
        <w:rPr>
          <w:color w:val="000000"/>
          <w:sz w:val="22"/>
          <w:szCs w:val="22"/>
          <w:lang w:val="en-GB"/>
        </w:rPr>
      </w:pPr>
      <w:r w:rsidRPr="00E77A35">
        <w:rPr>
          <w:b/>
          <w:color w:val="000000"/>
          <w:lang w:val="en-GB"/>
        </w:rPr>
        <w:t>Step 2: Sample collection</w:t>
      </w:r>
    </w:p>
    <w:p w:rsidR="00CC1C95" w:rsidRPr="00B53580" w:rsidRDefault="00CC1C95" w:rsidP="00C00AF8">
      <w:pPr>
        <w:pStyle w:val="CM21"/>
        <w:rPr>
          <w:color w:val="000000"/>
          <w:sz w:val="22"/>
          <w:szCs w:val="22"/>
          <w:lang w:val="en-GB"/>
        </w:rPr>
      </w:pPr>
      <w:r w:rsidRPr="00B53580">
        <w:rPr>
          <w:color w:val="000000"/>
          <w:sz w:val="22"/>
          <w:szCs w:val="22"/>
          <w:lang w:val="en-GB"/>
        </w:rPr>
        <w:t xml:space="preserve">Samples can then be collected e.g. by the customs at the import or by competent authorities like factory control or consumer protection authorities and related institutions; see </w:t>
      </w:r>
      <w:r w:rsidRPr="00B53580">
        <w:rPr>
          <w:iCs/>
          <w:color w:val="000000"/>
          <w:sz w:val="22"/>
          <w:szCs w:val="22"/>
          <w:lang w:val="en-GB"/>
        </w:rPr>
        <w:t>Custom Control Guidance</w:t>
      </w:r>
      <w:r w:rsidR="0024237B" w:rsidRPr="00B53580">
        <w:rPr>
          <w:rStyle w:val="FootnoteReference"/>
          <w:iCs/>
          <w:color w:val="000000"/>
          <w:sz w:val="22"/>
          <w:szCs w:val="22"/>
          <w:lang w:val="en-GB"/>
        </w:rPr>
        <w:footnoteReference w:id="10"/>
      </w:r>
      <w:r w:rsidRPr="00B53580">
        <w:rPr>
          <w:color w:val="000000"/>
          <w:sz w:val="22"/>
          <w:szCs w:val="22"/>
          <w:lang w:val="en-GB"/>
        </w:rPr>
        <w:t xml:space="preserve"> and </w:t>
      </w:r>
      <w:r w:rsidRPr="00B53580">
        <w:rPr>
          <w:iCs/>
          <w:color w:val="000000"/>
          <w:sz w:val="22"/>
          <w:szCs w:val="22"/>
          <w:lang w:val="en-GB"/>
        </w:rPr>
        <w:t>Strengthening POPs Regulatory Framework Guidance</w:t>
      </w:r>
      <w:r w:rsidR="00C00AF8" w:rsidRPr="00B53580">
        <w:rPr>
          <w:rStyle w:val="FootnoteReference"/>
          <w:iCs/>
          <w:color w:val="000000"/>
          <w:sz w:val="22"/>
          <w:szCs w:val="22"/>
          <w:lang w:val="en-GB"/>
        </w:rPr>
        <w:footnoteReference w:id="11"/>
      </w:r>
      <w:r w:rsidRPr="00B53580">
        <w:rPr>
          <w:color w:val="000000"/>
          <w:sz w:val="22"/>
          <w:szCs w:val="22"/>
          <w:lang w:val="en-GB"/>
        </w:rPr>
        <w:t>. Sampling campaigns can also be conducted by research institutions.</w:t>
      </w:r>
    </w:p>
    <w:p w:rsidR="00CC1C95" w:rsidRPr="009D766F" w:rsidRDefault="00CC1C95" w:rsidP="00D768F4">
      <w:pPr>
        <w:pStyle w:val="Default"/>
        <w:rPr>
          <w:rFonts w:ascii="Calibri" w:hAnsi="Calibri"/>
          <w:sz w:val="22"/>
          <w:szCs w:val="22"/>
          <w:lang w:val="en-GB" w:eastAsia="nb-NO"/>
        </w:rPr>
      </w:pPr>
    </w:p>
    <w:p w:rsidR="00CC1C95" w:rsidRPr="00B53580" w:rsidRDefault="00CC1C95" w:rsidP="00D768F4">
      <w:pPr>
        <w:pStyle w:val="CM21"/>
        <w:rPr>
          <w:color w:val="000000"/>
          <w:sz w:val="22"/>
          <w:szCs w:val="22"/>
          <w:lang w:val="en-GB"/>
        </w:rPr>
      </w:pPr>
      <w:r w:rsidRPr="00B53580">
        <w:rPr>
          <w:color w:val="000000"/>
          <w:sz w:val="22"/>
          <w:szCs w:val="22"/>
          <w:lang w:val="en-GB"/>
        </w:rPr>
        <w:t>Following criteria and information can be used by the stakeholders:</w:t>
      </w:r>
    </w:p>
    <w:p w:rsidR="00CC1C95" w:rsidRPr="00B53580" w:rsidRDefault="00CC1C95" w:rsidP="00D768F4">
      <w:pPr>
        <w:pStyle w:val="CM21"/>
        <w:ind w:left="362" w:hanging="362"/>
        <w:rPr>
          <w:color w:val="000000"/>
          <w:sz w:val="22"/>
          <w:szCs w:val="22"/>
          <w:lang w:val="en-GB"/>
        </w:rPr>
      </w:pPr>
      <w:r w:rsidRPr="00B53580">
        <w:rPr>
          <w:color w:val="000000"/>
          <w:sz w:val="22"/>
          <w:szCs w:val="22"/>
          <w:lang w:val="en-GB"/>
        </w:rPr>
        <w:t xml:space="preserve">a) The article contains PFOS and its related substances identifiable by the chemical names, CAS numbers or if their structural formulas contain more than three fluorine atoms; or </w:t>
      </w:r>
    </w:p>
    <w:p w:rsidR="00CC1C95" w:rsidRPr="00B53580" w:rsidRDefault="00CC1C95" w:rsidP="00D768F4">
      <w:pPr>
        <w:pStyle w:val="CM21"/>
        <w:ind w:left="362" w:hanging="362"/>
        <w:rPr>
          <w:color w:val="000000"/>
          <w:sz w:val="22"/>
          <w:szCs w:val="22"/>
          <w:lang w:val="en-GB"/>
        </w:rPr>
      </w:pPr>
      <w:r w:rsidRPr="00B53580">
        <w:rPr>
          <w:color w:val="000000"/>
          <w:sz w:val="22"/>
          <w:szCs w:val="22"/>
          <w:lang w:val="en-GB"/>
        </w:rPr>
        <w:t>b) The article contains fluorinated chemicals identifiable by their trade names; or</w:t>
      </w:r>
    </w:p>
    <w:p w:rsidR="00CC1C95" w:rsidRPr="00B53580" w:rsidRDefault="00CC1C95" w:rsidP="00D768F4">
      <w:pPr>
        <w:pStyle w:val="CM21"/>
        <w:ind w:left="362" w:hanging="362"/>
        <w:rPr>
          <w:color w:val="000000"/>
          <w:sz w:val="22"/>
          <w:szCs w:val="22"/>
          <w:lang w:val="en-GB"/>
        </w:rPr>
      </w:pPr>
      <w:r w:rsidRPr="00B53580">
        <w:rPr>
          <w:color w:val="000000"/>
          <w:sz w:val="22"/>
          <w:szCs w:val="22"/>
          <w:lang w:val="en-GB"/>
        </w:rPr>
        <w:t>c) The article was identified as having certain properties that are common for articles treated with PFOS and its related substances (e.g., stain resistant, water repellent and anti-grease), as can be identified with e.g. the Droplet test.</w:t>
      </w:r>
    </w:p>
    <w:p w:rsidR="00CC1C95" w:rsidRPr="00A62875" w:rsidRDefault="00CC1C95" w:rsidP="00EE0DB2">
      <w:pPr>
        <w:pStyle w:val="Default"/>
        <w:rPr>
          <w:rFonts w:ascii="Calibri" w:hAnsi="Calibri"/>
          <w:sz w:val="22"/>
          <w:szCs w:val="22"/>
          <w:lang w:val="en-GB" w:eastAsia="nb-NO"/>
        </w:rPr>
      </w:pPr>
    </w:p>
    <w:p w:rsidR="00CC1C95" w:rsidRPr="00D768F4" w:rsidRDefault="00CC1C95" w:rsidP="00EE0DB2">
      <w:pPr>
        <w:pStyle w:val="Default"/>
        <w:spacing w:line="276" w:lineRule="auto"/>
        <w:rPr>
          <w:rFonts w:ascii="Calibri" w:hAnsi="Calibri"/>
          <w:b/>
          <w:bCs/>
          <w:sz w:val="22"/>
          <w:szCs w:val="22"/>
          <w:lang w:val="en-GB"/>
        </w:rPr>
      </w:pPr>
      <w:r w:rsidRPr="00D768F4">
        <w:rPr>
          <w:rFonts w:ascii="Calibri" w:hAnsi="Calibri"/>
          <w:b/>
          <w:bCs/>
        </w:rPr>
        <w:t xml:space="preserve">Step 3: Screening for presence of fluorine and of fluorinated organic chemicals  </w:t>
      </w:r>
    </w:p>
    <w:p w:rsidR="00CC1C95" w:rsidRPr="00D768F4" w:rsidRDefault="00CC1C95" w:rsidP="00D768F4">
      <w:pPr>
        <w:pStyle w:val="Default"/>
        <w:jc w:val="both"/>
        <w:rPr>
          <w:rFonts w:ascii="Calibri" w:hAnsi="Calibri"/>
          <w:sz w:val="22"/>
          <w:szCs w:val="22"/>
          <w:lang w:val="en-GB"/>
        </w:rPr>
      </w:pPr>
      <w:r w:rsidRPr="00D768F4">
        <w:rPr>
          <w:rFonts w:ascii="Calibri" w:hAnsi="Calibri"/>
          <w:sz w:val="22"/>
          <w:szCs w:val="22"/>
        </w:rPr>
        <w:t>Sampled articles can be screened for the presence of fluorine to exclude those with false claims and those that achieved certain surface properties (e.g., anti-grease) without using fluorinated chemicals. Typically, 0.05 to 0.5% of the PFC by weight</w:t>
      </w:r>
      <w:r w:rsidRPr="00D768F4">
        <w:rPr>
          <w:rStyle w:val="FootnoteReference"/>
          <w:rFonts w:ascii="Calibri" w:hAnsi="Calibri"/>
          <w:sz w:val="22"/>
          <w:szCs w:val="22"/>
        </w:rPr>
        <w:footnoteReference w:id="12"/>
      </w:r>
      <w:r w:rsidRPr="00D768F4">
        <w:rPr>
          <w:rFonts w:ascii="Calibri" w:hAnsi="Calibri"/>
          <w:sz w:val="22"/>
          <w:szCs w:val="22"/>
        </w:rPr>
        <w:t xml:space="preserve"> of the article is used to ensure durable repellence. Thus, samples containing 0.01% cut-off are included for further analysis, provided an adequate safe margin to ensure that all sample articles treated with fluorinated chemicals are included. Sample articles containing less than 0.01% fluorine by weight can therefore be discarded if not specific legislation require that PFOS is below such a level (see e.g. the European legislation for carpets and textiles). In this case screening, methods cannot be used for a pre-selection of samples.</w:t>
      </w:r>
    </w:p>
    <w:p w:rsidR="00CC1C95" w:rsidRPr="00D768F4" w:rsidRDefault="00CC1C95" w:rsidP="00D768F4">
      <w:pPr>
        <w:pStyle w:val="Default"/>
        <w:jc w:val="both"/>
        <w:rPr>
          <w:rFonts w:ascii="Calibri" w:hAnsi="Calibri"/>
          <w:sz w:val="22"/>
          <w:szCs w:val="22"/>
          <w:lang w:val="en-GB"/>
        </w:rPr>
      </w:pPr>
    </w:p>
    <w:p w:rsidR="00CC1C95" w:rsidRPr="00D768F4" w:rsidRDefault="00CC1C95" w:rsidP="00D768F4">
      <w:pPr>
        <w:pStyle w:val="Default"/>
        <w:jc w:val="both"/>
        <w:rPr>
          <w:rFonts w:ascii="Calibri" w:hAnsi="Calibri"/>
          <w:sz w:val="22"/>
          <w:szCs w:val="22"/>
          <w:lang w:val="en-GB"/>
        </w:rPr>
      </w:pPr>
      <w:r w:rsidRPr="00D768F4">
        <w:rPr>
          <w:rFonts w:ascii="Calibri" w:hAnsi="Calibri"/>
          <w:sz w:val="22"/>
          <w:szCs w:val="22"/>
        </w:rPr>
        <w:t xml:space="preserve">The fluorine content can be determined by using wavelength dispersive (WD) X-ray fluorescence (XRF) spectrometry. Instrument and operating parameters for this method are provided in Table 8. XRF might also be useful as a screening method for fluorinated substances in waste or products but the known limitations of the method are low sensitivity and lack of structure-specific information. Furthermore more sophisticated screening in laboratory with DART, DESI and </w:t>
      </w:r>
      <w:r w:rsidRPr="00D768F4">
        <w:rPr>
          <w:rFonts w:ascii="Calibri" w:hAnsi="Calibri"/>
          <w:sz w:val="22"/>
          <w:szCs w:val="22"/>
          <w:vertAlign w:val="superscript"/>
        </w:rPr>
        <w:t>19</w:t>
      </w:r>
      <w:r w:rsidRPr="00D768F4">
        <w:rPr>
          <w:rFonts w:ascii="Calibri" w:hAnsi="Calibri"/>
          <w:sz w:val="22"/>
          <w:szCs w:val="22"/>
        </w:rPr>
        <w:t xml:space="preserve">F NMR (see below) can be applied. </w:t>
      </w:r>
    </w:p>
    <w:p w:rsidR="00CC1C95" w:rsidRPr="00D768F4" w:rsidRDefault="00CC1C95" w:rsidP="00EE0DB2">
      <w:pPr>
        <w:pStyle w:val="Default"/>
        <w:spacing w:line="276" w:lineRule="auto"/>
        <w:rPr>
          <w:rFonts w:ascii="Calibri" w:hAnsi="Calibri"/>
          <w:b/>
          <w:sz w:val="22"/>
          <w:szCs w:val="22"/>
          <w:lang w:val="en-GB" w:eastAsia="nb-NO"/>
        </w:rPr>
      </w:pPr>
    </w:p>
    <w:p w:rsidR="00CC1C95" w:rsidRPr="00D768F4" w:rsidRDefault="00CC1C95" w:rsidP="00EE0DB2">
      <w:pPr>
        <w:pStyle w:val="Default"/>
        <w:spacing w:line="276" w:lineRule="auto"/>
        <w:rPr>
          <w:rFonts w:ascii="Calibri" w:hAnsi="Calibri"/>
          <w:b/>
          <w:sz w:val="22"/>
          <w:szCs w:val="22"/>
          <w:lang w:val="en-GB" w:eastAsia="nb-NO"/>
        </w:rPr>
      </w:pPr>
      <w:r w:rsidRPr="00D768F4">
        <w:rPr>
          <w:rFonts w:ascii="Calibri" w:hAnsi="Calibri"/>
          <w:b/>
          <w:lang w:eastAsia="nb-NO"/>
        </w:rPr>
        <w:t>Step 4: Quantification</w:t>
      </w:r>
    </w:p>
    <w:p w:rsidR="00CC1C95" w:rsidRPr="00A62875" w:rsidRDefault="00CC1C95" w:rsidP="00EE0DB2">
      <w:r w:rsidRPr="00D768F4">
        <w:t>Different analytical methods can be applied as e.g. described in Annex 2-D. Some methods have been</w:t>
      </w:r>
      <w:r w:rsidRPr="00A62875">
        <w:t xml:space="preserve"> described in more detail in national surveys with quantifications of PFOS and other PFCs in consumer products (see e.g. </w:t>
      </w:r>
      <w:hyperlink r:id="rId8" w:history="1">
        <w:r w:rsidRPr="00A62875">
          <w:rPr>
            <w:rStyle w:val="Hyperlink"/>
          </w:rPr>
          <w:t>USEPA 2009</w:t>
        </w:r>
      </w:hyperlink>
      <w:r w:rsidRPr="00A62875">
        <w:rPr>
          <w:rStyle w:val="FootnoteReference"/>
        </w:rPr>
        <w:footnoteReference w:id="13"/>
      </w:r>
      <w:r w:rsidRPr="00A62875">
        <w:t xml:space="preserve"> or SWEREA 2004</w:t>
      </w:r>
      <w:r w:rsidRPr="00A62875">
        <w:rPr>
          <w:rStyle w:val="FootnoteReference"/>
        </w:rPr>
        <w:footnoteReference w:id="14"/>
      </w:r>
      <w:r w:rsidRPr="00A62875">
        <w:t xml:space="preserve">). </w:t>
      </w:r>
    </w:p>
    <w:p w:rsidR="00CC1C95" w:rsidRPr="00EC556A" w:rsidRDefault="00CC1C95" w:rsidP="00EE0DB2">
      <w:pPr>
        <w:rPr>
          <w:szCs w:val="24"/>
        </w:rPr>
      </w:pPr>
    </w:p>
    <w:p w:rsidR="00CC1C95" w:rsidRPr="00EC556A" w:rsidRDefault="00CC1C95" w:rsidP="00EE0DB2">
      <w:pPr>
        <w:pStyle w:val="Heading2"/>
        <w:numPr>
          <w:ilvl w:val="1"/>
          <w:numId w:val="9"/>
        </w:numPr>
        <w:tabs>
          <w:tab w:val="num" w:pos="993"/>
        </w:tabs>
        <w:snapToGrid/>
        <w:spacing w:after="0" w:line="276" w:lineRule="auto"/>
        <w:ind w:left="993" w:firstLine="0"/>
        <w:jc w:val="both"/>
        <w:rPr>
          <w:sz w:val="26"/>
          <w:szCs w:val="26"/>
        </w:rPr>
      </w:pPr>
      <w:bookmarkStart w:id="39" w:name="_Toc346701927"/>
      <w:bookmarkStart w:id="40" w:name="_Toc308369563"/>
      <w:bookmarkStart w:id="41" w:name="_Toc308369564"/>
      <w:bookmarkStart w:id="42" w:name="_Toc349335725"/>
      <w:bookmarkEnd w:id="35"/>
      <w:bookmarkEnd w:id="36"/>
      <w:bookmarkEnd w:id="37"/>
      <w:bookmarkEnd w:id="39"/>
      <w:bookmarkEnd w:id="40"/>
      <w:bookmarkEnd w:id="41"/>
      <w:r w:rsidRPr="00EC556A">
        <w:rPr>
          <w:b w:val="0"/>
          <w:sz w:val="26"/>
          <w:szCs w:val="26"/>
        </w:rPr>
        <w:t>Screening methods for fluorine/organofluorine chemicals</w:t>
      </w:r>
      <w:bookmarkEnd w:id="42"/>
    </w:p>
    <w:p w:rsidR="00CC1C95" w:rsidRPr="00EC556A" w:rsidRDefault="00CC1C95" w:rsidP="00EE0DB2">
      <w:pPr>
        <w:pStyle w:val="Heading3"/>
        <w:numPr>
          <w:ilvl w:val="2"/>
          <w:numId w:val="9"/>
        </w:numPr>
        <w:tabs>
          <w:tab w:val="num" w:pos="0"/>
        </w:tabs>
        <w:snapToGrid/>
        <w:spacing w:before="240" w:after="60" w:line="276" w:lineRule="auto"/>
        <w:ind w:left="0" w:firstLine="0"/>
        <w:jc w:val="both"/>
      </w:pPr>
      <w:bookmarkStart w:id="43" w:name="_Toc349335726"/>
      <w:r w:rsidRPr="00EC556A">
        <w:t>Introduction</w:t>
      </w:r>
      <w:bookmarkEnd w:id="43"/>
    </w:p>
    <w:p w:rsidR="00CC1C95" w:rsidRDefault="00CC1C95" w:rsidP="00EE0DB2">
      <w:pPr>
        <w:ind w:firstLine="708"/>
      </w:pPr>
      <w:r w:rsidRPr="00EC556A">
        <w:t xml:space="preserve">For a pre-selection of samples, screening methods for </w:t>
      </w:r>
      <w:r>
        <w:t>PFOS/</w:t>
      </w:r>
      <w:r w:rsidRPr="00EC556A">
        <w:t>PFCs are valuable. Most of such screening methods cannot identify specific</w:t>
      </w:r>
      <w:r>
        <w:t xml:space="preserve">ally PFOS </w:t>
      </w:r>
      <w:r w:rsidRPr="00EC556A">
        <w:t>but need then a confirmation analysis for PFOS and other PFCs by MS methods (see below).</w:t>
      </w:r>
    </w:p>
    <w:p w:rsidR="00CC1C95" w:rsidRDefault="00CC1C95" w:rsidP="00EE0DB2">
      <w:r w:rsidRPr="00EC556A">
        <w:t>Some of the screening methods can (semi-)quantify the organofluorine content. Such a measurement might be valuable in cases where PFOS is partly chemically bound or where a larger part of PFOS is present as PFOS precursor for which no analytical standard method exist</w:t>
      </w:r>
      <w:r>
        <w:t>s</w:t>
      </w:r>
      <w:r w:rsidRPr="00EC556A">
        <w:t xml:space="preserve">. </w:t>
      </w:r>
    </w:p>
    <w:p w:rsidR="00CC1C95" w:rsidRDefault="00CC1C95" w:rsidP="00EE0DB2">
      <w:r w:rsidRPr="00EC556A">
        <w:t xml:space="preserve">Most screening tools provide only poor semi-quantitative information. In case of spectroscopic approaches (WDXRF, SSS) only fluorine present at the sample surface is detected and semi-quantified. </w:t>
      </w:r>
    </w:p>
    <w:p w:rsidR="00CC1C95" w:rsidRPr="000629DA" w:rsidRDefault="00CC1C95" w:rsidP="000629DA">
      <w:r w:rsidRPr="00EC556A">
        <w:t>In case of GC-EPED</w:t>
      </w:r>
      <w:r w:rsidR="00D768F4">
        <w:t xml:space="preserve"> (</w:t>
      </w:r>
      <w:r w:rsidR="00D768F4" w:rsidRPr="00D768F4">
        <w:t>Echelle-Plasma-</w:t>
      </w:r>
      <w:r w:rsidR="00D768F4">
        <w:t>Emission</w:t>
      </w:r>
      <w:r w:rsidR="00D768F4" w:rsidRPr="00D768F4">
        <w:t>-</w:t>
      </w:r>
      <w:r w:rsidR="00D768F4">
        <w:t>Detec</w:t>
      </w:r>
      <w:r w:rsidR="00D768F4" w:rsidRPr="00D768F4">
        <w:t>tor</w:t>
      </w:r>
      <w:r w:rsidR="00D768F4">
        <w:t>)</w:t>
      </w:r>
      <w:r w:rsidRPr="00EC556A">
        <w:t xml:space="preserve"> coupled to a headspace or a purge &amp; trap sampler, mostly volatile precursors of PFOS are detected and levels of precursors do not necessarily give robust hints on PFOS levels. Fluorine </w:t>
      </w:r>
      <w:r w:rsidRPr="00EC556A">
        <w:rPr>
          <w:vertAlign w:val="superscript"/>
        </w:rPr>
        <w:t>19</w:t>
      </w:r>
      <w:r w:rsidRPr="00EC556A">
        <w:t>F NMR is a quite sensitive screening technique (LODs around 300 ng/mL solution), which can distinguish fluorine chains bound to different functional groups, such as sulpha</w:t>
      </w:r>
      <w:r w:rsidR="000629DA">
        <w:t>tes, phosphates</w:t>
      </w:r>
      <w:r w:rsidR="00B53580">
        <w:t>, acrylates</w:t>
      </w:r>
      <w:r w:rsidR="000629DA">
        <w:t xml:space="preserve"> and ethers (</w:t>
      </w:r>
      <w:r w:rsidRPr="00EC556A">
        <w:t>Trier 2011, Ellis 2004).  Another option is to make extracts of the sample, and screen for PFCs by accurate, high resolution mass spectrometry (LC-HRMS) by searching for a combination of 1) typical negative mass defects, 2) homologue series separated by 50 Da or 100 Da 3) typical perfluorinated ions (for perfluorinated compounds, such as PFOS) and/or 4) specific neutral losses, such as HF (for polyfluorina</w:t>
      </w:r>
      <w:r w:rsidR="00D768F4">
        <w:t xml:space="preserve">ted PFCs containing hydrogen). </w:t>
      </w:r>
      <w:r w:rsidRPr="00EC556A">
        <w:t>This methodology has been used to screen industrial blends and paper extracts with (</w:t>
      </w:r>
      <w:r w:rsidRPr="000629DA">
        <w:t>Trier 2011</w:t>
      </w:r>
      <w:r w:rsidR="00D768F4" w:rsidRPr="000629DA">
        <w:t>) t</w:t>
      </w:r>
      <w:r w:rsidRPr="000629DA">
        <w:t>ypical CnFm fragments (i.e. m/z 119, 131, 169, 195, 231, 331)</w:t>
      </w:r>
      <w:r w:rsidR="00D768F4" w:rsidRPr="000629DA">
        <w:t>.</w:t>
      </w:r>
    </w:p>
    <w:p w:rsidR="00CC1C95" w:rsidRPr="001149DF" w:rsidRDefault="00CC1C95" w:rsidP="00EE0DB2">
      <w:pPr>
        <w:pStyle w:val="Heading3"/>
        <w:numPr>
          <w:ilvl w:val="2"/>
          <w:numId w:val="9"/>
        </w:numPr>
        <w:tabs>
          <w:tab w:val="num" w:pos="0"/>
        </w:tabs>
        <w:snapToGrid/>
        <w:spacing w:before="240" w:after="60" w:line="276" w:lineRule="auto"/>
        <w:ind w:left="0" w:firstLine="0"/>
        <w:jc w:val="both"/>
      </w:pPr>
      <w:bookmarkStart w:id="44" w:name="_Toc349335727"/>
      <w:bookmarkStart w:id="45" w:name="_Toc305849210"/>
      <w:bookmarkStart w:id="46" w:name="_Toc305849207"/>
      <w:bookmarkStart w:id="47" w:name="_Toc305849206"/>
      <w:r>
        <w:t>Screening with the “d</w:t>
      </w:r>
      <w:r w:rsidRPr="001149DF">
        <w:t>rop tes</w:t>
      </w:r>
      <w:r>
        <w:t>t”</w:t>
      </w:r>
      <w:bookmarkEnd w:id="44"/>
    </w:p>
    <w:p w:rsidR="00CC1C95" w:rsidRPr="00891E09" w:rsidRDefault="00CC1C95" w:rsidP="00EE0DB2">
      <w:pPr>
        <w:autoSpaceDE w:val="0"/>
        <w:autoSpaceDN w:val="0"/>
        <w:adjustRightInd w:val="0"/>
        <w:ind w:firstLine="708"/>
        <w:rPr>
          <w:color w:val="000000"/>
          <w:szCs w:val="24"/>
          <w:lang w:val="en-US"/>
        </w:rPr>
      </w:pPr>
      <w:r w:rsidRPr="00891E09">
        <w:rPr>
          <w:color w:val="000000"/>
          <w:szCs w:val="24"/>
        </w:rPr>
        <w:t>When</w:t>
      </w:r>
      <w:r w:rsidRPr="00891E09">
        <w:rPr>
          <w:color w:val="000000"/>
          <w:szCs w:val="24"/>
          <w:lang w:val="en-US"/>
        </w:rPr>
        <w:t xml:space="preserve"> PFOS or other PFCs are coated on a textile substrate and exposed to water (surface tension of 72 mN/m) or oily substances (surface tensions of 20 mN/m and more), they will not spread on the textile surface (Posner 2011). This phenomenon is called “water and oil repellence” and used for water, oil and stain protection of carpets, textiles or leather. </w:t>
      </w:r>
    </w:p>
    <w:p w:rsidR="00CC1C95" w:rsidRDefault="00CC1C95" w:rsidP="00EE0DB2">
      <w:pPr>
        <w:autoSpaceDE w:val="0"/>
        <w:autoSpaceDN w:val="0"/>
        <w:adjustRightInd w:val="0"/>
      </w:pPr>
      <w:r w:rsidRPr="00883CEF">
        <w:rPr>
          <w:szCs w:val="24"/>
          <w:lang w:val="en-US"/>
        </w:rPr>
        <w:t xml:space="preserve">Most alternatives cannot achieve a surface energy lower than 22 mN/m or lower, the surface energy for oil (Posner, 2011). Materials with a high contact angle and low surface energy are therefore </w:t>
      </w:r>
      <w:r w:rsidR="00026037">
        <w:rPr>
          <w:szCs w:val="24"/>
          <w:lang w:val="en-US"/>
        </w:rPr>
        <w:t xml:space="preserve">likely </w:t>
      </w:r>
      <w:r w:rsidRPr="00883CEF">
        <w:rPr>
          <w:szCs w:val="24"/>
          <w:lang w:val="en-US"/>
        </w:rPr>
        <w:t xml:space="preserve">treated with perfluorinated substances. </w:t>
      </w:r>
      <w:r w:rsidRPr="00883CEF">
        <w:rPr>
          <w:color w:val="000000"/>
          <w:szCs w:val="24"/>
        </w:rPr>
        <w:t xml:space="preserve">Highly fluorinated surfaces can be distinguished from non-fluorinated surface treatments, if both a droplet of water and a droplet of oil put on the surface form pellets. If the oil droplet flattens out, the </w:t>
      </w:r>
      <w:r w:rsidRPr="00891E09">
        <w:rPr>
          <w:szCs w:val="24"/>
          <w:lang w:val="en-US"/>
        </w:rPr>
        <w:t xml:space="preserve">surface is likely treated with a non-fluorinated chemical (hydrocarbon surfactant or a silicone coating). The spreading of a liquid on a surface demonstrates when a fabric is being treated or not by the degree of wetting measured by the contact angle (Figure. 3-1 and 3-2).  </w:t>
      </w:r>
      <w:r>
        <w:rPr>
          <w:szCs w:val="24"/>
          <w:lang w:val="en-US"/>
        </w:rPr>
        <w:t>Contact angle</w:t>
      </w:r>
      <w:r w:rsidRPr="00883CEF">
        <w:rPr>
          <w:szCs w:val="24"/>
          <w:lang w:val="en-US"/>
        </w:rPr>
        <w:t>,</w:t>
      </w:r>
      <w:r>
        <w:rPr>
          <w:szCs w:val="24"/>
          <w:lang w:val="en-US"/>
        </w:rPr>
        <w:t xml:space="preserve"> </w:t>
      </w:r>
      <w:r w:rsidRPr="00891E09">
        <w:rPr>
          <w:szCs w:val="24"/>
          <w:lang w:val="en-US"/>
        </w:rPr>
        <w:t>θ</w:t>
      </w:r>
      <w:r w:rsidRPr="00883CEF">
        <w:rPr>
          <w:szCs w:val="24"/>
          <w:lang w:val="en-US"/>
        </w:rPr>
        <w:t>, is a quantitative measure of the wetting of a solid by a liquid. It is defined geometrically as the angle formed by a liquid at the three phase boundary where a liquid, gas and solid intersect as shown in figure 3-2.</w:t>
      </w:r>
      <w:r w:rsidRPr="00891E09">
        <w:rPr>
          <w:szCs w:val="24"/>
          <w:lang w:val="en-US"/>
        </w:rPr>
        <w:t xml:space="preserve"> It can be seen from this figure that a low values of contact angle (θ)</w:t>
      </w:r>
      <w:r w:rsidRPr="00883CEF">
        <w:rPr>
          <w:szCs w:val="24"/>
        </w:rPr>
        <w:t xml:space="preserve"> indicates that the liquid spreads, or wets well, while a high contact angle indicates poor wetting. If the angle θ is less than 90 degrees the liquid is said to wet the solid. If it is greater than 90 degrees it is</w:t>
      </w:r>
      <w:r w:rsidRPr="001149DF">
        <w:t xml:space="preserve"> said to be non-wetting. A zero contact angle represents complete wetting (Posner 2011</w:t>
      </w:r>
      <w:r w:rsidR="00026037">
        <w:t>, Kissa 2001</w:t>
      </w:r>
      <w:r w:rsidRPr="001149DF">
        <w:t>).</w:t>
      </w:r>
    </w:p>
    <w:p w:rsidR="00CC1C95" w:rsidRPr="00D768F4" w:rsidRDefault="00CC1C95" w:rsidP="00EE0DB2">
      <w:pPr>
        <w:rPr>
          <w:color w:val="000000"/>
        </w:rPr>
      </w:pPr>
      <w:r w:rsidRPr="00D768F4">
        <w:rPr>
          <w:color w:val="000000"/>
        </w:rPr>
        <w:t>The wetting angle can be used for screening of PFOS (and other PFC) treated materials.</w:t>
      </w:r>
    </w:p>
    <w:p w:rsidR="00D768F4" w:rsidRDefault="00F05101" w:rsidP="00D768F4">
      <w:pPr>
        <w:keepNext/>
        <w:spacing w:before="100" w:beforeAutospacing="1" w:after="100" w:afterAutospacing="1"/>
        <w:rPr>
          <w:noProof/>
        </w:rPr>
      </w:pPr>
      <w:r>
        <w:rPr>
          <w:noProof/>
          <w:lang w:eastAsia="en-GB"/>
        </w:rPr>
        <w:drawing>
          <wp:inline distT="0" distB="0" distL="0" distR="0">
            <wp:extent cx="5400675" cy="1590675"/>
            <wp:effectExtent l="19050" t="0" r="9525" b="0"/>
            <wp:docPr id="102" name="Bild 1" descr="SessileDrop3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SessileDrop3Angles"/>
                    <pic:cNvPicPr>
                      <a:picLocks noChangeAspect="1" noChangeArrowheads="1"/>
                    </pic:cNvPicPr>
                  </pic:nvPicPr>
                  <pic:blipFill>
                    <a:blip r:embed="rId9" cstate="print"/>
                    <a:srcRect/>
                    <a:stretch>
                      <a:fillRect/>
                    </a:stretch>
                  </pic:blipFill>
                  <pic:spPr bwMode="auto">
                    <a:xfrm>
                      <a:off x="0" y="0"/>
                      <a:ext cx="5400675" cy="1590675"/>
                    </a:xfrm>
                    <a:prstGeom prst="rect">
                      <a:avLst/>
                    </a:prstGeom>
                    <a:noFill/>
                    <a:ln w="9525">
                      <a:noFill/>
                      <a:miter lim="800000"/>
                      <a:headEnd/>
                      <a:tailEnd/>
                    </a:ln>
                  </pic:spPr>
                </pic:pic>
              </a:graphicData>
            </a:graphic>
          </wp:inline>
        </w:drawing>
      </w:r>
    </w:p>
    <w:p w:rsidR="00D768F4" w:rsidRDefault="00D768F4" w:rsidP="00D768F4">
      <w:pPr>
        <w:keepNext/>
        <w:spacing w:before="100" w:beforeAutospacing="1" w:after="100" w:afterAutospacing="1"/>
      </w:pPr>
      <w:r w:rsidRPr="0021623B">
        <w:rPr>
          <w:b/>
          <w:bCs/>
        </w:rPr>
        <w:t>Figure 3-1:</w:t>
      </w:r>
      <w:r>
        <w:t xml:space="preserve"> Contact angle </w:t>
      </w:r>
      <w:r w:rsidRPr="001149DF">
        <w:t>θ</w:t>
      </w:r>
      <w:r>
        <w:t xml:space="preserve"> categories of a droplet on a surface</w:t>
      </w:r>
    </w:p>
    <w:p w:rsidR="00D768F4" w:rsidRPr="001149DF" w:rsidRDefault="00F05101" w:rsidP="00D768F4">
      <w:pPr>
        <w:keepNext/>
        <w:rPr>
          <w:lang w:val="en-US"/>
        </w:rPr>
      </w:pPr>
      <w:r>
        <w:rPr>
          <w:noProof/>
          <w:lang w:eastAsia="en-GB"/>
        </w:rPr>
        <w:drawing>
          <wp:inline distT="0" distB="0" distL="0" distR="0">
            <wp:extent cx="5715000" cy="1171575"/>
            <wp:effectExtent l="19050" t="0" r="0" b="0"/>
            <wp:docPr id="10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0" cstate="print"/>
                    <a:srcRect/>
                    <a:stretch>
                      <a:fillRect/>
                    </a:stretch>
                  </pic:blipFill>
                  <pic:spPr bwMode="auto">
                    <a:xfrm>
                      <a:off x="0" y="0"/>
                      <a:ext cx="5715000" cy="1171575"/>
                    </a:xfrm>
                    <a:prstGeom prst="rect">
                      <a:avLst/>
                    </a:prstGeom>
                    <a:noFill/>
                    <a:ln w="9525">
                      <a:noFill/>
                      <a:miter lim="800000"/>
                      <a:headEnd/>
                      <a:tailEnd/>
                    </a:ln>
                  </pic:spPr>
                </pic:pic>
              </a:graphicData>
            </a:graphic>
          </wp:inline>
        </w:drawing>
      </w:r>
    </w:p>
    <w:p w:rsidR="00CC1C95" w:rsidRPr="00B04EBF" w:rsidRDefault="00CC1C95" w:rsidP="00EE0DB2">
      <w:pPr>
        <w:pStyle w:val="Caption"/>
        <w:spacing w:line="240" w:lineRule="auto"/>
        <w:rPr>
          <w:rFonts w:ascii="Calibri" w:hAnsi="Calibri"/>
          <w:i w:val="0"/>
          <w:sz w:val="22"/>
          <w:szCs w:val="22"/>
          <w:lang w:val="en-GB"/>
        </w:rPr>
      </w:pPr>
      <w:bookmarkStart w:id="48" w:name="_Toc311220602"/>
      <w:r w:rsidRPr="00B04EBF">
        <w:rPr>
          <w:rFonts w:ascii="Calibri" w:hAnsi="Calibri"/>
          <w:b/>
          <w:bCs/>
          <w:i w:val="0"/>
          <w:sz w:val="22"/>
          <w:szCs w:val="22"/>
          <w:lang w:val="en-GB"/>
        </w:rPr>
        <w:t>Figure 3-2:</w:t>
      </w:r>
      <w:r w:rsidRPr="00B04EBF">
        <w:rPr>
          <w:rFonts w:ascii="Calibri" w:hAnsi="Calibri"/>
          <w:i w:val="0"/>
          <w:sz w:val="22"/>
          <w:szCs w:val="22"/>
          <w:lang w:val="en-GB"/>
        </w:rPr>
        <w:t xml:space="preserve"> Contact angle versus wettability of a substrate surface. When angle </w:t>
      </w:r>
      <w:r w:rsidRPr="00B04EBF">
        <w:rPr>
          <w:rFonts w:ascii="Calibri" w:hAnsi="Calibri"/>
          <w:i w:val="0"/>
          <w:sz w:val="22"/>
          <w:szCs w:val="22"/>
        </w:rPr>
        <w:t>Θ</w:t>
      </w:r>
      <w:r w:rsidRPr="00B04EBF">
        <w:rPr>
          <w:rFonts w:ascii="Calibri" w:hAnsi="Calibri"/>
          <w:i w:val="0"/>
          <w:sz w:val="22"/>
          <w:szCs w:val="22"/>
          <w:lang w:val="en-GB"/>
        </w:rPr>
        <w:t xml:space="preserve"> is &gt; 90 ̊, liquid will not wet the surface; when angle </w:t>
      </w:r>
      <w:r w:rsidRPr="00B04EBF">
        <w:rPr>
          <w:rFonts w:ascii="Calibri" w:hAnsi="Calibri"/>
          <w:i w:val="0"/>
          <w:sz w:val="22"/>
          <w:szCs w:val="22"/>
        </w:rPr>
        <w:t>Θ</w:t>
      </w:r>
      <w:r w:rsidRPr="00B04EBF">
        <w:rPr>
          <w:rFonts w:ascii="Calibri" w:hAnsi="Calibri"/>
          <w:i w:val="0"/>
          <w:sz w:val="22"/>
          <w:szCs w:val="22"/>
          <w:lang w:val="en-GB"/>
        </w:rPr>
        <w:t xml:space="preserve"> is &lt;90 ̊, liquid will wet surface partially; when angle </w:t>
      </w:r>
      <w:r w:rsidRPr="00B04EBF">
        <w:rPr>
          <w:rFonts w:ascii="Calibri" w:hAnsi="Calibri"/>
          <w:i w:val="0"/>
          <w:sz w:val="22"/>
          <w:szCs w:val="22"/>
        </w:rPr>
        <w:t>Θ</w:t>
      </w:r>
      <w:r w:rsidRPr="00B04EBF">
        <w:rPr>
          <w:rFonts w:ascii="Calibri" w:hAnsi="Calibri"/>
          <w:i w:val="0"/>
          <w:sz w:val="22"/>
          <w:szCs w:val="22"/>
          <w:lang w:val="en-GB"/>
        </w:rPr>
        <w:t xml:space="preserve"> = 0 ̊, complete spreading &amp; wetting of the surface by the liquid. </w:t>
      </w:r>
      <w:r w:rsidRPr="00B04EBF">
        <w:rPr>
          <w:rFonts w:ascii="Calibri" w:hAnsi="Calibri"/>
          <w:i w:val="0"/>
          <w:sz w:val="22"/>
          <w:szCs w:val="22"/>
          <w:lang w:val="en-US"/>
        </w:rPr>
        <w:t>Spreading occurs only if S &gt;0. Spreading coefficient: S = γ</w:t>
      </w:r>
      <w:r w:rsidRPr="00B04EBF">
        <w:rPr>
          <w:rFonts w:ascii="Calibri" w:hAnsi="Calibri"/>
          <w:i w:val="0"/>
          <w:sz w:val="22"/>
          <w:szCs w:val="22"/>
          <w:vertAlign w:val="subscript"/>
          <w:lang w:val="en-US"/>
        </w:rPr>
        <w:t>SV</w:t>
      </w:r>
      <w:r w:rsidRPr="00B04EBF">
        <w:rPr>
          <w:rFonts w:ascii="Calibri" w:hAnsi="Calibri"/>
          <w:i w:val="0"/>
          <w:sz w:val="22"/>
          <w:szCs w:val="22"/>
          <w:lang w:val="en-US"/>
        </w:rPr>
        <w:t>-(γ</w:t>
      </w:r>
      <w:r w:rsidRPr="00B04EBF">
        <w:rPr>
          <w:rFonts w:ascii="Calibri" w:hAnsi="Calibri"/>
          <w:i w:val="0"/>
          <w:sz w:val="22"/>
          <w:szCs w:val="22"/>
          <w:vertAlign w:val="subscript"/>
          <w:lang w:val="en-US"/>
        </w:rPr>
        <w:t>LV</w:t>
      </w:r>
      <w:r w:rsidRPr="00B04EBF">
        <w:rPr>
          <w:rFonts w:ascii="Calibri" w:hAnsi="Calibri"/>
          <w:i w:val="0"/>
          <w:sz w:val="22"/>
          <w:szCs w:val="22"/>
          <w:lang w:val="en-US"/>
        </w:rPr>
        <w:t xml:space="preserve"> + γ</w:t>
      </w:r>
      <w:r w:rsidRPr="00B04EBF">
        <w:rPr>
          <w:rFonts w:ascii="Calibri" w:hAnsi="Calibri"/>
          <w:i w:val="0"/>
          <w:sz w:val="22"/>
          <w:szCs w:val="22"/>
          <w:vertAlign w:val="subscript"/>
          <w:lang w:val="en-US"/>
        </w:rPr>
        <w:t>SL</w:t>
      </w:r>
      <w:r w:rsidRPr="00B04EBF">
        <w:rPr>
          <w:rFonts w:ascii="Calibri" w:hAnsi="Calibri"/>
          <w:i w:val="0"/>
          <w:sz w:val="22"/>
          <w:szCs w:val="22"/>
          <w:lang w:val="en-US"/>
        </w:rPr>
        <w:t>)  (Posner 2011</w:t>
      </w:r>
      <w:bookmarkEnd w:id="48"/>
      <w:r w:rsidRPr="00B04EBF">
        <w:rPr>
          <w:rFonts w:ascii="Calibri" w:hAnsi="Calibri"/>
          <w:i w:val="0"/>
          <w:sz w:val="22"/>
          <w:szCs w:val="22"/>
          <w:lang w:val="en-US"/>
        </w:rPr>
        <w:t xml:space="preserve">; </w:t>
      </w:r>
      <w:r w:rsidRPr="00B04EBF">
        <w:rPr>
          <w:rFonts w:ascii="Calibri" w:hAnsi="Calibri"/>
          <w:i w:val="0"/>
          <w:sz w:val="22"/>
          <w:szCs w:val="22"/>
          <w:lang w:val="en-GB"/>
        </w:rPr>
        <w:t xml:space="preserve">S =solid, L = liquid, A = air. where </w:t>
      </w:r>
      <w:r w:rsidRPr="00B04EBF">
        <w:rPr>
          <w:rFonts w:ascii="Calibri" w:hAnsi="Calibri"/>
          <w:i w:val="0"/>
          <w:sz w:val="22"/>
          <w:szCs w:val="22"/>
        </w:rPr>
        <w:t>γ</w:t>
      </w:r>
      <w:r w:rsidRPr="00B04EBF">
        <w:rPr>
          <w:rFonts w:ascii="Calibri" w:hAnsi="Calibri"/>
          <w:i w:val="0"/>
          <w:sz w:val="22"/>
          <w:szCs w:val="22"/>
          <w:lang w:val="en-GB"/>
        </w:rPr>
        <w:t xml:space="preserve">SA = surface energy of the substrate (e.g., polymer surfaces), </w:t>
      </w:r>
      <w:r w:rsidRPr="00B04EBF">
        <w:rPr>
          <w:rFonts w:ascii="Calibri" w:hAnsi="Calibri"/>
          <w:i w:val="0"/>
          <w:sz w:val="22"/>
          <w:szCs w:val="22"/>
        </w:rPr>
        <w:t>γ</w:t>
      </w:r>
      <w:r w:rsidRPr="00B04EBF">
        <w:rPr>
          <w:rFonts w:ascii="Calibri" w:hAnsi="Calibri"/>
          <w:i w:val="0"/>
          <w:sz w:val="22"/>
          <w:szCs w:val="22"/>
          <w:lang w:val="en-GB"/>
        </w:rPr>
        <w:t xml:space="preserve">LA = surface tension of the liquid and </w:t>
      </w:r>
      <w:r w:rsidRPr="00B04EBF">
        <w:rPr>
          <w:rFonts w:ascii="Calibri" w:hAnsi="Calibri"/>
          <w:i w:val="0"/>
          <w:sz w:val="22"/>
          <w:szCs w:val="22"/>
        </w:rPr>
        <w:t>γ</w:t>
      </w:r>
      <w:r w:rsidRPr="00B04EBF">
        <w:rPr>
          <w:rFonts w:ascii="Calibri" w:hAnsi="Calibri"/>
          <w:i w:val="0"/>
          <w:sz w:val="22"/>
          <w:szCs w:val="22"/>
          <w:lang w:val="en-GB"/>
        </w:rPr>
        <w:t>SL =  interfacial tension).</w:t>
      </w:r>
    </w:p>
    <w:p w:rsidR="00CC1C95" w:rsidRPr="00D768F4" w:rsidRDefault="00CC1C95" w:rsidP="00EE0DB2">
      <w:pPr>
        <w:pStyle w:val="Heading3"/>
        <w:numPr>
          <w:ilvl w:val="2"/>
          <w:numId w:val="9"/>
        </w:numPr>
        <w:tabs>
          <w:tab w:val="num" w:pos="0"/>
        </w:tabs>
        <w:snapToGrid/>
        <w:spacing w:before="240" w:after="60" w:line="276" w:lineRule="auto"/>
        <w:ind w:left="0" w:firstLine="0"/>
        <w:jc w:val="both"/>
        <w:rPr>
          <w:rFonts w:ascii="Calibri" w:hAnsi="Calibri"/>
        </w:rPr>
      </w:pPr>
      <w:bookmarkStart w:id="49" w:name="_Toc349335728"/>
      <w:bookmarkEnd w:id="45"/>
      <w:r w:rsidRPr="00D768F4">
        <w:rPr>
          <w:rFonts w:ascii="Calibri" w:hAnsi="Calibri"/>
        </w:rPr>
        <w:t>Screening of Fluorine with WD-XRF-Analysis</w:t>
      </w:r>
      <w:bookmarkEnd w:id="46"/>
      <w:bookmarkEnd w:id="49"/>
    </w:p>
    <w:p w:rsidR="00CC1C95" w:rsidRPr="00C00AF8" w:rsidRDefault="00D768F4" w:rsidP="00EE0DB2">
      <w:pPr>
        <w:ind w:firstLine="708"/>
      </w:pPr>
      <w:r w:rsidRPr="00D768F4">
        <w:t xml:space="preserve">Wavelength dispersive XRF </w:t>
      </w:r>
      <w:r>
        <w:t>(</w:t>
      </w:r>
      <w:r w:rsidR="00193C74">
        <w:t>WD-</w:t>
      </w:r>
      <w:r>
        <w:t xml:space="preserve">XRF) </w:t>
      </w:r>
      <w:r w:rsidR="00CC1C95" w:rsidRPr="00D768F4">
        <w:t>systems are able to detect fluorine in vacuum mode. Respective systems (e.g. S8-TIGER; Bruker AXS, Karlsruhe) are used to analyse products and articles on their fluorine content. It is important to understand that for fluorine the depth of signal saturation is limited to the first micrometers, caused by the very low energy of the obtained fluorescence radiation. Applying the WD-XRF of Bruker to the fluorine screening in coated papers an LOD of 0.05% fluorine was elaborated. Taking into account, that per- or polyfluorinated side groups of large coating molecules are expected to form the outer shell of the sample matrix, the LOD of 0</w:t>
      </w:r>
      <w:r w:rsidR="00026037">
        <w:t>.</w:t>
      </w:r>
      <w:r w:rsidR="00CC1C95" w:rsidRPr="00D768F4">
        <w:t>05% is sufficient for perfluorinated structures (-C</w:t>
      </w:r>
      <w:r w:rsidR="00CC1C95" w:rsidRPr="00D768F4">
        <w:rPr>
          <w:vertAlign w:val="subscript"/>
        </w:rPr>
        <w:t>n</w:t>
      </w:r>
      <w:r w:rsidR="00CC1C95" w:rsidRPr="00D768F4">
        <w:t>F</w:t>
      </w:r>
      <w:r w:rsidR="00CC1C95" w:rsidRPr="00D768F4">
        <w:rPr>
          <w:vertAlign w:val="subscript"/>
        </w:rPr>
        <w:t>2n+1</w:t>
      </w:r>
      <w:r w:rsidR="00CC1C95" w:rsidRPr="00D768F4">
        <w:t xml:space="preserve">). If the depth of saturation reaches the non-fluorinated backbone structure of the coating molecules also, the LOD of 0.1% might be too high for very thin </w:t>
      </w:r>
      <w:r w:rsidR="00CC1C95" w:rsidRPr="00C00AF8">
        <w:t xml:space="preserve">coatings or those containing only low levels of fluorine.    </w:t>
      </w:r>
    </w:p>
    <w:p w:rsidR="00CC1C95" w:rsidRPr="00C00AF8" w:rsidRDefault="00CC1C95" w:rsidP="00EE0DB2">
      <w:pPr>
        <w:pStyle w:val="Default"/>
        <w:spacing w:line="276" w:lineRule="auto"/>
        <w:rPr>
          <w:rFonts w:ascii="Calibri" w:hAnsi="Calibri"/>
          <w:b/>
          <w:color w:val="auto"/>
          <w:sz w:val="22"/>
          <w:szCs w:val="22"/>
          <w:lang w:val="en-GB"/>
        </w:rPr>
      </w:pPr>
    </w:p>
    <w:p w:rsidR="00CC1C95" w:rsidRPr="00C00AF8" w:rsidRDefault="00CC1C95" w:rsidP="00193C74">
      <w:pPr>
        <w:pStyle w:val="Default"/>
        <w:ind w:left="1089" w:hanging="1089"/>
        <w:rPr>
          <w:rFonts w:ascii="Calibri" w:hAnsi="Calibri"/>
          <w:bCs/>
          <w:color w:val="auto"/>
          <w:position w:val="11"/>
          <w:sz w:val="22"/>
          <w:szCs w:val="22"/>
          <w:vertAlign w:val="superscript"/>
          <w:lang w:val="en-GB"/>
        </w:rPr>
      </w:pPr>
      <w:r w:rsidRPr="00C00AF8">
        <w:rPr>
          <w:rFonts w:ascii="Calibri" w:hAnsi="Calibri"/>
          <w:b/>
          <w:sz w:val="22"/>
          <w:szCs w:val="22"/>
        </w:rPr>
        <w:t xml:space="preserve">Table 2-1:  </w:t>
      </w:r>
      <w:r w:rsidRPr="00C00AF8">
        <w:rPr>
          <w:rFonts w:ascii="Calibri" w:hAnsi="Calibri"/>
          <w:bCs/>
          <w:sz w:val="22"/>
          <w:szCs w:val="22"/>
        </w:rPr>
        <w:t>WD-XRF method and operating parameters for</w:t>
      </w:r>
      <w:r w:rsidR="00193C74" w:rsidRPr="00C00AF8">
        <w:rPr>
          <w:rFonts w:ascii="Calibri" w:hAnsi="Calibri"/>
          <w:bCs/>
          <w:sz w:val="22"/>
          <w:szCs w:val="22"/>
        </w:rPr>
        <w:t xml:space="preserve"> screen-testing samples for the </w:t>
      </w:r>
      <w:r w:rsidRPr="00C00AF8">
        <w:rPr>
          <w:rFonts w:ascii="Calibri" w:hAnsi="Calibri"/>
          <w:bCs/>
          <w:sz w:val="22"/>
          <w:szCs w:val="22"/>
        </w:rPr>
        <w:t>presence of fluorine (USEPA 2009)</w:t>
      </w:r>
    </w:p>
    <w:p w:rsidR="00CC1C95" w:rsidRPr="00C00AF8" w:rsidRDefault="00CC1C95" w:rsidP="00EE0DB2">
      <w:pPr>
        <w:pStyle w:val="Default"/>
        <w:spacing w:line="276" w:lineRule="auto"/>
        <w:ind w:left="1086" w:hanging="1086"/>
        <w:rPr>
          <w:rFonts w:ascii="Calibri" w:hAnsi="Calibri"/>
          <w:b/>
          <w:color w:val="auto"/>
          <w:sz w:val="22"/>
          <w:szCs w:val="22"/>
          <w:lang w:val="en-GB"/>
        </w:rPr>
      </w:pPr>
    </w:p>
    <w:tbl>
      <w:tblPr>
        <w:tblW w:w="0" w:type="auto"/>
        <w:tblInd w:w="108" w:type="dxa"/>
        <w:tblLayout w:type="fixed"/>
        <w:tblLook w:val="0000"/>
      </w:tblPr>
      <w:tblGrid>
        <w:gridCol w:w="2822"/>
        <w:gridCol w:w="6047"/>
      </w:tblGrid>
      <w:tr w:rsidR="00CC1C95" w:rsidRPr="00C00AF8">
        <w:trPr>
          <w:trHeight w:val="137"/>
        </w:trPr>
        <w:tc>
          <w:tcPr>
            <w:tcW w:w="2822" w:type="dxa"/>
            <w:tcBorders>
              <w:top w:val="single" w:sz="4" w:space="0" w:color="auto"/>
              <w:left w:val="single" w:sz="6" w:space="0" w:color="000000"/>
              <w:bottom w:val="single" w:sz="4" w:space="0" w:color="000000"/>
              <w:right w:val="single" w:sz="6" w:space="0" w:color="000000"/>
            </w:tcBorders>
          </w:tcPr>
          <w:p w:rsidR="00CC1C95" w:rsidRPr="00C00AF8" w:rsidRDefault="00CC1C95" w:rsidP="00EE0DB2">
            <w:pPr>
              <w:pStyle w:val="Default"/>
              <w:spacing w:line="276" w:lineRule="auto"/>
              <w:rPr>
                <w:rFonts w:ascii="Calibri" w:hAnsi="Calibri"/>
                <w:sz w:val="22"/>
                <w:szCs w:val="22"/>
                <w:lang w:val="en-GB"/>
              </w:rPr>
            </w:pPr>
            <w:r w:rsidRPr="00C00AF8">
              <w:rPr>
                <w:rFonts w:ascii="Calibri" w:hAnsi="Calibri"/>
                <w:sz w:val="22"/>
                <w:szCs w:val="22"/>
              </w:rPr>
              <w:t xml:space="preserve">Instrument </w:t>
            </w:r>
          </w:p>
        </w:tc>
        <w:tc>
          <w:tcPr>
            <w:tcW w:w="6047" w:type="dxa"/>
            <w:tcBorders>
              <w:top w:val="single" w:sz="4" w:space="0" w:color="auto"/>
              <w:left w:val="single" w:sz="6" w:space="0" w:color="000000"/>
              <w:bottom w:val="single" w:sz="4" w:space="0" w:color="000000"/>
              <w:right w:val="single" w:sz="6" w:space="0" w:color="000000"/>
            </w:tcBorders>
          </w:tcPr>
          <w:p w:rsidR="00CC1C95" w:rsidRPr="00C00AF8" w:rsidRDefault="00CC1C95" w:rsidP="00EE0DB2">
            <w:pPr>
              <w:pStyle w:val="Default"/>
              <w:spacing w:line="276" w:lineRule="auto"/>
              <w:rPr>
                <w:rFonts w:ascii="Calibri" w:hAnsi="Calibri"/>
                <w:sz w:val="22"/>
                <w:szCs w:val="22"/>
                <w:lang w:val="en-GB"/>
              </w:rPr>
            </w:pPr>
            <w:r w:rsidRPr="00C00AF8">
              <w:rPr>
                <w:rFonts w:ascii="Calibri" w:hAnsi="Calibri"/>
                <w:sz w:val="22"/>
                <w:szCs w:val="22"/>
              </w:rPr>
              <w:t xml:space="preserve">Panalytical PW2404 Wavelength Dispersive (WD) X-ray Fluorescence (XRF) Spectrometer equipped with the PW2540 Sample Changer </w:t>
            </w:r>
          </w:p>
        </w:tc>
      </w:tr>
      <w:tr w:rsidR="00CC1C95" w:rsidRPr="00C00AF8">
        <w:trPr>
          <w:trHeight w:val="285"/>
        </w:trPr>
        <w:tc>
          <w:tcPr>
            <w:tcW w:w="2822" w:type="dxa"/>
            <w:tcBorders>
              <w:top w:val="single" w:sz="4" w:space="0" w:color="000000"/>
              <w:left w:val="single" w:sz="6" w:space="0" w:color="000000"/>
              <w:bottom w:val="single" w:sz="4" w:space="0" w:color="000000"/>
              <w:right w:val="single" w:sz="6" w:space="0" w:color="000000"/>
            </w:tcBorders>
            <w:vAlign w:val="center"/>
          </w:tcPr>
          <w:p w:rsidR="00CC1C95" w:rsidRPr="00C00AF8" w:rsidRDefault="00CC1C95" w:rsidP="00EE0DB2">
            <w:pPr>
              <w:pStyle w:val="Default"/>
              <w:spacing w:line="276" w:lineRule="auto"/>
              <w:rPr>
                <w:rFonts w:ascii="Calibri" w:hAnsi="Calibri"/>
                <w:sz w:val="22"/>
                <w:szCs w:val="22"/>
                <w:lang w:val="en-GB"/>
              </w:rPr>
            </w:pPr>
            <w:r w:rsidRPr="00C00AF8">
              <w:rPr>
                <w:rFonts w:ascii="Calibri" w:hAnsi="Calibri"/>
                <w:sz w:val="22"/>
                <w:szCs w:val="22"/>
              </w:rPr>
              <w:t xml:space="preserve">Software </w:t>
            </w:r>
          </w:p>
        </w:tc>
        <w:tc>
          <w:tcPr>
            <w:tcW w:w="6047" w:type="dxa"/>
            <w:tcBorders>
              <w:top w:val="single" w:sz="4" w:space="0" w:color="000000"/>
              <w:left w:val="single" w:sz="6" w:space="0" w:color="000000"/>
              <w:bottom w:val="single" w:sz="4" w:space="0" w:color="000000"/>
              <w:right w:val="single" w:sz="6" w:space="0" w:color="000000"/>
            </w:tcBorders>
          </w:tcPr>
          <w:p w:rsidR="00CC1C95" w:rsidRPr="00C00AF8" w:rsidRDefault="00CC1C95" w:rsidP="00EE0DB2">
            <w:pPr>
              <w:pStyle w:val="Default"/>
              <w:spacing w:line="276" w:lineRule="auto"/>
              <w:rPr>
                <w:rFonts w:ascii="Calibri" w:hAnsi="Calibri"/>
                <w:sz w:val="22"/>
                <w:szCs w:val="22"/>
                <w:lang w:val="en-GB"/>
              </w:rPr>
            </w:pPr>
            <w:r w:rsidRPr="00C00AF8">
              <w:rPr>
                <w:rFonts w:ascii="Calibri" w:hAnsi="Calibri"/>
                <w:sz w:val="22"/>
                <w:szCs w:val="22"/>
              </w:rPr>
              <w:t xml:space="preserve">SuperQ (Panalytical) for instrument control IQ+ (Panalytical) for calibration and quantification </w:t>
            </w:r>
          </w:p>
        </w:tc>
      </w:tr>
      <w:tr w:rsidR="00CC1C95" w:rsidRPr="00C00AF8">
        <w:trPr>
          <w:trHeight w:val="142"/>
        </w:trPr>
        <w:tc>
          <w:tcPr>
            <w:tcW w:w="2822" w:type="dxa"/>
            <w:tcBorders>
              <w:top w:val="single" w:sz="4" w:space="0" w:color="000000"/>
              <w:left w:val="single" w:sz="6" w:space="0" w:color="000000"/>
              <w:bottom w:val="single" w:sz="4" w:space="0" w:color="000000"/>
              <w:right w:val="single" w:sz="6" w:space="0" w:color="000000"/>
            </w:tcBorders>
            <w:vAlign w:val="center"/>
          </w:tcPr>
          <w:p w:rsidR="00CC1C95" w:rsidRPr="00C00AF8" w:rsidRDefault="00CC1C95" w:rsidP="00EE0DB2">
            <w:pPr>
              <w:pStyle w:val="Default"/>
              <w:spacing w:line="276" w:lineRule="auto"/>
              <w:rPr>
                <w:rFonts w:ascii="Calibri" w:hAnsi="Calibri"/>
                <w:sz w:val="22"/>
                <w:szCs w:val="22"/>
                <w:lang w:val="en-GB"/>
              </w:rPr>
            </w:pPr>
            <w:r w:rsidRPr="00C00AF8">
              <w:rPr>
                <w:rFonts w:ascii="Calibri" w:hAnsi="Calibri"/>
                <w:sz w:val="22"/>
                <w:szCs w:val="22"/>
              </w:rPr>
              <w:t xml:space="preserve">Power of X-ray tube </w:t>
            </w:r>
          </w:p>
        </w:tc>
        <w:tc>
          <w:tcPr>
            <w:tcW w:w="6047" w:type="dxa"/>
            <w:tcBorders>
              <w:top w:val="single" w:sz="4" w:space="0" w:color="000000"/>
              <w:left w:val="single" w:sz="6" w:space="0" w:color="000000"/>
              <w:bottom w:val="single" w:sz="4" w:space="0" w:color="000000"/>
              <w:right w:val="single" w:sz="6" w:space="0" w:color="000000"/>
            </w:tcBorders>
            <w:vAlign w:val="center"/>
          </w:tcPr>
          <w:p w:rsidR="00CC1C95" w:rsidRPr="00C00AF8" w:rsidRDefault="00CC1C95" w:rsidP="00EE0DB2">
            <w:pPr>
              <w:pStyle w:val="Default"/>
              <w:spacing w:line="276" w:lineRule="auto"/>
              <w:rPr>
                <w:rFonts w:ascii="Calibri" w:hAnsi="Calibri"/>
                <w:sz w:val="22"/>
                <w:szCs w:val="22"/>
                <w:lang w:val="en-GB"/>
              </w:rPr>
            </w:pPr>
            <w:r w:rsidRPr="00C00AF8">
              <w:rPr>
                <w:rFonts w:ascii="Calibri" w:hAnsi="Calibri"/>
                <w:sz w:val="22"/>
                <w:szCs w:val="22"/>
              </w:rPr>
              <w:t xml:space="preserve">4000 watts </w:t>
            </w:r>
          </w:p>
        </w:tc>
      </w:tr>
      <w:tr w:rsidR="00CC1C95" w:rsidRPr="00C00AF8">
        <w:trPr>
          <w:trHeight w:val="142"/>
        </w:trPr>
        <w:tc>
          <w:tcPr>
            <w:tcW w:w="2822" w:type="dxa"/>
            <w:tcBorders>
              <w:top w:val="single" w:sz="4" w:space="0" w:color="000000"/>
              <w:left w:val="single" w:sz="6" w:space="0" w:color="000000"/>
              <w:bottom w:val="single" w:sz="4" w:space="0" w:color="000000"/>
              <w:right w:val="single" w:sz="6" w:space="0" w:color="000000"/>
            </w:tcBorders>
            <w:vAlign w:val="center"/>
          </w:tcPr>
          <w:p w:rsidR="00CC1C95" w:rsidRPr="00C00AF8" w:rsidRDefault="00CC1C95" w:rsidP="00EE0DB2">
            <w:pPr>
              <w:pStyle w:val="Default"/>
              <w:spacing w:line="276" w:lineRule="auto"/>
              <w:rPr>
                <w:rFonts w:ascii="Calibri" w:hAnsi="Calibri"/>
                <w:sz w:val="22"/>
                <w:szCs w:val="22"/>
                <w:lang w:val="en-GB"/>
              </w:rPr>
            </w:pPr>
            <w:r w:rsidRPr="00C00AF8">
              <w:rPr>
                <w:rFonts w:ascii="Calibri" w:hAnsi="Calibri"/>
                <w:sz w:val="22"/>
                <w:szCs w:val="22"/>
              </w:rPr>
              <w:t xml:space="preserve">Measurement atmosphere </w:t>
            </w:r>
          </w:p>
        </w:tc>
        <w:tc>
          <w:tcPr>
            <w:tcW w:w="6047" w:type="dxa"/>
            <w:tcBorders>
              <w:top w:val="single" w:sz="4" w:space="0" w:color="000000"/>
              <w:left w:val="single" w:sz="6" w:space="0" w:color="000000"/>
              <w:bottom w:val="single" w:sz="4" w:space="0" w:color="000000"/>
              <w:right w:val="single" w:sz="6" w:space="0" w:color="000000"/>
            </w:tcBorders>
            <w:vAlign w:val="center"/>
          </w:tcPr>
          <w:p w:rsidR="00CC1C95" w:rsidRPr="00C00AF8" w:rsidRDefault="00CC1C95" w:rsidP="00EE0DB2">
            <w:pPr>
              <w:pStyle w:val="Default"/>
              <w:spacing w:line="276" w:lineRule="auto"/>
              <w:rPr>
                <w:rFonts w:ascii="Calibri" w:hAnsi="Calibri"/>
                <w:sz w:val="22"/>
                <w:szCs w:val="22"/>
                <w:lang w:val="en-GB"/>
              </w:rPr>
            </w:pPr>
            <w:r w:rsidRPr="00C00AF8">
              <w:rPr>
                <w:rFonts w:ascii="Calibri" w:hAnsi="Calibri"/>
                <w:sz w:val="22"/>
                <w:szCs w:val="22"/>
              </w:rPr>
              <w:t xml:space="preserve">Vacuum (&lt;10 mb) or under helium atmosphere </w:t>
            </w:r>
          </w:p>
        </w:tc>
      </w:tr>
      <w:tr w:rsidR="00CC1C95" w:rsidRPr="00D768F4">
        <w:trPr>
          <w:trHeight w:val="137"/>
        </w:trPr>
        <w:tc>
          <w:tcPr>
            <w:tcW w:w="2822" w:type="dxa"/>
            <w:tcBorders>
              <w:top w:val="single" w:sz="4" w:space="0" w:color="000000"/>
              <w:left w:val="single" w:sz="6" w:space="0" w:color="000000"/>
              <w:bottom w:val="single" w:sz="4" w:space="0" w:color="auto"/>
              <w:right w:val="single" w:sz="6" w:space="0" w:color="000000"/>
            </w:tcBorders>
          </w:tcPr>
          <w:p w:rsidR="00CC1C95" w:rsidRPr="00C00AF8" w:rsidRDefault="00CC1C95" w:rsidP="00EE0DB2">
            <w:pPr>
              <w:pStyle w:val="Default"/>
              <w:spacing w:line="276" w:lineRule="auto"/>
              <w:rPr>
                <w:rFonts w:ascii="Calibri" w:hAnsi="Calibri"/>
                <w:sz w:val="22"/>
                <w:szCs w:val="22"/>
                <w:lang w:val="en-GB"/>
              </w:rPr>
            </w:pPr>
            <w:r w:rsidRPr="00C00AF8">
              <w:rPr>
                <w:rFonts w:ascii="Calibri" w:hAnsi="Calibri"/>
                <w:sz w:val="22"/>
                <w:szCs w:val="22"/>
              </w:rPr>
              <w:t xml:space="preserve">Scan method </w:t>
            </w:r>
          </w:p>
        </w:tc>
        <w:tc>
          <w:tcPr>
            <w:tcW w:w="6047" w:type="dxa"/>
            <w:tcBorders>
              <w:top w:val="single" w:sz="4" w:space="0" w:color="000000"/>
              <w:left w:val="single" w:sz="6" w:space="0" w:color="000000"/>
              <w:bottom w:val="single" w:sz="4" w:space="0" w:color="auto"/>
              <w:right w:val="single" w:sz="6" w:space="0" w:color="000000"/>
            </w:tcBorders>
          </w:tcPr>
          <w:p w:rsidR="00CC1C95" w:rsidRPr="00C00AF8" w:rsidRDefault="00CC1C95" w:rsidP="00EE0DB2">
            <w:pPr>
              <w:pStyle w:val="Default"/>
              <w:spacing w:line="276" w:lineRule="auto"/>
              <w:rPr>
                <w:rFonts w:ascii="Calibri" w:hAnsi="Calibri"/>
                <w:sz w:val="22"/>
                <w:szCs w:val="22"/>
                <w:lang w:val="en-GB"/>
              </w:rPr>
            </w:pPr>
            <w:r w:rsidRPr="00C00AF8">
              <w:rPr>
                <w:rFonts w:ascii="Calibri" w:hAnsi="Calibri"/>
                <w:sz w:val="22"/>
                <w:szCs w:val="22"/>
              </w:rPr>
              <w:t xml:space="preserve">A continuous scan mode followed by fluorine-specific data collection at the peak fluorine wavelength for an additional 10 second measurement. </w:t>
            </w:r>
          </w:p>
        </w:tc>
      </w:tr>
    </w:tbl>
    <w:p w:rsidR="00CC1C95" w:rsidRPr="00C00AF8" w:rsidRDefault="00CC1C95" w:rsidP="00EE0DB2">
      <w:pPr>
        <w:pStyle w:val="Default"/>
        <w:spacing w:line="276" w:lineRule="auto"/>
        <w:rPr>
          <w:rFonts w:ascii="Calibri" w:hAnsi="Calibri"/>
          <w:sz w:val="22"/>
          <w:szCs w:val="22"/>
          <w:lang w:val="en-GB" w:eastAsia="nb-NO"/>
        </w:rPr>
      </w:pPr>
      <w:r w:rsidRPr="00C00AF8">
        <w:rPr>
          <w:rFonts w:ascii="Calibri" w:hAnsi="Calibri"/>
          <w:position w:val="11"/>
          <w:sz w:val="22"/>
          <w:szCs w:val="22"/>
          <w:vertAlign w:val="superscript"/>
        </w:rPr>
        <w:t xml:space="preserve">a </w:t>
      </w:r>
      <w:r w:rsidRPr="00C00AF8">
        <w:rPr>
          <w:rFonts w:ascii="Calibri" w:hAnsi="Calibri"/>
          <w:sz w:val="22"/>
          <w:szCs w:val="22"/>
        </w:rPr>
        <w:t>Liquid samples were tested on filters by wetting a 47-mm paper filter (Whatman) with approximately 0.5 mL sample, and then air drying the filter under an aluminum foil cover.</w:t>
      </w:r>
    </w:p>
    <w:p w:rsidR="00CC1C95" w:rsidRPr="00C00AF8" w:rsidRDefault="00CC1C95" w:rsidP="00EE0DB2"/>
    <w:p w:rsidR="00CC1C95" w:rsidRPr="00EC556A" w:rsidRDefault="00CC1C95" w:rsidP="00EE0DB2">
      <w:pPr>
        <w:pStyle w:val="Heading3"/>
        <w:numPr>
          <w:ilvl w:val="2"/>
          <w:numId w:val="9"/>
        </w:numPr>
        <w:tabs>
          <w:tab w:val="num" w:pos="0"/>
        </w:tabs>
        <w:snapToGrid/>
        <w:spacing w:before="240" w:after="60" w:line="276" w:lineRule="auto"/>
        <w:ind w:left="0" w:firstLine="0"/>
        <w:jc w:val="both"/>
      </w:pPr>
      <w:bookmarkStart w:id="50" w:name="_Toc349335729"/>
      <w:r w:rsidRPr="00EC556A">
        <w:t xml:space="preserve">Fluorine screening with </w:t>
      </w:r>
      <w:r w:rsidRPr="00EC556A">
        <w:rPr>
          <w:vertAlign w:val="superscript"/>
        </w:rPr>
        <w:t>19</w:t>
      </w:r>
      <w:r w:rsidRPr="00EC556A">
        <w:t>F NMR spectroscopy (Trier 2011</w:t>
      </w:r>
      <w:r w:rsidRPr="00EC556A">
        <w:rPr>
          <w:rStyle w:val="FootnoteReference"/>
        </w:rPr>
        <w:footnoteReference w:id="15"/>
      </w:r>
      <w:r w:rsidRPr="00EC556A">
        <w:t>, Ellis et al. 2000</w:t>
      </w:r>
      <w:r w:rsidRPr="00EC556A">
        <w:rPr>
          <w:rStyle w:val="FootnoteReference"/>
        </w:rPr>
        <w:footnoteReference w:id="16"/>
      </w:r>
      <w:r w:rsidRPr="00EC556A">
        <w:t>)</w:t>
      </w:r>
      <w:bookmarkEnd w:id="50"/>
    </w:p>
    <w:p w:rsidR="00CC1C95" w:rsidRDefault="00CC1C95" w:rsidP="00EE0DB2">
      <w:pPr>
        <w:ind w:firstLine="708"/>
      </w:pPr>
      <w:r w:rsidRPr="00EC556A">
        <w:t xml:space="preserve">Fluorine has an uneven number of protons, and hence has an unpaired proton with spin ½, which couples electromagnetically upon being exposed to a magnetic field.  Fluorine is furthermore monoisotopic, and has a high sensitivity (81% compared to Hydrogen).  This, together with the high numbers of fluorine present in PFOS and other PFCs, makes </w:t>
      </w:r>
      <w:r w:rsidRPr="00EC556A">
        <w:rPr>
          <w:rFonts w:ascii="(Asiatische Schriftart verwende" w:hAnsi="(Asiatische Schriftart verwende"/>
          <w:vertAlign w:val="superscript"/>
        </w:rPr>
        <w:t>19</w:t>
      </w:r>
      <w:r w:rsidRPr="00EC556A">
        <w:t xml:space="preserve">F </w:t>
      </w:r>
      <w:r>
        <w:t xml:space="preserve">NMR is </w:t>
      </w:r>
      <w:r w:rsidRPr="00EC556A">
        <w:t>a sensitive screening technique, capable of screening down to approximately 300 ng/mL (ppb) in samples of e.g. paper and board (Trier 2011).</w:t>
      </w:r>
    </w:p>
    <w:p w:rsidR="00CC1C95" w:rsidRPr="00EC556A" w:rsidRDefault="00CC1C95" w:rsidP="00C00AF8">
      <w:r w:rsidRPr="00EC556A">
        <w:t xml:space="preserve">Extracts of samples, containing no particulates, are made </w:t>
      </w:r>
      <w:r>
        <w:t>with</w:t>
      </w:r>
      <w:r w:rsidRPr="00EC556A">
        <w:t xml:space="preserve"> organic solvents and evaporated down to approximately 100 </w:t>
      </w:r>
      <w:r w:rsidRPr="00EC556A">
        <w:sym w:font="Symbol" w:char="F06D"/>
      </w:r>
      <w:r w:rsidRPr="00EC556A">
        <w:t>L, and redissolved in deuterated solvent (e.g. MeOD), so that max. 10% of the solvent is hydrogenated (e.g. H</w:t>
      </w:r>
      <w:r w:rsidRPr="00EC556A">
        <w:rPr>
          <w:vertAlign w:val="subscript"/>
        </w:rPr>
        <w:t>2</w:t>
      </w:r>
      <w:r w:rsidRPr="00EC556A">
        <w:t xml:space="preserve">O or MeOH).  The samples are analysed on an NMR instrument (minimum 500 MHz) equipped with a dual H-F probe, and scans up to 24 hours are acquired. </w:t>
      </w:r>
      <w:r w:rsidR="00C00AF8" w:rsidRPr="00C00AF8">
        <w:t>Cr(III) acetate</w:t>
      </w:r>
      <w:r w:rsidR="00C00AF8">
        <w:t xml:space="preserve"> </w:t>
      </w:r>
      <w:r w:rsidRPr="00EC556A">
        <w:t>is added as relaxation agent, and an internal standard with chemical shifts of the PFOS or other PFC analytes is added too (Ellis et al. 2000; Trier 2011). The screening can be made semi-quantitative, and is capable of detection unknown organofluorines.  The instrumentation is highly specialised, costly and immobile.</w:t>
      </w:r>
    </w:p>
    <w:p w:rsidR="00CC1C95" w:rsidRPr="00EC556A" w:rsidRDefault="00CC1C95" w:rsidP="00EE0DB2">
      <w:pPr>
        <w:pStyle w:val="Heading3"/>
        <w:numPr>
          <w:ilvl w:val="2"/>
          <w:numId w:val="9"/>
        </w:numPr>
        <w:tabs>
          <w:tab w:val="num" w:pos="0"/>
        </w:tabs>
        <w:snapToGrid/>
        <w:spacing w:before="240" w:after="60" w:line="276" w:lineRule="auto"/>
        <w:ind w:left="0" w:firstLine="0"/>
        <w:jc w:val="both"/>
      </w:pPr>
      <w:bookmarkStart w:id="51" w:name="_Toc349335730"/>
      <w:r w:rsidRPr="00EC556A">
        <w:t>Screening of Fluorine: Sliding spark spectroscopy (</w:t>
      </w:r>
      <w:hyperlink r:id="rId11" w:history="1">
        <w:r w:rsidRPr="00026037">
          <w:t>Wolz et al. 2011</w:t>
        </w:r>
      </w:hyperlink>
      <w:r w:rsidRPr="00EC556A">
        <w:t>)</w:t>
      </w:r>
      <w:bookmarkEnd w:id="47"/>
      <w:r w:rsidRPr="00EC556A">
        <w:rPr>
          <w:rStyle w:val="FootnoteReference"/>
        </w:rPr>
        <w:footnoteReference w:id="17"/>
      </w:r>
      <w:bookmarkEnd w:id="51"/>
    </w:p>
    <w:p w:rsidR="00CC1C95" w:rsidRPr="00EC556A" w:rsidRDefault="00CC1C95" w:rsidP="00EE0DB2">
      <w:pPr>
        <w:ind w:firstLine="708"/>
      </w:pPr>
      <w:bookmarkStart w:id="52" w:name="_Toc305849208"/>
      <w:r w:rsidRPr="00EC556A">
        <w:t>The basic principle of the method is the thermal vaporization of a small amount of the sample surface using a train of defined high-current sliding sparks (Seidel et al., 1993)</w:t>
      </w:r>
      <w:r w:rsidRPr="00EC556A">
        <w:rPr>
          <w:rStyle w:val="FootnoteReference"/>
        </w:rPr>
        <w:footnoteReference w:id="18"/>
      </w:r>
      <w:r w:rsidRPr="00EC556A">
        <w:t>. The material components in the spark plasma are vaporized, atomized and activated to emit radiation. Software analysis of the delivered spectra gives information on the content of elementary fluorine on top of the surface. For fluorine a typical double-peak at a wavelength of about 350 nm is obtained. In defining special hardware setup, it is possible to get the absolute intensities of the fluorine emission line. The measurement is repeatedly done at different sites of the sample surface. The system is mobile and can detect organofluorine (as PFOS) at a concentration of approximately 0.1%.</w:t>
      </w:r>
    </w:p>
    <w:p w:rsidR="00CC1C95" w:rsidRPr="00EC556A" w:rsidRDefault="00CC1C95" w:rsidP="00EE0DB2">
      <w:pPr>
        <w:pStyle w:val="Heading3"/>
        <w:numPr>
          <w:ilvl w:val="2"/>
          <w:numId w:val="9"/>
        </w:numPr>
        <w:tabs>
          <w:tab w:val="num" w:pos="0"/>
        </w:tabs>
        <w:snapToGrid/>
        <w:spacing w:before="240" w:after="60" w:line="276" w:lineRule="auto"/>
        <w:ind w:left="0" w:firstLine="0"/>
        <w:jc w:val="both"/>
      </w:pPr>
      <w:bookmarkStart w:id="53" w:name="_Toc349335731"/>
      <w:r w:rsidRPr="00EC556A">
        <w:t>Screening of Fluorine: P&amp;T-GC-EPED</w:t>
      </w:r>
      <w:bookmarkEnd w:id="52"/>
      <w:r w:rsidRPr="00EC556A">
        <w:t xml:space="preserve"> (</w:t>
      </w:r>
      <w:hyperlink r:id="rId12" w:history="1">
        <w:r w:rsidRPr="00026037">
          <w:t>Wolz et al. 2011</w:t>
        </w:r>
      </w:hyperlink>
      <w:r w:rsidRPr="00EC556A">
        <w:t>)</w:t>
      </w:r>
      <w:bookmarkEnd w:id="53"/>
    </w:p>
    <w:p w:rsidR="00CC1C95" w:rsidRPr="00EC556A" w:rsidRDefault="00CC1C95" w:rsidP="009E6005">
      <w:r w:rsidRPr="00EC556A">
        <w:t>A Plasma Emission Detector with Echelle Spectrometer (EPED, IMT Innovative Messtechnik GmbH) coupled with gas chromatography (AG6890, Agilent) and a purge &amp; trap sampler (PTA3000, IMT, Moosbach) can also be used for screening of volatile organofluorine compounds. The EPED detector combines a long term stable pulsing plasma cell with a high resolution Echelle spectrometer.</w:t>
      </w:r>
      <w:r>
        <w:t xml:space="preserve"> </w:t>
      </w:r>
      <w:r w:rsidRPr="00EC556A">
        <w:t>The resulting multi-element gas chromatographic detector shows high sensitivity and selectivity for sulphur and the halogens chlorine, bromine, fluorine and iodine with detection limits for the above elements &lt; 10 pg/s corresponding to approx. 100 pg</w:t>
      </w:r>
      <w:r w:rsidRPr="00EC556A">
        <w:rPr>
          <w:rStyle w:val="FootnoteReference"/>
        </w:rPr>
        <w:footnoteReference w:id="19"/>
      </w:r>
      <w:r w:rsidRPr="00EC556A">
        <w:t xml:space="preserve"> (peak width of 10 sec) and a linearity about 3-4 orders of magnitude.</w:t>
      </w:r>
      <w:r w:rsidR="00026037">
        <w:t xml:space="preserve"> </w:t>
      </w:r>
      <w:r w:rsidRPr="00EC556A">
        <w:t>The equipment is stationary in laboratory and not mobile.</w:t>
      </w:r>
    </w:p>
    <w:p w:rsidR="00CC1C95" w:rsidRPr="00EC556A" w:rsidRDefault="00CC1C95" w:rsidP="00C00AF8">
      <w:pPr>
        <w:pStyle w:val="Heading3"/>
        <w:numPr>
          <w:ilvl w:val="2"/>
          <w:numId w:val="9"/>
        </w:numPr>
        <w:tabs>
          <w:tab w:val="num" w:pos="0"/>
        </w:tabs>
        <w:snapToGrid/>
        <w:spacing w:before="240" w:after="60" w:line="276" w:lineRule="auto"/>
        <w:ind w:left="0" w:firstLine="0"/>
        <w:jc w:val="both"/>
      </w:pPr>
      <w:bookmarkStart w:id="54" w:name="_Toc349335732"/>
      <w:r w:rsidRPr="00EC556A">
        <w:t xml:space="preserve">Screening of PFOS and </w:t>
      </w:r>
      <w:r w:rsidR="00C00AF8">
        <w:t>related substances</w:t>
      </w:r>
      <w:r w:rsidRPr="00EC556A">
        <w:t>: HS-GC-EI-MS or HS-GC-CI-MS</w:t>
      </w:r>
      <w:bookmarkEnd w:id="54"/>
    </w:p>
    <w:p w:rsidR="00CC1C95" w:rsidRDefault="00CC1C95" w:rsidP="00EE0DB2">
      <w:pPr>
        <w:ind w:firstLine="708"/>
      </w:pPr>
      <w:r w:rsidRPr="00EC556A">
        <w:t xml:space="preserve">A more sophisticated screening tool is a headspace sampler connected to a GC-MS system. About 1 dm² of the material is placed into a 10 ml headspace vial. At a temperature of 150°C volatile PFOS precursor compounds are released into the headspace. An aliquot of the headspace volume is transferred onto a GC column and detected by EI-MS after chromatographic separation. Typical CnFm fragments (i.e. m/z 119, 131, 169, 195, 231, 331) are then monitored in order to identify the presence of organofluorinated compounds. If run with chemical ionisation even molecular ions can be detected enabling an identification of the detected PFC. </w:t>
      </w:r>
    </w:p>
    <w:p w:rsidR="00CC1C95" w:rsidRDefault="00CC1C95" w:rsidP="00EE0DB2">
      <w:r w:rsidRPr="00EC556A">
        <w:t>The equipment is stationary in laboratory. It allows a high throughput of samples for screening of volatile PFOS precursors.</w:t>
      </w:r>
    </w:p>
    <w:p w:rsidR="00CC1C95" w:rsidRPr="00EC556A" w:rsidRDefault="00CC1C95" w:rsidP="00C00AF8">
      <w:pPr>
        <w:pStyle w:val="Heading3"/>
        <w:numPr>
          <w:ilvl w:val="2"/>
          <w:numId w:val="9"/>
        </w:numPr>
        <w:tabs>
          <w:tab w:val="num" w:pos="0"/>
        </w:tabs>
        <w:snapToGrid/>
        <w:spacing w:before="240" w:after="60" w:line="276" w:lineRule="auto"/>
        <w:ind w:left="0" w:firstLine="0"/>
        <w:jc w:val="both"/>
      </w:pPr>
      <w:bookmarkStart w:id="55" w:name="_Toc349335733"/>
      <w:r w:rsidRPr="00EC556A">
        <w:t xml:space="preserve">Screening of </w:t>
      </w:r>
      <w:r w:rsidR="00C00AF8" w:rsidRPr="00C00AF8">
        <w:t>PFOS and related substances</w:t>
      </w:r>
      <w:r w:rsidRPr="00EC556A">
        <w:t xml:space="preserve"> in articles with DART-TOF MS</w:t>
      </w:r>
      <w:bookmarkEnd w:id="55"/>
    </w:p>
    <w:p w:rsidR="00CC1C95" w:rsidRPr="00EC556A" w:rsidRDefault="00CC1C95" w:rsidP="00EE0DB2">
      <w:pPr>
        <w:ind w:firstLine="708"/>
      </w:pPr>
      <w:r w:rsidRPr="00EC556A">
        <w:t xml:space="preserve">The Direct Analysis in Real Time (DART) - Time of flight (TOF) mass spectrometer (DART-TOF MS) couples the DART ion source with the high-resolution, accurate mass capability of a time-of-flight (TOF) mass spectrometer. </w:t>
      </w:r>
    </w:p>
    <w:p w:rsidR="00CC1C95" w:rsidRDefault="00CC1C95" w:rsidP="00EE0DB2">
      <w:r w:rsidRPr="00EC556A">
        <w:t>The sample is placed in its native form between the DART ion source and the TOF mass spectrometer inlet. The DART source ioni</w:t>
      </w:r>
      <w:r>
        <w:t>s</w:t>
      </w:r>
      <w:r w:rsidRPr="00EC556A">
        <w:t xml:space="preserve">es the sample. Typically no solvents or sample preparation are required. With DART MS chemical composition is determined and high-resolution accurate mass spectra are produced. </w:t>
      </w:r>
    </w:p>
    <w:p w:rsidR="00CC1C95" w:rsidRPr="00EC556A" w:rsidRDefault="00CC1C95" w:rsidP="00EE0DB2">
      <w:r w:rsidRPr="00EC556A">
        <w:t>While the technology has been applied for screening of PFCs on paper (DiPAPS up to 1500 Dalton) (Ackerman et al. 2009)</w:t>
      </w:r>
      <w:r w:rsidRPr="00EC556A">
        <w:rPr>
          <w:rStyle w:val="FootnoteReference"/>
        </w:rPr>
        <w:footnoteReference w:id="20"/>
      </w:r>
      <w:r w:rsidRPr="00EC556A">
        <w:t xml:space="preserve"> there is currently no monitoring of PFOS and precursors reported, partly due to the specialised ionisation device/cost of this method.</w:t>
      </w:r>
    </w:p>
    <w:p w:rsidR="00CC1C95" w:rsidRPr="00EC556A" w:rsidRDefault="00CC1C95" w:rsidP="00EE0DB2">
      <w:pPr>
        <w:pStyle w:val="Heading3"/>
        <w:numPr>
          <w:ilvl w:val="2"/>
          <w:numId w:val="9"/>
        </w:numPr>
        <w:tabs>
          <w:tab w:val="num" w:pos="0"/>
        </w:tabs>
        <w:snapToGrid/>
        <w:spacing w:before="240" w:after="60" w:line="276" w:lineRule="auto"/>
        <w:ind w:left="0" w:firstLine="0"/>
        <w:jc w:val="both"/>
      </w:pPr>
      <w:bookmarkStart w:id="56" w:name="_Toc349335734"/>
      <w:r w:rsidRPr="00EC556A">
        <w:t>Screening of PFOS and PFCs in articles with accurate mass by HRMS</w:t>
      </w:r>
      <w:bookmarkEnd w:id="56"/>
    </w:p>
    <w:p w:rsidR="00CC1C95" w:rsidRDefault="00CC1C95" w:rsidP="000629DA">
      <w:pPr>
        <w:ind w:firstLine="708"/>
      </w:pPr>
      <w:r w:rsidRPr="00EC556A">
        <w:t xml:space="preserve">Filtered extracts can be screened for the presence of organofluorines (solunble in LC eluents) by high-resolution, accurate mass (Quadrupole) Time-of-flight (TOF) mass spectrometry. The search starts with a screening for 1) typical negative mass defects, i.e. the ions have </w:t>
      </w:r>
      <w:r w:rsidRPr="00EC556A">
        <w:rPr>
          <w:i/>
        </w:rPr>
        <w:t>m/z</w:t>
      </w:r>
      <w:r w:rsidRPr="00EC556A">
        <w:t xml:space="preserve"> just below nominal mass, e.g. 412.99 instead of 413.00. The m/z of the suspect compounds is then used to make EICs (extracted ion chromatograms) to see if they belong to a homologue series separated by 50 Da or 100 Da.  The spectra can also be checked for the presence of 3) typical perfluorinated ions (CnFm fragments (i.e. </w:t>
      </w:r>
      <w:r w:rsidRPr="00EC556A">
        <w:rPr>
          <w:i/>
        </w:rPr>
        <w:t>m/z</w:t>
      </w:r>
      <w:r w:rsidRPr="00EC556A">
        <w:t xml:space="preserve"> 119, 169, 219, 269, etc. – these ions are prevalent for perfluorinated compounds, such as PFOS) and/or 4) specific neutral losses, such as HF (loss of n times HF (20 Da), i.e. look for losses of  20, 40, 60, 80 Da – typical losses for polyfluorinated PFC containing hydrogen). </w:t>
      </w:r>
    </w:p>
    <w:p w:rsidR="00CC1C95" w:rsidRDefault="00CC1C95" w:rsidP="000629DA">
      <w:r w:rsidRPr="00EC556A">
        <w:t>This methodology has been used to screen industrial blends and paper extracts (</w:t>
      </w:r>
      <w:r w:rsidR="000629DA">
        <w:t>Trier 2011).</w:t>
      </w:r>
      <w:r w:rsidRPr="00EC556A">
        <w:t xml:space="preserve"> The method is fast, simple and specific, but the instrumentation is costly and not mobile. </w:t>
      </w:r>
    </w:p>
    <w:p w:rsidR="00CC1C95" w:rsidRPr="00EC556A" w:rsidRDefault="00CC1C95" w:rsidP="00EE0DB2">
      <w:pPr>
        <w:pStyle w:val="Heading2"/>
        <w:numPr>
          <w:ilvl w:val="1"/>
          <w:numId w:val="9"/>
        </w:numPr>
        <w:tabs>
          <w:tab w:val="num" w:pos="993"/>
        </w:tabs>
        <w:snapToGrid/>
        <w:spacing w:before="240" w:after="60" w:line="276" w:lineRule="auto"/>
        <w:ind w:left="993" w:firstLine="0"/>
        <w:jc w:val="both"/>
        <w:rPr>
          <w:sz w:val="26"/>
          <w:szCs w:val="26"/>
        </w:rPr>
      </w:pPr>
      <w:bookmarkStart w:id="57" w:name="_Toc323278229"/>
      <w:bookmarkStart w:id="58" w:name="_Toc323280067"/>
      <w:bookmarkStart w:id="59" w:name="_Toc331542314"/>
      <w:bookmarkStart w:id="60" w:name="_Toc331600472"/>
      <w:bookmarkStart w:id="61" w:name="_Toc331602609"/>
      <w:bookmarkStart w:id="62" w:name="_Toc331606922"/>
      <w:bookmarkStart w:id="63" w:name="_Toc331690383"/>
      <w:bookmarkStart w:id="64" w:name="_Toc331736713"/>
      <w:bookmarkStart w:id="65" w:name="_Toc331771750"/>
      <w:bookmarkStart w:id="66" w:name="_Toc331772800"/>
      <w:bookmarkStart w:id="67" w:name="_Toc331797101"/>
      <w:bookmarkStart w:id="68" w:name="_Toc331798207"/>
      <w:bookmarkStart w:id="69" w:name="_Toc331542316"/>
      <w:bookmarkStart w:id="70" w:name="_Toc331600474"/>
      <w:bookmarkStart w:id="71" w:name="_Toc331602611"/>
      <w:bookmarkStart w:id="72" w:name="_Toc331606924"/>
      <w:bookmarkStart w:id="73" w:name="_Toc331690385"/>
      <w:bookmarkStart w:id="74" w:name="_Toc331736715"/>
      <w:bookmarkStart w:id="75" w:name="_Toc331771752"/>
      <w:bookmarkStart w:id="76" w:name="_Toc331772802"/>
      <w:bookmarkStart w:id="77" w:name="_Toc331797103"/>
      <w:bookmarkStart w:id="78" w:name="_Toc331798209"/>
      <w:bookmarkStart w:id="79" w:name="_Toc331542318"/>
      <w:bookmarkStart w:id="80" w:name="_Toc331600476"/>
      <w:bookmarkStart w:id="81" w:name="_Toc331602613"/>
      <w:bookmarkStart w:id="82" w:name="_Toc331606926"/>
      <w:bookmarkStart w:id="83" w:name="_Toc331690387"/>
      <w:bookmarkStart w:id="84" w:name="_Toc331736717"/>
      <w:bookmarkStart w:id="85" w:name="_Toc331771754"/>
      <w:bookmarkStart w:id="86" w:name="_Toc331772804"/>
      <w:bookmarkStart w:id="87" w:name="_Toc331797105"/>
      <w:bookmarkStart w:id="88" w:name="_Toc331798211"/>
      <w:bookmarkStart w:id="89" w:name="_Toc331542319"/>
      <w:bookmarkStart w:id="90" w:name="_Toc331600477"/>
      <w:bookmarkStart w:id="91" w:name="_Toc331602614"/>
      <w:bookmarkStart w:id="92" w:name="_Toc331606927"/>
      <w:bookmarkStart w:id="93" w:name="_Toc331690388"/>
      <w:bookmarkStart w:id="94" w:name="_Toc331736718"/>
      <w:bookmarkStart w:id="95" w:name="_Toc331771755"/>
      <w:bookmarkStart w:id="96" w:name="_Toc331772805"/>
      <w:bookmarkStart w:id="97" w:name="_Toc331797106"/>
      <w:bookmarkStart w:id="98" w:name="_Toc331798212"/>
      <w:bookmarkStart w:id="99" w:name="_Toc331600484"/>
      <w:bookmarkStart w:id="100" w:name="_Toc331602621"/>
      <w:bookmarkStart w:id="101" w:name="_Toc331606934"/>
      <w:bookmarkStart w:id="102" w:name="_Toc331690395"/>
      <w:bookmarkStart w:id="103" w:name="_Toc331736725"/>
      <w:bookmarkStart w:id="104" w:name="_Toc331771762"/>
      <w:bookmarkStart w:id="105" w:name="_Toc331772812"/>
      <w:bookmarkStart w:id="106" w:name="_Toc331797113"/>
      <w:bookmarkStart w:id="107" w:name="_Toc331798219"/>
      <w:bookmarkStart w:id="108" w:name="_Toc331600490"/>
      <w:bookmarkStart w:id="109" w:name="_Toc331602627"/>
      <w:bookmarkStart w:id="110" w:name="_Toc331606940"/>
      <w:bookmarkStart w:id="111" w:name="_Toc331690401"/>
      <w:bookmarkStart w:id="112" w:name="_Toc331736731"/>
      <w:bookmarkStart w:id="113" w:name="_Toc331771768"/>
      <w:bookmarkStart w:id="114" w:name="_Toc331772818"/>
      <w:bookmarkStart w:id="115" w:name="_Toc331797119"/>
      <w:bookmarkStart w:id="116" w:name="_Toc331798225"/>
      <w:bookmarkStart w:id="117" w:name="_Toc331600492"/>
      <w:bookmarkStart w:id="118" w:name="_Toc331602629"/>
      <w:bookmarkStart w:id="119" w:name="_Toc331606942"/>
      <w:bookmarkStart w:id="120" w:name="_Toc331690403"/>
      <w:bookmarkStart w:id="121" w:name="_Toc331736733"/>
      <w:bookmarkStart w:id="122" w:name="_Toc331771770"/>
      <w:bookmarkStart w:id="123" w:name="_Toc331772820"/>
      <w:bookmarkStart w:id="124" w:name="_Toc331797121"/>
      <w:bookmarkStart w:id="125" w:name="_Toc331798227"/>
      <w:bookmarkStart w:id="126" w:name="_Toc331600493"/>
      <w:bookmarkStart w:id="127" w:name="_Toc331602630"/>
      <w:bookmarkStart w:id="128" w:name="_Toc331606943"/>
      <w:bookmarkStart w:id="129" w:name="_Toc331690404"/>
      <w:bookmarkStart w:id="130" w:name="_Toc331736734"/>
      <w:bookmarkStart w:id="131" w:name="_Toc331771771"/>
      <w:bookmarkStart w:id="132" w:name="_Toc331772821"/>
      <w:bookmarkStart w:id="133" w:name="_Toc331797122"/>
      <w:bookmarkStart w:id="134" w:name="_Toc331798228"/>
      <w:bookmarkStart w:id="135" w:name="_Toc331600494"/>
      <w:bookmarkStart w:id="136" w:name="_Toc331602631"/>
      <w:bookmarkStart w:id="137" w:name="_Toc331606944"/>
      <w:bookmarkStart w:id="138" w:name="_Toc331690405"/>
      <w:bookmarkStart w:id="139" w:name="_Toc331736735"/>
      <w:bookmarkStart w:id="140" w:name="_Toc331771772"/>
      <w:bookmarkStart w:id="141" w:name="_Toc331772822"/>
      <w:bookmarkStart w:id="142" w:name="_Toc331797123"/>
      <w:bookmarkStart w:id="143" w:name="_Toc331798229"/>
      <w:bookmarkStart w:id="144" w:name="_Toc305849212"/>
      <w:bookmarkStart w:id="145" w:name="_Toc349335735"/>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EC556A">
        <w:rPr>
          <w:b w:val="0"/>
          <w:sz w:val="26"/>
          <w:szCs w:val="26"/>
        </w:rPr>
        <w:t>Qualitative and quantitative analysis of PFOS</w:t>
      </w:r>
      <w:bookmarkEnd w:id="144"/>
      <w:r w:rsidRPr="00EC556A">
        <w:rPr>
          <w:b w:val="0"/>
          <w:sz w:val="26"/>
          <w:szCs w:val="26"/>
        </w:rPr>
        <w:t xml:space="preserve"> and related substances</w:t>
      </w:r>
      <w:bookmarkEnd w:id="145"/>
    </w:p>
    <w:p w:rsidR="00CC1C95" w:rsidRPr="00EC556A" w:rsidRDefault="00CC1C95" w:rsidP="00EE0DB2">
      <w:pPr>
        <w:pStyle w:val="Heading3"/>
        <w:numPr>
          <w:ilvl w:val="2"/>
          <w:numId w:val="9"/>
        </w:numPr>
        <w:tabs>
          <w:tab w:val="num" w:pos="0"/>
        </w:tabs>
        <w:snapToGrid/>
        <w:spacing w:before="240" w:after="60" w:line="276" w:lineRule="auto"/>
        <w:ind w:left="0" w:firstLine="0"/>
        <w:jc w:val="both"/>
      </w:pPr>
      <w:bookmarkStart w:id="146" w:name="_Toc349335736"/>
      <w:r w:rsidRPr="00EC556A">
        <w:t>Background and general challenges of PFOS/PFC analysis</w:t>
      </w:r>
      <w:bookmarkEnd w:id="146"/>
    </w:p>
    <w:p w:rsidR="00CC1C95" w:rsidRDefault="00CC1C95" w:rsidP="00A62875">
      <w:pPr>
        <w:ind w:firstLine="720"/>
      </w:pPr>
      <w:r w:rsidRPr="00EC556A">
        <w:t>Analytical standard methods for quantification of PFOS and other PFCs are under development, and very few technical standards have been defined (see table 3-1; and section 3.5.2). Due to their relative low volatility, good solubility in water and lack of chromospheres the analysis of perfluorinated alkyl substances is a challenging task. The analytical problems associated with the determination of neutral and anionic PFCs are multiple, and include diverse aspects such as unique physico-chemical properties, lack of reliable standards, degradation of standards, impurities, complicated mixtures of isomers and congeners, adhesion of the analytes to the analytical equipment, ion suppression, and contamination during all stages of the analytical procedure, including instrumental sources. When using the different available analytical methods for PFOS and its related substances caution should be given to follow the measures needed to assure that they provide reliable results. The challenges connected with quantification methods for PFOS and its related substances are described in the literature (Martin et al. 2004)</w:t>
      </w:r>
      <w:r w:rsidRPr="00375517">
        <w:rPr>
          <w:vertAlign w:val="superscript"/>
        </w:rPr>
        <w:footnoteReference w:id="21"/>
      </w:r>
      <w:r w:rsidRPr="00EC556A">
        <w:t>.</w:t>
      </w:r>
    </w:p>
    <w:p w:rsidR="00CC1C95" w:rsidRDefault="00CC1C95" w:rsidP="00A62875">
      <w:r w:rsidRPr="00EC556A">
        <w:t>The analytical detection method of choice for PF</w:t>
      </w:r>
      <w:r>
        <w:t>OS and most PF</w:t>
      </w:r>
      <w:r w:rsidRPr="00EC556A">
        <w:t xml:space="preserve">Cs is currently </w:t>
      </w:r>
      <w:hyperlink r:id="rId13" w:history="1">
        <w:r w:rsidRPr="00DD3619">
          <w:rPr>
            <w:rStyle w:val="Hyperlink"/>
          </w:rPr>
          <w:t>LC-MS or LC-MS/MS</w:t>
        </w:r>
      </w:hyperlink>
      <w:r w:rsidRPr="00EC556A">
        <w:t xml:space="preserve"> for the anionic compounds (including PFOS and PFOA), whereas both LC-MS(MS) and GC-MS can be used for the determination of the neutral per- and poly-fluorinated alkylated substances including several precursors of PFOS. Quadrupole tandem mass spectrometry applying negative electrospray ionisation interfaces (HPLC/ESI-MS/MS) seems to be the preferred instrumental method for the determination of ionic PFCs. Recently also atmospheric pressure photo ionisation (APPI)-LC-MS/MS has been reported to give good ionisation of neutral fluorotelomer alcohols (FTOH). In LC-MS of anionic PFCs, usually the dissociated acid (pseudo molecular) ion [M-H]</w:t>
      </w:r>
      <w:r w:rsidRPr="00375517">
        <w:rPr>
          <w:vertAlign w:val="superscript"/>
        </w:rPr>
        <w:t>–</w:t>
      </w:r>
      <w:r w:rsidRPr="00EC556A">
        <w:t xml:space="preserve"> is observed, which can be used for quantitative purposes in LC-single quad MS, or as the precursor ion for multiple ion reaction monitoring in LC-MS/MS. Detection limits of LC-MS(MS) and GC-MS methods are sufficiently low to allow in principle for the determination of environmental levels of PFCs in drinking water and in food samples if a country decide</w:t>
      </w:r>
      <w:r>
        <w:t>s</w:t>
      </w:r>
      <w:r w:rsidRPr="00EC556A">
        <w:t xml:space="preserve"> to include them in the monitoring. </w:t>
      </w:r>
    </w:p>
    <w:p w:rsidR="00CC1C95" w:rsidRDefault="00CC1C95" w:rsidP="00A62875">
      <w:r w:rsidRPr="00EC556A">
        <w:t xml:space="preserve">Quality assurance measures are required to ensure best possible quality of the data. Liquid samples are diluted and extracted for both volatile and ionic compounds, followed by a cleaning step with activated carbon. Solid samples are homogenized prior to extraction and then treated similar to liquid samples. </w:t>
      </w:r>
    </w:p>
    <w:p w:rsidR="00CC1C95" w:rsidRPr="00EC556A" w:rsidRDefault="00CC1C95" w:rsidP="00A62875">
      <w:r w:rsidRPr="00EC556A">
        <w:t xml:space="preserve">Since PFOS and its related substances occur in a large range of materials and liquids, it is advisable to </w:t>
      </w:r>
      <w:r>
        <w:t>use</w:t>
      </w:r>
      <w:r w:rsidRPr="00EC556A">
        <w:t xml:space="preserve"> skilled and specialized laboratories where accreditation is one efficient way to verify these skills. A list of laboratories accredited for analysing POPs and using Good Laboratory Practices (GLP) can be found in</w:t>
      </w:r>
      <w:r w:rsidR="000E04EC">
        <w:t xml:space="preserve"> </w:t>
      </w:r>
      <w:r w:rsidRPr="00EC556A">
        <w:t>(</w:t>
      </w:r>
      <w:hyperlink r:id="rId14" w:history="1">
        <w:r w:rsidRPr="00A62875">
          <w:t>http://www.chem.unep.ch/gmn/gmnlabs/default.htm</w:t>
        </w:r>
      </w:hyperlink>
      <w:r w:rsidRPr="00EC556A">
        <w:t>).</w:t>
      </w:r>
    </w:p>
    <w:p w:rsidR="00CC1C95" w:rsidRPr="00EC556A" w:rsidRDefault="00CC1C95" w:rsidP="00EE0DB2"/>
    <w:p w:rsidR="00CC1C95" w:rsidRPr="00EC556A" w:rsidRDefault="00CC1C95" w:rsidP="000309BA">
      <w:r w:rsidRPr="00EC556A">
        <w:t xml:space="preserve">It has to be </w:t>
      </w:r>
      <w:r>
        <w:t>underlined</w:t>
      </w:r>
      <w:r w:rsidRPr="00EC556A">
        <w:t xml:space="preserve">, that LC-MS systems have to be </w:t>
      </w:r>
      <w:hyperlink r:id="rId15" w:history="1">
        <w:r w:rsidRPr="0033569A">
          <w:rPr>
            <w:rStyle w:val="Hyperlink"/>
          </w:rPr>
          <w:t>especially prepared for PFOS/PFC analysis</w:t>
        </w:r>
      </w:hyperlink>
      <w:r w:rsidRPr="00EC556A">
        <w:t xml:space="preserve">, due to blank issues related to fluorinated compounds in LC systems (e.g. from teflon parts). </w:t>
      </w:r>
      <w:r>
        <w:t xml:space="preserve"> </w:t>
      </w:r>
      <w:r w:rsidRPr="00EC556A">
        <w:t xml:space="preserve">In addition, there are </w:t>
      </w:r>
      <w:r>
        <w:t>further important</w:t>
      </w:r>
      <w:r w:rsidRPr="00EC556A">
        <w:t xml:space="preserve"> issues required for a reliable PFC analysis:</w:t>
      </w:r>
    </w:p>
    <w:p w:rsidR="00CC1C95" w:rsidRPr="00EC556A" w:rsidRDefault="00CC1C95" w:rsidP="000309BA">
      <w:pPr>
        <w:numPr>
          <w:ilvl w:val="0"/>
          <w:numId w:val="16"/>
        </w:numPr>
        <w:snapToGrid/>
        <w:spacing w:after="0"/>
      </w:pPr>
      <w:r w:rsidRPr="00EC556A">
        <w:t>use of specific standards for target analytes (not available for most PFOS precursors, mixed chain length PFCs and structural isomers)</w:t>
      </w:r>
    </w:p>
    <w:p w:rsidR="00CC1C95" w:rsidRPr="00EC556A" w:rsidRDefault="00CC1C95" w:rsidP="000309BA">
      <w:pPr>
        <w:numPr>
          <w:ilvl w:val="0"/>
          <w:numId w:val="16"/>
        </w:numPr>
        <w:snapToGrid/>
        <w:spacing w:after="0"/>
      </w:pPr>
      <w:r w:rsidRPr="00EC556A">
        <w:t xml:space="preserve">use of labelled internal standards (at least for the main target analytes) </w:t>
      </w:r>
    </w:p>
    <w:p w:rsidR="00CC1C95" w:rsidRPr="00EC556A" w:rsidRDefault="00CC1C95" w:rsidP="000309BA">
      <w:pPr>
        <w:numPr>
          <w:ilvl w:val="0"/>
          <w:numId w:val="16"/>
        </w:numPr>
        <w:snapToGrid/>
        <w:spacing w:after="0"/>
      </w:pPr>
      <w:r w:rsidRPr="00EC556A">
        <w:t>purity and s</w:t>
      </w:r>
      <w:r>
        <w:t>tability of the standards.</w:t>
      </w:r>
      <w:r w:rsidRPr="00EC556A">
        <w:t xml:space="preserve"> PFOSF, and probably a range of other PFOS precursors including e.g. esters (e.g. </w:t>
      </w:r>
      <w:r w:rsidR="000E04EC">
        <w:t>p</w:t>
      </w:r>
      <w:r w:rsidR="000E04EC" w:rsidRPr="000E04EC">
        <w:t>o</w:t>
      </w:r>
      <w:r w:rsidR="000E04EC">
        <w:t xml:space="preserve">lyfluoroalkyl phosphoric acid </w:t>
      </w:r>
      <w:r w:rsidR="000E04EC" w:rsidRPr="000E04EC">
        <w:t xml:space="preserve">esters </w:t>
      </w:r>
      <w:r w:rsidR="000E04EC">
        <w:t>(</w:t>
      </w:r>
      <w:r w:rsidRPr="00EC556A">
        <w:t>PAPs</w:t>
      </w:r>
      <w:r w:rsidR="000E04EC">
        <w:t>)</w:t>
      </w:r>
      <w:r w:rsidRPr="00EC556A">
        <w:t>) are prone to degradation (hydrolysis) if stored in alcohols/waters</w:t>
      </w:r>
    </w:p>
    <w:p w:rsidR="000309BA" w:rsidRDefault="000309BA" w:rsidP="000309BA">
      <w:pPr>
        <w:pStyle w:val="BodyText"/>
      </w:pPr>
    </w:p>
    <w:p w:rsidR="00CC1C95" w:rsidRPr="00EC556A" w:rsidRDefault="00CC1C95" w:rsidP="000309BA">
      <w:pPr>
        <w:pStyle w:val="BodyText"/>
      </w:pPr>
      <w:r w:rsidRPr="00EC556A">
        <w:t>Both volatile and non-volatile PFOS precursors and other PFCs are analysed using well established analytical methods applying GC/MS and LC/MS techniques. Quality assurance measures are required to ensure best possible quality of the data. Liquid samples are diluted and extracted for both volatile and ionic PFCs, followed by a cleaning step with activated carbon. Solid samples are homogenized prior to extraction and then treated similar to liquid samples. All calculated concentrations are either given in [µg/L] for liquids, [µg/kg] for solid materials or in [µg/m</w:t>
      </w:r>
      <w:r w:rsidRPr="00EC556A">
        <w:rPr>
          <w:vertAlign w:val="superscript"/>
        </w:rPr>
        <w:t>2</w:t>
      </w:r>
      <w:r w:rsidRPr="00EC556A">
        <w:t xml:space="preserve">] for textiles, paper and leather. Since PFOS/PFCs occur in a large range of materials and liquids, it is advisable to apply skilled and specialized laboratories where accreditation is one efficient way to verify skills. </w:t>
      </w:r>
    </w:p>
    <w:p w:rsidR="00CC1C95" w:rsidRPr="00EC556A" w:rsidRDefault="00CC1C95" w:rsidP="00EE0DB2">
      <w:pPr>
        <w:pStyle w:val="Heading3"/>
        <w:numPr>
          <w:ilvl w:val="2"/>
          <w:numId w:val="9"/>
        </w:numPr>
        <w:tabs>
          <w:tab w:val="num" w:pos="0"/>
        </w:tabs>
        <w:snapToGrid/>
        <w:spacing w:before="240" w:after="60" w:line="276" w:lineRule="auto"/>
        <w:ind w:left="0" w:firstLine="0"/>
        <w:jc w:val="both"/>
      </w:pPr>
      <w:bookmarkStart w:id="147" w:name="_Toc349335737"/>
      <w:r w:rsidRPr="00EC556A">
        <w:t>Specific challenges with the analysis of PFOS precursors and bound PFOS</w:t>
      </w:r>
      <w:bookmarkEnd w:id="147"/>
    </w:p>
    <w:p w:rsidR="00CC1C95" w:rsidRPr="00EC556A" w:rsidRDefault="00CC1C95" w:rsidP="00EE0DB2">
      <w:pPr>
        <w:pStyle w:val="Heading4"/>
        <w:numPr>
          <w:ilvl w:val="3"/>
          <w:numId w:val="0"/>
        </w:numPr>
        <w:tabs>
          <w:tab w:val="num" w:pos="0"/>
        </w:tabs>
        <w:snapToGrid/>
        <w:spacing w:before="240" w:after="60" w:line="360" w:lineRule="auto"/>
        <w:jc w:val="both"/>
      </w:pPr>
      <w:r w:rsidRPr="00EC556A">
        <w:rPr>
          <w:i w:val="0"/>
        </w:rPr>
        <w:t>Analysis of PFOS precursors in articles</w:t>
      </w:r>
    </w:p>
    <w:p w:rsidR="00CC1C95" w:rsidRPr="00EC556A" w:rsidRDefault="00CC1C95" w:rsidP="00EE0DB2">
      <w:pPr>
        <w:ind w:firstLine="708"/>
      </w:pPr>
      <w:r w:rsidRPr="00EC556A">
        <w:t xml:space="preserve">The OECD has developed a list of 165 PFOS related substances. Only for a few of these related substances a standard analysis is available (Table 3-2). Therefore currently most PFOS related substances are not covered by the standard analysis. While for environmental samples this might be of minor relevance due to degradation of these precursors to PFOS (e.g. frequently observed in sewage treatment plants were the PFOS concentrations mass balance of higher PFOS levels in sludge and outflow compared to the inflow). However in products and on articles PFOS precursors might be used which are not detected then by the routine PFOS analysis or state-of-the-art analysis including several PFOS precursors (Table 3-2). </w:t>
      </w:r>
    </w:p>
    <w:p w:rsidR="00CC1C95" w:rsidRPr="00EC556A" w:rsidRDefault="00CC1C95" w:rsidP="00EE0DB2">
      <w:pPr>
        <w:pStyle w:val="Heading4"/>
        <w:numPr>
          <w:ilvl w:val="3"/>
          <w:numId w:val="0"/>
        </w:numPr>
        <w:tabs>
          <w:tab w:val="num" w:pos="0"/>
        </w:tabs>
        <w:snapToGrid/>
        <w:spacing w:before="240" w:after="60" w:line="360" w:lineRule="auto"/>
        <w:jc w:val="both"/>
      </w:pPr>
      <w:r w:rsidRPr="00EC556A">
        <w:rPr>
          <w:i w:val="0"/>
        </w:rPr>
        <w:t>Analysis of chemically bound PFOS</w:t>
      </w:r>
    </w:p>
    <w:p w:rsidR="00CC1C95" w:rsidRPr="00EC556A" w:rsidRDefault="00CC1C95" w:rsidP="000309BA">
      <w:pPr>
        <w:ind w:firstLine="708"/>
      </w:pPr>
      <w:r w:rsidRPr="00EC556A">
        <w:t xml:space="preserve">The current available standard to analyse PFOS in articles focus on the extractable PFOS (NPR-CEN/TS 15968; see below). In some applications, however, the PFOS related substances are chemically bound to the surface. Therefore the analytical standard procedures extract the extractable PFOS and PFOS related substances not bound to the surface. The largest part of chemically bound PFOS precursor could remain on/in the article leading to a considerable underestimation of PFOS related substances in these products. </w:t>
      </w:r>
    </w:p>
    <w:p w:rsidR="00CC1C95" w:rsidRPr="00EC556A" w:rsidRDefault="00CC1C95" w:rsidP="00EE0DB2">
      <w:pPr>
        <w:pStyle w:val="Heading3"/>
        <w:numPr>
          <w:ilvl w:val="2"/>
          <w:numId w:val="9"/>
        </w:numPr>
        <w:tabs>
          <w:tab w:val="num" w:pos="0"/>
        </w:tabs>
        <w:snapToGrid/>
        <w:spacing w:before="240" w:after="60" w:line="276" w:lineRule="auto"/>
        <w:ind w:left="0" w:firstLine="0"/>
        <w:jc w:val="both"/>
        <w:rPr>
          <w:rFonts w:eastAsia="SimSun"/>
          <w:lang w:eastAsia="zh-CN"/>
        </w:rPr>
      </w:pPr>
      <w:bookmarkStart w:id="148" w:name="_Toc331606948"/>
      <w:bookmarkStart w:id="149" w:name="_Toc331690409"/>
      <w:bookmarkStart w:id="150" w:name="_Toc331736739"/>
      <w:bookmarkStart w:id="151" w:name="_Toc331771776"/>
      <w:bookmarkStart w:id="152" w:name="_Toc331772826"/>
      <w:bookmarkStart w:id="153" w:name="_Toc331797127"/>
      <w:bookmarkStart w:id="154" w:name="_Toc331798233"/>
      <w:bookmarkStart w:id="155" w:name="_Toc305849213"/>
      <w:bookmarkStart w:id="156" w:name="_Toc349335738"/>
      <w:bookmarkEnd w:id="148"/>
      <w:bookmarkEnd w:id="149"/>
      <w:bookmarkEnd w:id="150"/>
      <w:bookmarkEnd w:id="151"/>
      <w:bookmarkEnd w:id="152"/>
      <w:bookmarkEnd w:id="153"/>
      <w:bookmarkEnd w:id="154"/>
      <w:r w:rsidRPr="00EC556A">
        <w:rPr>
          <w:rFonts w:eastAsia="SimSun"/>
          <w:lang w:eastAsia="zh-CN"/>
        </w:rPr>
        <w:t>Selected international standards</w:t>
      </w:r>
      <w:bookmarkEnd w:id="155"/>
      <w:r w:rsidRPr="00EC556A">
        <w:rPr>
          <w:rFonts w:eastAsia="SimSun"/>
          <w:lang w:eastAsia="zh-CN"/>
        </w:rPr>
        <w:t xml:space="preserve"> for PFOS analysis</w:t>
      </w:r>
      <w:bookmarkEnd w:id="156"/>
    </w:p>
    <w:p w:rsidR="00CC1C95" w:rsidRPr="00EC556A" w:rsidRDefault="00CC1C95" w:rsidP="00EE0DB2">
      <w:pPr>
        <w:pStyle w:val="Heading4"/>
        <w:numPr>
          <w:ilvl w:val="3"/>
          <w:numId w:val="0"/>
        </w:numPr>
        <w:tabs>
          <w:tab w:val="num" w:pos="0"/>
        </w:tabs>
        <w:snapToGrid/>
        <w:spacing w:before="240" w:after="60" w:line="276" w:lineRule="auto"/>
        <w:jc w:val="both"/>
        <w:rPr>
          <w:rFonts w:eastAsia="SimSun"/>
          <w:lang w:eastAsia="zh-CN"/>
        </w:rPr>
      </w:pPr>
      <w:r w:rsidRPr="00EC556A">
        <w:rPr>
          <w:rFonts w:eastAsia="SimSun"/>
          <w:i w:val="0"/>
          <w:lang w:eastAsia="zh-CN"/>
        </w:rPr>
        <w:t>NPR-CEN/TS 15968</w:t>
      </w:r>
      <w:r w:rsidRPr="00EC556A">
        <w:rPr>
          <w:rStyle w:val="FootnoteReference"/>
          <w:rFonts w:eastAsia="SimSun"/>
          <w:i w:val="0"/>
          <w:lang w:eastAsia="zh-CN"/>
        </w:rPr>
        <w:footnoteReference w:id="22"/>
      </w:r>
    </w:p>
    <w:p w:rsidR="00CC1C95" w:rsidRDefault="00CC1C95" w:rsidP="00A62875">
      <w:pPr>
        <w:ind w:firstLine="720"/>
        <w:rPr>
          <w:bCs/>
        </w:rPr>
      </w:pPr>
      <w:r w:rsidRPr="00EC556A">
        <w:t xml:space="preserve">The NPR-CEN/TS 15968 standard is currently the only existing international standard for the determination of the extractable content of PFOS in solid items (e.g. textiles, leather, paper) and in chemical products (AFFF, cleaning agents, etc.) within the scope of supporting the EC Regulation 850/2004 on persistent organic pollutants (POP). </w:t>
      </w:r>
      <w:r w:rsidRPr="00EC556A">
        <w:rPr>
          <w:rFonts w:eastAsia="SimSun"/>
          <w:lang w:eastAsia="zh-CN"/>
        </w:rPr>
        <w:t xml:space="preserve">An international standard has been developed here for </w:t>
      </w:r>
      <w:r w:rsidRPr="00593B48">
        <w:rPr>
          <w:rFonts w:eastAsia="SimSun"/>
          <w:lang w:eastAsia="zh-CN"/>
        </w:rPr>
        <w:t>“</w:t>
      </w:r>
      <w:r w:rsidRPr="00593B48">
        <w:rPr>
          <w:rFonts w:eastAsia="SimSun"/>
          <w:iCs/>
          <w:lang w:eastAsia="zh-CN"/>
        </w:rPr>
        <w:t>Determination of extractable perfluorooctanesulphonate (PFOS) in coated and impregnated solid articles, liquids and fire fighting foams - Method for sampling, extraction and analysis by LCqMS or LC-tandem/MS</w:t>
      </w:r>
      <w:r w:rsidRPr="00593B48">
        <w:rPr>
          <w:rFonts w:eastAsia="SimSun"/>
          <w:lang w:eastAsia="zh-CN"/>
        </w:rPr>
        <w:t>”</w:t>
      </w:r>
      <w:r w:rsidRPr="00EC556A">
        <w:rPr>
          <w:rFonts w:eastAsia="SimSun"/>
          <w:lang w:eastAsia="zh-CN"/>
        </w:rPr>
        <w:t>.</w:t>
      </w:r>
      <w:r>
        <w:rPr>
          <w:rFonts w:eastAsia="SimSun"/>
          <w:lang w:eastAsia="zh-CN"/>
        </w:rPr>
        <w:t xml:space="preserve"> </w:t>
      </w:r>
    </w:p>
    <w:p w:rsidR="00CC1C95" w:rsidRPr="00593B48" w:rsidRDefault="00CC1C95" w:rsidP="00EE0DB2">
      <w:pPr>
        <w:rPr>
          <w:rFonts w:eastAsia="SimSun"/>
          <w:bCs/>
          <w:lang w:eastAsia="zh-CN"/>
        </w:rPr>
      </w:pPr>
      <w:r w:rsidRPr="00593B48">
        <w:rPr>
          <w:bCs/>
        </w:rPr>
        <w:t>The method is currently a technical specification (TS) meaning it is not fully validated. In order to become a full European standard (EN) some further work needs to be done to ensure accuracy in analytical results with data from proficiency testing.</w:t>
      </w:r>
    </w:p>
    <w:p w:rsidR="00CC1C95" w:rsidRPr="00EC556A" w:rsidRDefault="00CC1C95" w:rsidP="00EE0DB2">
      <w:r w:rsidRPr="00EC556A">
        <w:rPr>
          <w:rFonts w:eastAsia="SimSun"/>
          <w:lang w:eastAsia="zh-CN"/>
        </w:rPr>
        <w:t xml:space="preserve">As state in the name of the standard, the method only addresses the extractable PFOS and a few PFOS precursor (see table 9).  The standard does not address the chemically bound PFOS related substances and also does not describe </w:t>
      </w:r>
      <w:r w:rsidRPr="00EC556A">
        <w:rPr>
          <w:rFonts w:eastAsia="SimSun"/>
          <w:szCs w:val="24"/>
          <w:lang w:eastAsia="zh-CN"/>
        </w:rPr>
        <w:t>a holistic analysis of PFOS related substances.</w:t>
      </w:r>
      <w:r w:rsidRPr="00EC556A">
        <w:t xml:space="preserve"> </w:t>
      </w:r>
    </w:p>
    <w:p w:rsidR="00CC1C95" w:rsidRPr="00EC556A" w:rsidRDefault="00CC1C95" w:rsidP="00EE0DB2">
      <w:pPr>
        <w:rPr>
          <w:rFonts w:eastAsia="SimSun"/>
          <w:szCs w:val="24"/>
          <w:lang w:eastAsia="zh-CN"/>
        </w:rPr>
      </w:pPr>
      <w:r w:rsidRPr="00EC556A">
        <w:t>It is applicable to concentrations of PFOS in the extract solution in the range between 0.5 µ</w:t>
      </w:r>
      <w:r w:rsidR="00576FE1">
        <w:t xml:space="preserve">g/L </w:t>
      </w:r>
      <w:r w:rsidRPr="00EC556A">
        <w:t>and 50 µg/</w:t>
      </w:r>
      <w:r w:rsidR="00576FE1" w:rsidRPr="00576FE1">
        <w:t>L</w:t>
      </w:r>
      <w:r w:rsidRPr="00EC556A">
        <w:t>.</w:t>
      </w:r>
    </w:p>
    <w:p w:rsidR="00CC1C95" w:rsidRPr="00EC556A" w:rsidRDefault="00CC1C95" w:rsidP="00EE0DB2">
      <w:pPr>
        <w:pStyle w:val="Heading4"/>
        <w:numPr>
          <w:ilvl w:val="3"/>
          <w:numId w:val="0"/>
        </w:numPr>
        <w:tabs>
          <w:tab w:val="num" w:pos="0"/>
        </w:tabs>
        <w:snapToGrid/>
        <w:spacing w:before="240" w:after="60" w:line="276" w:lineRule="auto"/>
        <w:jc w:val="both"/>
      </w:pPr>
      <w:r w:rsidRPr="00EC556A">
        <w:rPr>
          <w:i w:val="0"/>
        </w:rPr>
        <w:t>ISO Method for water (ISO 25101:2009)</w:t>
      </w:r>
    </w:p>
    <w:p w:rsidR="00CC1C95" w:rsidRPr="00EC556A" w:rsidRDefault="00CC1C95" w:rsidP="00EE0DB2">
      <w:pPr>
        <w:ind w:firstLine="708"/>
      </w:pPr>
      <w:r w:rsidRPr="00EC556A">
        <w:t>Currently no ISO standard is available to measure PFOS and other PFCs in articles or products. The only ISO standards for PFOS is ISO 25101:2009</w:t>
      </w:r>
      <w:r>
        <w:t>,</w:t>
      </w:r>
      <w:r w:rsidRPr="00EC556A">
        <w:t xml:space="preserve"> which specifies a method for the determination of the linear isomers of PFOS and PFOA in unfiltered samples of drinking water, ground water and surface water (fresh water and sea water) using high-performance liquid chromatography-tandem mass spectrometry (HPLC-MS/MS). According to the standard other isomers may be reported separately as non-linear isomers and qualified as such. The method is applicable to a concentration range of 2.0 n</w:t>
      </w:r>
      <w:r w:rsidR="00576FE1">
        <w:t xml:space="preserve">g/L </w:t>
      </w:r>
      <w:r w:rsidRPr="00EC556A">
        <w:t>to 10000 n</w:t>
      </w:r>
      <w:r w:rsidR="00576FE1">
        <w:t xml:space="preserve">g/L </w:t>
      </w:r>
      <w:r w:rsidRPr="00EC556A">
        <w:t>for PFOS and 10 n</w:t>
      </w:r>
      <w:r w:rsidR="00576FE1">
        <w:t xml:space="preserve">g/L </w:t>
      </w:r>
      <w:r w:rsidRPr="00EC556A">
        <w:t>to 10000 n</w:t>
      </w:r>
      <w:r w:rsidR="00576FE1">
        <w:t xml:space="preserve">g/L </w:t>
      </w:r>
      <w:r w:rsidRPr="00EC556A">
        <w:t>for PFOA. Depending on the matrix, the method may also be applicable to higher concentrations up to 200</w:t>
      </w:r>
      <w:r w:rsidR="00096228">
        <w:t>,</w:t>
      </w:r>
      <w:r w:rsidRPr="00EC556A">
        <w:t>000 n</w:t>
      </w:r>
      <w:r w:rsidR="00576FE1">
        <w:t xml:space="preserve">g/L </w:t>
      </w:r>
      <w:r w:rsidRPr="00EC556A">
        <w:t>after suitable dilution of the sample or reduction in sample size.</w:t>
      </w:r>
    </w:p>
    <w:p w:rsidR="00CC1C95" w:rsidRPr="00EC556A" w:rsidRDefault="00CC1C95" w:rsidP="00EE0DB2">
      <w:pPr>
        <w:pStyle w:val="Heading4"/>
        <w:numPr>
          <w:ilvl w:val="3"/>
          <w:numId w:val="0"/>
        </w:numPr>
        <w:tabs>
          <w:tab w:val="num" w:pos="0"/>
        </w:tabs>
        <w:snapToGrid/>
        <w:spacing w:before="240" w:after="60" w:line="360" w:lineRule="auto"/>
        <w:jc w:val="both"/>
      </w:pPr>
      <w:r w:rsidRPr="00EC556A">
        <w:rPr>
          <w:i w:val="0"/>
        </w:rPr>
        <w:t>USEPA Method 537</w:t>
      </w:r>
      <w:r w:rsidRPr="00EC556A">
        <w:rPr>
          <w:rStyle w:val="FootnoteReference"/>
          <w:i w:val="0"/>
        </w:rPr>
        <w:footnoteReference w:id="23"/>
      </w:r>
    </w:p>
    <w:p w:rsidR="00CC1C95" w:rsidRPr="00EC556A" w:rsidRDefault="00CC1C95" w:rsidP="00EE0DB2">
      <w:pPr>
        <w:ind w:firstLine="708"/>
      </w:pPr>
      <w:r w:rsidRPr="00EC556A">
        <w:t xml:space="preserve">USEPA Method 537 is a liquid chromatography/tandem mass spectrometry (LC/MS/MS) method for the determination of PFOS and other selected </w:t>
      </w:r>
      <w:r>
        <w:t>PFCs</w:t>
      </w:r>
      <w:r w:rsidRPr="00EC556A">
        <w:t xml:space="preserve"> in drinking water. The method has open access. The standard contains useful approaches on blank test, calibration, recovery etc. where reference is made in respective sections in this guidance. </w:t>
      </w:r>
    </w:p>
    <w:p w:rsidR="00CC1C95" w:rsidRDefault="00CC1C95">
      <w:pPr>
        <w:snapToGrid/>
        <w:spacing w:after="0"/>
        <w:jc w:val="left"/>
        <w:rPr>
          <w:rFonts w:ascii="Times New Roman" w:hAnsi="Times New Roman"/>
          <w:b/>
          <w:lang w:eastAsia="ja-JP"/>
        </w:rPr>
      </w:pPr>
      <w:bookmarkStart w:id="157" w:name="_Toc331542323"/>
      <w:bookmarkEnd w:id="157"/>
      <w:r>
        <w:rPr>
          <w:b/>
        </w:rPr>
        <w:br w:type="page"/>
      </w:r>
    </w:p>
    <w:p w:rsidR="00CC1C95" w:rsidRPr="008167BF" w:rsidRDefault="00CC1C95" w:rsidP="00EE0DB2">
      <w:pPr>
        <w:pStyle w:val="Default"/>
        <w:spacing w:line="276" w:lineRule="auto"/>
        <w:ind w:left="905" w:hanging="905"/>
        <w:jc w:val="both"/>
        <w:rPr>
          <w:rFonts w:ascii="Calibri" w:hAnsi="Calibri"/>
          <w:bCs/>
          <w:sz w:val="22"/>
          <w:szCs w:val="22"/>
        </w:rPr>
      </w:pPr>
      <w:r w:rsidRPr="008167BF">
        <w:rPr>
          <w:rFonts w:ascii="Calibri" w:hAnsi="Calibri"/>
          <w:b/>
          <w:sz w:val="22"/>
          <w:szCs w:val="22"/>
        </w:rPr>
        <w:t xml:space="preserve">Table 3-1: </w:t>
      </w:r>
      <w:r w:rsidRPr="008167BF">
        <w:rPr>
          <w:rFonts w:ascii="Calibri" w:hAnsi="Calibri"/>
          <w:bCs/>
          <w:sz w:val="22"/>
          <w:szCs w:val="22"/>
        </w:rPr>
        <w:t>Summary of a survey on standardized analytical methods and methods reported in literature to be considered for PFOS analysis in mainly environmental matrices (Please note that the standard for analysis of extractable PFOS in articles NPR-CEN/TS 15968 - have meanwhile been developed and published, see below</w:t>
      </w:r>
      <w:r w:rsidRPr="008167BF">
        <w:rPr>
          <w:rStyle w:val="FootnoteReference"/>
          <w:rFonts w:ascii="Calibri" w:hAnsi="Calibri"/>
          <w:bCs/>
          <w:sz w:val="22"/>
          <w:szCs w:val="22"/>
        </w:rPr>
        <w:footnoteReference w:id="24"/>
      </w:r>
      <w:r w:rsidRPr="008167BF">
        <w:rPr>
          <w:rFonts w:ascii="Calibri" w:hAnsi="Calibri"/>
          <w:bCs/>
          <w:sz w:val="22"/>
          <w:szCs w:val="22"/>
        </w:rPr>
        <w:t>)</w:t>
      </w:r>
    </w:p>
    <w:p w:rsidR="001D1BB6" w:rsidRPr="008167BF" w:rsidRDefault="001D1BB6" w:rsidP="00EE0DB2">
      <w:pPr>
        <w:pStyle w:val="Default"/>
        <w:spacing w:line="276" w:lineRule="auto"/>
        <w:ind w:left="905" w:hanging="905"/>
        <w:jc w:val="both"/>
        <w:rPr>
          <w:rFonts w:ascii="Calibri" w:hAnsi="Calibri"/>
          <w:bCs/>
          <w:sz w:val="22"/>
          <w:szCs w:val="22"/>
          <w:lang w:val="en-GB"/>
        </w:rPr>
      </w:pPr>
    </w:p>
    <w:p w:rsidR="00CC1C95" w:rsidRPr="00EC556A" w:rsidRDefault="00F05101" w:rsidP="00EE0DB2">
      <w:pPr>
        <w:pStyle w:val="Default"/>
        <w:spacing w:line="276" w:lineRule="auto"/>
        <w:rPr>
          <w:lang w:val="en-GB"/>
        </w:rPr>
      </w:pPr>
      <w:r>
        <w:rPr>
          <w:noProof/>
          <w:sz w:val="22"/>
          <w:szCs w:val="22"/>
          <w:lang w:val="en-GB" w:eastAsia="en-GB"/>
        </w:rPr>
        <w:drawing>
          <wp:inline distT="0" distB="0" distL="0" distR="0">
            <wp:extent cx="5876925" cy="3619500"/>
            <wp:effectExtent l="19050" t="0" r="9525" b="0"/>
            <wp:docPr id="104"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a:picLocks noChangeAspect="1" noChangeArrowheads="1"/>
                    </pic:cNvPicPr>
                  </pic:nvPicPr>
                  <pic:blipFill>
                    <a:blip r:embed="rId16" cstate="print"/>
                    <a:srcRect/>
                    <a:stretch>
                      <a:fillRect/>
                    </a:stretch>
                  </pic:blipFill>
                  <pic:spPr bwMode="auto">
                    <a:xfrm>
                      <a:off x="0" y="0"/>
                      <a:ext cx="5876925" cy="3619500"/>
                    </a:xfrm>
                    <a:prstGeom prst="rect">
                      <a:avLst/>
                    </a:prstGeom>
                    <a:noFill/>
                    <a:ln w="9525">
                      <a:noFill/>
                      <a:miter lim="800000"/>
                      <a:headEnd/>
                      <a:tailEnd/>
                    </a:ln>
                  </pic:spPr>
                </pic:pic>
              </a:graphicData>
            </a:graphic>
          </wp:inline>
        </w:drawing>
      </w:r>
    </w:p>
    <w:p w:rsidR="00CC1C95" w:rsidRPr="00EC556A" w:rsidRDefault="00CC1C95" w:rsidP="00EE0DB2">
      <w:pPr>
        <w:autoSpaceDE w:val="0"/>
        <w:autoSpaceDN w:val="0"/>
        <w:adjustRightInd w:val="0"/>
        <w:spacing w:after="60"/>
        <w:rPr>
          <w:lang w:eastAsia="en-GB"/>
        </w:rPr>
      </w:pPr>
    </w:p>
    <w:p w:rsidR="00CC1C95" w:rsidRPr="00EC556A" w:rsidRDefault="00CC1C95" w:rsidP="00EE0DB2">
      <w:pPr>
        <w:pStyle w:val="Heading3"/>
        <w:numPr>
          <w:ilvl w:val="2"/>
          <w:numId w:val="9"/>
        </w:numPr>
        <w:tabs>
          <w:tab w:val="num" w:pos="0"/>
        </w:tabs>
        <w:snapToGrid/>
        <w:spacing w:before="240" w:after="60" w:line="276" w:lineRule="auto"/>
        <w:ind w:left="0" w:firstLine="0"/>
        <w:jc w:val="both"/>
      </w:pPr>
      <w:bookmarkStart w:id="158" w:name="_Toc331600498"/>
      <w:bookmarkStart w:id="159" w:name="_Toc331602638"/>
      <w:bookmarkStart w:id="160" w:name="_Toc331606950"/>
      <w:bookmarkStart w:id="161" w:name="_Toc331690411"/>
      <w:bookmarkStart w:id="162" w:name="_Toc331736741"/>
      <w:bookmarkStart w:id="163" w:name="_Toc331771778"/>
      <w:bookmarkStart w:id="164" w:name="_Toc331772828"/>
      <w:bookmarkStart w:id="165" w:name="_Toc331797129"/>
      <w:bookmarkStart w:id="166" w:name="_Toc331798235"/>
      <w:bookmarkStart w:id="167" w:name="_Toc305849214"/>
      <w:bookmarkStart w:id="168" w:name="_Toc349335739"/>
      <w:bookmarkEnd w:id="158"/>
      <w:bookmarkEnd w:id="159"/>
      <w:bookmarkEnd w:id="160"/>
      <w:bookmarkEnd w:id="161"/>
      <w:bookmarkEnd w:id="162"/>
      <w:bookmarkEnd w:id="163"/>
      <w:bookmarkEnd w:id="164"/>
      <w:bookmarkEnd w:id="165"/>
      <w:bookmarkEnd w:id="166"/>
      <w:bookmarkEnd w:id="167"/>
      <w:r w:rsidRPr="00EC556A">
        <w:t>Sample pre-treatment</w:t>
      </w:r>
      <w:bookmarkEnd w:id="168"/>
    </w:p>
    <w:p w:rsidR="00CC1C95" w:rsidRPr="00EC556A" w:rsidRDefault="00CC1C95" w:rsidP="00EE0DB2">
      <w:pPr>
        <w:ind w:firstLine="708"/>
      </w:pPr>
      <w:r w:rsidRPr="00EC556A">
        <w:rPr>
          <w:rFonts w:eastAsia="SimSun"/>
          <w:lang w:eastAsia="zh-CN"/>
        </w:rPr>
        <w:t>NPR-CEN/TS 15968 proposes grinding of samples to ensure an efficient extraction process without stating particle sizes. As in solid samples PFOS and related compounds are predominately found on the sample surfaces, a particle size of &lt;1mm may be sufficient. However, for samples</w:t>
      </w:r>
      <w:r>
        <w:rPr>
          <w:rFonts w:eastAsia="SimSun"/>
          <w:lang w:eastAsia="zh-CN"/>
        </w:rPr>
        <w:t>,</w:t>
      </w:r>
      <w:r w:rsidRPr="00EC556A">
        <w:rPr>
          <w:rFonts w:eastAsia="SimSun"/>
          <w:lang w:eastAsia="zh-CN"/>
        </w:rPr>
        <w:t xml:space="preserve"> which cannot easily be ground like paper, textiles, or leather, the technical standard recommends cutting leather (and textiles) into pieces of max. 25 mm², whereas for paper a max size of 1 cm² is given. </w:t>
      </w:r>
    </w:p>
    <w:p w:rsidR="00CC1C95" w:rsidRPr="00EC556A" w:rsidRDefault="00CC1C95" w:rsidP="00EE0DB2">
      <w:pPr>
        <w:pStyle w:val="Heading3"/>
        <w:numPr>
          <w:ilvl w:val="2"/>
          <w:numId w:val="9"/>
        </w:numPr>
        <w:tabs>
          <w:tab w:val="num" w:pos="0"/>
        </w:tabs>
        <w:snapToGrid/>
        <w:spacing w:before="240" w:after="60" w:line="276" w:lineRule="auto"/>
        <w:ind w:left="0" w:firstLine="0"/>
        <w:jc w:val="both"/>
      </w:pPr>
      <w:bookmarkStart w:id="169" w:name="_Toc349335740"/>
      <w:r w:rsidRPr="00EC556A">
        <w:t>Extraction</w:t>
      </w:r>
      <w:bookmarkEnd w:id="169"/>
    </w:p>
    <w:p w:rsidR="00CC1C95" w:rsidRPr="00EC556A" w:rsidRDefault="00CC1C95" w:rsidP="00EE0DB2">
      <w:pPr>
        <w:pStyle w:val="Heading4"/>
        <w:numPr>
          <w:ilvl w:val="3"/>
          <w:numId w:val="0"/>
        </w:numPr>
        <w:tabs>
          <w:tab w:val="num" w:pos="0"/>
        </w:tabs>
        <w:snapToGrid/>
        <w:spacing w:before="240" w:after="60" w:line="276" w:lineRule="auto"/>
        <w:jc w:val="both"/>
      </w:pPr>
      <w:r w:rsidRPr="00EC556A">
        <w:rPr>
          <w:i w:val="0"/>
        </w:rPr>
        <w:t>Solid samples</w:t>
      </w:r>
    </w:p>
    <w:p w:rsidR="00CC1C95" w:rsidRDefault="00CC1C95" w:rsidP="00EE0DB2">
      <w:pPr>
        <w:ind w:firstLine="708"/>
      </w:pPr>
      <w:r w:rsidRPr="00EC556A">
        <w:t xml:space="preserve">In most cases methanol (MeOH), ethanol or acetonitrile (ACN) as well as mixtures of these solvents with water were chosen as extraction solvents for products.  Clean-up is mostly achieved by solid phase extraction (SPE) on reversed phase C18 or WAX columns, which also reduces the presence of ion suppressing inorganic salts/minerals in the extracts. </w:t>
      </w:r>
    </w:p>
    <w:p w:rsidR="00CC1C95" w:rsidRDefault="00CC1C95" w:rsidP="00EE0DB2">
      <w:r w:rsidRPr="00EC556A">
        <w:t xml:space="preserve">Extraction techniques reported in these cases include ultrasonic assisted solvent extractions, accelerated solvent extractions (ASE), pressurised liquid extraction (PLE). With these techniques, typically 0.5 to 3 gram of sample matrix </w:t>
      </w:r>
      <w:r w:rsidR="00576FE1">
        <w:t>is</w:t>
      </w:r>
      <w:r w:rsidR="00576FE1" w:rsidRPr="00EC556A">
        <w:t xml:space="preserve"> </w:t>
      </w:r>
      <w:r w:rsidRPr="00EC556A">
        <w:t xml:space="preserve">extracted in 2-3 extraction cycles. </w:t>
      </w:r>
    </w:p>
    <w:p w:rsidR="00CC1C95" w:rsidRDefault="00CC1C95" w:rsidP="00EE0DB2">
      <w:r w:rsidRPr="00EC556A">
        <w:t>Using ASE or PLE Teflon-free tubing and sealing are recommended (</w:t>
      </w:r>
      <w:r w:rsidR="00576FE1">
        <w:t>s</w:t>
      </w:r>
      <w:r w:rsidRPr="00EC556A">
        <w:t xml:space="preserve">pecial care of the maximal allowed temperatures for the applied sealing materials is necessary). The ground (e.g. by cryohomogenisation, which makes most polymers brittle) or cut samples are mixed with MeOH pre-washed sea sand or comparable bulk materials and placed into the extraction cartridges. ASE or PLE is then performed at 80-100 °C, for 10-30 minutes per cycle (depending on sample types. The lower the diffusion coefficients of the sample matrix the longer the extraction times). </w:t>
      </w:r>
    </w:p>
    <w:p w:rsidR="00CC1C95" w:rsidRPr="00EC556A" w:rsidRDefault="00CC1C95" w:rsidP="00EE0DB2">
      <w:r w:rsidRPr="00EC556A">
        <w:t xml:space="preserve">Ultrasonic extraction is performed with 10-30 ml of extractions solvent (ACN, MeOH) in polypropylene centrifugation tubes. Ultrasonic treatment takes 15-60 minutes (depending on sample type and particle size) and after a centrifugation step the supernatant is removed from the sample. The treatment is repeated once or better twice and the supernatants are combined. </w:t>
      </w:r>
    </w:p>
    <w:p w:rsidR="00CC1C95" w:rsidRPr="00EC556A" w:rsidRDefault="00CC1C95" w:rsidP="00EE0DB2">
      <w:r w:rsidRPr="00EC556A">
        <w:t>If no clean-up is performed, the final extract is filtered (e.g. syringe filters of cellulose mixed ester (CME)) and reconstituted in MeOH/H</w:t>
      </w:r>
      <w:r w:rsidRPr="00EC556A">
        <w:rPr>
          <w:vertAlign w:val="subscript"/>
        </w:rPr>
        <w:t>2</w:t>
      </w:r>
      <w:r w:rsidRPr="00EC556A">
        <w:t xml:space="preserve">O (1/1; vol/vol).  </w:t>
      </w:r>
    </w:p>
    <w:p w:rsidR="00CC1C95" w:rsidRPr="009808BA" w:rsidRDefault="00CC1C95" w:rsidP="00EE0DB2">
      <w:pPr>
        <w:pStyle w:val="Heading4"/>
        <w:numPr>
          <w:ilvl w:val="3"/>
          <w:numId w:val="0"/>
        </w:numPr>
        <w:tabs>
          <w:tab w:val="num" w:pos="0"/>
        </w:tabs>
        <w:snapToGrid/>
        <w:spacing w:before="240" w:after="60" w:line="276" w:lineRule="auto"/>
        <w:jc w:val="both"/>
      </w:pPr>
      <w:r w:rsidRPr="009808BA">
        <w:rPr>
          <w:i w:val="0"/>
        </w:rPr>
        <w:t>Liquid samples (e.g. AFFF, impregnation spays)</w:t>
      </w:r>
    </w:p>
    <w:p w:rsidR="00CC1C95" w:rsidRPr="00EC556A" w:rsidRDefault="00CC1C95" w:rsidP="00EE0DB2">
      <w:pPr>
        <w:ind w:firstLine="708"/>
      </w:pPr>
      <w:r w:rsidRPr="00EC556A">
        <w:t xml:space="preserve">Liquid samples are usually diluted with water, a polar organic solvent (MeOH, ACN) or a mixture of both. If LODs greater than 100 µg/L are required, 1:100 (or even higher) dilutions of AFFF can directly be subjected to LC-MS. Lower LODs may </w:t>
      </w:r>
      <w:r>
        <w:t>b</w:t>
      </w:r>
      <w:r w:rsidRPr="00EC556A">
        <w:t xml:space="preserve">e reached by prior clean-up with SPE columns. However, it is highly recommended to produce 1:100, 1:1000 and 1:10000 dilutions, and to start the LC-MS analysis with the highest dilution. This approach enlarges the operating times of the LC-MS system and prevents a PFOS overload. </w:t>
      </w:r>
    </w:p>
    <w:p w:rsidR="00CC1C95" w:rsidRDefault="00CC1C95" w:rsidP="00EE0DB2">
      <w:r w:rsidRPr="00EC556A">
        <w:t>The diluted sample is filtered (e.g. syringe filters (CME)) and reconstituted in MeOH/H</w:t>
      </w:r>
      <w:r w:rsidRPr="00EC556A">
        <w:rPr>
          <w:vertAlign w:val="subscript"/>
        </w:rPr>
        <w:t>2</w:t>
      </w:r>
      <w:r w:rsidRPr="00EC556A">
        <w:t xml:space="preserve">O (1/1; vol/vol).  </w:t>
      </w:r>
    </w:p>
    <w:p w:rsidR="00CC1C95" w:rsidRPr="00EC556A" w:rsidRDefault="00CC1C95" w:rsidP="00EE0DB2">
      <w:pPr>
        <w:pStyle w:val="Heading3"/>
        <w:numPr>
          <w:ilvl w:val="2"/>
          <w:numId w:val="9"/>
        </w:numPr>
        <w:tabs>
          <w:tab w:val="num" w:pos="0"/>
        </w:tabs>
        <w:snapToGrid/>
        <w:spacing w:before="240" w:after="60" w:line="276" w:lineRule="auto"/>
        <w:ind w:left="0" w:firstLine="0"/>
        <w:jc w:val="both"/>
      </w:pPr>
      <w:bookmarkStart w:id="170" w:name="_Toc349335741"/>
      <w:r w:rsidRPr="00EC556A">
        <w:t>Clean-up</w:t>
      </w:r>
      <w:bookmarkEnd w:id="170"/>
    </w:p>
    <w:p w:rsidR="0033045A" w:rsidRDefault="00CC1C95" w:rsidP="0033045A">
      <w:pPr>
        <w:shd w:val="clear" w:color="auto" w:fill="FFFFFF"/>
        <w:snapToGrid/>
        <w:ind w:firstLine="709"/>
        <w:jc w:val="left"/>
      </w:pPr>
      <w:bookmarkStart w:id="171" w:name="_Toc305849216"/>
      <w:r w:rsidRPr="00DE7177">
        <w:t>Three clean-up procedures can be recommended</w:t>
      </w:r>
      <w:r w:rsidR="009D766F" w:rsidRPr="00DE7177">
        <w:t xml:space="preserve"> for PFOS and other perfluorinated carboxylates, phosphates and sulfonate acids</w:t>
      </w:r>
      <w:r w:rsidRPr="00677235">
        <w:t xml:space="preserve">. For challenging matrices combinations of these may be applied as well. </w:t>
      </w:r>
      <w:r w:rsidR="00DF3442" w:rsidRPr="00677235">
        <w:t xml:space="preserve">Descriptions of </w:t>
      </w:r>
      <w:r w:rsidR="009D766F" w:rsidRPr="00AA1595">
        <w:t>extraction</w:t>
      </w:r>
      <w:r w:rsidR="00DF3442" w:rsidRPr="00AA1595">
        <w:t>s</w:t>
      </w:r>
      <w:r w:rsidR="009D766F" w:rsidRPr="00D8415D">
        <w:t xml:space="preserve"> of neutral </w:t>
      </w:r>
      <w:r w:rsidR="00DF3442" w:rsidRPr="00D8415D">
        <w:t>PFOS-</w:t>
      </w:r>
      <w:r w:rsidR="009D766F" w:rsidRPr="00363170">
        <w:t xml:space="preserve">precursors </w:t>
      </w:r>
      <w:r w:rsidR="00DF3442" w:rsidRPr="00363170">
        <w:t>or</w:t>
      </w:r>
      <w:r w:rsidR="009D766F" w:rsidRPr="006340BC">
        <w:t xml:space="preserve"> volatile PFCs such as FTOHs</w:t>
      </w:r>
      <w:r w:rsidR="00DF3442" w:rsidRPr="006340BC">
        <w:t xml:space="preserve"> can be found elsewhere, e.g. </w:t>
      </w:r>
      <w:r w:rsidR="009D766F" w:rsidRPr="00737E61">
        <w:t>Benskin</w:t>
      </w:r>
      <w:r w:rsidR="0033045A">
        <w:t xml:space="preserve"> et al.</w:t>
      </w:r>
      <w:r w:rsidR="009D766F" w:rsidRPr="00737E61">
        <w:t xml:space="preserve"> 2012</w:t>
      </w:r>
      <w:r w:rsidR="0033045A">
        <w:rPr>
          <w:rStyle w:val="FootnoteReference"/>
        </w:rPr>
        <w:footnoteReference w:id="25"/>
      </w:r>
      <w:r w:rsidR="0033045A">
        <w:t>.</w:t>
      </w:r>
    </w:p>
    <w:p w:rsidR="00CC1C95" w:rsidRDefault="00CC1C95" w:rsidP="0033045A">
      <w:pPr>
        <w:shd w:val="clear" w:color="auto" w:fill="FFFFFF"/>
        <w:snapToGrid/>
        <w:ind w:firstLine="709"/>
        <w:jc w:val="left"/>
      </w:pPr>
      <w:r w:rsidRPr="00EC556A">
        <w:t>A fast and easy clean-up makes use of powders of activated carbon (e.g. Envicarb)</w:t>
      </w:r>
      <w:r>
        <w:t>,</w:t>
      </w:r>
      <w:r w:rsidRPr="00EC556A">
        <w:t xml:space="preserve"> which are applied to the sample directly, adsorb interfering matrix components and finally removed from the extracts by filtration (e.g. CME syringe filters) and/or centrifugation. Alternatively, sample extracts are subjected to SPE columns with active carbon. The cleaned extract is then eluted form the column with a suitable solvent (e.g. MeOH, ACN). The approach is applicable to all kinds of extracts (MeOH, ACN, mixtures of both with water, Methyl tert-butyl ether (MTBE)).  </w:t>
      </w:r>
    </w:p>
    <w:p w:rsidR="00CC1C95" w:rsidRDefault="00CC1C95" w:rsidP="0033045A">
      <w:r w:rsidRPr="00EC556A">
        <w:t>Secondly, extracts in MeOH or ACN are diluted with 5-10-fold amounts of HPLC water and subjected to SPE columns containing C</w:t>
      </w:r>
      <w:r w:rsidRPr="009D766F">
        <w:rPr>
          <w:vertAlign w:val="subscript"/>
        </w:rPr>
        <w:t>18</w:t>
      </w:r>
      <w:r w:rsidRPr="00EC556A">
        <w:t xml:space="preserve"> or weak anion exchangers. The SPE columns are prepared with 1 SPE volume of methanol and another of water, before the diluted sample is loaded onto the column head. The SPE column is then washed with water (adjusted to pH 4-6), MeOH/water, and/or THF/ACN/MeOH. Finally, PFOS and other perfluorinated carboxylates and sulfonate</w:t>
      </w:r>
      <w:r w:rsidR="009D766F">
        <w:t xml:space="preserve"> acid</w:t>
      </w:r>
      <w:r w:rsidRPr="00EC556A">
        <w:t>s are eluted with 1-2 column volumes of methanol (adjusted to pH 10 with NH</w:t>
      </w:r>
      <w:r w:rsidRPr="00EC556A">
        <w:rPr>
          <w:rFonts w:ascii="(Asiatische Schriftart verwende" w:hAnsi="(Asiatische Schriftart verwende"/>
          <w:vertAlign w:val="subscript"/>
        </w:rPr>
        <w:t>3</w:t>
      </w:r>
      <w:r w:rsidRPr="00EC556A">
        <w:t xml:space="preserve">). </w:t>
      </w:r>
    </w:p>
    <w:p w:rsidR="00CC1C95" w:rsidRPr="00EC556A" w:rsidRDefault="00CC1C95" w:rsidP="00EE0DB2">
      <w:r w:rsidRPr="00EC556A">
        <w:t>MTBE extracts from ion-pair extractions can be cleaned with florisil columns (100-1000 mg) prior to solvent change to methanol/water. Florisil columns are pre-washed with MeOH and MTBE before the sample is loaded. After washing with M</w:t>
      </w:r>
      <w:r w:rsidR="009D766F">
        <w:t>T</w:t>
      </w:r>
      <w:r w:rsidRPr="00EC556A">
        <w:t>BE</w:t>
      </w:r>
      <w:r w:rsidR="009D766F">
        <w:t>,</w:t>
      </w:r>
      <w:r w:rsidRPr="00EC556A">
        <w:t xml:space="preserve"> target compounds are eluted with 30/70 MeOH/MTBE mixture (vol/vol).</w:t>
      </w:r>
    </w:p>
    <w:p w:rsidR="00CC1C95" w:rsidRPr="00EC556A" w:rsidRDefault="00CC1C95" w:rsidP="00EE0DB2">
      <w:r w:rsidRPr="00EC556A">
        <w:t>In all cases, the eluents are filtered (e.g. syringe filters (CME)) and dried under nitrogen before reconstitution in MeOH/H</w:t>
      </w:r>
      <w:r w:rsidRPr="00EC556A">
        <w:rPr>
          <w:vertAlign w:val="subscript"/>
        </w:rPr>
        <w:t>2</w:t>
      </w:r>
      <w:r w:rsidRPr="00EC556A">
        <w:t xml:space="preserve">O (1/1; vol/vol).  </w:t>
      </w:r>
      <w:bookmarkEnd w:id="171"/>
    </w:p>
    <w:p w:rsidR="00CC1C95" w:rsidRPr="00EC556A" w:rsidRDefault="00CC1C95" w:rsidP="00EE0DB2">
      <w:pPr>
        <w:pStyle w:val="Heading3"/>
        <w:numPr>
          <w:ilvl w:val="2"/>
          <w:numId w:val="9"/>
        </w:numPr>
        <w:tabs>
          <w:tab w:val="num" w:pos="0"/>
        </w:tabs>
        <w:snapToGrid/>
        <w:spacing w:before="240" w:after="60" w:line="276" w:lineRule="auto"/>
        <w:ind w:left="0" w:firstLine="0"/>
        <w:jc w:val="both"/>
      </w:pPr>
      <w:bookmarkStart w:id="172" w:name="_Toc308369594"/>
      <w:bookmarkStart w:id="173" w:name="_Toc331600502"/>
      <w:bookmarkStart w:id="174" w:name="_Toc331602642"/>
      <w:bookmarkStart w:id="175" w:name="_Toc331606954"/>
      <w:bookmarkStart w:id="176" w:name="_Toc331690415"/>
      <w:bookmarkStart w:id="177" w:name="_Toc331736745"/>
      <w:bookmarkStart w:id="178" w:name="_Toc331771782"/>
      <w:bookmarkStart w:id="179" w:name="_Toc331772832"/>
      <w:bookmarkStart w:id="180" w:name="_Toc331797133"/>
      <w:bookmarkStart w:id="181" w:name="_Toc331798239"/>
      <w:bookmarkStart w:id="182" w:name="_Toc349335742"/>
      <w:bookmarkEnd w:id="172"/>
      <w:bookmarkEnd w:id="173"/>
      <w:bookmarkEnd w:id="174"/>
      <w:bookmarkEnd w:id="175"/>
      <w:bookmarkEnd w:id="176"/>
      <w:bookmarkEnd w:id="177"/>
      <w:bookmarkEnd w:id="178"/>
      <w:bookmarkEnd w:id="179"/>
      <w:bookmarkEnd w:id="180"/>
      <w:bookmarkEnd w:id="181"/>
      <w:r w:rsidRPr="00EC556A">
        <w:t>Calibration</w:t>
      </w:r>
      <w:bookmarkEnd w:id="182"/>
    </w:p>
    <w:p w:rsidR="00CC1C95" w:rsidRDefault="00CC1C95" w:rsidP="00EE0DB2">
      <w:pPr>
        <w:ind w:firstLine="708"/>
      </w:pPr>
      <w:r w:rsidRPr="00EC556A">
        <w:t>Calibration standards are normally produced by commercially available mixtures of native and isotope labelled perfluorinated carboxylates and sulphonates</w:t>
      </w:r>
      <w:r>
        <w:t xml:space="preserve"> and are</w:t>
      </w:r>
      <w:r w:rsidRPr="00EC556A">
        <w:t xml:space="preserve"> used for calibration. </w:t>
      </w:r>
      <w:r w:rsidR="00DE7177">
        <w:t>Isotope labelled analytes are only relevant when mass spectrometry is used for detection.</w:t>
      </w:r>
      <w:r w:rsidR="00DE7177" w:rsidRPr="00EC556A">
        <w:t xml:space="preserve"> </w:t>
      </w:r>
      <w:r w:rsidRPr="00EC556A">
        <w:t>EPA 537 suggests that at least five calibration concentrations are required to prepare the initial calibration curve spanning a 20-fold concentration range and that larger concentration ranges will require more calibration points.</w:t>
      </w:r>
    </w:p>
    <w:p w:rsidR="00DE7177" w:rsidRDefault="00DE7177" w:rsidP="00DE7177">
      <w:r>
        <w:t>Note, that PFCs are prone to matrix enhancement when analysed by LC-Electrospray ionisation (ESI)-MS, why it is advised that either matrix matched or standard addition calibration curves are used.  External calibration curves and precursors for which no native and/or internal standards exist should be used with great care for interpretation.</w:t>
      </w:r>
    </w:p>
    <w:p w:rsidR="00CC1C95" w:rsidRDefault="00CC1C95" w:rsidP="00EE0DB2">
      <w:r w:rsidRPr="00EC556A">
        <w:t>An example for detailed requirement on calibration is described in the EPA 537 methods. These include e.g. the demonstration and documentation of acceptable initial calibration before any samples are analyzed. After the initial calibration is successful, a continuing calibration check is required at the beginning and end of each period in which analyses are performed.</w:t>
      </w:r>
    </w:p>
    <w:p w:rsidR="00CC1C95" w:rsidRPr="00EC556A" w:rsidRDefault="00CC1C95" w:rsidP="00EE0DB2">
      <w:pPr>
        <w:pStyle w:val="Heading3"/>
        <w:numPr>
          <w:ilvl w:val="2"/>
          <w:numId w:val="9"/>
        </w:numPr>
        <w:tabs>
          <w:tab w:val="num" w:pos="0"/>
        </w:tabs>
        <w:snapToGrid/>
        <w:spacing w:before="240" w:after="60" w:line="276" w:lineRule="auto"/>
        <w:ind w:left="0" w:firstLine="0"/>
        <w:jc w:val="both"/>
      </w:pPr>
      <w:bookmarkStart w:id="183" w:name="_Toc349335743"/>
      <w:r w:rsidRPr="00EC556A">
        <w:t>Recovery</w:t>
      </w:r>
      <w:bookmarkEnd w:id="183"/>
    </w:p>
    <w:p w:rsidR="00CC1C95" w:rsidRDefault="00CC1C95" w:rsidP="00EE0DB2">
      <w:pPr>
        <w:ind w:firstLine="708"/>
      </w:pPr>
      <w:r w:rsidRPr="00EC556A">
        <w:t>According to NPR-CEN/TS 15968 the check of analyte recoveries can be performed by two differently isotope labelled PFOS or PFOA standards. The internal standard applied for quantification is added to the sample at the beginning of the analytical procedure, whereas the other (recovery standard) is added to the final cleaned and volume reduced extract.</w:t>
      </w:r>
      <w:r>
        <w:t xml:space="preserve"> </w:t>
      </w:r>
      <w:r w:rsidRPr="00EC556A">
        <w:t>The alternative way to check recoveries is the fortification of samples with native PFOS.</w:t>
      </w:r>
    </w:p>
    <w:p w:rsidR="00CC1C95" w:rsidRPr="00EC556A" w:rsidRDefault="00CC1C95" w:rsidP="00EE0DB2">
      <w:r w:rsidRPr="00EC556A">
        <w:t>The EPA Method 537 requires a surrogate recovery in the range of 70-130%</w:t>
      </w:r>
      <w:r>
        <w:t>,</w:t>
      </w:r>
      <w:r w:rsidRPr="00EC556A">
        <w:t xml:space="preserve"> which seems a reasonable approach. If the recovery is out of this range the method also suggest steps to check 1) calculations to locate possible errors, 2) standard solutions for degradation, 3) contamination, and 4) instrument performance. Then to correct the problem and reanalyze the extract.</w:t>
      </w:r>
    </w:p>
    <w:p w:rsidR="00CC1C95" w:rsidRPr="00EC556A" w:rsidRDefault="00CC1C95" w:rsidP="00EE0DB2">
      <w:pPr>
        <w:pStyle w:val="Heading3"/>
        <w:numPr>
          <w:ilvl w:val="2"/>
          <w:numId w:val="9"/>
        </w:numPr>
        <w:tabs>
          <w:tab w:val="num" w:pos="0"/>
        </w:tabs>
        <w:snapToGrid/>
        <w:spacing w:before="240" w:after="60" w:line="276" w:lineRule="auto"/>
        <w:ind w:left="0" w:firstLine="0"/>
        <w:jc w:val="both"/>
      </w:pPr>
      <w:bookmarkStart w:id="184" w:name="_Toc349335744"/>
      <w:r w:rsidRPr="00EC556A">
        <w:t>Blank measurements</w:t>
      </w:r>
      <w:bookmarkEnd w:id="184"/>
    </w:p>
    <w:p w:rsidR="00CC1C95" w:rsidRDefault="00CC1C95" w:rsidP="00EE0DB2">
      <w:pPr>
        <w:ind w:firstLine="708"/>
      </w:pPr>
      <w:bookmarkStart w:id="185" w:name="_Toc305849219"/>
      <w:r w:rsidRPr="00EC556A">
        <w:t>As a minimum quality assurance, method blank samples are required. The procedural blank shall be at least threefold less than the limit of quantification of the method.</w:t>
      </w:r>
      <w:r>
        <w:t xml:space="preserve"> </w:t>
      </w:r>
      <w:r w:rsidRPr="00EC556A">
        <w:t>Blank samples are treated in the same way as the samples, but do not contain sample matrix. For ultrasonic extracts, the normal volume of extraction solvent (MeOH, ACN) is used, with ASE or PLE cartridges filled with sea sand or a comparable bulk material is used. For ion pair extractions or liquids, HPLC water is used a</w:t>
      </w:r>
      <w:r>
        <w:t>s</w:t>
      </w:r>
      <w:r w:rsidRPr="00EC556A">
        <w:t xml:space="preserve"> substitute in method blank samples. </w:t>
      </w:r>
      <w:r w:rsidR="00DE7177">
        <w:t>Note that ultrasonic extraction risk to decompose labile PFC precursors, e.g. esters.</w:t>
      </w:r>
    </w:p>
    <w:p w:rsidR="00CC1C95" w:rsidRPr="00EC556A" w:rsidRDefault="00CC1C95" w:rsidP="00EE0DB2">
      <w:r w:rsidRPr="00EC556A">
        <w:t xml:space="preserve">If PFOS levels in method blank samples increase, it is recommended to compare these with levels in pure solvent blanks, i.e. ACN/water (1/1; vol/vol) or MeOH/water (1/1; vol/vol) or pure HPLC water. This helps to distinguish between solvents or bulk materials as a major source of contamination. Polypropylene tubes and sample containers can be reused, however, </w:t>
      </w:r>
      <w:r>
        <w:t>are</w:t>
      </w:r>
      <w:r w:rsidRPr="00EC556A">
        <w:t xml:space="preserve"> discarded after samples with increased PFOS levels had contact to their surfaces. High concentrated PFOS extracts or solutions can migrate into the plastic walls and cross contaminate low concentrated samples or extracts. </w:t>
      </w:r>
    </w:p>
    <w:p w:rsidR="00CC1C95" w:rsidRPr="00EC556A" w:rsidRDefault="00CC1C95" w:rsidP="00EE0DB2">
      <w:pPr>
        <w:pStyle w:val="Heading3"/>
        <w:numPr>
          <w:ilvl w:val="2"/>
          <w:numId w:val="9"/>
        </w:numPr>
        <w:tabs>
          <w:tab w:val="num" w:pos="0"/>
        </w:tabs>
        <w:snapToGrid/>
        <w:spacing w:before="240" w:after="60" w:line="276" w:lineRule="auto"/>
        <w:ind w:left="0" w:firstLine="0"/>
        <w:jc w:val="both"/>
      </w:pPr>
      <w:bookmarkStart w:id="186" w:name="_Toc346701948"/>
      <w:bookmarkStart w:id="187" w:name="_Toc349335745"/>
      <w:bookmarkEnd w:id="186"/>
      <w:r w:rsidRPr="00EC556A">
        <w:t xml:space="preserve">PFOS </w:t>
      </w:r>
      <w:r>
        <w:t>and s</w:t>
      </w:r>
      <w:r w:rsidRPr="00EC556A">
        <w:t>elected</w:t>
      </w:r>
      <w:r>
        <w:t xml:space="preserve"> PFOS</w:t>
      </w:r>
      <w:r w:rsidRPr="00EC556A">
        <w:t xml:space="preserve"> related substances </w:t>
      </w:r>
      <w:bookmarkEnd w:id="185"/>
      <w:r>
        <w:t>monitored</w:t>
      </w:r>
      <w:bookmarkEnd w:id="187"/>
      <w:r>
        <w:t xml:space="preserve"> </w:t>
      </w:r>
    </w:p>
    <w:p w:rsidR="00CC1C95" w:rsidRDefault="00CC1C95" w:rsidP="00EE0DB2">
      <w:pPr>
        <w:ind w:firstLine="708"/>
      </w:pPr>
      <w:r w:rsidRPr="00EC556A">
        <w:t>In table 3-2 PFOS and related substances</w:t>
      </w:r>
      <w:r>
        <w:t>,</w:t>
      </w:r>
      <w:r w:rsidRPr="00EC556A">
        <w:t xml:space="preserve"> which can be considered to be part of state-of-the-art analysis of PFCs</w:t>
      </w:r>
      <w:r>
        <w:t xml:space="preserve"> are included</w:t>
      </w:r>
      <w:r w:rsidRPr="00EC556A">
        <w:t xml:space="preserve">. </w:t>
      </w:r>
      <w:r w:rsidRPr="00EC556A">
        <w:rPr>
          <w:iCs/>
        </w:rPr>
        <w:t>However as mentioned above, most of the 165 PFOS related substances are not covered by th</w:t>
      </w:r>
      <w:r>
        <w:rPr>
          <w:iCs/>
        </w:rPr>
        <w:t>e</w:t>
      </w:r>
      <w:r w:rsidRPr="00EC556A">
        <w:rPr>
          <w:iCs/>
        </w:rPr>
        <w:t xml:space="preserve"> current used state-of-the-art analysis.</w:t>
      </w:r>
      <w:r>
        <w:rPr>
          <w:iCs/>
        </w:rPr>
        <w:t xml:space="preserve"> In table A6.-2 in the Annex </w:t>
      </w:r>
      <w:r>
        <w:t xml:space="preserve">also </w:t>
      </w:r>
      <w:r w:rsidRPr="00EC556A">
        <w:t>other PFCs are listed</w:t>
      </w:r>
      <w:r>
        <w:t xml:space="preserve"> which are covered by state of the art analysis.</w:t>
      </w:r>
    </w:p>
    <w:p w:rsidR="00CC1C95" w:rsidRPr="00EC556A" w:rsidRDefault="00CC1C95" w:rsidP="00EE0DB2">
      <w:pPr>
        <w:rPr>
          <w:iCs/>
          <w:szCs w:val="24"/>
          <w:highlight w:val="cyan"/>
        </w:rPr>
      </w:pPr>
    </w:p>
    <w:p w:rsidR="00CC1C95" w:rsidRPr="00EC556A" w:rsidRDefault="00CC1C95" w:rsidP="00EE0DB2">
      <w:pPr>
        <w:rPr>
          <w:iCs/>
          <w:szCs w:val="24"/>
        </w:rPr>
      </w:pPr>
      <w:r w:rsidRPr="00AB5F26">
        <w:rPr>
          <w:b/>
        </w:rPr>
        <w:t>Table 3-2:</w:t>
      </w:r>
      <w:r w:rsidRPr="00EC556A">
        <w:t xml:space="preserve"> PFOS, PFOS related substances included in state-of-the-art monitoring. (from 165 PFOS related substances; *Analytes listed in CEN/TS 15968:2010).</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33"/>
        <w:gridCol w:w="3797"/>
        <w:gridCol w:w="1162"/>
        <w:gridCol w:w="1388"/>
      </w:tblGrid>
      <w:tr w:rsidR="00CC1C95" w:rsidRPr="00EC556A">
        <w:tc>
          <w:tcPr>
            <w:tcW w:w="2863"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Cs w:val="24"/>
              </w:rPr>
            </w:pPr>
            <w:r w:rsidRPr="00EC556A">
              <w:rPr>
                <w:b/>
                <w:bCs/>
                <w:szCs w:val="24"/>
              </w:rPr>
              <w:t>Abbreviation</w:t>
            </w:r>
          </w:p>
        </w:tc>
        <w:tc>
          <w:tcPr>
            <w:tcW w:w="3853"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Cs w:val="24"/>
              </w:rPr>
            </w:pPr>
            <w:r w:rsidRPr="00EC556A">
              <w:rPr>
                <w:b/>
                <w:bCs/>
                <w:szCs w:val="24"/>
              </w:rPr>
              <w:t>Full name</w:t>
            </w:r>
          </w:p>
        </w:tc>
        <w:tc>
          <w:tcPr>
            <w:tcW w:w="1175"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szCs w:val="24"/>
              </w:rPr>
            </w:pPr>
            <w:r w:rsidRPr="00EC556A">
              <w:rPr>
                <w:b/>
                <w:szCs w:val="24"/>
              </w:rPr>
              <w:t>CAS #</w:t>
            </w:r>
          </w:p>
        </w:tc>
        <w:tc>
          <w:tcPr>
            <w:tcW w:w="1397"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Cs w:val="24"/>
              </w:rPr>
            </w:pPr>
            <w:r w:rsidRPr="00EC556A">
              <w:rPr>
                <w:b/>
                <w:bCs/>
                <w:szCs w:val="24"/>
              </w:rPr>
              <w:t>Detection method</w:t>
            </w:r>
          </w:p>
        </w:tc>
      </w:tr>
      <w:tr w:rsidR="00CC1C95" w:rsidRPr="007B72FA">
        <w:tc>
          <w:tcPr>
            <w:tcW w:w="2863" w:type="dxa"/>
            <w:tcBorders>
              <w:top w:val="single" w:sz="4" w:space="0" w:color="000000"/>
              <w:left w:val="single" w:sz="4" w:space="0" w:color="000000"/>
              <w:bottom w:val="single" w:sz="4" w:space="0" w:color="000000"/>
              <w:right w:val="single" w:sz="4" w:space="0" w:color="000000"/>
            </w:tcBorders>
          </w:tcPr>
          <w:p w:rsidR="00CC1C95" w:rsidRPr="007B72FA" w:rsidRDefault="00CC1C95" w:rsidP="00EE0DB2">
            <w:pPr>
              <w:rPr>
                <w:b/>
                <w:sz w:val="20"/>
              </w:rPr>
            </w:pPr>
            <w:r w:rsidRPr="007B72FA">
              <w:rPr>
                <w:b/>
                <w:sz w:val="20"/>
              </w:rPr>
              <w:t>Fluorooctane sulfonamides/ sulfonamidoethanols</w:t>
            </w:r>
          </w:p>
        </w:tc>
        <w:tc>
          <w:tcPr>
            <w:tcW w:w="3853" w:type="dxa"/>
            <w:tcBorders>
              <w:top w:val="single" w:sz="4" w:space="0" w:color="000000"/>
              <w:left w:val="single" w:sz="4" w:space="0" w:color="000000"/>
              <w:bottom w:val="single" w:sz="4" w:space="0" w:color="000000"/>
              <w:right w:val="single" w:sz="4" w:space="0" w:color="000000"/>
            </w:tcBorders>
          </w:tcPr>
          <w:p w:rsidR="00CC1C95" w:rsidRPr="007B72FA" w:rsidRDefault="00CC1C95" w:rsidP="00EE0DB2">
            <w:pPr>
              <w:rPr>
                <w:sz w:val="20"/>
              </w:rPr>
            </w:pPr>
          </w:p>
        </w:tc>
        <w:tc>
          <w:tcPr>
            <w:tcW w:w="1175" w:type="dxa"/>
            <w:tcBorders>
              <w:top w:val="single" w:sz="4" w:space="0" w:color="000000"/>
              <w:left w:val="single" w:sz="4" w:space="0" w:color="000000"/>
              <w:bottom w:val="single" w:sz="4" w:space="0" w:color="000000"/>
              <w:right w:val="single" w:sz="4" w:space="0" w:color="000000"/>
            </w:tcBorders>
          </w:tcPr>
          <w:p w:rsidR="00CC1C95" w:rsidRPr="007B72FA" w:rsidRDefault="00CC1C95" w:rsidP="00EE0DB2">
            <w:pPr>
              <w:rPr>
                <w:bCs/>
                <w:sz w:val="20"/>
              </w:rPr>
            </w:pPr>
          </w:p>
        </w:tc>
        <w:tc>
          <w:tcPr>
            <w:tcW w:w="1397" w:type="dxa"/>
            <w:tcBorders>
              <w:top w:val="single" w:sz="4" w:space="0" w:color="000000"/>
              <w:left w:val="single" w:sz="4" w:space="0" w:color="000000"/>
              <w:bottom w:val="single" w:sz="4" w:space="0" w:color="000000"/>
              <w:right w:val="single" w:sz="4" w:space="0" w:color="000000"/>
            </w:tcBorders>
          </w:tcPr>
          <w:p w:rsidR="00CC1C95" w:rsidRPr="007B72FA" w:rsidRDefault="00CC1C95" w:rsidP="00EE0DB2">
            <w:pPr>
              <w:rPr>
                <w:sz w:val="20"/>
              </w:rPr>
            </w:pPr>
          </w:p>
        </w:tc>
      </w:tr>
      <w:tr w:rsidR="00CC1C95" w:rsidRPr="007B72FA">
        <w:tc>
          <w:tcPr>
            <w:tcW w:w="2863" w:type="dxa"/>
            <w:tcBorders>
              <w:top w:val="single" w:sz="4" w:space="0" w:color="000000"/>
              <w:left w:val="single" w:sz="4" w:space="0" w:color="000000"/>
              <w:bottom w:val="single" w:sz="4" w:space="0" w:color="000000"/>
              <w:right w:val="single" w:sz="4" w:space="0" w:color="000000"/>
            </w:tcBorders>
          </w:tcPr>
          <w:p w:rsidR="00CC1C95" w:rsidRPr="007B72FA" w:rsidRDefault="00CC1C95" w:rsidP="00EE0DB2">
            <w:pPr>
              <w:rPr>
                <w:b/>
                <w:sz w:val="20"/>
              </w:rPr>
            </w:pPr>
            <w:r w:rsidRPr="007B72FA">
              <w:rPr>
                <w:b/>
                <w:sz w:val="20"/>
              </w:rPr>
              <w:t>PFOSA*</w:t>
            </w:r>
          </w:p>
        </w:tc>
        <w:tc>
          <w:tcPr>
            <w:tcW w:w="3853" w:type="dxa"/>
            <w:tcBorders>
              <w:top w:val="single" w:sz="4" w:space="0" w:color="000000"/>
              <w:left w:val="single" w:sz="4" w:space="0" w:color="000000"/>
              <w:bottom w:val="single" w:sz="4" w:space="0" w:color="000000"/>
              <w:right w:val="single" w:sz="4" w:space="0" w:color="000000"/>
            </w:tcBorders>
          </w:tcPr>
          <w:p w:rsidR="00CC1C95" w:rsidRPr="007B72FA" w:rsidRDefault="00CC1C95" w:rsidP="00EE0DB2">
            <w:pPr>
              <w:rPr>
                <w:b/>
                <w:sz w:val="20"/>
              </w:rPr>
            </w:pPr>
            <w:r w:rsidRPr="007B72FA">
              <w:rPr>
                <w:b/>
                <w:sz w:val="20"/>
              </w:rPr>
              <w:t>Perfluorooctane sulfonamide</w:t>
            </w:r>
          </w:p>
        </w:tc>
        <w:tc>
          <w:tcPr>
            <w:tcW w:w="1175" w:type="dxa"/>
            <w:tcBorders>
              <w:top w:val="single" w:sz="4" w:space="0" w:color="000000"/>
              <w:left w:val="single" w:sz="4" w:space="0" w:color="000000"/>
              <w:bottom w:val="single" w:sz="4" w:space="0" w:color="000000"/>
              <w:right w:val="single" w:sz="4" w:space="0" w:color="000000"/>
            </w:tcBorders>
          </w:tcPr>
          <w:p w:rsidR="00CC1C95" w:rsidRPr="007B72FA" w:rsidRDefault="00CC1C95" w:rsidP="00EE0DB2">
            <w:pPr>
              <w:rPr>
                <w:b/>
                <w:sz w:val="20"/>
              </w:rPr>
            </w:pPr>
            <w:r w:rsidRPr="007B72FA">
              <w:rPr>
                <w:b/>
                <w:bCs/>
                <w:sz w:val="20"/>
              </w:rPr>
              <w:t>754-91-6</w:t>
            </w:r>
          </w:p>
        </w:tc>
        <w:tc>
          <w:tcPr>
            <w:tcW w:w="1397" w:type="dxa"/>
            <w:tcBorders>
              <w:top w:val="single" w:sz="4" w:space="0" w:color="000000"/>
              <w:left w:val="single" w:sz="4" w:space="0" w:color="000000"/>
              <w:bottom w:val="single" w:sz="4" w:space="0" w:color="000000"/>
              <w:right w:val="single" w:sz="4" w:space="0" w:color="000000"/>
            </w:tcBorders>
          </w:tcPr>
          <w:p w:rsidR="00CC1C95" w:rsidRPr="007B72FA" w:rsidRDefault="00CC1C95" w:rsidP="00EE0DB2">
            <w:pPr>
              <w:rPr>
                <w:b/>
                <w:sz w:val="20"/>
              </w:rPr>
            </w:pPr>
            <w:r w:rsidRPr="007B72FA">
              <w:rPr>
                <w:b/>
                <w:sz w:val="20"/>
              </w:rPr>
              <w:t>LC-MS</w:t>
            </w:r>
          </w:p>
        </w:tc>
      </w:tr>
      <w:tr w:rsidR="00CC1C95" w:rsidRPr="007B72FA">
        <w:tc>
          <w:tcPr>
            <w:tcW w:w="2863" w:type="dxa"/>
            <w:tcBorders>
              <w:top w:val="single" w:sz="4" w:space="0" w:color="000000"/>
              <w:left w:val="single" w:sz="4" w:space="0" w:color="000000"/>
              <w:bottom w:val="single" w:sz="4" w:space="0" w:color="000000"/>
              <w:right w:val="single" w:sz="4" w:space="0" w:color="000000"/>
            </w:tcBorders>
          </w:tcPr>
          <w:p w:rsidR="00CC1C95" w:rsidRPr="007B72FA" w:rsidRDefault="00CC1C95" w:rsidP="00EE0DB2">
            <w:pPr>
              <w:rPr>
                <w:b/>
                <w:sz w:val="20"/>
              </w:rPr>
            </w:pPr>
            <w:r w:rsidRPr="007B72FA">
              <w:rPr>
                <w:b/>
                <w:sz w:val="20"/>
              </w:rPr>
              <w:t>N-Me-FOSA*</w:t>
            </w:r>
          </w:p>
        </w:tc>
        <w:tc>
          <w:tcPr>
            <w:tcW w:w="3853" w:type="dxa"/>
            <w:tcBorders>
              <w:top w:val="single" w:sz="4" w:space="0" w:color="000000"/>
              <w:left w:val="single" w:sz="4" w:space="0" w:color="000000"/>
              <w:bottom w:val="single" w:sz="4" w:space="0" w:color="000000"/>
              <w:right w:val="single" w:sz="4" w:space="0" w:color="000000"/>
            </w:tcBorders>
          </w:tcPr>
          <w:p w:rsidR="00CC1C95" w:rsidRPr="007B72FA" w:rsidRDefault="00CC1C95" w:rsidP="00EE0DB2">
            <w:pPr>
              <w:rPr>
                <w:b/>
                <w:sz w:val="20"/>
              </w:rPr>
            </w:pPr>
            <w:r w:rsidRPr="007B72FA">
              <w:rPr>
                <w:b/>
                <w:sz w:val="20"/>
              </w:rPr>
              <w:t>N-Methyl-heptadecafluorooctane sulfonamide</w:t>
            </w:r>
          </w:p>
        </w:tc>
        <w:tc>
          <w:tcPr>
            <w:tcW w:w="1175" w:type="dxa"/>
            <w:tcBorders>
              <w:top w:val="single" w:sz="4" w:space="0" w:color="000000"/>
              <w:left w:val="single" w:sz="4" w:space="0" w:color="000000"/>
              <w:bottom w:val="single" w:sz="4" w:space="0" w:color="000000"/>
              <w:right w:val="single" w:sz="4" w:space="0" w:color="000000"/>
            </w:tcBorders>
          </w:tcPr>
          <w:p w:rsidR="00CC1C95" w:rsidRPr="007B72FA" w:rsidRDefault="00CC1C95" w:rsidP="00EE0DB2">
            <w:pPr>
              <w:rPr>
                <w:b/>
                <w:sz w:val="20"/>
              </w:rPr>
            </w:pPr>
            <w:r w:rsidRPr="007B72FA">
              <w:rPr>
                <w:b/>
                <w:sz w:val="20"/>
              </w:rPr>
              <w:t>31506-32-8</w:t>
            </w:r>
          </w:p>
        </w:tc>
        <w:tc>
          <w:tcPr>
            <w:tcW w:w="1397" w:type="dxa"/>
            <w:tcBorders>
              <w:top w:val="single" w:sz="4" w:space="0" w:color="000000"/>
              <w:left w:val="single" w:sz="4" w:space="0" w:color="000000"/>
              <w:bottom w:val="single" w:sz="4" w:space="0" w:color="000000"/>
              <w:right w:val="single" w:sz="4" w:space="0" w:color="000000"/>
            </w:tcBorders>
          </w:tcPr>
          <w:p w:rsidR="00CC1C95" w:rsidRPr="007B72FA" w:rsidRDefault="00CC1C95" w:rsidP="00EE0DB2">
            <w:pPr>
              <w:rPr>
                <w:b/>
                <w:sz w:val="20"/>
              </w:rPr>
            </w:pPr>
            <w:r w:rsidRPr="007B72FA">
              <w:rPr>
                <w:b/>
                <w:sz w:val="20"/>
              </w:rPr>
              <w:t>LC-MS</w:t>
            </w:r>
          </w:p>
        </w:tc>
      </w:tr>
      <w:tr w:rsidR="00CC1C95" w:rsidRPr="007B72FA">
        <w:tc>
          <w:tcPr>
            <w:tcW w:w="2863" w:type="dxa"/>
            <w:tcBorders>
              <w:top w:val="single" w:sz="4" w:space="0" w:color="000000"/>
              <w:left w:val="single" w:sz="4" w:space="0" w:color="000000"/>
              <w:bottom w:val="single" w:sz="4" w:space="0" w:color="000000"/>
              <w:right w:val="single" w:sz="4" w:space="0" w:color="000000"/>
            </w:tcBorders>
          </w:tcPr>
          <w:p w:rsidR="00CC1C95" w:rsidRPr="007B72FA" w:rsidRDefault="00CC1C95" w:rsidP="00EE0DB2">
            <w:pPr>
              <w:rPr>
                <w:b/>
                <w:sz w:val="20"/>
              </w:rPr>
            </w:pPr>
            <w:r w:rsidRPr="007B72FA">
              <w:rPr>
                <w:b/>
                <w:sz w:val="20"/>
              </w:rPr>
              <w:t>N-Et-FOSA</w:t>
            </w:r>
          </w:p>
        </w:tc>
        <w:tc>
          <w:tcPr>
            <w:tcW w:w="3853" w:type="dxa"/>
            <w:tcBorders>
              <w:top w:val="single" w:sz="4" w:space="0" w:color="000000"/>
              <w:left w:val="single" w:sz="4" w:space="0" w:color="000000"/>
              <w:bottom w:val="single" w:sz="4" w:space="0" w:color="000000"/>
              <w:right w:val="single" w:sz="4" w:space="0" w:color="000000"/>
            </w:tcBorders>
          </w:tcPr>
          <w:p w:rsidR="00CC1C95" w:rsidRPr="007B72FA" w:rsidRDefault="00CC1C95" w:rsidP="00EE0DB2">
            <w:pPr>
              <w:rPr>
                <w:b/>
                <w:sz w:val="20"/>
              </w:rPr>
            </w:pPr>
            <w:r w:rsidRPr="007B72FA">
              <w:rPr>
                <w:b/>
                <w:sz w:val="20"/>
              </w:rPr>
              <w:t>N-Ethyl-heptadecafluorooctane sulfonamide</w:t>
            </w:r>
          </w:p>
        </w:tc>
        <w:tc>
          <w:tcPr>
            <w:tcW w:w="1175" w:type="dxa"/>
            <w:tcBorders>
              <w:top w:val="single" w:sz="4" w:space="0" w:color="000000"/>
              <w:left w:val="single" w:sz="4" w:space="0" w:color="000000"/>
              <w:bottom w:val="single" w:sz="4" w:space="0" w:color="000000"/>
              <w:right w:val="single" w:sz="4" w:space="0" w:color="000000"/>
            </w:tcBorders>
          </w:tcPr>
          <w:p w:rsidR="00CC1C95" w:rsidRPr="007B72FA" w:rsidRDefault="00CC1C95" w:rsidP="00EE0DB2">
            <w:pPr>
              <w:rPr>
                <w:b/>
                <w:sz w:val="20"/>
              </w:rPr>
            </w:pPr>
            <w:r w:rsidRPr="007B72FA">
              <w:rPr>
                <w:b/>
                <w:sz w:val="20"/>
              </w:rPr>
              <w:t>4151-50-2</w:t>
            </w:r>
          </w:p>
        </w:tc>
        <w:tc>
          <w:tcPr>
            <w:tcW w:w="1397" w:type="dxa"/>
            <w:tcBorders>
              <w:top w:val="single" w:sz="4" w:space="0" w:color="000000"/>
              <w:left w:val="single" w:sz="4" w:space="0" w:color="000000"/>
              <w:bottom w:val="single" w:sz="4" w:space="0" w:color="000000"/>
              <w:right w:val="single" w:sz="4" w:space="0" w:color="000000"/>
            </w:tcBorders>
          </w:tcPr>
          <w:p w:rsidR="00CC1C95" w:rsidRPr="007B72FA" w:rsidRDefault="00CC1C95" w:rsidP="00EE0DB2">
            <w:pPr>
              <w:rPr>
                <w:b/>
                <w:sz w:val="20"/>
              </w:rPr>
            </w:pPr>
            <w:r w:rsidRPr="007B72FA">
              <w:rPr>
                <w:b/>
                <w:sz w:val="20"/>
              </w:rPr>
              <w:t>LC-MS</w:t>
            </w:r>
          </w:p>
        </w:tc>
      </w:tr>
      <w:tr w:rsidR="00CC1C95" w:rsidRPr="007B72FA">
        <w:tc>
          <w:tcPr>
            <w:tcW w:w="2863" w:type="dxa"/>
            <w:tcBorders>
              <w:top w:val="single" w:sz="4" w:space="0" w:color="000000"/>
              <w:left w:val="single" w:sz="4" w:space="0" w:color="000000"/>
              <w:bottom w:val="single" w:sz="4" w:space="0" w:color="000000"/>
              <w:right w:val="single" w:sz="4" w:space="0" w:color="000000"/>
            </w:tcBorders>
          </w:tcPr>
          <w:p w:rsidR="00CC1C95" w:rsidRPr="007B72FA" w:rsidRDefault="00CC1C95" w:rsidP="00EE0DB2">
            <w:pPr>
              <w:rPr>
                <w:b/>
                <w:sz w:val="20"/>
              </w:rPr>
            </w:pPr>
            <w:r w:rsidRPr="007B72FA">
              <w:rPr>
                <w:b/>
                <w:sz w:val="20"/>
              </w:rPr>
              <w:t>N-Me-FOSE*</w:t>
            </w:r>
          </w:p>
        </w:tc>
        <w:tc>
          <w:tcPr>
            <w:tcW w:w="3853" w:type="dxa"/>
            <w:tcBorders>
              <w:top w:val="single" w:sz="4" w:space="0" w:color="000000"/>
              <w:left w:val="single" w:sz="4" w:space="0" w:color="000000"/>
              <w:bottom w:val="single" w:sz="4" w:space="0" w:color="000000"/>
              <w:right w:val="single" w:sz="4" w:space="0" w:color="000000"/>
            </w:tcBorders>
          </w:tcPr>
          <w:p w:rsidR="00CC1C95" w:rsidRPr="007B72FA" w:rsidRDefault="00CC1C95" w:rsidP="00EE0DB2">
            <w:pPr>
              <w:rPr>
                <w:b/>
                <w:sz w:val="20"/>
              </w:rPr>
            </w:pPr>
            <w:r w:rsidRPr="007B72FA">
              <w:rPr>
                <w:b/>
                <w:sz w:val="20"/>
              </w:rPr>
              <w:t>N-Methyl-heptadecafluorooctane sulfonamidoethanol</w:t>
            </w:r>
          </w:p>
        </w:tc>
        <w:tc>
          <w:tcPr>
            <w:tcW w:w="1175" w:type="dxa"/>
            <w:tcBorders>
              <w:top w:val="single" w:sz="4" w:space="0" w:color="000000"/>
              <w:left w:val="single" w:sz="4" w:space="0" w:color="000000"/>
              <w:bottom w:val="single" w:sz="4" w:space="0" w:color="000000"/>
              <w:right w:val="single" w:sz="4" w:space="0" w:color="000000"/>
            </w:tcBorders>
          </w:tcPr>
          <w:p w:rsidR="00CC1C95" w:rsidRPr="007B72FA" w:rsidRDefault="00CC1C95" w:rsidP="00EE0DB2">
            <w:pPr>
              <w:rPr>
                <w:b/>
                <w:sz w:val="20"/>
              </w:rPr>
            </w:pPr>
            <w:r w:rsidRPr="007B72FA">
              <w:rPr>
                <w:b/>
                <w:bCs/>
                <w:sz w:val="20"/>
              </w:rPr>
              <w:t>24448-09-7</w:t>
            </w:r>
          </w:p>
        </w:tc>
        <w:tc>
          <w:tcPr>
            <w:tcW w:w="1397" w:type="dxa"/>
            <w:tcBorders>
              <w:top w:val="single" w:sz="4" w:space="0" w:color="000000"/>
              <w:left w:val="single" w:sz="4" w:space="0" w:color="000000"/>
              <w:bottom w:val="single" w:sz="4" w:space="0" w:color="000000"/>
              <w:right w:val="single" w:sz="4" w:space="0" w:color="000000"/>
            </w:tcBorders>
          </w:tcPr>
          <w:p w:rsidR="00CC1C95" w:rsidRPr="007B72FA" w:rsidRDefault="00CC1C95" w:rsidP="00EE0DB2">
            <w:pPr>
              <w:rPr>
                <w:b/>
                <w:sz w:val="20"/>
              </w:rPr>
            </w:pPr>
            <w:r w:rsidRPr="007B72FA">
              <w:rPr>
                <w:b/>
                <w:sz w:val="20"/>
              </w:rPr>
              <w:t>LC-MS</w:t>
            </w:r>
          </w:p>
        </w:tc>
      </w:tr>
      <w:tr w:rsidR="00CC1C95" w:rsidRPr="007B72FA">
        <w:tc>
          <w:tcPr>
            <w:tcW w:w="2863" w:type="dxa"/>
            <w:tcBorders>
              <w:top w:val="single" w:sz="4" w:space="0" w:color="000000"/>
              <w:left w:val="single" w:sz="4" w:space="0" w:color="000000"/>
              <w:bottom w:val="single" w:sz="4" w:space="0" w:color="000000"/>
              <w:right w:val="single" w:sz="4" w:space="0" w:color="000000"/>
            </w:tcBorders>
          </w:tcPr>
          <w:p w:rsidR="00CC1C95" w:rsidRPr="007B72FA" w:rsidRDefault="00CC1C95" w:rsidP="00EE0DB2">
            <w:pPr>
              <w:rPr>
                <w:b/>
                <w:sz w:val="20"/>
              </w:rPr>
            </w:pPr>
            <w:r w:rsidRPr="007B72FA">
              <w:rPr>
                <w:b/>
                <w:sz w:val="20"/>
              </w:rPr>
              <w:t>N-Et-FOSE*</w:t>
            </w:r>
          </w:p>
        </w:tc>
        <w:tc>
          <w:tcPr>
            <w:tcW w:w="3853" w:type="dxa"/>
            <w:tcBorders>
              <w:top w:val="single" w:sz="4" w:space="0" w:color="000000"/>
              <w:left w:val="single" w:sz="4" w:space="0" w:color="000000"/>
              <w:bottom w:val="single" w:sz="4" w:space="0" w:color="000000"/>
              <w:right w:val="single" w:sz="4" w:space="0" w:color="000000"/>
            </w:tcBorders>
          </w:tcPr>
          <w:p w:rsidR="00CC1C95" w:rsidRPr="007B72FA" w:rsidRDefault="00CC1C95" w:rsidP="00EE0DB2">
            <w:pPr>
              <w:rPr>
                <w:b/>
                <w:sz w:val="20"/>
              </w:rPr>
            </w:pPr>
            <w:r w:rsidRPr="007B72FA">
              <w:rPr>
                <w:b/>
                <w:sz w:val="20"/>
              </w:rPr>
              <w:t>N-Ethyl-heptadecafluorooctane sulfonamidoethanol</w:t>
            </w:r>
          </w:p>
        </w:tc>
        <w:tc>
          <w:tcPr>
            <w:tcW w:w="1175" w:type="dxa"/>
            <w:tcBorders>
              <w:top w:val="single" w:sz="4" w:space="0" w:color="000000"/>
              <w:left w:val="single" w:sz="4" w:space="0" w:color="000000"/>
              <w:bottom w:val="single" w:sz="4" w:space="0" w:color="000000"/>
              <w:right w:val="single" w:sz="4" w:space="0" w:color="000000"/>
            </w:tcBorders>
          </w:tcPr>
          <w:p w:rsidR="00CC1C95" w:rsidRPr="007B72FA" w:rsidRDefault="00CC1C95" w:rsidP="00EE0DB2">
            <w:pPr>
              <w:rPr>
                <w:b/>
                <w:sz w:val="20"/>
              </w:rPr>
            </w:pPr>
            <w:r w:rsidRPr="007B72FA">
              <w:rPr>
                <w:b/>
                <w:bCs/>
                <w:sz w:val="20"/>
              </w:rPr>
              <w:t>1691-99-2</w:t>
            </w:r>
          </w:p>
        </w:tc>
        <w:tc>
          <w:tcPr>
            <w:tcW w:w="1397" w:type="dxa"/>
            <w:tcBorders>
              <w:top w:val="single" w:sz="4" w:space="0" w:color="000000"/>
              <w:left w:val="single" w:sz="4" w:space="0" w:color="000000"/>
              <w:bottom w:val="single" w:sz="4" w:space="0" w:color="000000"/>
              <w:right w:val="single" w:sz="4" w:space="0" w:color="000000"/>
            </w:tcBorders>
          </w:tcPr>
          <w:p w:rsidR="00CC1C95" w:rsidRPr="007B72FA" w:rsidRDefault="00CC1C95" w:rsidP="00EE0DB2">
            <w:pPr>
              <w:rPr>
                <w:b/>
                <w:sz w:val="20"/>
              </w:rPr>
            </w:pPr>
            <w:r w:rsidRPr="007B72FA">
              <w:rPr>
                <w:b/>
                <w:sz w:val="20"/>
              </w:rPr>
              <w:t>LC-MS</w:t>
            </w:r>
          </w:p>
        </w:tc>
      </w:tr>
      <w:tr w:rsidR="00CC1C95" w:rsidRPr="007B72FA">
        <w:tc>
          <w:tcPr>
            <w:tcW w:w="2863" w:type="dxa"/>
            <w:tcBorders>
              <w:top w:val="single" w:sz="4" w:space="0" w:color="000000"/>
              <w:left w:val="single" w:sz="4" w:space="0" w:color="000000"/>
              <w:bottom w:val="single" w:sz="4" w:space="0" w:color="000000"/>
              <w:right w:val="single" w:sz="4" w:space="0" w:color="000000"/>
            </w:tcBorders>
          </w:tcPr>
          <w:p w:rsidR="00CC1C95" w:rsidRPr="007B72FA" w:rsidRDefault="00CC1C95" w:rsidP="00EE0DB2">
            <w:pPr>
              <w:rPr>
                <w:b/>
                <w:sz w:val="20"/>
              </w:rPr>
            </w:pPr>
            <w:r w:rsidRPr="007B72FA">
              <w:rPr>
                <w:b/>
                <w:sz w:val="20"/>
              </w:rPr>
              <w:t>Perfluoro sulfonates</w:t>
            </w:r>
          </w:p>
        </w:tc>
        <w:tc>
          <w:tcPr>
            <w:tcW w:w="3853" w:type="dxa"/>
            <w:tcBorders>
              <w:top w:val="single" w:sz="4" w:space="0" w:color="000000"/>
              <w:left w:val="single" w:sz="4" w:space="0" w:color="000000"/>
              <w:bottom w:val="single" w:sz="4" w:space="0" w:color="000000"/>
              <w:right w:val="single" w:sz="4" w:space="0" w:color="000000"/>
            </w:tcBorders>
          </w:tcPr>
          <w:p w:rsidR="00CC1C95" w:rsidRPr="007B72FA" w:rsidRDefault="00CC1C95" w:rsidP="00EE0DB2">
            <w:pPr>
              <w:rPr>
                <w:sz w:val="20"/>
              </w:rPr>
            </w:pPr>
          </w:p>
        </w:tc>
        <w:tc>
          <w:tcPr>
            <w:tcW w:w="1175" w:type="dxa"/>
            <w:tcBorders>
              <w:top w:val="single" w:sz="4" w:space="0" w:color="000000"/>
              <w:left w:val="single" w:sz="4" w:space="0" w:color="000000"/>
              <w:bottom w:val="single" w:sz="4" w:space="0" w:color="000000"/>
              <w:right w:val="single" w:sz="4" w:space="0" w:color="000000"/>
            </w:tcBorders>
          </w:tcPr>
          <w:p w:rsidR="00CC1C95" w:rsidRPr="007B72FA" w:rsidRDefault="00CC1C95" w:rsidP="00EE0DB2">
            <w:pPr>
              <w:rPr>
                <w:sz w:val="20"/>
              </w:rPr>
            </w:pPr>
          </w:p>
        </w:tc>
        <w:tc>
          <w:tcPr>
            <w:tcW w:w="1397" w:type="dxa"/>
            <w:tcBorders>
              <w:top w:val="single" w:sz="4" w:space="0" w:color="000000"/>
              <w:left w:val="single" w:sz="4" w:space="0" w:color="000000"/>
              <w:bottom w:val="single" w:sz="4" w:space="0" w:color="000000"/>
              <w:right w:val="single" w:sz="4" w:space="0" w:color="000000"/>
            </w:tcBorders>
          </w:tcPr>
          <w:p w:rsidR="00CC1C95" w:rsidRPr="007B72FA" w:rsidRDefault="00CC1C95" w:rsidP="00EE0DB2">
            <w:pPr>
              <w:rPr>
                <w:sz w:val="20"/>
              </w:rPr>
            </w:pPr>
          </w:p>
        </w:tc>
      </w:tr>
      <w:tr w:rsidR="00CC1C95" w:rsidRPr="007B72FA">
        <w:tc>
          <w:tcPr>
            <w:tcW w:w="2863" w:type="dxa"/>
            <w:tcBorders>
              <w:top w:val="single" w:sz="4" w:space="0" w:color="000000"/>
              <w:left w:val="single" w:sz="4" w:space="0" w:color="000000"/>
              <w:bottom w:val="single" w:sz="4" w:space="0" w:color="000000"/>
              <w:right w:val="single" w:sz="4" w:space="0" w:color="000000"/>
            </w:tcBorders>
          </w:tcPr>
          <w:p w:rsidR="00CC1C95" w:rsidRPr="007B72FA" w:rsidRDefault="00CC1C95" w:rsidP="00EE0DB2">
            <w:pPr>
              <w:rPr>
                <w:b/>
                <w:sz w:val="20"/>
              </w:rPr>
            </w:pPr>
            <w:r w:rsidRPr="007B72FA">
              <w:rPr>
                <w:b/>
                <w:sz w:val="20"/>
              </w:rPr>
              <w:t>PFOS*</w:t>
            </w:r>
          </w:p>
        </w:tc>
        <w:tc>
          <w:tcPr>
            <w:tcW w:w="3853" w:type="dxa"/>
            <w:tcBorders>
              <w:top w:val="single" w:sz="4" w:space="0" w:color="000000"/>
              <w:left w:val="single" w:sz="4" w:space="0" w:color="000000"/>
              <w:bottom w:val="single" w:sz="4" w:space="0" w:color="000000"/>
              <w:right w:val="single" w:sz="4" w:space="0" w:color="000000"/>
            </w:tcBorders>
          </w:tcPr>
          <w:p w:rsidR="00CC1C95" w:rsidRPr="007B72FA" w:rsidRDefault="00CC1C95" w:rsidP="00EE0DB2">
            <w:pPr>
              <w:rPr>
                <w:b/>
                <w:sz w:val="20"/>
              </w:rPr>
            </w:pPr>
            <w:r w:rsidRPr="007B72FA">
              <w:rPr>
                <w:b/>
                <w:sz w:val="20"/>
              </w:rPr>
              <w:t>Perfluorooctane sulfonate</w:t>
            </w:r>
          </w:p>
        </w:tc>
        <w:tc>
          <w:tcPr>
            <w:tcW w:w="1175" w:type="dxa"/>
            <w:tcBorders>
              <w:top w:val="single" w:sz="4" w:space="0" w:color="000000"/>
              <w:left w:val="single" w:sz="4" w:space="0" w:color="000000"/>
              <w:bottom w:val="single" w:sz="4" w:space="0" w:color="000000"/>
              <w:right w:val="single" w:sz="4" w:space="0" w:color="000000"/>
            </w:tcBorders>
          </w:tcPr>
          <w:p w:rsidR="00CC1C95" w:rsidRPr="007B72FA" w:rsidRDefault="00CC1C95" w:rsidP="00EE0DB2">
            <w:pPr>
              <w:pStyle w:val="Default"/>
              <w:spacing w:line="276" w:lineRule="auto"/>
              <w:rPr>
                <w:b/>
                <w:color w:val="auto"/>
                <w:sz w:val="20"/>
                <w:szCs w:val="20"/>
                <w:lang w:val="en-GB"/>
              </w:rPr>
            </w:pPr>
            <w:r w:rsidRPr="007B72FA">
              <w:rPr>
                <w:b/>
                <w:sz w:val="20"/>
                <w:szCs w:val="20"/>
              </w:rPr>
              <w:t xml:space="preserve">1763-23-1 </w:t>
            </w:r>
          </w:p>
        </w:tc>
        <w:tc>
          <w:tcPr>
            <w:tcW w:w="1397" w:type="dxa"/>
            <w:tcBorders>
              <w:top w:val="single" w:sz="4" w:space="0" w:color="000000"/>
              <w:left w:val="single" w:sz="4" w:space="0" w:color="000000"/>
              <w:bottom w:val="single" w:sz="4" w:space="0" w:color="000000"/>
              <w:right w:val="single" w:sz="4" w:space="0" w:color="000000"/>
            </w:tcBorders>
          </w:tcPr>
          <w:p w:rsidR="00CC1C95" w:rsidRPr="007B72FA" w:rsidRDefault="00CC1C95" w:rsidP="00EE0DB2">
            <w:pPr>
              <w:rPr>
                <w:b/>
                <w:sz w:val="20"/>
              </w:rPr>
            </w:pPr>
            <w:r w:rsidRPr="007B72FA">
              <w:rPr>
                <w:b/>
                <w:sz w:val="20"/>
              </w:rPr>
              <w:t>LC-MS</w:t>
            </w:r>
          </w:p>
        </w:tc>
      </w:tr>
    </w:tbl>
    <w:p w:rsidR="00CC1C95" w:rsidRPr="00EC556A" w:rsidRDefault="00CC1C95" w:rsidP="00EE0DB2"/>
    <w:p w:rsidR="00CC1C95" w:rsidRPr="00EC556A" w:rsidRDefault="00CC1C95" w:rsidP="00CA78BF">
      <w:pPr>
        <w:pStyle w:val="Heading2"/>
        <w:numPr>
          <w:ilvl w:val="1"/>
          <w:numId w:val="9"/>
        </w:numPr>
        <w:snapToGrid/>
        <w:spacing w:before="240" w:after="60" w:line="276" w:lineRule="auto"/>
        <w:ind w:left="0" w:firstLine="0"/>
        <w:jc w:val="both"/>
        <w:rPr>
          <w:rFonts w:eastAsia="SimSun"/>
          <w:sz w:val="26"/>
          <w:szCs w:val="26"/>
        </w:rPr>
      </w:pPr>
      <w:bookmarkStart w:id="188" w:name="_Toc331600528"/>
      <w:bookmarkStart w:id="189" w:name="_Toc331602668"/>
      <w:bookmarkStart w:id="190" w:name="_Toc331606980"/>
      <w:bookmarkStart w:id="191" w:name="_Toc331690441"/>
      <w:bookmarkStart w:id="192" w:name="_Toc331736771"/>
      <w:bookmarkStart w:id="193" w:name="_Toc331771808"/>
      <w:bookmarkStart w:id="194" w:name="_Toc331772858"/>
      <w:bookmarkStart w:id="195" w:name="_Toc331797159"/>
      <w:bookmarkStart w:id="196" w:name="_Toc331798265"/>
      <w:bookmarkStart w:id="197" w:name="_Toc323278245"/>
      <w:bookmarkStart w:id="198" w:name="_Toc323280083"/>
      <w:bookmarkStart w:id="199" w:name="_Toc323482076"/>
      <w:bookmarkStart w:id="200" w:name="_Toc323498620"/>
      <w:bookmarkStart w:id="201" w:name="_Toc323507797"/>
      <w:bookmarkStart w:id="202" w:name="_Toc323537380"/>
      <w:bookmarkStart w:id="203" w:name="_Toc323541382"/>
      <w:bookmarkStart w:id="204" w:name="_Toc349335746"/>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EC556A">
        <w:rPr>
          <w:rFonts w:eastAsia="SimSun"/>
          <w:b w:val="0"/>
          <w:sz w:val="26"/>
          <w:szCs w:val="26"/>
        </w:rPr>
        <w:t xml:space="preserve">Example for a </w:t>
      </w:r>
      <w:r>
        <w:rPr>
          <w:rFonts w:eastAsia="SimSun"/>
          <w:b w:val="0"/>
          <w:sz w:val="26"/>
          <w:szCs w:val="26"/>
        </w:rPr>
        <w:t>LC</w:t>
      </w:r>
      <w:r w:rsidRPr="00EC556A">
        <w:rPr>
          <w:rFonts w:eastAsia="SimSun"/>
          <w:b w:val="0"/>
          <w:sz w:val="26"/>
          <w:szCs w:val="26"/>
        </w:rPr>
        <w:t>/MS setting and parameters</w:t>
      </w:r>
      <w:bookmarkEnd w:id="204"/>
    </w:p>
    <w:p w:rsidR="00CC1C95" w:rsidRPr="00EC556A" w:rsidRDefault="00CC1C95" w:rsidP="00EE0DB2">
      <w:pPr>
        <w:pStyle w:val="Heading3"/>
        <w:numPr>
          <w:ilvl w:val="2"/>
          <w:numId w:val="9"/>
        </w:numPr>
        <w:tabs>
          <w:tab w:val="num" w:pos="0"/>
        </w:tabs>
        <w:snapToGrid/>
        <w:spacing w:before="240" w:after="60" w:line="276" w:lineRule="auto"/>
        <w:ind w:left="0" w:firstLine="0"/>
        <w:jc w:val="both"/>
        <w:rPr>
          <w:rFonts w:eastAsia="SimSun"/>
        </w:rPr>
      </w:pPr>
      <w:bookmarkStart w:id="205" w:name="_Toc349335747"/>
      <w:r w:rsidRPr="00EC556A">
        <w:rPr>
          <w:rFonts w:eastAsia="SimSun"/>
        </w:rPr>
        <w:t>LC/MS parameters and mass settings for PFOS</w:t>
      </w:r>
      <w:bookmarkEnd w:id="205"/>
    </w:p>
    <w:p w:rsidR="00CC1C95" w:rsidRDefault="00CC1C95" w:rsidP="00EE0DB2">
      <w:pPr>
        <w:ind w:firstLine="708"/>
        <w:rPr>
          <w:rFonts w:eastAsia="SimSun"/>
        </w:rPr>
      </w:pPr>
      <w:r w:rsidRPr="00EC556A">
        <w:rPr>
          <w:rFonts w:eastAsia="SimSun"/>
        </w:rPr>
        <w:t xml:space="preserve">The selected LC/MS conditions differ slightly between laboratories and instruments. In Annex 2-D an example is listed from an accredited commercial laboratory. Mass ions </w:t>
      </w:r>
      <w:r w:rsidR="00DE7177">
        <w:rPr>
          <w:rFonts w:eastAsia="SimSun"/>
        </w:rPr>
        <w:t>(</w:t>
      </w:r>
      <w:r w:rsidR="00DE7177" w:rsidRPr="00DE7177">
        <w:rPr>
          <w:rFonts w:eastAsia="SimSun"/>
          <w:i/>
        </w:rPr>
        <w:t>m/z</w:t>
      </w:r>
      <w:r w:rsidR="00DE7177">
        <w:rPr>
          <w:rFonts w:eastAsia="SimSun"/>
        </w:rPr>
        <w:t xml:space="preserve">) </w:t>
      </w:r>
      <w:r w:rsidRPr="00EC556A">
        <w:rPr>
          <w:rFonts w:eastAsia="SimSun"/>
        </w:rPr>
        <w:t>used for detection are listed in table 3-2 and for the described method in Annex 2-D.</w:t>
      </w:r>
    </w:p>
    <w:p w:rsidR="00CC1C95" w:rsidRDefault="00CC1C95" w:rsidP="00EE0DB2">
      <w:pPr>
        <w:spacing w:after="200"/>
        <w:jc w:val="left"/>
        <w:rPr>
          <w:rFonts w:eastAsia="SimSun"/>
        </w:rPr>
      </w:pPr>
    </w:p>
    <w:p w:rsidR="00CC1C95" w:rsidRPr="00EC556A" w:rsidRDefault="00FF6FA7" w:rsidP="00EE0DB2">
      <w:pPr>
        <w:pStyle w:val="Heading1"/>
        <w:numPr>
          <w:ilvl w:val="0"/>
          <w:numId w:val="9"/>
        </w:numPr>
        <w:tabs>
          <w:tab w:val="num" w:pos="0"/>
        </w:tabs>
        <w:snapToGrid/>
        <w:spacing w:after="0" w:line="276" w:lineRule="auto"/>
        <w:ind w:left="0" w:firstLine="0"/>
        <w:jc w:val="both"/>
      </w:pPr>
      <w:bookmarkStart w:id="206" w:name="_Toc331600531"/>
      <w:bookmarkStart w:id="207" w:name="_Toc331602671"/>
      <w:bookmarkStart w:id="208" w:name="_Toc331606983"/>
      <w:bookmarkStart w:id="209" w:name="_Toc331690444"/>
      <w:bookmarkStart w:id="210" w:name="_Toc331736774"/>
      <w:bookmarkStart w:id="211" w:name="_Toc331771811"/>
      <w:bookmarkStart w:id="212" w:name="_Toc331772861"/>
      <w:bookmarkStart w:id="213" w:name="_Toc331797162"/>
      <w:bookmarkStart w:id="214" w:name="_Toc331798268"/>
      <w:bookmarkStart w:id="215" w:name="_Toc346701953"/>
      <w:bookmarkStart w:id="216" w:name="_Toc346701954"/>
      <w:bookmarkStart w:id="217" w:name="_Toc346701955"/>
      <w:bookmarkStart w:id="218" w:name="_Toc346701956"/>
      <w:bookmarkStart w:id="219" w:name="_Toc346701958"/>
      <w:bookmarkStart w:id="220" w:name="_Toc346701964"/>
      <w:bookmarkStart w:id="221" w:name="_Toc346701969"/>
      <w:bookmarkStart w:id="222" w:name="_Toc346701970"/>
      <w:bookmarkStart w:id="223" w:name="_Toc346701972"/>
      <w:bookmarkStart w:id="224" w:name="_Toc346701974"/>
      <w:bookmarkStart w:id="225" w:name="_Toc346701975"/>
      <w:bookmarkStart w:id="226" w:name="_Toc346701977"/>
      <w:bookmarkStart w:id="227" w:name="_Toc346701978"/>
      <w:bookmarkStart w:id="228" w:name="_Toc346701979"/>
      <w:bookmarkStart w:id="229" w:name="_Toc346701980"/>
      <w:bookmarkStart w:id="230" w:name="_Toc346701982"/>
      <w:bookmarkStart w:id="231" w:name="_Toc346701983"/>
      <w:bookmarkStart w:id="232" w:name="_Toc346701984"/>
      <w:bookmarkStart w:id="233" w:name="_Toc346701985"/>
      <w:bookmarkStart w:id="234" w:name="_Toc346701986"/>
      <w:bookmarkStart w:id="235" w:name="_Toc346701987"/>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Pr>
          <w:b w:val="0"/>
          <w:bCs w:val="0"/>
        </w:rPr>
        <w:br w:type="page"/>
      </w:r>
      <w:bookmarkStart w:id="236" w:name="_Toc349335748"/>
      <w:r w:rsidR="00CC1C95">
        <w:rPr>
          <w:b w:val="0"/>
          <w:bCs w:val="0"/>
        </w:rPr>
        <w:t xml:space="preserve">Sampling screening and analysis of </w:t>
      </w:r>
      <w:r w:rsidR="00CC1C95" w:rsidRPr="00EC556A">
        <w:rPr>
          <w:b w:val="0"/>
          <w:bCs w:val="0"/>
        </w:rPr>
        <w:t xml:space="preserve">POP-PBDEs in articles, products and recycling </w:t>
      </w:r>
      <w:r w:rsidR="00CC1C95">
        <w:rPr>
          <w:b w:val="0"/>
          <w:bCs w:val="0"/>
        </w:rPr>
        <w:t>streams</w:t>
      </w:r>
      <w:bookmarkEnd w:id="236"/>
    </w:p>
    <w:p w:rsidR="00CC1C95" w:rsidRPr="00EC556A" w:rsidRDefault="00CC1C95" w:rsidP="000D35C8">
      <w:pPr>
        <w:ind w:firstLine="708"/>
      </w:pPr>
      <w:r w:rsidRPr="00EC556A">
        <w:t xml:space="preserve">The production of POP-PBDE containing PBDE mixtures </w:t>
      </w:r>
      <w:r w:rsidR="000D35C8">
        <w:t xml:space="preserve">- </w:t>
      </w:r>
      <w:r w:rsidRPr="00EC556A">
        <w:t>commercial PentaBDE</w:t>
      </w:r>
      <w:r w:rsidR="000D35C8">
        <w:t xml:space="preserve"> (c-PentaBDE)</w:t>
      </w:r>
      <w:r w:rsidRPr="00EC556A">
        <w:t xml:space="preserve"> and commercial OctaBDE</w:t>
      </w:r>
      <w:r w:rsidR="000D35C8">
        <w:t xml:space="preserve"> (c-OctaBDE</w:t>
      </w:r>
      <w:r w:rsidRPr="00EC556A">
        <w:t>) has stopped in 2004</w:t>
      </w:r>
      <w:r w:rsidRPr="00EC556A">
        <w:rPr>
          <w:rStyle w:val="FootnoteReference"/>
        </w:rPr>
        <w:footnoteReference w:id="26"/>
      </w:r>
      <w:r w:rsidRPr="00EC556A">
        <w:t xml:space="preserve">. Therefore, the specific issue of POP-PBDEs is their presence in articles in use and second-hand articles. Since POP-PBDEs are also present in certain recycling flows (WEEE plastic and polyurethane foam) products produced from these polymers from recycling can become POP-PBDE contaminated. </w:t>
      </w:r>
    </w:p>
    <w:p w:rsidR="00CC1C95" w:rsidRPr="00EC556A" w:rsidRDefault="00CC1C95" w:rsidP="00677235">
      <w:pPr>
        <w:pStyle w:val="Heading2"/>
        <w:numPr>
          <w:ilvl w:val="1"/>
          <w:numId w:val="9"/>
        </w:numPr>
        <w:snapToGrid/>
        <w:spacing w:after="0" w:line="276" w:lineRule="auto"/>
        <w:ind w:left="0" w:firstLine="0"/>
        <w:jc w:val="both"/>
        <w:rPr>
          <w:sz w:val="26"/>
          <w:szCs w:val="26"/>
        </w:rPr>
      </w:pPr>
      <w:bookmarkStart w:id="237" w:name="_Toc349335749"/>
      <w:r w:rsidRPr="00EC556A">
        <w:rPr>
          <w:b w:val="0"/>
          <w:sz w:val="26"/>
          <w:szCs w:val="26"/>
        </w:rPr>
        <w:t>Products and articles possibly containing PBDE</w:t>
      </w:r>
      <w:bookmarkEnd w:id="237"/>
    </w:p>
    <w:p w:rsidR="00CC1C95" w:rsidRPr="00EC556A" w:rsidRDefault="00CC1C95" w:rsidP="00EE0DB2">
      <w:pPr>
        <w:ind w:firstLine="708"/>
      </w:pPr>
      <w:r w:rsidRPr="00EC556A">
        <w:t xml:space="preserve">A list of potentially POP-PBDE containing articles and materials are listed in Annex 1-B. If a study on the presence of POP-PBDE containing materials is planned this list </w:t>
      </w:r>
      <w:r>
        <w:t>can</w:t>
      </w:r>
      <w:r w:rsidRPr="00EC556A">
        <w:t xml:space="preserve"> be assessed for possible relevant samples for the country.  </w:t>
      </w:r>
    </w:p>
    <w:p w:rsidR="00CC1C95" w:rsidRPr="00EC556A" w:rsidRDefault="00CC1C95" w:rsidP="00677235">
      <w:pPr>
        <w:pStyle w:val="Heading2"/>
        <w:numPr>
          <w:ilvl w:val="1"/>
          <w:numId w:val="9"/>
        </w:numPr>
        <w:snapToGrid/>
        <w:spacing w:after="0" w:line="276" w:lineRule="auto"/>
        <w:ind w:left="0" w:firstLine="0"/>
        <w:jc w:val="both"/>
      </w:pPr>
      <w:bookmarkStart w:id="238" w:name="_Toc349335750"/>
      <w:r w:rsidRPr="00EC556A">
        <w:rPr>
          <w:b w:val="0"/>
        </w:rPr>
        <w:t>Step by step approach for POP-PBDE monitoring in products and articles</w:t>
      </w:r>
      <w:bookmarkEnd w:id="238"/>
    </w:p>
    <w:p w:rsidR="00CC1C95" w:rsidRPr="00EC556A" w:rsidRDefault="00CC1C95" w:rsidP="000435E4">
      <w:pPr>
        <w:ind w:firstLine="708"/>
      </w:pPr>
      <w:r w:rsidRPr="00EC556A">
        <w:t xml:space="preserve">To determine the occurrence and quantities of POP-PBDEs in different articles and materials including consumer products, representative samples can be purchased from retail outlets, from recycling plants (e.g. polymers from WEEE recycling plants) or other scrap (s).   </w:t>
      </w:r>
    </w:p>
    <w:p w:rsidR="00CC1C95" w:rsidRPr="001D1BB6" w:rsidRDefault="00CC1C95" w:rsidP="00EE0DB2">
      <w:pPr>
        <w:pStyle w:val="CM21"/>
        <w:spacing w:line="276" w:lineRule="auto"/>
        <w:rPr>
          <w:b/>
          <w:color w:val="000000"/>
          <w:sz w:val="22"/>
          <w:szCs w:val="22"/>
          <w:lang w:val="en-GB"/>
        </w:rPr>
      </w:pPr>
      <w:r w:rsidRPr="001D1BB6">
        <w:rPr>
          <w:b/>
          <w:color w:val="000000"/>
          <w:sz w:val="22"/>
          <w:szCs w:val="22"/>
          <w:lang w:val="en-GB"/>
        </w:rPr>
        <w:t xml:space="preserve">Step 1: Survey of products and articles possibly containing POP-PBDEs </w:t>
      </w:r>
    </w:p>
    <w:p w:rsidR="00CC1C95" w:rsidRPr="001D1BB6" w:rsidRDefault="00CC1C95" w:rsidP="001D1BB6">
      <w:pPr>
        <w:pStyle w:val="CM21"/>
        <w:jc w:val="both"/>
        <w:rPr>
          <w:b/>
          <w:color w:val="000000"/>
          <w:sz w:val="22"/>
          <w:szCs w:val="22"/>
          <w:lang w:val="en-GB"/>
        </w:rPr>
      </w:pPr>
      <w:r w:rsidRPr="001D1BB6">
        <w:rPr>
          <w:color w:val="000000"/>
          <w:sz w:val="22"/>
          <w:szCs w:val="22"/>
          <w:lang w:val="en-GB"/>
        </w:rPr>
        <w:t>Before collecting samples, a survey can be conducted to preliminarily determine target presence of consumer products in use and in re-use that might contain POP-PBDE. Also some material flows known to possibly contain POP-PBDE and further used in recycling (e.g. plastic from WEEE recycling or</w:t>
      </w:r>
      <w:r w:rsidR="001D1BB6">
        <w:rPr>
          <w:color w:val="000000"/>
          <w:sz w:val="22"/>
          <w:szCs w:val="22"/>
          <w:lang w:val="en-GB"/>
        </w:rPr>
        <w:t xml:space="preserve"> polyurethane</w:t>
      </w:r>
      <w:r w:rsidRPr="001D1BB6">
        <w:rPr>
          <w:color w:val="000000"/>
          <w:sz w:val="22"/>
          <w:szCs w:val="22"/>
          <w:lang w:val="en-GB"/>
        </w:rPr>
        <w:t xml:space="preserve"> </w:t>
      </w:r>
      <w:r w:rsidR="001D1BB6">
        <w:rPr>
          <w:color w:val="000000"/>
          <w:sz w:val="22"/>
          <w:szCs w:val="22"/>
          <w:lang w:val="en-GB"/>
        </w:rPr>
        <w:t>(</w:t>
      </w:r>
      <w:r w:rsidRPr="001D1BB6">
        <w:rPr>
          <w:color w:val="000000"/>
          <w:sz w:val="22"/>
          <w:szCs w:val="22"/>
          <w:lang w:val="en-GB"/>
        </w:rPr>
        <w:t>PUR</w:t>
      </w:r>
      <w:r w:rsidR="001D1BB6">
        <w:rPr>
          <w:color w:val="000000"/>
          <w:sz w:val="22"/>
          <w:szCs w:val="22"/>
          <w:lang w:val="en-GB"/>
        </w:rPr>
        <w:t>)</w:t>
      </w:r>
      <w:r w:rsidRPr="001D1BB6">
        <w:rPr>
          <w:color w:val="000000"/>
          <w:sz w:val="22"/>
          <w:szCs w:val="22"/>
          <w:lang w:val="en-GB"/>
        </w:rPr>
        <w:t xml:space="preserve"> foam from different end-of-life products) would be targeted considering the need to register for exemptions for POP-PBDE in recycling. Stakeholders for the different use groups might be contacted for support and input and possibly for providing samples. Relevant stakeholders to be contacted for the different use categories are listed in Annex 1-B.</w:t>
      </w:r>
    </w:p>
    <w:p w:rsidR="00CC1C95" w:rsidRPr="001D1BB6" w:rsidRDefault="00CC1C95" w:rsidP="00EE0DB2">
      <w:pPr>
        <w:pStyle w:val="CM21"/>
        <w:spacing w:line="276" w:lineRule="auto"/>
        <w:rPr>
          <w:b/>
          <w:color w:val="000000"/>
          <w:sz w:val="22"/>
          <w:szCs w:val="22"/>
          <w:lang w:val="en-GB"/>
        </w:rPr>
      </w:pPr>
    </w:p>
    <w:p w:rsidR="00CC1C95" w:rsidRPr="001D1BB6" w:rsidRDefault="00CC1C95" w:rsidP="00EE0DB2">
      <w:pPr>
        <w:pStyle w:val="CM21"/>
        <w:spacing w:line="276" w:lineRule="auto"/>
        <w:rPr>
          <w:color w:val="000000"/>
          <w:sz w:val="22"/>
          <w:szCs w:val="22"/>
          <w:lang w:val="en-GB"/>
        </w:rPr>
      </w:pPr>
      <w:r w:rsidRPr="001D1BB6">
        <w:rPr>
          <w:b/>
          <w:color w:val="000000"/>
          <w:sz w:val="22"/>
          <w:szCs w:val="22"/>
          <w:lang w:val="en-GB"/>
        </w:rPr>
        <w:t>Step 2: Sample collection</w:t>
      </w:r>
    </w:p>
    <w:p w:rsidR="00CC1C95" w:rsidRPr="001D1BB6" w:rsidRDefault="00CC1C95" w:rsidP="001D1BB6">
      <w:pPr>
        <w:pStyle w:val="CM21"/>
        <w:rPr>
          <w:color w:val="000000"/>
          <w:sz w:val="22"/>
          <w:szCs w:val="22"/>
          <w:lang w:val="en-GB"/>
        </w:rPr>
      </w:pPr>
      <w:r w:rsidRPr="001D1BB6">
        <w:rPr>
          <w:color w:val="000000"/>
          <w:sz w:val="22"/>
          <w:szCs w:val="22"/>
          <w:lang w:val="en-GB"/>
        </w:rPr>
        <w:t>Samples can then be collected e.g. by the customs at the import or by competent authorities such as factory control or consumer protection authorities and related institutions (</w:t>
      </w:r>
      <w:r w:rsidRPr="001D1BB6">
        <w:rPr>
          <w:i/>
          <w:iCs/>
          <w:sz w:val="22"/>
          <w:szCs w:val="22"/>
          <w:lang w:val="en-GB"/>
        </w:rPr>
        <w:t>Strengthening POPs Regulatory Framework Guidance</w:t>
      </w:r>
      <w:r w:rsidRPr="001D1BB6">
        <w:rPr>
          <w:sz w:val="22"/>
          <w:szCs w:val="22"/>
          <w:vertAlign w:val="superscript"/>
          <w:lang w:val="en-GB"/>
        </w:rPr>
        <w:t>14</w:t>
      </w:r>
      <w:r w:rsidRPr="001D1BB6">
        <w:rPr>
          <w:color w:val="000000"/>
          <w:sz w:val="22"/>
          <w:szCs w:val="22"/>
          <w:lang w:val="en-GB"/>
        </w:rPr>
        <w:t xml:space="preserve">). Sampling campaigns might also be conducted by research institutions possibly in collaboration with the ministry or other competent authorities or directly with the industry or waste management facilities. </w:t>
      </w:r>
    </w:p>
    <w:p w:rsidR="00CC1C95" w:rsidRPr="001D1BB6" w:rsidRDefault="00CC1C95" w:rsidP="001D1BB6">
      <w:pPr>
        <w:pStyle w:val="CM21"/>
        <w:rPr>
          <w:color w:val="000000"/>
          <w:sz w:val="22"/>
          <w:szCs w:val="22"/>
          <w:lang w:val="en-GB"/>
        </w:rPr>
      </w:pPr>
      <w:r w:rsidRPr="001D1BB6">
        <w:rPr>
          <w:color w:val="000000"/>
          <w:sz w:val="22"/>
          <w:szCs w:val="22"/>
          <w:lang w:val="en-GB"/>
        </w:rPr>
        <w:t>Following criteria and information can be used by the stakeholders:</w:t>
      </w:r>
    </w:p>
    <w:p w:rsidR="00CC1C95" w:rsidRPr="001D1BB6" w:rsidRDefault="00CC1C95" w:rsidP="001D1BB6">
      <w:pPr>
        <w:pStyle w:val="CM21"/>
        <w:ind w:left="362" w:hanging="362"/>
        <w:rPr>
          <w:color w:val="000000"/>
          <w:sz w:val="22"/>
          <w:szCs w:val="22"/>
          <w:lang w:val="en-GB"/>
        </w:rPr>
      </w:pPr>
      <w:r w:rsidRPr="001D1BB6">
        <w:rPr>
          <w:color w:val="000000"/>
          <w:sz w:val="22"/>
          <w:szCs w:val="22"/>
          <w:lang w:val="en-GB"/>
        </w:rPr>
        <w:t>a) The article or the material is listed in Annex 1-B and contains brominated flame retardants (e.g. the plastic of a computer is labelled as containing brominated flame retardants)</w:t>
      </w:r>
    </w:p>
    <w:p w:rsidR="00CC1C95" w:rsidRPr="001D1BB6" w:rsidRDefault="00CC1C95" w:rsidP="001D1BB6">
      <w:pPr>
        <w:pStyle w:val="CM21"/>
        <w:ind w:left="362" w:hanging="362"/>
        <w:rPr>
          <w:color w:val="000000"/>
          <w:sz w:val="22"/>
          <w:szCs w:val="22"/>
          <w:lang w:val="en-GB"/>
        </w:rPr>
      </w:pPr>
      <w:r w:rsidRPr="001D1BB6">
        <w:rPr>
          <w:color w:val="000000"/>
          <w:sz w:val="22"/>
          <w:szCs w:val="22"/>
          <w:lang w:val="en-GB"/>
        </w:rPr>
        <w:t>b) The article or the material is listed in Annex 1-B and bromine is being detected by a screening method (see section 3.)</w:t>
      </w:r>
    </w:p>
    <w:p w:rsidR="00CC1C95" w:rsidRPr="001D1BB6" w:rsidRDefault="00CC1C95" w:rsidP="001D1BB6">
      <w:pPr>
        <w:pStyle w:val="CM21"/>
        <w:jc w:val="both"/>
        <w:rPr>
          <w:sz w:val="22"/>
          <w:szCs w:val="22"/>
          <w:lang w:val="en-GB"/>
        </w:rPr>
      </w:pPr>
      <w:r w:rsidRPr="001D1BB6">
        <w:rPr>
          <w:color w:val="000000"/>
          <w:sz w:val="22"/>
          <w:szCs w:val="22"/>
          <w:lang w:val="en-GB"/>
        </w:rPr>
        <w:t xml:space="preserve">For the major POP-PBDE contaminated material flow WEEE plastic a detailed </w:t>
      </w:r>
      <w:r w:rsidRPr="001D1BB6">
        <w:rPr>
          <w:sz w:val="22"/>
          <w:szCs w:val="22"/>
          <w:lang w:val="en-GB"/>
        </w:rPr>
        <w:t xml:space="preserve"> sampling methodology and a sampling protocol has been developed and is described in detail in </w:t>
      </w:r>
      <w:hyperlink r:id="rId17" w:history="1">
        <w:r w:rsidRPr="001D1BB6">
          <w:rPr>
            <w:rStyle w:val="Hyperlink"/>
            <w:sz w:val="22"/>
            <w:szCs w:val="22"/>
            <w:lang w:val="en-GB"/>
          </w:rPr>
          <w:t>Wäger et al. (2010)</w:t>
        </w:r>
        <w:r w:rsidRPr="001D1BB6">
          <w:rPr>
            <w:rStyle w:val="FootnoteReference"/>
            <w:color w:val="0000FF"/>
            <w:sz w:val="22"/>
            <w:szCs w:val="22"/>
            <w:u w:val="single"/>
          </w:rPr>
          <w:footnoteReference w:id="27"/>
        </w:r>
        <w:r w:rsidRPr="001D1BB6">
          <w:rPr>
            <w:rStyle w:val="Hyperlink"/>
            <w:sz w:val="22"/>
            <w:szCs w:val="22"/>
            <w:lang w:val="en-GB"/>
          </w:rPr>
          <w:t xml:space="preserve"> in Annex 1 and Annex 2</w:t>
        </w:r>
      </w:hyperlink>
      <w:r w:rsidRPr="001D1BB6">
        <w:rPr>
          <w:sz w:val="22"/>
          <w:szCs w:val="22"/>
          <w:lang w:val="en-GB"/>
        </w:rPr>
        <w:t xml:space="preserve">. This sampling strategy and protocol can be applied (in a modified way) in other countries and regions having shredder plants for processing of WEEE. </w:t>
      </w:r>
    </w:p>
    <w:p w:rsidR="00CC1C95" w:rsidRPr="001D1BB6" w:rsidRDefault="00CC1C95" w:rsidP="001D1BB6">
      <w:pPr>
        <w:pStyle w:val="Default"/>
        <w:rPr>
          <w:rFonts w:ascii="Calibri" w:hAnsi="Calibri"/>
          <w:sz w:val="22"/>
          <w:szCs w:val="22"/>
          <w:lang w:val="en-GB"/>
        </w:rPr>
      </w:pPr>
      <w:r w:rsidRPr="001D1BB6">
        <w:rPr>
          <w:rFonts w:ascii="Calibri" w:hAnsi="Calibri"/>
          <w:sz w:val="22"/>
          <w:szCs w:val="22"/>
        </w:rPr>
        <w:t>An approach of sampling of single EEE for screening of POP-PBDE in</w:t>
      </w:r>
      <w:r w:rsidR="001D1BB6" w:rsidRPr="001D1BB6">
        <w:rPr>
          <w:rFonts w:ascii="Calibri" w:hAnsi="Calibri"/>
          <w:sz w:val="22"/>
          <w:szCs w:val="22"/>
        </w:rPr>
        <w:t xml:space="preserve"> e.g.</w:t>
      </w:r>
      <w:r w:rsidRPr="001D1BB6">
        <w:rPr>
          <w:rFonts w:ascii="Calibri" w:hAnsi="Calibri"/>
          <w:sz w:val="22"/>
          <w:szCs w:val="22"/>
        </w:rPr>
        <w:t xml:space="preserve"> Cathode Ray Tube casings of TV and PC is shortly described in Annex 4.</w:t>
      </w:r>
    </w:p>
    <w:p w:rsidR="00CC1C95" w:rsidRPr="001D1BB6" w:rsidRDefault="00CC1C95" w:rsidP="001D1BB6">
      <w:pPr>
        <w:pStyle w:val="Default"/>
        <w:rPr>
          <w:rFonts w:ascii="Calibri" w:hAnsi="Calibri"/>
          <w:sz w:val="22"/>
          <w:szCs w:val="22"/>
          <w:highlight w:val="yellow"/>
          <w:lang w:val="en-GB"/>
        </w:rPr>
      </w:pPr>
    </w:p>
    <w:p w:rsidR="00CC1C95" w:rsidRPr="001D1BB6" w:rsidRDefault="00CC1C95" w:rsidP="001D1BB6">
      <w:pPr>
        <w:rPr>
          <w:b/>
          <w:bCs/>
        </w:rPr>
      </w:pPr>
      <w:r w:rsidRPr="001D1BB6">
        <w:rPr>
          <w:b/>
          <w:bCs/>
        </w:rPr>
        <w:t xml:space="preserve">Step 3: Optional (further) screening in the laboratory </w:t>
      </w:r>
    </w:p>
    <w:p w:rsidR="00CC1C95" w:rsidRPr="001D1BB6" w:rsidRDefault="00CC1C95" w:rsidP="001D1BB6">
      <w:pPr>
        <w:pStyle w:val="Default"/>
        <w:jc w:val="both"/>
        <w:rPr>
          <w:rFonts w:ascii="Calibri" w:hAnsi="Calibri"/>
          <w:sz w:val="22"/>
          <w:szCs w:val="22"/>
          <w:lang w:val="en-GB"/>
        </w:rPr>
      </w:pPr>
      <w:r w:rsidRPr="001D1BB6">
        <w:rPr>
          <w:rFonts w:ascii="Calibri" w:hAnsi="Calibri"/>
          <w:sz w:val="22"/>
          <w:szCs w:val="22"/>
        </w:rPr>
        <w:t>Sample articles can be screened for the presence of bromine also in the laboratory where a more sensitive method might be available compared to the mobile equipments used in the field.</w:t>
      </w:r>
    </w:p>
    <w:p w:rsidR="00CC1C95" w:rsidRPr="001D1BB6" w:rsidRDefault="00CC1C95" w:rsidP="001D1BB6">
      <w:pPr>
        <w:pStyle w:val="Default"/>
        <w:jc w:val="both"/>
        <w:rPr>
          <w:rFonts w:ascii="Calibri" w:hAnsi="Calibri"/>
          <w:sz w:val="22"/>
          <w:szCs w:val="22"/>
          <w:lang w:val="en-GB"/>
        </w:rPr>
      </w:pPr>
      <w:r w:rsidRPr="001D1BB6">
        <w:rPr>
          <w:rFonts w:ascii="Calibri" w:hAnsi="Calibri"/>
          <w:sz w:val="22"/>
          <w:szCs w:val="22"/>
        </w:rPr>
        <w:t xml:space="preserve">Rapid screening methods such as pyrolysis-GC/MS can be used for verifying the presence of PBDEs (and other BFRs types). Care has to be taken that by such methods without clean-up possibly present DecaBDE is not debrominated to POP-PBDEs, which would lead to false positive results. </w:t>
      </w:r>
    </w:p>
    <w:p w:rsidR="00CC1C95" w:rsidRPr="001D1BB6" w:rsidRDefault="00CC1C95" w:rsidP="001D1BB6">
      <w:pPr>
        <w:pStyle w:val="Default"/>
        <w:jc w:val="both"/>
        <w:rPr>
          <w:rFonts w:ascii="Calibri" w:hAnsi="Calibri"/>
          <w:sz w:val="22"/>
          <w:szCs w:val="22"/>
          <w:lang w:val="en-GB"/>
        </w:rPr>
      </w:pPr>
      <w:r w:rsidRPr="001D1BB6">
        <w:rPr>
          <w:rFonts w:ascii="Calibri" w:hAnsi="Calibri"/>
          <w:sz w:val="22"/>
          <w:szCs w:val="22"/>
        </w:rPr>
        <w:t>When screening methods are applied it has to be ensured that the detection limit of the screening method is more sensitive than (below) the limit required for the screening (e.g. required from a certain legislation limit).</w:t>
      </w:r>
    </w:p>
    <w:p w:rsidR="00CC1C95" w:rsidRPr="001D1BB6" w:rsidRDefault="00CC1C95" w:rsidP="001D1BB6">
      <w:pPr>
        <w:pStyle w:val="Default"/>
        <w:rPr>
          <w:rFonts w:ascii="Calibri" w:hAnsi="Calibri"/>
          <w:sz w:val="22"/>
          <w:szCs w:val="22"/>
          <w:highlight w:val="yellow"/>
          <w:lang w:val="en-GB"/>
        </w:rPr>
      </w:pPr>
    </w:p>
    <w:p w:rsidR="00CC1C95" w:rsidRPr="001D1BB6" w:rsidRDefault="00CC1C95" w:rsidP="001D1BB6">
      <w:pPr>
        <w:pStyle w:val="Default"/>
        <w:rPr>
          <w:rFonts w:ascii="Calibri" w:hAnsi="Calibri"/>
          <w:b/>
          <w:sz w:val="22"/>
          <w:szCs w:val="22"/>
          <w:lang w:val="en-GB" w:eastAsia="nb-NO"/>
        </w:rPr>
      </w:pPr>
      <w:r w:rsidRPr="001D1BB6">
        <w:rPr>
          <w:rFonts w:ascii="Calibri" w:hAnsi="Calibri"/>
          <w:b/>
          <w:sz w:val="22"/>
          <w:szCs w:val="22"/>
          <w:lang w:eastAsia="nb-NO"/>
        </w:rPr>
        <w:t>Step 4: Quantification</w:t>
      </w:r>
    </w:p>
    <w:p w:rsidR="00CC1C95" w:rsidRPr="001D1BB6" w:rsidRDefault="00CC1C95" w:rsidP="001D1BB6">
      <w:r w:rsidRPr="001D1BB6">
        <w:t>Different analytical methods can be applied for the instrumental quantification of PBDEs and have been reviewed. One accredited method used for commercial analysis is described in Annex 2-A. Further methods are described in the listed case studies below.</w:t>
      </w:r>
    </w:p>
    <w:p w:rsidR="00CC1C95" w:rsidRPr="001D1BB6" w:rsidRDefault="00CC1C95" w:rsidP="001D1BB6">
      <w:r w:rsidRPr="001D1BB6">
        <w:t xml:space="preserve">The extraction and clean-up of selected samples are described below. </w:t>
      </w:r>
    </w:p>
    <w:p w:rsidR="00CC1C95" w:rsidRPr="00EC556A" w:rsidRDefault="00CC1C95" w:rsidP="00677235">
      <w:pPr>
        <w:pStyle w:val="Heading2"/>
        <w:numPr>
          <w:ilvl w:val="1"/>
          <w:numId w:val="9"/>
        </w:numPr>
        <w:snapToGrid/>
        <w:spacing w:after="0" w:line="276" w:lineRule="auto"/>
        <w:ind w:left="0" w:firstLine="0"/>
        <w:jc w:val="both"/>
        <w:rPr>
          <w:sz w:val="26"/>
          <w:szCs w:val="26"/>
        </w:rPr>
      </w:pPr>
      <w:bookmarkStart w:id="239" w:name="_Toc349335751"/>
      <w:r w:rsidRPr="00EC556A">
        <w:rPr>
          <w:b w:val="0"/>
          <w:sz w:val="26"/>
          <w:szCs w:val="26"/>
        </w:rPr>
        <w:t>Screening methods for bromine as indication for POP-PBDEs/BFRs</w:t>
      </w:r>
      <w:bookmarkEnd w:id="239"/>
    </w:p>
    <w:p w:rsidR="00CC1C95" w:rsidRPr="00EC556A" w:rsidRDefault="00CC1C95" w:rsidP="00EE0DB2">
      <w:pPr>
        <w:autoSpaceDE w:val="0"/>
        <w:autoSpaceDN w:val="0"/>
        <w:adjustRightInd w:val="0"/>
        <w:ind w:firstLine="708"/>
        <w:rPr>
          <w:rFonts w:eastAsia="SimSun"/>
          <w:szCs w:val="24"/>
          <w:lang w:eastAsia="zh-CN"/>
        </w:rPr>
      </w:pPr>
      <w:r w:rsidRPr="00EC556A">
        <w:rPr>
          <w:rFonts w:eastAsia="SimSun"/>
          <w:szCs w:val="24"/>
          <w:lang w:eastAsia="zh-CN"/>
        </w:rPr>
        <w:t>The screening of bromine can be a simple, rapid and cost-effective method for pre-selection steps of samples to determine which samples to select for the more complex and expensive confirmation analysis (see below).</w:t>
      </w:r>
    </w:p>
    <w:p w:rsidR="00CC1C95" w:rsidRPr="00EC556A" w:rsidRDefault="00CC1C95" w:rsidP="001D1BB6">
      <w:pPr>
        <w:autoSpaceDE w:val="0"/>
        <w:autoSpaceDN w:val="0"/>
        <w:adjustRightInd w:val="0"/>
        <w:rPr>
          <w:rFonts w:eastAsia="SimSun"/>
          <w:szCs w:val="24"/>
          <w:lang w:eastAsia="zh-CN"/>
        </w:rPr>
      </w:pPr>
      <w:r w:rsidRPr="00EC556A">
        <w:rPr>
          <w:rFonts w:eastAsia="SimSun"/>
          <w:szCs w:val="24"/>
          <w:lang w:eastAsia="zh-CN"/>
        </w:rPr>
        <w:t xml:space="preserve">A range of technologies are currently applied as screening tools for bromine in WEEE plastic in some recycling plants (see also </w:t>
      </w:r>
      <w:r w:rsidRPr="006B1A87">
        <w:rPr>
          <w:rFonts w:eastAsia="SimSun"/>
          <w:iCs/>
          <w:szCs w:val="24"/>
          <w:lang w:eastAsia="zh-CN"/>
        </w:rPr>
        <w:t>PBDE BAT/BEP Guidelines</w:t>
      </w:r>
      <w:r w:rsidRPr="006B1A87">
        <w:rPr>
          <w:rFonts w:eastAsia="SimSun"/>
          <w:iCs/>
          <w:szCs w:val="24"/>
          <w:vertAlign w:val="superscript"/>
          <w:lang w:eastAsia="zh-CN"/>
        </w:rPr>
        <w:t>4</w:t>
      </w:r>
      <w:r w:rsidRPr="00EC556A">
        <w:rPr>
          <w:rFonts w:eastAsia="SimSun"/>
          <w:szCs w:val="24"/>
          <w:lang w:eastAsia="zh-CN"/>
        </w:rPr>
        <w:t>). These technologies can also be used for screening bromine in other materials like PUR foams, textile or rubber. Technologies used include Sliding Spark Spectroscopy, X-ray fluorescence (XRF), X-ray transmission (XRT) or Laser-Induced Breakdown Spectrometry (LIBS)</w:t>
      </w:r>
      <w:r w:rsidRPr="00EC556A">
        <w:rPr>
          <w:rStyle w:val="FootnoteReference"/>
          <w:rFonts w:eastAsia="SimSun"/>
          <w:szCs w:val="24"/>
          <w:lang w:eastAsia="zh-CN"/>
        </w:rPr>
        <w:footnoteReference w:id="28"/>
      </w:r>
      <w:r w:rsidRPr="00EC556A">
        <w:rPr>
          <w:rFonts w:eastAsia="SimSun"/>
          <w:szCs w:val="24"/>
          <w:lang w:eastAsia="zh-CN"/>
        </w:rPr>
        <w:t xml:space="preserve">. </w:t>
      </w:r>
    </w:p>
    <w:p w:rsidR="00CC1C95" w:rsidRPr="00EC556A" w:rsidRDefault="00CC1C95" w:rsidP="00EE0DB2">
      <w:pPr>
        <w:autoSpaceDE w:val="0"/>
        <w:autoSpaceDN w:val="0"/>
        <w:adjustRightInd w:val="0"/>
        <w:rPr>
          <w:rFonts w:eastAsia="SimSun"/>
          <w:szCs w:val="24"/>
          <w:lang w:eastAsia="zh-CN"/>
        </w:rPr>
      </w:pPr>
      <w:r w:rsidRPr="00EC556A">
        <w:rPr>
          <w:rFonts w:eastAsia="SimSun"/>
          <w:szCs w:val="24"/>
          <w:lang w:eastAsia="zh-CN"/>
        </w:rPr>
        <w:t>Two of these technologies have been approved BFR screening capability in long time trials for separation of bromine containing polymers (WRAP 2006, Table 4-1)</w:t>
      </w:r>
      <w:r w:rsidRPr="00EC556A">
        <w:rPr>
          <w:rStyle w:val="FootnoteReference"/>
          <w:rFonts w:eastAsia="SimSun"/>
          <w:szCs w:val="24"/>
          <w:lang w:eastAsia="zh-CN"/>
        </w:rPr>
        <w:footnoteReference w:id="29"/>
      </w:r>
      <w:r w:rsidRPr="00EC556A">
        <w:rPr>
          <w:rFonts w:eastAsia="SimSun"/>
          <w:szCs w:val="24"/>
          <w:lang w:eastAsia="zh-CN"/>
        </w:rPr>
        <w:t xml:space="preserve"> and can be used for the screening of bromine in consumer goods in the field.</w:t>
      </w:r>
    </w:p>
    <w:p w:rsidR="00CC1C95" w:rsidRPr="00EC556A" w:rsidRDefault="00CC1C95" w:rsidP="000C33DE">
      <w:pPr>
        <w:numPr>
          <w:ilvl w:val="0"/>
          <w:numId w:val="17"/>
        </w:numPr>
        <w:autoSpaceDE w:val="0"/>
        <w:autoSpaceDN w:val="0"/>
        <w:adjustRightInd w:val="0"/>
        <w:snapToGrid/>
        <w:spacing w:after="0" w:line="276" w:lineRule="auto"/>
        <w:rPr>
          <w:rFonts w:eastAsia="SimSun"/>
          <w:szCs w:val="24"/>
          <w:lang w:eastAsia="zh-CN"/>
        </w:rPr>
      </w:pPr>
      <w:r w:rsidRPr="00EC556A">
        <w:rPr>
          <w:rFonts w:eastAsia="SimSun"/>
          <w:szCs w:val="24"/>
          <w:lang w:eastAsia="zh-CN"/>
        </w:rPr>
        <w:t>X-ray fluorescence (XRF)</w:t>
      </w:r>
    </w:p>
    <w:p w:rsidR="00CC1C95" w:rsidRPr="00EC556A" w:rsidRDefault="00CC1C95" w:rsidP="000C33DE">
      <w:pPr>
        <w:numPr>
          <w:ilvl w:val="0"/>
          <w:numId w:val="17"/>
        </w:numPr>
        <w:autoSpaceDE w:val="0"/>
        <w:autoSpaceDN w:val="0"/>
        <w:adjustRightInd w:val="0"/>
        <w:snapToGrid/>
        <w:spacing w:after="0" w:line="276" w:lineRule="auto"/>
        <w:rPr>
          <w:rFonts w:eastAsia="SimSun"/>
          <w:szCs w:val="24"/>
          <w:lang w:eastAsia="zh-CN"/>
        </w:rPr>
      </w:pPr>
      <w:r w:rsidRPr="00EC556A">
        <w:rPr>
          <w:rFonts w:eastAsia="SimSun"/>
          <w:szCs w:val="24"/>
          <w:lang w:eastAsia="zh-CN"/>
        </w:rPr>
        <w:t>Sliding spark spectroscopy</w:t>
      </w:r>
    </w:p>
    <w:p w:rsidR="00CC1C95" w:rsidRPr="00EC556A" w:rsidRDefault="00CC1C95" w:rsidP="00EE0DB2">
      <w:pPr>
        <w:autoSpaceDE w:val="0"/>
        <w:autoSpaceDN w:val="0"/>
        <w:adjustRightInd w:val="0"/>
        <w:rPr>
          <w:rFonts w:eastAsia="SimSun"/>
          <w:szCs w:val="24"/>
          <w:lang w:eastAsia="zh-CN"/>
        </w:rPr>
      </w:pPr>
      <w:r w:rsidRPr="00EC556A">
        <w:rPr>
          <w:rFonts w:eastAsia="SimSun"/>
          <w:szCs w:val="24"/>
          <w:lang w:eastAsia="zh-CN"/>
        </w:rPr>
        <w:t>Other technologies capable for bromine screening but not practical for a simple screening approach</w:t>
      </w:r>
      <w:r w:rsidR="00677235">
        <w:rPr>
          <w:rFonts w:eastAsia="SimSun"/>
          <w:szCs w:val="24"/>
          <w:lang w:eastAsia="zh-CN"/>
        </w:rPr>
        <w:t>,</w:t>
      </w:r>
      <w:r w:rsidRPr="00EC556A">
        <w:rPr>
          <w:rFonts w:eastAsia="SimSun"/>
          <w:szCs w:val="24"/>
          <w:lang w:eastAsia="zh-CN"/>
        </w:rPr>
        <w:t xml:space="preserve"> are for example: </w:t>
      </w:r>
    </w:p>
    <w:p w:rsidR="00CC1C95" w:rsidRPr="00EC556A" w:rsidRDefault="00CC1C95" w:rsidP="000C33DE">
      <w:pPr>
        <w:numPr>
          <w:ilvl w:val="0"/>
          <w:numId w:val="17"/>
        </w:numPr>
        <w:autoSpaceDE w:val="0"/>
        <w:autoSpaceDN w:val="0"/>
        <w:adjustRightInd w:val="0"/>
        <w:snapToGrid/>
        <w:spacing w:after="0" w:line="276" w:lineRule="auto"/>
        <w:rPr>
          <w:rFonts w:eastAsia="SimSun"/>
          <w:szCs w:val="24"/>
          <w:lang w:eastAsia="zh-CN"/>
        </w:rPr>
      </w:pPr>
      <w:r w:rsidRPr="00EC556A">
        <w:rPr>
          <w:rFonts w:eastAsia="SimSun"/>
          <w:szCs w:val="24"/>
          <w:lang w:eastAsia="zh-CN"/>
        </w:rPr>
        <w:t>Neutron activation analysis</w:t>
      </w:r>
    </w:p>
    <w:p w:rsidR="00CC1C95" w:rsidRPr="00EC556A" w:rsidRDefault="00CC1C95" w:rsidP="000C33DE">
      <w:pPr>
        <w:numPr>
          <w:ilvl w:val="0"/>
          <w:numId w:val="17"/>
        </w:numPr>
        <w:autoSpaceDE w:val="0"/>
        <w:autoSpaceDN w:val="0"/>
        <w:adjustRightInd w:val="0"/>
        <w:snapToGrid/>
        <w:spacing w:after="0" w:line="276" w:lineRule="auto"/>
        <w:rPr>
          <w:rFonts w:eastAsia="SimSun"/>
          <w:szCs w:val="24"/>
          <w:lang w:eastAsia="zh-CN"/>
        </w:rPr>
      </w:pPr>
      <w:r w:rsidRPr="00EC556A">
        <w:rPr>
          <w:rFonts w:eastAsia="SimSun"/>
          <w:szCs w:val="24"/>
          <w:lang w:eastAsia="zh-CN"/>
        </w:rPr>
        <w:t>X-ray transmission (XRT)</w:t>
      </w:r>
    </w:p>
    <w:p w:rsidR="00CC1C95" w:rsidRDefault="00CC1C95" w:rsidP="00EE0DB2">
      <w:pPr>
        <w:autoSpaceDE w:val="0"/>
        <w:autoSpaceDN w:val="0"/>
        <w:adjustRightInd w:val="0"/>
        <w:rPr>
          <w:rFonts w:eastAsia="SimSun"/>
          <w:szCs w:val="24"/>
          <w:lang w:eastAsia="zh-CN"/>
        </w:rPr>
      </w:pPr>
      <w:r w:rsidRPr="00EC556A">
        <w:rPr>
          <w:rFonts w:eastAsia="SimSun"/>
          <w:szCs w:val="24"/>
          <w:lang w:eastAsia="zh-CN"/>
        </w:rPr>
        <w:t>The technologies are shortly described below:</w:t>
      </w:r>
    </w:p>
    <w:p w:rsidR="00CC1C95" w:rsidRPr="00EC556A" w:rsidRDefault="00CC1C95" w:rsidP="00EE0DB2">
      <w:pPr>
        <w:autoSpaceDE w:val="0"/>
        <w:autoSpaceDN w:val="0"/>
        <w:adjustRightInd w:val="0"/>
        <w:rPr>
          <w:rFonts w:eastAsia="SimSun"/>
          <w:szCs w:val="24"/>
          <w:lang w:eastAsia="zh-CN"/>
        </w:rPr>
      </w:pPr>
    </w:p>
    <w:p w:rsidR="00CC1C95" w:rsidRPr="00EC556A" w:rsidRDefault="00CC1C95" w:rsidP="00EE0DB2">
      <w:pPr>
        <w:pStyle w:val="Heading3"/>
        <w:numPr>
          <w:ilvl w:val="2"/>
          <w:numId w:val="9"/>
        </w:numPr>
        <w:tabs>
          <w:tab w:val="num" w:pos="0"/>
        </w:tabs>
        <w:snapToGrid/>
        <w:spacing w:before="240" w:after="60" w:line="276" w:lineRule="auto"/>
        <w:ind w:left="0" w:firstLine="0"/>
        <w:jc w:val="both"/>
        <w:rPr>
          <w:rFonts w:eastAsia="SimSun"/>
          <w:lang w:eastAsia="zh-CN"/>
        </w:rPr>
      </w:pPr>
      <w:bookmarkStart w:id="240" w:name="_Toc305134008"/>
      <w:bookmarkStart w:id="241" w:name="_Toc306737767"/>
      <w:bookmarkStart w:id="242" w:name="_Toc307203814"/>
      <w:bookmarkStart w:id="243" w:name="_Toc349335752"/>
      <w:bookmarkStart w:id="244" w:name="_Toc305134007"/>
      <w:bookmarkStart w:id="245" w:name="_Toc306737766"/>
      <w:bookmarkStart w:id="246" w:name="_Toc307203813"/>
      <w:r w:rsidRPr="00EC556A">
        <w:rPr>
          <w:rFonts w:eastAsia="SimSun"/>
          <w:lang w:eastAsia="zh-CN"/>
        </w:rPr>
        <w:t>X-ray fluorescence (XRF</w:t>
      </w:r>
      <w:bookmarkEnd w:id="240"/>
      <w:bookmarkEnd w:id="241"/>
      <w:bookmarkEnd w:id="242"/>
      <w:r w:rsidRPr="00EC556A">
        <w:rPr>
          <w:rFonts w:eastAsia="SimSun"/>
          <w:lang w:eastAsia="zh-CN"/>
        </w:rPr>
        <w:t>) (table 4-1)</w:t>
      </w:r>
      <w:bookmarkEnd w:id="243"/>
    </w:p>
    <w:p w:rsidR="00CC1C95" w:rsidRDefault="00CC1C95" w:rsidP="00EE0DB2">
      <w:pPr>
        <w:autoSpaceDE w:val="0"/>
        <w:autoSpaceDN w:val="0"/>
        <w:adjustRightInd w:val="0"/>
        <w:ind w:firstLine="708"/>
        <w:rPr>
          <w:rFonts w:eastAsia="SimSun"/>
          <w:color w:val="000000"/>
          <w:szCs w:val="24"/>
          <w:lang w:eastAsia="zh-CN"/>
        </w:rPr>
      </w:pPr>
      <w:r w:rsidRPr="00EC556A">
        <w:rPr>
          <w:rFonts w:eastAsia="SimSun"/>
          <w:color w:val="000000"/>
          <w:szCs w:val="24"/>
          <w:lang w:eastAsia="zh-CN"/>
        </w:rPr>
        <w:t xml:space="preserve">The </w:t>
      </w:r>
      <w:r w:rsidRPr="00EC556A">
        <w:rPr>
          <w:rFonts w:eastAsia="SimSun"/>
          <w:lang w:eastAsia="zh-CN"/>
        </w:rPr>
        <w:t>X-ray fluorescence (XRF)</w:t>
      </w:r>
      <w:r w:rsidRPr="00EC556A">
        <w:rPr>
          <w:rFonts w:eastAsia="SimSun"/>
          <w:color w:val="000000"/>
          <w:szCs w:val="24"/>
          <w:lang w:eastAsia="zh-CN"/>
        </w:rPr>
        <w:t xml:space="preserve"> technology can be used for detection of bromine in polymers and other materials with a detection limit for bromine of 10 to 100 ppm. XRF analysis is limited to the detection of bromine in the material, without any capacity to identify the type of BFR compound. Using handheld instruments the time requirement for a measurement is less then a minute. Precision of XRF screening measurements is limited and thus relative standard deviations of up to 30% may be obtained. However, this is only critical when measuring levels very close to a given threshold. </w:t>
      </w:r>
    </w:p>
    <w:p w:rsidR="00CC1C95" w:rsidRPr="00EC556A" w:rsidRDefault="00CC1C95" w:rsidP="00EE0DB2">
      <w:pPr>
        <w:autoSpaceDE w:val="0"/>
        <w:autoSpaceDN w:val="0"/>
        <w:adjustRightInd w:val="0"/>
        <w:rPr>
          <w:rFonts w:eastAsia="SimSun"/>
          <w:color w:val="000000"/>
          <w:szCs w:val="24"/>
          <w:lang w:eastAsia="zh-CN"/>
        </w:rPr>
      </w:pPr>
      <w:r w:rsidRPr="00EC556A">
        <w:rPr>
          <w:rFonts w:eastAsia="SimSun"/>
          <w:color w:val="000000"/>
          <w:szCs w:val="24"/>
          <w:lang w:eastAsia="zh-CN"/>
        </w:rPr>
        <w:t xml:space="preserve">Care has to be taken with screening methods </w:t>
      </w:r>
      <w:r>
        <w:rPr>
          <w:rFonts w:eastAsia="SimSun"/>
          <w:color w:val="000000"/>
          <w:szCs w:val="24"/>
          <w:lang w:eastAsia="zh-CN"/>
        </w:rPr>
        <w:t>if</w:t>
      </w:r>
      <w:r w:rsidRPr="00EC556A">
        <w:rPr>
          <w:rFonts w:eastAsia="SimSun"/>
          <w:color w:val="000000"/>
          <w:szCs w:val="24"/>
          <w:lang w:eastAsia="zh-CN"/>
        </w:rPr>
        <w:t xml:space="preserve"> the plastic is coated. Then the coatings need to be removed by scratching. Also dirt should be removed for an optimized screening. If a sample his heterogeneous (e.g. WEEE with different plastic parts) then the different parts need to be screened.</w:t>
      </w:r>
      <w:r w:rsidR="003569E2">
        <w:rPr>
          <w:rFonts w:eastAsia="SimSun"/>
          <w:color w:val="000000"/>
          <w:szCs w:val="24"/>
          <w:lang w:eastAsia="zh-CN"/>
        </w:rPr>
        <w:t xml:space="preserve"> </w:t>
      </w:r>
      <w:r w:rsidRPr="00EC556A">
        <w:rPr>
          <w:rFonts w:eastAsia="SimSun"/>
          <w:color w:val="000000"/>
          <w:szCs w:val="24"/>
          <w:lang w:eastAsia="zh-CN"/>
        </w:rPr>
        <w:t>XRF is a non</w:t>
      </w:r>
      <w:r w:rsidR="003569E2">
        <w:rPr>
          <w:rFonts w:eastAsia="SimSun"/>
          <w:color w:val="000000"/>
          <w:szCs w:val="24"/>
          <w:lang w:eastAsia="zh-CN"/>
        </w:rPr>
        <w:t>-</w:t>
      </w:r>
      <w:r w:rsidRPr="00EC556A">
        <w:rPr>
          <w:rFonts w:eastAsia="SimSun"/>
          <w:color w:val="000000"/>
          <w:szCs w:val="24"/>
          <w:lang w:eastAsia="zh-CN"/>
        </w:rPr>
        <w:t>destructive method and can</w:t>
      </w:r>
      <w:r>
        <w:rPr>
          <w:rFonts w:eastAsia="SimSun"/>
          <w:color w:val="000000"/>
          <w:szCs w:val="24"/>
          <w:lang w:eastAsia="zh-CN"/>
        </w:rPr>
        <w:t>,</w:t>
      </w:r>
      <w:r w:rsidRPr="00EC556A">
        <w:rPr>
          <w:rFonts w:eastAsia="SimSun"/>
          <w:color w:val="000000"/>
          <w:szCs w:val="24"/>
          <w:lang w:eastAsia="zh-CN"/>
        </w:rPr>
        <w:t xml:space="preserve"> therefore</w:t>
      </w:r>
      <w:r>
        <w:rPr>
          <w:rFonts w:eastAsia="SimSun"/>
          <w:color w:val="000000"/>
          <w:szCs w:val="24"/>
          <w:lang w:eastAsia="zh-CN"/>
        </w:rPr>
        <w:t>,</w:t>
      </w:r>
      <w:r w:rsidRPr="00EC556A">
        <w:rPr>
          <w:rFonts w:eastAsia="SimSun"/>
          <w:color w:val="000000"/>
          <w:szCs w:val="24"/>
          <w:lang w:eastAsia="zh-CN"/>
        </w:rPr>
        <w:t xml:space="preserve"> be used to screen articles in stores or currently in use without damaging them. </w:t>
      </w:r>
    </w:p>
    <w:p w:rsidR="00CC1C95" w:rsidRDefault="00CC1C95" w:rsidP="00EE0DB2">
      <w:pPr>
        <w:autoSpaceDE w:val="0"/>
        <w:autoSpaceDN w:val="0"/>
        <w:adjustRightInd w:val="0"/>
      </w:pPr>
      <w:r>
        <w:rPr>
          <w:rFonts w:eastAsia="SimSun"/>
          <w:lang w:eastAsia="zh-CN"/>
        </w:rPr>
        <w:t xml:space="preserve">XRF </w:t>
      </w:r>
      <w:r w:rsidRPr="00EC556A">
        <w:rPr>
          <w:rFonts w:eastAsia="SimSun"/>
          <w:lang w:eastAsia="zh-CN"/>
        </w:rPr>
        <w:t>is the emission of characteristic "secondary" (or fluorescent) X-rays from a material that has been excited by bombarding with high-energy X-rays or gamma rays.</w:t>
      </w:r>
      <w:r w:rsidRPr="00EC556A">
        <w:rPr>
          <w:rFonts w:eastAsia="SimSun"/>
          <w:szCs w:val="24"/>
          <w:lang w:eastAsia="zh-CN"/>
        </w:rPr>
        <w:t xml:space="preserve"> Whereas the primary radiation in bench top systems is generated from </w:t>
      </w:r>
      <w:r w:rsidR="003569E2">
        <w:rPr>
          <w:rFonts w:eastAsia="SimSun"/>
          <w:szCs w:val="24"/>
          <w:lang w:eastAsia="zh-CN"/>
        </w:rPr>
        <w:t>X</w:t>
      </w:r>
      <w:r w:rsidRPr="00EC556A">
        <w:rPr>
          <w:rFonts w:eastAsia="SimSun"/>
          <w:szCs w:val="24"/>
          <w:lang w:eastAsia="zh-CN"/>
        </w:rPr>
        <w:t>-ray sources, handhelds work with beta emitters (</w:t>
      </w:r>
      <w:r w:rsidRPr="00EC556A">
        <w:rPr>
          <w:rFonts w:eastAsia="SimSun"/>
          <w:szCs w:val="24"/>
          <w:vertAlign w:val="superscript"/>
          <w:lang w:eastAsia="zh-CN"/>
        </w:rPr>
        <w:t>63</w:t>
      </w:r>
      <w:r w:rsidRPr="00EC556A">
        <w:rPr>
          <w:rFonts w:eastAsia="SimSun"/>
          <w:szCs w:val="24"/>
          <w:lang w:eastAsia="zh-CN"/>
        </w:rPr>
        <w:t xml:space="preserve">Ni). </w:t>
      </w:r>
      <w:r w:rsidRPr="00EC556A">
        <w:t xml:space="preserve">As the sample is exposed to a beam of X-ray quanta from a tube, a proportion of these X-rays also reach the detector in the form of radiation </w:t>
      </w:r>
      <w:r w:rsidRPr="00EC556A">
        <w:rPr>
          <w:rStyle w:val="Strong"/>
          <w:bCs/>
        </w:rPr>
        <w:t>background</w:t>
      </w:r>
      <w:r w:rsidRPr="00EC556A">
        <w:t xml:space="preserve"> as a result of physical scattering processes including Rayleigh and Compton scattering. While the scattered Bremsstrahlung proportion generally produces a continuous background, the scattered characteristic radiation of the anode material contributes towards the </w:t>
      </w:r>
      <w:r w:rsidRPr="00EC556A">
        <w:rPr>
          <w:rStyle w:val="Strong"/>
          <w:bCs/>
        </w:rPr>
        <w:t>line spectrum</w:t>
      </w:r>
      <w:r w:rsidRPr="00EC556A">
        <w:t xml:space="preserve">. Besides the lines of elements from the sample, the anode material's lines and the scattered Bremsspektrum usually appear as well as a background. Background and characteristic scattering can be very effectively reduced by inserting a suitable absorption material between tube and sample. </w:t>
      </w:r>
    </w:p>
    <w:p w:rsidR="00CC1C95" w:rsidRDefault="00CC1C95" w:rsidP="00EE0DB2">
      <w:pPr>
        <w:autoSpaceDE w:val="0"/>
        <w:autoSpaceDN w:val="0"/>
        <w:adjustRightInd w:val="0"/>
      </w:pPr>
      <w:r w:rsidRPr="00EC556A">
        <w:t xml:space="preserve">The Bremsspektrum and the characteristic radiation of the X-ray tube's anode material are used to excite the </w:t>
      </w:r>
      <w:r w:rsidRPr="00EC556A">
        <w:rPr>
          <w:rStyle w:val="Strong"/>
          <w:bCs/>
        </w:rPr>
        <w:t>characteristic radiation of the elements in the sample material</w:t>
      </w:r>
      <w:r w:rsidRPr="00EC556A">
        <w:t xml:space="preserve">. Therefore, it is necessary to provide incident X-ray quanta, which are higher than the binding energy of the element's inner electrons. </w:t>
      </w:r>
    </w:p>
    <w:p w:rsidR="00CC1C95" w:rsidRPr="00EC556A" w:rsidRDefault="00CC1C95" w:rsidP="00EE0DB2">
      <w:pPr>
        <w:autoSpaceDE w:val="0"/>
        <w:autoSpaceDN w:val="0"/>
        <w:adjustRightInd w:val="0"/>
        <w:rPr>
          <w:rFonts w:eastAsia="SimSun"/>
          <w:szCs w:val="24"/>
          <w:lang w:eastAsia="zh-CN"/>
        </w:rPr>
      </w:pPr>
      <w:r w:rsidRPr="00EC556A">
        <w:t xml:space="preserve">When measuring X-rays, use is made of their ability to </w:t>
      </w:r>
      <w:r w:rsidRPr="00EC556A">
        <w:rPr>
          <w:rStyle w:val="Strong"/>
          <w:bCs/>
        </w:rPr>
        <w:t>ionize</w:t>
      </w:r>
      <w:r w:rsidRPr="00EC556A">
        <w:t xml:space="preserve"> atoms and molecules, i.e. to displace electrons from their bonds by energy transfer. In suitable detector materials, </w:t>
      </w:r>
      <w:r w:rsidRPr="00EC556A">
        <w:rPr>
          <w:rStyle w:val="Strong"/>
          <w:bCs/>
        </w:rPr>
        <w:t>pulses</w:t>
      </w:r>
      <w:r w:rsidRPr="00EC556A">
        <w:t xml:space="preserve"> </w:t>
      </w:r>
      <w:r w:rsidR="003569E2">
        <w:t>of fluorescent X-rays with</w:t>
      </w:r>
      <w:r w:rsidRPr="00EC556A">
        <w:t xml:space="preserve"> strengths proportional to the energy of the </w:t>
      </w:r>
      <w:r w:rsidR="003569E2">
        <w:t xml:space="preserve">incident </w:t>
      </w:r>
      <w:r w:rsidRPr="00EC556A">
        <w:t>X-ray quanta</w:t>
      </w:r>
      <w:r w:rsidR="003569E2">
        <w:t>,</w:t>
      </w:r>
      <w:r w:rsidRPr="00EC556A">
        <w:t xml:space="preserve"> are produced by </w:t>
      </w:r>
      <w:r w:rsidR="003569E2">
        <w:t xml:space="preserve">interaction of </w:t>
      </w:r>
      <w:r w:rsidRPr="00EC556A">
        <w:t xml:space="preserve">the </w:t>
      </w:r>
      <w:r w:rsidR="003569E2">
        <w:t xml:space="preserve">incident </w:t>
      </w:r>
      <w:r w:rsidRPr="00EC556A">
        <w:t>X-rays</w:t>
      </w:r>
      <w:r w:rsidR="003569E2">
        <w:t xml:space="preserve"> and the analysed material</w:t>
      </w:r>
      <w:r w:rsidRPr="00EC556A">
        <w:t xml:space="preserve">. The information about the X-ray quanta's energy is contained in the registration of the pulse height. The number of X-ray quanta per unit of time, e.g. pulses per second (cps = counts per second, kcps = kilocounts per second), is called their </w:t>
      </w:r>
      <w:r w:rsidRPr="00EC556A">
        <w:rPr>
          <w:rStyle w:val="Strong"/>
          <w:bCs/>
        </w:rPr>
        <w:t>intensity</w:t>
      </w:r>
      <w:r w:rsidRPr="00EC556A">
        <w:t xml:space="preserve"> and contains in a first approximation the information about the concentration of the emitting elements in the sample. </w:t>
      </w:r>
    </w:p>
    <w:p w:rsidR="00CC1C95" w:rsidRPr="00EC556A" w:rsidRDefault="00613BD8" w:rsidP="00613BD8">
      <w:pPr>
        <w:autoSpaceDE w:val="0"/>
        <w:autoSpaceDN w:val="0"/>
        <w:adjustRightInd w:val="0"/>
        <w:rPr>
          <w:rFonts w:eastAsia="SimSun"/>
          <w:lang w:eastAsia="zh-CN"/>
        </w:rPr>
      </w:pPr>
      <w:r>
        <w:rPr>
          <w:rFonts w:eastAsia="SimSun"/>
          <w:lang w:eastAsia="zh-CN"/>
        </w:rPr>
        <w:t>The use of XRF</w:t>
      </w:r>
      <w:r w:rsidRPr="00EC556A">
        <w:rPr>
          <w:rFonts w:eastAsia="SimSun"/>
          <w:lang w:eastAsia="zh-CN"/>
        </w:rPr>
        <w:t xml:space="preserve"> instrument requires a specific instruction for the operator of handling such materials according to national guidelines. </w:t>
      </w:r>
      <w:r w:rsidR="00CC1C95" w:rsidRPr="00EC556A">
        <w:rPr>
          <w:rFonts w:eastAsia="SimSun"/>
          <w:lang w:eastAsia="zh-CN"/>
        </w:rPr>
        <w:t xml:space="preserve">XRF with different </w:t>
      </w:r>
      <w:r w:rsidR="003569E2">
        <w:rPr>
          <w:rFonts w:eastAsia="SimSun"/>
          <w:lang w:eastAsia="zh-CN"/>
        </w:rPr>
        <w:t>X</w:t>
      </w:r>
      <w:r w:rsidR="00CC1C95" w:rsidRPr="00EC556A">
        <w:rPr>
          <w:rFonts w:eastAsia="SimSun"/>
          <w:lang w:eastAsia="zh-CN"/>
        </w:rPr>
        <w:t xml:space="preserve">-ray source are available. Some of the XRF systems use a </w:t>
      </w:r>
      <w:r w:rsidR="00CC1C95" w:rsidRPr="00EC556A">
        <w:rPr>
          <w:rFonts w:eastAsia="SimSun"/>
          <w:szCs w:val="24"/>
          <w:vertAlign w:val="superscript"/>
          <w:lang w:eastAsia="zh-CN"/>
        </w:rPr>
        <w:t>63</w:t>
      </w:r>
      <w:r w:rsidR="00CC1C95" w:rsidRPr="00EC556A">
        <w:rPr>
          <w:rFonts w:eastAsia="SimSun"/>
          <w:szCs w:val="24"/>
          <w:lang w:eastAsia="zh-CN"/>
        </w:rPr>
        <w:t>Ni</w:t>
      </w:r>
      <w:r w:rsidR="00CC1C95" w:rsidRPr="00EC556A">
        <w:rPr>
          <w:rFonts w:eastAsia="SimSun"/>
          <w:lang w:eastAsia="zh-CN"/>
        </w:rPr>
        <w:t xml:space="preserve"> </w:t>
      </w:r>
      <w:r w:rsidR="003569E2">
        <w:rPr>
          <w:rFonts w:eastAsia="SimSun"/>
          <w:lang w:eastAsia="zh-CN"/>
        </w:rPr>
        <w:t>X</w:t>
      </w:r>
      <w:r w:rsidR="00CC1C95" w:rsidRPr="00EC556A">
        <w:rPr>
          <w:rFonts w:eastAsia="SimSun"/>
          <w:lang w:eastAsia="zh-CN"/>
        </w:rPr>
        <w:t xml:space="preserve">-ray source and therefore a radioactive element. </w:t>
      </w:r>
      <w:r>
        <w:rPr>
          <w:rFonts w:eastAsia="SimSun"/>
          <w:lang w:eastAsia="zh-CN"/>
        </w:rPr>
        <w:t>These</w:t>
      </w:r>
      <w:r w:rsidR="00CC1C95" w:rsidRPr="00EC556A">
        <w:rPr>
          <w:rFonts w:eastAsia="SimSun"/>
          <w:lang w:eastAsia="zh-CN"/>
        </w:rPr>
        <w:t xml:space="preserve"> equipment</w:t>
      </w:r>
      <w:r>
        <w:rPr>
          <w:rFonts w:eastAsia="SimSun"/>
          <w:lang w:eastAsia="zh-CN"/>
        </w:rPr>
        <w:t>s</w:t>
      </w:r>
      <w:r w:rsidR="00CC1C95" w:rsidRPr="00EC556A">
        <w:rPr>
          <w:rFonts w:eastAsia="SimSun"/>
          <w:lang w:eastAsia="zh-CN"/>
        </w:rPr>
        <w:t xml:space="preserve"> require special waste management at the end of the product’s lifetime.</w:t>
      </w:r>
      <w:r w:rsidR="001D1BB6">
        <w:rPr>
          <w:rFonts w:eastAsia="SimSun"/>
          <w:lang w:eastAsia="zh-CN"/>
        </w:rPr>
        <w:t xml:space="preserve"> Also </w:t>
      </w:r>
      <w:r w:rsidR="00CC1C95" w:rsidRPr="00EC556A">
        <w:rPr>
          <w:rFonts w:eastAsia="SimSun"/>
          <w:lang w:eastAsia="zh-CN"/>
        </w:rPr>
        <w:t>non-radioactive instruments need careful</w:t>
      </w:r>
      <w:r w:rsidR="001D1BB6">
        <w:rPr>
          <w:rFonts w:eastAsia="SimSun"/>
          <w:lang w:eastAsia="zh-CN"/>
        </w:rPr>
        <w:t xml:space="preserve"> operation</w:t>
      </w:r>
      <w:r w:rsidR="00CC1C95" w:rsidRPr="00EC556A">
        <w:rPr>
          <w:rFonts w:eastAsia="SimSun"/>
          <w:lang w:eastAsia="zh-CN"/>
        </w:rPr>
        <w:t xml:space="preserve"> and the personal using the equipment need to be trained for the specific equipment used.</w:t>
      </w:r>
    </w:p>
    <w:p w:rsidR="00CC1C95" w:rsidRPr="00613BD8" w:rsidRDefault="00CC1C95" w:rsidP="00613BD8">
      <w:pPr>
        <w:rPr>
          <w:rFonts w:eastAsia="Times-Roman"/>
        </w:rPr>
      </w:pPr>
      <w:r w:rsidRPr="00613BD8">
        <w:rPr>
          <w:rFonts w:eastAsia="Times-Roman"/>
        </w:rPr>
        <w:t xml:space="preserve">Systems </w:t>
      </w:r>
      <w:r w:rsidR="00613BD8" w:rsidRPr="00613BD8">
        <w:rPr>
          <w:rFonts w:eastAsia="Times-Roman"/>
        </w:rPr>
        <w:t>commercially available</w:t>
      </w:r>
      <w:r w:rsidRPr="00613BD8">
        <w:rPr>
          <w:rFonts w:eastAsia="Times-Roman"/>
        </w:rPr>
        <w:t xml:space="preserve"> are e.g.:</w:t>
      </w:r>
    </w:p>
    <w:p w:rsidR="00CC1C95" w:rsidRPr="00613BD8" w:rsidRDefault="00322F03" w:rsidP="00096228">
      <w:pPr>
        <w:pStyle w:val="FootnoteText"/>
        <w:numPr>
          <w:ilvl w:val="0"/>
          <w:numId w:val="15"/>
        </w:numPr>
        <w:snapToGrid/>
        <w:spacing w:line="276" w:lineRule="auto"/>
        <w:jc w:val="left"/>
        <w:rPr>
          <w:rFonts w:ascii="Calibri" w:hAnsi="Calibri"/>
          <w:lang w:val="it-IT"/>
        </w:rPr>
      </w:pPr>
      <w:hyperlink r:id="rId18" w:history="1">
        <w:r w:rsidR="00CC1C95" w:rsidRPr="00096228">
          <w:rPr>
            <w:rStyle w:val="Hyperlink"/>
            <w:rFonts w:ascii="Calibri" w:hAnsi="Calibri"/>
            <w:lang w:val="it-IT"/>
          </w:rPr>
          <w:t xml:space="preserve">Thermo Scientific </w:t>
        </w:r>
        <w:r w:rsidR="00CC1C95" w:rsidRPr="00096228">
          <w:rPr>
            <w:rStyle w:val="Hyperlink"/>
            <w:rFonts w:ascii="Calibri" w:eastAsia="Times-Roman" w:hAnsi="Calibri"/>
            <w:lang w:val="it-IT"/>
          </w:rPr>
          <w:t>Niton</w:t>
        </w:r>
      </w:hyperlink>
    </w:p>
    <w:p w:rsidR="00096228" w:rsidRPr="00096228" w:rsidRDefault="00322F03" w:rsidP="00096228">
      <w:pPr>
        <w:pStyle w:val="FootnoteText"/>
        <w:numPr>
          <w:ilvl w:val="0"/>
          <w:numId w:val="15"/>
        </w:numPr>
        <w:snapToGrid/>
        <w:spacing w:line="276" w:lineRule="auto"/>
        <w:jc w:val="left"/>
        <w:rPr>
          <w:rFonts w:ascii="Calibri" w:hAnsi="Calibri"/>
          <w:lang w:val="nb-NO"/>
        </w:rPr>
      </w:pPr>
      <w:hyperlink r:id="rId19" w:history="1">
        <w:r w:rsidR="00CC1C95" w:rsidRPr="00096228">
          <w:rPr>
            <w:rStyle w:val="Hyperlink"/>
            <w:rFonts w:ascii="Calibri" w:hAnsi="Calibri"/>
            <w:lang w:val="it-IT"/>
          </w:rPr>
          <w:t>Olympus</w:t>
        </w:r>
      </w:hyperlink>
      <w:r w:rsidR="00CC1C95" w:rsidRPr="00613BD8">
        <w:rPr>
          <w:rFonts w:ascii="Calibri" w:hAnsi="Calibri"/>
          <w:lang w:val="it-IT"/>
        </w:rPr>
        <w:t xml:space="preserve"> </w:t>
      </w:r>
    </w:p>
    <w:p w:rsidR="00CC1C95" w:rsidRPr="00613BD8" w:rsidRDefault="00322F03" w:rsidP="00096228">
      <w:pPr>
        <w:pStyle w:val="FootnoteText"/>
        <w:numPr>
          <w:ilvl w:val="0"/>
          <w:numId w:val="15"/>
        </w:numPr>
        <w:snapToGrid/>
        <w:spacing w:line="276" w:lineRule="auto"/>
        <w:jc w:val="left"/>
        <w:rPr>
          <w:rFonts w:ascii="Calibri" w:hAnsi="Calibri"/>
          <w:lang w:val="nb-NO"/>
        </w:rPr>
      </w:pPr>
      <w:hyperlink r:id="rId20" w:history="1">
        <w:r w:rsidR="00CC1C95" w:rsidRPr="00096228">
          <w:rPr>
            <w:rStyle w:val="Hyperlink"/>
            <w:rFonts w:ascii="Calibri" w:hAnsi="Calibri"/>
            <w:lang w:val="nb-NO"/>
          </w:rPr>
          <w:t>Bruker</w:t>
        </w:r>
      </w:hyperlink>
    </w:p>
    <w:p w:rsidR="00CC1C95" w:rsidRPr="00613BD8" w:rsidRDefault="00CC1C95" w:rsidP="000C33DE">
      <w:pPr>
        <w:pStyle w:val="FootnoteText"/>
        <w:numPr>
          <w:ilvl w:val="0"/>
          <w:numId w:val="15"/>
        </w:numPr>
        <w:snapToGrid/>
        <w:spacing w:line="276" w:lineRule="auto"/>
        <w:jc w:val="left"/>
        <w:rPr>
          <w:rFonts w:ascii="Calibri" w:hAnsi="Calibri"/>
        </w:rPr>
      </w:pPr>
      <w:r w:rsidRPr="00613BD8">
        <w:rPr>
          <w:rFonts w:ascii="Calibri" w:hAnsi="Calibri"/>
        </w:rPr>
        <w:t>Other providers</w:t>
      </w:r>
    </w:p>
    <w:p w:rsidR="00CC1C95" w:rsidRDefault="00CC1C95" w:rsidP="00EE0DB2">
      <w:pPr>
        <w:autoSpaceDE w:val="0"/>
        <w:autoSpaceDN w:val="0"/>
        <w:adjustRightInd w:val="0"/>
        <w:rPr>
          <w:rFonts w:eastAsia="SimSun"/>
          <w:color w:val="000000"/>
          <w:szCs w:val="24"/>
          <w:lang w:eastAsia="zh-CN"/>
        </w:rPr>
      </w:pPr>
    </w:p>
    <w:p w:rsidR="00CC1C95" w:rsidRDefault="00CC1C95" w:rsidP="00EE0DB2">
      <w:pPr>
        <w:autoSpaceDE w:val="0"/>
        <w:autoSpaceDN w:val="0"/>
        <w:adjustRightInd w:val="0"/>
        <w:rPr>
          <w:rFonts w:eastAsia="SimSun"/>
          <w:color w:val="000000"/>
          <w:szCs w:val="24"/>
          <w:lang w:eastAsia="zh-CN"/>
        </w:rPr>
      </w:pPr>
      <w:r w:rsidRPr="00EC556A">
        <w:rPr>
          <w:rFonts w:eastAsia="SimSun"/>
          <w:color w:val="000000"/>
          <w:szCs w:val="24"/>
          <w:lang w:eastAsia="zh-CN"/>
        </w:rPr>
        <w:t>The use area of these XRF instruments is much broader th</w:t>
      </w:r>
      <w:r>
        <w:rPr>
          <w:rFonts w:eastAsia="SimSun"/>
          <w:color w:val="000000"/>
          <w:szCs w:val="24"/>
          <w:lang w:eastAsia="zh-CN"/>
        </w:rPr>
        <w:t>a</w:t>
      </w:r>
      <w:r w:rsidRPr="00EC556A">
        <w:rPr>
          <w:rFonts w:eastAsia="SimSun"/>
          <w:color w:val="000000"/>
          <w:szCs w:val="24"/>
          <w:lang w:eastAsia="zh-CN"/>
        </w:rPr>
        <w:t xml:space="preserve">n </w:t>
      </w:r>
      <w:r>
        <w:rPr>
          <w:rFonts w:eastAsia="SimSun"/>
          <w:color w:val="000000"/>
          <w:szCs w:val="24"/>
          <w:lang w:eastAsia="zh-CN"/>
        </w:rPr>
        <w:t>b</w:t>
      </w:r>
      <w:r w:rsidRPr="00EC556A">
        <w:rPr>
          <w:rFonts w:eastAsia="SimSun"/>
          <w:color w:val="000000"/>
          <w:szCs w:val="24"/>
          <w:lang w:eastAsia="zh-CN"/>
        </w:rPr>
        <w:t xml:space="preserve">romine and </w:t>
      </w:r>
      <w:r>
        <w:rPr>
          <w:rFonts w:eastAsia="SimSun"/>
          <w:color w:val="000000"/>
          <w:szCs w:val="24"/>
          <w:lang w:eastAsia="zh-CN"/>
        </w:rPr>
        <w:t>c</w:t>
      </w:r>
      <w:r w:rsidRPr="00EC556A">
        <w:rPr>
          <w:rFonts w:eastAsia="SimSun"/>
          <w:color w:val="000000"/>
          <w:szCs w:val="24"/>
          <w:lang w:eastAsia="zh-CN"/>
        </w:rPr>
        <w:t xml:space="preserve">hlorine screening. Such instruments can e.g. be used for screening of heavy metals and other elements in consumer goods or contaminated soils. The cost of an instrument is approximately </w:t>
      </w:r>
      <w:r>
        <w:rPr>
          <w:rFonts w:eastAsia="SimSun"/>
          <w:color w:val="000000"/>
          <w:szCs w:val="24"/>
          <w:lang w:eastAsia="zh-CN"/>
        </w:rPr>
        <w:t xml:space="preserve">USD </w:t>
      </w:r>
      <w:r w:rsidR="00613BD8">
        <w:rPr>
          <w:rFonts w:eastAsia="SimSun"/>
          <w:color w:val="000000"/>
          <w:szCs w:val="24"/>
          <w:lang w:eastAsia="zh-CN"/>
        </w:rPr>
        <w:t>3</w:t>
      </w:r>
      <w:r w:rsidRPr="00EC556A">
        <w:rPr>
          <w:rFonts w:eastAsia="SimSun"/>
          <w:color w:val="000000"/>
          <w:szCs w:val="24"/>
          <w:lang w:eastAsia="zh-CN"/>
        </w:rPr>
        <w:t xml:space="preserve">0,000 to </w:t>
      </w:r>
      <w:r>
        <w:rPr>
          <w:rFonts w:eastAsia="SimSun"/>
          <w:color w:val="000000"/>
          <w:szCs w:val="24"/>
          <w:lang w:eastAsia="zh-CN"/>
        </w:rPr>
        <w:t xml:space="preserve">USD </w:t>
      </w:r>
      <w:r w:rsidRPr="00EC556A">
        <w:rPr>
          <w:rFonts w:eastAsia="SimSun"/>
          <w:color w:val="000000"/>
          <w:szCs w:val="24"/>
          <w:lang w:eastAsia="zh-CN"/>
        </w:rPr>
        <w:t xml:space="preserve">50,000. </w:t>
      </w:r>
    </w:p>
    <w:p w:rsidR="00CC1C95" w:rsidRDefault="00CC1C95" w:rsidP="00EE0DB2">
      <w:pPr>
        <w:autoSpaceDE w:val="0"/>
        <w:autoSpaceDN w:val="0"/>
        <w:adjustRightInd w:val="0"/>
        <w:rPr>
          <w:rFonts w:eastAsia="SimSun"/>
          <w:color w:val="000000"/>
          <w:szCs w:val="24"/>
          <w:lang w:eastAsia="zh-CN"/>
        </w:rPr>
      </w:pPr>
      <w:r w:rsidRPr="00EC556A">
        <w:rPr>
          <w:rFonts w:eastAsia="SimSun"/>
          <w:color w:val="000000"/>
          <w:szCs w:val="24"/>
          <w:lang w:eastAsia="zh-CN"/>
        </w:rPr>
        <w:t xml:space="preserve">There are cheaper XRF equipments on the market with reduced functionality for </w:t>
      </w:r>
      <w:r w:rsidR="00613BD8">
        <w:rPr>
          <w:rFonts w:eastAsia="SimSun"/>
          <w:color w:val="000000"/>
          <w:szCs w:val="24"/>
          <w:lang w:eastAsia="zh-CN"/>
        </w:rPr>
        <w:t xml:space="preserve">e.g. </w:t>
      </w:r>
      <w:r w:rsidRPr="00EC556A">
        <w:rPr>
          <w:rFonts w:eastAsia="SimSun"/>
          <w:color w:val="000000"/>
          <w:szCs w:val="24"/>
          <w:lang w:eastAsia="zh-CN"/>
        </w:rPr>
        <w:t>specifically monitoring of RoHS compliance. These equipments can be used for screening of bromine and might be sufficient for this purpose.</w:t>
      </w:r>
    </w:p>
    <w:p w:rsidR="00CC1C95" w:rsidRPr="00EC556A" w:rsidRDefault="00CC1C95" w:rsidP="00EE0DB2">
      <w:pPr>
        <w:pStyle w:val="Heading3"/>
        <w:numPr>
          <w:ilvl w:val="2"/>
          <w:numId w:val="9"/>
        </w:numPr>
        <w:tabs>
          <w:tab w:val="num" w:pos="0"/>
        </w:tabs>
        <w:snapToGrid/>
        <w:spacing w:before="240" w:after="60" w:line="276" w:lineRule="auto"/>
        <w:ind w:left="0" w:firstLine="0"/>
        <w:jc w:val="both"/>
        <w:rPr>
          <w:rFonts w:eastAsia="SimSun"/>
          <w:lang w:eastAsia="zh-CN"/>
        </w:rPr>
      </w:pPr>
      <w:bookmarkStart w:id="247" w:name="_Toc349335753"/>
      <w:r w:rsidRPr="00EC556A">
        <w:rPr>
          <w:rFonts w:eastAsia="SimSun"/>
          <w:lang w:eastAsia="zh-CN"/>
        </w:rPr>
        <w:t>Sliding spark spectroscopy</w:t>
      </w:r>
      <w:bookmarkEnd w:id="244"/>
      <w:bookmarkEnd w:id="245"/>
      <w:bookmarkEnd w:id="246"/>
      <w:r w:rsidRPr="00EC556A">
        <w:rPr>
          <w:rFonts w:eastAsia="SimSun"/>
          <w:lang w:eastAsia="zh-CN"/>
        </w:rPr>
        <w:t xml:space="preserve"> (table 4-1)</w:t>
      </w:r>
      <w:r w:rsidRPr="00EC556A">
        <w:rPr>
          <w:rStyle w:val="FootnoteReference"/>
          <w:rFonts w:eastAsia="SimSun"/>
          <w:lang w:eastAsia="zh-CN"/>
        </w:rPr>
        <w:footnoteReference w:id="30"/>
      </w:r>
      <w:bookmarkEnd w:id="247"/>
    </w:p>
    <w:p w:rsidR="00CC1C95" w:rsidRPr="00EC556A" w:rsidRDefault="00CC1C95" w:rsidP="00EE0DB2">
      <w:pPr>
        <w:autoSpaceDE w:val="0"/>
        <w:autoSpaceDN w:val="0"/>
        <w:adjustRightInd w:val="0"/>
        <w:ind w:firstLine="708"/>
        <w:rPr>
          <w:rFonts w:eastAsia="SimSun"/>
          <w:color w:val="000000"/>
          <w:szCs w:val="24"/>
          <w:lang w:eastAsia="zh-CN"/>
        </w:rPr>
      </w:pPr>
      <w:r w:rsidRPr="00EC556A">
        <w:rPr>
          <w:rFonts w:eastAsia="SimSun"/>
          <w:lang w:eastAsia="zh-CN"/>
        </w:rPr>
        <w:t>Sliding spark spectroscopy is a surface screening method capable to rapidly detect bromine, chlorine</w:t>
      </w:r>
      <w:r w:rsidR="00AA1595">
        <w:rPr>
          <w:rFonts w:eastAsia="SimSun"/>
          <w:lang w:eastAsia="zh-CN"/>
        </w:rPr>
        <w:t>, fluorine</w:t>
      </w:r>
      <w:r w:rsidRPr="00EC556A">
        <w:rPr>
          <w:rFonts w:eastAsia="SimSun"/>
          <w:lang w:eastAsia="zh-CN"/>
        </w:rPr>
        <w:t xml:space="preserve"> and inorganic additives at concentration down to approximately 0.1%. With a comparatively simple system, sliding spark spectroscopy allows direct in-situ analysis of handy, compact non-conductive material without prior sample preparation. </w:t>
      </w:r>
      <w:r w:rsidRPr="00EC556A">
        <w:rPr>
          <w:rFonts w:eastAsia="SimSun"/>
          <w:color w:val="000000"/>
          <w:szCs w:val="24"/>
          <w:lang w:eastAsia="zh-CN"/>
        </w:rPr>
        <w:t xml:space="preserve">Using handheld instruments the time requirement for a measurement lies within seconds. </w:t>
      </w:r>
    </w:p>
    <w:p w:rsidR="00CC1C95" w:rsidRDefault="00CC1C95" w:rsidP="00EE0DB2">
      <w:pPr>
        <w:autoSpaceDE w:val="0"/>
        <w:autoSpaceDN w:val="0"/>
        <w:adjustRightInd w:val="0"/>
        <w:rPr>
          <w:rFonts w:eastAsia="SimSun"/>
          <w:color w:val="000000"/>
          <w:szCs w:val="24"/>
          <w:lang w:eastAsia="zh-CN"/>
        </w:rPr>
      </w:pPr>
      <w:r w:rsidRPr="00EC556A">
        <w:rPr>
          <w:rFonts w:eastAsia="SimSun"/>
          <w:color w:val="000000"/>
          <w:szCs w:val="24"/>
          <w:lang w:eastAsia="zh-CN"/>
        </w:rPr>
        <w:t xml:space="preserve">Care has to be taken with screening methods </w:t>
      </w:r>
      <w:r>
        <w:rPr>
          <w:rFonts w:eastAsia="SimSun"/>
          <w:color w:val="000000"/>
          <w:szCs w:val="24"/>
          <w:lang w:eastAsia="zh-CN"/>
        </w:rPr>
        <w:t>if</w:t>
      </w:r>
      <w:r w:rsidRPr="00EC556A">
        <w:rPr>
          <w:rFonts w:eastAsia="SimSun"/>
          <w:color w:val="000000"/>
          <w:szCs w:val="24"/>
          <w:lang w:eastAsia="zh-CN"/>
        </w:rPr>
        <w:t xml:space="preserve"> the plastic is coated. Then the coatings need to be removed by scratching. Also dirt should be removed for an optimized screening. If a sample his heterogeneous (e.g. WEEE with different plastic parts) then the different parts need to be screened.</w:t>
      </w:r>
    </w:p>
    <w:p w:rsidR="00CC1C95" w:rsidRPr="00EC556A" w:rsidRDefault="00CC1C95" w:rsidP="00EE0DB2">
      <w:pPr>
        <w:autoSpaceDE w:val="0"/>
        <w:autoSpaceDN w:val="0"/>
        <w:adjustRightInd w:val="0"/>
        <w:rPr>
          <w:rFonts w:eastAsia="SimSun"/>
          <w:color w:val="000000"/>
          <w:szCs w:val="24"/>
          <w:lang w:eastAsia="zh-CN"/>
        </w:rPr>
      </w:pPr>
      <w:r w:rsidRPr="00EC556A">
        <w:rPr>
          <w:rFonts w:eastAsia="SimSun"/>
          <w:color w:val="000000"/>
          <w:szCs w:val="24"/>
          <w:lang w:eastAsia="zh-CN"/>
        </w:rPr>
        <w:t xml:space="preserve">Sliding Spark Spectroscopy is a destructive method in a sense that the measurement results in a burn spot from the spark. Therefore the articles to screen must be purchased. </w:t>
      </w:r>
    </w:p>
    <w:p w:rsidR="00CC1C95" w:rsidRPr="00EC556A" w:rsidRDefault="00CC1C95" w:rsidP="00EE0DB2">
      <w:pPr>
        <w:autoSpaceDE w:val="0"/>
        <w:autoSpaceDN w:val="0"/>
        <w:adjustRightInd w:val="0"/>
        <w:rPr>
          <w:rFonts w:eastAsia="SimSun"/>
          <w:lang w:eastAsia="zh-CN"/>
        </w:rPr>
      </w:pPr>
      <w:r w:rsidRPr="00EC556A">
        <w:rPr>
          <w:rFonts w:eastAsia="SimSun"/>
          <w:lang w:eastAsia="zh-CN"/>
        </w:rPr>
        <w:t xml:space="preserve">The basic principle of the method is the thermal vaporization, ionization and excitation of a small amount of surface substrate using a train of high-current sliding sparks. The material components in the spark plasma are activated to emit radiation. From the atomic spectrum, information on the composition and the element concentration in the sample can be obtained. </w:t>
      </w:r>
    </w:p>
    <w:p w:rsidR="00CC1C95" w:rsidRPr="00EC556A" w:rsidRDefault="00CC1C95" w:rsidP="00EE0DB2">
      <w:pPr>
        <w:autoSpaceDE w:val="0"/>
        <w:autoSpaceDN w:val="0"/>
        <w:adjustRightInd w:val="0"/>
        <w:rPr>
          <w:rFonts w:eastAsia="SimSun"/>
          <w:color w:val="000000"/>
          <w:szCs w:val="24"/>
          <w:lang w:eastAsia="zh-CN"/>
        </w:rPr>
      </w:pPr>
      <w:r w:rsidRPr="00EC556A">
        <w:rPr>
          <w:rFonts w:eastAsia="SimSun"/>
          <w:lang w:eastAsia="zh-CN"/>
        </w:rPr>
        <w:t>Intense optical emission is observed when positionally stable high-current surface sparks (max. 800 Ampere/pulse) are sliding over compact non-conductive materials such as plastics, glasses, quartz filters or powder pellets. Substrate vaporization, ionization and excitation processes in the surface discharge plasma channel generate emission corresponding to neutral and ionic states. The spectra are essentially composed of lines emitted by the electrode material (e.g. copper and silver), from the substrate under investigation, radiation continuum as well as structured background from the surrounding air. Proper software treatment of the detected spectra allows the rapid multi-element screening of the investigated material. Thus, identification of bromine containing materials and inorganic additives (BFRs, fillers, stabilizers, BFR synergists) or chlorine containing plastics (PVC or chlorinated flame retardants), has been described (Schlummer and Mäurer 2006)</w:t>
      </w:r>
      <w:r w:rsidRPr="00EC556A">
        <w:rPr>
          <w:rStyle w:val="FootnoteReference"/>
          <w:rFonts w:eastAsia="SimSun"/>
          <w:lang w:eastAsia="zh-CN"/>
        </w:rPr>
        <w:footnoteReference w:id="31"/>
      </w:r>
      <w:r w:rsidRPr="00EC556A">
        <w:rPr>
          <w:rFonts w:eastAsia="SimSun"/>
          <w:lang w:eastAsia="zh-CN"/>
        </w:rPr>
        <w:t>.</w:t>
      </w:r>
      <w:r w:rsidR="00AA1595">
        <w:rPr>
          <w:rFonts w:eastAsia="SimSun"/>
          <w:lang w:eastAsia="zh-CN"/>
        </w:rPr>
        <w:t xml:space="preserve"> </w:t>
      </w:r>
      <w:r w:rsidRPr="00EC556A">
        <w:rPr>
          <w:rFonts w:eastAsia="SimSun"/>
          <w:color w:val="000000"/>
          <w:szCs w:val="24"/>
          <w:lang w:eastAsia="zh-CN"/>
        </w:rPr>
        <w:t>The instrument costs approximately US</w:t>
      </w:r>
      <w:r>
        <w:rPr>
          <w:rFonts w:eastAsia="SimSun"/>
          <w:color w:val="000000"/>
          <w:szCs w:val="24"/>
          <w:lang w:eastAsia="zh-CN"/>
        </w:rPr>
        <w:t xml:space="preserve">D </w:t>
      </w:r>
      <w:r w:rsidRPr="00EC556A">
        <w:rPr>
          <w:rFonts w:eastAsia="SimSun"/>
          <w:color w:val="000000"/>
          <w:szCs w:val="24"/>
          <w:lang w:eastAsia="zh-CN"/>
        </w:rPr>
        <w:t>6,000.</w:t>
      </w:r>
    </w:p>
    <w:p w:rsidR="00CC1C95" w:rsidRPr="00AA1595" w:rsidRDefault="00CC1C95" w:rsidP="00AA1595">
      <w:pPr>
        <w:pStyle w:val="Heading3"/>
        <w:numPr>
          <w:ilvl w:val="2"/>
          <w:numId w:val="9"/>
        </w:numPr>
        <w:tabs>
          <w:tab w:val="num" w:pos="0"/>
        </w:tabs>
        <w:snapToGrid/>
        <w:spacing w:before="240" w:after="60" w:line="276" w:lineRule="auto"/>
        <w:ind w:left="0" w:firstLine="0"/>
        <w:jc w:val="both"/>
        <w:rPr>
          <w:rFonts w:eastAsia="SimSun"/>
          <w:color w:val="000000"/>
          <w:lang w:eastAsia="zh-CN"/>
        </w:rPr>
      </w:pPr>
      <w:bookmarkStart w:id="248" w:name="_Toc349335754"/>
      <w:bookmarkStart w:id="249" w:name="_Toc305134009"/>
      <w:bookmarkStart w:id="250" w:name="_Toc306737768"/>
      <w:bookmarkStart w:id="251" w:name="_Toc307203815"/>
      <w:r w:rsidRPr="00AA1595">
        <w:rPr>
          <w:rFonts w:eastAsia="SimSun"/>
          <w:color w:val="000000"/>
          <w:lang w:eastAsia="zh-CN"/>
        </w:rPr>
        <w:t>Neutron activation analysis</w:t>
      </w:r>
      <w:bookmarkEnd w:id="248"/>
    </w:p>
    <w:p w:rsidR="00CC1C95" w:rsidRPr="00EC556A" w:rsidRDefault="00CC1C95" w:rsidP="00462F4A">
      <w:r>
        <w:tab/>
      </w:r>
      <w:r w:rsidRPr="00EC556A">
        <w:t>The neutron activation analysis</w:t>
      </w:r>
      <w:r w:rsidR="00462F4A">
        <w:t xml:space="preserve"> (NAA)</w:t>
      </w:r>
      <w:r w:rsidRPr="00EC556A">
        <w:t xml:space="preserve"> is a radiochemical multi-element analysis described as a “</w:t>
      </w:r>
      <w:r w:rsidRPr="00EC556A">
        <w:rPr>
          <w:i/>
        </w:rPr>
        <w:t>supreme technique</w:t>
      </w:r>
      <w:r w:rsidRPr="00EC556A">
        <w:t>” for elemental analysis.</w:t>
      </w:r>
      <w:r w:rsidR="00462F4A">
        <w:t xml:space="preserve"> NAA</w:t>
      </w:r>
      <w:r w:rsidR="00462F4A" w:rsidRPr="00462F4A">
        <w:t xml:space="preserve"> is a sensitive multi-element analytical technique used for qualitative and quantitative analysis of major, minor, trace and rare elements.</w:t>
      </w:r>
      <w:r w:rsidRPr="00EC556A">
        <w:t xml:space="preserve"> The method can be utilised for the determination of bromine content in plastic and was used for the Swiss market survey of BFR in products in 2004 and as validation method in the 2009 survey</w:t>
      </w:r>
      <w:r w:rsidRPr="00EC556A">
        <w:rPr>
          <w:rStyle w:val="FootnoteReference"/>
        </w:rPr>
        <w:footnoteReference w:id="32"/>
      </w:r>
      <w:r w:rsidRPr="00EC556A">
        <w:t xml:space="preserve">. This technique can only be applied in laboratory. The </w:t>
      </w:r>
      <w:r w:rsidR="00462F4A">
        <w:t>instruments</w:t>
      </w:r>
      <w:r w:rsidRPr="00EC556A">
        <w:t xml:space="preserve"> </w:t>
      </w:r>
      <w:r w:rsidR="00462F4A">
        <w:t>are</w:t>
      </w:r>
      <w:r w:rsidRPr="00EC556A">
        <w:t xml:space="preserve"> </w:t>
      </w:r>
      <w:r w:rsidR="00462F4A">
        <w:t>rather</w:t>
      </w:r>
      <w:r w:rsidRPr="00EC556A">
        <w:t xml:space="preserve"> expensive and of limited practicability</w:t>
      </w:r>
      <w:r w:rsidR="00462F4A">
        <w:t xml:space="preserve"> </w:t>
      </w:r>
      <w:r w:rsidRPr="00EC556A">
        <w:t>as nuclear expertise is required.</w:t>
      </w:r>
    </w:p>
    <w:p w:rsidR="00CC1C95" w:rsidRPr="00EC556A" w:rsidRDefault="00CC1C95" w:rsidP="00EE0DB2">
      <w:pPr>
        <w:pStyle w:val="Heading3"/>
        <w:numPr>
          <w:ilvl w:val="2"/>
          <w:numId w:val="9"/>
        </w:numPr>
        <w:tabs>
          <w:tab w:val="num" w:pos="0"/>
        </w:tabs>
        <w:snapToGrid/>
        <w:spacing w:before="240" w:after="60" w:line="276" w:lineRule="auto"/>
        <w:ind w:left="0" w:firstLine="0"/>
        <w:jc w:val="both"/>
        <w:rPr>
          <w:rFonts w:eastAsia="SimSun"/>
          <w:lang w:eastAsia="zh-CN"/>
        </w:rPr>
      </w:pPr>
      <w:bookmarkStart w:id="252" w:name="_Toc349335755"/>
      <w:r w:rsidRPr="00EC556A">
        <w:rPr>
          <w:rFonts w:eastAsia="SimSun"/>
          <w:color w:val="000000"/>
          <w:lang w:eastAsia="zh-CN"/>
        </w:rPr>
        <w:t xml:space="preserve">X-ray transmission technology </w:t>
      </w:r>
      <w:r w:rsidRPr="00EC556A">
        <w:rPr>
          <w:rFonts w:eastAsia="SimSun"/>
          <w:lang w:eastAsia="zh-CN"/>
        </w:rPr>
        <w:t>XRT</w:t>
      </w:r>
      <w:bookmarkEnd w:id="249"/>
      <w:bookmarkEnd w:id="250"/>
      <w:bookmarkEnd w:id="251"/>
      <w:bookmarkEnd w:id="252"/>
    </w:p>
    <w:p w:rsidR="00CC1C95" w:rsidRDefault="00CC1C95" w:rsidP="00EE0DB2">
      <w:pPr>
        <w:autoSpaceDE w:val="0"/>
        <w:autoSpaceDN w:val="0"/>
        <w:adjustRightInd w:val="0"/>
        <w:ind w:firstLine="708"/>
        <w:rPr>
          <w:rFonts w:eastAsia="SimSun"/>
          <w:color w:val="000000"/>
          <w:szCs w:val="24"/>
          <w:lang w:eastAsia="zh-CN"/>
        </w:rPr>
      </w:pPr>
      <w:r w:rsidRPr="00EC556A">
        <w:rPr>
          <w:rFonts w:eastAsia="SimSun"/>
          <w:color w:val="000000"/>
          <w:szCs w:val="24"/>
          <w:lang w:eastAsia="zh-CN"/>
        </w:rPr>
        <w:t>The XRT is non-mobile equipment applied in dismantling plants to sort scrap plastic by automatically monitoring the atomic density of materials. Therefore the instrument is not useful for screening for bromine in consumer goods.</w:t>
      </w:r>
    </w:p>
    <w:p w:rsidR="00CC1C95" w:rsidRPr="000D35C8" w:rsidRDefault="00CC1C95" w:rsidP="00EE0DB2">
      <w:pPr>
        <w:pStyle w:val="Caption"/>
        <w:keepNext/>
        <w:spacing w:before="0" w:after="0" w:line="276" w:lineRule="auto"/>
        <w:rPr>
          <w:rFonts w:ascii="Calibri" w:hAnsi="Calibri"/>
          <w:i w:val="0"/>
          <w:iCs/>
          <w:sz w:val="22"/>
          <w:szCs w:val="22"/>
          <w:lang w:val="en-GB"/>
        </w:rPr>
      </w:pPr>
      <w:bookmarkStart w:id="253" w:name="_Ref141196670"/>
      <w:bookmarkStart w:id="254" w:name="_Ref141196663"/>
      <w:bookmarkStart w:id="255" w:name="_Toc147337800"/>
      <w:r w:rsidRPr="000D35C8">
        <w:rPr>
          <w:rFonts w:ascii="Calibri" w:hAnsi="Calibri"/>
          <w:b/>
          <w:bCs/>
          <w:iCs/>
          <w:sz w:val="22"/>
          <w:szCs w:val="22"/>
          <w:lang w:val="en-GB"/>
        </w:rPr>
        <w:t>Table</w:t>
      </w:r>
      <w:bookmarkEnd w:id="253"/>
      <w:r w:rsidRPr="000D35C8">
        <w:rPr>
          <w:rFonts w:ascii="Calibri" w:hAnsi="Calibri"/>
          <w:b/>
          <w:bCs/>
          <w:iCs/>
          <w:sz w:val="22"/>
          <w:szCs w:val="22"/>
          <w:lang w:val="en-GB"/>
        </w:rPr>
        <w:t xml:space="preserve"> 4-1:</w:t>
      </w:r>
      <w:r w:rsidRPr="000D35C8">
        <w:rPr>
          <w:rFonts w:ascii="Calibri" w:hAnsi="Calibri"/>
          <w:iCs/>
          <w:sz w:val="22"/>
          <w:szCs w:val="22"/>
          <w:lang w:val="en-GB"/>
        </w:rPr>
        <w:t xml:space="preserve"> Comparison of the hand held methods for screening of BFR containing plastic (WRAP 2006 with modifications).</w:t>
      </w:r>
      <w:bookmarkEnd w:id="254"/>
      <w:bookmarkEnd w:id="255"/>
    </w:p>
    <w:tbl>
      <w:tblPr>
        <w:tblW w:w="9079" w:type="dxa"/>
        <w:tblInd w:w="30" w:type="dxa"/>
        <w:tblBorders>
          <w:bottom w:val="single" w:sz="12" w:space="0" w:color="000000"/>
        </w:tblBorders>
        <w:tblLayout w:type="fixed"/>
        <w:tblCellMar>
          <w:left w:w="30" w:type="dxa"/>
          <w:right w:w="30" w:type="dxa"/>
        </w:tblCellMar>
        <w:tblLook w:val="00BF"/>
      </w:tblPr>
      <w:tblGrid>
        <w:gridCol w:w="1469"/>
        <w:gridCol w:w="3999"/>
        <w:gridCol w:w="3611"/>
      </w:tblGrid>
      <w:tr w:rsidR="00CC1C95" w:rsidRPr="00EC556A">
        <w:trPr>
          <w:trHeight w:val="254"/>
          <w:tblHeader/>
        </w:trPr>
        <w:tc>
          <w:tcPr>
            <w:tcW w:w="1469" w:type="dxa"/>
            <w:tcBorders>
              <w:bottom w:val="single" w:sz="12" w:space="0" w:color="000000"/>
            </w:tcBorders>
            <w:shd w:val="solid" w:color="800000" w:fill="FFFFFF"/>
          </w:tcPr>
          <w:p w:rsidR="00CC1C95" w:rsidRPr="00EC556A" w:rsidRDefault="00CC1C95" w:rsidP="00EE0DB2">
            <w:pPr>
              <w:rPr>
                <w:sz w:val="20"/>
              </w:rPr>
            </w:pPr>
            <w:r w:rsidRPr="00EC556A">
              <w:rPr>
                <w:sz w:val="20"/>
              </w:rPr>
              <w:t xml:space="preserve">Type: </w:t>
            </w:r>
          </w:p>
        </w:tc>
        <w:tc>
          <w:tcPr>
            <w:tcW w:w="3999" w:type="dxa"/>
            <w:tcBorders>
              <w:bottom w:val="single" w:sz="12" w:space="0" w:color="000000"/>
            </w:tcBorders>
            <w:shd w:val="solid" w:color="800000" w:fill="FFFFFF"/>
          </w:tcPr>
          <w:p w:rsidR="00CC1C95" w:rsidRPr="00EC556A" w:rsidRDefault="00CC1C95" w:rsidP="00EE0DB2">
            <w:pPr>
              <w:rPr>
                <w:sz w:val="20"/>
              </w:rPr>
            </w:pPr>
            <w:r w:rsidRPr="00EC556A">
              <w:rPr>
                <w:sz w:val="20"/>
              </w:rPr>
              <w:t>X-Ray Fluorescence</w:t>
            </w:r>
          </w:p>
        </w:tc>
        <w:tc>
          <w:tcPr>
            <w:tcW w:w="3611" w:type="dxa"/>
            <w:tcBorders>
              <w:bottom w:val="single" w:sz="12" w:space="0" w:color="000000"/>
            </w:tcBorders>
            <w:shd w:val="solid" w:color="800000" w:fill="FFFFFF"/>
          </w:tcPr>
          <w:p w:rsidR="00CC1C95" w:rsidRPr="00EC556A" w:rsidRDefault="00CC1C95" w:rsidP="00EE0DB2">
            <w:pPr>
              <w:rPr>
                <w:sz w:val="20"/>
              </w:rPr>
            </w:pPr>
            <w:r w:rsidRPr="00EC556A">
              <w:rPr>
                <w:sz w:val="20"/>
              </w:rPr>
              <w:t>Sliding Spark spectral analysis</w:t>
            </w:r>
          </w:p>
        </w:tc>
      </w:tr>
      <w:tr w:rsidR="00CC1C95" w:rsidRPr="00B600A2">
        <w:trPr>
          <w:trHeight w:val="197"/>
        </w:trPr>
        <w:tc>
          <w:tcPr>
            <w:tcW w:w="1469" w:type="dxa"/>
            <w:shd w:val="pct20" w:color="FFFF00" w:fill="FFFFFF"/>
          </w:tcPr>
          <w:p w:rsidR="00CC1C95" w:rsidRPr="00EC556A" w:rsidRDefault="00CC1C95" w:rsidP="00EE0DB2">
            <w:pPr>
              <w:rPr>
                <w:sz w:val="20"/>
              </w:rPr>
            </w:pPr>
            <w:r w:rsidRPr="00EC556A">
              <w:rPr>
                <w:sz w:val="20"/>
              </w:rPr>
              <w:t xml:space="preserve">Prime Function </w:t>
            </w:r>
          </w:p>
        </w:tc>
        <w:tc>
          <w:tcPr>
            <w:tcW w:w="3999" w:type="dxa"/>
            <w:shd w:val="pct20" w:color="FFFF00" w:fill="FFFFFF"/>
          </w:tcPr>
          <w:p w:rsidR="00CC1C95" w:rsidRPr="00EC556A" w:rsidRDefault="00CC1C95" w:rsidP="00EE0DB2">
            <w:pPr>
              <w:rPr>
                <w:sz w:val="20"/>
              </w:rPr>
            </w:pPr>
            <w:r w:rsidRPr="00EC556A">
              <w:rPr>
                <w:sz w:val="20"/>
              </w:rPr>
              <w:t xml:space="preserve">Detect and quantify additives </w:t>
            </w:r>
          </w:p>
        </w:tc>
        <w:tc>
          <w:tcPr>
            <w:tcW w:w="3611" w:type="dxa"/>
            <w:shd w:val="pct20" w:color="FFFF00" w:fill="FFFFFF"/>
          </w:tcPr>
          <w:p w:rsidR="00CC1C95" w:rsidRPr="00EC556A" w:rsidRDefault="00CC1C95" w:rsidP="00EE0DB2">
            <w:pPr>
              <w:rPr>
                <w:sz w:val="20"/>
              </w:rPr>
            </w:pPr>
            <w:r w:rsidRPr="00EC556A">
              <w:rPr>
                <w:sz w:val="20"/>
              </w:rPr>
              <w:t xml:space="preserve">Detect + quantify bromine and chlorine </w:t>
            </w:r>
          </w:p>
        </w:tc>
      </w:tr>
      <w:tr w:rsidR="00CC1C95" w:rsidRPr="00B600A2">
        <w:trPr>
          <w:trHeight w:val="787"/>
        </w:trPr>
        <w:tc>
          <w:tcPr>
            <w:tcW w:w="1469" w:type="dxa"/>
            <w:shd w:val="pct20" w:color="FFFF00" w:fill="FFFFFF"/>
          </w:tcPr>
          <w:p w:rsidR="00CC1C95" w:rsidRPr="00EC556A" w:rsidRDefault="00CC1C95" w:rsidP="00AA1595">
            <w:pPr>
              <w:jc w:val="left"/>
              <w:rPr>
                <w:sz w:val="20"/>
              </w:rPr>
            </w:pPr>
            <w:r w:rsidRPr="00EC556A">
              <w:rPr>
                <w:sz w:val="20"/>
              </w:rPr>
              <w:t xml:space="preserve">Method of operation </w:t>
            </w:r>
          </w:p>
        </w:tc>
        <w:tc>
          <w:tcPr>
            <w:tcW w:w="3999" w:type="dxa"/>
            <w:shd w:val="pct20" w:color="FFFF00" w:fill="FFFFFF"/>
          </w:tcPr>
          <w:p w:rsidR="00CC1C95" w:rsidRPr="00EC556A" w:rsidRDefault="00CC1C95" w:rsidP="00EE0DB2">
            <w:pPr>
              <w:rPr>
                <w:sz w:val="20"/>
              </w:rPr>
            </w:pPr>
            <w:r w:rsidRPr="00EC556A">
              <w:rPr>
                <w:sz w:val="20"/>
              </w:rPr>
              <w:t xml:space="preserve">Low power X-ray penetrates ~10mm into sample, detector measures distinct energy peaks from florescence of a range of elements to give ID and % concentration of additives </w:t>
            </w:r>
          </w:p>
        </w:tc>
        <w:tc>
          <w:tcPr>
            <w:tcW w:w="3611" w:type="dxa"/>
            <w:shd w:val="pct20" w:color="FFFF00" w:fill="FFFFFF"/>
          </w:tcPr>
          <w:p w:rsidR="00CC1C95" w:rsidRPr="00EC556A" w:rsidRDefault="00CC1C95" w:rsidP="00EE0DB2">
            <w:pPr>
              <w:rPr>
                <w:sz w:val="20"/>
              </w:rPr>
            </w:pPr>
            <w:r w:rsidRPr="00EC556A">
              <w:rPr>
                <w:sz w:val="20"/>
              </w:rPr>
              <w:t>High voltage spark on surface creates plasma of vaporised material. Light spectra analysed for know peaks at Br and Cl wavelength to estimate % concentration</w:t>
            </w:r>
          </w:p>
        </w:tc>
      </w:tr>
      <w:tr w:rsidR="00CC1C95" w:rsidRPr="00EC556A">
        <w:trPr>
          <w:trHeight w:val="197"/>
        </w:trPr>
        <w:tc>
          <w:tcPr>
            <w:tcW w:w="1469" w:type="dxa"/>
            <w:shd w:val="pct20" w:color="FFFF00" w:fill="FFFFFF"/>
          </w:tcPr>
          <w:p w:rsidR="00CC1C95" w:rsidRPr="00EC556A" w:rsidRDefault="00CC1C95" w:rsidP="00EE0DB2">
            <w:pPr>
              <w:rPr>
                <w:sz w:val="20"/>
              </w:rPr>
            </w:pPr>
            <w:r w:rsidRPr="00EC556A">
              <w:rPr>
                <w:sz w:val="20"/>
              </w:rPr>
              <w:t xml:space="preserve">Weight approx </w:t>
            </w:r>
          </w:p>
        </w:tc>
        <w:tc>
          <w:tcPr>
            <w:tcW w:w="3999" w:type="dxa"/>
            <w:shd w:val="pct20" w:color="FFFF00" w:fill="FFFFFF"/>
          </w:tcPr>
          <w:p w:rsidR="00CC1C95" w:rsidRPr="00EC556A" w:rsidRDefault="00CC1C95" w:rsidP="00EE0DB2">
            <w:pPr>
              <w:rPr>
                <w:sz w:val="20"/>
              </w:rPr>
            </w:pPr>
            <w:r w:rsidRPr="00EC556A">
              <w:rPr>
                <w:sz w:val="20"/>
              </w:rPr>
              <w:t xml:space="preserve">1.7 </w:t>
            </w:r>
            <w:r>
              <w:rPr>
                <w:sz w:val="20"/>
              </w:rPr>
              <w:t>kg</w:t>
            </w:r>
            <w:r w:rsidRPr="00EC556A">
              <w:rPr>
                <w:sz w:val="20"/>
              </w:rPr>
              <w:t xml:space="preserve"> </w:t>
            </w:r>
          </w:p>
        </w:tc>
        <w:tc>
          <w:tcPr>
            <w:tcW w:w="3611" w:type="dxa"/>
            <w:shd w:val="pct20" w:color="FFFF00" w:fill="FFFFFF"/>
          </w:tcPr>
          <w:p w:rsidR="00CC1C95" w:rsidRPr="00EC556A" w:rsidRDefault="00CC1C95" w:rsidP="00EE0DB2">
            <w:pPr>
              <w:rPr>
                <w:sz w:val="20"/>
              </w:rPr>
            </w:pPr>
            <w:r w:rsidRPr="00EC556A">
              <w:rPr>
                <w:sz w:val="20"/>
              </w:rPr>
              <w:t xml:space="preserve">0.75 </w:t>
            </w:r>
            <w:r>
              <w:rPr>
                <w:sz w:val="20"/>
              </w:rPr>
              <w:t>kg</w:t>
            </w:r>
            <w:r w:rsidRPr="00EC556A">
              <w:rPr>
                <w:sz w:val="20"/>
              </w:rPr>
              <w:t xml:space="preserve"> (gun) </w:t>
            </w:r>
          </w:p>
        </w:tc>
      </w:tr>
      <w:tr w:rsidR="00CC1C95" w:rsidRPr="00B600A2">
        <w:trPr>
          <w:trHeight w:val="394"/>
        </w:trPr>
        <w:tc>
          <w:tcPr>
            <w:tcW w:w="1469" w:type="dxa"/>
            <w:shd w:val="pct20" w:color="FFFF00" w:fill="FFFFFF"/>
          </w:tcPr>
          <w:p w:rsidR="00CC1C95" w:rsidRPr="00EC556A" w:rsidRDefault="00CC1C95" w:rsidP="00EE0DB2">
            <w:pPr>
              <w:rPr>
                <w:sz w:val="20"/>
              </w:rPr>
            </w:pPr>
            <w:r w:rsidRPr="00EC556A">
              <w:rPr>
                <w:sz w:val="20"/>
              </w:rPr>
              <w:t xml:space="preserve">Portability </w:t>
            </w:r>
          </w:p>
        </w:tc>
        <w:tc>
          <w:tcPr>
            <w:tcW w:w="3999" w:type="dxa"/>
            <w:shd w:val="pct20" w:color="FFFF00" w:fill="FFFFFF"/>
          </w:tcPr>
          <w:p w:rsidR="00CC1C95" w:rsidRPr="00EC556A" w:rsidRDefault="00CC1C95" w:rsidP="00AA1595">
            <w:pPr>
              <w:rPr>
                <w:sz w:val="20"/>
              </w:rPr>
            </w:pPr>
            <w:r w:rsidRPr="00EC556A">
              <w:rPr>
                <w:sz w:val="20"/>
              </w:rPr>
              <w:t xml:space="preserve">Excellent – battery powered, no cables </w:t>
            </w:r>
          </w:p>
        </w:tc>
        <w:tc>
          <w:tcPr>
            <w:tcW w:w="3611" w:type="dxa"/>
            <w:shd w:val="pct20" w:color="FFFF00" w:fill="FFFFFF"/>
          </w:tcPr>
          <w:p w:rsidR="00CC1C95" w:rsidRPr="00EC556A" w:rsidRDefault="00CC1C95" w:rsidP="00EE0DB2">
            <w:pPr>
              <w:rPr>
                <w:sz w:val="20"/>
              </w:rPr>
            </w:pPr>
            <w:r w:rsidRPr="00EC556A">
              <w:rPr>
                <w:sz w:val="20"/>
              </w:rPr>
              <w:t xml:space="preserve">Reasonable – light to carry, but needs mains power. </w:t>
            </w:r>
          </w:p>
        </w:tc>
      </w:tr>
      <w:tr w:rsidR="00CC1C95" w:rsidRPr="00B600A2">
        <w:trPr>
          <w:trHeight w:val="197"/>
        </w:trPr>
        <w:tc>
          <w:tcPr>
            <w:tcW w:w="1469" w:type="dxa"/>
            <w:shd w:val="pct20" w:color="FFFF00" w:fill="FFFFFF"/>
          </w:tcPr>
          <w:p w:rsidR="00CC1C95" w:rsidRPr="00EC556A" w:rsidRDefault="00CC1C95" w:rsidP="00EE0DB2">
            <w:pPr>
              <w:rPr>
                <w:sz w:val="20"/>
              </w:rPr>
            </w:pPr>
            <w:r w:rsidRPr="00EC556A">
              <w:rPr>
                <w:sz w:val="20"/>
              </w:rPr>
              <w:t xml:space="preserve">Ruggedness </w:t>
            </w:r>
          </w:p>
        </w:tc>
        <w:tc>
          <w:tcPr>
            <w:tcW w:w="3999" w:type="dxa"/>
            <w:shd w:val="pct20" w:color="FFFF00" w:fill="FFFFFF"/>
          </w:tcPr>
          <w:p w:rsidR="00CC1C95" w:rsidRPr="00EC556A" w:rsidRDefault="00CC1C95" w:rsidP="00EE0DB2">
            <w:pPr>
              <w:rPr>
                <w:sz w:val="20"/>
              </w:rPr>
            </w:pPr>
            <w:r w:rsidRPr="00EC556A">
              <w:rPr>
                <w:sz w:val="20"/>
              </w:rPr>
              <w:t xml:space="preserve">Excellent – built for on-site use in scrap-yards </w:t>
            </w:r>
          </w:p>
        </w:tc>
        <w:tc>
          <w:tcPr>
            <w:tcW w:w="3611" w:type="dxa"/>
            <w:shd w:val="pct20" w:color="FFFF00" w:fill="FFFFFF"/>
          </w:tcPr>
          <w:p w:rsidR="00CC1C95" w:rsidRPr="00EC556A" w:rsidRDefault="00CC1C95" w:rsidP="00EE0DB2">
            <w:pPr>
              <w:rPr>
                <w:sz w:val="20"/>
              </w:rPr>
            </w:pPr>
            <w:r w:rsidRPr="00EC556A">
              <w:rPr>
                <w:sz w:val="20"/>
              </w:rPr>
              <w:t xml:space="preserve">Good – but care needed for fibre optic cable </w:t>
            </w:r>
          </w:p>
        </w:tc>
      </w:tr>
      <w:tr w:rsidR="00CC1C95" w:rsidRPr="00EC556A">
        <w:trPr>
          <w:trHeight w:val="197"/>
        </w:trPr>
        <w:tc>
          <w:tcPr>
            <w:tcW w:w="1469" w:type="dxa"/>
            <w:shd w:val="pct20" w:color="FFFF00" w:fill="FFFFFF"/>
          </w:tcPr>
          <w:p w:rsidR="00CC1C95" w:rsidRPr="00EC556A" w:rsidRDefault="00CC1C95" w:rsidP="000D35C8">
            <w:pPr>
              <w:jc w:val="left"/>
              <w:rPr>
                <w:sz w:val="20"/>
              </w:rPr>
            </w:pPr>
            <w:r w:rsidRPr="00EC556A">
              <w:rPr>
                <w:sz w:val="20"/>
              </w:rPr>
              <w:t xml:space="preserve">Start-up speed </w:t>
            </w:r>
          </w:p>
        </w:tc>
        <w:tc>
          <w:tcPr>
            <w:tcW w:w="3999" w:type="dxa"/>
            <w:shd w:val="pct20" w:color="FFFF00" w:fill="FFFFFF"/>
          </w:tcPr>
          <w:p w:rsidR="00CC1C95" w:rsidRPr="00EC556A" w:rsidRDefault="00CC1C95" w:rsidP="00EE0DB2">
            <w:pPr>
              <w:rPr>
                <w:sz w:val="20"/>
              </w:rPr>
            </w:pPr>
            <w:r w:rsidRPr="00EC556A">
              <w:rPr>
                <w:sz w:val="20"/>
              </w:rPr>
              <w:t>OK – 2-3 min</w:t>
            </w:r>
            <w:r w:rsidR="00AA1595">
              <w:rPr>
                <w:sz w:val="20"/>
              </w:rPr>
              <w:t>’</w:t>
            </w:r>
            <w:r w:rsidRPr="00EC556A">
              <w:rPr>
                <w:sz w:val="20"/>
              </w:rPr>
              <w:t xml:space="preserve">s </w:t>
            </w:r>
          </w:p>
        </w:tc>
        <w:tc>
          <w:tcPr>
            <w:tcW w:w="3611" w:type="dxa"/>
            <w:shd w:val="pct20" w:color="FFFF00" w:fill="FFFFFF"/>
          </w:tcPr>
          <w:p w:rsidR="00CC1C95" w:rsidRPr="00EC556A" w:rsidRDefault="00CC1C95" w:rsidP="00EE0DB2">
            <w:pPr>
              <w:rPr>
                <w:sz w:val="20"/>
              </w:rPr>
            </w:pPr>
            <w:r w:rsidRPr="00EC556A">
              <w:rPr>
                <w:sz w:val="20"/>
              </w:rPr>
              <w:t xml:space="preserve">Fast - &lt; 1min </w:t>
            </w:r>
          </w:p>
        </w:tc>
      </w:tr>
      <w:tr w:rsidR="00CC1C95" w:rsidRPr="00EC556A">
        <w:trPr>
          <w:trHeight w:val="197"/>
        </w:trPr>
        <w:tc>
          <w:tcPr>
            <w:tcW w:w="1469" w:type="dxa"/>
            <w:shd w:val="pct20" w:color="FFFF00" w:fill="FFFFFF"/>
          </w:tcPr>
          <w:p w:rsidR="00CC1C95" w:rsidRPr="00EC556A" w:rsidRDefault="00CC1C95" w:rsidP="000D35C8">
            <w:pPr>
              <w:jc w:val="left"/>
              <w:rPr>
                <w:sz w:val="20"/>
              </w:rPr>
            </w:pPr>
            <w:r w:rsidRPr="00EC556A">
              <w:rPr>
                <w:sz w:val="20"/>
              </w:rPr>
              <w:t xml:space="preserve">Operator manual </w:t>
            </w:r>
          </w:p>
        </w:tc>
        <w:tc>
          <w:tcPr>
            <w:tcW w:w="3999" w:type="dxa"/>
            <w:shd w:val="pct20" w:color="FFFF00" w:fill="FFFFFF"/>
          </w:tcPr>
          <w:p w:rsidR="00CC1C95" w:rsidRPr="00EC556A" w:rsidRDefault="00CC1C95" w:rsidP="00EE0DB2">
            <w:pPr>
              <w:rPr>
                <w:sz w:val="20"/>
              </w:rPr>
            </w:pPr>
            <w:r w:rsidRPr="00EC556A">
              <w:rPr>
                <w:sz w:val="20"/>
              </w:rPr>
              <w:t xml:space="preserve">Good </w:t>
            </w:r>
          </w:p>
        </w:tc>
        <w:tc>
          <w:tcPr>
            <w:tcW w:w="3611" w:type="dxa"/>
            <w:shd w:val="pct20" w:color="FFFF00" w:fill="FFFFFF"/>
          </w:tcPr>
          <w:p w:rsidR="00CC1C95" w:rsidRPr="00EC556A" w:rsidRDefault="00CC1C95" w:rsidP="00EE0DB2">
            <w:pPr>
              <w:rPr>
                <w:sz w:val="20"/>
              </w:rPr>
            </w:pPr>
            <w:r w:rsidRPr="00EC556A">
              <w:rPr>
                <w:sz w:val="20"/>
              </w:rPr>
              <w:t xml:space="preserve">Very good </w:t>
            </w:r>
          </w:p>
        </w:tc>
      </w:tr>
      <w:tr w:rsidR="00CC1C95" w:rsidRPr="00B600A2">
        <w:trPr>
          <w:trHeight w:val="197"/>
        </w:trPr>
        <w:tc>
          <w:tcPr>
            <w:tcW w:w="1469" w:type="dxa"/>
            <w:tcBorders>
              <w:top w:val="nil"/>
              <w:left w:val="nil"/>
              <w:bottom w:val="nil"/>
              <w:right w:val="nil"/>
            </w:tcBorders>
            <w:shd w:val="pct20" w:color="FFFF00" w:fill="FFFFFF"/>
          </w:tcPr>
          <w:p w:rsidR="00CC1C95" w:rsidRPr="00EC556A" w:rsidRDefault="00CC1C95" w:rsidP="000D35C8">
            <w:pPr>
              <w:jc w:val="left"/>
              <w:rPr>
                <w:sz w:val="20"/>
              </w:rPr>
            </w:pPr>
            <w:r w:rsidRPr="00EC556A">
              <w:rPr>
                <w:sz w:val="20"/>
              </w:rPr>
              <w:t xml:space="preserve">Ergonomics </w:t>
            </w:r>
          </w:p>
        </w:tc>
        <w:tc>
          <w:tcPr>
            <w:tcW w:w="3999" w:type="dxa"/>
            <w:tcBorders>
              <w:top w:val="nil"/>
              <w:left w:val="nil"/>
              <w:bottom w:val="nil"/>
              <w:right w:val="nil"/>
            </w:tcBorders>
            <w:shd w:val="pct20" w:color="FFFF00" w:fill="FFFFFF"/>
          </w:tcPr>
          <w:p w:rsidR="00CC1C95" w:rsidRPr="00EC556A" w:rsidRDefault="00CC1C95" w:rsidP="00EE0DB2">
            <w:pPr>
              <w:rPr>
                <w:sz w:val="20"/>
              </w:rPr>
            </w:pPr>
            <w:r w:rsidRPr="00EC556A">
              <w:rPr>
                <w:sz w:val="20"/>
              </w:rPr>
              <w:t>Easy – but careful to point away from user</w:t>
            </w:r>
          </w:p>
        </w:tc>
        <w:tc>
          <w:tcPr>
            <w:tcW w:w="3611" w:type="dxa"/>
            <w:tcBorders>
              <w:top w:val="nil"/>
              <w:left w:val="nil"/>
              <w:bottom w:val="nil"/>
              <w:right w:val="nil"/>
            </w:tcBorders>
            <w:shd w:val="pct20" w:color="FFFF00" w:fill="FFFFFF"/>
          </w:tcPr>
          <w:p w:rsidR="00CC1C95" w:rsidRPr="00EC556A" w:rsidRDefault="00CC1C95" w:rsidP="00EE0DB2">
            <w:pPr>
              <w:rPr>
                <w:sz w:val="20"/>
              </w:rPr>
            </w:pPr>
            <w:r w:rsidRPr="00EC556A">
              <w:rPr>
                <w:sz w:val="20"/>
              </w:rPr>
              <w:t xml:space="preserve">Easy – but low flex cable to gun </w:t>
            </w:r>
          </w:p>
        </w:tc>
      </w:tr>
      <w:tr w:rsidR="00CC1C95" w:rsidRPr="00B600A2">
        <w:trPr>
          <w:trHeight w:val="197"/>
        </w:trPr>
        <w:tc>
          <w:tcPr>
            <w:tcW w:w="1469" w:type="dxa"/>
            <w:tcBorders>
              <w:top w:val="nil"/>
              <w:left w:val="nil"/>
              <w:bottom w:val="nil"/>
              <w:right w:val="nil"/>
            </w:tcBorders>
            <w:shd w:val="pct20" w:color="FFFF00" w:fill="FFFFFF"/>
          </w:tcPr>
          <w:p w:rsidR="00CC1C95" w:rsidRPr="00EC556A" w:rsidRDefault="00CC1C95" w:rsidP="000D35C8">
            <w:pPr>
              <w:jc w:val="left"/>
              <w:rPr>
                <w:sz w:val="20"/>
              </w:rPr>
            </w:pPr>
            <w:r w:rsidRPr="00EC556A">
              <w:rPr>
                <w:sz w:val="20"/>
              </w:rPr>
              <w:t xml:space="preserve">Sample presentation &amp; speed </w:t>
            </w:r>
          </w:p>
        </w:tc>
        <w:tc>
          <w:tcPr>
            <w:tcW w:w="3999" w:type="dxa"/>
            <w:tcBorders>
              <w:top w:val="nil"/>
              <w:left w:val="nil"/>
              <w:bottom w:val="nil"/>
              <w:right w:val="nil"/>
            </w:tcBorders>
            <w:shd w:val="pct20" w:color="FFFF00" w:fill="FFFFFF"/>
          </w:tcPr>
          <w:p w:rsidR="00CC1C95" w:rsidRPr="00EC556A" w:rsidRDefault="00CC1C95" w:rsidP="00EE0DB2">
            <w:pPr>
              <w:rPr>
                <w:sz w:val="20"/>
              </w:rPr>
            </w:pPr>
            <w:r w:rsidRPr="00EC556A">
              <w:rPr>
                <w:sz w:val="20"/>
              </w:rPr>
              <w:t xml:space="preserve">Easy – hold gun on sample for 15 – 30 seconds </w:t>
            </w:r>
          </w:p>
        </w:tc>
        <w:tc>
          <w:tcPr>
            <w:tcW w:w="3611" w:type="dxa"/>
            <w:tcBorders>
              <w:top w:val="nil"/>
              <w:left w:val="nil"/>
              <w:bottom w:val="nil"/>
              <w:right w:val="nil"/>
            </w:tcBorders>
            <w:shd w:val="pct20" w:color="FFFF00" w:fill="FFFFFF"/>
          </w:tcPr>
          <w:p w:rsidR="00CC1C95" w:rsidRPr="00EC556A" w:rsidRDefault="00CC1C95" w:rsidP="00EE0DB2">
            <w:pPr>
              <w:rPr>
                <w:sz w:val="20"/>
              </w:rPr>
            </w:pPr>
            <w:r w:rsidRPr="00EC556A">
              <w:rPr>
                <w:sz w:val="20"/>
              </w:rPr>
              <w:t xml:space="preserve">Very easy – 1 second to ‘fire’ spark </w:t>
            </w:r>
          </w:p>
        </w:tc>
      </w:tr>
      <w:tr w:rsidR="00CC1C95" w:rsidRPr="00EC556A">
        <w:trPr>
          <w:trHeight w:val="197"/>
        </w:trPr>
        <w:tc>
          <w:tcPr>
            <w:tcW w:w="1469" w:type="dxa"/>
            <w:tcBorders>
              <w:top w:val="nil"/>
              <w:left w:val="nil"/>
              <w:bottom w:val="nil"/>
              <w:right w:val="nil"/>
            </w:tcBorders>
            <w:shd w:val="pct20" w:color="FFFF00" w:fill="FFFFFF"/>
          </w:tcPr>
          <w:p w:rsidR="00CC1C95" w:rsidRPr="00EC556A" w:rsidRDefault="00CC1C95" w:rsidP="000D35C8">
            <w:pPr>
              <w:jc w:val="left"/>
              <w:rPr>
                <w:sz w:val="20"/>
              </w:rPr>
            </w:pPr>
            <w:r w:rsidRPr="00EC556A">
              <w:rPr>
                <w:sz w:val="20"/>
              </w:rPr>
              <w:t xml:space="preserve">Read-out </w:t>
            </w:r>
          </w:p>
        </w:tc>
        <w:tc>
          <w:tcPr>
            <w:tcW w:w="3999" w:type="dxa"/>
            <w:tcBorders>
              <w:top w:val="nil"/>
              <w:left w:val="nil"/>
              <w:bottom w:val="nil"/>
              <w:right w:val="nil"/>
            </w:tcBorders>
            <w:shd w:val="pct20" w:color="FFFF00" w:fill="FFFFFF"/>
          </w:tcPr>
          <w:p w:rsidR="00CC1C95" w:rsidRPr="00EC556A" w:rsidRDefault="00CC1C95" w:rsidP="00EE0DB2">
            <w:pPr>
              <w:rPr>
                <w:sz w:val="20"/>
              </w:rPr>
            </w:pPr>
            <w:r w:rsidRPr="00EC556A">
              <w:rPr>
                <w:sz w:val="20"/>
              </w:rPr>
              <w:t xml:space="preserve">OK – need to interpret ppm numbers on screen </w:t>
            </w:r>
          </w:p>
        </w:tc>
        <w:tc>
          <w:tcPr>
            <w:tcW w:w="3611" w:type="dxa"/>
            <w:tcBorders>
              <w:top w:val="nil"/>
              <w:left w:val="nil"/>
              <w:bottom w:val="nil"/>
              <w:right w:val="nil"/>
            </w:tcBorders>
            <w:shd w:val="pct20" w:color="FFFF00" w:fill="FFFFFF"/>
          </w:tcPr>
          <w:p w:rsidR="00CC1C95" w:rsidRPr="00EC556A" w:rsidRDefault="00CC1C95" w:rsidP="00EE0DB2">
            <w:pPr>
              <w:rPr>
                <w:sz w:val="20"/>
              </w:rPr>
            </w:pPr>
            <w:r w:rsidRPr="00EC556A">
              <w:rPr>
                <w:sz w:val="20"/>
              </w:rPr>
              <w:t xml:space="preserve">Simple &amp; clear </w:t>
            </w:r>
          </w:p>
        </w:tc>
      </w:tr>
      <w:tr w:rsidR="00CC1C95" w:rsidRPr="00EC556A">
        <w:trPr>
          <w:trHeight w:val="197"/>
        </w:trPr>
        <w:tc>
          <w:tcPr>
            <w:tcW w:w="1469" w:type="dxa"/>
            <w:tcBorders>
              <w:top w:val="nil"/>
              <w:left w:val="nil"/>
              <w:bottom w:val="nil"/>
              <w:right w:val="nil"/>
            </w:tcBorders>
            <w:shd w:val="pct20" w:color="FFFF00" w:fill="FFFFFF"/>
          </w:tcPr>
          <w:p w:rsidR="00CC1C95" w:rsidRPr="00EC556A" w:rsidRDefault="00CC1C95" w:rsidP="000D35C8">
            <w:pPr>
              <w:jc w:val="left"/>
              <w:rPr>
                <w:sz w:val="20"/>
              </w:rPr>
            </w:pPr>
            <w:r w:rsidRPr="00EC556A">
              <w:rPr>
                <w:sz w:val="20"/>
              </w:rPr>
              <w:t xml:space="preserve">Adjustment </w:t>
            </w:r>
          </w:p>
        </w:tc>
        <w:tc>
          <w:tcPr>
            <w:tcW w:w="3999" w:type="dxa"/>
            <w:tcBorders>
              <w:top w:val="nil"/>
              <w:left w:val="nil"/>
              <w:bottom w:val="nil"/>
              <w:right w:val="nil"/>
            </w:tcBorders>
            <w:shd w:val="pct20" w:color="FFFF00" w:fill="FFFFFF"/>
          </w:tcPr>
          <w:p w:rsidR="00CC1C95" w:rsidRPr="00EC556A" w:rsidRDefault="00CC1C95" w:rsidP="00EE0DB2">
            <w:pPr>
              <w:rPr>
                <w:sz w:val="20"/>
              </w:rPr>
            </w:pPr>
            <w:r w:rsidRPr="00EC556A">
              <w:rPr>
                <w:sz w:val="20"/>
              </w:rPr>
              <w:t xml:space="preserve">Not a problem </w:t>
            </w:r>
          </w:p>
        </w:tc>
        <w:tc>
          <w:tcPr>
            <w:tcW w:w="3611" w:type="dxa"/>
            <w:tcBorders>
              <w:top w:val="nil"/>
              <w:left w:val="nil"/>
              <w:bottom w:val="nil"/>
              <w:right w:val="nil"/>
            </w:tcBorders>
            <w:shd w:val="pct20" w:color="FFFF00" w:fill="FFFFFF"/>
          </w:tcPr>
          <w:p w:rsidR="00CC1C95" w:rsidRPr="00EC556A" w:rsidRDefault="00CC1C95" w:rsidP="00AA1595">
            <w:pPr>
              <w:rPr>
                <w:sz w:val="20"/>
              </w:rPr>
            </w:pPr>
            <w:r w:rsidRPr="00EC556A">
              <w:rPr>
                <w:sz w:val="20"/>
              </w:rPr>
              <w:t xml:space="preserve">Easy to adjust base level reading to remove noise. Simple sensor cleaning method </w:t>
            </w:r>
          </w:p>
        </w:tc>
      </w:tr>
      <w:tr w:rsidR="00CC1C95" w:rsidRPr="00B600A2">
        <w:trPr>
          <w:trHeight w:val="197"/>
        </w:trPr>
        <w:tc>
          <w:tcPr>
            <w:tcW w:w="1469" w:type="dxa"/>
            <w:tcBorders>
              <w:top w:val="nil"/>
              <w:left w:val="nil"/>
              <w:bottom w:val="nil"/>
              <w:right w:val="nil"/>
            </w:tcBorders>
            <w:shd w:val="pct20" w:color="FFFF00" w:fill="FFFFFF"/>
          </w:tcPr>
          <w:p w:rsidR="00CC1C95" w:rsidRPr="00EC556A" w:rsidRDefault="00CC1C95" w:rsidP="000D35C8">
            <w:pPr>
              <w:jc w:val="left"/>
              <w:rPr>
                <w:sz w:val="20"/>
              </w:rPr>
            </w:pPr>
            <w:r w:rsidRPr="00EC556A">
              <w:rPr>
                <w:sz w:val="20"/>
              </w:rPr>
              <w:t xml:space="preserve">Sample preparation </w:t>
            </w:r>
          </w:p>
        </w:tc>
        <w:tc>
          <w:tcPr>
            <w:tcW w:w="3999" w:type="dxa"/>
            <w:tcBorders>
              <w:top w:val="nil"/>
              <w:left w:val="nil"/>
              <w:bottom w:val="nil"/>
              <w:right w:val="nil"/>
            </w:tcBorders>
            <w:shd w:val="pct20" w:color="FFFF00" w:fill="FFFFFF"/>
          </w:tcPr>
          <w:p w:rsidR="00CC1C95" w:rsidRPr="00EC556A" w:rsidRDefault="00CC1C95" w:rsidP="00EE0DB2">
            <w:pPr>
              <w:rPr>
                <w:sz w:val="20"/>
              </w:rPr>
            </w:pPr>
            <w:r w:rsidRPr="00EC556A">
              <w:rPr>
                <w:sz w:val="20"/>
              </w:rPr>
              <w:t>Thicker samples better (&gt; 5</w:t>
            </w:r>
            <w:r>
              <w:rPr>
                <w:sz w:val="20"/>
              </w:rPr>
              <w:t xml:space="preserve"> </w:t>
            </w:r>
            <w:r w:rsidRPr="00EC556A">
              <w:rPr>
                <w:sz w:val="20"/>
              </w:rPr>
              <w:t>mm). Will detect surface contamination &amp; coatings. Good for granular plastics</w:t>
            </w:r>
          </w:p>
        </w:tc>
        <w:tc>
          <w:tcPr>
            <w:tcW w:w="3611" w:type="dxa"/>
            <w:tcBorders>
              <w:top w:val="nil"/>
              <w:left w:val="nil"/>
              <w:bottom w:val="nil"/>
              <w:right w:val="nil"/>
            </w:tcBorders>
            <w:shd w:val="pct20" w:color="FFFF00" w:fill="FFFFFF"/>
          </w:tcPr>
          <w:p w:rsidR="00CC1C95" w:rsidRPr="00EC556A" w:rsidRDefault="00CC1C95" w:rsidP="00EE0DB2">
            <w:pPr>
              <w:rPr>
                <w:sz w:val="20"/>
              </w:rPr>
            </w:pPr>
            <w:r w:rsidRPr="00EC556A">
              <w:rPr>
                <w:sz w:val="20"/>
              </w:rPr>
              <w:t>Clean surface required and flat area for good spark contact. Will detect dirt and coatings on surface</w:t>
            </w:r>
          </w:p>
        </w:tc>
      </w:tr>
      <w:tr w:rsidR="00CC1C95" w:rsidRPr="00B600A2">
        <w:trPr>
          <w:trHeight w:val="197"/>
        </w:trPr>
        <w:tc>
          <w:tcPr>
            <w:tcW w:w="1469" w:type="dxa"/>
            <w:tcBorders>
              <w:top w:val="nil"/>
              <w:left w:val="nil"/>
              <w:bottom w:val="nil"/>
              <w:right w:val="nil"/>
            </w:tcBorders>
            <w:shd w:val="pct20" w:color="FFFF00" w:fill="FFFFFF"/>
          </w:tcPr>
          <w:p w:rsidR="00CC1C95" w:rsidRPr="00EC556A" w:rsidRDefault="00CC1C95" w:rsidP="000D35C8">
            <w:pPr>
              <w:jc w:val="left"/>
              <w:rPr>
                <w:sz w:val="20"/>
              </w:rPr>
            </w:pPr>
            <w:r w:rsidRPr="00EC556A">
              <w:rPr>
                <w:sz w:val="20"/>
              </w:rPr>
              <w:t xml:space="preserve">Accuracy </w:t>
            </w:r>
          </w:p>
        </w:tc>
        <w:tc>
          <w:tcPr>
            <w:tcW w:w="3999" w:type="dxa"/>
            <w:tcBorders>
              <w:top w:val="nil"/>
              <w:left w:val="nil"/>
              <w:bottom w:val="nil"/>
              <w:right w:val="nil"/>
            </w:tcBorders>
            <w:shd w:val="pct20" w:color="FFFF00" w:fill="FFFFFF"/>
          </w:tcPr>
          <w:p w:rsidR="00CC1C95" w:rsidRPr="00EC556A" w:rsidRDefault="00CC1C95" w:rsidP="00EE0DB2">
            <w:pPr>
              <w:rPr>
                <w:sz w:val="20"/>
              </w:rPr>
            </w:pPr>
            <w:r w:rsidRPr="00EC556A">
              <w:rPr>
                <w:sz w:val="20"/>
              </w:rPr>
              <w:t>Very good – ppm levels of elements</w:t>
            </w:r>
          </w:p>
        </w:tc>
        <w:tc>
          <w:tcPr>
            <w:tcW w:w="3611" w:type="dxa"/>
            <w:tcBorders>
              <w:top w:val="nil"/>
              <w:left w:val="nil"/>
              <w:bottom w:val="nil"/>
              <w:right w:val="nil"/>
            </w:tcBorders>
            <w:shd w:val="pct20" w:color="FFFF00" w:fill="FFFFFF"/>
          </w:tcPr>
          <w:p w:rsidR="00CC1C95" w:rsidRPr="00EC556A" w:rsidRDefault="00CC1C95" w:rsidP="00EE0DB2">
            <w:pPr>
              <w:rPr>
                <w:sz w:val="20"/>
              </w:rPr>
            </w:pPr>
            <w:r w:rsidRPr="00EC556A">
              <w:rPr>
                <w:sz w:val="20"/>
              </w:rPr>
              <w:t xml:space="preserve">Sufficient – to nearest 1% on Br/Cl concentration. </w:t>
            </w:r>
          </w:p>
        </w:tc>
      </w:tr>
      <w:tr w:rsidR="00CC1C95" w:rsidRPr="00B600A2">
        <w:trPr>
          <w:trHeight w:val="197"/>
        </w:trPr>
        <w:tc>
          <w:tcPr>
            <w:tcW w:w="1469" w:type="dxa"/>
            <w:tcBorders>
              <w:top w:val="nil"/>
              <w:left w:val="nil"/>
              <w:bottom w:val="nil"/>
              <w:right w:val="nil"/>
            </w:tcBorders>
            <w:shd w:val="pct20" w:color="FFFF00" w:fill="FFFFFF"/>
          </w:tcPr>
          <w:p w:rsidR="00CC1C95" w:rsidRPr="00EC556A" w:rsidRDefault="00CC1C95" w:rsidP="000D35C8">
            <w:pPr>
              <w:jc w:val="left"/>
              <w:rPr>
                <w:sz w:val="20"/>
              </w:rPr>
            </w:pPr>
            <w:r w:rsidRPr="00EC556A">
              <w:rPr>
                <w:sz w:val="20"/>
              </w:rPr>
              <w:t xml:space="preserve">Repeatability </w:t>
            </w:r>
          </w:p>
        </w:tc>
        <w:tc>
          <w:tcPr>
            <w:tcW w:w="3999" w:type="dxa"/>
            <w:tcBorders>
              <w:top w:val="nil"/>
              <w:left w:val="nil"/>
              <w:bottom w:val="nil"/>
              <w:right w:val="nil"/>
            </w:tcBorders>
            <w:shd w:val="pct20" w:color="FFFF00" w:fill="FFFFFF"/>
          </w:tcPr>
          <w:p w:rsidR="00CC1C95" w:rsidRPr="00EC556A" w:rsidRDefault="00CC1C95" w:rsidP="00EE0DB2">
            <w:pPr>
              <w:rPr>
                <w:sz w:val="20"/>
              </w:rPr>
            </w:pPr>
            <w:r w:rsidRPr="00EC556A">
              <w:rPr>
                <w:sz w:val="20"/>
              </w:rPr>
              <w:t xml:space="preserve">Excellent </w:t>
            </w:r>
          </w:p>
        </w:tc>
        <w:tc>
          <w:tcPr>
            <w:tcW w:w="3611" w:type="dxa"/>
            <w:tcBorders>
              <w:top w:val="nil"/>
              <w:left w:val="nil"/>
              <w:bottom w:val="nil"/>
              <w:right w:val="nil"/>
            </w:tcBorders>
            <w:shd w:val="pct20" w:color="FFFF00" w:fill="FFFFFF"/>
          </w:tcPr>
          <w:p w:rsidR="00CC1C95" w:rsidRPr="00EC556A" w:rsidRDefault="00CC1C95" w:rsidP="00EE0DB2">
            <w:pPr>
              <w:rPr>
                <w:sz w:val="20"/>
              </w:rPr>
            </w:pPr>
            <w:r w:rsidRPr="00EC556A">
              <w:rPr>
                <w:sz w:val="20"/>
              </w:rPr>
              <w:t xml:space="preserve">Good – some noise around 0-1% level </w:t>
            </w:r>
          </w:p>
        </w:tc>
      </w:tr>
      <w:tr w:rsidR="00CC1C95" w:rsidRPr="00EC556A">
        <w:trPr>
          <w:trHeight w:val="197"/>
        </w:trPr>
        <w:tc>
          <w:tcPr>
            <w:tcW w:w="1469" w:type="dxa"/>
            <w:tcBorders>
              <w:top w:val="nil"/>
              <w:left w:val="nil"/>
              <w:bottom w:val="nil"/>
              <w:right w:val="nil"/>
            </w:tcBorders>
            <w:shd w:val="pct20" w:color="FFFF00" w:fill="FFFFFF"/>
          </w:tcPr>
          <w:p w:rsidR="00CC1C95" w:rsidRPr="00EC556A" w:rsidRDefault="00CC1C95" w:rsidP="000D35C8">
            <w:pPr>
              <w:jc w:val="left"/>
              <w:rPr>
                <w:sz w:val="20"/>
              </w:rPr>
            </w:pPr>
            <w:r w:rsidRPr="00EC556A">
              <w:rPr>
                <w:sz w:val="20"/>
              </w:rPr>
              <w:t>Reliability</w:t>
            </w:r>
          </w:p>
        </w:tc>
        <w:tc>
          <w:tcPr>
            <w:tcW w:w="3999" w:type="dxa"/>
            <w:tcBorders>
              <w:top w:val="nil"/>
              <w:left w:val="nil"/>
              <w:bottom w:val="nil"/>
              <w:right w:val="nil"/>
            </w:tcBorders>
            <w:shd w:val="pct20" w:color="FFFF00" w:fill="FFFFFF"/>
          </w:tcPr>
          <w:p w:rsidR="00CC1C95" w:rsidRPr="00EC556A" w:rsidRDefault="00CC1C95" w:rsidP="00EE0DB2">
            <w:pPr>
              <w:rPr>
                <w:sz w:val="20"/>
              </w:rPr>
            </w:pPr>
            <w:r w:rsidRPr="00EC556A">
              <w:rPr>
                <w:sz w:val="20"/>
              </w:rPr>
              <w:t xml:space="preserve">Very good </w:t>
            </w:r>
          </w:p>
        </w:tc>
        <w:tc>
          <w:tcPr>
            <w:tcW w:w="3611" w:type="dxa"/>
            <w:tcBorders>
              <w:top w:val="nil"/>
              <w:left w:val="nil"/>
              <w:bottom w:val="nil"/>
              <w:right w:val="nil"/>
            </w:tcBorders>
            <w:shd w:val="pct20" w:color="FFFF00" w:fill="FFFFFF"/>
          </w:tcPr>
          <w:p w:rsidR="00CC1C95" w:rsidRPr="00EC556A" w:rsidRDefault="00CC1C95" w:rsidP="00EE0DB2">
            <w:pPr>
              <w:rPr>
                <w:sz w:val="20"/>
              </w:rPr>
            </w:pPr>
            <w:r w:rsidRPr="00EC556A">
              <w:rPr>
                <w:sz w:val="20"/>
              </w:rPr>
              <w:t xml:space="preserve">Very good </w:t>
            </w:r>
          </w:p>
        </w:tc>
      </w:tr>
      <w:tr w:rsidR="00CC1C95" w:rsidRPr="00EC556A">
        <w:trPr>
          <w:trHeight w:val="197"/>
        </w:trPr>
        <w:tc>
          <w:tcPr>
            <w:tcW w:w="1469" w:type="dxa"/>
            <w:tcBorders>
              <w:top w:val="nil"/>
              <w:left w:val="nil"/>
              <w:bottom w:val="nil"/>
              <w:right w:val="nil"/>
            </w:tcBorders>
            <w:shd w:val="pct20" w:color="FFFF00" w:fill="FFFFFF"/>
          </w:tcPr>
          <w:p w:rsidR="00CC1C95" w:rsidRPr="00EC556A" w:rsidRDefault="00CC1C95" w:rsidP="000D35C8">
            <w:pPr>
              <w:jc w:val="left"/>
              <w:rPr>
                <w:sz w:val="20"/>
              </w:rPr>
            </w:pPr>
            <w:r w:rsidRPr="00EC556A">
              <w:rPr>
                <w:sz w:val="20"/>
              </w:rPr>
              <w:t>Speed</w:t>
            </w:r>
          </w:p>
        </w:tc>
        <w:tc>
          <w:tcPr>
            <w:tcW w:w="3999" w:type="dxa"/>
            <w:tcBorders>
              <w:top w:val="nil"/>
              <w:left w:val="nil"/>
              <w:bottom w:val="nil"/>
              <w:right w:val="nil"/>
            </w:tcBorders>
            <w:shd w:val="pct20" w:color="FFFF00" w:fill="FFFFFF"/>
          </w:tcPr>
          <w:p w:rsidR="00CC1C95" w:rsidRPr="00EC556A" w:rsidRDefault="00CC1C95" w:rsidP="00EE0DB2">
            <w:pPr>
              <w:rPr>
                <w:sz w:val="20"/>
              </w:rPr>
            </w:pPr>
            <w:r w:rsidRPr="00EC556A">
              <w:rPr>
                <w:sz w:val="20"/>
              </w:rPr>
              <w:t>5-30 seconds</w:t>
            </w:r>
          </w:p>
        </w:tc>
        <w:tc>
          <w:tcPr>
            <w:tcW w:w="3611" w:type="dxa"/>
            <w:tcBorders>
              <w:top w:val="nil"/>
              <w:left w:val="nil"/>
              <w:bottom w:val="nil"/>
              <w:right w:val="nil"/>
            </w:tcBorders>
            <w:shd w:val="pct20" w:color="FFFF00" w:fill="FFFFFF"/>
          </w:tcPr>
          <w:p w:rsidR="00CC1C95" w:rsidRPr="00EC556A" w:rsidRDefault="00CC1C95" w:rsidP="00EE0DB2">
            <w:pPr>
              <w:rPr>
                <w:sz w:val="20"/>
              </w:rPr>
            </w:pPr>
            <w:r w:rsidRPr="00EC556A">
              <w:rPr>
                <w:sz w:val="20"/>
              </w:rPr>
              <w:t xml:space="preserve">Fast – 1 second </w:t>
            </w:r>
          </w:p>
        </w:tc>
      </w:tr>
      <w:tr w:rsidR="00CC1C95" w:rsidRPr="00B600A2">
        <w:trPr>
          <w:trHeight w:val="197"/>
        </w:trPr>
        <w:tc>
          <w:tcPr>
            <w:tcW w:w="1469" w:type="dxa"/>
            <w:tcBorders>
              <w:top w:val="nil"/>
              <w:left w:val="nil"/>
              <w:bottom w:val="nil"/>
              <w:right w:val="nil"/>
            </w:tcBorders>
            <w:shd w:val="pct20" w:color="FFFF00" w:fill="FFFFFF"/>
          </w:tcPr>
          <w:p w:rsidR="00CC1C95" w:rsidRPr="00EC556A" w:rsidRDefault="00CC1C95" w:rsidP="000D35C8">
            <w:pPr>
              <w:jc w:val="left"/>
              <w:rPr>
                <w:sz w:val="20"/>
              </w:rPr>
            </w:pPr>
            <w:r w:rsidRPr="00EC556A">
              <w:rPr>
                <w:sz w:val="20"/>
              </w:rPr>
              <w:t>User confidence</w:t>
            </w:r>
          </w:p>
        </w:tc>
        <w:tc>
          <w:tcPr>
            <w:tcW w:w="3999" w:type="dxa"/>
            <w:tcBorders>
              <w:top w:val="nil"/>
              <w:left w:val="nil"/>
              <w:bottom w:val="nil"/>
              <w:right w:val="nil"/>
            </w:tcBorders>
            <w:shd w:val="pct20" w:color="FFFF00" w:fill="FFFFFF"/>
          </w:tcPr>
          <w:p w:rsidR="00CC1C95" w:rsidRPr="00EC556A" w:rsidRDefault="00CC1C95" w:rsidP="00EE0DB2">
            <w:pPr>
              <w:rPr>
                <w:sz w:val="20"/>
              </w:rPr>
            </w:pPr>
            <w:r w:rsidRPr="00EC556A">
              <w:rPr>
                <w:sz w:val="20"/>
              </w:rPr>
              <w:t xml:space="preserve">Good on primary elements, lower on chlorine. </w:t>
            </w:r>
          </w:p>
        </w:tc>
        <w:tc>
          <w:tcPr>
            <w:tcW w:w="3611" w:type="dxa"/>
            <w:tcBorders>
              <w:top w:val="nil"/>
              <w:left w:val="nil"/>
              <w:bottom w:val="nil"/>
              <w:right w:val="nil"/>
            </w:tcBorders>
            <w:shd w:val="pct20" w:color="FFFF00" w:fill="FFFFFF"/>
          </w:tcPr>
          <w:p w:rsidR="00CC1C95" w:rsidRPr="00EC556A" w:rsidRDefault="00CC1C95" w:rsidP="00EE0DB2">
            <w:pPr>
              <w:rPr>
                <w:sz w:val="20"/>
              </w:rPr>
            </w:pPr>
            <w:r w:rsidRPr="00EC556A">
              <w:rPr>
                <w:sz w:val="20"/>
              </w:rPr>
              <w:t xml:space="preserve">High – except </w:t>
            </w:r>
            <w:r w:rsidR="000D35C8">
              <w:rPr>
                <w:sz w:val="20"/>
              </w:rPr>
              <w:t>&lt;</w:t>
            </w:r>
            <w:r w:rsidRPr="00EC556A">
              <w:rPr>
                <w:sz w:val="20"/>
              </w:rPr>
              <w:t xml:space="preserve"> 1% concentration level. </w:t>
            </w:r>
          </w:p>
        </w:tc>
      </w:tr>
      <w:tr w:rsidR="00CC1C95" w:rsidRPr="00EC556A">
        <w:trPr>
          <w:trHeight w:val="197"/>
        </w:trPr>
        <w:tc>
          <w:tcPr>
            <w:tcW w:w="1469" w:type="dxa"/>
            <w:tcBorders>
              <w:top w:val="nil"/>
              <w:left w:val="nil"/>
              <w:bottom w:val="nil"/>
              <w:right w:val="nil"/>
            </w:tcBorders>
            <w:shd w:val="pct20" w:color="FFFF00" w:fill="FFFFFF"/>
          </w:tcPr>
          <w:p w:rsidR="00CC1C95" w:rsidRPr="00EC556A" w:rsidRDefault="00CC1C95" w:rsidP="000D35C8">
            <w:pPr>
              <w:jc w:val="left"/>
              <w:rPr>
                <w:sz w:val="20"/>
              </w:rPr>
            </w:pPr>
            <w:r w:rsidRPr="00EC556A">
              <w:rPr>
                <w:sz w:val="20"/>
              </w:rPr>
              <w:t>Price</w:t>
            </w:r>
          </w:p>
        </w:tc>
        <w:tc>
          <w:tcPr>
            <w:tcW w:w="3999" w:type="dxa"/>
            <w:tcBorders>
              <w:top w:val="nil"/>
              <w:left w:val="nil"/>
              <w:bottom w:val="nil"/>
              <w:right w:val="nil"/>
            </w:tcBorders>
            <w:shd w:val="pct20" w:color="FFFF00" w:fill="FFFFFF"/>
          </w:tcPr>
          <w:p w:rsidR="00CC1C95" w:rsidRPr="00EC556A" w:rsidRDefault="00CC1C95" w:rsidP="00CC6BB7">
            <w:pPr>
              <w:rPr>
                <w:sz w:val="20"/>
              </w:rPr>
            </w:pPr>
            <w:r w:rsidRPr="00EC556A">
              <w:rPr>
                <w:sz w:val="20"/>
              </w:rPr>
              <w:t xml:space="preserve">Approx. </w:t>
            </w:r>
            <w:r>
              <w:rPr>
                <w:sz w:val="20"/>
              </w:rPr>
              <w:t xml:space="preserve">USD </w:t>
            </w:r>
            <w:r w:rsidR="00462F4A">
              <w:rPr>
                <w:sz w:val="20"/>
              </w:rPr>
              <w:t>3</w:t>
            </w:r>
            <w:r w:rsidRPr="00EC556A">
              <w:rPr>
                <w:sz w:val="20"/>
              </w:rPr>
              <w:t>0000</w:t>
            </w:r>
            <w:r>
              <w:rPr>
                <w:sz w:val="20"/>
              </w:rPr>
              <w:t xml:space="preserve"> </w:t>
            </w:r>
            <w:r w:rsidRPr="00EC556A">
              <w:rPr>
                <w:sz w:val="20"/>
              </w:rPr>
              <w:t>-</w:t>
            </w:r>
            <w:r>
              <w:rPr>
                <w:sz w:val="20"/>
              </w:rPr>
              <w:t xml:space="preserve"> </w:t>
            </w:r>
            <w:r w:rsidRPr="00EC556A">
              <w:rPr>
                <w:sz w:val="20"/>
              </w:rPr>
              <w:t xml:space="preserve">50,000; cheaper </w:t>
            </w:r>
            <w:r w:rsidR="00462F4A">
              <w:rPr>
                <w:sz w:val="20"/>
              </w:rPr>
              <w:t>i</w:t>
            </w:r>
            <w:r w:rsidRPr="00EC556A">
              <w:rPr>
                <w:sz w:val="20"/>
              </w:rPr>
              <w:t xml:space="preserve">f </w:t>
            </w:r>
            <w:r w:rsidR="00462F4A">
              <w:rPr>
                <w:sz w:val="20"/>
              </w:rPr>
              <w:t xml:space="preserve">e.g. </w:t>
            </w:r>
            <w:r w:rsidRPr="00EC556A">
              <w:rPr>
                <w:sz w:val="20"/>
              </w:rPr>
              <w:t>only RoHS</w:t>
            </w:r>
            <w:r w:rsidR="00462F4A">
              <w:rPr>
                <w:sz w:val="20"/>
              </w:rPr>
              <w:t xml:space="preserve"> elements are tested </w:t>
            </w:r>
          </w:p>
        </w:tc>
        <w:tc>
          <w:tcPr>
            <w:tcW w:w="3611" w:type="dxa"/>
            <w:tcBorders>
              <w:top w:val="nil"/>
              <w:left w:val="nil"/>
              <w:bottom w:val="nil"/>
              <w:right w:val="nil"/>
            </w:tcBorders>
            <w:shd w:val="pct20" w:color="FFFF00" w:fill="FFFFFF"/>
          </w:tcPr>
          <w:p w:rsidR="00CC1C95" w:rsidRPr="00EC556A" w:rsidRDefault="00CC1C95" w:rsidP="00CC6BB7">
            <w:pPr>
              <w:rPr>
                <w:sz w:val="20"/>
              </w:rPr>
            </w:pPr>
            <w:r w:rsidRPr="00EC556A">
              <w:rPr>
                <w:sz w:val="20"/>
              </w:rPr>
              <w:t xml:space="preserve">Approx. </w:t>
            </w:r>
            <w:r>
              <w:rPr>
                <w:sz w:val="20"/>
              </w:rPr>
              <w:t xml:space="preserve">USD </w:t>
            </w:r>
            <w:r w:rsidRPr="00EC556A">
              <w:rPr>
                <w:sz w:val="20"/>
              </w:rPr>
              <w:t>6,000</w:t>
            </w:r>
          </w:p>
        </w:tc>
      </w:tr>
      <w:tr w:rsidR="00CC1C95" w:rsidRPr="00B600A2">
        <w:trPr>
          <w:trHeight w:val="197"/>
        </w:trPr>
        <w:tc>
          <w:tcPr>
            <w:tcW w:w="1469" w:type="dxa"/>
            <w:tcBorders>
              <w:top w:val="nil"/>
              <w:left w:val="nil"/>
              <w:bottom w:val="nil"/>
              <w:right w:val="nil"/>
            </w:tcBorders>
            <w:shd w:val="pct20" w:color="FFFF00" w:fill="FFFFFF"/>
          </w:tcPr>
          <w:p w:rsidR="00CC1C95" w:rsidRPr="00EC556A" w:rsidRDefault="00CC1C95" w:rsidP="000D35C8">
            <w:pPr>
              <w:jc w:val="left"/>
              <w:rPr>
                <w:sz w:val="20"/>
              </w:rPr>
            </w:pPr>
            <w:r w:rsidRPr="00EC556A">
              <w:rPr>
                <w:sz w:val="20"/>
              </w:rPr>
              <w:t xml:space="preserve">Operator skill level required </w:t>
            </w:r>
          </w:p>
        </w:tc>
        <w:tc>
          <w:tcPr>
            <w:tcW w:w="3999" w:type="dxa"/>
            <w:tcBorders>
              <w:top w:val="nil"/>
              <w:left w:val="nil"/>
              <w:bottom w:val="nil"/>
              <w:right w:val="nil"/>
            </w:tcBorders>
            <w:shd w:val="pct20" w:color="FFFF00" w:fill="FFFFFF"/>
          </w:tcPr>
          <w:p w:rsidR="00CC1C95" w:rsidRPr="00EC556A" w:rsidRDefault="00CC1C95" w:rsidP="00EE0DB2">
            <w:pPr>
              <w:rPr>
                <w:sz w:val="20"/>
              </w:rPr>
            </w:pPr>
            <w:r w:rsidRPr="00EC556A">
              <w:rPr>
                <w:sz w:val="20"/>
              </w:rPr>
              <w:t xml:space="preserve">Technical operator to interpret results </w:t>
            </w:r>
          </w:p>
        </w:tc>
        <w:tc>
          <w:tcPr>
            <w:tcW w:w="3611" w:type="dxa"/>
            <w:tcBorders>
              <w:top w:val="nil"/>
              <w:left w:val="nil"/>
              <w:bottom w:val="nil"/>
              <w:right w:val="nil"/>
            </w:tcBorders>
            <w:shd w:val="pct20" w:color="FFFF00" w:fill="FFFFFF"/>
          </w:tcPr>
          <w:p w:rsidR="00CC1C95" w:rsidRPr="00EC556A" w:rsidRDefault="00CC1C95" w:rsidP="00EE0DB2">
            <w:pPr>
              <w:rPr>
                <w:sz w:val="20"/>
              </w:rPr>
            </w:pPr>
            <w:r w:rsidRPr="00EC556A">
              <w:rPr>
                <w:sz w:val="20"/>
              </w:rPr>
              <w:t xml:space="preserve">Factory operator with basic training </w:t>
            </w:r>
          </w:p>
        </w:tc>
      </w:tr>
    </w:tbl>
    <w:p w:rsidR="00CC1C95" w:rsidRPr="00EC556A" w:rsidRDefault="00CC1C95" w:rsidP="00EE0DB2">
      <w:pPr>
        <w:ind w:left="720"/>
      </w:pPr>
    </w:p>
    <w:p w:rsidR="00CC1C95" w:rsidRPr="00EC556A" w:rsidRDefault="00CC1C95" w:rsidP="00EE0DB2">
      <w:pPr>
        <w:pStyle w:val="Heading3"/>
        <w:numPr>
          <w:ilvl w:val="2"/>
          <w:numId w:val="9"/>
        </w:numPr>
        <w:tabs>
          <w:tab w:val="num" w:pos="0"/>
        </w:tabs>
        <w:snapToGrid/>
        <w:spacing w:after="0" w:line="276" w:lineRule="auto"/>
        <w:ind w:left="0" w:firstLine="0"/>
        <w:jc w:val="both"/>
      </w:pPr>
      <w:bookmarkStart w:id="256" w:name="_Toc349335756"/>
      <w:r w:rsidRPr="00EC556A">
        <w:t xml:space="preserve">Screening of Bromine by </w:t>
      </w:r>
      <w:r w:rsidRPr="00EC556A">
        <w:rPr>
          <w:rFonts w:eastAsia="SimSun"/>
          <w:lang w:eastAsia="zh-CN"/>
        </w:rPr>
        <w:t>combustion-ion chromatography</w:t>
      </w:r>
      <w:bookmarkEnd w:id="256"/>
    </w:p>
    <w:p w:rsidR="00CC1C95" w:rsidRPr="00EC556A" w:rsidRDefault="00CC1C95" w:rsidP="00AA1595">
      <w:pPr>
        <w:autoSpaceDE w:val="0"/>
        <w:autoSpaceDN w:val="0"/>
        <w:adjustRightInd w:val="0"/>
        <w:ind w:firstLine="708"/>
        <w:rPr>
          <w:rFonts w:eastAsia="SimSun"/>
          <w:szCs w:val="24"/>
          <w:lang w:eastAsia="zh-CN"/>
        </w:rPr>
      </w:pPr>
      <w:r w:rsidRPr="00EC556A">
        <w:rPr>
          <w:rFonts w:eastAsia="SimSun"/>
          <w:szCs w:val="24"/>
          <w:lang w:eastAsia="zh-CN"/>
        </w:rPr>
        <w:t>IEC 62321-3-2 Ed.1 - Determination of certain substances in electrotechnical products has as Part 3-2</w:t>
      </w:r>
      <w:r w:rsidR="000D35C8">
        <w:rPr>
          <w:rFonts w:eastAsia="SimSun"/>
          <w:szCs w:val="24"/>
          <w:lang w:eastAsia="zh-CN"/>
        </w:rPr>
        <w:t xml:space="preserve"> t</w:t>
      </w:r>
      <w:r w:rsidRPr="00EC556A">
        <w:rPr>
          <w:rFonts w:eastAsia="SimSun"/>
          <w:szCs w:val="24"/>
          <w:lang w:eastAsia="zh-CN"/>
        </w:rPr>
        <w:t xml:space="preserve">he “Screening of total bromine in electric and electronic products by combustion-ion chromatography (C-IC)”. While this technology is not a mobile screening method it seems a reliable and useful method for the determination of bromine in polymers. </w:t>
      </w:r>
    </w:p>
    <w:p w:rsidR="00CC1C95" w:rsidRPr="00EC556A" w:rsidRDefault="00CC1C95" w:rsidP="00D8415D">
      <w:pPr>
        <w:autoSpaceDE w:val="0"/>
        <w:autoSpaceDN w:val="0"/>
        <w:adjustRightInd w:val="0"/>
        <w:rPr>
          <w:rFonts w:eastAsia="SimSun"/>
          <w:szCs w:val="24"/>
          <w:lang w:eastAsia="zh-CN"/>
        </w:rPr>
      </w:pPr>
      <w:r w:rsidRPr="00EC556A">
        <w:rPr>
          <w:rFonts w:eastAsia="SimSun"/>
          <w:szCs w:val="24"/>
          <w:lang w:eastAsia="zh-CN"/>
        </w:rPr>
        <w:t>The IEC 62321-3-2 standard is in the drafting stage and an official version is expected in 2013.</w:t>
      </w:r>
    </w:p>
    <w:p w:rsidR="00CC1C95" w:rsidRPr="00EC556A" w:rsidRDefault="00CC1C95" w:rsidP="00EE0DB2">
      <w:pPr>
        <w:pStyle w:val="Heading2"/>
        <w:numPr>
          <w:ilvl w:val="1"/>
          <w:numId w:val="9"/>
        </w:numPr>
        <w:tabs>
          <w:tab w:val="num" w:pos="993"/>
        </w:tabs>
        <w:snapToGrid/>
        <w:spacing w:after="0" w:line="276" w:lineRule="auto"/>
        <w:ind w:left="993" w:firstLine="0"/>
        <w:jc w:val="both"/>
        <w:rPr>
          <w:sz w:val="26"/>
          <w:szCs w:val="26"/>
        </w:rPr>
      </w:pPr>
      <w:bookmarkStart w:id="257" w:name="_Toc349335757"/>
      <w:r w:rsidRPr="00EC556A">
        <w:rPr>
          <w:b w:val="0"/>
          <w:sz w:val="26"/>
          <w:szCs w:val="26"/>
        </w:rPr>
        <w:t>Sample preparation, extraction and clean-up</w:t>
      </w:r>
      <w:bookmarkEnd w:id="257"/>
    </w:p>
    <w:p w:rsidR="00CC1C95" w:rsidRPr="00EC556A" w:rsidRDefault="00CC1C95" w:rsidP="00EE0DB2">
      <w:pPr>
        <w:ind w:firstLine="360"/>
      </w:pPr>
      <w:r w:rsidRPr="00EC556A">
        <w:t xml:space="preserve">Key matrices of PBDE in articles are (see POP-PBDE BAT/BEP Guidance): </w:t>
      </w:r>
    </w:p>
    <w:p w:rsidR="00CC1C95" w:rsidRPr="00EC556A" w:rsidRDefault="00CC1C95" w:rsidP="000C33DE">
      <w:pPr>
        <w:numPr>
          <w:ilvl w:val="0"/>
          <w:numId w:val="19"/>
        </w:numPr>
        <w:snapToGrid/>
        <w:spacing w:after="0" w:line="276" w:lineRule="auto"/>
      </w:pPr>
      <w:bookmarkStart w:id="258" w:name="_Toc308188242"/>
      <w:r w:rsidRPr="00EC556A">
        <w:t>Flame retarded plastic</w:t>
      </w:r>
      <w:bookmarkEnd w:id="258"/>
      <w:r w:rsidRPr="00EC556A">
        <w:t xml:space="preserve"> of electronics (e.g.</w:t>
      </w:r>
      <w:r w:rsidR="000D35C8">
        <w:t xml:space="preserve"> </w:t>
      </w:r>
      <w:r w:rsidRPr="00EC556A">
        <w:t>ABS, HIPS, PP)</w:t>
      </w:r>
    </w:p>
    <w:p w:rsidR="00CC1C95" w:rsidRPr="00EC556A" w:rsidRDefault="00CC1C95" w:rsidP="000C33DE">
      <w:pPr>
        <w:numPr>
          <w:ilvl w:val="0"/>
          <w:numId w:val="19"/>
        </w:numPr>
        <w:snapToGrid/>
        <w:spacing w:after="0" w:line="276" w:lineRule="auto"/>
      </w:pPr>
      <w:bookmarkStart w:id="259" w:name="_Toc308188243"/>
      <w:r w:rsidRPr="00EC556A">
        <w:t xml:space="preserve">Flexible polyurethane foam </w:t>
      </w:r>
      <w:bookmarkEnd w:id="259"/>
      <w:r w:rsidRPr="00EC556A">
        <w:t>(furniture, vehicle seating, mattresses), and rigid polyurethane foam (in construction)</w:t>
      </w:r>
    </w:p>
    <w:p w:rsidR="00CC1C95" w:rsidRPr="00EC556A" w:rsidRDefault="00CC1C95" w:rsidP="00EE0DB2">
      <w:pPr>
        <w:rPr>
          <w:highlight w:val="yellow"/>
        </w:rPr>
      </w:pPr>
      <w:r w:rsidRPr="00EC556A">
        <w:t>Other materials with less use were textiles, rubber or drilling oils.</w:t>
      </w:r>
    </w:p>
    <w:p w:rsidR="00CC1C95" w:rsidRPr="00EC556A" w:rsidRDefault="00CC1C95" w:rsidP="00EE0DB2">
      <w:pPr>
        <w:pStyle w:val="Heading3"/>
        <w:numPr>
          <w:ilvl w:val="2"/>
          <w:numId w:val="9"/>
        </w:numPr>
        <w:tabs>
          <w:tab w:val="num" w:pos="0"/>
        </w:tabs>
        <w:snapToGrid/>
        <w:spacing w:before="240" w:after="60" w:line="276" w:lineRule="auto"/>
        <w:ind w:left="0" w:firstLine="0"/>
        <w:jc w:val="both"/>
        <w:rPr>
          <w:rFonts w:eastAsia="Times-Roman"/>
        </w:rPr>
      </w:pPr>
      <w:bookmarkStart w:id="260" w:name="_Toc308188246"/>
      <w:bookmarkStart w:id="261" w:name="_Toc349335758"/>
      <w:r w:rsidRPr="00EC556A">
        <w:rPr>
          <w:rFonts w:eastAsia="Times-Roman"/>
        </w:rPr>
        <w:t>Preparation</w:t>
      </w:r>
      <w:bookmarkEnd w:id="260"/>
      <w:r w:rsidRPr="00EC556A">
        <w:rPr>
          <w:rFonts w:eastAsia="Times-Roman"/>
        </w:rPr>
        <w:t xml:space="preserve"> of plastic samples</w:t>
      </w:r>
      <w:bookmarkEnd w:id="261"/>
      <w:r w:rsidRPr="00EC556A">
        <w:rPr>
          <w:rFonts w:eastAsia="Times-Roman"/>
        </w:rPr>
        <w:t xml:space="preserve"> </w:t>
      </w:r>
    </w:p>
    <w:p w:rsidR="00CC1C95" w:rsidRPr="00EC556A" w:rsidRDefault="00CC1C95" w:rsidP="00EE0DB2">
      <w:pPr>
        <w:ind w:firstLine="708"/>
        <w:rPr>
          <w:rFonts w:eastAsia="Times-Roman"/>
        </w:rPr>
      </w:pPr>
      <w:r w:rsidRPr="00EC556A">
        <w:rPr>
          <w:rFonts w:eastAsia="Times-Roman"/>
        </w:rPr>
        <w:t xml:space="preserve">The most relevant matrix for monitoring POP-PBDE in articles </w:t>
      </w:r>
      <w:r w:rsidR="00AA1595">
        <w:rPr>
          <w:rFonts w:eastAsia="Times-Roman"/>
        </w:rPr>
        <w:t>is</w:t>
      </w:r>
      <w:r w:rsidR="00AA1595" w:rsidRPr="00EC556A">
        <w:rPr>
          <w:rFonts w:eastAsia="Times-Roman"/>
        </w:rPr>
        <w:t xml:space="preserve"> </w:t>
      </w:r>
      <w:r w:rsidRPr="00EC556A">
        <w:rPr>
          <w:rFonts w:eastAsia="Times-Roman"/>
        </w:rPr>
        <w:t xml:space="preserve">plastic samples with 90% of c-OctaBDE used in ABS. </w:t>
      </w:r>
    </w:p>
    <w:p w:rsidR="00CC1C95" w:rsidRPr="00EC556A" w:rsidRDefault="00CC1C95" w:rsidP="00EE0DB2">
      <w:pPr>
        <w:pStyle w:val="Heading4"/>
        <w:numPr>
          <w:ilvl w:val="3"/>
          <w:numId w:val="0"/>
        </w:numPr>
        <w:tabs>
          <w:tab w:val="num" w:pos="0"/>
        </w:tabs>
        <w:snapToGrid/>
        <w:spacing w:before="240" w:after="60" w:line="276" w:lineRule="auto"/>
        <w:jc w:val="both"/>
        <w:rPr>
          <w:rFonts w:eastAsia="Times-Roman"/>
        </w:rPr>
      </w:pPr>
      <w:r w:rsidRPr="00EC556A">
        <w:rPr>
          <w:rFonts w:eastAsia="Times-Roman"/>
          <w:i w:val="0"/>
        </w:rPr>
        <w:t>Preparation of single polymer samples</w:t>
      </w:r>
    </w:p>
    <w:p w:rsidR="00CC1C95" w:rsidRPr="00EC556A" w:rsidRDefault="00CC1C95" w:rsidP="00EE0DB2">
      <w:pPr>
        <w:ind w:firstLine="708"/>
        <w:rPr>
          <w:rFonts w:eastAsia="Times-Roman"/>
        </w:rPr>
      </w:pPr>
      <w:r w:rsidRPr="00EC556A">
        <w:rPr>
          <w:rFonts w:eastAsia="Times-Roman"/>
        </w:rPr>
        <w:t>In case of analysis of single polymer item (plastic from a computer, TV set or plastic toy) no further pre-treatment of the plastic is necessary, if for the extraction the below described dissolution/precipitation approach is chosen.</w:t>
      </w:r>
    </w:p>
    <w:p w:rsidR="00CC1C95" w:rsidRPr="00EC556A" w:rsidRDefault="00CC1C95" w:rsidP="00EE0DB2">
      <w:pPr>
        <w:rPr>
          <w:rFonts w:eastAsia="Times-Roman"/>
        </w:rPr>
      </w:pPr>
      <w:r w:rsidRPr="00EC556A">
        <w:rPr>
          <w:rFonts w:eastAsia="Times-Roman"/>
        </w:rPr>
        <w:t>For other extraction methods single items have to be ground by a suitable mill, preferably using liqu</w:t>
      </w:r>
      <w:r>
        <w:rPr>
          <w:rFonts w:eastAsia="Times-Roman"/>
        </w:rPr>
        <w:t>id nitrogen. Grinding methods c</w:t>
      </w:r>
      <w:r w:rsidRPr="00EC556A">
        <w:rPr>
          <w:rFonts w:eastAsia="Times-Roman"/>
        </w:rPr>
        <w:t>ould be evaluated for debromination of PBDE/BFRs and the formation potential of polybrominated dibenzofurans (PBDFs) from PBDE.</w:t>
      </w:r>
    </w:p>
    <w:p w:rsidR="00CC1C95" w:rsidRPr="00EC556A" w:rsidRDefault="00CC1C95" w:rsidP="00EE0DB2">
      <w:pPr>
        <w:pStyle w:val="Heading4"/>
        <w:numPr>
          <w:ilvl w:val="3"/>
          <w:numId w:val="0"/>
        </w:numPr>
        <w:tabs>
          <w:tab w:val="num" w:pos="0"/>
        </w:tabs>
        <w:snapToGrid/>
        <w:spacing w:before="240" w:after="60" w:line="276" w:lineRule="auto"/>
        <w:jc w:val="both"/>
        <w:rPr>
          <w:rFonts w:eastAsia="Times-Roman"/>
        </w:rPr>
      </w:pPr>
      <w:r w:rsidRPr="00EC556A">
        <w:rPr>
          <w:rFonts w:eastAsia="Times-Roman"/>
          <w:i w:val="0"/>
        </w:rPr>
        <w:t>Preparation of mixed polymer samples</w:t>
      </w:r>
    </w:p>
    <w:p w:rsidR="00CC1C95" w:rsidRDefault="00CC1C95" w:rsidP="00EE0DB2">
      <w:pPr>
        <w:ind w:firstLine="708"/>
        <w:rPr>
          <w:rFonts w:eastAsia="Times-Roman"/>
        </w:rPr>
      </w:pPr>
      <w:r w:rsidRPr="00EC556A">
        <w:rPr>
          <w:rFonts w:eastAsia="Times-Roman"/>
        </w:rPr>
        <w:t>In case the average PBDE/BFR content of a mixed WEEE plastics needs to be determined and a careful grinding and homogenisation processes is required to gain a laboratory sample suitable to reflect a bulk sample of several kg to tonnes. This process has to be performed stepwise (50 kg out of a tonne, 1 kg out of 50 kg, 50 g out of 1 kg, 1 g out of 50 g). With decreasing sample size, decreasing particle sizes are recommended, ending up with &lt; 500 µm for the final sample.</w:t>
      </w:r>
    </w:p>
    <w:p w:rsidR="00CC1C95" w:rsidRPr="00EC556A" w:rsidRDefault="00CC1C95" w:rsidP="00EE0DB2">
      <w:pPr>
        <w:rPr>
          <w:rFonts w:eastAsia="Times-Roman"/>
        </w:rPr>
      </w:pPr>
      <w:r w:rsidRPr="00EC556A">
        <w:rPr>
          <w:rFonts w:eastAsia="Times-Roman"/>
        </w:rPr>
        <w:t xml:space="preserve">Each grinding step should be performed with suitable mills and sieve sizes. The final particle size &lt; 500 µm is recommended for the subsequent solid liquid extraction. The smaller the particle size the more effective is the extraction, especially when polar extraction solvents are chosen, which do not dissolve for example polystyrene based polymers </w:t>
      </w:r>
      <w:r>
        <w:rPr>
          <w:rFonts w:eastAsia="Times-Roman"/>
        </w:rPr>
        <w:t>that</w:t>
      </w:r>
      <w:r w:rsidRPr="00EC556A">
        <w:rPr>
          <w:rFonts w:eastAsia="Times-Roman"/>
        </w:rPr>
        <w:t xml:space="preserve"> are frequently a major share in WEEE plastic fractions. </w:t>
      </w:r>
    </w:p>
    <w:p w:rsidR="00CC1C95" w:rsidRPr="00EC556A" w:rsidRDefault="00CC1C95" w:rsidP="00EE0DB2">
      <w:pPr>
        <w:pStyle w:val="Heading3"/>
        <w:numPr>
          <w:ilvl w:val="2"/>
          <w:numId w:val="9"/>
        </w:numPr>
        <w:tabs>
          <w:tab w:val="num" w:pos="0"/>
        </w:tabs>
        <w:snapToGrid/>
        <w:spacing w:before="240" w:after="60" w:line="276" w:lineRule="auto"/>
        <w:ind w:left="0" w:firstLine="0"/>
        <w:jc w:val="both"/>
        <w:rPr>
          <w:rFonts w:eastAsia="Times-Roman"/>
        </w:rPr>
      </w:pPr>
      <w:bookmarkStart w:id="262" w:name="_Toc308188247"/>
      <w:bookmarkStart w:id="263" w:name="_Toc349335759"/>
      <w:r w:rsidRPr="00EC556A">
        <w:rPr>
          <w:rFonts w:eastAsia="Times-Roman"/>
        </w:rPr>
        <w:t>Extraction</w:t>
      </w:r>
      <w:bookmarkEnd w:id="262"/>
      <w:r w:rsidRPr="00EC556A">
        <w:rPr>
          <w:rFonts w:eastAsia="Times-Roman"/>
        </w:rPr>
        <w:t xml:space="preserve"> of POP-PBDE and other BFRs from polymers</w:t>
      </w:r>
      <w:bookmarkEnd w:id="263"/>
      <w:r w:rsidRPr="00EC556A">
        <w:rPr>
          <w:rFonts w:eastAsia="Times-Roman"/>
        </w:rPr>
        <w:t xml:space="preserve"> </w:t>
      </w:r>
    </w:p>
    <w:p w:rsidR="00CC1C95" w:rsidRDefault="00CC1C95" w:rsidP="00EE0DB2">
      <w:pPr>
        <w:ind w:firstLine="708"/>
        <w:rPr>
          <w:color w:val="000000"/>
          <w:szCs w:val="24"/>
        </w:rPr>
      </w:pPr>
      <w:r w:rsidRPr="00EC556A">
        <w:rPr>
          <w:color w:val="000000"/>
          <w:szCs w:val="24"/>
        </w:rPr>
        <w:t xml:space="preserve">A reliable analysis of PBDE/BFRs in polymers necessitates an efficient sample extraction process of the additives from the matrix. </w:t>
      </w:r>
      <w:r w:rsidR="00215616" w:rsidRPr="00EC556A">
        <w:rPr>
          <w:color w:val="000000"/>
          <w:szCs w:val="24"/>
        </w:rPr>
        <w:t xml:space="preserve">Extraction is the term given to the process of isolating specific compounds from a bulk matrix. </w:t>
      </w:r>
      <w:r w:rsidRPr="00EC556A">
        <w:rPr>
          <w:color w:val="000000"/>
          <w:szCs w:val="24"/>
        </w:rPr>
        <w:t xml:space="preserve">For the determination of additive BFRs in polymeric materials, solvent extraction plays an important role in the overall procedure. </w:t>
      </w:r>
    </w:p>
    <w:p w:rsidR="00CC1C95" w:rsidRDefault="00CC1C95" w:rsidP="00EE0DB2">
      <w:pPr>
        <w:rPr>
          <w:color w:val="000000"/>
          <w:szCs w:val="24"/>
        </w:rPr>
      </w:pPr>
      <w:r w:rsidRPr="00EC556A">
        <w:rPr>
          <w:color w:val="000000"/>
          <w:szCs w:val="24"/>
        </w:rPr>
        <w:t xml:space="preserve">There are two main approaches for extracting PBDE/BFRs from polymers: A) solid-liquid extraction and B) dissolution/precipitation. The solid-liquid approach extracts PBDE and BFR from ground solid plastics and is applicable, when there is no or only a minor dissolution of solvent and polymer, since partly dissolved polymers contaminate the GC-MS system (if not completely removed in the clean-up). </w:t>
      </w:r>
    </w:p>
    <w:p w:rsidR="00CC1C95" w:rsidRPr="00EC556A" w:rsidRDefault="00CC1C95" w:rsidP="00D149D8">
      <w:pPr>
        <w:rPr>
          <w:color w:val="000000"/>
          <w:szCs w:val="24"/>
        </w:rPr>
      </w:pPr>
      <w:r w:rsidRPr="00EC556A">
        <w:rPr>
          <w:color w:val="000000"/>
          <w:szCs w:val="24"/>
        </w:rPr>
        <w:t>The dissolution/precipitation approach dissolves both, polymeric matrix and POP-PBDE/BFR and the dissolved polymer is removed in a second precipitation step (see below).</w:t>
      </w:r>
      <w:r w:rsidR="00D8415D">
        <w:rPr>
          <w:color w:val="000000"/>
          <w:szCs w:val="24"/>
        </w:rPr>
        <w:t xml:space="preserve">  Dissolution of plastics is described in further detail in Braun </w:t>
      </w:r>
      <w:r w:rsidR="00D149D8">
        <w:rPr>
          <w:color w:val="000000"/>
          <w:szCs w:val="24"/>
        </w:rPr>
        <w:t>(</w:t>
      </w:r>
      <w:r w:rsidR="00D8415D">
        <w:rPr>
          <w:color w:val="000000"/>
          <w:szCs w:val="24"/>
        </w:rPr>
        <w:t>1999</w:t>
      </w:r>
      <w:r w:rsidR="00D149D8">
        <w:rPr>
          <w:color w:val="000000"/>
          <w:szCs w:val="24"/>
        </w:rPr>
        <w:t>).</w:t>
      </w:r>
      <w:r w:rsidR="00D149D8">
        <w:rPr>
          <w:rStyle w:val="FootnoteReference"/>
          <w:color w:val="000000"/>
          <w:szCs w:val="24"/>
        </w:rPr>
        <w:footnoteReference w:id="33"/>
      </w:r>
    </w:p>
    <w:p w:rsidR="00CC1C95" w:rsidRPr="00EC556A" w:rsidRDefault="00CC1C95" w:rsidP="00EE0DB2">
      <w:pPr>
        <w:rPr>
          <w:color w:val="000000"/>
          <w:szCs w:val="24"/>
        </w:rPr>
      </w:pPr>
      <w:r w:rsidRPr="00EC556A">
        <w:rPr>
          <w:color w:val="000000"/>
          <w:szCs w:val="24"/>
        </w:rPr>
        <w:t xml:space="preserve">Since there is no unique solvent to dissolve all polymers in WEEE plastics, the solid-liquid approach is favourable for mixed WEEE plastic fractions, whereas the latter is suitable for polystyrene based WEEE fractions (a major fraction of WEEE plastics) or analysis of single housings of a specific electronic equipment.   </w:t>
      </w:r>
    </w:p>
    <w:p w:rsidR="00CC1C95" w:rsidRPr="00EC556A" w:rsidRDefault="00CC1C95" w:rsidP="00EE0DB2">
      <w:pPr>
        <w:pStyle w:val="Heading4"/>
        <w:numPr>
          <w:ilvl w:val="3"/>
          <w:numId w:val="0"/>
        </w:numPr>
        <w:tabs>
          <w:tab w:val="num" w:pos="0"/>
        </w:tabs>
        <w:snapToGrid/>
        <w:spacing w:before="240" w:after="60" w:line="276" w:lineRule="auto"/>
        <w:jc w:val="both"/>
      </w:pPr>
      <w:r w:rsidRPr="00EC556A">
        <w:rPr>
          <w:i w:val="0"/>
        </w:rPr>
        <w:t>Solid–liquid extraction</w:t>
      </w:r>
    </w:p>
    <w:p w:rsidR="00CC1C95" w:rsidRPr="00EC556A" w:rsidRDefault="00CC1C95" w:rsidP="00EE0DB2">
      <w:pPr>
        <w:ind w:firstLine="708"/>
        <w:rPr>
          <w:color w:val="000000"/>
          <w:szCs w:val="24"/>
        </w:rPr>
      </w:pPr>
      <w:r w:rsidRPr="00EC556A">
        <w:rPr>
          <w:color w:val="000000"/>
          <w:szCs w:val="24"/>
        </w:rPr>
        <w:t xml:space="preserve">Solid liquid extraction is the most commonly used method in trace analysis. The compounds of interest are isolated using a range of procedures, such as vigorous shaking, ultrasonication, </w:t>
      </w:r>
      <w:r w:rsidRPr="00EC556A">
        <w:rPr>
          <w:iCs/>
          <w:color w:val="000000"/>
          <w:szCs w:val="24"/>
        </w:rPr>
        <w:t xml:space="preserve">Soxhlet </w:t>
      </w:r>
      <w:r w:rsidRPr="00EC556A">
        <w:rPr>
          <w:color w:val="000000"/>
          <w:szCs w:val="24"/>
        </w:rPr>
        <w:t xml:space="preserve">extraction and microwave-assisted or </w:t>
      </w:r>
      <w:r w:rsidR="00D8415D">
        <w:rPr>
          <w:color w:val="000000"/>
          <w:szCs w:val="24"/>
        </w:rPr>
        <w:t>pressurized liquid</w:t>
      </w:r>
      <w:r w:rsidR="00D8415D" w:rsidRPr="00EC556A">
        <w:rPr>
          <w:color w:val="000000"/>
          <w:szCs w:val="24"/>
        </w:rPr>
        <w:t xml:space="preserve"> </w:t>
      </w:r>
      <w:r w:rsidRPr="00EC556A">
        <w:rPr>
          <w:color w:val="000000"/>
          <w:szCs w:val="24"/>
        </w:rPr>
        <w:t>extraction</w:t>
      </w:r>
      <w:r w:rsidR="00D8415D">
        <w:rPr>
          <w:color w:val="000000"/>
          <w:szCs w:val="24"/>
        </w:rPr>
        <w:t xml:space="preserve"> (PLE, e.g. </w:t>
      </w:r>
      <w:r w:rsidR="00D8415D" w:rsidRPr="00EC556A">
        <w:rPr>
          <w:color w:val="000000"/>
          <w:szCs w:val="24"/>
        </w:rPr>
        <w:t>accelerated</w:t>
      </w:r>
      <w:r w:rsidR="00D8415D">
        <w:rPr>
          <w:color w:val="000000"/>
          <w:szCs w:val="24"/>
        </w:rPr>
        <w:t xml:space="preserve"> solvent extraction)</w:t>
      </w:r>
      <w:r w:rsidRPr="00EC556A">
        <w:rPr>
          <w:color w:val="000000"/>
          <w:szCs w:val="24"/>
        </w:rPr>
        <w:t xml:space="preserve">. </w:t>
      </w:r>
      <w:r w:rsidR="00D8415D">
        <w:rPr>
          <w:color w:val="000000"/>
          <w:szCs w:val="24"/>
        </w:rPr>
        <w:t xml:space="preserve">Note, that light and </w:t>
      </w:r>
      <w:r w:rsidR="00D8415D" w:rsidRPr="00EC556A">
        <w:rPr>
          <w:color w:val="000000"/>
          <w:szCs w:val="24"/>
        </w:rPr>
        <w:t xml:space="preserve">elevated temperatures </w:t>
      </w:r>
      <w:r w:rsidR="00D8415D">
        <w:rPr>
          <w:color w:val="000000"/>
          <w:szCs w:val="24"/>
        </w:rPr>
        <w:t xml:space="preserve">created during ultrasonication, microwave-assisted </w:t>
      </w:r>
      <w:r w:rsidR="00D8415D" w:rsidRPr="00EC556A">
        <w:rPr>
          <w:color w:val="000000"/>
          <w:szCs w:val="24"/>
        </w:rPr>
        <w:t>extraction</w:t>
      </w:r>
      <w:r w:rsidR="00D8415D">
        <w:rPr>
          <w:color w:val="000000"/>
          <w:szCs w:val="24"/>
        </w:rPr>
        <w:t xml:space="preserve"> or PLE </w:t>
      </w:r>
      <w:r w:rsidR="00D8415D" w:rsidRPr="00EC556A">
        <w:rPr>
          <w:color w:val="000000"/>
          <w:szCs w:val="24"/>
        </w:rPr>
        <w:t xml:space="preserve">might cause </w:t>
      </w:r>
      <w:r w:rsidR="00D8415D">
        <w:rPr>
          <w:color w:val="000000"/>
          <w:szCs w:val="24"/>
        </w:rPr>
        <w:t xml:space="preserve">unintended </w:t>
      </w:r>
      <w:r w:rsidR="00D8415D" w:rsidRPr="00EC556A">
        <w:rPr>
          <w:color w:val="000000"/>
          <w:szCs w:val="24"/>
        </w:rPr>
        <w:t>PBDE/BFR degradation</w:t>
      </w:r>
      <w:r w:rsidR="00D8415D">
        <w:rPr>
          <w:color w:val="000000"/>
          <w:szCs w:val="24"/>
        </w:rPr>
        <w:t>.</w:t>
      </w:r>
    </w:p>
    <w:p w:rsidR="00CC1C95" w:rsidRDefault="00CC1C95" w:rsidP="00EE0DB2">
      <w:pPr>
        <w:rPr>
          <w:color w:val="000000"/>
          <w:szCs w:val="24"/>
        </w:rPr>
      </w:pPr>
      <w:r w:rsidRPr="00EC556A">
        <w:rPr>
          <w:color w:val="000000"/>
          <w:szCs w:val="24"/>
        </w:rPr>
        <w:t>Best recoveries are obtained by Soxhlet extraction applying solvent mixtures like methanol or 1-Propanol with up to 25% of a non polar solvent like toluene. The extraction time depends on the applied Soxhlet apparatus, but should allow for at least 30 extraction cycles. The Soxhlet extraction is also recommended for other matrices not discussed here (PUR foam, textiles and rubber) with appropriate grinding.</w:t>
      </w:r>
    </w:p>
    <w:p w:rsidR="00CC1C95" w:rsidRPr="00EC556A" w:rsidRDefault="00CC1C95" w:rsidP="00EE0DB2">
      <w:pPr>
        <w:rPr>
          <w:color w:val="000000"/>
          <w:szCs w:val="24"/>
        </w:rPr>
      </w:pPr>
      <w:r w:rsidRPr="00EC556A">
        <w:rPr>
          <w:color w:val="000000"/>
          <w:szCs w:val="24"/>
        </w:rPr>
        <w:t>Alternatively PLE with isooctane can be employed in the analysis of PBDE/BFR for WEEE plastic, other plastic items or polyurethane foams. At 100°C three static extraction cycles of 45 minutes each are recommended. However, if there is a considerable amount of polyolefins in the respective WEEE fraction, addition of at least 20% of alcohol (</w:t>
      </w:r>
      <w:r>
        <w:rPr>
          <w:color w:val="000000"/>
          <w:szCs w:val="24"/>
        </w:rPr>
        <w:t xml:space="preserve">e.g. </w:t>
      </w:r>
      <w:r w:rsidRPr="00EC556A">
        <w:rPr>
          <w:color w:val="000000"/>
          <w:szCs w:val="24"/>
        </w:rPr>
        <w:t>1-Propanol) to the extract is required.</w:t>
      </w:r>
    </w:p>
    <w:p w:rsidR="00CC1C95" w:rsidRPr="00EC556A" w:rsidRDefault="00CC1C95" w:rsidP="00EE0DB2">
      <w:pPr>
        <w:pStyle w:val="Heading4"/>
        <w:numPr>
          <w:ilvl w:val="3"/>
          <w:numId w:val="0"/>
        </w:numPr>
        <w:tabs>
          <w:tab w:val="num" w:pos="0"/>
        </w:tabs>
        <w:snapToGrid/>
        <w:spacing w:before="240" w:after="60" w:line="276" w:lineRule="auto"/>
        <w:jc w:val="both"/>
      </w:pPr>
      <w:r w:rsidRPr="00EC556A">
        <w:rPr>
          <w:i w:val="0"/>
        </w:rPr>
        <w:t>Extraction of PBDE/BFR by “Dissolution and Precipitation“ method</w:t>
      </w:r>
    </w:p>
    <w:p w:rsidR="00CC1C95" w:rsidRPr="00EC556A" w:rsidRDefault="00CC1C95" w:rsidP="000D35C8">
      <w:pPr>
        <w:ind w:firstLine="708"/>
        <w:rPr>
          <w:b/>
          <w:color w:val="000000"/>
          <w:szCs w:val="24"/>
          <w:highlight w:val="yellow"/>
        </w:rPr>
      </w:pPr>
      <w:r w:rsidRPr="00EC556A">
        <w:rPr>
          <w:color w:val="000000"/>
          <w:szCs w:val="24"/>
        </w:rPr>
        <w:t xml:space="preserve">One effective approach for extraction of PBDE/BFRs from the polymer is the complete dissolution of the polymer in an appropriate solvent. Selecting a solvent capable of dissolving the polymer at room temperature is most desirable, since elevated temperatures may result in thermal stress that might cause PBDE/BFR degradation. This approach yields good recovery efficiency for the respective BFR. For some polymer types (e.g. polyurethane), however, suitable solvating solvents are not available. Chromatography issues related to system entrapment of the resin and other matrix compounds may also be problematic following a complete polymer dissolution approach. Such entrapment can result in poor chromatographic resolution, hindering the correct detection and identification of compounds and necessitating increased maintenance of the GC–MS system. Adding a second “non-solvent” to the extract to precipitate the interfering components (e.g. resin) can be a useful additional step. Ideally, the polymer and other interfering additives (plasticizers, dye stuffs, etc.) are precipitated and the target analytes remain quantitatively in the extract. This method can, however, also generate analyte losses either via target analyte adsorption in the precipitate, or if the </w:t>
      </w:r>
      <w:r w:rsidR="00D8415D">
        <w:rPr>
          <w:color w:val="000000"/>
          <w:szCs w:val="24"/>
        </w:rPr>
        <w:t xml:space="preserve">solubility </w:t>
      </w:r>
      <w:r w:rsidRPr="00EC556A">
        <w:rPr>
          <w:color w:val="000000"/>
          <w:szCs w:val="24"/>
        </w:rPr>
        <w:t xml:space="preserve">of the target analyte is affected negatively by the non-solvent. Pöhlein and co-workers (2005) also developed two methods to identify and quantify BFRs in styrenic polymers. </w:t>
      </w:r>
    </w:p>
    <w:p w:rsidR="00CC1C95" w:rsidRPr="00EC556A" w:rsidRDefault="00CC1C95" w:rsidP="00EE0DB2">
      <w:pPr>
        <w:rPr>
          <w:b/>
          <w:color w:val="000000"/>
          <w:szCs w:val="24"/>
        </w:rPr>
      </w:pPr>
      <w:r w:rsidRPr="00EC556A">
        <w:rPr>
          <w:b/>
          <w:color w:val="000000"/>
          <w:szCs w:val="24"/>
        </w:rPr>
        <w:t xml:space="preserve">Extraction procedure of </w:t>
      </w:r>
      <w:r>
        <w:rPr>
          <w:b/>
          <w:color w:val="000000"/>
          <w:szCs w:val="24"/>
        </w:rPr>
        <w:t xml:space="preserve">key </w:t>
      </w:r>
      <w:r w:rsidRPr="00EC556A">
        <w:rPr>
          <w:b/>
          <w:color w:val="000000"/>
          <w:szCs w:val="24"/>
        </w:rPr>
        <w:t>plastics</w:t>
      </w:r>
      <w:r>
        <w:rPr>
          <w:b/>
          <w:color w:val="000000"/>
          <w:szCs w:val="24"/>
        </w:rPr>
        <w:t xml:space="preserve"> formerly treated with POP-PBDE</w:t>
      </w:r>
    </w:p>
    <w:p w:rsidR="00CC1C95" w:rsidRDefault="00CC1C95" w:rsidP="00D149D8">
      <w:pPr>
        <w:ind w:firstLine="708"/>
        <w:rPr>
          <w:color w:val="000000"/>
          <w:szCs w:val="24"/>
        </w:rPr>
      </w:pPr>
      <w:r w:rsidRPr="00EC556A">
        <w:rPr>
          <w:color w:val="000000"/>
          <w:szCs w:val="24"/>
        </w:rPr>
        <w:t>The extraction of POP-PBDEs and other brominated flame retardants from the polymer (ABS, PS, PVC, ABS/PC blend, PPE/PS blends) is performed by dissolution with tetrahydrofuran and precipitation is done with either ethanol (Schlummer et al. 2006)</w:t>
      </w:r>
      <w:r w:rsidR="0033045A">
        <w:rPr>
          <w:rStyle w:val="FootnoteReference"/>
          <w:color w:val="000000"/>
          <w:szCs w:val="24"/>
        </w:rPr>
        <w:footnoteReference w:id="34"/>
      </w:r>
      <w:r w:rsidRPr="00EC556A">
        <w:rPr>
          <w:color w:val="000000"/>
          <w:szCs w:val="24"/>
        </w:rPr>
        <w:t xml:space="preserve">, </w:t>
      </w:r>
      <w:r>
        <w:rPr>
          <w:color w:val="000000"/>
          <w:szCs w:val="24"/>
        </w:rPr>
        <w:t>1-</w:t>
      </w:r>
      <w:r w:rsidRPr="00EC556A">
        <w:rPr>
          <w:color w:val="000000"/>
          <w:szCs w:val="24"/>
        </w:rPr>
        <w:t>propanol (Schlummer et al</w:t>
      </w:r>
      <w:r w:rsidR="0033045A">
        <w:rPr>
          <w:color w:val="000000"/>
          <w:szCs w:val="24"/>
        </w:rPr>
        <w:t>.</w:t>
      </w:r>
      <w:r w:rsidRPr="00EC556A">
        <w:rPr>
          <w:color w:val="000000"/>
          <w:szCs w:val="24"/>
        </w:rPr>
        <w:t xml:space="preserve"> 2007)</w:t>
      </w:r>
      <w:r w:rsidR="0033045A">
        <w:rPr>
          <w:rStyle w:val="FootnoteReference"/>
          <w:color w:val="000000"/>
          <w:szCs w:val="24"/>
        </w:rPr>
        <w:footnoteReference w:id="35"/>
      </w:r>
      <w:r w:rsidRPr="00EC556A">
        <w:rPr>
          <w:color w:val="000000"/>
          <w:szCs w:val="24"/>
        </w:rPr>
        <w:t xml:space="preserve"> or </w:t>
      </w:r>
      <w:r w:rsidRPr="00EC556A">
        <w:rPr>
          <w:i/>
          <w:color w:val="000000"/>
          <w:szCs w:val="24"/>
        </w:rPr>
        <w:t>n</w:t>
      </w:r>
      <w:r w:rsidRPr="00EC556A">
        <w:rPr>
          <w:color w:val="000000"/>
          <w:szCs w:val="24"/>
        </w:rPr>
        <w:t>-</w:t>
      </w:r>
      <w:r>
        <w:rPr>
          <w:color w:val="000000"/>
          <w:szCs w:val="24"/>
        </w:rPr>
        <w:t>h</w:t>
      </w:r>
      <w:r w:rsidRPr="00EC556A">
        <w:rPr>
          <w:color w:val="000000"/>
          <w:szCs w:val="24"/>
        </w:rPr>
        <w:t>eptane</w:t>
      </w:r>
      <w:r w:rsidR="00D8415D">
        <w:rPr>
          <w:color w:val="000000"/>
          <w:szCs w:val="24"/>
        </w:rPr>
        <w:t>.</w:t>
      </w:r>
      <w:r w:rsidRPr="00EC556A">
        <w:rPr>
          <w:color w:val="000000"/>
          <w:szCs w:val="24"/>
        </w:rPr>
        <w:t xml:space="preserve"> This approach yields high extraction efficiency and short extraction time.  </w:t>
      </w:r>
    </w:p>
    <w:p w:rsidR="00CC1C95" w:rsidRPr="00EC556A" w:rsidRDefault="00CC1C95" w:rsidP="00EE0DB2">
      <w:pPr>
        <w:rPr>
          <w:color w:val="000000"/>
          <w:szCs w:val="24"/>
        </w:rPr>
      </w:pPr>
      <w:r w:rsidRPr="00EC556A">
        <w:rPr>
          <w:color w:val="000000"/>
          <w:szCs w:val="24"/>
        </w:rPr>
        <w:t>The extraction steps for ABS, PS, PVC, ABS/PC blend, PPE/PS blends are given below;</w:t>
      </w:r>
    </w:p>
    <w:p w:rsidR="00CC1C95" w:rsidRPr="00EC556A" w:rsidRDefault="00CC1C95" w:rsidP="000C33DE">
      <w:pPr>
        <w:numPr>
          <w:ilvl w:val="0"/>
          <w:numId w:val="18"/>
        </w:numPr>
        <w:snapToGrid/>
        <w:spacing w:after="0" w:line="276" w:lineRule="auto"/>
        <w:rPr>
          <w:color w:val="000000"/>
          <w:szCs w:val="24"/>
        </w:rPr>
      </w:pPr>
      <w:r w:rsidRPr="00EC556A">
        <w:rPr>
          <w:color w:val="000000"/>
          <w:szCs w:val="24"/>
        </w:rPr>
        <w:t xml:space="preserve">0.5 grams of the plastic samples are weighed into a well-labelled extraction glass vial covered with alumina foil paper. Dark-brown glass vial are recommendable. </w:t>
      </w:r>
    </w:p>
    <w:p w:rsidR="00CC1C95" w:rsidRPr="00EC556A" w:rsidRDefault="00CC1C95" w:rsidP="000C33DE">
      <w:pPr>
        <w:numPr>
          <w:ilvl w:val="0"/>
          <w:numId w:val="18"/>
        </w:numPr>
        <w:snapToGrid/>
        <w:spacing w:after="0" w:line="276" w:lineRule="auto"/>
        <w:rPr>
          <w:color w:val="000000"/>
          <w:szCs w:val="24"/>
        </w:rPr>
      </w:pPr>
      <w:r w:rsidRPr="00EC556A">
        <w:rPr>
          <w:color w:val="000000"/>
          <w:szCs w:val="24"/>
        </w:rPr>
        <w:t xml:space="preserve">5 ml of </w:t>
      </w:r>
      <w:r>
        <w:rPr>
          <w:color w:val="000000"/>
          <w:szCs w:val="24"/>
        </w:rPr>
        <w:t>t</w:t>
      </w:r>
      <w:r w:rsidRPr="00EC556A">
        <w:rPr>
          <w:color w:val="000000"/>
          <w:szCs w:val="24"/>
        </w:rPr>
        <w:t xml:space="preserve">etrahydrofuran </w:t>
      </w:r>
      <w:r w:rsidR="00D8415D">
        <w:rPr>
          <w:color w:val="000000"/>
          <w:szCs w:val="24"/>
        </w:rPr>
        <w:t xml:space="preserve">(THF) </w:t>
      </w:r>
      <w:r w:rsidRPr="00EC556A">
        <w:rPr>
          <w:color w:val="000000"/>
          <w:szCs w:val="24"/>
        </w:rPr>
        <w:t>is added.</w:t>
      </w:r>
    </w:p>
    <w:p w:rsidR="00CC1C95" w:rsidRPr="00EC556A" w:rsidRDefault="00CC1C95" w:rsidP="000C33DE">
      <w:pPr>
        <w:numPr>
          <w:ilvl w:val="0"/>
          <w:numId w:val="18"/>
        </w:numPr>
        <w:snapToGrid/>
        <w:spacing w:after="0" w:line="276" w:lineRule="auto"/>
        <w:rPr>
          <w:color w:val="000000"/>
          <w:szCs w:val="24"/>
        </w:rPr>
      </w:pPr>
      <w:r w:rsidRPr="00EC556A">
        <w:rPr>
          <w:color w:val="000000"/>
          <w:szCs w:val="24"/>
        </w:rPr>
        <w:t>The glass vial is tightly capped and placed on a shaker for two hours.</w:t>
      </w:r>
    </w:p>
    <w:p w:rsidR="00CC1C95" w:rsidRPr="00EC556A" w:rsidRDefault="00CC1C95" w:rsidP="000C33DE">
      <w:pPr>
        <w:numPr>
          <w:ilvl w:val="0"/>
          <w:numId w:val="18"/>
        </w:numPr>
        <w:snapToGrid/>
        <w:spacing w:after="0" w:line="276" w:lineRule="auto"/>
        <w:rPr>
          <w:color w:val="000000"/>
          <w:szCs w:val="24"/>
        </w:rPr>
      </w:pPr>
      <w:r w:rsidRPr="00EC556A">
        <w:rPr>
          <w:color w:val="000000"/>
          <w:szCs w:val="24"/>
        </w:rPr>
        <w:t xml:space="preserve">After complete dissolution of the polymer sample, 6 – 12 ml of </w:t>
      </w:r>
      <w:r w:rsidRPr="00EC556A">
        <w:rPr>
          <w:i/>
          <w:color w:val="000000"/>
          <w:szCs w:val="24"/>
        </w:rPr>
        <w:t>n</w:t>
      </w:r>
      <w:r w:rsidRPr="00EC556A">
        <w:rPr>
          <w:color w:val="000000"/>
          <w:szCs w:val="24"/>
        </w:rPr>
        <w:t>-</w:t>
      </w:r>
      <w:r>
        <w:rPr>
          <w:color w:val="000000"/>
          <w:szCs w:val="24"/>
        </w:rPr>
        <w:t>h</w:t>
      </w:r>
      <w:r w:rsidRPr="00EC556A">
        <w:rPr>
          <w:color w:val="000000"/>
          <w:szCs w:val="24"/>
        </w:rPr>
        <w:t>eptane</w:t>
      </w:r>
      <w:r>
        <w:rPr>
          <w:color w:val="000000"/>
          <w:szCs w:val="24"/>
        </w:rPr>
        <w:t xml:space="preserve"> is added stepwise</w:t>
      </w:r>
      <w:r w:rsidRPr="00EC556A">
        <w:rPr>
          <w:color w:val="000000"/>
          <w:szCs w:val="24"/>
        </w:rPr>
        <w:t xml:space="preserve"> with rigorous shaking until a good precipitate is formed.</w:t>
      </w:r>
    </w:p>
    <w:p w:rsidR="00CC1C95" w:rsidRPr="00EC556A" w:rsidRDefault="00CC1C95" w:rsidP="000C33DE">
      <w:pPr>
        <w:numPr>
          <w:ilvl w:val="0"/>
          <w:numId w:val="18"/>
        </w:numPr>
        <w:snapToGrid/>
        <w:spacing w:after="0" w:line="276" w:lineRule="auto"/>
        <w:rPr>
          <w:color w:val="000000"/>
          <w:szCs w:val="24"/>
        </w:rPr>
      </w:pPr>
      <w:r w:rsidRPr="00EC556A">
        <w:rPr>
          <w:color w:val="000000"/>
          <w:szCs w:val="24"/>
        </w:rPr>
        <w:t>The glass vial is capped and placed on the shaker for 15 minutes until a clear solution is obtained.</w:t>
      </w:r>
    </w:p>
    <w:p w:rsidR="00CC1C95" w:rsidRPr="00EC556A" w:rsidRDefault="00CC1C95" w:rsidP="000C33DE">
      <w:pPr>
        <w:numPr>
          <w:ilvl w:val="0"/>
          <w:numId w:val="18"/>
        </w:numPr>
        <w:snapToGrid/>
        <w:spacing w:after="0" w:line="276" w:lineRule="auto"/>
        <w:rPr>
          <w:color w:val="000000"/>
          <w:szCs w:val="24"/>
        </w:rPr>
      </w:pPr>
      <w:r w:rsidRPr="00EC556A">
        <w:rPr>
          <w:color w:val="000000"/>
          <w:szCs w:val="24"/>
        </w:rPr>
        <w:t>The glass vial is then allowed to stand for another 15 minutes.</w:t>
      </w:r>
    </w:p>
    <w:p w:rsidR="00CC1C95" w:rsidRPr="00EC556A" w:rsidRDefault="00CC1C95" w:rsidP="000C33DE">
      <w:pPr>
        <w:numPr>
          <w:ilvl w:val="0"/>
          <w:numId w:val="18"/>
        </w:numPr>
        <w:snapToGrid/>
        <w:spacing w:after="0" w:line="276" w:lineRule="auto"/>
        <w:rPr>
          <w:color w:val="000000"/>
          <w:szCs w:val="24"/>
        </w:rPr>
      </w:pPr>
      <w:r w:rsidRPr="00EC556A">
        <w:rPr>
          <w:color w:val="000000"/>
          <w:szCs w:val="24"/>
        </w:rPr>
        <w:t>The extract is then decanted into a well-labelled, pre-weighed collection glass vial covered with alumina foil paper</w:t>
      </w:r>
      <w:r w:rsidR="00D8415D">
        <w:rPr>
          <w:color w:val="000000"/>
          <w:szCs w:val="24"/>
        </w:rPr>
        <w:t>.</w:t>
      </w:r>
    </w:p>
    <w:p w:rsidR="00CC1C95" w:rsidRPr="00EC556A" w:rsidRDefault="00CC1C95" w:rsidP="00D149D8">
      <w:pPr>
        <w:numPr>
          <w:ilvl w:val="0"/>
          <w:numId w:val="18"/>
        </w:numPr>
        <w:snapToGrid/>
        <w:spacing w:after="0" w:line="276" w:lineRule="auto"/>
        <w:rPr>
          <w:color w:val="000000"/>
          <w:szCs w:val="24"/>
        </w:rPr>
      </w:pPr>
      <w:r w:rsidRPr="00EC556A">
        <w:rPr>
          <w:color w:val="000000"/>
          <w:szCs w:val="24"/>
        </w:rPr>
        <w:t>The preci</w:t>
      </w:r>
      <w:r>
        <w:rPr>
          <w:color w:val="000000"/>
          <w:szCs w:val="24"/>
        </w:rPr>
        <w:t xml:space="preserve">pitate is re-dissolved in 5 ml </w:t>
      </w:r>
      <w:r w:rsidR="00D149D8">
        <w:rPr>
          <w:color w:val="000000"/>
          <w:szCs w:val="24"/>
        </w:rPr>
        <w:t>THF</w:t>
      </w:r>
      <w:r w:rsidRPr="00EC556A">
        <w:rPr>
          <w:color w:val="000000"/>
          <w:szCs w:val="24"/>
        </w:rPr>
        <w:t xml:space="preserve"> and placed on the shaker for 15 minutes</w:t>
      </w:r>
      <w:r w:rsidR="00D8415D">
        <w:rPr>
          <w:color w:val="000000"/>
          <w:szCs w:val="24"/>
        </w:rPr>
        <w:t>.</w:t>
      </w:r>
    </w:p>
    <w:p w:rsidR="00CC1C95" w:rsidRPr="00EC556A" w:rsidRDefault="00CC1C95" w:rsidP="00215616">
      <w:pPr>
        <w:numPr>
          <w:ilvl w:val="0"/>
          <w:numId w:val="18"/>
        </w:numPr>
        <w:snapToGrid/>
        <w:spacing w:after="0" w:line="276" w:lineRule="auto"/>
        <w:rPr>
          <w:color w:val="000000"/>
          <w:szCs w:val="24"/>
        </w:rPr>
      </w:pPr>
      <w:r w:rsidRPr="00EC556A">
        <w:rPr>
          <w:color w:val="000000"/>
          <w:szCs w:val="24"/>
        </w:rPr>
        <w:t xml:space="preserve">Another 6 – 12 ml of </w:t>
      </w:r>
      <w:r w:rsidRPr="00CC1C95">
        <w:rPr>
          <w:color w:val="000000"/>
          <w:szCs w:val="24"/>
        </w:rPr>
        <w:t>n</w:t>
      </w:r>
      <w:r w:rsidRPr="00EC556A">
        <w:rPr>
          <w:color w:val="000000"/>
          <w:szCs w:val="24"/>
        </w:rPr>
        <w:t>-</w:t>
      </w:r>
      <w:r>
        <w:rPr>
          <w:color w:val="000000"/>
          <w:szCs w:val="24"/>
        </w:rPr>
        <w:t>h</w:t>
      </w:r>
      <w:r w:rsidRPr="00EC556A">
        <w:rPr>
          <w:color w:val="000000"/>
          <w:szCs w:val="24"/>
        </w:rPr>
        <w:t>eptane</w:t>
      </w:r>
      <w:r>
        <w:rPr>
          <w:color w:val="000000"/>
          <w:szCs w:val="24"/>
        </w:rPr>
        <w:t xml:space="preserve"> </w:t>
      </w:r>
      <w:r w:rsidR="00215616">
        <w:rPr>
          <w:color w:val="000000"/>
          <w:szCs w:val="24"/>
        </w:rPr>
        <w:t>i</w:t>
      </w:r>
      <w:r>
        <w:rPr>
          <w:color w:val="000000"/>
          <w:szCs w:val="24"/>
        </w:rPr>
        <w:t>s added stepwise</w:t>
      </w:r>
      <w:r w:rsidRPr="00EC556A">
        <w:rPr>
          <w:color w:val="000000"/>
          <w:szCs w:val="24"/>
        </w:rPr>
        <w:t xml:space="preserve"> with rigorous shaking and </w:t>
      </w:r>
      <w:r>
        <w:rPr>
          <w:color w:val="000000"/>
          <w:szCs w:val="24"/>
        </w:rPr>
        <w:t>the vial is</w:t>
      </w:r>
      <w:r w:rsidRPr="00EC556A">
        <w:rPr>
          <w:color w:val="000000"/>
          <w:szCs w:val="24"/>
        </w:rPr>
        <w:t xml:space="preserve"> placed on the shaker for 15 minutes.</w:t>
      </w:r>
    </w:p>
    <w:p w:rsidR="00CC1C95" w:rsidRPr="00EC556A" w:rsidRDefault="00CC1C95" w:rsidP="000C33DE">
      <w:pPr>
        <w:numPr>
          <w:ilvl w:val="0"/>
          <w:numId w:val="18"/>
        </w:numPr>
        <w:snapToGrid/>
        <w:spacing w:after="0" w:line="276" w:lineRule="auto"/>
        <w:rPr>
          <w:color w:val="000000"/>
          <w:szCs w:val="24"/>
        </w:rPr>
      </w:pPr>
      <w:r w:rsidRPr="00EC556A">
        <w:rPr>
          <w:color w:val="000000"/>
          <w:szCs w:val="24"/>
        </w:rPr>
        <w:t xml:space="preserve">The extract </w:t>
      </w:r>
      <w:r>
        <w:rPr>
          <w:color w:val="000000"/>
          <w:szCs w:val="24"/>
        </w:rPr>
        <w:t>is</w:t>
      </w:r>
      <w:r w:rsidRPr="00EC556A">
        <w:rPr>
          <w:color w:val="000000"/>
          <w:szCs w:val="24"/>
        </w:rPr>
        <w:t xml:space="preserve"> decanted into the glass vial.</w:t>
      </w:r>
    </w:p>
    <w:p w:rsidR="00CC1C95" w:rsidRPr="00EC556A" w:rsidRDefault="00CC1C95" w:rsidP="000C33DE">
      <w:pPr>
        <w:numPr>
          <w:ilvl w:val="0"/>
          <w:numId w:val="18"/>
        </w:numPr>
        <w:snapToGrid/>
        <w:spacing w:after="0" w:line="276" w:lineRule="auto"/>
        <w:rPr>
          <w:color w:val="000000"/>
          <w:szCs w:val="24"/>
        </w:rPr>
      </w:pPr>
      <w:r w:rsidRPr="00EC556A">
        <w:rPr>
          <w:color w:val="000000"/>
          <w:szCs w:val="24"/>
        </w:rPr>
        <w:t>The entire procedure is repeated thrice.</w:t>
      </w:r>
    </w:p>
    <w:p w:rsidR="00CC1C95" w:rsidRPr="00EC556A" w:rsidRDefault="00CC1C95" w:rsidP="000C33DE">
      <w:pPr>
        <w:numPr>
          <w:ilvl w:val="0"/>
          <w:numId w:val="18"/>
        </w:numPr>
        <w:snapToGrid/>
        <w:spacing w:after="0" w:line="276" w:lineRule="auto"/>
        <w:rPr>
          <w:color w:val="000000"/>
          <w:szCs w:val="24"/>
        </w:rPr>
      </w:pPr>
      <w:r w:rsidRPr="00EC556A">
        <w:rPr>
          <w:color w:val="000000"/>
          <w:szCs w:val="24"/>
        </w:rPr>
        <w:t>The weight of the extract is calculated from the difference between weight of glass vial plus extract and the weight of the bottle.</w:t>
      </w:r>
    </w:p>
    <w:p w:rsidR="00CC1C95" w:rsidRPr="00EC556A" w:rsidRDefault="00CC1C95" w:rsidP="000C33DE">
      <w:pPr>
        <w:numPr>
          <w:ilvl w:val="0"/>
          <w:numId w:val="18"/>
        </w:numPr>
        <w:snapToGrid/>
        <w:spacing w:after="0" w:line="276" w:lineRule="auto"/>
        <w:rPr>
          <w:color w:val="000000"/>
          <w:szCs w:val="24"/>
        </w:rPr>
      </w:pPr>
      <w:r w:rsidRPr="00EC556A">
        <w:rPr>
          <w:color w:val="000000"/>
          <w:szCs w:val="24"/>
        </w:rPr>
        <w:t xml:space="preserve">The residual polymer </w:t>
      </w:r>
      <w:r>
        <w:rPr>
          <w:color w:val="000000"/>
          <w:szCs w:val="24"/>
        </w:rPr>
        <w:t>is</w:t>
      </w:r>
      <w:r w:rsidRPr="00EC556A">
        <w:rPr>
          <w:color w:val="000000"/>
          <w:szCs w:val="24"/>
        </w:rPr>
        <w:t xml:space="preserve"> removed from the glass vial and kept in foil paper.</w:t>
      </w:r>
    </w:p>
    <w:p w:rsidR="00CC1C95" w:rsidRPr="00EC556A" w:rsidRDefault="00CC1C95" w:rsidP="00EE0DB2">
      <w:pPr>
        <w:ind w:left="360"/>
        <w:rPr>
          <w:b/>
          <w:color w:val="000000"/>
          <w:szCs w:val="24"/>
        </w:rPr>
      </w:pPr>
    </w:p>
    <w:p w:rsidR="00CC1C95" w:rsidRPr="000435E4" w:rsidRDefault="00CC1C95" w:rsidP="00EE0DB2">
      <w:pPr>
        <w:ind w:left="360"/>
        <w:rPr>
          <w:b/>
          <w:color w:val="000000"/>
          <w:szCs w:val="24"/>
        </w:rPr>
      </w:pPr>
      <w:r w:rsidRPr="000435E4">
        <w:rPr>
          <w:b/>
          <w:color w:val="000000"/>
          <w:szCs w:val="24"/>
        </w:rPr>
        <w:t>Extraction procedure for polypropylene samples:</w:t>
      </w:r>
    </w:p>
    <w:p w:rsidR="00CC1C95" w:rsidRPr="00EC556A" w:rsidRDefault="00CC1C95" w:rsidP="000C33DE">
      <w:pPr>
        <w:numPr>
          <w:ilvl w:val="0"/>
          <w:numId w:val="20"/>
        </w:numPr>
        <w:snapToGrid/>
        <w:spacing w:after="0" w:line="276" w:lineRule="auto"/>
        <w:rPr>
          <w:color w:val="000000"/>
          <w:szCs w:val="24"/>
        </w:rPr>
      </w:pPr>
      <w:r w:rsidRPr="00EC556A">
        <w:rPr>
          <w:color w:val="000000"/>
          <w:szCs w:val="24"/>
        </w:rPr>
        <w:t>0.5 gram of the polymer sample is weighed into a well-labelled extraction glass vial.</w:t>
      </w:r>
    </w:p>
    <w:p w:rsidR="00CC1C95" w:rsidRPr="00EC556A" w:rsidRDefault="00CC1C95" w:rsidP="000C33DE">
      <w:pPr>
        <w:numPr>
          <w:ilvl w:val="0"/>
          <w:numId w:val="20"/>
        </w:numPr>
        <w:snapToGrid/>
        <w:spacing w:after="0" w:line="276" w:lineRule="auto"/>
        <w:rPr>
          <w:color w:val="000000"/>
          <w:szCs w:val="24"/>
        </w:rPr>
      </w:pPr>
      <w:r>
        <w:rPr>
          <w:color w:val="000000"/>
          <w:szCs w:val="24"/>
        </w:rPr>
        <w:t>30 grams of x</w:t>
      </w:r>
      <w:r w:rsidRPr="00EC556A">
        <w:rPr>
          <w:color w:val="000000"/>
          <w:szCs w:val="24"/>
        </w:rPr>
        <w:t>ylene solution is added</w:t>
      </w:r>
      <w:r w:rsidR="00D8415D">
        <w:rPr>
          <w:color w:val="000000"/>
          <w:szCs w:val="24"/>
        </w:rPr>
        <w:t>.</w:t>
      </w:r>
    </w:p>
    <w:p w:rsidR="00CC1C95" w:rsidRPr="00EC556A" w:rsidRDefault="00CC1C95" w:rsidP="000C33DE">
      <w:pPr>
        <w:numPr>
          <w:ilvl w:val="0"/>
          <w:numId w:val="20"/>
        </w:numPr>
        <w:snapToGrid/>
        <w:spacing w:after="0" w:line="276" w:lineRule="auto"/>
        <w:rPr>
          <w:color w:val="000000"/>
          <w:szCs w:val="24"/>
        </w:rPr>
      </w:pPr>
      <w:r w:rsidRPr="00EC556A">
        <w:rPr>
          <w:color w:val="000000"/>
          <w:szCs w:val="24"/>
        </w:rPr>
        <w:t>The glass vial is loosely corked and place on the heating mantle for 1 hour at a temperature of 105</w:t>
      </w:r>
      <w:r w:rsidR="00D8415D">
        <w:rPr>
          <w:color w:val="000000"/>
          <w:szCs w:val="24"/>
        </w:rPr>
        <w:t xml:space="preserve"> </w:t>
      </w:r>
      <w:r w:rsidRPr="00EC556A">
        <w:rPr>
          <w:color w:val="000000"/>
          <w:szCs w:val="24"/>
        </w:rPr>
        <w:t>°C with a magnetic stirrer.</w:t>
      </w:r>
    </w:p>
    <w:p w:rsidR="00CC1C95" w:rsidRPr="00EC556A" w:rsidRDefault="00CC1C95" w:rsidP="000C33DE">
      <w:pPr>
        <w:numPr>
          <w:ilvl w:val="0"/>
          <w:numId w:val="20"/>
        </w:numPr>
        <w:snapToGrid/>
        <w:spacing w:after="0" w:line="276" w:lineRule="auto"/>
        <w:rPr>
          <w:color w:val="000000"/>
          <w:szCs w:val="24"/>
        </w:rPr>
      </w:pPr>
      <w:r w:rsidRPr="00EC556A">
        <w:rPr>
          <w:color w:val="000000"/>
          <w:szCs w:val="24"/>
        </w:rPr>
        <w:t xml:space="preserve">After complete dissolution of the polymer sample, the glass vial </w:t>
      </w:r>
      <w:r>
        <w:rPr>
          <w:color w:val="000000"/>
          <w:szCs w:val="24"/>
        </w:rPr>
        <w:t>is</w:t>
      </w:r>
      <w:r w:rsidRPr="00EC556A">
        <w:rPr>
          <w:color w:val="000000"/>
          <w:szCs w:val="24"/>
        </w:rPr>
        <w:t xml:space="preserve"> removed and allowed to cool to room temperature.</w:t>
      </w:r>
    </w:p>
    <w:p w:rsidR="00CC1C95" w:rsidRPr="00EC556A" w:rsidRDefault="00CC1C95" w:rsidP="000C33DE">
      <w:pPr>
        <w:numPr>
          <w:ilvl w:val="0"/>
          <w:numId w:val="20"/>
        </w:numPr>
        <w:snapToGrid/>
        <w:spacing w:after="0" w:line="276" w:lineRule="auto"/>
        <w:rPr>
          <w:color w:val="000000"/>
          <w:szCs w:val="24"/>
        </w:rPr>
      </w:pPr>
      <w:r w:rsidRPr="00EC556A">
        <w:rPr>
          <w:color w:val="000000"/>
          <w:szCs w:val="24"/>
        </w:rPr>
        <w:t xml:space="preserve">10 ml of acetone </w:t>
      </w:r>
      <w:r>
        <w:rPr>
          <w:color w:val="000000"/>
          <w:szCs w:val="24"/>
        </w:rPr>
        <w:t>is</w:t>
      </w:r>
      <w:r w:rsidRPr="00EC556A">
        <w:rPr>
          <w:color w:val="000000"/>
          <w:szCs w:val="24"/>
        </w:rPr>
        <w:t xml:space="preserve"> added step wisely with little shaking until a gel-like precipitate is formed.</w:t>
      </w:r>
    </w:p>
    <w:p w:rsidR="00CC1C95" w:rsidRPr="00EC556A" w:rsidRDefault="00CC1C95" w:rsidP="000C33DE">
      <w:pPr>
        <w:numPr>
          <w:ilvl w:val="0"/>
          <w:numId w:val="20"/>
        </w:numPr>
        <w:snapToGrid/>
        <w:spacing w:after="0" w:line="276" w:lineRule="auto"/>
        <w:rPr>
          <w:color w:val="000000"/>
          <w:szCs w:val="24"/>
        </w:rPr>
      </w:pPr>
      <w:r w:rsidRPr="00EC556A">
        <w:rPr>
          <w:color w:val="000000"/>
          <w:szCs w:val="24"/>
        </w:rPr>
        <w:t xml:space="preserve">The extract </w:t>
      </w:r>
      <w:r>
        <w:rPr>
          <w:color w:val="000000"/>
          <w:szCs w:val="24"/>
        </w:rPr>
        <w:t>is</w:t>
      </w:r>
      <w:r w:rsidRPr="00EC556A">
        <w:rPr>
          <w:color w:val="000000"/>
          <w:szCs w:val="24"/>
        </w:rPr>
        <w:t xml:space="preserve"> then filtered using paper filter into a well-labelled, pre-weighed glass vial covered with alumina foil paper</w:t>
      </w:r>
      <w:r w:rsidR="00D8415D">
        <w:rPr>
          <w:color w:val="000000"/>
          <w:szCs w:val="24"/>
        </w:rPr>
        <w:t>.</w:t>
      </w:r>
    </w:p>
    <w:p w:rsidR="00CC1C95" w:rsidRPr="00EC556A" w:rsidRDefault="00CC1C95" w:rsidP="000C33DE">
      <w:pPr>
        <w:numPr>
          <w:ilvl w:val="0"/>
          <w:numId w:val="20"/>
        </w:numPr>
        <w:snapToGrid/>
        <w:spacing w:after="0" w:line="276" w:lineRule="auto"/>
        <w:rPr>
          <w:color w:val="000000"/>
          <w:szCs w:val="24"/>
        </w:rPr>
      </w:pPr>
      <w:r w:rsidRPr="00EC556A">
        <w:rPr>
          <w:color w:val="000000"/>
          <w:szCs w:val="24"/>
        </w:rPr>
        <w:t xml:space="preserve">The weight of the extract </w:t>
      </w:r>
      <w:r>
        <w:rPr>
          <w:color w:val="000000"/>
          <w:szCs w:val="24"/>
        </w:rPr>
        <w:t>is</w:t>
      </w:r>
      <w:r w:rsidRPr="00EC556A">
        <w:rPr>
          <w:color w:val="000000"/>
          <w:szCs w:val="24"/>
        </w:rPr>
        <w:t xml:space="preserve"> calculated from the difference between weight of glass vial plus extract and the weight of the bottle.</w:t>
      </w:r>
    </w:p>
    <w:p w:rsidR="00D149D8" w:rsidRDefault="00CC1C95" w:rsidP="000C33DE">
      <w:pPr>
        <w:numPr>
          <w:ilvl w:val="0"/>
          <w:numId w:val="20"/>
        </w:numPr>
        <w:snapToGrid/>
        <w:spacing w:after="0" w:line="276" w:lineRule="auto"/>
        <w:rPr>
          <w:color w:val="000000"/>
          <w:szCs w:val="24"/>
        </w:rPr>
      </w:pPr>
      <w:r w:rsidRPr="00EC556A">
        <w:rPr>
          <w:color w:val="000000"/>
          <w:szCs w:val="24"/>
        </w:rPr>
        <w:t xml:space="preserve">The residual polymer </w:t>
      </w:r>
      <w:r>
        <w:rPr>
          <w:color w:val="000000"/>
          <w:szCs w:val="24"/>
        </w:rPr>
        <w:t>is</w:t>
      </w:r>
      <w:r w:rsidRPr="00EC556A">
        <w:rPr>
          <w:color w:val="000000"/>
          <w:szCs w:val="24"/>
        </w:rPr>
        <w:t xml:space="preserve"> removed from the filter paper and kept in foil paper.</w:t>
      </w:r>
      <w:r w:rsidR="00D149D8" w:rsidRPr="00D149D8">
        <w:rPr>
          <w:color w:val="000000"/>
          <w:szCs w:val="24"/>
        </w:rPr>
        <w:t xml:space="preserve"> </w:t>
      </w:r>
    </w:p>
    <w:p w:rsidR="00D149D8" w:rsidRDefault="00D149D8" w:rsidP="00D149D8">
      <w:pPr>
        <w:snapToGrid/>
        <w:spacing w:after="0" w:line="276" w:lineRule="auto"/>
        <w:rPr>
          <w:color w:val="000000"/>
          <w:szCs w:val="24"/>
        </w:rPr>
      </w:pPr>
    </w:p>
    <w:p w:rsidR="00CC1C95" w:rsidRPr="00EC556A" w:rsidRDefault="00D149D8" w:rsidP="00D149D8">
      <w:pPr>
        <w:snapToGrid/>
        <w:spacing w:after="0" w:line="276" w:lineRule="auto"/>
        <w:rPr>
          <w:color w:val="000000"/>
          <w:szCs w:val="24"/>
        </w:rPr>
      </w:pPr>
      <w:r>
        <w:rPr>
          <w:color w:val="000000"/>
          <w:szCs w:val="24"/>
        </w:rPr>
        <w:t>Dissolution of other types of plastics is described in Braun (1999)</w:t>
      </w:r>
      <w:r>
        <w:rPr>
          <w:rStyle w:val="FootnoteReference"/>
          <w:color w:val="000000"/>
          <w:szCs w:val="24"/>
        </w:rPr>
        <w:footnoteReference w:id="36"/>
      </w:r>
      <w:r>
        <w:rPr>
          <w:color w:val="000000"/>
          <w:szCs w:val="24"/>
        </w:rPr>
        <w:t>.</w:t>
      </w:r>
    </w:p>
    <w:p w:rsidR="00CC1C95" w:rsidRPr="00EC556A" w:rsidRDefault="00CC1C95" w:rsidP="00EE0DB2">
      <w:pPr>
        <w:pStyle w:val="Heading4"/>
        <w:numPr>
          <w:ilvl w:val="3"/>
          <w:numId w:val="0"/>
        </w:numPr>
        <w:tabs>
          <w:tab w:val="num" w:pos="0"/>
        </w:tabs>
        <w:snapToGrid/>
        <w:spacing w:before="240" w:after="60" w:line="360" w:lineRule="auto"/>
        <w:jc w:val="both"/>
      </w:pPr>
      <w:r w:rsidRPr="00EC556A">
        <w:rPr>
          <w:i w:val="0"/>
        </w:rPr>
        <w:t>Clean-up of the plastic extracts</w:t>
      </w:r>
    </w:p>
    <w:p w:rsidR="00CC1C95" w:rsidRPr="000435E4" w:rsidRDefault="00CC1C95" w:rsidP="00215616">
      <w:pPr>
        <w:ind w:firstLine="720"/>
        <w:rPr>
          <w:color w:val="000000"/>
          <w:szCs w:val="24"/>
        </w:rPr>
      </w:pPr>
      <w:r w:rsidRPr="000435E4">
        <w:rPr>
          <w:color w:val="000000"/>
          <w:szCs w:val="24"/>
        </w:rPr>
        <w:t xml:space="preserve">The easiest clean-up step consists of a filtration through a 0.45 μm filter disk (PTFE membrane) and </w:t>
      </w:r>
      <w:r>
        <w:rPr>
          <w:color w:val="000000"/>
          <w:szCs w:val="24"/>
        </w:rPr>
        <w:t xml:space="preserve">the </w:t>
      </w:r>
      <w:r w:rsidR="00215616">
        <w:rPr>
          <w:color w:val="000000"/>
          <w:szCs w:val="24"/>
        </w:rPr>
        <w:t>cleaned sample</w:t>
      </w:r>
      <w:r>
        <w:rPr>
          <w:color w:val="000000"/>
          <w:szCs w:val="24"/>
        </w:rPr>
        <w:t xml:space="preserve"> is </w:t>
      </w:r>
      <w:r w:rsidRPr="000435E4">
        <w:rPr>
          <w:color w:val="000000"/>
          <w:szCs w:val="24"/>
        </w:rPr>
        <w:t xml:space="preserve">placed in GC vials prior to chromatographic analysis. However, this approach removes only polymers and oligomers, which may have precipitated upon storage of extracts at lower temperatures. </w:t>
      </w:r>
    </w:p>
    <w:p w:rsidR="00CC1C95" w:rsidRPr="000435E4" w:rsidRDefault="00CC1C95" w:rsidP="000435E4">
      <w:pPr>
        <w:rPr>
          <w:color w:val="000000"/>
          <w:szCs w:val="24"/>
        </w:rPr>
      </w:pPr>
      <w:r w:rsidRPr="000435E4">
        <w:rPr>
          <w:color w:val="000000"/>
          <w:szCs w:val="24"/>
        </w:rPr>
        <w:t xml:space="preserve">Considerably better cleaning efficiencies can be reached by column chromatography. For non-polar extracts (isooctane), a Silica SPE column may be used (100-1000 mg) after pre-wash with </w:t>
      </w:r>
      <w:r w:rsidRPr="00CC1C95">
        <w:rPr>
          <w:color w:val="000000"/>
          <w:szCs w:val="24"/>
        </w:rPr>
        <w:t>n</w:t>
      </w:r>
      <w:r>
        <w:rPr>
          <w:color w:val="000000"/>
          <w:szCs w:val="24"/>
        </w:rPr>
        <w:noBreakHyphen/>
      </w:r>
      <w:r w:rsidRPr="000435E4">
        <w:rPr>
          <w:color w:val="000000"/>
          <w:szCs w:val="24"/>
        </w:rPr>
        <w:t xml:space="preserve">heptane. The sample extracts is loaded on top of the SPE and the collection of target POP-PBDE starts directly with the sample loading. To complete the elution of the analytes another 10 ml </w:t>
      </w:r>
      <w:r w:rsidRPr="00CC1C95">
        <w:rPr>
          <w:color w:val="000000"/>
          <w:szCs w:val="24"/>
        </w:rPr>
        <w:t>n</w:t>
      </w:r>
      <w:r>
        <w:rPr>
          <w:color w:val="000000"/>
          <w:szCs w:val="24"/>
        </w:rPr>
        <w:noBreakHyphen/>
      </w:r>
      <w:r w:rsidRPr="000435E4">
        <w:rPr>
          <w:color w:val="000000"/>
          <w:szCs w:val="24"/>
        </w:rPr>
        <w:t xml:space="preserve">heptane </w:t>
      </w:r>
      <w:r>
        <w:rPr>
          <w:color w:val="000000"/>
          <w:szCs w:val="24"/>
        </w:rPr>
        <w:t>are</w:t>
      </w:r>
      <w:r w:rsidRPr="000435E4">
        <w:rPr>
          <w:color w:val="000000"/>
          <w:szCs w:val="24"/>
        </w:rPr>
        <w:t xml:space="preserve"> added on top and collected after SPE passage.   </w:t>
      </w:r>
    </w:p>
    <w:p w:rsidR="00CC1C95" w:rsidRPr="000435E4" w:rsidRDefault="00CC1C95" w:rsidP="000435E4">
      <w:pPr>
        <w:rPr>
          <w:color w:val="000000"/>
          <w:szCs w:val="24"/>
        </w:rPr>
      </w:pPr>
      <w:r w:rsidRPr="000435E4">
        <w:rPr>
          <w:color w:val="000000"/>
          <w:szCs w:val="24"/>
        </w:rPr>
        <w:t>If the analysis only target</w:t>
      </w:r>
      <w:r>
        <w:rPr>
          <w:color w:val="000000"/>
          <w:szCs w:val="24"/>
        </w:rPr>
        <w:t>s</w:t>
      </w:r>
      <w:r w:rsidRPr="000435E4">
        <w:rPr>
          <w:color w:val="000000"/>
          <w:szCs w:val="24"/>
        </w:rPr>
        <w:t xml:space="preserve"> POP BDE, a sulfuric acid treatment is recommended. For this clean-up step a glass column with a diameter of 10 mm is filled with 1 g of neutral silica and 5 to 10 g of H</w:t>
      </w:r>
      <w:r w:rsidRPr="00D8415D">
        <w:rPr>
          <w:color w:val="000000"/>
          <w:szCs w:val="24"/>
          <w:vertAlign w:val="subscript"/>
        </w:rPr>
        <w:t>2</w:t>
      </w:r>
      <w:r w:rsidRPr="000435E4">
        <w:rPr>
          <w:color w:val="000000"/>
          <w:szCs w:val="24"/>
        </w:rPr>
        <w:t>SO</w:t>
      </w:r>
      <w:r w:rsidRPr="00D8415D">
        <w:rPr>
          <w:color w:val="000000"/>
          <w:szCs w:val="24"/>
          <w:vertAlign w:val="subscript"/>
        </w:rPr>
        <w:t>4</w:t>
      </w:r>
      <w:r w:rsidRPr="000435E4">
        <w:rPr>
          <w:color w:val="000000"/>
          <w:szCs w:val="24"/>
        </w:rPr>
        <w:t xml:space="preserve"> impregnated silica (44% by weight). The column is pre-washed with 30 ml of </w:t>
      </w:r>
      <w:r w:rsidRPr="00CC1C95">
        <w:rPr>
          <w:color w:val="000000"/>
          <w:szCs w:val="24"/>
        </w:rPr>
        <w:t>n</w:t>
      </w:r>
      <w:r w:rsidRPr="000435E4">
        <w:rPr>
          <w:color w:val="000000"/>
          <w:szCs w:val="24"/>
        </w:rPr>
        <w:t>-heptane, before the sample extract is loaded. The collection of target POP-PBDE fraction starts directly with the sample loading. To complete the elution of the analytes</w:t>
      </w:r>
      <w:r w:rsidR="00D8415D">
        <w:rPr>
          <w:color w:val="000000"/>
          <w:szCs w:val="24"/>
        </w:rPr>
        <w:t>,</w:t>
      </w:r>
      <w:r w:rsidRPr="000435E4">
        <w:rPr>
          <w:color w:val="000000"/>
          <w:szCs w:val="24"/>
        </w:rPr>
        <w:t xml:space="preserve"> another 100 ml </w:t>
      </w:r>
      <w:r w:rsidRPr="00CC1C95">
        <w:rPr>
          <w:color w:val="000000"/>
          <w:szCs w:val="24"/>
        </w:rPr>
        <w:t>n</w:t>
      </w:r>
      <w:r>
        <w:rPr>
          <w:color w:val="000000"/>
          <w:szCs w:val="24"/>
        </w:rPr>
        <w:t>-</w:t>
      </w:r>
      <w:r w:rsidRPr="000435E4">
        <w:rPr>
          <w:color w:val="000000"/>
          <w:szCs w:val="24"/>
        </w:rPr>
        <w:t xml:space="preserve">heptane are added on top and collected after passage of the column. </w:t>
      </w:r>
    </w:p>
    <w:p w:rsidR="00CC1C95" w:rsidRPr="000435E4" w:rsidRDefault="00CC1C95" w:rsidP="000435E4">
      <w:pPr>
        <w:rPr>
          <w:color w:val="000000"/>
          <w:szCs w:val="24"/>
        </w:rPr>
      </w:pPr>
      <w:r w:rsidRPr="000435E4">
        <w:rPr>
          <w:color w:val="000000"/>
          <w:szCs w:val="24"/>
        </w:rPr>
        <w:t xml:space="preserve">Before GC-MS analysis, the volumes of cleaned extracts are reduced to about 1-100 ml (depending on the expected concentrations in the sample) using a rotary evaporator. </w:t>
      </w:r>
    </w:p>
    <w:p w:rsidR="00CC1C95" w:rsidRPr="00EC556A" w:rsidRDefault="00CC1C95" w:rsidP="00EE0DB2">
      <w:pPr>
        <w:pStyle w:val="Heading3"/>
        <w:numPr>
          <w:ilvl w:val="2"/>
          <w:numId w:val="9"/>
        </w:numPr>
        <w:tabs>
          <w:tab w:val="num" w:pos="0"/>
        </w:tabs>
        <w:snapToGrid/>
        <w:spacing w:before="240" w:after="60" w:line="276" w:lineRule="auto"/>
        <w:ind w:left="0" w:firstLine="0"/>
        <w:jc w:val="both"/>
      </w:pPr>
      <w:bookmarkStart w:id="264" w:name="_Toc349335760"/>
      <w:r w:rsidRPr="00EC556A">
        <w:t>Extraction of flexible and rigid polyurethane foam (Bergmann 2006)</w:t>
      </w:r>
      <w:r w:rsidRPr="00EC556A">
        <w:rPr>
          <w:rStyle w:val="FootnoteReference"/>
        </w:rPr>
        <w:footnoteReference w:id="37"/>
      </w:r>
      <w:bookmarkEnd w:id="264"/>
    </w:p>
    <w:p w:rsidR="00CC1C95" w:rsidRPr="00EC556A" w:rsidRDefault="00CC1C95" w:rsidP="00EE0DB2">
      <w:pPr>
        <w:ind w:firstLine="708"/>
        <w:rPr>
          <w:color w:val="000000"/>
          <w:szCs w:val="24"/>
        </w:rPr>
      </w:pPr>
      <w:r w:rsidRPr="00EC556A">
        <w:rPr>
          <w:color w:val="000000"/>
          <w:szCs w:val="24"/>
        </w:rPr>
        <w:t>For extraction of POP-PBDE from polyurethane</w:t>
      </w:r>
      <w:r w:rsidR="00D8415D">
        <w:rPr>
          <w:color w:val="000000"/>
          <w:szCs w:val="24"/>
        </w:rPr>
        <w:t>,</w:t>
      </w:r>
      <w:r w:rsidRPr="00EC556A">
        <w:rPr>
          <w:color w:val="000000"/>
          <w:szCs w:val="24"/>
        </w:rPr>
        <w:t xml:space="preserve"> solid-liquid extraction is sufficient to achieve an excellent recovery of POP-PBDE. Soxhlet extraction with toluene was found most effective. After 2 hours extraction time</w:t>
      </w:r>
      <w:r>
        <w:rPr>
          <w:color w:val="000000"/>
          <w:szCs w:val="24"/>
        </w:rPr>
        <w:t>,</w:t>
      </w:r>
      <w:r w:rsidRPr="00EC556A">
        <w:rPr>
          <w:color w:val="000000"/>
          <w:szCs w:val="24"/>
        </w:rPr>
        <w:t xml:space="preserve"> exhaustive extraction is achieved without detection of PBDE in extracted PUR foam. </w:t>
      </w:r>
    </w:p>
    <w:p w:rsidR="00CC1C95" w:rsidRPr="00EC556A" w:rsidRDefault="00CC1C95" w:rsidP="00EE0DB2">
      <w:pPr>
        <w:pStyle w:val="Heading3"/>
        <w:numPr>
          <w:ilvl w:val="2"/>
          <w:numId w:val="9"/>
        </w:numPr>
        <w:tabs>
          <w:tab w:val="num" w:pos="0"/>
        </w:tabs>
        <w:snapToGrid/>
        <w:spacing w:before="240" w:after="60" w:line="276" w:lineRule="auto"/>
        <w:ind w:left="0" w:firstLine="0"/>
        <w:jc w:val="both"/>
      </w:pPr>
      <w:bookmarkStart w:id="265" w:name="_Toc331690464"/>
      <w:bookmarkStart w:id="266" w:name="_Toc331736794"/>
      <w:bookmarkStart w:id="267" w:name="_Toc331771831"/>
      <w:bookmarkStart w:id="268" w:name="_Toc331772881"/>
      <w:bookmarkStart w:id="269" w:name="_Toc331797182"/>
      <w:bookmarkStart w:id="270" w:name="_Toc331798288"/>
      <w:bookmarkStart w:id="271" w:name="_Toc349335761"/>
      <w:bookmarkEnd w:id="265"/>
      <w:bookmarkEnd w:id="266"/>
      <w:bookmarkEnd w:id="267"/>
      <w:bookmarkEnd w:id="268"/>
      <w:bookmarkEnd w:id="269"/>
      <w:bookmarkEnd w:id="270"/>
      <w:r w:rsidRPr="00EC556A">
        <w:t>Specific considerations on quality assurance</w:t>
      </w:r>
      <w:bookmarkEnd w:id="271"/>
    </w:p>
    <w:p w:rsidR="00CC1C95" w:rsidRPr="00EC556A" w:rsidRDefault="00CC1C95" w:rsidP="00EE0DB2">
      <w:pPr>
        <w:ind w:firstLine="180"/>
        <w:rPr>
          <w:color w:val="000000"/>
          <w:szCs w:val="24"/>
        </w:rPr>
      </w:pPr>
      <w:r w:rsidRPr="00EC556A">
        <w:rPr>
          <w:color w:val="000000"/>
          <w:szCs w:val="24"/>
        </w:rPr>
        <w:t xml:space="preserve">Common procedures for the quality assurance of analysis of newly listed POP are described in section 2 above.  </w:t>
      </w:r>
      <w:r w:rsidRPr="00EC556A">
        <w:t>Specific measures for POP-</w:t>
      </w:r>
      <w:r>
        <w:rPr>
          <w:color w:val="000000"/>
          <w:szCs w:val="24"/>
        </w:rPr>
        <w:t>PBDEs</w:t>
      </w:r>
      <w:r w:rsidRPr="00EC556A">
        <w:rPr>
          <w:color w:val="000000"/>
          <w:szCs w:val="24"/>
        </w:rPr>
        <w:t xml:space="preserve"> (and other BFRs) include: </w:t>
      </w:r>
    </w:p>
    <w:p w:rsidR="00CC1C95" w:rsidRPr="000435E4" w:rsidRDefault="00CC1C95" w:rsidP="00EE0DB2">
      <w:pPr>
        <w:pStyle w:val="BulletLevel1"/>
        <w:spacing w:line="276" w:lineRule="auto"/>
        <w:ind w:left="450" w:hanging="270"/>
      </w:pPr>
      <w:r w:rsidRPr="000435E4">
        <w:t xml:space="preserve">measures to minimise exposure of samples to UV-light to avoid losses through degradation </w:t>
      </w:r>
    </w:p>
    <w:p w:rsidR="00CC1C95" w:rsidRPr="000435E4" w:rsidRDefault="00CC1C95" w:rsidP="00EE0DB2">
      <w:pPr>
        <w:pStyle w:val="BulletLevel1"/>
        <w:spacing w:line="276" w:lineRule="auto"/>
        <w:ind w:left="450" w:hanging="270"/>
      </w:pPr>
      <w:r w:rsidRPr="000435E4">
        <w:t xml:space="preserve">all glass vials either covered with alumina foil paper or use of brown glassware </w:t>
      </w:r>
    </w:p>
    <w:p w:rsidR="00CC1C95" w:rsidRDefault="00CC1C95" w:rsidP="00EE0DB2">
      <w:pPr>
        <w:pStyle w:val="BulletLevel1"/>
        <w:spacing w:line="276" w:lineRule="auto"/>
        <w:ind w:left="450" w:hanging="270"/>
      </w:pPr>
      <w:r w:rsidRPr="000435E4">
        <w:t>lamps in the laboratory to cover with UV-protective film</w:t>
      </w:r>
    </w:p>
    <w:p w:rsidR="00CC1C95" w:rsidRPr="000435E4" w:rsidRDefault="00CC1C95" w:rsidP="000435E4">
      <w:pPr>
        <w:pStyle w:val="BulletLevel1"/>
        <w:numPr>
          <w:ilvl w:val="0"/>
          <w:numId w:val="0"/>
        </w:numPr>
        <w:spacing w:line="276" w:lineRule="auto"/>
        <w:ind w:left="461" w:hanging="274"/>
      </w:pPr>
    </w:p>
    <w:p w:rsidR="00CC1C95" w:rsidRPr="000435E4" w:rsidRDefault="00CC1C95" w:rsidP="00EE0DB2">
      <w:pPr>
        <w:pStyle w:val="Heading2"/>
        <w:numPr>
          <w:ilvl w:val="1"/>
          <w:numId w:val="9"/>
        </w:numPr>
        <w:tabs>
          <w:tab w:val="num" w:pos="993"/>
        </w:tabs>
        <w:snapToGrid/>
        <w:spacing w:after="0" w:line="276" w:lineRule="auto"/>
        <w:ind w:left="993" w:firstLine="0"/>
        <w:jc w:val="both"/>
        <w:rPr>
          <w:sz w:val="26"/>
          <w:szCs w:val="26"/>
          <w:lang w:val="fr-CH"/>
        </w:rPr>
      </w:pPr>
      <w:bookmarkStart w:id="272" w:name="_Toc349335762"/>
      <w:r w:rsidRPr="000435E4">
        <w:rPr>
          <w:b w:val="0"/>
          <w:sz w:val="26"/>
          <w:szCs w:val="26"/>
          <w:lang w:val="fr-CH"/>
        </w:rPr>
        <w:t>Quantitative (and semi-quantitative) analysis</w:t>
      </w:r>
      <w:bookmarkEnd w:id="272"/>
      <w:r w:rsidRPr="000435E4">
        <w:rPr>
          <w:b w:val="0"/>
          <w:sz w:val="26"/>
          <w:szCs w:val="26"/>
          <w:lang w:val="fr-CH"/>
        </w:rPr>
        <w:t xml:space="preserve"> </w:t>
      </w:r>
    </w:p>
    <w:p w:rsidR="00CC1C95" w:rsidRPr="00EC556A" w:rsidRDefault="00CC1C95" w:rsidP="00EE0DB2">
      <w:pPr>
        <w:pStyle w:val="Heading3"/>
        <w:numPr>
          <w:ilvl w:val="2"/>
          <w:numId w:val="9"/>
        </w:numPr>
        <w:tabs>
          <w:tab w:val="num" w:pos="0"/>
        </w:tabs>
        <w:snapToGrid/>
        <w:spacing w:before="240" w:after="60" w:line="276" w:lineRule="auto"/>
        <w:ind w:left="0" w:firstLine="0"/>
        <w:jc w:val="both"/>
      </w:pPr>
      <w:bookmarkStart w:id="273" w:name="_Toc349335763"/>
      <w:r w:rsidRPr="00EC556A">
        <w:t>POP-PBDE relevant to the Stockholm Convention and measurement standards</w:t>
      </w:r>
      <w:bookmarkEnd w:id="273"/>
    </w:p>
    <w:p w:rsidR="00CC1C95" w:rsidRPr="00EC556A" w:rsidRDefault="00CC1C95" w:rsidP="00EE0DB2">
      <w:pPr>
        <w:ind w:firstLine="708"/>
      </w:pPr>
      <w:r w:rsidRPr="00EC556A">
        <w:t>A measurement method for PBDE for Stockholm Convention purposes need to cover the tetraBDEs, pentaBDEs, hexaBDEs and heptaBDEs (major congeners of commercial mixtures are listed in Annex 3). The higher brominated homologues (</w:t>
      </w:r>
      <w:r>
        <w:t>o</w:t>
      </w:r>
      <w:r w:rsidRPr="00EC556A">
        <w:t>ctaBDE, nonaBDE and decaBDE) are not considered POP-PBDEs but might be analysed together with POP-PBDE.</w:t>
      </w:r>
    </w:p>
    <w:p w:rsidR="00CC1C95" w:rsidRPr="00EC556A" w:rsidRDefault="00CC1C95" w:rsidP="00EE0DB2">
      <w:pPr>
        <w:pStyle w:val="Heading4"/>
        <w:numPr>
          <w:ilvl w:val="3"/>
          <w:numId w:val="0"/>
        </w:numPr>
        <w:tabs>
          <w:tab w:val="num" w:pos="0"/>
        </w:tabs>
        <w:snapToGrid/>
        <w:spacing w:before="240" w:after="60" w:line="360" w:lineRule="auto"/>
        <w:jc w:val="both"/>
      </w:pPr>
      <w:r>
        <w:rPr>
          <w:i w:val="0"/>
        </w:rPr>
        <w:t>POP-PBDE</w:t>
      </w:r>
      <w:r w:rsidRPr="00EC556A">
        <w:rPr>
          <w:i w:val="0"/>
        </w:rPr>
        <w:t xml:space="preserve"> standard</w:t>
      </w:r>
    </w:p>
    <w:p w:rsidR="00CC1C95" w:rsidRDefault="00CC1C95" w:rsidP="00EE0DB2">
      <w:pPr>
        <w:ind w:firstLine="708"/>
        <w:rPr>
          <w:color w:val="000000"/>
          <w:szCs w:val="24"/>
        </w:rPr>
      </w:pPr>
      <w:r w:rsidRPr="00EC556A">
        <w:rPr>
          <w:color w:val="000000"/>
          <w:szCs w:val="24"/>
        </w:rPr>
        <w:t xml:space="preserve">For the quantification of POP-PBDE in articles normally external standardization is used. In the standard approach of Fraunhofer Institute working on recycling of </w:t>
      </w:r>
      <w:r>
        <w:rPr>
          <w:color w:val="000000"/>
          <w:szCs w:val="24"/>
        </w:rPr>
        <w:t>WEEE</w:t>
      </w:r>
      <w:r w:rsidRPr="00EC556A">
        <w:rPr>
          <w:color w:val="000000"/>
          <w:szCs w:val="24"/>
        </w:rPr>
        <w:t xml:space="preserve"> polymers since a decade (Schlummer et al. 2006)</w:t>
      </w:r>
      <w:r w:rsidRPr="00EC556A">
        <w:rPr>
          <w:rStyle w:val="FootnoteReference"/>
          <w:color w:val="000000"/>
          <w:szCs w:val="24"/>
        </w:rPr>
        <w:footnoteReference w:id="38"/>
      </w:r>
      <w:r w:rsidRPr="00EC556A">
        <w:rPr>
          <w:color w:val="000000"/>
          <w:szCs w:val="24"/>
        </w:rPr>
        <w:t xml:space="preserve"> following </w:t>
      </w:r>
      <w:r>
        <w:rPr>
          <w:color w:val="000000"/>
          <w:szCs w:val="24"/>
        </w:rPr>
        <w:t>PBDE and BFR s</w:t>
      </w:r>
      <w:r w:rsidRPr="00EC556A">
        <w:rPr>
          <w:color w:val="000000"/>
          <w:szCs w:val="24"/>
        </w:rPr>
        <w:t>tandards are used for monitoring of POP-PBDEs and other relevant BFRs</w:t>
      </w:r>
      <w:r w:rsidRPr="00EC556A">
        <w:rPr>
          <w:rStyle w:val="FootnoteReference"/>
          <w:color w:val="000000"/>
          <w:szCs w:val="24"/>
        </w:rPr>
        <w:footnoteReference w:id="39"/>
      </w:r>
      <w:r w:rsidRPr="00EC556A">
        <w:rPr>
          <w:color w:val="000000"/>
          <w:szCs w:val="24"/>
        </w:rPr>
        <w:t>: major c-</w:t>
      </w:r>
      <w:r>
        <w:rPr>
          <w:color w:val="000000"/>
          <w:szCs w:val="24"/>
        </w:rPr>
        <w:t>O</w:t>
      </w:r>
      <w:r w:rsidRPr="00EC556A">
        <w:rPr>
          <w:color w:val="000000"/>
          <w:szCs w:val="24"/>
        </w:rPr>
        <w:t>ctaBDE congeners (see Figure 4-1), decaBDE, 3,3',5,5'-tetrabromobisphenol A (TBBPA) and</w:t>
      </w:r>
      <w:r w:rsidR="00215616">
        <w:rPr>
          <w:color w:val="000000"/>
          <w:szCs w:val="24"/>
        </w:rPr>
        <w:t xml:space="preserve"> </w:t>
      </w:r>
      <w:r w:rsidR="00215616" w:rsidRPr="00215616">
        <w:t xml:space="preserve">tetrabromobisphenol A bis(2,3-dibromopropyl ether) </w:t>
      </w:r>
      <w:r w:rsidR="00215616">
        <w:t>(</w:t>
      </w:r>
      <w:r w:rsidRPr="00EC556A">
        <w:rPr>
          <w:color w:val="000000"/>
          <w:szCs w:val="24"/>
        </w:rPr>
        <w:t>TBBPE</w:t>
      </w:r>
      <w:r w:rsidR="00215616">
        <w:rPr>
          <w:color w:val="000000"/>
          <w:szCs w:val="24"/>
        </w:rPr>
        <w:t>)</w:t>
      </w:r>
      <w:r w:rsidRPr="00EC556A">
        <w:rPr>
          <w:color w:val="000000"/>
          <w:szCs w:val="24"/>
        </w:rPr>
        <w:t xml:space="preserve">. </w:t>
      </w:r>
      <w:r>
        <w:rPr>
          <w:color w:val="000000"/>
          <w:szCs w:val="24"/>
        </w:rPr>
        <w:t>At least these standards are recommended since depending on the column those major used BFRs can co-elute with POP-PBDEs and therefore need to be considered. T</w:t>
      </w:r>
      <w:r w:rsidRPr="00EC556A">
        <w:rPr>
          <w:color w:val="000000"/>
          <w:szCs w:val="24"/>
        </w:rPr>
        <w:t xml:space="preserve">hese main BFR </w:t>
      </w:r>
      <w:r>
        <w:rPr>
          <w:color w:val="000000"/>
          <w:szCs w:val="24"/>
        </w:rPr>
        <w:t>c</w:t>
      </w:r>
      <w:r w:rsidRPr="00EC556A">
        <w:rPr>
          <w:color w:val="000000"/>
          <w:szCs w:val="24"/>
        </w:rPr>
        <w:t>ould also be evaluated (possibly determined) to be able to describe the correct peaks in particular when using ECD detectors used preferably in developing countries. The BFRs standard solution are also used to check the chromatographic separation and that other major BFRs do not co-elute with POP-PBDE (relevant in particular when using ECD technique). In Figure 4-1 the chromatograms of WEEE plastics are shown containing mixtures of flame retardants including POP-PBDEs. On the column used the TBBPA co-elutes with POP-PBDE 153.</w:t>
      </w:r>
    </w:p>
    <w:p w:rsidR="00CC1C95" w:rsidRPr="00EC556A" w:rsidRDefault="00CC1C95" w:rsidP="00EE0DB2">
      <w:r w:rsidRPr="00EC556A">
        <w:rPr>
          <w:color w:val="000000"/>
          <w:szCs w:val="24"/>
        </w:rPr>
        <w:t>The standards are stored under exclusion of lights to prevent photolytic tran</w:t>
      </w:r>
      <w:r>
        <w:rPr>
          <w:color w:val="000000"/>
          <w:szCs w:val="24"/>
        </w:rPr>
        <w:t>s</w:t>
      </w:r>
      <w:r w:rsidRPr="00EC556A">
        <w:rPr>
          <w:color w:val="000000"/>
          <w:szCs w:val="24"/>
        </w:rPr>
        <w:t xml:space="preserve">formation. Stock solutions of individual standard are prepared by weighing and dissolving the crystalline solids into </w:t>
      </w:r>
      <w:r w:rsidR="00363170">
        <w:rPr>
          <w:color w:val="000000"/>
          <w:szCs w:val="24"/>
        </w:rPr>
        <w:t>THF</w:t>
      </w:r>
      <w:r w:rsidRPr="00EC556A">
        <w:rPr>
          <w:color w:val="000000"/>
          <w:szCs w:val="24"/>
        </w:rPr>
        <w:t xml:space="preserve">. The concentration of each BFRs standard is approximately 1000 ppm. Working solutions </w:t>
      </w:r>
      <w:r>
        <w:rPr>
          <w:color w:val="000000"/>
          <w:szCs w:val="24"/>
        </w:rPr>
        <w:t>are</w:t>
      </w:r>
      <w:r w:rsidRPr="00EC556A">
        <w:rPr>
          <w:color w:val="000000"/>
          <w:szCs w:val="24"/>
        </w:rPr>
        <w:t xml:space="preserve"> prepared directly before use by diluting the standard to 5 concentrations between 1 and 100 ppm. A mixture of BFR standards is dissolved together in appropriate portion of </w:t>
      </w:r>
      <w:r w:rsidR="006340BC">
        <w:rPr>
          <w:color w:val="000000"/>
          <w:szCs w:val="24"/>
        </w:rPr>
        <w:t>THF</w:t>
      </w:r>
      <w:r w:rsidR="006340BC" w:rsidRPr="00EC556A">
        <w:rPr>
          <w:color w:val="000000"/>
          <w:szCs w:val="24"/>
        </w:rPr>
        <w:t xml:space="preserve"> </w:t>
      </w:r>
      <w:r w:rsidRPr="00EC556A">
        <w:rPr>
          <w:color w:val="000000"/>
          <w:szCs w:val="24"/>
        </w:rPr>
        <w:t xml:space="preserve">and </w:t>
      </w:r>
      <w:r w:rsidRPr="00EC556A">
        <w:rPr>
          <w:i/>
          <w:color w:val="000000"/>
          <w:szCs w:val="24"/>
        </w:rPr>
        <w:t>n-</w:t>
      </w:r>
      <w:r w:rsidRPr="00EC556A">
        <w:rPr>
          <w:color w:val="000000"/>
          <w:szCs w:val="24"/>
        </w:rPr>
        <w:t>heptane.</w:t>
      </w:r>
      <w:r w:rsidR="000F7DF5">
        <w:rPr>
          <w:color w:val="000000"/>
          <w:szCs w:val="24"/>
        </w:rPr>
        <w:t xml:space="preserve"> </w:t>
      </w:r>
      <w:r w:rsidRPr="00EC556A">
        <w:t>For Stockholm Convention purposes also another calibration range might have to be used if a different ‘low POPs’ limit would be established from the 0.1% limit used for RoHS</w:t>
      </w:r>
      <w:r w:rsidRPr="00EC556A">
        <w:rPr>
          <w:rStyle w:val="FootnoteReference"/>
        </w:rPr>
        <w:footnoteReference w:id="40"/>
      </w:r>
      <w:r w:rsidRPr="00EC556A">
        <w:t xml:space="preserve">.  </w:t>
      </w:r>
    </w:p>
    <w:p w:rsidR="00CC1C95" w:rsidRPr="00EC556A" w:rsidRDefault="00CC1C95" w:rsidP="00EE0DB2">
      <w:pPr>
        <w:pStyle w:val="Heading3"/>
        <w:numPr>
          <w:ilvl w:val="2"/>
          <w:numId w:val="9"/>
        </w:numPr>
        <w:tabs>
          <w:tab w:val="num" w:pos="0"/>
        </w:tabs>
        <w:snapToGrid/>
        <w:spacing w:before="240" w:after="60" w:line="276" w:lineRule="auto"/>
        <w:ind w:left="0" w:firstLine="0"/>
        <w:jc w:val="both"/>
        <w:rPr>
          <w:rFonts w:eastAsia="SimSun"/>
        </w:rPr>
      </w:pPr>
      <w:bookmarkStart w:id="274" w:name="_Toc349335764"/>
      <w:r w:rsidRPr="00EC556A">
        <w:rPr>
          <w:rFonts w:eastAsia="Times-Roman"/>
        </w:rPr>
        <w:t xml:space="preserve">Instrumental analysis of </w:t>
      </w:r>
      <w:r w:rsidRPr="00EC556A">
        <w:rPr>
          <w:rFonts w:eastAsia="SimSun"/>
        </w:rPr>
        <w:t>POP-PBDEs</w:t>
      </w:r>
      <w:bookmarkEnd w:id="274"/>
    </w:p>
    <w:p w:rsidR="00CC1C95" w:rsidRPr="00EC556A" w:rsidRDefault="00CC1C95" w:rsidP="00EE0DB2">
      <w:pPr>
        <w:pStyle w:val="Heading4"/>
        <w:numPr>
          <w:ilvl w:val="3"/>
          <w:numId w:val="0"/>
        </w:numPr>
        <w:tabs>
          <w:tab w:val="num" w:pos="0"/>
        </w:tabs>
        <w:snapToGrid/>
        <w:spacing w:before="240" w:after="60" w:line="360" w:lineRule="auto"/>
        <w:jc w:val="both"/>
        <w:rPr>
          <w:rFonts w:eastAsia="Times-Roman"/>
        </w:rPr>
      </w:pPr>
      <w:r w:rsidRPr="00EC556A">
        <w:rPr>
          <w:rFonts w:eastAsia="Times-Roman"/>
          <w:i w:val="0"/>
        </w:rPr>
        <w:t>Separation techniques</w:t>
      </w:r>
    </w:p>
    <w:p w:rsidR="00CC1C95" w:rsidRDefault="00CC1C95" w:rsidP="00EE0DB2">
      <w:pPr>
        <w:ind w:firstLine="708"/>
        <w:rPr>
          <w:rFonts w:eastAsia="Times-Roman"/>
        </w:rPr>
      </w:pPr>
      <w:r w:rsidRPr="00EC556A">
        <w:rPr>
          <w:rFonts w:eastAsia="Times-Roman"/>
        </w:rPr>
        <w:t>The state-of-the-art analytical technique for analysis of the POP-PBDE congeners addressed by the Stockholm Convention (tetraBDE to heptaBDE) are chromatographic techniques</w:t>
      </w:r>
      <w:r w:rsidRPr="00EC556A">
        <w:rPr>
          <w:rStyle w:val="FootnoteReference"/>
          <w:rFonts w:eastAsia="Times-Roman"/>
        </w:rPr>
        <w:footnoteReference w:id="41"/>
      </w:r>
      <w:r w:rsidRPr="00EC556A">
        <w:rPr>
          <w:rFonts w:eastAsia="Times-Roman"/>
          <w:vertAlign w:val="superscript"/>
        </w:rPr>
        <w:t>,</w:t>
      </w:r>
      <w:r w:rsidR="00AD31E8">
        <w:rPr>
          <w:rFonts w:eastAsia="Times-Roman"/>
          <w:vertAlign w:val="superscript"/>
        </w:rPr>
        <w:t xml:space="preserve"> </w:t>
      </w:r>
      <w:r w:rsidRPr="00EC556A">
        <w:rPr>
          <w:rStyle w:val="FootnoteReference"/>
          <w:rFonts w:eastAsia="Times-Roman"/>
        </w:rPr>
        <w:footnoteReference w:id="42"/>
      </w:r>
      <w:r w:rsidRPr="00EC556A">
        <w:rPr>
          <w:rFonts w:eastAsia="Times-Roman"/>
        </w:rPr>
        <w:t xml:space="preserve">. </w:t>
      </w:r>
    </w:p>
    <w:p w:rsidR="00CC1C95" w:rsidRPr="00EC556A" w:rsidRDefault="00CC1C95" w:rsidP="00D21BDD">
      <w:pPr>
        <w:rPr>
          <w:rFonts w:eastAsia="Times-Roman"/>
        </w:rPr>
      </w:pPr>
      <w:r w:rsidRPr="00EC556A">
        <w:t>As chromatographic technique gas chromatography (GC) is normally used. Liquid chromatography (LC, HPLC) has rarely been applied</w:t>
      </w:r>
      <w:r>
        <w:t xml:space="preserve">, particularly because of the lower </w:t>
      </w:r>
      <w:r w:rsidRPr="00EC556A">
        <w:t>separation efficiency. The international standard IEC 62321 describes in addition to GC/MS also a High P</w:t>
      </w:r>
      <w:r w:rsidR="00D21BDD">
        <w:t>erformance</w:t>
      </w:r>
      <w:r w:rsidRPr="00EC556A">
        <w:t xml:space="preserve"> Liquid Chromatography method coupled to Ultra Violet detection (HPLC/UV). </w:t>
      </w:r>
      <w:r w:rsidRPr="00EC556A">
        <w:rPr>
          <w:rFonts w:eastAsia="Times-Roman"/>
        </w:rPr>
        <w:t xml:space="preserve">GC separation is normally performed on a non-polar </w:t>
      </w:r>
      <w:r w:rsidR="00AD31E8">
        <w:rPr>
          <w:rFonts w:eastAsia="Times-Roman"/>
        </w:rPr>
        <w:t>10-</w:t>
      </w:r>
      <w:r w:rsidRPr="00EC556A">
        <w:rPr>
          <w:rFonts w:eastAsia="Times-Roman"/>
        </w:rPr>
        <w:t>30 meter GC column</w:t>
      </w:r>
      <w:r>
        <w:rPr>
          <w:rStyle w:val="FootnoteReference"/>
          <w:rFonts w:eastAsia="Times-Roman"/>
        </w:rPr>
        <w:footnoteReference w:id="43"/>
      </w:r>
      <w:r>
        <w:rPr>
          <w:rFonts w:eastAsia="Times-Roman"/>
        </w:rPr>
        <w:t xml:space="preserve">. </w:t>
      </w:r>
      <w:r w:rsidRPr="00EC556A">
        <w:rPr>
          <w:rFonts w:eastAsia="Times-Roman"/>
        </w:rPr>
        <w:t>Injection temperature should be below 260°C</w:t>
      </w:r>
      <w:r>
        <w:rPr>
          <w:rFonts w:eastAsia="Times-Roman"/>
        </w:rPr>
        <w:t xml:space="preserve"> or cold on-column injection should be applied</w:t>
      </w:r>
      <w:r w:rsidRPr="00EC556A">
        <w:rPr>
          <w:rFonts w:eastAsia="Times-Roman"/>
        </w:rPr>
        <w:t xml:space="preserve">, since higher temperature might lead to a degradation of DecaBDE and possibly lead to lower brominated PBDE artefacts. </w:t>
      </w:r>
    </w:p>
    <w:p w:rsidR="00CC1C95" w:rsidRPr="00EC556A" w:rsidRDefault="00CC1C95" w:rsidP="00EE0DB2">
      <w:pPr>
        <w:pStyle w:val="Heading4"/>
        <w:numPr>
          <w:ilvl w:val="3"/>
          <w:numId w:val="0"/>
        </w:numPr>
        <w:tabs>
          <w:tab w:val="num" w:pos="0"/>
        </w:tabs>
        <w:snapToGrid/>
        <w:spacing w:before="240" w:after="60" w:line="360" w:lineRule="auto"/>
        <w:jc w:val="both"/>
        <w:rPr>
          <w:rFonts w:eastAsia="Times-Roman"/>
        </w:rPr>
      </w:pPr>
      <w:r w:rsidRPr="00EC556A">
        <w:rPr>
          <w:rFonts w:eastAsia="Times-Roman"/>
          <w:i w:val="0"/>
        </w:rPr>
        <w:t xml:space="preserve">Detectors: Mass spectrometer, Electron Capture Detector </w:t>
      </w:r>
    </w:p>
    <w:p w:rsidR="00CC1C95" w:rsidRDefault="00CC1C95" w:rsidP="00EE0DB2">
      <w:pPr>
        <w:ind w:firstLine="708"/>
        <w:rPr>
          <w:rFonts w:eastAsia="Times-Roman"/>
        </w:rPr>
      </w:pPr>
      <w:r w:rsidRPr="00EC556A">
        <w:rPr>
          <w:rFonts w:eastAsia="Times-Roman"/>
        </w:rPr>
        <w:t>Different detection technologies can be used for PBDEs/BFRs analysis. State of the art detection is mass spectrometry. Electron Capture Detector (ECD) is also suitable for analysing POP-PBDE and has for the monitoring of PBDE in articles and products the advantage of a higher robustness and simpler cleaning of the detector (table 4-2). The advantages and drawbacks of the main utilized detection techniques are described in the table 4-2:</w:t>
      </w:r>
    </w:p>
    <w:p w:rsidR="00CC1C95" w:rsidRPr="00EC556A" w:rsidRDefault="00CC1C95" w:rsidP="00EE0DB2">
      <w:pPr>
        <w:rPr>
          <w:rFonts w:eastAsia="Times-Roman"/>
        </w:rPr>
      </w:pPr>
      <w:r w:rsidRPr="00EC556A">
        <w:rPr>
          <w:rFonts w:eastAsia="Times-Roman"/>
        </w:rPr>
        <w:t>As mentioned for the separation unit, it is also important that the detector temperatures are not too low (&lt;300°C) in order to avoid sinks for DecaBDE but also not too high (&gt;340°C) in order to avoid degradation. In conclusion, 330-340°C is recommended for ECD detector temperatures, and 320-330 for the detector side of the column. MS ion source temperatures however, are usually set below 280°C in order to increase the life time of the filaments.</w:t>
      </w:r>
    </w:p>
    <w:p w:rsidR="00CC1C95" w:rsidRPr="00EC556A" w:rsidRDefault="00CC1C95" w:rsidP="00EE0DB2">
      <w:pPr>
        <w:pStyle w:val="Heading4"/>
        <w:numPr>
          <w:ilvl w:val="3"/>
          <w:numId w:val="0"/>
        </w:numPr>
        <w:tabs>
          <w:tab w:val="num" w:pos="0"/>
        </w:tabs>
        <w:snapToGrid/>
        <w:spacing w:before="240" w:after="60" w:line="276" w:lineRule="auto"/>
        <w:jc w:val="both"/>
      </w:pPr>
      <w:bookmarkStart w:id="275" w:name="_Toc147337799"/>
      <w:r w:rsidRPr="00EC556A">
        <w:rPr>
          <w:i w:val="0"/>
        </w:rPr>
        <w:t>PBDE detection with mass spectrometry</w:t>
      </w:r>
    </w:p>
    <w:p w:rsidR="00CC1C95" w:rsidRPr="00EC556A" w:rsidRDefault="00CC1C95" w:rsidP="00EE0DB2">
      <w:pPr>
        <w:ind w:firstLine="708"/>
        <w:rPr>
          <w:rFonts w:eastAsia="Times-Roman"/>
        </w:rPr>
      </w:pPr>
      <w:r w:rsidRPr="00EC556A">
        <w:rPr>
          <w:rFonts w:eastAsia="Times-Roman"/>
        </w:rPr>
        <w:t xml:space="preserve">Sensitive EI-MS analysis is performed in </w:t>
      </w:r>
      <w:r w:rsidR="006340BC">
        <w:rPr>
          <w:rFonts w:eastAsia="Times-Roman"/>
        </w:rPr>
        <w:t xml:space="preserve">single ion reaction mode (e.g. single ion monitoring </w:t>
      </w:r>
      <w:r w:rsidRPr="00EC556A">
        <w:rPr>
          <w:rFonts w:eastAsia="Times-Roman"/>
        </w:rPr>
        <w:t>SIM mode</w:t>
      </w:r>
      <w:r w:rsidR="006340BC">
        <w:rPr>
          <w:rFonts w:eastAsia="Times-Roman"/>
        </w:rPr>
        <w:t>)</w:t>
      </w:r>
      <w:r w:rsidRPr="00EC556A">
        <w:rPr>
          <w:rFonts w:eastAsia="Times-Roman"/>
        </w:rPr>
        <w:t>, monitoring the 2 to 3 most abundant isotope clust</w:t>
      </w:r>
      <w:r>
        <w:rPr>
          <w:rFonts w:eastAsia="Times-Roman"/>
        </w:rPr>
        <w:t xml:space="preserve">ers of the </w:t>
      </w:r>
      <w:r w:rsidR="006340BC">
        <w:rPr>
          <w:rFonts w:eastAsia="Times-Roman"/>
        </w:rPr>
        <w:t>precursor (</w:t>
      </w:r>
      <w:r>
        <w:rPr>
          <w:rFonts w:eastAsia="Times-Roman"/>
        </w:rPr>
        <w:t>molecular</w:t>
      </w:r>
      <w:r w:rsidR="006340BC">
        <w:rPr>
          <w:rFonts w:eastAsia="Times-Roman"/>
        </w:rPr>
        <w:t>)</w:t>
      </w:r>
      <w:r>
        <w:rPr>
          <w:rFonts w:eastAsia="Times-Roman"/>
        </w:rPr>
        <w:t xml:space="preserve"> ions (for triBDE to p</w:t>
      </w:r>
      <w:r w:rsidRPr="00EC556A">
        <w:rPr>
          <w:rFonts w:eastAsia="Times-Roman"/>
        </w:rPr>
        <w:t>entaBDE) and the 2 to 3 most abundant M-2</w:t>
      </w:r>
      <w:r w:rsidR="006340BC">
        <w:rPr>
          <w:rFonts w:eastAsia="Times-Roman"/>
        </w:rPr>
        <w:t xml:space="preserve"> </w:t>
      </w:r>
      <w:r w:rsidRPr="00EC556A">
        <w:rPr>
          <w:rFonts w:eastAsia="Times-Roman"/>
        </w:rPr>
        <w:t xml:space="preserve">Br isotope clusters for (HexaBDE to DecaBDE). Normally at least 2-3 SIM windows are defined, </w:t>
      </w:r>
      <w:r>
        <w:rPr>
          <w:rFonts w:eastAsia="Times-Roman"/>
        </w:rPr>
        <w:t>sometimes</w:t>
      </w:r>
      <w:r w:rsidRPr="00EC556A">
        <w:rPr>
          <w:rFonts w:eastAsia="Times-Roman"/>
        </w:rPr>
        <w:t xml:space="preserve"> SIM windows for each kind of homologues</w:t>
      </w:r>
      <w:r>
        <w:rPr>
          <w:rFonts w:eastAsia="Times-Roman"/>
        </w:rPr>
        <w:t xml:space="preserve"> are built-up</w:t>
      </w:r>
      <w:r w:rsidRPr="00EC556A">
        <w:rPr>
          <w:rFonts w:eastAsia="Times-Roman"/>
        </w:rPr>
        <w:t xml:space="preserve"> (see Annex 2-1). </w:t>
      </w:r>
    </w:p>
    <w:p w:rsidR="00CC1C95" w:rsidRDefault="00CC1C95" w:rsidP="00EE0DB2">
      <w:pPr>
        <w:rPr>
          <w:rFonts w:eastAsia="Times-Roman"/>
        </w:rPr>
      </w:pPr>
      <w:r w:rsidRPr="00EC556A">
        <w:rPr>
          <w:rFonts w:eastAsia="Times-Roman"/>
        </w:rPr>
        <w:t>For analysis of PBDE/BFR polymers low resolution mass spectrometry (LRMS)</w:t>
      </w:r>
      <w:r w:rsidRPr="00EC556A">
        <w:rPr>
          <w:rStyle w:val="FootnoteReference"/>
          <w:rFonts w:eastAsia="Times-Roman"/>
        </w:rPr>
        <w:footnoteReference w:id="44"/>
      </w:r>
      <w:r w:rsidRPr="00EC556A">
        <w:rPr>
          <w:rFonts w:eastAsia="Times-Roman"/>
        </w:rPr>
        <w:t xml:space="preserve"> is sensitive enough. Modern GC-EI-LRMS instruments are sensitive enough in the scan mode and can be run with a scan from 400-1000 m/z. </w:t>
      </w:r>
    </w:p>
    <w:p w:rsidR="00CC1C95" w:rsidRPr="00EC556A" w:rsidRDefault="00CC1C95" w:rsidP="00EE0DB2">
      <w:pPr>
        <w:rPr>
          <w:rFonts w:eastAsia="Times-Roman"/>
        </w:rPr>
      </w:pPr>
      <w:r w:rsidRPr="00EC556A">
        <w:rPr>
          <w:rFonts w:eastAsia="Times-Roman"/>
        </w:rPr>
        <w:t>Electron capture negative ionisation</w:t>
      </w:r>
      <w:r>
        <w:rPr>
          <w:rFonts w:eastAsia="Times-Roman"/>
        </w:rPr>
        <w:t xml:space="preserve"> (</w:t>
      </w:r>
      <w:r w:rsidRPr="00EC556A">
        <w:rPr>
          <w:rFonts w:eastAsia="Times-Roman"/>
        </w:rPr>
        <w:t>ECNI</w:t>
      </w:r>
      <w:r>
        <w:rPr>
          <w:rFonts w:eastAsia="Times-Roman"/>
        </w:rPr>
        <w:t xml:space="preserve">) coupled to </w:t>
      </w:r>
      <w:r w:rsidRPr="00EC556A">
        <w:rPr>
          <w:rFonts w:eastAsia="Times-Roman"/>
        </w:rPr>
        <w:t xml:space="preserve">LRMS has been reported to provide better sensitivities for higher brominated PBDE </w:t>
      </w:r>
      <w:r>
        <w:rPr>
          <w:rFonts w:eastAsia="Times-Roman"/>
        </w:rPr>
        <w:t xml:space="preserve">ECNI </w:t>
      </w:r>
      <w:r w:rsidRPr="00EC556A">
        <w:rPr>
          <w:rFonts w:eastAsia="Times-Roman"/>
        </w:rPr>
        <w:t xml:space="preserve">produces mainly </w:t>
      </w:r>
      <w:r w:rsidRPr="006340BC">
        <w:rPr>
          <w:rFonts w:eastAsia="Times-Roman"/>
          <w:i/>
        </w:rPr>
        <w:t>m/z</w:t>
      </w:r>
      <w:r w:rsidRPr="00EC556A">
        <w:rPr>
          <w:rFonts w:eastAsia="Times-Roman"/>
        </w:rPr>
        <w:t xml:space="preserve">=79/81 (bromine isotopes), which is monitored in one window. The disadvantage of this technique is that the compounds peaks do no longer provide mass spectral information and peaks are allocated by retention times only (as for ECD). The second disadvantage is, that </w:t>
      </w:r>
      <w:r w:rsidRPr="006340BC">
        <w:rPr>
          <w:rFonts w:eastAsia="Times-Roman"/>
          <w:vertAlign w:val="superscript"/>
        </w:rPr>
        <w:t>13</w:t>
      </w:r>
      <w:r w:rsidRPr="00EC556A">
        <w:rPr>
          <w:rFonts w:eastAsia="Times-Roman"/>
        </w:rPr>
        <w:t xml:space="preserve">C-labelled internal standards cannot be applied due to the same retention time and masses used. ECNI has also the disadvantage that the ionization is highly dependent on the bromine substitution pattern, making quantification inaccurate when </w:t>
      </w:r>
      <w:r w:rsidRPr="00AD31E8">
        <w:rPr>
          <w:rFonts w:eastAsia="Times-Roman"/>
          <w:vertAlign w:val="superscript"/>
        </w:rPr>
        <w:t>13</w:t>
      </w:r>
      <w:r w:rsidRPr="00EC556A">
        <w:rPr>
          <w:rFonts w:eastAsia="Times-Roman"/>
        </w:rPr>
        <w:t>C-labelled internal standards cannot be used for each individual analyte.</w:t>
      </w:r>
    </w:p>
    <w:p w:rsidR="00CC1C95" w:rsidRPr="00EC556A" w:rsidRDefault="00CC1C95" w:rsidP="00EE0DB2">
      <w:pPr>
        <w:pStyle w:val="Caption"/>
        <w:spacing w:before="0" w:after="0" w:line="276" w:lineRule="auto"/>
        <w:rPr>
          <w:rFonts w:ascii="Times New Roman" w:hAnsi="Times New Roman"/>
          <w:lang w:val="en-GB"/>
        </w:rPr>
      </w:pPr>
    </w:p>
    <w:p w:rsidR="00CC1C95" w:rsidRPr="006340BC" w:rsidRDefault="00CC1C95" w:rsidP="00EE0DB2">
      <w:pPr>
        <w:pStyle w:val="Caption"/>
        <w:spacing w:before="0" w:after="0" w:line="276" w:lineRule="auto"/>
        <w:rPr>
          <w:rFonts w:ascii="Calibri" w:eastAsia="Times-Roman" w:hAnsi="Calibri"/>
          <w:i w:val="0"/>
          <w:iCs/>
          <w:sz w:val="22"/>
          <w:szCs w:val="22"/>
          <w:lang w:val="en-GB"/>
        </w:rPr>
      </w:pPr>
      <w:r w:rsidRPr="006340BC">
        <w:rPr>
          <w:rFonts w:ascii="Calibri" w:hAnsi="Calibri"/>
          <w:b/>
          <w:bCs/>
          <w:i w:val="0"/>
          <w:iCs/>
          <w:sz w:val="22"/>
          <w:szCs w:val="22"/>
          <w:lang w:val="en-GB"/>
        </w:rPr>
        <w:t>Table 4-2:</w:t>
      </w:r>
      <w:r w:rsidRPr="006340BC">
        <w:rPr>
          <w:rFonts w:ascii="Calibri" w:eastAsia="Times-Roman" w:hAnsi="Calibri"/>
          <w:i w:val="0"/>
          <w:iCs/>
          <w:sz w:val="22"/>
          <w:szCs w:val="22"/>
          <w:lang w:val="en-GB"/>
        </w:rPr>
        <w:t xml:space="preserve"> Advantages and drawbacks of different detection techniques for PBDE/BFRs are highlighted in the table (Covaci et al., 2003 and 2007)</w:t>
      </w:r>
      <w:r w:rsidRPr="006340BC">
        <w:rPr>
          <w:rStyle w:val="FootnoteReference"/>
          <w:rFonts w:ascii="Calibri" w:eastAsia="Times-Roman" w:hAnsi="Calibri"/>
          <w:i w:val="0"/>
          <w:iCs/>
          <w:sz w:val="22"/>
          <w:szCs w:val="22"/>
        </w:rPr>
        <w:footnoteReference w:id="45"/>
      </w:r>
      <w:bookmarkEnd w:id="275"/>
    </w:p>
    <w:p w:rsidR="00AD31E8" w:rsidRPr="00B61259" w:rsidRDefault="00AD31E8" w:rsidP="00AD31E8">
      <w:pPr>
        <w:rPr>
          <w:sz w:val="10"/>
          <w:szCs w:val="10"/>
        </w:rPr>
      </w:pPr>
    </w:p>
    <w:p w:rsidR="00CC1C95" w:rsidRPr="000435E4" w:rsidRDefault="00F05101" w:rsidP="000435E4">
      <w:pPr>
        <w:rPr>
          <w:lang w:eastAsia="de-DE"/>
        </w:rPr>
      </w:pPr>
      <w:r>
        <w:rPr>
          <w:rFonts w:eastAsia="Times-Roman"/>
          <w:noProof/>
          <w:lang w:eastAsia="en-GB"/>
        </w:rPr>
        <w:drawing>
          <wp:inline distT="0" distB="0" distL="0" distR="0">
            <wp:extent cx="4505325" cy="2800350"/>
            <wp:effectExtent l="19050" t="0" r="9525" b="0"/>
            <wp:docPr id="1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4505325" cy="2800350"/>
                    </a:xfrm>
                    <a:prstGeom prst="rect">
                      <a:avLst/>
                    </a:prstGeom>
                    <a:noFill/>
                    <a:ln w="9525">
                      <a:noFill/>
                      <a:miter lim="800000"/>
                      <a:headEnd/>
                      <a:tailEnd/>
                    </a:ln>
                  </pic:spPr>
                </pic:pic>
              </a:graphicData>
            </a:graphic>
          </wp:inline>
        </w:drawing>
      </w:r>
    </w:p>
    <w:p w:rsidR="00CC1C95" w:rsidRPr="00EC556A" w:rsidRDefault="00CC1C95" w:rsidP="00EE0DB2">
      <w:pPr>
        <w:pStyle w:val="Heading4"/>
        <w:numPr>
          <w:ilvl w:val="3"/>
          <w:numId w:val="0"/>
        </w:numPr>
        <w:tabs>
          <w:tab w:val="num" w:pos="0"/>
        </w:tabs>
        <w:snapToGrid/>
        <w:spacing w:before="240" w:after="60" w:line="360" w:lineRule="auto"/>
        <w:jc w:val="both"/>
        <w:rPr>
          <w:rFonts w:eastAsia="Times-Roman"/>
        </w:rPr>
      </w:pPr>
      <w:r w:rsidRPr="00EC556A">
        <w:rPr>
          <w:rFonts w:eastAsia="Times-Roman"/>
          <w:i w:val="0"/>
        </w:rPr>
        <w:t>PBDE analysis with Electron Capture Detector (ECD)</w:t>
      </w:r>
    </w:p>
    <w:p w:rsidR="00CC1C95" w:rsidRDefault="00CC1C95" w:rsidP="00EE0DB2">
      <w:pPr>
        <w:ind w:firstLine="708"/>
        <w:rPr>
          <w:rFonts w:eastAsia="Times-Roman"/>
        </w:rPr>
      </w:pPr>
      <w:r w:rsidRPr="00EC556A">
        <w:rPr>
          <w:rFonts w:eastAsia="Times-Roman"/>
        </w:rPr>
        <w:t xml:space="preserve">Electron Capture Detector (ECD) is an appropriate detector for brominated aromatic compounds. The advantage of the detector is the robustness, the relative low costs and the ease of use (see table 2). The robustness of the detector and the slightly higher operation temperature is a particular advantage of the ECD detector when analysing “dirty” samples like polymers having often oligomers </w:t>
      </w:r>
      <w:r>
        <w:rPr>
          <w:rFonts w:eastAsia="Times-Roman"/>
        </w:rPr>
        <w:t>in the extracts</w:t>
      </w:r>
      <w:r w:rsidRPr="00EC556A">
        <w:rPr>
          <w:rFonts w:eastAsia="Times-Roman"/>
        </w:rPr>
        <w:t xml:space="preserve">. </w:t>
      </w:r>
    </w:p>
    <w:p w:rsidR="00CC1C95" w:rsidRDefault="00CC1C95" w:rsidP="00AD31E8">
      <w:pPr>
        <w:autoSpaceDE w:val="0"/>
        <w:autoSpaceDN w:val="0"/>
        <w:adjustRightInd w:val="0"/>
        <w:rPr>
          <w:rFonts w:eastAsia="Times-Roman"/>
          <w:szCs w:val="24"/>
        </w:rPr>
      </w:pPr>
      <w:r w:rsidRPr="00EC556A">
        <w:rPr>
          <w:rFonts w:eastAsia="Times-Roman"/>
        </w:rPr>
        <w:t>However, since the peak in the ECD does not include structural information, only the retention time is used to determine the respective compound. Since PBDEs are present as mixtures in the polymers they have a specific fingerprint which can be used for confirmation. A</w:t>
      </w:r>
      <w:r w:rsidR="006340BC">
        <w:rPr>
          <w:rFonts w:eastAsia="Times-Roman"/>
        </w:rPr>
        <w:t>n</w:t>
      </w:r>
      <w:r w:rsidRPr="00EC556A">
        <w:rPr>
          <w:rFonts w:eastAsia="Times-Roman"/>
        </w:rPr>
        <w:t xml:space="preserve"> interlaboratory comparison study revealed a good agreement of GC-ECD and various </w:t>
      </w:r>
      <w:r w:rsidRPr="00EC556A">
        <w:rPr>
          <w:rFonts w:eastAsia="Times-Roman"/>
          <w:szCs w:val="24"/>
        </w:rPr>
        <w:t>GC-MS techniques (</w:t>
      </w:r>
      <w:r w:rsidRPr="00EC556A">
        <w:rPr>
          <w:rFonts w:eastAsia="SimSun"/>
          <w:szCs w:val="24"/>
          <w:lang w:eastAsia="zh-CN"/>
        </w:rPr>
        <w:t>Zeleny et al. 2010)</w:t>
      </w:r>
      <w:r w:rsidRPr="00EC556A">
        <w:rPr>
          <w:rStyle w:val="FootnoteReference"/>
          <w:rFonts w:eastAsia="SimSun"/>
          <w:szCs w:val="24"/>
          <w:lang w:eastAsia="zh-CN"/>
        </w:rPr>
        <w:footnoteReference w:id="46"/>
      </w:r>
      <w:r w:rsidRPr="00EC556A">
        <w:rPr>
          <w:rFonts w:eastAsia="Times-Roman"/>
          <w:szCs w:val="24"/>
        </w:rPr>
        <w:t>.</w:t>
      </w:r>
    </w:p>
    <w:p w:rsidR="00CC1C95" w:rsidRPr="00EC556A" w:rsidRDefault="00CC1C95" w:rsidP="00EE0DB2">
      <w:pPr>
        <w:rPr>
          <w:rFonts w:eastAsia="Times-Roman"/>
        </w:rPr>
      </w:pPr>
      <w:r w:rsidRPr="00EC556A">
        <w:rPr>
          <w:rFonts w:eastAsia="Times-Roman"/>
        </w:rPr>
        <w:t xml:space="preserve">The recognition and interpretation of chromatograms from ECD detector need some experience </w:t>
      </w:r>
      <w:r>
        <w:rPr>
          <w:rFonts w:eastAsia="Times-Roman"/>
        </w:rPr>
        <w:t xml:space="preserve">to determine POP-PBDE </w:t>
      </w:r>
      <w:r w:rsidRPr="00EC556A">
        <w:rPr>
          <w:rFonts w:eastAsia="Times-Roman"/>
        </w:rPr>
        <w:t>in particular if BFR mixtures are present in recycled pl</w:t>
      </w:r>
      <w:r>
        <w:rPr>
          <w:rFonts w:eastAsia="Times-Roman"/>
        </w:rPr>
        <w:t>astics (see examples in Figure 4-1 below).</w:t>
      </w:r>
      <w:r w:rsidRPr="00EC556A">
        <w:rPr>
          <w:rFonts w:eastAsia="Times-Roman"/>
        </w:rPr>
        <w:t xml:space="preserve"> This might be more critical in future since the number of brominated flame retardants are increasing (according to the bromine industry there are approximately 75 BFRs on the market). </w:t>
      </w:r>
      <w:r w:rsidR="006340BC">
        <w:rPr>
          <w:rFonts w:eastAsia="Times-Roman"/>
        </w:rPr>
        <w:t>In addition other heteroatoms with good electron capturing abilities, such as the chlorinated and fluorinated organic compounds can give high ECD response, which can interfere with the analysis and give false positives.</w:t>
      </w:r>
    </w:p>
    <w:p w:rsidR="00AD31E8" w:rsidRPr="00EC556A" w:rsidRDefault="00F05101" w:rsidP="00AD31E8">
      <w:r>
        <w:rPr>
          <w:noProof/>
          <w:lang w:eastAsia="en-GB"/>
        </w:rPr>
        <w:drawing>
          <wp:inline distT="0" distB="0" distL="0" distR="0">
            <wp:extent cx="6248400" cy="1809750"/>
            <wp:effectExtent l="19050" t="0" r="0" b="0"/>
            <wp:docPr id="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t="5952"/>
                    <a:stretch>
                      <a:fillRect/>
                    </a:stretch>
                  </pic:blipFill>
                  <pic:spPr bwMode="auto">
                    <a:xfrm>
                      <a:off x="0" y="0"/>
                      <a:ext cx="6248400" cy="1809750"/>
                    </a:xfrm>
                    <a:prstGeom prst="rect">
                      <a:avLst/>
                    </a:prstGeom>
                    <a:noFill/>
                    <a:ln w="9525">
                      <a:noFill/>
                      <a:miter lim="800000"/>
                      <a:headEnd/>
                      <a:tailEnd/>
                    </a:ln>
                  </pic:spPr>
                </pic:pic>
              </a:graphicData>
            </a:graphic>
          </wp:inline>
        </w:drawing>
      </w:r>
    </w:p>
    <w:p w:rsidR="00AD31E8" w:rsidRPr="00EC556A" w:rsidRDefault="00AD31E8" w:rsidP="00AD31E8">
      <w:r w:rsidRPr="00EC556A">
        <w:t>a) GC ECD chromatogram of standard solution of commercial-OctaBDE (5µg/ml)</w:t>
      </w:r>
    </w:p>
    <w:p w:rsidR="00AD31E8" w:rsidRPr="00EC556A" w:rsidRDefault="00AD31E8" w:rsidP="00AD31E8"/>
    <w:p w:rsidR="00AD31E8" w:rsidRPr="00EC556A" w:rsidRDefault="00F05101" w:rsidP="00AD31E8">
      <w:r>
        <w:rPr>
          <w:noProof/>
          <w:lang w:eastAsia="en-GB"/>
        </w:rPr>
        <w:drawing>
          <wp:inline distT="0" distB="0" distL="0" distR="0">
            <wp:extent cx="6362700" cy="1876425"/>
            <wp:effectExtent l="19050" t="0" r="0" b="0"/>
            <wp:docPr id="1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t="5952"/>
                    <a:stretch>
                      <a:fillRect/>
                    </a:stretch>
                  </pic:blipFill>
                  <pic:spPr bwMode="auto">
                    <a:xfrm>
                      <a:off x="0" y="0"/>
                      <a:ext cx="6362700" cy="1876425"/>
                    </a:xfrm>
                    <a:prstGeom prst="rect">
                      <a:avLst/>
                    </a:prstGeom>
                    <a:noFill/>
                    <a:ln w="9525">
                      <a:noFill/>
                      <a:miter lim="800000"/>
                      <a:headEnd/>
                      <a:tailEnd/>
                    </a:ln>
                  </pic:spPr>
                </pic:pic>
              </a:graphicData>
            </a:graphic>
          </wp:inline>
        </w:drawing>
      </w:r>
    </w:p>
    <w:p w:rsidR="00AD31E8" w:rsidRPr="00EC556A" w:rsidRDefault="00AD31E8" w:rsidP="00AD31E8">
      <w:r w:rsidRPr="00EC556A">
        <w:t>b) GC-ECD chromatogram of a sample containing different BFRs including commercial-OctaBDE as a major BFR (Please note: TBBPA co-elutes on this column with BDE 153)</w:t>
      </w:r>
    </w:p>
    <w:p w:rsidR="00AD31E8" w:rsidRPr="00EC556A" w:rsidRDefault="00AD31E8" w:rsidP="00AD31E8"/>
    <w:p w:rsidR="00AD31E8" w:rsidRPr="00EC556A" w:rsidRDefault="00F05101" w:rsidP="00AD31E8">
      <w:r>
        <w:rPr>
          <w:noProof/>
          <w:lang w:eastAsia="en-GB"/>
        </w:rPr>
        <w:drawing>
          <wp:inline distT="0" distB="0" distL="0" distR="0">
            <wp:extent cx="6362700" cy="1752600"/>
            <wp:effectExtent l="19050" t="0" r="0" b="0"/>
            <wp:docPr id="1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t="5952"/>
                    <a:stretch>
                      <a:fillRect/>
                    </a:stretch>
                  </pic:blipFill>
                  <pic:spPr bwMode="auto">
                    <a:xfrm>
                      <a:off x="0" y="0"/>
                      <a:ext cx="6362700" cy="1752600"/>
                    </a:xfrm>
                    <a:prstGeom prst="rect">
                      <a:avLst/>
                    </a:prstGeom>
                    <a:noFill/>
                    <a:ln w="9525">
                      <a:noFill/>
                      <a:miter lim="800000"/>
                      <a:headEnd/>
                      <a:tailEnd/>
                    </a:ln>
                  </pic:spPr>
                </pic:pic>
              </a:graphicData>
            </a:graphic>
          </wp:inline>
        </w:drawing>
      </w:r>
    </w:p>
    <w:p w:rsidR="00AD31E8" w:rsidRPr="00EC556A" w:rsidRDefault="00AD31E8" w:rsidP="00AD31E8">
      <w:r w:rsidRPr="00EC556A">
        <w:t>c) Sample containing different technical BFR including traces of technical OctaBDE</w:t>
      </w:r>
    </w:p>
    <w:p w:rsidR="00AD31E8" w:rsidRPr="00EC556A" w:rsidRDefault="00AD31E8" w:rsidP="00AD31E8">
      <w:pPr>
        <w:rPr>
          <w:rFonts w:eastAsia="Times-Roman"/>
        </w:rPr>
      </w:pPr>
      <w:r w:rsidRPr="00EC556A">
        <w:rPr>
          <w:b/>
          <w:bCs/>
        </w:rPr>
        <w:t xml:space="preserve">Figure 4-1: </w:t>
      </w:r>
      <w:r w:rsidRPr="00EC556A">
        <w:t>GC/ECD chromatograms of a) c-OctaBDE standard compared to two extracts from WEEE plastic (b) and c) with BFR mixtures including c-OctaBDE and other BFRs (GC separation was obtained with a Phenomenex Zebron™ ZB-5HT Inferno™ (15 m x 0.25 mm x 0.1 µm), temperature program: 140°C (1 min), 20 °C/min (280°C), 4 °C/min (300°C), 20 °C/min (320°C, 5</w:t>
      </w:r>
      <w:r w:rsidR="006340BC">
        <w:t xml:space="preserve"> </w:t>
      </w:r>
      <w:r w:rsidRPr="00EC556A">
        <w:t>min)</w:t>
      </w:r>
    </w:p>
    <w:p w:rsidR="00CC1C95" w:rsidRPr="00EC556A" w:rsidRDefault="00CC1C95" w:rsidP="00EE0DB2">
      <w:pPr>
        <w:pStyle w:val="Heading3"/>
        <w:numPr>
          <w:ilvl w:val="2"/>
          <w:numId w:val="9"/>
        </w:numPr>
        <w:tabs>
          <w:tab w:val="num" w:pos="0"/>
        </w:tabs>
        <w:snapToGrid/>
        <w:spacing w:before="240" w:after="60" w:line="276" w:lineRule="auto"/>
        <w:ind w:left="0" w:firstLine="0"/>
        <w:jc w:val="both"/>
        <w:rPr>
          <w:rFonts w:eastAsia="SimSun"/>
        </w:rPr>
      </w:pPr>
      <w:bookmarkStart w:id="276" w:name="_Toc349335765"/>
      <w:r w:rsidRPr="00EC556A">
        <w:rPr>
          <w:rFonts w:eastAsia="SimSun"/>
        </w:rPr>
        <w:t xml:space="preserve">Example </w:t>
      </w:r>
      <w:r w:rsidR="006340BC">
        <w:rPr>
          <w:rFonts w:eastAsia="SimSun"/>
        </w:rPr>
        <w:t>of</w:t>
      </w:r>
      <w:r w:rsidR="006340BC" w:rsidRPr="00EC556A">
        <w:rPr>
          <w:rFonts w:eastAsia="SimSun"/>
        </w:rPr>
        <w:t xml:space="preserve"> </w:t>
      </w:r>
      <w:r w:rsidRPr="00EC556A">
        <w:rPr>
          <w:rFonts w:eastAsia="SimSun"/>
        </w:rPr>
        <w:t xml:space="preserve">a GC/MS setting and parameters for </w:t>
      </w:r>
      <w:r>
        <w:rPr>
          <w:rFonts w:eastAsia="SimSun"/>
        </w:rPr>
        <w:t>POP-</w:t>
      </w:r>
      <w:r w:rsidRPr="00EC556A">
        <w:rPr>
          <w:rFonts w:eastAsia="SimSun"/>
        </w:rPr>
        <w:t>PBDEs (and HBB)</w:t>
      </w:r>
      <w:bookmarkEnd w:id="276"/>
    </w:p>
    <w:p w:rsidR="00CC1C95" w:rsidRPr="00EC556A" w:rsidRDefault="00CC1C95" w:rsidP="00EE0DB2">
      <w:pPr>
        <w:ind w:firstLine="708"/>
        <w:rPr>
          <w:rFonts w:eastAsia="SimSun"/>
        </w:rPr>
      </w:pPr>
      <w:r w:rsidRPr="00EC556A">
        <w:rPr>
          <w:rFonts w:eastAsia="SimSun"/>
        </w:rPr>
        <w:t xml:space="preserve">The selected GC/MS conditions differ slightly between laboratories. Also different GC columns can be used. In Annex 2-A an example of GC/MS condition for the analysis of PBDE are given along with the related chromatogram (Annex 2-A). Also the correct masses for the MS setting are listed. </w:t>
      </w:r>
    </w:p>
    <w:p w:rsidR="00CC1C95" w:rsidRDefault="00CC1C95" w:rsidP="00EE0DB2">
      <w:pPr>
        <w:pStyle w:val="Heading3"/>
        <w:numPr>
          <w:ilvl w:val="2"/>
          <w:numId w:val="9"/>
        </w:numPr>
        <w:tabs>
          <w:tab w:val="num" w:pos="0"/>
        </w:tabs>
        <w:snapToGrid/>
        <w:spacing w:after="0" w:line="276" w:lineRule="auto"/>
        <w:ind w:left="0" w:firstLine="0"/>
        <w:jc w:val="both"/>
        <w:rPr>
          <w:bCs w:val="0"/>
          <w:lang w:eastAsia="zh-CN"/>
        </w:rPr>
      </w:pPr>
      <w:bookmarkStart w:id="277" w:name="_Toc349335766"/>
      <w:r w:rsidRPr="00D60C50">
        <w:rPr>
          <w:bCs w:val="0"/>
          <w:lang w:eastAsia="zh-CN"/>
        </w:rPr>
        <w:t>International and national standards for PBDE analysis</w:t>
      </w:r>
      <w:bookmarkEnd w:id="277"/>
    </w:p>
    <w:p w:rsidR="00D60C50" w:rsidRPr="00D60C50" w:rsidRDefault="00D60C50" w:rsidP="00D60C50">
      <w:pPr>
        <w:rPr>
          <w:lang w:eastAsia="zh-CN"/>
        </w:rPr>
      </w:pPr>
    </w:p>
    <w:p w:rsidR="00CC1C95" w:rsidRPr="00D60C50" w:rsidRDefault="00CC1C95" w:rsidP="00EE0DB2">
      <w:pPr>
        <w:pStyle w:val="Heading4"/>
        <w:numPr>
          <w:ilvl w:val="3"/>
          <w:numId w:val="0"/>
        </w:numPr>
        <w:tabs>
          <w:tab w:val="num" w:pos="0"/>
        </w:tabs>
        <w:snapToGrid/>
        <w:spacing w:after="0" w:line="276" w:lineRule="auto"/>
        <w:jc w:val="both"/>
        <w:rPr>
          <w:bCs/>
          <w:lang w:eastAsia="zh-CN"/>
        </w:rPr>
      </w:pPr>
      <w:r w:rsidRPr="00D60C50">
        <w:rPr>
          <w:bCs/>
          <w:i w:val="0"/>
          <w:lang w:eastAsia="zh-CN"/>
        </w:rPr>
        <w:t>International Standard for determination of regulated substances in electronics (IEC 62321)</w:t>
      </w:r>
    </w:p>
    <w:p w:rsidR="00CC1C95" w:rsidRDefault="00CC1C95" w:rsidP="00EE0DB2">
      <w:pPr>
        <w:ind w:firstLine="708"/>
        <w:rPr>
          <w:rFonts w:eastAsia="Times-Roman"/>
        </w:rPr>
      </w:pPr>
      <w:r w:rsidRPr="00EC556A">
        <w:rPr>
          <w:rFonts w:eastAsia="Times-Roman"/>
        </w:rPr>
        <w:t>An International Standard</w:t>
      </w:r>
      <w:r w:rsidRPr="00EC556A">
        <w:t xml:space="preserve"> IEC 62321 ed.1</w:t>
      </w:r>
      <w:r w:rsidRPr="00EC556A">
        <w:rPr>
          <w:rStyle w:val="FootnoteReference"/>
          <w:rFonts w:eastAsia="Times-Roman"/>
        </w:rPr>
        <w:footnoteReference w:id="47"/>
      </w:r>
      <w:r w:rsidRPr="00EC556A">
        <w:t xml:space="preserve"> </w:t>
      </w:r>
      <w:r w:rsidRPr="00EC556A">
        <w:rPr>
          <w:rFonts w:eastAsia="Times-Roman"/>
        </w:rPr>
        <w:t>has been developed for “</w:t>
      </w:r>
      <w:r w:rsidRPr="00EC556A">
        <w:t>Electrotechnical products – Determination of levels of six regulated substances (lead, mercury, cadmium, hexavalent chromium, polybrominated biphenyls, polybrominated diphenyl ethers)” and the second edition is</w:t>
      </w:r>
      <w:r>
        <w:t xml:space="preserve"> currently</w:t>
      </w:r>
      <w:r w:rsidRPr="00EC556A">
        <w:t xml:space="preserve"> under development</w:t>
      </w:r>
      <w:r w:rsidRPr="00EC556A">
        <w:rPr>
          <w:rFonts w:eastAsia="Times-Roman"/>
        </w:rPr>
        <w:t xml:space="preserve">. The method describes details on sample preparation and analysis. </w:t>
      </w:r>
    </w:p>
    <w:p w:rsidR="00CC1C95" w:rsidRPr="00EC556A" w:rsidRDefault="00CC1C95" w:rsidP="00EE0DB2">
      <w:r w:rsidRPr="00EC556A">
        <w:t>The Determination of PBDE (</w:t>
      </w:r>
      <w:r>
        <w:t>monoBDE to decaBDE) and PBB (m</w:t>
      </w:r>
      <w:r w:rsidRPr="00EC556A">
        <w:t>on</w:t>
      </w:r>
      <w:r>
        <w:t>oBB to d</w:t>
      </w:r>
      <w:r w:rsidRPr="00EC556A">
        <w:t xml:space="preserve">ecaBB) in polymers by GC-MS is described </w:t>
      </w:r>
      <w:r w:rsidRPr="00EC556A">
        <w:rPr>
          <w:rFonts w:eastAsia="Times-Roman"/>
        </w:rPr>
        <w:t xml:space="preserve">in </w:t>
      </w:r>
      <w:r w:rsidRPr="00EC556A">
        <w:t xml:space="preserve">Annex A of IEC 62321 - including extraction, analysis and quality assurance. The method has especially been optimized for the concentration range of 100 mg/kg and 1000 mg/kg due to the requirements of EU RoHS Directive compliance.   </w:t>
      </w:r>
    </w:p>
    <w:p w:rsidR="00CC1C95" w:rsidRPr="00EC556A" w:rsidRDefault="00CC1C95" w:rsidP="00864537">
      <w:r w:rsidRPr="00EC556A">
        <w:t>A working group (IEC TC111 WG 3) is currently drafting the 2</w:t>
      </w:r>
      <w:r w:rsidRPr="006340BC">
        <w:rPr>
          <w:vertAlign w:val="superscript"/>
        </w:rPr>
        <w:t>nd</w:t>
      </w:r>
      <w:r w:rsidRPr="00EC556A">
        <w:t xml:space="preserve"> edition of the international standard (IS 62321; 2nd edition) with determination of PBDE and PBDE as Part 6. Publication of this version is expected </w:t>
      </w:r>
      <w:r w:rsidR="00864537">
        <w:t>in</w:t>
      </w:r>
      <w:r w:rsidRPr="00EC556A">
        <w:t xml:space="preserve"> 2013.</w:t>
      </w:r>
    </w:p>
    <w:p w:rsidR="00CC1C95" w:rsidRPr="00B835E8" w:rsidRDefault="00CC1C95" w:rsidP="000435E4">
      <w:pPr>
        <w:pStyle w:val="Heading4"/>
        <w:numPr>
          <w:ilvl w:val="3"/>
          <w:numId w:val="0"/>
        </w:numPr>
        <w:tabs>
          <w:tab w:val="num" w:pos="0"/>
        </w:tabs>
        <w:snapToGrid/>
        <w:spacing w:after="0" w:line="276" w:lineRule="auto"/>
        <w:jc w:val="both"/>
        <w:rPr>
          <w:bCs/>
          <w:lang w:eastAsia="zh-CN"/>
        </w:rPr>
      </w:pPr>
      <w:r w:rsidRPr="00B835E8">
        <w:rPr>
          <w:bCs/>
          <w:i w:val="0"/>
          <w:lang w:eastAsia="zh-CN"/>
        </w:rPr>
        <w:t>German national standard for determination of PentaBDE and OctaBDE in plastic materials in respect to the RoHS directive (Kemmlein et al</w:t>
      </w:r>
      <w:r w:rsidR="00C0598F">
        <w:rPr>
          <w:bCs/>
          <w:i w:val="0"/>
          <w:lang w:eastAsia="zh-CN"/>
        </w:rPr>
        <w:t>.</w:t>
      </w:r>
      <w:r w:rsidRPr="00B835E8">
        <w:rPr>
          <w:bCs/>
          <w:i w:val="0"/>
          <w:lang w:eastAsia="zh-CN"/>
        </w:rPr>
        <w:t xml:space="preserve"> 2005)</w:t>
      </w:r>
      <w:r w:rsidRPr="00B835E8">
        <w:rPr>
          <w:bCs/>
          <w:i w:val="0"/>
          <w:vertAlign w:val="superscript"/>
          <w:lang w:eastAsia="zh-CN"/>
        </w:rPr>
        <w:footnoteReference w:id="48"/>
      </w:r>
    </w:p>
    <w:p w:rsidR="00CC1C95" w:rsidRPr="00EC556A" w:rsidRDefault="00CC1C95" w:rsidP="00EE0DB2">
      <w:pPr>
        <w:ind w:firstLine="708"/>
      </w:pPr>
      <w:r w:rsidRPr="00EC556A">
        <w:rPr>
          <w:rFonts w:eastAsia="Times-Roman"/>
        </w:rPr>
        <w:t>A standard method for determination of PentaBDE and OctaBDE in plastic materials in respect to the RoHS directive (</w:t>
      </w:r>
      <w:r w:rsidRPr="00EC556A">
        <w:t>Directive 2003/11/EC, Directive 76/769/EEC</w:t>
      </w:r>
      <w:r w:rsidRPr="00EC556A">
        <w:rPr>
          <w:rFonts w:eastAsia="Times-Roman"/>
        </w:rPr>
        <w:t xml:space="preserve">) has been developed on behalf of the German Environmental Agency (Kemmlein et al. 2005). The method includes extraction, clean-up and measurement procedures. The study has also validated the method for different </w:t>
      </w:r>
      <w:r w:rsidRPr="00EC556A">
        <w:t xml:space="preserve">polymers and assessed for reproducibility and repeatability. </w:t>
      </w:r>
      <w:r w:rsidRPr="00EC556A">
        <w:rPr>
          <w:rFonts w:eastAsia="Times-Roman"/>
        </w:rPr>
        <w:t xml:space="preserve"> </w:t>
      </w:r>
      <w:r w:rsidRPr="00EC556A">
        <w:t>The compounds analysed in this method are however limited to certain PentaBDE (BDE85 (2,2’,3,4,4’-pentaBDE), BDE99 (2,2’,4,4’,5-pentaBDE), BDE100 (2,2’,4,4’,6-pentaBDE))</w:t>
      </w:r>
      <w:r w:rsidRPr="00EC556A" w:rsidDel="00B05DB9">
        <w:t xml:space="preserve"> </w:t>
      </w:r>
      <w:r w:rsidRPr="00EC556A">
        <w:t xml:space="preserve">and OctaBDE (BDE203 (2,2’,3,4,4’,5,5’,6-octaBDE), BDE196 (2,2’,3,3’,4,4’,5,6’-octaBDE), BDE197 (2,2’,3,3’,4,4’,6,6’-OctaBDE)) since the current RoHS limit is defined for </w:t>
      </w:r>
      <w:r w:rsidRPr="00EC556A">
        <w:sym w:font="Symbol" w:char="F053"/>
      </w:r>
      <w:r w:rsidRPr="00EC556A">
        <w:t xml:space="preserve">PentaBDE and </w:t>
      </w:r>
      <w:r w:rsidRPr="00EC556A">
        <w:sym w:font="Symbol" w:char="F053"/>
      </w:r>
      <w:r w:rsidRPr="00EC556A">
        <w:t xml:space="preserve">OctaBDE with a limit of 0.1% each. </w:t>
      </w:r>
    </w:p>
    <w:p w:rsidR="00CC1C95" w:rsidRPr="00B835E8" w:rsidRDefault="00322F03" w:rsidP="00EE0DB2">
      <w:pPr>
        <w:pStyle w:val="Heading4"/>
        <w:numPr>
          <w:ilvl w:val="3"/>
          <w:numId w:val="0"/>
        </w:numPr>
        <w:tabs>
          <w:tab w:val="num" w:pos="0"/>
        </w:tabs>
        <w:snapToGrid/>
        <w:spacing w:before="240" w:after="60" w:line="360" w:lineRule="auto"/>
        <w:jc w:val="both"/>
        <w:rPr>
          <w:bCs/>
          <w:lang w:eastAsia="zh-CN"/>
        </w:rPr>
      </w:pPr>
      <w:hyperlink r:id="rId25" w:history="1">
        <w:r w:rsidR="00CC1C95" w:rsidRPr="00B835E8">
          <w:rPr>
            <w:bCs/>
            <w:i w:val="0"/>
          </w:rPr>
          <w:t>US EPA method 1614</w:t>
        </w:r>
      </w:hyperlink>
      <w:r w:rsidR="00CC1C95" w:rsidRPr="00B835E8">
        <w:rPr>
          <w:rStyle w:val="FootnoteReference"/>
          <w:bCs/>
          <w:i w:val="0"/>
          <w:lang w:eastAsia="zh-CN"/>
        </w:rPr>
        <w:footnoteReference w:id="49"/>
      </w:r>
      <w:r w:rsidR="00CC1C95" w:rsidRPr="00B835E8">
        <w:rPr>
          <w:bCs/>
          <w:i w:val="0"/>
          <w:lang w:eastAsia="zh-CN"/>
        </w:rPr>
        <w:t xml:space="preserve"> for PBDE in water, soil, sediments and tissue</w:t>
      </w:r>
    </w:p>
    <w:p w:rsidR="00CC1C95" w:rsidRPr="00EC556A" w:rsidRDefault="00CC1C95" w:rsidP="00EE0DB2">
      <w:pPr>
        <w:ind w:firstLine="708"/>
      </w:pPr>
      <w:r w:rsidRPr="00EC556A">
        <w:t>The US</w:t>
      </w:r>
      <w:r>
        <w:t xml:space="preserve"> Environmental Protection Agency (US</w:t>
      </w:r>
      <w:r w:rsidRPr="00EC556A">
        <w:t>EPA</w:t>
      </w:r>
      <w:r>
        <w:t>)</w:t>
      </w:r>
      <w:r w:rsidRPr="00EC556A">
        <w:t xml:space="preserve"> has developed a standard for the analysis of polybrominated diphenyl ethers in water soil, sediment and tissue by HRGC/HRMS. </w:t>
      </w:r>
    </w:p>
    <w:p w:rsidR="00CC1C95" w:rsidRPr="00EC556A" w:rsidRDefault="00CC1C95" w:rsidP="00EE0DB2">
      <w:r w:rsidRPr="00EC556A">
        <w:t xml:space="preserve">The GC/MS analysis described in this standard available </w:t>
      </w:r>
      <w:r>
        <w:t>o</w:t>
      </w:r>
      <w:r w:rsidRPr="00EC556A">
        <w:t>n</w:t>
      </w:r>
      <w:r>
        <w:t xml:space="preserve"> the</w:t>
      </w:r>
      <w:r w:rsidRPr="00EC556A">
        <w:t xml:space="preserve"> internet can also be used for the analysis of POP-PBDE from articles and products after appropriate clean-up. One important consideration is the concentration range defined in the method. This range needs possibly to be adjusted by dilution of the sample.</w:t>
      </w:r>
    </w:p>
    <w:p w:rsidR="00CC1C95" w:rsidRPr="00EC556A" w:rsidRDefault="00CC1C95" w:rsidP="00EE0DB2">
      <w:pPr>
        <w:pStyle w:val="Heading3"/>
        <w:numPr>
          <w:ilvl w:val="2"/>
          <w:numId w:val="9"/>
        </w:numPr>
        <w:tabs>
          <w:tab w:val="num" w:pos="0"/>
        </w:tabs>
        <w:snapToGrid/>
        <w:spacing w:after="0" w:line="276" w:lineRule="auto"/>
        <w:ind w:left="0" w:firstLine="0"/>
        <w:jc w:val="both"/>
      </w:pPr>
      <w:bookmarkStart w:id="278" w:name="_Toc349335767"/>
      <w:r w:rsidRPr="00EC556A">
        <w:t>Rapid determination techniques for PBDE analysis with minimised clean-up</w:t>
      </w:r>
      <w:bookmarkEnd w:id="278"/>
    </w:p>
    <w:p w:rsidR="00CC1C95" w:rsidRDefault="00CC1C95" w:rsidP="00EE0DB2">
      <w:pPr>
        <w:autoSpaceDE w:val="0"/>
        <w:autoSpaceDN w:val="0"/>
        <w:adjustRightInd w:val="0"/>
        <w:ind w:firstLine="708"/>
        <w:rPr>
          <w:rFonts w:eastAsia="SimSun"/>
          <w:szCs w:val="24"/>
          <w:lang w:eastAsia="zh-CN"/>
        </w:rPr>
      </w:pPr>
      <w:r w:rsidRPr="00EC556A">
        <w:rPr>
          <w:rFonts w:eastAsia="SimSun"/>
          <w:szCs w:val="24"/>
          <w:lang w:eastAsia="zh-CN"/>
        </w:rPr>
        <w:t>For more rapid analysis (compared to the standard GC methods with clean-up) some techniques have been developed for faster (but less effective) extraction techniques and to omit the clean-up steps. Pöhlein et al. (2008)</w:t>
      </w:r>
      <w:r w:rsidRPr="00EC556A">
        <w:rPr>
          <w:rStyle w:val="FootnoteReference"/>
          <w:rFonts w:eastAsia="SimSun"/>
          <w:szCs w:val="24"/>
          <w:lang w:eastAsia="zh-CN"/>
        </w:rPr>
        <w:footnoteReference w:id="50"/>
      </w:r>
      <w:r w:rsidRPr="00EC556A">
        <w:rPr>
          <w:rFonts w:eastAsia="SimSun"/>
          <w:szCs w:val="24"/>
          <w:lang w:eastAsia="zh-CN"/>
        </w:rPr>
        <w:t xml:space="preserve"> developed a rapid screening method for BFR including PBB and PBDE in polymer samples using ultra sonic extraction and GC-MS analysis. </w:t>
      </w:r>
    </w:p>
    <w:p w:rsidR="00CC1C95" w:rsidRPr="00EC556A" w:rsidRDefault="00CC1C95" w:rsidP="00EE0DB2">
      <w:pPr>
        <w:autoSpaceDE w:val="0"/>
        <w:autoSpaceDN w:val="0"/>
        <w:adjustRightInd w:val="0"/>
        <w:rPr>
          <w:rFonts w:eastAsia="SimSun"/>
          <w:szCs w:val="24"/>
          <w:lang w:eastAsia="zh-CN"/>
        </w:rPr>
      </w:pPr>
      <w:r w:rsidRPr="00EC556A">
        <w:rPr>
          <w:rFonts w:eastAsia="SimSun"/>
          <w:szCs w:val="24"/>
          <w:lang w:eastAsia="zh-CN"/>
        </w:rPr>
        <w:t>An alternative method to screen brominated flame retardants including PBDE in a selective mode without extraction and clean-up has been established. Danzer et al. (1997)</w:t>
      </w:r>
      <w:r w:rsidRPr="00EC556A">
        <w:rPr>
          <w:rStyle w:val="FootnoteReference"/>
          <w:rFonts w:eastAsia="SimSun"/>
          <w:szCs w:val="24"/>
          <w:lang w:eastAsia="zh-CN"/>
        </w:rPr>
        <w:footnoteReference w:id="51"/>
      </w:r>
      <w:r w:rsidRPr="00EC556A">
        <w:rPr>
          <w:rFonts w:eastAsia="SimSun"/>
          <w:szCs w:val="24"/>
          <w:lang w:eastAsia="zh-CN"/>
        </w:rPr>
        <w:t xml:space="preserve"> used online pyrolysis of pulverised plastic and analysed </w:t>
      </w:r>
      <w:r>
        <w:rPr>
          <w:rFonts w:eastAsia="SimSun"/>
          <w:szCs w:val="24"/>
          <w:lang w:eastAsia="zh-CN"/>
        </w:rPr>
        <w:t xml:space="preserve">samples </w:t>
      </w:r>
      <w:r w:rsidRPr="00EC556A">
        <w:rPr>
          <w:rFonts w:eastAsia="SimSun"/>
          <w:szCs w:val="24"/>
          <w:lang w:eastAsia="zh-CN"/>
        </w:rPr>
        <w:t>with gas chromatography coupled to mass spectroscopic detection (py-GC/MS).</w:t>
      </w:r>
    </w:p>
    <w:p w:rsidR="00CC1C95" w:rsidRDefault="00CC1C95" w:rsidP="00EE0DB2">
      <w:pPr>
        <w:autoSpaceDE w:val="0"/>
        <w:autoSpaceDN w:val="0"/>
        <w:adjustRightInd w:val="0"/>
        <w:rPr>
          <w:rFonts w:eastAsia="SimSun"/>
          <w:szCs w:val="24"/>
          <w:lang w:eastAsia="zh-CN"/>
        </w:rPr>
      </w:pPr>
      <w:r w:rsidRPr="00EC556A">
        <w:rPr>
          <w:rFonts w:eastAsia="SimSun"/>
          <w:szCs w:val="24"/>
          <w:lang w:eastAsia="zh-CN"/>
        </w:rPr>
        <w:t>A thermo-desorption method for polymers was developed for rapid screening of polymers of 100 TV sets and 80 computers (Rieß et al. 2000)</w:t>
      </w:r>
      <w:r w:rsidRPr="00EC556A">
        <w:rPr>
          <w:rStyle w:val="FootnoteReference"/>
          <w:rFonts w:eastAsia="SimSun"/>
          <w:szCs w:val="24"/>
          <w:lang w:eastAsia="zh-CN"/>
        </w:rPr>
        <w:footnoteReference w:id="52"/>
      </w:r>
      <w:r w:rsidRPr="00EC556A">
        <w:rPr>
          <w:rFonts w:eastAsia="SimSun"/>
          <w:szCs w:val="24"/>
          <w:lang w:eastAsia="zh-CN"/>
        </w:rPr>
        <w:t>. The pyrolysis GC/MS method has since been developed to a commercially available application by Shimadzu with a 48 sample auto-sampler (Shimadzu 2010)</w:t>
      </w:r>
      <w:r w:rsidRPr="00EC556A">
        <w:rPr>
          <w:rStyle w:val="FootnoteReference"/>
          <w:rFonts w:eastAsia="SimSun"/>
          <w:szCs w:val="24"/>
          <w:lang w:eastAsia="zh-CN"/>
        </w:rPr>
        <w:footnoteReference w:id="53"/>
      </w:r>
      <w:r w:rsidRPr="00EC556A">
        <w:rPr>
          <w:rFonts w:eastAsia="SimSun"/>
          <w:szCs w:val="24"/>
          <w:lang w:eastAsia="zh-CN"/>
        </w:rPr>
        <w:t>.</w:t>
      </w:r>
    </w:p>
    <w:p w:rsidR="00CC1C95" w:rsidRPr="00EC556A" w:rsidRDefault="00CC1C95" w:rsidP="00D21BDD">
      <w:pPr>
        <w:autoSpaceDE w:val="0"/>
        <w:autoSpaceDN w:val="0"/>
        <w:adjustRightInd w:val="0"/>
        <w:rPr>
          <w:rFonts w:eastAsia="SimSun"/>
          <w:szCs w:val="24"/>
          <w:lang w:eastAsia="zh-CN"/>
        </w:rPr>
      </w:pPr>
      <w:r w:rsidRPr="00EC556A">
        <w:rPr>
          <w:rFonts w:eastAsia="SimSun"/>
          <w:szCs w:val="24"/>
          <w:lang w:eastAsia="zh-CN"/>
        </w:rPr>
        <w:t>An independent evaluation of the quality of results of such rapid screenings has not been performed yet. The pyrolysis of matrices might lead to some degradation of PBDE including debromination reactions which have been reported for GC/MS analysis.</w:t>
      </w:r>
    </w:p>
    <w:p w:rsidR="00CC1C95" w:rsidRDefault="00CC1C95" w:rsidP="00EE0DB2">
      <w:pPr>
        <w:autoSpaceDE w:val="0"/>
        <w:autoSpaceDN w:val="0"/>
        <w:adjustRightInd w:val="0"/>
        <w:rPr>
          <w:rFonts w:eastAsia="SimSun"/>
          <w:szCs w:val="24"/>
          <w:lang w:eastAsia="zh-CN"/>
        </w:rPr>
      </w:pPr>
      <w:r w:rsidRPr="00EC556A">
        <w:rPr>
          <w:rFonts w:eastAsia="SimSun"/>
          <w:szCs w:val="24"/>
          <w:lang w:eastAsia="zh-CN"/>
        </w:rPr>
        <w:t>Such rapid analytical techniques with reduced (or no) clean-up steps reduces the number of injections between GC/MS (or other instrument) maintenance and shortens the lifetime of the GC columns (even if pre-columns are used). Both possible drawbacks need to be assessed if such rapid analysis might be used as options for POP-PBDE screenings.</w:t>
      </w:r>
    </w:p>
    <w:p w:rsidR="00CC1C95" w:rsidRPr="00EC556A" w:rsidRDefault="00CC1C95" w:rsidP="00EE0DB2">
      <w:pPr>
        <w:autoSpaceDE w:val="0"/>
        <w:autoSpaceDN w:val="0"/>
        <w:adjustRightInd w:val="0"/>
        <w:rPr>
          <w:rFonts w:eastAsia="SimSun"/>
          <w:szCs w:val="24"/>
          <w:lang w:eastAsia="zh-CN"/>
        </w:rPr>
      </w:pPr>
    </w:p>
    <w:p w:rsidR="00CC1C95" w:rsidRPr="00EC556A" w:rsidRDefault="00CC1C95" w:rsidP="00EE0DB2">
      <w:pPr>
        <w:pStyle w:val="Heading3"/>
        <w:numPr>
          <w:ilvl w:val="2"/>
          <w:numId w:val="9"/>
        </w:numPr>
        <w:tabs>
          <w:tab w:val="num" w:pos="0"/>
        </w:tabs>
        <w:snapToGrid/>
        <w:spacing w:after="0" w:line="276" w:lineRule="auto"/>
        <w:ind w:left="0" w:firstLine="0"/>
        <w:jc w:val="both"/>
        <w:rPr>
          <w:lang w:eastAsia="zh-CN"/>
        </w:rPr>
      </w:pPr>
      <w:bookmarkStart w:id="279" w:name="_Toc140723966"/>
      <w:bookmarkStart w:id="280" w:name="_Toc147337590"/>
      <w:bookmarkStart w:id="281" w:name="_Toc349335768"/>
      <w:r w:rsidRPr="00EC556A">
        <w:rPr>
          <w:lang w:eastAsia="zh-CN"/>
        </w:rPr>
        <w:t>Commercial availability of PBDE analysis</w:t>
      </w:r>
      <w:bookmarkEnd w:id="279"/>
      <w:bookmarkEnd w:id="280"/>
      <w:bookmarkEnd w:id="281"/>
    </w:p>
    <w:p w:rsidR="00CC1C95" w:rsidRPr="00EC556A" w:rsidRDefault="00CC1C95" w:rsidP="00EE0DB2">
      <w:pPr>
        <w:ind w:firstLine="708"/>
        <w:rPr>
          <w:rFonts w:eastAsia="Times-Roman"/>
        </w:rPr>
      </w:pPr>
      <w:r w:rsidRPr="00EC556A">
        <w:rPr>
          <w:rFonts w:eastAsia="Times-Roman"/>
        </w:rPr>
        <w:t>Standard commercial GC/MS analysis of PBDE in plastic and other materials is widely available in industrial countries. This is largely because of the requirement of RoHS compliance. The Commercial GC/MS analysis of brominated flame retardants are, however, still relatively expensive. The Price in Europe for PBDE analysis starts from approximately 130 EURO per sample</w:t>
      </w:r>
      <w:r w:rsidRPr="00EC556A">
        <w:rPr>
          <w:rStyle w:val="FootnoteReference"/>
          <w:rFonts w:eastAsia="Times-Roman"/>
        </w:rPr>
        <w:footnoteReference w:id="54"/>
      </w:r>
      <w:r w:rsidRPr="00EC556A">
        <w:rPr>
          <w:rFonts w:eastAsia="Times-Roman"/>
        </w:rPr>
        <w:t>.</w:t>
      </w:r>
    </w:p>
    <w:p w:rsidR="00CC1C95" w:rsidRPr="00EC556A" w:rsidRDefault="00CC1C95" w:rsidP="00EE0DB2">
      <w:pPr>
        <w:rPr>
          <w:rFonts w:eastAsia="SimSun"/>
        </w:rPr>
      </w:pPr>
    </w:p>
    <w:p w:rsidR="00CC1C95" w:rsidRPr="00EC556A" w:rsidRDefault="00CC1C95" w:rsidP="00EE0DB2">
      <w:pPr>
        <w:pStyle w:val="Heading1"/>
        <w:numPr>
          <w:ilvl w:val="0"/>
          <w:numId w:val="9"/>
        </w:numPr>
        <w:tabs>
          <w:tab w:val="num" w:pos="0"/>
        </w:tabs>
        <w:snapToGrid/>
        <w:spacing w:before="200" w:after="60" w:line="276" w:lineRule="auto"/>
        <w:ind w:left="0" w:firstLine="0"/>
        <w:jc w:val="both"/>
      </w:pPr>
      <w:bookmarkStart w:id="282" w:name="_Toc346702012"/>
      <w:bookmarkStart w:id="283" w:name="_Toc346702014"/>
      <w:bookmarkStart w:id="284" w:name="_Toc346702019"/>
      <w:bookmarkStart w:id="285" w:name="_Toc346702023"/>
      <w:bookmarkStart w:id="286" w:name="_Toc346702025"/>
      <w:bookmarkStart w:id="287" w:name="_Toc346702026"/>
      <w:bookmarkStart w:id="288" w:name="_Toc346702028"/>
      <w:bookmarkStart w:id="289" w:name="_Toc346702029"/>
      <w:bookmarkStart w:id="290" w:name="_Toc346702032"/>
      <w:bookmarkStart w:id="291" w:name="_Toc346702037"/>
      <w:bookmarkStart w:id="292" w:name="_Toc346702041"/>
      <w:bookmarkStart w:id="293" w:name="_Toc346702043"/>
      <w:bookmarkStart w:id="294" w:name="_Toc346702046"/>
      <w:bookmarkStart w:id="295" w:name="_Toc346702052"/>
      <w:bookmarkStart w:id="296" w:name="_Toc346702053"/>
      <w:bookmarkStart w:id="297" w:name="_Toc346702058"/>
      <w:bookmarkStart w:id="298" w:name="_Toc346702064"/>
      <w:bookmarkStart w:id="299" w:name="_Toc346702067"/>
      <w:bookmarkStart w:id="300" w:name="_Toc346702073"/>
      <w:bookmarkStart w:id="301" w:name="_Toc331771857"/>
      <w:bookmarkStart w:id="302" w:name="_Toc331772907"/>
      <w:bookmarkStart w:id="303" w:name="_Toc331797208"/>
      <w:bookmarkStart w:id="304" w:name="_Toc331798314"/>
      <w:bookmarkStart w:id="305" w:name="_Toc331771858"/>
      <w:bookmarkStart w:id="306" w:name="_Toc331772908"/>
      <w:bookmarkStart w:id="307" w:name="_Toc331797209"/>
      <w:bookmarkStart w:id="308" w:name="_Toc331798315"/>
      <w:bookmarkStart w:id="309" w:name="_Toc331771865"/>
      <w:bookmarkStart w:id="310" w:name="_Toc331772915"/>
      <w:bookmarkStart w:id="311" w:name="_Toc331797216"/>
      <w:bookmarkStart w:id="312" w:name="_Toc331798322"/>
      <w:bookmarkStart w:id="313" w:name="_Toc331771867"/>
      <w:bookmarkStart w:id="314" w:name="_Toc331772917"/>
      <w:bookmarkStart w:id="315" w:name="_Toc331797218"/>
      <w:bookmarkStart w:id="316" w:name="_Toc331798324"/>
      <w:bookmarkStart w:id="317" w:name="_Toc331771868"/>
      <w:bookmarkStart w:id="318" w:name="_Toc331772918"/>
      <w:bookmarkStart w:id="319" w:name="_Toc331797219"/>
      <w:bookmarkStart w:id="320" w:name="_Toc331798325"/>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sidRPr="00EC556A">
        <w:rPr>
          <w:b w:val="0"/>
          <w:bCs w:val="0"/>
        </w:rPr>
        <w:br w:type="page"/>
      </w:r>
      <w:bookmarkStart w:id="321" w:name="_Toc349335769"/>
      <w:r>
        <w:rPr>
          <w:b w:val="0"/>
          <w:bCs w:val="0"/>
        </w:rPr>
        <w:t xml:space="preserve">Sampling and analysis of </w:t>
      </w:r>
      <w:r w:rsidRPr="00EC556A">
        <w:rPr>
          <w:b w:val="0"/>
          <w:bCs w:val="0"/>
        </w:rPr>
        <w:t>Chlordecone</w:t>
      </w:r>
      <w:r>
        <w:rPr>
          <w:b w:val="0"/>
          <w:bCs w:val="0"/>
        </w:rPr>
        <w:t xml:space="preserve"> in products and articles</w:t>
      </w:r>
      <w:bookmarkEnd w:id="321"/>
    </w:p>
    <w:p w:rsidR="00CC1C95" w:rsidRPr="00EC556A" w:rsidRDefault="00CC1C95" w:rsidP="00EE0DB2">
      <w:pPr>
        <w:ind w:firstLine="708"/>
      </w:pPr>
      <w:r w:rsidRPr="00EC556A">
        <w:t xml:space="preserve">The production and use of </w:t>
      </w:r>
      <w:r>
        <w:t>c</w:t>
      </w:r>
      <w:r w:rsidRPr="00EC556A">
        <w:t xml:space="preserve">hlordecone has stopped 1991 and a recent survey for </w:t>
      </w:r>
      <w:r>
        <w:t>c</w:t>
      </w:r>
      <w:r w:rsidRPr="00EC556A">
        <w:t>hlordecone on the pesticide market did not find any indication of current trade.</w:t>
      </w:r>
    </w:p>
    <w:p w:rsidR="00CC1C95" w:rsidRPr="00EC556A" w:rsidRDefault="00CC1C95" w:rsidP="00EE0DB2">
      <w:r>
        <w:t>However, f</w:t>
      </w:r>
      <w:r w:rsidRPr="00EC556A">
        <w:t xml:space="preserve">ood export from </w:t>
      </w:r>
      <w:r>
        <w:t>c</w:t>
      </w:r>
      <w:r w:rsidRPr="00EC556A">
        <w:t xml:space="preserve">hlordecone contaminated areas (Guadeloupe, Martinique) might be relevant and </w:t>
      </w:r>
      <w:r>
        <w:t>c</w:t>
      </w:r>
      <w:r w:rsidRPr="00EC556A">
        <w:t>ould be monitored.</w:t>
      </w:r>
    </w:p>
    <w:p w:rsidR="00CC1C95" w:rsidRPr="00EC556A" w:rsidRDefault="00CC1C95" w:rsidP="00EE0DB2">
      <w:pPr>
        <w:pStyle w:val="Heading2"/>
        <w:numPr>
          <w:ilvl w:val="1"/>
          <w:numId w:val="9"/>
        </w:numPr>
        <w:tabs>
          <w:tab w:val="num" w:pos="993"/>
        </w:tabs>
        <w:snapToGrid/>
        <w:spacing w:before="240" w:after="60" w:line="276" w:lineRule="auto"/>
        <w:ind w:left="993" w:firstLine="0"/>
        <w:jc w:val="both"/>
      </w:pPr>
      <w:bookmarkStart w:id="322" w:name="_Toc349335770"/>
      <w:r w:rsidRPr="00EC556A">
        <w:rPr>
          <w:b w:val="0"/>
        </w:rPr>
        <w:t>Products and articles possibly containing chlordecone</w:t>
      </w:r>
      <w:bookmarkEnd w:id="322"/>
    </w:p>
    <w:p w:rsidR="00CC1C95" w:rsidRPr="00EC556A" w:rsidRDefault="00CC1C95" w:rsidP="00EE0DB2">
      <w:pPr>
        <w:pStyle w:val="Heading3"/>
        <w:numPr>
          <w:ilvl w:val="2"/>
          <w:numId w:val="9"/>
        </w:numPr>
        <w:tabs>
          <w:tab w:val="num" w:pos="0"/>
        </w:tabs>
        <w:snapToGrid/>
        <w:spacing w:before="240" w:after="60" w:line="276" w:lineRule="auto"/>
        <w:ind w:left="0" w:firstLine="0"/>
        <w:jc w:val="both"/>
      </w:pPr>
      <w:bookmarkStart w:id="323" w:name="_Toc349335771"/>
      <w:r w:rsidRPr="00EC556A">
        <w:t>Food products</w:t>
      </w:r>
      <w:bookmarkEnd w:id="323"/>
      <w:r w:rsidRPr="00EC556A">
        <w:t xml:space="preserve"> </w:t>
      </w:r>
    </w:p>
    <w:p w:rsidR="00CC1C95" w:rsidRPr="00EC556A" w:rsidRDefault="00CC1C95" w:rsidP="00EE0DB2">
      <w:pPr>
        <w:ind w:firstLine="708"/>
        <w:rPr>
          <w:highlight w:val="cyan"/>
        </w:rPr>
      </w:pPr>
      <w:r w:rsidRPr="00EC556A">
        <w:t>Since chlordecone has generated large contaminated sites in areas where it has been applied (e.g. Martinique and Guadeloupe) specific food products in these areas might be contaminated (e.g. fish or shrimp) as revealed by monitoring (</w:t>
      </w:r>
      <w:hyperlink r:id="rId26" w:history="1">
        <w:r w:rsidRPr="00EC556A">
          <w:rPr>
            <w:rStyle w:val="Hyperlink"/>
          </w:rPr>
          <w:t>Garrigues 2011</w:t>
        </w:r>
      </w:hyperlink>
      <w:r w:rsidRPr="00EC556A">
        <w:t>)</w:t>
      </w:r>
      <w:r w:rsidRPr="00EC556A">
        <w:rPr>
          <w:rStyle w:val="FootnoteReference"/>
        </w:rPr>
        <w:footnoteReference w:id="55"/>
      </w:r>
      <w:r w:rsidRPr="00EC556A">
        <w:t>.</w:t>
      </w:r>
      <w:r>
        <w:t xml:space="preserve"> </w:t>
      </w:r>
      <w:r w:rsidRPr="00EC556A">
        <w:t>If such potentially chlordecone contaminated food is on the local market or exported then chlordecone residue levels would be analysed.</w:t>
      </w:r>
    </w:p>
    <w:p w:rsidR="00CC1C95" w:rsidRPr="00EC556A" w:rsidRDefault="00CC1C95" w:rsidP="00EE0DB2">
      <w:pPr>
        <w:pStyle w:val="Heading3"/>
        <w:numPr>
          <w:ilvl w:val="2"/>
          <w:numId w:val="9"/>
        </w:numPr>
        <w:tabs>
          <w:tab w:val="num" w:pos="0"/>
        </w:tabs>
        <w:snapToGrid/>
        <w:spacing w:before="240" w:after="60" w:line="276" w:lineRule="auto"/>
        <w:ind w:left="0" w:firstLine="0"/>
        <w:jc w:val="both"/>
      </w:pPr>
      <w:bookmarkStart w:id="324" w:name="_Toc349335772"/>
      <w:r w:rsidRPr="00EC556A">
        <w:t>Unintentional trace contaminants in chemicals produced from hexachlorocyclopentadiene</w:t>
      </w:r>
      <w:bookmarkEnd w:id="324"/>
    </w:p>
    <w:p w:rsidR="00CC1C95" w:rsidRPr="00EC556A" w:rsidRDefault="00CC1C95" w:rsidP="00EE0DB2">
      <w:pPr>
        <w:ind w:firstLine="708"/>
      </w:pPr>
      <w:r w:rsidRPr="00EC556A">
        <w:t>The formation of chlordecone involves the dimerization of hexachlorocyclopentadiene. Therefore other dimerization products of hexachlorocyclopentadiene might contain chlordecone as unintentionally trace compounds. Therefore products produced from hexachlorocyclopentadiene</w:t>
      </w:r>
      <w:r w:rsidRPr="00EC556A" w:rsidDel="005A5F8B">
        <w:t xml:space="preserve"> </w:t>
      </w:r>
      <w:r w:rsidRPr="00EC556A">
        <w:t>could be monitored for chlordecone and other POPs produced from hexachlorocyclopentadiene dimerization (e.g. aldrin, dieldrin, endrin, mirex, endosulfan).</w:t>
      </w:r>
    </w:p>
    <w:p w:rsidR="00CC1C95" w:rsidRPr="00EC556A" w:rsidRDefault="00CC1C95" w:rsidP="00EE0DB2">
      <w:pPr>
        <w:pStyle w:val="Heading2"/>
        <w:numPr>
          <w:ilvl w:val="1"/>
          <w:numId w:val="9"/>
        </w:numPr>
        <w:tabs>
          <w:tab w:val="num" w:pos="993"/>
        </w:tabs>
        <w:snapToGrid/>
        <w:spacing w:before="240" w:after="60" w:line="276" w:lineRule="auto"/>
        <w:ind w:left="993" w:firstLine="0"/>
        <w:jc w:val="both"/>
      </w:pPr>
      <w:bookmarkStart w:id="325" w:name="_Toc349335773"/>
      <w:r w:rsidRPr="00EC556A">
        <w:rPr>
          <w:b w:val="0"/>
        </w:rPr>
        <w:t>Analysis of Chlordecone</w:t>
      </w:r>
      <w:bookmarkEnd w:id="325"/>
    </w:p>
    <w:p w:rsidR="00CC1C95" w:rsidRPr="00EC556A" w:rsidRDefault="00CC1C95" w:rsidP="00EE0DB2">
      <w:pPr>
        <w:ind w:firstLine="708"/>
      </w:pPr>
      <w:r w:rsidRPr="00EC556A">
        <w:t xml:space="preserve">Chlordecone seems </w:t>
      </w:r>
      <w:r w:rsidR="00737E61">
        <w:t>un</w:t>
      </w:r>
      <w:r w:rsidRPr="00EC556A">
        <w:t>stable under GC conditions</w:t>
      </w:r>
      <w:r w:rsidRPr="00EC556A">
        <w:rPr>
          <w:rStyle w:val="FootnoteReference"/>
        </w:rPr>
        <w:footnoteReference w:id="56"/>
      </w:r>
      <w:r w:rsidRPr="00EC556A">
        <w:t xml:space="preserve"> and need therefore be analysed by liquid chromatography. A methodology used by an experienced laboratory is described in </w:t>
      </w:r>
      <w:r>
        <w:t>Annex 2-E</w:t>
      </w:r>
      <w:r w:rsidRPr="00EC556A">
        <w:t>.</w:t>
      </w:r>
    </w:p>
    <w:p w:rsidR="00CC1C95" w:rsidRPr="00EC556A" w:rsidRDefault="00CC1C95" w:rsidP="00EE0DB2">
      <w:pPr>
        <w:pStyle w:val="Heading1"/>
        <w:numPr>
          <w:ilvl w:val="0"/>
          <w:numId w:val="9"/>
        </w:numPr>
        <w:tabs>
          <w:tab w:val="num" w:pos="0"/>
        </w:tabs>
        <w:snapToGrid/>
        <w:spacing w:before="200" w:after="60" w:line="276" w:lineRule="auto"/>
        <w:ind w:left="0" w:firstLine="0"/>
        <w:jc w:val="both"/>
      </w:pPr>
      <w:bookmarkStart w:id="326" w:name="_Toc331771876"/>
      <w:bookmarkStart w:id="327" w:name="_Toc331772926"/>
      <w:bookmarkStart w:id="328" w:name="_Toc331797227"/>
      <w:bookmarkStart w:id="329" w:name="_Toc331798333"/>
      <w:bookmarkStart w:id="330" w:name="_Toc331771942"/>
      <w:bookmarkStart w:id="331" w:name="_Toc331772992"/>
      <w:bookmarkStart w:id="332" w:name="_Toc331797293"/>
      <w:bookmarkStart w:id="333" w:name="_Toc331798399"/>
      <w:bookmarkStart w:id="334" w:name="_Toc331771949"/>
      <w:bookmarkStart w:id="335" w:name="_Toc331772999"/>
      <w:bookmarkStart w:id="336" w:name="_Toc331797300"/>
      <w:bookmarkStart w:id="337" w:name="_Toc331798406"/>
      <w:bookmarkStart w:id="338" w:name="_Toc331771951"/>
      <w:bookmarkStart w:id="339" w:name="_Toc331773001"/>
      <w:bookmarkStart w:id="340" w:name="_Toc331797302"/>
      <w:bookmarkStart w:id="341" w:name="_Toc331798408"/>
      <w:bookmarkStart w:id="342" w:name="_Toc331771952"/>
      <w:bookmarkStart w:id="343" w:name="_Toc331773002"/>
      <w:bookmarkStart w:id="344" w:name="_Toc331797303"/>
      <w:bookmarkStart w:id="345" w:name="_Toc331798409"/>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rsidRPr="00EC556A">
        <w:rPr>
          <w:b w:val="0"/>
          <w:bCs w:val="0"/>
        </w:rPr>
        <w:br w:type="page"/>
      </w:r>
      <w:bookmarkStart w:id="346" w:name="_Toc349335774"/>
      <w:r>
        <w:rPr>
          <w:b w:val="0"/>
          <w:bCs w:val="0"/>
        </w:rPr>
        <w:t>Sampling and analysis of PeCBz/</w:t>
      </w:r>
      <w:r w:rsidRPr="00EC556A">
        <w:rPr>
          <w:b w:val="0"/>
          <w:bCs w:val="0"/>
        </w:rPr>
        <w:t>HCB and other unintentionally produced POPs</w:t>
      </w:r>
      <w:r>
        <w:rPr>
          <w:b w:val="0"/>
          <w:bCs w:val="0"/>
        </w:rPr>
        <w:t xml:space="preserve"> in products and articles</w:t>
      </w:r>
      <w:bookmarkEnd w:id="346"/>
    </w:p>
    <w:p w:rsidR="00CC1C95" w:rsidRPr="00EC556A" w:rsidRDefault="00CC1C95" w:rsidP="00EE0DB2">
      <w:pPr>
        <w:ind w:firstLine="708"/>
      </w:pPr>
      <w:r w:rsidRPr="00EC556A">
        <w:t xml:space="preserve">Unintentionally produced PeCBz and HCB are formed in parallel to PCDD/PCDF and therefore are present in the same processes and products as PCDD/PCDF (see </w:t>
      </w:r>
      <w:hyperlink r:id="rId27" w:history="1">
        <w:r w:rsidRPr="00193C74">
          <w:rPr>
            <w:rStyle w:val="Hyperlink"/>
          </w:rPr>
          <w:t>UNEP Toolkit</w:t>
        </w:r>
      </w:hyperlink>
      <w:r w:rsidRPr="00EC556A">
        <w:t xml:space="preserve">; Weber et al. 2008, </w:t>
      </w:r>
      <w:hyperlink r:id="rId28" w:history="1">
        <w:r w:rsidR="00D21BDD">
          <w:rPr>
            <w:rStyle w:val="Hyperlink"/>
          </w:rPr>
          <w:t>Takasug</w:t>
        </w:r>
        <w:r w:rsidRPr="00EC556A">
          <w:rPr>
            <w:rStyle w:val="Hyperlink"/>
          </w:rPr>
          <w:t>a et al. 2009</w:t>
        </w:r>
      </w:hyperlink>
      <w:r w:rsidRPr="00EC556A">
        <w:rPr>
          <w:rStyle w:val="FootnoteReference"/>
        </w:rPr>
        <w:footnoteReference w:id="57"/>
      </w:r>
      <w:r w:rsidRPr="00EC556A">
        <w:t>). HCB and PeCBz are formed in some chemical productions in particular high concentrations including certain pigments (</w:t>
      </w:r>
      <w:hyperlink r:id="rId29" w:history="1">
        <w:r w:rsidRPr="00EC556A">
          <w:rPr>
            <w:rStyle w:val="Hyperlink"/>
          </w:rPr>
          <w:t>Government of Japan 2006</w:t>
        </w:r>
      </w:hyperlink>
      <w:r w:rsidRPr="00EC556A">
        <w:rPr>
          <w:rStyle w:val="FootnoteReference"/>
        </w:rPr>
        <w:footnoteReference w:id="58"/>
      </w:r>
      <w:r w:rsidRPr="00EC556A">
        <w:t xml:space="preserve"> and </w:t>
      </w:r>
      <w:hyperlink r:id="rId30" w:history="1">
        <w:r w:rsidRPr="00EC556A">
          <w:rPr>
            <w:rStyle w:val="Hyperlink"/>
          </w:rPr>
          <w:t>2007</w:t>
        </w:r>
      </w:hyperlink>
      <w:r w:rsidRPr="00EC556A">
        <w:rPr>
          <w:rStyle w:val="FootnoteReference"/>
        </w:rPr>
        <w:footnoteReference w:id="59"/>
      </w:r>
      <w:r w:rsidRPr="00EC556A">
        <w:t>) or production of major organochlorine solvents (Jacoff et al</w:t>
      </w:r>
      <w:r w:rsidR="00C0598F">
        <w:t>.</w:t>
      </w:r>
      <w:r w:rsidRPr="00EC556A">
        <w:t xml:space="preserve"> 1986</w:t>
      </w:r>
      <w:r w:rsidRPr="00EC556A">
        <w:rPr>
          <w:rStyle w:val="FootnoteReference"/>
        </w:rPr>
        <w:footnoteReference w:id="60"/>
      </w:r>
      <w:r w:rsidRPr="00EC556A">
        <w:t xml:space="preserve">; </w:t>
      </w:r>
      <w:hyperlink r:id="rId31" w:history="1">
        <w:r w:rsidRPr="00EC556A">
          <w:rPr>
            <w:rStyle w:val="Hyperlink"/>
          </w:rPr>
          <w:t>Weber et al. 2011</w:t>
        </w:r>
      </w:hyperlink>
      <w:r w:rsidRPr="00EC556A">
        <w:rPr>
          <w:rStyle w:val="FootnoteReference"/>
        </w:rPr>
        <w:footnoteReference w:id="61"/>
      </w:r>
      <w:r w:rsidRPr="00EC556A">
        <w:t>). The ratio of PeCBz to HCB depends on the level of chlorination. In productions of perchlorinated compounds (e.g. tetrachloroethene), HCB might be present in considerable higher concentration compared to PeCB</w:t>
      </w:r>
      <w:r>
        <w:t>z</w:t>
      </w:r>
      <w:r w:rsidRPr="00EC556A">
        <w:t>. In other processes of only partly chlorinated organic compounds (trichloroethene, dichloroethane) the PeCBz might be present in concentration comparable or possibly even higher compared to HCB. Systematic studies on such basic relationships of HCB, PeCBz and other unintentionally POPs are missing up to now. Depending on the purification process of these chemicals PeCBz and HCB (and other unintentionally POPs) remain as production residues (e.g. heavy distillates) or are transferred into the product.</w:t>
      </w:r>
    </w:p>
    <w:p w:rsidR="00CC1C95" w:rsidRPr="00EC556A" w:rsidRDefault="00CC1C95" w:rsidP="00737E61">
      <w:pPr>
        <w:pStyle w:val="Heading2"/>
        <w:numPr>
          <w:ilvl w:val="1"/>
          <w:numId w:val="9"/>
        </w:numPr>
        <w:snapToGrid/>
        <w:spacing w:before="240" w:after="60" w:line="276" w:lineRule="auto"/>
        <w:ind w:left="0" w:firstLine="0"/>
        <w:jc w:val="both"/>
      </w:pPr>
      <w:bookmarkStart w:id="347" w:name="_Toc349335775"/>
      <w:r w:rsidRPr="00EC556A">
        <w:rPr>
          <w:b w:val="0"/>
        </w:rPr>
        <w:t xml:space="preserve">Products and articles possibly containing </w:t>
      </w:r>
      <w:r>
        <w:rPr>
          <w:b w:val="0"/>
        </w:rPr>
        <w:t>PeCBz/</w:t>
      </w:r>
      <w:r w:rsidRPr="00EC556A">
        <w:rPr>
          <w:b w:val="0"/>
        </w:rPr>
        <w:t>HCB</w:t>
      </w:r>
      <w:bookmarkEnd w:id="347"/>
    </w:p>
    <w:p w:rsidR="00CC1C95" w:rsidRPr="00EC556A" w:rsidRDefault="00CC1C95" w:rsidP="00EE0DB2">
      <w:pPr>
        <w:ind w:firstLine="708"/>
      </w:pPr>
      <w:r w:rsidRPr="00EC556A">
        <w:t>Articles and products (chemicals and chemical mixtures) possibly contain</w:t>
      </w:r>
      <w:r>
        <w:t>ing</w:t>
      </w:r>
      <w:r w:rsidRPr="00EC556A">
        <w:t xml:space="preserve"> PeCBz, HCB or other unintentional</w:t>
      </w:r>
      <w:r w:rsidR="00193C74">
        <w:t>ly produced</w:t>
      </w:r>
      <w:r w:rsidRPr="00EC556A">
        <w:t xml:space="preserve"> POPs are listed in Annex 1-3. Furthermore all organochlorine chemicals might be suspected to contain unintentionally produced POPs at some level.</w:t>
      </w:r>
    </w:p>
    <w:p w:rsidR="00CC1C95" w:rsidRPr="00EC556A" w:rsidRDefault="00CC1C95" w:rsidP="00B835E8">
      <w:pPr>
        <w:pStyle w:val="Heading2"/>
        <w:numPr>
          <w:ilvl w:val="1"/>
          <w:numId w:val="9"/>
        </w:numPr>
        <w:snapToGrid/>
        <w:spacing w:before="240" w:after="60" w:line="276" w:lineRule="auto"/>
        <w:ind w:left="0" w:firstLine="0"/>
        <w:jc w:val="both"/>
        <w:rPr>
          <w:rFonts w:eastAsia="SimSun"/>
          <w:lang w:eastAsia="zh-CN"/>
        </w:rPr>
      </w:pPr>
      <w:bookmarkStart w:id="348" w:name="_Toc349335776"/>
      <w:r w:rsidRPr="00EC556A">
        <w:rPr>
          <w:rFonts w:eastAsia="SimSun"/>
          <w:b w:val="0"/>
          <w:lang w:eastAsia="zh-CN"/>
        </w:rPr>
        <w:t>Extraction of articles</w:t>
      </w:r>
      <w:r w:rsidR="00B835E8">
        <w:rPr>
          <w:rFonts w:eastAsia="SimSun"/>
          <w:b w:val="0"/>
          <w:lang w:eastAsia="zh-CN"/>
        </w:rPr>
        <w:t>/</w:t>
      </w:r>
      <w:r w:rsidRPr="00EC556A">
        <w:rPr>
          <w:rFonts w:eastAsia="SimSun"/>
          <w:b w:val="0"/>
          <w:lang w:eastAsia="zh-CN"/>
        </w:rPr>
        <w:t xml:space="preserve">products </w:t>
      </w:r>
      <w:r w:rsidRPr="00EC556A">
        <w:rPr>
          <w:b w:val="0"/>
        </w:rPr>
        <w:t xml:space="preserve">possibly containing </w:t>
      </w:r>
      <w:r>
        <w:rPr>
          <w:b w:val="0"/>
        </w:rPr>
        <w:t>PeCBz/</w:t>
      </w:r>
      <w:r w:rsidRPr="00EC556A">
        <w:rPr>
          <w:b w:val="0"/>
        </w:rPr>
        <w:t>HCB</w:t>
      </w:r>
      <w:r w:rsidRPr="00EC556A">
        <w:rPr>
          <w:rFonts w:eastAsia="SimSun"/>
          <w:b w:val="0"/>
          <w:lang w:eastAsia="zh-CN"/>
        </w:rPr>
        <w:t xml:space="preserve"> and clean-up</w:t>
      </w:r>
      <w:bookmarkEnd w:id="348"/>
    </w:p>
    <w:p w:rsidR="00CC1C95" w:rsidRPr="00EC556A" w:rsidRDefault="00737E61" w:rsidP="00B835E8">
      <w:pPr>
        <w:ind w:firstLine="708"/>
        <w:rPr>
          <w:rFonts w:eastAsia="SimSun"/>
          <w:lang w:eastAsia="zh-CN"/>
        </w:rPr>
      </w:pPr>
      <w:r>
        <w:rPr>
          <w:rFonts w:eastAsia="SimSun"/>
          <w:lang w:eastAsia="zh-CN"/>
        </w:rPr>
        <w:t xml:space="preserve">For the </w:t>
      </w:r>
      <w:r w:rsidR="00CC1C95" w:rsidRPr="00EC556A">
        <w:rPr>
          <w:rFonts w:eastAsia="SimSun"/>
          <w:lang w:eastAsia="zh-CN"/>
        </w:rPr>
        <w:t xml:space="preserve">range of chemicals and some articles and products </w:t>
      </w:r>
      <w:r>
        <w:rPr>
          <w:rFonts w:eastAsia="SimSun"/>
          <w:lang w:eastAsia="zh-CN"/>
        </w:rPr>
        <w:t>that</w:t>
      </w:r>
      <w:r w:rsidRPr="00EC556A">
        <w:rPr>
          <w:rFonts w:eastAsia="SimSun"/>
          <w:lang w:eastAsia="zh-CN"/>
        </w:rPr>
        <w:t xml:space="preserve"> dissolve in solvents</w:t>
      </w:r>
      <w:r>
        <w:rPr>
          <w:rFonts w:eastAsia="SimSun"/>
          <w:lang w:eastAsia="zh-CN"/>
        </w:rPr>
        <w:t xml:space="preserve">, </w:t>
      </w:r>
      <w:r w:rsidR="00CC1C95" w:rsidRPr="00EC556A">
        <w:rPr>
          <w:rFonts w:eastAsia="SimSun"/>
          <w:lang w:eastAsia="zh-CN"/>
        </w:rPr>
        <w:t>specific extraction procedure</w:t>
      </w:r>
      <w:r>
        <w:rPr>
          <w:rFonts w:eastAsia="SimSun"/>
          <w:lang w:eastAsia="zh-CN"/>
        </w:rPr>
        <w:t>s are not required</w:t>
      </w:r>
      <w:r w:rsidR="00CC1C95" w:rsidRPr="00EC556A">
        <w:rPr>
          <w:rFonts w:eastAsia="SimSun"/>
          <w:lang w:eastAsia="zh-CN"/>
        </w:rPr>
        <w:t>. For those chemicals and articles which d</w:t>
      </w:r>
      <w:r w:rsidR="00CC1C95">
        <w:rPr>
          <w:rFonts w:eastAsia="SimSun"/>
          <w:lang w:eastAsia="zh-CN"/>
        </w:rPr>
        <w:t>o</w:t>
      </w:r>
      <w:r w:rsidR="00CC1C95" w:rsidRPr="00EC556A">
        <w:rPr>
          <w:rFonts w:eastAsia="SimSun"/>
          <w:lang w:eastAsia="zh-CN"/>
        </w:rPr>
        <w:t xml:space="preserve"> not dissolve</w:t>
      </w:r>
      <w:r>
        <w:rPr>
          <w:rFonts w:eastAsia="SimSun"/>
          <w:lang w:eastAsia="zh-CN"/>
        </w:rPr>
        <w:t xml:space="preserve"> readily in solvents</w:t>
      </w:r>
      <w:r w:rsidR="00CC1C95">
        <w:rPr>
          <w:rFonts w:eastAsia="SimSun"/>
          <w:lang w:eastAsia="zh-CN"/>
        </w:rPr>
        <w:t>,</w:t>
      </w:r>
      <w:r w:rsidR="00CC1C95" w:rsidRPr="00EC556A">
        <w:rPr>
          <w:rFonts w:eastAsia="SimSun"/>
          <w:lang w:eastAsia="zh-CN"/>
        </w:rPr>
        <w:t xml:space="preserve"> the chosen extraction process need</w:t>
      </w:r>
      <w:r w:rsidR="00CC1C95">
        <w:rPr>
          <w:rFonts w:eastAsia="SimSun"/>
          <w:lang w:eastAsia="zh-CN"/>
        </w:rPr>
        <w:t>s</w:t>
      </w:r>
      <w:r w:rsidR="00CC1C95" w:rsidRPr="00EC556A">
        <w:rPr>
          <w:rFonts w:eastAsia="SimSun"/>
          <w:lang w:eastAsia="zh-CN"/>
        </w:rPr>
        <w:t xml:space="preserve"> to have proven high or exhaustive extraction of the unintentionally POPs from the articles and products. </w:t>
      </w:r>
    </w:p>
    <w:p w:rsidR="00CC1C95" w:rsidRPr="00EC556A" w:rsidRDefault="00CC1C95" w:rsidP="00EE0DB2">
      <w:pPr>
        <w:pStyle w:val="Heading3"/>
        <w:numPr>
          <w:ilvl w:val="2"/>
          <w:numId w:val="9"/>
        </w:numPr>
        <w:tabs>
          <w:tab w:val="num" w:pos="0"/>
        </w:tabs>
        <w:snapToGrid/>
        <w:spacing w:after="0" w:line="276" w:lineRule="auto"/>
        <w:ind w:left="0" w:firstLine="0"/>
        <w:jc w:val="both"/>
      </w:pPr>
      <w:bookmarkStart w:id="349" w:name="_Toc349335777"/>
      <w:r w:rsidRPr="00EC556A">
        <w:t>Analysis of solvents</w:t>
      </w:r>
      <w:bookmarkEnd w:id="349"/>
      <w:r w:rsidRPr="00EC556A">
        <w:t xml:space="preserve"> </w:t>
      </w:r>
    </w:p>
    <w:p w:rsidR="00CC1C95" w:rsidRPr="00EC556A" w:rsidRDefault="00CC1C95" w:rsidP="00EE0DB2">
      <w:pPr>
        <w:ind w:firstLine="708"/>
        <w:rPr>
          <w:rFonts w:eastAsia="SimSun"/>
          <w:szCs w:val="24"/>
          <w:lang w:eastAsia="zh-CN"/>
        </w:rPr>
      </w:pPr>
      <w:r w:rsidRPr="00EC556A">
        <w:t xml:space="preserve">The solvent is directly spiked </w:t>
      </w:r>
      <w:r w:rsidR="00737E61">
        <w:t>(</w:t>
      </w:r>
      <w:r w:rsidRPr="00EC556A">
        <w:t xml:space="preserve">with </w:t>
      </w:r>
      <w:r w:rsidRPr="00EC556A">
        <w:rPr>
          <w:rFonts w:eastAsia="SimSun"/>
          <w:szCs w:val="24"/>
          <w:vertAlign w:val="superscript"/>
          <w:lang w:eastAsia="zh-CN"/>
        </w:rPr>
        <w:t>13</w:t>
      </w:r>
      <w:r w:rsidRPr="00EC556A">
        <w:rPr>
          <w:rFonts w:eastAsia="SimSun"/>
          <w:szCs w:val="24"/>
          <w:lang w:eastAsia="zh-CN"/>
        </w:rPr>
        <w:t>C</w:t>
      </w:r>
      <w:r w:rsidRPr="00EC556A">
        <w:rPr>
          <w:rFonts w:eastAsia="SimSun"/>
          <w:sz w:val="16"/>
          <w:szCs w:val="16"/>
          <w:lang w:eastAsia="zh-CN"/>
        </w:rPr>
        <w:t>6</w:t>
      </w:r>
      <w:r w:rsidRPr="00EC556A">
        <w:rPr>
          <w:rFonts w:eastAsia="SimSun"/>
          <w:szCs w:val="24"/>
          <w:lang w:eastAsia="zh-CN"/>
        </w:rPr>
        <w:t xml:space="preserve">-HCB and </w:t>
      </w:r>
      <w:r w:rsidRPr="00EC556A">
        <w:rPr>
          <w:rFonts w:eastAsia="SimSun"/>
          <w:szCs w:val="24"/>
          <w:vertAlign w:val="superscript"/>
          <w:lang w:eastAsia="zh-CN"/>
        </w:rPr>
        <w:t>13</w:t>
      </w:r>
      <w:r w:rsidRPr="00EC556A">
        <w:rPr>
          <w:rFonts w:eastAsia="SimSun"/>
          <w:szCs w:val="24"/>
          <w:lang w:eastAsia="zh-CN"/>
        </w:rPr>
        <w:t>C</w:t>
      </w:r>
      <w:r w:rsidRPr="00EC556A">
        <w:rPr>
          <w:rFonts w:eastAsia="SimSun"/>
          <w:sz w:val="16"/>
          <w:szCs w:val="16"/>
          <w:lang w:eastAsia="zh-CN"/>
        </w:rPr>
        <w:t>6</w:t>
      </w:r>
      <w:r w:rsidRPr="00EC556A">
        <w:rPr>
          <w:rFonts w:eastAsia="SimSun"/>
          <w:szCs w:val="24"/>
          <w:lang w:eastAsia="zh-CN"/>
        </w:rPr>
        <w:t>-PeCB</w:t>
      </w:r>
      <w:r>
        <w:rPr>
          <w:rFonts w:eastAsia="SimSun"/>
          <w:szCs w:val="24"/>
          <w:lang w:eastAsia="zh-CN"/>
        </w:rPr>
        <w:t>z</w:t>
      </w:r>
      <w:r w:rsidRPr="00EC556A">
        <w:rPr>
          <w:rFonts w:eastAsia="SimSun"/>
          <w:szCs w:val="24"/>
          <w:lang w:eastAsia="zh-CN"/>
        </w:rPr>
        <w:t>), the volume is reduced by rotary evaporator and injected without clean-up. For solvents with larger impurities a clean-up with alumina column might be performed.</w:t>
      </w:r>
    </w:p>
    <w:p w:rsidR="00CC1C95" w:rsidRPr="00EC556A" w:rsidRDefault="00CC1C95" w:rsidP="00EE0DB2">
      <w:pPr>
        <w:pStyle w:val="Heading3"/>
        <w:numPr>
          <w:ilvl w:val="2"/>
          <w:numId w:val="9"/>
        </w:numPr>
        <w:tabs>
          <w:tab w:val="num" w:pos="0"/>
        </w:tabs>
        <w:snapToGrid/>
        <w:spacing w:after="0" w:line="276" w:lineRule="auto"/>
        <w:ind w:left="0" w:firstLine="0"/>
        <w:jc w:val="both"/>
      </w:pPr>
      <w:bookmarkStart w:id="350" w:name="_Toc349335778"/>
      <w:r w:rsidRPr="00EC556A">
        <w:t>Extraction and analysis of chemicals dissolving in solvent</w:t>
      </w:r>
      <w:bookmarkEnd w:id="350"/>
    </w:p>
    <w:p w:rsidR="00CC1C95" w:rsidRPr="00EC556A" w:rsidRDefault="00CC1C95" w:rsidP="00EE0DB2">
      <w:pPr>
        <w:ind w:firstLine="708"/>
        <w:rPr>
          <w:rFonts w:eastAsia="SimSun"/>
          <w:szCs w:val="24"/>
          <w:lang w:eastAsia="zh-CN"/>
        </w:rPr>
      </w:pPr>
      <w:r w:rsidRPr="00EC556A">
        <w:rPr>
          <w:rFonts w:eastAsia="SimSun"/>
          <w:szCs w:val="24"/>
          <w:lang w:eastAsia="zh-CN"/>
        </w:rPr>
        <w:t xml:space="preserve">Most organochlorine chemicals will dissolve in solvents such as dichloromethane, toluene or </w:t>
      </w:r>
      <w:r w:rsidRPr="00CC1C95">
        <w:rPr>
          <w:rFonts w:eastAsia="SimSun"/>
          <w:szCs w:val="24"/>
          <w:lang w:eastAsia="zh-CN"/>
        </w:rPr>
        <w:t>n</w:t>
      </w:r>
      <w:r>
        <w:rPr>
          <w:rFonts w:eastAsia="SimSun"/>
          <w:szCs w:val="24"/>
          <w:lang w:eastAsia="zh-CN"/>
        </w:rPr>
        <w:t>-</w:t>
      </w:r>
      <w:r w:rsidRPr="00EC556A">
        <w:rPr>
          <w:rFonts w:eastAsia="SimSun"/>
          <w:szCs w:val="24"/>
          <w:lang w:eastAsia="zh-CN"/>
        </w:rPr>
        <w:t>heptane</w:t>
      </w:r>
      <w:r w:rsidRPr="00EC556A">
        <w:rPr>
          <w:rStyle w:val="FootnoteReference"/>
          <w:rFonts w:eastAsia="SimSun"/>
          <w:szCs w:val="24"/>
          <w:lang w:eastAsia="zh-CN"/>
        </w:rPr>
        <w:footnoteReference w:id="62"/>
      </w:r>
      <w:r w:rsidRPr="00EC556A">
        <w:rPr>
          <w:rFonts w:eastAsia="SimSun"/>
          <w:szCs w:val="24"/>
          <w:lang w:eastAsia="zh-CN"/>
        </w:rPr>
        <w:t xml:space="preserve">. A test of dissolution of a few milligrams in a few ml solvent can be done (e.g. in a 5 ml sample vial) possibly assisted by ultrasonic treatment. </w:t>
      </w:r>
    </w:p>
    <w:p w:rsidR="00CC1C95" w:rsidRPr="00EC556A" w:rsidRDefault="00CC1C95" w:rsidP="00DD568C">
      <w:pPr>
        <w:rPr>
          <w:rFonts w:eastAsia="SimSun"/>
          <w:szCs w:val="24"/>
          <w:lang w:eastAsia="zh-CN"/>
        </w:rPr>
      </w:pPr>
      <w:r w:rsidRPr="00EC556A">
        <w:rPr>
          <w:rFonts w:eastAsia="SimSun"/>
          <w:szCs w:val="24"/>
          <w:lang w:eastAsia="zh-CN"/>
        </w:rPr>
        <w:t>Some pesticide</w:t>
      </w:r>
      <w:r>
        <w:rPr>
          <w:rFonts w:eastAsia="SimSun"/>
          <w:szCs w:val="24"/>
          <w:lang w:eastAsia="zh-CN"/>
        </w:rPr>
        <w:t>s</w:t>
      </w:r>
      <w:r w:rsidRPr="00EC556A">
        <w:rPr>
          <w:rFonts w:eastAsia="SimSun"/>
          <w:szCs w:val="24"/>
          <w:lang w:eastAsia="zh-CN"/>
        </w:rPr>
        <w:t xml:space="preserve"> might contain inorganic materials in the formulation</w:t>
      </w:r>
      <w:r>
        <w:rPr>
          <w:rFonts w:eastAsia="SimSun"/>
          <w:szCs w:val="24"/>
          <w:lang w:eastAsia="zh-CN"/>
        </w:rPr>
        <w:t>,</w:t>
      </w:r>
      <w:r w:rsidRPr="00EC556A">
        <w:rPr>
          <w:rFonts w:eastAsia="SimSun"/>
          <w:szCs w:val="24"/>
          <w:lang w:eastAsia="zh-CN"/>
        </w:rPr>
        <w:t xml:space="preserve"> which will not dissolve. However the organic fraction is normally dissolv</w:t>
      </w:r>
      <w:r w:rsidR="00864537">
        <w:rPr>
          <w:rFonts w:eastAsia="SimSun"/>
          <w:szCs w:val="24"/>
          <w:lang w:eastAsia="zh-CN"/>
        </w:rPr>
        <w:t>ed in particular when the inorganic</w:t>
      </w:r>
      <w:r w:rsidRPr="00EC556A">
        <w:rPr>
          <w:rFonts w:eastAsia="SimSun"/>
          <w:szCs w:val="24"/>
          <w:lang w:eastAsia="zh-CN"/>
        </w:rPr>
        <w:t xml:space="preserve"> matrix is</w:t>
      </w:r>
      <w:r w:rsidR="003A447A">
        <w:rPr>
          <w:rFonts w:eastAsia="SimSun"/>
          <w:szCs w:val="24"/>
          <w:lang w:eastAsia="zh-CN"/>
        </w:rPr>
        <w:t xml:space="preserve"> just an additive</w:t>
      </w:r>
      <w:r w:rsidRPr="00EC556A">
        <w:rPr>
          <w:rFonts w:eastAsia="SimSun"/>
          <w:szCs w:val="24"/>
          <w:lang w:eastAsia="zh-CN"/>
        </w:rPr>
        <w:t xml:space="preserve"> in </w:t>
      </w:r>
      <w:r w:rsidR="003A447A">
        <w:rPr>
          <w:rFonts w:eastAsia="SimSun"/>
          <w:szCs w:val="24"/>
          <w:lang w:eastAsia="zh-CN"/>
        </w:rPr>
        <w:t xml:space="preserve">the </w:t>
      </w:r>
      <w:r w:rsidRPr="00EC556A">
        <w:rPr>
          <w:rFonts w:eastAsia="SimSun"/>
          <w:szCs w:val="24"/>
          <w:lang w:eastAsia="zh-CN"/>
        </w:rPr>
        <w:t xml:space="preserve">pesticide formulation. However in some cases the </w:t>
      </w:r>
      <w:r w:rsidR="003A447A" w:rsidRPr="00EC556A">
        <w:rPr>
          <w:rFonts w:eastAsia="SimSun"/>
          <w:szCs w:val="24"/>
          <w:lang w:eastAsia="zh-CN"/>
        </w:rPr>
        <w:t xml:space="preserve">organic trace contaminants </w:t>
      </w:r>
      <w:r w:rsidR="003A447A">
        <w:rPr>
          <w:rFonts w:eastAsia="SimSun"/>
          <w:szCs w:val="24"/>
          <w:lang w:eastAsia="zh-CN"/>
        </w:rPr>
        <w:t xml:space="preserve">are partly incorporated in the </w:t>
      </w:r>
      <w:r w:rsidRPr="00EC556A">
        <w:rPr>
          <w:rFonts w:eastAsia="SimSun"/>
          <w:szCs w:val="24"/>
          <w:lang w:eastAsia="zh-CN"/>
        </w:rPr>
        <w:t>inorganic matrix as in the case of pigments</w:t>
      </w:r>
      <w:r w:rsidR="003A447A">
        <w:rPr>
          <w:rFonts w:eastAsia="SimSun"/>
          <w:szCs w:val="24"/>
          <w:lang w:eastAsia="zh-CN"/>
        </w:rPr>
        <w:t xml:space="preserve"> or </w:t>
      </w:r>
      <w:r w:rsidR="00DD568C">
        <w:rPr>
          <w:rFonts w:eastAsia="SimSun"/>
          <w:szCs w:val="24"/>
          <w:lang w:eastAsia="zh-CN"/>
        </w:rPr>
        <w:t>certain</w:t>
      </w:r>
      <w:r w:rsidR="003A447A">
        <w:rPr>
          <w:rFonts w:eastAsia="SimSun"/>
          <w:szCs w:val="24"/>
          <w:lang w:eastAsia="zh-CN"/>
        </w:rPr>
        <w:t xml:space="preserve"> ash</w:t>
      </w:r>
      <w:r w:rsidR="00DD568C">
        <w:rPr>
          <w:rFonts w:eastAsia="SimSun"/>
          <w:szCs w:val="24"/>
          <w:lang w:eastAsia="zh-CN"/>
        </w:rPr>
        <w:t>es</w:t>
      </w:r>
      <w:r w:rsidRPr="00EC556A">
        <w:rPr>
          <w:rFonts w:eastAsia="SimSun"/>
          <w:szCs w:val="24"/>
          <w:lang w:eastAsia="zh-CN"/>
        </w:rPr>
        <w:t xml:space="preserve">. </w:t>
      </w:r>
      <w:r w:rsidR="003A447A">
        <w:rPr>
          <w:rFonts w:eastAsia="SimSun"/>
          <w:szCs w:val="24"/>
          <w:lang w:eastAsia="zh-CN"/>
        </w:rPr>
        <w:t>In these cases the inorganic matrix has to be broken up by appropriate pre-treatment (see below).</w:t>
      </w:r>
      <w:r w:rsidRPr="00EC556A">
        <w:rPr>
          <w:rFonts w:eastAsia="SimSun"/>
          <w:szCs w:val="24"/>
          <w:lang w:eastAsia="zh-CN"/>
        </w:rPr>
        <w:t xml:space="preserve">  </w:t>
      </w:r>
    </w:p>
    <w:p w:rsidR="00CC1C95" w:rsidRPr="00EC556A" w:rsidRDefault="00CC1C95" w:rsidP="00EE0DB2">
      <w:pPr>
        <w:pStyle w:val="Heading3"/>
        <w:numPr>
          <w:ilvl w:val="2"/>
          <w:numId w:val="9"/>
        </w:numPr>
        <w:tabs>
          <w:tab w:val="num" w:pos="0"/>
        </w:tabs>
        <w:snapToGrid/>
        <w:spacing w:after="0" w:line="276" w:lineRule="auto"/>
        <w:ind w:left="0" w:firstLine="0"/>
        <w:jc w:val="both"/>
      </w:pPr>
      <w:bookmarkStart w:id="351" w:name="_Toc349335779"/>
      <w:r w:rsidRPr="00EC556A">
        <w:t>Extraction of pigments and other samples where matrix need to be broken up</w:t>
      </w:r>
      <w:bookmarkEnd w:id="351"/>
    </w:p>
    <w:p w:rsidR="00CC1C95" w:rsidRDefault="00CC1C95" w:rsidP="00477F7A">
      <w:pPr>
        <w:autoSpaceDE w:val="0"/>
        <w:autoSpaceDN w:val="0"/>
        <w:adjustRightInd w:val="0"/>
        <w:ind w:firstLine="720"/>
        <w:rPr>
          <w:rFonts w:eastAsia="SimSun"/>
          <w:szCs w:val="24"/>
          <w:lang w:eastAsia="zh-CN"/>
        </w:rPr>
      </w:pPr>
      <w:r w:rsidRPr="00EC556A">
        <w:rPr>
          <w:rFonts w:eastAsia="SimSun"/>
          <w:szCs w:val="24"/>
          <w:lang w:eastAsia="zh-CN"/>
        </w:rPr>
        <w:t>The structure of pigments need to be dissolved</w:t>
      </w:r>
      <w:r w:rsidR="00737E61">
        <w:rPr>
          <w:rFonts w:eastAsia="SimSun"/>
          <w:szCs w:val="24"/>
          <w:lang w:eastAsia="zh-CN"/>
        </w:rPr>
        <w:t>, so</w:t>
      </w:r>
      <w:r w:rsidRPr="00EC556A">
        <w:rPr>
          <w:rFonts w:eastAsia="SimSun"/>
          <w:szCs w:val="24"/>
          <w:lang w:eastAsia="zh-CN"/>
        </w:rPr>
        <w:t xml:space="preserve"> that </w:t>
      </w:r>
      <w:r w:rsidR="00DD568C">
        <w:rPr>
          <w:rFonts w:eastAsia="SimSun"/>
          <w:szCs w:val="24"/>
          <w:lang w:eastAsia="zh-CN"/>
        </w:rPr>
        <w:t xml:space="preserve">unintentional POPs </w:t>
      </w:r>
      <w:r w:rsidRPr="00EC556A">
        <w:rPr>
          <w:rFonts w:eastAsia="SimSun"/>
          <w:szCs w:val="24"/>
          <w:lang w:eastAsia="zh-CN"/>
        </w:rPr>
        <w:t>possibly included in the pigment layers can be sufficiently extracted. For this first step pigments are treated with sulphuric acid</w:t>
      </w:r>
      <w:r>
        <w:rPr>
          <w:rFonts w:eastAsia="SimSun"/>
          <w:szCs w:val="24"/>
          <w:lang w:eastAsia="zh-CN"/>
        </w:rPr>
        <w:t xml:space="preserve">. </w:t>
      </w:r>
      <w:r w:rsidRPr="00EC556A">
        <w:rPr>
          <w:rFonts w:eastAsia="SimSun"/>
          <w:szCs w:val="24"/>
          <w:lang w:eastAsia="zh-CN"/>
        </w:rPr>
        <w:t xml:space="preserve">0.01 g of a pigment sample is spiked </w:t>
      </w:r>
      <w:r w:rsidR="00737E61">
        <w:rPr>
          <w:rFonts w:eastAsia="SimSun"/>
          <w:szCs w:val="24"/>
          <w:lang w:eastAsia="zh-CN"/>
        </w:rPr>
        <w:t>(</w:t>
      </w:r>
      <w:r w:rsidRPr="00EC556A">
        <w:rPr>
          <w:rFonts w:eastAsia="SimSun"/>
          <w:szCs w:val="24"/>
          <w:lang w:eastAsia="zh-CN"/>
        </w:rPr>
        <w:t xml:space="preserve">with </w:t>
      </w:r>
      <w:r w:rsidRPr="00EC556A">
        <w:rPr>
          <w:rFonts w:eastAsia="SimSun"/>
          <w:szCs w:val="24"/>
          <w:vertAlign w:val="superscript"/>
          <w:lang w:eastAsia="zh-CN"/>
        </w:rPr>
        <w:t>13</w:t>
      </w:r>
      <w:r w:rsidRPr="00EC556A">
        <w:rPr>
          <w:rFonts w:eastAsia="SimSun"/>
          <w:szCs w:val="24"/>
          <w:lang w:eastAsia="zh-CN"/>
        </w:rPr>
        <w:t>C</w:t>
      </w:r>
      <w:r w:rsidRPr="00EC556A">
        <w:rPr>
          <w:rFonts w:eastAsia="SimSun"/>
          <w:sz w:val="16"/>
          <w:szCs w:val="16"/>
          <w:lang w:eastAsia="zh-CN"/>
        </w:rPr>
        <w:t>6</w:t>
      </w:r>
      <w:r w:rsidRPr="00EC556A">
        <w:rPr>
          <w:rFonts w:eastAsia="SimSun"/>
          <w:szCs w:val="24"/>
          <w:lang w:eastAsia="zh-CN"/>
        </w:rPr>
        <w:t xml:space="preserve">-HCB and </w:t>
      </w:r>
      <w:r w:rsidRPr="00EC556A">
        <w:rPr>
          <w:rFonts w:eastAsia="SimSun"/>
          <w:szCs w:val="24"/>
          <w:vertAlign w:val="superscript"/>
          <w:lang w:eastAsia="zh-CN"/>
        </w:rPr>
        <w:t>13</w:t>
      </w:r>
      <w:r w:rsidRPr="00EC556A">
        <w:rPr>
          <w:rFonts w:eastAsia="SimSun"/>
          <w:szCs w:val="24"/>
          <w:lang w:eastAsia="zh-CN"/>
        </w:rPr>
        <w:t>C</w:t>
      </w:r>
      <w:r w:rsidRPr="00EC556A">
        <w:rPr>
          <w:rFonts w:eastAsia="SimSun"/>
          <w:sz w:val="16"/>
          <w:szCs w:val="16"/>
          <w:lang w:eastAsia="zh-CN"/>
        </w:rPr>
        <w:t>6</w:t>
      </w:r>
      <w:r w:rsidRPr="00EC556A">
        <w:rPr>
          <w:rFonts w:eastAsia="SimSun"/>
          <w:szCs w:val="24"/>
          <w:lang w:eastAsia="zh-CN"/>
        </w:rPr>
        <w:t>-PeCB</w:t>
      </w:r>
      <w:r>
        <w:rPr>
          <w:rFonts w:eastAsia="SimSun"/>
          <w:szCs w:val="24"/>
          <w:lang w:eastAsia="zh-CN"/>
        </w:rPr>
        <w:t>z</w:t>
      </w:r>
      <w:r w:rsidR="00DD568C">
        <w:rPr>
          <w:rFonts w:eastAsia="SimSun"/>
          <w:szCs w:val="24"/>
          <w:lang w:eastAsia="zh-CN"/>
        </w:rPr>
        <w:t xml:space="preserve"> or other unintentional POPs standards</w:t>
      </w:r>
      <w:r w:rsidRPr="00EC556A">
        <w:rPr>
          <w:rFonts w:eastAsia="SimSun"/>
          <w:szCs w:val="24"/>
          <w:lang w:eastAsia="zh-CN"/>
        </w:rPr>
        <w:t>) and dissolved in sulphuric aci</w:t>
      </w:r>
      <w:r>
        <w:rPr>
          <w:rFonts w:eastAsia="SimSun"/>
          <w:szCs w:val="24"/>
          <w:lang w:eastAsia="zh-CN"/>
        </w:rPr>
        <w:t>d for a constant volume of 50 ml</w:t>
      </w:r>
      <w:r w:rsidRPr="00EC556A">
        <w:rPr>
          <w:rFonts w:eastAsia="SimSun"/>
          <w:szCs w:val="24"/>
          <w:lang w:eastAsia="zh-CN"/>
        </w:rPr>
        <w:t xml:space="preserve"> and a clean-up spike added.</w:t>
      </w:r>
    </w:p>
    <w:p w:rsidR="00CC1C95" w:rsidRPr="00EC556A" w:rsidRDefault="00CC1C95" w:rsidP="00EE0DB2">
      <w:pPr>
        <w:autoSpaceDE w:val="0"/>
        <w:autoSpaceDN w:val="0"/>
        <w:adjustRightInd w:val="0"/>
        <w:rPr>
          <w:rFonts w:eastAsia="SimSun"/>
          <w:szCs w:val="24"/>
          <w:lang w:eastAsia="zh-CN"/>
        </w:rPr>
      </w:pPr>
      <w:r w:rsidRPr="00EC556A">
        <w:rPr>
          <w:rFonts w:eastAsia="SimSun"/>
          <w:szCs w:val="24"/>
          <w:lang w:eastAsia="zh-CN"/>
        </w:rPr>
        <w:t xml:space="preserve">The dissolved pigment solution is extracted three times with </w:t>
      </w:r>
      <w:r w:rsidRPr="00CC1C95">
        <w:rPr>
          <w:rFonts w:eastAsia="SimSun"/>
          <w:szCs w:val="24"/>
          <w:lang w:eastAsia="zh-CN"/>
        </w:rPr>
        <w:t>n</w:t>
      </w:r>
      <w:r>
        <w:rPr>
          <w:rFonts w:eastAsia="SimSun"/>
          <w:szCs w:val="24"/>
          <w:lang w:eastAsia="zh-CN"/>
        </w:rPr>
        <w:t>-</w:t>
      </w:r>
      <w:r w:rsidRPr="00EC556A">
        <w:rPr>
          <w:rFonts w:eastAsia="SimSun"/>
          <w:szCs w:val="24"/>
          <w:lang w:eastAsia="zh-CN"/>
        </w:rPr>
        <w:t xml:space="preserve">heptane. The </w:t>
      </w:r>
      <w:r w:rsidRPr="00CC1C95">
        <w:rPr>
          <w:rFonts w:eastAsia="SimSun"/>
          <w:szCs w:val="24"/>
          <w:lang w:eastAsia="zh-CN"/>
        </w:rPr>
        <w:t>n</w:t>
      </w:r>
      <w:r>
        <w:rPr>
          <w:rFonts w:eastAsia="SimSun"/>
          <w:szCs w:val="24"/>
          <w:lang w:eastAsia="zh-CN"/>
        </w:rPr>
        <w:t>-</w:t>
      </w:r>
      <w:r w:rsidRPr="00EC556A">
        <w:rPr>
          <w:rFonts w:eastAsia="SimSun"/>
          <w:szCs w:val="24"/>
          <w:lang w:eastAsia="zh-CN"/>
        </w:rPr>
        <w:t>heptane</w:t>
      </w:r>
      <w:r>
        <w:rPr>
          <w:rFonts w:eastAsia="SimSun"/>
          <w:szCs w:val="24"/>
          <w:lang w:eastAsia="zh-CN"/>
        </w:rPr>
        <w:t xml:space="preserve"> is concentrated to approx. 1 ml</w:t>
      </w:r>
      <w:r w:rsidRPr="00EC556A">
        <w:rPr>
          <w:rFonts w:eastAsia="SimSun"/>
          <w:szCs w:val="24"/>
          <w:lang w:eastAsia="zh-CN"/>
        </w:rPr>
        <w:t xml:space="preserve"> for the cleanup. </w:t>
      </w:r>
    </w:p>
    <w:p w:rsidR="00CC1C95" w:rsidRPr="00EC556A" w:rsidRDefault="00CC1C95" w:rsidP="00EE0DB2">
      <w:pPr>
        <w:pStyle w:val="Heading3"/>
        <w:numPr>
          <w:ilvl w:val="2"/>
          <w:numId w:val="9"/>
        </w:numPr>
        <w:tabs>
          <w:tab w:val="num" w:pos="0"/>
        </w:tabs>
        <w:snapToGrid/>
        <w:spacing w:before="240" w:after="60" w:line="276" w:lineRule="auto"/>
        <w:ind w:left="0" w:firstLine="0"/>
        <w:jc w:val="both"/>
        <w:rPr>
          <w:rFonts w:eastAsia="SimSun"/>
          <w:lang w:eastAsia="zh-CN"/>
        </w:rPr>
      </w:pPr>
      <w:bookmarkStart w:id="352" w:name="_Toc331773009"/>
      <w:bookmarkStart w:id="353" w:name="_Toc331797310"/>
      <w:bookmarkStart w:id="354" w:name="_Toc331798416"/>
      <w:bookmarkStart w:id="355" w:name="_Toc349335780"/>
      <w:bookmarkEnd w:id="352"/>
      <w:bookmarkEnd w:id="353"/>
      <w:bookmarkEnd w:id="354"/>
      <w:r w:rsidRPr="00EC556A">
        <w:rPr>
          <w:rFonts w:eastAsia="SimSun"/>
          <w:lang w:eastAsia="zh-CN"/>
        </w:rPr>
        <w:t>Clean-up</w:t>
      </w:r>
      <w:bookmarkEnd w:id="355"/>
      <w:r w:rsidRPr="00EC556A">
        <w:rPr>
          <w:rFonts w:eastAsia="SimSun"/>
          <w:lang w:eastAsia="zh-CN"/>
        </w:rPr>
        <w:t xml:space="preserve"> </w:t>
      </w:r>
    </w:p>
    <w:p w:rsidR="00CC1C95" w:rsidRPr="00EC556A" w:rsidRDefault="00CC1C95" w:rsidP="00477F7A">
      <w:pPr>
        <w:ind w:firstLine="708"/>
      </w:pPr>
      <w:r w:rsidRPr="00EC556A">
        <w:t>Different clean-up procedures are used depending on the levels</w:t>
      </w:r>
      <w:r>
        <w:t>,</w:t>
      </w:r>
      <w:r w:rsidRPr="00EC556A">
        <w:t xml:space="preserve"> which needed to be detected for the different unintentional POPs (e.g. for </w:t>
      </w:r>
      <w:r w:rsidR="00DD568C" w:rsidRPr="00EC556A">
        <w:t xml:space="preserve">HCB/PeCBz detection </w:t>
      </w:r>
      <w:r w:rsidR="00DD568C">
        <w:t>in the high ppb range might be sufficient</w:t>
      </w:r>
      <w:r w:rsidR="00DD568C" w:rsidRPr="00EC556A">
        <w:t xml:space="preserve"> while for </w:t>
      </w:r>
      <w:r w:rsidRPr="00EC556A">
        <w:t>PCDD/PCDF ppt</w:t>
      </w:r>
      <w:r w:rsidR="00DD568C">
        <w:t xml:space="preserve"> level</w:t>
      </w:r>
      <w:r w:rsidRPr="00EC556A">
        <w:t xml:space="preserve"> </w:t>
      </w:r>
      <w:r>
        <w:t>needs to</w:t>
      </w:r>
      <w:r w:rsidRPr="00EC556A">
        <w:t xml:space="preserve"> be detected). Extraction and clean-up procedures are described </w:t>
      </w:r>
      <w:r w:rsidR="00477F7A">
        <w:t xml:space="preserve">e.g. </w:t>
      </w:r>
      <w:r w:rsidRPr="00EC556A">
        <w:t xml:space="preserve">in respective </w:t>
      </w:r>
      <w:r w:rsidR="00477F7A">
        <w:t>publications/report</w:t>
      </w:r>
      <w:r w:rsidRPr="00EC556A">
        <w:t xml:space="preserve"> </w:t>
      </w:r>
      <w:r>
        <w:t xml:space="preserve">that </w:t>
      </w:r>
      <w:r w:rsidRPr="00EC556A">
        <w:t xml:space="preserve">have analysed unintentionally POPs in </w:t>
      </w:r>
      <w:r w:rsidR="00477F7A">
        <w:t xml:space="preserve">pigments or </w:t>
      </w:r>
      <w:r w:rsidRPr="00EC556A">
        <w:t>pesticides (see references for case studies below</w:t>
      </w:r>
      <w:r w:rsidR="00477F7A">
        <w:t xml:space="preserve"> such as</w:t>
      </w:r>
      <w:r w:rsidRPr="00EC556A">
        <w:t xml:space="preserve"> Holt et al. 2010; </w:t>
      </w:r>
      <w:hyperlink r:id="rId32" w:history="1">
        <w:r w:rsidRPr="00EC556A">
          <w:rPr>
            <w:rStyle w:val="Hyperlink"/>
          </w:rPr>
          <w:t>Government of Japan 2006</w:t>
        </w:r>
      </w:hyperlink>
      <w:r w:rsidRPr="00EC556A">
        <w:t xml:space="preserve"> and </w:t>
      </w:r>
      <w:hyperlink r:id="rId33" w:history="1">
        <w:r w:rsidRPr="00EC556A">
          <w:rPr>
            <w:rStyle w:val="Hyperlink"/>
          </w:rPr>
          <w:t>2007</w:t>
        </w:r>
      </w:hyperlink>
      <w:r w:rsidRPr="00EC556A">
        <w:t xml:space="preserve">; Liu et al. 2012).  </w:t>
      </w:r>
    </w:p>
    <w:p w:rsidR="00CC1C95" w:rsidRPr="00EC556A" w:rsidRDefault="00CC1C95" w:rsidP="00737E61">
      <w:pPr>
        <w:pStyle w:val="Heading2"/>
        <w:numPr>
          <w:ilvl w:val="1"/>
          <w:numId w:val="9"/>
        </w:numPr>
        <w:snapToGrid/>
        <w:spacing w:before="240" w:after="60" w:line="276" w:lineRule="auto"/>
        <w:ind w:left="0" w:firstLine="0"/>
        <w:jc w:val="both"/>
        <w:rPr>
          <w:rFonts w:eastAsia="SimSun"/>
          <w:lang w:eastAsia="zh-CN"/>
        </w:rPr>
      </w:pPr>
      <w:bookmarkStart w:id="356" w:name="_Toc331771961"/>
      <w:bookmarkStart w:id="357" w:name="_Toc331773012"/>
      <w:bookmarkStart w:id="358" w:name="_Toc331797313"/>
      <w:bookmarkStart w:id="359" w:name="_Toc331798419"/>
      <w:bookmarkStart w:id="360" w:name="_Toc331771962"/>
      <w:bookmarkStart w:id="361" w:name="_Toc331773013"/>
      <w:bookmarkStart w:id="362" w:name="_Toc331797314"/>
      <w:bookmarkStart w:id="363" w:name="_Toc331798420"/>
      <w:bookmarkStart w:id="364" w:name="_Toc331771963"/>
      <w:bookmarkStart w:id="365" w:name="_Toc331773014"/>
      <w:bookmarkStart w:id="366" w:name="_Toc331797315"/>
      <w:bookmarkStart w:id="367" w:name="_Toc331798421"/>
      <w:bookmarkStart w:id="368" w:name="_Toc349335781"/>
      <w:bookmarkEnd w:id="356"/>
      <w:bookmarkEnd w:id="357"/>
      <w:bookmarkEnd w:id="358"/>
      <w:bookmarkEnd w:id="359"/>
      <w:bookmarkEnd w:id="360"/>
      <w:bookmarkEnd w:id="361"/>
      <w:bookmarkEnd w:id="362"/>
      <w:bookmarkEnd w:id="363"/>
      <w:bookmarkEnd w:id="364"/>
      <w:bookmarkEnd w:id="365"/>
      <w:bookmarkEnd w:id="366"/>
      <w:bookmarkEnd w:id="367"/>
      <w:r w:rsidRPr="00EC556A">
        <w:rPr>
          <w:rFonts w:eastAsia="SimSun"/>
          <w:b w:val="0"/>
          <w:lang w:eastAsia="zh-CN"/>
        </w:rPr>
        <w:t>Quantitative instrumental analysis</w:t>
      </w:r>
      <w:bookmarkEnd w:id="368"/>
    </w:p>
    <w:p w:rsidR="00CC1C95" w:rsidRPr="00EC556A" w:rsidRDefault="00CC1C95" w:rsidP="00EE0DB2">
      <w:pPr>
        <w:ind w:firstLine="708"/>
        <w:rPr>
          <w:rFonts w:eastAsia="SimSun"/>
          <w:lang w:eastAsia="zh-CN"/>
        </w:rPr>
      </w:pPr>
      <w:r w:rsidRPr="00EC556A">
        <w:rPr>
          <w:rFonts w:eastAsia="SimSun"/>
          <w:lang w:eastAsia="zh-CN"/>
        </w:rPr>
        <w:t xml:space="preserve">For </w:t>
      </w:r>
      <w:r>
        <w:rPr>
          <w:rFonts w:eastAsia="SimSun"/>
          <w:lang w:eastAsia="zh-CN"/>
        </w:rPr>
        <w:t xml:space="preserve">PeCBz </w:t>
      </w:r>
      <w:r w:rsidRPr="00EC556A">
        <w:rPr>
          <w:rFonts w:eastAsia="SimSun"/>
          <w:lang w:eastAsia="zh-CN"/>
        </w:rPr>
        <w:t xml:space="preserve">and HCB </w:t>
      </w:r>
      <w:r>
        <w:rPr>
          <w:rFonts w:eastAsia="SimSun"/>
          <w:lang w:eastAsia="zh-CN"/>
        </w:rPr>
        <w:t xml:space="preserve">the </w:t>
      </w:r>
      <w:r w:rsidRPr="00EC556A">
        <w:rPr>
          <w:rFonts w:eastAsia="SimSun"/>
          <w:lang w:eastAsia="zh-CN"/>
        </w:rPr>
        <w:t>measurement can be performed with low resolution MS or ECD. Conditions for GC/MS are described in Annex 2</w:t>
      </w:r>
      <w:r>
        <w:rPr>
          <w:rFonts w:eastAsia="SimSun"/>
          <w:lang w:eastAsia="zh-CN"/>
        </w:rPr>
        <w:t>-C.</w:t>
      </w:r>
    </w:p>
    <w:p w:rsidR="00CC1C95" w:rsidRPr="00EC556A" w:rsidRDefault="00CC1C95" w:rsidP="00EE0DB2">
      <w:pPr>
        <w:autoSpaceDE w:val="0"/>
        <w:autoSpaceDN w:val="0"/>
        <w:adjustRightInd w:val="0"/>
        <w:jc w:val="left"/>
        <w:rPr>
          <w:rFonts w:eastAsia="SimSun"/>
          <w:b/>
          <w:bCs/>
          <w:szCs w:val="24"/>
          <w:lang w:eastAsia="zh-CN"/>
        </w:rPr>
      </w:pPr>
      <w:r w:rsidRPr="00EC556A">
        <w:rPr>
          <w:rFonts w:eastAsia="SimSun"/>
          <w:lang w:eastAsia="zh-CN"/>
        </w:rPr>
        <w:t xml:space="preserve">For </w:t>
      </w:r>
      <w:r>
        <w:rPr>
          <w:rFonts w:eastAsia="SimSun"/>
          <w:lang w:eastAsia="zh-CN"/>
        </w:rPr>
        <w:t xml:space="preserve">the </w:t>
      </w:r>
      <w:r w:rsidRPr="00EC556A">
        <w:rPr>
          <w:rFonts w:eastAsia="SimSun"/>
          <w:lang w:eastAsia="zh-CN"/>
        </w:rPr>
        <w:t xml:space="preserve">PCDD/PCDF analysis different international standards have been developed (e.g. EN 1948-3; </w:t>
      </w:r>
      <w:hyperlink r:id="rId34" w:history="1">
        <w:r w:rsidRPr="00EC556A">
          <w:rPr>
            <w:rStyle w:val="Hyperlink"/>
            <w:rFonts w:eastAsia="SimSun"/>
            <w:lang w:eastAsia="zh-CN"/>
          </w:rPr>
          <w:t>USEPA Method 8290A</w:t>
        </w:r>
      </w:hyperlink>
      <w:r w:rsidRPr="00EC556A">
        <w:rPr>
          <w:rStyle w:val="FootnoteReference"/>
          <w:rFonts w:eastAsia="SimSun"/>
          <w:lang w:eastAsia="zh-CN"/>
        </w:rPr>
        <w:footnoteReference w:id="63"/>
      </w:r>
      <w:r w:rsidRPr="00EC556A">
        <w:rPr>
          <w:rFonts w:eastAsia="SimSun"/>
          <w:lang w:eastAsia="zh-CN"/>
        </w:rPr>
        <w:t xml:space="preserve">). </w:t>
      </w:r>
    </w:p>
    <w:p w:rsidR="00CC1C95" w:rsidRPr="00EC556A" w:rsidRDefault="00CC1C95" w:rsidP="00EE0DB2">
      <w:bookmarkStart w:id="369" w:name="_Toc331771968"/>
      <w:bookmarkStart w:id="370" w:name="_Toc331773019"/>
      <w:bookmarkStart w:id="371" w:name="_Toc331797320"/>
      <w:bookmarkStart w:id="372" w:name="_Toc331798426"/>
      <w:bookmarkStart w:id="373" w:name="_Toc331771971"/>
      <w:bookmarkStart w:id="374" w:name="_Toc331773022"/>
      <w:bookmarkStart w:id="375" w:name="_Toc331797323"/>
      <w:bookmarkStart w:id="376" w:name="_Toc331798429"/>
      <w:bookmarkStart w:id="377" w:name="_Toc331771975"/>
      <w:bookmarkStart w:id="378" w:name="_Toc331773026"/>
      <w:bookmarkStart w:id="379" w:name="_Toc331797327"/>
      <w:bookmarkStart w:id="380" w:name="_Toc331798433"/>
      <w:bookmarkEnd w:id="369"/>
      <w:bookmarkEnd w:id="370"/>
      <w:bookmarkEnd w:id="371"/>
      <w:bookmarkEnd w:id="372"/>
      <w:bookmarkEnd w:id="373"/>
      <w:bookmarkEnd w:id="374"/>
      <w:bookmarkEnd w:id="375"/>
      <w:bookmarkEnd w:id="376"/>
      <w:bookmarkEnd w:id="377"/>
      <w:bookmarkEnd w:id="378"/>
      <w:bookmarkEnd w:id="379"/>
      <w:bookmarkEnd w:id="380"/>
    </w:p>
    <w:p w:rsidR="00CC1C95" w:rsidRPr="00EC556A" w:rsidRDefault="0002550C" w:rsidP="00000FBF">
      <w:pPr>
        <w:pStyle w:val="Heading1"/>
        <w:snapToGrid/>
        <w:spacing w:before="200" w:after="60" w:line="276" w:lineRule="auto"/>
        <w:ind w:left="0" w:firstLine="0"/>
        <w:jc w:val="both"/>
      </w:pPr>
      <w:bookmarkStart w:id="381" w:name="_Toc246904041"/>
      <w:r>
        <w:rPr>
          <w:b w:val="0"/>
          <w:bCs w:val="0"/>
        </w:rPr>
        <w:br w:type="page"/>
      </w:r>
      <w:bookmarkStart w:id="382" w:name="_Toc349335782"/>
      <w:r w:rsidR="00CC1C95" w:rsidRPr="00EC556A">
        <w:rPr>
          <w:b w:val="0"/>
          <w:bCs w:val="0"/>
        </w:rPr>
        <w:t>ANNEX 1</w:t>
      </w:r>
      <w:r w:rsidR="00CC1C95">
        <w:rPr>
          <w:b w:val="0"/>
          <w:bCs w:val="0"/>
        </w:rPr>
        <w:tab/>
      </w:r>
      <w:r w:rsidR="00CC1C95" w:rsidRPr="00EC556A">
        <w:rPr>
          <w:b w:val="0"/>
          <w:bCs w:val="0"/>
        </w:rPr>
        <w:t xml:space="preserve"> Articles/products which might contain  POPs</w:t>
      </w:r>
      <w:bookmarkEnd w:id="382"/>
      <w:r w:rsidR="00911C7F">
        <w:rPr>
          <w:b w:val="0"/>
          <w:bCs w:val="0"/>
        </w:rPr>
        <w:t xml:space="preserve"> listed in 2009 and 2011</w:t>
      </w:r>
    </w:p>
    <w:p w:rsidR="00CC1C95" w:rsidRPr="00EC556A" w:rsidRDefault="00CC1C95" w:rsidP="00737E61">
      <w:pPr>
        <w:pStyle w:val="Heading2"/>
        <w:numPr>
          <w:ilvl w:val="0"/>
          <w:numId w:val="0"/>
        </w:numPr>
        <w:snapToGrid/>
        <w:spacing w:before="240" w:after="60" w:line="276" w:lineRule="auto"/>
        <w:ind w:left="576" w:hanging="576"/>
        <w:jc w:val="both"/>
      </w:pPr>
      <w:bookmarkStart w:id="383" w:name="_Toc300843602"/>
      <w:bookmarkStart w:id="384" w:name="_Toc302470801"/>
      <w:bookmarkStart w:id="385" w:name="_Toc307652683"/>
      <w:bookmarkStart w:id="386" w:name="_Toc308770604"/>
      <w:bookmarkStart w:id="387" w:name="_Toc308808887"/>
      <w:bookmarkStart w:id="388" w:name="_Toc323558503"/>
      <w:bookmarkStart w:id="389" w:name="_Toc349335783"/>
      <w:r w:rsidRPr="00EC556A">
        <w:rPr>
          <w:b w:val="0"/>
        </w:rPr>
        <w:t>Annex 1-A PFOS</w:t>
      </w:r>
      <w:bookmarkEnd w:id="383"/>
      <w:bookmarkEnd w:id="384"/>
      <w:r w:rsidRPr="00EC556A">
        <w:rPr>
          <w:b w:val="0"/>
        </w:rPr>
        <w:t xml:space="preserve"> and PFOS related </w:t>
      </w:r>
      <w:bookmarkEnd w:id="385"/>
      <w:r w:rsidRPr="00EC556A">
        <w:rPr>
          <w:b w:val="0"/>
        </w:rPr>
        <w:t>chemicals in articles and products</w:t>
      </w:r>
      <w:bookmarkEnd w:id="386"/>
      <w:bookmarkEnd w:id="387"/>
      <w:bookmarkEnd w:id="388"/>
      <w:bookmarkEnd w:id="389"/>
    </w:p>
    <w:p w:rsidR="00CC1C95" w:rsidRPr="00EC556A" w:rsidRDefault="00CC1C95" w:rsidP="00000FBF">
      <w:pPr>
        <w:pStyle w:val="Heading3"/>
        <w:numPr>
          <w:ilvl w:val="0"/>
          <w:numId w:val="0"/>
        </w:numPr>
        <w:snapToGrid/>
        <w:spacing w:before="240" w:after="60" w:line="276" w:lineRule="auto"/>
        <w:jc w:val="both"/>
      </w:pPr>
      <w:bookmarkStart w:id="390" w:name="_Toc313904770"/>
      <w:bookmarkStart w:id="391" w:name="_Toc323558504"/>
      <w:bookmarkStart w:id="392" w:name="_Toc349335784"/>
      <w:bookmarkStart w:id="393" w:name="_Toc308770605"/>
      <w:bookmarkStart w:id="394" w:name="_Toc308808888"/>
      <w:r w:rsidRPr="00EC556A">
        <w:t>PFOS and related chemicals in production and as products</w:t>
      </w:r>
      <w:bookmarkEnd w:id="390"/>
      <w:bookmarkEnd w:id="391"/>
      <w:bookmarkEnd w:id="392"/>
    </w:p>
    <w:p w:rsidR="00CC1C95" w:rsidRPr="00EC556A" w:rsidRDefault="00CC1C95" w:rsidP="0024237B">
      <w:pPr>
        <w:widowControl w:val="0"/>
        <w:ind w:firstLine="708"/>
      </w:pPr>
      <w:r w:rsidRPr="00EC556A">
        <w:t xml:space="preserve">PFOS and related chemicals are currently produced in at least three countries (China, Germany, and Italy). Some trade names and product names are available and have been listed in an Annex of the </w:t>
      </w:r>
      <w:r w:rsidRPr="009817D9">
        <w:t>“</w:t>
      </w:r>
      <w:r w:rsidRPr="009817D9">
        <w:rPr>
          <w:iCs/>
        </w:rPr>
        <w:t>POPs Customs Control Guidance</w:t>
      </w:r>
      <w:r w:rsidRPr="009817D9">
        <w:t>”</w:t>
      </w:r>
      <w:r w:rsidR="0024237B">
        <w:rPr>
          <w:rStyle w:val="FootnoteReference"/>
        </w:rPr>
        <w:footnoteReference w:id="64"/>
      </w:r>
      <w:r w:rsidRPr="00EC556A">
        <w:t>.</w:t>
      </w:r>
    </w:p>
    <w:p w:rsidR="00CC1C95" w:rsidRPr="00EC556A" w:rsidRDefault="00CC1C95" w:rsidP="00000FBF">
      <w:pPr>
        <w:pStyle w:val="Heading3"/>
        <w:numPr>
          <w:ilvl w:val="0"/>
          <w:numId w:val="0"/>
        </w:numPr>
        <w:snapToGrid/>
        <w:spacing w:before="240" w:after="60" w:line="276" w:lineRule="auto"/>
        <w:jc w:val="both"/>
      </w:pPr>
      <w:bookmarkStart w:id="395" w:name="_Toc308770606"/>
      <w:bookmarkStart w:id="396" w:name="_Toc308808889"/>
      <w:bookmarkStart w:id="397" w:name="_Toc313904771"/>
      <w:bookmarkStart w:id="398" w:name="_Toc323558505"/>
      <w:bookmarkStart w:id="399" w:name="_Toc349335785"/>
      <w:bookmarkEnd w:id="393"/>
      <w:bookmarkEnd w:id="394"/>
      <w:r w:rsidRPr="00EC556A">
        <w:t>PFOS in fire-fighting foams</w:t>
      </w:r>
      <w:bookmarkEnd w:id="395"/>
      <w:bookmarkEnd w:id="396"/>
      <w:bookmarkEnd w:id="397"/>
      <w:bookmarkEnd w:id="398"/>
      <w:bookmarkEnd w:id="399"/>
    </w:p>
    <w:p w:rsidR="00CC1C95" w:rsidRDefault="00CC1C95" w:rsidP="00EE0DB2">
      <w:pPr>
        <w:widowControl w:val="0"/>
        <w:ind w:firstLine="708"/>
      </w:pPr>
      <w:r w:rsidRPr="00EC556A">
        <w:t>Specific fire-fighting foams (aqueous film forming foams (AFFF)) with PFOS or other PFCs are used for extinguishing liquid fuel fires. They are especially used at installations and plants where large quantities of flammable liquids are stored. PFOS containing fire fighting foams are still on the market.</w:t>
      </w:r>
    </w:p>
    <w:p w:rsidR="00CC1C95" w:rsidRPr="00EC556A" w:rsidRDefault="00CC1C95" w:rsidP="00EE0DB2">
      <w:pPr>
        <w:widowControl w:val="0"/>
      </w:pPr>
      <w:r w:rsidRPr="00EC556A">
        <w:t>Fire fighting foam is listed as an acceptable purpose. Therefore, countries can register for this use</w:t>
      </w:r>
      <w:r>
        <w:t>,</w:t>
      </w:r>
      <w:r w:rsidRPr="00EC556A">
        <w:t xml:space="preserve"> which has to be considered then for monitoring. Fire fighting foams can be sampled at import from customs. Additionally stocks on the fire-fighting services level </w:t>
      </w:r>
      <w:r>
        <w:t>w</w:t>
      </w:r>
      <w:r w:rsidRPr="00EC556A">
        <w:t xml:space="preserve">ould be sampled and analysed. Box A-1 list fire fighting services and locations with a high probability of AFFF use which could be inspected and where samples could be taken. However, fire-fighting services from the city/region also might have AFFF for specific uses and </w:t>
      </w:r>
      <w:r>
        <w:t>these w</w:t>
      </w:r>
      <w:r w:rsidRPr="00EC556A">
        <w:t xml:space="preserve">ould be assessed. </w:t>
      </w:r>
    </w:p>
    <w:tbl>
      <w:tblPr>
        <w:tblpPr w:leftFromText="187" w:rightFromText="187" w:vertAnchor="page" w:horzAnchor="margin" w:tblpY="8926"/>
        <w:tblW w:w="0" w:type="auto"/>
        <w:tblBorders>
          <w:top w:val="single" w:sz="48" w:space="0" w:color="B6DDE8"/>
          <w:left w:val="single" w:sz="48" w:space="0" w:color="B6DDE8"/>
          <w:bottom w:val="single" w:sz="48" w:space="0" w:color="B6DDE8"/>
          <w:right w:val="single" w:sz="48" w:space="0" w:color="B6DDE8"/>
          <w:insideH w:val="single" w:sz="48" w:space="0" w:color="B6DDE8"/>
          <w:insideV w:val="single" w:sz="48" w:space="0" w:color="FFC000"/>
        </w:tblBorders>
        <w:tblLook w:val="00A0"/>
      </w:tblPr>
      <w:tblGrid>
        <w:gridCol w:w="9072"/>
      </w:tblGrid>
      <w:tr w:rsidR="00CC1C95" w:rsidRPr="00EC556A">
        <w:tc>
          <w:tcPr>
            <w:tcW w:w="9072" w:type="dxa"/>
            <w:tcBorders>
              <w:top w:val="single" w:sz="48" w:space="0" w:color="B6DDE8"/>
              <w:left w:val="single" w:sz="48" w:space="0" w:color="B6DDE8"/>
              <w:bottom w:val="single" w:sz="48" w:space="0" w:color="B6DDE8"/>
              <w:right w:val="single" w:sz="48" w:space="0" w:color="B6DDE8"/>
            </w:tcBorders>
            <w:tcMar>
              <w:top w:w="113" w:type="dxa"/>
              <w:left w:w="227" w:type="dxa"/>
              <w:bottom w:w="113" w:type="dxa"/>
              <w:right w:w="227" w:type="dxa"/>
            </w:tcMar>
          </w:tcPr>
          <w:p w:rsidR="00CC1C95" w:rsidRPr="00EC556A" w:rsidRDefault="00CC1C95" w:rsidP="00EE0DB2">
            <w:pPr>
              <w:jc w:val="center"/>
              <w:rPr>
                <w:b/>
              </w:rPr>
            </w:pPr>
            <w:r w:rsidRPr="00EC556A">
              <w:rPr>
                <w:b/>
              </w:rPr>
              <w:t>Box A-1: Fire-fighting services and locations where AFFF foams are mainly used</w:t>
            </w:r>
          </w:p>
          <w:p w:rsidR="00CC1C95" w:rsidRPr="006D66B2" w:rsidRDefault="00CC1C95" w:rsidP="00EE0DB2">
            <w:pPr>
              <w:pStyle w:val="BulletLevel1CharChar"/>
              <w:numPr>
                <w:ilvl w:val="0"/>
                <w:numId w:val="8"/>
              </w:numPr>
              <w:ind w:left="450" w:hanging="270"/>
              <w:rPr>
                <w:rFonts w:ascii="Calibri" w:hAnsi="Calibri"/>
                <w:szCs w:val="22"/>
                <w:lang w:val="en-GB"/>
              </w:rPr>
            </w:pPr>
            <w:r w:rsidRPr="006D66B2">
              <w:t>fire-fighting training sites</w:t>
            </w:r>
          </w:p>
          <w:p w:rsidR="00CC1C95" w:rsidRPr="006D66B2" w:rsidRDefault="00CC1C95" w:rsidP="00EE0DB2">
            <w:pPr>
              <w:pStyle w:val="BulletLevel1CharChar"/>
              <w:numPr>
                <w:ilvl w:val="0"/>
                <w:numId w:val="8"/>
              </w:numPr>
              <w:ind w:left="450" w:hanging="270"/>
              <w:rPr>
                <w:rFonts w:ascii="Calibri" w:hAnsi="Calibri"/>
                <w:szCs w:val="22"/>
                <w:lang w:val="en-GB"/>
              </w:rPr>
            </w:pPr>
            <w:r w:rsidRPr="006D66B2">
              <w:t xml:space="preserve">airports </w:t>
            </w:r>
          </w:p>
          <w:p w:rsidR="00CC1C95" w:rsidRPr="006D66B2" w:rsidRDefault="00CC1C95" w:rsidP="00EE0DB2">
            <w:pPr>
              <w:pStyle w:val="BulletLevel1CharChar"/>
              <w:numPr>
                <w:ilvl w:val="0"/>
                <w:numId w:val="8"/>
              </w:numPr>
              <w:ind w:left="450" w:hanging="270"/>
              <w:rPr>
                <w:rFonts w:ascii="Calibri" w:hAnsi="Calibri"/>
                <w:szCs w:val="22"/>
                <w:lang w:val="en-GB"/>
              </w:rPr>
            </w:pPr>
            <w:r w:rsidRPr="006D66B2">
              <w:t>oil refineries</w:t>
            </w:r>
          </w:p>
          <w:p w:rsidR="00CC1C95" w:rsidRPr="006D66B2" w:rsidRDefault="00CC1C95" w:rsidP="00EE0DB2">
            <w:pPr>
              <w:pStyle w:val="BulletLevel1CharChar"/>
              <w:numPr>
                <w:ilvl w:val="0"/>
                <w:numId w:val="8"/>
              </w:numPr>
              <w:ind w:left="450" w:hanging="270"/>
              <w:rPr>
                <w:rFonts w:ascii="Calibri" w:hAnsi="Calibri"/>
                <w:szCs w:val="22"/>
                <w:lang w:val="en-GB"/>
              </w:rPr>
            </w:pPr>
            <w:r w:rsidRPr="006D66B2">
              <w:t>military areas</w:t>
            </w:r>
          </w:p>
          <w:p w:rsidR="00CC1C95" w:rsidRPr="006D66B2" w:rsidRDefault="00CC1C95" w:rsidP="00EE0DB2">
            <w:pPr>
              <w:pStyle w:val="BulletLevel1CharChar"/>
              <w:numPr>
                <w:ilvl w:val="0"/>
                <w:numId w:val="8"/>
              </w:numPr>
              <w:ind w:left="450" w:hanging="270"/>
              <w:rPr>
                <w:rFonts w:ascii="Calibri" w:hAnsi="Calibri"/>
                <w:szCs w:val="22"/>
                <w:lang w:val="en-GB"/>
              </w:rPr>
            </w:pPr>
            <w:r w:rsidRPr="006D66B2">
              <w:t>offshore installations, mobile rigs</w:t>
            </w:r>
          </w:p>
          <w:p w:rsidR="00CC1C95" w:rsidRPr="006D66B2" w:rsidRDefault="00CC1C95" w:rsidP="00EE0DB2">
            <w:pPr>
              <w:pStyle w:val="BulletLevel1CharChar"/>
              <w:numPr>
                <w:ilvl w:val="0"/>
                <w:numId w:val="8"/>
              </w:numPr>
              <w:ind w:left="450" w:hanging="270"/>
              <w:rPr>
                <w:rFonts w:ascii="Calibri" w:hAnsi="Calibri"/>
                <w:szCs w:val="22"/>
                <w:lang w:val="en-GB"/>
              </w:rPr>
            </w:pPr>
            <w:r w:rsidRPr="00E77A35">
              <w:rPr>
                <w:lang w:val="en-GB"/>
              </w:rPr>
              <w:t>onshore gas terminals, onshore installations for gas and oil extraction</w:t>
            </w:r>
          </w:p>
          <w:p w:rsidR="00CC1C95" w:rsidRPr="006D66B2" w:rsidRDefault="00CC1C95" w:rsidP="00EE0DB2">
            <w:pPr>
              <w:pStyle w:val="BulletLevel1CharChar"/>
              <w:numPr>
                <w:ilvl w:val="0"/>
                <w:numId w:val="8"/>
              </w:numPr>
              <w:ind w:left="450" w:hanging="270"/>
              <w:rPr>
                <w:rFonts w:ascii="Calibri" w:hAnsi="Calibri"/>
                <w:szCs w:val="22"/>
                <w:lang w:val="en-GB"/>
              </w:rPr>
            </w:pPr>
            <w:r w:rsidRPr="006D66B2">
              <w:t>storage facilities at industrial sites</w:t>
            </w:r>
          </w:p>
          <w:p w:rsidR="00CC1C95" w:rsidRPr="006D66B2" w:rsidRDefault="00CC1C95" w:rsidP="00EE0DB2">
            <w:pPr>
              <w:pStyle w:val="BulletLevel1CharChar"/>
              <w:numPr>
                <w:ilvl w:val="0"/>
                <w:numId w:val="8"/>
              </w:numPr>
              <w:ind w:left="450" w:hanging="270"/>
              <w:rPr>
                <w:rFonts w:ascii="Calibri" w:hAnsi="Calibri"/>
                <w:szCs w:val="22"/>
                <w:lang w:val="en-GB"/>
              </w:rPr>
            </w:pPr>
            <w:r w:rsidRPr="006D66B2">
              <w:t>tank farms</w:t>
            </w:r>
          </w:p>
          <w:p w:rsidR="00CC1C95" w:rsidRPr="006D66B2" w:rsidRDefault="00CC1C95" w:rsidP="00EE0DB2">
            <w:pPr>
              <w:pStyle w:val="BulletLevel1CharChar"/>
              <w:numPr>
                <w:ilvl w:val="0"/>
                <w:numId w:val="8"/>
              </w:numPr>
              <w:ind w:left="450" w:hanging="270"/>
              <w:rPr>
                <w:rFonts w:ascii="Calibri" w:hAnsi="Calibri"/>
                <w:szCs w:val="22"/>
                <w:lang w:val="en-GB"/>
              </w:rPr>
            </w:pPr>
            <w:r w:rsidRPr="006D66B2">
              <w:t>waste management installations</w:t>
            </w:r>
          </w:p>
          <w:p w:rsidR="00CC1C95" w:rsidRPr="006D66B2" w:rsidRDefault="00CC1C95" w:rsidP="00EE0DB2">
            <w:pPr>
              <w:pStyle w:val="BulletLevel1CharChar"/>
              <w:numPr>
                <w:ilvl w:val="0"/>
                <w:numId w:val="8"/>
              </w:numPr>
              <w:ind w:left="450" w:hanging="270"/>
              <w:rPr>
                <w:rFonts w:ascii="Calibri" w:hAnsi="Calibri"/>
                <w:szCs w:val="22"/>
                <w:lang w:val="en-GB"/>
              </w:rPr>
            </w:pPr>
            <w:r w:rsidRPr="006D66B2">
              <w:t>hospitals</w:t>
            </w:r>
          </w:p>
          <w:p w:rsidR="00CC1C95" w:rsidRPr="006D66B2" w:rsidRDefault="00CC1C95" w:rsidP="00EE0DB2">
            <w:pPr>
              <w:pStyle w:val="BulletLevel1CharChar"/>
              <w:numPr>
                <w:ilvl w:val="0"/>
                <w:numId w:val="8"/>
              </w:numPr>
              <w:ind w:left="450" w:hanging="270"/>
              <w:rPr>
                <w:rFonts w:ascii="Calibri" w:hAnsi="Calibri"/>
                <w:szCs w:val="22"/>
                <w:lang w:val="en-GB"/>
              </w:rPr>
            </w:pPr>
            <w:r w:rsidRPr="006D66B2">
              <w:t>car parks</w:t>
            </w:r>
          </w:p>
          <w:p w:rsidR="00CC1C95" w:rsidRPr="006D66B2" w:rsidRDefault="00CC1C95" w:rsidP="00EE0DB2">
            <w:pPr>
              <w:pStyle w:val="BulletLevel1CharChar"/>
              <w:numPr>
                <w:ilvl w:val="0"/>
                <w:numId w:val="8"/>
              </w:numPr>
              <w:ind w:left="450" w:hanging="270"/>
              <w:rPr>
                <w:rFonts w:ascii="Calibri" w:hAnsi="Calibri"/>
                <w:szCs w:val="22"/>
                <w:lang w:val="en-GB"/>
              </w:rPr>
            </w:pPr>
            <w:r w:rsidRPr="006D66B2">
              <w:t>ships and ferries</w:t>
            </w:r>
          </w:p>
        </w:tc>
      </w:tr>
    </w:tbl>
    <w:p w:rsidR="00CC1C95" w:rsidRPr="00EC556A" w:rsidRDefault="00CC1C95" w:rsidP="00EE0DB2">
      <w:pPr>
        <w:widowControl w:val="0"/>
      </w:pPr>
    </w:p>
    <w:p w:rsidR="00CC1C95" w:rsidRDefault="00CC1C95" w:rsidP="00DE5689">
      <w:bookmarkStart w:id="400" w:name="_Toc308770607"/>
      <w:bookmarkStart w:id="401" w:name="_Toc308808890"/>
      <w:bookmarkStart w:id="402" w:name="_Toc313904783"/>
      <w:bookmarkStart w:id="403" w:name="_Toc323558506"/>
    </w:p>
    <w:p w:rsidR="00CC1C95" w:rsidRDefault="00CC1C95">
      <w:pPr>
        <w:snapToGrid/>
        <w:spacing w:after="0"/>
        <w:jc w:val="left"/>
      </w:pPr>
      <w:r>
        <w:br w:type="page"/>
      </w:r>
    </w:p>
    <w:p w:rsidR="00CC1C95" w:rsidRPr="00EC556A" w:rsidRDefault="00CC1C95" w:rsidP="00000FBF">
      <w:pPr>
        <w:pStyle w:val="Heading3"/>
        <w:numPr>
          <w:ilvl w:val="0"/>
          <w:numId w:val="0"/>
        </w:numPr>
        <w:snapToGrid/>
        <w:spacing w:before="240" w:after="60" w:line="276" w:lineRule="auto"/>
        <w:jc w:val="both"/>
      </w:pPr>
      <w:bookmarkStart w:id="404" w:name="_Toc349335786"/>
      <w:r w:rsidRPr="00EC556A">
        <w:t>Metal plating industries</w:t>
      </w:r>
      <w:bookmarkEnd w:id="400"/>
      <w:bookmarkEnd w:id="401"/>
      <w:bookmarkEnd w:id="402"/>
      <w:bookmarkEnd w:id="403"/>
      <w:bookmarkEnd w:id="404"/>
    </w:p>
    <w:p w:rsidR="00CC1C95" w:rsidRDefault="00CC1C95" w:rsidP="00474223">
      <w:pPr>
        <w:widowControl w:val="0"/>
        <w:ind w:firstLine="708"/>
      </w:pPr>
      <w:r w:rsidRPr="00EC556A">
        <w:t xml:space="preserve">PFOS related chemicals are mainly used as surfactant/wetting agent/mist suppressants in hard and decorative chrome plating, which can reduce the emission of chromium and improve the working environment in this sector. </w:t>
      </w:r>
      <w:r w:rsidR="00474223" w:rsidRPr="00EC556A">
        <w:t xml:space="preserve">PFOS containing performance chemicals </w:t>
      </w:r>
      <w:r w:rsidR="00474223">
        <w:t>are also possibly used in</w:t>
      </w:r>
      <w:r w:rsidRPr="00EC556A">
        <w:t xml:space="preserve"> copper plating, nickel plating, tin plating, plating plastic, a</w:t>
      </w:r>
      <w:r w:rsidR="00474223">
        <w:t>nd plating with precious metals</w:t>
      </w:r>
      <w:r w:rsidRPr="00EC556A">
        <w:t>.</w:t>
      </w:r>
    </w:p>
    <w:p w:rsidR="00CC1C95" w:rsidRDefault="00CC1C95" w:rsidP="00EE0DB2">
      <w:pPr>
        <w:widowControl w:val="0"/>
      </w:pPr>
      <w:r w:rsidRPr="00EC556A">
        <w:t xml:space="preserve">PFOS use in metal plating in closed loop systems is listed as an acceptable purpose, and use in hard metal plating and decorative metal plating as a specific exemption. Therefore, countries can register for this use and several countries have already registered. </w:t>
      </w:r>
    </w:p>
    <w:p w:rsidR="00CC1C95" w:rsidRPr="00EC556A" w:rsidRDefault="00CC1C95" w:rsidP="00EE0DB2">
      <w:pPr>
        <w:widowControl w:val="0"/>
      </w:pPr>
      <w:r w:rsidRPr="00EC556A">
        <w:t>The main stakeholders to monitor the import and presence of PFOS in PFOS containing performance chemicals are customs and in particular the competent authority</w:t>
      </w:r>
      <w:r>
        <w:t>,</w:t>
      </w:r>
      <w:r w:rsidRPr="00EC556A">
        <w:t xml:space="preserve"> </w:t>
      </w:r>
      <w:r>
        <w:t xml:space="preserve">which </w:t>
      </w:r>
      <w:r w:rsidRPr="00EC556A">
        <w:t>controls the plating industries. The association of metal</w:t>
      </w:r>
      <w:r>
        <w:t>/plastic</w:t>
      </w:r>
      <w:r w:rsidRPr="00EC556A">
        <w:t xml:space="preserve"> plating industry and individual metal </w:t>
      </w:r>
      <w:r>
        <w:t xml:space="preserve">and plastic </w:t>
      </w:r>
      <w:r w:rsidRPr="00EC556A">
        <w:t xml:space="preserve">plating industries </w:t>
      </w:r>
      <w:r>
        <w:t>w</w:t>
      </w:r>
      <w:r w:rsidRPr="00EC556A">
        <w:t>ould be informed and encouraged to participate in a survey of the presence of PFOS and related chemicals in mist suppressant. Samples can be taken at the respective industries.</w:t>
      </w:r>
    </w:p>
    <w:p w:rsidR="00CC1C95" w:rsidRPr="00EC556A" w:rsidRDefault="00CC1C95" w:rsidP="00000FBF">
      <w:pPr>
        <w:pStyle w:val="Heading3"/>
        <w:numPr>
          <w:ilvl w:val="0"/>
          <w:numId w:val="0"/>
        </w:numPr>
        <w:snapToGrid/>
        <w:spacing w:before="240" w:after="60" w:line="276" w:lineRule="auto"/>
        <w:jc w:val="both"/>
      </w:pPr>
      <w:bookmarkStart w:id="405" w:name="_Toc313904784"/>
      <w:bookmarkStart w:id="406" w:name="_Toc323558507"/>
      <w:bookmarkStart w:id="407" w:name="_Toc349335787"/>
      <w:r w:rsidRPr="00EC556A">
        <w:t>Other relevant industrial uses of PFOS having exemptions</w:t>
      </w:r>
      <w:bookmarkEnd w:id="405"/>
      <w:bookmarkEnd w:id="406"/>
      <w:bookmarkEnd w:id="407"/>
    </w:p>
    <w:p w:rsidR="00CC1C95" w:rsidRDefault="00CC1C95" w:rsidP="00EE0DB2">
      <w:pPr>
        <w:widowControl w:val="0"/>
        <w:ind w:firstLine="708"/>
      </w:pPr>
      <w:r w:rsidRPr="00EC556A">
        <w:t>PFOS and related chemicals use</w:t>
      </w:r>
      <w:r>
        <w:t>d</w:t>
      </w:r>
      <w:r w:rsidRPr="00EC556A">
        <w:t xml:space="preserve"> in photo imaging, photo resist and anti-reflective coatings for semi-conductors, and as etching agent for compound semi-conductors and ceramic filters have already been asked for as exemptions by several countries. </w:t>
      </w:r>
    </w:p>
    <w:p w:rsidR="00CC1C95" w:rsidRPr="00EC556A" w:rsidRDefault="00CC1C95" w:rsidP="00EE0DB2">
      <w:pPr>
        <w:widowControl w:val="0"/>
      </w:pPr>
      <w:r w:rsidRPr="00EC556A">
        <w:t xml:space="preserve">The main stakeholders to monitor the import and presence of PFOS in PFOS containing performance chemicals for these uses are customs and in particular the competent authority controlling these industries. From the industrial side, the relevant association and individual facilities </w:t>
      </w:r>
      <w:r>
        <w:t>w</w:t>
      </w:r>
      <w:r w:rsidRPr="00EC556A">
        <w:t xml:space="preserve">ould be informed and asked for information. Samples might be provided directly by the industrial associations or individual companies.   </w:t>
      </w:r>
    </w:p>
    <w:p w:rsidR="00CC1C95" w:rsidRPr="00EC556A" w:rsidRDefault="00CC1C95" w:rsidP="00000FBF">
      <w:pPr>
        <w:pStyle w:val="Heading3"/>
        <w:numPr>
          <w:ilvl w:val="0"/>
          <w:numId w:val="0"/>
        </w:numPr>
        <w:snapToGrid/>
        <w:spacing w:before="240" w:after="60" w:line="276" w:lineRule="auto"/>
        <w:jc w:val="both"/>
      </w:pPr>
      <w:bookmarkStart w:id="408" w:name="_Toc313904785"/>
      <w:bookmarkStart w:id="409" w:name="_Toc323558508"/>
      <w:bookmarkStart w:id="410" w:name="_Toc349335788"/>
      <w:bookmarkStart w:id="411" w:name="_Toc308770608"/>
      <w:bookmarkStart w:id="412" w:name="_Toc308808891"/>
      <w:r w:rsidRPr="00EC556A">
        <w:t>Other industrial uses with specific exemptions, but considered less relevant</w:t>
      </w:r>
      <w:bookmarkEnd w:id="408"/>
      <w:bookmarkEnd w:id="409"/>
      <w:bookmarkEnd w:id="410"/>
    </w:p>
    <w:p w:rsidR="00CC1C95" w:rsidRDefault="00CC1C95" w:rsidP="00EE0DB2">
      <w:pPr>
        <w:widowControl w:val="0"/>
        <w:ind w:firstLine="708"/>
      </w:pPr>
      <w:r w:rsidRPr="00EC556A">
        <w:t xml:space="preserve">Other industrial uses considered less relevant today are: treatment of paper, carpets, textiles, and leather; and PFOS derivatives that may be used as surfactants in the oil and gas industries to enhance oil or gas recovery in wells, as evaporation inhibitors for gasoline, as jet fuel, and hydrocarbon solvents. These uses are listed as specific exemptions and countries can register. However, for these uses, alternatives are available and already used. Since alternatives are often persistent chemicals they also </w:t>
      </w:r>
      <w:r>
        <w:t>c</w:t>
      </w:r>
      <w:r w:rsidRPr="00EC556A">
        <w:t xml:space="preserve">ould be assessed. </w:t>
      </w:r>
    </w:p>
    <w:p w:rsidR="00CC1C95" w:rsidRPr="00EC556A" w:rsidRDefault="00CC1C95" w:rsidP="00EE0DB2">
      <w:pPr>
        <w:widowControl w:val="0"/>
      </w:pPr>
      <w:r w:rsidRPr="00EC556A">
        <w:t xml:space="preserve">The related industries include the oil and gas industries, carpet industries, paper industry, textile industry, and leather industry. The main stakeholders to monitor the import and presence of PFOS and related substances in these industries are </w:t>
      </w:r>
      <w:r w:rsidR="00737E61">
        <w:t xml:space="preserve">the industry (compliance) and </w:t>
      </w:r>
      <w:r w:rsidRPr="00EC556A">
        <w:t>customs</w:t>
      </w:r>
      <w:r w:rsidR="00737E61">
        <w:t xml:space="preserve"> (enforcement)</w:t>
      </w:r>
      <w:r w:rsidRPr="00EC556A">
        <w:t>, and in particular the competent authorities responsible for supervision of these industries. Additionally, the i</w:t>
      </w:r>
      <w:r w:rsidRPr="00EC556A">
        <w:rPr>
          <w:iCs/>
        </w:rPr>
        <w:t xml:space="preserve">ndustrial stakeholders </w:t>
      </w:r>
      <w:r>
        <w:rPr>
          <w:iCs/>
        </w:rPr>
        <w:t>w</w:t>
      </w:r>
      <w:r w:rsidRPr="00EC556A">
        <w:rPr>
          <w:iCs/>
        </w:rPr>
        <w:t xml:space="preserve">ould be included in the monitoring. Samples might be received from the mentioned stakeholders. </w:t>
      </w:r>
    </w:p>
    <w:p w:rsidR="00CC1C95" w:rsidRPr="00EC556A" w:rsidRDefault="00CC1C95" w:rsidP="00000FBF">
      <w:pPr>
        <w:pStyle w:val="Heading3"/>
        <w:numPr>
          <w:ilvl w:val="0"/>
          <w:numId w:val="0"/>
        </w:numPr>
        <w:snapToGrid/>
        <w:spacing w:before="240" w:after="60" w:line="276" w:lineRule="auto"/>
        <w:jc w:val="both"/>
      </w:pPr>
      <w:bookmarkStart w:id="413" w:name="_Toc313904786"/>
      <w:bookmarkStart w:id="414" w:name="_Toc323558509"/>
      <w:bookmarkStart w:id="415" w:name="_Toc349335789"/>
      <w:r w:rsidRPr="00EC556A">
        <w:t>Aviation hydraulic fluids</w:t>
      </w:r>
      <w:bookmarkEnd w:id="411"/>
      <w:bookmarkEnd w:id="412"/>
      <w:bookmarkEnd w:id="413"/>
      <w:bookmarkEnd w:id="414"/>
      <w:bookmarkEnd w:id="415"/>
    </w:p>
    <w:p w:rsidR="00CC1C95" w:rsidRPr="00EC556A" w:rsidRDefault="00CC1C95" w:rsidP="00EE0DB2">
      <w:pPr>
        <w:widowControl w:val="0"/>
        <w:ind w:firstLine="708"/>
      </w:pPr>
      <w:r w:rsidRPr="00EC556A">
        <w:t>Hydraulic oils containing PFOS have been used as an anti-erosion additive in civil and military airplanes since the 1970s to prevent evaporation, fires, and corrosion. This use of PFOS is listed as an acceptable purpose. Therefore, countries can register for this use.</w:t>
      </w:r>
    </w:p>
    <w:p w:rsidR="00CC1C95" w:rsidRPr="00EC556A" w:rsidRDefault="00CC1C95" w:rsidP="00EE0DB2">
      <w:pPr>
        <w:widowControl w:val="0"/>
        <w:rPr>
          <w:iCs/>
        </w:rPr>
      </w:pPr>
      <w:r w:rsidRPr="00EC556A">
        <w:t xml:space="preserve">The main stakeholders to monitor the import and presence of PFOS in aviation hydraulic fluids are customs, and in particular the competent authorities responsible for repair shops at airports and military air bases.  </w:t>
      </w:r>
      <w:r w:rsidRPr="00EC556A">
        <w:rPr>
          <w:iCs/>
        </w:rPr>
        <w:t>Industrial stakeholders are airlines and workshops at airports using hydraulic oils for airplanes. Other stakeholders may include the military air force of the country and possibly other air forces stationed in the country. Samples might be received from the mentioned stakeholders.</w:t>
      </w:r>
    </w:p>
    <w:p w:rsidR="00CC1C95" w:rsidRPr="00EC556A" w:rsidRDefault="00CC1C95" w:rsidP="00000FBF">
      <w:pPr>
        <w:pStyle w:val="Heading3"/>
        <w:numPr>
          <w:ilvl w:val="0"/>
          <w:numId w:val="0"/>
        </w:numPr>
        <w:snapToGrid/>
        <w:spacing w:before="240" w:after="60" w:line="276" w:lineRule="auto"/>
        <w:jc w:val="both"/>
      </w:pPr>
      <w:bookmarkStart w:id="416" w:name="_Toc313904787"/>
      <w:bookmarkStart w:id="417" w:name="_Toc323558510"/>
      <w:bookmarkStart w:id="418" w:name="_Toc349335790"/>
      <w:bookmarkStart w:id="419" w:name="_Toc308770609"/>
      <w:bookmarkStart w:id="420" w:name="_Toc308808892"/>
      <w:r w:rsidRPr="00EC556A">
        <w:t>Insect baits and insecticides</w:t>
      </w:r>
      <w:bookmarkEnd w:id="416"/>
      <w:bookmarkEnd w:id="417"/>
      <w:bookmarkEnd w:id="418"/>
      <w:r w:rsidRPr="00EC556A">
        <w:t xml:space="preserve"> </w:t>
      </w:r>
      <w:bookmarkEnd w:id="419"/>
      <w:bookmarkEnd w:id="420"/>
    </w:p>
    <w:p w:rsidR="00CC1C95" w:rsidRPr="00EC556A" w:rsidRDefault="00CC1C95" w:rsidP="00EE0DB2">
      <w:pPr>
        <w:widowControl w:val="0"/>
        <w:ind w:firstLine="708"/>
      </w:pPr>
      <w:r w:rsidRPr="00EC556A">
        <w:t>A PFOS related substance (sulfluramid</w:t>
      </w:r>
      <w:r w:rsidRPr="00EC556A">
        <w:rPr>
          <w:rStyle w:val="FootnoteReference"/>
        </w:rPr>
        <w:footnoteReference w:id="65"/>
      </w:r>
      <w:r w:rsidRPr="00EC556A">
        <w:t>) is used as insecticide against ants, cockroaches, termites, etc. The use for control of leaf-cutting ants is listed as an acceptable purpose and the use to control red fire ants and termites is listed as a specific exemption.</w:t>
      </w:r>
    </w:p>
    <w:p w:rsidR="00CC1C95" w:rsidRPr="00EC556A" w:rsidRDefault="00CC1C95" w:rsidP="00EE0DB2">
      <w:pPr>
        <w:widowControl w:val="0"/>
      </w:pPr>
      <w:r w:rsidRPr="00EC556A">
        <w:t xml:space="preserve">The main stakeholders to monitor the import and presence of PFOS related chemicals in insecticides are customs and the Ministry of Agriculture. Competent authorities </w:t>
      </w:r>
      <w:r>
        <w:t>c</w:t>
      </w:r>
      <w:r w:rsidRPr="00EC556A">
        <w:t xml:space="preserve">ould check for the presence of sulfluramid containing insecticides at pesticide producers, formulators, and in stores selling pesticides. </w:t>
      </w:r>
      <w:r w:rsidRPr="00EC556A">
        <w:rPr>
          <w:iCs/>
        </w:rPr>
        <w:t>Samples might be received from these stakeholders or purchased on the market.</w:t>
      </w:r>
    </w:p>
    <w:p w:rsidR="00CC1C95" w:rsidRPr="00EC556A" w:rsidRDefault="00CC1C95" w:rsidP="00000FBF">
      <w:pPr>
        <w:pStyle w:val="Heading3"/>
        <w:numPr>
          <w:ilvl w:val="0"/>
          <w:numId w:val="0"/>
        </w:numPr>
        <w:snapToGrid/>
        <w:spacing w:before="240" w:after="60" w:line="276" w:lineRule="auto"/>
        <w:jc w:val="both"/>
      </w:pPr>
      <w:bookmarkStart w:id="421" w:name="_Toc308770610"/>
      <w:bookmarkStart w:id="422" w:name="_Toc308808893"/>
      <w:bookmarkStart w:id="423" w:name="_Toc313904788"/>
      <w:bookmarkStart w:id="424" w:name="_Toc323558511"/>
      <w:bookmarkStart w:id="425" w:name="_Toc349335791"/>
      <w:r w:rsidRPr="00EC556A">
        <w:t>Articles treated with PFOS and related chemicals</w:t>
      </w:r>
      <w:bookmarkEnd w:id="421"/>
      <w:bookmarkEnd w:id="422"/>
      <w:bookmarkEnd w:id="423"/>
      <w:bookmarkEnd w:id="424"/>
      <w:bookmarkEnd w:id="425"/>
      <w:r w:rsidRPr="00EC556A">
        <w:t xml:space="preserve"> </w:t>
      </w:r>
    </w:p>
    <w:p w:rsidR="00CC1C95" w:rsidRPr="00EC556A" w:rsidRDefault="00CC1C95" w:rsidP="00EE0DB2">
      <w:pPr>
        <w:widowControl w:val="0"/>
        <w:ind w:firstLine="708"/>
      </w:pPr>
      <w:r w:rsidRPr="00EC556A">
        <w:t xml:space="preserve">A part of PFOS, PFOS related chemicals and other PFCs might enter a country by impregnated products (see </w:t>
      </w:r>
      <w:r w:rsidRPr="00EC556A">
        <w:rPr>
          <w:i/>
        </w:rPr>
        <w:t>PFOS Inventory Guidance</w:t>
      </w:r>
      <w:r w:rsidRPr="00EC556A">
        <w:rPr>
          <w:rFonts w:ascii="(Asiatische Schriftart verwende" w:hAnsi="(Asiatische Schriftart verwende"/>
          <w:i/>
          <w:vertAlign w:val="superscript"/>
        </w:rPr>
        <w:t>2</w:t>
      </w:r>
      <w:r w:rsidRPr="00EC556A">
        <w:t xml:space="preserve">, Sections 2.4 and 5). This includes articles currently produced and articles in use (see section below). </w:t>
      </w:r>
    </w:p>
    <w:p w:rsidR="00CC1C95" w:rsidRPr="00EC556A" w:rsidRDefault="00CC1C95" w:rsidP="00EE0DB2">
      <w:pPr>
        <w:widowControl w:val="0"/>
        <w:spacing w:before="120"/>
      </w:pPr>
      <w:r w:rsidRPr="00EC556A">
        <w:t xml:space="preserve">Currently these articles are not labelled to indicate that they contain PFOS or other PFCs (for details on labelling approach see </w:t>
      </w:r>
      <w:r w:rsidRPr="00DE5689">
        <w:t>“POP labelling Guidance”</w:t>
      </w:r>
      <w:r w:rsidR="00737E61">
        <w:t xml:space="preserve"> </w:t>
      </w:r>
      <w:r w:rsidRPr="00DE5689">
        <w:t>(Stockholm Convention 2012</w:t>
      </w:r>
      <w:r w:rsidRPr="00EC556A">
        <w:rPr>
          <w:rStyle w:val="FootnoteReference"/>
          <w:i/>
        </w:rPr>
        <w:footnoteReference w:id="66"/>
      </w:r>
      <w:r w:rsidRPr="00EC556A">
        <w:rPr>
          <w:i/>
        </w:rPr>
        <w:t>)</w:t>
      </w:r>
      <w:r w:rsidRPr="00EC556A">
        <w:t xml:space="preserve">). Therefore, it is currently not possible to discover such articles by labels. </w:t>
      </w:r>
    </w:p>
    <w:p w:rsidR="00CC1C95" w:rsidRPr="00EC556A" w:rsidRDefault="00CC1C95" w:rsidP="00EE0DB2">
      <w:pPr>
        <w:widowControl w:val="0"/>
      </w:pPr>
      <w:r w:rsidRPr="00EC556A">
        <w:rPr>
          <w:bCs/>
        </w:rPr>
        <w:t>While t</w:t>
      </w:r>
      <w:r w:rsidRPr="00EC556A">
        <w:t xml:space="preserve">he impregnated articles listed above are currently not labelled to contain PFOS or other PFCs, an indication for furniture, carpets, textile, </w:t>
      </w:r>
      <w:r w:rsidR="00737E61">
        <w:t xml:space="preserve">leather, stone </w:t>
      </w:r>
      <w:r w:rsidRPr="00EC556A">
        <w:t>or other fabrics that possibly contain PFOS or other PFCs is a “stain resistant” label or advertisement for this property. For paper and paperboards, an indication for possible use of PFOS and other PFCs containing coatings are properties of water, oil, and grease resistance.</w:t>
      </w:r>
    </w:p>
    <w:p w:rsidR="00CC1C95" w:rsidRPr="00EC556A" w:rsidRDefault="00CC1C95" w:rsidP="00EE0DB2">
      <w:pPr>
        <w:widowControl w:val="0"/>
      </w:pPr>
      <w:r w:rsidRPr="00EC556A">
        <w:t xml:space="preserve">The main stakeholders to monitor the import and presence of articles impregnated with PFOS and related chemicals are customs and market surveillance authorities. The industrial stakeholders are companies producing, importing/exporting, or marketing these articles and products. </w:t>
      </w:r>
      <w:r w:rsidRPr="00EC556A">
        <w:rPr>
          <w:iCs/>
        </w:rPr>
        <w:t>Samples might be received from these stakeholders or purchased on the market.</w:t>
      </w:r>
    </w:p>
    <w:p w:rsidR="00CC1C95" w:rsidRPr="00EC556A" w:rsidRDefault="00CC1C95" w:rsidP="00EE0DB2">
      <w:pPr>
        <w:widowControl w:val="0"/>
      </w:pPr>
      <w:r w:rsidRPr="00EC556A">
        <w:t xml:space="preserve">These articles might include: </w:t>
      </w:r>
    </w:p>
    <w:p w:rsidR="00CC1C95" w:rsidRPr="00EC556A" w:rsidRDefault="00CC1C95" w:rsidP="00EE0DB2">
      <w:pPr>
        <w:pStyle w:val="Heading4"/>
        <w:numPr>
          <w:ilvl w:val="3"/>
          <w:numId w:val="0"/>
        </w:numPr>
        <w:tabs>
          <w:tab w:val="num" w:pos="0"/>
        </w:tabs>
        <w:snapToGrid/>
        <w:spacing w:before="240" w:after="60" w:line="360" w:lineRule="auto"/>
        <w:jc w:val="both"/>
      </w:pPr>
      <w:r w:rsidRPr="00EC556A">
        <w:rPr>
          <w:i w:val="0"/>
        </w:rPr>
        <w:t xml:space="preserve">Synthetic carpets </w:t>
      </w:r>
    </w:p>
    <w:p w:rsidR="00CC1C95" w:rsidRPr="00DE5689" w:rsidRDefault="00CC1C95" w:rsidP="00E82560">
      <w:pPr>
        <w:widowControl w:val="0"/>
      </w:pPr>
      <w:r w:rsidRPr="00DE5689">
        <w:t xml:space="preserve">A large share of synthetic carpets has been treated with PFOS </w:t>
      </w:r>
      <w:r w:rsidR="00166AC0">
        <w:t xml:space="preserve">related substances </w:t>
      </w:r>
      <w:r w:rsidRPr="00DE5689">
        <w:t>and other PFCs for stain resistance</w:t>
      </w:r>
      <w:r>
        <w:t>.</w:t>
      </w:r>
      <w:r w:rsidR="00166AC0">
        <w:t xml:space="preserve"> </w:t>
      </w:r>
      <w:r w:rsidRPr="00DE5689">
        <w:t>For details see Section 2.1.3 of “Guidelines on BAT and BEP for the production and use of PFOS and related chemicals”</w:t>
      </w:r>
    </w:p>
    <w:p w:rsidR="00CC1C95" w:rsidRPr="00EC556A" w:rsidRDefault="00CC1C95" w:rsidP="00EE0DB2">
      <w:pPr>
        <w:pStyle w:val="Heading4"/>
        <w:numPr>
          <w:ilvl w:val="3"/>
          <w:numId w:val="0"/>
        </w:numPr>
        <w:tabs>
          <w:tab w:val="num" w:pos="0"/>
        </w:tabs>
        <w:snapToGrid/>
        <w:spacing w:before="240" w:after="60" w:line="360" w:lineRule="auto"/>
        <w:jc w:val="both"/>
      </w:pPr>
      <w:r w:rsidRPr="00EC556A">
        <w:rPr>
          <w:i w:val="0"/>
        </w:rPr>
        <w:t>Textiles</w:t>
      </w:r>
    </w:p>
    <w:p w:rsidR="00CC1C95" w:rsidRPr="00DE5689" w:rsidRDefault="00CC1C95" w:rsidP="00E82560">
      <w:pPr>
        <w:widowControl w:val="0"/>
      </w:pPr>
      <w:r w:rsidRPr="00DE5689">
        <w:t>PFOS and other fluorinated surfactants and polymers have been used to treat textiles and leather to provide oil and water repellency and soil and stain release properties</w:t>
      </w:r>
      <w:r>
        <w:t>.</w:t>
      </w:r>
      <w:r w:rsidR="00166AC0">
        <w:t xml:space="preserve"> </w:t>
      </w:r>
      <w:r w:rsidRPr="00DE5689">
        <w:t>For details see Section 2.1.2 of “Guidelines on BAT and BEP for the production and use of PFOS and related chemicals”</w:t>
      </w:r>
    </w:p>
    <w:p w:rsidR="00CC1C95" w:rsidRPr="00EC556A" w:rsidRDefault="00CC1C95" w:rsidP="00EE0DB2">
      <w:pPr>
        <w:pStyle w:val="Heading4"/>
        <w:numPr>
          <w:ilvl w:val="3"/>
          <w:numId w:val="0"/>
        </w:numPr>
        <w:tabs>
          <w:tab w:val="num" w:pos="0"/>
        </w:tabs>
        <w:snapToGrid/>
        <w:spacing w:before="240" w:after="60" w:line="360" w:lineRule="auto"/>
        <w:jc w:val="both"/>
      </w:pPr>
      <w:r w:rsidRPr="00EC556A">
        <w:rPr>
          <w:i w:val="0"/>
        </w:rPr>
        <w:t xml:space="preserve">Furniture </w:t>
      </w:r>
    </w:p>
    <w:p w:rsidR="00CC1C95" w:rsidRPr="00DE5689" w:rsidRDefault="00CC1C95" w:rsidP="00DE5689">
      <w:pPr>
        <w:widowControl w:val="0"/>
        <w:ind w:firstLine="720"/>
      </w:pPr>
      <w:r w:rsidRPr="00DE5689">
        <w:t>In particular couches, chairs and other furniture with potentially stain resistant surfaces.</w:t>
      </w:r>
    </w:p>
    <w:p w:rsidR="00CC1C95" w:rsidRPr="00DE5689" w:rsidRDefault="00CC1C95" w:rsidP="00DE5689">
      <w:pPr>
        <w:widowControl w:val="0"/>
      </w:pPr>
      <w:r w:rsidRPr="00DE5689">
        <w:t>See Chapter 2 PFOS BAT/BEP Guidelines</w:t>
      </w:r>
      <w:r w:rsidRPr="00DE5689">
        <w:rPr>
          <w:rStyle w:val="FootnoteReference"/>
        </w:rPr>
        <w:t>5</w:t>
      </w:r>
      <w:r w:rsidRPr="00DE5689">
        <w:t xml:space="preserve"> </w:t>
      </w:r>
    </w:p>
    <w:p w:rsidR="00CC1C95" w:rsidRPr="00EC556A" w:rsidRDefault="00CC1C95" w:rsidP="00EE0DB2">
      <w:pPr>
        <w:pStyle w:val="Heading4"/>
        <w:numPr>
          <w:ilvl w:val="3"/>
          <w:numId w:val="0"/>
        </w:numPr>
        <w:tabs>
          <w:tab w:val="num" w:pos="0"/>
        </w:tabs>
        <w:snapToGrid/>
        <w:spacing w:before="240" w:after="60" w:line="360" w:lineRule="auto"/>
        <w:jc w:val="both"/>
      </w:pPr>
      <w:r w:rsidRPr="00EC556A">
        <w:rPr>
          <w:i w:val="0"/>
        </w:rPr>
        <w:t>Paper</w:t>
      </w:r>
    </w:p>
    <w:p w:rsidR="00CC1C95" w:rsidRPr="00DE5689" w:rsidRDefault="00CC1C95" w:rsidP="00CF7CFF">
      <w:pPr>
        <w:widowControl w:val="0"/>
        <w:ind w:firstLine="720"/>
      </w:pPr>
      <w:r w:rsidRPr="00DE5689">
        <w:t xml:space="preserve">PFOS and other PFCs containing chemicals were/are used in food contact paper to provide oil, grease and water repellence (see Box A-2, below). PFOS derivatives, such as N-Me-FOSE and </w:t>
      </w:r>
      <w:r>
        <w:br/>
      </w:r>
      <w:r w:rsidRPr="00DE5689">
        <w:t xml:space="preserve">N-Et-FOSE was previously marketed under the tradename Scotchban (by 3M) and used to impregnate paper for e.g. margarine.  While these applications seems to have been phased out in European countries, these and other PFOS based chemicals </w:t>
      </w:r>
      <w:r w:rsidR="00737E61">
        <w:t>(e.g. SN-diPAPs also called SamPAPs, Trier 2011</w:t>
      </w:r>
      <w:r w:rsidR="0033045A">
        <w:t>a</w:t>
      </w:r>
      <w:r w:rsidR="00737E61">
        <w:t xml:space="preserve"> and Benskin 2012)</w:t>
      </w:r>
      <w:r w:rsidR="00474223">
        <w:rPr>
          <w:rStyle w:val="FootnoteReference"/>
        </w:rPr>
        <w:footnoteReference w:id="67"/>
      </w:r>
      <w:r w:rsidR="00737E61">
        <w:t xml:space="preserve"> </w:t>
      </w:r>
      <w:r w:rsidRPr="00DE5689">
        <w:t xml:space="preserve">were until recently sold in China, as industrial blends for paper coating purposes (Trier 2011). The industrial blends contained considerable amounts of PFOS impurities. </w:t>
      </w:r>
    </w:p>
    <w:tbl>
      <w:tblPr>
        <w:tblpPr w:leftFromText="180" w:rightFromText="180" w:vertAnchor="text" w:horzAnchor="margin" w:tblpX="227" w:tblpY="204"/>
        <w:tblW w:w="0" w:type="auto"/>
        <w:tblBorders>
          <w:top w:val="single" w:sz="48" w:space="0" w:color="B6DDE8"/>
          <w:left w:val="single" w:sz="48" w:space="0" w:color="B6DDE8"/>
          <w:bottom w:val="single" w:sz="48" w:space="0" w:color="B6DDE8"/>
          <w:right w:val="single" w:sz="48" w:space="0" w:color="B6DDE8"/>
          <w:insideH w:val="single" w:sz="48" w:space="0" w:color="B6DDE8"/>
          <w:insideV w:val="single" w:sz="48" w:space="0" w:color="FFC000"/>
        </w:tblBorders>
        <w:tblLook w:val="00A0"/>
      </w:tblPr>
      <w:tblGrid>
        <w:gridCol w:w="9072"/>
      </w:tblGrid>
      <w:tr w:rsidR="00CC1C95" w:rsidRPr="00EC556A">
        <w:tc>
          <w:tcPr>
            <w:tcW w:w="9072" w:type="dxa"/>
            <w:tcBorders>
              <w:top w:val="single" w:sz="48" w:space="0" w:color="B6DDE8"/>
              <w:left w:val="single" w:sz="48" w:space="0" w:color="B6DDE8"/>
              <w:bottom w:val="single" w:sz="48" w:space="0" w:color="B6DDE8"/>
              <w:right w:val="single" w:sz="48" w:space="0" w:color="B6DDE8"/>
            </w:tcBorders>
            <w:tcMar>
              <w:top w:w="113" w:type="dxa"/>
              <w:left w:w="227" w:type="dxa"/>
              <w:bottom w:w="113" w:type="dxa"/>
              <w:right w:w="227" w:type="dxa"/>
            </w:tcMar>
          </w:tcPr>
          <w:p w:rsidR="00CC1C95" w:rsidRPr="00EC556A" w:rsidRDefault="00CC1C95" w:rsidP="00EE0DB2">
            <w:pPr>
              <w:widowControl w:val="0"/>
              <w:jc w:val="center"/>
            </w:pPr>
            <w:r w:rsidRPr="00EC556A">
              <w:rPr>
                <w:b/>
              </w:rPr>
              <w:t xml:space="preserve">Box A-2: Some categories of food contact paper/packaging </w:t>
            </w:r>
            <w:r w:rsidRPr="00EC556A">
              <w:rPr>
                <w:b/>
              </w:rPr>
              <w:br/>
              <w:t>possibly using PFOS or other PFCs for oil, grease, or water repellency</w:t>
            </w:r>
          </w:p>
          <w:p w:rsidR="00CC1C95" w:rsidRPr="006D66B2" w:rsidRDefault="00CC1C95" w:rsidP="00EE0DB2">
            <w:pPr>
              <w:pStyle w:val="BulletLevel1CharChar"/>
              <w:numPr>
                <w:ilvl w:val="0"/>
                <w:numId w:val="8"/>
              </w:numPr>
              <w:ind w:left="0" w:firstLine="0"/>
              <w:rPr>
                <w:rFonts w:ascii="Calibri" w:hAnsi="Calibri"/>
                <w:szCs w:val="22"/>
                <w:lang w:val="en-GB"/>
              </w:rPr>
            </w:pPr>
            <w:r w:rsidRPr="00E77A35">
              <w:rPr>
                <w:lang w:val="en-GB"/>
              </w:rPr>
              <w:t xml:space="preserve">Wrapping paper used for fast food </w:t>
            </w:r>
          </w:p>
          <w:p w:rsidR="00CC1C95" w:rsidRPr="006D66B2" w:rsidRDefault="00CC1C95" w:rsidP="00EE0DB2">
            <w:pPr>
              <w:pStyle w:val="BulletLevel1CharChar"/>
              <w:numPr>
                <w:ilvl w:val="0"/>
                <w:numId w:val="8"/>
              </w:numPr>
              <w:ind w:left="0" w:firstLine="0"/>
              <w:rPr>
                <w:rFonts w:ascii="Calibri" w:hAnsi="Calibri"/>
                <w:szCs w:val="22"/>
                <w:lang w:val="en-GB"/>
              </w:rPr>
            </w:pPr>
            <w:r w:rsidRPr="006D66B2">
              <w:t>Burger boxes, pizza boxes</w:t>
            </w:r>
          </w:p>
          <w:p w:rsidR="00CC1C95" w:rsidRPr="006D66B2" w:rsidRDefault="00CC1C95" w:rsidP="00EE0DB2">
            <w:pPr>
              <w:pStyle w:val="BulletLevel1CharChar"/>
              <w:numPr>
                <w:ilvl w:val="0"/>
                <w:numId w:val="8"/>
              </w:numPr>
              <w:ind w:left="0" w:firstLine="0"/>
              <w:rPr>
                <w:rFonts w:ascii="Calibri" w:hAnsi="Calibri"/>
                <w:szCs w:val="22"/>
                <w:lang w:val="en-GB"/>
              </w:rPr>
            </w:pPr>
            <w:r w:rsidRPr="006D66B2">
              <w:t>Popcorn bags</w:t>
            </w:r>
          </w:p>
          <w:p w:rsidR="00CC1C95" w:rsidRPr="006D66B2" w:rsidRDefault="00CC1C95" w:rsidP="00EE0DB2">
            <w:pPr>
              <w:pStyle w:val="BulletLevel1CharChar"/>
              <w:numPr>
                <w:ilvl w:val="0"/>
                <w:numId w:val="8"/>
              </w:numPr>
              <w:ind w:left="0" w:firstLine="0"/>
              <w:rPr>
                <w:rFonts w:ascii="Calibri" w:hAnsi="Calibri"/>
                <w:szCs w:val="22"/>
                <w:lang w:val="en-GB"/>
              </w:rPr>
            </w:pPr>
            <w:r w:rsidRPr="006D66B2">
              <w:t>Muffin paper cups</w:t>
            </w:r>
          </w:p>
          <w:p w:rsidR="00CC1C95" w:rsidRPr="006D66B2" w:rsidRDefault="00CC1C95" w:rsidP="00EE0DB2">
            <w:pPr>
              <w:pStyle w:val="BulletLevel1CharChar"/>
              <w:numPr>
                <w:ilvl w:val="0"/>
                <w:numId w:val="8"/>
              </w:numPr>
              <w:ind w:left="0" w:firstLine="0"/>
              <w:rPr>
                <w:rFonts w:ascii="Calibri" w:hAnsi="Calibri"/>
                <w:szCs w:val="22"/>
                <w:lang w:val="en-GB"/>
              </w:rPr>
            </w:pPr>
            <w:r w:rsidRPr="006D66B2">
              <w:t>Baking paper, microwave paper</w:t>
            </w:r>
          </w:p>
          <w:p w:rsidR="00CC1C95" w:rsidRPr="006D66B2" w:rsidRDefault="00CC1C95" w:rsidP="00EE0DB2">
            <w:pPr>
              <w:pStyle w:val="BulletLevel1CharChar"/>
              <w:numPr>
                <w:ilvl w:val="0"/>
                <w:numId w:val="8"/>
              </w:numPr>
              <w:ind w:left="0" w:firstLine="0"/>
              <w:rPr>
                <w:rFonts w:ascii="Calibri" w:hAnsi="Calibri"/>
                <w:szCs w:val="22"/>
                <w:lang w:val="en-GB"/>
              </w:rPr>
            </w:pPr>
            <w:r w:rsidRPr="006D66B2">
              <w:t>Paper coffee cups</w:t>
            </w:r>
          </w:p>
          <w:p w:rsidR="00CC1C95" w:rsidRPr="006D66B2" w:rsidRDefault="00CC1C95" w:rsidP="00EE0DB2">
            <w:pPr>
              <w:pStyle w:val="BulletLevel1CharChar"/>
              <w:numPr>
                <w:ilvl w:val="0"/>
                <w:numId w:val="8"/>
              </w:numPr>
              <w:ind w:left="0" w:firstLine="0"/>
              <w:rPr>
                <w:rFonts w:ascii="Calibri" w:hAnsi="Calibri"/>
                <w:szCs w:val="22"/>
                <w:lang w:val="en-GB"/>
              </w:rPr>
            </w:pPr>
            <w:r w:rsidRPr="006D66B2">
              <w:t>Disposable crockery</w:t>
            </w:r>
          </w:p>
          <w:p w:rsidR="00CC1C95" w:rsidRPr="006D66B2" w:rsidRDefault="00CC1C95" w:rsidP="00EE0DB2">
            <w:pPr>
              <w:pStyle w:val="BulletLevel1CharChar"/>
              <w:numPr>
                <w:ilvl w:val="0"/>
                <w:numId w:val="8"/>
              </w:numPr>
              <w:ind w:left="0" w:firstLine="0"/>
              <w:rPr>
                <w:rFonts w:ascii="Calibri" w:hAnsi="Calibri"/>
                <w:szCs w:val="22"/>
                <w:lang w:val="en-GB"/>
              </w:rPr>
            </w:pPr>
            <w:r w:rsidRPr="00E77A35">
              <w:rPr>
                <w:lang w:val="en-GB"/>
              </w:rPr>
              <w:t>Cake and biscuit boxes (long-time storage of fatty foods)</w:t>
            </w:r>
          </w:p>
          <w:p w:rsidR="00CC1C95" w:rsidRPr="006D66B2" w:rsidRDefault="00CC1C95" w:rsidP="00EE0DB2">
            <w:pPr>
              <w:pStyle w:val="BulletLevel1CharChar"/>
              <w:numPr>
                <w:ilvl w:val="0"/>
                <w:numId w:val="8"/>
              </w:numPr>
              <w:ind w:left="0" w:firstLine="0"/>
              <w:rPr>
                <w:rFonts w:ascii="Calibri" w:hAnsi="Calibri"/>
                <w:szCs w:val="22"/>
                <w:lang w:val="en-GB"/>
              </w:rPr>
            </w:pPr>
            <w:r w:rsidRPr="00E77A35">
              <w:rPr>
                <w:lang w:val="en-GB"/>
              </w:rPr>
              <w:t>Sandwich wrapping paper (to wrap lunch boxes)</w:t>
            </w:r>
          </w:p>
          <w:p w:rsidR="00CC1C95" w:rsidRPr="006D66B2" w:rsidRDefault="00CC1C95" w:rsidP="00EE0DB2">
            <w:pPr>
              <w:pStyle w:val="BulletLevel1CharChar"/>
              <w:numPr>
                <w:ilvl w:val="0"/>
                <w:numId w:val="8"/>
              </w:numPr>
              <w:ind w:left="0" w:firstLine="0"/>
              <w:rPr>
                <w:rFonts w:ascii="Calibri" w:hAnsi="Calibri"/>
                <w:szCs w:val="22"/>
                <w:lang w:val="en-GB"/>
              </w:rPr>
            </w:pPr>
            <w:r w:rsidRPr="006D66B2">
              <w:t>Chewing gum cardboard boxes</w:t>
            </w:r>
          </w:p>
          <w:p w:rsidR="00CC1C95" w:rsidRPr="006D66B2" w:rsidRDefault="00CC1C95" w:rsidP="00EE0DB2">
            <w:pPr>
              <w:pStyle w:val="BulletLevel1CharChar"/>
              <w:numPr>
                <w:ilvl w:val="0"/>
                <w:numId w:val="8"/>
              </w:numPr>
              <w:ind w:left="0" w:firstLine="0"/>
              <w:rPr>
                <w:rFonts w:ascii="Calibri" w:hAnsi="Calibri"/>
                <w:szCs w:val="22"/>
                <w:lang w:val="en-GB"/>
              </w:rPr>
            </w:pPr>
            <w:r w:rsidRPr="006D66B2">
              <w:t>Other food packaging</w:t>
            </w:r>
          </w:p>
        </w:tc>
      </w:tr>
    </w:tbl>
    <w:p w:rsidR="00CC1C95" w:rsidRPr="00EC556A" w:rsidRDefault="00CC1C95" w:rsidP="00EE0DB2">
      <w:pPr>
        <w:widowControl w:val="0"/>
      </w:pPr>
    </w:p>
    <w:p w:rsidR="00CC1C95" w:rsidRPr="00EC556A" w:rsidRDefault="00CC1C95" w:rsidP="00EE0DB2">
      <w:pPr>
        <w:pStyle w:val="Heading4"/>
        <w:numPr>
          <w:ilvl w:val="3"/>
          <w:numId w:val="0"/>
        </w:numPr>
        <w:tabs>
          <w:tab w:val="num" w:pos="0"/>
        </w:tabs>
        <w:snapToGrid/>
        <w:spacing w:before="240" w:after="60" w:line="360" w:lineRule="auto"/>
        <w:jc w:val="both"/>
      </w:pPr>
      <w:r w:rsidRPr="00EC556A">
        <w:rPr>
          <w:i w:val="0"/>
        </w:rPr>
        <w:t>Leather</w:t>
      </w:r>
    </w:p>
    <w:p w:rsidR="00CC1C95" w:rsidRPr="00DE5689" w:rsidRDefault="00CC1C95" w:rsidP="00DE5689">
      <w:pPr>
        <w:widowControl w:val="0"/>
        <w:ind w:firstLine="720"/>
      </w:pPr>
      <w:r w:rsidRPr="00DE5689">
        <w:t>See Section 2.1.2 of Guidelines on BAT and BEP for the production and use of PFOS and related chemicals</w:t>
      </w:r>
    </w:p>
    <w:p w:rsidR="00CC1C95" w:rsidRPr="00EC556A" w:rsidRDefault="00CC1C95" w:rsidP="00000FBF">
      <w:pPr>
        <w:pStyle w:val="Heading3"/>
        <w:numPr>
          <w:ilvl w:val="0"/>
          <w:numId w:val="0"/>
        </w:numPr>
        <w:snapToGrid/>
        <w:spacing w:before="240" w:after="60" w:line="276" w:lineRule="auto"/>
        <w:jc w:val="both"/>
      </w:pPr>
      <w:bookmarkStart w:id="426" w:name="_Toc308770611"/>
      <w:bookmarkStart w:id="427" w:name="_Toc308808894"/>
      <w:bookmarkStart w:id="428" w:name="_Toc313904789"/>
      <w:bookmarkStart w:id="429" w:name="_Toc323558512"/>
      <w:bookmarkStart w:id="430" w:name="_Toc349335792"/>
      <w:r w:rsidRPr="00EC556A">
        <w:t>Further uses of PFOS in products and articles considered less relevant</w:t>
      </w:r>
      <w:bookmarkEnd w:id="426"/>
      <w:bookmarkEnd w:id="427"/>
      <w:bookmarkEnd w:id="428"/>
      <w:bookmarkEnd w:id="429"/>
      <w:bookmarkEnd w:id="430"/>
      <w:r w:rsidRPr="00EC556A">
        <w:t xml:space="preserve">  </w:t>
      </w:r>
    </w:p>
    <w:p w:rsidR="00CC1C95" w:rsidRPr="00EC556A" w:rsidRDefault="00CC1C95" w:rsidP="00DE5689">
      <w:pPr>
        <w:widowControl w:val="0"/>
        <w:ind w:firstLine="180"/>
        <w:rPr>
          <w:szCs w:val="24"/>
        </w:rPr>
      </w:pPr>
      <w:r w:rsidRPr="00EC556A">
        <w:rPr>
          <w:szCs w:val="24"/>
        </w:rPr>
        <w:t xml:space="preserve">Some other former PFOS uses that are not considered to be of priority today </w:t>
      </w:r>
      <w:bookmarkStart w:id="431" w:name="_Toc304294556"/>
      <w:r w:rsidRPr="00EC556A">
        <w:rPr>
          <w:szCs w:val="24"/>
        </w:rPr>
        <w:t xml:space="preserve">include: </w:t>
      </w:r>
    </w:p>
    <w:p w:rsidR="00CC1C95" w:rsidRPr="00DE5689" w:rsidRDefault="00CC1C95" w:rsidP="00EE0DB2">
      <w:pPr>
        <w:pStyle w:val="BulletLevel1CharChar"/>
        <w:numPr>
          <w:ilvl w:val="0"/>
          <w:numId w:val="8"/>
        </w:numPr>
        <w:ind w:left="450" w:hanging="270"/>
        <w:rPr>
          <w:lang w:val="en-GB"/>
        </w:rPr>
      </w:pPr>
      <w:r w:rsidRPr="00DE5689">
        <w:t>Industrial and household surfactants</w:t>
      </w:r>
    </w:p>
    <w:p w:rsidR="00CC1C95" w:rsidRPr="00DE5689" w:rsidRDefault="00CC1C95" w:rsidP="00EE0DB2">
      <w:pPr>
        <w:pStyle w:val="BulletLevel1CharChar"/>
        <w:numPr>
          <w:ilvl w:val="0"/>
          <w:numId w:val="8"/>
        </w:numPr>
        <w:ind w:left="450" w:hanging="270"/>
        <w:rPr>
          <w:lang w:val="en-GB"/>
        </w:rPr>
      </w:pPr>
      <w:r w:rsidRPr="00DE5689">
        <w:t>Paint and varnishes</w:t>
      </w:r>
    </w:p>
    <w:p w:rsidR="00CC1C95" w:rsidRPr="00DE5689" w:rsidRDefault="00CC1C95" w:rsidP="00EE0DB2">
      <w:pPr>
        <w:pStyle w:val="BulletLevel1CharChar"/>
        <w:numPr>
          <w:ilvl w:val="0"/>
          <w:numId w:val="8"/>
        </w:numPr>
        <w:ind w:left="450" w:hanging="270"/>
        <w:rPr>
          <w:lang w:val="en-GB"/>
        </w:rPr>
      </w:pPr>
      <w:r w:rsidRPr="00DE5689">
        <w:t>Toner and printing ink</w:t>
      </w:r>
      <w:bookmarkEnd w:id="431"/>
      <w:r w:rsidRPr="00DE5689">
        <w:t xml:space="preserve"> </w:t>
      </w:r>
      <w:bookmarkStart w:id="432" w:name="_Toc304294557"/>
    </w:p>
    <w:p w:rsidR="00CC1C95" w:rsidRPr="00DE5689" w:rsidRDefault="00CC1C95" w:rsidP="00EE0DB2">
      <w:pPr>
        <w:pStyle w:val="BulletLevel1CharChar"/>
        <w:numPr>
          <w:ilvl w:val="0"/>
          <w:numId w:val="8"/>
        </w:numPr>
        <w:ind w:left="450" w:hanging="270"/>
        <w:rPr>
          <w:lang w:val="en-GB"/>
        </w:rPr>
      </w:pPr>
      <w:r w:rsidRPr="00DE5689">
        <w:t>Sealants and adhesive products</w:t>
      </w:r>
      <w:bookmarkEnd w:id="432"/>
    </w:p>
    <w:p w:rsidR="00CC1C95" w:rsidRPr="00EC556A" w:rsidRDefault="00CC1C95" w:rsidP="00EE0DB2">
      <w:pPr>
        <w:widowControl w:val="0"/>
        <w:spacing w:before="120"/>
        <w:rPr>
          <w:szCs w:val="24"/>
        </w:rPr>
      </w:pPr>
      <w:r w:rsidRPr="00EC556A">
        <w:rPr>
          <w:szCs w:val="24"/>
        </w:rPr>
        <w:t xml:space="preserve">The use of PFOS and related chemicals in these applications is not exempted and is therefore prohibited by the Convention. However, a country might decide to also assess the current status of the presence of PFOS in these applications and to ensure that PFOS is not used and additionally to evaluate what alternative chemicals are currently used including their environmental/health performance. For a more detailed description of these (former) PFOS applications, see </w:t>
      </w:r>
      <w:r w:rsidRPr="00DE5689">
        <w:rPr>
          <w:szCs w:val="24"/>
        </w:rPr>
        <w:t>“PFOS inventory guidance”</w:t>
      </w:r>
      <w:r w:rsidRPr="00DE5689">
        <w:rPr>
          <w:rFonts w:ascii="(Asiatische Schriftart verwende" w:hAnsi="(Asiatische Schriftart verwende"/>
          <w:szCs w:val="24"/>
          <w:vertAlign w:val="superscript"/>
        </w:rPr>
        <w:t>2</w:t>
      </w:r>
      <w:r w:rsidRPr="00EC556A">
        <w:rPr>
          <w:szCs w:val="24"/>
        </w:rPr>
        <w:t>.</w:t>
      </w:r>
      <w:r w:rsidR="0033045A">
        <w:rPr>
          <w:szCs w:val="24"/>
        </w:rPr>
        <w:t xml:space="preserve"> </w:t>
      </w:r>
      <w:r w:rsidRPr="00EC556A">
        <w:rPr>
          <w:iCs/>
          <w:szCs w:val="24"/>
        </w:rPr>
        <w:t>Samples might be received from stakeholders or purchased on the market.</w:t>
      </w:r>
    </w:p>
    <w:p w:rsidR="00CC1C95" w:rsidRPr="00EC556A" w:rsidRDefault="00CC1C95" w:rsidP="00000FBF">
      <w:pPr>
        <w:pStyle w:val="Heading3"/>
        <w:numPr>
          <w:ilvl w:val="0"/>
          <w:numId w:val="0"/>
        </w:numPr>
        <w:snapToGrid/>
        <w:spacing w:before="240" w:after="60" w:line="276" w:lineRule="auto"/>
        <w:jc w:val="both"/>
      </w:pPr>
      <w:bookmarkStart w:id="433" w:name="_Toc313904790"/>
      <w:bookmarkStart w:id="434" w:name="_Toc323558513"/>
      <w:bookmarkStart w:id="435" w:name="_Toc349335793"/>
      <w:bookmarkStart w:id="436" w:name="_Toc308770612"/>
      <w:bookmarkStart w:id="437" w:name="_Toc308808895"/>
      <w:r w:rsidRPr="00EC556A">
        <w:t>Monitoring of PFOS in articles in use (stocks</w:t>
      </w:r>
      <w:bookmarkEnd w:id="433"/>
      <w:r w:rsidRPr="00EC556A">
        <w:t>)</w:t>
      </w:r>
      <w:bookmarkEnd w:id="434"/>
      <w:bookmarkEnd w:id="435"/>
    </w:p>
    <w:p w:rsidR="00CC1C95" w:rsidRDefault="00CC1C95" w:rsidP="00EE0DB2">
      <w:pPr>
        <w:widowControl w:val="0"/>
        <w:ind w:firstLine="708"/>
      </w:pPr>
      <w:r w:rsidRPr="00EC556A">
        <w:t>The historic production of PFOS</w:t>
      </w:r>
      <w:r w:rsidR="00CF7CFF">
        <w:t>F</w:t>
      </w:r>
      <w:r w:rsidRPr="00EC556A">
        <w:t xml:space="preserve"> from 1970 to 2002</w:t>
      </w:r>
      <w:r w:rsidRPr="00EC556A">
        <w:rPr>
          <w:rStyle w:val="FootnoteReference"/>
        </w:rPr>
        <w:footnoteReference w:id="68"/>
      </w:r>
      <w:r w:rsidRPr="00EC556A">
        <w:t xml:space="preserve"> is estimated to be approximately 96,000 tonnes and 26,500 tonnes of related production wastes</w:t>
      </w:r>
      <w:r w:rsidRPr="00EC556A">
        <w:rPr>
          <w:rStyle w:val="FootnoteReference"/>
        </w:rPr>
        <w:footnoteReference w:id="69"/>
      </w:r>
      <w:r w:rsidRPr="00EC556A">
        <w:t>. A large share of the produced PFOS and related chemicals was applied for surface treatment of carpets, textiles, paper, leather, and furniture. Therefore, the stock of PFOS and related chemicals in use and in particular deposited in landfills might have major relevance (in particular when considering the minor use volume today). Therefore, monitoring efforts need also to consider the stocks of articles currently in use. The same articles mentioned in above section “PFOS and related chemicals in production and as products” might be considered for the assessment of stocks. An overview on sectors might have been gained in the development of the PFOS inventory.</w:t>
      </w:r>
    </w:p>
    <w:p w:rsidR="00CC1C95" w:rsidRPr="00EC556A" w:rsidRDefault="00CC1C95" w:rsidP="00EE0DB2">
      <w:pPr>
        <w:widowControl w:val="0"/>
      </w:pPr>
      <w:r w:rsidRPr="00EC556A">
        <w:rPr>
          <w:iCs/>
        </w:rPr>
        <w:t>Samples might be taken from private households and businesses (e.g. carpets from hotels).  Also samples might be purchased on the second-hand market.</w:t>
      </w:r>
    </w:p>
    <w:p w:rsidR="00CC1C95" w:rsidRPr="00EC556A" w:rsidRDefault="00CC1C95" w:rsidP="00000FBF">
      <w:pPr>
        <w:pStyle w:val="Heading3"/>
        <w:numPr>
          <w:ilvl w:val="0"/>
          <w:numId w:val="0"/>
        </w:numPr>
        <w:snapToGrid/>
        <w:spacing w:before="240" w:after="60" w:line="276" w:lineRule="auto"/>
        <w:jc w:val="both"/>
      </w:pPr>
      <w:bookmarkStart w:id="438" w:name="_Toc313904791"/>
      <w:bookmarkStart w:id="439" w:name="_Toc323558514"/>
      <w:bookmarkStart w:id="440" w:name="_Toc349335794"/>
      <w:r w:rsidRPr="00EC556A">
        <w:t>Monitoring of PFOS in reuse and recycling</w:t>
      </w:r>
      <w:bookmarkEnd w:id="438"/>
      <w:bookmarkEnd w:id="439"/>
      <w:bookmarkEnd w:id="440"/>
    </w:p>
    <w:p w:rsidR="00CC1C95" w:rsidRDefault="00CC1C95" w:rsidP="00EE0DB2">
      <w:pPr>
        <w:widowControl w:val="0"/>
        <w:ind w:firstLine="708"/>
      </w:pPr>
      <w:r w:rsidRPr="00EC556A">
        <w:rPr>
          <w:iCs/>
        </w:rPr>
        <w:t xml:space="preserve">The “PFOS Inventory Guidance” </w:t>
      </w:r>
      <w:r w:rsidRPr="00EC556A">
        <w:t>considers carpet recycling as one inventory activity. Other articles potentially in recycling or reuse (possibly) treated with PFOS and related substances are textiles, paper, leather, and (textiles/leather on) furniture. Of these former relevant PFOS uses, the recycling of furniture and leather seems to be of minor relevance. Paper is recycled to a high degree in some countries, but due to the rather short use phase the paper formerly impregnated largely before 2002 (when 3M stopped such PFOS use) has entered the recycling chain some years ago.</w:t>
      </w:r>
    </w:p>
    <w:p w:rsidR="00CC1C95" w:rsidRPr="00EC556A" w:rsidRDefault="00CC1C95" w:rsidP="00EE0DB2">
      <w:pPr>
        <w:widowControl w:val="0"/>
      </w:pPr>
      <w:r w:rsidRPr="00EC556A">
        <w:t xml:space="preserve">The main stakeholders to monitor the recycling of PFOS containing carpets (and possibly other materials) are the competent authorities in the waste management sectors and factory inspection. </w:t>
      </w:r>
      <w:r w:rsidRPr="00EC556A">
        <w:rPr>
          <w:iCs/>
        </w:rPr>
        <w:t xml:space="preserve">Industrial stakeholders are the carpet (recycling) industry. </w:t>
      </w:r>
      <w:r w:rsidRPr="00EC556A">
        <w:t xml:space="preserve">Stakeholders for the monitoring of reuse of furniture impregnated with PFOS and related chemicals are market surveillance authorities in cooperation with second-hand furniture retailers. </w:t>
      </w:r>
      <w:r w:rsidRPr="00EC556A">
        <w:rPr>
          <w:iCs/>
        </w:rPr>
        <w:t>Samples might be taken from recycling facilities (e.g. for carpets or paper) and might be purchased on the second-hand market.</w:t>
      </w:r>
    </w:p>
    <w:p w:rsidR="00CC1C95" w:rsidRPr="00EC556A" w:rsidRDefault="00CC1C95" w:rsidP="00000FBF">
      <w:pPr>
        <w:pStyle w:val="Heading3"/>
        <w:numPr>
          <w:ilvl w:val="0"/>
          <w:numId w:val="0"/>
        </w:numPr>
        <w:snapToGrid/>
        <w:spacing w:before="240" w:after="60" w:line="276" w:lineRule="auto"/>
        <w:jc w:val="both"/>
      </w:pPr>
      <w:r w:rsidRPr="00EC556A">
        <w:t xml:space="preserve"> </w:t>
      </w:r>
      <w:bookmarkStart w:id="441" w:name="_Toc313904792"/>
      <w:bookmarkStart w:id="442" w:name="_Toc323558515"/>
      <w:bookmarkStart w:id="443" w:name="_Toc349335795"/>
      <w:r w:rsidRPr="00EC556A">
        <w:t>PFOS in biosolids and sludge</w:t>
      </w:r>
      <w:bookmarkEnd w:id="436"/>
      <w:bookmarkEnd w:id="437"/>
      <w:bookmarkEnd w:id="441"/>
      <w:r w:rsidRPr="00EC556A">
        <w:t>s</w:t>
      </w:r>
      <w:bookmarkEnd w:id="442"/>
      <w:bookmarkEnd w:id="443"/>
    </w:p>
    <w:p w:rsidR="00CC1C95" w:rsidRDefault="00CC1C95" w:rsidP="00EE0DB2">
      <w:pPr>
        <w:widowControl w:val="0"/>
        <w:ind w:firstLine="708"/>
      </w:pPr>
      <w:r w:rsidRPr="00EC556A">
        <w:t>Sewage sludge and related biosolids are a final sink for a range of old POPs (e.g. PCB, PCDD/PCDF, and HCB) where, for some countries, regulation limits exist. Also, newly listed POPs – in particular PFOS and POP-PBDEs – are detected in sewage sludge/biosolids</w:t>
      </w:r>
      <w:r w:rsidR="00640874">
        <w:t xml:space="preserve"> and in sediments (Benskin</w:t>
      </w:r>
      <w:r w:rsidR="0033045A">
        <w:t xml:space="preserve"> et al.</w:t>
      </w:r>
      <w:r w:rsidR="00640874">
        <w:t xml:space="preserve"> 2012)</w:t>
      </w:r>
      <w:r w:rsidRPr="00EC556A">
        <w:t>. The application of PFOS contaminated biosolids (originating from wastewater treatment plants related to PFOS/PFC productions</w:t>
      </w:r>
      <w:r w:rsidRPr="00EC556A">
        <w:rPr>
          <w:rStyle w:val="FootnoteReference"/>
        </w:rPr>
        <w:footnoteReference w:id="70"/>
      </w:r>
      <w:r w:rsidRPr="00EC556A">
        <w:t xml:space="preserve"> and industrial use) on agricultural areas have resulted in large scale contaminated sites, e.g. in Germany and the USA (Decatur Alabama)</w:t>
      </w:r>
      <w:r w:rsidRPr="00EC556A">
        <w:rPr>
          <w:rStyle w:val="FootnoteReference"/>
        </w:rPr>
        <w:footnoteReference w:id="71"/>
      </w:r>
      <w:r w:rsidRPr="00EC556A">
        <w:t xml:space="preserve"> including groundwater and drinking water contamination. In the German case, PFOS/PFOA containing sludge has been imported into the country (Germany) and by further application as biosolid has resulted in large contaminated sites and the contamination of drinking water for approximately 5 million inhabitants.</w:t>
      </w:r>
      <w:r w:rsidRPr="00EC556A">
        <w:rPr>
          <w:rStyle w:val="FootnoteReference"/>
        </w:rPr>
        <w:footnoteReference w:id="72"/>
      </w:r>
      <w:r w:rsidRPr="00EC556A">
        <w:t xml:space="preserve"> </w:t>
      </w:r>
    </w:p>
    <w:p w:rsidR="00CC1C95" w:rsidRDefault="00CC1C95" w:rsidP="00EE0DB2">
      <w:pPr>
        <w:widowControl w:val="0"/>
      </w:pPr>
      <w:r w:rsidRPr="00EC556A">
        <w:t xml:space="preserve">Therefore, the use and import of biosolids might be a relevant source of PFOS/PFCs. Limit values of 100 μg PFOS+PFOA/kg (0.1 ppm) have been set e.g. in Germany by the </w:t>
      </w:r>
      <w:hyperlink r:id="rId35" w:history="1">
        <w:r w:rsidRPr="00EC556A">
          <w:rPr>
            <w:rStyle w:val="Hyperlink"/>
          </w:rPr>
          <w:t>fertilizer ordinance</w:t>
        </w:r>
      </w:hyperlink>
      <w:r w:rsidRPr="00EC556A">
        <w:rPr>
          <w:rStyle w:val="FootnoteReference"/>
        </w:rPr>
        <w:footnoteReference w:id="73"/>
      </w:r>
      <w:r w:rsidRPr="00EC556A">
        <w:t>.</w:t>
      </w:r>
    </w:p>
    <w:p w:rsidR="00CC1C95" w:rsidRPr="00EC556A" w:rsidRDefault="00CC1C95" w:rsidP="00EE0DB2">
      <w:pPr>
        <w:widowControl w:val="0"/>
        <w:rPr>
          <w:iCs/>
        </w:rPr>
      </w:pPr>
      <w:r w:rsidRPr="00EC556A">
        <w:t>The customs</w:t>
      </w:r>
      <w:r w:rsidRPr="00EC556A" w:rsidDel="0089763D">
        <w:t xml:space="preserve"> </w:t>
      </w:r>
      <w:r w:rsidRPr="00EC556A">
        <w:t>would monitor the import of biosolids/organic fertilizers in cooperation with the agricultural ministry</w:t>
      </w:r>
      <w:r>
        <w:t>,</w:t>
      </w:r>
      <w:r w:rsidRPr="00EC556A">
        <w:t xml:space="preserve"> which controls and monitors the overall use of sewage sludge and other biosolids in the country. Companies exporting or importing biosolids/organic fertilizer need to guarantee certain pollutant levels including (new) POPs and heavy metals. </w:t>
      </w:r>
      <w:r w:rsidRPr="00EC556A">
        <w:rPr>
          <w:iCs/>
        </w:rPr>
        <w:t>Samples might be received from mentioned stakeholders and might be sampled directly from sewage treatment plants. PFOS/PFC levels in sewage sludge can reveal and direct to point sources.</w:t>
      </w:r>
    </w:p>
    <w:p w:rsidR="00CC1C95" w:rsidRPr="00EC556A" w:rsidRDefault="00CC1C95" w:rsidP="00000FBF">
      <w:pPr>
        <w:pStyle w:val="Heading3"/>
        <w:numPr>
          <w:ilvl w:val="0"/>
          <w:numId w:val="0"/>
        </w:numPr>
        <w:snapToGrid/>
        <w:spacing w:before="240" w:after="60" w:line="276" w:lineRule="auto"/>
        <w:jc w:val="both"/>
      </w:pPr>
      <w:bookmarkStart w:id="444" w:name="_Toc323558516"/>
      <w:bookmarkStart w:id="445" w:name="_Toc349335796"/>
      <w:r w:rsidRPr="00EC556A">
        <w:t>PFOS in feed, food and drinking water</w:t>
      </w:r>
      <w:bookmarkEnd w:id="444"/>
      <w:bookmarkEnd w:id="445"/>
    </w:p>
    <w:p w:rsidR="00CC1C95" w:rsidRPr="00EC556A" w:rsidRDefault="00CC1C95" w:rsidP="00EE0DB2">
      <w:pPr>
        <w:widowControl w:val="0"/>
        <w:ind w:firstLine="708"/>
      </w:pPr>
      <w:r w:rsidRPr="00EC556A">
        <w:t xml:space="preserve">The monitoring of feed, food and drinking water goes above the scope of this guidance and matrices are not covered by described methodologies. Due to the relevance for human exposure these articles are shortly mentioned here.    </w:t>
      </w:r>
    </w:p>
    <w:p w:rsidR="00CC1C95" w:rsidRPr="00EC556A" w:rsidRDefault="00CC1C95" w:rsidP="00EE0DB2">
      <w:pPr>
        <w:widowControl w:val="0"/>
        <w:spacing w:before="120"/>
      </w:pPr>
      <w:r w:rsidRPr="00EC556A">
        <w:t xml:space="preserve">Food, feed and drinking water can in particular be contaminated with PFOS and related substances in connection with contaminated sites of former PFOS production, use and disposal. This includes e.g. lakes and rivers with elevated PFOS levels, fruits and vegetables from areas with soil and ground water is contaminated. Also drinking water can be contaminated with PFOS in areas with polluted ground water or surface water. If a country decides to include feed, food or drinking water into the monitoring of PFOS containing articles and products then the development of the monitoring concept should be linked with the development of the inventory of PFOS contaminated sites (developed during the NIP update). </w:t>
      </w:r>
      <w:r>
        <w:t>A</w:t>
      </w:r>
      <w:r w:rsidRPr="00EC556A">
        <w:t xml:space="preserve"> first priority selection of samples can be done based on the findings of the PFOS contaminated site inventory. </w:t>
      </w:r>
      <w:r w:rsidRPr="00EC556A">
        <w:rPr>
          <w:iCs/>
        </w:rPr>
        <w:t>Samples might be received from stakeholders, purchased on the market or taken from households.</w:t>
      </w:r>
    </w:p>
    <w:p w:rsidR="00CC1C95" w:rsidRPr="00EC556A" w:rsidRDefault="00CC1C95" w:rsidP="00EE0DB2">
      <w:pPr>
        <w:widowControl w:val="0"/>
      </w:pPr>
    </w:p>
    <w:p w:rsidR="00CC1C95" w:rsidRPr="00EC556A" w:rsidRDefault="00CC1C95" w:rsidP="00000FBF">
      <w:pPr>
        <w:pStyle w:val="Heading2"/>
        <w:numPr>
          <w:ilvl w:val="0"/>
          <w:numId w:val="0"/>
        </w:numPr>
        <w:snapToGrid/>
        <w:spacing w:before="240" w:after="60" w:line="276" w:lineRule="auto"/>
        <w:ind w:left="993"/>
        <w:jc w:val="both"/>
      </w:pPr>
      <w:bookmarkStart w:id="446" w:name="_Toc300843603"/>
      <w:bookmarkStart w:id="447" w:name="_Toc302470802"/>
      <w:bookmarkStart w:id="448" w:name="_Toc307652682"/>
      <w:bookmarkStart w:id="449" w:name="_Toc308770613"/>
      <w:bookmarkStart w:id="450" w:name="_Toc308808896"/>
      <w:bookmarkStart w:id="451" w:name="_Toc323558517"/>
      <w:r>
        <w:rPr>
          <w:b w:val="0"/>
        </w:rPr>
        <w:br w:type="page"/>
      </w:r>
      <w:bookmarkStart w:id="452" w:name="_Toc346702102"/>
      <w:bookmarkStart w:id="453" w:name="_Toc349335797"/>
      <w:bookmarkEnd w:id="452"/>
      <w:r w:rsidRPr="00EC556A">
        <w:rPr>
          <w:b w:val="0"/>
        </w:rPr>
        <w:t xml:space="preserve">Annex 1-B: POP-PBDEs </w:t>
      </w:r>
      <w:bookmarkEnd w:id="446"/>
      <w:bookmarkEnd w:id="447"/>
      <w:bookmarkEnd w:id="448"/>
      <w:r w:rsidRPr="00EC556A">
        <w:rPr>
          <w:b w:val="0"/>
        </w:rPr>
        <w:t>in articles</w:t>
      </w:r>
      <w:bookmarkEnd w:id="449"/>
      <w:bookmarkEnd w:id="450"/>
      <w:r w:rsidRPr="00EC556A">
        <w:rPr>
          <w:b w:val="0"/>
        </w:rPr>
        <w:t xml:space="preserve"> and products</w:t>
      </w:r>
      <w:r w:rsidRPr="00EC556A">
        <w:rPr>
          <w:rFonts w:ascii="(Asiatische Schriftart verwende" w:hAnsi="(Asiatische Schriftart verwende"/>
          <w:b w:val="0"/>
          <w:vertAlign w:val="superscript"/>
        </w:rPr>
        <w:footnoteReference w:id="74"/>
      </w:r>
      <w:bookmarkEnd w:id="451"/>
      <w:bookmarkEnd w:id="453"/>
    </w:p>
    <w:p w:rsidR="00CC1C95" w:rsidRPr="00EC556A" w:rsidRDefault="00CC1C95" w:rsidP="00EE0DB2">
      <w:pPr>
        <w:widowControl w:val="0"/>
        <w:ind w:firstLine="708"/>
      </w:pPr>
      <w:r w:rsidRPr="00EC556A">
        <w:t>Since production of c-PentaBDE and c-OctaBDE is considered to have stopped in 2004, the monitoring can largely concentrate on articles and products in use, recycling, and end-of-life.</w:t>
      </w:r>
    </w:p>
    <w:p w:rsidR="00CC1C95" w:rsidRDefault="00CC1C95" w:rsidP="00EE0DB2">
      <w:pPr>
        <w:widowControl w:val="0"/>
      </w:pPr>
      <w:r w:rsidRPr="00EC556A">
        <w:t>For c-OctaBDE, the material flow with the largest amount of c-OctaBDE content are certain polymers used in Electrical and Electronic Equipment (EEE) and related Wastes (WEEE).</w:t>
      </w:r>
      <w:r w:rsidRPr="00EC556A">
        <w:rPr>
          <w:rStyle w:val="FootnoteReference"/>
        </w:rPr>
        <w:footnoteReference w:id="75"/>
      </w:r>
      <w:r w:rsidRPr="00EC556A">
        <w:t xml:space="preserve"> Large amounts of EEE and WEEE were and are exported from industrial countries with former major use of c-OctaBDE (e.g. USA and Europe) to developing countries. Furthermore, polymers from recycling of WEEE are partly sent for recycling to developing/transition countries (e.g. China or India). Recent studies have shown that recycled polymers containing PBDE have been used to produce articles for which no flame retardancy is required including, for example, children’s toys, household goods, and video tapes.</w:t>
      </w:r>
      <w:r w:rsidRPr="00EC556A">
        <w:rPr>
          <w:rStyle w:val="FootnoteReference"/>
        </w:rPr>
        <w:footnoteReference w:id="76"/>
      </w:r>
      <w:r w:rsidRPr="00EC556A">
        <w:t xml:space="preserve"> This shows that the flows of polymers containing PBDEs for recycling are not well controlled and need to be monitored and better managed. </w:t>
      </w:r>
    </w:p>
    <w:p w:rsidR="00CC1C95" w:rsidRPr="00EC556A" w:rsidRDefault="00CC1C95" w:rsidP="00EE0DB2">
      <w:pPr>
        <w:widowControl w:val="0"/>
      </w:pPr>
      <w:r w:rsidRPr="00EC556A">
        <w:t>For c-PentaBDE,</w:t>
      </w:r>
      <w:r w:rsidRPr="00EC556A">
        <w:rPr>
          <w:b/>
          <w:bCs/>
        </w:rPr>
        <w:t xml:space="preserve"> </w:t>
      </w:r>
      <w:r w:rsidRPr="00EC556A">
        <w:rPr>
          <w:bCs/>
        </w:rPr>
        <w:t>t</w:t>
      </w:r>
      <w:r w:rsidRPr="00EC556A">
        <w:t xml:space="preserve">he main use was PUR foam in transport (cars, buses, trains, etc.) and furniture and for some regions possibly insulation in construction. </w:t>
      </w:r>
    </w:p>
    <w:p w:rsidR="00CC1C95" w:rsidRPr="00EC556A" w:rsidRDefault="00CC1C95" w:rsidP="00EE0DB2">
      <w:pPr>
        <w:widowControl w:val="0"/>
      </w:pPr>
      <w:r w:rsidRPr="00EC556A">
        <w:t>Therefore, the reuse and recycling of these two major material flows need to be monitored.</w:t>
      </w:r>
    </w:p>
    <w:p w:rsidR="00CC1C95" w:rsidRPr="00EC556A" w:rsidRDefault="00CC1C95" w:rsidP="00EE0DB2">
      <w:pPr>
        <w:widowControl w:val="0"/>
      </w:pPr>
      <w:r w:rsidRPr="00EC556A">
        <w:t xml:space="preserve">Details on the POP-PBDE material flows are given in the “POP-PBDE inventory </w:t>
      </w:r>
      <w:r w:rsidRPr="009817D9">
        <w:t>Guidance</w:t>
      </w:r>
      <w:r w:rsidRPr="00EC556A">
        <w:rPr>
          <w:i/>
        </w:rPr>
        <w:t>”</w:t>
      </w:r>
      <w:r w:rsidRPr="00EC556A">
        <w:rPr>
          <w:rFonts w:ascii="(Asiatische Schriftart verwende" w:hAnsi="(Asiatische Schriftart verwende"/>
          <w:i/>
          <w:vertAlign w:val="superscript"/>
        </w:rPr>
        <w:t>3</w:t>
      </w:r>
      <w:r w:rsidRPr="00EC556A">
        <w:rPr>
          <w:i/>
        </w:rPr>
        <w:t xml:space="preserve"> </w:t>
      </w:r>
      <w:r w:rsidRPr="00EC556A">
        <w:t>and</w:t>
      </w:r>
      <w:r w:rsidRPr="00EC556A">
        <w:rPr>
          <w:i/>
        </w:rPr>
        <w:t xml:space="preserve"> </w:t>
      </w:r>
      <w:r w:rsidRPr="00DE5689">
        <w:t>“POP-PBDE BAT/BEP Guidelines”</w:t>
      </w:r>
      <w:r w:rsidRPr="00DE5689">
        <w:rPr>
          <w:rFonts w:ascii="(Asiatische Schriftart verwende" w:hAnsi="(Asiatische Schriftart verwende"/>
          <w:vertAlign w:val="superscript"/>
        </w:rPr>
        <w:t>4</w:t>
      </w:r>
      <w:r w:rsidRPr="00EC556A">
        <w:t>.</w:t>
      </w:r>
    </w:p>
    <w:p w:rsidR="00CC1C95" w:rsidRPr="009817D9" w:rsidRDefault="00CC1C95" w:rsidP="00EE0DB2">
      <w:pPr>
        <w:widowControl w:val="0"/>
        <w:rPr>
          <w:bCs/>
        </w:rPr>
      </w:pPr>
      <w:r w:rsidRPr="009817D9">
        <w:rPr>
          <w:bCs/>
        </w:rPr>
        <w:t xml:space="preserve">Considering these major uses of c-PentaBDE and c-OctaBDE, the following reuse of articles and goods and recycling flows would be assessed (in the country and in imports):   </w:t>
      </w:r>
    </w:p>
    <w:p w:rsidR="00CC1C95" w:rsidRPr="00EC556A" w:rsidRDefault="00CC1C95" w:rsidP="00000FBF">
      <w:pPr>
        <w:pStyle w:val="Heading3"/>
        <w:numPr>
          <w:ilvl w:val="0"/>
          <w:numId w:val="0"/>
        </w:numPr>
        <w:snapToGrid/>
        <w:spacing w:before="240" w:after="60" w:line="276" w:lineRule="auto"/>
        <w:jc w:val="both"/>
      </w:pPr>
      <w:bookmarkStart w:id="454" w:name="_Toc308770614"/>
      <w:bookmarkStart w:id="455" w:name="_Toc308808897"/>
      <w:bookmarkStart w:id="456" w:name="_Toc313904794"/>
      <w:bookmarkStart w:id="457" w:name="_Toc323558518"/>
      <w:bookmarkStart w:id="458" w:name="_Toc349335798"/>
      <w:r w:rsidRPr="00EC556A">
        <w:t>POP-PBDEs as and in chemical product</w:t>
      </w:r>
      <w:bookmarkEnd w:id="454"/>
      <w:bookmarkEnd w:id="455"/>
      <w:bookmarkEnd w:id="456"/>
      <w:bookmarkEnd w:id="457"/>
      <w:r w:rsidRPr="00EC556A">
        <w:t>s</w:t>
      </w:r>
      <w:bookmarkEnd w:id="458"/>
    </w:p>
    <w:p w:rsidR="00CC1C95" w:rsidRDefault="00CC1C95" w:rsidP="00EE0DB2">
      <w:pPr>
        <w:widowControl w:val="0"/>
        <w:ind w:firstLine="708"/>
      </w:pPr>
      <w:r w:rsidRPr="00EC556A">
        <w:t>Although production has officially stopped, some companies still offer c-PentaBDE (CAS 32534-81-9)</w:t>
      </w:r>
      <w:r w:rsidRPr="00EC556A">
        <w:rPr>
          <w:rStyle w:val="FootnoteReference"/>
        </w:rPr>
        <w:footnoteReference w:id="77"/>
      </w:r>
      <w:r w:rsidRPr="00EC556A">
        <w:t xml:space="preserve"> and c-OctaBDE (32536-52-0) for sale in the public domain although production and marketing is banned under the Convention. Therefore, illegal trade of these chemicals might still take place. Companies offering POPs are listed in Annex of „POPs Customs Control Guidance“</w:t>
      </w:r>
      <w:r w:rsidR="0024237B">
        <w:rPr>
          <w:rStyle w:val="FootnoteReference"/>
        </w:rPr>
        <w:footnoteReference w:id="78"/>
      </w:r>
      <w:r w:rsidRPr="00EC556A">
        <w:t xml:space="preserve">. </w:t>
      </w:r>
    </w:p>
    <w:p w:rsidR="00CC1C95" w:rsidRPr="00EC556A" w:rsidRDefault="00CC1C95" w:rsidP="00EE0DB2">
      <w:pPr>
        <w:widowControl w:val="0"/>
      </w:pPr>
      <w:r w:rsidRPr="00EC556A">
        <w:t xml:space="preserve">C-DecaBDE is still produced as flame retardant. The production of c-DecaBDE by bromination of diphenlylether has POP-PBDEs as intermediates. Therefore c-DecaBDE could contain POP-PBDE as contaminant and </w:t>
      </w:r>
      <w:r>
        <w:t>c</w:t>
      </w:r>
      <w:r w:rsidRPr="00EC556A">
        <w:t xml:space="preserve">ould be monitored. C-DecaBDE debrominates under various conditions (UNEP 2010c). Therefore articles containing c-DecaBDE and articles recycled from c-DecaBDE containing materials </w:t>
      </w:r>
      <w:r>
        <w:t>w</w:t>
      </w:r>
      <w:r w:rsidRPr="00EC556A">
        <w:t>ould be monitored for POP-PBDE.</w:t>
      </w:r>
    </w:p>
    <w:p w:rsidR="00CC1C95" w:rsidRPr="00EC556A" w:rsidRDefault="00CC1C95" w:rsidP="00000FBF">
      <w:pPr>
        <w:pStyle w:val="Heading3"/>
        <w:numPr>
          <w:ilvl w:val="0"/>
          <w:numId w:val="0"/>
        </w:numPr>
        <w:snapToGrid/>
        <w:spacing w:before="240" w:after="60" w:line="276" w:lineRule="auto"/>
        <w:jc w:val="both"/>
      </w:pPr>
      <w:bookmarkStart w:id="459" w:name="_Toc308770615"/>
      <w:bookmarkStart w:id="460" w:name="_Toc308808898"/>
      <w:bookmarkStart w:id="461" w:name="_Toc313904795"/>
      <w:bookmarkStart w:id="462" w:name="_Toc323558519"/>
      <w:bookmarkStart w:id="463" w:name="_Toc349335799"/>
      <w:r w:rsidRPr="00EC556A">
        <w:t>Second hand EEE in import and on the local market</w:t>
      </w:r>
      <w:bookmarkEnd w:id="459"/>
      <w:bookmarkEnd w:id="460"/>
      <w:bookmarkEnd w:id="461"/>
      <w:bookmarkEnd w:id="462"/>
      <w:bookmarkEnd w:id="463"/>
    </w:p>
    <w:p w:rsidR="00CC1C95" w:rsidRPr="00EC556A" w:rsidRDefault="00CC1C95" w:rsidP="00E82560">
      <w:pPr>
        <w:widowControl w:val="0"/>
      </w:pPr>
      <w:r w:rsidRPr="00EC556A">
        <w:t>Polymers of used EEE (produced before 2005) can contain POP-PBDE</w:t>
      </w:r>
      <w:r w:rsidRPr="00EC556A">
        <w:rPr>
          <w:rStyle w:val="FootnoteReference"/>
        </w:rPr>
        <w:footnoteReference w:id="79"/>
      </w:r>
      <w:r w:rsidRPr="00EC556A">
        <w:t>. The most relevant WEEE fractions are Cathode Ray Tube (CRT) housing from TVs and computers. Imported used EEE is, in many countries, subjected to assessment of their functionality to avoid illegal import of WEEE</w:t>
      </w:r>
      <w:r w:rsidRPr="00EC556A">
        <w:rPr>
          <w:rStyle w:val="FootnoteReference"/>
        </w:rPr>
        <w:footnoteReference w:id="80"/>
      </w:r>
      <w:r w:rsidRPr="00EC556A">
        <w:t>. Therefore, customs are already monitoring used electronics. Within this monitoring, screening of bromine for indication of POP-PBDE might be performed. However, since other brominated flame retardants are mainly present in today’s used electronics, confirmation analysis would need to be considered.</w:t>
      </w:r>
      <w:r w:rsidR="00CF7CFF">
        <w:t xml:space="preserve"> </w:t>
      </w:r>
      <w:r w:rsidRPr="00434255">
        <w:rPr>
          <w:iCs/>
        </w:rPr>
        <w:t>Samples might be received from stakeholders, purchased on the market, from households or end-of-life treatment facilities.</w:t>
      </w:r>
    </w:p>
    <w:p w:rsidR="00CC1C95" w:rsidRPr="00EC556A" w:rsidRDefault="00CC1C95" w:rsidP="00000FBF">
      <w:pPr>
        <w:pStyle w:val="Heading3"/>
        <w:numPr>
          <w:ilvl w:val="0"/>
          <w:numId w:val="0"/>
        </w:numPr>
        <w:snapToGrid/>
        <w:spacing w:before="240" w:after="60" w:line="276" w:lineRule="auto"/>
        <w:jc w:val="both"/>
      </w:pPr>
      <w:bookmarkStart w:id="464" w:name="_Toc308770616"/>
      <w:bookmarkStart w:id="465" w:name="_Toc308808899"/>
      <w:bookmarkStart w:id="466" w:name="_Toc313904796"/>
      <w:bookmarkStart w:id="467" w:name="_Toc323558520"/>
      <w:bookmarkStart w:id="468" w:name="_Toc349335800"/>
      <w:r w:rsidRPr="00EC556A">
        <w:t xml:space="preserve">Import of </w:t>
      </w:r>
      <w:bookmarkEnd w:id="464"/>
      <w:bookmarkEnd w:id="465"/>
      <w:r w:rsidRPr="00EC556A">
        <w:t>Waste Electrical and Electronic Equipment (WEEE)</w:t>
      </w:r>
      <w:bookmarkEnd w:id="466"/>
      <w:bookmarkEnd w:id="467"/>
      <w:bookmarkEnd w:id="468"/>
    </w:p>
    <w:p w:rsidR="00CC1C95" w:rsidRDefault="00CC1C95" w:rsidP="00EE0DB2">
      <w:pPr>
        <w:widowControl w:val="0"/>
        <w:ind w:firstLine="708"/>
      </w:pPr>
      <w:r w:rsidRPr="00EC556A">
        <w:t xml:space="preserve">The largest amount of POP-PBDEs of c-OctaBDE is present in WEEE, in particular Cathode Ray Tube (CRT) housing from TVs and computer monitors and office equipment. WEEE might be imported into a country, for example, as a good for recovery of metals. Considering the legislation of a country and the Basel Convention rules, such imports might be legal. </w:t>
      </w:r>
    </w:p>
    <w:p w:rsidR="00CC1C95" w:rsidRPr="00EC556A" w:rsidRDefault="00CC1C95" w:rsidP="00EE0DB2">
      <w:pPr>
        <w:widowControl w:val="0"/>
      </w:pPr>
      <w:r w:rsidRPr="00EC556A">
        <w:t>Depending on further treatment of this WEEE and in particular the treatment of the polymer fraction, this POP-PBDE-containing material can cause environmental pollution (e.g. from the practice of open burning) or hazards if recycled into sensitive products (table A-1). Therefore, competent authorities and industries treating the WEEE need to assure the appropriate management and treatment of the associated polymer material of such WEEE imports (see Chapter 4 of the “</w:t>
      </w:r>
      <w:r w:rsidRPr="00EC556A">
        <w:rPr>
          <w:i/>
          <w:iCs/>
        </w:rPr>
        <w:t>PBDE BAT/BEP Guidelines</w:t>
      </w:r>
      <w:r w:rsidRPr="00EC556A">
        <w:t>”</w:t>
      </w:r>
      <w:r w:rsidRPr="00EC556A">
        <w:rPr>
          <w:rFonts w:ascii="(Asiatische Schriftart verwende" w:hAnsi="(Asiatische Schriftart verwende"/>
          <w:i/>
          <w:iCs/>
          <w:vertAlign w:val="superscript"/>
        </w:rPr>
        <w:t>4</w:t>
      </w:r>
      <w:r w:rsidRPr="00EC556A">
        <w:t xml:space="preserve">). If the polymer is subjected to further recycling, the competent authority </w:t>
      </w:r>
      <w:r>
        <w:t>w</w:t>
      </w:r>
      <w:r w:rsidRPr="00EC556A">
        <w:t>ould monitor</w:t>
      </w:r>
      <w:r>
        <w:t xml:space="preserve"> or ask the companies for monitoring data</w:t>
      </w:r>
      <w:r w:rsidRPr="00EC556A">
        <w:t xml:space="preserve"> and assure pollutants like POP-PBDEs are separated according to the recommendations of the </w:t>
      </w:r>
      <w:r>
        <w:t>Conference of Parties</w:t>
      </w:r>
      <w:r w:rsidRPr="00EC556A">
        <w:t xml:space="preserve"> if no exemption for recycling is granted. If the country has asked for exemption of recycling PBDE containing materials, it should take care that, in particular, such polymers are not recycled into sensitive uses (see table also Chapter 4 of </w:t>
      </w:r>
      <w:r w:rsidRPr="00EC556A">
        <w:rPr>
          <w:i/>
          <w:iCs/>
        </w:rPr>
        <w:t>POP-PBDE BAT/BEP Guidelines</w:t>
      </w:r>
      <w:r w:rsidRPr="00EC556A">
        <w:rPr>
          <w:rFonts w:ascii="(Asiatische Schriftart verwende" w:hAnsi="(Asiatische Schriftart verwende"/>
          <w:i/>
          <w:iCs/>
          <w:vertAlign w:val="superscript"/>
        </w:rPr>
        <w:t>4</w:t>
      </w:r>
      <w:r w:rsidRPr="00EC556A">
        <w:t>).</w:t>
      </w:r>
    </w:p>
    <w:p w:rsidR="00CC1C95" w:rsidRPr="00EC556A" w:rsidRDefault="00CC1C95" w:rsidP="00000FBF">
      <w:pPr>
        <w:pStyle w:val="Heading3"/>
        <w:numPr>
          <w:ilvl w:val="0"/>
          <w:numId w:val="0"/>
        </w:numPr>
        <w:snapToGrid/>
        <w:spacing w:before="240" w:after="60" w:line="276" w:lineRule="auto"/>
        <w:jc w:val="both"/>
      </w:pPr>
      <w:bookmarkStart w:id="469" w:name="_Toc308770617"/>
      <w:bookmarkStart w:id="470" w:name="_Toc308808900"/>
      <w:bookmarkStart w:id="471" w:name="_Toc313904797"/>
      <w:bookmarkStart w:id="472" w:name="_Toc323558521"/>
      <w:bookmarkStart w:id="473" w:name="_Toc349335801"/>
      <w:r w:rsidRPr="00EC556A">
        <w:t>WEEE plastic for recycling</w:t>
      </w:r>
      <w:bookmarkEnd w:id="469"/>
      <w:bookmarkEnd w:id="470"/>
      <w:bookmarkEnd w:id="471"/>
      <w:bookmarkEnd w:id="472"/>
      <w:bookmarkEnd w:id="473"/>
    </w:p>
    <w:p w:rsidR="00CC1C95" w:rsidRPr="00EC556A" w:rsidRDefault="00CC1C95" w:rsidP="00EE0DB2">
      <w:pPr>
        <w:widowControl w:val="0"/>
        <w:ind w:firstLine="708"/>
      </w:pPr>
      <w:r w:rsidRPr="00EC556A">
        <w:t>The polymer fractions from recycling of WEEE are the most relevant recycling material flow possibly containing POP-PBDEs. Mainly ABS plastic but also mixed WEEE plastic fractions might be impacted. Such polymer fractions are partly exported – often from industrial countries to developing countries for material recycling purposes to produce new plastic products. Such polymers might be plastic flakes from WEEE shredders or pelletised plastic. The monitoring for the recycling of this polymer might also include, in addition to POP-PBDEs, other RoHS Directive</w:t>
      </w:r>
      <w:r w:rsidRPr="00EC556A">
        <w:rPr>
          <w:rStyle w:val="FootnoteReference"/>
        </w:rPr>
        <w:footnoteReference w:id="81"/>
      </w:r>
      <w:r w:rsidRPr="00EC556A">
        <w:t xml:space="preserve"> relevant substances.</w:t>
      </w:r>
    </w:p>
    <w:tbl>
      <w:tblPr>
        <w:tblpPr w:leftFromText="180" w:rightFromText="180" w:vertAnchor="text" w:horzAnchor="margin" w:tblpXSpec="center" w:tblpY="346"/>
        <w:tblW w:w="0" w:type="auto"/>
        <w:jc w:val="center"/>
        <w:tblBorders>
          <w:top w:val="single" w:sz="48" w:space="0" w:color="B6DDE8"/>
          <w:left w:val="single" w:sz="48" w:space="0" w:color="B6DDE8"/>
          <w:bottom w:val="single" w:sz="48" w:space="0" w:color="B6DDE8"/>
          <w:right w:val="single" w:sz="48" w:space="0" w:color="B6DDE8"/>
          <w:insideH w:val="single" w:sz="48" w:space="0" w:color="B6DDE8"/>
          <w:insideV w:val="single" w:sz="48" w:space="0" w:color="FFC000"/>
        </w:tblBorders>
        <w:tblLook w:val="00A0"/>
      </w:tblPr>
      <w:tblGrid>
        <w:gridCol w:w="9072"/>
      </w:tblGrid>
      <w:tr w:rsidR="00CC1C95" w:rsidRPr="00B600A2">
        <w:trPr>
          <w:jc w:val="center"/>
        </w:trPr>
        <w:tc>
          <w:tcPr>
            <w:tcW w:w="9072" w:type="dxa"/>
            <w:tcBorders>
              <w:top w:val="single" w:sz="48" w:space="0" w:color="B6DDE8"/>
              <w:left w:val="single" w:sz="48" w:space="0" w:color="B6DDE8"/>
              <w:bottom w:val="single" w:sz="48" w:space="0" w:color="B6DDE8"/>
              <w:right w:val="single" w:sz="48" w:space="0" w:color="B6DDE8"/>
            </w:tcBorders>
            <w:tcMar>
              <w:top w:w="113" w:type="dxa"/>
              <w:left w:w="227" w:type="dxa"/>
              <w:bottom w:w="113" w:type="dxa"/>
              <w:right w:w="227" w:type="dxa"/>
            </w:tcMar>
          </w:tcPr>
          <w:p w:rsidR="00CC1C95" w:rsidRPr="00EC556A" w:rsidRDefault="00CC1C95" w:rsidP="00EE0DB2">
            <w:pPr>
              <w:widowControl w:val="0"/>
              <w:jc w:val="center"/>
              <w:rPr>
                <w:b/>
              </w:rPr>
            </w:pPr>
            <w:r w:rsidRPr="00EC556A">
              <w:rPr>
                <w:b/>
                <w:bCs/>
              </w:rPr>
              <w:t xml:space="preserve">Table A-1: </w:t>
            </w:r>
            <w:r w:rsidRPr="00EC556A">
              <w:rPr>
                <w:b/>
              </w:rPr>
              <w:t xml:space="preserve">Examples of sensitive use areas* </w:t>
            </w:r>
            <w:r w:rsidRPr="00EC556A">
              <w:rPr>
                <w:b/>
              </w:rPr>
              <w:br/>
              <w:t>where POP-PBDE-containing recycled polymers must not be used**</w:t>
            </w:r>
          </w:p>
          <w:tbl>
            <w:tblPr>
              <w:tblpPr w:leftFromText="141" w:rightFromText="141" w:vertAnchor="text" w:tblpX="-24" w:tblpY="1"/>
              <w:tblOverlap w:val="never"/>
              <w:tblW w:w="0" w:type="auto"/>
              <w:tblLook w:val="01E0"/>
            </w:tblPr>
            <w:tblGrid>
              <w:gridCol w:w="5900"/>
            </w:tblGrid>
            <w:tr w:rsidR="00CC1C95" w:rsidRPr="00B600A2">
              <w:tc>
                <w:tcPr>
                  <w:tcW w:w="5900" w:type="dxa"/>
                  <w:tcBorders>
                    <w:top w:val="nil"/>
                    <w:left w:val="nil"/>
                    <w:bottom w:val="nil"/>
                    <w:right w:val="nil"/>
                  </w:tcBorders>
                </w:tcPr>
                <w:p w:rsidR="00CC1C95" w:rsidRPr="006D66B2" w:rsidRDefault="00CC1C95" w:rsidP="00EE0DB2">
                  <w:pPr>
                    <w:pStyle w:val="BulletLevel1CharChar"/>
                    <w:ind w:left="72" w:firstLine="0"/>
                    <w:rPr>
                      <w:rFonts w:ascii="Calibri" w:hAnsi="Calibri"/>
                      <w:b/>
                      <w:bCs/>
                      <w:szCs w:val="22"/>
                      <w:lang w:val="en-GB"/>
                    </w:rPr>
                  </w:pPr>
                  <w:r w:rsidRPr="00E77A35">
                    <w:rPr>
                      <w:b/>
                      <w:bCs/>
                      <w:lang w:val="en-GB"/>
                    </w:rPr>
                    <w:t xml:space="preserve">Some sensitive uses of plastic </w:t>
                  </w:r>
                </w:p>
              </w:tc>
            </w:tr>
            <w:tr w:rsidR="00CC1C95" w:rsidRPr="00EC556A">
              <w:tc>
                <w:tcPr>
                  <w:tcW w:w="5900" w:type="dxa"/>
                  <w:tcBorders>
                    <w:top w:val="nil"/>
                    <w:left w:val="nil"/>
                    <w:bottom w:val="nil"/>
                    <w:right w:val="nil"/>
                  </w:tcBorders>
                </w:tcPr>
                <w:p w:rsidR="00CC1C95" w:rsidRPr="006D66B2" w:rsidRDefault="00CC1C95" w:rsidP="00EE0DB2">
                  <w:pPr>
                    <w:pStyle w:val="BulletLevel1CharChar"/>
                    <w:numPr>
                      <w:ilvl w:val="0"/>
                      <w:numId w:val="8"/>
                    </w:numPr>
                    <w:ind w:left="342" w:hanging="270"/>
                    <w:rPr>
                      <w:rFonts w:ascii="Calibri" w:eastAsia="Times-Roman" w:hAnsi="Calibri"/>
                      <w:szCs w:val="22"/>
                      <w:lang w:val="en-GB"/>
                    </w:rPr>
                  </w:pPr>
                  <w:r w:rsidRPr="006D66B2">
                    <w:t>Toys</w:t>
                  </w:r>
                </w:p>
              </w:tc>
            </w:tr>
            <w:tr w:rsidR="00CC1C95" w:rsidRPr="00EC556A">
              <w:tc>
                <w:tcPr>
                  <w:tcW w:w="5900" w:type="dxa"/>
                  <w:tcBorders>
                    <w:top w:val="nil"/>
                    <w:left w:val="nil"/>
                    <w:bottom w:val="nil"/>
                    <w:right w:val="nil"/>
                  </w:tcBorders>
                </w:tcPr>
                <w:p w:rsidR="00CC1C95" w:rsidRPr="006D66B2" w:rsidRDefault="00CC1C95" w:rsidP="00EE0DB2">
                  <w:pPr>
                    <w:pStyle w:val="BulletLevel1CharChar"/>
                    <w:numPr>
                      <w:ilvl w:val="0"/>
                      <w:numId w:val="8"/>
                    </w:numPr>
                    <w:ind w:left="342" w:hanging="270"/>
                    <w:rPr>
                      <w:rFonts w:ascii="Calibri" w:eastAsia="Times-Roman" w:hAnsi="Calibri"/>
                      <w:szCs w:val="22"/>
                      <w:lang w:val="en-GB"/>
                    </w:rPr>
                  </w:pPr>
                  <w:r w:rsidRPr="006D66B2">
                    <w:t>Food packaging; food containers</w:t>
                  </w:r>
                </w:p>
              </w:tc>
            </w:tr>
            <w:tr w:rsidR="00CC1C95" w:rsidRPr="00EC556A">
              <w:tc>
                <w:tcPr>
                  <w:tcW w:w="5900" w:type="dxa"/>
                  <w:tcBorders>
                    <w:top w:val="nil"/>
                    <w:left w:val="nil"/>
                    <w:bottom w:val="nil"/>
                    <w:right w:val="nil"/>
                  </w:tcBorders>
                </w:tcPr>
                <w:p w:rsidR="00CC1C95" w:rsidRPr="006D66B2" w:rsidRDefault="00CC1C95" w:rsidP="00EE0DB2">
                  <w:pPr>
                    <w:pStyle w:val="BulletLevel1CharChar"/>
                    <w:numPr>
                      <w:ilvl w:val="0"/>
                      <w:numId w:val="8"/>
                    </w:numPr>
                    <w:ind w:left="342" w:hanging="270"/>
                    <w:rPr>
                      <w:rFonts w:ascii="Calibri" w:hAnsi="Calibri"/>
                      <w:szCs w:val="22"/>
                      <w:lang w:val="en-GB"/>
                    </w:rPr>
                  </w:pPr>
                  <w:r w:rsidRPr="006D66B2">
                    <w:t>Kitchen equipment</w:t>
                  </w:r>
                </w:p>
              </w:tc>
            </w:tr>
            <w:tr w:rsidR="00CC1C95" w:rsidRPr="00EC556A">
              <w:tc>
                <w:tcPr>
                  <w:tcW w:w="5900" w:type="dxa"/>
                  <w:tcBorders>
                    <w:top w:val="nil"/>
                    <w:left w:val="nil"/>
                    <w:bottom w:val="nil"/>
                    <w:right w:val="nil"/>
                  </w:tcBorders>
                </w:tcPr>
                <w:p w:rsidR="00CC1C95" w:rsidRPr="006D66B2" w:rsidRDefault="00CC1C95" w:rsidP="00EE0DB2">
                  <w:pPr>
                    <w:pStyle w:val="BulletLevel1CharChar"/>
                    <w:numPr>
                      <w:ilvl w:val="0"/>
                      <w:numId w:val="8"/>
                    </w:numPr>
                    <w:ind w:left="342" w:hanging="270"/>
                    <w:rPr>
                      <w:rFonts w:eastAsia="Times-Roman"/>
                      <w:szCs w:val="22"/>
                      <w:lang w:val="en-GB"/>
                    </w:rPr>
                  </w:pPr>
                  <w:r w:rsidRPr="006D66B2">
                    <w:t>Refrigerator interior***; f</w:t>
                  </w:r>
                  <w:r w:rsidRPr="006D66B2">
                    <w:rPr>
                      <w:rFonts w:eastAsia="Times-Roman"/>
                    </w:rPr>
                    <w:t>reezer interior***</w:t>
                  </w:r>
                </w:p>
              </w:tc>
            </w:tr>
            <w:tr w:rsidR="00CC1C95" w:rsidRPr="00B600A2">
              <w:tc>
                <w:tcPr>
                  <w:tcW w:w="5900" w:type="dxa"/>
                  <w:tcBorders>
                    <w:top w:val="nil"/>
                    <w:left w:val="nil"/>
                    <w:bottom w:val="nil"/>
                    <w:right w:val="nil"/>
                  </w:tcBorders>
                </w:tcPr>
                <w:p w:rsidR="00CC1C95" w:rsidRPr="006D66B2" w:rsidRDefault="00CC1C95" w:rsidP="00EE0DB2">
                  <w:pPr>
                    <w:pStyle w:val="BulletLevel1CharChar"/>
                    <w:numPr>
                      <w:ilvl w:val="0"/>
                      <w:numId w:val="8"/>
                    </w:numPr>
                    <w:ind w:left="342" w:hanging="270"/>
                    <w:rPr>
                      <w:rFonts w:ascii="Calibri" w:hAnsi="Calibri"/>
                      <w:szCs w:val="22"/>
                      <w:lang w:val="en-GB"/>
                    </w:rPr>
                  </w:pPr>
                  <w:r w:rsidRPr="00E77A35">
                    <w:rPr>
                      <w:lang w:val="en-GB"/>
                    </w:rPr>
                    <w:t>Water tanks (in particular tanks used for drinking water)</w:t>
                  </w:r>
                </w:p>
              </w:tc>
            </w:tr>
            <w:tr w:rsidR="00CC1C95" w:rsidRPr="00B600A2">
              <w:tc>
                <w:tcPr>
                  <w:tcW w:w="5900" w:type="dxa"/>
                  <w:tcBorders>
                    <w:top w:val="nil"/>
                    <w:left w:val="nil"/>
                    <w:bottom w:val="nil"/>
                    <w:right w:val="nil"/>
                  </w:tcBorders>
                </w:tcPr>
                <w:p w:rsidR="00CC1C95" w:rsidRPr="006D66B2" w:rsidRDefault="00CC1C95" w:rsidP="00EE0DB2">
                  <w:pPr>
                    <w:pStyle w:val="BulletLevel1CharChar"/>
                    <w:numPr>
                      <w:ilvl w:val="0"/>
                      <w:numId w:val="8"/>
                    </w:numPr>
                    <w:ind w:left="342" w:hanging="270"/>
                    <w:rPr>
                      <w:rFonts w:ascii="Calibri" w:hAnsi="Calibri"/>
                      <w:szCs w:val="22"/>
                      <w:lang w:val="en-GB"/>
                    </w:rPr>
                  </w:pPr>
                  <w:r w:rsidRPr="00E77A35">
                    <w:rPr>
                      <w:lang w:val="en-GB"/>
                    </w:rPr>
                    <w:t>Water pipes (in particular drinking water pipes)</w:t>
                  </w:r>
                </w:p>
              </w:tc>
            </w:tr>
            <w:tr w:rsidR="00CC1C95" w:rsidRPr="00B600A2">
              <w:tc>
                <w:tcPr>
                  <w:tcW w:w="5900" w:type="dxa"/>
                  <w:tcBorders>
                    <w:top w:val="nil"/>
                    <w:left w:val="nil"/>
                    <w:bottom w:val="nil"/>
                    <w:right w:val="nil"/>
                  </w:tcBorders>
                </w:tcPr>
                <w:p w:rsidR="00CC1C95" w:rsidRPr="006D66B2" w:rsidRDefault="00CC1C95" w:rsidP="00EE0DB2">
                  <w:pPr>
                    <w:pStyle w:val="BulletLevel1CharChar"/>
                    <w:numPr>
                      <w:ilvl w:val="0"/>
                      <w:numId w:val="8"/>
                    </w:numPr>
                    <w:ind w:left="342" w:hanging="270"/>
                    <w:rPr>
                      <w:rFonts w:ascii="Calibri" w:hAnsi="Calibri"/>
                      <w:szCs w:val="22"/>
                      <w:lang w:val="en-GB"/>
                    </w:rPr>
                  </w:pPr>
                  <w:r w:rsidRPr="00E77A35">
                    <w:rPr>
                      <w:lang w:val="en-GB"/>
                    </w:rPr>
                    <w:t>Silos, storage, and piping for food and animal feed</w:t>
                  </w:r>
                </w:p>
              </w:tc>
            </w:tr>
            <w:tr w:rsidR="00CC1C95" w:rsidRPr="00B600A2">
              <w:tc>
                <w:tcPr>
                  <w:tcW w:w="5900" w:type="dxa"/>
                  <w:tcBorders>
                    <w:top w:val="nil"/>
                    <w:left w:val="nil"/>
                    <w:bottom w:val="nil"/>
                    <w:right w:val="nil"/>
                  </w:tcBorders>
                </w:tcPr>
                <w:p w:rsidR="00CC1C95" w:rsidRPr="006D66B2" w:rsidRDefault="00CC1C95" w:rsidP="00EE0DB2">
                  <w:pPr>
                    <w:pStyle w:val="BulletLevel1CharChar"/>
                    <w:numPr>
                      <w:ilvl w:val="0"/>
                      <w:numId w:val="8"/>
                    </w:numPr>
                    <w:ind w:left="342" w:hanging="270"/>
                    <w:rPr>
                      <w:rFonts w:ascii="Calibri" w:hAnsi="Calibri"/>
                      <w:szCs w:val="22"/>
                      <w:lang w:val="en-GB"/>
                    </w:rPr>
                  </w:pPr>
                  <w:r w:rsidRPr="006D66B2">
                    <w:t xml:space="preserve">Polymer parts with direct contact </w:t>
                  </w:r>
                </w:p>
                <w:p w:rsidR="00CC1C95" w:rsidRPr="006D66B2" w:rsidRDefault="00CC1C95" w:rsidP="00EE0DB2">
                  <w:pPr>
                    <w:pStyle w:val="BulletLevel1CharChar"/>
                    <w:numPr>
                      <w:ilvl w:val="0"/>
                      <w:numId w:val="8"/>
                    </w:numPr>
                    <w:spacing w:after="180"/>
                    <w:ind w:left="346" w:hanging="274"/>
                    <w:rPr>
                      <w:rFonts w:ascii="Calibri" w:hAnsi="Calibri"/>
                      <w:szCs w:val="22"/>
                      <w:lang w:val="en-GB"/>
                    </w:rPr>
                  </w:pPr>
                  <w:r w:rsidRPr="00E77A35">
                    <w:rPr>
                      <w:lang w:val="en-GB"/>
                    </w:rPr>
                    <w:t>Furniture, handles of tools, doors, etc.</w:t>
                  </w:r>
                </w:p>
              </w:tc>
            </w:tr>
          </w:tbl>
          <w:p w:rsidR="00CC1C95" w:rsidRPr="00EC556A" w:rsidRDefault="00CC1C95" w:rsidP="00EE0DB2">
            <w:pPr>
              <w:widowControl w:val="0"/>
              <w:spacing w:after="60"/>
              <w:rPr>
                <w:sz w:val="20"/>
              </w:rPr>
            </w:pPr>
            <w:r w:rsidRPr="00EC556A">
              <w:br w:type="textWrapping" w:clear="all"/>
            </w:r>
            <w:r w:rsidRPr="00EC556A">
              <w:rPr>
                <w:sz w:val="20"/>
              </w:rPr>
              <w:t>* In such applications generally recycled polymer fractions containing heavy metals, or critical softeners, brominated flame retardant, phosphor organic flame retardant or other critical chemical should not be used.</w:t>
            </w:r>
          </w:p>
          <w:p w:rsidR="00CC1C95" w:rsidRPr="00EC556A" w:rsidRDefault="00CC1C95" w:rsidP="00EE0DB2">
            <w:pPr>
              <w:widowControl w:val="0"/>
              <w:spacing w:after="60"/>
              <w:rPr>
                <w:rFonts w:eastAsia="Times-Roman"/>
                <w:sz w:val="20"/>
              </w:rPr>
            </w:pPr>
            <w:r w:rsidRPr="00EC556A">
              <w:rPr>
                <w:sz w:val="20"/>
              </w:rPr>
              <w:t xml:space="preserve">** The list provides key examples of sensitive uses and is not considered comprehensive. </w:t>
            </w:r>
          </w:p>
          <w:p w:rsidR="00CC1C95" w:rsidRPr="00EC556A" w:rsidRDefault="00CC1C95" w:rsidP="00EE0DB2">
            <w:pPr>
              <w:widowControl w:val="0"/>
              <w:spacing w:after="60"/>
              <w:rPr>
                <w:sz w:val="20"/>
              </w:rPr>
            </w:pPr>
            <w:r w:rsidRPr="00EC556A">
              <w:rPr>
                <w:sz w:val="20"/>
              </w:rPr>
              <w:t xml:space="preserve">*** The recycling of polymers from WEEE plastics containing no critical chemicals is encouraged following the cradle to cradle principle, e.g. polymers from refrigerators/fridges to refrigerators/fridges. </w:t>
            </w:r>
          </w:p>
        </w:tc>
      </w:tr>
    </w:tbl>
    <w:p w:rsidR="00CC1C95" w:rsidRPr="00EC556A" w:rsidRDefault="00CC1C95" w:rsidP="00EE0DB2">
      <w:pPr>
        <w:widowControl w:val="0"/>
      </w:pPr>
    </w:p>
    <w:p w:rsidR="00CC1C95" w:rsidRPr="00EC556A" w:rsidRDefault="00CC1C95" w:rsidP="00000FBF">
      <w:pPr>
        <w:pStyle w:val="Heading3"/>
        <w:numPr>
          <w:ilvl w:val="0"/>
          <w:numId w:val="0"/>
        </w:numPr>
        <w:snapToGrid/>
        <w:spacing w:before="240" w:after="60" w:line="276" w:lineRule="auto"/>
        <w:jc w:val="both"/>
      </w:pPr>
      <w:bookmarkStart w:id="474" w:name="_Toc313898184"/>
      <w:bookmarkStart w:id="475" w:name="_Toc313899397"/>
      <w:bookmarkStart w:id="476" w:name="_Toc313904819"/>
      <w:bookmarkStart w:id="477" w:name="_Toc308770618"/>
      <w:bookmarkStart w:id="478" w:name="_Toc308808901"/>
      <w:bookmarkStart w:id="479" w:name="_Toc313904821"/>
      <w:bookmarkStart w:id="480" w:name="_Toc323558522"/>
      <w:bookmarkStart w:id="481" w:name="_Toc349335802"/>
      <w:bookmarkEnd w:id="474"/>
      <w:bookmarkEnd w:id="475"/>
      <w:bookmarkEnd w:id="476"/>
      <w:r w:rsidRPr="00EC556A">
        <w:t>Used cars, buses, and other vehicles (produced before 2005)</w:t>
      </w:r>
      <w:bookmarkEnd w:id="477"/>
      <w:bookmarkEnd w:id="478"/>
      <w:bookmarkEnd w:id="479"/>
      <w:bookmarkEnd w:id="480"/>
      <w:bookmarkEnd w:id="481"/>
    </w:p>
    <w:p w:rsidR="00CC1C95" w:rsidRDefault="00CC1C95" w:rsidP="00EE0DB2">
      <w:pPr>
        <w:widowControl w:val="0"/>
        <w:ind w:firstLine="708"/>
      </w:pPr>
      <w:r w:rsidRPr="00EC556A">
        <w:t xml:space="preserve">C-PentaBDE has been applied in cars, buses, and trucks for treating polyurethane foam in e.g. the upholstery of seats, headrests, or armrests until 2004 in some regions. C-OctaBDE has been used to a minor extent in dashboards and other plastic parts until 2004 in some regions. </w:t>
      </w:r>
    </w:p>
    <w:p w:rsidR="00CC1C95" w:rsidRPr="00EC556A" w:rsidRDefault="00CC1C95" w:rsidP="00EE0DB2">
      <w:pPr>
        <w:widowControl w:val="0"/>
      </w:pPr>
      <w:r w:rsidRPr="00EC556A">
        <w:t>Depending on the phase-out of POP-PBDEs in different regions, vehicles produced within a region can be regarded as not or low</w:t>
      </w:r>
      <w:r w:rsidRPr="00EC556A">
        <w:rPr>
          <w:rStyle w:val="FootnoteReference"/>
        </w:rPr>
        <w:footnoteReference w:id="82"/>
      </w:r>
      <w:r w:rsidRPr="00EC556A">
        <w:t xml:space="preserve"> impacted:   </w:t>
      </w:r>
    </w:p>
    <w:p w:rsidR="00CC1C95" w:rsidRPr="00DE5689" w:rsidRDefault="00CC1C95" w:rsidP="00201D6A">
      <w:pPr>
        <w:pStyle w:val="BulletLevel1CharChar"/>
        <w:numPr>
          <w:ilvl w:val="0"/>
          <w:numId w:val="8"/>
        </w:numPr>
        <w:ind w:left="450" w:hanging="270"/>
        <w:rPr>
          <w:lang w:val="en-GB"/>
        </w:rPr>
      </w:pPr>
      <w:r w:rsidRPr="00E77A35">
        <w:rPr>
          <w:lang w:val="en-GB"/>
        </w:rPr>
        <w:t xml:space="preserve">In Europe: POP-PBDEs have been used </w:t>
      </w:r>
      <w:r w:rsidR="00201D6A">
        <w:rPr>
          <w:lang w:val="en-GB"/>
        </w:rPr>
        <w:t>until late 1990s</w:t>
      </w:r>
    </w:p>
    <w:p w:rsidR="00CC1C95" w:rsidRPr="00DE5689" w:rsidRDefault="00CC1C95" w:rsidP="00201D6A">
      <w:pPr>
        <w:pStyle w:val="BulletLevel1CharChar"/>
        <w:numPr>
          <w:ilvl w:val="0"/>
          <w:numId w:val="8"/>
        </w:numPr>
        <w:ind w:left="450" w:hanging="270"/>
        <w:rPr>
          <w:lang w:val="en-GB"/>
        </w:rPr>
      </w:pPr>
      <w:r w:rsidRPr="00E77A35">
        <w:rPr>
          <w:lang w:val="en-GB"/>
        </w:rPr>
        <w:t>In the</w:t>
      </w:r>
      <w:r w:rsidR="00201D6A">
        <w:rPr>
          <w:lang w:val="en-GB"/>
        </w:rPr>
        <w:t xml:space="preserve"> US: POP-PBDE have been produced until</w:t>
      </w:r>
      <w:r w:rsidRPr="00E77A35">
        <w:rPr>
          <w:lang w:val="en-GB"/>
        </w:rPr>
        <w:t xml:space="preserve"> 2004</w:t>
      </w:r>
    </w:p>
    <w:p w:rsidR="00CC1C95" w:rsidRPr="00DE5689" w:rsidRDefault="00CC1C95" w:rsidP="00CF7CFF">
      <w:pPr>
        <w:pStyle w:val="BulletLevel1CharChar"/>
        <w:numPr>
          <w:ilvl w:val="0"/>
          <w:numId w:val="8"/>
        </w:numPr>
        <w:ind w:left="450" w:hanging="270"/>
        <w:rPr>
          <w:lang w:val="en-GB"/>
        </w:rPr>
      </w:pPr>
      <w:r w:rsidRPr="00E77A35">
        <w:rPr>
          <w:lang w:val="en-GB"/>
        </w:rPr>
        <w:t xml:space="preserve">In Japan: POP-PBDE have been used </w:t>
      </w:r>
      <w:r w:rsidR="00CF7CFF">
        <w:rPr>
          <w:lang w:val="en-GB"/>
        </w:rPr>
        <w:t>u</w:t>
      </w:r>
      <w:r w:rsidR="00201D6A">
        <w:rPr>
          <w:lang w:val="en-GB"/>
        </w:rPr>
        <w:t>n</w:t>
      </w:r>
      <w:r w:rsidR="00CF7CFF">
        <w:rPr>
          <w:lang w:val="en-GB"/>
        </w:rPr>
        <w:t>til</w:t>
      </w:r>
      <w:r w:rsidR="00201D6A">
        <w:rPr>
          <w:lang w:val="en-GB"/>
        </w:rPr>
        <w:t xml:space="preserve"> late </w:t>
      </w:r>
      <w:r w:rsidRPr="00E77A35">
        <w:rPr>
          <w:lang w:val="en-GB"/>
        </w:rPr>
        <w:t>199</w:t>
      </w:r>
      <w:r w:rsidR="00201D6A">
        <w:rPr>
          <w:lang w:val="en-GB"/>
        </w:rPr>
        <w:t>0s</w:t>
      </w:r>
    </w:p>
    <w:p w:rsidR="00CC1C95" w:rsidRPr="00DE5689" w:rsidRDefault="00CC1C95" w:rsidP="00EE0DB2">
      <w:pPr>
        <w:pStyle w:val="BulletLevel1CharChar"/>
        <w:numPr>
          <w:ilvl w:val="0"/>
          <w:numId w:val="8"/>
        </w:numPr>
        <w:ind w:left="450" w:hanging="270"/>
        <w:rPr>
          <w:lang w:val="en-GB"/>
        </w:rPr>
      </w:pPr>
      <w:r w:rsidRPr="00E77A35">
        <w:rPr>
          <w:lang w:val="en-GB"/>
        </w:rPr>
        <w:t>In China: POP-PBDE production and use from c-PentaBDE is unclear</w:t>
      </w:r>
    </w:p>
    <w:p w:rsidR="00CC1C95" w:rsidRDefault="00CC1C95" w:rsidP="00201D6A">
      <w:pPr>
        <w:widowControl w:val="0"/>
        <w:spacing w:before="120"/>
      </w:pPr>
      <w:r w:rsidRPr="00EC556A">
        <w:t xml:space="preserve">Vehicles produced </w:t>
      </w:r>
      <w:r w:rsidR="00201D6A">
        <w:t>until</w:t>
      </w:r>
      <w:r w:rsidRPr="00EC556A">
        <w:t xml:space="preserve"> these dates in these countries/regions can contain POP-PBDEs.</w:t>
      </w:r>
      <w:r w:rsidRPr="00EC556A">
        <w:rPr>
          <w:rStyle w:val="FootnoteReference"/>
        </w:rPr>
        <w:footnoteReference w:id="83"/>
      </w:r>
      <w:r w:rsidRPr="00EC556A">
        <w:t xml:space="preserve"> Therefore, POPs-BDEs are imported to developing countries with second-hand vehicles containing such treated polymers.</w:t>
      </w:r>
    </w:p>
    <w:p w:rsidR="00CC1C95" w:rsidRPr="00EC556A" w:rsidRDefault="00CC1C95" w:rsidP="00EE0DB2">
      <w:pPr>
        <w:widowControl w:val="0"/>
      </w:pPr>
      <w:r w:rsidRPr="00EC556A">
        <w:t>Currently there are no data on which producers have used POP-PBDEs in which series. Therefore, currently only screening of the vehicles by non-destructive XRF in current used vehicles (or screening of end-of-life vehicles) could clarify the presence/absence of POP-PBDEs/BFRs in the respective vehicles. A positive detection of bromine in PUR foam (seat, headrest, etc.) in vehicles produced before 2005 is a strong indication of the presence of c-PentaBDE. A confirmation analysis by GC/ECD or GC/MS can then be performed.</w:t>
      </w:r>
    </w:p>
    <w:p w:rsidR="00CC1C95" w:rsidRPr="00EC556A" w:rsidRDefault="00CC1C95" w:rsidP="00000FBF">
      <w:pPr>
        <w:pStyle w:val="Heading3"/>
        <w:numPr>
          <w:ilvl w:val="0"/>
          <w:numId w:val="0"/>
        </w:numPr>
        <w:snapToGrid/>
        <w:spacing w:before="240" w:after="60" w:line="276" w:lineRule="auto"/>
        <w:jc w:val="both"/>
      </w:pPr>
      <w:bookmarkStart w:id="482" w:name="_Toc323558523"/>
      <w:bookmarkStart w:id="483" w:name="_Toc349335803"/>
      <w:bookmarkStart w:id="484" w:name="_Toc313904822"/>
      <w:r w:rsidRPr="00EC556A">
        <w:t>Furniture and mattresses containing PUR-foam (produced before 2005)</w:t>
      </w:r>
      <w:bookmarkEnd w:id="482"/>
      <w:bookmarkEnd w:id="483"/>
    </w:p>
    <w:p w:rsidR="00CC1C95" w:rsidRPr="00DE5689" w:rsidRDefault="00CC1C95" w:rsidP="00DE5689">
      <w:pPr>
        <w:widowControl w:val="0"/>
        <w:ind w:firstLine="708"/>
      </w:pPr>
      <w:r w:rsidRPr="00DE5689">
        <w:t>The use of c-PentaBDE (and other flame retardants) in furniture depends on the flammabi</w:t>
      </w:r>
      <w:r w:rsidR="00C0598F">
        <w:t>lity standard of a country (Shaw</w:t>
      </w:r>
      <w:r w:rsidRPr="00DE5689">
        <w:t xml:space="preserve"> et al</w:t>
      </w:r>
      <w:r w:rsidR="00C0598F">
        <w:t>.</w:t>
      </w:r>
      <w:r w:rsidRPr="00DE5689">
        <w:t xml:space="preserve"> 2010)</w:t>
      </w:r>
      <w:r w:rsidR="00C0598F">
        <w:rPr>
          <w:rStyle w:val="FootnoteReference"/>
        </w:rPr>
        <w:footnoteReference w:id="84"/>
      </w:r>
      <w:r w:rsidRPr="00DE5689">
        <w:t xml:space="preserve">. Due to flammability stands for furniture in the US and UK in particular furniture in North America and UK are often flame retarded. Therefore older furniture in these region/countries may contain c-PentaBDE (or other flame retardants). </w:t>
      </w:r>
    </w:p>
    <w:p w:rsidR="00CC1C95" w:rsidRPr="00DE5689" w:rsidRDefault="00CC1C95" w:rsidP="00DE5689">
      <w:pPr>
        <w:rPr>
          <w:szCs w:val="24"/>
        </w:rPr>
      </w:pPr>
      <w:r w:rsidRPr="00DE5689">
        <w:rPr>
          <w:szCs w:val="24"/>
        </w:rPr>
        <w:t xml:space="preserve">The extent of furniture exported from North America or UK for re-use to other regions has not been assessed and need to be considered as a possible source for c-PentaBDE input for other countries. </w:t>
      </w:r>
    </w:p>
    <w:p w:rsidR="00CC1C95" w:rsidRPr="00EC556A" w:rsidRDefault="00CC1C95" w:rsidP="00EE0DB2">
      <w:pPr>
        <w:rPr>
          <w:szCs w:val="24"/>
        </w:rPr>
      </w:pPr>
      <w:r w:rsidRPr="00EC556A">
        <w:rPr>
          <w:szCs w:val="24"/>
        </w:rPr>
        <w:t xml:space="preserve">Mattresses have to a minor extent been flame retarded with c-PentaBDE (in particular from institutions like prisons, military, hospitals or hotels) (see POP-PBDE BAT/BEP Guidelines). Samples can be taken from mattresses which in field screenings were bromine positive. </w:t>
      </w:r>
    </w:p>
    <w:p w:rsidR="00CC1C95" w:rsidRPr="00EC556A" w:rsidRDefault="00CC1C95" w:rsidP="00EE0DB2">
      <w:pPr>
        <w:rPr>
          <w:szCs w:val="24"/>
        </w:rPr>
      </w:pPr>
      <w:r w:rsidRPr="00EC556A">
        <w:rPr>
          <w:szCs w:val="24"/>
        </w:rPr>
        <w:t>These applications can be sampled easily in end-of-life phase.</w:t>
      </w:r>
    </w:p>
    <w:p w:rsidR="00CC1C95" w:rsidRPr="00EC556A" w:rsidRDefault="00CC1C95" w:rsidP="00000FBF">
      <w:pPr>
        <w:pStyle w:val="Heading3"/>
        <w:numPr>
          <w:ilvl w:val="0"/>
          <w:numId w:val="0"/>
        </w:numPr>
        <w:snapToGrid/>
        <w:spacing w:before="240" w:after="60" w:line="276" w:lineRule="auto"/>
        <w:jc w:val="both"/>
      </w:pPr>
      <w:bookmarkStart w:id="485" w:name="_Toc323558525"/>
      <w:bookmarkStart w:id="486" w:name="_Toc349335804"/>
      <w:r w:rsidRPr="00EC556A">
        <w:t xml:space="preserve">PUR foam </w:t>
      </w:r>
      <w:bookmarkEnd w:id="485"/>
      <w:r w:rsidRPr="00EC556A">
        <w:t>in other applications</w:t>
      </w:r>
      <w:bookmarkEnd w:id="486"/>
    </w:p>
    <w:p w:rsidR="00CC1C95" w:rsidRDefault="00CC1C95" w:rsidP="00EE0DB2">
      <w:pPr>
        <w:ind w:firstLine="708"/>
      </w:pPr>
      <w:r w:rsidRPr="00EC556A">
        <w:t>Also other PUR-foam applications have partly been treated with c-PentaBDE such as various baby products (</w:t>
      </w:r>
      <w:hyperlink r:id="rId36" w:history="1">
        <w:r w:rsidRPr="00EC556A">
          <w:rPr>
            <w:rStyle w:val="Hyperlink"/>
          </w:rPr>
          <w:t>Stapleton et al. 2011</w:t>
        </w:r>
      </w:hyperlink>
      <w:r w:rsidRPr="00EC556A">
        <w:t>) pillows or for packaging. PentaBDE was also used in rigid PUR foam in construction. Therefore (formerly used) foams in construction might contain POP-PBDE.</w:t>
      </w:r>
    </w:p>
    <w:p w:rsidR="00CC1C95" w:rsidRPr="00EC556A" w:rsidRDefault="00CC1C95" w:rsidP="00EE0DB2">
      <w:r w:rsidRPr="00EC556A">
        <w:t>These applications can be sampled in the end-of-life phase.</w:t>
      </w:r>
    </w:p>
    <w:p w:rsidR="00CC1C95" w:rsidRPr="00EC556A" w:rsidRDefault="00CC1C95" w:rsidP="00000FBF">
      <w:pPr>
        <w:pStyle w:val="Heading3"/>
        <w:numPr>
          <w:ilvl w:val="0"/>
          <w:numId w:val="0"/>
        </w:numPr>
        <w:snapToGrid/>
        <w:spacing w:before="240" w:after="60" w:line="276" w:lineRule="auto"/>
        <w:jc w:val="both"/>
      </w:pPr>
      <w:bookmarkStart w:id="487" w:name="_Toc323558526"/>
      <w:bookmarkStart w:id="488" w:name="_Toc349335805"/>
      <w:r w:rsidRPr="00EC556A">
        <w:t>Textiles and rubber</w:t>
      </w:r>
      <w:bookmarkEnd w:id="487"/>
      <w:bookmarkEnd w:id="488"/>
    </w:p>
    <w:p w:rsidR="00CC1C95" w:rsidRDefault="00CC1C95" w:rsidP="00EE0DB2">
      <w:pPr>
        <w:autoSpaceDE w:val="0"/>
        <w:autoSpaceDN w:val="0"/>
        <w:adjustRightInd w:val="0"/>
        <w:spacing w:line="264" w:lineRule="auto"/>
        <w:ind w:firstLine="708"/>
      </w:pPr>
      <w:r w:rsidRPr="00EC556A">
        <w:t>PentaBDE have been used</w:t>
      </w:r>
      <w:r w:rsidRPr="00EC556A">
        <w:rPr>
          <w:rStyle w:val="FootnoteReference"/>
        </w:rPr>
        <w:footnoteReference w:id="85"/>
      </w:r>
      <w:r w:rsidRPr="00EC556A">
        <w:t xml:space="preserve"> in limited quantities for the treatment of textiles for uses including back-coating, for curtains and for functional textiles (UNEP 2009). Functional textiles might be screened for their bromine content. </w:t>
      </w:r>
    </w:p>
    <w:p w:rsidR="00CC1C95" w:rsidRPr="00EC556A" w:rsidRDefault="00CC1C95" w:rsidP="00EE0DB2">
      <w:pPr>
        <w:autoSpaceDE w:val="0"/>
        <w:autoSpaceDN w:val="0"/>
        <w:adjustRightInd w:val="0"/>
        <w:spacing w:line="264" w:lineRule="auto"/>
      </w:pPr>
      <w:r w:rsidRPr="00EC556A">
        <w:t>PentaBDE has also been used in rubber for e.g. conveyor belts and other minor uses.</w:t>
      </w:r>
      <w:r>
        <w:t xml:space="preserve"> </w:t>
      </w:r>
      <w:r w:rsidRPr="00EC556A">
        <w:t>If a country has larger use of rubber conveyor belts also these could be monitored.</w:t>
      </w:r>
    </w:p>
    <w:p w:rsidR="00CC1C95" w:rsidRPr="00EC556A" w:rsidRDefault="00CC1C95" w:rsidP="00000FBF">
      <w:pPr>
        <w:pStyle w:val="Heading3"/>
        <w:numPr>
          <w:ilvl w:val="0"/>
          <w:numId w:val="0"/>
        </w:numPr>
        <w:snapToGrid/>
        <w:spacing w:before="240" w:after="60" w:line="276" w:lineRule="auto"/>
        <w:jc w:val="both"/>
      </w:pPr>
      <w:bookmarkStart w:id="489" w:name="_Toc323558527"/>
      <w:bookmarkStart w:id="490" w:name="_Toc349335806"/>
      <w:r w:rsidRPr="00EC556A">
        <w:t>Articles produced from recycled p</w:t>
      </w:r>
      <w:bookmarkEnd w:id="484"/>
      <w:r w:rsidRPr="00EC556A">
        <w:t>lastic</w:t>
      </w:r>
      <w:bookmarkEnd w:id="489"/>
      <w:bookmarkEnd w:id="490"/>
      <w:r w:rsidRPr="00EC556A">
        <w:t xml:space="preserve"> </w:t>
      </w:r>
    </w:p>
    <w:p w:rsidR="00CC1C95" w:rsidRPr="00EC556A" w:rsidRDefault="00CC1C95" w:rsidP="00EE0DB2">
      <w:pPr>
        <w:widowControl w:val="0"/>
        <w:ind w:firstLine="708"/>
      </w:pPr>
      <w:r w:rsidRPr="00EC556A">
        <w:t>Currently no regulation exists on the labelling of articles produced fr</w:t>
      </w:r>
      <w:r>
        <w:t>om recycled polymers. Therefore</w:t>
      </w:r>
      <w:r w:rsidRPr="00EC556A">
        <w:t xml:space="preserve"> these materials can currently only be</w:t>
      </w:r>
      <w:r>
        <w:t xml:space="preserve"> </w:t>
      </w:r>
      <w:r w:rsidRPr="00EC556A">
        <w:t>monitoring by analytical screening</w:t>
      </w:r>
      <w:r>
        <w:t>s</w:t>
      </w:r>
      <w:r w:rsidRPr="00EC556A">
        <w:t>. The main stakeholders to monitor the import and presence of PBDE containing articles made from recycled polymers are customs and authorities for market surveillance. Industries using recycled polymers from WEE</w:t>
      </w:r>
      <w:r>
        <w:t>E or transport w</w:t>
      </w:r>
      <w:r w:rsidRPr="00EC556A">
        <w:t xml:space="preserve">ould monitor for POP-PBDE and report to the </w:t>
      </w:r>
      <w:r>
        <w:t xml:space="preserve">environmental ministry or </w:t>
      </w:r>
      <w:r w:rsidRPr="00EC556A">
        <w:t xml:space="preserve">NIP coordinator on levels of POP-PBDEs. </w:t>
      </w:r>
    </w:p>
    <w:p w:rsidR="00CC1C95" w:rsidRPr="00EC556A" w:rsidRDefault="00CC1C95" w:rsidP="00EE0DB2">
      <w:pPr>
        <w:widowControl w:val="0"/>
      </w:pPr>
      <w:r w:rsidRPr="00EC556A">
        <w:t xml:space="preserve">The articles can be assessed in a similar way as the polymers described above. A similar screening approach as for other materials (XRF screening combined with confirmation analysis) might be applied. Sliding spark spectroscopy is not sensitive enough (1000 ppm bromine) for such a screening. Possible articles for a screening are, for example, those listed in the negative list (see Box 3, above). </w:t>
      </w:r>
    </w:p>
    <w:p w:rsidR="00CC1C95" w:rsidRPr="00EC556A" w:rsidRDefault="00CC1C95" w:rsidP="00000FBF">
      <w:pPr>
        <w:pStyle w:val="Heading3"/>
        <w:numPr>
          <w:ilvl w:val="0"/>
          <w:numId w:val="0"/>
        </w:numPr>
        <w:snapToGrid/>
        <w:spacing w:before="240" w:after="60" w:line="276" w:lineRule="auto"/>
        <w:jc w:val="both"/>
      </w:pPr>
      <w:bookmarkStart w:id="491" w:name="_Toc313904823"/>
      <w:bookmarkStart w:id="492" w:name="_Toc323558528"/>
      <w:bookmarkStart w:id="493" w:name="_Toc349335807"/>
      <w:r w:rsidRPr="00EC556A">
        <w:t>PUR foam</w:t>
      </w:r>
      <w:bookmarkEnd w:id="491"/>
      <w:r w:rsidRPr="00EC556A">
        <w:t xml:space="preserve"> for recycling</w:t>
      </w:r>
      <w:bookmarkEnd w:id="492"/>
      <w:bookmarkEnd w:id="493"/>
    </w:p>
    <w:p w:rsidR="00CC1C95" w:rsidRPr="00EC556A" w:rsidRDefault="00CC1C95" w:rsidP="00EE0DB2">
      <w:pPr>
        <w:ind w:firstLine="708"/>
      </w:pPr>
      <w:r w:rsidRPr="00EC556A">
        <w:t xml:space="preserve">PUR foam from end-of-life products (ELV vehicles, furniture, mattresses) might be gathered for recycling purposes. Such PUR foam for recycling might be used in the country, exported or imported from other countries.  </w:t>
      </w:r>
    </w:p>
    <w:p w:rsidR="00CC1C95" w:rsidRPr="00EC556A" w:rsidRDefault="00CC1C95" w:rsidP="00000FBF">
      <w:pPr>
        <w:pStyle w:val="Heading3"/>
        <w:numPr>
          <w:ilvl w:val="0"/>
          <w:numId w:val="0"/>
        </w:numPr>
        <w:snapToGrid/>
        <w:spacing w:before="240" w:after="60" w:line="276" w:lineRule="auto"/>
        <w:jc w:val="both"/>
      </w:pPr>
      <w:bookmarkStart w:id="494" w:name="_Toc323558529"/>
      <w:bookmarkStart w:id="495" w:name="_Toc349335808"/>
      <w:r w:rsidRPr="00EC556A">
        <w:t>Articles produced from recycled PUR foam</w:t>
      </w:r>
      <w:bookmarkEnd w:id="494"/>
      <w:bookmarkEnd w:id="495"/>
    </w:p>
    <w:p w:rsidR="00CC1C95" w:rsidRPr="00EC556A" w:rsidRDefault="00CC1C95" w:rsidP="00EE0DB2">
      <w:pPr>
        <w:autoSpaceDE w:val="0"/>
        <w:autoSpaceDN w:val="0"/>
        <w:adjustRightInd w:val="0"/>
        <w:spacing w:line="264" w:lineRule="auto"/>
        <w:ind w:firstLine="708"/>
      </w:pPr>
      <w:r w:rsidRPr="00EC556A">
        <w:t>PUR foams for recycling might be used in different new articles and products.</w:t>
      </w:r>
    </w:p>
    <w:p w:rsidR="00CC1C95" w:rsidRPr="00EC556A" w:rsidRDefault="00CC1C95" w:rsidP="00EE0DB2">
      <w:pPr>
        <w:widowControl w:val="0"/>
      </w:pPr>
      <w:r w:rsidRPr="00EC556A">
        <w:rPr>
          <w:b/>
          <w:i/>
          <w:lang w:eastAsia="ja-JP"/>
        </w:rPr>
        <w:t xml:space="preserve">Carpet re-bond: </w:t>
      </w:r>
      <w:r w:rsidRPr="00EC556A">
        <w:t xml:space="preserve">Large scale recycling of PUR foam into carpet padding/re-bond is currently practised in the US and Canada (Luedeka 2011, see PBDE BAT/BEP Guidance Chapter 6). The extent of this recycling activity for other regions is unknown but appears to be limited (DiGangi et al. 2011). If carpet rebond is imported from this region, it might contain POP-PBDEs.  Relevant exposure of workers in PUR recycling and carpet installers has been demonstrated in a first study from the US (Stapleton et al. 2008) and there are obvious risks of further exposure of consumers. </w:t>
      </w:r>
    </w:p>
    <w:p w:rsidR="00CC1C95" w:rsidRPr="00EC556A" w:rsidRDefault="00CC1C95" w:rsidP="00EE0DB2">
      <w:pPr>
        <w:autoSpaceDE w:val="0"/>
        <w:autoSpaceDN w:val="0"/>
        <w:adjustRightInd w:val="0"/>
      </w:pPr>
      <w:r w:rsidRPr="00EC556A">
        <w:rPr>
          <w:b/>
          <w:bCs/>
          <w:i/>
          <w:iCs/>
        </w:rPr>
        <w:t>Other uses:</w:t>
      </w:r>
      <w:r w:rsidRPr="00EC556A">
        <w:t xml:space="preserve"> While the majority of polyurethane foam scrap is processed into carpet rebond (in the U.S. market), scrap can also be shredded and used as packaging and stuffing for pillows, pet bedding, insulation and </w:t>
      </w:r>
      <w:r w:rsidR="00731741" w:rsidRPr="00EC556A">
        <w:t>st</w:t>
      </w:r>
      <w:r w:rsidR="00731741">
        <w:t>u</w:t>
      </w:r>
      <w:r w:rsidR="00731741" w:rsidRPr="00EC556A">
        <w:t xml:space="preserve">ffed </w:t>
      </w:r>
      <w:r w:rsidRPr="00EC556A">
        <w:t>animals</w:t>
      </w:r>
      <w:r w:rsidR="00C066ED">
        <w:t xml:space="preserve"> for kids</w:t>
      </w:r>
      <w:r w:rsidRPr="00EC556A">
        <w:t>. Foam scrap might also be used for some furniture cushioning, sound insulation or gymnastic mats or (school) bus seats (UNEP 2010b, USEPA 1996, Zia et al. 2007).</w:t>
      </w:r>
    </w:p>
    <w:p w:rsidR="00CC1C95" w:rsidRPr="00EC556A" w:rsidRDefault="00CC1C95" w:rsidP="00EE0DB2">
      <w:pPr>
        <w:autoSpaceDE w:val="0"/>
        <w:autoSpaceDN w:val="0"/>
        <w:adjustRightInd w:val="0"/>
      </w:pPr>
      <w:r w:rsidRPr="00EC556A">
        <w:rPr>
          <w:b/>
          <w:bCs/>
          <w:i/>
          <w:iCs/>
        </w:rPr>
        <w:t>Regrinding:</w:t>
      </w:r>
      <w:r w:rsidRPr="00EC556A">
        <w:rPr>
          <w:b/>
          <w:bCs/>
        </w:rPr>
        <w:t xml:space="preserve"> </w:t>
      </w:r>
      <w:r w:rsidRPr="00EC556A">
        <w:t>PUR foam is partly grinded to ultrafine powder and added to the virgin material in the manufacture of new foams. If POP-PBDE-containing PUR foam is used then also new PUR foam can become polluted.</w:t>
      </w:r>
    </w:p>
    <w:p w:rsidR="00CC1C95" w:rsidRPr="00EC556A" w:rsidRDefault="00CC1C95" w:rsidP="00000FBF">
      <w:pPr>
        <w:pStyle w:val="Heading3"/>
        <w:numPr>
          <w:ilvl w:val="0"/>
          <w:numId w:val="0"/>
        </w:numPr>
        <w:snapToGrid/>
        <w:spacing w:before="240" w:after="60" w:line="276" w:lineRule="auto"/>
        <w:jc w:val="both"/>
      </w:pPr>
      <w:bookmarkStart w:id="496" w:name="_Toc323558530"/>
      <w:bookmarkStart w:id="497" w:name="_Toc349335809"/>
      <w:r w:rsidRPr="00EC556A">
        <w:t>PBDE in biosolids, sewage sludge and industrial sludges</w:t>
      </w:r>
      <w:bookmarkEnd w:id="496"/>
      <w:bookmarkEnd w:id="497"/>
    </w:p>
    <w:p w:rsidR="00CC1C95" w:rsidRPr="00EC556A" w:rsidRDefault="00CC1C95" w:rsidP="00EE0DB2">
      <w:pPr>
        <w:widowControl w:val="0"/>
        <w:ind w:firstLine="708"/>
      </w:pPr>
      <w:r w:rsidRPr="00EC556A">
        <w:t>Sewage sludge and related biosolids are final sink</w:t>
      </w:r>
      <w:r w:rsidR="00731741">
        <w:t>s</w:t>
      </w:r>
      <w:r w:rsidRPr="00EC556A">
        <w:t xml:space="preserve"> for a range of old POPs (e.g. PCB, PCDD/PCDF, HCB) where, for some countries, regulation limits exist. Also, newly listed POPs – in particular PFOS and POP-PBDEs – are detected in sewage sludge/biosolids. PBDE contaminated biosolids and sewage sludge might originate from wastewater treatment plants related to (former) PBDE production and industrial use). Companies exporting or importing biosolids/organic fertilizer need to assure the origin of the biosolids and guarantee certain pollutant levels including (new) POPs and heavy metals.</w:t>
      </w:r>
    </w:p>
    <w:p w:rsidR="00CC1C95" w:rsidRPr="00EC556A" w:rsidRDefault="00CC1C95" w:rsidP="00000FBF">
      <w:pPr>
        <w:pStyle w:val="Heading3"/>
        <w:numPr>
          <w:ilvl w:val="0"/>
          <w:numId w:val="0"/>
        </w:numPr>
        <w:snapToGrid/>
        <w:spacing w:before="240" w:after="60" w:line="276" w:lineRule="auto"/>
        <w:jc w:val="both"/>
      </w:pPr>
      <w:bookmarkStart w:id="498" w:name="_Toc323558531"/>
      <w:bookmarkStart w:id="499" w:name="_Toc349335810"/>
      <w:r w:rsidRPr="00EC556A">
        <w:t>PBDEs in feed and food</w:t>
      </w:r>
      <w:bookmarkEnd w:id="498"/>
      <w:bookmarkEnd w:id="499"/>
    </w:p>
    <w:p w:rsidR="00CC1C95" w:rsidRDefault="00CC1C95" w:rsidP="00EE0DB2">
      <w:pPr>
        <w:widowControl w:val="0"/>
        <w:ind w:firstLine="708"/>
      </w:pPr>
      <w:r w:rsidRPr="00EC556A">
        <w:t>The monitoring of feed and food goes above the scope of this guidance and matrices are not covered by described methodologies here. Due to the relevance for human exposure these articles are shortly mentioned here.</w:t>
      </w:r>
    </w:p>
    <w:p w:rsidR="00CC1C95" w:rsidRDefault="00CC1C95" w:rsidP="00EE0DB2">
      <w:pPr>
        <w:widowControl w:val="0"/>
      </w:pPr>
      <w:r w:rsidRPr="00EC556A">
        <w:t xml:space="preserve">Food and feed can in particular be contaminated with POP-PBDE in connection with contaminated sites of former POP-PBDE production, use and disposal. This includes e.g. fish from lakes and rivers with former PBDE intake, eggs and milk from areas where formerly PBDE contaminated sludges or bio-solids have been applied or landfill where </w:t>
      </w:r>
      <w:r>
        <w:t>POP-</w:t>
      </w:r>
      <w:r w:rsidRPr="00EC556A">
        <w:t xml:space="preserve">PBDE containing materials has been disposed. If a country decides to include feed and food into the monitoring of PBDE containing articles and products then the development of the monitoring concept </w:t>
      </w:r>
      <w:r>
        <w:t>w</w:t>
      </w:r>
      <w:r w:rsidRPr="00EC556A">
        <w:t>ould</w:t>
      </w:r>
      <w:r>
        <w:t xml:space="preserve"> best</w:t>
      </w:r>
      <w:r w:rsidRPr="00EC556A">
        <w:t xml:space="preserve"> be linked to the de</w:t>
      </w:r>
      <w:r>
        <w:t>velopment of the inventory of POP-P</w:t>
      </w:r>
      <w:r w:rsidRPr="00EC556A">
        <w:t xml:space="preserve">BDE contaminated sites. A first priority selection of samples can be done based on the findings of the </w:t>
      </w:r>
      <w:r>
        <w:t>POP-</w:t>
      </w:r>
      <w:r w:rsidRPr="00EC556A">
        <w:t>PBDE contaminated site inventory</w:t>
      </w:r>
      <w:r>
        <w:t xml:space="preserve"> then</w:t>
      </w:r>
      <w:r w:rsidRPr="00EC556A">
        <w:t>.</w:t>
      </w:r>
    </w:p>
    <w:p w:rsidR="00CC1C95" w:rsidRDefault="00CC1C95">
      <w:pPr>
        <w:snapToGrid/>
        <w:spacing w:after="0"/>
        <w:jc w:val="left"/>
      </w:pPr>
      <w:r>
        <w:br w:type="page"/>
      </w:r>
    </w:p>
    <w:p w:rsidR="00CC1C95" w:rsidRPr="00EC556A" w:rsidRDefault="00CC1C95" w:rsidP="00731741">
      <w:pPr>
        <w:pStyle w:val="Heading2"/>
        <w:numPr>
          <w:ilvl w:val="0"/>
          <w:numId w:val="0"/>
        </w:numPr>
        <w:snapToGrid/>
        <w:spacing w:before="240" w:after="60" w:line="276" w:lineRule="auto"/>
        <w:jc w:val="both"/>
      </w:pPr>
      <w:bookmarkStart w:id="500" w:name="_Toc300843604"/>
      <w:bookmarkStart w:id="501" w:name="_Toc302470803"/>
      <w:bookmarkStart w:id="502" w:name="_Toc307652684"/>
      <w:bookmarkStart w:id="503" w:name="_Toc308770626"/>
      <w:bookmarkStart w:id="504" w:name="_Toc308808909"/>
      <w:bookmarkStart w:id="505" w:name="_Toc323558546"/>
      <w:bookmarkStart w:id="506" w:name="_Toc349335811"/>
      <w:r w:rsidRPr="00EC556A">
        <w:rPr>
          <w:b w:val="0"/>
        </w:rPr>
        <w:t xml:space="preserve">Annex 1-C: PeCBz </w:t>
      </w:r>
      <w:r>
        <w:rPr>
          <w:b w:val="0"/>
        </w:rPr>
        <w:t xml:space="preserve">and other unintentional </w:t>
      </w:r>
      <w:r w:rsidRPr="00EC556A">
        <w:rPr>
          <w:b w:val="0"/>
        </w:rPr>
        <w:t>POPs (HCB, PCDD, PCDF and PCB) as unintentional trace contaminants in chemicals, chemical in mixtures, and articles</w:t>
      </w:r>
      <w:bookmarkEnd w:id="500"/>
      <w:bookmarkEnd w:id="501"/>
      <w:bookmarkEnd w:id="502"/>
      <w:bookmarkEnd w:id="503"/>
      <w:bookmarkEnd w:id="504"/>
      <w:bookmarkEnd w:id="505"/>
      <w:bookmarkEnd w:id="506"/>
    </w:p>
    <w:p w:rsidR="00CC1C95" w:rsidRDefault="00CC1C95" w:rsidP="00EE0DB2">
      <w:pPr>
        <w:widowControl w:val="0"/>
        <w:ind w:firstLine="708"/>
      </w:pPr>
      <w:r w:rsidRPr="00EC556A">
        <w:t>Pentachlorobenzene (PeCB</w:t>
      </w:r>
      <w:r>
        <w:t>z</w:t>
      </w:r>
      <w:r w:rsidRPr="00EC556A">
        <w:t xml:space="preserve">) </w:t>
      </w:r>
      <w:r>
        <w:t>is the o</w:t>
      </w:r>
      <w:r w:rsidRPr="00EC556A">
        <w:t>nly new</w:t>
      </w:r>
      <w:r>
        <w:t>ly listed</w:t>
      </w:r>
      <w:r w:rsidRPr="00EC556A">
        <w:t xml:space="preserve"> unintentionally produced POP in SC Annex C. Similar to HCB, it is also listed as an intentionally produced POP in SC Annex A. Today, the relevance of PeCBz and HCB are rather as trace contaminants in products than from intentional production. However, production of PeCBz and HCB also still might take place (see below).</w:t>
      </w:r>
    </w:p>
    <w:p w:rsidR="00CC1C95" w:rsidRDefault="00CC1C95" w:rsidP="00EE0DB2">
      <w:pPr>
        <w:widowControl w:val="0"/>
      </w:pPr>
      <w:r w:rsidRPr="00EC556A">
        <w:t xml:space="preserve">Since the different unintentionally formed POPs are normally formed in most processes at the same time, it is reasonable not to solely address PeCBz in suspected chemicals and articles, but to also address and monitor all listed unintentionally produce POPs in screenings of unintentional produced POPs in products and articles. The necessity to screen PCDD/PCDF in products was recently been highlighted by discovery of extreme high levels of PCDD/PCDF (522 µg TEQ/kg) in Chinese chloranil with PCDD/PCDF levels 35 times above the low POPs threshold of the Basel Convention for wastes </w:t>
      </w:r>
      <w:r w:rsidR="00C0598F">
        <w:t>(Liu et al.</w:t>
      </w:r>
      <w:r w:rsidRPr="00EC556A">
        <w:t xml:space="preserve"> 2011).</w:t>
      </w:r>
      <w:r w:rsidRPr="00EC556A">
        <w:rPr>
          <w:vertAlign w:val="superscript"/>
        </w:rPr>
        <w:footnoteReference w:id="86"/>
      </w:r>
      <w:r w:rsidRPr="00EC556A">
        <w:t xml:space="preserve"> The estimated total PCDD/PCDF content of this currently marketed chemical from China alone was estimated to 1044 g TEQ which is about 10% of China’s total PCDD/PCDF inventory, but present directly in treated consumer products. PeCBz, HCB, and PCB were also detected in these chemicals in re</w:t>
      </w:r>
      <w:r w:rsidR="00C0598F">
        <w:t>levant concentration (Liu et al.</w:t>
      </w:r>
      <w:r w:rsidRPr="00EC556A">
        <w:t xml:space="preserve"> 2011).</w:t>
      </w:r>
    </w:p>
    <w:p w:rsidR="00CC1C95" w:rsidRPr="00EC556A" w:rsidRDefault="00CC1C95" w:rsidP="00EE0DB2">
      <w:pPr>
        <w:widowControl w:val="0"/>
      </w:pPr>
      <w:r w:rsidRPr="00EC556A">
        <w:t xml:space="preserve">Unintentionally produced POPs present as unintentional trace contaminants in chemicals, mixtures, and articles can be addressed by lists of chemicals, mixtures, and articles which, from past analysis, have been found to contain these chemicals or are suspected to contain unintentionally produced POPs. </w:t>
      </w:r>
    </w:p>
    <w:p w:rsidR="00CC1C95" w:rsidRPr="00EC556A" w:rsidRDefault="00CC1C95" w:rsidP="00000FBF">
      <w:pPr>
        <w:pStyle w:val="Heading3"/>
        <w:numPr>
          <w:ilvl w:val="0"/>
          <w:numId w:val="0"/>
        </w:numPr>
        <w:snapToGrid/>
        <w:spacing w:before="240" w:after="60" w:line="276" w:lineRule="auto"/>
        <w:jc w:val="both"/>
      </w:pPr>
      <w:bookmarkStart w:id="507" w:name="_Toc308770627"/>
      <w:bookmarkStart w:id="508" w:name="_Toc308808910"/>
      <w:bookmarkStart w:id="509" w:name="_Toc313904835"/>
      <w:bookmarkStart w:id="510" w:name="_Toc323558547"/>
      <w:bookmarkStart w:id="511" w:name="_Toc349335812"/>
      <w:r w:rsidRPr="00EC556A">
        <w:t>PeCBz and HCB as product</w:t>
      </w:r>
      <w:bookmarkEnd w:id="507"/>
      <w:bookmarkEnd w:id="508"/>
      <w:bookmarkEnd w:id="509"/>
      <w:bookmarkEnd w:id="510"/>
      <w:bookmarkEnd w:id="511"/>
    </w:p>
    <w:p w:rsidR="00CC1C95" w:rsidRPr="00EC556A" w:rsidRDefault="00CC1C95" w:rsidP="0024237B">
      <w:pPr>
        <w:widowControl w:val="0"/>
        <w:ind w:firstLine="708"/>
      </w:pPr>
      <w:r w:rsidRPr="00EC556A">
        <w:t xml:space="preserve">Some companies still offer HCB and PeCBz although production and marketing is banned under the Convention. Therefore, trade of these chemicals might still take place. Companies offering HCB and PeCBz are listed in the Annexes of the </w:t>
      </w:r>
      <w:r w:rsidRPr="0056023F">
        <w:rPr>
          <w:iCs/>
        </w:rPr>
        <w:t>POPs Customs Control Guidance</w:t>
      </w:r>
      <w:r w:rsidR="0024237B">
        <w:rPr>
          <w:rStyle w:val="FootnoteReference"/>
          <w:iCs/>
        </w:rPr>
        <w:footnoteReference w:id="87"/>
      </w:r>
      <w:r w:rsidRPr="00EC556A">
        <w:t>.</w:t>
      </w:r>
    </w:p>
    <w:p w:rsidR="00CC1C95" w:rsidRPr="00EC556A" w:rsidRDefault="00CC1C95" w:rsidP="00A165BC">
      <w:pPr>
        <w:pStyle w:val="Heading3"/>
        <w:numPr>
          <w:ilvl w:val="0"/>
          <w:numId w:val="0"/>
        </w:numPr>
        <w:snapToGrid/>
        <w:spacing w:before="240" w:after="60" w:line="276" w:lineRule="auto"/>
        <w:jc w:val="both"/>
      </w:pPr>
      <w:bookmarkStart w:id="512" w:name="_Toc308770628"/>
      <w:bookmarkStart w:id="513" w:name="_Toc308808911"/>
      <w:bookmarkStart w:id="514" w:name="_Toc313904836"/>
      <w:bookmarkStart w:id="515" w:name="_Toc323558548"/>
      <w:bookmarkStart w:id="516" w:name="_Toc349335813"/>
      <w:r w:rsidRPr="00EC556A">
        <w:t>PeCBz,  HCB, and PCDD/PCDF in pesticides and related organochlorine chemicals</w:t>
      </w:r>
      <w:bookmarkEnd w:id="512"/>
      <w:bookmarkEnd w:id="513"/>
      <w:bookmarkEnd w:id="514"/>
      <w:bookmarkEnd w:id="515"/>
      <w:bookmarkEnd w:id="516"/>
      <w:r w:rsidRPr="00EC556A">
        <w:t xml:space="preserve"> </w:t>
      </w:r>
    </w:p>
    <w:p w:rsidR="00CC1C95" w:rsidRDefault="00CC1C95" w:rsidP="00EE0DB2">
      <w:pPr>
        <w:widowControl w:val="0"/>
        <w:ind w:firstLine="708"/>
      </w:pPr>
      <w:r w:rsidRPr="00EC556A">
        <w:t>Some pesticides are known to contain or form relevant levels of HCB during production and therefore can be suspected also to contain PeCB</w:t>
      </w:r>
      <w:r>
        <w:t>z</w:t>
      </w:r>
      <w:r w:rsidRPr="00EC556A">
        <w:t xml:space="preserve">. These include, for example, PCNB (CAS No 82-68-8), PCP (CAS No 87-86-5), </w:t>
      </w:r>
      <w:r>
        <w:t>d</w:t>
      </w:r>
      <w:r w:rsidRPr="00EC556A">
        <w:t xml:space="preserve">imethyltetrachloro terephthalate dacthal (CAS No 1861-32-1), </w:t>
      </w:r>
      <w:r>
        <w:t>c</w:t>
      </w:r>
      <w:r w:rsidRPr="00EC556A">
        <w:t xml:space="preserve">hlorothalonil (CAS No 1897-45-6), and </w:t>
      </w:r>
      <w:r>
        <w:t>d</w:t>
      </w:r>
      <w:r w:rsidRPr="00EC556A">
        <w:t>icloram (CAS No 1918-02-1) (Tobin, 1986).</w:t>
      </w:r>
      <w:r w:rsidRPr="00EC556A">
        <w:rPr>
          <w:rStyle w:val="FootnoteReference"/>
        </w:rPr>
        <w:footnoteReference w:id="88"/>
      </w:r>
    </w:p>
    <w:p w:rsidR="00CC1C95" w:rsidRDefault="00CC1C95" w:rsidP="00EE0DB2">
      <w:pPr>
        <w:widowControl w:val="0"/>
      </w:pPr>
      <w:r w:rsidRPr="00EC556A">
        <w:t>While releases from production in industrial countries have been reduced, production capacity has shifted to developing/transition countries like China, India, and others. Recent screening of contemporary used pest</w:t>
      </w:r>
      <w:r w:rsidR="00C0598F">
        <w:t>icides in Australia (Holt et al.</w:t>
      </w:r>
      <w:r w:rsidRPr="00EC556A">
        <w:t xml:space="preserve"> 2010) an</w:t>
      </w:r>
      <w:r w:rsidR="00C0598F">
        <w:t>d Chloranil in China (Liu et al.</w:t>
      </w:r>
      <w:r w:rsidRPr="00EC556A">
        <w:t xml:space="preserve"> 2011) revealed that PCDD/PCDF were present in all tested products and that some products contained high levels of PCDD/PCDF. </w:t>
      </w:r>
    </w:p>
    <w:p w:rsidR="00CC1C95" w:rsidRDefault="00CC1C95" w:rsidP="00EE0DB2">
      <w:pPr>
        <w:widowControl w:val="0"/>
      </w:pPr>
      <w:r w:rsidRPr="00EC556A">
        <w:t>In the updated UNEP standardized toolkit for Dioxin and Furan releases (Stockholm Convention 2012), a range of chemicals are listed which are known or susp</w:t>
      </w:r>
      <w:r w:rsidR="0024237B">
        <w:t>e</w:t>
      </w:r>
      <w:r w:rsidRPr="00EC556A">
        <w:t>cted to contain PCDD/PCDF. Since unintentionally produced POPs are normally formed in parallel, these chemicals can be su</w:t>
      </w:r>
      <w:r w:rsidR="0024237B">
        <w:t xml:space="preserve">spected to also contain PeCBz, </w:t>
      </w:r>
      <w:r w:rsidRPr="00EC556A">
        <w:t>HCB, and PCB. This list might therefore be used for monitoring of PeCBz and other unintentionally produced</w:t>
      </w:r>
      <w:r w:rsidRPr="00EC556A" w:rsidDel="002F78AC">
        <w:t xml:space="preserve"> </w:t>
      </w:r>
      <w:r w:rsidRPr="00EC556A">
        <w:t xml:space="preserve">POPs in products and articles. </w:t>
      </w:r>
    </w:p>
    <w:p w:rsidR="00CC1C95" w:rsidRPr="00EC556A" w:rsidRDefault="00CC1C95" w:rsidP="00EE0DB2">
      <w:pPr>
        <w:widowControl w:val="0"/>
      </w:pPr>
      <w:r w:rsidRPr="00EC556A">
        <w:t xml:space="preserve">Samples might be gathered from stakeholders or purchased from the market. </w:t>
      </w:r>
    </w:p>
    <w:p w:rsidR="00CC1C95" w:rsidRPr="00EC556A" w:rsidRDefault="00CC1C95" w:rsidP="00A165BC">
      <w:pPr>
        <w:pStyle w:val="Heading3"/>
        <w:numPr>
          <w:ilvl w:val="0"/>
          <w:numId w:val="0"/>
        </w:numPr>
        <w:snapToGrid/>
        <w:spacing w:before="240" w:after="60" w:line="276" w:lineRule="auto"/>
        <w:jc w:val="both"/>
      </w:pPr>
      <w:bookmarkStart w:id="517" w:name="_Toc308770629"/>
      <w:bookmarkStart w:id="518" w:name="_Toc308808912"/>
      <w:bookmarkStart w:id="519" w:name="_Toc313904837"/>
      <w:bookmarkStart w:id="520" w:name="_Toc323558549"/>
      <w:bookmarkStart w:id="521" w:name="_Toc349335814"/>
      <w:r w:rsidRPr="00EC556A">
        <w:t>PeCBz, HCB in pigments and tetrachlorophthalic anhydride</w:t>
      </w:r>
      <w:bookmarkEnd w:id="517"/>
      <w:bookmarkEnd w:id="518"/>
      <w:bookmarkEnd w:id="519"/>
      <w:bookmarkEnd w:id="520"/>
      <w:bookmarkEnd w:id="521"/>
      <w:r w:rsidRPr="00EC556A">
        <w:t xml:space="preserve"> </w:t>
      </w:r>
    </w:p>
    <w:p w:rsidR="00CC1C95" w:rsidRPr="00EC556A" w:rsidRDefault="00CC1C95" w:rsidP="00EE0DB2">
      <w:pPr>
        <w:widowControl w:val="0"/>
        <w:ind w:firstLine="708"/>
      </w:pPr>
      <w:r w:rsidRPr="00EC556A">
        <w:t>Some pigments based on tetrachlorophthalic anhydride contain relatively high levels of HCB. They can also be suspected to contain PeCBz and possibly other unintentionally formed POPs. Japan has informed the Conference of Parties (COP4) of the Stockholm Convention of the high HCB content and suggested BAT levels for HCB in these pigments and in tetrachlorophthalic anhydride (</w:t>
      </w:r>
      <w:hyperlink r:id="rId37" w:history="1">
        <w:r w:rsidRPr="00EC556A">
          <w:rPr>
            <w:rStyle w:val="Hyperlink"/>
          </w:rPr>
          <w:t>Government of Japan 2006</w:t>
        </w:r>
      </w:hyperlink>
      <w:r w:rsidRPr="00EC556A">
        <w:rPr>
          <w:rStyle w:val="FootnoteReference"/>
        </w:rPr>
        <w:footnoteReference w:id="89"/>
      </w:r>
      <w:r w:rsidRPr="00EC556A">
        <w:t xml:space="preserve"> and </w:t>
      </w:r>
      <w:hyperlink r:id="rId38" w:history="1">
        <w:r w:rsidRPr="00EC556A">
          <w:rPr>
            <w:rStyle w:val="Hyperlink"/>
          </w:rPr>
          <w:t>2007</w:t>
        </w:r>
      </w:hyperlink>
      <w:r w:rsidRPr="00EC556A">
        <w:rPr>
          <w:rStyle w:val="FootnoteReference"/>
        </w:rPr>
        <w:footnoteReference w:id="90"/>
      </w:r>
      <w:r w:rsidRPr="00EC556A">
        <w:t>). Pigments reported to contain HCB could be monitored for PeCBz and other unintentionally produced</w:t>
      </w:r>
      <w:r w:rsidRPr="00EC556A" w:rsidDel="001C7B32">
        <w:t xml:space="preserve"> </w:t>
      </w:r>
      <w:r w:rsidRPr="00EC556A">
        <w:t>POPs (Table A1-2).</w:t>
      </w:r>
    </w:p>
    <w:tbl>
      <w:tblPr>
        <w:tblpPr w:leftFromText="180" w:rightFromText="180" w:vertAnchor="text" w:horzAnchor="margin" w:tblpXSpec="center" w:tblpY="346"/>
        <w:tblW w:w="0" w:type="auto"/>
        <w:jc w:val="center"/>
        <w:tblBorders>
          <w:top w:val="single" w:sz="48" w:space="0" w:color="B6DDE8"/>
          <w:left w:val="single" w:sz="48" w:space="0" w:color="B6DDE8"/>
          <w:bottom w:val="single" w:sz="48" w:space="0" w:color="B6DDE8"/>
          <w:right w:val="single" w:sz="48" w:space="0" w:color="B6DDE8"/>
          <w:insideH w:val="single" w:sz="48" w:space="0" w:color="B6DDE8"/>
          <w:insideV w:val="single" w:sz="48" w:space="0" w:color="FFC000"/>
        </w:tblBorders>
        <w:tblLook w:val="00A0"/>
      </w:tblPr>
      <w:tblGrid>
        <w:gridCol w:w="9310"/>
      </w:tblGrid>
      <w:tr w:rsidR="00CC1C95" w:rsidRPr="00EC556A">
        <w:trPr>
          <w:trHeight w:val="2876"/>
          <w:jc w:val="center"/>
        </w:trPr>
        <w:tc>
          <w:tcPr>
            <w:tcW w:w="9310" w:type="dxa"/>
            <w:tcBorders>
              <w:top w:val="single" w:sz="48" w:space="0" w:color="B6DDE8"/>
              <w:left w:val="single" w:sz="48" w:space="0" w:color="B6DDE8"/>
              <w:bottom w:val="single" w:sz="48" w:space="0" w:color="B6DDE8"/>
              <w:right w:val="single" w:sz="48" w:space="0" w:color="B6DDE8"/>
            </w:tcBorders>
            <w:tcMar>
              <w:top w:w="113" w:type="dxa"/>
              <w:left w:w="227" w:type="dxa"/>
              <w:bottom w:w="113" w:type="dxa"/>
              <w:right w:w="227" w:type="dxa"/>
            </w:tcMar>
          </w:tcPr>
          <w:p w:rsidR="00CC1C95" w:rsidRPr="00EC556A" w:rsidRDefault="00CC1C95" w:rsidP="00EE0DB2">
            <w:pPr>
              <w:widowControl w:val="0"/>
              <w:jc w:val="center"/>
              <w:rPr>
                <w:b/>
              </w:rPr>
            </w:pPr>
            <w:r w:rsidRPr="00EC556A">
              <w:rPr>
                <w:b/>
                <w:bCs/>
              </w:rPr>
              <w:t xml:space="preserve">Table A1-2: </w:t>
            </w:r>
            <w:r w:rsidRPr="00EC556A">
              <w:rPr>
                <w:b/>
              </w:rPr>
              <w:t xml:space="preserve">Pigments known to contain HCB, and possibly PeCBz or other </w:t>
            </w:r>
            <w:r>
              <w:rPr>
                <w:b/>
              </w:rPr>
              <w:t xml:space="preserve">unintentionally produced </w:t>
            </w:r>
            <w:r w:rsidRPr="00EC556A">
              <w:rPr>
                <w:b/>
              </w:rPr>
              <w:t>POPs</w:t>
            </w:r>
          </w:p>
          <w:p w:rsidR="00CC1C95" w:rsidRPr="00EC556A" w:rsidRDefault="00CC1C95" w:rsidP="00EE0DB2">
            <w:pPr>
              <w:widowControl w:val="0"/>
              <w:jc w:val="center"/>
              <w:rPr>
                <w:b/>
              </w:rPr>
            </w:pPr>
          </w:p>
          <w:tbl>
            <w:tblPr>
              <w:tblW w:w="0" w:type="auto"/>
              <w:tblLook w:val="01E0"/>
            </w:tblPr>
            <w:tblGrid>
              <w:gridCol w:w="3687"/>
              <w:gridCol w:w="3185"/>
            </w:tblGrid>
            <w:tr w:rsidR="00CC1C95" w:rsidRPr="00EC556A">
              <w:trPr>
                <w:trHeight w:val="333"/>
              </w:trPr>
              <w:tc>
                <w:tcPr>
                  <w:tcW w:w="3687" w:type="dxa"/>
                  <w:tcBorders>
                    <w:top w:val="nil"/>
                    <w:left w:val="nil"/>
                    <w:bottom w:val="nil"/>
                    <w:right w:val="nil"/>
                  </w:tcBorders>
                </w:tcPr>
                <w:p w:rsidR="00CC1C95" w:rsidRPr="00EC556A" w:rsidRDefault="00CC1C95" w:rsidP="00A25819">
                  <w:pPr>
                    <w:framePr w:hSpace="180" w:wrap="around" w:vAnchor="text" w:hAnchor="margin" w:xAlign="center" w:y="346"/>
                    <w:widowControl w:val="0"/>
                    <w:rPr>
                      <w:b/>
                      <w:i/>
                    </w:rPr>
                  </w:pPr>
                  <w:r w:rsidRPr="00EC556A">
                    <w:rPr>
                      <w:b/>
                      <w:i/>
                    </w:rPr>
                    <w:t>Pigment/chemical</w:t>
                  </w:r>
                </w:p>
              </w:tc>
              <w:tc>
                <w:tcPr>
                  <w:tcW w:w="3185" w:type="dxa"/>
                  <w:tcBorders>
                    <w:top w:val="nil"/>
                    <w:left w:val="nil"/>
                    <w:bottom w:val="nil"/>
                    <w:right w:val="nil"/>
                  </w:tcBorders>
                </w:tcPr>
                <w:p w:rsidR="00CC1C95" w:rsidRPr="00EC556A" w:rsidRDefault="00CC1C95" w:rsidP="00A25819">
                  <w:pPr>
                    <w:framePr w:hSpace="180" w:wrap="around" w:vAnchor="text" w:hAnchor="margin" w:xAlign="center" w:y="346"/>
                    <w:widowControl w:val="0"/>
                    <w:rPr>
                      <w:b/>
                      <w:i/>
                    </w:rPr>
                  </w:pPr>
                  <w:r w:rsidRPr="00EC556A">
                    <w:rPr>
                      <w:b/>
                      <w:i/>
                    </w:rPr>
                    <w:t>CAS Registry Number</w:t>
                  </w:r>
                </w:p>
              </w:tc>
            </w:tr>
            <w:tr w:rsidR="00CC1C95" w:rsidRPr="00EC556A">
              <w:trPr>
                <w:trHeight w:val="318"/>
              </w:trPr>
              <w:tc>
                <w:tcPr>
                  <w:tcW w:w="3687" w:type="dxa"/>
                  <w:tcBorders>
                    <w:top w:val="nil"/>
                    <w:left w:val="nil"/>
                    <w:bottom w:val="nil"/>
                    <w:right w:val="nil"/>
                  </w:tcBorders>
                </w:tcPr>
                <w:p w:rsidR="00CC1C95" w:rsidRPr="00EC556A" w:rsidRDefault="00CC1C95" w:rsidP="00A25819">
                  <w:pPr>
                    <w:framePr w:hSpace="180" w:wrap="around" w:vAnchor="text" w:hAnchor="margin" w:xAlign="center" w:y="346"/>
                    <w:widowControl w:val="0"/>
                  </w:pPr>
                  <w:r w:rsidRPr="00EC556A">
                    <w:t xml:space="preserve">Pigment Yellow 110 </w:t>
                  </w:r>
                </w:p>
              </w:tc>
              <w:tc>
                <w:tcPr>
                  <w:tcW w:w="3185" w:type="dxa"/>
                  <w:tcBorders>
                    <w:top w:val="nil"/>
                    <w:left w:val="nil"/>
                    <w:bottom w:val="nil"/>
                    <w:right w:val="nil"/>
                  </w:tcBorders>
                </w:tcPr>
                <w:p w:rsidR="00CC1C95" w:rsidRPr="00EC556A" w:rsidRDefault="00CC1C95" w:rsidP="00A25819">
                  <w:pPr>
                    <w:framePr w:hSpace="180" w:wrap="around" w:vAnchor="text" w:hAnchor="margin" w:xAlign="center" w:y="346"/>
                    <w:widowControl w:val="0"/>
                    <w:rPr>
                      <w:b/>
                      <w:bCs/>
                    </w:rPr>
                  </w:pPr>
                  <w:r w:rsidRPr="00EC556A">
                    <w:t>5590-18-1</w:t>
                  </w:r>
                </w:p>
              </w:tc>
            </w:tr>
            <w:tr w:rsidR="00CC1C95" w:rsidRPr="00EC556A">
              <w:trPr>
                <w:trHeight w:val="318"/>
              </w:trPr>
              <w:tc>
                <w:tcPr>
                  <w:tcW w:w="3687" w:type="dxa"/>
                  <w:tcBorders>
                    <w:top w:val="nil"/>
                    <w:left w:val="nil"/>
                    <w:bottom w:val="nil"/>
                    <w:right w:val="nil"/>
                  </w:tcBorders>
                </w:tcPr>
                <w:p w:rsidR="00CC1C95" w:rsidRPr="00EC556A" w:rsidRDefault="00CC1C95" w:rsidP="00A25819">
                  <w:pPr>
                    <w:framePr w:hSpace="180" w:wrap="around" w:vAnchor="text" w:hAnchor="margin" w:xAlign="center" w:y="346"/>
                    <w:widowControl w:val="0"/>
                  </w:pPr>
                  <w:r w:rsidRPr="00EC556A">
                    <w:t xml:space="preserve">Pigment Yellow 138 </w:t>
                  </w:r>
                </w:p>
              </w:tc>
              <w:tc>
                <w:tcPr>
                  <w:tcW w:w="3185" w:type="dxa"/>
                  <w:tcBorders>
                    <w:top w:val="nil"/>
                    <w:left w:val="nil"/>
                    <w:bottom w:val="nil"/>
                    <w:right w:val="nil"/>
                  </w:tcBorders>
                </w:tcPr>
                <w:p w:rsidR="00CC1C95" w:rsidRPr="00EC556A" w:rsidRDefault="00CC1C95" w:rsidP="00A25819">
                  <w:pPr>
                    <w:framePr w:hSpace="180" w:wrap="around" w:vAnchor="text" w:hAnchor="margin" w:xAlign="center" w:y="346"/>
                    <w:widowControl w:val="0"/>
                    <w:rPr>
                      <w:b/>
                      <w:bCs/>
                    </w:rPr>
                  </w:pPr>
                  <w:r w:rsidRPr="00EC556A">
                    <w:t>30125-47-4</w:t>
                  </w:r>
                </w:p>
              </w:tc>
            </w:tr>
            <w:tr w:rsidR="00CC1C95" w:rsidRPr="00EC556A">
              <w:trPr>
                <w:trHeight w:val="318"/>
              </w:trPr>
              <w:tc>
                <w:tcPr>
                  <w:tcW w:w="3687" w:type="dxa"/>
                  <w:tcBorders>
                    <w:top w:val="nil"/>
                    <w:left w:val="nil"/>
                    <w:bottom w:val="nil"/>
                    <w:right w:val="nil"/>
                  </w:tcBorders>
                </w:tcPr>
                <w:p w:rsidR="00CC1C95" w:rsidRPr="00EC556A" w:rsidRDefault="00CC1C95" w:rsidP="00A25819">
                  <w:pPr>
                    <w:framePr w:hSpace="180" w:wrap="around" w:vAnchor="text" w:hAnchor="margin" w:xAlign="center" w:y="346"/>
                    <w:widowControl w:val="0"/>
                  </w:pPr>
                  <w:r w:rsidRPr="00EC556A">
                    <w:t>Pigment Green 7</w:t>
                  </w:r>
                  <w:r w:rsidRPr="00EC556A">
                    <w:rPr>
                      <w:rStyle w:val="FootnoteReference"/>
                    </w:rPr>
                    <w:footnoteReference w:id="91"/>
                  </w:r>
                </w:p>
              </w:tc>
              <w:tc>
                <w:tcPr>
                  <w:tcW w:w="3185" w:type="dxa"/>
                  <w:tcBorders>
                    <w:top w:val="nil"/>
                    <w:left w:val="nil"/>
                    <w:bottom w:val="nil"/>
                    <w:right w:val="nil"/>
                  </w:tcBorders>
                </w:tcPr>
                <w:p w:rsidR="00CC1C95" w:rsidRPr="00EC556A" w:rsidRDefault="00CC1C95" w:rsidP="00A25819">
                  <w:pPr>
                    <w:framePr w:hSpace="180" w:wrap="around" w:vAnchor="text" w:hAnchor="margin" w:xAlign="center" w:y="346"/>
                    <w:widowControl w:val="0"/>
                    <w:rPr>
                      <w:b/>
                      <w:bCs/>
                    </w:rPr>
                  </w:pPr>
                  <w:r w:rsidRPr="00EC556A">
                    <w:t>1328-45-6 and 1328-53-6</w:t>
                  </w:r>
                </w:p>
              </w:tc>
            </w:tr>
            <w:tr w:rsidR="00CC1C95" w:rsidRPr="00EC556A">
              <w:trPr>
                <w:trHeight w:val="318"/>
              </w:trPr>
              <w:tc>
                <w:tcPr>
                  <w:tcW w:w="3687" w:type="dxa"/>
                  <w:tcBorders>
                    <w:top w:val="nil"/>
                    <w:left w:val="nil"/>
                    <w:bottom w:val="nil"/>
                    <w:right w:val="nil"/>
                  </w:tcBorders>
                </w:tcPr>
                <w:p w:rsidR="00CC1C95" w:rsidRPr="00EC556A" w:rsidRDefault="00CC1C95" w:rsidP="00A25819">
                  <w:pPr>
                    <w:framePr w:hSpace="180" w:wrap="around" w:vAnchor="text" w:hAnchor="margin" w:xAlign="center" w:y="346"/>
                    <w:widowControl w:val="0"/>
                  </w:pPr>
                  <w:r w:rsidRPr="00EC556A">
                    <w:t>Pigment Green 36</w:t>
                  </w:r>
                </w:p>
              </w:tc>
              <w:tc>
                <w:tcPr>
                  <w:tcW w:w="3185" w:type="dxa"/>
                  <w:tcBorders>
                    <w:top w:val="nil"/>
                    <w:left w:val="nil"/>
                    <w:bottom w:val="nil"/>
                    <w:right w:val="nil"/>
                  </w:tcBorders>
                </w:tcPr>
                <w:p w:rsidR="00CC1C95" w:rsidRPr="00EC556A" w:rsidRDefault="00CC1C95" w:rsidP="00A25819">
                  <w:pPr>
                    <w:framePr w:hSpace="180" w:wrap="around" w:vAnchor="text" w:hAnchor="margin" w:xAlign="center" w:y="346"/>
                    <w:widowControl w:val="0"/>
                    <w:rPr>
                      <w:b/>
                      <w:bCs/>
                    </w:rPr>
                  </w:pPr>
                  <w:r w:rsidRPr="00EC556A">
                    <w:t>14302-13-7</w:t>
                  </w:r>
                </w:p>
              </w:tc>
            </w:tr>
            <w:tr w:rsidR="00CC1C95" w:rsidRPr="00EC556A">
              <w:trPr>
                <w:trHeight w:val="318"/>
              </w:trPr>
              <w:tc>
                <w:tcPr>
                  <w:tcW w:w="3687" w:type="dxa"/>
                  <w:tcBorders>
                    <w:top w:val="nil"/>
                    <w:left w:val="nil"/>
                    <w:bottom w:val="nil"/>
                    <w:right w:val="nil"/>
                  </w:tcBorders>
                </w:tcPr>
                <w:p w:rsidR="00CC1C95" w:rsidRPr="00EC556A" w:rsidRDefault="00CC1C95" w:rsidP="00A25819">
                  <w:pPr>
                    <w:framePr w:hSpace="180" w:wrap="around" w:vAnchor="text" w:hAnchor="margin" w:xAlign="center" w:y="346"/>
                    <w:widowControl w:val="0"/>
                  </w:pPr>
                  <w:r w:rsidRPr="00EC556A">
                    <w:t xml:space="preserve">Solvent Red 135 </w:t>
                  </w:r>
                </w:p>
              </w:tc>
              <w:tc>
                <w:tcPr>
                  <w:tcW w:w="3185" w:type="dxa"/>
                  <w:tcBorders>
                    <w:top w:val="nil"/>
                    <w:left w:val="nil"/>
                    <w:bottom w:val="nil"/>
                    <w:right w:val="nil"/>
                  </w:tcBorders>
                </w:tcPr>
                <w:p w:rsidR="00CC1C95" w:rsidRPr="00EC556A" w:rsidRDefault="00CC1C95" w:rsidP="00A25819">
                  <w:pPr>
                    <w:framePr w:hSpace="180" w:wrap="around" w:vAnchor="text" w:hAnchor="margin" w:xAlign="center" w:y="346"/>
                    <w:widowControl w:val="0"/>
                    <w:rPr>
                      <w:b/>
                      <w:bCs/>
                    </w:rPr>
                  </w:pPr>
                  <w:r w:rsidRPr="00EC556A">
                    <w:t>20749-68-2 and 71902-17-5</w:t>
                  </w:r>
                </w:p>
              </w:tc>
            </w:tr>
            <w:tr w:rsidR="00CC1C95" w:rsidRPr="00EC556A">
              <w:trPr>
                <w:trHeight w:val="318"/>
              </w:trPr>
              <w:tc>
                <w:tcPr>
                  <w:tcW w:w="3687" w:type="dxa"/>
                  <w:tcBorders>
                    <w:top w:val="nil"/>
                    <w:left w:val="nil"/>
                    <w:bottom w:val="nil"/>
                    <w:right w:val="nil"/>
                  </w:tcBorders>
                </w:tcPr>
                <w:p w:rsidR="00CC1C95" w:rsidRPr="00EC556A" w:rsidRDefault="00CC1C95" w:rsidP="00A25819">
                  <w:pPr>
                    <w:framePr w:hSpace="180" w:wrap="around" w:vAnchor="text" w:hAnchor="margin" w:xAlign="center" w:y="346"/>
                    <w:widowControl w:val="0"/>
                  </w:pPr>
                  <w:r w:rsidRPr="00EC556A">
                    <w:t>Tetrachlorophthalic anhydride</w:t>
                  </w:r>
                </w:p>
              </w:tc>
              <w:tc>
                <w:tcPr>
                  <w:tcW w:w="3185" w:type="dxa"/>
                  <w:tcBorders>
                    <w:top w:val="nil"/>
                    <w:left w:val="nil"/>
                    <w:bottom w:val="nil"/>
                    <w:right w:val="nil"/>
                  </w:tcBorders>
                </w:tcPr>
                <w:p w:rsidR="00CC1C95" w:rsidRPr="00EC556A" w:rsidRDefault="00CC1C95" w:rsidP="00A25819">
                  <w:pPr>
                    <w:framePr w:hSpace="180" w:wrap="around" w:vAnchor="text" w:hAnchor="margin" w:xAlign="center" w:y="346"/>
                    <w:widowControl w:val="0"/>
                    <w:rPr>
                      <w:b/>
                      <w:bCs/>
                    </w:rPr>
                  </w:pPr>
                  <w:r w:rsidRPr="00EC556A">
                    <w:t>117-08-8</w:t>
                  </w:r>
                </w:p>
              </w:tc>
            </w:tr>
          </w:tbl>
          <w:p w:rsidR="00CC1C95" w:rsidRPr="006D66B2" w:rsidRDefault="00CC1C95" w:rsidP="00EE0DB2">
            <w:pPr>
              <w:pStyle w:val="BulletLevel1CharChar"/>
              <w:ind w:left="0" w:firstLine="0"/>
              <w:rPr>
                <w:rFonts w:ascii="Calibri" w:hAnsi="Calibri"/>
                <w:szCs w:val="22"/>
                <w:lang w:val="en-GB"/>
              </w:rPr>
            </w:pPr>
          </w:p>
        </w:tc>
      </w:tr>
    </w:tbl>
    <w:p w:rsidR="00CC1C95" w:rsidRPr="00EC556A" w:rsidRDefault="00CC1C95" w:rsidP="00EE0DB2">
      <w:pPr>
        <w:widowControl w:val="0"/>
      </w:pPr>
    </w:p>
    <w:p w:rsidR="00CC1C95" w:rsidRPr="00EC556A" w:rsidRDefault="00CC1C95" w:rsidP="00A165BC">
      <w:pPr>
        <w:pStyle w:val="Heading3"/>
        <w:numPr>
          <w:ilvl w:val="0"/>
          <w:numId w:val="0"/>
        </w:numPr>
        <w:snapToGrid/>
        <w:spacing w:before="240" w:after="60" w:line="276" w:lineRule="auto"/>
        <w:jc w:val="both"/>
      </w:pPr>
      <w:bookmarkStart w:id="522" w:name="_Toc313898204"/>
      <w:bookmarkStart w:id="523" w:name="_Toc313899417"/>
      <w:bookmarkStart w:id="524" w:name="_Toc313904839"/>
      <w:bookmarkStart w:id="525" w:name="_Toc313898226"/>
      <w:bookmarkStart w:id="526" w:name="_Toc313899439"/>
      <w:bookmarkStart w:id="527" w:name="_Toc313904861"/>
      <w:bookmarkStart w:id="528" w:name="_Toc349335815"/>
      <w:bookmarkStart w:id="529" w:name="_Toc308770630"/>
      <w:bookmarkStart w:id="530" w:name="_Toc308808913"/>
      <w:bookmarkStart w:id="531" w:name="_Toc313904862"/>
      <w:bookmarkStart w:id="532" w:name="_Toc323558550"/>
      <w:bookmarkEnd w:id="522"/>
      <w:bookmarkEnd w:id="523"/>
      <w:bookmarkEnd w:id="524"/>
      <w:bookmarkEnd w:id="525"/>
      <w:bookmarkEnd w:id="526"/>
      <w:bookmarkEnd w:id="527"/>
      <w:r w:rsidRPr="00EC556A">
        <w:t>Unintentionally produced POPs in articles</w:t>
      </w:r>
      <w:bookmarkEnd w:id="528"/>
    </w:p>
    <w:p w:rsidR="00CC1C95" w:rsidRPr="00EC556A" w:rsidRDefault="00CC1C95" w:rsidP="00C066ED">
      <w:pPr>
        <w:ind w:firstLine="708"/>
      </w:pPr>
      <w:r w:rsidRPr="00EC556A">
        <w:t xml:space="preserve">Articles where chemicals and mixtures have been added or included known or suspected to contain unintentionally POPs could then also contain unintentionally produced POPs, for example, the above mentioned pigments are used in a wide range of products such as plastic, bank notes, and paints. </w:t>
      </w:r>
      <w:r w:rsidR="00C066ED">
        <w:t xml:space="preserve">Potentially </w:t>
      </w:r>
      <w:r w:rsidR="00C066ED" w:rsidRPr="00EC556A">
        <w:t xml:space="preserve">unintentionally POPs </w:t>
      </w:r>
      <w:r w:rsidR="00C066ED">
        <w:t>containing b</w:t>
      </w:r>
      <w:r w:rsidRPr="00EC556A">
        <w:t>iocides are used for treatment of wood or leather (e.g. PCP) or in soap and toothpaste (e.g. triclosan).</w:t>
      </w:r>
    </w:p>
    <w:p w:rsidR="00CC1C95" w:rsidRPr="00EC556A" w:rsidRDefault="00CC1C95" w:rsidP="00A165BC">
      <w:pPr>
        <w:pStyle w:val="Heading3"/>
        <w:numPr>
          <w:ilvl w:val="0"/>
          <w:numId w:val="0"/>
        </w:numPr>
        <w:snapToGrid/>
        <w:spacing w:before="240" w:after="60" w:line="276" w:lineRule="auto"/>
        <w:jc w:val="both"/>
      </w:pPr>
      <w:bookmarkStart w:id="533" w:name="_Toc349335816"/>
      <w:r w:rsidRPr="00EC556A">
        <w:t>PeCBz and HCB in chlorinated solvent</w:t>
      </w:r>
      <w:bookmarkEnd w:id="529"/>
      <w:bookmarkEnd w:id="530"/>
      <w:bookmarkEnd w:id="531"/>
      <w:bookmarkEnd w:id="532"/>
      <w:bookmarkEnd w:id="533"/>
    </w:p>
    <w:p w:rsidR="00CC1C95" w:rsidRPr="00EC556A" w:rsidRDefault="00CC1C95" w:rsidP="00EE0DB2">
      <w:pPr>
        <w:widowControl w:val="0"/>
        <w:ind w:firstLine="708"/>
      </w:pPr>
      <w:r w:rsidRPr="00EC556A">
        <w:t>During production of certain chlorinated solvents, high amounts of unintentional HCB and PeCBz can be formed (UNEP, 2010).</w:t>
      </w:r>
      <w:r w:rsidRPr="00EC556A">
        <w:rPr>
          <w:rStyle w:val="FootnoteReference"/>
        </w:rPr>
        <w:footnoteReference w:id="92"/>
      </w:r>
      <w:r w:rsidRPr="00EC556A">
        <w:t xml:space="preserve"> These include tetrachloroethene (</w:t>
      </w:r>
      <w:r w:rsidRPr="00EC556A">
        <w:rPr>
          <w:iCs/>
        </w:rPr>
        <w:t>CAS:</w:t>
      </w:r>
      <w:r w:rsidRPr="00EC556A">
        <w:t xml:space="preserve"> 127-18-4), trichloroethene (CAS: </w:t>
      </w:r>
      <w:r w:rsidRPr="00EC556A">
        <w:rPr>
          <w:rStyle w:val="st"/>
        </w:rPr>
        <w:t>79-01-6</w:t>
      </w:r>
      <w:r w:rsidRPr="00EC556A">
        <w:t>), and tetrachloromethane (</w:t>
      </w:r>
      <w:r w:rsidRPr="00EC556A">
        <w:rPr>
          <w:iCs/>
        </w:rPr>
        <w:t>CAS:</w:t>
      </w:r>
      <w:r w:rsidRPr="00EC556A">
        <w:t xml:space="preserve"> 56-23-5). The largest part of the unintentionally produced POPs </w:t>
      </w:r>
      <w:r w:rsidR="00731741">
        <w:t>is</w:t>
      </w:r>
      <w:r w:rsidR="00731741" w:rsidRPr="00EC556A">
        <w:t xml:space="preserve"> </w:t>
      </w:r>
      <w:r w:rsidRPr="00EC556A">
        <w:t>normally separated in the production by a distillation step from the marketed solvent and remain as</w:t>
      </w:r>
      <w:r w:rsidR="00C0598F">
        <w:t xml:space="preserve"> heavy distillates (Jacob et al.</w:t>
      </w:r>
      <w:r w:rsidRPr="00EC556A">
        <w:t xml:space="preserve"> 1986). It has been reported that these deposits also contain PeCBz (</w:t>
      </w:r>
      <w:hyperlink r:id="rId39" w:history="1">
        <w:r w:rsidRPr="00EC556A">
          <w:rPr>
            <w:rStyle w:val="Hyperlink"/>
          </w:rPr>
          <w:t>UNEP et al. 2010</w:t>
        </w:r>
      </w:hyperlink>
      <w:r w:rsidRPr="00EC556A">
        <w:rPr>
          <w:rStyle w:val="FootnoteReference"/>
        </w:rPr>
        <w:footnoteReference w:id="93"/>
      </w:r>
      <w:r w:rsidRPr="00EC556A">
        <w:t xml:space="preserve">; </w:t>
      </w:r>
      <w:hyperlink r:id="rId40" w:history="1">
        <w:r w:rsidRPr="00EC556A">
          <w:rPr>
            <w:rStyle w:val="Hyperlink"/>
          </w:rPr>
          <w:t>Weber et al. 2011</w:t>
        </w:r>
      </w:hyperlink>
      <w:r w:rsidRPr="00EC556A">
        <w:rPr>
          <w:rStyle w:val="FootnoteReference"/>
        </w:rPr>
        <w:footnoteReference w:id="94"/>
      </w:r>
      <w:r w:rsidRPr="00EC556A">
        <w:t>). There is a scarcity of data on the content of HCB and PeCBz in chlorinated solvents (UNEP 2010</w:t>
      </w:r>
      <w:r w:rsidRPr="00EC556A">
        <w:rPr>
          <w:rStyle w:val="FootnoteReference"/>
        </w:rPr>
        <w:footnoteReference w:id="95"/>
      </w:r>
      <w:r w:rsidRPr="00EC556A">
        <w:t xml:space="preserve">). Therefore, screening of PeCBz, HCB, and possibly other unintentionally formed POPs in chlorinated solvents could be considered. </w:t>
      </w:r>
    </w:p>
    <w:p w:rsidR="00CC1C95" w:rsidRPr="00EC556A" w:rsidRDefault="00CC1C95" w:rsidP="00A165BC">
      <w:pPr>
        <w:pStyle w:val="Heading3"/>
        <w:numPr>
          <w:ilvl w:val="0"/>
          <w:numId w:val="0"/>
        </w:numPr>
        <w:snapToGrid/>
        <w:spacing w:before="240" w:after="60" w:line="276" w:lineRule="auto"/>
        <w:jc w:val="both"/>
      </w:pPr>
      <w:bookmarkStart w:id="534" w:name="_Toc308770631"/>
      <w:bookmarkStart w:id="535" w:name="_Toc308808914"/>
      <w:bookmarkStart w:id="536" w:name="_Toc313904863"/>
      <w:bookmarkStart w:id="537" w:name="_Toc323558551"/>
      <w:bookmarkStart w:id="538" w:name="_Toc349335817"/>
      <w:r w:rsidRPr="00EC556A">
        <w:t>PCDD/PCDF and other unintentional POPs in biosolids/sewage sludge</w:t>
      </w:r>
      <w:bookmarkEnd w:id="534"/>
      <w:bookmarkEnd w:id="535"/>
      <w:bookmarkEnd w:id="536"/>
      <w:bookmarkEnd w:id="537"/>
      <w:bookmarkEnd w:id="538"/>
    </w:p>
    <w:p w:rsidR="00CC1C95" w:rsidRDefault="00CC1C95" w:rsidP="00EE0DB2">
      <w:pPr>
        <w:widowControl w:val="0"/>
        <w:ind w:firstLine="708"/>
      </w:pPr>
      <w:r w:rsidRPr="00EC556A">
        <w:t>Sewage sludge and related biosolids are sink</w:t>
      </w:r>
      <w:r w:rsidR="00731741">
        <w:t>s</w:t>
      </w:r>
      <w:r w:rsidRPr="00EC556A">
        <w:t xml:space="preserve"> for unintentionally produced POPs (PCDD/PCDF, PCB, HCB, and PeCB) and newly listed POPs (PFOS, POP-PBDE). In some countries, regulation limits exist for POPs in respect to the application on agricultural areas and pasture areas to prevent the contamination of food. Biosolids and organic fertilizers are also traded at the international level and control of POPs levels </w:t>
      </w:r>
      <w:r>
        <w:t>c</w:t>
      </w:r>
      <w:r w:rsidRPr="00EC556A">
        <w:t>ould be addressed with respect to imports, exports, and trade.</w:t>
      </w:r>
    </w:p>
    <w:p w:rsidR="00CC1C95" w:rsidRDefault="00CC1C95" w:rsidP="00EE0DB2">
      <w:pPr>
        <w:widowControl w:val="0"/>
      </w:pPr>
      <w:r w:rsidRPr="00EC556A">
        <w:t>In a survey of German sewage sludges levels of PeCBz and HCB were relatively low (below 10 ng/g) and significantly lower compared to their brominated analogues hexabromobenzene and pentabromobenzene detected at an average concentration of 330 ng/g and 45 ng/g respectively (</w:t>
      </w:r>
      <w:hyperlink r:id="rId41" w:history="1">
        <w:r w:rsidRPr="00EC556A">
          <w:rPr>
            <w:rStyle w:val="Hyperlink"/>
          </w:rPr>
          <w:t>Kuch et al. 2005</w:t>
        </w:r>
      </w:hyperlink>
      <w:r w:rsidRPr="00EC556A">
        <w:rPr>
          <w:rStyle w:val="FootnoteReference"/>
        </w:rPr>
        <w:footnoteReference w:id="96"/>
      </w:r>
      <w:r w:rsidRPr="00EC556A">
        <w:t>).</w:t>
      </w:r>
    </w:p>
    <w:p w:rsidR="00CC1C95" w:rsidRPr="00EC556A" w:rsidRDefault="00CC1C95" w:rsidP="00EE0DB2">
      <w:pPr>
        <w:widowControl w:val="0"/>
      </w:pPr>
      <w:r w:rsidRPr="00EC556A">
        <w:t>While formerly the broad use of PCP was the main contamination source of PCDD/PCDF in sewage sludge, today elevated levels of PCDD/PCDF in sewage sludges are mainly associated with industries such as the textile industry (Fuente et al. 2007</w:t>
      </w:r>
      <w:r w:rsidRPr="00EC556A">
        <w:rPr>
          <w:rStyle w:val="FootnoteReference"/>
        </w:rPr>
        <w:footnoteReference w:id="97"/>
      </w:r>
      <w:r w:rsidRPr="00EC556A">
        <w:t>)</w:t>
      </w:r>
    </w:p>
    <w:p w:rsidR="00CC1C95" w:rsidRPr="00EC556A" w:rsidRDefault="00CC1C95" w:rsidP="00A165BC">
      <w:pPr>
        <w:pStyle w:val="Heading3"/>
        <w:numPr>
          <w:ilvl w:val="0"/>
          <w:numId w:val="0"/>
        </w:numPr>
        <w:snapToGrid/>
        <w:spacing w:before="240" w:after="60" w:line="276" w:lineRule="auto"/>
        <w:jc w:val="both"/>
      </w:pPr>
      <w:bookmarkStart w:id="539" w:name="_Toc323558552"/>
      <w:bookmarkStart w:id="540" w:name="_Toc349335818"/>
      <w:r w:rsidRPr="00EC556A">
        <w:t>Unintentionally produced POPs (PCDD/PCDF, PeCBz, HCB, PCB) in food and feed</w:t>
      </w:r>
      <w:bookmarkEnd w:id="539"/>
      <w:bookmarkEnd w:id="540"/>
      <w:r w:rsidRPr="00EC556A">
        <w:t xml:space="preserve"> </w:t>
      </w:r>
    </w:p>
    <w:p w:rsidR="00CC1C95" w:rsidRDefault="00CC1C95" w:rsidP="00EE0DB2">
      <w:pPr>
        <w:widowControl w:val="0"/>
        <w:ind w:firstLine="708"/>
      </w:pPr>
      <w:r w:rsidRPr="00EC556A">
        <w:t>Food and feed in particular can be contaminated with PCDD/PCDF and other unintentionally produced POPs in connection with historic releases of PCDD/PCDF</w:t>
      </w:r>
      <w:r>
        <w:t>, intentionally and unintentionally PCBs</w:t>
      </w:r>
      <w:r w:rsidRPr="00EC556A">
        <w:t xml:space="preserve"> and </w:t>
      </w:r>
      <w:r>
        <w:t xml:space="preserve">other </w:t>
      </w:r>
      <w:r w:rsidRPr="00EC556A">
        <w:t>unintentionally produced POPs from industries, contaminated pesticides, or application of contaminated sludge.</w:t>
      </w:r>
      <w:r w:rsidRPr="00EC556A">
        <w:rPr>
          <w:rStyle w:val="FootnoteReference"/>
        </w:rPr>
        <w:footnoteReference w:id="98"/>
      </w:r>
      <w:r w:rsidRPr="00EC556A">
        <w:rPr>
          <w:vertAlign w:val="superscript"/>
        </w:rPr>
        <w:t>,</w:t>
      </w:r>
      <w:r w:rsidRPr="00EC556A">
        <w:rPr>
          <w:rStyle w:val="FootnoteReference"/>
        </w:rPr>
        <w:footnoteReference w:id="99"/>
      </w:r>
      <w:r w:rsidRPr="00EC556A">
        <w:t xml:space="preserve"> This includes, for example, fish from lakes and rivers or the sea with former PCDD/PCDF</w:t>
      </w:r>
      <w:r>
        <w:t>, PCB</w:t>
      </w:r>
      <w:r w:rsidRPr="00EC556A">
        <w:t xml:space="preserve"> or other unintentionally produced POPs input.</w:t>
      </w:r>
      <w:r w:rsidRPr="00EC556A">
        <w:rPr>
          <w:rStyle w:val="FootnoteReference"/>
        </w:rPr>
        <w:footnoteReference w:id="100"/>
      </w:r>
      <w:r w:rsidRPr="00EC556A">
        <w:t xml:space="preserve"> Floodplains of such rivers can also be impacted by PCDD/PCDF and other unintentionally produced POPs with contamination of grazing cattle and related milk and meat.</w:t>
      </w:r>
      <w:r w:rsidRPr="00EC556A">
        <w:rPr>
          <w:rStyle w:val="FootnoteReference"/>
        </w:rPr>
        <w:footnoteReference w:id="101"/>
      </w:r>
      <w:r w:rsidRPr="00EC556A">
        <w:t xml:space="preserve"> Furthermore, also relevant </w:t>
      </w:r>
      <w:r>
        <w:t xml:space="preserve">contamination </w:t>
      </w:r>
      <w:r w:rsidRPr="00EC556A">
        <w:t>are eggs and milk from areas where formerly PCDD/PCDF</w:t>
      </w:r>
      <w:r>
        <w:t>, PCB</w:t>
      </w:r>
      <w:r w:rsidRPr="00EC556A">
        <w:t xml:space="preserve"> or other unintentionally produced POPs contamination has occurred.</w:t>
      </w:r>
    </w:p>
    <w:p w:rsidR="00CC1C95" w:rsidRPr="00EC556A" w:rsidRDefault="00CC1C95" w:rsidP="00EE0DB2">
      <w:pPr>
        <w:widowControl w:val="0"/>
      </w:pPr>
      <w:r w:rsidRPr="00EC556A">
        <w:t>If a Party decides to include food and feed into the monitoring of unintentionally produced POPs-containing articles and products, the development of the monitoring concept would be linked to the development of the inventory of PCDD/PCDF</w:t>
      </w:r>
      <w:r>
        <w:t>, PCB</w:t>
      </w:r>
      <w:r w:rsidRPr="00EC556A">
        <w:t xml:space="preserve"> and other unintentional POPs contaminated sites. A first priority selection of samples can be made based on such an inventory. Monitoring could also include an assessment of the feed market.</w:t>
      </w:r>
      <w:r w:rsidRPr="00EC556A">
        <w:rPr>
          <w:rStyle w:val="FootnoteReference"/>
        </w:rPr>
        <w:footnoteReference w:id="102"/>
      </w:r>
      <w:r w:rsidRPr="00EC556A">
        <w:t xml:space="preserve"> Furthermore, a monitoring concept could also address imported food and feed.</w:t>
      </w:r>
      <w:r w:rsidRPr="00EC556A">
        <w:rPr>
          <w:rStyle w:val="FootnoteReference"/>
        </w:rPr>
        <w:footnoteReference w:id="103"/>
      </w:r>
      <w:r w:rsidRPr="00EC556A">
        <w:t xml:space="preserve"> </w:t>
      </w:r>
      <w:r>
        <w:t>.</w:t>
      </w:r>
    </w:p>
    <w:p w:rsidR="00CC1C95" w:rsidRPr="00EC556A" w:rsidRDefault="00CC1C95" w:rsidP="00EE0DB2">
      <w:pPr>
        <w:rPr>
          <w:szCs w:val="24"/>
        </w:rPr>
      </w:pPr>
    </w:p>
    <w:p w:rsidR="00CC1C95" w:rsidRPr="00EC556A" w:rsidRDefault="00CC1C95" w:rsidP="00A165BC">
      <w:pPr>
        <w:pStyle w:val="Heading1"/>
        <w:snapToGrid/>
        <w:spacing w:before="200" w:after="60" w:line="276" w:lineRule="auto"/>
        <w:ind w:left="0" w:firstLine="0"/>
        <w:jc w:val="both"/>
      </w:pPr>
      <w:r w:rsidRPr="00EC556A">
        <w:rPr>
          <w:b w:val="0"/>
          <w:bCs w:val="0"/>
        </w:rPr>
        <w:br w:type="page"/>
      </w:r>
      <w:bookmarkStart w:id="541" w:name="_Toc349335819"/>
      <w:r w:rsidRPr="00EC556A">
        <w:rPr>
          <w:b w:val="0"/>
          <w:bCs w:val="0"/>
        </w:rPr>
        <w:t>ANNEX 2</w:t>
      </w:r>
      <w:r>
        <w:rPr>
          <w:b w:val="0"/>
          <w:bCs w:val="0"/>
        </w:rPr>
        <w:tab/>
      </w:r>
      <w:r w:rsidRPr="00EC556A">
        <w:rPr>
          <w:b w:val="0"/>
          <w:bCs w:val="0"/>
        </w:rPr>
        <w:t xml:space="preserve">  Instrumental analysis</w:t>
      </w:r>
      <w:bookmarkEnd w:id="541"/>
      <w:r w:rsidRPr="00EC556A">
        <w:rPr>
          <w:b w:val="0"/>
          <w:bCs w:val="0"/>
        </w:rPr>
        <w:t xml:space="preserve">  </w:t>
      </w:r>
    </w:p>
    <w:p w:rsidR="00CC1C95" w:rsidRPr="00EC556A" w:rsidRDefault="00CC1C95" w:rsidP="00EE0DB2">
      <w:pPr>
        <w:ind w:firstLine="708"/>
        <w:rPr>
          <w:szCs w:val="24"/>
        </w:rPr>
      </w:pPr>
      <w:r w:rsidRPr="00EC556A">
        <w:rPr>
          <w:szCs w:val="24"/>
        </w:rPr>
        <w:t>The analytical conditions and chromatograms were provided from Prof. Dr. Dr. Takumi Takasuga (Shimadzu Techno</w:t>
      </w:r>
      <w:r w:rsidR="00D21BDD">
        <w:rPr>
          <w:szCs w:val="24"/>
        </w:rPr>
        <w:t xml:space="preserve"> Research</w:t>
      </w:r>
      <w:r w:rsidRPr="00EC556A">
        <w:rPr>
          <w:szCs w:val="24"/>
        </w:rPr>
        <w:t>, Kyoto, Japan)</w:t>
      </w:r>
    </w:p>
    <w:p w:rsidR="00CC1C95" w:rsidRPr="00EC556A" w:rsidRDefault="00CC1C95" w:rsidP="002F2D66">
      <w:pPr>
        <w:pStyle w:val="Heading2"/>
        <w:numPr>
          <w:ilvl w:val="0"/>
          <w:numId w:val="0"/>
        </w:numPr>
        <w:snapToGrid/>
        <w:spacing w:before="240" w:after="60" w:line="276" w:lineRule="auto"/>
        <w:jc w:val="both"/>
      </w:pPr>
      <w:bookmarkStart w:id="542" w:name="_Toc349335820"/>
      <w:r w:rsidRPr="00EC556A">
        <w:rPr>
          <w:b w:val="0"/>
        </w:rPr>
        <w:t>Annex 2-A: GC/MS analysis of PBDE</w:t>
      </w:r>
      <w:bookmarkEnd w:id="542"/>
    </w:p>
    <w:p w:rsidR="00CC1C95" w:rsidRPr="001149DF" w:rsidRDefault="00CC1C95" w:rsidP="00A165BC">
      <w:pPr>
        <w:pStyle w:val="Heading3"/>
        <w:numPr>
          <w:ilvl w:val="0"/>
          <w:numId w:val="0"/>
        </w:numPr>
        <w:snapToGrid/>
        <w:spacing w:before="240" w:after="60" w:line="276" w:lineRule="auto"/>
        <w:jc w:val="both"/>
        <w:rPr>
          <w:lang w:val="fr-FR"/>
        </w:rPr>
      </w:pPr>
      <w:bookmarkStart w:id="543" w:name="_Toc349335821"/>
      <w:r w:rsidRPr="001149DF">
        <w:rPr>
          <w:lang w:val="fr-FR"/>
        </w:rPr>
        <w:t>PBDEs GC/MS conditions (example)</w:t>
      </w:r>
      <w:bookmarkEnd w:id="543"/>
    </w:p>
    <w:p w:rsidR="00CC1C95" w:rsidRPr="00EC556A" w:rsidRDefault="00CC1C95" w:rsidP="00EE0DB2">
      <w:r w:rsidRPr="00EC556A">
        <w:t>Table A2-1: GC/MS conditions for PBDE and HBB</w:t>
      </w:r>
    </w:p>
    <w:tbl>
      <w:tblPr>
        <w:tblW w:w="8825" w:type="dxa"/>
        <w:tblCellSpacing w:w="0" w:type="dxa"/>
        <w:tblCellMar>
          <w:left w:w="0" w:type="dxa"/>
          <w:right w:w="0" w:type="dxa"/>
        </w:tblCellMar>
        <w:tblLook w:val="0000"/>
      </w:tblPr>
      <w:tblGrid>
        <w:gridCol w:w="2051"/>
        <w:gridCol w:w="6774"/>
      </w:tblGrid>
      <w:tr w:rsidR="00CC1C95" w:rsidRPr="00EC556A">
        <w:trPr>
          <w:trHeight w:val="495"/>
          <w:tblCellSpacing w:w="0" w:type="dxa"/>
        </w:trPr>
        <w:tc>
          <w:tcPr>
            <w:tcW w:w="2051" w:type="dxa"/>
          </w:tcPr>
          <w:p w:rsidR="00CC1C95" w:rsidRPr="00EC556A" w:rsidRDefault="00CC1C95" w:rsidP="00EE0DB2">
            <w:r w:rsidRPr="00EC556A">
              <w:rPr>
                <w:bCs/>
              </w:rPr>
              <w:t>Instrument</w:t>
            </w:r>
          </w:p>
        </w:tc>
        <w:tc>
          <w:tcPr>
            <w:tcW w:w="6774" w:type="dxa"/>
          </w:tcPr>
          <w:p w:rsidR="00CC1C95" w:rsidRPr="00EC556A" w:rsidRDefault="00CC1C95" w:rsidP="00EE0DB2">
            <w:r w:rsidRPr="00EC556A">
              <w:rPr>
                <w:bCs/>
              </w:rPr>
              <w:t>LRMS or HRMS</w:t>
            </w:r>
          </w:p>
        </w:tc>
      </w:tr>
      <w:tr w:rsidR="00CC1C95" w:rsidRPr="00B600A2">
        <w:trPr>
          <w:trHeight w:val="300"/>
          <w:tblCellSpacing w:w="0" w:type="dxa"/>
        </w:trPr>
        <w:tc>
          <w:tcPr>
            <w:tcW w:w="2051" w:type="dxa"/>
          </w:tcPr>
          <w:p w:rsidR="00CC1C95" w:rsidRPr="00EC556A" w:rsidRDefault="00CC1C95" w:rsidP="00EE0DB2">
            <w:r w:rsidRPr="00EC556A">
              <w:rPr>
                <w:bCs/>
              </w:rPr>
              <w:t>Column</w:t>
            </w:r>
          </w:p>
        </w:tc>
        <w:tc>
          <w:tcPr>
            <w:tcW w:w="6774" w:type="dxa"/>
          </w:tcPr>
          <w:p w:rsidR="00CC1C95" w:rsidRPr="00EC556A" w:rsidRDefault="00CC1C95" w:rsidP="00EE0DB2">
            <w:r w:rsidRPr="00EC556A">
              <w:rPr>
                <w:bCs/>
              </w:rPr>
              <w:t xml:space="preserve">DB-5MS or ENV-5MS 15 m × 0.25 mm I.D. (0.1 μm) </w:t>
            </w:r>
          </w:p>
        </w:tc>
      </w:tr>
      <w:tr w:rsidR="00CC1C95" w:rsidRPr="00EC556A">
        <w:trPr>
          <w:trHeight w:val="300"/>
          <w:tblCellSpacing w:w="0" w:type="dxa"/>
        </w:trPr>
        <w:tc>
          <w:tcPr>
            <w:tcW w:w="2051" w:type="dxa"/>
          </w:tcPr>
          <w:p w:rsidR="00CC1C95" w:rsidRPr="00EC556A" w:rsidRDefault="00CC1C95" w:rsidP="00EE0DB2">
            <w:r w:rsidRPr="00EC556A">
              <w:t> </w:t>
            </w:r>
          </w:p>
        </w:tc>
        <w:tc>
          <w:tcPr>
            <w:tcW w:w="6774" w:type="dxa"/>
          </w:tcPr>
          <w:p w:rsidR="00CC1C95" w:rsidRPr="00EC556A" w:rsidRDefault="00CC1C95" w:rsidP="00EE0DB2">
            <w:r w:rsidRPr="00EC556A">
              <w:rPr>
                <w:bCs/>
              </w:rPr>
              <w:t>(5% Phenyl Polysilphenylene-siloxane)</w:t>
            </w:r>
          </w:p>
        </w:tc>
      </w:tr>
      <w:tr w:rsidR="00CC1C95" w:rsidRPr="00E77A35">
        <w:trPr>
          <w:trHeight w:val="495"/>
          <w:tblCellSpacing w:w="0" w:type="dxa"/>
        </w:trPr>
        <w:tc>
          <w:tcPr>
            <w:tcW w:w="2051" w:type="dxa"/>
          </w:tcPr>
          <w:p w:rsidR="00CC1C95" w:rsidRPr="00EC556A" w:rsidRDefault="00CC1C95" w:rsidP="00EE0DB2">
            <w:r w:rsidRPr="00EC556A">
              <w:rPr>
                <w:bCs/>
              </w:rPr>
              <w:t>GC prog</w:t>
            </w:r>
            <w:r w:rsidR="00201D6A">
              <w:rPr>
                <w:bCs/>
              </w:rPr>
              <w:t>ram</w:t>
            </w:r>
          </w:p>
        </w:tc>
        <w:tc>
          <w:tcPr>
            <w:tcW w:w="6774" w:type="dxa"/>
          </w:tcPr>
          <w:p w:rsidR="00CC1C95" w:rsidRPr="001149DF" w:rsidRDefault="00CC1C95" w:rsidP="00EE0DB2">
            <w:pPr>
              <w:rPr>
                <w:lang w:val="sv-SE"/>
              </w:rPr>
            </w:pPr>
            <w:r w:rsidRPr="001149DF">
              <w:rPr>
                <w:bCs/>
                <w:lang w:val="sv-SE"/>
              </w:rPr>
              <w:t>120 °C (1 min) – 20 °C/min – 200 °C (0 min) – 10 °C/min – 300 °C (10 min)</w:t>
            </w:r>
          </w:p>
        </w:tc>
      </w:tr>
      <w:tr w:rsidR="00CC1C95" w:rsidRPr="00EC556A">
        <w:trPr>
          <w:trHeight w:val="300"/>
          <w:tblCellSpacing w:w="0" w:type="dxa"/>
        </w:trPr>
        <w:tc>
          <w:tcPr>
            <w:tcW w:w="2051" w:type="dxa"/>
          </w:tcPr>
          <w:p w:rsidR="00CC1C95" w:rsidRPr="00EC556A" w:rsidRDefault="00CC1C95" w:rsidP="00EE0DB2">
            <w:r w:rsidRPr="00EC556A">
              <w:rPr>
                <w:bCs/>
              </w:rPr>
              <w:t>Inj.</w:t>
            </w:r>
          </w:p>
        </w:tc>
        <w:tc>
          <w:tcPr>
            <w:tcW w:w="6774" w:type="dxa"/>
          </w:tcPr>
          <w:p w:rsidR="00CC1C95" w:rsidRPr="00EC556A" w:rsidRDefault="00CC1C95" w:rsidP="00EE0DB2">
            <w:r w:rsidRPr="00EC556A">
              <w:rPr>
                <w:bCs/>
              </w:rPr>
              <w:t>On Column</w:t>
            </w:r>
          </w:p>
        </w:tc>
      </w:tr>
      <w:tr w:rsidR="00CC1C95" w:rsidRPr="00B600A2">
        <w:trPr>
          <w:trHeight w:val="300"/>
          <w:tblCellSpacing w:w="0" w:type="dxa"/>
        </w:trPr>
        <w:tc>
          <w:tcPr>
            <w:tcW w:w="2051" w:type="dxa"/>
          </w:tcPr>
          <w:p w:rsidR="00CC1C95" w:rsidRPr="00EC556A" w:rsidRDefault="00CC1C95" w:rsidP="00EE0DB2">
            <w:r w:rsidRPr="00EC556A">
              <w:rPr>
                <w:bCs/>
              </w:rPr>
              <w:t>Guard col.</w:t>
            </w:r>
          </w:p>
        </w:tc>
        <w:tc>
          <w:tcPr>
            <w:tcW w:w="6774" w:type="dxa"/>
          </w:tcPr>
          <w:p w:rsidR="00CC1C95" w:rsidRPr="00EC556A" w:rsidRDefault="00CC1C95" w:rsidP="00EE0DB2">
            <w:r w:rsidRPr="00EC556A">
              <w:rPr>
                <w:bCs/>
              </w:rPr>
              <w:t>Deactivated capillary 0.5 m × 0.53 mm I.D.</w:t>
            </w:r>
          </w:p>
        </w:tc>
      </w:tr>
      <w:tr w:rsidR="00CC1C95" w:rsidRPr="00E77A35">
        <w:trPr>
          <w:trHeight w:val="300"/>
          <w:tblCellSpacing w:w="0" w:type="dxa"/>
        </w:trPr>
        <w:tc>
          <w:tcPr>
            <w:tcW w:w="2051" w:type="dxa"/>
          </w:tcPr>
          <w:p w:rsidR="00CC1C95" w:rsidRPr="00EC556A" w:rsidRDefault="00CC1C95" w:rsidP="00EE0DB2">
            <w:r w:rsidRPr="00EC556A">
              <w:rPr>
                <w:bCs/>
              </w:rPr>
              <w:t>Inj. Temp.</w:t>
            </w:r>
          </w:p>
        </w:tc>
        <w:tc>
          <w:tcPr>
            <w:tcW w:w="6774" w:type="dxa"/>
          </w:tcPr>
          <w:p w:rsidR="00CC1C95" w:rsidRPr="001149DF" w:rsidRDefault="00CC1C95" w:rsidP="00EE0DB2">
            <w:pPr>
              <w:rPr>
                <w:lang w:val="sv-SE"/>
              </w:rPr>
            </w:pPr>
            <w:r w:rsidRPr="001149DF">
              <w:rPr>
                <w:bCs/>
                <w:lang w:val="sv-SE"/>
              </w:rPr>
              <w:t xml:space="preserve">120 °C (0.1 min) – 100 °C /min – 300 </w:t>
            </w:r>
            <w:r w:rsidR="00731741" w:rsidRPr="001149DF">
              <w:rPr>
                <w:bCs/>
                <w:lang w:val="sv-SE"/>
              </w:rPr>
              <w:t>°C</w:t>
            </w:r>
            <w:r w:rsidRPr="001149DF">
              <w:rPr>
                <w:bCs/>
                <w:lang w:val="sv-SE"/>
              </w:rPr>
              <w:t xml:space="preserve"> (15 min)</w:t>
            </w:r>
          </w:p>
        </w:tc>
      </w:tr>
      <w:tr w:rsidR="00CC1C95" w:rsidRPr="00EC556A">
        <w:trPr>
          <w:trHeight w:val="300"/>
          <w:tblCellSpacing w:w="0" w:type="dxa"/>
        </w:trPr>
        <w:tc>
          <w:tcPr>
            <w:tcW w:w="2051" w:type="dxa"/>
          </w:tcPr>
          <w:p w:rsidR="00CC1C95" w:rsidRPr="00EC556A" w:rsidRDefault="00CC1C95" w:rsidP="00EE0DB2">
            <w:r w:rsidRPr="00EC556A">
              <w:rPr>
                <w:bCs/>
              </w:rPr>
              <w:t>Inj. volume</w:t>
            </w:r>
          </w:p>
        </w:tc>
        <w:tc>
          <w:tcPr>
            <w:tcW w:w="6774" w:type="dxa"/>
          </w:tcPr>
          <w:p w:rsidR="00CC1C95" w:rsidRPr="00EC556A" w:rsidRDefault="00CC1C95" w:rsidP="00EE0DB2">
            <w:r w:rsidRPr="00EC556A">
              <w:rPr>
                <w:bCs/>
              </w:rPr>
              <w:t>2 μL</w:t>
            </w:r>
          </w:p>
        </w:tc>
      </w:tr>
      <w:tr w:rsidR="00CC1C95" w:rsidRPr="00EC556A">
        <w:trPr>
          <w:trHeight w:val="300"/>
          <w:tblCellSpacing w:w="0" w:type="dxa"/>
        </w:trPr>
        <w:tc>
          <w:tcPr>
            <w:tcW w:w="2051" w:type="dxa"/>
          </w:tcPr>
          <w:p w:rsidR="00CC1C95" w:rsidRPr="00EC556A" w:rsidRDefault="00CC1C95" w:rsidP="00EE0DB2">
            <w:r w:rsidRPr="00EC556A">
              <w:rPr>
                <w:bCs/>
              </w:rPr>
              <w:t>Carrier gas</w:t>
            </w:r>
          </w:p>
        </w:tc>
        <w:tc>
          <w:tcPr>
            <w:tcW w:w="6774" w:type="dxa"/>
          </w:tcPr>
          <w:p w:rsidR="00CC1C95" w:rsidRPr="00EC556A" w:rsidRDefault="00CC1C95" w:rsidP="00EE0DB2">
            <w:r w:rsidRPr="00EC556A">
              <w:rPr>
                <w:bCs/>
              </w:rPr>
              <w:t>He (1.0 mL/min)</w:t>
            </w:r>
          </w:p>
        </w:tc>
      </w:tr>
      <w:tr w:rsidR="00CC1C95" w:rsidRPr="00EC556A">
        <w:trPr>
          <w:trHeight w:val="300"/>
          <w:tblCellSpacing w:w="0" w:type="dxa"/>
        </w:trPr>
        <w:tc>
          <w:tcPr>
            <w:tcW w:w="2051" w:type="dxa"/>
            <w:vAlign w:val="center"/>
          </w:tcPr>
          <w:p w:rsidR="00CC1C95" w:rsidRPr="00EC556A" w:rsidRDefault="00CC1C95" w:rsidP="00EE0DB2">
            <w:r w:rsidRPr="00EC556A">
              <w:rPr>
                <w:bCs/>
              </w:rPr>
              <w:t>Ionization</w:t>
            </w:r>
          </w:p>
        </w:tc>
        <w:tc>
          <w:tcPr>
            <w:tcW w:w="6774" w:type="dxa"/>
            <w:vAlign w:val="center"/>
          </w:tcPr>
          <w:p w:rsidR="00CC1C95" w:rsidRPr="00EC556A" w:rsidRDefault="00CC1C95" w:rsidP="00EE0DB2">
            <w:r w:rsidRPr="00EC556A">
              <w:rPr>
                <w:bCs/>
              </w:rPr>
              <w:t>EI</w:t>
            </w:r>
          </w:p>
        </w:tc>
      </w:tr>
      <w:tr w:rsidR="00CC1C95" w:rsidRPr="00EC556A">
        <w:trPr>
          <w:trHeight w:val="300"/>
          <w:tblCellSpacing w:w="0" w:type="dxa"/>
        </w:trPr>
        <w:tc>
          <w:tcPr>
            <w:tcW w:w="2051" w:type="dxa"/>
          </w:tcPr>
          <w:p w:rsidR="00CC1C95" w:rsidRPr="00EC556A" w:rsidRDefault="00CC1C95" w:rsidP="00EE0DB2">
            <w:r w:rsidRPr="00EC556A">
              <w:rPr>
                <w:bCs/>
              </w:rPr>
              <w:t>Electron Voltage</w:t>
            </w:r>
          </w:p>
        </w:tc>
        <w:tc>
          <w:tcPr>
            <w:tcW w:w="6774" w:type="dxa"/>
          </w:tcPr>
          <w:p w:rsidR="00CC1C95" w:rsidRPr="00EC556A" w:rsidRDefault="00CC1C95" w:rsidP="00EE0DB2">
            <w:r w:rsidRPr="00EC556A">
              <w:rPr>
                <w:bCs/>
              </w:rPr>
              <w:t>30</w:t>
            </w:r>
            <w:r w:rsidRPr="00EC556A">
              <w:rPr>
                <w:rFonts w:hint="eastAsia"/>
                <w:bCs/>
              </w:rPr>
              <w:t>～</w:t>
            </w:r>
            <w:r w:rsidRPr="00EC556A">
              <w:rPr>
                <w:bCs/>
              </w:rPr>
              <w:t>40 eV</w:t>
            </w:r>
          </w:p>
        </w:tc>
      </w:tr>
      <w:tr w:rsidR="00CC1C95" w:rsidRPr="00EC556A">
        <w:trPr>
          <w:trHeight w:val="300"/>
          <w:tblCellSpacing w:w="0" w:type="dxa"/>
        </w:trPr>
        <w:tc>
          <w:tcPr>
            <w:tcW w:w="2051" w:type="dxa"/>
          </w:tcPr>
          <w:p w:rsidR="00CC1C95" w:rsidRPr="00EC556A" w:rsidRDefault="00CC1C95" w:rsidP="00EE0DB2">
            <w:r w:rsidRPr="00EC556A">
              <w:rPr>
                <w:bCs/>
              </w:rPr>
              <w:t>Trap Current</w:t>
            </w:r>
          </w:p>
        </w:tc>
        <w:tc>
          <w:tcPr>
            <w:tcW w:w="6774" w:type="dxa"/>
          </w:tcPr>
          <w:p w:rsidR="00CC1C95" w:rsidRPr="00EC556A" w:rsidRDefault="00CC1C95" w:rsidP="00EE0DB2">
            <w:r w:rsidRPr="00EC556A">
              <w:rPr>
                <w:bCs/>
              </w:rPr>
              <w:t>500 μA</w:t>
            </w:r>
          </w:p>
        </w:tc>
      </w:tr>
      <w:tr w:rsidR="00CC1C95" w:rsidRPr="00EC556A">
        <w:trPr>
          <w:trHeight w:val="300"/>
          <w:tblCellSpacing w:w="0" w:type="dxa"/>
        </w:trPr>
        <w:tc>
          <w:tcPr>
            <w:tcW w:w="2051" w:type="dxa"/>
            <w:vAlign w:val="center"/>
          </w:tcPr>
          <w:p w:rsidR="00CC1C95" w:rsidRPr="00EC556A" w:rsidRDefault="00CC1C95" w:rsidP="00EE0DB2">
            <w:r w:rsidRPr="00EC556A">
              <w:rPr>
                <w:bCs/>
              </w:rPr>
              <w:t>Accelerated Voltage</w:t>
            </w:r>
          </w:p>
        </w:tc>
        <w:tc>
          <w:tcPr>
            <w:tcW w:w="6774" w:type="dxa"/>
            <w:vAlign w:val="center"/>
          </w:tcPr>
          <w:p w:rsidR="00CC1C95" w:rsidRPr="00EC556A" w:rsidRDefault="00CC1C95" w:rsidP="00EE0DB2">
            <w:r w:rsidRPr="00EC556A">
              <w:rPr>
                <w:bCs/>
              </w:rPr>
              <w:t>8 kV</w:t>
            </w:r>
          </w:p>
        </w:tc>
      </w:tr>
      <w:tr w:rsidR="00CC1C95" w:rsidRPr="00EC556A">
        <w:trPr>
          <w:trHeight w:val="300"/>
          <w:tblCellSpacing w:w="0" w:type="dxa"/>
        </w:trPr>
        <w:tc>
          <w:tcPr>
            <w:tcW w:w="2051" w:type="dxa"/>
          </w:tcPr>
          <w:p w:rsidR="00CC1C95" w:rsidRPr="00EC556A" w:rsidRDefault="00CC1C95" w:rsidP="00EE0DB2">
            <w:r w:rsidRPr="00EC556A">
              <w:rPr>
                <w:bCs/>
              </w:rPr>
              <w:t>Interface temp.</w:t>
            </w:r>
          </w:p>
        </w:tc>
        <w:tc>
          <w:tcPr>
            <w:tcW w:w="6774" w:type="dxa"/>
          </w:tcPr>
          <w:p w:rsidR="00CC1C95" w:rsidRPr="00EC556A" w:rsidRDefault="00CC1C95" w:rsidP="00EE0DB2">
            <w:r w:rsidRPr="00EC556A">
              <w:rPr>
                <w:bCs/>
              </w:rPr>
              <w:t>300 °C</w:t>
            </w:r>
          </w:p>
        </w:tc>
      </w:tr>
      <w:tr w:rsidR="00CC1C95" w:rsidRPr="00EC556A">
        <w:trPr>
          <w:trHeight w:val="300"/>
          <w:tblCellSpacing w:w="0" w:type="dxa"/>
        </w:trPr>
        <w:tc>
          <w:tcPr>
            <w:tcW w:w="2051" w:type="dxa"/>
          </w:tcPr>
          <w:p w:rsidR="00CC1C95" w:rsidRPr="00EC556A" w:rsidRDefault="00CC1C95" w:rsidP="00EE0DB2">
            <w:r w:rsidRPr="00EC556A">
              <w:rPr>
                <w:bCs/>
              </w:rPr>
              <w:t>Ion source temp.</w:t>
            </w:r>
          </w:p>
        </w:tc>
        <w:tc>
          <w:tcPr>
            <w:tcW w:w="6774" w:type="dxa"/>
          </w:tcPr>
          <w:p w:rsidR="00CC1C95" w:rsidRPr="00EC556A" w:rsidRDefault="00CC1C95" w:rsidP="00EE0DB2">
            <w:r w:rsidRPr="00EC556A">
              <w:rPr>
                <w:bCs/>
              </w:rPr>
              <w:t>300 °C</w:t>
            </w:r>
          </w:p>
        </w:tc>
      </w:tr>
      <w:tr w:rsidR="00CC1C95" w:rsidRPr="00EC556A">
        <w:trPr>
          <w:trHeight w:val="300"/>
          <w:tblCellSpacing w:w="0" w:type="dxa"/>
        </w:trPr>
        <w:tc>
          <w:tcPr>
            <w:tcW w:w="2051" w:type="dxa"/>
            <w:vAlign w:val="center"/>
          </w:tcPr>
          <w:p w:rsidR="00CC1C95" w:rsidRPr="00EC556A" w:rsidRDefault="00CC1C95" w:rsidP="00EE0DB2">
            <w:r w:rsidRPr="00EC556A">
              <w:rPr>
                <w:bCs/>
              </w:rPr>
              <w:t>Detection</w:t>
            </w:r>
          </w:p>
        </w:tc>
        <w:tc>
          <w:tcPr>
            <w:tcW w:w="6774" w:type="dxa"/>
            <w:vAlign w:val="center"/>
          </w:tcPr>
          <w:p w:rsidR="00CC1C95" w:rsidRPr="00EC556A" w:rsidRDefault="00731741" w:rsidP="00EE0DB2">
            <w:r>
              <w:rPr>
                <w:bCs/>
              </w:rPr>
              <w:t xml:space="preserve">SRM (e.g. </w:t>
            </w:r>
            <w:r w:rsidR="00CC1C95" w:rsidRPr="00EC556A">
              <w:rPr>
                <w:bCs/>
              </w:rPr>
              <w:t>SIM</w:t>
            </w:r>
            <w:r>
              <w:rPr>
                <w:bCs/>
              </w:rPr>
              <w:t>)</w:t>
            </w:r>
          </w:p>
        </w:tc>
      </w:tr>
      <w:tr w:rsidR="00CC1C95" w:rsidRPr="00B600A2">
        <w:trPr>
          <w:trHeight w:val="300"/>
          <w:tblCellSpacing w:w="0" w:type="dxa"/>
        </w:trPr>
        <w:tc>
          <w:tcPr>
            <w:tcW w:w="2051" w:type="dxa"/>
          </w:tcPr>
          <w:p w:rsidR="00CC1C95" w:rsidRPr="00EC556A" w:rsidRDefault="00CC1C95" w:rsidP="00EE0DB2">
            <w:r w:rsidRPr="00EC556A">
              <w:rPr>
                <w:bCs/>
              </w:rPr>
              <w:t>Resolution</w:t>
            </w:r>
          </w:p>
        </w:tc>
        <w:tc>
          <w:tcPr>
            <w:tcW w:w="6774" w:type="dxa"/>
          </w:tcPr>
          <w:p w:rsidR="00CC1C95" w:rsidRPr="00EC556A" w:rsidRDefault="00CC1C95" w:rsidP="00EE0DB2">
            <w:r w:rsidRPr="00EC556A">
              <w:rPr>
                <w:bCs/>
              </w:rPr>
              <w:t>High resolution or low resolution</w:t>
            </w:r>
          </w:p>
        </w:tc>
      </w:tr>
    </w:tbl>
    <w:p w:rsidR="00CC1C95" w:rsidRPr="00EC556A" w:rsidRDefault="00CC1C95" w:rsidP="00EE0DB2"/>
    <w:p w:rsidR="00CC1C95" w:rsidRPr="00EC556A" w:rsidRDefault="00CC1C95" w:rsidP="00EE0DB2">
      <w:pPr>
        <w:jc w:val="left"/>
      </w:pPr>
    </w:p>
    <w:p w:rsidR="00CC1C95" w:rsidRPr="00EC556A" w:rsidRDefault="00CC1C95" w:rsidP="00A165BC">
      <w:pPr>
        <w:pStyle w:val="Heading3"/>
        <w:numPr>
          <w:ilvl w:val="0"/>
          <w:numId w:val="0"/>
        </w:numPr>
        <w:snapToGrid/>
        <w:spacing w:before="240" w:after="60" w:line="276" w:lineRule="auto"/>
        <w:jc w:val="both"/>
      </w:pPr>
      <w:r w:rsidRPr="00EC556A">
        <w:br w:type="page"/>
      </w:r>
      <w:bookmarkStart w:id="544" w:name="_Toc349335822"/>
      <w:r w:rsidRPr="00EC556A">
        <w:t>PBDE masses and mass windows</w:t>
      </w:r>
      <w:bookmarkEnd w:id="544"/>
      <w:r w:rsidRPr="00EC556A">
        <w:t xml:space="preserve"> </w:t>
      </w:r>
    </w:p>
    <w:p w:rsidR="00CC1C95" w:rsidRPr="00EC556A" w:rsidRDefault="00CC1C95" w:rsidP="00EE0DB2"/>
    <w:p w:rsidR="00CC1C95" w:rsidRPr="00EC556A" w:rsidRDefault="00CC1C95" w:rsidP="004E0A1B">
      <w:r w:rsidRPr="00EC556A">
        <w:t xml:space="preserve">Table A2-2: Masses </w:t>
      </w:r>
      <w:r w:rsidR="00731741">
        <w:t>of detected ions (</w:t>
      </w:r>
      <w:r w:rsidR="00731741" w:rsidRPr="00731741">
        <w:rPr>
          <w:i/>
        </w:rPr>
        <w:t>m/z</w:t>
      </w:r>
      <w:r w:rsidR="00731741">
        <w:t xml:space="preserve">’s) </w:t>
      </w:r>
      <w:r w:rsidRPr="00EC556A">
        <w:t>for PBDE (HRMS masses; for LRMS reduce</w:t>
      </w:r>
      <w:r w:rsidR="00D21BDD">
        <w:t>d</w:t>
      </w:r>
      <w:r w:rsidRPr="00EC556A">
        <w:t xml:space="preserve"> digits)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09"/>
        <w:gridCol w:w="1629"/>
        <w:gridCol w:w="1629"/>
      </w:tblGrid>
      <w:tr w:rsidR="00CC1C95" w:rsidRPr="00EC556A">
        <w:tc>
          <w:tcPr>
            <w:tcW w:w="390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b/>
                <w:bCs/>
              </w:rPr>
            </w:pPr>
            <w:r w:rsidRPr="00EC556A">
              <w:rPr>
                <w:b/>
                <w:bCs/>
              </w:rPr>
              <w:t>Compounds within GC time windows</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b/>
                <w:bCs/>
              </w:rPr>
            </w:pPr>
            <w:r w:rsidRPr="00EC556A">
              <w:rPr>
                <w:b/>
                <w:bCs/>
              </w:rPr>
              <w:t>Quantification</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b/>
                <w:bCs/>
              </w:rPr>
            </w:pPr>
            <w:r w:rsidRPr="00EC556A">
              <w:rPr>
                <w:b/>
                <w:bCs/>
              </w:rPr>
              <w:t>Confirmation</w:t>
            </w:r>
          </w:p>
        </w:tc>
      </w:tr>
      <w:tr w:rsidR="00CC1C95" w:rsidRPr="00EC556A">
        <w:tc>
          <w:tcPr>
            <w:tcW w:w="390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b/>
                <w:bCs/>
                <w:sz w:val="20"/>
              </w:rPr>
            </w:pPr>
            <w:r w:rsidRPr="00EC556A">
              <w:rPr>
                <w:b/>
                <w:bCs/>
                <w:sz w:val="20"/>
              </w:rPr>
              <w:t xml:space="preserve">Tetrabromodiphenylether </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485.7112</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483.7132</w:t>
            </w:r>
          </w:p>
        </w:tc>
      </w:tr>
      <w:tr w:rsidR="00CC1C95" w:rsidRPr="00EC556A">
        <w:tc>
          <w:tcPr>
            <w:tcW w:w="390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b/>
                <w:bCs/>
                <w:sz w:val="20"/>
              </w:rPr>
            </w:pPr>
            <w:r w:rsidRPr="00EC556A">
              <w:rPr>
                <w:b/>
                <w:bCs/>
                <w:sz w:val="20"/>
              </w:rPr>
              <w:t xml:space="preserve">Pentabromodiphenylether </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563.6216</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565.6197</w:t>
            </w:r>
          </w:p>
        </w:tc>
      </w:tr>
      <w:tr w:rsidR="00CC1C95" w:rsidRPr="00EC556A">
        <w:tc>
          <w:tcPr>
            <w:tcW w:w="390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b/>
                <w:bCs/>
                <w:sz w:val="20"/>
              </w:rPr>
            </w:pPr>
            <w:r w:rsidRPr="00EC556A">
              <w:rPr>
                <w:b/>
                <w:bCs/>
                <w:sz w:val="20"/>
              </w:rPr>
              <w:t>Tetrabromo[</w:t>
            </w:r>
            <w:r w:rsidRPr="00201D6A">
              <w:rPr>
                <w:b/>
                <w:bCs/>
                <w:sz w:val="20"/>
                <w:vertAlign w:val="superscript"/>
              </w:rPr>
              <w:t>13</w:t>
            </w:r>
            <w:r w:rsidRPr="00EC556A">
              <w:rPr>
                <w:b/>
                <w:bCs/>
                <w:i/>
                <w:iCs/>
                <w:sz w:val="20"/>
              </w:rPr>
              <w:t>C</w:t>
            </w:r>
            <w:r w:rsidRPr="00731741">
              <w:rPr>
                <w:b/>
                <w:bCs/>
                <w:sz w:val="20"/>
                <w:vertAlign w:val="subscript"/>
              </w:rPr>
              <w:t>12</w:t>
            </w:r>
            <w:r w:rsidRPr="00EC556A">
              <w:rPr>
                <w:b/>
                <w:bCs/>
                <w:sz w:val="20"/>
              </w:rPr>
              <w:t xml:space="preserve">]diphenylether </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497.7513</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495.7534</w:t>
            </w:r>
          </w:p>
        </w:tc>
      </w:tr>
      <w:tr w:rsidR="00CC1C95" w:rsidRPr="00EC556A">
        <w:tc>
          <w:tcPr>
            <w:tcW w:w="390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b/>
                <w:bCs/>
                <w:sz w:val="20"/>
              </w:rPr>
            </w:pPr>
            <w:r w:rsidRPr="00EC556A">
              <w:rPr>
                <w:b/>
                <w:bCs/>
                <w:sz w:val="20"/>
              </w:rPr>
              <w:t>Perfluorokerosene</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492.9697</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p>
        </w:tc>
      </w:tr>
      <w:tr w:rsidR="00CC1C95" w:rsidRPr="00EC556A">
        <w:tc>
          <w:tcPr>
            <w:tcW w:w="390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b/>
                <w:bCs/>
                <w:sz w:val="20"/>
              </w:rPr>
            </w:pPr>
            <w:r w:rsidRPr="00EC556A">
              <w:rPr>
                <w:b/>
                <w:bCs/>
                <w:sz w:val="20"/>
              </w:rPr>
              <w:t xml:space="preserve">Pentabromodiphenylether </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565.6197</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563.6216</w:t>
            </w:r>
          </w:p>
        </w:tc>
      </w:tr>
      <w:tr w:rsidR="00CC1C95" w:rsidRPr="00EC556A">
        <w:trPr>
          <w:trHeight w:val="93"/>
        </w:trPr>
        <w:tc>
          <w:tcPr>
            <w:tcW w:w="390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b/>
                <w:bCs/>
                <w:sz w:val="20"/>
              </w:rPr>
            </w:pP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p>
        </w:tc>
      </w:tr>
      <w:tr w:rsidR="00CC1C95" w:rsidRPr="00EC556A">
        <w:tc>
          <w:tcPr>
            <w:tcW w:w="390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b/>
                <w:bCs/>
                <w:sz w:val="20"/>
              </w:rPr>
            </w:pPr>
            <w:r w:rsidRPr="00EC556A">
              <w:rPr>
                <w:b/>
                <w:bCs/>
                <w:sz w:val="20"/>
              </w:rPr>
              <w:t xml:space="preserve">Hexabromodiphenylether (M-2Br) </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 xml:space="preserve">483.6955 </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481.6975</w:t>
            </w:r>
          </w:p>
        </w:tc>
      </w:tr>
      <w:tr w:rsidR="00CC1C95" w:rsidRPr="00EC556A">
        <w:tc>
          <w:tcPr>
            <w:tcW w:w="390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b/>
                <w:bCs/>
                <w:sz w:val="20"/>
              </w:rPr>
            </w:pPr>
            <w:r w:rsidRPr="00EC556A">
              <w:rPr>
                <w:b/>
                <w:bCs/>
                <w:sz w:val="20"/>
              </w:rPr>
              <w:t xml:space="preserve">Heptabromodiphenylether (M-2Br) </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 xml:space="preserve">561.6060 </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563.6040</w:t>
            </w:r>
          </w:p>
        </w:tc>
      </w:tr>
      <w:tr w:rsidR="00CC1C95" w:rsidRPr="00EC556A">
        <w:tc>
          <w:tcPr>
            <w:tcW w:w="390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b/>
                <w:bCs/>
                <w:sz w:val="20"/>
              </w:rPr>
            </w:pPr>
            <w:r w:rsidRPr="00EC556A">
              <w:rPr>
                <w:b/>
                <w:bCs/>
                <w:sz w:val="20"/>
              </w:rPr>
              <w:t>Pentabromo[</w:t>
            </w:r>
            <w:r w:rsidRPr="00D21BDD">
              <w:rPr>
                <w:b/>
                <w:bCs/>
                <w:sz w:val="20"/>
                <w:vertAlign w:val="superscript"/>
              </w:rPr>
              <w:t>13</w:t>
            </w:r>
            <w:r w:rsidRPr="00EC556A">
              <w:rPr>
                <w:b/>
                <w:bCs/>
                <w:i/>
                <w:iCs/>
                <w:sz w:val="20"/>
              </w:rPr>
              <w:t>C</w:t>
            </w:r>
            <w:r w:rsidRPr="00731741">
              <w:rPr>
                <w:b/>
                <w:bCs/>
                <w:sz w:val="20"/>
                <w:vertAlign w:val="subscript"/>
              </w:rPr>
              <w:t>12</w:t>
            </w:r>
            <w:r w:rsidRPr="00EC556A">
              <w:rPr>
                <w:b/>
                <w:bCs/>
                <w:sz w:val="20"/>
              </w:rPr>
              <w:t xml:space="preserve">]diphenylether </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 xml:space="preserve">577.6598 </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575.6618</w:t>
            </w:r>
          </w:p>
        </w:tc>
      </w:tr>
      <w:tr w:rsidR="00CC1C95" w:rsidRPr="00EC556A">
        <w:tc>
          <w:tcPr>
            <w:tcW w:w="390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b/>
                <w:bCs/>
                <w:sz w:val="20"/>
              </w:rPr>
            </w:pPr>
            <w:r w:rsidRPr="00EC556A">
              <w:rPr>
                <w:b/>
                <w:bCs/>
                <w:sz w:val="20"/>
              </w:rPr>
              <w:t>Hexabromo[</w:t>
            </w:r>
            <w:r w:rsidRPr="00D21BDD">
              <w:rPr>
                <w:b/>
                <w:bCs/>
                <w:sz w:val="20"/>
                <w:vertAlign w:val="superscript"/>
              </w:rPr>
              <w:t>13</w:t>
            </w:r>
            <w:r w:rsidRPr="00EC556A">
              <w:rPr>
                <w:b/>
                <w:bCs/>
                <w:i/>
                <w:iCs/>
                <w:sz w:val="20"/>
              </w:rPr>
              <w:t>C</w:t>
            </w:r>
            <w:r w:rsidRPr="00731741">
              <w:rPr>
                <w:b/>
                <w:bCs/>
                <w:sz w:val="20"/>
                <w:vertAlign w:val="subscript"/>
              </w:rPr>
              <w:t>12</w:t>
            </w:r>
            <w:r w:rsidRPr="00EC556A">
              <w:rPr>
                <w:b/>
                <w:bCs/>
                <w:sz w:val="20"/>
              </w:rPr>
              <w:t>]diphenylether(M-2Br)</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495.7357</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493.7377</w:t>
            </w:r>
          </w:p>
        </w:tc>
      </w:tr>
      <w:tr w:rsidR="00CC1C95" w:rsidRPr="00EC556A">
        <w:tc>
          <w:tcPr>
            <w:tcW w:w="390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b/>
                <w:bCs/>
                <w:sz w:val="20"/>
              </w:rPr>
            </w:pPr>
            <w:r w:rsidRPr="00EC556A">
              <w:rPr>
                <w:b/>
                <w:bCs/>
                <w:sz w:val="20"/>
              </w:rPr>
              <w:t>Heptabromo[</w:t>
            </w:r>
            <w:r w:rsidRPr="00D21BDD">
              <w:rPr>
                <w:b/>
                <w:bCs/>
                <w:sz w:val="20"/>
                <w:vertAlign w:val="superscript"/>
              </w:rPr>
              <w:t>13</w:t>
            </w:r>
            <w:r w:rsidRPr="00EC556A">
              <w:rPr>
                <w:b/>
                <w:bCs/>
                <w:i/>
                <w:iCs/>
                <w:sz w:val="20"/>
              </w:rPr>
              <w:t>C</w:t>
            </w:r>
            <w:r w:rsidRPr="00731741">
              <w:rPr>
                <w:b/>
                <w:bCs/>
                <w:sz w:val="20"/>
                <w:vertAlign w:val="subscript"/>
              </w:rPr>
              <w:t>12</w:t>
            </w:r>
            <w:r w:rsidRPr="00EC556A">
              <w:rPr>
                <w:b/>
                <w:bCs/>
                <w:sz w:val="20"/>
              </w:rPr>
              <w:t xml:space="preserve">]diphenylether(M-2Br) </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573.6462</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575.6442</w:t>
            </w:r>
          </w:p>
        </w:tc>
      </w:tr>
      <w:tr w:rsidR="00CC1C95" w:rsidRPr="00EC556A">
        <w:tc>
          <w:tcPr>
            <w:tcW w:w="390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b/>
                <w:bCs/>
                <w:sz w:val="20"/>
              </w:rPr>
            </w:pPr>
            <w:r w:rsidRPr="00EC556A">
              <w:rPr>
                <w:b/>
                <w:bCs/>
                <w:sz w:val="20"/>
              </w:rPr>
              <w:t xml:space="preserve">Perfluorokerosene </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530.9664</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p>
        </w:tc>
      </w:tr>
      <w:tr w:rsidR="00CC1C95" w:rsidRPr="00EC556A">
        <w:tc>
          <w:tcPr>
            <w:tcW w:w="390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b/>
                <w:bCs/>
                <w:sz w:val="20"/>
              </w:rPr>
            </w:pP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p>
        </w:tc>
      </w:tr>
      <w:tr w:rsidR="00CC1C95" w:rsidRPr="00EC556A">
        <w:tc>
          <w:tcPr>
            <w:tcW w:w="390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b/>
                <w:bCs/>
                <w:sz w:val="20"/>
              </w:rPr>
            </w:pPr>
            <w:r w:rsidRPr="00EC556A">
              <w:rPr>
                <w:b/>
                <w:bCs/>
                <w:sz w:val="20"/>
              </w:rPr>
              <w:t xml:space="preserve">Hexabromodiphenylether (M-2Br) </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483.6955</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481.6975</w:t>
            </w:r>
          </w:p>
        </w:tc>
      </w:tr>
      <w:tr w:rsidR="00CC1C95" w:rsidRPr="00EC556A">
        <w:tc>
          <w:tcPr>
            <w:tcW w:w="390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b/>
                <w:bCs/>
                <w:sz w:val="20"/>
              </w:rPr>
            </w:pPr>
            <w:r w:rsidRPr="00EC556A">
              <w:rPr>
                <w:b/>
                <w:bCs/>
                <w:sz w:val="20"/>
              </w:rPr>
              <w:t xml:space="preserve">Heptabromodiphenylether (M-2Br) </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561.6060</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563.6040</w:t>
            </w:r>
          </w:p>
        </w:tc>
      </w:tr>
      <w:tr w:rsidR="00CC1C95" w:rsidRPr="00EC556A">
        <w:tc>
          <w:tcPr>
            <w:tcW w:w="390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b/>
                <w:bCs/>
                <w:sz w:val="20"/>
              </w:rPr>
            </w:pPr>
            <w:r w:rsidRPr="00EC556A">
              <w:rPr>
                <w:b/>
                <w:bCs/>
                <w:sz w:val="20"/>
              </w:rPr>
              <w:t>Heptabromo[</w:t>
            </w:r>
            <w:r w:rsidRPr="00D21BDD">
              <w:rPr>
                <w:b/>
                <w:bCs/>
                <w:sz w:val="20"/>
                <w:vertAlign w:val="superscript"/>
              </w:rPr>
              <w:t>13</w:t>
            </w:r>
            <w:r w:rsidRPr="00EC556A">
              <w:rPr>
                <w:b/>
                <w:bCs/>
                <w:i/>
                <w:iCs/>
                <w:sz w:val="20"/>
              </w:rPr>
              <w:t>C</w:t>
            </w:r>
            <w:r w:rsidRPr="00731741">
              <w:rPr>
                <w:b/>
                <w:bCs/>
                <w:sz w:val="20"/>
                <w:vertAlign w:val="subscript"/>
              </w:rPr>
              <w:t>12</w:t>
            </w:r>
            <w:r w:rsidRPr="00EC556A">
              <w:rPr>
                <w:b/>
                <w:bCs/>
                <w:sz w:val="20"/>
              </w:rPr>
              <w:t xml:space="preserve">]diphenylether(M-2Br) </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573.6462</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575.6442</w:t>
            </w:r>
          </w:p>
        </w:tc>
      </w:tr>
      <w:tr w:rsidR="00CC1C95" w:rsidRPr="00EC556A">
        <w:tc>
          <w:tcPr>
            <w:tcW w:w="390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b/>
                <w:bCs/>
                <w:sz w:val="20"/>
              </w:rPr>
            </w:pPr>
            <w:r w:rsidRPr="00EC556A">
              <w:rPr>
                <w:b/>
                <w:bCs/>
                <w:sz w:val="20"/>
              </w:rPr>
              <w:t xml:space="preserve">Perfluorokerosene </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566.9665</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p>
        </w:tc>
      </w:tr>
      <w:tr w:rsidR="00CC1C95" w:rsidRPr="00EC556A">
        <w:tc>
          <w:tcPr>
            <w:tcW w:w="390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b/>
                <w:bCs/>
                <w:sz w:val="20"/>
              </w:rPr>
            </w:pP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p>
        </w:tc>
      </w:tr>
      <w:tr w:rsidR="00CC1C95" w:rsidRPr="00EC556A">
        <w:tc>
          <w:tcPr>
            <w:tcW w:w="390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b/>
                <w:bCs/>
                <w:sz w:val="20"/>
              </w:rPr>
            </w:pPr>
            <w:r w:rsidRPr="00EC556A">
              <w:rPr>
                <w:b/>
                <w:bCs/>
                <w:sz w:val="20"/>
              </w:rPr>
              <w:t xml:space="preserve">Octabromodiphenylether (M-2Br) </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641.5145</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639.5165</w:t>
            </w:r>
          </w:p>
        </w:tc>
      </w:tr>
      <w:tr w:rsidR="00CC1C95" w:rsidRPr="00EC556A">
        <w:tc>
          <w:tcPr>
            <w:tcW w:w="390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b/>
                <w:bCs/>
                <w:sz w:val="20"/>
              </w:rPr>
            </w:pPr>
            <w:r w:rsidRPr="00EC556A">
              <w:rPr>
                <w:b/>
                <w:bCs/>
                <w:sz w:val="20"/>
              </w:rPr>
              <w:t>Octabromo[</w:t>
            </w:r>
            <w:r w:rsidRPr="00D21BDD">
              <w:rPr>
                <w:b/>
                <w:bCs/>
                <w:sz w:val="20"/>
                <w:vertAlign w:val="superscript"/>
              </w:rPr>
              <w:t>13</w:t>
            </w:r>
            <w:r w:rsidRPr="00EC556A">
              <w:rPr>
                <w:b/>
                <w:bCs/>
                <w:i/>
                <w:iCs/>
                <w:sz w:val="20"/>
              </w:rPr>
              <w:t>C</w:t>
            </w:r>
            <w:r w:rsidRPr="00731741">
              <w:rPr>
                <w:b/>
                <w:bCs/>
                <w:sz w:val="20"/>
                <w:vertAlign w:val="subscript"/>
              </w:rPr>
              <w:t>12</w:t>
            </w:r>
            <w:r w:rsidRPr="00EC556A">
              <w:rPr>
                <w:b/>
                <w:bCs/>
                <w:sz w:val="20"/>
              </w:rPr>
              <w:t>]diphenylether(M-2Br)</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653.5546</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651.5567</w:t>
            </w:r>
          </w:p>
        </w:tc>
      </w:tr>
      <w:tr w:rsidR="00CC1C95" w:rsidRPr="00EC556A">
        <w:tc>
          <w:tcPr>
            <w:tcW w:w="390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b/>
                <w:bCs/>
                <w:sz w:val="20"/>
              </w:rPr>
            </w:pPr>
            <w:r w:rsidRPr="00EC556A">
              <w:rPr>
                <w:b/>
                <w:bCs/>
                <w:sz w:val="20"/>
              </w:rPr>
              <w:t xml:space="preserve">Perfluorokerosene </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642.9601</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p>
        </w:tc>
      </w:tr>
      <w:tr w:rsidR="00CC1C95" w:rsidRPr="00EC556A">
        <w:tc>
          <w:tcPr>
            <w:tcW w:w="390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b/>
                <w:bCs/>
                <w:sz w:val="20"/>
              </w:rPr>
            </w:pPr>
            <w:r w:rsidRPr="00EC556A">
              <w:rPr>
                <w:b/>
                <w:bCs/>
                <w:sz w:val="20"/>
              </w:rPr>
              <w:t>Nonabromodiphenylether (M-2Br)</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719.4250</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721.4230</w:t>
            </w:r>
          </w:p>
        </w:tc>
      </w:tr>
      <w:tr w:rsidR="00CC1C95" w:rsidRPr="00EC556A">
        <w:tc>
          <w:tcPr>
            <w:tcW w:w="390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b/>
                <w:bCs/>
                <w:sz w:val="20"/>
              </w:rPr>
            </w:pPr>
            <w:r w:rsidRPr="00EC556A">
              <w:rPr>
                <w:b/>
                <w:bCs/>
                <w:sz w:val="20"/>
              </w:rPr>
              <w:t>Nonabromo[</w:t>
            </w:r>
            <w:r w:rsidRPr="00D21BDD">
              <w:rPr>
                <w:b/>
                <w:bCs/>
                <w:sz w:val="20"/>
                <w:vertAlign w:val="superscript"/>
              </w:rPr>
              <w:t>13</w:t>
            </w:r>
            <w:r w:rsidRPr="00EC556A">
              <w:rPr>
                <w:b/>
                <w:bCs/>
                <w:i/>
                <w:iCs/>
                <w:sz w:val="20"/>
              </w:rPr>
              <w:t>C</w:t>
            </w:r>
            <w:r w:rsidRPr="00731741">
              <w:rPr>
                <w:b/>
                <w:bCs/>
                <w:sz w:val="20"/>
                <w:vertAlign w:val="subscript"/>
              </w:rPr>
              <w:t>12</w:t>
            </w:r>
            <w:r w:rsidRPr="00EC556A">
              <w:rPr>
                <w:b/>
                <w:bCs/>
                <w:sz w:val="20"/>
              </w:rPr>
              <w:t>]diphenylether(M-2Br)</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731.4651</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733.4631</w:t>
            </w:r>
          </w:p>
        </w:tc>
      </w:tr>
      <w:tr w:rsidR="00CC1C95" w:rsidRPr="00EC556A">
        <w:tc>
          <w:tcPr>
            <w:tcW w:w="390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b/>
                <w:bCs/>
                <w:sz w:val="20"/>
              </w:rPr>
            </w:pPr>
            <w:r w:rsidRPr="00EC556A">
              <w:rPr>
                <w:b/>
                <w:bCs/>
                <w:sz w:val="20"/>
              </w:rPr>
              <w:t xml:space="preserve">Perfluorokerosene </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730.9537</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p>
        </w:tc>
      </w:tr>
      <w:tr w:rsidR="00CC1C95" w:rsidRPr="00EC556A">
        <w:tc>
          <w:tcPr>
            <w:tcW w:w="390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b/>
                <w:bCs/>
                <w:sz w:val="20"/>
              </w:rPr>
            </w:pP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p>
        </w:tc>
      </w:tr>
      <w:tr w:rsidR="00CC1C95" w:rsidRPr="00EC556A">
        <w:tc>
          <w:tcPr>
            <w:tcW w:w="390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b/>
                <w:bCs/>
                <w:sz w:val="20"/>
              </w:rPr>
            </w:pPr>
            <w:r w:rsidRPr="00EC556A">
              <w:rPr>
                <w:b/>
                <w:bCs/>
                <w:sz w:val="20"/>
              </w:rPr>
              <w:t>Decabromodiphenylether (M-2Br)</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799.3335</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797.3355</w:t>
            </w:r>
          </w:p>
        </w:tc>
      </w:tr>
      <w:tr w:rsidR="00CC1C95" w:rsidRPr="00EC556A">
        <w:tc>
          <w:tcPr>
            <w:tcW w:w="390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b/>
                <w:bCs/>
                <w:sz w:val="20"/>
              </w:rPr>
            </w:pPr>
            <w:r w:rsidRPr="00EC556A">
              <w:rPr>
                <w:b/>
                <w:bCs/>
                <w:sz w:val="20"/>
              </w:rPr>
              <w:t>Decabromo[</w:t>
            </w:r>
            <w:r w:rsidRPr="00D21BDD">
              <w:rPr>
                <w:b/>
                <w:bCs/>
                <w:sz w:val="20"/>
                <w:vertAlign w:val="superscript"/>
              </w:rPr>
              <w:t>13</w:t>
            </w:r>
            <w:r w:rsidRPr="00EC556A">
              <w:rPr>
                <w:b/>
                <w:bCs/>
                <w:i/>
                <w:iCs/>
                <w:sz w:val="20"/>
              </w:rPr>
              <w:t>C</w:t>
            </w:r>
            <w:r w:rsidRPr="00731741">
              <w:rPr>
                <w:b/>
                <w:bCs/>
                <w:sz w:val="20"/>
                <w:vertAlign w:val="subscript"/>
              </w:rPr>
              <w:t>12</w:t>
            </w:r>
            <w:r w:rsidRPr="00EC556A">
              <w:rPr>
                <w:b/>
                <w:bCs/>
                <w:sz w:val="20"/>
              </w:rPr>
              <w:t>]diphenylether(M-2Br)</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811.3737</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809.3757</w:t>
            </w:r>
          </w:p>
        </w:tc>
      </w:tr>
      <w:tr w:rsidR="00CC1C95" w:rsidRPr="00EC556A">
        <w:tc>
          <w:tcPr>
            <w:tcW w:w="390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b/>
                <w:bCs/>
                <w:sz w:val="20"/>
              </w:rPr>
            </w:pPr>
            <w:r w:rsidRPr="00EC556A">
              <w:rPr>
                <w:b/>
                <w:bCs/>
                <w:sz w:val="20"/>
              </w:rPr>
              <w:t xml:space="preserve">Perfluorokerosene </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r w:rsidRPr="00EC556A">
              <w:rPr>
                <w:sz w:val="20"/>
              </w:rPr>
              <w:t>804.9505</w:t>
            </w:r>
          </w:p>
        </w:tc>
        <w:tc>
          <w:tcPr>
            <w:tcW w:w="1629"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rPr>
                <w:sz w:val="20"/>
              </w:rPr>
            </w:pPr>
          </w:p>
        </w:tc>
      </w:tr>
    </w:tbl>
    <w:p w:rsidR="00CC1C95" w:rsidRPr="00EC556A" w:rsidRDefault="00CC1C95" w:rsidP="00EE0DB2"/>
    <w:p w:rsidR="00CC1C95" w:rsidRPr="00EC556A" w:rsidRDefault="00CC1C95" w:rsidP="002F2D66">
      <w:pPr>
        <w:pStyle w:val="Heading3"/>
        <w:numPr>
          <w:ilvl w:val="0"/>
          <w:numId w:val="0"/>
        </w:numPr>
        <w:snapToGrid/>
        <w:spacing w:before="240" w:after="60" w:line="276" w:lineRule="auto"/>
        <w:jc w:val="both"/>
      </w:pPr>
      <w:r w:rsidRPr="00EC556A">
        <w:br w:type="page"/>
      </w:r>
      <w:bookmarkStart w:id="545" w:name="_Toc349335823"/>
      <w:r w:rsidRPr="00EC556A">
        <w:t>PBDE SIM Chromatogram</w:t>
      </w:r>
      <w:bookmarkEnd w:id="545"/>
    </w:p>
    <w:p w:rsidR="00CC1C95" w:rsidRPr="00EC556A" w:rsidRDefault="00CC1C95" w:rsidP="00EE0DB2">
      <w:pPr>
        <w:jc w:val="left"/>
      </w:pPr>
    </w:p>
    <w:p w:rsidR="00D62731" w:rsidRPr="00D62731" w:rsidRDefault="00F05101" w:rsidP="00EE0DB2">
      <w:pPr>
        <w:jc w:val="center"/>
      </w:pPr>
      <w:r>
        <w:rPr>
          <w:noProof/>
          <w:lang w:eastAsia="en-GB"/>
        </w:rPr>
        <w:drawing>
          <wp:inline distT="0" distB="0" distL="0" distR="0">
            <wp:extent cx="5810250" cy="5057775"/>
            <wp:effectExtent l="19050" t="0" r="0" b="0"/>
            <wp:docPr id="1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5810250" cy="5057775"/>
                    </a:xfrm>
                    <a:prstGeom prst="rect">
                      <a:avLst/>
                    </a:prstGeom>
                    <a:noFill/>
                    <a:ln w="9525">
                      <a:noFill/>
                      <a:miter lim="800000"/>
                      <a:headEnd/>
                      <a:tailEnd/>
                    </a:ln>
                  </pic:spPr>
                </pic:pic>
              </a:graphicData>
            </a:graphic>
          </wp:inline>
        </w:drawing>
      </w:r>
    </w:p>
    <w:p w:rsidR="00D62731" w:rsidRPr="00EC556A" w:rsidRDefault="00D62731" w:rsidP="00EE0DB2">
      <w:pPr>
        <w:jc w:val="center"/>
      </w:pPr>
    </w:p>
    <w:p w:rsidR="00547720" w:rsidRDefault="00322F03" w:rsidP="00D62731">
      <w:r w:rsidRPr="00322F03">
        <w:rPr>
          <w:noProof/>
          <w:lang w:val="de-DE" w:eastAsia="zh-CN"/>
        </w:rPr>
        <w:pict>
          <v:shapetype id="_x0000_t202" coordsize="21600,21600" o:spt="202" path="m,l,21600r21600,l21600,xe">
            <v:stroke joinstyle="miter"/>
            <v:path gradientshapeok="t" o:connecttype="rect"/>
          </v:shapetype>
          <v:shape id="Text Box 59" o:spid="_x0000_s1026" type="#_x0000_t202" style="position:absolute;left:0;text-align:left;margin-left:50.25pt;margin-top:73.2pt;width:67pt;height:23.8pt;z-index:251651584;visibility:visible" filled="f" stroked="f">
            <v:textbox style="mso-next-textbox:#Text Box 59" inset="5.85pt,.7pt,5.85pt,.7pt">
              <w:txbxContent>
                <w:p w:rsidR="00C0598F" w:rsidRPr="00547720" w:rsidRDefault="00C0598F" w:rsidP="00547720"/>
              </w:txbxContent>
            </v:textbox>
            <w10:wrap type="topAndBottom"/>
          </v:shape>
        </w:pict>
      </w:r>
      <w:r w:rsidRPr="00322F03">
        <w:rPr>
          <w:noProof/>
          <w:lang w:val="de-DE" w:eastAsia="zh-CN"/>
        </w:rPr>
        <w:pict>
          <v:shape id="Text Box 70" o:spid="_x0000_s1027" type="#_x0000_t202" style="position:absolute;left:0;text-align:left;margin-left:196.5pt;margin-top:336.3pt;width:67pt;height:23.8pt;z-index:251652608;visibility:visible" filled="f" stroked="f">
            <v:textbox style="mso-next-textbox:#Text Box 70" inset="5.85pt,.7pt,5.85pt,.7pt">
              <w:txbxContent>
                <w:p w:rsidR="00C0598F" w:rsidRDefault="00C0598F" w:rsidP="00EE0DB2">
                  <w:pPr>
                    <w:jc w:val="center"/>
                  </w:pPr>
                  <w:r>
                    <w:t>#209</w:t>
                  </w:r>
                </w:p>
              </w:txbxContent>
            </v:textbox>
            <w10:wrap type="topAndBottom"/>
          </v:shape>
        </w:pict>
      </w:r>
      <w:r w:rsidR="00D62731">
        <w:t>Figure A2-1</w:t>
      </w:r>
      <w:r w:rsidR="00CC1C95" w:rsidRPr="00EC556A">
        <w:t>: C</w:t>
      </w:r>
      <w:r w:rsidR="00D21BDD">
        <w:t>hromatogram of tetraBDE to deca</w:t>
      </w:r>
      <w:r w:rsidR="00CC1C95" w:rsidRPr="00EC556A">
        <w:t>BDE</w:t>
      </w:r>
    </w:p>
    <w:p w:rsidR="00CC1C95" w:rsidRDefault="00CC1C95" w:rsidP="00547720">
      <w:pPr>
        <w:jc w:val="center"/>
      </w:pPr>
      <w:r w:rsidRPr="00EC556A">
        <w:t>(P</w:t>
      </w:r>
      <w:r w:rsidR="00D21BDD">
        <w:t>lease note that only tetraBDE, pentaBDE, hexaBDE and h</w:t>
      </w:r>
      <w:r w:rsidRPr="00EC556A">
        <w:t>eptaBDE are listed as POPs)</w:t>
      </w:r>
    </w:p>
    <w:p w:rsidR="00CC1C95" w:rsidRDefault="00547720" w:rsidP="00A165BC">
      <w:pPr>
        <w:pStyle w:val="Heading3"/>
        <w:numPr>
          <w:ilvl w:val="0"/>
          <w:numId w:val="0"/>
        </w:numPr>
        <w:snapToGrid/>
        <w:spacing w:before="240" w:after="60" w:line="276" w:lineRule="auto"/>
        <w:jc w:val="both"/>
      </w:pPr>
      <w:r>
        <w:br w:type="page"/>
      </w:r>
      <w:bookmarkStart w:id="546" w:name="_Toc349335824"/>
      <w:r w:rsidR="00CC1C95">
        <w:t>Major POP-BDE congeners in commercial mixtures</w:t>
      </w:r>
      <w:bookmarkEnd w:id="546"/>
    </w:p>
    <w:p w:rsidR="00CC1C95" w:rsidRPr="00EC556A" w:rsidRDefault="00CC1C95" w:rsidP="00EE0DB2">
      <w:pPr>
        <w:tabs>
          <w:tab w:val="left" w:pos="624"/>
          <w:tab w:val="left" w:pos="1247"/>
          <w:tab w:val="left" w:pos="1871"/>
          <w:tab w:val="left" w:pos="2495"/>
          <w:tab w:val="left" w:pos="3119"/>
        </w:tabs>
        <w:autoSpaceDE w:val="0"/>
        <w:autoSpaceDN w:val="0"/>
        <w:adjustRightInd w:val="0"/>
      </w:pPr>
      <w:r w:rsidRPr="00EC556A">
        <w:t>Table A3-1 and A3-2 list the major POP-PBDE in commercial PentaBDE and commercial OctaBDE present in articles where these mixtures have been applied (La Guardia et al. 2006)</w:t>
      </w:r>
      <w:r w:rsidRPr="00EC556A">
        <w:rPr>
          <w:rStyle w:val="FootnoteReference"/>
        </w:rPr>
        <w:footnoteReference w:id="104"/>
      </w:r>
    </w:p>
    <w:p w:rsidR="00F65A6C" w:rsidRPr="001149DF" w:rsidRDefault="00F65A6C" w:rsidP="00F65A6C">
      <w:pPr>
        <w:tabs>
          <w:tab w:val="left" w:pos="624"/>
          <w:tab w:val="left" w:pos="1247"/>
          <w:tab w:val="left" w:pos="1871"/>
          <w:tab w:val="left" w:pos="2495"/>
          <w:tab w:val="left" w:pos="3119"/>
        </w:tabs>
        <w:autoSpaceDE w:val="0"/>
        <w:autoSpaceDN w:val="0"/>
        <w:adjustRightInd w:val="0"/>
        <w:rPr>
          <w:lang w:val="it-IT"/>
        </w:rPr>
      </w:pPr>
      <w:r w:rsidRPr="001149DF">
        <w:rPr>
          <w:lang w:val="it-IT"/>
        </w:rPr>
        <w:t>Table A3-1: Major POP-PBDEs in commercial PentaBDE (La Guardia et al. 2006)</w:t>
      </w:r>
    </w:p>
    <w:tbl>
      <w:tblPr>
        <w:tblW w:w="960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323"/>
        <w:gridCol w:w="49"/>
        <w:gridCol w:w="1655"/>
        <w:gridCol w:w="4247"/>
        <w:gridCol w:w="147"/>
        <w:gridCol w:w="1181"/>
      </w:tblGrid>
      <w:tr w:rsidR="00F65A6C" w:rsidRPr="00EC556A">
        <w:trPr>
          <w:tblCellSpacing w:w="15" w:type="dxa"/>
        </w:trPr>
        <w:tc>
          <w:tcPr>
            <w:tcW w:w="9542" w:type="dxa"/>
            <w:gridSpan w:val="6"/>
            <w:vAlign w:val="center"/>
          </w:tcPr>
          <w:p w:rsidR="00F65A6C" w:rsidRPr="00EC556A" w:rsidRDefault="00F65A6C" w:rsidP="00D85504">
            <w:pPr>
              <w:jc w:val="center"/>
              <w:rPr>
                <w:b/>
                <w:szCs w:val="24"/>
                <w:lang w:eastAsia="sv-SE"/>
              </w:rPr>
            </w:pPr>
            <w:r w:rsidRPr="00EC556A">
              <w:rPr>
                <w:b/>
                <w:szCs w:val="24"/>
                <w:lang w:eastAsia="sv-SE"/>
              </w:rPr>
              <w:t xml:space="preserve">Composition of commercial </w:t>
            </w:r>
            <w:r w:rsidR="00D85504">
              <w:rPr>
                <w:b/>
                <w:szCs w:val="24"/>
                <w:lang w:eastAsia="sv-SE"/>
              </w:rPr>
              <w:t>P</w:t>
            </w:r>
            <w:r w:rsidRPr="00EC556A">
              <w:rPr>
                <w:b/>
                <w:szCs w:val="24"/>
                <w:lang w:eastAsia="sv-SE"/>
              </w:rPr>
              <w:t xml:space="preserve">entaBDE </w:t>
            </w:r>
          </w:p>
          <w:p w:rsidR="00F65A6C" w:rsidRPr="00EC556A" w:rsidRDefault="00F65A6C" w:rsidP="00F65A6C">
            <w:pPr>
              <w:jc w:val="center"/>
              <w:rPr>
                <w:b/>
                <w:bCs/>
                <w:szCs w:val="24"/>
                <w:lang w:eastAsia="sv-SE"/>
              </w:rPr>
            </w:pPr>
          </w:p>
        </w:tc>
      </w:tr>
      <w:tr w:rsidR="00D85504" w:rsidRPr="00EC556A">
        <w:trPr>
          <w:tblCellSpacing w:w="15" w:type="dxa"/>
        </w:trPr>
        <w:tc>
          <w:tcPr>
            <w:tcW w:w="2278" w:type="dxa"/>
            <w:vAlign w:val="center"/>
          </w:tcPr>
          <w:p w:rsidR="00F65A6C" w:rsidRPr="00EC556A" w:rsidRDefault="00F65A6C" w:rsidP="00F65A6C">
            <w:pPr>
              <w:jc w:val="center"/>
              <w:rPr>
                <w:b/>
                <w:bCs/>
                <w:szCs w:val="24"/>
                <w:lang w:eastAsia="sv-SE"/>
              </w:rPr>
            </w:pPr>
            <w:r w:rsidRPr="00EC556A">
              <w:rPr>
                <w:b/>
                <w:bCs/>
                <w:szCs w:val="24"/>
                <w:lang w:eastAsia="sv-SE"/>
              </w:rPr>
              <w:t>Structure</w:t>
            </w:r>
          </w:p>
        </w:tc>
        <w:tc>
          <w:tcPr>
            <w:tcW w:w="1674" w:type="dxa"/>
            <w:gridSpan w:val="2"/>
            <w:vAlign w:val="center"/>
          </w:tcPr>
          <w:p w:rsidR="00F65A6C" w:rsidRPr="00EC556A" w:rsidRDefault="00F65A6C" w:rsidP="00D85504">
            <w:pPr>
              <w:jc w:val="center"/>
              <w:rPr>
                <w:b/>
                <w:bCs/>
                <w:szCs w:val="24"/>
                <w:lang w:eastAsia="sv-SE"/>
              </w:rPr>
            </w:pPr>
            <w:r w:rsidRPr="00EC556A">
              <w:rPr>
                <w:b/>
                <w:bCs/>
                <w:szCs w:val="24"/>
                <w:lang w:eastAsia="sv-SE"/>
              </w:rPr>
              <w:t>Congener</w:t>
            </w:r>
          </w:p>
        </w:tc>
        <w:tc>
          <w:tcPr>
            <w:tcW w:w="4217" w:type="dxa"/>
            <w:vAlign w:val="center"/>
          </w:tcPr>
          <w:p w:rsidR="00F65A6C" w:rsidRPr="00EC556A" w:rsidRDefault="00F65A6C" w:rsidP="00D85504">
            <w:pPr>
              <w:jc w:val="center"/>
              <w:rPr>
                <w:b/>
                <w:bCs/>
                <w:szCs w:val="24"/>
                <w:lang w:eastAsia="sv-SE"/>
              </w:rPr>
            </w:pPr>
            <w:r w:rsidRPr="00EC556A">
              <w:rPr>
                <w:b/>
                <w:bCs/>
                <w:szCs w:val="24"/>
                <w:lang w:eastAsia="sv-SE"/>
              </w:rPr>
              <w:t>Name</w:t>
            </w:r>
          </w:p>
        </w:tc>
        <w:tc>
          <w:tcPr>
            <w:tcW w:w="117" w:type="dxa"/>
            <w:vAlign w:val="center"/>
          </w:tcPr>
          <w:p w:rsidR="00F65A6C" w:rsidRPr="00EC556A" w:rsidRDefault="00F65A6C" w:rsidP="00D85504">
            <w:pPr>
              <w:jc w:val="center"/>
              <w:rPr>
                <w:b/>
                <w:bCs/>
                <w:szCs w:val="24"/>
                <w:lang w:eastAsia="sv-SE"/>
              </w:rPr>
            </w:pPr>
          </w:p>
        </w:tc>
        <w:tc>
          <w:tcPr>
            <w:tcW w:w="1136" w:type="dxa"/>
            <w:vAlign w:val="center"/>
          </w:tcPr>
          <w:p w:rsidR="00F65A6C" w:rsidRPr="00EC556A" w:rsidRDefault="00F65A6C" w:rsidP="00D85504">
            <w:pPr>
              <w:jc w:val="center"/>
              <w:rPr>
                <w:b/>
                <w:bCs/>
                <w:szCs w:val="24"/>
                <w:lang w:eastAsia="sv-SE"/>
              </w:rPr>
            </w:pPr>
            <w:r w:rsidRPr="00EC556A">
              <w:rPr>
                <w:b/>
                <w:bCs/>
                <w:szCs w:val="24"/>
                <w:lang w:eastAsia="sv-SE"/>
              </w:rPr>
              <w:t>Fraction</w:t>
            </w:r>
          </w:p>
        </w:tc>
      </w:tr>
      <w:tr w:rsidR="00D85504" w:rsidRPr="00EC556A">
        <w:trPr>
          <w:tblCellSpacing w:w="15" w:type="dxa"/>
        </w:trPr>
        <w:tc>
          <w:tcPr>
            <w:tcW w:w="2327" w:type="dxa"/>
            <w:gridSpan w:val="2"/>
            <w:vAlign w:val="center"/>
          </w:tcPr>
          <w:p w:rsidR="00F65A6C" w:rsidRPr="00EC556A" w:rsidRDefault="00F05101" w:rsidP="00F65A6C">
            <w:pPr>
              <w:rPr>
                <w:szCs w:val="24"/>
                <w:lang w:eastAsia="sv-SE"/>
              </w:rPr>
            </w:pPr>
            <w:r>
              <w:rPr>
                <w:noProof/>
                <w:color w:val="0000FF"/>
                <w:szCs w:val="24"/>
                <w:lang w:eastAsia="en-GB"/>
              </w:rPr>
              <w:drawing>
                <wp:inline distT="0" distB="0" distL="0" distR="0">
                  <wp:extent cx="1428750" cy="638175"/>
                  <wp:effectExtent l="19050" t="0" r="0" b="0"/>
                  <wp:docPr id="110" name="Bild 1" descr="Structure of BDE-47">
                    <a:hlinkClick xmlns:a="http://schemas.openxmlformats.org/drawingml/2006/main" r:id="rId43" tooltip="&quot;Structure of BDE-47&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Structure of BDE-47">
                            <a:hlinkClick r:id="rId43" tooltip="&quot;Structure of BDE-47&quot; "/>
                          </pic:cNvPr>
                          <pic:cNvPicPr>
                            <a:picLocks noChangeAspect="1" noChangeArrowheads="1"/>
                          </pic:cNvPicPr>
                        </pic:nvPicPr>
                        <pic:blipFill>
                          <a:blip r:embed="rId44" cstate="print"/>
                          <a:srcRect/>
                          <a:stretch>
                            <a:fillRect/>
                          </a:stretch>
                        </pic:blipFill>
                        <pic:spPr bwMode="auto">
                          <a:xfrm>
                            <a:off x="0" y="0"/>
                            <a:ext cx="1428750" cy="638175"/>
                          </a:xfrm>
                          <a:prstGeom prst="rect">
                            <a:avLst/>
                          </a:prstGeom>
                          <a:noFill/>
                          <a:ln w="9525">
                            <a:noFill/>
                            <a:miter lim="800000"/>
                            <a:headEnd/>
                            <a:tailEnd/>
                          </a:ln>
                        </pic:spPr>
                      </pic:pic>
                    </a:graphicData>
                  </a:graphic>
                </wp:inline>
              </w:drawing>
            </w:r>
          </w:p>
        </w:tc>
        <w:tc>
          <w:tcPr>
            <w:tcW w:w="1625" w:type="dxa"/>
            <w:vAlign w:val="center"/>
          </w:tcPr>
          <w:p w:rsidR="00F65A6C" w:rsidRPr="00EC556A" w:rsidRDefault="00F65A6C" w:rsidP="00D85504">
            <w:pPr>
              <w:jc w:val="center"/>
              <w:rPr>
                <w:szCs w:val="24"/>
                <w:lang w:eastAsia="sv-SE"/>
              </w:rPr>
            </w:pPr>
            <w:r w:rsidRPr="00EC556A">
              <w:rPr>
                <w:szCs w:val="24"/>
                <w:lang w:eastAsia="sv-SE"/>
              </w:rPr>
              <w:t>BDE-47</w:t>
            </w:r>
          </w:p>
        </w:tc>
        <w:tc>
          <w:tcPr>
            <w:tcW w:w="4217" w:type="dxa"/>
            <w:vAlign w:val="center"/>
          </w:tcPr>
          <w:p w:rsidR="00F65A6C" w:rsidRPr="00EC556A" w:rsidRDefault="00F65A6C" w:rsidP="00D85504">
            <w:pPr>
              <w:jc w:val="center"/>
              <w:rPr>
                <w:szCs w:val="24"/>
                <w:lang w:eastAsia="sv-SE"/>
              </w:rPr>
            </w:pPr>
            <w:r w:rsidRPr="00EC556A">
              <w:rPr>
                <w:szCs w:val="24"/>
                <w:lang w:eastAsia="sv-SE"/>
              </w:rPr>
              <w:t>2,2</w:t>
            </w:r>
            <w:r w:rsidRPr="00EC556A">
              <w:rPr>
                <w:rFonts w:ascii="Arial" w:hAnsi="Arial" w:cs="Arial"/>
                <w:szCs w:val="24"/>
                <w:lang w:eastAsia="sv-SE"/>
              </w:rPr>
              <w:t>′</w:t>
            </w:r>
            <w:r w:rsidRPr="00EC556A">
              <w:rPr>
                <w:rFonts w:cs="Calibri"/>
                <w:szCs w:val="24"/>
                <w:lang w:eastAsia="sv-SE"/>
              </w:rPr>
              <w:t>,4,4</w:t>
            </w:r>
            <w:r w:rsidRPr="00EC556A">
              <w:rPr>
                <w:rFonts w:ascii="Arial" w:hAnsi="Arial" w:cs="Arial"/>
                <w:szCs w:val="24"/>
                <w:lang w:eastAsia="sv-SE"/>
              </w:rPr>
              <w:t>′</w:t>
            </w:r>
            <w:r w:rsidRPr="00EC556A">
              <w:rPr>
                <w:rFonts w:cs="Calibri"/>
                <w:szCs w:val="24"/>
                <w:lang w:eastAsia="sv-SE"/>
              </w:rPr>
              <w:t>-tetra-</w:t>
            </w:r>
            <w:r w:rsidRPr="00EC556A">
              <w:rPr>
                <w:rFonts w:ascii="Gulim" w:eastAsia="Gulim" w:hAnsi="Gulim" w:cs="Gulim" w:hint="eastAsia"/>
                <w:szCs w:val="24"/>
                <w:lang w:eastAsia="sv-SE"/>
              </w:rPr>
              <w:br/>
            </w:r>
            <w:r w:rsidRPr="00EC556A">
              <w:rPr>
                <w:rFonts w:cs="Calibri"/>
                <w:szCs w:val="24"/>
                <w:lang w:eastAsia="sv-SE"/>
              </w:rPr>
              <w:t>bromodiphenyl ether</w:t>
            </w:r>
          </w:p>
        </w:tc>
        <w:tc>
          <w:tcPr>
            <w:tcW w:w="117" w:type="dxa"/>
            <w:vAlign w:val="center"/>
          </w:tcPr>
          <w:p w:rsidR="00F65A6C" w:rsidRPr="00EC556A" w:rsidRDefault="00F65A6C" w:rsidP="00D85504">
            <w:pPr>
              <w:jc w:val="center"/>
              <w:rPr>
                <w:szCs w:val="24"/>
                <w:lang w:eastAsia="sv-SE"/>
              </w:rPr>
            </w:pPr>
          </w:p>
        </w:tc>
        <w:tc>
          <w:tcPr>
            <w:tcW w:w="1136" w:type="dxa"/>
            <w:vAlign w:val="center"/>
          </w:tcPr>
          <w:p w:rsidR="00F65A6C" w:rsidRPr="00EC556A" w:rsidRDefault="00F65A6C" w:rsidP="00D85504">
            <w:pPr>
              <w:jc w:val="center"/>
              <w:rPr>
                <w:szCs w:val="24"/>
                <w:lang w:eastAsia="sv-SE"/>
              </w:rPr>
            </w:pPr>
            <w:r w:rsidRPr="00EC556A">
              <w:rPr>
                <w:szCs w:val="24"/>
                <w:lang w:eastAsia="sv-SE"/>
              </w:rPr>
              <w:t>38–42 %</w:t>
            </w:r>
          </w:p>
        </w:tc>
      </w:tr>
      <w:tr w:rsidR="00D85504" w:rsidRPr="00EC556A">
        <w:trPr>
          <w:tblCellSpacing w:w="15" w:type="dxa"/>
        </w:trPr>
        <w:tc>
          <w:tcPr>
            <w:tcW w:w="2327" w:type="dxa"/>
            <w:gridSpan w:val="2"/>
            <w:vAlign w:val="center"/>
          </w:tcPr>
          <w:p w:rsidR="00F65A6C" w:rsidRPr="00EC556A" w:rsidRDefault="00F05101" w:rsidP="00F65A6C">
            <w:pPr>
              <w:rPr>
                <w:szCs w:val="24"/>
                <w:lang w:eastAsia="sv-SE"/>
              </w:rPr>
            </w:pPr>
            <w:r>
              <w:rPr>
                <w:noProof/>
                <w:color w:val="0000FF"/>
                <w:szCs w:val="24"/>
                <w:lang w:eastAsia="en-GB"/>
              </w:rPr>
              <w:drawing>
                <wp:inline distT="0" distB="0" distL="0" distR="0">
                  <wp:extent cx="1428750" cy="638175"/>
                  <wp:effectExtent l="19050" t="0" r="0" b="0"/>
                  <wp:docPr id="111" name="Bild 2" descr="Structure of BDE-85">
                    <a:hlinkClick xmlns:a="http://schemas.openxmlformats.org/drawingml/2006/main" r:id="rId45" tooltip="&quot;Structure of BDE-85&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Structure of BDE-85">
                            <a:hlinkClick r:id="rId45" tooltip="&quot;Structure of BDE-85&quot; "/>
                          </pic:cNvPr>
                          <pic:cNvPicPr>
                            <a:picLocks noChangeAspect="1" noChangeArrowheads="1"/>
                          </pic:cNvPicPr>
                        </pic:nvPicPr>
                        <pic:blipFill>
                          <a:blip r:embed="rId46" cstate="print"/>
                          <a:srcRect/>
                          <a:stretch>
                            <a:fillRect/>
                          </a:stretch>
                        </pic:blipFill>
                        <pic:spPr bwMode="auto">
                          <a:xfrm>
                            <a:off x="0" y="0"/>
                            <a:ext cx="1428750" cy="638175"/>
                          </a:xfrm>
                          <a:prstGeom prst="rect">
                            <a:avLst/>
                          </a:prstGeom>
                          <a:noFill/>
                          <a:ln w="9525">
                            <a:noFill/>
                            <a:miter lim="800000"/>
                            <a:headEnd/>
                            <a:tailEnd/>
                          </a:ln>
                        </pic:spPr>
                      </pic:pic>
                    </a:graphicData>
                  </a:graphic>
                </wp:inline>
              </w:drawing>
            </w:r>
          </w:p>
        </w:tc>
        <w:tc>
          <w:tcPr>
            <w:tcW w:w="1625" w:type="dxa"/>
            <w:vAlign w:val="center"/>
          </w:tcPr>
          <w:p w:rsidR="00F65A6C" w:rsidRPr="00EC556A" w:rsidRDefault="00F65A6C" w:rsidP="00D85504">
            <w:pPr>
              <w:jc w:val="center"/>
              <w:rPr>
                <w:szCs w:val="24"/>
                <w:lang w:eastAsia="sv-SE"/>
              </w:rPr>
            </w:pPr>
            <w:r w:rsidRPr="00EC556A">
              <w:rPr>
                <w:szCs w:val="24"/>
                <w:lang w:eastAsia="sv-SE"/>
              </w:rPr>
              <w:t>BDE-85</w:t>
            </w:r>
          </w:p>
        </w:tc>
        <w:tc>
          <w:tcPr>
            <w:tcW w:w="4217" w:type="dxa"/>
            <w:vAlign w:val="center"/>
          </w:tcPr>
          <w:p w:rsidR="00F65A6C" w:rsidRPr="00EC556A" w:rsidRDefault="00F65A6C" w:rsidP="00D85504">
            <w:pPr>
              <w:jc w:val="center"/>
              <w:rPr>
                <w:szCs w:val="24"/>
                <w:lang w:eastAsia="sv-SE"/>
              </w:rPr>
            </w:pPr>
            <w:r w:rsidRPr="00EC556A">
              <w:rPr>
                <w:szCs w:val="24"/>
                <w:lang w:eastAsia="sv-SE"/>
              </w:rPr>
              <w:t>2,2</w:t>
            </w:r>
            <w:r w:rsidRPr="00EC556A">
              <w:rPr>
                <w:rFonts w:ascii="Arial" w:hAnsi="Arial" w:cs="Arial"/>
                <w:szCs w:val="24"/>
                <w:lang w:eastAsia="sv-SE"/>
              </w:rPr>
              <w:t>′</w:t>
            </w:r>
            <w:r w:rsidRPr="00EC556A">
              <w:rPr>
                <w:rFonts w:cs="Calibri"/>
                <w:szCs w:val="24"/>
                <w:lang w:eastAsia="sv-SE"/>
              </w:rPr>
              <w:t>,3,4,4</w:t>
            </w:r>
            <w:r w:rsidRPr="00EC556A">
              <w:rPr>
                <w:rFonts w:ascii="Arial" w:hAnsi="Arial" w:cs="Arial"/>
                <w:szCs w:val="24"/>
                <w:lang w:eastAsia="sv-SE"/>
              </w:rPr>
              <w:t>′</w:t>
            </w:r>
            <w:r w:rsidRPr="00EC556A">
              <w:rPr>
                <w:rFonts w:cs="Calibri"/>
                <w:szCs w:val="24"/>
                <w:lang w:eastAsia="sv-SE"/>
              </w:rPr>
              <w:t>-penta-</w:t>
            </w:r>
            <w:r w:rsidRPr="00EC556A">
              <w:rPr>
                <w:rFonts w:ascii="Gulim" w:eastAsia="Gulim" w:hAnsi="Gulim" w:cs="Gulim" w:hint="eastAsia"/>
                <w:szCs w:val="24"/>
                <w:lang w:eastAsia="sv-SE"/>
              </w:rPr>
              <w:br/>
            </w:r>
            <w:r w:rsidRPr="00EC556A">
              <w:rPr>
                <w:rFonts w:cs="Calibri"/>
                <w:szCs w:val="24"/>
                <w:lang w:eastAsia="sv-SE"/>
              </w:rPr>
              <w:t>bromodiphenyl ether</w:t>
            </w:r>
          </w:p>
        </w:tc>
        <w:tc>
          <w:tcPr>
            <w:tcW w:w="117" w:type="dxa"/>
            <w:vAlign w:val="center"/>
          </w:tcPr>
          <w:p w:rsidR="00F65A6C" w:rsidRPr="00EC556A" w:rsidRDefault="00F65A6C" w:rsidP="00D85504">
            <w:pPr>
              <w:jc w:val="center"/>
              <w:rPr>
                <w:szCs w:val="24"/>
                <w:lang w:eastAsia="sv-SE"/>
              </w:rPr>
            </w:pPr>
          </w:p>
        </w:tc>
        <w:tc>
          <w:tcPr>
            <w:tcW w:w="1136" w:type="dxa"/>
            <w:vAlign w:val="center"/>
          </w:tcPr>
          <w:p w:rsidR="00F65A6C" w:rsidRPr="00EC556A" w:rsidRDefault="00F65A6C" w:rsidP="00D85504">
            <w:pPr>
              <w:jc w:val="center"/>
              <w:rPr>
                <w:szCs w:val="24"/>
                <w:lang w:eastAsia="sv-SE"/>
              </w:rPr>
            </w:pPr>
            <w:r w:rsidRPr="00EC556A">
              <w:rPr>
                <w:szCs w:val="24"/>
                <w:lang w:eastAsia="sv-SE"/>
              </w:rPr>
              <w:t>2.2–3.0 %</w:t>
            </w:r>
          </w:p>
        </w:tc>
      </w:tr>
      <w:tr w:rsidR="00D85504" w:rsidRPr="00EC556A">
        <w:trPr>
          <w:tblCellSpacing w:w="15" w:type="dxa"/>
        </w:trPr>
        <w:tc>
          <w:tcPr>
            <w:tcW w:w="2327" w:type="dxa"/>
            <w:gridSpan w:val="2"/>
            <w:vAlign w:val="center"/>
          </w:tcPr>
          <w:p w:rsidR="00F65A6C" w:rsidRPr="00EC556A" w:rsidRDefault="00F05101" w:rsidP="00F65A6C">
            <w:pPr>
              <w:rPr>
                <w:szCs w:val="24"/>
                <w:lang w:eastAsia="sv-SE"/>
              </w:rPr>
            </w:pPr>
            <w:r>
              <w:rPr>
                <w:noProof/>
                <w:color w:val="0000FF"/>
                <w:szCs w:val="24"/>
                <w:lang w:eastAsia="en-GB"/>
              </w:rPr>
              <w:drawing>
                <wp:inline distT="0" distB="0" distL="0" distR="0">
                  <wp:extent cx="1428750" cy="819150"/>
                  <wp:effectExtent l="19050" t="0" r="0" b="0"/>
                  <wp:docPr id="112" name="Bild 3" descr="Structure of BDE-99">
                    <a:hlinkClick xmlns:a="http://schemas.openxmlformats.org/drawingml/2006/main" r:id="rId47" tooltip="&quot;Structure of BDE-99&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tructure of BDE-99">
                            <a:hlinkClick r:id="rId47" tooltip="&quot;Structure of BDE-99&quot; "/>
                          </pic:cNvPr>
                          <pic:cNvPicPr>
                            <a:picLocks noChangeAspect="1" noChangeArrowheads="1"/>
                          </pic:cNvPicPr>
                        </pic:nvPicPr>
                        <pic:blipFill>
                          <a:blip r:embed="rId48" cstate="print"/>
                          <a:srcRect/>
                          <a:stretch>
                            <a:fillRect/>
                          </a:stretch>
                        </pic:blipFill>
                        <pic:spPr bwMode="auto">
                          <a:xfrm>
                            <a:off x="0" y="0"/>
                            <a:ext cx="1428750" cy="819150"/>
                          </a:xfrm>
                          <a:prstGeom prst="rect">
                            <a:avLst/>
                          </a:prstGeom>
                          <a:noFill/>
                          <a:ln w="9525">
                            <a:noFill/>
                            <a:miter lim="800000"/>
                            <a:headEnd/>
                            <a:tailEnd/>
                          </a:ln>
                        </pic:spPr>
                      </pic:pic>
                    </a:graphicData>
                  </a:graphic>
                </wp:inline>
              </w:drawing>
            </w:r>
          </w:p>
        </w:tc>
        <w:tc>
          <w:tcPr>
            <w:tcW w:w="1625" w:type="dxa"/>
            <w:vAlign w:val="center"/>
          </w:tcPr>
          <w:p w:rsidR="00F65A6C" w:rsidRPr="00EC556A" w:rsidRDefault="00F65A6C" w:rsidP="00D85504">
            <w:pPr>
              <w:jc w:val="center"/>
              <w:rPr>
                <w:szCs w:val="24"/>
                <w:lang w:eastAsia="sv-SE"/>
              </w:rPr>
            </w:pPr>
            <w:r w:rsidRPr="00EC556A">
              <w:rPr>
                <w:szCs w:val="24"/>
                <w:lang w:eastAsia="sv-SE"/>
              </w:rPr>
              <w:t>BDE-99</w:t>
            </w:r>
          </w:p>
        </w:tc>
        <w:tc>
          <w:tcPr>
            <w:tcW w:w="4217" w:type="dxa"/>
            <w:vAlign w:val="center"/>
          </w:tcPr>
          <w:p w:rsidR="00F65A6C" w:rsidRPr="00EC556A" w:rsidRDefault="00F65A6C" w:rsidP="00D85504">
            <w:pPr>
              <w:jc w:val="center"/>
              <w:rPr>
                <w:szCs w:val="24"/>
                <w:lang w:eastAsia="sv-SE"/>
              </w:rPr>
            </w:pPr>
            <w:r w:rsidRPr="00EC556A">
              <w:rPr>
                <w:szCs w:val="24"/>
                <w:lang w:eastAsia="sv-SE"/>
              </w:rPr>
              <w:t>2,2</w:t>
            </w:r>
            <w:r w:rsidRPr="00EC556A">
              <w:rPr>
                <w:rFonts w:ascii="Arial" w:hAnsi="Arial" w:cs="Arial"/>
                <w:szCs w:val="24"/>
                <w:lang w:eastAsia="sv-SE"/>
              </w:rPr>
              <w:t>′</w:t>
            </w:r>
            <w:r w:rsidRPr="00EC556A">
              <w:rPr>
                <w:rFonts w:cs="Calibri"/>
                <w:szCs w:val="24"/>
                <w:lang w:eastAsia="sv-SE"/>
              </w:rPr>
              <w:t>,4,4</w:t>
            </w:r>
            <w:r w:rsidRPr="00EC556A">
              <w:rPr>
                <w:rFonts w:ascii="Arial" w:hAnsi="Arial" w:cs="Arial"/>
                <w:szCs w:val="24"/>
                <w:lang w:eastAsia="sv-SE"/>
              </w:rPr>
              <w:t>′</w:t>
            </w:r>
            <w:r w:rsidRPr="00EC556A">
              <w:rPr>
                <w:rFonts w:cs="Calibri"/>
                <w:szCs w:val="24"/>
                <w:lang w:eastAsia="sv-SE"/>
              </w:rPr>
              <w:t>,5-penta-</w:t>
            </w:r>
            <w:r w:rsidRPr="00EC556A">
              <w:rPr>
                <w:rFonts w:ascii="Gulim" w:eastAsia="Gulim" w:hAnsi="Gulim" w:cs="Gulim" w:hint="eastAsia"/>
                <w:szCs w:val="24"/>
                <w:lang w:eastAsia="sv-SE"/>
              </w:rPr>
              <w:br/>
            </w:r>
            <w:r w:rsidRPr="00EC556A">
              <w:rPr>
                <w:rFonts w:cs="Calibri"/>
                <w:szCs w:val="24"/>
                <w:lang w:eastAsia="sv-SE"/>
              </w:rPr>
              <w:t>bromodiphenyl ether</w:t>
            </w:r>
          </w:p>
        </w:tc>
        <w:tc>
          <w:tcPr>
            <w:tcW w:w="117" w:type="dxa"/>
            <w:vAlign w:val="center"/>
          </w:tcPr>
          <w:p w:rsidR="00F65A6C" w:rsidRPr="00EC556A" w:rsidRDefault="00F65A6C" w:rsidP="00D85504">
            <w:pPr>
              <w:jc w:val="center"/>
              <w:rPr>
                <w:szCs w:val="24"/>
                <w:lang w:eastAsia="sv-SE"/>
              </w:rPr>
            </w:pPr>
          </w:p>
        </w:tc>
        <w:tc>
          <w:tcPr>
            <w:tcW w:w="1136" w:type="dxa"/>
            <w:vAlign w:val="center"/>
          </w:tcPr>
          <w:p w:rsidR="00F65A6C" w:rsidRPr="00EC556A" w:rsidRDefault="00F65A6C" w:rsidP="00D85504">
            <w:pPr>
              <w:jc w:val="center"/>
              <w:rPr>
                <w:szCs w:val="24"/>
                <w:lang w:eastAsia="sv-SE"/>
              </w:rPr>
            </w:pPr>
            <w:r w:rsidRPr="00EC556A">
              <w:rPr>
                <w:szCs w:val="24"/>
                <w:lang w:eastAsia="sv-SE"/>
              </w:rPr>
              <w:t>45–49 %</w:t>
            </w:r>
          </w:p>
        </w:tc>
      </w:tr>
      <w:tr w:rsidR="00D85504" w:rsidRPr="00EC556A">
        <w:trPr>
          <w:tblCellSpacing w:w="15" w:type="dxa"/>
        </w:trPr>
        <w:tc>
          <w:tcPr>
            <w:tcW w:w="2327" w:type="dxa"/>
            <w:gridSpan w:val="2"/>
            <w:vAlign w:val="center"/>
          </w:tcPr>
          <w:p w:rsidR="00F65A6C" w:rsidRPr="00EC556A" w:rsidRDefault="00F05101" w:rsidP="00F65A6C">
            <w:pPr>
              <w:rPr>
                <w:szCs w:val="24"/>
                <w:lang w:eastAsia="sv-SE"/>
              </w:rPr>
            </w:pPr>
            <w:r>
              <w:rPr>
                <w:noProof/>
                <w:color w:val="0000FF"/>
                <w:szCs w:val="24"/>
                <w:lang w:eastAsia="en-GB"/>
              </w:rPr>
              <w:drawing>
                <wp:inline distT="0" distB="0" distL="0" distR="0">
                  <wp:extent cx="1428750" cy="638175"/>
                  <wp:effectExtent l="19050" t="0" r="0" b="0"/>
                  <wp:docPr id="113" name="Bild 4" descr="Structure of BDE-100">
                    <a:hlinkClick xmlns:a="http://schemas.openxmlformats.org/drawingml/2006/main" r:id="rId49" tooltip="&quot;Structure of BDE-100&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Structure of BDE-100">
                            <a:hlinkClick r:id="rId49" tooltip="&quot;Structure of BDE-100&quot; "/>
                          </pic:cNvPr>
                          <pic:cNvPicPr>
                            <a:picLocks noChangeAspect="1" noChangeArrowheads="1"/>
                          </pic:cNvPicPr>
                        </pic:nvPicPr>
                        <pic:blipFill>
                          <a:blip r:embed="rId50" cstate="print"/>
                          <a:srcRect/>
                          <a:stretch>
                            <a:fillRect/>
                          </a:stretch>
                        </pic:blipFill>
                        <pic:spPr bwMode="auto">
                          <a:xfrm>
                            <a:off x="0" y="0"/>
                            <a:ext cx="1428750" cy="638175"/>
                          </a:xfrm>
                          <a:prstGeom prst="rect">
                            <a:avLst/>
                          </a:prstGeom>
                          <a:noFill/>
                          <a:ln w="9525">
                            <a:noFill/>
                            <a:miter lim="800000"/>
                            <a:headEnd/>
                            <a:tailEnd/>
                          </a:ln>
                        </pic:spPr>
                      </pic:pic>
                    </a:graphicData>
                  </a:graphic>
                </wp:inline>
              </w:drawing>
            </w:r>
          </w:p>
        </w:tc>
        <w:tc>
          <w:tcPr>
            <w:tcW w:w="1625" w:type="dxa"/>
            <w:vAlign w:val="center"/>
          </w:tcPr>
          <w:p w:rsidR="00F65A6C" w:rsidRPr="00EC556A" w:rsidRDefault="00F65A6C" w:rsidP="00D85504">
            <w:pPr>
              <w:jc w:val="center"/>
              <w:rPr>
                <w:szCs w:val="24"/>
                <w:lang w:eastAsia="sv-SE"/>
              </w:rPr>
            </w:pPr>
            <w:r w:rsidRPr="00EC556A">
              <w:rPr>
                <w:szCs w:val="24"/>
                <w:lang w:eastAsia="sv-SE"/>
              </w:rPr>
              <w:t>BDE-100</w:t>
            </w:r>
          </w:p>
        </w:tc>
        <w:tc>
          <w:tcPr>
            <w:tcW w:w="4217" w:type="dxa"/>
            <w:vAlign w:val="center"/>
          </w:tcPr>
          <w:p w:rsidR="00F65A6C" w:rsidRPr="00EC556A" w:rsidRDefault="00F65A6C" w:rsidP="00D85504">
            <w:pPr>
              <w:jc w:val="center"/>
              <w:rPr>
                <w:szCs w:val="24"/>
                <w:lang w:eastAsia="sv-SE"/>
              </w:rPr>
            </w:pPr>
            <w:r w:rsidRPr="00EC556A">
              <w:rPr>
                <w:szCs w:val="24"/>
                <w:lang w:eastAsia="sv-SE"/>
              </w:rPr>
              <w:t>2,2</w:t>
            </w:r>
            <w:r w:rsidRPr="00EC556A">
              <w:rPr>
                <w:rFonts w:ascii="Arial" w:hAnsi="Arial" w:cs="Arial"/>
                <w:szCs w:val="24"/>
                <w:lang w:eastAsia="sv-SE"/>
              </w:rPr>
              <w:t>′</w:t>
            </w:r>
            <w:r w:rsidRPr="00EC556A">
              <w:rPr>
                <w:rFonts w:cs="Calibri"/>
                <w:szCs w:val="24"/>
                <w:lang w:eastAsia="sv-SE"/>
              </w:rPr>
              <w:t>,4,4</w:t>
            </w:r>
            <w:r w:rsidRPr="00EC556A">
              <w:rPr>
                <w:rFonts w:ascii="Arial" w:hAnsi="Arial" w:cs="Arial"/>
                <w:szCs w:val="24"/>
                <w:lang w:eastAsia="sv-SE"/>
              </w:rPr>
              <w:t>′</w:t>
            </w:r>
            <w:r w:rsidRPr="00EC556A">
              <w:rPr>
                <w:rFonts w:cs="Calibri"/>
                <w:szCs w:val="24"/>
                <w:lang w:eastAsia="sv-SE"/>
              </w:rPr>
              <w:t>,6-penta-</w:t>
            </w:r>
            <w:r w:rsidRPr="00EC556A">
              <w:rPr>
                <w:rFonts w:ascii="Gulim" w:eastAsia="Gulim" w:hAnsi="Gulim" w:cs="Gulim" w:hint="eastAsia"/>
                <w:szCs w:val="24"/>
                <w:lang w:eastAsia="sv-SE"/>
              </w:rPr>
              <w:br/>
            </w:r>
            <w:r w:rsidRPr="00EC556A">
              <w:rPr>
                <w:rFonts w:cs="Calibri"/>
                <w:szCs w:val="24"/>
                <w:lang w:eastAsia="sv-SE"/>
              </w:rPr>
              <w:t>bromodiphenyl ether</w:t>
            </w:r>
          </w:p>
        </w:tc>
        <w:tc>
          <w:tcPr>
            <w:tcW w:w="117" w:type="dxa"/>
            <w:vAlign w:val="center"/>
          </w:tcPr>
          <w:p w:rsidR="00F65A6C" w:rsidRPr="00EC556A" w:rsidRDefault="00F65A6C" w:rsidP="00D85504">
            <w:pPr>
              <w:jc w:val="center"/>
              <w:rPr>
                <w:szCs w:val="24"/>
                <w:lang w:eastAsia="sv-SE"/>
              </w:rPr>
            </w:pPr>
          </w:p>
        </w:tc>
        <w:tc>
          <w:tcPr>
            <w:tcW w:w="1136" w:type="dxa"/>
            <w:vAlign w:val="center"/>
          </w:tcPr>
          <w:p w:rsidR="00F65A6C" w:rsidRPr="00EC556A" w:rsidRDefault="00F65A6C" w:rsidP="00D85504">
            <w:pPr>
              <w:jc w:val="center"/>
              <w:rPr>
                <w:szCs w:val="24"/>
                <w:lang w:eastAsia="sv-SE"/>
              </w:rPr>
            </w:pPr>
            <w:r w:rsidRPr="00EC556A">
              <w:rPr>
                <w:szCs w:val="24"/>
                <w:lang w:eastAsia="sv-SE"/>
              </w:rPr>
              <w:t>7.8–13 %</w:t>
            </w:r>
          </w:p>
        </w:tc>
      </w:tr>
      <w:tr w:rsidR="00D85504" w:rsidRPr="00EC556A">
        <w:trPr>
          <w:tblCellSpacing w:w="15" w:type="dxa"/>
        </w:trPr>
        <w:tc>
          <w:tcPr>
            <w:tcW w:w="2327" w:type="dxa"/>
            <w:gridSpan w:val="2"/>
            <w:vAlign w:val="center"/>
          </w:tcPr>
          <w:p w:rsidR="00F65A6C" w:rsidRPr="00EC556A" w:rsidRDefault="00F05101" w:rsidP="00F65A6C">
            <w:pPr>
              <w:rPr>
                <w:szCs w:val="24"/>
                <w:lang w:eastAsia="sv-SE"/>
              </w:rPr>
            </w:pPr>
            <w:r>
              <w:rPr>
                <w:noProof/>
                <w:color w:val="0000FF"/>
                <w:szCs w:val="24"/>
                <w:lang w:eastAsia="en-GB"/>
              </w:rPr>
              <w:drawing>
                <wp:inline distT="0" distB="0" distL="0" distR="0">
                  <wp:extent cx="1428750" cy="819150"/>
                  <wp:effectExtent l="19050" t="0" r="0" b="0"/>
                  <wp:docPr id="114" name="Bild 5" descr="Structure of BDE-153">
                    <a:hlinkClick xmlns:a="http://schemas.openxmlformats.org/drawingml/2006/main" r:id="rId51" tooltip="&quot;Structure of BDE-153&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Structure of BDE-153">
                            <a:hlinkClick r:id="rId51" tooltip="&quot;Structure of BDE-153&quot; "/>
                          </pic:cNvPr>
                          <pic:cNvPicPr>
                            <a:picLocks noChangeAspect="1" noChangeArrowheads="1"/>
                          </pic:cNvPicPr>
                        </pic:nvPicPr>
                        <pic:blipFill>
                          <a:blip r:embed="rId52" cstate="print"/>
                          <a:srcRect/>
                          <a:stretch>
                            <a:fillRect/>
                          </a:stretch>
                        </pic:blipFill>
                        <pic:spPr bwMode="auto">
                          <a:xfrm>
                            <a:off x="0" y="0"/>
                            <a:ext cx="1428750" cy="819150"/>
                          </a:xfrm>
                          <a:prstGeom prst="rect">
                            <a:avLst/>
                          </a:prstGeom>
                          <a:noFill/>
                          <a:ln w="9525">
                            <a:noFill/>
                            <a:miter lim="800000"/>
                            <a:headEnd/>
                            <a:tailEnd/>
                          </a:ln>
                        </pic:spPr>
                      </pic:pic>
                    </a:graphicData>
                  </a:graphic>
                </wp:inline>
              </w:drawing>
            </w:r>
          </w:p>
        </w:tc>
        <w:tc>
          <w:tcPr>
            <w:tcW w:w="1625" w:type="dxa"/>
            <w:vAlign w:val="center"/>
          </w:tcPr>
          <w:p w:rsidR="00F65A6C" w:rsidRPr="00EC556A" w:rsidRDefault="00F65A6C" w:rsidP="00D85504">
            <w:pPr>
              <w:jc w:val="center"/>
              <w:rPr>
                <w:szCs w:val="24"/>
                <w:lang w:eastAsia="sv-SE"/>
              </w:rPr>
            </w:pPr>
            <w:r w:rsidRPr="00EC556A">
              <w:rPr>
                <w:szCs w:val="24"/>
                <w:lang w:eastAsia="sv-SE"/>
              </w:rPr>
              <w:t>BDE-153</w:t>
            </w:r>
          </w:p>
        </w:tc>
        <w:tc>
          <w:tcPr>
            <w:tcW w:w="4217" w:type="dxa"/>
            <w:vAlign w:val="center"/>
          </w:tcPr>
          <w:p w:rsidR="00F65A6C" w:rsidRPr="00EC556A" w:rsidRDefault="00F65A6C" w:rsidP="00D85504">
            <w:pPr>
              <w:jc w:val="center"/>
              <w:rPr>
                <w:szCs w:val="24"/>
                <w:lang w:eastAsia="sv-SE"/>
              </w:rPr>
            </w:pPr>
            <w:r w:rsidRPr="00EC556A">
              <w:rPr>
                <w:szCs w:val="24"/>
                <w:lang w:eastAsia="sv-SE"/>
              </w:rPr>
              <w:t>2,2</w:t>
            </w:r>
            <w:r w:rsidRPr="00EC556A">
              <w:rPr>
                <w:rFonts w:ascii="Arial" w:hAnsi="Arial" w:cs="Arial"/>
                <w:szCs w:val="24"/>
                <w:lang w:eastAsia="sv-SE"/>
              </w:rPr>
              <w:t>′</w:t>
            </w:r>
            <w:r w:rsidRPr="00EC556A">
              <w:rPr>
                <w:rFonts w:cs="Calibri"/>
                <w:szCs w:val="24"/>
                <w:lang w:eastAsia="sv-SE"/>
              </w:rPr>
              <w:t>,4,4</w:t>
            </w:r>
            <w:r w:rsidRPr="00EC556A">
              <w:rPr>
                <w:rFonts w:ascii="Arial" w:hAnsi="Arial" w:cs="Arial"/>
                <w:szCs w:val="24"/>
                <w:lang w:eastAsia="sv-SE"/>
              </w:rPr>
              <w:t>′</w:t>
            </w:r>
            <w:r w:rsidRPr="00EC556A">
              <w:rPr>
                <w:rFonts w:cs="Calibri"/>
                <w:szCs w:val="24"/>
                <w:lang w:eastAsia="sv-SE"/>
              </w:rPr>
              <w:t>,5,5</w:t>
            </w:r>
            <w:r w:rsidRPr="00EC556A">
              <w:rPr>
                <w:rFonts w:ascii="Arial" w:hAnsi="Arial" w:cs="Arial"/>
                <w:szCs w:val="24"/>
                <w:lang w:eastAsia="sv-SE"/>
              </w:rPr>
              <w:t>′</w:t>
            </w:r>
            <w:r w:rsidRPr="00EC556A">
              <w:rPr>
                <w:rFonts w:cs="Calibri"/>
                <w:szCs w:val="24"/>
                <w:lang w:eastAsia="sv-SE"/>
              </w:rPr>
              <w:t>-hexa-</w:t>
            </w:r>
            <w:r w:rsidRPr="00EC556A">
              <w:rPr>
                <w:rFonts w:ascii="Gulim" w:eastAsia="Gulim" w:hAnsi="Gulim" w:cs="Gulim" w:hint="eastAsia"/>
                <w:szCs w:val="24"/>
                <w:lang w:eastAsia="sv-SE"/>
              </w:rPr>
              <w:br/>
            </w:r>
            <w:r w:rsidRPr="00EC556A">
              <w:rPr>
                <w:rFonts w:cs="Calibri"/>
                <w:szCs w:val="24"/>
                <w:lang w:eastAsia="sv-SE"/>
              </w:rPr>
              <w:t>bromodiphenyl ether</w:t>
            </w:r>
          </w:p>
        </w:tc>
        <w:tc>
          <w:tcPr>
            <w:tcW w:w="117" w:type="dxa"/>
            <w:vAlign w:val="center"/>
          </w:tcPr>
          <w:p w:rsidR="00F65A6C" w:rsidRPr="00EC556A" w:rsidRDefault="00F65A6C" w:rsidP="00D85504">
            <w:pPr>
              <w:jc w:val="center"/>
              <w:rPr>
                <w:szCs w:val="24"/>
                <w:lang w:eastAsia="sv-SE"/>
              </w:rPr>
            </w:pPr>
          </w:p>
        </w:tc>
        <w:tc>
          <w:tcPr>
            <w:tcW w:w="1136" w:type="dxa"/>
            <w:vAlign w:val="center"/>
          </w:tcPr>
          <w:p w:rsidR="00F65A6C" w:rsidRPr="00EC556A" w:rsidRDefault="00F65A6C" w:rsidP="00D85504">
            <w:pPr>
              <w:jc w:val="center"/>
              <w:rPr>
                <w:szCs w:val="24"/>
                <w:lang w:eastAsia="sv-SE"/>
              </w:rPr>
            </w:pPr>
            <w:r w:rsidRPr="00EC556A">
              <w:rPr>
                <w:szCs w:val="24"/>
                <w:lang w:eastAsia="sv-SE"/>
              </w:rPr>
              <w:t>5.3–5.4 %</w:t>
            </w:r>
          </w:p>
        </w:tc>
      </w:tr>
      <w:tr w:rsidR="00D85504" w:rsidRPr="00EC556A">
        <w:trPr>
          <w:tblCellSpacing w:w="15" w:type="dxa"/>
        </w:trPr>
        <w:tc>
          <w:tcPr>
            <w:tcW w:w="2327" w:type="dxa"/>
            <w:gridSpan w:val="2"/>
            <w:vAlign w:val="center"/>
          </w:tcPr>
          <w:p w:rsidR="00F65A6C" w:rsidRPr="00EC556A" w:rsidRDefault="00F05101" w:rsidP="00F65A6C">
            <w:pPr>
              <w:rPr>
                <w:szCs w:val="24"/>
                <w:lang w:eastAsia="sv-SE"/>
              </w:rPr>
            </w:pPr>
            <w:r>
              <w:rPr>
                <w:noProof/>
                <w:color w:val="0000FF"/>
                <w:szCs w:val="24"/>
                <w:lang w:eastAsia="en-GB"/>
              </w:rPr>
              <w:drawing>
                <wp:inline distT="0" distB="0" distL="0" distR="0">
                  <wp:extent cx="1428750" cy="819150"/>
                  <wp:effectExtent l="19050" t="0" r="0" b="0"/>
                  <wp:docPr id="115" name="Bild 6" descr="Structure of BDE-154">
                    <a:hlinkClick xmlns:a="http://schemas.openxmlformats.org/drawingml/2006/main" r:id="rId53" tooltip="&quot;Structure of BDE-154&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Structure of BDE-154">
                            <a:hlinkClick r:id="rId53" tooltip="&quot;Structure of BDE-154&quot; "/>
                          </pic:cNvPr>
                          <pic:cNvPicPr>
                            <a:picLocks noChangeAspect="1" noChangeArrowheads="1"/>
                          </pic:cNvPicPr>
                        </pic:nvPicPr>
                        <pic:blipFill>
                          <a:blip r:embed="rId54" cstate="print"/>
                          <a:srcRect/>
                          <a:stretch>
                            <a:fillRect/>
                          </a:stretch>
                        </pic:blipFill>
                        <pic:spPr bwMode="auto">
                          <a:xfrm>
                            <a:off x="0" y="0"/>
                            <a:ext cx="1428750" cy="819150"/>
                          </a:xfrm>
                          <a:prstGeom prst="rect">
                            <a:avLst/>
                          </a:prstGeom>
                          <a:noFill/>
                          <a:ln w="9525">
                            <a:noFill/>
                            <a:miter lim="800000"/>
                            <a:headEnd/>
                            <a:tailEnd/>
                          </a:ln>
                        </pic:spPr>
                      </pic:pic>
                    </a:graphicData>
                  </a:graphic>
                </wp:inline>
              </w:drawing>
            </w:r>
          </w:p>
        </w:tc>
        <w:tc>
          <w:tcPr>
            <w:tcW w:w="1625" w:type="dxa"/>
            <w:vAlign w:val="center"/>
          </w:tcPr>
          <w:p w:rsidR="00F65A6C" w:rsidRPr="00EC556A" w:rsidRDefault="00F65A6C" w:rsidP="00D85504">
            <w:pPr>
              <w:jc w:val="center"/>
              <w:rPr>
                <w:szCs w:val="24"/>
                <w:lang w:eastAsia="sv-SE"/>
              </w:rPr>
            </w:pPr>
            <w:r w:rsidRPr="00EC556A">
              <w:rPr>
                <w:szCs w:val="24"/>
                <w:lang w:eastAsia="sv-SE"/>
              </w:rPr>
              <w:t>BDE-154</w:t>
            </w:r>
          </w:p>
        </w:tc>
        <w:tc>
          <w:tcPr>
            <w:tcW w:w="4217" w:type="dxa"/>
            <w:vAlign w:val="center"/>
          </w:tcPr>
          <w:p w:rsidR="00F65A6C" w:rsidRPr="00EC556A" w:rsidRDefault="00F65A6C" w:rsidP="00D85504">
            <w:pPr>
              <w:jc w:val="center"/>
              <w:rPr>
                <w:szCs w:val="24"/>
                <w:lang w:eastAsia="sv-SE"/>
              </w:rPr>
            </w:pPr>
            <w:r w:rsidRPr="00EC556A">
              <w:rPr>
                <w:szCs w:val="24"/>
                <w:lang w:eastAsia="sv-SE"/>
              </w:rPr>
              <w:t>2,2</w:t>
            </w:r>
            <w:r w:rsidRPr="00EC556A">
              <w:rPr>
                <w:rFonts w:ascii="Arial" w:hAnsi="Arial" w:cs="Arial"/>
                <w:szCs w:val="24"/>
                <w:lang w:eastAsia="sv-SE"/>
              </w:rPr>
              <w:t>′</w:t>
            </w:r>
            <w:r w:rsidRPr="00EC556A">
              <w:rPr>
                <w:rFonts w:cs="Calibri"/>
                <w:szCs w:val="24"/>
                <w:lang w:eastAsia="sv-SE"/>
              </w:rPr>
              <w:t>,4,4</w:t>
            </w:r>
            <w:r w:rsidRPr="00EC556A">
              <w:rPr>
                <w:rFonts w:ascii="Arial" w:hAnsi="Arial" w:cs="Arial"/>
                <w:szCs w:val="24"/>
                <w:lang w:eastAsia="sv-SE"/>
              </w:rPr>
              <w:t>′</w:t>
            </w:r>
            <w:r w:rsidRPr="00EC556A">
              <w:rPr>
                <w:rFonts w:cs="Calibri"/>
                <w:szCs w:val="24"/>
                <w:lang w:eastAsia="sv-SE"/>
              </w:rPr>
              <w:t>,5,6</w:t>
            </w:r>
            <w:r w:rsidRPr="00EC556A">
              <w:rPr>
                <w:rFonts w:ascii="Arial" w:hAnsi="Arial" w:cs="Arial"/>
                <w:szCs w:val="24"/>
                <w:lang w:eastAsia="sv-SE"/>
              </w:rPr>
              <w:t>′</w:t>
            </w:r>
            <w:r w:rsidRPr="00EC556A">
              <w:rPr>
                <w:rFonts w:cs="Calibri"/>
                <w:szCs w:val="24"/>
                <w:lang w:eastAsia="sv-SE"/>
              </w:rPr>
              <w:t>-hexa-</w:t>
            </w:r>
            <w:r w:rsidRPr="00EC556A">
              <w:rPr>
                <w:rFonts w:ascii="Gulim" w:eastAsia="Gulim" w:hAnsi="Gulim" w:cs="Gulim" w:hint="eastAsia"/>
                <w:szCs w:val="24"/>
                <w:lang w:eastAsia="sv-SE"/>
              </w:rPr>
              <w:br/>
            </w:r>
            <w:r w:rsidRPr="00EC556A">
              <w:rPr>
                <w:rFonts w:cs="Calibri"/>
                <w:szCs w:val="24"/>
                <w:lang w:eastAsia="sv-SE"/>
              </w:rPr>
              <w:t>bromodiphenyl ether</w:t>
            </w:r>
          </w:p>
        </w:tc>
        <w:tc>
          <w:tcPr>
            <w:tcW w:w="117" w:type="dxa"/>
            <w:vAlign w:val="center"/>
          </w:tcPr>
          <w:p w:rsidR="00F65A6C" w:rsidRPr="00EC556A" w:rsidRDefault="00F65A6C" w:rsidP="00D85504">
            <w:pPr>
              <w:jc w:val="center"/>
              <w:rPr>
                <w:szCs w:val="24"/>
                <w:lang w:eastAsia="sv-SE"/>
              </w:rPr>
            </w:pPr>
          </w:p>
        </w:tc>
        <w:tc>
          <w:tcPr>
            <w:tcW w:w="1136" w:type="dxa"/>
            <w:vAlign w:val="center"/>
          </w:tcPr>
          <w:p w:rsidR="00F65A6C" w:rsidRPr="00EC556A" w:rsidRDefault="00F65A6C" w:rsidP="00D85504">
            <w:pPr>
              <w:jc w:val="center"/>
              <w:rPr>
                <w:szCs w:val="24"/>
                <w:lang w:eastAsia="sv-SE"/>
              </w:rPr>
            </w:pPr>
            <w:r w:rsidRPr="00EC556A">
              <w:rPr>
                <w:szCs w:val="24"/>
                <w:lang w:eastAsia="sv-SE"/>
              </w:rPr>
              <w:t>2.7–4.5 %</w:t>
            </w:r>
          </w:p>
        </w:tc>
      </w:tr>
    </w:tbl>
    <w:p w:rsidR="00F65A6C" w:rsidRPr="00EC556A" w:rsidRDefault="00F65A6C" w:rsidP="00F65A6C"/>
    <w:p w:rsidR="00F65A6C" w:rsidRPr="00EC556A" w:rsidRDefault="00F65A6C" w:rsidP="00F65A6C">
      <w:pPr>
        <w:tabs>
          <w:tab w:val="left" w:pos="624"/>
          <w:tab w:val="left" w:pos="1247"/>
          <w:tab w:val="left" w:pos="1871"/>
          <w:tab w:val="left" w:pos="2495"/>
          <w:tab w:val="left" w:pos="3119"/>
        </w:tabs>
        <w:autoSpaceDE w:val="0"/>
        <w:autoSpaceDN w:val="0"/>
        <w:adjustRightInd w:val="0"/>
        <w:rPr>
          <w:szCs w:val="24"/>
        </w:rPr>
      </w:pPr>
      <w:r w:rsidRPr="00EC556A">
        <w:rPr>
          <w:i/>
        </w:rPr>
        <w:t>Note: Other congeners than mentioned above are only traces in concentration in commercial mixtures</w:t>
      </w:r>
      <w:r w:rsidRPr="00EC556A">
        <w:rPr>
          <w:i/>
        </w:rPr>
        <w:br w:type="page"/>
      </w:r>
      <w:r w:rsidRPr="00EC556A">
        <w:rPr>
          <w:szCs w:val="24"/>
        </w:rPr>
        <w:t xml:space="preserve">Table A3-2: Major POP-PBDEs and other PBDE congeners in commercial OctaBDE in treated articles </w:t>
      </w:r>
      <w:r w:rsidRPr="00EC556A">
        <w:t>(La Guardia et al. 2006)</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375"/>
        <w:gridCol w:w="1112"/>
        <w:gridCol w:w="2977"/>
        <w:gridCol w:w="142"/>
        <w:gridCol w:w="2126"/>
      </w:tblGrid>
      <w:tr w:rsidR="00F65A6C" w:rsidRPr="00EC556A">
        <w:trPr>
          <w:trHeight w:val="294"/>
          <w:tblCellSpacing w:w="15" w:type="dxa"/>
        </w:trPr>
        <w:tc>
          <w:tcPr>
            <w:tcW w:w="6531" w:type="dxa"/>
            <w:gridSpan w:val="4"/>
            <w:vAlign w:val="center"/>
          </w:tcPr>
          <w:p w:rsidR="00F65A6C" w:rsidRPr="00EC556A" w:rsidRDefault="00F65A6C" w:rsidP="00F65A6C">
            <w:pPr>
              <w:jc w:val="center"/>
              <w:rPr>
                <w:szCs w:val="24"/>
                <w:lang w:eastAsia="sv-SE"/>
              </w:rPr>
            </w:pPr>
            <w:r w:rsidRPr="00EC556A">
              <w:rPr>
                <w:b/>
                <w:szCs w:val="24"/>
                <w:lang w:eastAsia="sv-SE"/>
              </w:rPr>
              <w:t xml:space="preserve">Composition of commercial </w:t>
            </w:r>
            <w:r w:rsidR="00D85504">
              <w:rPr>
                <w:b/>
                <w:szCs w:val="24"/>
                <w:lang w:eastAsia="sv-SE"/>
              </w:rPr>
              <w:t>O</w:t>
            </w:r>
            <w:r w:rsidRPr="00EC556A">
              <w:rPr>
                <w:b/>
                <w:szCs w:val="24"/>
                <w:lang w:eastAsia="sv-SE"/>
              </w:rPr>
              <w:t>ctaBDE</w:t>
            </w:r>
            <w:r w:rsidRPr="00EC556A">
              <w:rPr>
                <w:szCs w:val="24"/>
                <w:lang w:eastAsia="sv-SE"/>
              </w:rPr>
              <w:t xml:space="preserve"> </w:t>
            </w:r>
          </w:p>
        </w:tc>
        <w:tc>
          <w:tcPr>
            <w:tcW w:w="2081" w:type="dxa"/>
          </w:tcPr>
          <w:p w:rsidR="00F65A6C" w:rsidRPr="00EC556A" w:rsidRDefault="00F65A6C" w:rsidP="00F65A6C">
            <w:pPr>
              <w:jc w:val="center"/>
              <w:rPr>
                <w:b/>
                <w:szCs w:val="24"/>
                <w:lang w:eastAsia="sv-SE"/>
              </w:rPr>
            </w:pPr>
          </w:p>
        </w:tc>
      </w:tr>
      <w:tr w:rsidR="00F65A6C" w:rsidRPr="00EC556A">
        <w:trPr>
          <w:tblCellSpacing w:w="15" w:type="dxa"/>
        </w:trPr>
        <w:tc>
          <w:tcPr>
            <w:tcW w:w="0" w:type="auto"/>
            <w:vAlign w:val="center"/>
          </w:tcPr>
          <w:p w:rsidR="00F65A6C" w:rsidRPr="00EC556A" w:rsidRDefault="00F65A6C" w:rsidP="00F65A6C">
            <w:pPr>
              <w:jc w:val="center"/>
              <w:rPr>
                <w:b/>
                <w:bCs/>
                <w:szCs w:val="24"/>
                <w:lang w:eastAsia="sv-SE"/>
              </w:rPr>
            </w:pPr>
            <w:r w:rsidRPr="00EC556A">
              <w:rPr>
                <w:b/>
                <w:bCs/>
                <w:szCs w:val="24"/>
                <w:lang w:eastAsia="sv-SE"/>
              </w:rPr>
              <w:t>Structure</w:t>
            </w:r>
          </w:p>
        </w:tc>
        <w:tc>
          <w:tcPr>
            <w:tcW w:w="1082" w:type="dxa"/>
            <w:vAlign w:val="center"/>
          </w:tcPr>
          <w:p w:rsidR="00F65A6C" w:rsidRPr="00EC556A" w:rsidRDefault="00F65A6C" w:rsidP="00F65A6C">
            <w:pPr>
              <w:jc w:val="center"/>
              <w:rPr>
                <w:b/>
                <w:bCs/>
                <w:szCs w:val="24"/>
                <w:lang w:eastAsia="sv-SE"/>
              </w:rPr>
            </w:pPr>
            <w:r w:rsidRPr="00EC556A">
              <w:rPr>
                <w:b/>
                <w:bCs/>
                <w:szCs w:val="24"/>
                <w:lang w:eastAsia="sv-SE"/>
              </w:rPr>
              <w:t>Congener</w:t>
            </w:r>
          </w:p>
        </w:tc>
        <w:tc>
          <w:tcPr>
            <w:tcW w:w="2947" w:type="dxa"/>
            <w:vAlign w:val="center"/>
          </w:tcPr>
          <w:p w:rsidR="00F65A6C" w:rsidRPr="00EC556A" w:rsidRDefault="00F65A6C" w:rsidP="00F65A6C">
            <w:pPr>
              <w:jc w:val="center"/>
              <w:rPr>
                <w:b/>
                <w:bCs/>
                <w:szCs w:val="24"/>
                <w:lang w:eastAsia="sv-SE"/>
              </w:rPr>
            </w:pPr>
            <w:r w:rsidRPr="00EC556A">
              <w:rPr>
                <w:b/>
                <w:bCs/>
                <w:szCs w:val="24"/>
                <w:lang w:eastAsia="sv-SE"/>
              </w:rPr>
              <w:t>Name</w:t>
            </w:r>
          </w:p>
        </w:tc>
        <w:tc>
          <w:tcPr>
            <w:tcW w:w="112" w:type="dxa"/>
            <w:vAlign w:val="center"/>
          </w:tcPr>
          <w:p w:rsidR="00F65A6C" w:rsidRPr="00EC556A" w:rsidRDefault="00F65A6C" w:rsidP="00F65A6C">
            <w:pPr>
              <w:jc w:val="center"/>
              <w:rPr>
                <w:b/>
                <w:bCs/>
                <w:szCs w:val="24"/>
                <w:lang w:eastAsia="sv-SE"/>
              </w:rPr>
            </w:pPr>
          </w:p>
        </w:tc>
        <w:tc>
          <w:tcPr>
            <w:tcW w:w="2081" w:type="dxa"/>
            <w:vAlign w:val="center"/>
          </w:tcPr>
          <w:p w:rsidR="00F65A6C" w:rsidRPr="00EC556A" w:rsidRDefault="00F65A6C" w:rsidP="00F65A6C">
            <w:pPr>
              <w:jc w:val="center"/>
              <w:rPr>
                <w:b/>
                <w:bCs/>
                <w:szCs w:val="24"/>
                <w:lang w:eastAsia="sv-SE"/>
              </w:rPr>
            </w:pPr>
            <w:r w:rsidRPr="00EC556A">
              <w:rPr>
                <w:b/>
                <w:bCs/>
                <w:szCs w:val="24"/>
                <w:lang w:eastAsia="sv-SE"/>
              </w:rPr>
              <w:t>Fraction</w:t>
            </w:r>
          </w:p>
        </w:tc>
      </w:tr>
      <w:tr w:rsidR="00F65A6C" w:rsidRPr="00EC556A">
        <w:trPr>
          <w:tblCellSpacing w:w="15" w:type="dxa"/>
        </w:trPr>
        <w:tc>
          <w:tcPr>
            <w:tcW w:w="0" w:type="auto"/>
            <w:vAlign w:val="center"/>
          </w:tcPr>
          <w:p w:rsidR="00F65A6C" w:rsidRPr="00EC556A" w:rsidRDefault="00F05101" w:rsidP="00F65A6C">
            <w:pPr>
              <w:rPr>
                <w:szCs w:val="24"/>
                <w:lang w:eastAsia="sv-SE"/>
              </w:rPr>
            </w:pPr>
            <w:r>
              <w:rPr>
                <w:noProof/>
                <w:color w:val="0000FF"/>
                <w:szCs w:val="24"/>
                <w:lang w:eastAsia="en-GB"/>
              </w:rPr>
              <w:drawing>
                <wp:inline distT="0" distB="0" distL="0" distR="0">
                  <wp:extent cx="1428750" cy="819150"/>
                  <wp:effectExtent l="19050" t="0" r="0" b="0"/>
                  <wp:docPr id="116" name="Bild 13" descr="Structure of BDE-153">
                    <a:hlinkClick xmlns:a="http://schemas.openxmlformats.org/drawingml/2006/main" r:id="rId51" tooltip="&quot;Structure of BDE-153&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descr="Structure of BDE-153">
                            <a:hlinkClick r:id="rId51" tooltip="&quot;Structure of BDE-153&quot; "/>
                          </pic:cNvPr>
                          <pic:cNvPicPr>
                            <a:picLocks noChangeAspect="1" noChangeArrowheads="1"/>
                          </pic:cNvPicPr>
                        </pic:nvPicPr>
                        <pic:blipFill>
                          <a:blip r:embed="rId52" cstate="print"/>
                          <a:srcRect/>
                          <a:stretch>
                            <a:fillRect/>
                          </a:stretch>
                        </pic:blipFill>
                        <pic:spPr bwMode="auto">
                          <a:xfrm>
                            <a:off x="0" y="0"/>
                            <a:ext cx="1428750" cy="819150"/>
                          </a:xfrm>
                          <a:prstGeom prst="rect">
                            <a:avLst/>
                          </a:prstGeom>
                          <a:noFill/>
                          <a:ln w="9525">
                            <a:noFill/>
                            <a:miter lim="800000"/>
                            <a:headEnd/>
                            <a:tailEnd/>
                          </a:ln>
                        </pic:spPr>
                      </pic:pic>
                    </a:graphicData>
                  </a:graphic>
                </wp:inline>
              </w:drawing>
            </w:r>
          </w:p>
        </w:tc>
        <w:tc>
          <w:tcPr>
            <w:tcW w:w="1082" w:type="dxa"/>
            <w:vAlign w:val="center"/>
          </w:tcPr>
          <w:p w:rsidR="00F65A6C" w:rsidRPr="00EC556A" w:rsidRDefault="00F65A6C" w:rsidP="00F65A6C">
            <w:pPr>
              <w:rPr>
                <w:szCs w:val="24"/>
                <w:lang w:eastAsia="sv-SE"/>
              </w:rPr>
            </w:pPr>
            <w:r w:rsidRPr="00EC556A">
              <w:rPr>
                <w:szCs w:val="24"/>
                <w:lang w:eastAsia="sv-SE"/>
              </w:rPr>
              <w:t>BDE-153</w:t>
            </w:r>
          </w:p>
        </w:tc>
        <w:tc>
          <w:tcPr>
            <w:tcW w:w="2947" w:type="dxa"/>
            <w:vAlign w:val="center"/>
          </w:tcPr>
          <w:p w:rsidR="00F65A6C" w:rsidRPr="00EC556A" w:rsidRDefault="00F65A6C" w:rsidP="00F65A6C">
            <w:pPr>
              <w:rPr>
                <w:szCs w:val="24"/>
                <w:lang w:eastAsia="sv-SE"/>
              </w:rPr>
            </w:pPr>
            <w:r w:rsidRPr="00EC556A">
              <w:rPr>
                <w:szCs w:val="24"/>
                <w:lang w:eastAsia="sv-SE"/>
              </w:rPr>
              <w:t>2,2</w:t>
            </w:r>
            <w:r w:rsidRPr="00EC556A">
              <w:rPr>
                <w:rFonts w:ascii="Arial" w:hAnsi="Arial" w:cs="Arial"/>
                <w:szCs w:val="24"/>
                <w:lang w:eastAsia="sv-SE"/>
              </w:rPr>
              <w:t>′</w:t>
            </w:r>
            <w:r w:rsidRPr="00EC556A">
              <w:rPr>
                <w:rFonts w:cs="Calibri"/>
                <w:szCs w:val="24"/>
                <w:lang w:eastAsia="sv-SE"/>
              </w:rPr>
              <w:t>,4,4</w:t>
            </w:r>
            <w:r w:rsidRPr="00EC556A">
              <w:rPr>
                <w:rFonts w:ascii="Arial" w:hAnsi="Arial" w:cs="Arial"/>
                <w:szCs w:val="24"/>
                <w:lang w:eastAsia="sv-SE"/>
              </w:rPr>
              <w:t>′</w:t>
            </w:r>
            <w:r w:rsidRPr="00EC556A">
              <w:rPr>
                <w:rFonts w:cs="Calibri"/>
                <w:szCs w:val="24"/>
                <w:lang w:eastAsia="sv-SE"/>
              </w:rPr>
              <w:t>,5,5</w:t>
            </w:r>
            <w:r w:rsidRPr="00EC556A">
              <w:rPr>
                <w:rFonts w:ascii="Arial" w:hAnsi="Arial" w:cs="Arial"/>
                <w:szCs w:val="24"/>
                <w:lang w:eastAsia="sv-SE"/>
              </w:rPr>
              <w:t>′</w:t>
            </w:r>
            <w:r w:rsidRPr="00EC556A">
              <w:rPr>
                <w:rFonts w:cs="Calibri"/>
                <w:szCs w:val="24"/>
                <w:lang w:eastAsia="sv-SE"/>
              </w:rPr>
              <w:t>-</w:t>
            </w:r>
            <w:r w:rsidRPr="00EC556A">
              <w:rPr>
                <w:szCs w:val="24"/>
                <w:lang w:eastAsia="sv-SE"/>
              </w:rPr>
              <w:t>hexa-</w:t>
            </w:r>
            <w:r w:rsidRPr="00EC556A">
              <w:rPr>
                <w:szCs w:val="24"/>
                <w:lang w:eastAsia="sv-SE"/>
              </w:rPr>
              <w:br/>
              <w:t>bromodiphenyl ether</w:t>
            </w:r>
          </w:p>
        </w:tc>
        <w:tc>
          <w:tcPr>
            <w:tcW w:w="112" w:type="dxa"/>
            <w:vAlign w:val="center"/>
          </w:tcPr>
          <w:p w:rsidR="00F65A6C" w:rsidRPr="00EC556A" w:rsidRDefault="00F65A6C" w:rsidP="00F65A6C">
            <w:pPr>
              <w:rPr>
                <w:szCs w:val="24"/>
                <w:lang w:eastAsia="sv-SE"/>
              </w:rPr>
            </w:pPr>
          </w:p>
        </w:tc>
        <w:tc>
          <w:tcPr>
            <w:tcW w:w="2081" w:type="dxa"/>
            <w:vAlign w:val="center"/>
          </w:tcPr>
          <w:p w:rsidR="00F65A6C" w:rsidRPr="00EC556A" w:rsidRDefault="00F65A6C" w:rsidP="00D85504">
            <w:pPr>
              <w:jc w:val="center"/>
              <w:rPr>
                <w:szCs w:val="24"/>
                <w:lang w:eastAsia="sv-SE"/>
              </w:rPr>
            </w:pPr>
            <w:r w:rsidRPr="00EC556A">
              <w:rPr>
                <w:szCs w:val="24"/>
                <w:lang w:eastAsia="sv-SE"/>
              </w:rPr>
              <w:t>0.15–8.7 %</w:t>
            </w:r>
          </w:p>
        </w:tc>
      </w:tr>
      <w:tr w:rsidR="00F65A6C" w:rsidRPr="00EC556A">
        <w:trPr>
          <w:tblCellSpacing w:w="15" w:type="dxa"/>
        </w:trPr>
        <w:tc>
          <w:tcPr>
            <w:tcW w:w="0" w:type="auto"/>
            <w:vAlign w:val="center"/>
          </w:tcPr>
          <w:p w:rsidR="00F65A6C" w:rsidRPr="00EC556A" w:rsidRDefault="00F05101" w:rsidP="00F65A6C">
            <w:pPr>
              <w:rPr>
                <w:szCs w:val="24"/>
                <w:lang w:eastAsia="sv-SE"/>
              </w:rPr>
            </w:pPr>
            <w:r>
              <w:rPr>
                <w:noProof/>
                <w:color w:val="0000FF"/>
                <w:szCs w:val="24"/>
                <w:lang w:eastAsia="en-GB"/>
              </w:rPr>
              <w:drawing>
                <wp:inline distT="0" distB="0" distL="0" distR="0">
                  <wp:extent cx="1428750" cy="819150"/>
                  <wp:effectExtent l="19050" t="0" r="0" b="0"/>
                  <wp:docPr id="117" name="Bild 14" descr="Structure of BDE-154">
                    <a:hlinkClick xmlns:a="http://schemas.openxmlformats.org/drawingml/2006/main" r:id="rId53" tooltip="&quot;Structure of BDE-154&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Structure of BDE-154">
                            <a:hlinkClick r:id="rId53" tooltip="&quot;Structure of BDE-154&quot; "/>
                          </pic:cNvPr>
                          <pic:cNvPicPr>
                            <a:picLocks noChangeAspect="1" noChangeArrowheads="1"/>
                          </pic:cNvPicPr>
                        </pic:nvPicPr>
                        <pic:blipFill>
                          <a:blip r:embed="rId54" cstate="print"/>
                          <a:srcRect/>
                          <a:stretch>
                            <a:fillRect/>
                          </a:stretch>
                        </pic:blipFill>
                        <pic:spPr bwMode="auto">
                          <a:xfrm>
                            <a:off x="0" y="0"/>
                            <a:ext cx="1428750" cy="819150"/>
                          </a:xfrm>
                          <a:prstGeom prst="rect">
                            <a:avLst/>
                          </a:prstGeom>
                          <a:noFill/>
                          <a:ln w="9525">
                            <a:noFill/>
                            <a:miter lim="800000"/>
                            <a:headEnd/>
                            <a:tailEnd/>
                          </a:ln>
                        </pic:spPr>
                      </pic:pic>
                    </a:graphicData>
                  </a:graphic>
                </wp:inline>
              </w:drawing>
            </w:r>
          </w:p>
        </w:tc>
        <w:tc>
          <w:tcPr>
            <w:tcW w:w="1082" w:type="dxa"/>
            <w:vAlign w:val="center"/>
          </w:tcPr>
          <w:p w:rsidR="00F65A6C" w:rsidRPr="00EC556A" w:rsidRDefault="00F65A6C" w:rsidP="00F65A6C">
            <w:pPr>
              <w:rPr>
                <w:szCs w:val="24"/>
                <w:lang w:eastAsia="sv-SE"/>
              </w:rPr>
            </w:pPr>
            <w:r w:rsidRPr="00EC556A">
              <w:rPr>
                <w:szCs w:val="24"/>
                <w:lang w:eastAsia="sv-SE"/>
              </w:rPr>
              <w:t>BDE-154</w:t>
            </w:r>
          </w:p>
        </w:tc>
        <w:tc>
          <w:tcPr>
            <w:tcW w:w="2947" w:type="dxa"/>
            <w:vAlign w:val="center"/>
          </w:tcPr>
          <w:p w:rsidR="00F65A6C" w:rsidRPr="00EC556A" w:rsidRDefault="00F65A6C" w:rsidP="00F65A6C">
            <w:pPr>
              <w:rPr>
                <w:szCs w:val="24"/>
                <w:lang w:eastAsia="sv-SE"/>
              </w:rPr>
            </w:pPr>
            <w:r w:rsidRPr="00EC556A">
              <w:rPr>
                <w:szCs w:val="24"/>
                <w:lang w:eastAsia="sv-SE"/>
              </w:rPr>
              <w:t>2,2</w:t>
            </w:r>
            <w:r w:rsidRPr="00EC556A">
              <w:rPr>
                <w:rFonts w:ascii="Arial" w:hAnsi="Arial" w:cs="Arial"/>
                <w:szCs w:val="24"/>
                <w:lang w:eastAsia="sv-SE"/>
              </w:rPr>
              <w:t>′</w:t>
            </w:r>
            <w:r w:rsidRPr="00EC556A">
              <w:rPr>
                <w:rFonts w:cs="Calibri"/>
                <w:szCs w:val="24"/>
                <w:lang w:eastAsia="sv-SE"/>
              </w:rPr>
              <w:t>,4,4</w:t>
            </w:r>
            <w:r w:rsidRPr="00EC556A">
              <w:rPr>
                <w:rFonts w:ascii="Arial" w:hAnsi="Arial" w:cs="Arial"/>
                <w:szCs w:val="24"/>
                <w:lang w:eastAsia="sv-SE"/>
              </w:rPr>
              <w:t>′</w:t>
            </w:r>
            <w:r w:rsidRPr="00EC556A">
              <w:rPr>
                <w:rFonts w:cs="Calibri"/>
                <w:szCs w:val="24"/>
                <w:lang w:eastAsia="sv-SE"/>
              </w:rPr>
              <w:t>,5,6</w:t>
            </w:r>
            <w:r w:rsidRPr="00EC556A">
              <w:rPr>
                <w:rFonts w:ascii="Arial" w:hAnsi="Arial" w:cs="Arial"/>
                <w:szCs w:val="24"/>
                <w:lang w:eastAsia="sv-SE"/>
              </w:rPr>
              <w:t>′</w:t>
            </w:r>
            <w:r w:rsidRPr="00EC556A">
              <w:rPr>
                <w:rFonts w:cs="Calibri"/>
                <w:szCs w:val="24"/>
                <w:lang w:eastAsia="sv-SE"/>
              </w:rPr>
              <w:t>-hexa-</w:t>
            </w:r>
            <w:r w:rsidRPr="00EC556A">
              <w:rPr>
                <w:rFonts w:ascii="Gulim" w:eastAsia="Gulim" w:hAnsi="Gulim" w:cs="Gulim" w:hint="eastAsia"/>
                <w:szCs w:val="24"/>
                <w:lang w:eastAsia="sv-SE"/>
              </w:rPr>
              <w:br/>
            </w:r>
            <w:r w:rsidRPr="00EC556A">
              <w:rPr>
                <w:rFonts w:cs="Calibri"/>
                <w:szCs w:val="24"/>
                <w:lang w:eastAsia="sv-SE"/>
              </w:rPr>
              <w:t>bromodiphenyl ether</w:t>
            </w:r>
          </w:p>
        </w:tc>
        <w:tc>
          <w:tcPr>
            <w:tcW w:w="112" w:type="dxa"/>
            <w:vAlign w:val="center"/>
          </w:tcPr>
          <w:p w:rsidR="00F65A6C" w:rsidRPr="00EC556A" w:rsidRDefault="00F65A6C" w:rsidP="00F65A6C">
            <w:pPr>
              <w:rPr>
                <w:szCs w:val="24"/>
                <w:lang w:eastAsia="sv-SE"/>
              </w:rPr>
            </w:pPr>
          </w:p>
        </w:tc>
        <w:tc>
          <w:tcPr>
            <w:tcW w:w="2081" w:type="dxa"/>
            <w:vAlign w:val="center"/>
          </w:tcPr>
          <w:p w:rsidR="00F65A6C" w:rsidRPr="00EC556A" w:rsidRDefault="00F65A6C" w:rsidP="00D85504">
            <w:pPr>
              <w:jc w:val="center"/>
              <w:rPr>
                <w:szCs w:val="24"/>
                <w:lang w:eastAsia="sv-SE"/>
              </w:rPr>
            </w:pPr>
            <w:r w:rsidRPr="00EC556A">
              <w:rPr>
                <w:szCs w:val="24"/>
                <w:lang w:eastAsia="sv-SE"/>
              </w:rPr>
              <w:t>0.04–1.1 %</w:t>
            </w:r>
          </w:p>
        </w:tc>
      </w:tr>
      <w:tr w:rsidR="00F65A6C" w:rsidRPr="00EC556A">
        <w:trPr>
          <w:tblCellSpacing w:w="15" w:type="dxa"/>
        </w:trPr>
        <w:tc>
          <w:tcPr>
            <w:tcW w:w="0" w:type="auto"/>
            <w:vAlign w:val="center"/>
          </w:tcPr>
          <w:p w:rsidR="00F65A6C" w:rsidRPr="00EC556A" w:rsidRDefault="00F05101" w:rsidP="00F65A6C">
            <w:pPr>
              <w:rPr>
                <w:szCs w:val="24"/>
                <w:lang w:eastAsia="sv-SE"/>
              </w:rPr>
            </w:pPr>
            <w:r>
              <w:rPr>
                <w:noProof/>
                <w:color w:val="0000FF"/>
                <w:szCs w:val="24"/>
                <w:lang w:eastAsia="en-GB"/>
              </w:rPr>
              <w:drawing>
                <wp:inline distT="0" distB="0" distL="0" distR="0">
                  <wp:extent cx="1428750" cy="638175"/>
                  <wp:effectExtent l="19050" t="0" r="0" b="0"/>
                  <wp:docPr id="118" name="Bild 15" descr="Structure of BDE-171">
                    <a:hlinkClick xmlns:a="http://schemas.openxmlformats.org/drawingml/2006/main" r:id="rId55" tooltip="&quot;Structure of BDE-171&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Structure of BDE-171">
                            <a:hlinkClick r:id="rId55" tooltip="&quot;Structure of BDE-171&quot; "/>
                          </pic:cNvPr>
                          <pic:cNvPicPr>
                            <a:picLocks noChangeAspect="1" noChangeArrowheads="1"/>
                          </pic:cNvPicPr>
                        </pic:nvPicPr>
                        <pic:blipFill>
                          <a:blip r:embed="rId56" cstate="print"/>
                          <a:srcRect/>
                          <a:stretch>
                            <a:fillRect/>
                          </a:stretch>
                        </pic:blipFill>
                        <pic:spPr bwMode="auto">
                          <a:xfrm>
                            <a:off x="0" y="0"/>
                            <a:ext cx="1428750" cy="638175"/>
                          </a:xfrm>
                          <a:prstGeom prst="rect">
                            <a:avLst/>
                          </a:prstGeom>
                          <a:noFill/>
                          <a:ln w="9525">
                            <a:noFill/>
                            <a:miter lim="800000"/>
                            <a:headEnd/>
                            <a:tailEnd/>
                          </a:ln>
                        </pic:spPr>
                      </pic:pic>
                    </a:graphicData>
                  </a:graphic>
                </wp:inline>
              </w:drawing>
            </w:r>
          </w:p>
        </w:tc>
        <w:tc>
          <w:tcPr>
            <w:tcW w:w="1082" w:type="dxa"/>
            <w:vAlign w:val="center"/>
          </w:tcPr>
          <w:p w:rsidR="00F65A6C" w:rsidRPr="00EC556A" w:rsidRDefault="00F65A6C" w:rsidP="00F65A6C">
            <w:pPr>
              <w:rPr>
                <w:szCs w:val="24"/>
                <w:lang w:eastAsia="sv-SE"/>
              </w:rPr>
            </w:pPr>
            <w:r w:rsidRPr="00EC556A">
              <w:rPr>
                <w:szCs w:val="24"/>
                <w:lang w:eastAsia="sv-SE"/>
              </w:rPr>
              <w:t>BDE-171</w:t>
            </w:r>
          </w:p>
        </w:tc>
        <w:tc>
          <w:tcPr>
            <w:tcW w:w="2947" w:type="dxa"/>
            <w:vAlign w:val="center"/>
          </w:tcPr>
          <w:p w:rsidR="00F65A6C" w:rsidRPr="00EC556A" w:rsidRDefault="00F65A6C" w:rsidP="00F65A6C">
            <w:pPr>
              <w:rPr>
                <w:szCs w:val="24"/>
                <w:lang w:eastAsia="sv-SE"/>
              </w:rPr>
            </w:pPr>
            <w:r w:rsidRPr="00EC556A">
              <w:rPr>
                <w:szCs w:val="24"/>
                <w:lang w:eastAsia="sv-SE"/>
              </w:rPr>
              <w:t>2,2</w:t>
            </w:r>
            <w:r w:rsidRPr="00EC556A">
              <w:rPr>
                <w:rFonts w:ascii="Arial" w:hAnsi="Arial" w:cs="Arial"/>
                <w:szCs w:val="24"/>
                <w:lang w:eastAsia="sv-SE"/>
              </w:rPr>
              <w:t>′</w:t>
            </w:r>
            <w:r w:rsidRPr="00EC556A">
              <w:rPr>
                <w:rFonts w:cs="Calibri"/>
                <w:szCs w:val="24"/>
                <w:lang w:eastAsia="sv-SE"/>
              </w:rPr>
              <w:t>,3,3</w:t>
            </w:r>
            <w:r w:rsidRPr="00EC556A">
              <w:rPr>
                <w:rFonts w:ascii="Arial" w:hAnsi="Arial" w:cs="Arial"/>
                <w:szCs w:val="24"/>
                <w:lang w:eastAsia="sv-SE"/>
              </w:rPr>
              <w:t>′</w:t>
            </w:r>
            <w:r w:rsidRPr="00EC556A">
              <w:rPr>
                <w:rFonts w:cs="Calibri"/>
                <w:szCs w:val="24"/>
                <w:lang w:eastAsia="sv-SE"/>
              </w:rPr>
              <w:t>,4,4</w:t>
            </w:r>
            <w:r w:rsidRPr="00EC556A">
              <w:rPr>
                <w:rFonts w:ascii="Arial" w:hAnsi="Arial" w:cs="Arial"/>
                <w:szCs w:val="24"/>
                <w:lang w:eastAsia="sv-SE"/>
              </w:rPr>
              <w:t>′</w:t>
            </w:r>
            <w:r w:rsidRPr="00EC556A">
              <w:rPr>
                <w:rFonts w:cs="Calibri"/>
                <w:szCs w:val="24"/>
                <w:lang w:eastAsia="sv-SE"/>
              </w:rPr>
              <w:t>,6-hepta-</w:t>
            </w:r>
            <w:r w:rsidRPr="00EC556A">
              <w:rPr>
                <w:rFonts w:ascii="Gulim" w:eastAsia="Gulim" w:hAnsi="Gulim" w:cs="Gulim" w:hint="eastAsia"/>
                <w:szCs w:val="24"/>
                <w:lang w:eastAsia="sv-SE"/>
              </w:rPr>
              <w:br/>
            </w:r>
            <w:r w:rsidRPr="00EC556A">
              <w:rPr>
                <w:rFonts w:cs="Calibri"/>
                <w:szCs w:val="24"/>
                <w:lang w:eastAsia="sv-SE"/>
              </w:rPr>
              <w:t>bromodiphenyl ether</w:t>
            </w:r>
          </w:p>
        </w:tc>
        <w:tc>
          <w:tcPr>
            <w:tcW w:w="112" w:type="dxa"/>
            <w:vAlign w:val="center"/>
          </w:tcPr>
          <w:p w:rsidR="00F65A6C" w:rsidRPr="00EC556A" w:rsidRDefault="00F65A6C" w:rsidP="00F65A6C">
            <w:pPr>
              <w:rPr>
                <w:szCs w:val="24"/>
                <w:lang w:eastAsia="sv-SE"/>
              </w:rPr>
            </w:pPr>
          </w:p>
        </w:tc>
        <w:tc>
          <w:tcPr>
            <w:tcW w:w="2081" w:type="dxa"/>
            <w:vAlign w:val="center"/>
          </w:tcPr>
          <w:p w:rsidR="00F65A6C" w:rsidRPr="00EC556A" w:rsidRDefault="00F65A6C" w:rsidP="00D85504">
            <w:pPr>
              <w:jc w:val="center"/>
              <w:rPr>
                <w:szCs w:val="24"/>
                <w:lang w:eastAsia="sv-SE"/>
              </w:rPr>
            </w:pPr>
            <w:r w:rsidRPr="00EC556A">
              <w:rPr>
                <w:szCs w:val="24"/>
                <w:lang w:eastAsia="sv-SE"/>
              </w:rPr>
              <w:t>0.17–1.8 %</w:t>
            </w:r>
          </w:p>
        </w:tc>
      </w:tr>
      <w:tr w:rsidR="00F65A6C" w:rsidRPr="00EC556A">
        <w:trPr>
          <w:tblCellSpacing w:w="15" w:type="dxa"/>
        </w:trPr>
        <w:tc>
          <w:tcPr>
            <w:tcW w:w="0" w:type="auto"/>
            <w:vAlign w:val="center"/>
          </w:tcPr>
          <w:p w:rsidR="00F65A6C" w:rsidRPr="00EC556A" w:rsidRDefault="00F05101" w:rsidP="00F65A6C">
            <w:pPr>
              <w:rPr>
                <w:szCs w:val="24"/>
                <w:lang w:eastAsia="sv-SE"/>
              </w:rPr>
            </w:pPr>
            <w:r>
              <w:rPr>
                <w:noProof/>
                <w:color w:val="0000FF"/>
                <w:szCs w:val="24"/>
                <w:lang w:eastAsia="en-GB"/>
              </w:rPr>
              <w:drawing>
                <wp:inline distT="0" distB="0" distL="0" distR="0">
                  <wp:extent cx="1428750" cy="819150"/>
                  <wp:effectExtent l="19050" t="0" r="0" b="0"/>
                  <wp:docPr id="119" name="Bild 16" descr="Structure of BDE-180">
                    <a:hlinkClick xmlns:a="http://schemas.openxmlformats.org/drawingml/2006/main" r:id="rId57" tooltip="&quot;Structure of BDE-180&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descr="Structure of BDE-180">
                            <a:hlinkClick r:id="rId57" tooltip="&quot;Structure of BDE-180&quot; "/>
                          </pic:cNvPr>
                          <pic:cNvPicPr>
                            <a:picLocks noChangeAspect="1" noChangeArrowheads="1"/>
                          </pic:cNvPicPr>
                        </pic:nvPicPr>
                        <pic:blipFill>
                          <a:blip r:embed="rId58" cstate="print"/>
                          <a:srcRect/>
                          <a:stretch>
                            <a:fillRect/>
                          </a:stretch>
                        </pic:blipFill>
                        <pic:spPr bwMode="auto">
                          <a:xfrm>
                            <a:off x="0" y="0"/>
                            <a:ext cx="1428750" cy="819150"/>
                          </a:xfrm>
                          <a:prstGeom prst="rect">
                            <a:avLst/>
                          </a:prstGeom>
                          <a:noFill/>
                          <a:ln w="9525">
                            <a:noFill/>
                            <a:miter lim="800000"/>
                            <a:headEnd/>
                            <a:tailEnd/>
                          </a:ln>
                        </pic:spPr>
                      </pic:pic>
                    </a:graphicData>
                  </a:graphic>
                </wp:inline>
              </w:drawing>
            </w:r>
          </w:p>
        </w:tc>
        <w:tc>
          <w:tcPr>
            <w:tcW w:w="1082" w:type="dxa"/>
            <w:vAlign w:val="center"/>
          </w:tcPr>
          <w:p w:rsidR="00F65A6C" w:rsidRPr="00EC556A" w:rsidRDefault="00F65A6C" w:rsidP="00F65A6C">
            <w:pPr>
              <w:rPr>
                <w:szCs w:val="24"/>
                <w:lang w:eastAsia="sv-SE"/>
              </w:rPr>
            </w:pPr>
            <w:r w:rsidRPr="00EC556A">
              <w:rPr>
                <w:szCs w:val="24"/>
                <w:lang w:eastAsia="sv-SE"/>
              </w:rPr>
              <w:t>BDE-180</w:t>
            </w:r>
          </w:p>
        </w:tc>
        <w:tc>
          <w:tcPr>
            <w:tcW w:w="2947" w:type="dxa"/>
            <w:vAlign w:val="center"/>
          </w:tcPr>
          <w:p w:rsidR="00F65A6C" w:rsidRPr="00EC556A" w:rsidRDefault="00F65A6C" w:rsidP="00F65A6C">
            <w:pPr>
              <w:rPr>
                <w:szCs w:val="24"/>
                <w:lang w:eastAsia="sv-SE"/>
              </w:rPr>
            </w:pPr>
            <w:r w:rsidRPr="00EC556A">
              <w:rPr>
                <w:szCs w:val="24"/>
                <w:lang w:eastAsia="sv-SE"/>
              </w:rPr>
              <w:t>2,2</w:t>
            </w:r>
            <w:r w:rsidRPr="00EC556A">
              <w:rPr>
                <w:rFonts w:ascii="Arial" w:hAnsi="Arial" w:cs="Arial"/>
                <w:szCs w:val="24"/>
                <w:lang w:eastAsia="sv-SE"/>
              </w:rPr>
              <w:t>′</w:t>
            </w:r>
            <w:r w:rsidRPr="00EC556A">
              <w:rPr>
                <w:rFonts w:cs="Calibri"/>
                <w:szCs w:val="24"/>
                <w:lang w:eastAsia="sv-SE"/>
              </w:rPr>
              <w:t>,3,4,4</w:t>
            </w:r>
            <w:r w:rsidRPr="00EC556A">
              <w:rPr>
                <w:rFonts w:ascii="Arial" w:hAnsi="Arial" w:cs="Arial"/>
                <w:szCs w:val="24"/>
                <w:lang w:eastAsia="sv-SE"/>
              </w:rPr>
              <w:t>′</w:t>
            </w:r>
            <w:r w:rsidRPr="00EC556A">
              <w:rPr>
                <w:rFonts w:cs="Calibri"/>
                <w:szCs w:val="24"/>
                <w:lang w:eastAsia="sv-SE"/>
              </w:rPr>
              <w:t>,5,5</w:t>
            </w:r>
            <w:r w:rsidRPr="00EC556A">
              <w:rPr>
                <w:rFonts w:ascii="Arial" w:hAnsi="Arial" w:cs="Arial"/>
                <w:szCs w:val="24"/>
                <w:lang w:eastAsia="sv-SE"/>
              </w:rPr>
              <w:t>′</w:t>
            </w:r>
            <w:r w:rsidRPr="00EC556A">
              <w:rPr>
                <w:rFonts w:cs="Calibri"/>
                <w:szCs w:val="24"/>
                <w:lang w:eastAsia="sv-SE"/>
              </w:rPr>
              <w:t>-hepta-</w:t>
            </w:r>
            <w:r w:rsidRPr="00EC556A">
              <w:rPr>
                <w:rFonts w:ascii="Gulim" w:eastAsia="Gulim" w:hAnsi="Gulim" w:cs="Gulim" w:hint="eastAsia"/>
                <w:szCs w:val="24"/>
                <w:lang w:eastAsia="sv-SE"/>
              </w:rPr>
              <w:br/>
            </w:r>
            <w:r w:rsidRPr="00EC556A">
              <w:rPr>
                <w:rFonts w:cs="Calibri"/>
                <w:szCs w:val="24"/>
                <w:lang w:eastAsia="sv-SE"/>
              </w:rPr>
              <w:t>bromodiphenyl ether</w:t>
            </w:r>
          </w:p>
        </w:tc>
        <w:tc>
          <w:tcPr>
            <w:tcW w:w="112" w:type="dxa"/>
            <w:vAlign w:val="center"/>
          </w:tcPr>
          <w:p w:rsidR="00F65A6C" w:rsidRPr="00EC556A" w:rsidRDefault="00F65A6C" w:rsidP="00F65A6C">
            <w:pPr>
              <w:rPr>
                <w:szCs w:val="24"/>
                <w:lang w:eastAsia="sv-SE"/>
              </w:rPr>
            </w:pPr>
          </w:p>
        </w:tc>
        <w:tc>
          <w:tcPr>
            <w:tcW w:w="2081" w:type="dxa"/>
            <w:vAlign w:val="center"/>
          </w:tcPr>
          <w:p w:rsidR="00F65A6C" w:rsidRPr="00EC556A" w:rsidRDefault="00F65A6C" w:rsidP="00D85504">
            <w:pPr>
              <w:jc w:val="center"/>
              <w:rPr>
                <w:szCs w:val="24"/>
                <w:lang w:eastAsia="sv-SE"/>
              </w:rPr>
            </w:pPr>
            <w:r w:rsidRPr="00EC556A">
              <w:rPr>
                <w:szCs w:val="24"/>
                <w:lang w:eastAsia="sv-SE"/>
              </w:rPr>
              <w:t>n.d.–1.7 %</w:t>
            </w:r>
          </w:p>
        </w:tc>
      </w:tr>
      <w:tr w:rsidR="00F65A6C" w:rsidRPr="00EC556A">
        <w:trPr>
          <w:tblCellSpacing w:w="15" w:type="dxa"/>
        </w:trPr>
        <w:tc>
          <w:tcPr>
            <w:tcW w:w="0" w:type="auto"/>
            <w:vAlign w:val="center"/>
          </w:tcPr>
          <w:p w:rsidR="00F65A6C" w:rsidRPr="00EC556A" w:rsidRDefault="00F05101" w:rsidP="00F65A6C">
            <w:pPr>
              <w:rPr>
                <w:szCs w:val="24"/>
                <w:lang w:eastAsia="sv-SE"/>
              </w:rPr>
            </w:pPr>
            <w:r>
              <w:rPr>
                <w:noProof/>
                <w:color w:val="0000FF"/>
                <w:szCs w:val="24"/>
                <w:lang w:eastAsia="en-GB"/>
              </w:rPr>
              <w:drawing>
                <wp:inline distT="0" distB="0" distL="0" distR="0">
                  <wp:extent cx="1428750" cy="819150"/>
                  <wp:effectExtent l="19050" t="0" r="0" b="0"/>
                  <wp:docPr id="120" name="Bild 17" descr="Structure of BDE-183">
                    <a:hlinkClick xmlns:a="http://schemas.openxmlformats.org/drawingml/2006/main" r:id="rId59" tooltip="&quot;Structure of BDE-183&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descr="Structure of BDE-183">
                            <a:hlinkClick r:id="rId59" tooltip="&quot;Structure of BDE-183&quot; "/>
                          </pic:cNvPr>
                          <pic:cNvPicPr>
                            <a:picLocks noChangeAspect="1" noChangeArrowheads="1"/>
                          </pic:cNvPicPr>
                        </pic:nvPicPr>
                        <pic:blipFill>
                          <a:blip r:embed="rId60" cstate="print"/>
                          <a:srcRect/>
                          <a:stretch>
                            <a:fillRect/>
                          </a:stretch>
                        </pic:blipFill>
                        <pic:spPr bwMode="auto">
                          <a:xfrm>
                            <a:off x="0" y="0"/>
                            <a:ext cx="1428750" cy="819150"/>
                          </a:xfrm>
                          <a:prstGeom prst="rect">
                            <a:avLst/>
                          </a:prstGeom>
                          <a:noFill/>
                          <a:ln w="9525">
                            <a:noFill/>
                            <a:miter lim="800000"/>
                            <a:headEnd/>
                            <a:tailEnd/>
                          </a:ln>
                        </pic:spPr>
                      </pic:pic>
                    </a:graphicData>
                  </a:graphic>
                </wp:inline>
              </w:drawing>
            </w:r>
          </w:p>
        </w:tc>
        <w:tc>
          <w:tcPr>
            <w:tcW w:w="1082" w:type="dxa"/>
            <w:vAlign w:val="center"/>
          </w:tcPr>
          <w:p w:rsidR="00F65A6C" w:rsidRPr="00EC556A" w:rsidRDefault="00F65A6C" w:rsidP="00F65A6C">
            <w:pPr>
              <w:rPr>
                <w:szCs w:val="24"/>
                <w:lang w:eastAsia="sv-SE"/>
              </w:rPr>
            </w:pPr>
            <w:r w:rsidRPr="00EC556A">
              <w:rPr>
                <w:szCs w:val="24"/>
                <w:lang w:eastAsia="sv-SE"/>
              </w:rPr>
              <w:t>BDE-183</w:t>
            </w:r>
          </w:p>
        </w:tc>
        <w:tc>
          <w:tcPr>
            <w:tcW w:w="2947" w:type="dxa"/>
            <w:vAlign w:val="center"/>
          </w:tcPr>
          <w:p w:rsidR="00F65A6C" w:rsidRPr="00EC556A" w:rsidRDefault="00F65A6C" w:rsidP="00F65A6C">
            <w:pPr>
              <w:rPr>
                <w:szCs w:val="24"/>
                <w:lang w:eastAsia="sv-SE"/>
              </w:rPr>
            </w:pPr>
            <w:r w:rsidRPr="00EC556A">
              <w:rPr>
                <w:szCs w:val="24"/>
                <w:lang w:eastAsia="sv-SE"/>
              </w:rPr>
              <w:t>2,2</w:t>
            </w:r>
            <w:r w:rsidRPr="00EC556A">
              <w:rPr>
                <w:rFonts w:ascii="Arial" w:hAnsi="Arial" w:cs="Arial"/>
                <w:szCs w:val="24"/>
                <w:lang w:eastAsia="sv-SE"/>
              </w:rPr>
              <w:t>′</w:t>
            </w:r>
            <w:r w:rsidRPr="00EC556A">
              <w:rPr>
                <w:rFonts w:cs="Calibri"/>
                <w:szCs w:val="24"/>
                <w:lang w:eastAsia="sv-SE"/>
              </w:rPr>
              <w:t>,3,4,4</w:t>
            </w:r>
            <w:r w:rsidRPr="00EC556A">
              <w:rPr>
                <w:rFonts w:ascii="Arial" w:hAnsi="Arial" w:cs="Arial"/>
                <w:szCs w:val="24"/>
                <w:lang w:eastAsia="sv-SE"/>
              </w:rPr>
              <w:t>′</w:t>
            </w:r>
            <w:r w:rsidRPr="00EC556A">
              <w:rPr>
                <w:rFonts w:cs="Calibri"/>
                <w:szCs w:val="24"/>
                <w:lang w:eastAsia="sv-SE"/>
              </w:rPr>
              <w:t>,5</w:t>
            </w:r>
            <w:r w:rsidRPr="00EC556A">
              <w:rPr>
                <w:rFonts w:ascii="Arial" w:hAnsi="Arial" w:cs="Arial"/>
                <w:szCs w:val="24"/>
                <w:lang w:eastAsia="sv-SE"/>
              </w:rPr>
              <w:t>′</w:t>
            </w:r>
            <w:r w:rsidRPr="00EC556A">
              <w:rPr>
                <w:rFonts w:cs="Calibri"/>
                <w:szCs w:val="24"/>
                <w:lang w:eastAsia="sv-SE"/>
              </w:rPr>
              <w:t>,6-hepta-</w:t>
            </w:r>
            <w:r w:rsidRPr="00EC556A">
              <w:rPr>
                <w:rFonts w:ascii="Gulim" w:eastAsia="Gulim" w:hAnsi="Gulim" w:cs="Gulim" w:hint="eastAsia"/>
                <w:szCs w:val="24"/>
                <w:lang w:eastAsia="sv-SE"/>
              </w:rPr>
              <w:br/>
            </w:r>
            <w:r w:rsidRPr="00EC556A">
              <w:rPr>
                <w:rFonts w:cs="Calibri"/>
                <w:szCs w:val="24"/>
                <w:lang w:eastAsia="sv-SE"/>
              </w:rPr>
              <w:t>bromodiphenyl ether</w:t>
            </w:r>
          </w:p>
        </w:tc>
        <w:tc>
          <w:tcPr>
            <w:tcW w:w="112" w:type="dxa"/>
            <w:vAlign w:val="center"/>
          </w:tcPr>
          <w:p w:rsidR="00F65A6C" w:rsidRPr="00EC556A" w:rsidRDefault="00F65A6C" w:rsidP="00F65A6C">
            <w:pPr>
              <w:rPr>
                <w:szCs w:val="24"/>
                <w:lang w:eastAsia="sv-SE"/>
              </w:rPr>
            </w:pPr>
          </w:p>
        </w:tc>
        <w:tc>
          <w:tcPr>
            <w:tcW w:w="2081" w:type="dxa"/>
            <w:vAlign w:val="center"/>
          </w:tcPr>
          <w:p w:rsidR="00F65A6C" w:rsidRPr="00EC556A" w:rsidRDefault="00F65A6C" w:rsidP="00D85504">
            <w:pPr>
              <w:jc w:val="center"/>
              <w:rPr>
                <w:szCs w:val="24"/>
                <w:lang w:eastAsia="sv-SE"/>
              </w:rPr>
            </w:pPr>
            <w:r w:rsidRPr="00EC556A">
              <w:rPr>
                <w:szCs w:val="24"/>
                <w:lang w:eastAsia="sv-SE"/>
              </w:rPr>
              <w:t>13–42 %</w:t>
            </w:r>
          </w:p>
        </w:tc>
      </w:tr>
      <w:tr w:rsidR="00F65A6C" w:rsidRPr="00EC556A">
        <w:trPr>
          <w:tblCellSpacing w:w="15" w:type="dxa"/>
        </w:trPr>
        <w:tc>
          <w:tcPr>
            <w:tcW w:w="0" w:type="auto"/>
            <w:vAlign w:val="center"/>
          </w:tcPr>
          <w:p w:rsidR="00F65A6C" w:rsidRPr="00EC556A" w:rsidRDefault="00F05101" w:rsidP="00F65A6C">
            <w:pPr>
              <w:rPr>
                <w:szCs w:val="24"/>
                <w:lang w:eastAsia="sv-SE"/>
              </w:rPr>
            </w:pPr>
            <w:r>
              <w:rPr>
                <w:noProof/>
                <w:color w:val="0000FF"/>
                <w:szCs w:val="24"/>
                <w:lang w:eastAsia="en-GB"/>
              </w:rPr>
              <w:drawing>
                <wp:inline distT="0" distB="0" distL="0" distR="0">
                  <wp:extent cx="1428750" cy="819150"/>
                  <wp:effectExtent l="19050" t="0" r="0" b="0"/>
                  <wp:docPr id="121" name="Bild 18" descr="Structure of BDE-196">
                    <a:hlinkClick xmlns:a="http://schemas.openxmlformats.org/drawingml/2006/main" r:id="rId61" tooltip="&quot;Structure of BDE-196&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descr="Structure of BDE-196">
                            <a:hlinkClick r:id="rId61" tooltip="&quot;Structure of BDE-196&quot; "/>
                          </pic:cNvPr>
                          <pic:cNvPicPr>
                            <a:picLocks noChangeAspect="1" noChangeArrowheads="1"/>
                          </pic:cNvPicPr>
                        </pic:nvPicPr>
                        <pic:blipFill>
                          <a:blip r:embed="rId62" cstate="print"/>
                          <a:srcRect/>
                          <a:stretch>
                            <a:fillRect/>
                          </a:stretch>
                        </pic:blipFill>
                        <pic:spPr bwMode="auto">
                          <a:xfrm>
                            <a:off x="0" y="0"/>
                            <a:ext cx="1428750" cy="819150"/>
                          </a:xfrm>
                          <a:prstGeom prst="rect">
                            <a:avLst/>
                          </a:prstGeom>
                          <a:noFill/>
                          <a:ln w="9525">
                            <a:noFill/>
                            <a:miter lim="800000"/>
                            <a:headEnd/>
                            <a:tailEnd/>
                          </a:ln>
                        </pic:spPr>
                      </pic:pic>
                    </a:graphicData>
                  </a:graphic>
                </wp:inline>
              </w:drawing>
            </w:r>
          </w:p>
        </w:tc>
        <w:tc>
          <w:tcPr>
            <w:tcW w:w="1082" w:type="dxa"/>
            <w:vAlign w:val="center"/>
          </w:tcPr>
          <w:p w:rsidR="00F65A6C" w:rsidRPr="00EC556A" w:rsidRDefault="00F65A6C" w:rsidP="00F65A6C">
            <w:pPr>
              <w:rPr>
                <w:i/>
                <w:iCs/>
                <w:color w:val="999999"/>
                <w:sz w:val="20"/>
                <w:lang w:eastAsia="sv-SE"/>
              </w:rPr>
            </w:pPr>
            <w:r w:rsidRPr="00EC556A">
              <w:rPr>
                <w:i/>
                <w:iCs/>
                <w:color w:val="999999"/>
                <w:sz w:val="20"/>
                <w:lang w:eastAsia="sv-SE"/>
              </w:rPr>
              <w:t>BDE-196</w:t>
            </w:r>
            <w:r w:rsidRPr="00EC556A">
              <w:rPr>
                <w:i/>
                <w:iCs/>
                <w:color w:val="999999"/>
                <w:szCs w:val="24"/>
                <w:lang w:eastAsia="sv-SE"/>
              </w:rPr>
              <w:t>*</w:t>
            </w:r>
          </w:p>
        </w:tc>
        <w:tc>
          <w:tcPr>
            <w:tcW w:w="2947" w:type="dxa"/>
            <w:vAlign w:val="center"/>
          </w:tcPr>
          <w:p w:rsidR="00F65A6C" w:rsidRPr="00EC556A" w:rsidRDefault="00F65A6C" w:rsidP="00F65A6C">
            <w:pPr>
              <w:rPr>
                <w:i/>
                <w:iCs/>
                <w:color w:val="999999"/>
                <w:sz w:val="20"/>
                <w:lang w:eastAsia="sv-SE"/>
              </w:rPr>
            </w:pPr>
            <w:r w:rsidRPr="00EC556A">
              <w:rPr>
                <w:i/>
                <w:iCs/>
                <w:color w:val="999999"/>
                <w:sz w:val="20"/>
                <w:lang w:eastAsia="sv-SE"/>
              </w:rPr>
              <w:t>2,2</w:t>
            </w:r>
            <w:r w:rsidRPr="00EC556A">
              <w:rPr>
                <w:rFonts w:ascii="Arial" w:hAnsi="Arial" w:cs="Arial"/>
                <w:i/>
                <w:iCs/>
                <w:color w:val="999999"/>
                <w:sz w:val="20"/>
                <w:lang w:eastAsia="sv-SE"/>
              </w:rPr>
              <w:t>′</w:t>
            </w:r>
            <w:r w:rsidRPr="00EC556A">
              <w:rPr>
                <w:rFonts w:cs="Calibri"/>
                <w:i/>
                <w:iCs/>
                <w:color w:val="999999"/>
                <w:sz w:val="20"/>
                <w:lang w:eastAsia="sv-SE"/>
              </w:rPr>
              <w:t>,3,3</w:t>
            </w:r>
            <w:r w:rsidRPr="00EC556A">
              <w:rPr>
                <w:rFonts w:ascii="Arial" w:hAnsi="Arial" w:cs="Arial"/>
                <w:i/>
                <w:iCs/>
                <w:color w:val="999999"/>
                <w:sz w:val="20"/>
                <w:lang w:eastAsia="sv-SE"/>
              </w:rPr>
              <w:t>′</w:t>
            </w:r>
            <w:r w:rsidRPr="00EC556A">
              <w:rPr>
                <w:rFonts w:cs="Calibri"/>
                <w:i/>
                <w:iCs/>
                <w:color w:val="999999"/>
                <w:sz w:val="20"/>
                <w:lang w:eastAsia="sv-SE"/>
              </w:rPr>
              <w:t>,4,4</w:t>
            </w:r>
            <w:r w:rsidRPr="00EC556A">
              <w:rPr>
                <w:rFonts w:ascii="Arial" w:hAnsi="Arial" w:cs="Arial"/>
                <w:i/>
                <w:iCs/>
                <w:color w:val="999999"/>
                <w:sz w:val="20"/>
                <w:lang w:eastAsia="sv-SE"/>
              </w:rPr>
              <w:t>′</w:t>
            </w:r>
            <w:r w:rsidRPr="00EC556A">
              <w:rPr>
                <w:rFonts w:cs="Calibri"/>
                <w:i/>
                <w:iCs/>
                <w:color w:val="999999"/>
                <w:sz w:val="20"/>
                <w:lang w:eastAsia="sv-SE"/>
              </w:rPr>
              <w:t>,5,6</w:t>
            </w:r>
            <w:r w:rsidRPr="00EC556A">
              <w:rPr>
                <w:rFonts w:ascii="Arial" w:hAnsi="Arial" w:cs="Arial"/>
                <w:i/>
                <w:iCs/>
                <w:color w:val="999999"/>
                <w:sz w:val="20"/>
                <w:lang w:eastAsia="sv-SE"/>
              </w:rPr>
              <w:t>′</w:t>
            </w:r>
            <w:r w:rsidRPr="00EC556A">
              <w:rPr>
                <w:rFonts w:cs="Calibri"/>
                <w:i/>
                <w:iCs/>
                <w:color w:val="999999"/>
                <w:sz w:val="20"/>
                <w:lang w:eastAsia="sv-SE"/>
              </w:rPr>
              <w:t>-octa-</w:t>
            </w:r>
            <w:r w:rsidRPr="00EC556A">
              <w:rPr>
                <w:rFonts w:ascii="Gulim" w:eastAsia="Gulim" w:hAnsi="Gulim" w:cs="Gulim" w:hint="eastAsia"/>
                <w:i/>
                <w:iCs/>
                <w:color w:val="999999"/>
                <w:sz w:val="20"/>
                <w:lang w:eastAsia="sv-SE"/>
              </w:rPr>
              <w:br/>
            </w:r>
            <w:r w:rsidRPr="00EC556A">
              <w:rPr>
                <w:rFonts w:cs="Calibri"/>
                <w:i/>
                <w:iCs/>
                <w:color w:val="999999"/>
                <w:sz w:val="20"/>
                <w:lang w:eastAsia="sv-SE"/>
              </w:rPr>
              <w:t>bromodiphenyl ether</w:t>
            </w:r>
          </w:p>
        </w:tc>
        <w:tc>
          <w:tcPr>
            <w:tcW w:w="112" w:type="dxa"/>
            <w:vAlign w:val="center"/>
          </w:tcPr>
          <w:p w:rsidR="00F65A6C" w:rsidRPr="00EC556A" w:rsidRDefault="00F65A6C" w:rsidP="00F65A6C">
            <w:pPr>
              <w:rPr>
                <w:color w:val="999999"/>
                <w:szCs w:val="24"/>
                <w:lang w:eastAsia="sv-SE"/>
              </w:rPr>
            </w:pPr>
          </w:p>
        </w:tc>
        <w:tc>
          <w:tcPr>
            <w:tcW w:w="2081" w:type="dxa"/>
            <w:vAlign w:val="center"/>
          </w:tcPr>
          <w:p w:rsidR="00F65A6C" w:rsidRPr="00EC556A" w:rsidRDefault="00F65A6C" w:rsidP="00D85504">
            <w:pPr>
              <w:jc w:val="center"/>
              <w:rPr>
                <w:color w:val="999999"/>
                <w:sz w:val="20"/>
                <w:lang w:eastAsia="sv-SE"/>
              </w:rPr>
            </w:pPr>
            <w:r w:rsidRPr="00EC556A">
              <w:rPr>
                <w:color w:val="999999"/>
                <w:sz w:val="20"/>
                <w:lang w:eastAsia="sv-SE"/>
              </w:rPr>
              <w:t>3.1–10.5 %</w:t>
            </w:r>
          </w:p>
        </w:tc>
      </w:tr>
      <w:tr w:rsidR="00F65A6C" w:rsidRPr="00EC556A">
        <w:trPr>
          <w:tblCellSpacing w:w="15" w:type="dxa"/>
        </w:trPr>
        <w:tc>
          <w:tcPr>
            <w:tcW w:w="0" w:type="auto"/>
            <w:vAlign w:val="center"/>
          </w:tcPr>
          <w:p w:rsidR="00F65A6C" w:rsidRPr="00EC556A" w:rsidRDefault="00F05101" w:rsidP="00F65A6C">
            <w:pPr>
              <w:rPr>
                <w:szCs w:val="24"/>
                <w:lang w:eastAsia="sv-SE"/>
              </w:rPr>
            </w:pPr>
            <w:r>
              <w:rPr>
                <w:noProof/>
                <w:color w:val="0000FF"/>
                <w:szCs w:val="24"/>
                <w:lang w:eastAsia="en-GB"/>
              </w:rPr>
              <w:drawing>
                <wp:inline distT="0" distB="0" distL="0" distR="0">
                  <wp:extent cx="1428750" cy="695325"/>
                  <wp:effectExtent l="19050" t="0" r="0" b="0"/>
                  <wp:docPr id="122" name="Bild 19" descr="Structure of BDE-197">
                    <a:hlinkClick xmlns:a="http://schemas.openxmlformats.org/drawingml/2006/main" r:id="rId63" tooltip="&quot;Structure of BDE-197&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Structure of BDE-197">
                            <a:hlinkClick r:id="rId63" tooltip="&quot;Structure of BDE-197&quot; "/>
                          </pic:cNvPr>
                          <pic:cNvPicPr>
                            <a:picLocks noChangeAspect="1" noChangeArrowheads="1"/>
                          </pic:cNvPicPr>
                        </pic:nvPicPr>
                        <pic:blipFill>
                          <a:blip r:embed="rId64" cstate="print"/>
                          <a:srcRect/>
                          <a:stretch>
                            <a:fillRect/>
                          </a:stretch>
                        </pic:blipFill>
                        <pic:spPr bwMode="auto">
                          <a:xfrm>
                            <a:off x="0" y="0"/>
                            <a:ext cx="1428750" cy="695325"/>
                          </a:xfrm>
                          <a:prstGeom prst="rect">
                            <a:avLst/>
                          </a:prstGeom>
                          <a:noFill/>
                          <a:ln w="9525">
                            <a:noFill/>
                            <a:miter lim="800000"/>
                            <a:headEnd/>
                            <a:tailEnd/>
                          </a:ln>
                        </pic:spPr>
                      </pic:pic>
                    </a:graphicData>
                  </a:graphic>
                </wp:inline>
              </w:drawing>
            </w:r>
          </w:p>
        </w:tc>
        <w:tc>
          <w:tcPr>
            <w:tcW w:w="1082" w:type="dxa"/>
            <w:vAlign w:val="center"/>
          </w:tcPr>
          <w:p w:rsidR="00F65A6C" w:rsidRPr="00EC556A" w:rsidRDefault="00F65A6C" w:rsidP="00F65A6C">
            <w:pPr>
              <w:rPr>
                <w:i/>
                <w:iCs/>
                <w:color w:val="999999"/>
                <w:sz w:val="20"/>
                <w:lang w:eastAsia="sv-SE"/>
              </w:rPr>
            </w:pPr>
            <w:r w:rsidRPr="00EC556A">
              <w:rPr>
                <w:i/>
                <w:iCs/>
                <w:color w:val="999999"/>
                <w:sz w:val="20"/>
                <w:lang w:eastAsia="sv-SE"/>
              </w:rPr>
              <w:t>BDE-197</w:t>
            </w:r>
            <w:r w:rsidRPr="00EC556A">
              <w:rPr>
                <w:i/>
                <w:iCs/>
                <w:color w:val="999999"/>
                <w:szCs w:val="24"/>
                <w:lang w:eastAsia="sv-SE"/>
              </w:rPr>
              <w:t>*</w:t>
            </w:r>
          </w:p>
        </w:tc>
        <w:tc>
          <w:tcPr>
            <w:tcW w:w="2947" w:type="dxa"/>
            <w:vAlign w:val="center"/>
          </w:tcPr>
          <w:p w:rsidR="00F65A6C" w:rsidRPr="00EC556A" w:rsidRDefault="00F65A6C" w:rsidP="00F65A6C">
            <w:pPr>
              <w:rPr>
                <w:i/>
                <w:iCs/>
                <w:color w:val="999999"/>
                <w:sz w:val="20"/>
                <w:lang w:eastAsia="sv-SE"/>
              </w:rPr>
            </w:pPr>
            <w:r w:rsidRPr="00EC556A">
              <w:rPr>
                <w:i/>
                <w:iCs/>
                <w:color w:val="999999"/>
                <w:sz w:val="20"/>
                <w:lang w:eastAsia="sv-SE"/>
              </w:rPr>
              <w:t>2,2</w:t>
            </w:r>
            <w:r w:rsidRPr="00EC556A">
              <w:rPr>
                <w:rFonts w:ascii="Arial" w:hAnsi="Arial" w:cs="Arial"/>
                <w:i/>
                <w:iCs/>
                <w:color w:val="999999"/>
                <w:sz w:val="20"/>
                <w:lang w:eastAsia="sv-SE"/>
              </w:rPr>
              <w:t>′</w:t>
            </w:r>
            <w:r w:rsidRPr="00EC556A">
              <w:rPr>
                <w:rFonts w:cs="Calibri"/>
                <w:i/>
                <w:iCs/>
                <w:color w:val="999999"/>
                <w:sz w:val="20"/>
                <w:lang w:eastAsia="sv-SE"/>
              </w:rPr>
              <w:t>,3,3</w:t>
            </w:r>
            <w:r w:rsidRPr="00EC556A">
              <w:rPr>
                <w:rFonts w:ascii="Arial" w:hAnsi="Arial" w:cs="Arial"/>
                <w:i/>
                <w:iCs/>
                <w:color w:val="999999"/>
                <w:sz w:val="20"/>
                <w:lang w:eastAsia="sv-SE"/>
              </w:rPr>
              <w:t>′</w:t>
            </w:r>
            <w:r w:rsidRPr="00EC556A">
              <w:rPr>
                <w:rFonts w:cs="Calibri"/>
                <w:i/>
                <w:iCs/>
                <w:color w:val="999999"/>
                <w:sz w:val="20"/>
                <w:lang w:eastAsia="sv-SE"/>
              </w:rPr>
              <w:t>,4,4</w:t>
            </w:r>
            <w:r w:rsidRPr="00EC556A">
              <w:rPr>
                <w:rFonts w:ascii="Arial" w:hAnsi="Arial" w:cs="Arial"/>
                <w:i/>
                <w:iCs/>
                <w:color w:val="999999"/>
                <w:sz w:val="20"/>
                <w:lang w:eastAsia="sv-SE"/>
              </w:rPr>
              <w:t>′</w:t>
            </w:r>
            <w:r w:rsidRPr="00EC556A">
              <w:rPr>
                <w:rFonts w:cs="Calibri"/>
                <w:i/>
                <w:iCs/>
                <w:color w:val="999999"/>
                <w:sz w:val="20"/>
                <w:lang w:eastAsia="sv-SE"/>
              </w:rPr>
              <w:t>,6,6</w:t>
            </w:r>
            <w:r w:rsidRPr="00EC556A">
              <w:rPr>
                <w:rFonts w:ascii="Arial" w:hAnsi="Arial" w:cs="Arial"/>
                <w:i/>
                <w:iCs/>
                <w:color w:val="999999"/>
                <w:sz w:val="20"/>
                <w:lang w:eastAsia="sv-SE"/>
              </w:rPr>
              <w:t>′</w:t>
            </w:r>
            <w:r w:rsidRPr="00EC556A">
              <w:rPr>
                <w:rFonts w:cs="Calibri"/>
                <w:i/>
                <w:iCs/>
                <w:color w:val="999999"/>
                <w:sz w:val="20"/>
                <w:lang w:eastAsia="sv-SE"/>
              </w:rPr>
              <w:t>-octa-</w:t>
            </w:r>
            <w:r w:rsidRPr="00EC556A">
              <w:rPr>
                <w:rFonts w:ascii="Gulim" w:eastAsia="Gulim" w:hAnsi="Gulim" w:cs="Gulim" w:hint="eastAsia"/>
                <w:i/>
                <w:iCs/>
                <w:color w:val="999999"/>
                <w:sz w:val="20"/>
                <w:lang w:eastAsia="sv-SE"/>
              </w:rPr>
              <w:br/>
            </w:r>
            <w:r w:rsidRPr="00EC556A">
              <w:rPr>
                <w:rFonts w:cs="Calibri"/>
                <w:i/>
                <w:iCs/>
                <w:color w:val="999999"/>
                <w:sz w:val="20"/>
                <w:lang w:eastAsia="sv-SE"/>
              </w:rPr>
              <w:t>bromodiphenyl ether</w:t>
            </w:r>
          </w:p>
        </w:tc>
        <w:tc>
          <w:tcPr>
            <w:tcW w:w="112" w:type="dxa"/>
            <w:vAlign w:val="center"/>
          </w:tcPr>
          <w:p w:rsidR="00F65A6C" w:rsidRPr="00EC556A" w:rsidRDefault="00F65A6C" w:rsidP="00F65A6C">
            <w:pPr>
              <w:rPr>
                <w:color w:val="999999"/>
                <w:szCs w:val="24"/>
                <w:lang w:eastAsia="sv-SE"/>
              </w:rPr>
            </w:pPr>
          </w:p>
        </w:tc>
        <w:tc>
          <w:tcPr>
            <w:tcW w:w="2081" w:type="dxa"/>
            <w:vAlign w:val="center"/>
          </w:tcPr>
          <w:p w:rsidR="00F65A6C" w:rsidRPr="00EC556A" w:rsidRDefault="00F65A6C" w:rsidP="00D85504">
            <w:pPr>
              <w:jc w:val="center"/>
              <w:rPr>
                <w:color w:val="999999"/>
                <w:sz w:val="20"/>
                <w:lang w:eastAsia="sv-SE"/>
              </w:rPr>
            </w:pPr>
            <w:r w:rsidRPr="00EC556A">
              <w:rPr>
                <w:color w:val="999999"/>
                <w:sz w:val="20"/>
                <w:lang w:eastAsia="sv-SE"/>
              </w:rPr>
              <w:t>11–22 %</w:t>
            </w:r>
          </w:p>
        </w:tc>
      </w:tr>
      <w:tr w:rsidR="00F65A6C" w:rsidRPr="00EC556A">
        <w:trPr>
          <w:trHeight w:val="1438"/>
          <w:tblCellSpacing w:w="15" w:type="dxa"/>
        </w:trPr>
        <w:tc>
          <w:tcPr>
            <w:tcW w:w="0" w:type="auto"/>
            <w:vAlign w:val="center"/>
          </w:tcPr>
          <w:p w:rsidR="00F65A6C" w:rsidRPr="00EC556A" w:rsidRDefault="00F05101" w:rsidP="00F65A6C">
            <w:pPr>
              <w:rPr>
                <w:szCs w:val="24"/>
                <w:lang w:eastAsia="sv-SE"/>
              </w:rPr>
            </w:pPr>
            <w:r>
              <w:rPr>
                <w:noProof/>
                <w:color w:val="0000FF"/>
                <w:szCs w:val="24"/>
                <w:lang w:eastAsia="en-GB"/>
              </w:rPr>
              <w:drawing>
                <wp:inline distT="0" distB="0" distL="0" distR="0">
                  <wp:extent cx="1428750" cy="819150"/>
                  <wp:effectExtent l="19050" t="0" r="0" b="0"/>
                  <wp:docPr id="123" name="Bild 21" descr="Structure of BDE-206">
                    <a:hlinkClick xmlns:a="http://schemas.openxmlformats.org/drawingml/2006/main" r:id="rId65" tooltip="&quot;Structure of BDE-206&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descr="Structure of BDE-206">
                            <a:hlinkClick r:id="rId65" tooltip="&quot;Structure of BDE-206&quot; "/>
                          </pic:cNvPr>
                          <pic:cNvPicPr>
                            <a:picLocks noChangeAspect="1" noChangeArrowheads="1"/>
                          </pic:cNvPicPr>
                        </pic:nvPicPr>
                        <pic:blipFill>
                          <a:blip r:embed="rId66" cstate="print"/>
                          <a:srcRect/>
                          <a:stretch>
                            <a:fillRect/>
                          </a:stretch>
                        </pic:blipFill>
                        <pic:spPr bwMode="auto">
                          <a:xfrm>
                            <a:off x="0" y="0"/>
                            <a:ext cx="1428750" cy="819150"/>
                          </a:xfrm>
                          <a:prstGeom prst="rect">
                            <a:avLst/>
                          </a:prstGeom>
                          <a:noFill/>
                          <a:ln w="9525">
                            <a:noFill/>
                            <a:miter lim="800000"/>
                            <a:headEnd/>
                            <a:tailEnd/>
                          </a:ln>
                        </pic:spPr>
                      </pic:pic>
                    </a:graphicData>
                  </a:graphic>
                </wp:inline>
              </w:drawing>
            </w:r>
          </w:p>
        </w:tc>
        <w:tc>
          <w:tcPr>
            <w:tcW w:w="1082" w:type="dxa"/>
            <w:vAlign w:val="center"/>
          </w:tcPr>
          <w:p w:rsidR="00F65A6C" w:rsidRPr="00EC556A" w:rsidRDefault="00F65A6C" w:rsidP="00F65A6C">
            <w:pPr>
              <w:rPr>
                <w:i/>
                <w:iCs/>
                <w:color w:val="999999"/>
                <w:sz w:val="20"/>
                <w:lang w:eastAsia="sv-SE"/>
              </w:rPr>
            </w:pPr>
            <w:r w:rsidRPr="00EC556A">
              <w:rPr>
                <w:i/>
                <w:iCs/>
                <w:color w:val="999999"/>
                <w:sz w:val="20"/>
                <w:lang w:eastAsia="sv-SE"/>
              </w:rPr>
              <w:t>BDE-203</w:t>
            </w:r>
            <w:r w:rsidRPr="00EC556A">
              <w:rPr>
                <w:i/>
                <w:iCs/>
                <w:color w:val="999999"/>
                <w:szCs w:val="24"/>
                <w:lang w:eastAsia="sv-SE"/>
              </w:rPr>
              <w:t>*</w:t>
            </w:r>
          </w:p>
        </w:tc>
        <w:tc>
          <w:tcPr>
            <w:tcW w:w="2947" w:type="dxa"/>
            <w:vAlign w:val="center"/>
          </w:tcPr>
          <w:p w:rsidR="00F65A6C" w:rsidRPr="00EC556A" w:rsidRDefault="00F65A6C" w:rsidP="00F65A6C">
            <w:pPr>
              <w:rPr>
                <w:i/>
                <w:iCs/>
                <w:color w:val="999999"/>
                <w:sz w:val="20"/>
                <w:lang w:eastAsia="sv-SE"/>
              </w:rPr>
            </w:pPr>
            <w:r w:rsidRPr="00EC556A">
              <w:rPr>
                <w:i/>
                <w:iCs/>
                <w:color w:val="999999"/>
                <w:sz w:val="20"/>
                <w:lang w:eastAsia="sv-SE"/>
              </w:rPr>
              <w:t>2,2</w:t>
            </w:r>
            <w:r w:rsidRPr="00EC556A">
              <w:rPr>
                <w:rFonts w:ascii="Arial" w:hAnsi="Arial" w:cs="Arial"/>
                <w:i/>
                <w:iCs/>
                <w:color w:val="999999"/>
                <w:sz w:val="20"/>
                <w:lang w:eastAsia="sv-SE"/>
              </w:rPr>
              <w:t>′</w:t>
            </w:r>
            <w:r w:rsidRPr="00EC556A">
              <w:rPr>
                <w:rFonts w:cs="Calibri"/>
                <w:i/>
                <w:iCs/>
                <w:color w:val="999999"/>
                <w:sz w:val="20"/>
                <w:lang w:eastAsia="sv-SE"/>
              </w:rPr>
              <w:t>,3,4,4</w:t>
            </w:r>
            <w:r w:rsidRPr="00EC556A">
              <w:rPr>
                <w:rFonts w:ascii="Arial" w:hAnsi="Arial" w:cs="Arial"/>
                <w:i/>
                <w:iCs/>
                <w:color w:val="999999"/>
                <w:sz w:val="20"/>
                <w:lang w:eastAsia="sv-SE"/>
              </w:rPr>
              <w:t>′</w:t>
            </w:r>
            <w:r w:rsidRPr="00EC556A">
              <w:rPr>
                <w:rFonts w:cs="Calibri"/>
                <w:i/>
                <w:iCs/>
                <w:color w:val="999999"/>
                <w:sz w:val="20"/>
                <w:lang w:eastAsia="sv-SE"/>
              </w:rPr>
              <w:t>,5,5</w:t>
            </w:r>
            <w:r w:rsidRPr="00EC556A">
              <w:rPr>
                <w:rFonts w:ascii="Arial" w:hAnsi="Arial" w:cs="Arial"/>
                <w:i/>
                <w:iCs/>
                <w:color w:val="999999"/>
                <w:sz w:val="20"/>
                <w:lang w:eastAsia="sv-SE"/>
              </w:rPr>
              <w:t>′</w:t>
            </w:r>
            <w:r w:rsidRPr="00EC556A">
              <w:rPr>
                <w:rFonts w:cs="Calibri"/>
                <w:i/>
                <w:iCs/>
                <w:color w:val="999999"/>
                <w:sz w:val="20"/>
                <w:lang w:eastAsia="sv-SE"/>
              </w:rPr>
              <w:t>,6-octa-</w:t>
            </w:r>
            <w:r w:rsidRPr="00EC556A">
              <w:rPr>
                <w:rFonts w:ascii="Gulim" w:eastAsia="Gulim" w:hAnsi="Gulim" w:cs="Gulim" w:hint="eastAsia"/>
                <w:i/>
                <w:iCs/>
                <w:color w:val="999999"/>
                <w:sz w:val="20"/>
                <w:lang w:eastAsia="sv-SE"/>
              </w:rPr>
              <w:br/>
            </w:r>
            <w:r w:rsidRPr="00EC556A">
              <w:rPr>
                <w:rFonts w:cs="Calibri"/>
                <w:i/>
                <w:iCs/>
                <w:color w:val="999999"/>
                <w:sz w:val="20"/>
                <w:lang w:eastAsia="sv-SE"/>
              </w:rPr>
              <w:t>bromodiphenyl ether</w:t>
            </w:r>
          </w:p>
        </w:tc>
        <w:tc>
          <w:tcPr>
            <w:tcW w:w="112" w:type="dxa"/>
            <w:vAlign w:val="center"/>
          </w:tcPr>
          <w:p w:rsidR="00F65A6C" w:rsidRPr="00EC556A" w:rsidRDefault="00F65A6C" w:rsidP="00F65A6C">
            <w:pPr>
              <w:rPr>
                <w:color w:val="999999"/>
                <w:szCs w:val="24"/>
                <w:lang w:eastAsia="sv-SE"/>
              </w:rPr>
            </w:pPr>
          </w:p>
        </w:tc>
        <w:tc>
          <w:tcPr>
            <w:tcW w:w="2081" w:type="dxa"/>
            <w:vAlign w:val="center"/>
          </w:tcPr>
          <w:p w:rsidR="00F65A6C" w:rsidRPr="00EC556A" w:rsidRDefault="00F65A6C" w:rsidP="00D85504">
            <w:pPr>
              <w:jc w:val="center"/>
              <w:rPr>
                <w:color w:val="999999"/>
                <w:sz w:val="20"/>
                <w:lang w:eastAsia="sv-SE"/>
              </w:rPr>
            </w:pPr>
            <w:r w:rsidRPr="00EC556A">
              <w:rPr>
                <w:color w:val="999999"/>
                <w:sz w:val="20"/>
                <w:lang w:eastAsia="sv-SE"/>
              </w:rPr>
              <w:t>4.4–8.1 %</w:t>
            </w:r>
          </w:p>
        </w:tc>
      </w:tr>
    </w:tbl>
    <w:p w:rsidR="00F65A6C" w:rsidRPr="00EC556A" w:rsidRDefault="00F65A6C" w:rsidP="00F65A6C">
      <w:r w:rsidRPr="00EC556A">
        <w:t>* Congeners not considered as POPs under the Stockholm Convention.</w:t>
      </w:r>
    </w:p>
    <w:p w:rsidR="00F65A6C" w:rsidRPr="00EC556A" w:rsidRDefault="00F65A6C" w:rsidP="00F65A6C">
      <w:pPr>
        <w:rPr>
          <w:i/>
        </w:rPr>
      </w:pPr>
      <w:r w:rsidRPr="00EC556A">
        <w:rPr>
          <w:i/>
        </w:rPr>
        <w:t>Note: Other congeners t</w:t>
      </w:r>
      <w:r>
        <w:rPr>
          <w:i/>
        </w:rPr>
        <w:t>han mentioned above are only in</w:t>
      </w:r>
      <w:r w:rsidRPr="00EC556A">
        <w:rPr>
          <w:i/>
        </w:rPr>
        <w:t xml:space="preserve"> trace concentrations</w:t>
      </w:r>
    </w:p>
    <w:p w:rsidR="00F65A6C" w:rsidRPr="00EC556A" w:rsidRDefault="00F65A6C" w:rsidP="00F65A6C">
      <w:pPr>
        <w:pStyle w:val="Heading2"/>
        <w:numPr>
          <w:ilvl w:val="0"/>
          <w:numId w:val="0"/>
        </w:numPr>
        <w:snapToGrid/>
        <w:spacing w:before="240" w:after="60" w:line="276" w:lineRule="auto"/>
        <w:ind w:left="993"/>
        <w:jc w:val="both"/>
      </w:pPr>
      <w:r w:rsidRPr="00EC556A">
        <w:br w:type="page"/>
      </w:r>
      <w:bookmarkStart w:id="547" w:name="_Toc349335825"/>
      <w:r>
        <w:rPr>
          <w:b w:val="0"/>
        </w:rPr>
        <w:t>Annex 2-B: GC/MS analysis of HBB</w:t>
      </w:r>
      <w:bookmarkEnd w:id="547"/>
    </w:p>
    <w:p w:rsidR="00CC1C95" w:rsidRPr="00EC556A" w:rsidRDefault="00CC1C95" w:rsidP="00A165BC">
      <w:pPr>
        <w:pStyle w:val="Heading3"/>
        <w:numPr>
          <w:ilvl w:val="0"/>
          <w:numId w:val="0"/>
        </w:numPr>
        <w:snapToGrid/>
        <w:spacing w:before="240" w:after="60" w:line="276" w:lineRule="auto"/>
        <w:jc w:val="both"/>
      </w:pPr>
      <w:bookmarkStart w:id="548" w:name="_Toc349335826"/>
      <w:r w:rsidRPr="00EC556A">
        <w:t>GC/MS conditions HBB (example)</w:t>
      </w:r>
      <w:bookmarkEnd w:id="548"/>
      <w:r w:rsidRPr="00EC556A">
        <w:t xml:space="preserve"> </w:t>
      </w:r>
    </w:p>
    <w:tbl>
      <w:tblPr>
        <w:tblW w:w="8688" w:type="dxa"/>
        <w:tblCellSpacing w:w="0" w:type="dxa"/>
        <w:tblCellMar>
          <w:left w:w="0" w:type="dxa"/>
          <w:right w:w="0" w:type="dxa"/>
        </w:tblCellMar>
        <w:tblLook w:val="0000"/>
      </w:tblPr>
      <w:tblGrid>
        <w:gridCol w:w="2051"/>
        <w:gridCol w:w="6637"/>
      </w:tblGrid>
      <w:tr w:rsidR="00CC1C95" w:rsidRPr="007F2032">
        <w:trPr>
          <w:trHeight w:val="495"/>
          <w:tblCellSpacing w:w="0" w:type="dxa"/>
        </w:trPr>
        <w:tc>
          <w:tcPr>
            <w:tcW w:w="2051" w:type="dxa"/>
          </w:tcPr>
          <w:p w:rsidR="00CC1C95" w:rsidRPr="00EC556A" w:rsidRDefault="00CC1C95" w:rsidP="00EE0DB2">
            <w:r w:rsidRPr="00EC556A">
              <w:rPr>
                <w:bCs/>
              </w:rPr>
              <w:t>Instrument</w:t>
            </w:r>
          </w:p>
        </w:tc>
        <w:tc>
          <w:tcPr>
            <w:tcW w:w="6637" w:type="dxa"/>
          </w:tcPr>
          <w:p w:rsidR="00CC1C95" w:rsidRPr="007A1048" w:rsidRDefault="00CC1C95" w:rsidP="00EE0DB2">
            <w:pPr>
              <w:rPr>
                <w:lang w:val="fr-CH"/>
              </w:rPr>
            </w:pPr>
            <w:r w:rsidRPr="007A1048">
              <w:rPr>
                <w:bCs/>
                <w:lang w:val="fr-CH"/>
              </w:rPr>
              <w:t xml:space="preserve">Autospec Ultima </w:t>
            </w:r>
            <w:r w:rsidRPr="007A1048">
              <w:rPr>
                <w:rFonts w:hint="eastAsia"/>
                <w:bCs/>
                <w:lang w:val="fr-CH"/>
              </w:rPr>
              <w:t>（</w:t>
            </w:r>
            <w:r w:rsidRPr="007A1048">
              <w:rPr>
                <w:bCs/>
                <w:lang w:val="fr-CH"/>
              </w:rPr>
              <w:t>Waters/Micromass)  GC:HP 6890 (Agilent)</w:t>
            </w:r>
          </w:p>
        </w:tc>
      </w:tr>
      <w:tr w:rsidR="00CC1C95" w:rsidRPr="00B600A2">
        <w:trPr>
          <w:trHeight w:val="300"/>
          <w:tblCellSpacing w:w="0" w:type="dxa"/>
        </w:trPr>
        <w:tc>
          <w:tcPr>
            <w:tcW w:w="2051" w:type="dxa"/>
          </w:tcPr>
          <w:p w:rsidR="00CC1C95" w:rsidRPr="00EC556A" w:rsidRDefault="00CC1C95" w:rsidP="00EE0DB2">
            <w:r w:rsidRPr="00EC556A">
              <w:rPr>
                <w:bCs/>
              </w:rPr>
              <w:t>Column</w:t>
            </w:r>
          </w:p>
        </w:tc>
        <w:tc>
          <w:tcPr>
            <w:tcW w:w="6637" w:type="dxa"/>
          </w:tcPr>
          <w:p w:rsidR="00CC1C95" w:rsidRPr="00EC556A" w:rsidRDefault="00CC1C95" w:rsidP="00EE0DB2">
            <w:r w:rsidRPr="00EC556A">
              <w:rPr>
                <w:bCs/>
              </w:rPr>
              <w:t>ENV-5MS 15 m × 0.25 mm I.D. (0.1 μm) (Kanto chemical)</w:t>
            </w:r>
          </w:p>
        </w:tc>
      </w:tr>
      <w:tr w:rsidR="00CC1C95" w:rsidRPr="00EC556A">
        <w:trPr>
          <w:trHeight w:val="300"/>
          <w:tblCellSpacing w:w="0" w:type="dxa"/>
        </w:trPr>
        <w:tc>
          <w:tcPr>
            <w:tcW w:w="2051" w:type="dxa"/>
          </w:tcPr>
          <w:p w:rsidR="00CC1C95" w:rsidRPr="00EC556A" w:rsidRDefault="00CC1C95" w:rsidP="00EE0DB2">
            <w:r w:rsidRPr="00EC556A">
              <w:t> </w:t>
            </w:r>
          </w:p>
        </w:tc>
        <w:tc>
          <w:tcPr>
            <w:tcW w:w="6637" w:type="dxa"/>
          </w:tcPr>
          <w:p w:rsidR="00CC1C95" w:rsidRPr="00EC556A" w:rsidRDefault="00CC1C95" w:rsidP="00EE0DB2">
            <w:r w:rsidRPr="00EC556A">
              <w:rPr>
                <w:bCs/>
              </w:rPr>
              <w:t>(5% Phenyl Polysilphenylene-siloxane)</w:t>
            </w:r>
          </w:p>
        </w:tc>
      </w:tr>
      <w:tr w:rsidR="00CC1C95" w:rsidRPr="00E77A35">
        <w:trPr>
          <w:trHeight w:val="495"/>
          <w:tblCellSpacing w:w="0" w:type="dxa"/>
        </w:trPr>
        <w:tc>
          <w:tcPr>
            <w:tcW w:w="2051" w:type="dxa"/>
          </w:tcPr>
          <w:p w:rsidR="00CC1C95" w:rsidRPr="00EC556A" w:rsidRDefault="00CC1C95" w:rsidP="00EE0DB2">
            <w:r w:rsidRPr="00EC556A">
              <w:rPr>
                <w:bCs/>
              </w:rPr>
              <w:t>GC prog.</w:t>
            </w:r>
          </w:p>
        </w:tc>
        <w:tc>
          <w:tcPr>
            <w:tcW w:w="6637" w:type="dxa"/>
          </w:tcPr>
          <w:p w:rsidR="00CC1C95" w:rsidRPr="001149DF" w:rsidRDefault="00CC1C95" w:rsidP="00EE0DB2">
            <w:pPr>
              <w:rPr>
                <w:lang w:val="sv-SE"/>
              </w:rPr>
            </w:pPr>
            <w:r w:rsidRPr="001149DF">
              <w:rPr>
                <w:bCs/>
                <w:lang w:val="sv-SE"/>
              </w:rPr>
              <w:t xml:space="preserve">120 </w:t>
            </w:r>
            <w:r w:rsidRPr="001149DF">
              <w:rPr>
                <w:szCs w:val="21"/>
                <w:lang w:val="sv-SE"/>
              </w:rPr>
              <w:t>°C</w:t>
            </w:r>
            <w:r w:rsidRPr="001149DF">
              <w:rPr>
                <w:bCs/>
                <w:lang w:val="sv-SE"/>
              </w:rPr>
              <w:t xml:space="preserve"> (1 min) – 20 </w:t>
            </w:r>
            <w:r w:rsidRPr="001149DF">
              <w:rPr>
                <w:szCs w:val="21"/>
                <w:lang w:val="sv-SE"/>
              </w:rPr>
              <w:t>°C</w:t>
            </w:r>
            <w:r w:rsidRPr="001149DF">
              <w:rPr>
                <w:bCs/>
                <w:lang w:val="sv-SE"/>
              </w:rPr>
              <w:t xml:space="preserve"> /min – 200 </w:t>
            </w:r>
            <w:r w:rsidRPr="001149DF">
              <w:rPr>
                <w:szCs w:val="21"/>
                <w:lang w:val="sv-SE"/>
              </w:rPr>
              <w:t>°C</w:t>
            </w:r>
            <w:r w:rsidRPr="001149DF">
              <w:rPr>
                <w:bCs/>
                <w:lang w:val="sv-SE"/>
              </w:rPr>
              <w:t xml:space="preserve"> (0 min) – 10 </w:t>
            </w:r>
            <w:r w:rsidRPr="001149DF">
              <w:rPr>
                <w:szCs w:val="21"/>
                <w:lang w:val="sv-SE"/>
              </w:rPr>
              <w:t>°C</w:t>
            </w:r>
            <w:r w:rsidRPr="001149DF">
              <w:rPr>
                <w:bCs/>
                <w:lang w:val="sv-SE"/>
              </w:rPr>
              <w:t xml:space="preserve"> /min – 300 </w:t>
            </w:r>
            <w:r w:rsidRPr="001149DF">
              <w:rPr>
                <w:szCs w:val="21"/>
                <w:lang w:val="sv-SE"/>
              </w:rPr>
              <w:t>°C</w:t>
            </w:r>
            <w:r w:rsidRPr="001149DF">
              <w:rPr>
                <w:bCs/>
                <w:lang w:val="sv-SE"/>
              </w:rPr>
              <w:t xml:space="preserve"> (8 min)</w:t>
            </w:r>
          </w:p>
        </w:tc>
      </w:tr>
      <w:tr w:rsidR="00CC1C95" w:rsidRPr="00EC556A">
        <w:trPr>
          <w:trHeight w:val="300"/>
          <w:tblCellSpacing w:w="0" w:type="dxa"/>
        </w:trPr>
        <w:tc>
          <w:tcPr>
            <w:tcW w:w="2051" w:type="dxa"/>
          </w:tcPr>
          <w:p w:rsidR="00CC1C95" w:rsidRPr="00EC556A" w:rsidRDefault="00CC1C95" w:rsidP="00EE0DB2">
            <w:r w:rsidRPr="00EC556A">
              <w:rPr>
                <w:bCs/>
              </w:rPr>
              <w:t>Inj.</w:t>
            </w:r>
          </w:p>
        </w:tc>
        <w:tc>
          <w:tcPr>
            <w:tcW w:w="6637" w:type="dxa"/>
          </w:tcPr>
          <w:p w:rsidR="00CC1C95" w:rsidRPr="00EC556A" w:rsidRDefault="00CC1C95" w:rsidP="00EE0DB2">
            <w:r w:rsidRPr="00EC556A">
              <w:rPr>
                <w:bCs/>
              </w:rPr>
              <w:t>On Column</w:t>
            </w:r>
          </w:p>
        </w:tc>
      </w:tr>
      <w:tr w:rsidR="00CC1C95" w:rsidRPr="00B600A2">
        <w:trPr>
          <w:trHeight w:val="300"/>
          <w:tblCellSpacing w:w="0" w:type="dxa"/>
        </w:trPr>
        <w:tc>
          <w:tcPr>
            <w:tcW w:w="2051" w:type="dxa"/>
          </w:tcPr>
          <w:p w:rsidR="00CC1C95" w:rsidRPr="00EC556A" w:rsidRDefault="00CC1C95" w:rsidP="00EE0DB2">
            <w:r w:rsidRPr="00EC556A">
              <w:rPr>
                <w:bCs/>
              </w:rPr>
              <w:t>Guard col.</w:t>
            </w:r>
          </w:p>
        </w:tc>
        <w:tc>
          <w:tcPr>
            <w:tcW w:w="6637" w:type="dxa"/>
          </w:tcPr>
          <w:p w:rsidR="00CC1C95" w:rsidRPr="00EC556A" w:rsidRDefault="00CC1C95" w:rsidP="00EE0DB2">
            <w:r w:rsidRPr="00EC556A">
              <w:rPr>
                <w:bCs/>
              </w:rPr>
              <w:t>Deactivated capillary 0.5 m × 0.53 mm I.D.</w:t>
            </w:r>
          </w:p>
        </w:tc>
      </w:tr>
      <w:tr w:rsidR="00CC1C95" w:rsidRPr="00E77A35">
        <w:trPr>
          <w:trHeight w:val="300"/>
          <w:tblCellSpacing w:w="0" w:type="dxa"/>
        </w:trPr>
        <w:tc>
          <w:tcPr>
            <w:tcW w:w="2051" w:type="dxa"/>
          </w:tcPr>
          <w:p w:rsidR="00CC1C95" w:rsidRPr="00EC556A" w:rsidRDefault="00CC1C95" w:rsidP="00EE0DB2">
            <w:r w:rsidRPr="00EC556A">
              <w:rPr>
                <w:bCs/>
              </w:rPr>
              <w:t>Inj. Temp.</w:t>
            </w:r>
          </w:p>
        </w:tc>
        <w:tc>
          <w:tcPr>
            <w:tcW w:w="6637" w:type="dxa"/>
          </w:tcPr>
          <w:p w:rsidR="00CC1C95" w:rsidRPr="001149DF" w:rsidRDefault="00CC1C95" w:rsidP="00EE0DB2">
            <w:pPr>
              <w:rPr>
                <w:lang w:val="sv-SE"/>
              </w:rPr>
            </w:pPr>
            <w:r w:rsidRPr="001149DF">
              <w:rPr>
                <w:bCs/>
                <w:lang w:val="sv-SE"/>
              </w:rPr>
              <w:t xml:space="preserve">120 </w:t>
            </w:r>
            <w:r w:rsidRPr="001149DF">
              <w:rPr>
                <w:szCs w:val="21"/>
                <w:lang w:val="sv-SE"/>
              </w:rPr>
              <w:t>°C</w:t>
            </w:r>
            <w:r w:rsidRPr="001149DF">
              <w:rPr>
                <w:bCs/>
                <w:lang w:val="sv-SE"/>
              </w:rPr>
              <w:t xml:space="preserve"> (0.1 min) – 100 </w:t>
            </w:r>
            <w:r w:rsidRPr="001149DF">
              <w:rPr>
                <w:szCs w:val="21"/>
                <w:lang w:val="sv-SE"/>
              </w:rPr>
              <w:t>°C</w:t>
            </w:r>
            <w:r w:rsidRPr="001149DF">
              <w:rPr>
                <w:bCs/>
                <w:lang w:val="sv-SE"/>
              </w:rPr>
              <w:t xml:space="preserve"> /min – 300 </w:t>
            </w:r>
            <w:r w:rsidRPr="001149DF">
              <w:rPr>
                <w:szCs w:val="21"/>
                <w:lang w:val="sv-SE"/>
              </w:rPr>
              <w:t>°C</w:t>
            </w:r>
            <w:r w:rsidRPr="001149DF">
              <w:rPr>
                <w:bCs/>
                <w:lang w:val="sv-SE"/>
              </w:rPr>
              <w:t xml:space="preserve"> (15 min)</w:t>
            </w:r>
          </w:p>
        </w:tc>
      </w:tr>
      <w:tr w:rsidR="00CC1C95" w:rsidRPr="00EC556A">
        <w:trPr>
          <w:trHeight w:val="300"/>
          <w:tblCellSpacing w:w="0" w:type="dxa"/>
        </w:trPr>
        <w:tc>
          <w:tcPr>
            <w:tcW w:w="2051" w:type="dxa"/>
          </w:tcPr>
          <w:p w:rsidR="00CC1C95" w:rsidRPr="00EC556A" w:rsidRDefault="00CC1C95" w:rsidP="00EE0DB2">
            <w:r w:rsidRPr="00EC556A">
              <w:rPr>
                <w:bCs/>
              </w:rPr>
              <w:t>Inj. volume</w:t>
            </w:r>
          </w:p>
        </w:tc>
        <w:tc>
          <w:tcPr>
            <w:tcW w:w="6637" w:type="dxa"/>
          </w:tcPr>
          <w:p w:rsidR="00CC1C95" w:rsidRPr="00EC556A" w:rsidRDefault="00CC1C95" w:rsidP="00EE0DB2">
            <w:r w:rsidRPr="00EC556A">
              <w:rPr>
                <w:bCs/>
              </w:rPr>
              <w:t>2 μL</w:t>
            </w:r>
          </w:p>
        </w:tc>
      </w:tr>
      <w:tr w:rsidR="00CC1C95" w:rsidRPr="00EC556A">
        <w:trPr>
          <w:trHeight w:val="300"/>
          <w:tblCellSpacing w:w="0" w:type="dxa"/>
        </w:trPr>
        <w:tc>
          <w:tcPr>
            <w:tcW w:w="2051" w:type="dxa"/>
          </w:tcPr>
          <w:p w:rsidR="00CC1C95" w:rsidRPr="00EC556A" w:rsidRDefault="00CC1C95" w:rsidP="00EE0DB2">
            <w:r w:rsidRPr="00EC556A">
              <w:rPr>
                <w:bCs/>
              </w:rPr>
              <w:t>Carrier gas</w:t>
            </w:r>
          </w:p>
        </w:tc>
        <w:tc>
          <w:tcPr>
            <w:tcW w:w="6637" w:type="dxa"/>
          </w:tcPr>
          <w:p w:rsidR="00CC1C95" w:rsidRPr="00EC556A" w:rsidRDefault="00CC1C95" w:rsidP="00EE0DB2">
            <w:r w:rsidRPr="00EC556A">
              <w:rPr>
                <w:bCs/>
              </w:rPr>
              <w:t>He (1.0 mL/min)</w:t>
            </w:r>
          </w:p>
        </w:tc>
      </w:tr>
      <w:tr w:rsidR="00CC1C95" w:rsidRPr="00EC556A">
        <w:trPr>
          <w:trHeight w:val="300"/>
          <w:tblCellSpacing w:w="0" w:type="dxa"/>
        </w:trPr>
        <w:tc>
          <w:tcPr>
            <w:tcW w:w="2051" w:type="dxa"/>
            <w:vAlign w:val="center"/>
          </w:tcPr>
          <w:p w:rsidR="00CC1C95" w:rsidRPr="00EC556A" w:rsidRDefault="00CC1C95" w:rsidP="00EE0DB2">
            <w:r w:rsidRPr="00EC556A">
              <w:rPr>
                <w:bCs/>
              </w:rPr>
              <w:t>Ionization</w:t>
            </w:r>
          </w:p>
        </w:tc>
        <w:tc>
          <w:tcPr>
            <w:tcW w:w="6637" w:type="dxa"/>
            <w:vAlign w:val="center"/>
          </w:tcPr>
          <w:p w:rsidR="00CC1C95" w:rsidRPr="00EC556A" w:rsidRDefault="00CC1C95" w:rsidP="00EE0DB2">
            <w:r w:rsidRPr="00EC556A">
              <w:rPr>
                <w:bCs/>
              </w:rPr>
              <w:t>EI</w:t>
            </w:r>
          </w:p>
        </w:tc>
      </w:tr>
      <w:tr w:rsidR="00CC1C95" w:rsidRPr="00EC556A">
        <w:trPr>
          <w:trHeight w:val="300"/>
          <w:tblCellSpacing w:w="0" w:type="dxa"/>
        </w:trPr>
        <w:tc>
          <w:tcPr>
            <w:tcW w:w="2051" w:type="dxa"/>
          </w:tcPr>
          <w:p w:rsidR="00CC1C95" w:rsidRPr="00EC556A" w:rsidRDefault="00CC1C95" w:rsidP="00EE0DB2">
            <w:r w:rsidRPr="00EC556A">
              <w:rPr>
                <w:bCs/>
              </w:rPr>
              <w:t>Electron Voltage</w:t>
            </w:r>
          </w:p>
        </w:tc>
        <w:tc>
          <w:tcPr>
            <w:tcW w:w="6637" w:type="dxa"/>
          </w:tcPr>
          <w:p w:rsidR="00CC1C95" w:rsidRPr="00EC556A" w:rsidRDefault="00CC1C95" w:rsidP="00EE0DB2">
            <w:r w:rsidRPr="00EC556A">
              <w:rPr>
                <w:bCs/>
              </w:rPr>
              <w:t>30</w:t>
            </w:r>
            <w:r w:rsidRPr="00EC556A">
              <w:rPr>
                <w:rFonts w:hint="eastAsia"/>
                <w:bCs/>
              </w:rPr>
              <w:t>～</w:t>
            </w:r>
            <w:r w:rsidRPr="00EC556A">
              <w:rPr>
                <w:bCs/>
              </w:rPr>
              <w:t>40 eV</w:t>
            </w:r>
          </w:p>
        </w:tc>
      </w:tr>
      <w:tr w:rsidR="00CC1C95" w:rsidRPr="00EC556A">
        <w:trPr>
          <w:trHeight w:val="300"/>
          <w:tblCellSpacing w:w="0" w:type="dxa"/>
        </w:trPr>
        <w:tc>
          <w:tcPr>
            <w:tcW w:w="2051" w:type="dxa"/>
          </w:tcPr>
          <w:p w:rsidR="00CC1C95" w:rsidRPr="00EC556A" w:rsidRDefault="00CC1C95" w:rsidP="00EE0DB2">
            <w:r w:rsidRPr="00EC556A">
              <w:rPr>
                <w:bCs/>
              </w:rPr>
              <w:t>Trap Current</w:t>
            </w:r>
          </w:p>
        </w:tc>
        <w:tc>
          <w:tcPr>
            <w:tcW w:w="6637" w:type="dxa"/>
          </w:tcPr>
          <w:p w:rsidR="00CC1C95" w:rsidRPr="00EC556A" w:rsidRDefault="00CC1C95" w:rsidP="00EE0DB2">
            <w:r w:rsidRPr="00EC556A">
              <w:rPr>
                <w:bCs/>
              </w:rPr>
              <w:t>500 μA</w:t>
            </w:r>
          </w:p>
        </w:tc>
      </w:tr>
      <w:tr w:rsidR="00CC1C95" w:rsidRPr="00EC556A">
        <w:trPr>
          <w:trHeight w:val="300"/>
          <w:tblCellSpacing w:w="0" w:type="dxa"/>
        </w:trPr>
        <w:tc>
          <w:tcPr>
            <w:tcW w:w="2051" w:type="dxa"/>
            <w:vAlign w:val="center"/>
          </w:tcPr>
          <w:p w:rsidR="00CC1C95" w:rsidRPr="00EC556A" w:rsidRDefault="00CC1C95" w:rsidP="00EE0DB2">
            <w:r w:rsidRPr="00EC556A">
              <w:rPr>
                <w:bCs/>
              </w:rPr>
              <w:t>Accelerated Voltage</w:t>
            </w:r>
          </w:p>
        </w:tc>
        <w:tc>
          <w:tcPr>
            <w:tcW w:w="6637" w:type="dxa"/>
            <w:vAlign w:val="center"/>
          </w:tcPr>
          <w:p w:rsidR="00CC1C95" w:rsidRPr="00EC556A" w:rsidRDefault="00CC1C95" w:rsidP="00EE0DB2">
            <w:r w:rsidRPr="00EC556A">
              <w:rPr>
                <w:bCs/>
              </w:rPr>
              <w:t>8 kV</w:t>
            </w:r>
          </w:p>
        </w:tc>
      </w:tr>
      <w:tr w:rsidR="00CC1C95" w:rsidRPr="00EC556A">
        <w:trPr>
          <w:trHeight w:val="300"/>
          <w:tblCellSpacing w:w="0" w:type="dxa"/>
        </w:trPr>
        <w:tc>
          <w:tcPr>
            <w:tcW w:w="2051" w:type="dxa"/>
          </w:tcPr>
          <w:p w:rsidR="00CC1C95" w:rsidRPr="00EC556A" w:rsidRDefault="00CC1C95" w:rsidP="00EE0DB2">
            <w:r w:rsidRPr="00EC556A">
              <w:rPr>
                <w:bCs/>
              </w:rPr>
              <w:t>Interface temp.</w:t>
            </w:r>
          </w:p>
        </w:tc>
        <w:tc>
          <w:tcPr>
            <w:tcW w:w="6637" w:type="dxa"/>
          </w:tcPr>
          <w:p w:rsidR="00CC1C95" w:rsidRPr="00EC556A" w:rsidRDefault="00CC1C95" w:rsidP="00EE0DB2">
            <w:r w:rsidRPr="00EC556A">
              <w:rPr>
                <w:bCs/>
              </w:rPr>
              <w:t>300</w:t>
            </w:r>
            <w:r w:rsidRPr="00EC556A">
              <w:rPr>
                <w:szCs w:val="21"/>
              </w:rPr>
              <w:t>°C</w:t>
            </w:r>
          </w:p>
        </w:tc>
      </w:tr>
      <w:tr w:rsidR="00CC1C95" w:rsidRPr="00EC556A">
        <w:trPr>
          <w:trHeight w:val="300"/>
          <w:tblCellSpacing w:w="0" w:type="dxa"/>
        </w:trPr>
        <w:tc>
          <w:tcPr>
            <w:tcW w:w="2051" w:type="dxa"/>
          </w:tcPr>
          <w:p w:rsidR="00CC1C95" w:rsidRPr="00EC556A" w:rsidRDefault="00CC1C95" w:rsidP="00EE0DB2">
            <w:r w:rsidRPr="00EC556A">
              <w:rPr>
                <w:bCs/>
              </w:rPr>
              <w:t>Ion souece temp.</w:t>
            </w:r>
          </w:p>
        </w:tc>
        <w:tc>
          <w:tcPr>
            <w:tcW w:w="6637" w:type="dxa"/>
          </w:tcPr>
          <w:p w:rsidR="00CC1C95" w:rsidRPr="00EC556A" w:rsidRDefault="00CC1C95" w:rsidP="00EE0DB2">
            <w:r w:rsidRPr="00EC556A">
              <w:rPr>
                <w:bCs/>
              </w:rPr>
              <w:t>300</w:t>
            </w:r>
            <w:r w:rsidRPr="00EC556A">
              <w:rPr>
                <w:szCs w:val="21"/>
              </w:rPr>
              <w:t>°C</w:t>
            </w:r>
          </w:p>
        </w:tc>
      </w:tr>
      <w:tr w:rsidR="00CC1C95" w:rsidRPr="00EC556A">
        <w:trPr>
          <w:trHeight w:val="300"/>
          <w:tblCellSpacing w:w="0" w:type="dxa"/>
        </w:trPr>
        <w:tc>
          <w:tcPr>
            <w:tcW w:w="2051" w:type="dxa"/>
            <w:vAlign w:val="center"/>
          </w:tcPr>
          <w:p w:rsidR="00CC1C95" w:rsidRPr="00EC556A" w:rsidRDefault="00CC1C95" w:rsidP="00EE0DB2">
            <w:r w:rsidRPr="00EC556A">
              <w:rPr>
                <w:bCs/>
              </w:rPr>
              <w:t>Detection</w:t>
            </w:r>
          </w:p>
        </w:tc>
        <w:tc>
          <w:tcPr>
            <w:tcW w:w="6637" w:type="dxa"/>
            <w:vAlign w:val="center"/>
          </w:tcPr>
          <w:p w:rsidR="00CC1C95" w:rsidRPr="00EC556A" w:rsidRDefault="002F2D66" w:rsidP="00EE0DB2">
            <w:r>
              <w:rPr>
                <w:bCs/>
              </w:rPr>
              <w:t xml:space="preserve">SRM (e.g. </w:t>
            </w:r>
            <w:r w:rsidR="00CC1C95" w:rsidRPr="00EC556A">
              <w:rPr>
                <w:bCs/>
              </w:rPr>
              <w:t>SIM</w:t>
            </w:r>
            <w:r>
              <w:rPr>
                <w:bCs/>
              </w:rPr>
              <w:t>)</w:t>
            </w:r>
          </w:p>
        </w:tc>
      </w:tr>
      <w:tr w:rsidR="00CC1C95" w:rsidRPr="00EC556A">
        <w:trPr>
          <w:trHeight w:val="300"/>
          <w:tblCellSpacing w:w="0" w:type="dxa"/>
        </w:trPr>
        <w:tc>
          <w:tcPr>
            <w:tcW w:w="2051" w:type="dxa"/>
          </w:tcPr>
          <w:p w:rsidR="00CC1C95" w:rsidRPr="00EC556A" w:rsidRDefault="00CC1C95" w:rsidP="00EE0DB2">
            <w:r w:rsidRPr="00EC556A">
              <w:rPr>
                <w:bCs/>
              </w:rPr>
              <w:t>Resolution</w:t>
            </w:r>
          </w:p>
        </w:tc>
        <w:tc>
          <w:tcPr>
            <w:tcW w:w="6637" w:type="dxa"/>
          </w:tcPr>
          <w:p w:rsidR="00CC1C95" w:rsidRPr="00EC556A" w:rsidRDefault="00CC1C95" w:rsidP="00EE0DB2">
            <w:r w:rsidRPr="00EC556A">
              <w:rPr>
                <w:bCs/>
              </w:rPr>
              <w:t>M/ΔM &gt; 10000 (10% Valley)</w:t>
            </w:r>
          </w:p>
        </w:tc>
      </w:tr>
    </w:tbl>
    <w:p w:rsidR="00CC1C95" w:rsidRPr="00EC556A" w:rsidRDefault="00CC1C95" w:rsidP="00EE0DB2"/>
    <w:p w:rsidR="00CC1C95" w:rsidRPr="002F2D66" w:rsidRDefault="00F65A6C" w:rsidP="00A165BC">
      <w:pPr>
        <w:pStyle w:val="Heading3"/>
        <w:numPr>
          <w:ilvl w:val="0"/>
          <w:numId w:val="0"/>
        </w:numPr>
        <w:snapToGrid/>
        <w:spacing w:before="240" w:after="60" w:line="276" w:lineRule="auto"/>
        <w:jc w:val="both"/>
        <w:rPr>
          <w:rFonts w:ascii="Calibri" w:eastAsia="MS Mincho" w:hAnsi="Calibri"/>
          <w:sz w:val="22"/>
          <w:szCs w:val="24"/>
        </w:rPr>
      </w:pPr>
      <w:bookmarkStart w:id="549" w:name="_Toc349335827"/>
      <w:r w:rsidRPr="002F2D66">
        <w:rPr>
          <w:rFonts w:ascii="Calibri" w:eastAsia="MS Mincho" w:hAnsi="Calibri"/>
          <w:sz w:val="22"/>
          <w:szCs w:val="24"/>
        </w:rPr>
        <w:t xml:space="preserve">Table A2-4: Masses </w:t>
      </w:r>
      <w:r w:rsidR="002F2D66">
        <w:rPr>
          <w:rFonts w:ascii="Calibri" w:eastAsia="MS Mincho" w:hAnsi="Calibri"/>
          <w:sz w:val="22"/>
          <w:szCs w:val="24"/>
        </w:rPr>
        <w:t>of detected ions (</w:t>
      </w:r>
      <w:r w:rsidR="002F2D66" w:rsidRPr="002F2D66">
        <w:rPr>
          <w:rFonts w:ascii="Calibri" w:eastAsia="MS Mincho" w:hAnsi="Calibri"/>
          <w:i/>
          <w:sz w:val="22"/>
          <w:szCs w:val="24"/>
        </w:rPr>
        <w:t>m/z</w:t>
      </w:r>
      <w:r w:rsidR="002F2D66">
        <w:rPr>
          <w:rFonts w:ascii="Calibri" w:eastAsia="MS Mincho" w:hAnsi="Calibri"/>
          <w:sz w:val="22"/>
          <w:szCs w:val="24"/>
        </w:rPr>
        <w:t xml:space="preserve">’s) </w:t>
      </w:r>
      <w:r w:rsidRPr="002F2D66">
        <w:rPr>
          <w:rFonts w:ascii="Calibri" w:eastAsia="MS Mincho" w:hAnsi="Calibri"/>
          <w:sz w:val="22"/>
          <w:szCs w:val="24"/>
        </w:rPr>
        <w:t>for H</w:t>
      </w:r>
      <w:r w:rsidR="00CC1C95" w:rsidRPr="002F2D66">
        <w:rPr>
          <w:rFonts w:ascii="Calibri" w:eastAsia="MS Mincho" w:hAnsi="Calibri"/>
          <w:sz w:val="22"/>
          <w:szCs w:val="24"/>
        </w:rPr>
        <w:t>BB</w:t>
      </w:r>
      <w:bookmarkEnd w:id="549"/>
    </w:p>
    <w:tbl>
      <w:tblPr>
        <w:tblW w:w="5765" w:type="dxa"/>
        <w:tblCellSpacing w:w="0" w:type="dxa"/>
        <w:tblInd w:w="5" w:type="dxa"/>
        <w:tblCellMar>
          <w:left w:w="0" w:type="dxa"/>
          <w:right w:w="0" w:type="dxa"/>
        </w:tblCellMar>
        <w:tblLook w:val="0000"/>
      </w:tblPr>
      <w:tblGrid>
        <w:gridCol w:w="3258"/>
        <w:gridCol w:w="1263"/>
        <w:gridCol w:w="1244"/>
      </w:tblGrid>
      <w:tr w:rsidR="00CC1C95" w:rsidRPr="00EC556A">
        <w:trPr>
          <w:trHeight w:val="345"/>
          <w:tblCellSpacing w:w="0" w:type="dxa"/>
        </w:trPr>
        <w:tc>
          <w:tcPr>
            <w:tcW w:w="3258" w:type="dxa"/>
            <w:tcBorders>
              <w:top w:val="single" w:sz="6" w:space="0" w:color="000000"/>
              <w:left w:val="single" w:sz="2" w:space="0" w:color="57472B"/>
            </w:tcBorders>
          </w:tcPr>
          <w:p w:rsidR="00CC1C95" w:rsidRPr="00EC556A" w:rsidRDefault="00CC1C95" w:rsidP="00EE0DB2">
            <w:r w:rsidRPr="00EC556A">
              <w:t> </w:t>
            </w:r>
          </w:p>
        </w:tc>
        <w:tc>
          <w:tcPr>
            <w:tcW w:w="1263" w:type="dxa"/>
            <w:tcBorders>
              <w:top w:val="single" w:sz="6" w:space="0" w:color="000000"/>
            </w:tcBorders>
          </w:tcPr>
          <w:p w:rsidR="00CC1C95" w:rsidRPr="00EC556A" w:rsidRDefault="00CC1C95" w:rsidP="00EE0DB2">
            <w:pPr>
              <w:jc w:val="center"/>
            </w:pPr>
            <w:r w:rsidRPr="00EC556A">
              <w:rPr>
                <w:bCs/>
              </w:rPr>
              <w:t>Quant.</w:t>
            </w:r>
          </w:p>
        </w:tc>
        <w:tc>
          <w:tcPr>
            <w:tcW w:w="1244" w:type="dxa"/>
            <w:tcBorders>
              <w:top w:val="single" w:sz="6" w:space="0" w:color="000000"/>
              <w:right w:val="single" w:sz="2" w:space="0" w:color="57472B"/>
            </w:tcBorders>
          </w:tcPr>
          <w:p w:rsidR="00CC1C95" w:rsidRPr="00EC556A" w:rsidRDefault="00CC1C95" w:rsidP="00EE0DB2">
            <w:pPr>
              <w:jc w:val="center"/>
            </w:pPr>
            <w:r w:rsidRPr="00EC556A">
              <w:rPr>
                <w:bCs/>
              </w:rPr>
              <w:t>Confirm.</w:t>
            </w:r>
          </w:p>
        </w:tc>
      </w:tr>
      <w:tr w:rsidR="00CC1C95" w:rsidRPr="00EC556A">
        <w:trPr>
          <w:trHeight w:val="255"/>
          <w:tblCellSpacing w:w="0" w:type="dxa"/>
        </w:trPr>
        <w:tc>
          <w:tcPr>
            <w:tcW w:w="3258" w:type="dxa"/>
            <w:tcBorders>
              <w:left w:val="single" w:sz="2" w:space="0" w:color="57472B"/>
            </w:tcBorders>
            <w:vAlign w:val="bottom"/>
          </w:tcPr>
          <w:p w:rsidR="00CC1C95" w:rsidRPr="00EC556A" w:rsidRDefault="00CC1C95" w:rsidP="00EE0DB2">
            <w:pPr>
              <w:rPr>
                <w:b/>
                <w:sz w:val="20"/>
              </w:rPr>
            </w:pPr>
            <w:r w:rsidRPr="00EC556A">
              <w:rPr>
                <w:b/>
                <w:sz w:val="20"/>
              </w:rPr>
              <w:t>Hexabromobiphenyl</w:t>
            </w:r>
          </w:p>
        </w:tc>
        <w:tc>
          <w:tcPr>
            <w:tcW w:w="1263" w:type="dxa"/>
            <w:vAlign w:val="bottom"/>
          </w:tcPr>
          <w:p w:rsidR="00CC1C95" w:rsidRPr="00EC556A" w:rsidRDefault="00CC1C95" w:rsidP="00EE0DB2">
            <w:pPr>
              <w:jc w:val="center"/>
              <w:rPr>
                <w:b/>
                <w:sz w:val="20"/>
              </w:rPr>
            </w:pPr>
            <w:r w:rsidRPr="00EC556A">
              <w:rPr>
                <w:b/>
                <w:sz w:val="20"/>
              </w:rPr>
              <w:t>627.5352</w:t>
            </w:r>
          </w:p>
        </w:tc>
        <w:tc>
          <w:tcPr>
            <w:tcW w:w="1244" w:type="dxa"/>
            <w:tcBorders>
              <w:right w:val="single" w:sz="2" w:space="0" w:color="57472B"/>
            </w:tcBorders>
            <w:vAlign w:val="bottom"/>
          </w:tcPr>
          <w:p w:rsidR="00CC1C95" w:rsidRPr="00EC556A" w:rsidRDefault="00CC1C95" w:rsidP="00EE0DB2">
            <w:pPr>
              <w:jc w:val="center"/>
              <w:rPr>
                <w:b/>
                <w:sz w:val="20"/>
              </w:rPr>
            </w:pPr>
            <w:r w:rsidRPr="00EC556A">
              <w:rPr>
                <w:b/>
                <w:sz w:val="20"/>
              </w:rPr>
              <w:t>625.5372</w:t>
            </w:r>
          </w:p>
        </w:tc>
      </w:tr>
      <w:tr w:rsidR="00CC1C95" w:rsidRPr="00EC556A">
        <w:trPr>
          <w:trHeight w:val="255"/>
          <w:tblCellSpacing w:w="0" w:type="dxa"/>
        </w:trPr>
        <w:tc>
          <w:tcPr>
            <w:tcW w:w="3258" w:type="dxa"/>
            <w:tcBorders>
              <w:left w:val="single" w:sz="2" w:space="0" w:color="57472B"/>
            </w:tcBorders>
            <w:vAlign w:val="bottom"/>
          </w:tcPr>
          <w:p w:rsidR="00CC1C95" w:rsidRPr="00EC556A" w:rsidRDefault="00CC1C95" w:rsidP="00EE0DB2">
            <w:pPr>
              <w:rPr>
                <w:b/>
                <w:sz w:val="20"/>
              </w:rPr>
            </w:pPr>
            <w:r w:rsidRPr="00EC556A">
              <w:rPr>
                <w:b/>
                <w:sz w:val="20"/>
              </w:rPr>
              <w:t>Hexabromo[13</w:t>
            </w:r>
            <w:r w:rsidRPr="00EC556A">
              <w:rPr>
                <w:b/>
                <w:i/>
                <w:iCs/>
                <w:sz w:val="20"/>
              </w:rPr>
              <w:t>C</w:t>
            </w:r>
            <w:r w:rsidRPr="00EC556A">
              <w:rPr>
                <w:b/>
                <w:sz w:val="20"/>
              </w:rPr>
              <w:t>12]biphenyl</w:t>
            </w:r>
          </w:p>
        </w:tc>
        <w:tc>
          <w:tcPr>
            <w:tcW w:w="1263" w:type="dxa"/>
            <w:vAlign w:val="bottom"/>
          </w:tcPr>
          <w:p w:rsidR="00CC1C95" w:rsidRPr="00EC556A" w:rsidRDefault="00CC1C95" w:rsidP="00EE0DB2">
            <w:pPr>
              <w:jc w:val="center"/>
              <w:rPr>
                <w:b/>
                <w:sz w:val="20"/>
              </w:rPr>
            </w:pPr>
            <w:r w:rsidRPr="00EC556A">
              <w:rPr>
                <w:b/>
                <w:sz w:val="20"/>
              </w:rPr>
              <w:t>639.5754</w:t>
            </w:r>
          </w:p>
        </w:tc>
        <w:tc>
          <w:tcPr>
            <w:tcW w:w="1244" w:type="dxa"/>
            <w:tcBorders>
              <w:right w:val="single" w:sz="2" w:space="0" w:color="57472B"/>
            </w:tcBorders>
            <w:vAlign w:val="bottom"/>
          </w:tcPr>
          <w:p w:rsidR="00CC1C95" w:rsidRPr="00EC556A" w:rsidRDefault="00CC1C95" w:rsidP="00EE0DB2">
            <w:pPr>
              <w:jc w:val="center"/>
              <w:rPr>
                <w:b/>
                <w:sz w:val="20"/>
              </w:rPr>
            </w:pPr>
            <w:r w:rsidRPr="00EC556A">
              <w:rPr>
                <w:b/>
                <w:sz w:val="20"/>
              </w:rPr>
              <w:t>637.5775</w:t>
            </w:r>
          </w:p>
        </w:tc>
      </w:tr>
      <w:tr w:rsidR="00CC1C95" w:rsidRPr="00EC556A">
        <w:trPr>
          <w:trHeight w:val="255"/>
          <w:tblCellSpacing w:w="0" w:type="dxa"/>
        </w:trPr>
        <w:tc>
          <w:tcPr>
            <w:tcW w:w="3258" w:type="dxa"/>
            <w:tcBorders>
              <w:left w:val="single" w:sz="2" w:space="0" w:color="57472B"/>
            </w:tcBorders>
            <w:vAlign w:val="bottom"/>
          </w:tcPr>
          <w:p w:rsidR="00CC1C95" w:rsidRPr="00EC556A" w:rsidRDefault="00CC1C95" w:rsidP="00EE0DB2">
            <w:pPr>
              <w:rPr>
                <w:b/>
                <w:sz w:val="20"/>
              </w:rPr>
            </w:pPr>
            <w:r w:rsidRPr="00EC556A">
              <w:rPr>
                <w:b/>
                <w:sz w:val="20"/>
              </w:rPr>
              <w:t>Hexabromo[13</w:t>
            </w:r>
            <w:r w:rsidRPr="00EC556A">
              <w:rPr>
                <w:b/>
                <w:i/>
                <w:iCs/>
                <w:sz w:val="20"/>
              </w:rPr>
              <w:t>C</w:t>
            </w:r>
            <w:r w:rsidRPr="00EC556A">
              <w:rPr>
                <w:b/>
                <w:sz w:val="20"/>
              </w:rPr>
              <w:t>12]diphenylether</w:t>
            </w:r>
          </w:p>
        </w:tc>
        <w:tc>
          <w:tcPr>
            <w:tcW w:w="1263" w:type="dxa"/>
            <w:vAlign w:val="bottom"/>
          </w:tcPr>
          <w:p w:rsidR="00CC1C95" w:rsidRPr="00EC556A" w:rsidRDefault="00CC1C95" w:rsidP="00EE0DB2">
            <w:pPr>
              <w:jc w:val="center"/>
              <w:rPr>
                <w:b/>
                <w:sz w:val="20"/>
              </w:rPr>
            </w:pPr>
            <w:r w:rsidRPr="00EC556A">
              <w:rPr>
                <w:b/>
                <w:sz w:val="20"/>
              </w:rPr>
              <w:t>655.5703</w:t>
            </w:r>
          </w:p>
        </w:tc>
        <w:tc>
          <w:tcPr>
            <w:tcW w:w="1244" w:type="dxa"/>
            <w:tcBorders>
              <w:right w:val="single" w:sz="2" w:space="0" w:color="57472B"/>
            </w:tcBorders>
            <w:vAlign w:val="bottom"/>
          </w:tcPr>
          <w:p w:rsidR="00CC1C95" w:rsidRPr="00EC556A" w:rsidRDefault="00CC1C95" w:rsidP="00EE0DB2">
            <w:pPr>
              <w:jc w:val="center"/>
              <w:rPr>
                <w:b/>
                <w:sz w:val="20"/>
              </w:rPr>
            </w:pPr>
            <w:r w:rsidRPr="00EC556A">
              <w:rPr>
                <w:b/>
                <w:sz w:val="20"/>
              </w:rPr>
              <w:t>653.5723</w:t>
            </w:r>
          </w:p>
        </w:tc>
      </w:tr>
      <w:tr w:rsidR="00CC1C95" w:rsidRPr="00EC556A">
        <w:trPr>
          <w:trHeight w:val="255"/>
          <w:tblCellSpacing w:w="0" w:type="dxa"/>
        </w:trPr>
        <w:tc>
          <w:tcPr>
            <w:tcW w:w="3258" w:type="dxa"/>
            <w:tcBorders>
              <w:left w:val="single" w:sz="2" w:space="0" w:color="57472B"/>
              <w:bottom w:val="single" w:sz="6" w:space="0" w:color="000000"/>
            </w:tcBorders>
            <w:vAlign w:val="bottom"/>
          </w:tcPr>
          <w:p w:rsidR="00CC1C95" w:rsidRPr="00EC556A" w:rsidRDefault="00CC1C95" w:rsidP="00EE0DB2">
            <w:pPr>
              <w:rPr>
                <w:b/>
                <w:sz w:val="20"/>
              </w:rPr>
            </w:pPr>
            <w:r w:rsidRPr="00EC556A">
              <w:rPr>
                <w:b/>
                <w:sz w:val="20"/>
              </w:rPr>
              <w:t>Perfluorokerosene</w:t>
            </w:r>
          </w:p>
        </w:tc>
        <w:tc>
          <w:tcPr>
            <w:tcW w:w="1263" w:type="dxa"/>
            <w:tcBorders>
              <w:bottom w:val="single" w:sz="6" w:space="0" w:color="000000"/>
            </w:tcBorders>
            <w:vAlign w:val="bottom"/>
          </w:tcPr>
          <w:p w:rsidR="00CC1C95" w:rsidRPr="00EC556A" w:rsidRDefault="00CC1C95" w:rsidP="00EE0DB2">
            <w:pPr>
              <w:jc w:val="center"/>
              <w:rPr>
                <w:b/>
                <w:sz w:val="20"/>
              </w:rPr>
            </w:pPr>
            <w:r w:rsidRPr="00EC556A">
              <w:rPr>
                <w:b/>
                <w:sz w:val="20"/>
              </w:rPr>
              <w:t>642.9600</w:t>
            </w:r>
          </w:p>
        </w:tc>
        <w:tc>
          <w:tcPr>
            <w:tcW w:w="1244" w:type="dxa"/>
            <w:tcBorders>
              <w:bottom w:val="single" w:sz="6" w:space="0" w:color="000000"/>
              <w:right w:val="single" w:sz="2" w:space="0" w:color="57472B"/>
            </w:tcBorders>
            <w:vAlign w:val="bottom"/>
          </w:tcPr>
          <w:p w:rsidR="00CC1C95" w:rsidRPr="00EC556A" w:rsidRDefault="00CC1C95" w:rsidP="00EE0DB2">
            <w:pPr>
              <w:jc w:val="center"/>
              <w:rPr>
                <w:b/>
                <w:sz w:val="20"/>
              </w:rPr>
            </w:pPr>
          </w:p>
        </w:tc>
      </w:tr>
    </w:tbl>
    <w:p w:rsidR="00CC1C95" w:rsidRPr="00EC556A" w:rsidRDefault="00CC1C95" w:rsidP="00A165BC">
      <w:pPr>
        <w:pStyle w:val="Heading3"/>
        <w:numPr>
          <w:ilvl w:val="0"/>
          <w:numId w:val="0"/>
        </w:numPr>
        <w:snapToGrid/>
        <w:spacing w:before="240" w:after="60" w:line="276" w:lineRule="auto"/>
        <w:jc w:val="both"/>
      </w:pPr>
      <w:r w:rsidRPr="00EC556A">
        <w:rPr>
          <w:rFonts w:eastAsia="MS PMincho"/>
        </w:rPr>
        <w:br w:type="page"/>
      </w:r>
      <w:r w:rsidRPr="00EC556A">
        <w:t xml:space="preserve"> </w:t>
      </w:r>
      <w:bookmarkStart w:id="550" w:name="_Toc349335828"/>
      <w:r w:rsidRPr="00EC556A">
        <w:rPr>
          <w:noProof/>
        </w:rPr>
        <w:t xml:space="preserve">HBB </w:t>
      </w:r>
      <w:r w:rsidRPr="00EC556A">
        <w:t>SIM Chromatogram</w:t>
      </w:r>
      <w:bookmarkEnd w:id="550"/>
    </w:p>
    <w:p w:rsidR="00CC1C95" w:rsidRPr="00EC556A" w:rsidRDefault="00322F03" w:rsidP="00EE0DB2">
      <w:pPr>
        <w:ind w:firstLine="240"/>
      </w:pPr>
      <w:r w:rsidRPr="00322F03">
        <w:rPr>
          <w:noProof/>
          <w:lang w:val="de-DE" w:eastAsia="zh-CN"/>
        </w:rPr>
        <w:pict>
          <v:group id="Group 85" o:spid="_x0000_s1041" style="position:absolute;left:0;text-align:left;margin-left:18.1pt;margin-top:24.9pt;width:483pt;height:323.9pt;z-index:251662848" coordorigin="1418,1607" coordsize="9660,64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42" type="#_x0000_t75" style="position:absolute;left:1418;top:1607;width:9135;height:6478;visibility:visible">
              <v:imagedata r:id="rId67" o:title=""/>
            </v:shape>
            <v:shape id="Text Box 87" o:spid="_x0000_s1043" type="#_x0000_t202" style="position:absolute;left:6878;top:1682;width:3587;height:900;visibility:visible" filled="f" stroked="f">
              <v:textbox style="mso-next-textbox:#Text Box 87">
                <w:txbxContent>
                  <w:p w:rsidR="00C0598F" w:rsidRDefault="00C0598F" w:rsidP="00EE0DB2">
                    <w:pPr>
                      <w:autoSpaceDE w:val="0"/>
                      <w:autoSpaceDN w:val="0"/>
                      <w:adjustRightInd w:val="0"/>
                      <w:jc w:val="center"/>
                    </w:pPr>
                    <w:r>
                      <w:rPr>
                        <w:rFonts w:hAnsi="MS Mincho"/>
                        <w:vertAlign w:val="superscript"/>
                      </w:rPr>
                      <w:t>13</w:t>
                    </w:r>
                    <w:r>
                      <w:rPr>
                        <w:rFonts w:hAnsi="MS Mincho"/>
                      </w:rPr>
                      <w:t>C</w:t>
                    </w:r>
                    <w:r>
                      <w:rPr>
                        <w:rFonts w:hAnsi="MS Mincho"/>
                        <w:vertAlign w:val="subscript"/>
                      </w:rPr>
                      <w:t>12</w:t>
                    </w:r>
                    <w:r>
                      <w:rPr>
                        <w:rFonts w:hAnsi="MS Mincho"/>
                      </w:rPr>
                      <w:t xml:space="preserve">-2,2',3,4,4',6-HxBDE </w:t>
                    </w:r>
                  </w:p>
                  <w:p w:rsidR="00C0598F" w:rsidRDefault="00C0598F" w:rsidP="00EE0DB2">
                    <w:pPr>
                      <w:jc w:val="center"/>
                      <w:rPr>
                        <w:rFonts w:ascii="‚l‚r –¾’©"/>
                      </w:rPr>
                    </w:pPr>
                    <w:r>
                      <w:t>20pg</w:t>
                    </w:r>
                  </w:p>
                </w:txbxContent>
              </v:textbox>
            </v:shape>
            <v:shape id="Text Box 88" o:spid="_x0000_s1044" type="#_x0000_t202" style="position:absolute;left:4898;top:3875;width:4215;height:900;visibility:visible" filled="f" stroked="f">
              <v:textbox style="mso-next-textbox:#Text Box 88">
                <w:txbxContent>
                  <w:p w:rsidR="00C0598F" w:rsidRDefault="00C0598F" w:rsidP="00EE0DB2">
                    <w:pPr>
                      <w:autoSpaceDE w:val="0"/>
                      <w:autoSpaceDN w:val="0"/>
                      <w:adjustRightInd w:val="0"/>
                      <w:jc w:val="center"/>
                    </w:pPr>
                    <w:r>
                      <w:rPr>
                        <w:vertAlign w:val="superscript"/>
                      </w:rPr>
                      <w:t>13</w:t>
                    </w:r>
                    <w:r>
                      <w:t>C</w:t>
                    </w:r>
                    <w:r>
                      <w:rPr>
                        <w:sz w:val="16"/>
                      </w:rPr>
                      <w:t>12</w:t>
                    </w:r>
                    <w:r>
                      <w:t>-2,2',4,4',5,5'-HxBB (#153)</w:t>
                    </w:r>
                  </w:p>
                  <w:p w:rsidR="00C0598F" w:rsidRDefault="00C0598F" w:rsidP="00EE0DB2">
                    <w:pPr>
                      <w:jc w:val="center"/>
                      <w:rPr>
                        <w:rFonts w:ascii="‚l‚r –¾’©"/>
                      </w:rPr>
                    </w:pPr>
                    <w:r>
                      <w:t>20pg</w:t>
                    </w:r>
                  </w:p>
                </w:txbxContent>
              </v:textbox>
            </v:shape>
            <v:shape id="Text Box 89" o:spid="_x0000_s1045" type="#_x0000_t202" style="position:absolute;left:3773;top:6974;width:3525;height:900;visibility:visible" filled="f" stroked="f">
              <v:textbox style="mso-next-textbox:#Text Box 89">
                <w:txbxContent>
                  <w:p w:rsidR="00C0598F" w:rsidRDefault="00C0598F" w:rsidP="00EE0DB2">
                    <w:pPr>
                      <w:autoSpaceDE w:val="0"/>
                      <w:autoSpaceDN w:val="0"/>
                      <w:adjustRightInd w:val="0"/>
                      <w:jc w:val="center"/>
                    </w:pPr>
                    <w:r>
                      <w:t>2,2',4,4',5,5'-HxBB (#153)</w:t>
                    </w:r>
                  </w:p>
                  <w:p w:rsidR="00C0598F" w:rsidRDefault="00C0598F" w:rsidP="00EE0DB2">
                    <w:pPr>
                      <w:jc w:val="center"/>
                      <w:rPr>
                        <w:rFonts w:ascii="‚l‚r –¾’©"/>
                      </w:rPr>
                    </w:pPr>
                    <w:r>
                      <w:t>4pg</w:t>
                    </w:r>
                  </w:p>
                </w:txbxContent>
              </v:textbox>
            </v:shape>
            <v:shape id="Text Box 90" o:spid="_x0000_s1046" type="#_x0000_t202" style="position:absolute;left:1703;top:5765;width:3525;height:1278;visibility:visible" filled="f" stroked="f">
              <v:textbox style="mso-next-textbox:#Text Box 90">
                <w:txbxContent>
                  <w:p w:rsidR="00C0598F" w:rsidRDefault="00C0598F" w:rsidP="00EE0DB2">
                    <w:pPr>
                      <w:autoSpaceDE w:val="0"/>
                      <w:autoSpaceDN w:val="0"/>
                      <w:adjustRightInd w:val="0"/>
                      <w:jc w:val="center"/>
                    </w:pPr>
                    <w:r>
                      <w:t>2,2',4,4',5,5'-HxBB (#155)</w:t>
                    </w:r>
                  </w:p>
                  <w:p w:rsidR="00C0598F" w:rsidRDefault="00C0598F" w:rsidP="00EE0DB2">
                    <w:pPr>
                      <w:jc w:val="center"/>
                      <w:rPr>
                        <w:rFonts w:ascii="‚l‚r –¾’©"/>
                      </w:rPr>
                    </w:pPr>
                    <w:r>
                      <w:t>4pg</w:t>
                    </w:r>
                  </w:p>
                  <w:p w:rsidR="00C0598F" w:rsidRDefault="00C0598F" w:rsidP="00EE0DB2">
                    <w:pPr>
                      <w:rPr>
                        <w:rFonts w:ascii="‚l‚r –¾’©"/>
                      </w:rPr>
                    </w:pPr>
                  </w:p>
                </w:txbxContent>
              </v:textbox>
            </v:shape>
            <v:shape id="Text Box 91" o:spid="_x0000_s1047" type="#_x0000_t202" style="position:absolute;left:6713;top:5960;width:3525;height:900;visibility:visible" filled="f" stroked="f">
              <v:textbox style="mso-next-textbox:#Text Box 91">
                <w:txbxContent>
                  <w:p w:rsidR="00C0598F" w:rsidRDefault="00C0598F" w:rsidP="00EE0DB2">
                    <w:pPr>
                      <w:autoSpaceDE w:val="0"/>
                      <w:autoSpaceDN w:val="0"/>
                      <w:adjustRightInd w:val="0"/>
                      <w:jc w:val="center"/>
                    </w:pPr>
                    <w:r>
                      <w:t>3,3',4,4',5,5'-HxBB (#169)</w:t>
                    </w:r>
                  </w:p>
                  <w:p w:rsidR="00C0598F" w:rsidRDefault="00C0598F" w:rsidP="00EE0DB2">
                    <w:pPr>
                      <w:jc w:val="center"/>
                      <w:rPr>
                        <w:rFonts w:ascii="‚l‚r –¾’©"/>
                      </w:rPr>
                    </w:pPr>
                    <w:r>
                      <w:t>4pg</w:t>
                    </w:r>
                  </w:p>
                </w:txbxContent>
              </v:textbox>
            </v:shape>
            <v:shape id="Text Box 92" o:spid="_x0000_s1048" type="#_x0000_t202" style="position:absolute;left:8888;top:2174;width:2190;height:567;visibility:visible" filled="f" stroked="f">
              <v:textbox style="mso-next-textbox:#Text Box 92" inset="5.85pt,.7pt,5.85pt,.7pt">
                <w:txbxContent>
                  <w:p w:rsidR="00C0598F" w:rsidRDefault="00C0598F" w:rsidP="00EE0DB2">
                    <w:pPr>
                      <w:jc w:val="center"/>
                    </w:pPr>
                    <w:r>
                      <w:t>[M+6]</w:t>
                    </w:r>
                    <w:r>
                      <w:rPr>
                        <w:vertAlign w:val="superscript"/>
                      </w:rPr>
                      <w:t>+</w:t>
                    </w:r>
                  </w:p>
                </w:txbxContent>
              </v:textbox>
            </v:shape>
            <v:shape id="Text Box 93" o:spid="_x0000_s1049" type="#_x0000_t202" style="position:absolute;left:8888;top:3164;width:2190;height:567;visibility:visible" filled="f" stroked="f">
              <v:textbox style="mso-next-textbox:#Text Box 93" inset="5.85pt,.7pt,5.85pt,.7pt">
                <w:txbxContent>
                  <w:p w:rsidR="00C0598F" w:rsidRDefault="00C0598F" w:rsidP="00EE0DB2">
                    <w:pPr>
                      <w:jc w:val="center"/>
                    </w:pPr>
                    <w:r>
                      <w:t>[M+4]</w:t>
                    </w:r>
                    <w:r>
                      <w:rPr>
                        <w:vertAlign w:val="superscript"/>
                      </w:rPr>
                      <w:t>+</w:t>
                    </w:r>
                  </w:p>
                </w:txbxContent>
              </v:textbox>
            </v:shape>
            <v:shape id="Text Box 94" o:spid="_x0000_s1050" type="#_x0000_t202" style="position:absolute;left:8873;top:4253;width:2190;height:567;visibility:visible" filled="f" stroked="f">
              <v:textbox style="mso-next-textbox:#Text Box 94" inset="5.85pt,.7pt,5.85pt,.7pt">
                <w:txbxContent>
                  <w:p w:rsidR="00C0598F" w:rsidRDefault="00C0598F" w:rsidP="00EE0DB2">
                    <w:pPr>
                      <w:jc w:val="center"/>
                    </w:pPr>
                    <w:r>
                      <w:t>[M+8]</w:t>
                    </w:r>
                    <w:r>
                      <w:rPr>
                        <w:vertAlign w:val="superscript"/>
                      </w:rPr>
                      <w:t>+</w:t>
                    </w:r>
                  </w:p>
                </w:txbxContent>
              </v:textbox>
            </v:shape>
            <v:shape id="Text Box 95" o:spid="_x0000_s1051" type="#_x0000_t202" style="position:absolute;left:8873;top:5342;width:2190;height:567;visibility:visible" filled="f" stroked="f">
              <v:textbox style="mso-next-textbox:#Text Box 95" inset="5.85pt,.7pt,5.85pt,.7pt">
                <w:txbxContent>
                  <w:p w:rsidR="00C0598F" w:rsidRDefault="00C0598F" w:rsidP="00EE0DB2">
                    <w:pPr>
                      <w:jc w:val="center"/>
                    </w:pPr>
                    <w:r>
                      <w:t>[M+6]</w:t>
                    </w:r>
                    <w:r>
                      <w:rPr>
                        <w:vertAlign w:val="superscript"/>
                      </w:rPr>
                      <w:t>+</w:t>
                    </w:r>
                  </w:p>
                </w:txbxContent>
              </v:textbox>
            </v:shape>
            <v:shape id="Text Box 96" o:spid="_x0000_s1052" type="#_x0000_t202" style="position:absolute;left:8873;top:6362;width:2190;height:567;visibility:visible" filled="f" stroked="f">
              <v:textbox style="mso-next-textbox:#Text Box 96" inset="5.85pt,.7pt,5.85pt,.7pt">
                <w:txbxContent>
                  <w:p w:rsidR="00C0598F" w:rsidRDefault="00C0598F" w:rsidP="00EE0DB2">
                    <w:pPr>
                      <w:jc w:val="center"/>
                    </w:pPr>
                    <w:r>
                      <w:t>[M+8]</w:t>
                    </w:r>
                    <w:r>
                      <w:rPr>
                        <w:vertAlign w:val="superscript"/>
                      </w:rPr>
                      <w:t>+</w:t>
                    </w:r>
                  </w:p>
                </w:txbxContent>
              </v:textbox>
            </v:shape>
            <v:shape id="Text Box 97" o:spid="_x0000_s1053" type="#_x0000_t202" style="position:absolute;left:8888;top:7421;width:2190;height:567;visibility:visible" filled="f" stroked="f">
              <v:textbox style="mso-next-textbox:#Text Box 97" inset="5.85pt,.7pt,5.85pt,.7pt">
                <w:txbxContent>
                  <w:p w:rsidR="00C0598F" w:rsidRDefault="00C0598F" w:rsidP="00EE0DB2">
                    <w:pPr>
                      <w:jc w:val="center"/>
                    </w:pPr>
                    <w:r>
                      <w:t>[M+6]</w:t>
                    </w:r>
                    <w:r>
                      <w:rPr>
                        <w:vertAlign w:val="superscript"/>
                      </w:rPr>
                      <w:t>+</w:t>
                    </w:r>
                  </w:p>
                </w:txbxContent>
              </v:textbox>
            </v:shape>
            <w10:wrap type="square"/>
          </v:group>
        </w:pict>
      </w:r>
    </w:p>
    <w:p w:rsidR="00CC1C95" w:rsidRPr="00EC556A" w:rsidRDefault="00CC1C95" w:rsidP="00EE0DB2">
      <w:pPr>
        <w:rPr>
          <w:rFonts w:eastAsia="MS PMincho"/>
        </w:rPr>
      </w:pPr>
      <w:r w:rsidRPr="00EC556A">
        <w:rPr>
          <w:rFonts w:eastAsia="MS PMincho"/>
        </w:rPr>
        <w:t xml:space="preserve">Figure A2-4: Chromatogram of native HBB congeners and </w:t>
      </w:r>
      <w:r w:rsidRPr="00EC556A">
        <w:rPr>
          <w:vertAlign w:val="superscript"/>
        </w:rPr>
        <w:t>13</w:t>
      </w:r>
      <w:r w:rsidRPr="00EC556A">
        <w:t>C</w:t>
      </w:r>
      <w:r w:rsidRPr="00EC556A">
        <w:rPr>
          <w:vertAlign w:val="subscript"/>
        </w:rPr>
        <w:t>12</w:t>
      </w:r>
      <w:r w:rsidRPr="00EC556A">
        <w:t>-HBB</w:t>
      </w:r>
    </w:p>
    <w:p w:rsidR="00CC1C95" w:rsidRPr="00EC556A" w:rsidRDefault="00CC1C95" w:rsidP="00EE0DB2">
      <w:pPr>
        <w:ind w:firstLine="240"/>
        <w:jc w:val="center"/>
      </w:pPr>
      <w:r w:rsidRPr="00EC556A">
        <w:t xml:space="preserve"> </w:t>
      </w:r>
      <w:r w:rsidRPr="00EC556A">
        <w:rPr>
          <w:noProof/>
        </w:rPr>
        <w:t xml:space="preserve"> </w:t>
      </w:r>
    </w:p>
    <w:p w:rsidR="00CC1C95" w:rsidRPr="00EC556A" w:rsidRDefault="00CC1C95" w:rsidP="00EE0DB2">
      <w:pPr>
        <w:ind w:firstLine="210"/>
      </w:pPr>
    </w:p>
    <w:p w:rsidR="00CC1C95" w:rsidRPr="00EC556A" w:rsidRDefault="00CC1C95" w:rsidP="00EE0DB2"/>
    <w:p w:rsidR="00CC1C95" w:rsidRPr="00EC556A" w:rsidRDefault="00CC1C95" w:rsidP="00EE0DB2">
      <w:r w:rsidRPr="00EC556A">
        <w:t>Figure A2-</w:t>
      </w:r>
      <w:r w:rsidR="00322F03" w:rsidRPr="00322F03">
        <w:rPr>
          <w:noProof/>
          <w:lang w:val="de-DE" w:eastAsia="zh-CN"/>
        </w:rPr>
        <w:pict>
          <v:group id="Group 98" o:spid="_x0000_s1036" style="position:absolute;left:0;text-align:left;margin-left:0;margin-top:9.1pt;width:451.5pt;height:161.2pt;z-index:251661824;mso-position-horizontal-relative:text;mso-position-vertical-relative:text" coordorigin="1418,9227" coordsize="9030,3224">
            <v:shape id="Picture 99" o:spid="_x0000_s1037" type="#_x0000_t75" style="position:absolute;left:1418;top:9356;width:9030;height:3095;visibility:visible">
              <v:imagedata r:id="rId68" o:title=""/>
            </v:shape>
            <v:shape id="Text Box 100" o:spid="_x0000_s1038" type="#_x0000_t202" style="position:absolute;left:4056;top:10217;width:2822;height:752;visibility:visible" filled="f" stroked="f">
              <v:textbox style="mso-next-textbox:#Text Box 100" inset="5.85pt,.7pt,5.85pt,.7pt">
                <w:txbxContent>
                  <w:p w:rsidR="00C0598F" w:rsidRDefault="00C0598F" w:rsidP="00EE0DB2">
                    <w:pPr>
                      <w:jc w:val="center"/>
                    </w:pPr>
                    <w:r>
                      <w:t>2,2',4,4',5,5'-HxBB(#153)</w:t>
                    </w:r>
                  </w:p>
                  <w:p w:rsidR="00C0598F" w:rsidRDefault="00C0598F" w:rsidP="00EE0DB2">
                    <w:pPr>
                      <w:jc w:val="center"/>
                    </w:pPr>
                    <w:r>
                      <w:t>0.2pg</w:t>
                    </w:r>
                  </w:p>
                </w:txbxContent>
              </v:textbox>
            </v:shape>
            <v:shape id="Text Box 101" o:spid="_x0000_s1039" type="#_x0000_t202" style="position:absolute;left:2228;top:9227;width:2760;height:842;visibility:visible" filled="f" stroked="f">
              <v:textbox style="mso-next-textbox:#Text Box 101" inset="5.85pt,.7pt,5.85pt,.7pt">
                <w:txbxContent>
                  <w:p w:rsidR="00C0598F" w:rsidRDefault="00C0598F" w:rsidP="00EE0DB2">
                    <w:pPr>
                      <w:jc w:val="center"/>
                    </w:pPr>
                    <w:r>
                      <w:t>2,2',4,4',6,6'-HxBB(#155)</w:t>
                    </w:r>
                  </w:p>
                  <w:p w:rsidR="00C0598F" w:rsidRDefault="00C0598F" w:rsidP="00EE0DB2">
                    <w:pPr>
                      <w:jc w:val="center"/>
                    </w:pPr>
                    <w:r>
                      <w:t>0.2pg</w:t>
                    </w:r>
                  </w:p>
                </w:txbxContent>
              </v:textbox>
            </v:shape>
            <v:shape id="Text Box 102" o:spid="_x0000_s1040" type="#_x0000_t202" style="position:absolute;left:7448;top:10550;width:2820;height:756;visibility:visible" filled="f" stroked="f">
              <v:textbox style="mso-next-textbox:#Text Box 102" inset="5.85pt,.7pt,5.85pt,.7pt">
                <w:txbxContent>
                  <w:p w:rsidR="00C0598F" w:rsidRDefault="00C0598F" w:rsidP="00EE0DB2">
                    <w:pPr>
                      <w:autoSpaceDE w:val="0"/>
                      <w:autoSpaceDN w:val="0"/>
                      <w:adjustRightInd w:val="0"/>
                      <w:jc w:val="center"/>
                    </w:pPr>
                    <w:r>
                      <w:t>3,3',4,4',5,5'-HxBB(#169)</w:t>
                    </w:r>
                  </w:p>
                  <w:p w:rsidR="00C0598F" w:rsidRDefault="00C0598F" w:rsidP="00EE0DB2">
                    <w:pPr>
                      <w:jc w:val="center"/>
                    </w:pPr>
                    <w:r>
                      <w:t>0.2pg</w:t>
                    </w:r>
                  </w:p>
                </w:txbxContent>
              </v:textbox>
            </v:shape>
            <w10:wrap type="topAndBottom"/>
          </v:group>
        </w:pict>
      </w:r>
      <w:r w:rsidRPr="00EC556A">
        <w:t xml:space="preserve">5: </w:t>
      </w:r>
      <w:r w:rsidRPr="00EC556A">
        <w:rPr>
          <w:rFonts w:eastAsia="MS PMincho"/>
        </w:rPr>
        <w:t>Chromatogram of native HBB congeners</w:t>
      </w:r>
    </w:p>
    <w:p w:rsidR="00CC1C95" w:rsidRPr="00EC556A" w:rsidRDefault="00CC1C95" w:rsidP="00EE0DB2">
      <w:pPr>
        <w:ind w:firstLine="240"/>
      </w:pPr>
    </w:p>
    <w:p w:rsidR="00CC1C95" w:rsidRPr="00EC556A" w:rsidRDefault="00CC1C95" w:rsidP="002F2D66">
      <w:pPr>
        <w:pStyle w:val="Heading2"/>
        <w:numPr>
          <w:ilvl w:val="0"/>
          <w:numId w:val="0"/>
        </w:numPr>
        <w:snapToGrid/>
        <w:spacing w:before="240" w:after="60" w:line="276" w:lineRule="auto"/>
        <w:jc w:val="both"/>
      </w:pPr>
      <w:r w:rsidRPr="00EC556A">
        <w:rPr>
          <w:b w:val="0"/>
        </w:rPr>
        <w:br w:type="page"/>
      </w:r>
      <w:bookmarkStart w:id="551" w:name="_Toc349335829"/>
      <w:r w:rsidRPr="00EC556A">
        <w:rPr>
          <w:b w:val="0"/>
        </w:rPr>
        <w:t>Annex</w:t>
      </w:r>
      <w:r w:rsidR="00591585">
        <w:rPr>
          <w:b w:val="0"/>
        </w:rPr>
        <w:t xml:space="preserve"> 2-C: GC/MS analysis of PeCBz, </w:t>
      </w:r>
      <w:r w:rsidRPr="00EC556A">
        <w:rPr>
          <w:b w:val="0"/>
        </w:rPr>
        <w:t>HCHs and basic pesticide POPs</w:t>
      </w:r>
      <w:bookmarkEnd w:id="551"/>
    </w:p>
    <w:p w:rsidR="00CC1C95" w:rsidRPr="00EC556A" w:rsidRDefault="00CC1C95" w:rsidP="00A165BC">
      <w:pPr>
        <w:pStyle w:val="Heading3"/>
        <w:numPr>
          <w:ilvl w:val="0"/>
          <w:numId w:val="0"/>
        </w:numPr>
        <w:snapToGrid/>
        <w:spacing w:before="240" w:after="60" w:line="276" w:lineRule="auto"/>
        <w:jc w:val="both"/>
      </w:pPr>
      <w:bookmarkStart w:id="552" w:name="_Toc349335830"/>
      <w:r w:rsidRPr="00EC556A">
        <w:t>GC/MS conditions PeCBz, HCHs and basic pesticide POPs (example)</w:t>
      </w:r>
      <w:bookmarkEnd w:id="552"/>
    </w:p>
    <w:tbl>
      <w:tblPr>
        <w:tblW w:w="8862" w:type="dxa"/>
        <w:tblInd w:w="30" w:type="dxa"/>
        <w:tblLayout w:type="fixed"/>
        <w:tblCellMar>
          <w:left w:w="30" w:type="dxa"/>
          <w:right w:w="30" w:type="dxa"/>
        </w:tblCellMar>
        <w:tblLook w:val="0000"/>
      </w:tblPr>
      <w:tblGrid>
        <w:gridCol w:w="1815"/>
        <w:gridCol w:w="717"/>
        <w:gridCol w:w="2941"/>
        <w:gridCol w:w="1260"/>
        <w:gridCol w:w="1260"/>
        <w:gridCol w:w="869"/>
      </w:tblGrid>
      <w:tr w:rsidR="00CC1C95" w:rsidRPr="00EC556A">
        <w:trPr>
          <w:trHeight w:val="146"/>
        </w:trPr>
        <w:tc>
          <w:tcPr>
            <w:tcW w:w="2532" w:type="dxa"/>
            <w:gridSpan w:val="2"/>
            <w:tcBorders>
              <w:top w:val="single" w:sz="4" w:space="0" w:color="auto"/>
            </w:tcBorders>
          </w:tcPr>
          <w:p w:rsidR="00CC1C95" w:rsidRPr="00EC556A" w:rsidRDefault="00CC1C95" w:rsidP="00EE0DB2">
            <w:r w:rsidRPr="00EC556A">
              <w:rPr>
                <w:bCs/>
              </w:rPr>
              <w:t>MS Instrument</w:t>
            </w:r>
          </w:p>
        </w:tc>
        <w:tc>
          <w:tcPr>
            <w:tcW w:w="6330" w:type="dxa"/>
            <w:gridSpan w:val="4"/>
            <w:tcBorders>
              <w:top w:val="single" w:sz="4" w:space="0" w:color="auto"/>
            </w:tcBorders>
          </w:tcPr>
          <w:p w:rsidR="00CC1C95" w:rsidRPr="00EC556A" w:rsidRDefault="00CC1C95" w:rsidP="00EE0DB2">
            <w:pPr>
              <w:autoSpaceDE w:val="0"/>
              <w:autoSpaceDN w:val="0"/>
              <w:adjustRightInd w:val="0"/>
              <w:rPr>
                <w:szCs w:val="21"/>
              </w:rPr>
            </w:pPr>
            <w:r w:rsidRPr="00EC556A">
              <w:rPr>
                <w:szCs w:val="21"/>
              </w:rPr>
              <w:t>LRMS or HRMS</w:t>
            </w:r>
          </w:p>
        </w:tc>
      </w:tr>
      <w:tr w:rsidR="00CC1C95" w:rsidRPr="00EC556A">
        <w:trPr>
          <w:trHeight w:val="146"/>
        </w:trPr>
        <w:tc>
          <w:tcPr>
            <w:tcW w:w="2532" w:type="dxa"/>
            <w:gridSpan w:val="2"/>
          </w:tcPr>
          <w:p w:rsidR="00CC1C95" w:rsidRPr="00EC556A" w:rsidRDefault="00CC1C95" w:rsidP="00EE0DB2">
            <w:r w:rsidRPr="00EC556A">
              <w:t>GC</w:t>
            </w:r>
          </w:p>
        </w:tc>
        <w:tc>
          <w:tcPr>
            <w:tcW w:w="6330" w:type="dxa"/>
            <w:gridSpan w:val="4"/>
          </w:tcPr>
          <w:p w:rsidR="00CC1C95" w:rsidRPr="00EC556A" w:rsidRDefault="00CC1C95" w:rsidP="00EE0DB2">
            <w:pPr>
              <w:autoSpaceDE w:val="0"/>
              <w:autoSpaceDN w:val="0"/>
              <w:adjustRightInd w:val="0"/>
              <w:rPr>
                <w:szCs w:val="21"/>
              </w:rPr>
            </w:pPr>
            <w:r w:rsidRPr="00EC556A">
              <w:rPr>
                <w:szCs w:val="21"/>
              </w:rPr>
              <w:t>HP 6890 (Agilent)</w:t>
            </w:r>
          </w:p>
        </w:tc>
      </w:tr>
      <w:tr w:rsidR="00CC1C95" w:rsidRPr="00E77A35">
        <w:trPr>
          <w:trHeight w:val="146"/>
        </w:trPr>
        <w:tc>
          <w:tcPr>
            <w:tcW w:w="2532" w:type="dxa"/>
            <w:gridSpan w:val="2"/>
          </w:tcPr>
          <w:p w:rsidR="00CC1C95" w:rsidRPr="00EC556A" w:rsidRDefault="00CC1C95" w:rsidP="00EE0DB2">
            <w:r w:rsidRPr="00EC556A">
              <w:rPr>
                <w:bCs/>
              </w:rPr>
              <w:t>Column</w:t>
            </w:r>
          </w:p>
        </w:tc>
        <w:tc>
          <w:tcPr>
            <w:tcW w:w="6330" w:type="dxa"/>
            <w:gridSpan w:val="4"/>
          </w:tcPr>
          <w:p w:rsidR="00CC1C95" w:rsidRPr="00E77A35" w:rsidRDefault="00CC1C95" w:rsidP="00EE0DB2">
            <w:pPr>
              <w:autoSpaceDE w:val="0"/>
              <w:autoSpaceDN w:val="0"/>
              <w:adjustRightInd w:val="0"/>
              <w:rPr>
                <w:szCs w:val="21"/>
              </w:rPr>
            </w:pPr>
            <w:r w:rsidRPr="00E77A35">
              <w:rPr>
                <w:szCs w:val="21"/>
              </w:rPr>
              <w:t xml:space="preserve">DB-17HT 30 m x 0.32 mm I.D. (0.15 </w:t>
            </w:r>
            <w:r w:rsidRPr="00EC556A">
              <w:rPr>
                <w:szCs w:val="21"/>
              </w:rPr>
              <w:t>μ</w:t>
            </w:r>
            <w:r w:rsidRPr="00E77A35">
              <w:rPr>
                <w:szCs w:val="21"/>
              </w:rPr>
              <w:t xml:space="preserve">m) </w:t>
            </w:r>
          </w:p>
          <w:p w:rsidR="00CC1C95" w:rsidRPr="001149DF" w:rsidRDefault="00CC1C95" w:rsidP="00EE0DB2">
            <w:pPr>
              <w:autoSpaceDE w:val="0"/>
              <w:autoSpaceDN w:val="0"/>
              <w:adjustRightInd w:val="0"/>
              <w:ind w:right="480"/>
              <w:rPr>
                <w:szCs w:val="21"/>
                <w:lang w:val="fr-FR"/>
              </w:rPr>
            </w:pPr>
            <w:r w:rsidRPr="001149DF">
              <w:rPr>
                <w:rFonts w:hint="eastAsia"/>
                <w:szCs w:val="21"/>
                <w:lang w:val="fr-FR"/>
              </w:rPr>
              <w:t>（</w:t>
            </w:r>
            <w:r w:rsidRPr="001149DF">
              <w:rPr>
                <w:szCs w:val="21"/>
                <w:lang w:val="fr-FR"/>
              </w:rPr>
              <w:t>Agilent Technologies/J&amp;W</w:t>
            </w:r>
            <w:r w:rsidRPr="001149DF">
              <w:rPr>
                <w:rFonts w:hint="eastAsia"/>
                <w:szCs w:val="21"/>
                <w:lang w:val="fr-FR"/>
              </w:rPr>
              <w:t>）</w:t>
            </w:r>
          </w:p>
        </w:tc>
      </w:tr>
      <w:tr w:rsidR="00CC1C95" w:rsidRPr="00E77A35">
        <w:trPr>
          <w:trHeight w:val="146"/>
        </w:trPr>
        <w:tc>
          <w:tcPr>
            <w:tcW w:w="2532" w:type="dxa"/>
            <w:gridSpan w:val="2"/>
          </w:tcPr>
          <w:p w:rsidR="00CC1C95" w:rsidRPr="00EC556A" w:rsidRDefault="00CC1C95" w:rsidP="00EE0DB2">
            <w:r w:rsidRPr="00EC556A">
              <w:rPr>
                <w:bCs/>
              </w:rPr>
              <w:t>GC prog.</w:t>
            </w:r>
          </w:p>
        </w:tc>
        <w:tc>
          <w:tcPr>
            <w:tcW w:w="6330" w:type="dxa"/>
            <w:gridSpan w:val="4"/>
          </w:tcPr>
          <w:p w:rsidR="00CC1C95" w:rsidRPr="001149DF" w:rsidRDefault="00CC1C95" w:rsidP="00EE0DB2">
            <w:pPr>
              <w:autoSpaceDE w:val="0"/>
              <w:autoSpaceDN w:val="0"/>
              <w:adjustRightInd w:val="0"/>
              <w:rPr>
                <w:szCs w:val="21"/>
                <w:lang w:val="sv-SE"/>
              </w:rPr>
            </w:pPr>
            <w:r w:rsidRPr="001149DF">
              <w:rPr>
                <w:szCs w:val="21"/>
                <w:lang w:val="sv-SE"/>
              </w:rPr>
              <w:t>120°C (1 min)-20°C /min-160°C (0 min)-3°C /min-</w:t>
            </w:r>
          </w:p>
          <w:p w:rsidR="00CC1C95" w:rsidRPr="001149DF" w:rsidRDefault="00CC1C95" w:rsidP="00EE0DB2">
            <w:pPr>
              <w:autoSpaceDE w:val="0"/>
              <w:autoSpaceDN w:val="0"/>
              <w:adjustRightInd w:val="0"/>
              <w:ind w:right="480"/>
              <w:rPr>
                <w:color w:val="FF0000"/>
                <w:szCs w:val="21"/>
                <w:lang w:val="sv-SE"/>
              </w:rPr>
            </w:pPr>
            <w:r w:rsidRPr="001149DF">
              <w:rPr>
                <w:szCs w:val="21"/>
                <w:lang w:val="sv-SE"/>
              </w:rPr>
              <w:t>-220°C (0 min)-10</w:t>
            </w:r>
            <w:r w:rsidRPr="001149DF">
              <w:rPr>
                <w:rFonts w:ascii="MS Gothic" w:eastAsia="MS Gothic" w:hAnsi="MS Gothic" w:cs="MS Gothic" w:hint="eastAsia"/>
                <w:szCs w:val="21"/>
                <w:lang w:val="sv-SE"/>
              </w:rPr>
              <w:t>℃</w:t>
            </w:r>
            <w:r w:rsidRPr="001149DF">
              <w:rPr>
                <w:szCs w:val="21"/>
                <w:lang w:val="sv-SE"/>
              </w:rPr>
              <w:t>/min-300°C (3 min)</w:t>
            </w:r>
          </w:p>
        </w:tc>
      </w:tr>
      <w:tr w:rsidR="00CC1C95" w:rsidRPr="00EC556A">
        <w:trPr>
          <w:trHeight w:val="146"/>
        </w:trPr>
        <w:tc>
          <w:tcPr>
            <w:tcW w:w="2532" w:type="dxa"/>
            <w:gridSpan w:val="2"/>
          </w:tcPr>
          <w:p w:rsidR="00CC1C95" w:rsidRPr="00EC556A" w:rsidRDefault="00CC1C95" w:rsidP="00EE0DB2">
            <w:r w:rsidRPr="00EC556A">
              <w:rPr>
                <w:bCs/>
              </w:rPr>
              <w:t>Inj.</w:t>
            </w:r>
          </w:p>
        </w:tc>
        <w:tc>
          <w:tcPr>
            <w:tcW w:w="6330" w:type="dxa"/>
            <w:gridSpan w:val="4"/>
          </w:tcPr>
          <w:p w:rsidR="00CC1C95" w:rsidRPr="00EC556A" w:rsidRDefault="00CC1C95" w:rsidP="00EE0DB2">
            <w:pPr>
              <w:autoSpaceDE w:val="0"/>
              <w:autoSpaceDN w:val="0"/>
              <w:adjustRightInd w:val="0"/>
              <w:rPr>
                <w:szCs w:val="21"/>
              </w:rPr>
            </w:pPr>
            <w:r w:rsidRPr="00EC556A">
              <w:rPr>
                <w:szCs w:val="21"/>
              </w:rPr>
              <w:t>On Column</w:t>
            </w:r>
          </w:p>
        </w:tc>
      </w:tr>
      <w:tr w:rsidR="00CC1C95" w:rsidRPr="00B600A2">
        <w:trPr>
          <w:trHeight w:val="146"/>
        </w:trPr>
        <w:tc>
          <w:tcPr>
            <w:tcW w:w="2532" w:type="dxa"/>
            <w:gridSpan w:val="2"/>
          </w:tcPr>
          <w:p w:rsidR="00CC1C95" w:rsidRPr="00EC556A" w:rsidRDefault="00CC1C95" w:rsidP="00EE0DB2">
            <w:r w:rsidRPr="00EC556A">
              <w:rPr>
                <w:bCs/>
              </w:rPr>
              <w:t>Guard col.</w:t>
            </w:r>
          </w:p>
        </w:tc>
        <w:tc>
          <w:tcPr>
            <w:tcW w:w="6330" w:type="dxa"/>
            <w:gridSpan w:val="4"/>
          </w:tcPr>
          <w:p w:rsidR="00CC1C95" w:rsidRPr="00EC556A" w:rsidRDefault="00CC1C95" w:rsidP="00EE0DB2">
            <w:pPr>
              <w:autoSpaceDE w:val="0"/>
              <w:autoSpaceDN w:val="0"/>
              <w:adjustRightInd w:val="0"/>
              <w:rPr>
                <w:szCs w:val="21"/>
              </w:rPr>
            </w:pPr>
            <w:r w:rsidRPr="00EC556A">
              <w:rPr>
                <w:szCs w:val="21"/>
              </w:rPr>
              <w:t>Deactivated capillary 0.5 m × 0.53 mm I.D.</w:t>
            </w:r>
          </w:p>
        </w:tc>
      </w:tr>
      <w:tr w:rsidR="00CC1C95" w:rsidRPr="00E77A35">
        <w:trPr>
          <w:trHeight w:val="146"/>
        </w:trPr>
        <w:tc>
          <w:tcPr>
            <w:tcW w:w="2532" w:type="dxa"/>
            <w:gridSpan w:val="2"/>
          </w:tcPr>
          <w:p w:rsidR="00CC1C95" w:rsidRPr="00EC556A" w:rsidRDefault="00CC1C95" w:rsidP="00EE0DB2">
            <w:r w:rsidRPr="00EC556A">
              <w:rPr>
                <w:bCs/>
              </w:rPr>
              <w:t>Inj. Temp.</w:t>
            </w:r>
          </w:p>
        </w:tc>
        <w:tc>
          <w:tcPr>
            <w:tcW w:w="6330" w:type="dxa"/>
            <w:gridSpan w:val="4"/>
          </w:tcPr>
          <w:p w:rsidR="00CC1C95" w:rsidRPr="001149DF" w:rsidRDefault="00CC1C95" w:rsidP="00EE0DB2">
            <w:pPr>
              <w:autoSpaceDE w:val="0"/>
              <w:autoSpaceDN w:val="0"/>
              <w:adjustRightInd w:val="0"/>
              <w:rPr>
                <w:szCs w:val="21"/>
                <w:lang w:val="sv-SE"/>
              </w:rPr>
            </w:pPr>
            <w:r w:rsidRPr="001149DF">
              <w:rPr>
                <w:szCs w:val="21"/>
                <w:lang w:val="sv-SE"/>
              </w:rPr>
              <w:t>120°C (0.1 min)-100°C /min-300°C (15 min)</w:t>
            </w:r>
          </w:p>
        </w:tc>
      </w:tr>
      <w:tr w:rsidR="00CC1C95" w:rsidRPr="00EC556A">
        <w:trPr>
          <w:trHeight w:val="146"/>
        </w:trPr>
        <w:tc>
          <w:tcPr>
            <w:tcW w:w="2532" w:type="dxa"/>
            <w:gridSpan w:val="2"/>
          </w:tcPr>
          <w:p w:rsidR="00CC1C95" w:rsidRPr="00EC556A" w:rsidRDefault="00CC1C95" w:rsidP="00EE0DB2">
            <w:r w:rsidRPr="00EC556A">
              <w:rPr>
                <w:bCs/>
              </w:rPr>
              <w:t>Inj. Volume</w:t>
            </w:r>
          </w:p>
        </w:tc>
        <w:tc>
          <w:tcPr>
            <w:tcW w:w="6330" w:type="dxa"/>
            <w:gridSpan w:val="4"/>
          </w:tcPr>
          <w:p w:rsidR="00CC1C95" w:rsidRPr="00EC556A" w:rsidRDefault="00CC1C95" w:rsidP="00EE0DB2">
            <w:pPr>
              <w:autoSpaceDE w:val="0"/>
              <w:autoSpaceDN w:val="0"/>
              <w:adjustRightInd w:val="0"/>
              <w:rPr>
                <w:szCs w:val="21"/>
              </w:rPr>
            </w:pPr>
            <w:r w:rsidRPr="00EC556A">
              <w:rPr>
                <w:szCs w:val="21"/>
              </w:rPr>
              <w:t>2 μL</w:t>
            </w:r>
          </w:p>
        </w:tc>
      </w:tr>
      <w:tr w:rsidR="00CC1C95" w:rsidRPr="00EC556A">
        <w:trPr>
          <w:trHeight w:val="146"/>
        </w:trPr>
        <w:tc>
          <w:tcPr>
            <w:tcW w:w="2532" w:type="dxa"/>
            <w:gridSpan w:val="2"/>
          </w:tcPr>
          <w:p w:rsidR="00CC1C95" w:rsidRPr="00EC556A" w:rsidRDefault="00CC1C95" w:rsidP="00EE0DB2">
            <w:r w:rsidRPr="00EC556A">
              <w:rPr>
                <w:bCs/>
              </w:rPr>
              <w:t>Carrier gas</w:t>
            </w:r>
          </w:p>
        </w:tc>
        <w:tc>
          <w:tcPr>
            <w:tcW w:w="6330" w:type="dxa"/>
            <w:gridSpan w:val="4"/>
          </w:tcPr>
          <w:p w:rsidR="00CC1C95" w:rsidRPr="00EC556A" w:rsidRDefault="00CC1C95" w:rsidP="00EE0DB2">
            <w:pPr>
              <w:autoSpaceDE w:val="0"/>
              <w:autoSpaceDN w:val="0"/>
              <w:adjustRightInd w:val="0"/>
              <w:rPr>
                <w:szCs w:val="21"/>
              </w:rPr>
            </w:pPr>
            <w:r w:rsidRPr="00EC556A">
              <w:rPr>
                <w:szCs w:val="21"/>
              </w:rPr>
              <w:t>He (1.0 mL/min)</w:t>
            </w:r>
          </w:p>
        </w:tc>
      </w:tr>
      <w:tr w:rsidR="00CC1C95" w:rsidRPr="00EC556A">
        <w:trPr>
          <w:trHeight w:val="146"/>
        </w:trPr>
        <w:tc>
          <w:tcPr>
            <w:tcW w:w="2532" w:type="dxa"/>
            <w:gridSpan w:val="2"/>
            <w:vAlign w:val="center"/>
          </w:tcPr>
          <w:p w:rsidR="00CC1C95" w:rsidRPr="00EC556A" w:rsidRDefault="00CC1C95" w:rsidP="00EE0DB2">
            <w:r w:rsidRPr="00EC556A">
              <w:rPr>
                <w:bCs/>
              </w:rPr>
              <w:t>Ionization</w:t>
            </w:r>
          </w:p>
        </w:tc>
        <w:tc>
          <w:tcPr>
            <w:tcW w:w="6330" w:type="dxa"/>
            <w:gridSpan w:val="4"/>
            <w:vAlign w:val="center"/>
          </w:tcPr>
          <w:p w:rsidR="00CC1C95" w:rsidRPr="00EC556A" w:rsidRDefault="00CC1C95" w:rsidP="00EE0DB2">
            <w:pPr>
              <w:autoSpaceDE w:val="0"/>
              <w:autoSpaceDN w:val="0"/>
              <w:adjustRightInd w:val="0"/>
              <w:rPr>
                <w:szCs w:val="21"/>
              </w:rPr>
            </w:pPr>
            <w:r w:rsidRPr="00EC556A">
              <w:rPr>
                <w:szCs w:val="21"/>
              </w:rPr>
              <w:t>EI</w:t>
            </w:r>
          </w:p>
        </w:tc>
      </w:tr>
      <w:tr w:rsidR="00CC1C95" w:rsidRPr="00EC556A">
        <w:trPr>
          <w:trHeight w:val="146"/>
        </w:trPr>
        <w:tc>
          <w:tcPr>
            <w:tcW w:w="2532" w:type="dxa"/>
            <w:gridSpan w:val="2"/>
          </w:tcPr>
          <w:p w:rsidR="00CC1C95" w:rsidRPr="00EC556A" w:rsidRDefault="00CC1C95" w:rsidP="00EE0DB2">
            <w:r w:rsidRPr="00EC556A">
              <w:rPr>
                <w:bCs/>
              </w:rPr>
              <w:t>Electron Voltage</w:t>
            </w:r>
          </w:p>
        </w:tc>
        <w:tc>
          <w:tcPr>
            <w:tcW w:w="6330" w:type="dxa"/>
            <w:gridSpan w:val="4"/>
          </w:tcPr>
          <w:p w:rsidR="00CC1C95" w:rsidRPr="00EC556A" w:rsidRDefault="00CC1C95" w:rsidP="00EE0DB2">
            <w:pPr>
              <w:autoSpaceDE w:val="0"/>
              <w:autoSpaceDN w:val="0"/>
              <w:adjustRightInd w:val="0"/>
              <w:rPr>
                <w:szCs w:val="21"/>
              </w:rPr>
            </w:pPr>
            <w:r w:rsidRPr="00EC556A">
              <w:rPr>
                <w:szCs w:val="21"/>
              </w:rPr>
              <w:t>30</w:t>
            </w:r>
            <w:r w:rsidRPr="00EC556A">
              <w:rPr>
                <w:rFonts w:hint="eastAsia"/>
                <w:szCs w:val="21"/>
              </w:rPr>
              <w:t>～</w:t>
            </w:r>
            <w:r w:rsidRPr="00EC556A">
              <w:rPr>
                <w:szCs w:val="21"/>
              </w:rPr>
              <w:t>40eV</w:t>
            </w:r>
          </w:p>
        </w:tc>
      </w:tr>
      <w:tr w:rsidR="00CC1C95" w:rsidRPr="00EC556A">
        <w:trPr>
          <w:trHeight w:val="146"/>
        </w:trPr>
        <w:tc>
          <w:tcPr>
            <w:tcW w:w="2532" w:type="dxa"/>
            <w:gridSpan w:val="2"/>
          </w:tcPr>
          <w:p w:rsidR="00CC1C95" w:rsidRPr="00EC556A" w:rsidRDefault="00CC1C95" w:rsidP="00EE0DB2">
            <w:r w:rsidRPr="00EC556A">
              <w:rPr>
                <w:bCs/>
              </w:rPr>
              <w:t>Trap Current</w:t>
            </w:r>
          </w:p>
        </w:tc>
        <w:tc>
          <w:tcPr>
            <w:tcW w:w="6330" w:type="dxa"/>
            <w:gridSpan w:val="4"/>
          </w:tcPr>
          <w:p w:rsidR="00CC1C95" w:rsidRPr="00EC556A" w:rsidRDefault="00CC1C95" w:rsidP="00EE0DB2">
            <w:pPr>
              <w:autoSpaceDE w:val="0"/>
              <w:autoSpaceDN w:val="0"/>
              <w:adjustRightInd w:val="0"/>
              <w:rPr>
                <w:szCs w:val="21"/>
              </w:rPr>
            </w:pPr>
            <w:r w:rsidRPr="00EC556A">
              <w:rPr>
                <w:szCs w:val="21"/>
              </w:rPr>
              <w:t>500 μA</w:t>
            </w:r>
          </w:p>
        </w:tc>
      </w:tr>
      <w:tr w:rsidR="00CC1C95" w:rsidRPr="00EC556A">
        <w:trPr>
          <w:trHeight w:val="146"/>
        </w:trPr>
        <w:tc>
          <w:tcPr>
            <w:tcW w:w="2532" w:type="dxa"/>
            <w:gridSpan w:val="2"/>
            <w:vAlign w:val="center"/>
          </w:tcPr>
          <w:p w:rsidR="00CC1C95" w:rsidRPr="00EC556A" w:rsidRDefault="00CC1C95" w:rsidP="00EE0DB2">
            <w:r w:rsidRPr="00EC556A">
              <w:rPr>
                <w:bCs/>
              </w:rPr>
              <w:t>Accelerated Voltage</w:t>
            </w:r>
          </w:p>
        </w:tc>
        <w:tc>
          <w:tcPr>
            <w:tcW w:w="6330" w:type="dxa"/>
            <w:gridSpan w:val="4"/>
            <w:vAlign w:val="center"/>
          </w:tcPr>
          <w:p w:rsidR="00CC1C95" w:rsidRPr="00EC556A" w:rsidRDefault="00CC1C95" w:rsidP="00EE0DB2">
            <w:pPr>
              <w:autoSpaceDE w:val="0"/>
              <w:autoSpaceDN w:val="0"/>
              <w:adjustRightInd w:val="0"/>
              <w:rPr>
                <w:szCs w:val="21"/>
              </w:rPr>
            </w:pPr>
            <w:r w:rsidRPr="00EC556A">
              <w:rPr>
                <w:szCs w:val="21"/>
              </w:rPr>
              <w:t>8 kV</w:t>
            </w:r>
          </w:p>
        </w:tc>
      </w:tr>
      <w:tr w:rsidR="00CC1C95" w:rsidRPr="00EC556A">
        <w:trPr>
          <w:trHeight w:val="146"/>
        </w:trPr>
        <w:tc>
          <w:tcPr>
            <w:tcW w:w="2532" w:type="dxa"/>
            <w:gridSpan w:val="2"/>
          </w:tcPr>
          <w:p w:rsidR="00CC1C95" w:rsidRPr="00EC556A" w:rsidRDefault="00CC1C95" w:rsidP="00EE0DB2">
            <w:r w:rsidRPr="00EC556A">
              <w:rPr>
                <w:bCs/>
              </w:rPr>
              <w:t>Interface temp.</w:t>
            </w:r>
          </w:p>
        </w:tc>
        <w:tc>
          <w:tcPr>
            <w:tcW w:w="6330" w:type="dxa"/>
            <w:gridSpan w:val="4"/>
          </w:tcPr>
          <w:p w:rsidR="00CC1C95" w:rsidRPr="00EC556A" w:rsidRDefault="00CC1C95" w:rsidP="00EE0DB2">
            <w:pPr>
              <w:autoSpaceDE w:val="0"/>
              <w:autoSpaceDN w:val="0"/>
              <w:adjustRightInd w:val="0"/>
              <w:rPr>
                <w:szCs w:val="21"/>
              </w:rPr>
            </w:pPr>
            <w:r w:rsidRPr="00EC556A">
              <w:rPr>
                <w:szCs w:val="21"/>
              </w:rPr>
              <w:t>300°C</w:t>
            </w:r>
          </w:p>
        </w:tc>
      </w:tr>
      <w:tr w:rsidR="00CC1C95" w:rsidRPr="00EC556A">
        <w:trPr>
          <w:trHeight w:val="146"/>
        </w:trPr>
        <w:tc>
          <w:tcPr>
            <w:tcW w:w="2532" w:type="dxa"/>
            <w:gridSpan w:val="2"/>
          </w:tcPr>
          <w:p w:rsidR="00CC1C95" w:rsidRPr="00EC556A" w:rsidRDefault="00CC1C95" w:rsidP="00EE0DB2">
            <w:r w:rsidRPr="00EC556A">
              <w:rPr>
                <w:bCs/>
              </w:rPr>
              <w:t>Ion souece temp.</w:t>
            </w:r>
          </w:p>
        </w:tc>
        <w:tc>
          <w:tcPr>
            <w:tcW w:w="6330" w:type="dxa"/>
            <w:gridSpan w:val="4"/>
          </w:tcPr>
          <w:p w:rsidR="00CC1C95" w:rsidRPr="00EC556A" w:rsidRDefault="00CC1C95" w:rsidP="00EE0DB2">
            <w:pPr>
              <w:autoSpaceDE w:val="0"/>
              <w:autoSpaceDN w:val="0"/>
              <w:adjustRightInd w:val="0"/>
              <w:rPr>
                <w:szCs w:val="21"/>
              </w:rPr>
            </w:pPr>
            <w:r w:rsidRPr="00EC556A">
              <w:rPr>
                <w:szCs w:val="21"/>
              </w:rPr>
              <w:t>300°C</w:t>
            </w:r>
          </w:p>
        </w:tc>
      </w:tr>
      <w:tr w:rsidR="00CC1C95" w:rsidRPr="00EC556A">
        <w:trPr>
          <w:trHeight w:val="146"/>
        </w:trPr>
        <w:tc>
          <w:tcPr>
            <w:tcW w:w="2532" w:type="dxa"/>
            <w:gridSpan w:val="2"/>
            <w:vAlign w:val="center"/>
          </w:tcPr>
          <w:p w:rsidR="00CC1C95" w:rsidRPr="00EC556A" w:rsidRDefault="00CC1C95" w:rsidP="00EE0DB2">
            <w:r w:rsidRPr="00EC556A">
              <w:rPr>
                <w:bCs/>
              </w:rPr>
              <w:t>Detection</w:t>
            </w:r>
          </w:p>
        </w:tc>
        <w:tc>
          <w:tcPr>
            <w:tcW w:w="6330" w:type="dxa"/>
            <w:gridSpan w:val="4"/>
            <w:vAlign w:val="center"/>
          </w:tcPr>
          <w:p w:rsidR="00CC1C95" w:rsidRPr="00EC556A" w:rsidRDefault="002F2D66" w:rsidP="00EE0DB2">
            <w:pPr>
              <w:autoSpaceDE w:val="0"/>
              <w:autoSpaceDN w:val="0"/>
              <w:adjustRightInd w:val="0"/>
              <w:rPr>
                <w:szCs w:val="21"/>
              </w:rPr>
            </w:pPr>
            <w:r>
              <w:rPr>
                <w:szCs w:val="21"/>
              </w:rPr>
              <w:t xml:space="preserve">SRM (e.g. </w:t>
            </w:r>
            <w:r w:rsidR="00CC1C95" w:rsidRPr="00EC556A">
              <w:rPr>
                <w:szCs w:val="21"/>
              </w:rPr>
              <w:t>SIM</w:t>
            </w:r>
            <w:r>
              <w:rPr>
                <w:szCs w:val="21"/>
              </w:rPr>
              <w:t>)</w:t>
            </w:r>
          </w:p>
        </w:tc>
      </w:tr>
      <w:tr w:rsidR="00CC1C95" w:rsidRPr="00EC556A">
        <w:trPr>
          <w:trHeight w:val="146"/>
        </w:trPr>
        <w:tc>
          <w:tcPr>
            <w:tcW w:w="2532" w:type="dxa"/>
            <w:gridSpan w:val="2"/>
            <w:tcBorders>
              <w:bottom w:val="single" w:sz="4" w:space="0" w:color="auto"/>
            </w:tcBorders>
          </w:tcPr>
          <w:p w:rsidR="00CC1C95" w:rsidRPr="00EC556A" w:rsidRDefault="00CC1C95" w:rsidP="00EE0DB2">
            <w:r w:rsidRPr="00EC556A">
              <w:rPr>
                <w:bCs/>
              </w:rPr>
              <w:t>Resolution</w:t>
            </w:r>
          </w:p>
        </w:tc>
        <w:tc>
          <w:tcPr>
            <w:tcW w:w="6330" w:type="dxa"/>
            <w:gridSpan w:val="4"/>
            <w:tcBorders>
              <w:bottom w:val="single" w:sz="4" w:space="0" w:color="auto"/>
            </w:tcBorders>
          </w:tcPr>
          <w:p w:rsidR="00CC1C95" w:rsidRPr="00EC556A" w:rsidRDefault="00CC1C95" w:rsidP="00EE0DB2">
            <w:pPr>
              <w:autoSpaceDE w:val="0"/>
              <w:autoSpaceDN w:val="0"/>
              <w:adjustRightInd w:val="0"/>
              <w:rPr>
                <w:szCs w:val="21"/>
              </w:rPr>
            </w:pPr>
            <w:r w:rsidRPr="00EC556A">
              <w:rPr>
                <w:szCs w:val="21"/>
              </w:rPr>
              <w:t>M/ΔM &gt; 10,000 (10% Valley)</w:t>
            </w:r>
          </w:p>
        </w:tc>
      </w:tr>
      <w:tr w:rsidR="002F2D66" w:rsidRPr="00EC556A">
        <w:trPr>
          <w:cantSplit/>
          <w:trHeight w:val="146"/>
        </w:trPr>
        <w:tc>
          <w:tcPr>
            <w:tcW w:w="8862" w:type="dxa"/>
            <w:gridSpan w:val="6"/>
            <w:tcBorders>
              <w:top w:val="single" w:sz="4" w:space="0" w:color="auto"/>
            </w:tcBorders>
          </w:tcPr>
          <w:p w:rsidR="002F2D66" w:rsidRPr="00617C6A" w:rsidRDefault="002F2D66" w:rsidP="002F2D66">
            <w:pPr>
              <w:pStyle w:val="Heading3"/>
              <w:numPr>
                <w:ilvl w:val="0"/>
                <w:numId w:val="0"/>
              </w:numPr>
              <w:snapToGrid/>
              <w:spacing w:before="240" w:after="60" w:line="276" w:lineRule="auto"/>
              <w:jc w:val="both"/>
              <w:rPr>
                <w:rFonts w:ascii="Lucida Sans" w:eastAsia="MS Gothic" w:hAnsi="Lucida Sans"/>
                <w:b w:val="0"/>
                <w:bCs w:val="0"/>
                <w:color w:val="4F81BD"/>
                <w:kern w:val="32"/>
                <w:sz w:val="24"/>
                <w:szCs w:val="21"/>
              </w:rPr>
            </w:pPr>
            <w:bookmarkStart w:id="553" w:name="_Toc349335831"/>
            <w:r w:rsidRPr="00617C6A">
              <w:rPr>
                <w:rFonts w:ascii="Calibri" w:eastAsia="MS Mincho" w:hAnsi="Calibri"/>
                <w:b w:val="0"/>
                <w:bCs w:val="0"/>
                <w:sz w:val="22"/>
                <w:szCs w:val="24"/>
              </w:rPr>
              <w:t>Table A2-4a?: Masses of detected ions (</w:t>
            </w:r>
            <w:r w:rsidRPr="00617C6A">
              <w:rPr>
                <w:rFonts w:ascii="Calibri" w:eastAsia="MS Mincho" w:hAnsi="Calibri"/>
                <w:b w:val="0"/>
                <w:bCs w:val="0"/>
                <w:i/>
                <w:sz w:val="22"/>
                <w:szCs w:val="24"/>
              </w:rPr>
              <w:t>m/z</w:t>
            </w:r>
            <w:r w:rsidRPr="00617C6A">
              <w:rPr>
                <w:rFonts w:ascii="Calibri" w:eastAsia="MS Mincho" w:hAnsi="Calibri"/>
                <w:b w:val="0"/>
                <w:bCs w:val="0"/>
                <w:sz w:val="22"/>
                <w:szCs w:val="24"/>
              </w:rPr>
              <w:t>’s) for PeCBz</w:t>
            </w:r>
            <w:r w:rsidR="00591585" w:rsidRPr="00617C6A">
              <w:rPr>
                <w:rFonts w:ascii="Calibri" w:eastAsia="MS Mincho" w:hAnsi="Calibri"/>
                <w:b w:val="0"/>
                <w:bCs w:val="0"/>
                <w:sz w:val="22"/>
                <w:szCs w:val="24"/>
              </w:rPr>
              <w:t xml:space="preserve"> and</w:t>
            </w:r>
            <w:r w:rsidRPr="00617C6A">
              <w:rPr>
                <w:rFonts w:ascii="Calibri" w:eastAsia="MS Mincho" w:hAnsi="Calibri"/>
                <w:b w:val="0"/>
                <w:bCs w:val="0"/>
                <w:sz w:val="22"/>
                <w:szCs w:val="24"/>
              </w:rPr>
              <w:t xml:space="preserve"> </w:t>
            </w:r>
            <w:r w:rsidR="00591585" w:rsidRPr="00617C6A">
              <w:rPr>
                <w:rFonts w:ascii="Calibri" w:eastAsia="MS Mincho" w:hAnsi="Calibri"/>
                <w:b w:val="0"/>
                <w:bCs w:val="0"/>
                <w:sz w:val="22"/>
                <w:szCs w:val="24"/>
                <w:vertAlign w:val="superscript"/>
              </w:rPr>
              <w:t>13</w:t>
            </w:r>
            <w:r w:rsidR="00591585" w:rsidRPr="00617C6A">
              <w:rPr>
                <w:rFonts w:ascii="Calibri" w:eastAsia="MS Mincho" w:hAnsi="Calibri"/>
                <w:b w:val="0"/>
                <w:bCs w:val="0"/>
                <w:sz w:val="22"/>
                <w:szCs w:val="24"/>
              </w:rPr>
              <w:t>C</w:t>
            </w:r>
            <w:r w:rsidR="00591585" w:rsidRPr="00617C6A">
              <w:rPr>
                <w:rFonts w:ascii="Calibri" w:eastAsia="MS Mincho" w:hAnsi="Calibri"/>
                <w:b w:val="0"/>
                <w:bCs w:val="0"/>
                <w:sz w:val="22"/>
                <w:szCs w:val="24"/>
                <w:vertAlign w:val="subscript"/>
              </w:rPr>
              <w:t>6</w:t>
            </w:r>
            <w:r w:rsidR="00591585" w:rsidRPr="00617C6A">
              <w:rPr>
                <w:rFonts w:ascii="Calibri" w:eastAsia="MS Mincho" w:hAnsi="Calibri"/>
                <w:b w:val="0"/>
                <w:bCs w:val="0"/>
                <w:sz w:val="22"/>
                <w:szCs w:val="24"/>
              </w:rPr>
              <w:t>-PeCBz</w:t>
            </w:r>
            <w:bookmarkEnd w:id="553"/>
            <w:r w:rsidR="00591585" w:rsidRPr="00617C6A">
              <w:rPr>
                <w:rFonts w:ascii="Calibri" w:eastAsia="MS Mincho" w:hAnsi="Calibri"/>
                <w:b w:val="0"/>
                <w:bCs w:val="0"/>
                <w:sz w:val="22"/>
                <w:szCs w:val="24"/>
              </w:rPr>
              <w:t xml:space="preserve"> </w:t>
            </w:r>
          </w:p>
        </w:tc>
      </w:tr>
      <w:tr w:rsidR="00CC1C95" w:rsidRPr="00EC556A">
        <w:trPr>
          <w:cantSplit/>
          <w:trHeight w:val="146"/>
        </w:trPr>
        <w:tc>
          <w:tcPr>
            <w:tcW w:w="1815" w:type="dxa"/>
            <w:tcBorders>
              <w:top w:val="single" w:sz="4" w:space="0" w:color="auto"/>
            </w:tcBorders>
            <w:vAlign w:val="bottom"/>
          </w:tcPr>
          <w:p w:rsidR="00CC1C95" w:rsidRPr="00EC556A" w:rsidRDefault="00CC1C95" w:rsidP="00EE0DB2">
            <w:pPr>
              <w:autoSpaceDE w:val="0"/>
              <w:autoSpaceDN w:val="0"/>
              <w:adjustRightInd w:val="0"/>
              <w:rPr>
                <w:szCs w:val="21"/>
              </w:rPr>
            </w:pPr>
          </w:p>
        </w:tc>
        <w:tc>
          <w:tcPr>
            <w:tcW w:w="3658" w:type="dxa"/>
            <w:gridSpan w:val="2"/>
            <w:tcBorders>
              <w:top w:val="single" w:sz="4" w:space="0" w:color="auto"/>
            </w:tcBorders>
            <w:vAlign w:val="bottom"/>
          </w:tcPr>
          <w:p w:rsidR="00CC1C95" w:rsidRPr="00EC556A" w:rsidRDefault="00CC1C95" w:rsidP="00EE0DB2">
            <w:pPr>
              <w:autoSpaceDE w:val="0"/>
              <w:autoSpaceDN w:val="0"/>
              <w:adjustRightInd w:val="0"/>
              <w:rPr>
                <w:szCs w:val="21"/>
              </w:rPr>
            </w:pPr>
          </w:p>
        </w:tc>
        <w:tc>
          <w:tcPr>
            <w:tcW w:w="1260" w:type="dxa"/>
            <w:tcBorders>
              <w:top w:val="single" w:sz="4" w:space="0" w:color="auto"/>
            </w:tcBorders>
            <w:vAlign w:val="bottom"/>
          </w:tcPr>
          <w:p w:rsidR="00CC1C95" w:rsidRPr="00EC556A" w:rsidRDefault="00CC1C95" w:rsidP="00EE0DB2">
            <w:pPr>
              <w:autoSpaceDE w:val="0"/>
              <w:autoSpaceDN w:val="0"/>
              <w:adjustRightInd w:val="0"/>
              <w:jc w:val="center"/>
              <w:rPr>
                <w:szCs w:val="21"/>
              </w:rPr>
            </w:pPr>
            <w:r w:rsidRPr="00EC556A">
              <w:rPr>
                <w:szCs w:val="21"/>
              </w:rPr>
              <w:t>Quant.</w:t>
            </w:r>
          </w:p>
        </w:tc>
        <w:tc>
          <w:tcPr>
            <w:tcW w:w="1260" w:type="dxa"/>
            <w:tcBorders>
              <w:top w:val="single" w:sz="4" w:space="0" w:color="auto"/>
            </w:tcBorders>
            <w:vAlign w:val="bottom"/>
          </w:tcPr>
          <w:p w:rsidR="00CC1C95" w:rsidRPr="00EC556A" w:rsidRDefault="00CC1C95" w:rsidP="00EE0DB2">
            <w:pPr>
              <w:autoSpaceDE w:val="0"/>
              <w:autoSpaceDN w:val="0"/>
              <w:adjustRightInd w:val="0"/>
              <w:jc w:val="center"/>
              <w:rPr>
                <w:szCs w:val="21"/>
              </w:rPr>
            </w:pPr>
            <w:r w:rsidRPr="00EC556A">
              <w:rPr>
                <w:szCs w:val="21"/>
              </w:rPr>
              <w:t>Confirm</w:t>
            </w:r>
          </w:p>
        </w:tc>
        <w:tc>
          <w:tcPr>
            <w:tcW w:w="869" w:type="dxa"/>
          </w:tcPr>
          <w:p w:rsidR="00CC1C95" w:rsidRPr="00EC556A" w:rsidRDefault="00CC1C95" w:rsidP="00EE0DB2">
            <w:pPr>
              <w:autoSpaceDE w:val="0"/>
              <w:autoSpaceDN w:val="0"/>
              <w:adjustRightInd w:val="0"/>
              <w:jc w:val="center"/>
              <w:rPr>
                <w:szCs w:val="21"/>
              </w:rPr>
            </w:pPr>
          </w:p>
        </w:tc>
      </w:tr>
      <w:tr w:rsidR="00CC1C95" w:rsidRPr="00EC556A">
        <w:trPr>
          <w:cantSplit/>
          <w:trHeight w:val="146"/>
        </w:trPr>
        <w:tc>
          <w:tcPr>
            <w:tcW w:w="1815" w:type="dxa"/>
            <w:vAlign w:val="bottom"/>
          </w:tcPr>
          <w:p w:rsidR="00CC1C95" w:rsidRPr="00EC556A" w:rsidRDefault="00CC1C95" w:rsidP="00EE0DB2">
            <w:pPr>
              <w:autoSpaceDE w:val="0"/>
              <w:autoSpaceDN w:val="0"/>
              <w:adjustRightInd w:val="0"/>
              <w:rPr>
                <w:szCs w:val="21"/>
              </w:rPr>
            </w:pPr>
          </w:p>
        </w:tc>
        <w:tc>
          <w:tcPr>
            <w:tcW w:w="3658" w:type="dxa"/>
            <w:gridSpan w:val="2"/>
            <w:vAlign w:val="bottom"/>
          </w:tcPr>
          <w:p w:rsidR="00CC1C95" w:rsidRPr="00EC556A" w:rsidRDefault="00CC1C95" w:rsidP="00EE0DB2">
            <w:pPr>
              <w:autoSpaceDE w:val="0"/>
              <w:autoSpaceDN w:val="0"/>
              <w:adjustRightInd w:val="0"/>
              <w:rPr>
                <w:szCs w:val="21"/>
              </w:rPr>
            </w:pPr>
            <w:r w:rsidRPr="00EC556A">
              <w:rPr>
                <w:szCs w:val="21"/>
              </w:rPr>
              <w:t>Pentachlorobenzene</w:t>
            </w:r>
          </w:p>
        </w:tc>
        <w:tc>
          <w:tcPr>
            <w:tcW w:w="1260" w:type="dxa"/>
            <w:vAlign w:val="center"/>
          </w:tcPr>
          <w:p w:rsidR="00CC1C95" w:rsidRPr="00EC556A" w:rsidRDefault="00CC1C95" w:rsidP="00EE0DB2">
            <w:pPr>
              <w:jc w:val="center"/>
              <w:rPr>
                <w:szCs w:val="21"/>
              </w:rPr>
            </w:pPr>
            <w:r w:rsidRPr="00EC556A">
              <w:rPr>
                <w:szCs w:val="21"/>
              </w:rPr>
              <w:t>249.8492</w:t>
            </w:r>
          </w:p>
        </w:tc>
        <w:tc>
          <w:tcPr>
            <w:tcW w:w="1260" w:type="dxa"/>
            <w:vAlign w:val="center"/>
          </w:tcPr>
          <w:p w:rsidR="00CC1C95" w:rsidRPr="00EC556A" w:rsidRDefault="00CC1C95" w:rsidP="00EE0DB2">
            <w:pPr>
              <w:jc w:val="center"/>
              <w:rPr>
                <w:szCs w:val="21"/>
              </w:rPr>
            </w:pPr>
            <w:r w:rsidRPr="00EC556A">
              <w:rPr>
                <w:szCs w:val="21"/>
              </w:rPr>
              <w:t>251.8462</w:t>
            </w:r>
          </w:p>
        </w:tc>
        <w:tc>
          <w:tcPr>
            <w:tcW w:w="869" w:type="dxa"/>
          </w:tcPr>
          <w:p w:rsidR="00CC1C95" w:rsidRPr="00EC556A" w:rsidRDefault="00CC1C95" w:rsidP="00EE0DB2">
            <w:pPr>
              <w:autoSpaceDE w:val="0"/>
              <w:autoSpaceDN w:val="0"/>
              <w:adjustRightInd w:val="0"/>
              <w:jc w:val="center"/>
              <w:rPr>
                <w:szCs w:val="21"/>
              </w:rPr>
            </w:pPr>
          </w:p>
        </w:tc>
      </w:tr>
      <w:tr w:rsidR="00CC1C95" w:rsidRPr="00EC556A">
        <w:trPr>
          <w:cantSplit/>
          <w:trHeight w:val="146"/>
        </w:trPr>
        <w:tc>
          <w:tcPr>
            <w:tcW w:w="1815" w:type="dxa"/>
            <w:vAlign w:val="bottom"/>
          </w:tcPr>
          <w:p w:rsidR="00CC1C95" w:rsidRPr="00EC556A" w:rsidRDefault="00CC1C95" w:rsidP="00EE0DB2">
            <w:pPr>
              <w:autoSpaceDE w:val="0"/>
              <w:autoSpaceDN w:val="0"/>
              <w:adjustRightInd w:val="0"/>
              <w:rPr>
                <w:szCs w:val="21"/>
              </w:rPr>
            </w:pPr>
          </w:p>
        </w:tc>
        <w:tc>
          <w:tcPr>
            <w:tcW w:w="3658" w:type="dxa"/>
            <w:gridSpan w:val="2"/>
            <w:vAlign w:val="bottom"/>
          </w:tcPr>
          <w:p w:rsidR="00CC1C95" w:rsidRPr="00EC556A" w:rsidRDefault="00CC1C95" w:rsidP="00EE0DB2">
            <w:pPr>
              <w:autoSpaceDE w:val="0"/>
              <w:autoSpaceDN w:val="0"/>
              <w:adjustRightInd w:val="0"/>
              <w:rPr>
                <w:szCs w:val="21"/>
              </w:rPr>
            </w:pPr>
            <w:r w:rsidRPr="00EC556A">
              <w:rPr>
                <w:szCs w:val="21"/>
                <w:vertAlign w:val="superscript"/>
              </w:rPr>
              <w:t>13</w:t>
            </w:r>
            <w:r w:rsidRPr="00EC556A">
              <w:rPr>
                <w:szCs w:val="21"/>
              </w:rPr>
              <w:t>C</w:t>
            </w:r>
            <w:r w:rsidRPr="00EC556A">
              <w:rPr>
                <w:szCs w:val="21"/>
                <w:vertAlign w:val="subscript"/>
              </w:rPr>
              <w:t>6</w:t>
            </w:r>
            <w:r w:rsidRPr="00EC556A">
              <w:rPr>
                <w:szCs w:val="21"/>
              </w:rPr>
              <w:t>-Pentachlorobenzene</w:t>
            </w:r>
          </w:p>
        </w:tc>
        <w:tc>
          <w:tcPr>
            <w:tcW w:w="1260" w:type="dxa"/>
            <w:vAlign w:val="center"/>
          </w:tcPr>
          <w:p w:rsidR="00CC1C95" w:rsidRPr="00EC556A" w:rsidRDefault="00CC1C95" w:rsidP="00EE0DB2">
            <w:pPr>
              <w:jc w:val="center"/>
              <w:rPr>
                <w:szCs w:val="21"/>
              </w:rPr>
            </w:pPr>
            <w:r w:rsidRPr="00EC556A">
              <w:rPr>
                <w:szCs w:val="21"/>
              </w:rPr>
              <w:t>255.8693</w:t>
            </w:r>
          </w:p>
        </w:tc>
        <w:tc>
          <w:tcPr>
            <w:tcW w:w="1260" w:type="dxa"/>
            <w:vAlign w:val="center"/>
          </w:tcPr>
          <w:p w:rsidR="00CC1C95" w:rsidRPr="00EC556A" w:rsidRDefault="00CC1C95" w:rsidP="00EE0DB2">
            <w:pPr>
              <w:jc w:val="center"/>
              <w:rPr>
                <w:szCs w:val="21"/>
              </w:rPr>
            </w:pPr>
            <w:r w:rsidRPr="00EC556A">
              <w:rPr>
                <w:szCs w:val="21"/>
              </w:rPr>
              <w:t>257.8663</w:t>
            </w:r>
          </w:p>
        </w:tc>
        <w:tc>
          <w:tcPr>
            <w:tcW w:w="869" w:type="dxa"/>
          </w:tcPr>
          <w:p w:rsidR="00CC1C95" w:rsidRPr="00EC556A" w:rsidRDefault="00CC1C95" w:rsidP="00EE0DB2">
            <w:pPr>
              <w:autoSpaceDE w:val="0"/>
              <w:autoSpaceDN w:val="0"/>
              <w:adjustRightInd w:val="0"/>
              <w:jc w:val="center"/>
              <w:rPr>
                <w:szCs w:val="21"/>
              </w:rPr>
            </w:pPr>
          </w:p>
        </w:tc>
      </w:tr>
      <w:tr w:rsidR="00CC1C95" w:rsidRPr="00EC556A">
        <w:trPr>
          <w:cantSplit/>
          <w:trHeight w:val="146"/>
        </w:trPr>
        <w:tc>
          <w:tcPr>
            <w:tcW w:w="1815" w:type="dxa"/>
            <w:tcBorders>
              <w:bottom w:val="dashSmallGap" w:sz="4" w:space="0" w:color="auto"/>
            </w:tcBorders>
            <w:vAlign w:val="bottom"/>
          </w:tcPr>
          <w:p w:rsidR="00CC1C95" w:rsidRPr="00EC556A" w:rsidRDefault="00CC1C95" w:rsidP="00EE0DB2">
            <w:pPr>
              <w:autoSpaceDE w:val="0"/>
              <w:autoSpaceDN w:val="0"/>
              <w:adjustRightInd w:val="0"/>
              <w:rPr>
                <w:szCs w:val="21"/>
              </w:rPr>
            </w:pPr>
          </w:p>
        </w:tc>
        <w:tc>
          <w:tcPr>
            <w:tcW w:w="3658" w:type="dxa"/>
            <w:gridSpan w:val="2"/>
            <w:tcBorders>
              <w:bottom w:val="dashSmallGap" w:sz="4" w:space="0" w:color="auto"/>
            </w:tcBorders>
            <w:vAlign w:val="bottom"/>
          </w:tcPr>
          <w:p w:rsidR="00CC1C95" w:rsidRPr="00EC556A" w:rsidRDefault="00CC1C95" w:rsidP="00EE0DB2">
            <w:pPr>
              <w:autoSpaceDE w:val="0"/>
              <w:autoSpaceDN w:val="0"/>
              <w:adjustRightInd w:val="0"/>
              <w:rPr>
                <w:szCs w:val="21"/>
              </w:rPr>
            </w:pPr>
            <w:r w:rsidRPr="00EC556A">
              <w:rPr>
                <w:szCs w:val="21"/>
                <w:vertAlign w:val="superscript"/>
              </w:rPr>
              <w:t>13</w:t>
            </w:r>
            <w:r w:rsidRPr="00EC556A">
              <w:rPr>
                <w:szCs w:val="21"/>
              </w:rPr>
              <w:t>C</w:t>
            </w:r>
            <w:r w:rsidRPr="00EC556A">
              <w:rPr>
                <w:szCs w:val="21"/>
                <w:vertAlign w:val="subscript"/>
              </w:rPr>
              <w:t>12</w:t>
            </w:r>
            <w:r w:rsidRPr="00EC556A">
              <w:rPr>
                <w:szCs w:val="21"/>
              </w:rPr>
              <w:t>-4,4’-dichlorobiphenyl</w:t>
            </w:r>
          </w:p>
        </w:tc>
        <w:tc>
          <w:tcPr>
            <w:tcW w:w="1260" w:type="dxa"/>
            <w:tcBorders>
              <w:bottom w:val="dashSmallGap" w:sz="4" w:space="0" w:color="auto"/>
            </w:tcBorders>
            <w:vAlign w:val="center"/>
          </w:tcPr>
          <w:p w:rsidR="00CC1C95" w:rsidRPr="00EC556A" w:rsidRDefault="00CC1C95" w:rsidP="00EE0DB2">
            <w:pPr>
              <w:autoSpaceDE w:val="0"/>
              <w:autoSpaceDN w:val="0"/>
              <w:adjustRightInd w:val="0"/>
              <w:jc w:val="center"/>
              <w:rPr>
                <w:szCs w:val="21"/>
              </w:rPr>
            </w:pPr>
            <w:r w:rsidRPr="00EC556A">
              <w:rPr>
                <w:szCs w:val="21"/>
              </w:rPr>
              <w:t>234.0406</w:t>
            </w:r>
          </w:p>
        </w:tc>
        <w:tc>
          <w:tcPr>
            <w:tcW w:w="1260" w:type="dxa"/>
            <w:tcBorders>
              <w:bottom w:val="dashSmallGap" w:sz="4" w:space="0" w:color="auto"/>
            </w:tcBorders>
            <w:vAlign w:val="center"/>
          </w:tcPr>
          <w:p w:rsidR="00CC1C95" w:rsidRPr="00EC556A" w:rsidRDefault="00CC1C95" w:rsidP="00EE0DB2">
            <w:pPr>
              <w:autoSpaceDE w:val="0"/>
              <w:autoSpaceDN w:val="0"/>
              <w:adjustRightInd w:val="0"/>
              <w:jc w:val="center"/>
              <w:rPr>
                <w:szCs w:val="21"/>
              </w:rPr>
            </w:pPr>
            <w:r w:rsidRPr="00EC556A">
              <w:rPr>
                <w:szCs w:val="21"/>
              </w:rPr>
              <w:t>236.0376</w:t>
            </w:r>
          </w:p>
        </w:tc>
        <w:tc>
          <w:tcPr>
            <w:tcW w:w="869" w:type="dxa"/>
          </w:tcPr>
          <w:p w:rsidR="00CC1C95" w:rsidRPr="00EC556A" w:rsidRDefault="00CC1C95" w:rsidP="00EE0DB2">
            <w:pPr>
              <w:autoSpaceDE w:val="0"/>
              <w:autoSpaceDN w:val="0"/>
              <w:adjustRightInd w:val="0"/>
              <w:jc w:val="center"/>
              <w:rPr>
                <w:szCs w:val="21"/>
              </w:rPr>
            </w:pPr>
          </w:p>
        </w:tc>
      </w:tr>
      <w:tr w:rsidR="00CC1C95" w:rsidRPr="00EC556A">
        <w:trPr>
          <w:cantSplit/>
          <w:trHeight w:val="146"/>
        </w:trPr>
        <w:tc>
          <w:tcPr>
            <w:tcW w:w="1815" w:type="dxa"/>
            <w:tcBorders>
              <w:top w:val="dashSmallGap" w:sz="4" w:space="0" w:color="auto"/>
              <w:bottom w:val="single" w:sz="4" w:space="0" w:color="auto"/>
            </w:tcBorders>
          </w:tcPr>
          <w:p w:rsidR="00CC1C95" w:rsidRPr="00EC556A" w:rsidRDefault="00CC1C95" w:rsidP="00EE0DB2">
            <w:pPr>
              <w:autoSpaceDE w:val="0"/>
              <w:autoSpaceDN w:val="0"/>
              <w:adjustRightInd w:val="0"/>
              <w:rPr>
                <w:szCs w:val="21"/>
              </w:rPr>
            </w:pPr>
            <w:r w:rsidRPr="00EC556A">
              <w:rPr>
                <w:szCs w:val="21"/>
              </w:rPr>
              <w:t>Lock mass</w:t>
            </w:r>
          </w:p>
        </w:tc>
        <w:tc>
          <w:tcPr>
            <w:tcW w:w="3658" w:type="dxa"/>
            <w:gridSpan w:val="2"/>
            <w:tcBorders>
              <w:top w:val="dashSmallGap" w:sz="4" w:space="0" w:color="auto"/>
              <w:bottom w:val="single" w:sz="4" w:space="0" w:color="auto"/>
            </w:tcBorders>
            <w:vAlign w:val="bottom"/>
          </w:tcPr>
          <w:p w:rsidR="00CC1C95" w:rsidRPr="00EC556A" w:rsidRDefault="00CC1C95" w:rsidP="00EE0DB2">
            <w:pPr>
              <w:autoSpaceDE w:val="0"/>
              <w:autoSpaceDN w:val="0"/>
              <w:adjustRightInd w:val="0"/>
              <w:rPr>
                <w:szCs w:val="21"/>
              </w:rPr>
            </w:pPr>
          </w:p>
        </w:tc>
        <w:tc>
          <w:tcPr>
            <w:tcW w:w="1260" w:type="dxa"/>
            <w:tcBorders>
              <w:top w:val="dashSmallGap" w:sz="4" w:space="0" w:color="auto"/>
              <w:bottom w:val="single" w:sz="4" w:space="0" w:color="auto"/>
            </w:tcBorders>
            <w:vAlign w:val="bottom"/>
          </w:tcPr>
          <w:p w:rsidR="00CC1C95" w:rsidRPr="00EC556A" w:rsidRDefault="00CC1C95" w:rsidP="00EE0DB2">
            <w:pPr>
              <w:autoSpaceDE w:val="0"/>
              <w:autoSpaceDN w:val="0"/>
              <w:adjustRightInd w:val="0"/>
              <w:jc w:val="center"/>
              <w:rPr>
                <w:szCs w:val="21"/>
              </w:rPr>
            </w:pPr>
            <w:r w:rsidRPr="00EC556A">
              <w:rPr>
                <w:szCs w:val="21"/>
              </w:rPr>
              <w:t>254.9856</w:t>
            </w:r>
          </w:p>
        </w:tc>
        <w:tc>
          <w:tcPr>
            <w:tcW w:w="1260" w:type="dxa"/>
            <w:tcBorders>
              <w:top w:val="dashSmallGap" w:sz="4" w:space="0" w:color="auto"/>
              <w:bottom w:val="single" w:sz="4" w:space="0" w:color="auto"/>
            </w:tcBorders>
            <w:vAlign w:val="bottom"/>
          </w:tcPr>
          <w:p w:rsidR="00CC1C95" w:rsidRPr="00EC556A" w:rsidRDefault="00CC1C95" w:rsidP="00EE0DB2">
            <w:pPr>
              <w:autoSpaceDE w:val="0"/>
              <w:autoSpaceDN w:val="0"/>
              <w:adjustRightInd w:val="0"/>
              <w:jc w:val="center"/>
              <w:rPr>
                <w:szCs w:val="21"/>
              </w:rPr>
            </w:pPr>
          </w:p>
        </w:tc>
        <w:tc>
          <w:tcPr>
            <w:tcW w:w="869" w:type="dxa"/>
          </w:tcPr>
          <w:p w:rsidR="00CC1C95" w:rsidRPr="00EC556A" w:rsidRDefault="00CC1C95" w:rsidP="00EE0DB2">
            <w:pPr>
              <w:autoSpaceDE w:val="0"/>
              <w:autoSpaceDN w:val="0"/>
              <w:adjustRightInd w:val="0"/>
              <w:jc w:val="center"/>
              <w:rPr>
                <w:szCs w:val="21"/>
              </w:rPr>
            </w:pPr>
          </w:p>
        </w:tc>
      </w:tr>
    </w:tbl>
    <w:p w:rsidR="00CC1C95" w:rsidRPr="00EC556A" w:rsidRDefault="00CC1C95" w:rsidP="00EE0DB2">
      <w:pPr>
        <w:rPr>
          <w:rFonts w:eastAsia="SimSun"/>
          <w:lang w:eastAsia="zh-CN"/>
        </w:rPr>
      </w:pPr>
    </w:p>
    <w:p w:rsidR="00CC1C95" w:rsidRPr="00EC556A" w:rsidRDefault="00CC1C95" w:rsidP="00EE0DB2">
      <w:pPr>
        <w:rPr>
          <w:rFonts w:eastAsia="SimSun"/>
          <w:lang w:eastAsia="zh-CN"/>
        </w:rPr>
      </w:pPr>
      <w:r w:rsidRPr="00EC556A">
        <w:rPr>
          <w:rFonts w:eastAsia="SimSun"/>
          <w:lang w:eastAsia="zh-CN"/>
        </w:rPr>
        <w:t xml:space="preserve">Table A2-5:  Ion masses for HCB and PeCBz determination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3071"/>
        <w:gridCol w:w="1750"/>
      </w:tblGrid>
      <w:tr w:rsidR="00CC1C95" w:rsidRPr="00EC556A">
        <w:tc>
          <w:tcPr>
            <w:tcW w:w="3070"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jc w:val="left"/>
              <w:rPr>
                <w:rFonts w:eastAsia="SimSun"/>
                <w:szCs w:val="24"/>
                <w:lang w:eastAsia="zh-CN"/>
              </w:rPr>
            </w:pPr>
          </w:p>
        </w:tc>
        <w:tc>
          <w:tcPr>
            <w:tcW w:w="3071"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jc w:val="left"/>
              <w:rPr>
                <w:rFonts w:eastAsia="SimSun"/>
                <w:szCs w:val="24"/>
                <w:lang w:eastAsia="zh-CN"/>
              </w:rPr>
            </w:pPr>
            <w:r w:rsidRPr="00EC556A">
              <w:rPr>
                <w:rFonts w:eastAsia="SimSun"/>
                <w:szCs w:val="24"/>
                <w:lang w:eastAsia="zh-CN"/>
              </w:rPr>
              <w:t>Q</w:t>
            </w:r>
            <w:r w:rsidR="00F65A6C">
              <w:rPr>
                <w:rFonts w:eastAsia="SimSun"/>
                <w:szCs w:val="24"/>
                <w:lang w:eastAsia="zh-CN"/>
              </w:rPr>
              <w:t>u</w:t>
            </w:r>
            <w:r w:rsidRPr="00EC556A">
              <w:rPr>
                <w:rFonts w:eastAsia="SimSun"/>
                <w:szCs w:val="24"/>
                <w:lang w:eastAsia="zh-CN"/>
              </w:rPr>
              <w:t>antification</w:t>
            </w:r>
          </w:p>
        </w:tc>
        <w:tc>
          <w:tcPr>
            <w:tcW w:w="1750"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jc w:val="left"/>
              <w:rPr>
                <w:rFonts w:eastAsia="SimSun"/>
                <w:szCs w:val="24"/>
                <w:lang w:eastAsia="zh-CN"/>
              </w:rPr>
            </w:pPr>
            <w:r w:rsidRPr="00EC556A">
              <w:rPr>
                <w:rFonts w:eastAsia="SimSun"/>
                <w:szCs w:val="24"/>
                <w:lang w:eastAsia="zh-CN"/>
              </w:rPr>
              <w:t>Confirmation</w:t>
            </w:r>
          </w:p>
        </w:tc>
      </w:tr>
      <w:tr w:rsidR="00CC1C95" w:rsidRPr="00EC556A">
        <w:tc>
          <w:tcPr>
            <w:tcW w:w="3070"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jc w:val="left"/>
              <w:rPr>
                <w:rFonts w:eastAsia="SimSun"/>
                <w:szCs w:val="24"/>
                <w:lang w:eastAsia="zh-CN"/>
              </w:rPr>
            </w:pPr>
            <w:r w:rsidRPr="00EC556A">
              <w:rPr>
                <w:rFonts w:eastAsia="SimSun"/>
                <w:szCs w:val="24"/>
                <w:lang w:eastAsia="zh-CN"/>
              </w:rPr>
              <w:t>PeCB</w:t>
            </w:r>
          </w:p>
        </w:tc>
        <w:tc>
          <w:tcPr>
            <w:tcW w:w="3071"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jc w:val="left"/>
              <w:rPr>
                <w:rFonts w:eastAsia="SimSun"/>
                <w:szCs w:val="24"/>
                <w:lang w:eastAsia="zh-CN"/>
              </w:rPr>
            </w:pPr>
            <w:r w:rsidRPr="00EC556A">
              <w:rPr>
                <w:rFonts w:eastAsia="SimSun"/>
                <w:szCs w:val="24"/>
                <w:lang w:eastAsia="zh-CN"/>
              </w:rPr>
              <w:t>249.8492</w:t>
            </w:r>
          </w:p>
        </w:tc>
        <w:tc>
          <w:tcPr>
            <w:tcW w:w="1750"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jc w:val="left"/>
              <w:rPr>
                <w:rFonts w:eastAsia="SimSun"/>
                <w:szCs w:val="24"/>
                <w:lang w:eastAsia="zh-CN"/>
              </w:rPr>
            </w:pPr>
            <w:r w:rsidRPr="00EC556A">
              <w:rPr>
                <w:rFonts w:eastAsia="SimSun"/>
                <w:szCs w:val="24"/>
                <w:lang w:eastAsia="zh-CN"/>
              </w:rPr>
              <w:t>251.8462</w:t>
            </w:r>
          </w:p>
        </w:tc>
      </w:tr>
      <w:tr w:rsidR="00CC1C95" w:rsidRPr="00EC556A">
        <w:tc>
          <w:tcPr>
            <w:tcW w:w="3070"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jc w:val="left"/>
              <w:rPr>
                <w:rFonts w:eastAsia="SimSun"/>
                <w:szCs w:val="24"/>
                <w:lang w:eastAsia="zh-CN"/>
              </w:rPr>
            </w:pPr>
            <w:r w:rsidRPr="00EC556A">
              <w:rPr>
                <w:rFonts w:eastAsia="SimSun"/>
                <w:szCs w:val="24"/>
                <w:vertAlign w:val="superscript"/>
                <w:lang w:eastAsia="zh-CN"/>
              </w:rPr>
              <w:t>13</w:t>
            </w:r>
            <w:r w:rsidRPr="00EC556A">
              <w:rPr>
                <w:rFonts w:eastAsia="SimSun"/>
                <w:szCs w:val="24"/>
                <w:lang w:eastAsia="zh-CN"/>
              </w:rPr>
              <w:t>C</w:t>
            </w:r>
            <w:r w:rsidRPr="00EC556A">
              <w:rPr>
                <w:rFonts w:eastAsia="SimSun"/>
                <w:sz w:val="16"/>
                <w:szCs w:val="16"/>
                <w:lang w:eastAsia="zh-CN"/>
              </w:rPr>
              <w:t>6</w:t>
            </w:r>
            <w:r w:rsidRPr="00EC556A">
              <w:rPr>
                <w:rFonts w:eastAsia="SimSun"/>
                <w:szCs w:val="24"/>
                <w:lang w:eastAsia="zh-CN"/>
              </w:rPr>
              <w:t>-PeCB</w:t>
            </w:r>
          </w:p>
        </w:tc>
        <w:tc>
          <w:tcPr>
            <w:tcW w:w="3071"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jc w:val="left"/>
              <w:rPr>
                <w:rFonts w:eastAsia="SimSun"/>
                <w:szCs w:val="24"/>
                <w:lang w:eastAsia="zh-CN"/>
              </w:rPr>
            </w:pPr>
            <w:r w:rsidRPr="00EC556A">
              <w:rPr>
                <w:rFonts w:eastAsia="SimSun"/>
                <w:szCs w:val="24"/>
                <w:lang w:eastAsia="zh-CN"/>
              </w:rPr>
              <w:t>255.8693</w:t>
            </w:r>
          </w:p>
        </w:tc>
        <w:tc>
          <w:tcPr>
            <w:tcW w:w="1750"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jc w:val="left"/>
              <w:rPr>
                <w:rFonts w:eastAsia="SimSun"/>
                <w:szCs w:val="24"/>
                <w:lang w:eastAsia="zh-CN"/>
              </w:rPr>
            </w:pPr>
            <w:r w:rsidRPr="00EC556A">
              <w:rPr>
                <w:rFonts w:eastAsia="SimSun"/>
                <w:szCs w:val="24"/>
                <w:lang w:eastAsia="zh-CN"/>
              </w:rPr>
              <w:t>257.8663</w:t>
            </w:r>
          </w:p>
        </w:tc>
      </w:tr>
      <w:tr w:rsidR="00CC1C95" w:rsidRPr="00EC556A">
        <w:tc>
          <w:tcPr>
            <w:tcW w:w="3070"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jc w:val="left"/>
              <w:rPr>
                <w:rFonts w:eastAsia="SimSun"/>
                <w:szCs w:val="24"/>
                <w:lang w:eastAsia="zh-CN"/>
              </w:rPr>
            </w:pPr>
            <w:r w:rsidRPr="00EC556A">
              <w:rPr>
                <w:rFonts w:eastAsia="SimSun"/>
                <w:szCs w:val="24"/>
                <w:lang w:eastAsia="zh-CN"/>
              </w:rPr>
              <w:t>HCB</w:t>
            </w:r>
          </w:p>
        </w:tc>
        <w:tc>
          <w:tcPr>
            <w:tcW w:w="3071"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jc w:val="left"/>
              <w:rPr>
                <w:rFonts w:eastAsia="SimSun"/>
                <w:szCs w:val="24"/>
                <w:lang w:eastAsia="zh-CN"/>
              </w:rPr>
            </w:pPr>
            <w:r w:rsidRPr="00EC556A">
              <w:rPr>
                <w:rFonts w:eastAsia="SimSun"/>
                <w:szCs w:val="24"/>
                <w:lang w:eastAsia="zh-CN"/>
              </w:rPr>
              <w:t xml:space="preserve">283.8102 </w:t>
            </w:r>
          </w:p>
        </w:tc>
        <w:tc>
          <w:tcPr>
            <w:tcW w:w="1750"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jc w:val="left"/>
              <w:rPr>
                <w:rFonts w:eastAsia="SimSun"/>
                <w:szCs w:val="24"/>
                <w:lang w:eastAsia="zh-CN"/>
              </w:rPr>
            </w:pPr>
            <w:r w:rsidRPr="00EC556A">
              <w:rPr>
                <w:rFonts w:eastAsia="SimSun"/>
                <w:szCs w:val="24"/>
                <w:lang w:eastAsia="zh-CN"/>
              </w:rPr>
              <w:t>285.8072</w:t>
            </w:r>
          </w:p>
        </w:tc>
      </w:tr>
      <w:tr w:rsidR="00CC1C95" w:rsidRPr="00EC556A">
        <w:tc>
          <w:tcPr>
            <w:tcW w:w="3070"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jc w:val="left"/>
              <w:rPr>
                <w:rFonts w:eastAsia="SimSun"/>
                <w:szCs w:val="24"/>
                <w:lang w:eastAsia="zh-CN"/>
              </w:rPr>
            </w:pPr>
            <w:r w:rsidRPr="00EC556A">
              <w:rPr>
                <w:rFonts w:eastAsia="SimSun"/>
                <w:szCs w:val="24"/>
                <w:vertAlign w:val="superscript"/>
                <w:lang w:eastAsia="zh-CN"/>
              </w:rPr>
              <w:t>13</w:t>
            </w:r>
            <w:r w:rsidRPr="00EC556A">
              <w:rPr>
                <w:rFonts w:eastAsia="SimSun"/>
                <w:szCs w:val="24"/>
                <w:lang w:eastAsia="zh-CN"/>
              </w:rPr>
              <w:t>C</w:t>
            </w:r>
            <w:r w:rsidRPr="00EC556A">
              <w:rPr>
                <w:rFonts w:eastAsia="SimSun"/>
                <w:sz w:val="16"/>
                <w:szCs w:val="16"/>
                <w:lang w:eastAsia="zh-CN"/>
              </w:rPr>
              <w:t>6</w:t>
            </w:r>
            <w:r w:rsidRPr="00EC556A">
              <w:rPr>
                <w:rFonts w:eastAsia="SimSun"/>
                <w:szCs w:val="24"/>
                <w:lang w:eastAsia="zh-CN"/>
              </w:rPr>
              <w:t xml:space="preserve">-HCB </w:t>
            </w:r>
          </w:p>
        </w:tc>
        <w:tc>
          <w:tcPr>
            <w:tcW w:w="3071"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jc w:val="left"/>
              <w:rPr>
                <w:rFonts w:eastAsia="SimSun"/>
                <w:szCs w:val="24"/>
                <w:lang w:eastAsia="zh-CN"/>
              </w:rPr>
            </w:pPr>
            <w:r w:rsidRPr="00EC556A">
              <w:rPr>
                <w:rFonts w:eastAsia="SimSun"/>
                <w:szCs w:val="24"/>
                <w:lang w:eastAsia="zh-CN"/>
              </w:rPr>
              <w:t>289.8303</w:t>
            </w:r>
          </w:p>
        </w:tc>
        <w:tc>
          <w:tcPr>
            <w:tcW w:w="1750" w:type="dxa"/>
            <w:tcBorders>
              <w:top w:val="single" w:sz="4" w:space="0" w:color="auto"/>
              <w:left w:val="single" w:sz="4" w:space="0" w:color="auto"/>
              <w:bottom w:val="single" w:sz="4" w:space="0" w:color="auto"/>
              <w:right w:val="single" w:sz="4" w:space="0" w:color="auto"/>
            </w:tcBorders>
          </w:tcPr>
          <w:p w:rsidR="00CC1C95" w:rsidRPr="00EC556A" w:rsidRDefault="00CC1C95" w:rsidP="00EE0DB2">
            <w:pPr>
              <w:autoSpaceDE w:val="0"/>
              <w:autoSpaceDN w:val="0"/>
              <w:adjustRightInd w:val="0"/>
              <w:jc w:val="left"/>
              <w:rPr>
                <w:rFonts w:eastAsia="SimSun"/>
                <w:szCs w:val="24"/>
                <w:lang w:eastAsia="zh-CN"/>
              </w:rPr>
            </w:pPr>
            <w:r w:rsidRPr="00EC556A">
              <w:rPr>
                <w:rFonts w:eastAsia="SimSun"/>
                <w:szCs w:val="24"/>
                <w:lang w:eastAsia="zh-CN"/>
              </w:rPr>
              <w:t>291.8273</w:t>
            </w:r>
          </w:p>
        </w:tc>
      </w:tr>
    </w:tbl>
    <w:p w:rsidR="00CC1C95" w:rsidRPr="00EC556A" w:rsidRDefault="00CC1C95" w:rsidP="00EE0DB2"/>
    <w:p w:rsidR="00CC1C95" w:rsidRPr="00EC556A" w:rsidRDefault="00CC1C95" w:rsidP="00A165BC">
      <w:pPr>
        <w:pStyle w:val="Heading3"/>
        <w:numPr>
          <w:ilvl w:val="0"/>
          <w:numId w:val="0"/>
        </w:numPr>
        <w:snapToGrid/>
        <w:spacing w:before="240" w:after="60" w:line="276" w:lineRule="auto"/>
        <w:jc w:val="both"/>
        <w:rPr>
          <w:rFonts w:eastAsia="SimSun"/>
          <w:lang w:eastAsia="zh-CN"/>
        </w:rPr>
      </w:pPr>
      <w:bookmarkStart w:id="554" w:name="_Toc349335832"/>
      <w:r w:rsidRPr="00EC556A">
        <w:rPr>
          <w:rFonts w:eastAsia="SimSun"/>
          <w:lang w:eastAsia="zh-CN"/>
        </w:rPr>
        <w:t>Calibration curve</w:t>
      </w:r>
      <w:bookmarkEnd w:id="554"/>
    </w:p>
    <w:p w:rsidR="00CC1C95" w:rsidRPr="00EC556A" w:rsidRDefault="00CC1C95" w:rsidP="00F32383">
      <w:pPr>
        <w:autoSpaceDE w:val="0"/>
        <w:autoSpaceDN w:val="0"/>
        <w:adjustRightInd w:val="0"/>
        <w:ind w:firstLine="720"/>
        <w:rPr>
          <w:rFonts w:eastAsia="SimSun"/>
          <w:szCs w:val="24"/>
          <w:lang w:eastAsia="zh-CN"/>
        </w:rPr>
      </w:pPr>
      <w:r w:rsidRPr="00EC556A">
        <w:rPr>
          <w:rFonts w:eastAsia="SimSun"/>
          <w:szCs w:val="24"/>
          <w:lang w:eastAsia="zh-CN"/>
        </w:rPr>
        <w:t xml:space="preserve">The concentration of PeCBz and HCB standard solutions prepared with nonane was ranged from 0.5 ng/mL to 1000 ng/mL gradually. The concentration of the internal substance in the standard solution for preparing the calibration curve was all set at 10 ng/mL for </w:t>
      </w:r>
      <w:r w:rsidRPr="00EC556A">
        <w:rPr>
          <w:rFonts w:eastAsia="SimSun"/>
          <w:szCs w:val="24"/>
          <w:vertAlign w:val="superscript"/>
          <w:lang w:eastAsia="zh-CN"/>
        </w:rPr>
        <w:t>13</w:t>
      </w:r>
      <w:r w:rsidRPr="00EC556A">
        <w:rPr>
          <w:rFonts w:eastAsia="SimSun"/>
          <w:szCs w:val="24"/>
          <w:lang w:eastAsia="zh-CN"/>
        </w:rPr>
        <w:t>C</w:t>
      </w:r>
      <w:r w:rsidRPr="00EC556A">
        <w:rPr>
          <w:rFonts w:eastAsia="SimSun"/>
          <w:sz w:val="16"/>
          <w:szCs w:val="16"/>
          <w:lang w:eastAsia="zh-CN"/>
        </w:rPr>
        <w:t>6</w:t>
      </w:r>
      <w:r w:rsidRPr="00EC556A">
        <w:rPr>
          <w:rFonts w:eastAsia="SimSun"/>
          <w:szCs w:val="24"/>
          <w:lang w:eastAsia="zh-CN"/>
        </w:rPr>
        <w:t xml:space="preserve">-HCB and </w:t>
      </w:r>
      <w:r w:rsidRPr="00EC556A">
        <w:rPr>
          <w:rFonts w:eastAsia="SimSun"/>
          <w:szCs w:val="24"/>
          <w:vertAlign w:val="superscript"/>
          <w:lang w:eastAsia="zh-CN"/>
        </w:rPr>
        <w:t>13</w:t>
      </w:r>
      <w:r w:rsidRPr="00EC556A">
        <w:rPr>
          <w:rFonts w:eastAsia="SimSun"/>
          <w:szCs w:val="24"/>
          <w:lang w:eastAsia="zh-CN"/>
        </w:rPr>
        <w:t>C</w:t>
      </w:r>
      <w:r w:rsidRPr="00EC556A">
        <w:rPr>
          <w:rFonts w:eastAsia="SimSun"/>
          <w:sz w:val="16"/>
          <w:szCs w:val="16"/>
          <w:lang w:eastAsia="zh-CN"/>
        </w:rPr>
        <w:t>6</w:t>
      </w:r>
      <w:r w:rsidRPr="00EC556A">
        <w:rPr>
          <w:rFonts w:eastAsia="SimSun"/>
          <w:szCs w:val="24"/>
          <w:lang w:eastAsia="zh-CN"/>
        </w:rPr>
        <w:t xml:space="preserve">-PeCBz and 25 ng/mL for </w:t>
      </w:r>
      <w:r w:rsidRPr="00EC556A">
        <w:rPr>
          <w:rFonts w:eastAsia="SimSun"/>
          <w:szCs w:val="24"/>
          <w:vertAlign w:val="superscript"/>
          <w:lang w:eastAsia="zh-CN"/>
        </w:rPr>
        <w:t>13</w:t>
      </w:r>
      <w:r w:rsidRPr="00EC556A">
        <w:rPr>
          <w:rFonts w:eastAsia="SimSun"/>
          <w:szCs w:val="24"/>
          <w:lang w:eastAsia="zh-CN"/>
        </w:rPr>
        <w:t>C</w:t>
      </w:r>
      <w:r w:rsidRPr="00EC556A">
        <w:rPr>
          <w:rFonts w:eastAsia="SimSun"/>
          <w:sz w:val="16"/>
          <w:szCs w:val="16"/>
          <w:lang w:eastAsia="zh-CN"/>
        </w:rPr>
        <w:t>12</w:t>
      </w:r>
      <w:r w:rsidRPr="00EC556A">
        <w:rPr>
          <w:rFonts w:eastAsia="SimSun"/>
          <w:szCs w:val="24"/>
          <w:lang w:eastAsia="zh-CN"/>
        </w:rPr>
        <w:t>-PCB 70.</w:t>
      </w:r>
    </w:p>
    <w:p w:rsidR="00CC1C95" w:rsidRPr="00EC556A" w:rsidRDefault="00CC1C95" w:rsidP="00EE0DB2">
      <w:pPr>
        <w:autoSpaceDE w:val="0"/>
        <w:autoSpaceDN w:val="0"/>
        <w:adjustRightInd w:val="0"/>
        <w:rPr>
          <w:rFonts w:eastAsia="SimSun"/>
          <w:szCs w:val="24"/>
          <w:lang w:eastAsia="zh-CN"/>
        </w:rPr>
      </w:pPr>
      <w:r w:rsidRPr="00EC556A">
        <w:rPr>
          <w:rFonts w:eastAsia="SimSun"/>
          <w:szCs w:val="24"/>
          <w:lang w:eastAsia="zh-CN"/>
        </w:rPr>
        <w:t xml:space="preserve">1 </w:t>
      </w:r>
      <w:r w:rsidR="002F2D66">
        <w:rPr>
          <w:rFonts w:eastAsia="Times New Roman"/>
          <w:szCs w:val="24"/>
          <w:lang w:eastAsia="zh-CN"/>
        </w:rPr>
        <w:t>µ</w:t>
      </w:r>
      <w:r w:rsidRPr="00EC556A">
        <w:rPr>
          <w:rFonts w:eastAsia="SimSun"/>
          <w:szCs w:val="24"/>
          <w:lang w:eastAsia="zh-CN"/>
        </w:rPr>
        <w:t xml:space="preserve">L of sample solution is injected in the GC/MS operated in the </w:t>
      </w:r>
      <w:r w:rsidR="002F2D66">
        <w:rPr>
          <w:rFonts w:eastAsia="SimSun"/>
          <w:szCs w:val="24"/>
          <w:lang w:eastAsia="zh-CN"/>
        </w:rPr>
        <w:t>SRM (</w:t>
      </w:r>
      <w:r w:rsidRPr="00EC556A">
        <w:rPr>
          <w:rFonts w:eastAsia="SimSun"/>
          <w:szCs w:val="24"/>
          <w:lang w:eastAsia="zh-CN"/>
        </w:rPr>
        <w:t>SIM</w:t>
      </w:r>
      <w:r w:rsidR="002F2D66">
        <w:rPr>
          <w:rFonts w:eastAsia="SimSun"/>
          <w:szCs w:val="24"/>
          <w:lang w:eastAsia="zh-CN"/>
        </w:rPr>
        <w:t>)</w:t>
      </w:r>
      <w:r w:rsidRPr="00EC556A">
        <w:rPr>
          <w:rFonts w:eastAsia="SimSun"/>
          <w:szCs w:val="24"/>
          <w:lang w:eastAsia="zh-CN"/>
        </w:rPr>
        <w:t xml:space="preserve"> mode. If the retention time of the HCB peak on the chromatogram was the same and the peak area ratio of the two monitor ions was equivalent to the area ratio of the isotope, it then was identified as HCB and its quantity was determined.</w:t>
      </w:r>
    </w:p>
    <w:p w:rsidR="00CC1C95" w:rsidRPr="00EC556A" w:rsidRDefault="00CC1C95" w:rsidP="00A165BC">
      <w:pPr>
        <w:pStyle w:val="Heading3"/>
        <w:numPr>
          <w:ilvl w:val="0"/>
          <w:numId w:val="0"/>
        </w:numPr>
        <w:snapToGrid/>
        <w:spacing w:before="240" w:after="60" w:line="276" w:lineRule="auto"/>
        <w:jc w:val="both"/>
        <w:rPr>
          <w:rFonts w:eastAsia="SimSun"/>
          <w:lang w:eastAsia="zh-CN"/>
        </w:rPr>
      </w:pPr>
      <w:bookmarkStart w:id="555" w:name="_Toc349335833"/>
      <w:r w:rsidRPr="00EC556A">
        <w:rPr>
          <w:rFonts w:eastAsia="SimSun"/>
          <w:lang w:eastAsia="zh-CN"/>
        </w:rPr>
        <w:t>Chromatogram PeCBz (DB-17HT 30 m x 0.32 mm I.D. (0.15 μm)</w:t>
      </w:r>
      <w:bookmarkEnd w:id="555"/>
      <w:r w:rsidRPr="00EC556A">
        <w:rPr>
          <w:rFonts w:eastAsia="SimSun"/>
          <w:lang w:eastAsia="zh-CN"/>
        </w:rPr>
        <w:t xml:space="preserve"> </w:t>
      </w:r>
    </w:p>
    <w:p w:rsidR="00CC1C95" w:rsidRPr="00EC556A" w:rsidRDefault="00CC1C95" w:rsidP="00EE0DB2">
      <w:pPr>
        <w:pStyle w:val="Heading3"/>
        <w:numPr>
          <w:ilvl w:val="0"/>
          <w:numId w:val="0"/>
        </w:numPr>
      </w:pPr>
      <w:r w:rsidRPr="00EC556A">
        <w:t xml:space="preserve"> </w:t>
      </w:r>
    </w:p>
    <w:p w:rsidR="00CC1C95" w:rsidRPr="00EC556A" w:rsidRDefault="00322F03" w:rsidP="00EE0DB2">
      <w:r w:rsidRPr="00322F03">
        <w:rPr>
          <w:noProof/>
          <w:lang w:val="de-DE" w:eastAsia="zh-CN"/>
        </w:rPr>
        <w:pict>
          <v:shape id="Text Box 103" o:spid="_x0000_s1030" type="#_x0000_t202" style="position:absolute;left:0;text-align:left;margin-left:30pt;margin-top:38.2pt;width:179.35pt;height:43.5pt;z-index:251655680;visibility:visible" filled="f" stroked="f">
            <v:textbox style="mso-next-textbox:#Text Box 103">
              <w:txbxContent>
                <w:p w:rsidR="00C0598F" w:rsidRDefault="00C0598F" w:rsidP="00EE0DB2">
                  <w:pPr>
                    <w:autoSpaceDE w:val="0"/>
                    <w:autoSpaceDN w:val="0"/>
                    <w:adjustRightInd w:val="0"/>
                    <w:jc w:val="center"/>
                    <w:rPr>
                      <w:rFonts w:hAnsi="MS Mincho"/>
                    </w:rPr>
                  </w:pPr>
                  <w:r>
                    <w:rPr>
                      <w:rFonts w:hAnsi="MS Mincho"/>
                    </w:rPr>
                    <w:t>Pentachlorobenzene</w:t>
                  </w:r>
                </w:p>
                <w:p w:rsidR="00C0598F" w:rsidRDefault="00C0598F" w:rsidP="00EE0DB2">
                  <w:pPr>
                    <w:autoSpaceDE w:val="0"/>
                    <w:autoSpaceDN w:val="0"/>
                    <w:adjustRightInd w:val="0"/>
                    <w:jc w:val="center"/>
                    <w:rPr>
                      <w:rFonts w:ascii="‚l‚r –¾’©"/>
                    </w:rPr>
                  </w:pPr>
                  <w:r>
                    <w:rPr>
                      <w:rFonts w:hAnsi="MS Mincho"/>
                    </w:rPr>
                    <w:t>4</w:t>
                  </w:r>
                  <w:r>
                    <w:t xml:space="preserve"> pg</w:t>
                  </w:r>
                </w:p>
              </w:txbxContent>
            </v:textbox>
          </v:shape>
        </w:pict>
      </w:r>
      <w:r w:rsidRPr="00322F03">
        <w:rPr>
          <w:noProof/>
          <w:lang w:val="de-DE" w:eastAsia="zh-CN"/>
        </w:rPr>
        <w:pict>
          <v:shape id="Text Box 104" o:spid="_x0000_s1033" type="#_x0000_t202" style="position:absolute;left:0;text-align:left;margin-left:307.7pt;margin-top:43.75pt;width:109.5pt;height:28.35pt;z-index:251658752;visibility:visible" filled="f" stroked="f">
            <v:textbox style="mso-next-textbox:#Text Box 104" inset="5.85pt,.7pt,5.85pt,.7pt">
              <w:txbxContent>
                <w:p w:rsidR="00C0598F" w:rsidRDefault="00C0598F" w:rsidP="00EE0DB2">
                  <w:pPr>
                    <w:jc w:val="center"/>
                  </w:pPr>
                  <w:r>
                    <w:t>[M]</w:t>
                  </w:r>
                  <w:r>
                    <w:rPr>
                      <w:vertAlign w:val="superscript"/>
                    </w:rPr>
                    <w:t>+</w:t>
                  </w:r>
                </w:p>
              </w:txbxContent>
            </v:textbox>
          </v:shape>
        </w:pict>
      </w:r>
      <w:r w:rsidR="00F05101">
        <w:rPr>
          <w:noProof/>
          <w:lang w:eastAsia="en-GB"/>
        </w:rPr>
        <w:drawing>
          <wp:anchor distT="0" distB="0" distL="114300" distR="114300" simplePos="0" relativeHeight="251653632" behindDoc="0" locked="0" layoutInCell="1" allowOverlap="1">
            <wp:simplePos x="0" y="0"/>
            <wp:positionH relativeFrom="column">
              <wp:posOffset>0</wp:posOffset>
            </wp:positionH>
            <wp:positionV relativeFrom="paragraph">
              <wp:posOffset>373380</wp:posOffset>
            </wp:positionV>
            <wp:extent cx="5734050" cy="4065905"/>
            <wp:effectExtent l="19050" t="0" r="0" b="0"/>
            <wp:wrapTopAndBottom/>
            <wp:docPr id="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9" cstate="print"/>
                    <a:srcRect/>
                    <a:stretch>
                      <a:fillRect/>
                    </a:stretch>
                  </pic:blipFill>
                  <pic:spPr bwMode="auto">
                    <a:xfrm>
                      <a:off x="0" y="0"/>
                      <a:ext cx="5734050" cy="4065905"/>
                    </a:xfrm>
                    <a:prstGeom prst="rect">
                      <a:avLst/>
                    </a:prstGeom>
                    <a:noFill/>
                    <a:ln w="9525">
                      <a:noFill/>
                      <a:miter lim="800000"/>
                      <a:headEnd/>
                      <a:tailEnd/>
                    </a:ln>
                  </pic:spPr>
                </pic:pic>
              </a:graphicData>
            </a:graphic>
          </wp:anchor>
        </w:drawing>
      </w:r>
    </w:p>
    <w:p w:rsidR="00CC1C95" w:rsidRPr="00EC556A" w:rsidRDefault="00322F03" w:rsidP="00EE0DB2">
      <w:pPr>
        <w:jc w:val="center"/>
      </w:pPr>
      <w:r w:rsidRPr="00322F03">
        <w:rPr>
          <w:noProof/>
          <w:lang w:val="de-DE" w:eastAsia="zh-CN"/>
        </w:rPr>
        <w:pict>
          <v:shape id="Text Box 106" o:spid="_x0000_s1031" type="#_x0000_t202" style="position:absolute;left:0;text-align:left;margin-left:363pt;margin-top:-301.25pt;width:109.5pt;height:28.35pt;z-index:251656704;visibility:visible" filled="f" stroked="f">
            <v:textbox style="mso-next-textbox:#Text Box 106" inset="5.85pt,.7pt,5.85pt,.7pt">
              <w:txbxContent>
                <w:p w:rsidR="00C0598F" w:rsidRDefault="00C0598F" w:rsidP="00EE0DB2">
                  <w:pPr>
                    <w:jc w:val="center"/>
                  </w:pPr>
                  <w:r>
                    <w:t>[M+2]</w:t>
                  </w:r>
                  <w:r>
                    <w:rPr>
                      <w:vertAlign w:val="superscript"/>
                    </w:rPr>
                    <w:t>+</w:t>
                  </w:r>
                </w:p>
              </w:txbxContent>
            </v:textbox>
          </v:shape>
        </w:pict>
      </w:r>
      <w:r w:rsidRPr="00322F03">
        <w:rPr>
          <w:noProof/>
          <w:lang w:val="de-DE" w:eastAsia="zh-CN"/>
        </w:rPr>
        <w:pict>
          <v:shape id="Text Box 107" o:spid="_x0000_s1032" type="#_x0000_t202" style="position:absolute;left:0;text-align:left;margin-left:362.25pt;margin-top:-225.65pt;width:109.5pt;height:28.35pt;z-index:251657728;visibility:visible" filled="f" stroked="f">
            <v:textbox style="mso-next-textbox:#Text Box 107" inset="5.85pt,.7pt,5.85pt,.7pt">
              <w:txbxContent>
                <w:p w:rsidR="00C0598F" w:rsidRDefault="00C0598F" w:rsidP="00EE0DB2">
                  <w:pPr>
                    <w:jc w:val="center"/>
                  </w:pPr>
                  <w:r>
                    <w:t>[M]</w:t>
                  </w:r>
                  <w:r>
                    <w:rPr>
                      <w:vertAlign w:val="superscript"/>
                    </w:rPr>
                    <w:t>+</w:t>
                  </w:r>
                </w:p>
              </w:txbxContent>
            </v:textbox>
          </v:shape>
        </w:pict>
      </w:r>
      <w:r w:rsidRPr="00322F03">
        <w:rPr>
          <w:noProof/>
          <w:lang w:val="de-DE" w:eastAsia="zh-CN"/>
        </w:rPr>
        <w:pict>
          <v:shape id="Text Box 108" o:spid="_x0000_s1029" type="#_x0000_t202" style="position:absolute;left:0;text-align:left;margin-left:200.15pt;margin-top:-326.55pt;width:179.35pt;height:43.5pt;z-index:251654656;visibility:visible" filled="f" stroked="f">
            <v:textbox style="mso-next-textbox:#Text Box 108">
              <w:txbxContent>
                <w:p w:rsidR="00C0598F" w:rsidRDefault="00C0598F" w:rsidP="00EE0DB2">
                  <w:pPr>
                    <w:autoSpaceDE w:val="0"/>
                    <w:autoSpaceDN w:val="0"/>
                    <w:adjustRightInd w:val="0"/>
                    <w:jc w:val="center"/>
                    <w:rPr>
                      <w:rFonts w:hAnsi="MS Mincho"/>
                    </w:rPr>
                  </w:pPr>
                  <w:r>
                    <w:rPr>
                      <w:rFonts w:hAnsi="MS Mincho"/>
                      <w:vertAlign w:val="superscript"/>
                    </w:rPr>
                    <w:t>13</w:t>
                  </w:r>
                  <w:r>
                    <w:rPr>
                      <w:rFonts w:hAnsi="MS Mincho"/>
                      <w:iCs/>
                    </w:rPr>
                    <w:t>C</w:t>
                  </w:r>
                  <w:r>
                    <w:rPr>
                      <w:rFonts w:hAnsi="MS Mincho"/>
                      <w:vertAlign w:val="subscript"/>
                    </w:rPr>
                    <w:t>6</w:t>
                  </w:r>
                  <w:r>
                    <w:rPr>
                      <w:rFonts w:hAnsi="MS Mincho"/>
                    </w:rPr>
                    <w:t>-Pentachlorobenzene</w:t>
                  </w:r>
                </w:p>
                <w:p w:rsidR="00C0598F" w:rsidRDefault="00C0598F" w:rsidP="00EE0DB2">
                  <w:pPr>
                    <w:autoSpaceDE w:val="0"/>
                    <w:autoSpaceDN w:val="0"/>
                    <w:adjustRightInd w:val="0"/>
                    <w:jc w:val="center"/>
                    <w:rPr>
                      <w:rFonts w:ascii="‚l‚r –¾’©"/>
                    </w:rPr>
                  </w:pPr>
                  <w:r>
                    <w:rPr>
                      <w:rFonts w:hAnsi="MS Mincho"/>
                    </w:rPr>
                    <w:t>8</w:t>
                  </w:r>
                  <w:r>
                    <w:t xml:space="preserve"> pg</w:t>
                  </w:r>
                </w:p>
              </w:txbxContent>
            </v:textbox>
          </v:shape>
        </w:pict>
      </w:r>
      <w:r w:rsidR="00CC1C95" w:rsidRPr="00EC556A">
        <w:rPr>
          <w:noProof/>
        </w:rPr>
        <w:t xml:space="preserve">Pentachlorobenzen </w:t>
      </w:r>
      <w:r w:rsidR="00CC1C95" w:rsidRPr="00EC556A">
        <w:t>SIM Chromatogram</w:t>
      </w:r>
    </w:p>
    <w:p w:rsidR="00CC1C95" w:rsidRPr="00EC556A" w:rsidRDefault="00CC1C95" w:rsidP="00EE0DB2"/>
    <w:p w:rsidR="00CC1C95" w:rsidRPr="00EC556A" w:rsidRDefault="00CC1C95" w:rsidP="00EE0DB2">
      <w:r w:rsidRPr="00EC556A">
        <w:t xml:space="preserve">Figure A2-6: </w:t>
      </w:r>
      <w:r w:rsidRPr="00EC556A">
        <w:rPr>
          <w:rFonts w:eastAsia="MS PMincho"/>
        </w:rPr>
        <w:t>Chromatogram of PeCBz</w:t>
      </w:r>
    </w:p>
    <w:p w:rsidR="00CC1C95" w:rsidRPr="00EC556A" w:rsidRDefault="00CC1C95" w:rsidP="00EE0DB2">
      <w:pPr>
        <w:jc w:val="left"/>
      </w:pPr>
    </w:p>
    <w:p w:rsidR="00CC1C95" w:rsidRPr="00EC556A" w:rsidRDefault="00CC1C95" w:rsidP="00A165BC">
      <w:pPr>
        <w:pStyle w:val="Heading3"/>
        <w:numPr>
          <w:ilvl w:val="0"/>
          <w:numId w:val="0"/>
        </w:numPr>
        <w:snapToGrid/>
        <w:spacing w:before="240" w:after="60" w:line="276" w:lineRule="auto"/>
        <w:jc w:val="both"/>
      </w:pPr>
      <w:r w:rsidRPr="00EC556A">
        <w:br w:type="page"/>
      </w:r>
      <w:bookmarkStart w:id="556" w:name="_Toc349335834"/>
      <w:r w:rsidRPr="00EC556A">
        <w:t>Chromatogram</w:t>
      </w:r>
      <w:r>
        <w:t>s</w:t>
      </w:r>
      <w:r w:rsidRPr="00EC556A">
        <w:t xml:space="preserve"> HCHs, DDT (and degradation products) and other basic pesticide POPs</w:t>
      </w:r>
      <w:bookmarkEnd w:id="556"/>
    </w:p>
    <w:p w:rsidR="00CC1C95" w:rsidRPr="00EC556A" w:rsidRDefault="00CC1C95" w:rsidP="00EE0DB2"/>
    <w:p w:rsidR="00CC1C95" w:rsidRPr="00EC556A" w:rsidRDefault="00F05101" w:rsidP="00EE0DB2">
      <w:r>
        <w:rPr>
          <w:noProof/>
          <w:lang w:eastAsia="en-GB"/>
        </w:rPr>
        <w:drawing>
          <wp:anchor distT="0" distB="0" distL="114300" distR="114300" simplePos="0" relativeHeight="251659776" behindDoc="0" locked="0" layoutInCell="1" allowOverlap="1">
            <wp:simplePos x="0" y="0"/>
            <wp:positionH relativeFrom="column">
              <wp:posOffset>114300</wp:posOffset>
            </wp:positionH>
            <wp:positionV relativeFrom="paragraph">
              <wp:posOffset>-228600</wp:posOffset>
            </wp:positionV>
            <wp:extent cx="5605145" cy="3974465"/>
            <wp:effectExtent l="19050" t="0" r="0" b="0"/>
            <wp:wrapNone/>
            <wp:docPr id="1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0" cstate="print"/>
                    <a:srcRect/>
                    <a:stretch>
                      <a:fillRect/>
                    </a:stretch>
                  </pic:blipFill>
                  <pic:spPr bwMode="auto">
                    <a:xfrm>
                      <a:off x="0" y="0"/>
                      <a:ext cx="5605145" cy="3974465"/>
                    </a:xfrm>
                    <a:prstGeom prst="rect">
                      <a:avLst/>
                    </a:prstGeom>
                    <a:noFill/>
                    <a:ln w="9525">
                      <a:noFill/>
                      <a:miter lim="800000"/>
                      <a:headEnd/>
                      <a:tailEnd/>
                    </a:ln>
                  </pic:spPr>
                </pic:pic>
              </a:graphicData>
            </a:graphic>
          </wp:anchor>
        </w:drawing>
      </w:r>
    </w:p>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F05101" w:rsidP="00EE0DB2">
      <w:r>
        <w:rPr>
          <w:noProof/>
          <w:lang w:eastAsia="en-GB"/>
        </w:rPr>
        <w:drawing>
          <wp:anchor distT="0" distB="0" distL="114300" distR="114300" simplePos="0" relativeHeight="251660800" behindDoc="0" locked="0" layoutInCell="1" allowOverlap="1">
            <wp:simplePos x="0" y="0"/>
            <wp:positionH relativeFrom="column">
              <wp:posOffset>254000</wp:posOffset>
            </wp:positionH>
            <wp:positionV relativeFrom="paragraph">
              <wp:posOffset>67310</wp:posOffset>
            </wp:positionV>
            <wp:extent cx="5349875" cy="3808730"/>
            <wp:effectExtent l="19050" t="0" r="3175" b="0"/>
            <wp:wrapNone/>
            <wp:docPr id="1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1" cstate="print"/>
                    <a:srcRect/>
                    <a:stretch>
                      <a:fillRect/>
                    </a:stretch>
                  </pic:blipFill>
                  <pic:spPr bwMode="auto">
                    <a:xfrm>
                      <a:off x="0" y="0"/>
                      <a:ext cx="5349875" cy="3808730"/>
                    </a:xfrm>
                    <a:prstGeom prst="rect">
                      <a:avLst/>
                    </a:prstGeom>
                    <a:noFill/>
                    <a:ln w="9525">
                      <a:noFill/>
                      <a:miter lim="800000"/>
                      <a:headEnd/>
                      <a:tailEnd/>
                    </a:ln>
                  </pic:spPr>
                </pic:pic>
              </a:graphicData>
            </a:graphic>
          </wp:anchor>
        </w:drawing>
      </w:r>
    </w:p>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EE0DB2"/>
    <w:p w:rsidR="00CC1C95" w:rsidRPr="00EC556A" w:rsidRDefault="00CC1C95" w:rsidP="00A165BC">
      <w:pPr>
        <w:pStyle w:val="Heading2"/>
        <w:numPr>
          <w:ilvl w:val="0"/>
          <w:numId w:val="0"/>
        </w:numPr>
        <w:snapToGrid/>
        <w:spacing w:before="240" w:after="60" w:line="276" w:lineRule="auto"/>
        <w:ind w:left="993"/>
        <w:jc w:val="both"/>
      </w:pPr>
      <w:bookmarkStart w:id="557" w:name="_Toc349335835"/>
      <w:r w:rsidRPr="00EC556A">
        <w:rPr>
          <w:b w:val="0"/>
        </w:rPr>
        <w:t>Annex 2-D: LC/MS analysis of PFOS</w:t>
      </w:r>
      <w:bookmarkEnd w:id="557"/>
    </w:p>
    <w:p w:rsidR="00CC1C95" w:rsidRPr="001149DF" w:rsidRDefault="00CC1C95" w:rsidP="00A165BC">
      <w:pPr>
        <w:pStyle w:val="Heading3"/>
        <w:numPr>
          <w:ilvl w:val="0"/>
          <w:numId w:val="0"/>
        </w:numPr>
        <w:snapToGrid/>
        <w:spacing w:before="240" w:after="60" w:line="276" w:lineRule="auto"/>
        <w:jc w:val="both"/>
        <w:rPr>
          <w:bCs w:val="0"/>
          <w:lang w:val="fr-FR"/>
        </w:rPr>
      </w:pPr>
      <w:bookmarkStart w:id="558" w:name="_Toc349335836"/>
      <w:r w:rsidRPr="001149DF">
        <w:rPr>
          <w:lang w:val="fr-FR"/>
        </w:rPr>
        <w:t>PFOS/PFOA LC/MS/MS conditions (example)</w:t>
      </w:r>
      <w:bookmarkEnd w:id="558"/>
    </w:p>
    <w:p w:rsidR="00CC1C95" w:rsidRPr="001149DF" w:rsidRDefault="00CC1C95" w:rsidP="00EE0DB2">
      <w:pPr>
        <w:rPr>
          <w:lang w:val="fr-FR"/>
        </w:rPr>
      </w:pPr>
    </w:p>
    <w:tbl>
      <w:tblPr>
        <w:tblW w:w="8285" w:type="dxa"/>
        <w:tblCellSpacing w:w="0" w:type="dxa"/>
        <w:tblCellMar>
          <w:left w:w="0" w:type="dxa"/>
          <w:right w:w="0" w:type="dxa"/>
        </w:tblCellMar>
        <w:tblLook w:val="0000"/>
      </w:tblPr>
      <w:tblGrid>
        <w:gridCol w:w="1777"/>
        <w:gridCol w:w="220"/>
        <w:gridCol w:w="1152"/>
        <w:gridCol w:w="5136"/>
      </w:tblGrid>
      <w:tr w:rsidR="00CC1C95" w:rsidRPr="00EC556A">
        <w:trPr>
          <w:trHeight w:val="420"/>
          <w:tblCellSpacing w:w="0" w:type="dxa"/>
        </w:trPr>
        <w:tc>
          <w:tcPr>
            <w:tcW w:w="1778" w:type="dxa"/>
            <w:vAlign w:val="bottom"/>
          </w:tcPr>
          <w:p w:rsidR="00CC1C95" w:rsidRPr="00EC556A" w:rsidRDefault="00CC1C95" w:rsidP="002F2D66">
            <w:r w:rsidRPr="00EC556A">
              <w:rPr>
                <w:bCs/>
              </w:rPr>
              <w:t>LC conditions</w:t>
            </w:r>
          </w:p>
        </w:tc>
        <w:tc>
          <w:tcPr>
            <w:tcW w:w="210" w:type="dxa"/>
            <w:vAlign w:val="bottom"/>
          </w:tcPr>
          <w:p w:rsidR="00CC1C95" w:rsidRPr="00EC556A" w:rsidRDefault="00CC1C95" w:rsidP="00EE0DB2">
            <w:r w:rsidRPr="00EC556A">
              <w:t> </w:t>
            </w:r>
          </w:p>
        </w:tc>
        <w:tc>
          <w:tcPr>
            <w:tcW w:w="6297" w:type="dxa"/>
            <w:gridSpan w:val="2"/>
            <w:vAlign w:val="bottom"/>
          </w:tcPr>
          <w:p w:rsidR="00CC1C95" w:rsidRPr="00EC556A" w:rsidRDefault="00CC1C95" w:rsidP="00EE0DB2">
            <w:r w:rsidRPr="00EC556A">
              <w:t> </w:t>
            </w:r>
          </w:p>
        </w:tc>
      </w:tr>
      <w:tr w:rsidR="00CC1C95" w:rsidRPr="00EC556A">
        <w:trPr>
          <w:trHeight w:val="255"/>
          <w:tblCellSpacing w:w="0" w:type="dxa"/>
        </w:trPr>
        <w:tc>
          <w:tcPr>
            <w:tcW w:w="1778" w:type="dxa"/>
            <w:vAlign w:val="bottom"/>
          </w:tcPr>
          <w:p w:rsidR="00CC1C95" w:rsidRPr="00EC556A" w:rsidRDefault="00CC1C95" w:rsidP="00EE0DB2">
            <w:r w:rsidRPr="00EC556A">
              <w:rPr>
                <w:bCs/>
              </w:rPr>
              <w:t>Instrument</w:t>
            </w:r>
          </w:p>
        </w:tc>
        <w:tc>
          <w:tcPr>
            <w:tcW w:w="210" w:type="dxa"/>
          </w:tcPr>
          <w:p w:rsidR="00CC1C95" w:rsidRPr="00EC556A" w:rsidRDefault="00CC1C95" w:rsidP="00EE0DB2">
            <w:r w:rsidRPr="00EC556A">
              <w:rPr>
                <w:rFonts w:hint="eastAsia"/>
                <w:bCs/>
              </w:rPr>
              <w:t>：</w:t>
            </w:r>
          </w:p>
        </w:tc>
        <w:tc>
          <w:tcPr>
            <w:tcW w:w="6297" w:type="dxa"/>
            <w:gridSpan w:val="2"/>
            <w:vAlign w:val="bottom"/>
          </w:tcPr>
          <w:p w:rsidR="00CC1C95" w:rsidRPr="00EC556A" w:rsidRDefault="00CC1C95" w:rsidP="00EE0DB2">
            <w:r w:rsidRPr="00EC556A">
              <w:rPr>
                <w:bCs/>
              </w:rPr>
              <w:t>LC-</w:t>
            </w:r>
            <w:r w:rsidR="002F1B21">
              <w:rPr>
                <w:bCs/>
              </w:rPr>
              <w:t>MS/MS</w:t>
            </w:r>
          </w:p>
        </w:tc>
      </w:tr>
      <w:tr w:rsidR="00CC1C95" w:rsidRPr="00EC556A">
        <w:trPr>
          <w:trHeight w:val="420"/>
          <w:tblCellSpacing w:w="0" w:type="dxa"/>
        </w:trPr>
        <w:tc>
          <w:tcPr>
            <w:tcW w:w="1778" w:type="dxa"/>
          </w:tcPr>
          <w:p w:rsidR="00CC1C95" w:rsidRPr="00EC556A" w:rsidRDefault="00CC1C95" w:rsidP="00EE0DB2">
            <w:r w:rsidRPr="00EC556A">
              <w:rPr>
                <w:bCs/>
              </w:rPr>
              <w:t>column</w:t>
            </w:r>
          </w:p>
        </w:tc>
        <w:tc>
          <w:tcPr>
            <w:tcW w:w="210" w:type="dxa"/>
          </w:tcPr>
          <w:p w:rsidR="00CC1C95" w:rsidRPr="00EC556A" w:rsidRDefault="00CC1C95" w:rsidP="00EE0DB2">
            <w:r w:rsidRPr="00EC556A">
              <w:rPr>
                <w:rFonts w:hint="eastAsia"/>
                <w:bCs/>
              </w:rPr>
              <w:t>：</w:t>
            </w:r>
          </w:p>
        </w:tc>
        <w:tc>
          <w:tcPr>
            <w:tcW w:w="6297" w:type="dxa"/>
            <w:gridSpan w:val="2"/>
            <w:vAlign w:val="bottom"/>
          </w:tcPr>
          <w:p w:rsidR="00CC1C95" w:rsidRPr="00EC556A" w:rsidRDefault="00CC1C95" w:rsidP="00EE0DB2">
            <w:pPr>
              <w:rPr>
                <w:bCs/>
              </w:rPr>
            </w:pPr>
            <w:r w:rsidRPr="00EC556A">
              <w:rPr>
                <w:bCs/>
              </w:rPr>
              <w:t>Inersil ODS-SP (15 cm×2.1 mm ID</w:t>
            </w:r>
            <w:r w:rsidRPr="00EC556A">
              <w:rPr>
                <w:rFonts w:hint="eastAsia"/>
                <w:bCs/>
              </w:rPr>
              <w:t>、</w:t>
            </w:r>
            <w:r w:rsidRPr="00EC556A">
              <w:rPr>
                <w:bCs/>
              </w:rPr>
              <w:t>3 μm)</w:t>
            </w:r>
          </w:p>
          <w:p w:rsidR="00CC1C95" w:rsidRPr="00EC556A" w:rsidRDefault="00CC1C95" w:rsidP="00EE0DB2">
            <w:r w:rsidRPr="00EC556A">
              <w:rPr>
                <w:bCs/>
              </w:rPr>
              <w:t>GL Science</w:t>
            </w:r>
            <w:r w:rsidRPr="00EC556A">
              <w:rPr>
                <w:rFonts w:hint="eastAsia"/>
                <w:bCs/>
              </w:rPr>
              <w:t xml:space="preserve">　</w:t>
            </w:r>
          </w:p>
        </w:tc>
      </w:tr>
      <w:tr w:rsidR="00CC1C95" w:rsidRPr="00EC556A">
        <w:trPr>
          <w:trHeight w:val="285"/>
          <w:tblCellSpacing w:w="0" w:type="dxa"/>
        </w:trPr>
        <w:tc>
          <w:tcPr>
            <w:tcW w:w="1778" w:type="dxa"/>
            <w:vAlign w:val="bottom"/>
          </w:tcPr>
          <w:p w:rsidR="00CC1C95" w:rsidRPr="00EC556A" w:rsidRDefault="00CC1C95" w:rsidP="00EE0DB2">
            <w:r w:rsidRPr="00EC556A">
              <w:rPr>
                <w:bCs/>
              </w:rPr>
              <w:t>phase A</w:t>
            </w:r>
          </w:p>
        </w:tc>
        <w:tc>
          <w:tcPr>
            <w:tcW w:w="210" w:type="dxa"/>
          </w:tcPr>
          <w:p w:rsidR="00CC1C95" w:rsidRPr="00EC556A" w:rsidRDefault="00CC1C95" w:rsidP="00EE0DB2">
            <w:r w:rsidRPr="00EC556A">
              <w:rPr>
                <w:rFonts w:hint="eastAsia"/>
                <w:bCs/>
              </w:rPr>
              <w:t>：</w:t>
            </w:r>
          </w:p>
        </w:tc>
        <w:tc>
          <w:tcPr>
            <w:tcW w:w="6297" w:type="dxa"/>
            <w:gridSpan w:val="2"/>
            <w:vAlign w:val="bottom"/>
          </w:tcPr>
          <w:p w:rsidR="00CC1C95" w:rsidRPr="00EC556A" w:rsidRDefault="00CC1C95" w:rsidP="00EE0DB2">
            <w:r w:rsidRPr="00EC556A">
              <w:rPr>
                <w:bCs/>
              </w:rPr>
              <w:t>10</w:t>
            </w:r>
            <w:r w:rsidR="002F1B21">
              <w:rPr>
                <w:bCs/>
              </w:rPr>
              <w:t xml:space="preserve"> </w:t>
            </w:r>
            <w:r w:rsidRPr="00EC556A">
              <w:rPr>
                <w:bCs/>
              </w:rPr>
              <w:t>mM Ammonium acetate</w:t>
            </w:r>
          </w:p>
        </w:tc>
      </w:tr>
      <w:tr w:rsidR="00CC1C95" w:rsidRPr="00EC556A">
        <w:trPr>
          <w:trHeight w:val="255"/>
          <w:tblCellSpacing w:w="0" w:type="dxa"/>
        </w:trPr>
        <w:tc>
          <w:tcPr>
            <w:tcW w:w="1778" w:type="dxa"/>
            <w:vAlign w:val="bottom"/>
          </w:tcPr>
          <w:p w:rsidR="00CC1C95" w:rsidRPr="00EC556A" w:rsidRDefault="00CC1C95" w:rsidP="00EE0DB2">
            <w:r w:rsidRPr="00EC556A">
              <w:rPr>
                <w:bCs/>
              </w:rPr>
              <w:t>phase B</w:t>
            </w:r>
          </w:p>
        </w:tc>
        <w:tc>
          <w:tcPr>
            <w:tcW w:w="210" w:type="dxa"/>
          </w:tcPr>
          <w:p w:rsidR="00CC1C95" w:rsidRPr="00EC556A" w:rsidRDefault="00CC1C95" w:rsidP="00EE0DB2">
            <w:r w:rsidRPr="00EC556A">
              <w:rPr>
                <w:rFonts w:hint="eastAsia"/>
                <w:bCs/>
              </w:rPr>
              <w:t>：</w:t>
            </w:r>
          </w:p>
        </w:tc>
        <w:tc>
          <w:tcPr>
            <w:tcW w:w="6297" w:type="dxa"/>
            <w:gridSpan w:val="2"/>
            <w:vAlign w:val="bottom"/>
          </w:tcPr>
          <w:p w:rsidR="00CC1C95" w:rsidRPr="00EC556A" w:rsidRDefault="00CC1C95" w:rsidP="00EE0DB2">
            <w:r w:rsidRPr="00EC556A">
              <w:rPr>
                <w:bCs/>
              </w:rPr>
              <w:t>Acetonitrile</w:t>
            </w:r>
          </w:p>
        </w:tc>
      </w:tr>
      <w:tr w:rsidR="00CC1C95" w:rsidRPr="00EC556A">
        <w:trPr>
          <w:trHeight w:val="750"/>
          <w:tblCellSpacing w:w="0" w:type="dxa"/>
        </w:trPr>
        <w:tc>
          <w:tcPr>
            <w:tcW w:w="1778" w:type="dxa"/>
          </w:tcPr>
          <w:p w:rsidR="00CC1C95" w:rsidRPr="00EC556A" w:rsidRDefault="00CC1C95" w:rsidP="00EE0DB2">
            <w:r w:rsidRPr="00EC556A">
              <w:rPr>
                <w:bCs/>
              </w:rPr>
              <w:t>gradient</w:t>
            </w:r>
          </w:p>
        </w:tc>
        <w:tc>
          <w:tcPr>
            <w:tcW w:w="210" w:type="dxa"/>
          </w:tcPr>
          <w:p w:rsidR="00CC1C95" w:rsidRPr="00EC556A" w:rsidRDefault="00CC1C95" w:rsidP="00EE0DB2">
            <w:r w:rsidRPr="00EC556A">
              <w:rPr>
                <w:rFonts w:hint="eastAsia"/>
                <w:bCs/>
              </w:rPr>
              <w:t>：</w:t>
            </w:r>
          </w:p>
        </w:tc>
        <w:tc>
          <w:tcPr>
            <w:tcW w:w="6297" w:type="dxa"/>
            <w:gridSpan w:val="2"/>
            <w:vAlign w:val="bottom"/>
          </w:tcPr>
          <w:p w:rsidR="00CC1C95" w:rsidRPr="00EC556A" w:rsidRDefault="00CC1C95" w:rsidP="00EE0DB2">
            <w:pPr>
              <w:rPr>
                <w:bCs/>
              </w:rPr>
            </w:pPr>
            <w:r w:rsidRPr="00EC556A">
              <w:rPr>
                <w:bCs/>
              </w:rPr>
              <w:t>0-1min</w:t>
            </w:r>
            <w:r w:rsidRPr="00EC556A">
              <w:rPr>
                <w:rFonts w:hint="eastAsia"/>
                <w:bCs/>
              </w:rPr>
              <w:t xml:space="preserve">　</w:t>
            </w:r>
            <w:r w:rsidRPr="00EC556A">
              <w:rPr>
                <w:bCs/>
              </w:rPr>
              <w:t xml:space="preserve">  A</w:t>
            </w:r>
            <w:r w:rsidRPr="00EC556A">
              <w:rPr>
                <w:rFonts w:hint="eastAsia"/>
                <w:bCs/>
              </w:rPr>
              <w:t>：</w:t>
            </w:r>
            <w:r w:rsidRPr="00EC556A">
              <w:rPr>
                <w:bCs/>
              </w:rPr>
              <w:t>65%</w:t>
            </w:r>
            <w:r w:rsidRPr="00EC556A">
              <w:rPr>
                <w:rFonts w:hint="eastAsia"/>
                <w:bCs/>
              </w:rPr>
              <w:t xml:space="preserve">　</w:t>
            </w:r>
            <w:r w:rsidRPr="00EC556A">
              <w:rPr>
                <w:bCs/>
              </w:rPr>
              <w:t>B</w:t>
            </w:r>
            <w:r w:rsidRPr="00EC556A">
              <w:rPr>
                <w:rFonts w:hint="eastAsia"/>
                <w:bCs/>
              </w:rPr>
              <w:t>：</w:t>
            </w:r>
            <w:r w:rsidRPr="00EC556A">
              <w:rPr>
                <w:bCs/>
              </w:rPr>
              <w:t>35%</w:t>
            </w:r>
          </w:p>
          <w:p w:rsidR="00CC1C95" w:rsidRPr="00EC556A" w:rsidRDefault="00CC1C95" w:rsidP="00EE0DB2">
            <w:pPr>
              <w:rPr>
                <w:bCs/>
              </w:rPr>
            </w:pPr>
            <w:r w:rsidRPr="00EC556A">
              <w:rPr>
                <w:bCs/>
              </w:rPr>
              <w:t>1-5min</w:t>
            </w:r>
            <w:r w:rsidRPr="00EC556A">
              <w:rPr>
                <w:rFonts w:hint="eastAsia"/>
                <w:bCs/>
              </w:rPr>
              <w:t xml:space="preserve">　</w:t>
            </w:r>
            <w:r w:rsidRPr="00EC556A">
              <w:rPr>
                <w:bCs/>
              </w:rPr>
              <w:t xml:space="preserve">  A</w:t>
            </w:r>
            <w:r w:rsidRPr="00EC556A">
              <w:rPr>
                <w:rFonts w:hint="eastAsia"/>
                <w:bCs/>
              </w:rPr>
              <w:t>：</w:t>
            </w:r>
            <w:r w:rsidRPr="00EC556A">
              <w:rPr>
                <w:bCs/>
              </w:rPr>
              <w:t>65→50%</w:t>
            </w:r>
            <w:r w:rsidRPr="00EC556A">
              <w:rPr>
                <w:rFonts w:hint="eastAsia"/>
                <w:bCs/>
              </w:rPr>
              <w:t xml:space="preserve">　</w:t>
            </w:r>
            <w:r w:rsidRPr="00EC556A">
              <w:rPr>
                <w:bCs/>
              </w:rPr>
              <w:t>B</w:t>
            </w:r>
            <w:r w:rsidRPr="00EC556A">
              <w:rPr>
                <w:rFonts w:hint="eastAsia"/>
                <w:bCs/>
              </w:rPr>
              <w:t>：</w:t>
            </w:r>
            <w:r w:rsidRPr="00EC556A">
              <w:rPr>
                <w:bCs/>
              </w:rPr>
              <w:t>35→50%</w:t>
            </w:r>
          </w:p>
          <w:p w:rsidR="00CC1C95" w:rsidRPr="00EC556A" w:rsidRDefault="00CC1C95" w:rsidP="00EE0DB2">
            <w:pPr>
              <w:rPr>
                <w:bCs/>
              </w:rPr>
            </w:pPr>
            <w:r w:rsidRPr="00EC556A">
              <w:rPr>
                <w:bCs/>
              </w:rPr>
              <w:t>5-15min  A</w:t>
            </w:r>
            <w:r w:rsidRPr="00EC556A">
              <w:rPr>
                <w:rFonts w:hint="eastAsia"/>
                <w:bCs/>
              </w:rPr>
              <w:t>：</w:t>
            </w:r>
            <w:r w:rsidRPr="00EC556A">
              <w:rPr>
                <w:bCs/>
              </w:rPr>
              <w:t>50%</w:t>
            </w:r>
            <w:r w:rsidRPr="00EC556A">
              <w:rPr>
                <w:rFonts w:hint="eastAsia"/>
                <w:bCs/>
              </w:rPr>
              <w:t xml:space="preserve">　</w:t>
            </w:r>
            <w:r w:rsidRPr="00EC556A">
              <w:rPr>
                <w:bCs/>
              </w:rPr>
              <w:t>B</w:t>
            </w:r>
            <w:r w:rsidRPr="00EC556A">
              <w:rPr>
                <w:rFonts w:hint="eastAsia"/>
                <w:bCs/>
              </w:rPr>
              <w:t>：</w:t>
            </w:r>
            <w:r w:rsidRPr="00EC556A">
              <w:rPr>
                <w:bCs/>
              </w:rPr>
              <w:t>50%</w:t>
            </w:r>
          </w:p>
          <w:p w:rsidR="00CC1C95" w:rsidRPr="00EC556A" w:rsidRDefault="00CC1C95" w:rsidP="00EE0DB2">
            <w:pPr>
              <w:rPr>
                <w:bCs/>
              </w:rPr>
            </w:pPr>
            <w:r w:rsidRPr="00EC556A">
              <w:rPr>
                <w:bCs/>
              </w:rPr>
              <w:t>15-18</w:t>
            </w:r>
            <w:r w:rsidR="002F2D66">
              <w:rPr>
                <w:bCs/>
              </w:rPr>
              <w:t xml:space="preserve"> </w:t>
            </w:r>
            <w:r w:rsidRPr="00EC556A">
              <w:rPr>
                <w:bCs/>
              </w:rPr>
              <w:t>min  A</w:t>
            </w:r>
            <w:r w:rsidRPr="00EC556A">
              <w:rPr>
                <w:rFonts w:hint="eastAsia"/>
                <w:bCs/>
              </w:rPr>
              <w:t>：</w:t>
            </w:r>
            <w:r w:rsidRPr="00EC556A">
              <w:rPr>
                <w:bCs/>
              </w:rPr>
              <w:t>50→10%</w:t>
            </w:r>
            <w:r w:rsidRPr="00EC556A">
              <w:rPr>
                <w:rFonts w:hint="eastAsia"/>
                <w:bCs/>
              </w:rPr>
              <w:t xml:space="preserve">　</w:t>
            </w:r>
            <w:r w:rsidRPr="00EC556A">
              <w:rPr>
                <w:bCs/>
              </w:rPr>
              <w:t>B</w:t>
            </w:r>
            <w:r w:rsidRPr="00EC556A">
              <w:rPr>
                <w:rFonts w:hint="eastAsia"/>
                <w:bCs/>
              </w:rPr>
              <w:t>：</w:t>
            </w:r>
            <w:r w:rsidRPr="00EC556A">
              <w:rPr>
                <w:bCs/>
              </w:rPr>
              <w:t>50→90%</w:t>
            </w:r>
          </w:p>
          <w:p w:rsidR="00CC1C95" w:rsidRPr="00EC556A" w:rsidRDefault="00CC1C95" w:rsidP="00EE0DB2">
            <w:pPr>
              <w:rPr>
                <w:bCs/>
              </w:rPr>
            </w:pPr>
            <w:r w:rsidRPr="00EC556A">
              <w:rPr>
                <w:bCs/>
              </w:rPr>
              <w:t>18-25</w:t>
            </w:r>
            <w:r w:rsidR="002F2D66">
              <w:rPr>
                <w:bCs/>
              </w:rPr>
              <w:t xml:space="preserve"> </w:t>
            </w:r>
            <w:r w:rsidRPr="00EC556A">
              <w:rPr>
                <w:bCs/>
              </w:rPr>
              <w:t xml:space="preserve">min </w:t>
            </w:r>
            <w:r w:rsidRPr="00EC556A">
              <w:rPr>
                <w:rFonts w:hint="eastAsia"/>
                <w:bCs/>
              </w:rPr>
              <w:t xml:space="preserve">　</w:t>
            </w:r>
            <w:r w:rsidRPr="00EC556A">
              <w:rPr>
                <w:bCs/>
              </w:rPr>
              <w:t>A</w:t>
            </w:r>
            <w:r w:rsidRPr="00EC556A">
              <w:rPr>
                <w:rFonts w:hint="eastAsia"/>
                <w:bCs/>
              </w:rPr>
              <w:t>：</w:t>
            </w:r>
            <w:r w:rsidRPr="00EC556A">
              <w:rPr>
                <w:bCs/>
              </w:rPr>
              <w:t>10%</w:t>
            </w:r>
            <w:r w:rsidRPr="00EC556A">
              <w:rPr>
                <w:rFonts w:hint="eastAsia"/>
                <w:bCs/>
              </w:rPr>
              <w:t xml:space="preserve">　</w:t>
            </w:r>
            <w:r w:rsidRPr="00EC556A">
              <w:rPr>
                <w:bCs/>
              </w:rPr>
              <w:t>B</w:t>
            </w:r>
            <w:r w:rsidRPr="00EC556A">
              <w:rPr>
                <w:rFonts w:hint="eastAsia"/>
                <w:bCs/>
              </w:rPr>
              <w:t>：</w:t>
            </w:r>
            <w:r w:rsidRPr="00EC556A">
              <w:rPr>
                <w:bCs/>
              </w:rPr>
              <w:t>90%</w:t>
            </w:r>
          </w:p>
          <w:p w:rsidR="00CC1C95" w:rsidRPr="00EC556A" w:rsidRDefault="00CC1C95" w:rsidP="00EE0DB2">
            <w:pPr>
              <w:rPr>
                <w:bCs/>
              </w:rPr>
            </w:pPr>
            <w:r w:rsidRPr="00EC556A">
              <w:rPr>
                <w:bCs/>
              </w:rPr>
              <w:t>25-25.1 min  A</w:t>
            </w:r>
            <w:r w:rsidRPr="00EC556A">
              <w:rPr>
                <w:rFonts w:hint="eastAsia"/>
                <w:bCs/>
              </w:rPr>
              <w:t>：</w:t>
            </w:r>
            <w:r w:rsidRPr="00EC556A">
              <w:rPr>
                <w:bCs/>
              </w:rPr>
              <w:t>10→65%</w:t>
            </w:r>
            <w:r w:rsidRPr="00EC556A">
              <w:rPr>
                <w:rFonts w:hint="eastAsia"/>
                <w:bCs/>
              </w:rPr>
              <w:t xml:space="preserve">　</w:t>
            </w:r>
            <w:r w:rsidRPr="00EC556A">
              <w:rPr>
                <w:bCs/>
              </w:rPr>
              <w:t>B</w:t>
            </w:r>
            <w:r w:rsidRPr="00EC556A">
              <w:rPr>
                <w:rFonts w:hint="eastAsia"/>
                <w:bCs/>
              </w:rPr>
              <w:t>：</w:t>
            </w:r>
            <w:r w:rsidRPr="00EC556A">
              <w:rPr>
                <w:bCs/>
              </w:rPr>
              <w:t>90→35%</w:t>
            </w:r>
            <w:r w:rsidRPr="00EC556A">
              <w:rPr>
                <w:rFonts w:hint="eastAsia"/>
                <w:bCs/>
              </w:rPr>
              <w:t xml:space="preserve">　　　　　</w:t>
            </w:r>
          </w:p>
          <w:p w:rsidR="00CC1C95" w:rsidRPr="00EC556A" w:rsidRDefault="00CC1C95" w:rsidP="00EE0DB2">
            <w:pPr>
              <w:rPr>
                <w:bCs/>
              </w:rPr>
            </w:pPr>
            <w:r w:rsidRPr="00EC556A">
              <w:rPr>
                <w:bCs/>
              </w:rPr>
              <w:t>25.1-35 min  A</w:t>
            </w:r>
            <w:r w:rsidRPr="00EC556A">
              <w:rPr>
                <w:rFonts w:hint="eastAsia"/>
                <w:bCs/>
              </w:rPr>
              <w:t>：</w:t>
            </w:r>
            <w:r w:rsidRPr="00EC556A">
              <w:rPr>
                <w:bCs/>
              </w:rPr>
              <w:t>65%</w:t>
            </w:r>
            <w:r w:rsidRPr="00EC556A">
              <w:rPr>
                <w:rFonts w:hint="eastAsia"/>
                <w:bCs/>
              </w:rPr>
              <w:t xml:space="preserve">　</w:t>
            </w:r>
            <w:r w:rsidRPr="00EC556A">
              <w:rPr>
                <w:bCs/>
              </w:rPr>
              <w:t>B</w:t>
            </w:r>
            <w:r w:rsidRPr="00EC556A">
              <w:rPr>
                <w:rFonts w:hint="eastAsia"/>
                <w:bCs/>
              </w:rPr>
              <w:t>：</w:t>
            </w:r>
            <w:r w:rsidRPr="00EC556A">
              <w:rPr>
                <w:bCs/>
              </w:rPr>
              <w:t>35%</w:t>
            </w:r>
          </w:p>
        </w:tc>
      </w:tr>
      <w:tr w:rsidR="00CC1C95" w:rsidRPr="00EC556A">
        <w:trPr>
          <w:trHeight w:val="255"/>
          <w:tblCellSpacing w:w="0" w:type="dxa"/>
        </w:trPr>
        <w:tc>
          <w:tcPr>
            <w:tcW w:w="1778" w:type="dxa"/>
            <w:vAlign w:val="bottom"/>
          </w:tcPr>
          <w:p w:rsidR="00CC1C95" w:rsidRPr="00EC556A" w:rsidRDefault="00CC1C95" w:rsidP="00EE0DB2">
            <w:r w:rsidRPr="00EC556A">
              <w:rPr>
                <w:bCs/>
              </w:rPr>
              <w:t>Flow rate</w:t>
            </w:r>
          </w:p>
        </w:tc>
        <w:tc>
          <w:tcPr>
            <w:tcW w:w="210" w:type="dxa"/>
            <w:vAlign w:val="bottom"/>
          </w:tcPr>
          <w:p w:rsidR="00CC1C95" w:rsidRPr="00EC556A" w:rsidRDefault="00CC1C95" w:rsidP="00EE0DB2">
            <w:r w:rsidRPr="00EC556A">
              <w:rPr>
                <w:rFonts w:hint="eastAsia"/>
                <w:bCs/>
              </w:rPr>
              <w:t>：</w:t>
            </w:r>
          </w:p>
        </w:tc>
        <w:tc>
          <w:tcPr>
            <w:tcW w:w="6297" w:type="dxa"/>
            <w:gridSpan w:val="2"/>
            <w:vAlign w:val="bottom"/>
          </w:tcPr>
          <w:p w:rsidR="00CC1C95" w:rsidRPr="00EC556A" w:rsidRDefault="00CC1C95" w:rsidP="00EE0DB2">
            <w:r w:rsidRPr="00EC556A">
              <w:rPr>
                <w:bCs/>
              </w:rPr>
              <w:t xml:space="preserve"> 0.2</w:t>
            </w:r>
            <w:r w:rsidR="002F2D66">
              <w:rPr>
                <w:bCs/>
              </w:rPr>
              <w:t xml:space="preserve"> </w:t>
            </w:r>
            <w:r w:rsidRPr="00EC556A">
              <w:rPr>
                <w:bCs/>
              </w:rPr>
              <w:t>mL/min</w:t>
            </w:r>
          </w:p>
        </w:tc>
      </w:tr>
      <w:tr w:rsidR="00CC1C95" w:rsidRPr="00EC556A">
        <w:trPr>
          <w:trHeight w:val="255"/>
          <w:tblCellSpacing w:w="0" w:type="dxa"/>
        </w:trPr>
        <w:tc>
          <w:tcPr>
            <w:tcW w:w="1778" w:type="dxa"/>
            <w:vAlign w:val="bottom"/>
          </w:tcPr>
          <w:p w:rsidR="00CC1C95" w:rsidRPr="00EC556A" w:rsidRDefault="00CC1C95" w:rsidP="00EE0DB2">
            <w:r w:rsidRPr="00EC556A">
              <w:rPr>
                <w:bCs/>
              </w:rPr>
              <w:t>Col. Temp.</w:t>
            </w:r>
          </w:p>
        </w:tc>
        <w:tc>
          <w:tcPr>
            <w:tcW w:w="210" w:type="dxa"/>
            <w:vAlign w:val="bottom"/>
          </w:tcPr>
          <w:p w:rsidR="00CC1C95" w:rsidRPr="00EC556A" w:rsidRDefault="00CC1C95" w:rsidP="00EE0DB2">
            <w:r w:rsidRPr="00EC556A">
              <w:rPr>
                <w:rFonts w:hint="eastAsia"/>
                <w:bCs/>
              </w:rPr>
              <w:t>：</w:t>
            </w:r>
          </w:p>
        </w:tc>
        <w:tc>
          <w:tcPr>
            <w:tcW w:w="6297" w:type="dxa"/>
            <w:gridSpan w:val="2"/>
            <w:vAlign w:val="bottom"/>
          </w:tcPr>
          <w:p w:rsidR="00CC1C95" w:rsidRPr="00EC556A" w:rsidRDefault="00CC1C95" w:rsidP="00EE0DB2">
            <w:r w:rsidRPr="00EC556A">
              <w:rPr>
                <w:bCs/>
              </w:rPr>
              <w:t xml:space="preserve"> 40 °C</w:t>
            </w:r>
          </w:p>
        </w:tc>
      </w:tr>
      <w:tr w:rsidR="00CC1C95" w:rsidRPr="00EC556A">
        <w:trPr>
          <w:trHeight w:val="255"/>
          <w:tblCellSpacing w:w="0" w:type="dxa"/>
        </w:trPr>
        <w:tc>
          <w:tcPr>
            <w:tcW w:w="1778" w:type="dxa"/>
            <w:vAlign w:val="bottom"/>
          </w:tcPr>
          <w:p w:rsidR="00CC1C95" w:rsidRPr="00EC556A" w:rsidRDefault="00CC1C95" w:rsidP="00EE0DB2">
            <w:r w:rsidRPr="00EC556A">
              <w:rPr>
                <w:bCs/>
              </w:rPr>
              <w:t>Inj. volume</w:t>
            </w:r>
          </w:p>
        </w:tc>
        <w:tc>
          <w:tcPr>
            <w:tcW w:w="210" w:type="dxa"/>
            <w:vAlign w:val="bottom"/>
          </w:tcPr>
          <w:p w:rsidR="00CC1C95" w:rsidRPr="00EC556A" w:rsidRDefault="00CC1C95" w:rsidP="00EE0DB2">
            <w:r w:rsidRPr="00EC556A">
              <w:rPr>
                <w:rFonts w:hint="eastAsia"/>
                <w:bCs/>
              </w:rPr>
              <w:t>：</w:t>
            </w:r>
          </w:p>
        </w:tc>
        <w:tc>
          <w:tcPr>
            <w:tcW w:w="6297" w:type="dxa"/>
            <w:gridSpan w:val="2"/>
            <w:vAlign w:val="bottom"/>
          </w:tcPr>
          <w:p w:rsidR="00CC1C95" w:rsidRPr="00EC556A" w:rsidRDefault="00CC1C95" w:rsidP="00EE0DB2">
            <w:r w:rsidRPr="00EC556A">
              <w:rPr>
                <w:bCs/>
              </w:rPr>
              <w:t xml:space="preserve"> 10</w:t>
            </w:r>
            <w:r w:rsidR="002F2D66">
              <w:rPr>
                <w:bCs/>
              </w:rPr>
              <w:t xml:space="preserve"> </w:t>
            </w:r>
            <w:r w:rsidRPr="00EC556A">
              <w:rPr>
                <w:bCs/>
              </w:rPr>
              <w:t>μL</w:t>
            </w:r>
          </w:p>
        </w:tc>
      </w:tr>
      <w:tr w:rsidR="00CC1C95" w:rsidRPr="00EC556A">
        <w:trPr>
          <w:trHeight w:val="270"/>
          <w:tblCellSpacing w:w="0" w:type="dxa"/>
        </w:trPr>
        <w:tc>
          <w:tcPr>
            <w:tcW w:w="1778" w:type="dxa"/>
            <w:vAlign w:val="bottom"/>
          </w:tcPr>
          <w:p w:rsidR="00CC1C95" w:rsidRPr="00EC556A" w:rsidRDefault="00CC1C95" w:rsidP="002F2D66">
            <w:pPr>
              <w:rPr>
                <w:b/>
              </w:rPr>
            </w:pPr>
            <w:r w:rsidRPr="00EC556A">
              <w:rPr>
                <w:b/>
              </w:rPr>
              <w:t>MS conditions</w:t>
            </w:r>
          </w:p>
        </w:tc>
        <w:tc>
          <w:tcPr>
            <w:tcW w:w="210" w:type="dxa"/>
            <w:vAlign w:val="bottom"/>
          </w:tcPr>
          <w:p w:rsidR="00CC1C95" w:rsidRPr="00EC556A" w:rsidRDefault="00CC1C95" w:rsidP="00EE0DB2">
            <w:r w:rsidRPr="00EC556A">
              <w:t> </w:t>
            </w:r>
          </w:p>
        </w:tc>
        <w:tc>
          <w:tcPr>
            <w:tcW w:w="6297" w:type="dxa"/>
            <w:gridSpan w:val="2"/>
            <w:vAlign w:val="bottom"/>
          </w:tcPr>
          <w:p w:rsidR="00CC1C95" w:rsidRPr="00EC556A" w:rsidRDefault="00CC1C95" w:rsidP="00EE0DB2">
            <w:r w:rsidRPr="00EC556A">
              <w:t> </w:t>
            </w:r>
          </w:p>
        </w:tc>
      </w:tr>
      <w:tr w:rsidR="00CC1C95" w:rsidRPr="00B600A2">
        <w:trPr>
          <w:trHeight w:val="255"/>
          <w:tblCellSpacing w:w="0" w:type="dxa"/>
        </w:trPr>
        <w:tc>
          <w:tcPr>
            <w:tcW w:w="1778" w:type="dxa"/>
            <w:vAlign w:val="bottom"/>
          </w:tcPr>
          <w:p w:rsidR="00CC1C95" w:rsidRPr="00EC556A" w:rsidRDefault="00CC1C95" w:rsidP="00EE0DB2">
            <w:r w:rsidRPr="00EC556A">
              <w:rPr>
                <w:bCs/>
              </w:rPr>
              <w:t>Instrument</w:t>
            </w:r>
          </w:p>
        </w:tc>
        <w:tc>
          <w:tcPr>
            <w:tcW w:w="210" w:type="dxa"/>
            <w:vAlign w:val="bottom"/>
          </w:tcPr>
          <w:p w:rsidR="00CC1C95" w:rsidRPr="00EC556A" w:rsidRDefault="00CC1C95" w:rsidP="00EE0DB2">
            <w:r w:rsidRPr="00EC556A">
              <w:rPr>
                <w:rFonts w:hint="eastAsia"/>
                <w:bCs/>
              </w:rPr>
              <w:t>：</w:t>
            </w:r>
          </w:p>
        </w:tc>
        <w:tc>
          <w:tcPr>
            <w:tcW w:w="6297" w:type="dxa"/>
            <w:gridSpan w:val="2"/>
            <w:vAlign w:val="bottom"/>
          </w:tcPr>
          <w:p w:rsidR="00CC1C95" w:rsidRPr="00EC556A" w:rsidRDefault="00CC1C95" w:rsidP="00EE0DB2">
            <w:r w:rsidRPr="00EC556A">
              <w:rPr>
                <w:bCs/>
              </w:rPr>
              <w:t xml:space="preserve"> API 3200</w:t>
            </w:r>
            <w:r w:rsidRPr="00EC556A">
              <w:rPr>
                <w:rFonts w:hint="eastAsia"/>
                <w:bCs/>
              </w:rPr>
              <w:t>（</w:t>
            </w:r>
            <w:r w:rsidRPr="00EC556A">
              <w:rPr>
                <w:bCs/>
              </w:rPr>
              <w:t>Applied Biosystems</w:t>
            </w:r>
            <w:r w:rsidRPr="00EC556A">
              <w:rPr>
                <w:rFonts w:hint="eastAsia"/>
                <w:bCs/>
              </w:rPr>
              <w:t>）</w:t>
            </w:r>
          </w:p>
        </w:tc>
      </w:tr>
      <w:tr w:rsidR="00CC1C95" w:rsidRPr="00EC556A">
        <w:trPr>
          <w:trHeight w:val="255"/>
          <w:tblCellSpacing w:w="0" w:type="dxa"/>
        </w:trPr>
        <w:tc>
          <w:tcPr>
            <w:tcW w:w="1778" w:type="dxa"/>
            <w:vAlign w:val="bottom"/>
          </w:tcPr>
          <w:p w:rsidR="00CC1C95" w:rsidRPr="00EC556A" w:rsidRDefault="00CC1C95" w:rsidP="00EE0DB2">
            <w:r w:rsidRPr="00EC556A">
              <w:rPr>
                <w:bCs/>
              </w:rPr>
              <w:t>Ionization</w:t>
            </w:r>
          </w:p>
        </w:tc>
        <w:tc>
          <w:tcPr>
            <w:tcW w:w="210" w:type="dxa"/>
            <w:vAlign w:val="bottom"/>
          </w:tcPr>
          <w:p w:rsidR="00CC1C95" w:rsidRPr="00EC556A" w:rsidRDefault="00CC1C95" w:rsidP="00EE0DB2">
            <w:r w:rsidRPr="00EC556A">
              <w:rPr>
                <w:rFonts w:hint="eastAsia"/>
                <w:bCs/>
              </w:rPr>
              <w:t>：</w:t>
            </w:r>
          </w:p>
        </w:tc>
        <w:tc>
          <w:tcPr>
            <w:tcW w:w="6297" w:type="dxa"/>
            <w:gridSpan w:val="2"/>
            <w:vAlign w:val="bottom"/>
          </w:tcPr>
          <w:p w:rsidR="00CC1C95" w:rsidRPr="00EC556A" w:rsidRDefault="00CC1C95" w:rsidP="00EE0DB2">
            <w:r w:rsidRPr="00EC556A">
              <w:rPr>
                <w:bCs/>
              </w:rPr>
              <w:t xml:space="preserve"> ESI</w:t>
            </w:r>
            <w:r w:rsidRPr="00EC556A">
              <w:rPr>
                <w:rFonts w:hint="eastAsia"/>
                <w:bCs/>
              </w:rPr>
              <w:t xml:space="preserve">　</w:t>
            </w:r>
            <w:r w:rsidRPr="00EC556A">
              <w:rPr>
                <w:bCs/>
              </w:rPr>
              <w:t>negative</w:t>
            </w:r>
          </w:p>
        </w:tc>
      </w:tr>
      <w:tr w:rsidR="00CC1C95" w:rsidRPr="00EC556A">
        <w:trPr>
          <w:trHeight w:val="255"/>
          <w:tblCellSpacing w:w="0" w:type="dxa"/>
        </w:trPr>
        <w:tc>
          <w:tcPr>
            <w:tcW w:w="1778" w:type="dxa"/>
            <w:vAlign w:val="bottom"/>
          </w:tcPr>
          <w:p w:rsidR="00CC1C95" w:rsidRPr="00EC556A" w:rsidRDefault="00CC1C95" w:rsidP="00EE0DB2">
            <w:r w:rsidRPr="00EC556A">
              <w:rPr>
                <w:bCs/>
              </w:rPr>
              <w:t>Monitor ions</w:t>
            </w:r>
            <w:r w:rsidR="002F2D66">
              <w:rPr>
                <w:bCs/>
              </w:rPr>
              <w:t xml:space="preserve"> (</w:t>
            </w:r>
            <w:r w:rsidR="002F2D66" w:rsidRPr="002F2D66">
              <w:rPr>
                <w:bCs/>
                <w:i/>
              </w:rPr>
              <w:t>m/z</w:t>
            </w:r>
            <w:r w:rsidR="002F2D66">
              <w:rPr>
                <w:bCs/>
              </w:rPr>
              <w:t>)</w:t>
            </w:r>
          </w:p>
        </w:tc>
        <w:tc>
          <w:tcPr>
            <w:tcW w:w="210" w:type="dxa"/>
            <w:vAlign w:val="bottom"/>
          </w:tcPr>
          <w:p w:rsidR="00CC1C95" w:rsidRPr="00EC556A" w:rsidRDefault="00CC1C95" w:rsidP="00EE0DB2">
            <w:r w:rsidRPr="00EC556A">
              <w:rPr>
                <w:rFonts w:hint="eastAsia"/>
                <w:bCs/>
              </w:rPr>
              <w:t>：</w:t>
            </w:r>
          </w:p>
        </w:tc>
        <w:tc>
          <w:tcPr>
            <w:tcW w:w="1154" w:type="dxa"/>
            <w:vAlign w:val="bottom"/>
          </w:tcPr>
          <w:p w:rsidR="00CC1C95" w:rsidRPr="00EC556A" w:rsidRDefault="00CC1C95" w:rsidP="00EE0DB2">
            <w:r w:rsidRPr="00EC556A">
              <w:rPr>
                <w:bCs/>
              </w:rPr>
              <w:t xml:space="preserve"> PFOS</w:t>
            </w:r>
          </w:p>
        </w:tc>
        <w:tc>
          <w:tcPr>
            <w:tcW w:w="5143" w:type="dxa"/>
          </w:tcPr>
          <w:p w:rsidR="00CC1C95" w:rsidRPr="00EC556A" w:rsidRDefault="00CC1C95" w:rsidP="00EE0DB2">
            <w:r w:rsidRPr="00EC556A">
              <w:rPr>
                <w:bCs/>
              </w:rPr>
              <w:t>498.7→79.9</w:t>
            </w:r>
            <w:r w:rsidRPr="00EC556A">
              <w:rPr>
                <w:rFonts w:hint="eastAsia"/>
                <w:bCs/>
              </w:rPr>
              <w:t>（</w:t>
            </w:r>
            <w:r w:rsidRPr="00EC556A">
              <w:rPr>
                <w:bCs/>
              </w:rPr>
              <w:t>quant.</w:t>
            </w:r>
            <w:r w:rsidRPr="00EC556A">
              <w:rPr>
                <w:rFonts w:hint="eastAsia"/>
                <w:bCs/>
              </w:rPr>
              <w:t>）</w:t>
            </w:r>
          </w:p>
        </w:tc>
      </w:tr>
      <w:tr w:rsidR="00CC1C95" w:rsidRPr="00EC556A">
        <w:trPr>
          <w:trHeight w:val="255"/>
          <w:tblCellSpacing w:w="0" w:type="dxa"/>
        </w:trPr>
        <w:tc>
          <w:tcPr>
            <w:tcW w:w="1778" w:type="dxa"/>
            <w:vAlign w:val="bottom"/>
          </w:tcPr>
          <w:p w:rsidR="00CC1C95" w:rsidRPr="00EC556A" w:rsidRDefault="00CC1C95" w:rsidP="00EE0DB2">
            <w:r w:rsidRPr="00EC556A">
              <w:t> </w:t>
            </w:r>
          </w:p>
        </w:tc>
        <w:tc>
          <w:tcPr>
            <w:tcW w:w="210" w:type="dxa"/>
            <w:vAlign w:val="bottom"/>
          </w:tcPr>
          <w:p w:rsidR="00CC1C95" w:rsidRPr="00EC556A" w:rsidRDefault="00CC1C95" w:rsidP="00EE0DB2">
            <w:r w:rsidRPr="00EC556A">
              <w:t> </w:t>
            </w:r>
          </w:p>
        </w:tc>
        <w:tc>
          <w:tcPr>
            <w:tcW w:w="1154" w:type="dxa"/>
            <w:vAlign w:val="bottom"/>
          </w:tcPr>
          <w:p w:rsidR="00CC1C95" w:rsidRPr="00EC556A" w:rsidRDefault="00CC1C95" w:rsidP="00EE0DB2">
            <w:r w:rsidRPr="00EC556A">
              <w:t> </w:t>
            </w:r>
          </w:p>
        </w:tc>
        <w:tc>
          <w:tcPr>
            <w:tcW w:w="5143" w:type="dxa"/>
          </w:tcPr>
          <w:p w:rsidR="00CC1C95" w:rsidRPr="00EC556A" w:rsidRDefault="00CC1C95" w:rsidP="00EE0DB2">
            <w:r w:rsidRPr="00EC556A">
              <w:rPr>
                <w:bCs/>
              </w:rPr>
              <w:t>498.7→98.9</w:t>
            </w:r>
            <w:r w:rsidRPr="00EC556A">
              <w:rPr>
                <w:rFonts w:hint="eastAsia"/>
                <w:bCs/>
              </w:rPr>
              <w:t>（</w:t>
            </w:r>
            <w:r w:rsidRPr="00EC556A">
              <w:rPr>
                <w:bCs/>
              </w:rPr>
              <w:t>confirm.</w:t>
            </w:r>
            <w:r w:rsidRPr="00EC556A">
              <w:rPr>
                <w:rFonts w:hint="eastAsia"/>
                <w:bCs/>
              </w:rPr>
              <w:t>）</w:t>
            </w:r>
          </w:p>
        </w:tc>
      </w:tr>
      <w:tr w:rsidR="00CC1C95" w:rsidRPr="00EC556A">
        <w:trPr>
          <w:trHeight w:val="255"/>
          <w:tblCellSpacing w:w="0" w:type="dxa"/>
        </w:trPr>
        <w:tc>
          <w:tcPr>
            <w:tcW w:w="1778" w:type="dxa"/>
            <w:vAlign w:val="bottom"/>
          </w:tcPr>
          <w:p w:rsidR="00CC1C95" w:rsidRPr="00EC556A" w:rsidRDefault="00CC1C95" w:rsidP="00EE0DB2">
            <w:r w:rsidRPr="00EC556A">
              <w:t> </w:t>
            </w:r>
          </w:p>
        </w:tc>
        <w:tc>
          <w:tcPr>
            <w:tcW w:w="210" w:type="dxa"/>
            <w:vAlign w:val="bottom"/>
          </w:tcPr>
          <w:p w:rsidR="00CC1C95" w:rsidRPr="00EC556A" w:rsidRDefault="00CC1C95" w:rsidP="00EE0DB2">
            <w:r w:rsidRPr="00EC556A">
              <w:t> </w:t>
            </w:r>
          </w:p>
        </w:tc>
        <w:tc>
          <w:tcPr>
            <w:tcW w:w="1154" w:type="dxa"/>
            <w:vAlign w:val="bottom"/>
          </w:tcPr>
          <w:p w:rsidR="00CC1C95" w:rsidRPr="00EC556A" w:rsidRDefault="00CC1C95" w:rsidP="00EE0DB2">
            <w:r w:rsidRPr="00EC556A">
              <w:rPr>
                <w:bCs/>
              </w:rPr>
              <w:t xml:space="preserve"> PFOA</w:t>
            </w:r>
          </w:p>
        </w:tc>
        <w:tc>
          <w:tcPr>
            <w:tcW w:w="5143" w:type="dxa"/>
          </w:tcPr>
          <w:p w:rsidR="00CC1C95" w:rsidRPr="00EC556A" w:rsidRDefault="00CC1C95" w:rsidP="00EE0DB2">
            <w:r w:rsidRPr="00EC556A">
              <w:rPr>
                <w:bCs/>
              </w:rPr>
              <w:t>412.7→368.8</w:t>
            </w:r>
            <w:r w:rsidRPr="00EC556A">
              <w:rPr>
                <w:rFonts w:hint="eastAsia"/>
                <w:bCs/>
              </w:rPr>
              <w:t>（</w:t>
            </w:r>
            <w:r w:rsidRPr="00EC556A">
              <w:rPr>
                <w:bCs/>
              </w:rPr>
              <w:t>quant.</w:t>
            </w:r>
            <w:r w:rsidRPr="00EC556A">
              <w:rPr>
                <w:rFonts w:hint="eastAsia"/>
                <w:bCs/>
              </w:rPr>
              <w:t>）</w:t>
            </w:r>
          </w:p>
        </w:tc>
      </w:tr>
      <w:tr w:rsidR="00CC1C95" w:rsidRPr="00EC556A">
        <w:trPr>
          <w:trHeight w:val="255"/>
          <w:tblCellSpacing w:w="0" w:type="dxa"/>
        </w:trPr>
        <w:tc>
          <w:tcPr>
            <w:tcW w:w="1778" w:type="dxa"/>
            <w:vAlign w:val="bottom"/>
          </w:tcPr>
          <w:p w:rsidR="00CC1C95" w:rsidRPr="00EC556A" w:rsidRDefault="00CC1C95" w:rsidP="00EE0DB2">
            <w:r w:rsidRPr="00EC556A">
              <w:t> </w:t>
            </w:r>
          </w:p>
        </w:tc>
        <w:tc>
          <w:tcPr>
            <w:tcW w:w="210" w:type="dxa"/>
            <w:vAlign w:val="bottom"/>
          </w:tcPr>
          <w:p w:rsidR="00CC1C95" w:rsidRPr="00EC556A" w:rsidRDefault="00CC1C95" w:rsidP="00EE0DB2">
            <w:r w:rsidRPr="00EC556A">
              <w:t> </w:t>
            </w:r>
          </w:p>
        </w:tc>
        <w:tc>
          <w:tcPr>
            <w:tcW w:w="1154" w:type="dxa"/>
            <w:vAlign w:val="bottom"/>
          </w:tcPr>
          <w:p w:rsidR="00CC1C95" w:rsidRPr="00EC556A" w:rsidRDefault="00CC1C95" w:rsidP="00EE0DB2">
            <w:r w:rsidRPr="00EC556A">
              <w:t> </w:t>
            </w:r>
          </w:p>
        </w:tc>
        <w:tc>
          <w:tcPr>
            <w:tcW w:w="5143" w:type="dxa"/>
          </w:tcPr>
          <w:p w:rsidR="00CC1C95" w:rsidRPr="00EC556A" w:rsidRDefault="00CC1C95" w:rsidP="00EE0DB2">
            <w:r w:rsidRPr="00EC556A">
              <w:rPr>
                <w:bCs/>
              </w:rPr>
              <w:t>412.7→169.0</w:t>
            </w:r>
            <w:r w:rsidRPr="00EC556A">
              <w:rPr>
                <w:rFonts w:hint="eastAsia"/>
                <w:bCs/>
              </w:rPr>
              <w:t>（</w:t>
            </w:r>
            <w:r w:rsidRPr="00EC556A">
              <w:rPr>
                <w:bCs/>
              </w:rPr>
              <w:t>confirm.</w:t>
            </w:r>
            <w:r w:rsidRPr="00EC556A">
              <w:rPr>
                <w:rFonts w:hint="eastAsia"/>
                <w:bCs/>
              </w:rPr>
              <w:t>）</w:t>
            </w:r>
          </w:p>
        </w:tc>
      </w:tr>
      <w:tr w:rsidR="00CC1C95" w:rsidRPr="00EC556A">
        <w:trPr>
          <w:trHeight w:val="255"/>
          <w:tblCellSpacing w:w="0" w:type="dxa"/>
        </w:trPr>
        <w:tc>
          <w:tcPr>
            <w:tcW w:w="1778" w:type="dxa"/>
            <w:vAlign w:val="bottom"/>
          </w:tcPr>
          <w:p w:rsidR="00CC1C95" w:rsidRPr="00EC556A" w:rsidRDefault="00CC1C95" w:rsidP="00EE0DB2">
            <w:r w:rsidRPr="00EC556A">
              <w:t> </w:t>
            </w:r>
          </w:p>
        </w:tc>
        <w:tc>
          <w:tcPr>
            <w:tcW w:w="210" w:type="dxa"/>
            <w:vAlign w:val="bottom"/>
          </w:tcPr>
          <w:p w:rsidR="00CC1C95" w:rsidRPr="00EC556A" w:rsidRDefault="00CC1C95" w:rsidP="00EE0DB2">
            <w:r w:rsidRPr="00EC556A">
              <w:t> </w:t>
            </w:r>
          </w:p>
        </w:tc>
        <w:tc>
          <w:tcPr>
            <w:tcW w:w="1154" w:type="dxa"/>
            <w:vAlign w:val="bottom"/>
          </w:tcPr>
          <w:p w:rsidR="00CC1C95" w:rsidRPr="00EC556A" w:rsidRDefault="00CC1C95" w:rsidP="00EE0DB2">
            <w:r w:rsidRPr="002F2D66">
              <w:rPr>
                <w:bCs/>
                <w:vertAlign w:val="superscript"/>
              </w:rPr>
              <w:t>13</w:t>
            </w:r>
            <w:r w:rsidRPr="00EC556A">
              <w:rPr>
                <w:bCs/>
                <w:i/>
                <w:iCs/>
              </w:rPr>
              <w:t>C</w:t>
            </w:r>
            <w:r w:rsidRPr="002F2D66">
              <w:rPr>
                <w:bCs/>
                <w:vertAlign w:val="subscript"/>
              </w:rPr>
              <w:t>4</w:t>
            </w:r>
            <w:r w:rsidRPr="00EC556A">
              <w:rPr>
                <w:bCs/>
              </w:rPr>
              <w:t>-PFOS</w:t>
            </w:r>
          </w:p>
        </w:tc>
        <w:tc>
          <w:tcPr>
            <w:tcW w:w="5143" w:type="dxa"/>
          </w:tcPr>
          <w:p w:rsidR="00CC1C95" w:rsidRPr="00EC556A" w:rsidRDefault="00CC1C95" w:rsidP="00EE0DB2">
            <w:r w:rsidRPr="00EC556A">
              <w:rPr>
                <w:bCs/>
              </w:rPr>
              <w:t>502.9→79.9</w:t>
            </w:r>
          </w:p>
        </w:tc>
      </w:tr>
      <w:tr w:rsidR="00CC1C95" w:rsidRPr="00EC556A">
        <w:trPr>
          <w:trHeight w:val="255"/>
          <w:tblCellSpacing w:w="0" w:type="dxa"/>
        </w:trPr>
        <w:tc>
          <w:tcPr>
            <w:tcW w:w="1778" w:type="dxa"/>
            <w:vAlign w:val="bottom"/>
          </w:tcPr>
          <w:p w:rsidR="00CC1C95" w:rsidRPr="00EC556A" w:rsidRDefault="00CC1C95" w:rsidP="00EE0DB2">
            <w:r w:rsidRPr="00EC556A">
              <w:t> </w:t>
            </w:r>
          </w:p>
        </w:tc>
        <w:tc>
          <w:tcPr>
            <w:tcW w:w="210" w:type="dxa"/>
            <w:vAlign w:val="bottom"/>
          </w:tcPr>
          <w:p w:rsidR="00CC1C95" w:rsidRPr="00EC556A" w:rsidRDefault="00CC1C95" w:rsidP="00EE0DB2">
            <w:r w:rsidRPr="00EC556A">
              <w:t> </w:t>
            </w:r>
          </w:p>
        </w:tc>
        <w:tc>
          <w:tcPr>
            <w:tcW w:w="1154" w:type="dxa"/>
            <w:vAlign w:val="bottom"/>
          </w:tcPr>
          <w:p w:rsidR="00CC1C95" w:rsidRPr="00EC556A" w:rsidRDefault="00CC1C95" w:rsidP="00EE0DB2">
            <w:r w:rsidRPr="002F2D66">
              <w:rPr>
                <w:bCs/>
                <w:vertAlign w:val="superscript"/>
              </w:rPr>
              <w:t>13</w:t>
            </w:r>
            <w:r w:rsidRPr="00EC556A">
              <w:rPr>
                <w:bCs/>
                <w:i/>
                <w:iCs/>
              </w:rPr>
              <w:t>C</w:t>
            </w:r>
            <w:r w:rsidRPr="002F2D66">
              <w:rPr>
                <w:bCs/>
                <w:vertAlign w:val="subscript"/>
              </w:rPr>
              <w:t>4</w:t>
            </w:r>
            <w:r w:rsidRPr="00EC556A">
              <w:rPr>
                <w:bCs/>
              </w:rPr>
              <w:t>-PFOA</w:t>
            </w:r>
          </w:p>
        </w:tc>
        <w:tc>
          <w:tcPr>
            <w:tcW w:w="5143" w:type="dxa"/>
          </w:tcPr>
          <w:p w:rsidR="00CC1C95" w:rsidRPr="00EC556A" w:rsidRDefault="00CC1C95" w:rsidP="00EE0DB2">
            <w:r w:rsidRPr="00EC556A">
              <w:rPr>
                <w:bCs/>
              </w:rPr>
              <w:t>416.9→372.0</w:t>
            </w:r>
          </w:p>
        </w:tc>
      </w:tr>
    </w:tbl>
    <w:p w:rsidR="00CC1C95" w:rsidRPr="00EC556A" w:rsidRDefault="00CC1C95" w:rsidP="00EE0DB2"/>
    <w:p w:rsidR="00CC1C95" w:rsidRPr="00EC556A" w:rsidRDefault="00CC1C95" w:rsidP="00EE0DB2"/>
    <w:tbl>
      <w:tblPr>
        <w:tblW w:w="7880" w:type="dxa"/>
        <w:tblInd w:w="28" w:type="dxa"/>
        <w:tblLayout w:type="fixed"/>
        <w:tblCellMar>
          <w:left w:w="28" w:type="dxa"/>
          <w:right w:w="28" w:type="dxa"/>
        </w:tblCellMar>
        <w:tblLook w:val="0000"/>
      </w:tblPr>
      <w:tblGrid>
        <w:gridCol w:w="4000"/>
        <w:gridCol w:w="3880"/>
      </w:tblGrid>
      <w:tr w:rsidR="00CC1C95" w:rsidRPr="00EC556A">
        <w:tc>
          <w:tcPr>
            <w:tcW w:w="4000" w:type="dxa"/>
            <w:vAlign w:val="bottom"/>
          </w:tcPr>
          <w:p w:rsidR="00CC1C95" w:rsidRPr="00EC556A" w:rsidRDefault="00CC1C95" w:rsidP="00EE0DB2">
            <w:pPr>
              <w:ind w:firstLine="66"/>
              <w:rPr>
                <w:rFonts w:eastAsia="MS PMincho"/>
                <w:sz w:val="20"/>
              </w:rPr>
            </w:pPr>
            <w:r w:rsidRPr="00EC556A">
              <w:rPr>
                <w:rFonts w:eastAsia="MS PMincho"/>
                <w:sz w:val="20"/>
              </w:rPr>
              <w:t>PFOS</w:t>
            </w:r>
          </w:p>
        </w:tc>
        <w:tc>
          <w:tcPr>
            <w:tcW w:w="3880" w:type="dxa"/>
            <w:vAlign w:val="bottom"/>
          </w:tcPr>
          <w:p w:rsidR="00CC1C95" w:rsidRPr="00EC556A" w:rsidRDefault="00CC1C95" w:rsidP="0025794C">
            <w:pPr>
              <w:ind w:right="-28" w:firstLineChars="32" w:firstLine="64"/>
              <w:jc w:val="left"/>
              <w:rPr>
                <w:rFonts w:eastAsia="MS PMincho"/>
                <w:sz w:val="20"/>
              </w:rPr>
            </w:pPr>
            <w:r w:rsidRPr="00EC556A">
              <w:rPr>
                <w:rFonts w:eastAsia="MS PMincho"/>
                <w:sz w:val="20"/>
              </w:rPr>
              <w:t>Wellington Laboratories</w:t>
            </w:r>
          </w:p>
        </w:tc>
      </w:tr>
      <w:tr w:rsidR="00CC1C95" w:rsidRPr="00EC556A">
        <w:tc>
          <w:tcPr>
            <w:tcW w:w="4000" w:type="dxa"/>
            <w:vAlign w:val="bottom"/>
          </w:tcPr>
          <w:p w:rsidR="00CC1C95" w:rsidRPr="00EC556A" w:rsidRDefault="00CC1C95" w:rsidP="00EE0DB2">
            <w:pPr>
              <w:ind w:firstLine="66"/>
              <w:rPr>
                <w:rFonts w:eastAsia="MS PMincho"/>
                <w:sz w:val="20"/>
              </w:rPr>
            </w:pPr>
            <w:r w:rsidRPr="00EC556A">
              <w:rPr>
                <w:rFonts w:eastAsia="MS PMincho"/>
                <w:sz w:val="20"/>
              </w:rPr>
              <w:t>PFOA</w:t>
            </w:r>
          </w:p>
        </w:tc>
        <w:tc>
          <w:tcPr>
            <w:tcW w:w="3880" w:type="dxa"/>
            <w:vAlign w:val="bottom"/>
          </w:tcPr>
          <w:p w:rsidR="00CC1C95" w:rsidRPr="00EC556A" w:rsidRDefault="00CC1C95" w:rsidP="0025794C">
            <w:pPr>
              <w:ind w:right="-28" w:firstLineChars="32" w:firstLine="64"/>
              <w:jc w:val="left"/>
              <w:rPr>
                <w:rFonts w:eastAsia="MS PMincho"/>
                <w:sz w:val="20"/>
              </w:rPr>
            </w:pPr>
            <w:r w:rsidRPr="00EC556A">
              <w:rPr>
                <w:rFonts w:eastAsia="MS PMincho"/>
                <w:sz w:val="20"/>
              </w:rPr>
              <w:t>Wellington Laboratories</w:t>
            </w:r>
          </w:p>
        </w:tc>
      </w:tr>
      <w:tr w:rsidR="00CC1C95" w:rsidRPr="00EC556A">
        <w:tc>
          <w:tcPr>
            <w:tcW w:w="4000" w:type="dxa"/>
            <w:vAlign w:val="bottom"/>
          </w:tcPr>
          <w:p w:rsidR="00CC1C95" w:rsidRPr="00EC556A" w:rsidRDefault="00CC1C95" w:rsidP="00EE0DB2">
            <w:pPr>
              <w:rPr>
                <w:rFonts w:eastAsia="MS PMincho"/>
                <w:vertAlign w:val="superscript"/>
              </w:rPr>
            </w:pPr>
            <w:r w:rsidRPr="00EC556A">
              <w:rPr>
                <w:rFonts w:eastAsia="MS PMincho"/>
                <w:vertAlign w:val="superscript"/>
              </w:rPr>
              <w:t>13</w:t>
            </w:r>
            <w:r w:rsidRPr="00EC556A">
              <w:rPr>
                <w:rFonts w:eastAsia="MS PMincho"/>
              </w:rPr>
              <w:t>C</w:t>
            </w:r>
            <w:r w:rsidRPr="00EC556A">
              <w:rPr>
                <w:rFonts w:eastAsia="MS PMincho"/>
                <w:vertAlign w:val="subscript"/>
              </w:rPr>
              <w:t>4</w:t>
            </w:r>
            <w:r w:rsidRPr="00EC556A">
              <w:rPr>
                <w:rFonts w:eastAsia="MS PMincho"/>
              </w:rPr>
              <w:t>-PFOS</w:t>
            </w:r>
          </w:p>
        </w:tc>
        <w:tc>
          <w:tcPr>
            <w:tcW w:w="3880" w:type="dxa"/>
            <w:vAlign w:val="bottom"/>
          </w:tcPr>
          <w:p w:rsidR="00CC1C95" w:rsidRPr="00EC556A" w:rsidRDefault="00CC1C95" w:rsidP="0025794C">
            <w:pPr>
              <w:ind w:right="-28" w:firstLineChars="32" w:firstLine="64"/>
              <w:jc w:val="left"/>
              <w:rPr>
                <w:rFonts w:eastAsia="MS PMincho"/>
                <w:sz w:val="20"/>
              </w:rPr>
            </w:pPr>
            <w:r w:rsidRPr="00EC556A">
              <w:rPr>
                <w:rFonts w:eastAsia="MS PMincho"/>
                <w:sz w:val="20"/>
              </w:rPr>
              <w:t>Wellington Laboratories</w:t>
            </w:r>
          </w:p>
        </w:tc>
      </w:tr>
      <w:tr w:rsidR="00CC1C95" w:rsidRPr="00EC556A">
        <w:tc>
          <w:tcPr>
            <w:tcW w:w="4000" w:type="dxa"/>
            <w:vAlign w:val="bottom"/>
          </w:tcPr>
          <w:p w:rsidR="00CC1C95" w:rsidRPr="00EC556A" w:rsidRDefault="00CC1C95" w:rsidP="00EE0DB2">
            <w:pPr>
              <w:rPr>
                <w:rFonts w:eastAsia="MS PMincho"/>
              </w:rPr>
            </w:pPr>
            <w:r w:rsidRPr="00EC556A">
              <w:rPr>
                <w:rFonts w:eastAsia="MS PMincho"/>
                <w:vertAlign w:val="superscript"/>
              </w:rPr>
              <w:t>13</w:t>
            </w:r>
            <w:r w:rsidRPr="00EC556A">
              <w:rPr>
                <w:rFonts w:eastAsia="MS PMincho"/>
              </w:rPr>
              <w:t>C</w:t>
            </w:r>
            <w:r w:rsidRPr="00EC556A">
              <w:rPr>
                <w:rFonts w:eastAsia="MS PMincho"/>
                <w:vertAlign w:val="subscript"/>
              </w:rPr>
              <w:t>4</w:t>
            </w:r>
            <w:r w:rsidRPr="00EC556A">
              <w:rPr>
                <w:rFonts w:eastAsia="MS PMincho"/>
              </w:rPr>
              <w:t>-PFOA</w:t>
            </w:r>
          </w:p>
        </w:tc>
        <w:tc>
          <w:tcPr>
            <w:tcW w:w="3880" w:type="dxa"/>
            <w:vAlign w:val="bottom"/>
          </w:tcPr>
          <w:p w:rsidR="00CC1C95" w:rsidRPr="00EC556A" w:rsidRDefault="00CC1C95" w:rsidP="0025794C">
            <w:pPr>
              <w:ind w:right="-28" w:firstLineChars="32" w:firstLine="64"/>
              <w:jc w:val="left"/>
              <w:rPr>
                <w:rFonts w:eastAsia="MS PMincho"/>
                <w:sz w:val="20"/>
              </w:rPr>
            </w:pPr>
            <w:r w:rsidRPr="00EC556A">
              <w:rPr>
                <w:rFonts w:eastAsia="MS PMincho"/>
                <w:sz w:val="20"/>
              </w:rPr>
              <w:t>Wellington Laboratories</w:t>
            </w:r>
          </w:p>
        </w:tc>
      </w:tr>
    </w:tbl>
    <w:p w:rsidR="00CC1C95" w:rsidRPr="00EC556A" w:rsidRDefault="00CC1C95" w:rsidP="00EE0DB2"/>
    <w:p w:rsidR="00CC1C95" w:rsidRPr="00EC556A" w:rsidRDefault="00CC1C95" w:rsidP="00A165BC">
      <w:pPr>
        <w:pStyle w:val="Heading3"/>
        <w:numPr>
          <w:ilvl w:val="0"/>
          <w:numId w:val="0"/>
        </w:numPr>
        <w:snapToGrid/>
        <w:spacing w:before="240" w:after="60" w:line="276" w:lineRule="auto"/>
        <w:jc w:val="both"/>
        <w:rPr>
          <w:bCs w:val="0"/>
        </w:rPr>
      </w:pPr>
      <w:r w:rsidRPr="00EC556A">
        <w:br w:type="page"/>
      </w:r>
      <w:bookmarkStart w:id="559" w:name="_Toc349335837"/>
      <w:r w:rsidRPr="00EC556A">
        <w:t>PFOS and related substances and PFCs – instrumental approach and masses</w:t>
      </w:r>
      <w:bookmarkEnd w:id="559"/>
    </w:p>
    <w:p w:rsidR="00CC1C95" w:rsidRDefault="00CC1C95" w:rsidP="00EE0DB2">
      <w:r w:rsidRPr="00EC556A">
        <w:t xml:space="preserve">Table A2-6: PFOS, PFOS related substances and other PFCs included in state-of-the-art monitoring. </w:t>
      </w:r>
      <w:r w:rsidRPr="00EC556A">
        <w:rPr>
          <w:b/>
          <w:bCs/>
        </w:rPr>
        <w:t>Please note:</w:t>
      </w:r>
      <w:r w:rsidRPr="00EC556A">
        <w:t xml:space="preserve"> Red marked substances are PFOS and related substances.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12"/>
        <w:gridCol w:w="3762"/>
        <w:gridCol w:w="1171"/>
        <w:gridCol w:w="1381"/>
      </w:tblGrid>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Cs w:val="24"/>
              </w:rPr>
            </w:pPr>
            <w:r w:rsidRPr="00EC556A">
              <w:rPr>
                <w:b/>
                <w:bCs/>
                <w:szCs w:val="24"/>
              </w:rPr>
              <w:t>Abbreviation</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Cs w:val="24"/>
              </w:rPr>
            </w:pPr>
            <w:r w:rsidRPr="00EC556A">
              <w:rPr>
                <w:b/>
                <w:bCs/>
                <w:szCs w:val="24"/>
              </w:rPr>
              <w:t>Full name</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szCs w:val="24"/>
              </w:rPr>
            </w:pPr>
            <w:r w:rsidRPr="00EC556A">
              <w:rPr>
                <w:b/>
                <w:szCs w:val="24"/>
              </w:rPr>
              <w:t>CAS #</w:t>
            </w: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Cs w:val="24"/>
              </w:rPr>
            </w:pPr>
            <w:r w:rsidRPr="00EC556A">
              <w:rPr>
                <w:b/>
                <w:bCs/>
                <w:szCs w:val="24"/>
              </w:rPr>
              <w:t>Detection method</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color w:val="FF0000"/>
                <w:sz w:val="20"/>
              </w:rPr>
            </w:pPr>
            <w:r w:rsidRPr="00EC556A">
              <w:rPr>
                <w:b/>
                <w:color w:val="FF0000"/>
                <w:sz w:val="20"/>
              </w:rPr>
              <w:t>Fluorooctane sulfonamides/ sulfonamidoethanols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Cs/>
                <w:sz w:val="20"/>
              </w:rPr>
            </w:pP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color w:val="FF0000"/>
                <w:sz w:val="20"/>
              </w:rPr>
            </w:pPr>
            <w:r w:rsidRPr="00EC556A">
              <w:rPr>
                <w:b/>
                <w:color w:val="FF0000"/>
                <w:sz w:val="20"/>
              </w:rPr>
              <w:t>PFOSA*</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color w:val="FF0000"/>
                <w:sz w:val="20"/>
              </w:rPr>
            </w:pPr>
            <w:r w:rsidRPr="00EC556A">
              <w:rPr>
                <w:b/>
                <w:color w:val="FF0000"/>
                <w:sz w:val="20"/>
              </w:rPr>
              <w:t>Perfluorooctane sulfonamide</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color w:val="FF0000"/>
                <w:sz w:val="20"/>
              </w:rPr>
            </w:pPr>
            <w:r w:rsidRPr="00EC556A">
              <w:rPr>
                <w:b/>
                <w:bCs/>
                <w:color w:val="FF0000"/>
                <w:sz w:val="20"/>
              </w:rPr>
              <w:t>754-91-6</w:t>
            </w: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color w:val="FF0000"/>
                <w:sz w:val="20"/>
              </w:rPr>
            </w:pPr>
            <w:r w:rsidRPr="00EC556A">
              <w:rPr>
                <w:b/>
                <w:color w:val="FF0000"/>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color w:val="FF0000"/>
                <w:sz w:val="20"/>
              </w:rPr>
            </w:pPr>
            <w:r w:rsidRPr="00EC556A">
              <w:rPr>
                <w:b/>
                <w:color w:val="FF0000"/>
                <w:sz w:val="20"/>
              </w:rPr>
              <w:t>N-Me-FOSA*</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color w:val="FF0000"/>
                <w:sz w:val="20"/>
              </w:rPr>
            </w:pPr>
            <w:r w:rsidRPr="00EC556A">
              <w:rPr>
                <w:b/>
                <w:color w:val="FF0000"/>
                <w:sz w:val="20"/>
              </w:rPr>
              <w:t>N-Methyl-heptadecafluorooctane sulfonamide</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color w:val="FF0000"/>
                <w:sz w:val="20"/>
              </w:rPr>
            </w:pPr>
            <w:r w:rsidRPr="00EC556A">
              <w:rPr>
                <w:b/>
                <w:color w:val="FF0000"/>
                <w:sz w:val="20"/>
              </w:rPr>
              <w:t>31506-32-8</w:t>
            </w: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color w:val="FF0000"/>
                <w:sz w:val="20"/>
              </w:rPr>
            </w:pPr>
            <w:r w:rsidRPr="00EC556A">
              <w:rPr>
                <w:b/>
                <w:color w:val="FF0000"/>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color w:val="FF0000"/>
                <w:sz w:val="20"/>
              </w:rPr>
            </w:pPr>
            <w:r w:rsidRPr="00EC556A">
              <w:rPr>
                <w:b/>
                <w:color w:val="FF0000"/>
                <w:sz w:val="20"/>
              </w:rPr>
              <w:t>N-Et-FOSA</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color w:val="FF0000"/>
                <w:sz w:val="20"/>
              </w:rPr>
            </w:pPr>
            <w:r w:rsidRPr="00EC556A">
              <w:rPr>
                <w:b/>
                <w:color w:val="FF0000"/>
                <w:sz w:val="20"/>
              </w:rPr>
              <w:t>N-Ethyl-heptadecafluorooctane sulfonamide</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color w:val="FF0000"/>
                <w:sz w:val="20"/>
              </w:rPr>
            </w:pPr>
            <w:r w:rsidRPr="00EC556A">
              <w:rPr>
                <w:b/>
                <w:color w:val="FF0000"/>
                <w:sz w:val="20"/>
              </w:rPr>
              <w:t>4151-50-2</w:t>
            </w: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color w:val="FF0000"/>
                <w:sz w:val="20"/>
              </w:rPr>
            </w:pPr>
            <w:r w:rsidRPr="00EC556A">
              <w:rPr>
                <w:b/>
                <w:color w:val="FF0000"/>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color w:val="FF0000"/>
                <w:sz w:val="20"/>
              </w:rPr>
            </w:pPr>
            <w:r w:rsidRPr="00EC556A">
              <w:rPr>
                <w:b/>
                <w:color w:val="FF0000"/>
                <w:sz w:val="20"/>
              </w:rPr>
              <w:t>N-Me-FOSE*</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color w:val="FF0000"/>
                <w:sz w:val="20"/>
              </w:rPr>
            </w:pPr>
            <w:r w:rsidRPr="00EC556A">
              <w:rPr>
                <w:b/>
                <w:color w:val="FF0000"/>
                <w:sz w:val="20"/>
              </w:rPr>
              <w:t>N-Methyl-heptadecafluorooctane sulfonamidoethanol</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color w:val="FF0000"/>
                <w:sz w:val="20"/>
              </w:rPr>
            </w:pPr>
            <w:r w:rsidRPr="00EC556A">
              <w:rPr>
                <w:b/>
                <w:bCs/>
                <w:color w:val="FF0000"/>
                <w:sz w:val="20"/>
              </w:rPr>
              <w:t>24448-09-7</w:t>
            </w: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color w:val="FF0000"/>
                <w:sz w:val="20"/>
              </w:rPr>
            </w:pPr>
            <w:r w:rsidRPr="00EC556A">
              <w:rPr>
                <w:b/>
                <w:color w:val="FF0000"/>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color w:val="FF0000"/>
                <w:sz w:val="20"/>
              </w:rPr>
            </w:pPr>
            <w:r w:rsidRPr="00EC556A">
              <w:rPr>
                <w:b/>
                <w:color w:val="FF0000"/>
                <w:sz w:val="20"/>
              </w:rPr>
              <w:t>N-Et-FOSE*</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color w:val="FF0000"/>
                <w:sz w:val="20"/>
              </w:rPr>
            </w:pPr>
            <w:r w:rsidRPr="00EC556A">
              <w:rPr>
                <w:b/>
                <w:color w:val="FF0000"/>
                <w:sz w:val="20"/>
              </w:rPr>
              <w:t>N-Ethyl-heptadecafluorooctane sulfonamidoethanol</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color w:val="FF0000"/>
                <w:sz w:val="20"/>
              </w:rPr>
            </w:pPr>
            <w:r w:rsidRPr="00EC556A">
              <w:rPr>
                <w:b/>
                <w:bCs/>
                <w:color w:val="FF0000"/>
                <w:sz w:val="20"/>
              </w:rPr>
              <w:t>1691-99-2</w:t>
            </w: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color w:val="FF0000"/>
                <w:sz w:val="20"/>
              </w:rPr>
            </w:pPr>
            <w:r w:rsidRPr="00EC556A">
              <w:rPr>
                <w:b/>
                <w:color w:val="FF0000"/>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bCs/>
                <w:sz w:val="20"/>
              </w:rPr>
            </w:pPr>
            <w:r w:rsidRPr="00EC556A">
              <w:rPr>
                <w:b/>
                <w:bCs/>
                <w:sz w:val="20"/>
              </w:rPr>
              <w:t>Fluortelomer alcohols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bCs/>
                <w:sz w:val="20"/>
              </w:rPr>
            </w:pP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sz w:val="20"/>
              </w:rPr>
            </w:pP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bCs/>
                <w:sz w:val="20"/>
              </w:rPr>
            </w:pPr>
          </w:p>
        </w:tc>
      </w:tr>
      <w:tr w:rsidR="00CC1C95" w:rsidRPr="00B600A2">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4:2 FTOH</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4:2 Fluorotelomer alcohol</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2043-47-2</w:t>
            </w: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GC-MS or LC-MS</w:t>
            </w:r>
          </w:p>
        </w:tc>
      </w:tr>
      <w:tr w:rsidR="00CC1C95" w:rsidRPr="00B600A2">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6:2 FTOH</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6:2 Fluorotelomer alcohol</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bCs/>
                <w:sz w:val="20"/>
              </w:rPr>
              <w:t>647-42-7</w:t>
            </w: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GC-MS or LC-MS</w:t>
            </w:r>
          </w:p>
        </w:tc>
      </w:tr>
      <w:tr w:rsidR="00CC1C95" w:rsidRPr="00B600A2">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8:2 FTOH</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8:2 Fluorotelomer alcohol</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bCs/>
                <w:sz w:val="20"/>
              </w:rPr>
              <w:t>678-39-7</w:t>
            </w: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GC-MS or LC-MS</w:t>
            </w:r>
          </w:p>
        </w:tc>
      </w:tr>
      <w:tr w:rsidR="00CC1C95" w:rsidRPr="00B600A2">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10:2 FTOH</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10:2 Fluorotelomer alcohol</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bCs/>
                <w:sz w:val="20"/>
              </w:rPr>
              <w:t>865-86-1</w:t>
            </w: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GC-MS or 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sz w:val="20"/>
              </w:rPr>
            </w:pPr>
            <w:r w:rsidRPr="00EC556A">
              <w:rPr>
                <w:b/>
                <w:sz w:val="20"/>
              </w:rPr>
              <w:t>Fluortelomer sulfonates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bCs/>
                <w:sz w:val="20"/>
              </w:rPr>
            </w:pP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6:2 FTS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6:2 Fluorotelomer sulfonate</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pStyle w:val="Default"/>
              <w:spacing w:line="276" w:lineRule="auto"/>
              <w:rPr>
                <w:sz w:val="20"/>
                <w:szCs w:val="20"/>
                <w:lang w:val="en-GB"/>
              </w:rPr>
            </w:pPr>
            <w:r w:rsidRPr="00EC556A">
              <w:rPr>
                <w:sz w:val="20"/>
                <w:szCs w:val="20"/>
              </w:rPr>
              <w:t>27619-97-2</w:t>
            </w: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8:2 FTS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8:2 Fluorotelomer sulfonate</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39108-34-4</w:t>
            </w: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b/>
                <w:sz w:val="20"/>
              </w:rPr>
              <w:t>Fluortelomer carboxylates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6:2 FTUCA</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6:2 Fluorotelomer unsaturated carboxylate</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C</w:t>
            </w:r>
            <w:r w:rsidRPr="00EC556A">
              <w:rPr>
                <w:sz w:val="20"/>
                <w:vertAlign w:val="subscript"/>
              </w:rPr>
              <w:t>8</w:t>
            </w:r>
            <w:r w:rsidRPr="00EC556A">
              <w:rPr>
                <w:sz w:val="20"/>
              </w:rPr>
              <w:t>H</w:t>
            </w:r>
            <w:r w:rsidRPr="00EC556A">
              <w:rPr>
                <w:sz w:val="20"/>
                <w:vertAlign w:val="subscript"/>
              </w:rPr>
              <w:t>2</w:t>
            </w:r>
            <w:r w:rsidRPr="00EC556A">
              <w:rPr>
                <w:sz w:val="20"/>
              </w:rPr>
              <w:t>F</w:t>
            </w:r>
            <w:r w:rsidRPr="00EC556A">
              <w:rPr>
                <w:sz w:val="20"/>
                <w:vertAlign w:val="subscript"/>
              </w:rPr>
              <w:t>12</w:t>
            </w:r>
            <w:r w:rsidRPr="00EC556A">
              <w:rPr>
                <w:sz w:val="20"/>
              </w:rPr>
              <w:t>O</w:t>
            </w:r>
            <w:r w:rsidRPr="00EC556A">
              <w:rPr>
                <w:sz w:val="20"/>
                <w:vertAlign w:val="subscript"/>
              </w:rPr>
              <w:t>2</w:t>
            </w:r>
            <w:r w:rsidRPr="00EC556A">
              <w:rPr>
                <w:sz w:val="20"/>
              </w:rPr>
              <w:t>*</w:t>
            </w: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8:2 FTUCA</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8:2 Fluorotelomer unsaturated carboxylate</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70887-84-2</w:t>
            </w: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sz w:val="20"/>
              </w:rPr>
            </w:pPr>
            <w:r w:rsidRPr="00EC556A">
              <w:rPr>
                <w:b/>
                <w:sz w:val="20"/>
              </w:rPr>
              <w:t>Perfluoro sulfonates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PFBS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Perfluorobutane sulfonate</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pStyle w:val="Default"/>
              <w:spacing w:before="160" w:line="276" w:lineRule="auto"/>
              <w:rPr>
                <w:sz w:val="20"/>
                <w:szCs w:val="20"/>
                <w:lang w:val="en-GB"/>
              </w:rPr>
            </w:pPr>
            <w:r w:rsidRPr="00EC556A">
              <w:rPr>
                <w:sz w:val="20"/>
                <w:szCs w:val="20"/>
              </w:rPr>
              <w:t xml:space="preserve">375-73-5 </w:t>
            </w: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PFHxS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Perfluorohexane sulfonate</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pStyle w:val="Default"/>
              <w:spacing w:line="276" w:lineRule="auto"/>
              <w:rPr>
                <w:sz w:val="20"/>
                <w:szCs w:val="20"/>
                <w:lang w:val="en-GB"/>
              </w:rPr>
            </w:pPr>
            <w:r w:rsidRPr="00EC556A">
              <w:rPr>
                <w:sz w:val="20"/>
                <w:szCs w:val="20"/>
              </w:rPr>
              <w:t xml:space="preserve">432-50-7 </w:t>
            </w: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color w:val="FF0000"/>
                <w:sz w:val="20"/>
              </w:rPr>
            </w:pPr>
            <w:r w:rsidRPr="00EC556A">
              <w:rPr>
                <w:b/>
                <w:color w:val="FF0000"/>
                <w:sz w:val="20"/>
              </w:rPr>
              <w:t>PFOS*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color w:val="FF0000"/>
                <w:sz w:val="20"/>
              </w:rPr>
            </w:pPr>
            <w:r w:rsidRPr="00EC556A">
              <w:rPr>
                <w:b/>
                <w:color w:val="FF0000"/>
                <w:sz w:val="20"/>
              </w:rPr>
              <w:t>Perfluorooctane sulfonate</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pStyle w:val="Default"/>
              <w:spacing w:line="276" w:lineRule="auto"/>
              <w:rPr>
                <w:b/>
                <w:color w:val="FF0000"/>
                <w:sz w:val="20"/>
                <w:szCs w:val="20"/>
                <w:lang w:val="en-GB"/>
              </w:rPr>
            </w:pPr>
            <w:r w:rsidRPr="00EC556A">
              <w:rPr>
                <w:b/>
                <w:color w:val="FF0000"/>
                <w:sz w:val="20"/>
                <w:szCs w:val="20"/>
              </w:rPr>
              <w:t xml:space="preserve">1763-23-1 </w:t>
            </w: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color w:val="FF0000"/>
                <w:sz w:val="20"/>
              </w:rPr>
            </w:pPr>
            <w:r w:rsidRPr="00EC556A">
              <w:rPr>
                <w:b/>
                <w:color w:val="FF0000"/>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PFDcS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Perfluorodecane sulfonate</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335-77-3</w:t>
            </w: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
                <w:sz w:val="20"/>
              </w:rPr>
            </w:pPr>
            <w:r w:rsidRPr="00EC556A">
              <w:rPr>
                <w:b/>
                <w:sz w:val="20"/>
              </w:rPr>
              <w:t>Perfluoro carboxylates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PFBA</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Perfluorobutanoate</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pStyle w:val="Default"/>
              <w:spacing w:line="276" w:lineRule="auto"/>
              <w:rPr>
                <w:sz w:val="20"/>
                <w:szCs w:val="20"/>
                <w:lang w:val="en-GB"/>
              </w:rPr>
            </w:pPr>
            <w:r w:rsidRPr="00EC556A">
              <w:rPr>
                <w:sz w:val="20"/>
                <w:szCs w:val="20"/>
              </w:rPr>
              <w:t xml:space="preserve">375-22-4 </w:t>
            </w: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PFPA</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Perfluoropentanoate</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2706-90-3</w:t>
            </w: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PFHxA</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Perfluorohexanoate</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307-24-4</w:t>
            </w: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PFHpA</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Perfluoroheptanoate</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bCs/>
                <w:sz w:val="20"/>
              </w:rPr>
              <w:t>375-85-9</w:t>
            </w: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PFOA</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Perfluorooctanoate</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bCs/>
                <w:sz w:val="20"/>
              </w:rPr>
              <w:t>335-67-1</w:t>
            </w: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PFNA</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Perfluorononanoate</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bCs/>
                <w:sz w:val="20"/>
              </w:rPr>
              <w:t>375-95-1</w:t>
            </w: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PFDcA</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Perfluorodecanoate</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bCs/>
                <w:sz w:val="20"/>
              </w:rPr>
              <w:t xml:space="preserve">335-76-2 </w:t>
            </w: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PFUnA</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Perfluoroundecanoate</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pStyle w:val="Default"/>
              <w:spacing w:line="276" w:lineRule="auto"/>
              <w:rPr>
                <w:sz w:val="20"/>
                <w:szCs w:val="20"/>
                <w:lang w:val="en-GB"/>
              </w:rPr>
            </w:pPr>
            <w:r w:rsidRPr="00EC556A">
              <w:rPr>
                <w:sz w:val="20"/>
                <w:szCs w:val="20"/>
              </w:rPr>
              <w:t xml:space="preserve">2058-94-8 </w:t>
            </w: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PFDoA</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Perfluorododecanoate</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bCs/>
                <w:sz w:val="20"/>
              </w:rPr>
              <w:t>307-55-1</w:t>
            </w: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PFTrA</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Perfluorotetradecanoate</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bCs/>
                <w:sz w:val="20"/>
              </w:rPr>
              <w:t xml:space="preserve">376-06-7 </w:t>
            </w: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r w:rsidR="00CC1C95" w:rsidRPr="00B600A2">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b/>
                <w:sz w:val="20"/>
              </w:rPr>
              <w:t>Polyfluoro alkyl phosphate esters (PAPs)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Cs/>
                <w:sz w:val="20"/>
              </w:rPr>
            </w:pP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Del="00A37A9C" w:rsidRDefault="00CC1C95" w:rsidP="00EE0DB2">
            <w:pPr>
              <w:rPr>
                <w:sz w:val="20"/>
              </w:rPr>
            </w:pP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4:2 monoPAPs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4:2 mono alkylated phosphate ester</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6:2 monoPAPs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6:2 mono alkylated phosphate ester</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8:2 monoPAPs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8:2 mono alkylated phosphate ester</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10:2 monoPAPs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10:2 mono alkylated phosphate ester</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4:2/4:2 diPAPs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4:2/4:2 dialkylated mercapto ether phosphate diester</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4:2/6:2 diPAPs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4:2/6:2 dialkylated mercapto ether phosphate diester</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6:2/6:2 diPAPs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6:2/6:2 dialkylated phosphate diester</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6:2/8:2 diPAPs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6:2/8:2 dialkylated phosphate diester</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8:2/8:2 diPAPs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8:2/8:2 dialkylated phosphate diester</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Cs/>
                <w:sz w:val="20"/>
              </w:rPr>
            </w:pP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Del="00A37A9C"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8:2/10:2 diPAPs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8:2/10:2 dialkylated phosphate diester</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Cs/>
                <w:sz w:val="20"/>
              </w:rPr>
            </w:pP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Del="00A37A9C"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10:2/10:2 diPAPs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10:2/10:2 dialkylated phosphate diester</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10:2/12:2 diPAPs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10:2/12:2 dialkylated phosphate diester</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12:2/12:2 diPAPs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12:2/12:2 dialkylated phosphate diester</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r w:rsidR="00CC1C95" w:rsidRPr="00B600A2">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F32383">
            <w:pPr>
              <w:jc w:val="left"/>
              <w:rPr>
                <w:b/>
                <w:sz w:val="20"/>
              </w:rPr>
            </w:pPr>
            <w:r w:rsidRPr="00EC556A">
              <w:rPr>
                <w:b/>
                <w:sz w:val="20"/>
              </w:rPr>
              <w:t>Fluorotelomer Mercapto alkyl phosphate diesters</w:t>
            </w:r>
            <w:r>
              <w:rPr>
                <w:b/>
                <w:sz w:val="20"/>
              </w:rPr>
              <w:br/>
            </w:r>
            <w:r w:rsidRPr="00EC556A">
              <w:rPr>
                <w:b/>
                <w:sz w:val="20"/>
              </w:rPr>
              <w:t>FTMAPs (S-diPAPs)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Cs/>
                <w:sz w:val="20"/>
              </w:rPr>
            </w:pP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Del="00A37A9C" w:rsidRDefault="00CC1C95" w:rsidP="00EE0DB2">
            <w:pPr>
              <w:rPr>
                <w:sz w:val="20"/>
              </w:rPr>
            </w:pP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6:2/6:2 FTMAPs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6:2/6:2 dialkylated mercapto ether phosphate diester</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6:2/8:2 FTMAPs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6:2/8:2 dialkylated mercapto ether phosphate diester</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8:2/8:2 FTMAPs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8:2/8:2 dialkylated mercapto ether phosphate diester</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Cs/>
                <w:sz w:val="20"/>
              </w:rPr>
            </w:pP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Del="00A37A9C"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8:2/10:2 FTMAPs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8:2/10: dialkylated mercapto ether phosphate diester</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bCs/>
                <w:sz w:val="20"/>
              </w:rPr>
            </w:pP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Del="00A37A9C"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10:2/10:2 FTMAPs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10:2/10:2 dialkylated mercapto ether phosphate diester</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10:2/12:2 FTMAPs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10:2/12:2 dialkylated mercapto ether phosphate diester</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r w:rsidR="00CC1C95" w:rsidRPr="00EC556A">
        <w:tc>
          <w:tcPr>
            <w:tcW w:w="281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12:2/12:2 FTMAPs</w:t>
            </w:r>
          </w:p>
        </w:tc>
        <w:tc>
          <w:tcPr>
            <w:tcW w:w="3762"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12:2/12:2 dialkylated mercapto ether phosphate diester</w:t>
            </w:r>
          </w:p>
        </w:tc>
        <w:tc>
          <w:tcPr>
            <w:tcW w:w="117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p>
        </w:tc>
        <w:tc>
          <w:tcPr>
            <w:tcW w:w="1381" w:type="dxa"/>
            <w:tcBorders>
              <w:top w:val="single" w:sz="4" w:space="0" w:color="000000"/>
              <w:left w:val="single" w:sz="4" w:space="0" w:color="000000"/>
              <w:bottom w:val="single" w:sz="4" w:space="0" w:color="000000"/>
              <w:right w:val="single" w:sz="4" w:space="0" w:color="000000"/>
            </w:tcBorders>
          </w:tcPr>
          <w:p w:rsidR="00CC1C95" w:rsidRPr="00EC556A" w:rsidRDefault="00CC1C95" w:rsidP="00EE0DB2">
            <w:pPr>
              <w:rPr>
                <w:sz w:val="20"/>
              </w:rPr>
            </w:pPr>
            <w:r w:rsidRPr="00EC556A">
              <w:rPr>
                <w:sz w:val="20"/>
              </w:rPr>
              <w:t>LC-MS</w:t>
            </w:r>
          </w:p>
        </w:tc>
      </w:tr>
    </w:tbl>
    <w:p w:rsidR="00CC1C95" w:rsidRPr="00EC556A" w:rsidRDefault="00CC1C95" w:rsidP="00EE0DB2">
      <w:pPr>
        <w:pStyle w:val="BodyText"/>
        <w:spacing w:line="276" w:lineRule="auto"/>
        <w:rPr>
          <w:iCs/>
        </w:rPr>
      </w:pPr>
      <w:r w:rsidRPr="00EC556A">
        <w:rPr>
          <w:iCs/>
        </w:rPr>
        <w:t>*No CAS number available</w:t>
      </w:r>
    </w:p>
    <w:p w:rsidR="00CC1C95" w:rsidRPr="007A1048" w:rsidRDefault="00CC1C95" w:rsidP="00A165BC">
      <w:pPr>
        <w:pStyle w:val="Heading3"/>
        <w:numPr>
          <w:ilvl w:val="0"/>
          <w:numId w:val="0"/>
        </w:numPr>
        <w:snapToGrid/>
        <w:spacing w:before="240" w:after="60" w:line="276" w:lineRule="auto"/>
        <w:jc w:val="both"/>
        <w:rPr>
          <w:bCs w:val="0"/>
          <w:lang w:val="de-CH"/>
        </w:rPr>
      </w:pPr>
      <w:r w:rsidRPr="007A1048">
        <w:rPr>
          <w:lang w:val="de-CH"/>
        </w:rPr>
        <w:br w:type="page"/>
      </w:r>
      <w:bookmarkStart w:id="560" w:name="_Toc349335838"/>
      <w:r w:rsidRPr="007A1048">
        <w:rPr>
          <w:lang w:val="de-CH"/>
        </w:rPr>
        <w:t>PFOS LC/MS/MS chromatogram</w:t>
      </w:r>
      <w:bookmarkEnd w:id="560"/>
    </w:p>
    <w:p w:rsidR="0017674D" w:rsidRDefault="0017674D" w:rsidP="00EE0DB2"/>
    <w:p w:rsidR="0017674D" w:rsidRDefault="0017674D" w:rsidP="00EE0DB2"/>
    <w:p w:rsidR="0017674D" w:rsidRDefault="00F05101" w:rsidP="0017674D">
      <w:pPr>
        <w:jc w:val="left"/>
      </w:pPr>
      <w:r>
        <w:rPr>
          <w:noProof/>
          <w:lang w:eastAsia="en-GB"/>
        </w:rPr>
        <w:drawing>
          <wp:inline distT="0" distB="0" distL="0" distR="0">
            <wp:extent cx="5162550" cy="7543800"/>
            <wp:effectExtent l="19050" t="0" r="0" b="0"/>
            <wp:docPr id="1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cstate="print"/>
                    <a:srcRect/>
                    <a:stretch>
                      <a:fillRect/>
                    </a:stretch>
                  </pic:blipFill>
                  <pic:spPr bwMode="auto">
                    <a:xfrm>
                      <a:off x="0" y="0"/>
                      <a:ext cx="5162550" cy="7543800"/>
                    </a:xfrm>
                    <a:prstGeom prst="rect">
                      <a:avLst/>
                    </a:prstGeom>
                    <a:noFill/>
                    <a:ln w="9525">
                      <a:noFill/>
                      <a:miter lim="800000"/>
                      <a:headEnd/>
                      <a:tailEnd/>
                    </a:ln>
                  </pic:spPr>
                </pic:pic>
              </a:graphicData>
            </a:graphic>
          </wp:inline>
        </w:drawing>
      </w:r>
    </w:p>
    <w:p w:rsidR="00CC1C95" w:rsidRPr="00EC556A" w:rsidRDefault="00CC1C95" w:rsidP="0017674D">
      <w:pPr>
        <w:jc w:val="left"/>
      </w:pPr>
      <w:r w:rsidRPr="00EC556A">
        <w:t xml:space="preserve">Figure A2-9: Chromatogram of PFOS on </w:t>
      </w:r>
      <w:r w:rsidRPr="00EC556A">
        <w:rPr>
          <w:bCs/>
        </w:rPr>
        <w:t xml:space="preserve">Inersil ODS-SP </w:t>
      </w:r>
      <w:r w:rsidRPr="00EC556A">
        <w:t>column.</w:t>
      </w:r>
    </w:p>
    <w:p w:rsidR="00CC1C95" w:rsidRPr="00EC556A" w:rsidRDefault="00CC1C95" w:rsidP="00EE0DB2">
      <w:r w:rsidRPr="00EC556A">
        <w:t xml:space="preserve"> </w:t>
      </w:r>
      <w:r w:rsidRPr="00EC556A">
        <w:br w:type="page"/>
      </w:r>
    </w:p>
    <w:p w:rsidR="00CC1C95" w:rsidRPr="00F57342" w:rsidRDefault="00CC1C95" w:rsidP="002F2D66">
      <w:pPr>
        <w:pStyle w:val="Heading2"/>
        <w:numPr>
          <w:ilvl w:val="0"/>
          <w:numId w:val="0"/>
        </w:numPr>
        <w:snapToGrid/>
        <w:spacing w:before="240" w:after="60" w:line="276" w:lineRule="auto"/>
        <w:ind w:left="576" w:hanging="576"/>
        <w:jc w:val="both"/>
        <w:rPr>
          <w:rStyle w:val="Heading2Char2"/>
          <w:bCs/>
          <w:lang w:val="en-US"/>
        </w:rPr>
      </w:pPr>
      <w:bookmarkStart w:id="561" w:name="_Toc349335839"/>
      <w:r w:rsidRPr="00F57342">
        <w:rPr>
          <w:rStyle w:val="Heading2Char2"/>
          <w:b/>
          <w:lang w:val="en-US"/>
        </w:rPr>
        <w:t>Annex 2-E: LC/MS analysis of Chlordecone</w:t>
      </w:r>
      <w:bookmarkEnd w:id="561"/>
    </w:p>
    <w:p w:rsidR="00CC1C95" w:rsidRPr="00EC556A" w:rsidRDefault="00CC1C95" w:rsidP="00A165BC">
      <w:pPr>
        <w:pStyle w:val="Heading3"/>
        <w:numPr>
          <w:ilvl w:val="0"/>
          <w:numId w:val="0"/>
        </w:numPr>
        <w:snapToGrid/>
        <w:spacing w:before="240" w:after="60" w:line="276" w:lineRule="auto"/>
        <w:jc w:val="both"/>
        <w:rPr>
          <w:bCs w:val="0"/>
        </w:rPr>
      </w:pPr>
      <w:bookmarkStart w:id="562" w:name="_Toc349335840"/>
      <w:r w:rsidRPr="00EC556A">
        <w:t>Chlordecone LC/MS/MS conditions (example)</w:t>
      </w:r>
      <w:bookmarkEnd w:id="562"/>
    </w:p>
    <w:p w:rsidR="00CC1C95" w:rsidRPr="00EC556A" w:rsidRDefault="00CC1C95" w:rsidP="00EE0DB2"/>
    <w:tbl>
      <w:tblPr>
        <w:tblW w:w="8318" w:type="dxa"/>
        <w:tblCellSpacing w:w="0" w:type="dxa"/>
        <w:tblCellMar>
          <w:left w:w="0" w:type="dxa"/>
          <w:right w:w="0" w:type="dxa"/>
        </w:tblCellMar>
        <w:tblLook w:val="0000"/>
      </w:tblPr>
      <w:tblGrid>
        <w:gridCol w:w="2021"/>
        <w:gridCol w:w="408"/>
        <w:gridCol w:w="5889"/>
      </w:tblGrid>
      <w:tr w:rsidR="00CC1C95" w:rsidRPr="00EC556A">
        <w:trPr>
          <w:trHeight w:val="325"/>
          <w:tblCellSpacing w:w="0" w:type="dxa"/>
        </w:trPr>
        <w:tc>
          <w:tcPr>
            <w:tcW w:w="2021" w:type="dxa"/>
            <w:vAlign w:val="bottom"/>
          </w:tcPr>
          <w:p w:rsidR="00CC1C95" w:rsidRPr="00EC556A" w:rsidRDefault="00CC1C95" w:rsidP="00EE0DB2">
            <w:r w:rsidRPr="00EC556A">
              <w:rPr>
                <w:bCs/>
              </w:rPr>
              <w:t>LC Conditions</w:t>
            </w:r>
          </w:p>
        </w:tc>
        <w:tc>
          <w:tcPr>
            <w:tcW w:w="408" w:type="dxa"/>
            <w:vAlign w:val="bottom"/>
          </w:tcPr>
          <w:p w:rsidR="00CC1C95" w:rsidRPr="00EC556A" w:rsidRDefault="00CC1C95" w:rsidP="00EE0DB2">
            <w:r w:rsidRPr="00EC556A">
              <w:t> </w:t>
            </w:r>
          </w:p>
        </w:tc>
        <w:tc>
          <w:tcPr>
            <w:tcW w:w="5889" w:type="dxa"/>
            <w:vAlign w:val="bottom"/>
          </w:tcPr>
          <w:p w:rsidR="00CC1C95" w:rsidRPr="00EC556A" w:rsidRDefault="00CC1C95" w:rsidP="00EE0DB2">
            <w:r w:rsidRPr="00EC556A">
              <w:t> </w:t>
            </w:r>
          </w:p>
        </w:tc>
      </w:tr>
      <w:tr w:rsidR="00CC1C95" w:rsidRPr="00B600A2">
        <w:trPr>
          <w:trHeight w:val="325"/>
          <w:tblCellSpacing w:w="0" w:type="dxa"/>
        </w:trPr>
        <w:tc>
          <w:tcPr>
            <w:tcW w:w="2021" w:type="dxa"/>
            <w:vAlign w:val="bottom"/>
          </w:tcPr>
          <w:p w:rsidR="00CC1C95" w:rsidRPr="00EC556A" w:rsidRDefault="00CC1C95" w:rsidP="00EE0DB2">
            <w:r w:rsidRPr="00EC556A">
              <w:rPr>
                <w:bCs/>
              </w:rPr>
              <w:t>Instrument</w:t>
            </w:r>
          </w:p>
        </w:tc>
        <w:tc>
          <w:tcPr>
            <w:tcW w:w="408" w:type="dxa"/>
            <w:vAlign w:val="bottom"/>
          </w:tcPr>
          <w:p w:rsidR="00CC1C95" w:rsidRPr="00EC556A" w:rsidRDefault="00CC1C95" w:rsidP="00EE0DB2">
            <w:r w:rsidRPr="00EC556A">
              <w:rPr>
                <w:rFonts w:hint="eastAsia"/>
                <w:bCs/>
              </w:rPr>
              <w:t>：</w:t>
            </w:r>
          </w:p>
        </w:tc>
        <w:tc>
          <w:tcPr>
            <w:tcW w:w="5889" w:type="dxa"/>
            <w:vAlign w:val="bottom"/>
          </w:tcPr>
          <w:p w:rsidR="00CC1C95" w:rsidRPr="00EC556A" w:rsidRDefault="002F1B21" w:rsidP="00EE0DB2">
            <w:r>
              <w:rPr>
                <w:bCs/>
              </w:rPr>
              <w:t xml:space="preserve"> LC-MS/MS</w:t>
            </w:r>
          </w:p>
        </w:tc>
      </w:tr>
      <w:tr w:rsidR="00CC1C95" w:rsidRPr="00EC556A">
        <w:trPr>
          <w:trHeight w:val="537"/>
          <w:tblCellSpacing w:w="0" w:type="dxa"/>
        </w:trPr>
        <w:tc>
          <w:tcPr>
            <w:tcW w:w="2021" w:type="dxa"/>
          </w:tcPr>
          <w:p w:rsidR="00CC1C95" w:rsidRPr="00EC556A" w:rsidRDefault="00CC1C95" w:rsidP="00EE0DB2">
            <w:r w:rsidRPr="00EC556A">
              <w:rPr>
                <w:bCs/>
              </w:rPr>
              <w:t>Column</w:t>
            </w:r>
          </w:p>
        </w:tc>
        <w:tc>
          <w:tcPr>
            <w:tcW w:w="408" w:type="dxa"/>
          </w:tcPr>
          <w:p w:rsidR="00CC1C95" w:rsidRPr="00EC556A" w:rsidRDefault="00CC1C95" w:rsidP="00EE0DB2">
            <w:r w:rsidRPr="00EC556A">
              <w:rPr>
                <w:rFonts w:hint="eastAsia"/>
                <w:bCs/>
              </w:rPr>
              <w:t>：</w:t>
            </w:r>
          </w:p>
        </w:tc>
        <w:tc>
          <w:tcPr>
            <w:tcW w:w="5889" w:type="dxa"/>
            <w:vAlign w:val="bottom"/>
          </w:tcPr>
          <w:p w:rsidR="00CC1C95" w:rsidRPr="001149DF" w:rsidRDefault="002F1B21" w:rsidP="00EE0DB2">
            <w:pPr>
              <w:rPr>
                <w:bCs/>
                <w:lang w:val="pt-BR"/>
              </w:rPr>
            </w:pPr>
            <w:r>
              <w:rPr>
                <w:bCs/>
                <w:lang w:val="pt-BR"/>
              </w:rPr>
              <w:t xml:space="preserve"> </w:t>
            </w:r>
            <w:r w:rsidR="00CC1C95" w:rsidRPr="001149DF">
              <w:rPr>
                <w:bCs/>
                <w:lang w:val="pt-BR"/>
              </w:rPr>
              <w:t>Develosil C30-UG-5 (15 cm×2.0 mmID</w:t>
            </w:r>
            <w:r w:rsidR="00CC1C95" w:rsidRPr="00EC556A">
              <w:rPr>
                <w:rFonts w:hint="eastAsia"/>
                <w:bCs/>
              </w:rPr>
              <w:t>、</w:t>
            </w:r>
            <w:r w:rsidR="00CC1C95" w:rsidRPr="001149DF">
              <w:rPr>
                <w:bCs/>
                <w:lang w:val="pt-BR"/>
              </w:rPr>
              <w:t xml:space="preserve">5 </w:t>
            </w:r>
            <w:r w:rsidR="00CC1C95" w:rsidRPr="00EC556A">
              <w:rPr>
                <w:bCs/>
              </w:rPr>
              <w:t>μ</w:t>
            </w:r>
            <w:r w:rsidR="00CC1C95" w:rsidRPr="001149DF">
              <w:rPr>
                <w:bCs/>
                <w:lang w:val="pt-BR"/>
              </w:rPr>
              <w:t>m)</w:t>
            </w:r>
          </w:p>
          <w:p w:rsidR="00CC1C95" w:rsidRPr="00EC556A" w:rsidRDefault="00CC1C95" w:rsidP="00EE0DB2">
            <w:r w:rsidRPr="00EC556A">
              <w:rPr>
                <w:bCs/>
              </w:rPr>
              <w:t>Nomura chemical</w:t>
            </w:r>
          </w:p>
        </w:tc>
      </w:tr>
      <w:tr w:rsidR="00CC1C95" w:rsidRPr="00EC556A">
        <w:trPr>
          <w:trHeight w:val="325"/>
          <w:tblCellSpacing w:w="0" w:type="dxa"/>
        </w:trPr>
        <w:tc>
          <w:tcPr>
            <w:tcW w:w="2021" w:type="dxa"/>
            <w:vAlign w:val="bottom"/>
          </w:tcPr>
          <w:p w:rsidR="00CC1C95" w:rsidRPr="00EC556A" w:rsidRDefault="00CC1C95" w:rsidP="00EE0DB2">
            <w:r w:rsidRPr="00EC556A">
              <w:rPr>
                <w:bCs/>
              </w:rPr>
              <w:t>phase A</w:t>
            </w:r>
          </w:p>
        </w:tc>
        <w:tc>
          <w:tcPr>
            <w:tcW w:w="408" w:type="dxa"/>
          </w:tcPr>
          <w:p w:rsidR="00CC1C95" w:rsidRPr="00EC556A" w:rsidRDefault="00CC1C95" w:rsidP="00EE0DB2">
            <w:r w:rsidRPr="00EC556A">
              <w:rPr>
                <w:rFonts w:hint="eastAsia"/>
                <w:bCs/>
              </w:rPr>
              <w:t>：</w:t>
            </w:r>
          </w:p>
        </w:tc>
        <w:tc>
          <w:tcPr>
            <w:tcW w:w="5889" w:type="dxa"/>
            <w:vAlign w:val="bottom"/>
          </w:tcPr>
          <w:p w:rsidR="00CC1C95" w:rsidRPr="00EC556A" w:rsidRDefault="00CC1C95" w:rsidP="00EE0DB2">
            <w:r w:rsidRPr="00EC556A">
              <w:rPr>
                <w:bCs/>
              </w:rPr>
              <w:t>Water</w:t>
            </w:r>
          </w:p>
        </w:tc>
      </w:tr>
      <w:tr w:rsidR="00CC1C95" w:rsidRPr="00EC556A">
        <w:trPr>
          <w:trHeight w:val="325"/>
          <w:tblCellSpacing w:w="0" w:type="dxa"/>
        </w:trPr>
        <w:tc>
          <w:tcPr>
            <w:tcW w:w="2021" w:type="dxa"/>
            <w:vAlign w:val="bottom"/>
          </w:tcPr>
          <w:p w:rsidR="00CC1C95" w:rsidRPr="00EC556A" w:rsidRDefault="00CC1C95" w:rsidP="002F2D66">
            <w:r w:rsidRPr="00EC556A">
              <w:rPr>
                <w:bCs/>
              </w:rPr>
              <w:t>ph</w:t>
            </w:r>
            <w:r w:rsidR="002F2D66">
              <w:rPr>
                <w:bCs/>
              </w:rPr>
              <w:t>a</w:t>
            </w:r>
            <w:r w:rsidRPr="00EC556A">
              <w:rPr>
                <w:bCs/>
              </w:rPr>
              <w:t>se B</w:t>
            </w:r>
          </w:p>
        </w:tc>
        <w:tc>
          <w:tcPr>
            <w:tcW w:w="408" w:type="dxa"/>
          </w:tcPr>
          <w:p w:rsidR="00CC1C95" w:rsidRPr="00EC556A" w:rsidRDefault="00CC1C95" w:rsidP="00EE0DB2">
            <w:r w:rsidRPr="00EC556A">
              <w:rPr>
                <w:rFonts w:hint="eastAsia"/>
                <w:bCs/>
              </w:rPr>
              <w:t>：</w:t>
            </w:r>
          </w:p>
        </w:tc>
        <w:tc>
          <w:tcPr>
            <w:tcW w:w="5889" w:type="dxa"/>
            <w:vAlign w:val="bottom"/>
          </w:tcPr>
          <w:p w:rsidR="00CC1C95" w:rsidRPr="00EC556A" w:rsidRDefault="00CC1C95" w:rsidP="00EE0DB2">
            <w:r w:rsidRPr="00EC556A">
              <w:rPr>
                <w:bCs/>
              </w:rPr>
              <w:t>Methanol</w:t>
            </w:r>
          </w:p>
        </w:tc>
      </w:tr>
      <w:tr w:rsidR="00CC1C95" w:rsidRPr="00B600A2">
        <w:trPr>
          <w:trHeight w:val="976"/>
          <w:tblCellSpacing w:w="0" w:type="dxa"/>
        </w:trPr>
        <w:tc>
          <w:tcPr>
            <w:tcW w:w="2021" w:type="dxa"/>
          </w:tcPr>
          <w:p w:rsidR="00CC1C95" w:rsidRPr="00EC556A" w:rsidRDefault="00CC1C95" w:rsidP="00EE0DB2">
            <w:r w:rsidRPr="00EC556A">
              <w:rPr>
                <w:bCs/>
              </w:rPr>
              <w:t>gradient</w:t>
            </w:r>
          </w:p>
        </w:tc>
        <w:tc>
          <w:tcPr>
            <w:tcW w:w="408" w:type="dxa"/>
          </w:tcPr>
          <w:p w:rsidR="00CC1C95" w:rsidRPr="00EC556A" w:rsidRDefault="00CC1C95" w:rsidP="00EE0DB2">
            <w:r w:rsidRPr="00EC556A">
              <w:rPr>
                <w:rFonts w:hint="eastAsia"/>
                <w:bCs/>
              </w:rPr>
              <w:t>：</w:t>
            </w:r>
          </w:p>
        </w:tc>
        <w:tc>
          <w:tcPr>
            <w:tcW w:w="5889" w:type="dxa"/>
            <w:vAlign w:val="bottom"/>
          </w:tcPr>
          <w:p w:rsidR="00CC1C95" w:rsidRPr="00EC556A" w:rsidRDefault="00CC1C95" w:rsidP="00EE0DB2">
            <w:pPr>
              <w:rPr>
                <w:bCs/>
              </w:rPr>
            </w:pPr>
            <w:r w:rsidRPr="00EC556A">
              <w:rPr>
                <w:bCs/>
              </w:rPr>
              <w:t>0-3</w:t>
            </w:r>
            <w:r w:rsidR="002F2D66">
              <w:rPr>
                <w:bCs/>
              </w:rPr>
              <w:t xml:space="preserve"> </w:t>
            </w:r>
            <w:r w:rsidRPr="00EC556A">
              <w:rPr>
                <w:bCs/>
              </w:rPr>
              <w:t>min</w:t>
            </w:r>
            <w:r w:rsidRPr="00EC556A">
              <w:rPr>
                <w:rFonts w:hint="eastAsia"/>
                <w:bCs/>
              </w:rPr>
              <w:t xml:space="preserve">　</w:t>
            </w:r>
            <w:r w:rsidRPr="00EC556A">
              <w:rPr>
                <w:bCs/>
              </w:rPr>
              <w:t xml:space="preserve">  A</w:t>
            </w:r>
            <w:r w:rsidRPr="00EC556A">
              <w:rPr>
                <w:rFonts w:hint="eastAsia"/>
                <w:bCs/>
              </w:rPr>
              <w:t>：</w:t>
            </w:r>
            <w:r w:rsidRPr="00EC556A">
              <w:rPr>
                <w:bCs/>
              </w:rPr>
              <w:t>40%</w:t>
            </w:r>
            <w:r w:rsidRPr="00EC556A">
              <w:rPr>
                <w:rFonts w:hint="eastAsia"/>
                <w:bCs/>
              </w:rPr>
              <w:t xml:space="preserve">　</w:t>
            </w:r>
            <w:r w:rsidRPr="00EC556A">
              <w:rPr>
                <w:bCs/>
              </w:rPr>
              <w:t>B</w:t>
            </w:r>
            <w:r w:rsidRPr="00EC556A">
              <w:rPr>
                <w:rFonts w:hint="eastAsia"/>
                <w:bCs/>
              </w:rPr>
              <w:t>：</w:t>
            </w:r>
            <w:r w:rsidRPr="00EC556A">
              <w:rPr>
                <w:bCs/>
              </w:rPr>
              <w:t>60%</w:t>
            </w:r>
          </w:p>
          <w:p w:rsidR="00CC1C95" w:rsidRPr="00EC556A" w:rsidRDefault="00CC1C95" w:rsidP="00EE0DB2">
            <w:pPr>
              <w:rPr>
                <w:bCs/>
              </w:rPr>
            </w:pPr>
            <w:r w:rsidRPr="00EC556A">
              <w:rPr>
                <w:bCs/>
              </w:rPr>
              <w:t>3-7</w:t>
            </w:r>
            <w:r w:rsidR="002F2D66">
              <w:rPr>
                <w:bCs/>
              </w:rPr>
              <w:t xml:space="preserve"> </w:t>
            </w:r>
            <w:r w:rsidRPr="00EC556A">
              <w:rPr>
                <w:bCs/>
              </w:rPr>
              <w:t>min</w:t>
            </w:r>
            <w:r w:rsidRPr="00EC556A">
              <w:rPr>
                <w:rFonts w:hint="eastAsia"/>
                <w:bCs/>
              </w:rPr>
              <w:t xml:space="preserve">　</w:t>
            </w:r>
            <w:r w:rsidRPr="00EC556A">
              <w:rPr>
                <w:bCs/>
              </w:rPr>
              <w:t xml:space="preserve">  A</w:t>
            </w:r>
            <w:r w:rsidRPr="00EC556A">
              <w:rPr>
                <w:rFonts w:hint="eastAsia"/>
                <w:bCs/>
              </w:rPr>
              <w:t>：</w:t>
            </w:r>
            <w:r w:rsidRPr="00EC556A">
              <w:rPr>
                <w:bCs/>
              </w:rPr>
              <w:t>40→0%</w:t>
            </w:r>
            <w:r w:rsidRPr="00EC556A">
              <w:rPr>
                <w:rFonts w:hint="eastAsia"/>
                <w:bCs/>
              </w:rPr>
              <w:t xml:space="preserve">　</w:t>
            </w:r>
            <w:r w:rsidRPr="00EC556A">
              <w:rPr>
                <w:bCs/>
              </w:rPr>
              <w:t>B</w:t>
            </w:r>
            <w:r w:rsidRPr="00EC556A">
              <w:rPr>
                <w:rFonts w:hint="eastAsia"/>
                <w:bCs/>
              </w:rPr>
              <w:t>：</w:t>
            </w:r>
            <w:r w:rsidRPr="00EC556A">
              <w:rPr>
                <w:bCs/>
              </w:rPr>
              <w:t>60→100%</w:t>
            </w:r>
          </w:p>
          <w:p w:rsidR="00CC1C95" w:rsidRPr="00EC556A" w:rsidRDefault="00CC1C95" w:rsidP="00EE0DB2">
            <w:pPr>
              <w:rPr>
                <w:bCs/>
              </w:rPr>
            </w:pPr>
            <w:r w:rsidRPr="00EC556A">
              <w:rPr>
                <w:bCs/>
              </w:rPr>
              <w:t>7-19</w:t>
            </w:r>
            <w:r w:rsidR="002F2D66">
              <w:rPr>
                <w:bCs/>
              </w:rPr>
              <w:t xml:space="preserve"> </w:t>
            </w:r>
            <w:r w:rsidRPr="00EC556A">
              <w:rPr>
                <w:bCs/>
              </w:rPr>
              <w:t>min</w:t>
            </w:r>
            <w:r w:rsidRPr="00EC556A">
              <w:rPr>
                <w:rFonts w:hint="eastAsia"/>
                <w:bCs/>
              </w:rPr>
              <w:t xml:space="preserve">　</w:t>
            </w:r>
            <w:r w:rsidRPr="00EC556A">
              <w:rPr>
                <w:bCs/>
              </w:rPr>
              <w:t>A</w:t>
            </w:r>
            <w:r w:rsidRPr="00EC556A">
              <w:rPr>
                <w:rFonts w:hint="eastAsia"/>
                <w:bCs/>
              </w:rPr>
              <w:t>：</w:t>
            </w:r>
            <w:r w:rsidRPr="00EC556A">
              <w:rPr>
                <w:bCs/>
              </w:rPr>
              <w:t>0%</w:t>
            </w:r>
            <w:r w:rsidRPr="00EC556A">
              <w:rPr>
                <w:rFonts w:hint="eastAsia"/>
                <w:bCs/>
              </w:rPr>
              <w:t xml:space="preserve">　</w:t>
            </w:r>
            <w:r w:rsidRPr="00EC556A">
              <w:rPr>
                <w:bCs/>
              </w:rPr>
              <w:t xml:space="preserve"> B</w:t>
            </w:r>
            <w:r w:rsidRPr="00EC556A">
              <w:rPr>
                <w:rFonts w:hint="eastAsia"/>
                <w:bCs/>
              </w:rPr>
              <w:t>：</w:t>
            </w:r>
            <w:r w:rsidRPr="00EC556A">
              <w:rPr>
                <w:bCs/>
              </w:rPr>
              <w:t>100%</w:t>
            </w:r>
          </w:p>
          <w:p w:rsidR="00CC1C95" w:rsidRPr="00EC556A" w:rsidRDefault="00CC1C95" w:rsidP="00EE0DB2">
            <w:r w:rsidRPr="00EC556A">
              <w:rPr>
                <w:bCs/>
              </w:rPr>
              <w:t>19-26</w:t>
            </w:r>
            <w:r w:rsidR="002F2D66">
              <w:rPr>
                <w:bCs/>
              </w:rPr>
              <w:t xml:space="preserve"> </w:t>
            </w:r>
            <w:r w:rsidRPr="00EC556A">
              <w:rPr>
                <w:bCs/>
              </w:rPr>
              <w:t>min</w:t>
            </w:r>
            <w:r w:rsidRPr="00EC556A">
              <w:rPr>
                <w:rFonts w:hint="eastAsia"/>
                <w:bCs/>
              </w:rPr>
              <w:t xml:space="preserve">　</w:t>
            </w:r>
            <w:r w:rsidRPr="00EC556A">
              <w:rPr>
                <w:bCs/>
              </w:rPr>
              <w:t>A</w:t>
            </w:r>
            <w:r w:rsidRPr="00EC556A">
              <w:rPr>
                <w:rFonts w:hint="eastAsia"/>
                <w:bCs/>
              </w:rPr>
              <w:t>：</w:t>
            </w:r>
            <w:r w:rsidRPr="00EC556A">
              <w:rPr>
                <w:bCs/>
              </w:rPr>
              <w:t>40%</w:t>
            </w:r>
            <w:r w:rsidRPr="00EC556A">
              <w:rPr>
                <w:rFonts w:hint="eastAsia"/>
                <w:bCs/>
              </w:rPr>
              <w:t xml:space="preserve">　</w:t>
            </w:r>
            <w:r w:rsidRPr="00EC556A">
              <w:rPr>
                <w:bCs/>
              </w:rPr>
              <w:t>B</w:t>
            </w:r>
            <w:r w:rsidRPr="00EC556A">
              <w:rPr>
                <w:rFonts w:hint="eastAsia"/>
                <w:bCs/>
              </w:rPr>
              <w:t>：</w:t>
            </w:r>
            <w:r w:rsidRPr="00EC556A">
              <w:rPr>
                <w:bCs/>
              </w:rPr>
              <w:t>60%</w:t>
            </w:r>
          </w:p>
        </w:tc>
      </w:tr>
      <w:tr w:rsidR="00CC1C95" w:rsidRPr="00EC556A">
        <w:trPr>
          <w:trHeight w:val="325"/>
          <w:tblCellSpacing w:w="0" w:type="dxa"/>
        </w:trPr>
        <w:tc>
          <w:tcPr>
            <w:tcW w:w="2021" w:type="dxa"/>
            <w:vAlign w:val="bottom"/>
          </w:tcPr>
          <w:p w:rsidR="00CC1C95" w:rsidRPr="00EC556A" w:rsidRDefault="00CC1C95" w:rsidP="00EE0DB2">
            <w:r w:rsidRPr="00EC556A">
              <w:rPr>
                <w:bCs/>
              </w:rPr>
              <w:t>Flow rate</w:t>
            </w:r>
          </w:p>
        </w:tc>
        <w:tc>
          <w:tcPr>
            <w:tcW w:w="408" w:type="dxa"/>
            <w:vAlign w:val="bottom"/>
          </w:tcPr>
          <w:p w:rsidR="00CC1C95" w:rsidRPr="00EC556A" w:rsidRDefault="00CC1C95" w:rsidP="00EE0DB2">
            <w:r w:rsidRPr="00EC556A">
              <w:rPr>
                <w:rFonts w:hint="eastAsia"/>
                <w:bCs/>
              </w:rPr>
              <w:t>：</w:t>
            </w:r>
          </w:p>
        </w:tc>
        <w:tc>
          <w:tcPr>
            <w:tcW w:w="5889" w:type="dxa"/>
            <w:vAlign w:val="bottom"/>
          </w:tcPr>
          <w:p w:rsidR="00CC1C95" w:rsidRPr="00EC556A" w:rsidRDefault="00CC1C95" w:rsidP="00EE0DB2">
            <w:r w:rsidRPr="00EC556A">
              <w:rPr>
                <w:bCs/>
              </w:rPr>
              <w:t>0.2</w:t>
            </w:r>
            <w:r w:rsidR="002F2D66">
              <w:rPr>
                <w:bCs/>
              </w:rPr>
              <w:t xml:space="preserve"> </w:t>
            </w:r>
            <w:r w:rsidRPr="00EC556A">
              <w:rPr>
                <w:bCs/>
              </w:rPr>
              <w:t>mL/min</w:t>
            </w:r>
          </w:p>
        </w:tc>
      </w:tr>
      <w:tr w:rsidR="00CC1C95" w:rsidRPr="00EC556A">
        <w:trPr>
          <w:trHeight w:val="325"/>
          <w:tblCellSpacing w:w="0" w:type="dxa"/>
        </w:trPr>
        <w:tc>
          <w:tcPr>
            <w:tcW w:w="2021" w:type="dxa"/>
            <w:vAlign w:val="bottom"/>
          </w:tcPr>
          <w:p w:rsidR="00CC1C95" w:rsidRPr="00EC556A" w:rsidRDefault="00CC1C95" w:rsidP="00EE0DB2">
            <w:r w:rsidRPr="00EC556A">
              <w:rPr>
                <w:bCs/>
              </w:rPr>
              <w:t>Col. temp.</w:t>
            </w:r>
          </w:p>
        </w:tc>
        <w:tc>
          <w:tcPr>
            <w:tcW w:w="408" w:type="dxa"/>
            <w:vAlign w:val="bottom"/>
          </w:tcPr>
          <w:p w:rsidR="00CC1C95" w:rsidRPr="00EC556A" w:rsidRDefault="00CC1C95" w:rsidP="00EE0DB2">
            <w:r w:rsidRPr="00EC556A">
              <w:rPr>
                <w:rFonts w:hint="eastAsia"/>
                <w:bCs/>
              </w:rPr>
              <w:t>：</w:t>
            </w:r>
          </w:p>
        </w:tc>
        <w:tc>
          <w:tcPr>
            <w:tcW w:w="5889" w:type="dxa"/>
            <w:vAlign w:val="bottom"/>
          </w:tcPr>
          <w:p w:rsidR="00CC1C95" w:rsidRPr="00EC556A" w:rsidRDefault="00CC1C95" w:rsidP="00EE0DB2">
            <w:r w:rsidRPr="00EC556A">
              <w:rPr>
                <w:bCs/>
              </w:rPr>
              <w:t>40 °C</w:t>
            </w:r>
          </w:p>
        </w:tc>
      </w:tr>
      <w:tr w:rsidR="00CC1C95" w:rsidRPr="00EC556A">
        <w:trPr>
          <w:trHeight w:val="325"/>
          <w:tblCellSpacing w:w="0" w:type="dxa"/>
        </w:trPr>
        <w:tc>
          <w:tcPr>
            <w:tcW w:w="2021" w:type="dxa"/>
            <w:vAlign w:val="bottom"/>
          </w:tcPr>
          <w:p w:rsidR="00CC1C95" w:rsidRPr="00EC556A" w:rsidRDefault="00CC1C95" w:rsidP="00EE0DB2">
            <w:r w:rsidRPr="00EC556A">
              <w:rPr>
                <w:bCs/>
              </w:rPr>
              <w:t>Inj. volume</w:t>
            </w:r>
          </w:p>
        </w:tc>
        <w:tc>
          <w:tcPr>
            <w:tcW w:w="408" w:type="dxa"/>
            <w:vAlign w:val="bottom"/>
          </w:tcPr>
          <w:p w:rsidR="00CC1C95" w:rsidRPr="00EC556A" w:rsidRDefault="00CC1C95" w:rsidP="00EE0DB2">
            <w:r w:rsidRPr="00EC556A">
              <w:rPr>
                <w:rFonts w:hint="eastAsia"/>
                <w:bCs/>
              </w:rPr>
              <w:t>：</w:t>
            </w:r>
          </w:p>
        </w:tc>
        <w:tc>
          <w:tcPr>
            <w:tcW w:w="5889" w:type="dxa"/>
            <w:vAlign w:val="bottom"/>
          </w:tcPr>
          <w:p w:rsidR="00CC1C95" w:rsidRPr="00EC556A" w:rsidRDefault="00CC1C95" w:rsidP="00EE0DB2">
            <w:r w:rsidRPr="00EC556A">
              <w:rPr>
                <w:bCs/>
              </w:rPr>
              <w:t>10</w:t>
            </w:r>
            <w:r w:rsidR="002F2D66">
              <w:rPr>
                <w:bCs/>
              </w:rPr>
              <w:t xml:space="preserve"> </w:t>
            </w:r>
            <w:r w:rsidRPr="00EC556A">
              <w:rPr>
                <w:bCs/>
              </w:rPr>
              <w:t>μL</w:t>
            </w:r>
          </w:p>
        </w:tc>
      </w:tr>
      <w:tr w:rsidR="00CC1C95" w:rsidRPr="00EC556A">
        <w:trPr>
          <w:trHeight w:val="325"/>
          <w:tblCellSpacing w:w="0" w:type="dxa"/>
        </w:trPr>
        <w:tc>
          <w:tcPr>
            <w:tcW w:w="2021" w:type="dxa"/>
            <w:vAlign w:val="bottom"/>
          </w:tcPr>
          <w:p w:rsidR="00CC1C95" w:rsidRPr="00EC556A" w:rsidRDefault="00CC1C95" w:rsidP="002F2D66">
            <w:r w:rsidRPr="00EC556A">
              <w:rPr>
                <w:bCs/>
              </w:rPr>
              <w:t>MS Conditions</w:t>
            </w:r>
          </w:p>
        </w:tc>
        <w:tc>
          <w:tcPr>
            <w:tcW w:w="408" w:type="dxa"/>
            <w:vAlign w:val="bottom"/>
          </w:tcPr>
          <w:p w:rsidR="00CC1C95" w:rsidRPr="00EC556A" w:rsidRDefault="00CC1C95" w:rsidP="00EE0DB2">
            <w:r w:rsidRPr="00EC556A">
              <w:t> </w:t>
            </w:r>
          </w:p>
        </w:tc>
        <w:tc>
          <w:tcPr>
            <w:tcW w:w="5889" w:type="dxa"/>
            <w:vAlign w:val="bottom"/>
          </w:tcPr>
          <w:p w:rsidR="00CC1C95" w:rsidRPr="00EC556A" w:rsidRDefault="00CC1C95" w:rsidP="00EE0DB2">
            <w:r w:rsidRPr="00EC556A">
              <w:t> </w:t>
            </w:r>
          </w:p>
        </w:tc>
      </w:tr>
      <w:tr w:rsidR="00CC1C95" w:rsidRPr="00EC556A">
        <w:trPr>
          <w:trHeight w:val="325"/>
          <w:tblCellSpacing w:w="0" w:type="dxa"/>
        </w:trPr>
        <w:tc>
          <w:tcPr>
            <w:tcW w:w="2021" w:type="dxa"/>
            <w:vAlign w:val="bottom"/>
          </w:tcPr>
          <w:p w:rsidR="00CC1C95" w:rsidRPr="00EC556A" w:rsidRDefault="00CC1C95" w:rsidP="00EE0DB2">
            <w:r w:rsidRPr="00EC556A">
              <w:rPr>
                <w:bCs/>
              </w:rPr>
              <w:t>Instrument</w:t>
            </w:r>
          </w:p>
        </w:tc>
        <w:tc>
          <w:tcPr>
            <w:tcW w:w="408" w:type="dxa"/>
            <w:vAlign w:val="bottom"/>
          </w:tcPr>
          <w:p w:rsidR="00CC1C95" w:rsidRPr="00EC556A" w:rsidRDefault="00CC1C95" w:rsidP="00EE0DB2">
            <w:r w:rsidRPr="00EC556A">
              <w:rPr>
                <w:rFonts w:hint="eastAsia"/>
                <w:bCs/>
              </w:rPr>
              <w:t>：</w:t>
            </w:r>
          </w:p>
        </w:tc>
        <w:tc>
          <w:tcPr>
            <w:tcW w:w="5889" w:type="dxa"/>
            <w:vAlign w:val="bottom"/>
          </w:tcPr>
          <w:p w:rsidR="00CC1C95" w:rsidRPr="00EC556A" w:rsidRDefault="00CC1C95" w:rsidP="00EE0DB2">
            <w:r w:rsidRPr="00EC556A">
              <w:rPr>
                <w:bCs/>
              </w:rPr>
              <w:t>API 4000(Applied Biosystems)</w:t>
            </w:r>
          </w:p>
        </w:tc>
      </w:tr>
      <w:tr w:rsidR="00CC1C95" w:rsidRPr="00EC556A">
        <w:trPr>
          <w:trHeight w:val="325"/>
          <w:tblCellSpacing w:w="0" w:type="dxa"/>
        </w:trPr>
        <w:tc>
          <w:tcPr>
            <w:tcW w:w="2021" w:type="dxa"/>
            <w:vAlign w:val="bottom"/>
          </w:tcPr>
          <w:p w:rsidR="00CC1C95" w:rsidRPr="00EC556A" w:rsidRDefault="00CC1C95" w:rsidP="00EE0DB2">
            <w:r w:rsidRPr="00EC556A">
              <w:rPr>
                <w:bCs/>
              </w:rPr>
              <w:t>ionization</w:t>
            </w:r>
          </w:p>
        </w:tc>
        <w:tc>
          <w:tcPr>
            <w:tcW w:w="408" w:type="dxa"/>
            <w:vAlign w:val="bottom"/>
          </w:tcPr>
          <w:p w:rsidR="00CC1C95" w:rsidRPr="00EC556A" w:rsidRDefault="00CC1C95" w:rsidP="00EE0DB2">
            <w:r w:rsidRPr="00EC556A">
              <w:rPr>
                <w:rFonts w:hint="eastAsia"/>
                <w:bCs/>
              </w:rPr>
              <w:t>：</w:t>
            </w:r>
          </w:p>
        </w:tc>
        <w:tc>
          <w:tcPr>
            <w:tcW w:w="5889" w:type="dxa"/>
            <w:vAlign w:val="bottom"/>
          </w:tcPr>
          <w:p w:rsidR="00CC1C95" w:rsidRPr="00EC556A" w:rsidRDefault="00CC1C95" w:rsidP="00EE0DB2">
            <w:r w:rsidRPr="00EC556A">
              <w:rPr>
                <w:bCs/>
              </w:rPr>
              <w:t>ESI negative</w:t>
            </w:r>
          </w:p>
        </w:tc>
      </w:tr>
      <w:tr w:rsidR="00CC1C95" w:rsidRPr="00B600A2">
        <w:trPr>
          <w:trHeight w:val="325"/>
          <w:tblCellSpacing w:w="0" w:type="dxa"/>
        </w:trPr>
        <w:tc>
          <w:tcPr>
            <w:tcW w:w="2021" w:type="dxa"/>
            <w:vAlign w:val="bottom"/>
          </w:tcPr>
          <w:p w:rsidR="00CC1C95" w:rsidRPr="00EC556A" w:rsidRDefault="00CC1C95" w:rsidP="00EE0DB2">
            <w:r w:rsidRPr="00EC556A">
              <w:rPr>
                <w:bCs/>
              </w:rPr>
              <w:t>Monitor ions</w:t>
            </w:r>
            <w:r w:rsidR="002F2D66">
              <w:rPr>
                <w:bCs/>
              </w:rPr>
              <w:t xml:space="preserve"> (</w:t>
            </w:r>
            <w:r w:rsidR="002F2D66" w:rsidRPr="002F2D66">
              <w:rPr>
                <w:bCs/>
                <w:i/>
              </w:rPr>
              <w:t>m/z</w:t>
            </w:r>
            <w:r w:rsidR="002F2D66">
              <w:rPr>
                <w:bCs/>
              </w:rPr>
              <w:t>)</w:t>
            </w:r>
          </w:p>
        </w:tc>
        <w:tc>
          <w:tcPr>
            <w:tcW w:w="408" w:type="dxa"/>
            <w:vAlign w:val="bottom"/>
          </w:tcPr>
          <w:p w:rsidR="00CC1C95" w:rsidRPr="00EC556A" w:rsidRDefault="00CC1C95" w:rsidP="00EE0DB2">
            <w:r w:rsidRPr="00EC556A">
              <w:t> </w:t>
            </w:r>
          </w:p>
        </w:tc>
        <w:tc>
          <w:tcPr>
            <w:tcW w:w="5889" w:type="dxa"/>
            <w:vAlign w:val="bottom"/>
          </w:tcPr>
          <w:p w:rsidR="00CC1C95" w:rsidRPr="00EC556A" w:rsidRDefault="00CC1C95" w:rsidP="00EE0DB2">
            <w:pPr>
              <w:rPr>
                <w:bCs/>
              </w:rPr>
            </w:pPr>
            <w:r w:rsidRPr="00EC556A">
              <w:rPr>
                <w:bCs/>
              </w:rPr>
              <w:t>Chlordecone 506.7→426.5</w:t>
            </w:r>
            <w:r w:rsidRPr="00EC556A">
              <w:rPr>
                <w:rFonts w:hint="eastAsia"/>
                <w:bCs/>
              </w:rPr>
              <w:t xml:space="preserve">　</w:t>
            </w:r>
            <w:r w:rsidRPr="00EC556A">
              <w:rPr>
                <w:bCs/>
              </w:rPr>
              <w:t>(quant.)</w:t>
            </w:r>
          </w:p>
          <w:p w:rsidR="00CC1C95" w:rsidRPr="00EC556A" w:rsidRDefault="00CC1C95" w:rsidP="002F2D66">
            <w:pPr>
              <w:ind w:firstLineChars="550" w:firstLine="1210"/>
            </w:pPr>
            <w:r w:rsidRPr="00EC556A">
              <w:rPr>
                <w:rFonts w:eastAsia="MS PMincho"/>
              </w:rPr>
              <w:t xml:space="preserve">508.7→428.8 </w:t>
            </w:r>
            <w:r w:rsidR="002F2D66">
              <w:rPr>
                <w:bCs/>
              </w:rPr>
              <w:t>(</w:t>
            </w:r>
            <w:r w:rsidRPr="002F2D66">
              <w:rPr>
                <w:bCs/>
              </w:rPr>
              <w:t>confirm</w:t>
            </w:r>
            <w:r w:rsidR="002F2D66">
              <w:rPr>
                <w:bCs/>
              </w:rPr>
              <w:t>)</w:t>
            </w:r>
          </w:p>
        </w:tc>
      </w:tr>
      <w:tr w:rsidR="00CC1C95" w:rsidRPr="00EC556A">
        <w:trPr>
          <w:trHeight w:val="325"/>
          <w:tblCellSpacing w:w="0" w:type="dxa"/>
        </w:trPr>
        <w:tc>
          <w:tcPr>
            <w:tcW w:w="2021" w:type="dxa"/>
            <w:vAlign w:val="bottom"/>
          </w:tcPr>
          <w:p w:rsidR="00CC1C95" w:rsidRPr="00EC556A" w:rsidRDefault="00CC1C95" w:rsidP="00EE0DB2">
            <w:r w:rsidRPr="00EC556A">
              <w:t> </w:t>
            </w:r>
          </w:p>
        </w:tc>
        <w:tc>
          <w:tcPr>
            <w:tcW w:w="408" w:type="dxa"/>
            <w:vAlign w:val="bottom"/>
          </w:tcPr>
          <w:p w:rsidR="00CC1C95" w:rsidRPr="00EC556A" w:rsidRDefault="00CC1C95" w:rsidP="00EE0DB2">
            <w:r w:rsidRPr="00EC556A">
              <w:t> </w:t>
            </w:r>
          </w:p>
        </w:tc>
        <w:tc>
          <w:tcPr>
            <w:tcW w:w="5889" w:type="dxa"/>
            <w:vAlign w:val="bottom"/>
          </w:tcPr>
          <w:p w:rsidR="00CC1C95" w:rsidRPr="00EC556A" w:rsidRDefault="00CC1C95" w:rsidP="00EE0DB2">
            <w:r w:rsidRPr="002F2D66">
              <w:rPr>
                <w:bCs/>
                <w:vertAlign w:val="superscript"/>
              </w:rPr>
              <w:t>13</w:t>
            </w:r>
            <w:r w:rsidRPr="00EC556A">
              <w:rPr>
                <w:bCs/>
                <w:i/>
                <w:iCs/>
              </w:rPr>
              <w:t>C</w:t>
            </w:r>
            <w:r w:rsidRPr="002F2D66">
              <w:rPr>
                <w:bCs/>
                <w:vertAlign w:val="subscript"/>
              </w:rPr>
              <w:t>10</w:t>
            </w:r>
            <w:r w:rsidRPr="00EC556A">
              <w:rPr>
                <w:bCs/>
              </w:rPr>
              <w:t xml:space="preserve">-Chlordecone 516.8→435.7 </w:t>
            </w:r>
          </w:p>
        </w:tc>
      </w:tr>
      <w:tr w:rsidR="00CC1C95" w:rsidRPr="00EC556A">
        <w:trPr>
          <w:trHeight w:val="325"/>
          <w:tblCellSpacing w:w="0" w:type="dxa"/>
        </w:trPr>
        <w:tc>
          <w:tcPr>
            <w:tcW w:w="2021" w:type="dxa"/>
            <w:vAlign w:val="bottom"/>
          </w:tcPr>
          <w:p w:rsidR="00CC1C95" w:rsidRPr="00EC556A" w:rsidRDefault="00CC1C95" w:rsidP="00EE0DB2">
            <w:r w:rsidRPr="00EC556A">
              <w:t> </w:t>
            </w:r>
          </w:p>
        </w:tc>
        <w:tc>
          <w:tcPr>
            <w:tcW w:w="408" w:type="dxa"/>
            <w:vAlign w:val="bottom"/>
          </w:tcPr>
          <w:p w:rsidR="00CC1C95" w:rsidRPr="00EC556A" w:rsidRDefault="00CC1C95" w:rsidP="00EE0DB2">
            <w:r w:rsidRPr="00EC556A">
              <w:t> </w:t>
            </w:r>
          </w:p>
        </w:tc>
        <w:tc>
          <w:tcPr>
            <w:tcW w:w="5889" w:type="dxa"/>
            <w:vAlign w:val="bottom"/>
          </w:tcPr>
          <w:p w:rsidR="00CC1C95" w:rsidRPr="00EC556A" w:rsidRDefault="00CC1C95" w:rsidP="00EE0DB2">
            <w:r w:rsidRPr="00EC556A">
              <w:t> </w:t>
            </w:r>
          </w:p>
        </w:tc>
      </w:tr>
    </w:tbl>
    <w:p w:rsidR="00CC1C95" w:rsidRPr="00EC556A" w:rsidRDefault="00CC1C95" w:rsidP="00EE0DB2"/>
    <w:tbl>
      <w:tblPr>
        <w:tblW w:w="7880" w:type="dxa"/>
        <w:tblInd w:w="28" w:type="dxa"/>
        <w:tblLayout w:type="fixed"/>
        <w:tblCellMar>
          <w:left w:w="28" w:type="dxa"/>
          <w:right w:w="28" w:type="dxa"/>
        </w:tblCellMar>
        <w:tblLook w:val="0000"/>
      </w:tblPr>
      <w:tblGrid>
        <w:gridCol w:w="2840"/>
        <w:gridCol w:w="5040"/>
      </w:tblGrid>
      <w:tr w:rsidR="00CC1C95" w:rsidRPr="00EC556A">
        <w:tc>
          <w:tcPr>
            <w:tcW w:w="2840" w:type="dxa"/>
            <w:vAlign w:val="bottom"/>
          </w:tcPr>
          <w:p w:rsidR="00CC1C95" w:rsidRPr="00EC556A" w:rsidRDefault="00CC1C95" w:rsidP="00EE0DB2">
            <w:pPr>
              <w:ind w:firstLine="66"/>
              <w:rPr>
                <w:rFonts w:eastAsia="MS PMincho"/>
                <w:sz w:val="20"/>
              </w:rPr>
            </w:pPr>
            <w:r w:rsidRPr="00EC556A">
              <w:rPr>
                <w:rFonts w:eastAsia="MS PMincho"/>
              </w:rPr>
              <w:t>Chlordecone</w:t>
            </w:r>
          </w:p>
        </w:tc>
        <w:tc>
          <w:tcPr>
            <w:tcW w:w="5040" w:type="dxa"/>
            <w:vAlign w:val="bottom"/>
          </w:tcPr>
          <w:p w:rsidR="00CC1C95" w:rsidRPr="00EC556A" w:rsidRDefault="00CC1C95" w:rsidP="00EE0DB2">
            <w:pPr>
              <w:ind w:firstLine="66"/>
              <w:rPr>
                <w:rFonts w:eastAsia="MS PMincho"/>
                <w:sz w:val="20"/>
              </w:rPr>
            </w:pPr>
            <w:r w:rsidRPr="00EC556A">
              <w:rPr>
                <w:rFonts w:eastAsia="MS PMincho"/>
                <w:sz w:val="20"/>
              </w:rPr>
              <w:t xml:space="preserve">Cambridge Isotope Laboratories </w:t>
            </w:r>
          </w:p>
        </w:tc>
      </w:tr>
      <w:tr w:rsidR="00CC1C95" w:rsidRPr="00EC556A">
        <w:tc>
          <w:tcPr>
            <w:tcW w:w="2840" w:type="dxa"/>
          </w:tcPr>
          <w:p w:rsidR="00CC1C95" w:rsidRPr="00EC556A" w:rsidRDefault="00CC1C95" w:rsidP="00EE0DB2">
            <w:pPr>
              <w:rPr>
                <w:rFonts w:eastAsia="MS PMincho"/>
                <w:sz w:val="20"/>
              </w:rPr>
            </w:pPr>
            <w:r w:rsidRPr="00EC556A">
              <w:rPr>
                <w:rFonts w:eastAsia="MS PMincho"/>
                <w:sz w:val="20"/>
                <w:vertAlign w:val="superscript"/>
              </w:rPr>
              <w:t>13</w:t>
            </w:r>
            <w:r w:rsidRPr="00EC556A">
              <w:rPr>
                <w:rFonts w:eastAsia="MS PMincho"/>
                <w:sz w:val="20"/>
              </w:rPr>
              <w:t>C</w:t>
            </w:r>
            <w:r w:rsidRPr="00EC556A">
              <w:rPr>
                <w:rFonts w:eastAsia="MS PMincho"/>
                <w:sz w:val="14"/>
              </w:rPr>
              <w:t>10</w:t>
            </w:r>
            <w:r w:rsidRPr="00EC556A">
              <w:rPr>
                <w:rFonts w:eastAsia="MS PMincho"/>
                <w:sz w:val="20"/>
              </w:rPr>
              <w:t>-</w:t>
            </w:r>
            <w:r w:rsidRPr="00EC556A">
              <w:rPr>
                <w:rFonts w:eastAsia="MS PMincho"/>
              </w:rPr>
              <w:t xml:space="preserve"> Chlordecone</w:t>
            </w:r>
          </w:p>
        </w:tc>
        <w:tc>
          <w:tcPr>
            <w:tcW w:w="5040" w:type="dxa"/>
            <w:vAlign w:val="bottom"/>
          </w:tcPr>
          <w:p w:rsidR="00CC1C95" w:rsidRPr="00EC556A" w:rsidRDefault="00CC1C95" w:rsidP="00EE0DB2">
            <w:pPr>
              <w:ind w:firstLine="66"/>
              <w:rPr>
                <w:rFonts w:eastAsia="MS PMincho"/>
                <w:sz w:val="20"/>
              </w:rPr>
            </w:pPr>
            <w:r w:rsidRPr="00EC556A">
              <w:rPr>
                <w:rFonts w:eastAsia="MS PMincho"/>
                <w:sz w:val="20"/>
              </w:rPr>
              <w:t xml:space="preserve">Cambridge Isotope Laboratories </w:t>
            </w:r>
          </w:p>
        </w:tc>
      </w:tr>
    </w:tbl>
    <w:p w:rsidR="00CC1C95" w:rsidRPr="00EC556A" w:rsidRDefault="00CC1C95" w:rsidP="00EE0DB2"/>
    <w:p w:rsidR="00CC1C95" w:rsidRPr="00EC556A" w:rsidRDefault="00CC1C95" w:rsidP="00A165BC">
      <w:pPr>
        <w:pStyle w:val="Heading3"/>
        <w:numPr>
          <w:ilvl w:val="0"/>
          <w:numId w:val="0"/>
        </w:numPr>
        <w:snapToGrid/>
        <w:spacing w:before="240" w:after="60" w:line="276" w:lineRule="auto"/>
        <w:jc w:val="both"/>
        <w:rPr>
          <w:bCs w:val="0"/>
        </w:rPr>
      </w:pPr>
      <w:r w:rsidRPr="00EC556A">
        <w:br w:type="page"/>
      </w:r>
      <w:bookmarkStart w:id="563" w:name="_Toc349335841"/>
      <w:r w:rsidRPr="00EC556A">
        <w:t>Chlordecone LC/MS/MS chromatogram</w:t>
      </w:r>
      <w:bookmarkEnd w:id="563"/>
    </w:p>
    <w:p w:rsidR="00CC1C95" w:rsidRPr="00EC556A" w:rsidRDefault="00CC1C95" w:rsidP="00EE0DB2"/>
    <w:p w:rsidR="003B397D" w:rsidRDefault="00F05101" w:rsidP="00EE0DB2">
      <w:r>
        <w:rPr>
          <w:noProof/>
          <w:lang w:eastAsia="en-GB"/>
        </w:rPr>
        <w:drawing>
          <wp:inline distT="0" distB="0" distL="0" distR="0">
            <wp:extent cx="5400675" cy="8067675"/>
            <wp:effectExtent l="19050" t="0" r="9525" b="0"/>
            <wp:docPr id="1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cstate="print"/>
                    <a:srcRect/>
                    <a:stretch>
                      <a:fillRect/>
                    </a:stretch>
                  </pic:blipFill>
                  <pic:spPr bwMode="auto">
                    <a:xfrm>
                      <a:off x="0" y="0"/>
                      <a:ext cx="5400675" cy="8067675"/>
                    </a:xfrm>
                    <a:prstGeom prst="rect">
                      <a:avLst/>
                    </a:prstGeom>
                    <a:noFill/>
                    <a:ln w="9525">
                      <a:noFill/>
                      <a:miter lim="800000"/>
                      <a:headEnd/>
                      <a:tailEnd/>
                    </a:ln>
                  </pic:spPr>
                </pic:pic>
              </a:graphicData>
            </a:graphic>
          </wp:inline>
        </w:drawing>
      </w:r>
    </w:p>
    <w:p w:rsidR="00CC1C95" w:rsidRPr="00EC556A" w:rsidRDefault="00CC1C95" w:rsidP="00EE0DB2">
      <w:r w:rsidRPr="00EC556A">
        <w:t xml:space="preserve">Figure A2-10: Chromatogram of Chlordecone on </w:t>
      </w:r>
      <w:r w:rsidRPr="00EC556A">
        <w:rPr>
          <w:bCs/>
        </w:rPr>
        <w:t xml:space="preserve">Develosil C30-UG-5 </w:t>
      </w:r>
      <w:bookmarkStart w:id="564" w:name="_GoBack"/>
      <w:bookmarkEnd w:id="564"/>
      <w:r w:rsidRPr="00EC556A">
        <w:t>column.</w:t>
      </w:r>
    </w:p>
    <w:p w:rsidR="00CC1C95" w:rsidRPr="00EC556A" w:rsidRDefault="00CC1C95" w:rsidP="00EE0DB2"/>
    <w:p w:rsidR="00CC1C95" w:rsidRDefault="00CC1C95" w:rsidP="00A165BC">
      <w:pPr>
        <w:pStyle w:val="Heading1"/>
        <w:snapToGrid/>
        <w:spacing w:before="200" w:after="60" w:line="276" w:lineRule="auto"/>
        <w:ind w:left="0" w:firstLine="0"/>
        <w:jc w:val="both"/>
      </w:pPr>
      <w:bookmarkStart w:id="565" w:name="_Toc346702147"/>
      <w:bookmarkStart w:id="566" w:name="_Toc346702148"/>
      <w:bookmarkStart w:id="567" w:name="_Toc346702195"/>
      <w:bookmarkStart w:id="568" w:name="_Toc346702196"/>
      <w:bookmarkStart w:id="569" w:name="_Toc346702254"/>
      <w:bookmarkStart w:id="570" w:name="_Toc346702261"/>
      <w:bookmarkStart w:id="571" w:name="_Toc346702267"/>
      <w:bookmarkStart w:id="572" w:name="_Toc349335842"/>
      <w:bookmarkEnd w:id="381"/>
      <w:bookmarkEnd w:id="565"/>
      <w:bookmarkEnd w:id="566"/>
      <w:bookmarkEnd w:id="567"/>
      <w:bookmarkEnd w:id="568"/>
      <w:bookmarkEnd w:id="569"/>
      <w:bookmarkEnd w:id="570"/>
      <w:bookmarkEnd w:id="571"/>
      <w:r>
        <w:rPr>
          <w:b w:val="0"/>
          <w:bCs w:val="0"/>
        </w:rPr>
        <w:t>ANNEX 3</w:t>
      </w:r>
      <w:r>
        <w:rPr>
          <w:b w:val="0"/>
          <w:bCs w:val="0"/>
        </w:rPr>
        <w:tab/>
        <w:t>Case studies</w:t>
      </w:r>
      <w:bookmarkEnd w:id="572"/>
    </w:p>
    <w:p w:rsidR="00CC1C95" w:rsidRPr="00181314" w:rsidRDefault="00CC1C95" w:rsidP="00A165BC">
      <w:pPr>
        <w:pStyle w:val="Heading2"/>
        <w:numPr>
          <w:ilvl w:val="0"/>
          <w:numId w:val="0"/>
        </w:numPr>
        <w:snapToGrid/>
        <w:spacing w:before="240" w:after="60" w:line="276" w:lineRule="auto"/>
        <w:jc w:val="both"/>
        <w:rPr>
          <w:rFonts w:eastAsia="SimSun"/>
          <w:sz w:val="26"/>
          <w:szCs w:val="26"/>
        </w:rPr>
      </w:pPr>
      <w:bookmarkStart w:id="573" w:name="_Toc349335843"/>
      <w:r w:rsidRPr="00181314">
        <w:rPr>
          <w:rFonts w:eastAsia="SimSun"/>
          <w:b w:val="0"/>
          <w:sz w:val="26"/>
          <w:szCs w:val="26"/>
        </w:rPr>
        <w:t>Case studies of PFOS</w:t>
      </w:r>
      <w:r w:rsidRPr="00181314">
        <w:rPr>
          <w:rStyle w:val="FootnoteReference"/>
          <w:rFonts w:eastAsia="SimSun"/>
          <w:b w:val="0"/>
          <w:sz w:val="26"/>
          <w:szCs w:val="26"/>
        </w:rPr>
        <w:footnoteReference w:id="105"/>
      </w:r>
      <w:r w:rsidRPr="00181314">
        <w:rPr>
          <w:rFonts w:eastAsia="SimSun"/>
          <w:b w:val="0"/>
          <w:sz w:val="26"/>
          <w:szCs w:val="26"/>
        </w:rPr>
        <w:t>/PFC screening in products, articles and wastes</w:t>
      </w:r>
      <w:bookmarkEnd w:id="573"/>
    </w:p>
    <w:p w:rsidR="00CC1C95" w:rsidRPr="00181314" w:rsidRDefault="00CC1C95" w:rsidP="00A165BC">
      <w:pPr>
        <w:pStyle w:val="Heading3"/>
        <w:numPr>
          <w:ilvl w:val="0"/>
          <w:numId w:val="0"/>
        </w:numPr>
        <w:snapToGrid/>
        <w:spacing w:before="240" w:after="60" w:line="276" w:lineRule="auto"/>
        <w:jc w:val="both"/>
      </w:pPr>
      <w:bookmarkStart w:id="574" w:name="_Toc349335844"/>
      <w:r w:rsidRPr="00181314">
        <w:t>Monitoring project of PFOS/PFCs in consumer products in Norway and Sweden</w:t>
      </w:r>
      <w:bookmarkEnd w:id="574"/>
    </w:p>
    <w:p w:rsidR="00CC1C95" w:rsidRPr="00181314" w:rsidRDefault="00CC1C95" w:rsidP="00EE0DB2">
      <w:pPr>
        <w:autoSpaceDE w:val="0"/>
        <w:autoSpaceDN w:val="0"/>
        <w:adjustRightInd w:val="0"/>
        <w:ind w:firstLine="708"/>
        <w:rPr>
          <w:rFonts w:eastAsia="SimSun"/>
          <w:szCs w:val="24"/>
          <w:lang w:eastAsia="zh-CN"/>
        </w:rPr>
      </w:pPr>
      <w:r w:rsidRPr="00181314">
        <w:rPr>
          <w:rFonts w:eastAsia="SimSun"/>
          <w:szCs w:val="24"/>
          <w:lang w:eastAsia="zh-CN"/>
        </w:rPr>
        <w:t>The Norwegian Pollution Control Authority (SFT) has commissioned a survey carried out by Swerea IVF (Sweden) together with Norwegian Institute for Air Research (NILU) that aimed to identify and quantify possible sources of PFC in Norway in industrial manufacturing and applications used by the Norwegian population in daily life (Herzke et al. 2009)</w:t>
      </w:r>
      <w:r w:rsidRPr="00181314">
        <w:rPr>
          <w:rStyle w:val="FootnoteReference"/>
        </w:rPr>
        <w:footnoteReference w:id="106"/>
      </w:r>
    </w:p>
    <w:p w:rsidR="00CC1C95" w:rsidRPr="00181314" w:rsidRDefault="00CC1C95" w:rsidP="00EE0DB2">
      <w:pPr>
        <w:autoSpaceDE w:val="0"/>
        <w:autoSpaceDN w:val="0"/>
        <w:adjustRightInd w:val="0"/>
        <w:rPr>
          <w:rFonts w:eastAsia="SimSun"/>
          <w:szCs w:val="24"/>
          <w:lang w:eastAsia="zh-CN"/>
        </w:rPr>
      </w:pPr>
      <w:r w:rsidRPr="00181314">
        <w:rPr>
          <w:rFonts w:eastAsia="SimSun"/>
          <w:szCs w:val="24"/>
          <w:lang w:eastAsia="zh-CN"/>
        </w:rPr>
        <w:t>The study included waterproofing agents (5), paint and inks (5), impregnated products: paper, textiles, leather and carpets (2/2/2/2), non stick ware (6), electronics (5) and fire fighting agents (5).</w:t>
      </w:r>
    </w:p>
    <w:p w:rsidR="00CC1C95" w:rsidRPr="00181314" w:rsidRDefault="00CC1C95" w:rsidP="00EE0DB2">
      <w:pPr>
        <w:autoSpaceDE w:val="0"/>
        <w:autoSpaceDN w:val="0"/>
        <w:adjustRightInd w:val="0"/>
        <w:rPr>
          <w:rFonts w:eastAsia="SimSun"/>
          <w:szCs w:val="24"/>
          <w:lang w:eastAsia="zh-CN"/>
        </w:rPr>
      </w:pPr>
      <w:r w:rsidRPr="00181314">
        <w:rPr>
          <w:rFonts w:eastAsia="SimSun"/>
          <w:szCs w:val="24"/>
          <w:lang w:eastAsia="zh-CN"/>
        </w:rPr>
        <w:t>PFOS, which has been banned in Norway since 2007, was detected in 47% of samples in low concentrations and only in 4 of the 34 analysed products the amounts were close to or exceeding the regulation.</w:t>
      </w:r>
      <w:r w:rsidRPr="00181314">
        <w:rPr>
          <w:rStyle w:val="FootnoteReference"/>
          <w:rFonts w:eastAsia="SimSun"/>
          <w:szCs w:val="24"/>
          <w:lang w:eastAsia="zh-CN"/>
        </w:rPr>
        <w:footnoteReference w:id="107"/>
      </w:r>
      <w:r w:rsidRPr="00181314">
        <w:rPr>
          <w:rFonts w:eastAsia="SimSun"/>
          <w:szCs w:val="24"/>
          <w:lang w:eastAsia="zh-CN"/>
        </w:rPr>
        <w:t xml:space="preserve"> These products were all within the leather or carpet product groups: The two leather samples had the highest concentrations of PFCs: Office furniture leather; (pool of 3) and black shoe, leather, showed PFOS levels of 38 and 21 μg/m</w:t>
      </w:r>
      <w:r w:rsidRPr="00181314">
        <w:rPr>
          <w:rFonts w:eastAsia="SimSun"/>
          <w:szCs w:val="24"/>
          <w:vertAlign w:val="superscript"/>
          <w:lang w:eastAsia="zh-CN"/>
        </w:rPr>
        <w:t>2</w:t>
      </w:r>
      <w:r w:rsidRPr="00181314">
        <w:rPr>
          <w:rFonts w:eastAsia="SimSun"/>
          <w:szCs w:val="24"/>
          <w:lang w:eastAsia="zh-CN"/>
        </w:rPr>
        <w:t>, exceeding the EU regulation of 1 μg/m</w:t>
      </w:r>
      <w:r w:rsidRPr="00181314">
        <w:rPr>
          <w:rFonts w:eastAsia="SimSun"/>
          <w:szCs w:val="24"/>
          <w:vertAlign w:val="superscript"/>
          <w:lang w:eastAsia="zh-CN"/>
        </w:rPr>
        <w:t>2</w:t>
      </w:r>
      <w:r w:rsidRPr="00181314">
        <w:rPr>
          <w:rFonts w:eastAsia="SimSun"/>
          <w:szCs w:val="24"/>
          <w:lang w:eastAsia="zh-CN"/>
        </w:rPr>
        <w:t>. Carpets were around the regulation of 1 μg/m</w:t>
      </w:r>
      <w:r w:rsidRPr="00181314">
        <w:rPr>
          <w:rFonts w:eastAsia="SimSun"/>
          <w:szCs w:val="24"/>
          <w:vertAlign w:val="superscript"/>
          <w:lang w:eastAsia="zh-CN"/>
        </w:rPr>
        <w:t>2</w:t>
      </w:r>
      <w:r w:rsidRPr="00181314">
        <w:rPr>
          <w:rFonts w:eastAsia="SimSun"/>
          <w:szCs w:val="24"/>
          <w:lang w:eastAsia="zh-CN"/>
        </w:rPr>
        <w:t>. The relatively low levels detected indicate that PFOS were not applied as major performance chemical but rather as by-product or contaminant of other PFCs or treatment procedure. Only five of the 34 analysed industrial materials and consumer products contained none of the analysed 29 polyfluorinated substances.</w:t>
      </w:r>
    </w:p>
    <w:p w:rsidR="00CC1C95" w:rsidRPr="00181314" w:rsidRDefault="00CC1C95" w:rsidP="00EE0DB2">
      <w:r w:rsidRPr="00181314">
        <w:t>Specific feature of the Norwegian study on screening PFOS/PFCs in consumer products:</w:t>
      </w:r>
    </w:p>
    <w:p w:rsidR="00CC1C95" w:rsidRPr="00181314" w:rsidRDefault="00CC1C95" w:rsidP="000C33DE">
      <w:pPr>
        <w:numPr>
          <w:ilvl w:val="0"/>
          <w:numId w:val="25"/>
        </w:numPr>
        <w:snapToGrid/>
        <w:spacing w:after="0" w:line="276" w:lineRule="auto"/>
      </w:pPr>
      <w:r w:rsidRPr="00181314">
        <w:t>Sample candidates were identified in different ways:</w:t>
      </w:r>
    </w:p>
    <w:p w:rsidR="00CC1C95" w:rsidRPr="00181314" w:rsidRDefault="00CC1C95" w:rsidP="000C33DE">
      <w:pPr>
        <w:numPr>
          <w:ilvl w:val="1"/>
          <w:numId w:val="25"/>
        </w:numPr>
        <w:snapToGrid/>
        <w:spacing w:after="0" w:line="276" w:lineRule="auto"/>
      </w:pPr>
      <w:r w:rsidRPr="00181314">
        <w:t xml:space="preserve">by having or giving certain properties that are common for perfluorinated chemicals (e.g water repellent, stain resistant, anti-grease, non-stick, surfactant), by their previous known high concentration of PFCs (Teflon table cloth, AFFF, water proofing agents) or </w:t>
      </w:r>
    </w:p>
    <w:p w:rsidR="00CC1C95" w:rsidRPr="00181314" w:rsidRDefault="00CC1C95" w:rsidP="000C33DE">
      <w:pPr>
        <w:numPr>
          <w:ilvl w:val="1"/>
          <w:numId w:val="25"/>
        </w:numPr>
        <w:snapToGrid/>
        <w:spacing w:after="0" w:line="276" w:lineRule="auto"/>
      </w:pPr>
      <w:r w:rsidRPr="00181314">
        <w:t>by information from literature that production of these articles may include perfluorinated chemicals (epoxy resin board, semiconductor fabrication etc.).</w:t>
      </w:r>
    </w:p>
    <w:p w:rsidR="00CC1C95" w:rsidRPr="00181314" w:rsidRDefault="00CC1C95" w:rsidP="00EE0DB2">
      <w:pPr>
        <w:ind w:left="724"/>
      </w:pPr>
      <w:r w:rsidRPr="00181314">
        <w:t>A number of product types were identified as potential PFC containing groups and several samples were collected in each group distributed as</w:t>
      </w:r>
    </w:p>
    <w:p w:rsidR="00CC1C95" w:rsidRPr="00181314" w:rsidRDefault="00CC1C95" w:rsidP="000C33DE">
      <w:pPr>
        <w:numPr>
          <w:ilvl w:val="0"/>
          <w:numId w:val="25"/>
        </w:numPr>
        <w:snapToGrid/>
        <w:spacing w:after="0" w:line="276" w:lineRule="auto"/>
      </w:pPr>
      <w:r w:rsidRPr="00181314">
        <w:t xml:space="preserve">Good analytical coverage: </w:t>
      </w:r>
      <w:r w:rsidRPr="00181314">
        <w:rPr>
          <w:rFonts w:eastAsia="SimSun"/>
          <w:szCs w:val="24"/>
          <w:lang w:eastAsia="zh-CN"/>
        </w:rPr>
        <w:t>29 different PFCs were analysed in all collected samples</w:t>
      </w:r>
    </w:p>
    <w:p w:rsidR="00CC1C95" w:rsidRPr="00181314" w:rsidRDefault="00CC1C95" w:rsidP="000C33DE">
      <w:pPr>
        <w:numPr>
          <w:ilvl w:val="0"/>
          <w:numId w:val="25"/>
        </w:numPr>
        <w:snapToGrid/>
        <w:spacing w:after="0" w:line="276" w:lineRule="auto"/>
      </w:pPr>
      <w:r w:rsidRPr="00181314">
        <w:t xml:space="preserve">Regional approach: Cooperation of Norway and Sweden. </w:t>
      </w:r>
    </w:p>
    <w:p w:rsidR="00CC1C95" w:rsidRPr="00181314" w:rsidRDefault="00CC1C95" w:rsidP="000C33DE">
      <w:pPr>
        <w:numPr>
          <w:ilvl w:val="0"/>
          <w:numId w:val="25"/>
        </w:numPr>
        <w:snapToGrid/>
        <w:spacing w:after="0" w:line="276" w:lineRule="auto"/>
      </w:pPr>
      <w:r w:rsidRPr="00181314">
        <w:t xml:space="preserve">Data published in a report in the public domain with product names  </w:t>
      </w:r>
    </w:p>
    <w:p w:rsidR="00CC1C95" w:rsidRPr="00181314" w:rsidRDefault="00CC1C95" w:rsidP="00A165BC">
      <w:pPr>
        <w:pStyle w:val="Heading3"/>
        <w:numPr>
          <w:ilvl w:val="0"/>
          <w:numId w:val="0"/>
        </w:numPr>
        <w:snapToGrid/>
        <w:spacing w:before="240" w:after="60" w:line="276" w:lineRule="auto"/>
        <w:jc w:val="both"/>
      </w:pPr>
      <w:bookmarkStart w:id="575" w:name="_Toc349335845"/>
      <w:r w:rsidRPr="00181314">
        <w:t>Case study Baking and Muffin papers (Schlummer et al. 2011)</w:t>
      </w:r>
      <w:r w:rsidRPr="00181314">
        <w:rPr>
          <w:rStyle w:val="FootnoteReference"/>
        </w:rPr>
        <w:footnoteReference w:id="108"/>
      </w:r>
      <w:bookmarkEnd w:id="575"/>
      <w:r w:rsidRPr="00181314">
        <w:t xml:space="preserve"> </w:t>
      </w:r>
    </w:p>
    <w:p w:rsidR="00CC1C95" w:rsidRPr="00181314" w:rsidRDefault="00CC1C95" w:rsidP="00EE0DB2">
      <w:pPr>
        <w:ind w:firstLine="708"/>
      </w:pPr>
      <w:r w:rsidRPr="00181314">
        <w:t>As a contribution to the European Perfood project (</w:t>
      </w:r>
      <w:hyperlink r:id="rId74" w:history="1">
        <w:r w:rsidRPr="00181314">
          <w:rPr>
            <w:rStyle w:val="Hyperlink"/>
          </w:rPr>
          <w:t>http://www.perfood.eu/</w:t>
        </w:r>
      </w:hyperlink>
      <w:r w:rsidRPr="00181314">
        <w:t>; KBBE-227525), 154 paper-based food contact materials were collected and screened for fluorinated contaminants. As screening methods</w:t>
      </w:r>
      <w:r w:rsidRPr="00181314" w:rsidDel="005C2635">
        <w:t xml:space="preserve"> </w:t>
      </w:r>
      <w:r w:rsidRPr="00181314">
        <w:t>sliding spark spectroscopy, wave length dispersive x-ray fluorescence and DART-MS were applied. 47 fluorine-positive samples were identified und subjected to a detailed analysis for PFOS and other perfluorinated sulfonates (PFSA), fluorotelomer alcohols (FTOH), and perfluorinated carboxylates (PFCA). Samples were fortified with isotope-labelled standards of PFSA, FTOH, and PFCA, and extracted with methanol by pressurized liquid extraction (PLE, ASE 200, Dionex, Germany). In order to avoid cross contaminations, the PLE apparatus was equipped with Teflon-free tubes and carefully checked for blanks. The methanol extracts were split into two equal aliquots. One aliquot was subjected to GC-(CI)-MS (TSQ 7000, Thermo) analysis using methane for chemical ionisation. The other aliquot was cleaned by SPE (Oasis WAX) and measured by LC-(ESI)-MS/MS (LC Quattro, Waters). For both analytical approaches quantification was based on an isotope dilution method.</w:t>
      </w:r>
    </w:p>
    <w:p w:rsidR="00CC1C95" w:rsidRPr="00181314" w:rsidRDefault="00CC1C95" w:rsidP="00EE0DB2">
      <w:r w:rsidRPr="00181314">
        <w:rPr>
          <w:bCs/>
        </w:rPr>
        <w:t>In this study, PFOS and other perfluorinated sulfonates (PFSA) were not detected in any sample at levels above 1 ng/g.</w:t>
      </w:r>
      <w:r w:rsidRPr="00181314">
        <w:t xml:space="preserve"> Instead 6:2 FTOH, 8:2 FTOH and 10:2 FTOH were identified in all fluorine positive samples at levels ranging from 9 to 39500 ng/g, whereas 4:2 FTOH where only quantified in about 25% of the samples (maximum value 54 ng/g). Concentrations of PFCA were considerably lower and ranged from LOD (&lt;1) to 619 ng/g PFOA, LOD (&lt;1) to 1500 ng/g PFNA, and LOD (&lt;1) to 390 ng/g PFDA. </w:t>
      </w:r>
    </w:p>
    <w:p w:rsidR="00CC1C95" w:rsidRPr="00181314" w:rsidRDefault="00CC1C95" w:rsidP="00EE0DB2">
      <w:r w:rsidRPr="00181314">
        <w:t xml:space="preserve">This strongly indicates a switch from FOSE-based coatings for paper to FTOH containing macromolecules in industrial practise. Three patterns of PFCA congeners could be distinguished and may indicate to at least three different mother compounds, i.e. fluorine based paper coatings: </w:t>
      </w:r>
    </w:p>
    <w:p w:rsidR="00CC1C95" w:rsidRPr="00181314" w:rsidRDefault="00CC1C95" w:rsidP="00EE0DB2">
      <w:r w:rsidRPr="00181314">
        <w:t>Pattern A: dominated by more or less equal amounts of PFOA, PFDA and Perfluorododecanoic acid (PFDoA),</w:t>
      </w:r>
    </w:p>
    <w:p w:rsidR="00CC1C95" w:rsidRPr="00181314" w:rsidRDefault="00CC1C95" w:rsidP="00EE0DB2">
      <w:r w:rsidRPr="00181314">
        <w:t xml:space="preserve">Pattern B: dominated by PFOA and PFNA followed by PFHpA and PFDA. </w:t>
      </w:r>
    </w:p>
    <w:p w:rsidR="00CC1C95" w:rsidRPr="00181314" w:rsidRDefault="00CC1C95" w:rsidP="00EE0DB2">
      <w:r w:rsidRPr="00181314">
        <w:t xml:space="preserve">Pattern C: clearly dominated by PFHxA. </w:t>
      </w:r>
    </w:p>
    <w:p w:rsidR="00CC1C95" w:rsidRPr="00181314" w:rsidRDefault="00CC1C95" w:rsidP="00EE0DB2">
      <w:r w:rsidRPr="00181314">
        <w:t xml:space="preserve">In this first screening studies performed in 2009/2010, most baking and muffin papers were fluorine positive and had significant FTOH and PFCA levels. However, in a second screening in 2010/11 a series of baking and muffin papers were re-analysed. And this time, most samples were fluorine negative in the screening (detection limit approx. 0.1%), </w:t>
      </w:r>
      <w:r w:rsidRPr="00181314">
        <w:rPr>
          <w:bCs/>
        </w:rPr>
        <w:t xml:space="preserve">meaning that most of the investigated brand marks had changed for the European market their coating in recent years towards non-organofluorine coatings and already some years before have moved away from PFOS precursor based coatings. </w:t>
      </w:r>
    </w:p>
    <w:p w:rsidR="00CC1C95" w:rsidRPr="00181314" w:rsidRDefault="00CC1C95" w:rsidP="00A165BC">
      <w:pPr>
        <w:pStyle w:val="Heading3"/>
        <w:numPr>
          <w:ilvl w:val="0"/>
          <w:numId w:val="0"/>
        </w:numPr>
        <w:snapToGrid/>
        <w:spacing w:before="240" w:after="60" w:line="276" w:lineRule="auto"/>
        <w:jc w:val="both"/>
      </w:pPr>
      <w:bookmarkStart w:id="576" w:name="_Toc349335846"/>
      <w:r w:rsidRPr="00181314">
        <w:t>Monitoring of paper packaging for food (Denmark)</w:t>
      </w:r>
      <w:r w:rsidRPr="00181314">
        <w:rPr>
          <w:rStyle w:val="FootnoteReference"/>
        </w:rPr>
        <w:footnoteReference w:id="109"/>
      </w:r>
      <w:bookmarkEnd w:id="576"/>
    </w:p>
    <w:p w:rsidR="00CC1C95" w:rsidRDefault="00CC1C95" w:rsidP="00EE0DB2">
      <w:pPr>
        <w:ind w:firstLine="708"/>
      </w:pPr>
      <w:r w:rsidRPr="00181314">
        <w:t>PFOS and related chemicals in food packaging are of particular concern due to possible direct human exposure. In an (on-going) survey for the Danish Food Administration approximately 85 samples were taken by food inspectors in food packaging businesses (samples with no previous contact with food) and by DTU-Food in retail stores (samples in contact with foods). Three subsamples of 0.2 dm</w:t>
      </w:r>
      <w:r w:rsidRPr="00181314">
        <w:rPr>
          <w:vertAlign w:val="superscript"/>
        </w:rPr>
        <w:t>2</w:t>
      </w:r>
      <w:r w:rsidRPr="00181314">
        <w:t xml:space="preserve"> each were combined in 60 ml 50% ethanol/water and extracted for 24 hrs at 60 </w:t>
      </w:r>
      <w:r w:rsidRPr="00181314">
        <w:sym w:font="Symbol" w:char="F0B0"/>
      </w:r>
      <w:r w:rsidRPr="00181314">
        <w:t xml:space="preserve">C.  The extracts/migrates were filtered through 0.2 </w:t>
      </w:r>
      <w:r w:rsidRPr="00181314">
        <w:sym w:font="Symbol" w:char="F06D"/>
      </w:r>
      <w:r w:rsidRPr="00181314">
        <w:t>m nylon/PP filters and analysed by an UHPLC-ESI</w:t>
      </w:r>
      <w:r w:rsidRPr="00181314">
        <w:rPr>
          <w:vertAlign w:val="superscript"/>
        </w:rPr>
        <w:t>–</w:t>
      </w:r>
      <w:r w:rsidRPr="00181314">
        <w:t>-MS/MS (Waters Quattro Ultima) method in single reaction monitoring (SRM also called SIR) mode for the compounds listed in Table XX. An Acquity C</w:t>
      </w:r>
      <w:r w:rsidRPr="00181314">
        <w:rPr>
          <w:vertAlign w:val="subscript"/>
        </w:rPr>
        <w:t>18</w:t>
      </w:r>
      <w:r w:rsidRPr="00181314">
        <w:t xml:space="preserve"> CSH column (1.7 </w:t>
      </w:r>
      <w:r w:rsidRPr="00181314">
        <w:sym w:font="Symbol" w:char="F06D"/>
      </w:r>
      <w:r w:rsidRPr="00181314">
        <w:t>m*2.1 mm*150 mm, Waters) was used with a 35 min gradient program, with MeOH/water (+NH</w:t>
      </w:r>
      <w:r w:rsidRPr="00181314">
        <w:rPr>
          <w:vertAlign w:val="subscript"/>
        </w:rPr>
        <w:t>4</w:t>
      </w:r>
      <w:r w:rsidRPr="00181314">
        <w:t xml:space="preserve">OH) </w:t>
      </w:r>
      <w:r w:rsidR="000629DA">
        <w:t xml:space="preserve">mobile phase, Trier </w:t>
      </w:r>
      <w:r w:rsidRPr="00181314">
        <w:t xml:space="preserve">2011 - JCA).  </w:t>
      </w:r>
    </w:p>
    <w:p w:rsidR="00CC1C95" w:rsidRPr="00181314" w:rsidRDefault="00CC1C95" w:rsidP="00F01CB7">
      <w:r w:rsidRPr="00181314">
        <w:t xml:space="preserve">In the SIR mode only the deprotonated precursor ion was transmitted, in order to maintain high enough sensitivity while analysing for many compound on this instrument, which only has 20 Hz data sampling frequency. In the MRM methods two MRM transitions were used, but the method was then split up into three separate methods to maintain a high enough sensitivity of particularly the polyfluorinated compounds (FTOHs, PAPs): 1) Even PFCAs+PFSAs+PFOSA+FTMAPs, 2) Un-even PFCAs+FTOHs, 3) monoPAPs and diPAPs. </w:t>
      </w:r>
      <w:r w:rsidRPr="00181314">
        <w:rPr>
          <w:vertAlign w:val="superscript"/>
        </w:rPr>
        <w:t>13</w:t>
      </w:r>
      <w:r w:rsidRPr="00181314">
        <w:t>C internal standards included 6:2, 8:2 monoPAPs, and 6:2/6:2, 8:2/8:2 diPAPs, 8H-7:1 FTOH and 9H-PFNA. The internal standard corrected well, except for very water soluble PFCs, possibly due to ion suppression by co-eluting salts. The previous d</w:t>
      </w:r>
      <w:r w:rsidRPr="00181314">
        <w:rPr>
          <w:vertAlign w:val="subscript"/>
        </w:rPr>
        <w:t>4</w:t>
      </w:r>
      <w:r w:rsidRPr="00181314">
        <w:t>-6:2/6:2 diPAPs was found to contain considerable amounts of d</w:t>
      </w:r>
      <w:r w:rsidRPr="00181314">
        <w:rPr>
          <w:vertAlign w:val="subscript"/>
        </w:rPr>
        <w:t>2</w:t>
      </w:r>
      <w:r w:rsidRPr="00181314">
        <w:t xml:space="preserve">-6:2 monoPAPs, formed either by hydrolysis from storage in water/alcohol or from impurities. </w:t>
      </w:r>
      <w:r w:rsidR="00F01CB7">
        <w:t>C</w:t>
      </w:r>
      <w:r w:rsidRPr="00181314">
        <w:t>onsequently the monoPAPs and diPAPs standards were not mixed. Loss of analytes was a big problem, and working solution only kept for &lt; 1 week.  Only four samples contained PFSAs, and only two of these contained PFOS but in low levels (&lt; 10 ppb). The other samples contained FTOH based PFCs in 57 % of the samples. However by an MRM method, the early eluting ions of 4:2 monoPAPs and PFBA were found to have interferences from the matrix</w:t>
      </w:r>
      <w:r w:rsidR="006E4DB4">
        <w:t>. The study confirmed a previous study from the Danish, Canadian and Swedish markets sampled in 2009, where fluorinated compounds were present in 60% of the paper and board samples (Trier 2011), but the levels in the samples from 2010-2011 had generally decreased.</w:t>
      </w:r>
      <w:r w:rsidRPr="00181314">
        <w:t xml:space="preserve"> Also this study revealed/conformed with the pattern of detected PFCs that industry already have shifted away from PFOS-derived coatings to diPAPs and now towards FTOH containing coatings.  PFCA impurities/breakdown products were often seen in the paper extracts/migrates.  </w:t>
      </w:r>
    </w:p>
    <w:p w:rsidR="00CC1C95" w:rsidRPr="00181314" w:rsidRDefault="00CC1C95" w:rsidP="00A165BC">
      <w:pPr>
        <w:pStyle w:val="Heading3"/>
        <w:numPr>
          <w:ilvl w:val="0"/>
          <w:numId w:val="0"/>
        </w:numPr>
        <w:snapToGrid/>
        <w:spacing w:before="240" w:after="60" w:line="276" w:lineRule="auto"/>
        <w:jc w:val="both"/>
      </w:pPr>
      <w:bookmarkStart w:id="577" w:name="_Toc349335847"/>
      <w:r w:rsidRPr="00181314">
        <w:t>Non-analytical screening of PFOS/PFCs on the Danish market (</w:t>
      </w:r>
      <w:hyperlink r:id="rId75" w:history="1">
        <w:r w:rsidRPr="006E4DB4">
          <w:t>Danish Ministry of Environment 2008</w:t>
        </w:r>
      </w:hyperlink>
      <w:r w:rsidRPr="00181314">
        <w:t>)</w:t>
      </w:r>
      <w:bookmarkEnd w:id="577"/>
    </w:p>
    <w:p w:rsidR="00CC1C95" w:rsidRPr="00181314" w:rsidRDefault="00CC1C95" w:rsidP="00EE0DB2">
      <w:pPr>
        <w:ind w:firstLine="708"/>
      </w:pPr>
      <w:r w:rsidRPr="00181314">
        <w:t>In the first steps of monitoring of newly listed POPs in a country other approaches (including) import statistics, product registers, company survey and audits than instrumental screening and analysis should be considered and used (for details please see the “</w:t>
      </w:r>
      <w:r w:rsidRPr="00181314">
        <w:rPr>
          <w:i/>
          <w:iCs/>
        </w:rPr>
        <w:t>Strengthening POPs Regulatory Framework Guidance”</w:t>
      </w:r>
      <w:r w:rsidRPr="00181314">
        <w:rPr>
          <w:rFonts w:ascii="(Asiatische Schriftart verwende" w:hAnsi="(Asiatische Schriftart verwende"/>
          <w:vertAlign w:val="superscript"/>
        </w:rPr>
        <w:t>14</w:t>
      </w:r>
      <w:r w:rsidRPr="00181314">
        <w:t>). One documented survey in this respect has been published for Denmark</w:t>
      </w:r>
      <w:r w:rsidRPr="00181314">
        <w:rPr>
          <w:rStyle w:val="FootnoteReference"/>
        </w:rPr>
        <w:footnoteReference w:id="110"/>
      </w:r>
      <w:r w:rsidRPr="00181314">
        <w:t>. The main purpose of this project was to estimate the use of PFOS and other PFCs in consumer products in Denmark.</w:t>
      </w:r>
    </w:p>
    <w:p w:rsidR="00CC1C95" w:rsidRPr="00181314" w:rsidRDefault="00CC1C95" w:rsidP="00EE0DB2">
      <w:r w:rsidRPr="00181314">
        <w:t>Approaches of the Danish market survey of PFOS/PFCs on the national market were:</w:t>
      </w:r>
    </w:p>
    <w:p w:rsidR="00CC1C95" w:rsidRPr="00181314" w:rsidRDefault="00CC1C95" w:rsidP="000C33DE">
      <w:pPr>
        <w:numPr>
          <w:ilvl w:val="0"/>
          <w:numId w:val="27"/>
        </w:numPr>
        <w:snapToGrid/>
        <w:spacing w:after="0" w:line="276" w:lineRule="auto"/>
      </w:pPr>
      <w:r w:rsidRPr="00181314">
        <w:t>Compilation of information from the Danish Product Register</w:t>
      </w:r>
      <w:r w:rsidR="006E4DB4">
        <w:t>.</w:t>
      </w:r>
    </w:p>
    <w:p w:rsidR="00CC1C95" w:rsidRPr="00181314" w:rsidRDefault="00CC1C95" w:rsidP="000C33DE">
      <w:pPr>
        <w:numPr>
          <w:ilvl w:val="0"/>
          <w:numId w:val="26"/>
        </w:numPr>
        <w:snapToGrid/>
        <w:spacing w:after="0" w:line="276" w:lineRule="auto"/>
      </w:pPr>
      <w:r w:rsidRPr="00181314">
        <w:t xml:space="preserve">Information from different companies such as producers, importers, suppliers and stores. Producers of fluorinated substances have been identified by Internet survey. </w:t>
      </w:r>
    </w:p>
    <w:p w:rsidR="00CC1C95" w:rsidRPr="00181314" w:rsidRDefault="00CC1C95" w:rsidP="000C33DE">
      <w:pPr>
        <w:numPr>
          <w:ilvl w:val="0"/>
          <w:numId w:val="26"/>
        </w:numPr>
        <w:snapToGrid/>
        <w:spacing w:after="0" w:line="276" w:lineRule="auto"/>
      </w:pPr>
      <w:r w:rsidRPr="00181314">
        <w:t>The most important companies within the most relevant sectors were contacted by phone (not by questionnaires). This approach only gave sparse information (either companies did not know the chemical content of their products or they did not want to give information about the use of fluorinated substances (the survey was performed by a consultancy and not by a competent authority)</w:t>
      </w:r>
      <w:r w:rsidR="006E4DB4">
        <w:t>.</w:t>
      </w:r>
    </w:p>
    <w:p w:rsidR="00CC1C95" w:rsidRPr="00181314" w:rsidRDefault="00CC1C95" w:rsidP="000C33DE">
      <w:pPr>
        <w:numPr>
          <w:ilvl w:val="0"/>
          <w:numId w:val="26"/>
        </w:numPr>
        <w:snapToGrid/>
        <w:spacing w:after="0" w:line="276" w:lineRule="auto"/>
      </w:pPr>
      <w:r w:rsidRPr="00181314">
        <w:t xml:space="preserve">Stores and companies marketing and selling consumer products with a content of fluorinated substances have been identified initially by identifying the different products that contain fluorinated substances, and then secondly identifying the sectors in which the products are sold or produced.  </w:t>
      </w:r>
    </w:p>
    <w:p w:rsidR="00CC1C95" w:rsidRPr="00181314" w:rsidRDefault="00CC1C95" w:rsidP="00A06F58">
      <w:pPr>
        <w:numPr>
          <w:ilvl w:val="0"/>
          <w:numId w:val="26"/>
        </w:numPr>
        <w:snapToGrid/>
        <w:spacing w:after="0" w:line="276" w:lineRule="auto"/>
      </w:pPr>
      <w:r w:rsidRPr="00181314">
        <w:t>Information found on the Internet search about the content of fluorinated substances in different products was combined with statistics of sales of products in Denmark in order to estimate the use of fluorinated substances in Denmark in different product categories.</w:t>
      </w:r>
    </w:p>
    <w:p w:rsidR="00CC1C95" w:rsidRPr="00434255" w:rsidRDefault="00CC1C95" w:rsidP="006E4DB4">
      <w:pPr>
        <w:pStyle w:val="Heading2"/>
        <w:numPr>
          <w:ilvl w:val="0"/>
          <w:numId w:val="0"/>
        </w:numPr>
        <w:snapToGrid/>
        <w:spacing w:before="240" w:after="60" w:line="276" w:lineRule="auto"/>
        <w:ind w:left="576" w:hanging="576"/>
        <w:jc w:val="both"/>
        <w:rPr>
          <w:rFonts w:eastAsia="SimSun"/>
          <w:sz w:val="26"/>
          <w:szCs w:val="26"/>
        </w:rPr>
      </w:pPr>
      <w:r>
        <w:rPr>
          <w:b w:val="0"/>
        </w:rPr>
        <w:br w:type="page"/>
      </w:r>
      <w:bookmarkStart w:id="578" w:name="_Toc349335848"/>
      <w:r w:rsidRPr="00434255">
        <w:rPr>
          <w:rFonts w:eastAsia="SimSun"/>
          <w:b w:val="0"/>
          <w:sz w:val="26"/>
          <w:szCs w:val="26"/>
        </w:rPr>
        <w:t>Case studies of PBDE screening in products, articles and wastes</w:t>
      </w:r>
      <w:bookmarkEnd w:id="578"/>
    </w:p>
    <w:p w:rsidR="00CC1C95" w:rsidRPr="00434255" w:rsidRDefault="00CC1C95" w:rsidP="00F32383">
      <w:pPr>
        <w:ind w:firstLine="708"/>
        <w:rPr>
          <w:rFonts w:eastAsia="SimSun"/>
        </w:rPr>
      </w:pPr>
      <w:r w:rsidRPr="00434255">
        <w:rPr>
          <w:rFonts w:eastAsia="SimSun"/>
        </w:rPr>
        <w:t>A few countries/institutes or NGOs have performed screening of PBDE in articles and wastes.</w:t>
      </w:r>
      <w:r>
        <w:rPr>
          <w:rFonts w:eastAsia="SimSun"/>
        </w:rPr>
        <w:t xml:space="preserve"> </w:t>
      </w:r>
      <w:r w:rsidRPr="00434255">
        <w:rPr>
          <w:rFonts w:eastAsia="SimSun"/>
        </w:rPr>
        <w:t xml:space="preserve">These case studies already give a good insight into POP-PBDE contamination of several material/recycling flows. The case studies are shortly described below with links to the reports/publications mentioned in footnote with respective web-link. </w:t>
      </w:r>
    </w:p>
    <w:p w:rsidR="00CC1C95" w:rsidRPr="00434255" w:rsidRDefault="00CC1C95" w:rsidP="00A165BC">
      <w:pPr>
        <w:pStyle w:val="Heading3"/>
        <w:numPr>
          <w:ilvl w:val="0"/>
          <w:numId w:val="0"/>
        </w:numPr>
        <w:snapToGrid/>
        <w:spacing w:before="240" w:after="60" w:line="276" w:lineRule="auto"/>
        <w:jc w:val="both"/>
      </w:pPr>
      <w:bookmarkStart w:id="579" w:name="_Toc349335849"/>
      <w:r w:rsidRPr="00434255">
        <w:t>Monitoring of PBDEs in WEEE plastic in EU (</w:t>
      </w:r>
      <w:hyperlink r:id="rId76" w:history="1">
        <w:r w:rsidRPr="006E4DB4">
          <w:t>Wäger et al. 2010</w:t>
        </w:r>
      </w:hyperlink>
      <w:r w:rsidRPr="00434255">
        <w:t>)</w:t>
      </w:r>
      <w:r w:rsidRPr="00434255">
        <w:rPr>
          <w:rStyle w:val="FootnoteReference"/>
        </w:rPr>
        <w:footnoteReference w:id="111"/>
      </w:r>
      <w:bookmarkEnd w:id="579"/>
    </w:p>
    <w:p w:rsidR="00CC1C95" w:rsidRPr="00434255" w:rsidRDefault="00CC1C95" w:rsidP="00EE0DB2">
      <w:pPr>
        <w:ind w:firstLine="708"/>
      </w:pPr>
      <w:r w:rsidRPr="00434255">
        <w:t>The largest and most relevant substance flow of POP-PBDEs and BFR containing materials are plastic fractions from WEEE recycling. The Swiss national material testing institute EMPA developed a standardized methodology for sampling of WEEE plastic (Annex 4-A and Annex 4-B) for a survey of RoHS regulated substances in WEEE plastic in Europe including c-OctaBDE. The report on the study can be downloaded at EMPA’s E-waste (WEEE) information Web-page (http://ewasteguide.info/</w:t>
      </w:r>
      <w:r w:rsidRPr="00434255">
        <w:rPr>
          <w:rStyle w:val="FootnoteReference"/>
        </w:rPr>
        <w:footnoteReference w:id="112"/>
      </w:r>
      <w:r w:rsidRPr="00434255">
        <w:t>; containing additionally a wide range of overview articles on all E-waste related issue).</w:t>
      </w:r>
    </w:p>
    <w:p w:rsidR="00CC1C95" w:rsidRPr="00434255" w:rsidRDefault="00CC1C95" w:rsidP="00EE0DB2">
      <w:r w:rsidRPr="00434255">
        <w:t xml:space="preserve">Specific features of EMPA’s case study on PBDE and other RoHS relevant substance screening in WEEE plastics are: </w:t>
      </w:r>
    </w:p>
    <w:p w:rsidR="00CC1C95" w:rsidRPr="00434255" w:rsidRDefault="00CC1C95" w:rsidP="000C33DE">
      <w:pPr>
        <w:numPr>
          <w:ilvl w:val="0"/>
          <w:numId w:val="21"/>
        </w:numPr>
        <w:snapToGrid/>
        <w:spacing w:after="0" w:line="276" w:lineRule="auto"/>
      </w:pPr>
      <w:r w:rsidRPr="00434255">
        <w:t xml:space="preserve">In the study a sampling methodology and a sampling protocol has been developed and is described in detail of </w:t>
      </w:r>
      <w:hyperlink r:id="rId77" w:history="1">
        <w:r w:rsidRPr="00434255">
          <w:rPr>
            <w:rStyle w:val="Hyperlink"/>
          </w:rPr>
          <w:t>Annex 1 and Annex 2 of EMPA study</w:t>
        </w:r>
      </w:hyperlink>
      <w:r w:rsidRPr="00434255">
        <w:t xml:space="preserve">. This sampling strategy and protocol can be applied (in a modified way) in other countries and regions having shredder plants for processing of WEEE. </w:t>
      </w:r>
    </w:p>
    <w:p w:rsidR="00CC1C95" w:rsidRPr="00434255" w:rsidRDefault="00CC1C95" w:rsidP="000C33DE">
      <w:pPr>
        <w:numPr>
          <w:ilvl w:val="0"/>
          <w:numId w:val="21"/>
        </w:numPr>
        <w:snapToGrid/>
        <w:spacing w:after="0" w:line="276" w:lineRule="auto"/>
      </w:pPr>
      <w:r w:rsidRPr="00434255">
        <w:t>The study gives a broad overview on the current POP-PBDE content of the polymer fractions of WEEE categories in Europe.</w:t>
      </w:r>
    </w:p>
    <w:p w:rsidR="00CC1C95" w:rsidRPr="00434255" w:rsidRDefault="00CC1C95" w:rsidP="000C33DE">
      <w:pPr>
        <w:numPr>
          <w:ilvl w:val="0"/>
          <w:numId w:val="21"/>
        </w:numPr>
        <w:snapToGrid/>
        <w:spacing w:after="0" w:line="276" w:lineRule="auto"/>
      </w:pPr>
      <w:r w:rsidRPr="00434255">
        <w:t>The study further gives an overview on other critical RoHS relevant pollutants which might be relevant today for other regions too.</w:t>
      </w:r>
    </w:p>
    <w:p w:rsidR="00CC1C95" w:rsidRPr="00434255" w:rsidRDefault="00CC1C95" w:rsidP="00A165BC">
      <w:pPr>
        <w:pStyle w:val="Heading3"/>
        <w:numPr>
          <w:ilvl w:val="0"/>
          <w:numId w:val="0"/>
        </w:numPr>
        <w:snapToGrid/>
        <w:spacing w:before="240" w:after="60" w:line="276" w:lineRule="auto"/>
        <w:jc w:val="both"/>
      </w:pPr>
      <w:bookmarkStart w:id="580" w:name="_Toc349335850"/>
      <w:r w:rsidRPr="00434255">
        <w:t>Determination of POPs-PBDE and BFRs in WEEE plastics in Nigeria (</w:t>
      </w:r>
      <w:hyperlink r:id="rId78" w:history="1">
        <w:r w:rsidRPr="00434255">
          <w:rPr>
            <w:rStyle w:val="Hyperlink"/>
          </w:rPr>
          <w:t>Sindiku et al. 2011</w:t>
        </w:r>
      </w:hyperlink>
      <w:r w:rsidRPr="00434255">
        <w:rPr>
          <w:rStyle w:val="FootnoteReference"/>
          <w:iCs/>
        </w:rPr>
        <w:footnoteReference w:id="113"/>
      </w:r>
      <w:r w:rsidRPr="00434255">
        <w:t xml:space="preserve"> and </w:t>
      </w:r>
      <w:hyperlink r:id="rId79" w:history="1">
        <w:r w:rsidRPr="00E45DCA">
          <w:rPr>
            <w:rStyle w:val="Hyperlink"/>
          </w:rPr>
          <w:t>2012</w:t>
        </w:r>
      </w:hyperlink>
      <w:r w:rsidRPr="00434255">
        <w:rPr>
          <w:rStyle w:val="FootnoteReference"/>
        </w:rPr>
        <w:footnoteReference w:id="114"/>
      </w:r>
      <w:r w:rsidRPr="00434255">
        <w:t>)</w:t>
      </w:r>
      <w:bookmarkEnd w:id="580"/>
    </w:p>
    <w:p w:rsidR="00CC1C95" w:rsidRPr="00434255" w:rsidRDefault="00CC1C95" w:rsidP="00EE0DB2">
      <w:pPr>
        <w:ind w:firstLine="708"/>
        <w:rPr>
          <w:szCs w:val="24"/>
        </w:rPr>
      </w:pPr>
      <w:r w:rsidRPr="00434255">
        <w:rPr>
          <w:szCs w:val="24"/>
        </w:rPr>
        <w:t xml:space="preserve">The largest POP-PBDE share within EEE/WEEE are casings of Cathod Ray Tubes (CRTs) (see </w:t>
      </w:r>
      <w:r w:rsidRPr="00434255">
        <w:rPr>
          <w:i/>
          <w:iCs/>
          <w:szCs w:val="24"/>
        </w:rPr>
        <w:t>PBDE Inventory Guidance</w:t>
      </w:r>
      <w:r w:rsidRPr="00434255">
        <w:rPr>
          <w:rFonts w:ascii="(Asiatische Schriftart verwende" w:hAnsi="(Asiatische Schriftart verwende"/>
          <w:i/>
          <w:iCs/>
          <w:szCs w:val="24"/>
          <w:vertAlign w:val="superscript"/>
        </w:rPr>
        <w:t>3</w:t>
      </w:r>
      <w:r w:rsidRPr="00434255">
        <w:rPr>
          <w:szCs w:val="24"/>
        </w:rPr>
        <w:t>). In a monitoring study of POP-PBDEs in Nigeria the two major CRT categories (TVs and computers) were monitored (</w:t>
      </w:r>
      <w:hyperlink r:id="rId80" w:history="1">
        <w:r w:rsidRPr="00434255">
          <w:rPr>
            <w:rStyle w:val="Hyperlink"/>
            <w:szCs w:val="24"/>
          </w:rPr>
          <w:t>Sindiku et al. 2011</w:t>
        </w:r>
      </w:hyperlink>
      <w:r w:rsidR="00E45DCA">
        <w:rPr>
          <w:szCs w:val="24"/>
        </w:rPr>
        <w:t xml:space="preserve"> and</w:t>
      </w:r>
      <w:r w:rsidRPr="00434255">
        <w:rPr>
          <w:szCs w:val="24"/>
        </w:rPr>
        <w:t xml:space="preserve"> </w:t>
      </w:r>
      <w:hyperlink r:id="rId81" w:history="1">
        <w:r w:rsidRPr="00E45DCA">
          <w:rPr>
            <w:rStyle w:val="Hyperlink"/>
            <w:szCs w:val="24"/>
          </w:rPr>
          <w:t>2012</w:t>
        </w:r>
      </w:hyperlink>
      <w:r w:rsidRPr="00434255">
        <w:rPr>
          <w:szCs w:val="24"/>
        </w:rPr>
        <w:t>). In this case study 383 single housings of computer and TV Cathode Ray Tubes (CRTs) were sampled at WEEE storage sites in Nigeria (Sindiku et al</w:t>
      </w:r>
      <w:r w:rsidR="00C0598F">
        <w:rPr>
          <w:szCs w:val="24"/>
        </w:rPr>
        <w:t>.</w:t>
      </w:r>
      <w:r w:rsidRPr="00434255">
        <w:rPr>
          <w:szCs w:val="24"/>
        </w:rPr>
        <w:t xml:space="preserve"> 2011, 2012). Furthermore the recycling of the plastic (large share is ABS) of these appliances is of particular interest from an economic perspective.</w:t>
      </w:r>
    </w:p>
    <w:p w:rsidR="0044162A" w:rsidRPr="00434255" w:rsidRDefault="0044162A" w:rsidP="0044162A">
      <w:pPr>
        <w:ind w:firstLine="708"/>
        <w:rPr>
          <w:szCs w:val="24"/>
        </w:rPr>
      </w:pPr>
      <w:r w:rsidRPr="00434255">
        <w:rPr>
          <w:szCs w:val="24"/>
        </w:rPr>
        <w:t>383 single housings of computer and TV Cathode Ray Tubes (CRTs) were sampled at WEEE storage sites in Nigeria (Sindiku et al</w:t>
      </w:r>
      <w:r w:rsidR="00E45DCA">
        <w:rPr>
          <w:szCs w:val="24"/>
        </w:rPr>
        <w:t>.</w:t>
      </w:r>
      <w:r w:rsidRPr="00434255">
        <w:rPr>
          <w:szCs w:val="24"/>
        </w:rPr>
        <w:t xml:space="preserve"> 2011, 2012). These two electronic appliances contain the largest share of POP-PBDEs in EEE/WEE</w:t>
      </w:r>
      <w:r w:rsidR="00E45DCA">
        <w:rPr>
          <w:szCs w:val="24"/>
        </w:rPr>
        <w:t>E (POP-PBDE Inventory Guidance)</w:t>
      </w:r>
      <w:r w:rsidRPr="00434255">
        <w:rPr>
          <w:szCs w:val="24"/>
        </w:rPr>
        <w:t>. Furthermore the recycling of the plastic (large share is ABS) of these appliances is of particular interest from an economic perspective.</w:t>
      </w:r>
    </w:p>
    <w:p w:rsidR="0044162A" w:rsidRPr="00434255" w:rsidRDefault="0044162A" w:rsidP="0044162A">
      <w:pPr>
        <w:rPr>
          <w:szCs w:val="24"/>
        </w:rPr>
      </w:pPr>
      <w:r w:rsidRPr="00434255">
        <w:rPr>
          <w:szCs w:val="24"/>
        </w:rPr>
        <w:t>The samples were specifically selected from waste storages, electronics workshops, roadsides, dumpsites and dismantling sites. The labels on the TVs and computer monitor plastic housings were examined for information on the manufacturer, brand, model, serial number, year and origin of production. Mainly for TV samples, the year of production were found printed on the inside of the plastic casings. The information was immediately recorded and about 250 cm</w:t>
      </w:r>
      <w:r w:rsidRPr="00434255">
        <w:rPr>
          <w:szCs w:val="24"/>
          <w:vertAlign w:val="superscript"/>
        </w:rPr>
        <w:t>2</w:t>
      </w:r>
      <w:r w:rsidRPr="00434255">
        <w:rPr>
          <w:szCs w:val="24"/>
        </w:rPr>
        <w:t xml:space="preserve"> sizes were cut from each sample. Dismantling and cutting were done with simple tools (Figure A4-1). A hole was made on the cut samples through which a metal tag (Figure A4-2) was attached with the aid of a safety pin (Figure A4-3). These were transferred to the workshop where 40 mm X 40 mm squares were cut (Figure A4-4), and the cut squares packaged in labelled drug envelops (Figure A4-5) for further analytical screening and analysis and stored for further analysis at a dark place, in order to avoid degradation processes. </w:t>
      </w:r>
    </w:p>
    <w:p w:rsidR="0044162A" w:rsidRPr="00F32383" w:rsidRDefault="0044162A" w:rsidP="0044162A">
      <w:pPr>
        <w:rPr>
          <w:szCs w:val="24"/>
        </w:rPr>
      </w:pPr>
      <w:r w:rsidRPr="00F32383">
        <w:rPr>
          <w:szCs w:val="24"/>
        </w:rPr>
        <w:t xml:space="preserve">The ranges of the year of production were 1987-2006 for computers, and 1981-2004 for TVs. This time span is considered being the most relevant for the use of POP-PBDEs as their use is thought to have been stopped in about 2004. </w:t>
      </w:r>
    </w:p>
    <w:p w:rsidR="0044162A" w:rsidRDefault="0044162A" w:rsidP="0044162A">
      <w:pPr>
        <w:rPr>
          <w:szCs w:val="24"/>
        </w:rPr>
      </w:pPr>
      <w:r w:rsidRPr="00F32383">
        <w:rPr>
          <w:szCs w:val="24"/>
        </w:rPr>
        <w:t xml:space="preserve">The numbers of samples with the regions of origin (production or assembly) are shown in Table A-3. A total of 382 samples were collected - 224 Computers and 158 TV sets. For computer samples, the highest proportion originated from Asia (100), followed by America (74), and then Europe (50). </w:t>
      </w:r>
      <w:r w:rsidRPr="00F32383" w:rsidDel="00266F13">
        <w:rPr>
          <w:szCs w:val="24"/>
        </w:rPr>
        <w:t xml:space="preserve"> </w:t>
      </w:r>
      <w:r w:rsidRPr="00F32383">
        <w:rPr>
          <w:szCs w:val="24"/>
        </w:rPr>
        <w:t xml:space="preserve">Most of the TV samples were produced in Europe (100), followed by Asia (58), and none from America. This broadly reflects presence of these e-wastes in Nigeria. Second hand TVs are not imported from the US as the systems are not compatible. </w:t>
      </w:r>
    </w:p>
    <w:p w:rsidR="0044162A" w:rsidRPr="00434255" w:rsidRDefault="0044162A" w:rsidP="0044162A">
      <w:pPr>
        <w:pStyle w:val="Default"/>
        <w:spacing w:line="276" w:lineRule="auto"/>
        <w:rPr>
          <w:sz w:val="10"/>
          <w:szCs w:val="10"/>
          <w:lang w:val="en-GB"/>
        </w:rPr>
      </w:pPr>
    </w:p>
    <w:p w:rsidR="00E45DCA" w:rsidRPr="00EC556A" w:rsidRDefault="00F05101" w:rsidP="00E45DCA">
      <w:pPr>
        <w:pStyle w:val="Default"/>
        <w:spacing w:line="276" w:lineRule="auto"/>
        <w:rPr>
          <w:b/>
          <w:noProof/>
          <w:sz w:val="20"/>
          <w:szCs w:val="20"/>
          <w:lang w:val="en-GB"/>
        </w:rPr>
      </w:pPr>
      <w:r>
        <w:rPr>
          <w:b/>
          <w:noProof/>
          <w:sz w:val="20"/>
          <w:szCs w:val="20"/>
          <w:lang w:val="en-GB" w:eastAsia="en-GB"/>
        </w:rPr>
        <w:drawing>
          <wp:inline distT="0" distB="0" distL="0" distR="0">
            <wp:extent cx="2066925" cy="1085850"/>
            <wp:effectExtent l="19050" t="0" r="9525" b="0"/>
            <wp:docPr id="25" name="Picture 1" descr="C:\Users\Babayemi\Pictures\E-WASTE SAMPLING\SAM_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bayemi\Pictures\E-WASTE SAMPLING\SAM_1442.JPG"/>
                    <pic:cNvPicPr>
                      <a:picLocks noChangeAspect="1" noChangeArrowheads="1"/>
                    </pic:cNvPicPr>
                  </pic:nvPicPr>
                  <pic:blipFill>
                    <a:blip r:embed="rId82" cstate="print"/>
                    <a:srcRect/>
                    <a:stretch>
                      <a:fillRect/>
                    </a:stretch>
                  </pic:blipFill>
                  <pic:spPr bwMode="auto">
                    <a:xfrm>
                      <a:off x="0" y="0"/>
                      <a:ext cx="2066925" cy="1085850"/>
                    </a:xfrm>
                    <a:prstGeom prst="rect">
                      <a:avLst/>
                    </a:prstGeom>
                    <a:noFill/>
                    <a:ln w="9525">
                      <a:noFill/>
                      <a:miter lim="800000"/>
                      <a:headEnd/>
                      <a:tailEnd/>
                    </a:ln>
                  </pic:spPr>
                </pic:pic>
              </a:graphicData>
            </a:graphic>
          </wp:inline>
        </w:drawing>
      </w:r>
      <w:r w:rsidR="00E45DCA" w:rsidRPr="00EC556A">
        <w:rPr>
          <w:b/>
          <w:noProof/>
          <w:sz w:val="20"/>
          <w:szCs w:val="20"/>
          <w:lang w:val="en-GB"/>
        </w:rPr>
        <w:tab/>
      </w:r>
      <w:r>
        <w:rPr>
          <w:b/>
          <w:noProof/>
          <w:sz w:val="20"/>
          <w:szCs w:val="20"/>
          <w:lang w:val="en-GB" w:eastAsia="en-GB"/>
        </w:rPr>
        <w:drawing>
          <wp:inline distT="0" distB="0" distL="0" distR="0">
            <wp:extent cx="2057400" cy="1095375"/>
            <wp:effectExtent l="19050" t="0" r="0" b="0"/>
            <wp:docPr id="26" name="Picture 2" descr="C:\Users\Babayemi\Pictures\E-WASTE SAMPLING\SAM_1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bayemi\Pictures\E-WASTE SAMPLING\SAM_1378.JPG"/>
                    <pic:cNvPicPr>
                      <a:picLocks noChangeAspect="1" noChangeArrowheads="1"/>
                    </pic:cNvPicPr>
                  </pic:nvPicPr>
                  <pic:blipFill>
                    <a:blip r:embed="rId83" cstate="print"/>
                    <a:srcRect/>
                    <a:stretch>
                      <a:fillRect/>
                    </a:stretch>
                  </pic:blipFill>
                  <pic:spPr bwMode="auto">
                    <a:xfrm>
                      <a:off x="0" y="0"/>
                      <a:ext cx="2057400" cy="1095375"/>
                    </a:xfrm>
                    <a:prstGeom prst="rect">
                      <a:avLst/>
                    </a:prstGeom>
                    <a:noFill/>
                    <a:ln w="9525">
                      <a:noFill/>
                      <a:miter lim="800000"/>
                      <a:headEnd/>
                      <a:tailEnd/>
                    </a:ln>
                  </pic:spPr>
                </pic:pic>
              </a:graphicData>
            </a:graphic>
          </wp:inline>
        </w:drawing>
      </w:r>
      <w:r w:rsidR="00E45DCA" w:rsidRPr="00EC556A">
        <w:rPr>
          <w:b/>
          <w:noProof/>
          <w:sz w:val="20"/>
          <w:szCs w:val="20"/>
          <w:lang w:val="en-GB"/>
        </w:rPr>
        <w:tab/>
      </w:r>
    </w:p>
    <w:p w:rsidR="00E45DCA" w:rsidRPr="00EC556A" w:rsidRDefault="00E45DCA" w:rsidP="00E45DCA">
      <w:pPr>
        <w:pStyle w:val="Default"/>
        <w:spacing w:before="80" w:line="276" w:lineRule="auto"/>
        <w:rPr>
          <w:lang w:val="en-GB"/>
        </w:rPr>
      </w:pPr>
      <w:r w:rsidRPr="00EC556A">
        <w:rPr>
          <w:lang w:val="en-GB"/>
        </w:rPr>
        <w:t>Figure A4-1: Sampling tools</w:t>
      </w:r>
      <w:r w:rsidRPr="00EC556A">
        <w:rPr>
          <w:lang w:val="en-GB"/>
        </w:rPr>
        <w:tab/>
        <w:t xml:space="preserve">              Figure A4-2: Labelling tags</w:t>
      </w:r>
    </w:p>
    <w:p w:rsidR="00E45DCA" w:rsidRPr="00EC556A" w:rsidRDefault="00E45DCA" w:rsidP="00E45DCA">
      <w:pPr>
        <w:pStyle w:val="Default"/>
        <w:spacing w:line="276" w:lineRule="auto"/>
        <w:rPr>
          <w:b/>
          <w:noProof/>
          <w:sz w:val="10"/>
          <w:szCs w:val="10"/>
          <w:lang w:val="en-GB"/>
        </w:rPr>
      </w:pPr>
    </w:p>
    <w:p w:rsidR="00E45DCA" w:rsidRPr="00EC556A" w:rsidRDefault="00F05101" w:rsidP="00E45DCA">
      <w:pPr>
        <w:pStyle w:val="Default"/>
        <w:spacing w:line="276" w:lineRule="auto"/>
        <w:rPr>
          <w:b/>
          <w:noProof/>
          <w:sz w:val="20"/>
          <w:szCs w:val="20"/>
          <w:lang w:val="en-GB"/>
        </w:rPr>
      </w:pPr>
      <w:r>
        <w:rPr>
          <w:b/>
          <w:noProof/>
          <w:sz w:val="20"/>
          <w:szCs w:val="20"/>
          <w:lang w:val="en-GB" w:eastAsia="en-GB"/>
        </w:rPr>
        <w:drawing>
          <wp:inline distT="0" distB="0" distL="0" distR="0">
            <wp:extent cx="1800225" cy="1085850"/>
            <wp:effectExtent l="19050" t="0" r="9525" b="0"/>
            <wp:docPr id="27" name="Picture 3" descr="F:\DCIM\100PHOTO\SAM_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PHOTO\SAM_1443.JPG"/>
                    <pic:cNvPicPr>
                      <a:picLocks noChangeAspect="1" noChangeArrowheads="1"/>
                    </pic:cNvPicPr>
                  </pic:nvPicPr>
                  <pic:blipFill>
                    <a:blip r:embed="rId84" cstate="print"/>
                    <a:srcRect/>
                    <a:stretch>
                      <a:fillRect/>
                    </a:stretch>
                  </pic:blipFill>
                  <pic:spPr bwMode="auto">
                    <a:xfrm>
                      <a:off x="0" y="0"/>
                      <a:ext cx="1800225" cy="1085850"/>
                    </a:xfrm>
                    <a:prstGeom prst="rect">
                      <a:avLst/>
                    </a:prstGeom>
                    <a:noFill/>
                    <a:ln w="9525">
                      <a:noFill/>
                      <a:miter lim="800000"/>
                      <a:headEnd/>
                      <a:tailEnd/>
                    </a:ln>
                  </pic:spPr>
                </pic:pic>
              </a:graphicData>
            </a:graphic>
          </wp:inline>
        </w:drawing>
      </w:r>
      <w:r w:rsidR="00E45DCA" w:rsidRPr="00EC556A">
        <w:rPr>
          <w:b/>
          <w:noProof/>
          <w:sz w:val="20"/>
          <w:szCs w:val="20"/>
          <w:lang w:val="en-GB"/>
        </w:rPr>
        <w:t xml:space="preserve">    </w:t>
      </w:r>
      <w:r>
        <w:rPr>
          <w:b/>
          <w:noProof/>
          <w:sz w:val="20"/>
          <w:szCs w:val="20"/>
          <w:lang w:val="en-GB" w:eastAsia="en-GB"/>
        </w:rPr>
        <w:drawing>
          <wp:inline distT="0" distB="0" distL="0" distR="0">
            <wp:extent cx="1543050" cy="1095375"/>
            <wp:effectExtent l="19050" t="0" r="0" b="0"/>
            <wp:docPr id="28" name="Picture 1" descr="C:\Users\Babayemi\Backed up\Babayemi 2\Pictures\E-WASTE SAMPLING\SAM_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bayemi\Backed up\Babayemi 2\Pictures\E-WASTE SAMPLING\SAM_1721.JPG"/>
                    <pic:cNvPicPr>
                      <a:picLocks noChangeAspect="1" noChangeArrowheads="1"/>
                    </pic:cNvPicPr>
                  </pic:nvPicPr>
                  <pic:blipFill>
                    <a:blip r:embed="rId85" cstate="print"/>
                    <a:srcRect/>
                    <a:stretch>
                      <a:fillRect/>
                    </a:stretch>
                  </pic:blipFill>
                  <pic:spPr bwMode="auto">
                    <a:xfrm>
                      <a:off x="0" y="0"/>
                      <a:ext cx="1543050" cy="1095375"/>
                    </a:xfrm>
                    <a:prstGeom prst="rect">
                      <a:avLst/>
                    </a:prstGeom>
                    <a:noFill/>
                    <a:ln w="9525">
                      <a:noFill/>
                      <a:miter lim="800000"/>
                      <a:headEnd/>
                      <a:tailEnd/>
                    </a:ln>
                  </pic:spPr>
                </pic:pic>
              </a:graphicData>
            </a:graphic>
          </wp:inline>
        </w:drawing>
      </w:r>
      <w:r w:rsidR="00E45DCA" w:rsidRPr="00EC556A">
        <w:rPr>
          <w:b/>
          <w:noProof/>
          <w:sz w:val="20"/>
          <w:szCs w:val="20"/>
          <w:lang w:val="en-GB"/>
        </w:rPr>
        <w:t xml:space="preserve">      </w:t>
      </w:r>
      <w:r>
        <w:rPr>
          <w:b/>
          <w:noProof/>
          <w:sz w:val="20"/>
          <w:szCs w:val="20"/>
          <w:lang w:val="en-GB" w:eastAsia="en-GB"/>
        </w:rPr>
        <w:drawing>
          <wp:inline distT="0" distB="0" distL="0" distR="0">
            <wp:extent cx="1857375" cy="1085850"/>
            <wp:effectExtent l="19050" t="0" r="9525" b="0"/>
            <wp:docPr id="29" name="Picture 2" descr="C:\Users\Babayemi\Backed up\Babayemi 2\Pictures\E-WASTE SAMPLING\SAM_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bayemi\Backed up\Babayemi 2\Pictures\E-WASTE SAMPLING\SAM_1731.JPG"/>
                    <pic:cNvPicPr>
                      <a:picLocks noChangeAspect="1" noChangeArrowheads="1"/>
                    </pic:cNvPicPr>
                  </pic:nvPicPr>
                  <pic:blipFill>
                    <a:blip r:embed="rId86" cstate="print"/>
                    <a:srcRect/>
                    <a:stretch>
                      <a:fillRect/>
                    </a:stretch>
                  </pic:blipFill>
                  <pic:spPr bwMode="auto">
                    <a:xfrm>
                      <a:off x="0" y="0"/>
                      <a:ext cx="1857375" cy="1085850"/>
                    </a:xfrm>
                    <a:prstGeom prst="rect">
                      <a:avLst/>
                    </a:prstGeom>
                    <a:noFill/>
                    <a:ln w="9525">
                      <a:noFill/>
                      <a:miter lim="800000"/>
                      <a:headEnd/>
                      <a:tailEnd/>
                    </a:ln>
                  </pic:spPr>
                </pic:pic>
              </a:graphicData>
            </a:graphic>
          </wp:inline>
        </w:drawing>
      </w:r>
    </w:p>
    <w:p w:rsidR="00E45DCA" w:rsidRPr="00EC556A" w:rsidRDefault="00E45DCA" w:rsidP="00E45DCA">
      <w:pPr>
        <w:pStyle w:val="Default"/>
        <w:spacing w:before="80" w:line="276" w:lineRule="auto"/>
        <w:rPr>
          <w:noProof/>
          <w:lang w:val="en-GB"/>
        </w:rPr>
      </w:pPr>
      <w:r w:rsidRPr="00EC556A">
        <w:rPr>
          <w:noProof/>
          <w:lang w:val="en-GB"/>
        </w:rPr>
        <w:t>Fig. A4-3: Labeled field sample</w:t>
      </w:r>
      <w:r w:rsidRPr="00EC556A">
        <w:rPr>
          <w:noProof/>
          <w:sz w:val="22"/>
          <w:szCs w:val="22"/>
          <w:lang w:val="en-GB"/>
        </w:rPr>
        <w:t xml:space="preserve">  </w:t>
      </w:r>
      <w:r w:rsidRPr="00EC556A">
        <w:rPr>
          <w:noProof/>
          <w:lang w:val="en-GB"/>
        </w:rPr>
        <w:t>Figure A4-4: Cut squares    Figure A4-5: packaged samples</w:t>
      </w:r>
    </w:p>
    <w:p w:rsidR="00E45DCA" w:rsidRPr="00EC556A" w:rsidRDefault="00E45DCA" w:rsidP="00E45DCA"/>
    <w:p w:rsidR="0044162A" w:rsidRPr="001B2D1B" w:rsidRDefault="0044162A" w:rsidP="0044162A">
      <w:pPr>
        <w:pStyle w:val="Default"/>
        <w:spacing w:after="80" w:line="276" w:lineRule="auto"/>
        <w:rPr>
          <w:rFonts w:ascii="Calibri" w:hAnsi="Calibri"/>
          <w:bCs/>
          <w:sz w:val="22"/>
          <w:szCs w:val="22"/>
          <w:lang w:val="en-GB"/>
        </w:rPr>
      </w:pPr>
      <w:r w:rsidRPr="001B2D1B">
        <w:rPr>
          <w:b/>
          <w:bCs/>
        </w:rPr>
        <w:t xml:space="preserve">Table A4-1: </w:t>
      </w:r>
      <w:r w:rsidRPr="001B2D1B">
        <w:rPr>
          <w:bCs/>
        </w:rPr>
        <w:t>Number of samples from each region of production/assembly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40"/>
      </w:tblGrid>
      <w:tr w:rsidR="0044162A" w:rsidRPr="001B2D1B">
        <w:tc>
          <w:tcPr>
            <w:tcW w:w="5040" w:type="dxa"/>
            <w:tcBorders>
              <w:top w:val="single" w:sz="4" w:space="0" w:color="auto"/>
              <w:left w:val="single" w:sz="4" w:space="0" w:color="auto"/>
              <w:bottom w:val="single" w:sz="4" w:space="0" w:color="auto"/>
              <w:right w:val="single" w:sz="4" w:space="0" w:color="auto"/>
            </w:tcBorders>
          </w:tcPr>
          <w:p w:rsidR="0044162A" w:rsidRPr="001B2D1B" w:rsidRDefault="0044162A" w:rsidP="00B61259">
            <w:pPr>
              <w:pStyle w:val="Default"/>
              <w:tabs>
                <w:tab w:val="left" w:pos="1165"/>
                <w:tab w:val="left" w:pos="2692"/>
                <w:tab w:val="left" w:pos="3681"/>
              </w:tabs>
              <w:spacing w:line="276" w:lineRule="auto"/>
              <w:rPr>
                <w:rFonts w:ascii="Calibri" w:hAnsi="Calibri"/>
                <w:b/>
                <w:bCs/>
                <w:sz w:val="22"/>
                <w:szCs w:val="22"/>
                <w:lang w:val="en-GB"/>
              </w:rPr>
            </w:pPr>
            <w:r w:rsidRPr="001B2D1B">
              <w:rPr>
                <w:b/>
                <w:bCs/>
              </w:rPr>
              <w:t>Region</w:t>
            </w:r>
            <w:r w:rsidRPr="001B2D1B">
              <w:rPr>
                <w:b/>
                <w:bCs/>
              </w:rPr>
              <w:tab/>
              <w:t>Computer</w:t>
            </w:r>
            <w:r w:rsidRPr="001B2D1B">
              <w:rPr>
                <w:b/>
                <w:bCs/>
              </w:rPr>
              <w:tab/>
              <w:t>TVs</w:t>
            </w:r>
            <w:r w:rsidRPr="001B2D1B">
              <w:rPr>
                <w:b/>
                <w:bCs/>
              </w:rPr>
              <w:tab/>
              <w:t>Total</w:t>
            </w:r>
          </w:p>
        </w:tc>
      </w:tr>
      <w:tr w:rsidR="0044162A" w:rsidRPr="001B2D1B">
        <w:tc>
          <w:tcPr>
            <w:tcW w:w="5040" w:type="dxa"/>
            <w:tcBorders>
              <w:top w:val="single" w:sz="4" w:space="0" w:color="auto"/>
              <w:left w:val="single" w:sz="4" w:space="0" w:color="auto"/>
              <w:bottom w:val="single" w:sz="4" w:space="0" w:color="auto"/>
              <w:right w:val="single" w:sz="4" w:space="0" w:color="auto"/>
            </w:tcBorders>
          </w:tcPr>
          <w:p w:rsidR="0044162A" w:rsidRPr="001B2D1B" w:rsidRDefault="0044162A" w:rsidP="00B61259">
            <w:pPr>
              <w:pStyle w:val="Default"/>
              <w:tabs>
                <w:tab w:val="left" w:pos="1377"/>
                <w:tab w:val="left" w:pos="2680"/>
                <w:tab w:val="left" w:pos="2792"/>
                <w:tab w:val="left" w:pos="3694"/>
              </w:tabs>
              <w:spacing w:line="276" w:lineRule="auto"/>
              <w:rPr>
                <w:rFonts w:ascii="Calibri" w:hAnsi="Calibri"/>
                <w:bCs/>
                <w:sz w:val="22"/>
                <w:szCs w:val="22"/>
                <w:lang w:val="en-GB"/>
              </w:rPr>
            </w:pPr>
            <w:r w:rsidRPr="001B2D1B">
              <w:rPr>
                <w:bCs/>
              </w:rPr>
              <w:t>Europe</w:t>
            </w:r>
            <w:r w:rsidRPr="001B2D1B">
              <w:rPr>
                <w:bCs/>
              </w:rPr>
              <w:tab/>
              <w:t>50</w:t>
            </w:r>
            <w:r w:rsidRPr="001B2D1B">
              <w:rPr>
                <w:bCs/>
              </w:rPr>
              <w:tab/>
              <w:t>100</w:t>
            </w:r>
            <w:r w:rsidRPr="001B2D1B">
              <w:rPr>
                <w:bCs/>
              </w:rPr>
              <w:tab/>
              <w:t>150</w:t>
            </w:r>
          </w:p>
          <w:p w:rsidR="0044162A" w:rsidRPr="001B2D1B" w:rsidRDefault="0044162A" w:rsidP="00B61259">
            <w:pPr>
              <w:pStyle w:val="Default"/>
              <w:tabs>
                <w:tab w:val="left" w:pos="1377"/>
                <w:tab w:val="left" w:pos="2680"/>
                <w:tab w:val="left" w:pos="3694"/>
              </w:tabs>
              <w:spacing w:line="276" w:lineRule="auto"/>
              <w:rPr>
                <w:rFonts w:ascii="Calibri" w:hAnsi="Calibri"/>
                <w:bCs/>
                <w:sz w:val="22"/>
                <w:szCs w:val="22"/>
                <w:lang w:val="en-GB"/>
              </w:rPr>
            </w:pPr>
            <w:r w:rsidRPr="001B2D1B">
              <w:rPr>
                <w:bCs/>
              </w:rPr>
              <w:t>Asia</w:t>
            </w:r>
            <w:r w:rsidRPr="001B2D1B">
              <w:rPr>
                <w:bCs/>
              </w:rPr>
              <w:tab/>
              <w:t>100</w:t>
            </w:r>
            <w:r w:rsidRPr="001B2D1B">
              <w:rPr>
                <w:bCs/>
              </w:rPr>
              <w:tab/>
              <w:t>58</w:t>
            </w:r>
            <w:r w:rsidRPr="001B2D1B">
              <w:rPr>
                <w:bCs/>
              </w:rPr>
              <w:tab/>
              <w:t>158</w:t>
            </w:r>
          </w:p>
          <w:p w:rsidR="0044162A" w:rsidRPr="001B2D1B" w:rsidRDefault="0044162A" w:rsidP="00B61259">
            <w:pPr>
              <w:pStyle w:val="Default"/>
              <w:tabs>
                <w:tab w:val="left" w:pos="1377"/>
                <w:tab w:val="left" w:pos="2680"/>
                <w:tab w:val="left" w:pos="3694"/>
              </w:tabs>
              <w:spacing w:line="276" w:lineRule="auto"/>
              <w:rPr>
                <w:rFonts w:ascii="Calibri" w:hAnsi="Calibri"/>
                <w:bCs/>
                <w:sz w:val="22"/>
                <w:szCs w:val="22"/>
                <w:lang w:val="en-GB"/>
              </w:rPr>
            </w:pPr>
            <w:r w:rsidRPr="001B2D1B">
              <w:rPr>
                <w:bCs/>
              </w:rPr>
              <w:t>America</w:t>
            </w:r>
            <w:r w:rsidRPr="001B2D1B">
              <w:rPr>
                <w:bCs/>
              </w:rPr>
              <w:tab/>
              <w:t>74</w:t>
            </w:r>
            <w:r w:rsidRPr="001B2D1B">
              <w:rPr>
                <w:bCs/>
              </w:rPr>
              <w:tab/>
              <w:t>0</w:t>
            </w:r>
            <w:r w:rsidRPr="001B2D1B">
              <w:rPr>
                <w:bCs/>
              </w:rPr>
              <w:tab/>
              <w:t>74</w:t>
            </w:r>
          </w:p>
          <w:p w:rsidR="0044162A" w:rsidRPr="001B2D1B" w:rsidRDefault="0044162A" w:rsidP="00B61259">
            <w:pPr>
              <w:pStyle w:val="Default"/>
              <w:tabs>
                <w:tab w:val="left" w:pos="1377"/>
                <w:tab w:val="left" w:pos="2680"/>
                <w:tab w:val="left" w:pos="3694"/>
              </w:tabs>
              <w:spacing w:line="276" w:lineRule="auto"/>
              <w:rPr>
                <w:rFonts w:ascii="Calibri" w:hAnsi="Calibri"/>
                <w:b/>
                <w:bCs/>
                <w:sz w:val="22"/>
                <w:szCs w:val="22"/>
                <w:lang w:val="en-GB"/>
              </w:rPr>
            </w:pPr>
            <w:r w:rsidRPr="001B2D1B">
              <w:rPr>
                <w:b/>
                <w:bCs/>
              </w:rPr>
              <w:t>Total</w:t>
            </w:r>
            <w:r w:rsidRPr="001B2D1B">
              <w:rPr>
                <w:b/>
                <w:bCs/>
              </w:rPr>
              <w:tab/>
              <w:t>224</w:t>
            </w:r>
            <w:r w:rsidRPr="001B2D1B">
              <w:rPr>
                <w:b/>
                <w:bCs/>
              </w:rPr>
              <w:tab/>
              <w:t>158</w:t>
            </w:r>
            <w:r w:rsidRPr="001B2D1B">
              <w:rPr>
                <w:b/>
                <w:bCs/>
              </w:rPr>
              <w:tab/>
              <w:t>382</w:t>
            </w:r>
          </w:p>
        </w:tc>
      </w:tr>
    </w:tbl>
    <w:p w:rsidR="0044162A" w:rsidRPr="00434255" w:rsidRDefault="0044162A" w:rsidP="0044162A">
      <w:pPr>
        <w:pStyle w:val="Default"/>
        <w:spacing w:line="276" w:lineRule="auto"/>
        <w:rPr>
          <w:b/>
          <w:bCs/>
          <w:sz w:val="20"/>
          <w:szCs w:val="20"/>
          <w:lang w:val="en-GB"/>
        </w:rPr>
      </w:pPr>
    </w:p>
    <w:p w:rsidR="0044162A" w:rsidRPr="00434255" w:rsidRDefault="0044162A" w:rsidP="0044162A">
      <w:r w:rsidRPr="00434255">
        <w:t>Small parts of these sub-samples were subjected to a screening with EDXRGF aiming at the semi</w:t>
      </w:r>
      <w:r w:rsidR="00F15D29">
        <w:t>-</w:t>
      </w:r>
      <w:r w:rsidRPr="00434255">
        <w:t xml:space="preserve">quantification of bromine, chlorine but also of inorganic compounds listed in the RoHS directive. Bromine positive samples were than selected for GC/ECD and GC/MS analysis. </w:t>
      </w:r>
    </w:p>
    <w:p w:rsidR="0044162A" w:rsidRPr="00434255" w:rsidRDefault="0044162A" w:rsidP="0044162A">
      <w:r w:rsidRPr="00434255">
        <w:t>Ext</w:t>
      </w:r>
      <w:r w:rsidR="00F15D29">
        <w:t>r</w:t>
      </w:r>
      <w:r w:rsidRPr="00434255">
        <w:t>action was perfo</w:t>
      </w:r>
      <w:r w:rsidR="00F15D29">
        <w:t>r</w:t>
      </w:r>
      <w:r w:rsidRPr="00434255">
        <w:t xml:space="preserve">med by a dissolution/precipitation approach, since most casings were built by styrene based polymers which at least partly dissolve in classic extraction solvents (e.g. acetone, acetone/cyclohexane, ethyl acetate, THF, toluene, etc.). Dissolution was performed by </w:t>
      </w:r>
      <w:r w:rsidR="00F15D29">
        <w:t>THF</w:t>
      </w:r>
      <w:r w:rsidRPr="00434255">
        <w:t xml:space="preserve"> and precipitation by </w:t>
      </w:r>
      <w:r w:rsidRPr="00434255">
        <w:rPr>
          <w:i/>
        </w:rPr>
        <w:t>n</w:t>
      </w:r>
      <w:r w:rsidRPr="00434255">
        <w:t xml:space="preserve">-heptane (see methodology described above).  </w:t>
      </w:r>
    </w:p>
    <w:p w:rsidR="0044162A" w:rsidRPr="00434255" w:rsidRDefault="0044162A" w:rsidP="0044162A">
      <w:r w:rsidRPr="00434255">
        <w:t xml:space="preserve">In case of high bromine levels, GC-ECD provides typical fingerprint of technically applied BFRs. However, in case of lower bromine concentrations (below 1000 ppm) and unclear ECD results the aliquots of the sample extracts were fortified with </w:t>
      </w:r>
      <w:r w:rsidRPr="00434255">
        <w:rPr>
          <w:vertAlign w:val="superscript"/>
        </w:rPr>
        <w:t>13</w:t>
      </w:r>
      <w:r w:rsidRPr="00434255">
        <w:t>C-labelled internal standards and further subjected to GC/MS analysis in the EI-mode. By this approach an emission factor for octaBDE in the two key (TV casings and computer monitors) were derived.</w:t>
      </w:r>
    </w:p>
    <w:p w:rsidR="0044162A" w:rsidRDefault="0044162A" w:rsidP="0044162A">
      <w:pPr>
        <w:tabs>
          <w:tab w:val="left" w:pos="624"/>
          <w:tab w:val="left" w:pos="1247"/>
          <w:tab w:val="left" w:pos="1871"/>
          <w:tab w:val="left" w:pos="2495"/>
          <w:tab w:val="left" w:pos="3119"/>
        </w:tabs>
        <w:autoSpaceDE w:val="0"/>
        <w:autoSpaceDN w:val="0"/>
        <w:adjustRightInd w:val="0"/>
      </w:pPr>
      <w:r w:rsidRPr="00434255">
        <w:t>Finally, the type and amount of BFR have been measured for 382 computers and products.</w:t>
      </w:r>
      <w:r w:rsidRPr="00EC556A">
        <w:t xml:space="preserve"> </w:t>
      </w:r>
    </w:p>
    <w:p w:rsidR="00CC1C95" w:rsidRPr="00434255" w:rsidRDefault="00CC1C95" w:rsidP="00EE0DB2">
      <w:r w:rsidRPr="00434255">
        <w:t xml:space="preserve">Specific features of the case study on BFR screening and PBDE in WEEE plastic are: </w:t>
      </w:r>
    </w:p>
    <w:p w:rsidR="00CC1C95" w:rsidRPr="00434255" w:rsidRDefault="00CC1C95" w:rsidP="000C33DE">
      <w:pPr>
        <w:numPr>
          <w:ilvl w:val="0"/>
          <w:numId w:val="21"/>
        </w:numPr>
        <w:snapToGrid/>
        <w:spacing w:after="0" w:line="276" w:lineRule="auto"/>
      </w:pPr>
      <w:r w:rsidRPr="00434255">
        <w:t xml:space="preserve">In the study a sampling methodology of CRT polymers for countries having no shredder plants (and where the above mentioned EMPA approach is difficult to apply) have been developed and are described in Annex 4-C. </w:t>
      </w:r>
    </w:p>
    <w:p w:rsidR="00CC1C95" w:rsidRPr="00434255" w:rsidRDefault="00CC1C95" w:rsidP="000C33DE">
      <w:pPr>
        <w:numPr>
          <w:ilvl w:val="0"/>
          <w:numId w:val="21"/>
        </w:numPr>
        <w:snapToGrid/>
        <w:spacing w:after="0" w:line="276" w:lineRule="auto"/>
      </w:pPr>
      <w:r w:rsidRPr="00434255">
        <w:rPr>
          <w:szCs w:val="24"/>
        </w:rPr>
        <w:t xml:space="preserve">Bromine screening was applied and POP-PBDE content separately for the different main importing regions (North America, Asia, and Europe). </w:t>
      </w:r>
    </w:p>
    <w:p w:rsidR="00CC1C95" w:rsidRPr="00434255" w:rsidRDefault="00CC1C95" w:rsidP="000C33DE">
      <w:pPr>
        <w:numPr>
          <w:ilvl w:val="0"/>
          <w:numId w:val="21"/>
        </w:numPr>
        <w:snapToGrid/>
        <w:spacing w:after="0" w:line="276" w:lineRule="auto"/>
      </w:pPr>
      <w:r w:rsidRPr="00434255">
        <w:t>Product specific information (producer, product name, production year, region of origin) on POP-PBDE/BFR content in the CRTs products specific.</w:t>
      </w:r>
    </w:p>
    <w:p w:rsidR="00CC1C95" w:rsidRPr="00434255" w:rsidRDefault="00CC1C95" w:rsidP="000C33DE">
      <w:pPr>
        <w:numPr>
          <w:ilvl w:val="0"/>
          <w:numId w:val="21"/>
        </w:numPr>
        <w:snapToGrid/>
        <w:spacing w:after="0" w:line="276" w:lineRule="auto"/>
      </w:pPr>
      <w:r w:rsidRPr="00434255">
        <w:t>With the generated data set POP-PBDE impact factors for plastic of TV CRTs (6.9 kg c-OctaBDE/tonne TV CRT plastic) and computer CRTs (0.5 kg c-OctaBDE/tonne PC CRT plastic) in Nigerian. Based on the EEE/WEEE inventory of Nigeria</w:t>
      </w:r>
      <w:r w:rsidRPr="00434255">
        <w:rPr>
          <w:rStyle w:val="FootnoteReference"/>
        </w:rPr>
        <w:footnoteReference w:id="115"/>
      </w:r>
      <w:r w:rsidRPr="00434255">
        <w:t xml:space="preserve"> these impact factors have been used for developing the POP-PBDE inventory for Nigerian EEE/WEEE.</w:t>
      </w:r>
    </w:p>
    <w:p w:rsidR="00CC1C95" w:rsidRPr="00434255" w:rsidRDefault="00CC1C95" w:rsidP="00EE0DB2">
      <w:r w:rsidRPr="00434255">
        <w:t>The EDC chromatogram in Figure 2 b and c show BFRs mixtures in polymers from two TV samples containing c-OctaBDE. The mixtures of BFR reveal that the casings of the two TV sets were produced partly with recycled polymers.</w:t>
      </w:r>
    </w:p>
    <w:p w:rsidR="00CC1C95" w:rsidRPr="00434255" w:rsidRDefault="00CC1C95" w:rsidP="00A165BC">
      <w:pPr>
        <w:pStyle w:val="Heading3"/>
        <w:numPr>
          <w:ilvl w:val="0"/>
          <w:numId w:val="0"/>
        </w:numPr>
        <w:snapToGrid/>
        <w:spacing w:before="240" w:after="60" w:line="276" w:lineRule="auto"/>
        <w:jc w:val="both"/>
      </w:pPr>
      <w:bookmarkStart w:id="581" w:name="_Toc349335851"/>
      <w:r w:rsidRPr="00434255">
        <w:t>Monitoring of BFRs in polymers of electronics on Swiss market (</w:t>
      </w:r>
      <w:hyperlink r:id="rId87" w:history="1">
        <w:r w:rsidRPr="00434255">
          <w:rPr>
            <w:rStyle w:val="Hyperlink"/>
          </w:rPr>
          <w:t>Bantelmann et al. 2010</w:t>
        </w:r>
      </w:hyperlink>
      <w:r w:rsidRPr="00434255">
        <w:t>)</w:t>
      </w:r>
      <w:r w:rsidRPr="00434255">
        <w:rPr>
          <w:rStyle w:val="FootnoteReference"/>
        </w:rPr>
        <w:footnoteReference w:id="116"/>
      </w:r>
      <w:bookmarkEnd w:id="581"/>
    </w:p>
    <w:p w:rsidR="00CC1C95" w:rsidRPr="00434255" w:rsidRDefault="00CC1C95" w:rsidP="00EE0DB2">
      <w:pPr>
        <w:ind w:firstLine="708"/>
      </w:pPr>
      <w:r w:rsidRPr="00434255">
        <w:t>The Swiss competent authorities monitored in 2000 consumer products the presence of brominated flame retardants including electrical devices, building materials and lighting equipment. The aim of the survey was to evaluate the compliance of commercial articles with the provisions of the Swiss restrictions on BFRs: In Switzerland, the placing on the market and use of PBBs, c-PentaBDE, and c-OctaBDE as substances on its own, as well as in preparations with contents of each of these BFRs equal to or exceeding 0.1% by mass is prohibited. Placing on the market – but not the use – of articles that contain these substances in concentrations equal to or exceeding 0.1% by mass is banned as well.</w:t>
      </w:r>
    </w:p>
    <w:p w:rsidR="00CC1C95" w:rsidRPr="00434255" w:rsidRDefault="00CC1C95" w:rsidP="00EE0DB2">
      <w:r w:rsidRPr="00434255">
        <w:t>Only 2 from the approximately 2000 samples contained c-OctaBDE above the 0.1% RoHS threshold.</w:t>
      </w:r>
    </w:p>
    <w:p w:rsidR="00CC1C95" w:rsidRPr="00434255" w:rsidRDefault="00CC1C95" w:rsidP="00EE0DB2">
      <w:r w:rsidRPr="00434255">
        <w:t xml:space="preserve">Specific features of the case study on PBDE and other RoHS relevant substances in WEEE plastic are: </w:t>
      </w:r>
    </w:p>
    <w:p w:rsidR="00CC1C95" w:rsidRPr="00434255" w:rsidRDefault="00CC1C95" w:rsidP="000C33DE">
      <w:pPr>
        <w:numPr>
          <w:ilvl w:val="0"/>
          <w:numId w:val="22"/>
        </w:numPr>
        <w:snapToGrid/>
        <w:spacing w:after="0" w:line="276" w:lineRule="auto"/>
      </w:pPr>
      <w:r w:rsidRPr="00434255">
        <w:t>The study is a comprehensive market survey with a three step approach to monitor brominated flame retardants in contemporary products</w:t>
      </w:r>
    </w:p>
    <w:p w:rsidR="00CC1C95" w:rsidRPr="00434255" w:rsidRDefault="00CC1C95" w:rsidP="000C33DE">
      <w:pPr>
        <w:numPr>
          <w:ilvl w:val="1"/>
          <w:numId w:val="22"/>
        </w:numPr>
        <w:snapToGrid/>
        <w:spacing w:after="0" w:line="276" w:lineRule="auto"/>
      </w:pPr>
      <w:r w:rsidRPr="00434255">
        <w:t>Screening of BFRs in products</w:t>
      </w:r>
    </w:p>
    <w:p w:rsidR="00CC1C95" w:rsidRPr="00434255" w:rsidRDefault="00CC1C95" w:rsidP="000C33DE">
      <w:pPr>
        <w:numPr>
          <w:ilvl w:val="1"/>
          <w:numId w:val="22"/>
        </w:numPr>
        <w:snapToGrid/>
        <w:spacing w:after="0" w:line="276" w:lineRule="auto"/>
      </w:pPr>
      <w:r w:rsidRPr="00434255">
        <w:t xml:space="preserve">Analysis of the bromine positive samples for prohibited POP-PBDEs and common used flame retardants </w:t>
      </w:r>
    </w:p>
    <w:p w:rsidR="00CC1C95" w:rsidRPr="00434255" w:rsidRDefault="00CC1C95" w:rsidP="000C33DE">
      <w:pPr>
        <w:numPr>
          <w:ilvl w:val="1"/>
          <w:numId w:val="22"/>
        </w:numPr>
        <w:snapToGrid/>
        <w:spacing w:after="0" w:line="276" w:lineRule="auto"/>
      </w:pPr>
      <w:r w:rsidRPr="00434255">
        <w:t>Scanning of bromine positive samples where the BFR were not those commonly used for new brominated flame (Zennegg et al. 2011)</w:t>
      </w:r>
      <w:r w:rsidRPr="00434255">
        <w:rPr>
          <w:rStyle w:val="FootnoteReference"/>
        </w:rPr>
        <w:footnoteReference w:id="117"/>
      </w:r>
    </w:p>
    <w:p w:rsidR="00CC1C95" w:rsidRPr="00434255" w:rsidRDefault="00CC1C95" w:rsidP="000C33DE">
      <w:pPr>
        <w:numPr>
          <w:ilvl w:val="0"/>
          <w:numId w:val="22"/>
        </w:numPr>
        <w:snapToGrid/>
        <w:spacing w:after="0" w:line="276" w:lineRule="auto"/>
      </w:pPr>
      <w:r w:rsidRPr="00434255">
        <w:t xml:space="preserve">The study gives an insight on BFRs used in electronic products imported to the European market. The study shows that the POP-PBDE content in current products on the Swiss (and therefore European) market is small. </w:t>
      </w:r>
    </w:p>
    <w:p w:rsidR="00CC1C95" w:rsidRPr="00434255" w:rsidRDefault="00CC1C95" w:rsidP="000C33DE">
      <w:pPr>
        <w:numPr>
          <w:ilvl w:val="1"/>
          <w:numId w:val="22"/>
        </w:numPr>
        <w:snapToGrid/>
        <w:spacing w:after="0" w:line="276" w:lineRule="auto"/>
      </w:pPr>
      <w:r w:rsidRPr="00434255">
        <w:t>Only 2 from the approximately 2000 samples contained c-OctaBDE above the 0.1% RoHS threshold.</w:t>
      </w:r>
    </w:p>
    <w:p w:rsidR="00CC1C95" w:rsidRPr="00434255" w:rsidRDefault="00CC1C95" w:rsidP="000C33DE">
      <w:pPr>
        <w:numPr>
          <w:ilvl w:val="1"/>
          <w:numId w:val="22"/>
        </w:numPr>
        <w:snapToGrid/>
        <w:spacing w:after="0" w:line="276" w:lineRule="auto"/>
      </w:pPr>
      <w:r w:rsidRPr="00434255">
        <w:t xml:space="preserve">17 samples contained DecaBDE above the RoHS threshold of 0.1% </w:t>
      </w:r>
    </w:p>
    <w:p w:rsidR="00CC1C95" w:rsidRPr="00434255" w:rsidRDefault="00CC1C95" w:rsidP="000C33DE">
      <w:pPr>
        <w:numPr>
          <w:ilvl w:val="0"/>
          <w:numId w:val="22"/>
        </w:numPr>
        <w:snapToGrid/>
        <w:spacing w:after="0" w:line="276" w:lineRule="auto"/>
      </w:pPr>
      <w:r w:rsidRPr="00434255">
        <w:t>The study further gives an overview on other critical RoHS relevant pollutants which is relevant today for many other regions with RoHS like legislation</w:t>
      </w:r>
    </w:p>
    <w:p w:rsidR="00CC1C95" w:rsidRPr="00434255" w:rsidRDefault="00CC1C95" w:rsidP="00EE0DB2">
      <w:r w:rsidRPr="00434255">
        <w:t>The results of the third screening level of unknown BFRs in the samples by EMPA revealed that some of these samples contained e.g. hexabromobenzene or pentabromobenzene where the chlorinated analogues (HCB &amp; PeCB) are prohibited by the Stockholm Convention.</w:t>
      </w:r>
    </w:p>
    <w:p w:rsidR="00CC1C95" w:rsidRPr="00434255" w:rsidRDefault="00CC1C95" w:rsidP="00A165BC">
      <w:pPr>
        <w:pStyle w:val="Heading3"/>
        <w:numPr>
          <w:ilvl w:val="0"/>
          <w:numId w:val="0"/>
        </w:numPr>
        <w:snapToGrid/>
        <w:spacing w:before="240" w:after="60" w:line="276" w:lineRule="auto"/>
        <w:jc w:val="both"/>
      </w:pPr>
      <w:bookmarkStart w:id="582" w:name="_Toc349335852"/>
      <w:r w:rsidRPr="00434255">
        <w:t>Monitoring POP-PBDEs in carpet rebond from recycled PUR foam (</w:t>
      </w:r>
      <w:hyperlink r:id="rId88" w:history="1">
        <w:r w:rsidRPr="00434255">
          <w:rPr>
            <w:rStyle w:val="Hyperlink"/>
          </w:rPr>
          <w:t>DiGangi et al. 2011</w:t>
        </w:r>
      </w:hyperlink>
      <w:r w:rsidRPr="00434255">
        <w:t>)</w:t>
      </w:r>
      <w:r w:rsidRPr="00434255">
        <w:rPr>
          <w:rStyle w:val="FootnoteReference"/>
          <w:iCs/>
        </w:rPr>
        <w:footnoteReference w:id="118"/>
      </w:r>
      <w:bookmarkEnd w:id="582"/>
    </w:p>
    <w:p w:rsidR="00CC1C95" w:rsidRPr="00F32383" w:rsidRDefault="00CC1C95" w:rsidP="00EE0DB2">
      <w:pPr>
        <w:widowControl w:val="0"/>
        <w:ind w:firstLine="708"/>
      </w:pPr>
      <w:r w:rsidRPr="00434255">
        <w:t xml:space="preserve">PUR foam is recycled to carpet rebond in some regions in particular North America (see </w:t>
      </w:r>
      <w:r w:rsidRPr="00F32383">
        <w:t xml:space="preserve">Guidelines on BAT and BEP for the recycling and waste disposal of articles containing PBDEs listed under the Stockholm Convention). </w:t>
      </w:r>
    </w:p>
    <w:p w:rsidR="00CC1C95" w:rsidRPr="00434255" w:rsidRDefault="00CC1C95" w:rsidP="00EE0DB2">
      <w:pPr>
        <w:widowControl w:val="0"/>
      </w:pPr>
      <w:r w:rsidRPr="00434255">
        <w:t xml:space="preserve">Recently, a </w:t>
      </w:r>
      <w:hyperlink r:id="rId89" w:history="1">
        <w:r w:rsidRPr="00434255">
          <w:rPr>
            <w:rStyle w:val="Hyperlink"/>
          </w:rPr>
          <w:t>monitoring project</w:t>
        </w:r>
      </w:hyperlink>
      <w:r w:rsidRPr="00434255">
        <w:t xml:space="preserve"> of POP-PBDEs in carpet rebond was performed with XRF for bromine screening and 26 samples were analysed for PBDE by GC/MS analysis. </w:t>
      </w:r>
    </w:p>
    <w:p w:rsidR="00CC1C95" w:rsidRPr="00434255" w:rsidRDefault="00CC1C95" w:rsidP="00EE0DB2">
      <w:r w:rsidRPr="00434255">
        <w:t>Specific features of the case study on PBDE and screening of carpet rebond:</w:t>
      </w:r>
    </w:p>
    <w:p w:rsidR="00CC1C95" w:rsidRPr="00434255" w:rsidRDefault="00CC1C95" w:rsidP="000C33DE">
      <w:pPr>
        <w:numPr>
          <w:ilvl w:val="0"/>
          <w:numId w:val="21"/>
        </w:numPr>
        <w:snapToGrid/>
        <w:spacing w:after="0" w:line="276" w:lineRule="auto"/>
      </w:pPr>
      <w:r w:rsidRPr="00434255">
        <w:t xml:space="preserve">The study combines bromine screening methodology with confirmation analysis (as suggested in this guidance document) </w:t>
      </w:r>
    </w:p>
    <w:p w:rsidR="00CC1C95" w:rsidRPr="00434255" w:rsidRDefault="00CC1C95" w:rsidP="000C33DE">
      <w:pPr>
        <w:numPr>
          <w:ilvl w:val="0"/>
          <w:numId w:val="21"/>
        </w:numPr>
        <w:snapToGrid/>
        <w:spacing w:after="0" w:line="276" w:lineRule="auto"/>
      </w:pPr>
      <w:r w:rsidRPr="00434255">
        <w:t>The study sampled in different world regions covering industrial and developing countries.</w:t>
      </w:r>
    </w:p>
    <w:p w:rsidR="00CC1C95" w:rsidRPr="00434255" w:rsidRDefault="00CC1C95" w:rsidP="000C33DE">
      <w:pPr>
        <w:numPr>
          <w:ilvl w:val="0"/>
          <w:numId w:val="21"/>
        </w:numPr>
        <w:snapToGrid/>
        <w:spacing w:after="0" w:line="276" w:lineRule="auto"/>
      </w:pPr>
      <w:r w:rsidRPr="00434255">
        <w:t>The study addresses a product category manufactured from recycling materials possibly impacted by POP-PBDE-containing materials</w:t>
      </w:r>
    </w:p>
    <w:p w:rsidR="00CC1C95" w:rsidRPr="00434255" w:rsidRDefault="00CC1C95" w:rsidP="000C33DE">
      <w:pPr>
        <w:numPr>
          <w:ilvl w:val="0"/>
          <w:numId w:val="21"/>
        </w:numPr>
        <w:snapToGrid/>
        <w:spacing w:after="0" w:line="276" w:lineRule="auto"/>
      </w:pPr>
      <w:r w:rsidRPr="00434255">
        <w:t xml:space="preserve">The study was planned and performed from an NGO working on POPs (www.IPEN.org) and results were published including the company names with high/low impacted products that consumers could assess company performance and possibly ask a company when purchasing similar products  </w:t>
      </w:r>
    </w:p>
    <w:p w:rsidR="003B397D" w:rsidRDefault="003B397D" w:rsidP="00A165BC">
      <w:pPr>
        <w:pStyle w:val="Heading3"/>
        <w:numPr>
          <w:ilvl w:val="0"/>
          <w:numId w:val="0"/>
        </w:numPr>
        <w:snapToGrid/>
        <w:spacing w:after="0" w:line="276" w:lineRule="auto"/>
        <w:jc w:val="both"/>
      </w:pPr>
    </w:p>
    <w:p w:rsidR="00CC1C95" w:rsidRPr="00434255" w:rsidRDefault="00CC1C95" w:rsidP="00A165BC">
      <w:pPr>
        <w:pStyle w:val="Heading3"/>
        <w:numPr>
          <w:ilvl w:val="0"/>
          <w:numId w:val="0"/>
        </w:numPr>
        <w:snapToGrid/>
        <w:spacing w:after="0" w:line="276" w:lineRule="auto"/>
        <w:jc w:val="both"/>
      </w:pPr>
      <w:bookmarkStart w:id="583" w:name="_Toc349335853"/>
      <w:r w:rsidRPr="00434255">
        <w:t>Monitoring of POP-PBDEs and other flame retardants in baby products (</w:t>
      </w:r>
      <w:hyperlink r:id="rId90" w:history="1">
        <w:r w:rsidRPr="00FC5C19">
          <w:rPr>
            <w:rStyle w:val="Hyperlink"/>
            <w:sz w:val="22"/>
            <w:szCs w:val="22"/>
          </w:rPr>
          <w:t>Stapleton et al</w:t>
        </w:r>
        <w:r w:rsidR="00C0598F">
          <w:rPr>
            <w:rStyle w:val="Hyperlink"/>
            <w:sz w:val="22"/>
            <w:szCs w:val="22"/>
          </w:rPr>
          <w:t>.</w:t>
        </w:r>
        <w:r w:rsidRPr="00FC5C19">
          <w:rPr>
            <w:rStyle w:val="Hyperlink"/>
            <w:sz w:val="22"/>
            <w:szCs w:val="22"/>
          </w:rPr>
          <w:t xml:space="preserve"> 2011</w:t>
        </w:r>
      </w:hyperlink>
      <w:r w:rsidRPr="00434255">
        <w:t>)</w:t>
      </w:r>
      <w:r w:rsidRPr="00434255">
        <w:rPr>
          <w:rStyle w:val="FootnoteReference"/>
        </w:rPr>
        <w:footnoteReference w:id="119"/>
      </w:r>
      <w:bookmarkEnd w:id="583"/>
    </w:p>
    <w:p w:rsidR="00CC1C95" w:rsidRPr="00434255" w:rsidRDefault="00CC1C95" w:rsidP="00EE0DB2">
      <w:pPr>
        <w:ind w:firstLine="360"/>
      </w:pPr>
      <w:r w:rsidRPr="00434255">
        <w:t>PUR foam samples collected from 101 commonly used US baby products were monitored for POP-PBDEs and other flame retardants (</w:t>
      </w:r>
      <w:hyperlink r:id="rId91" w:history="1">
        <w:r w:rsidRPr="00434255">
          <w:rPr>
            <w:rStyle w:val="Hyperlink"/>
          </w:rPr>
          <w:t>Stapleton et al</w:t>
        </w:r>
        <w:r w:rsidR="00C0598F">
          <w:rPr>
            <w:rStyle w:val="Hyperlink"/>
          </w:rPr>
          <w:t>.</w:t>
        </w:r>
        <w:r w:rsidRPr="00434255">
          <w:rPr>
            <w:rStyle w:val="Hyperlink"/>
          </w:rPr>
          <w:t xml:space="preserve"> 2011</w:t>
        </w:r>
      </w:hyperlink>
      <w:r w:rsidRPr="00434255">
        <w:t>). From these products</w:t>
      </w:r>
      <w:r w:rsidR="00FC5C19">
        <w:t>:</w:t>
      </w:r>
    </w:p>
    <w:p w:rsidR="00CC1C95" w:rsidRPr="00434255" w:rsidRDefault="00CC1C95" w:rsidP="000C33DE">
      <w:pPr>
        <w:numPr>
          <w:ilvl w:val="0"/>
          <w:numId w:val="23"/>
        </w:numPr>
        <w:snapToGrid/>
        <w:spacing w:after="0" w:line="276" w:lineRule="auto"/>
      </w:pPr>
      <w:r w:rsidRPr="00434255">
        <w:t>Five samples contained POP-PBDE congeners commonly associated with c-PentaBDE, suggesting that such products are still in-use in sensitive use areas although production of c-PentaBDE is considered to have stopped in 2004</w:t>
      </w:r>
      <w:r w:rsidRPr="00434255">
        <w:rPr>
          <w:rStyle w:val="FootnoteReference"/>
        </w:rPr>
        <w:footnoteReference w:id="120"/>
      </w:r>
      <w:r w:rsidRPr="00434255">
        <w:t xml:space="preserve">. </w:t>
      </w:r>
    </w:p>
    <w:p w:rsidR="00CC1C95" w:rsidRPr="00434255" w:rsidRDefault="00CC1C95" w:rsidP="000C33DE">
      <w:pPr>
        <w:numPr>
          <w:ilvl w:val="0"/>
          <w:numId w:val="23"/>
        </w:numPr>
        <w:snapToGrid/>
        <w:spacing w:after="0" w:line="276" w:lineRule="auto"/>
      </w:pPr>
      <w:r w:rsidRPr="00434255">
        <w:t>80% of the PUR foam baby products contained an identifiable flame retardant additive, and all but one of these was either chlorinated or brominated compounds.</w:t>
      </w:r>
    </w:p>
    <w:p w:rsidR="00CC1C95" w:rsidRPr="00434255" w:rsidRDefault="00CC1C95" w:rsidP="000C33DE">
      <w:pPr>
        <w:numPr>
          <w:ilvl w:val="0"/>
          <w:numId w:val="23"/>
        </w:numPr>
        <w:snapToGrid/>
        <w:spacing w:after="0" w:line="276" w:lineRule="auto"/>
      </w:pPr>
      <w:r w:rsidRPr="00434255">
        <w:t xml:space="preserve">The most common flame retardant detected was tris(1,3-dichloroisopropyl) phosphate (TDCPP; detection frequency 36%), followed by polybrominated aromatic compounds typically found in the Firemaster550 commercial mixture (detection frequency 17%). </w:t>
      </w:r>
    </w:p>
    <w:p w:rsidR="00CC1C95" w:rsidRPr="00434255" w:rsidRDefault="00CC1C95" w:rsidP="00EE0DB2">
      <w:r w:rsidRPr="00434255">
        <w:t>Specific features of the case study on BFR/PBDE and CFR screening in PUR baby products:</w:t>
      </w:r>
    </w:p>
    <w:p w:rsidR="00CC1C95" w:rsidRPr="00434255" w:rsidRDefault="00CC1C95" w:rsidP="000C33DE">
      <w:pPr>
        <w:numPr>
          <w:ilvl w:val="0"/>
          <w:numId w:val="24"/>
        </w:numPr>
        <w:snapToGrid/>
        <w:spacing w:after="0" w:line="276" w:lineRule="auto"/>
      </w:pPr>
      <w:r w:rsidRPr="00434255">
        <w:t>The study combined bromine screening methodology with confirmation analysis (as suggested in this guidance document). A portable X-ray fluorescence (XRF) analyser was used to estimate the bromine and chlorine content of the foams. A significant correlation was observed for bromine with quantitative analysis of BFRs; however, there was no significant relationship observed for chlorine and CFRs.</w:t>
      </w:r>
    </w:p>
    <w:p w:rsidR="00CC1C95" w:rsidRPr="00434255" w:rsidRDefault="00CC1C95" w:rsidP="000C33DE">
      <w:pPr>
        <w:numPr>
          <w:ilvl w:val="0"/>
          <w:numId w:val="21"/>
        </w:numPr>
        <w:snapToGrid/>
        <w:spacing w:after="0" w:line="276" w:lineRule="auto"/>
      </w:pPr>
      <w:r w:rsidRPr="00434255">
        <w:t>For the first time a wide range of polyurethane baby products were sampled, screened and analysed for POP-PBDEs and other flame retardants.</w:t>
      </w:r>
    </w:p>
    <w:p w:rsidR="00CC1C95" w:rsidRPr="00434255" w:rsidRDefault="00CC1C95" w:rsidP="000C33DE">
      <w:pPr>
        <w:numPr>
          <w:ilvl w:val="0"/>
          <w:numId w:val="21"/>
        </w:numPr>
        <w:snapToGrid/>
        <w:spacing w:after="0" w:line="276" w:lineRule="auto"/>
      </w:pPr>
      <w:r w:rsidRPr="00434255">
        <w:t>Based on exposure estimates conducted by the US Consumer Product Safety Commission, the study predict that infants may receive greater exposure to TDCPP from these products compared to the average child or adult from upholstered furniture, all of which are higher than acceptable daily intake levels of TDCPP set by the US Consumer Product Safety Commission.</w:t>
      </w:r>
    </w:p>
    <w:p w:rsidR="00CC1C95" w:rsidRPr="00434255" w:rsidRDefault="00CC1C95" w:rsidP="000C33DE">
      <w:pPr>
        <w:numPr>
          <w:ilvl w:val="0"/>
          <w:numId w:val="21"/>
        </w:numPr>
        <w:snapToGrid/>
        <w:spacing w:after="0" w:line="276" w:lineRule="auto"/>
      </w:pPr>
      <w:r w:rsidRPr="00434255">
        <w:t>The study revealed that flammability standard</w:t>
      </w:r>
      <w:r w:rsidRPr="00434255">
        <w:rPr>
          <w:rStyle w:val="FootnoteReference"/>
        </w:rPr>
        <w:footnoteReference w:id="121"/>
      </w:r>
      <w:r w:rsidRPr="00434255">
        <w:t xml:space="preserve"> in a country can result in high levels of flame retardant in sensitive products with critical exposure to vulnerable groups like infants.</w:t>
      </w:r>
    </w:p>
    <w:p w:rsidR="00F15D29" w:rsidRDefault="00F15D29" w:rsidP="00A165BC">
      <w:pPr>
        <w:pStyle w:val="Heading3"/>
        <w:numPr>
          <w:ilvl w:val="0"/>
          <w:numId w:val="0"/>
        </w:numPr>
        <w:snapToGrid/>
        <w:spacing w:after="0" w:line="276" w:lineRule="auto"/>
        <w:jc w:val="both"/>
      </w:pPr>
    </w:p>
    <w:p w:rsidR="00CC1C95" w:rsidRPr="00434255" w:rsidRDefault="00CC1C95" w:rsidP="00A165BC">
      <w:pPr>
        <w:pStyle w:val="Heading3"/>
        <w:numPr>
          <w:ilvl w:val="0"/>
          <w:numId w:val="0"/>
        </w:numPr>
        <w:snapToGrid/>
        <w:spacing w:after="0" w:line="276" w:lineRule="auto"/>
        <w:jc w:val="both"/>
      </w:pPr>
      <w:bookmarkStart w:id="584" w:name="_Toc349335854"/>
      <w:r w:rsidRPr="00434255">
        <w:t>Monitoring of POP-PBDE in children toys</w:t>
      </w:r>
      <w:bookmarkEnd w:id="584"/>
    </w:p>
    <w:p w:rsidR="00CC1C95" w:rsidRPr="00434255" w:rsidRDefault="00CC1C95" w:rsidP="00EE0DB2">
      <w:pPr>
        <w:ind w:firstLine="708"/>
      </w:pPr>
      <w:r w:rsidRPr="00434255">
        <w:t>A Chinese research group assessed the presence of PBDEs and other BFRs (including PBBs, 1,2-bis(2,4,6-tribromophenoxy)ethane (BTBPE), decabromodiphenylethane (DBDPE)) in children’s toys purchased from South China (Chen et al</w:t>
      </w:r>
      <w:r w:rsidR="00C0598F">
        <w:t>.</w:t>
      </w:r>
      <w:r w:rsidRPr="00434255">
        <w:t xml:space="preserve"> 2009)</w:t>
      </w:r>
      <w:r w:rsidRPr="00434255">
        <w:rPr>
          <w:rStyle w:val="FootnoteReference"/>
        </w:rPr>
        <w:footnoteReference w:id="122"/>
      </w:r>
      <w:r w:rsidRPr="00434255">
        <w:t>. In all samples PBDE or other BFRs were detected. The median BFR concentrations in the hard plastic toys were notably higher than values in other toys. The PBDE concentrations were below the threshold limit (1000 ppm) required by the European Commission’s Restriction of Hazardous Substances (RoHS) and Waste Electrical and Electronic Equipment (WEEE) directives in all of the toys, except for one hard plastic toy with a total PBDE concentration of 5344 ppm. The BFR profiles in the toys were consistent with the patterns of their current production and consumption in China, where PBDEs, specifically decaBDE product, were the dominant BFR, followed by the emerging DBDPE. The relatively high concentrations of octa- and nonaBDEs in the foam toys may suggest the decomposition of highly brominated BDEs during the manufacturing processes of the toys.</w:t>
      </w:r>
    </w:p>
    <w:p w:rsidR="00CC1C95" w:rsidRPr="00434255" w:rsidRDefault="00CC1C95" w:rsidP="00EE0DB2">
      <w:r w:rsidRPr="00434255">
        <w:t>Specific feature of the study analysing POP-PBDEs and other BFRs in toys:</w:t>
      </w:r>
    </w:p>
    <w:p w:rsidR="00CC1C95" w:rsidRPr="00434255" w:rsidRDefault="00CC1C95" w:rsidP="000C33DE">
      <w:pPr>
        <w:numPr>
          <w:ilvl w:val="0"/>
          <w:numId w:val="25"/>
        </w:numPr>
        <w:snapToGrid/>
        <w:spacing w:after="0" w:line="276" w:lineRule="auto"/>
      </w:pPr>
      <w:r w:rsidRPr="00434255">
        <w:t>This was the first study to examine the concentrations of PBDEs and other BFRs in toys, and the potential exposures to children.</w:t>
      </w:r>
    </w:p>
    <w:p w:rsidR="00CC1C95" w:rsidRPr="00434255" w:rsidRDefault="00CC1C95" w:rsidP="000C33DE">
      <w:pPr>
        <w:numPr>
          <w:ilvl w:val="0"/>
          <w:numId w:val="25"/>
        </w:numPr>
        <w:snapToGrid/>
        <w:spacing w:after="0" w:line="276" w:lineRule="auto"/>
      </w:pPr>
      <w:r w:rsidRPr="00434255">
        <w:t>Revealed the broad use of recycled WEEE plastic in sensitive use areas like children toys.</w:t>
      </w:r>
    </w:p>
    <w:p w:rsidR="00CC1C95" w:rsidRDefault="00CC1C95" w:rsidP="000C33DE">
      <w:pPr>
        <w:numPr>
          <w:ilvl w:val="0"/>
          <w:numId w:val="25"/>
        </w:numPr>
        <w:snapToGrid/>
        <w:spacing w:after="0" w:line="276" w:lineRule="auto"/>
      </w:pPr>
      <w:r w:rsidRPr="00434255">
        <w:t>The study highlighted that because of extended periods of play, mouthing behaviour, and frequent hand-to-mouth contact, toys may pose a significant pathway of BFR exposure in children.</w:t>
      </w:r>
    </w:p>
    <w:p w:rsidR="00CC1C95" w:rsidRDefault="00CC1C95" w:rsidP="000C33DE">
      <w:pPr>
        <w:numPr>
          <w:ilvl w:val="0"/>
          <w:numId w:val="25"/>
        </w:numPr>
        <w:snapToGrid/>
        <w:spacing w:after="0" w:line="276" w:lineRule="auto"/>
      </w:pPr>
      <w:r w:rsidRPr="00434255">
        <w:t>Together with a second study of the group on PBDE/BFR screening in household goods</w:t>
      </w:r>
      <w:r w:rsidRPr="00434255">
        <w:rPr>
          <w:rStyle w:val="FootnoteReference"/>
        </w:rPr>
        <w:footnoteReference w:id="123"/>
      </w:r>
      <w:r w:rsidRPr="00434255">
        <w:t>, the research reveals that the recycling of WEEE plastics seems largely uncontrolled in some regions.</w:t>
      </w:r>
    </w:p>
    <w:p w:rsidR="00CC1C95" w:rsidRPr="00434255" w:rsidRDefault="00CC1C95" w:rsidP="00F15D29">
      <w:pPr>
        <w:pStyle w:val="Heading2"/>
        <w:numPr>
          <w:ilvl w:val="0"/>
          <w:numId w:val="0"/>
        </w:numPr>
        <w:snapToGrid/>
        <w:spacing w:before="240" w:after="60" w:line="276" w:lineRule="auto"/>
        <w:ind w:left="576" w:hanging="576"/>
        <w:jc w:val="both"/>
      </w:pPr>
      <w:bookmarkStart w:id="585" w:name="_Toc331772075"/>
      <w:bookmarkStart w:id="586" w:name="_Toc331773125"/>
      <w:bookmarkStart w:id="587" w:name="_Toc331797413"/>
      <w:bookmarkStart w:id="588" w:name="_Toc331798519"/>
      <w:bookmarkStart w:id="589" w:name="_Toc331772077"/>
      <w:bookmarkStart w:id="590" w:name="_Toc331773127"/>
      <w:bookmarkStart w:id="591" w:name="_Toc331797415"/>
      <w:bookmarkStart w:id="592" w:name="_Toc331798521"/>
      <w:bookmarkStart w:id="593" w:name="_Toc331772078"/>
      <w:bookmarkStart w:id="594" w:name="_Toc331773128"/>
      <w:bookmarkStart w:id="595" w:name="_Toc331797416"/>
      <w:bookmarkStart w:id="596" w:name="_Toc331798522"/>
      <w:bookmarkStart w:id="597" w:name="_Toc331772083"/>
      <w:bookmarkStart w:id="598" w:name="_Toc331773133"/>
      <w:bookmarkStart w:id="599" w:name="_Toc331797421"/>
      <w:bookmarkStart w:id="600" w:name="_Toc331798527"/>
      <w:bookmarkStart w:id="601" w:name="_Toc331772086"/>
      <w:bookmarkStart w:id="602" w:name="_Toc331773136"/>
      <w:bookmarkStart w:id="603" w:name="_Toc331797424"/>
      <w:bookmarkStart w:id="604" w:name="_Toc331798530"/>
      <w:bookmarkStart w:id="605" w:name="_Toc331772089"/>
      <w:bookmarkStart w:id="606" w:name="_Toc331773139"/>
      <w:bookmarkStart w:id="607" w:name="_Toc331797427"/>
      <w:bookmarkStart w:id="608" w:name="_Toc331798533"/>
      <w:bookmarkStart w:id="609" w:name="_Toc331772092"/>
      <w:bookmarkStart w:id="610" w:name="_Toc331773142"/>
      <w:bookmarkStart w:id="611" w:name="_Toc331797430"/>
      <w:bookmarkStart w:id="612" w:name="_Toc331798536"/>
      <w:bookmarkStart w:id="613" w:name="_Toc331772095"/>
      <w:bookmarkStart w:id="614" w:name="_Toc331773145"/>
      <w:bookmarkStart w:id="615" w:name="_Toc331797433"/>
      <w:bookmarkStart w:id="616" w:name="_Toc331798539"/>
      <w:bookmarkStart w:id="617" w:name="_Toc331772098"/>
      <w:bookmarkStart w:id="618" w:name="_Toc331773148"/>
      <w:bookmarkStart w:id="619" w:name="_Toc331797436"/>
      <w:bookmarkStart w:id="620" w:name="_Toc331798542"/>
      <w:bookmarkStart w:id="621" w:name="_Toc331772101"/>
      <w:bookmarkStart w:id="622" w:name="_Toc331773151"/>
      <w:bookmarkStart w:id="623" w:name="_Toc331797439"/>
      <w:bookmarkStart w:id="624" w:name="_Toc331798545"/>
      <w:bookmarkStart w:id="625" w:name="_Toc331772104"/>
      <w:bookmarkStart w:id="626" w:name="_Toc331773154"/>
      <w:bookmarkStart w:id="627" w:name="_Toc331797442"/>
      <w:bookmarkStart w:id="628" w:name="_Toc331798548"/>
      <w:bookmarkStart w:id="629" w:name="_Toc331772107"/>
      <w:bookmarkStart w:id="630" w:name="_Toc331773157"/>
      <w:bookmarkStart w:id="631" w:name="_Toc331797445"/>
      <w:bookmarkStart w:id="632" w:name="_Toc331798551"/>
      <w:bookmarkStart w:id="633" w:name="_Toc331772110"/>
      <w:bookmarkStart w:id="634" w:name="_Toc331773160"/>
      <w:bookmarkStart w:id="635" w:name="_Toc331797448"/>
      <w:bookmarkStart w:id="636" w:name="_Toc331798554"/>
      <w:bookmarkStart w:id="637" w:name="_Toc331772113"/>
      <w:bookmarkStart w:id="638" w:name="_Toc331773163"/>
      <w:bookmarkStart w:id="639" w:name="_Toc331797451"/>
      <w:bookmarkStart w:id="640" w:name="_Toc331798557"/>
      <w:bookmarkStart w:id="641" w:name="_Toc331772116"/>
      <w:bookmarkStart w:id="642" w:name="_Toc331773166"/>
      <w:bookmarkStart w:id="643" w:name="_Toc331797454"/>
      <w:bookmarkStart w:id="644" w:name="_Toc331798560"/>
      <w:bookmarkStart w:id="645" w:name="_Toc331772117"/>
      <w:bookmarkStart w:id="646" w:name="_Toc331773167"/>
      <w:bookmarkStart w:id="647" w:name="_Toc331797455"/>
      <w:bookmarkStart w:id="648" w:name="_Toc331798561"/>
      <w:bookmarkStart w:id="649" w:name="_Toc331772119"/>
      <w:bookmarkStart w:id="650" w:name="_Toc331773169"/>
      <w:bookmarkStart w:id="651" w:name="_Toc331797457"/>
      <w:bookmarkStart w:id="652" w:name="_Toc331798563"/>
      <w:bookmarkStart w:id="653" w:name="_Toc331772122"/>
      <w:bookmarkStart w:id="654" w:name="_Toc331773172"/>
      <w:bookmarkStart w:id="655" w:name="_Toc331797460"/>
      <w:bookmarkStart w:id="656" w:name="_Toc331798566"/>
      <w:bookmarkStart w:id="657" w:name="_Toc331772123"/>
      <w:bookmarkStart w:id="658" w:name="_Toc331773173"/>
      <w:bookmarkStart w:id="659" w:name="_Toc331797461"/>
      <w:bookmarkStart w:id="660" w:name="_Toc331798567"/>
      <w:bookmarkStart w:id="661" w:name="_Toc331772125"/>
      <w:bookmarkStart w:id="662" w:name="_Toc331773175"/>
      <w:bookmarkStart w:id="663" w:name="_Toc331797463"/>
      <w:bookmarkStart w:id="664" w:name="_Toc331798569"/>
      <w:bookmarkStart w:id="665" w:name="_Toc331772128"/>
      <w:bookmarkStart w:id="666" w:name="_Toc331773178"/>
      <w:bookmarkStart w:id="667" w:name="_Toc331797466"/>
      <w:bookmarkStart w:id="668" w:name="_Toc331798572"/>
      <w:bookmarkStart w:id="669" w:name="_Toc331772129"/>
      <w:bookmarkStart w:id="670" w:name="_Toc331773179"/>
      <w:bookmarkStart w:id="671" w:name="_Toc331797467"/>
      <w:bookmarkStart w:id="672" w:name="_Toc331798573"/>
      <w:bookmarkStart w:id="673" w:name="_Toc331772131"/>
      <w:bookmarkStart w:id="674" w:name="_Toc331773181"/>
      <w:bookmarkStart w:id="675" w:name="_Toc331797469"/>
      <w:bookmarkStart w:id="676" w:name="_Toc331798575"/>
      <w:bookmarkStart w:id="677" w:name="_Toc331772134"/>
      <w:bookmarkStart w:id="678" w:name="_Toc331773184"/>
      <w:bookmarkStart w:id="679" w:name="_Toc331797472"/>
      <w:bookmarkStart w:id="680" w:name="_Toc331798578"/>
      <w:bookmarkStart w:id="681" w:name="_Toc331772135"/>
      <w:bookmarkStart w:id="682" w:name="_Toc331773185"/>
      <w:bookmarkStart w:id="683" w:name="_Toc331797473"/>
      <w:bookmarkStart w:id="684" w:name="_Toc331798579"/>
      <w:bookmarkStart w:id="685" w:name="_Toc331772136"/>
      <w:bookmarkStart w:id="686" w:name="_Toc331773186"/>
      <w:bookmarkStart w:id="687" w:name="_Toc331797474"/>
      <w:bookmarkStart w:id="688" w:name="_Toc331798580"/>
      <w:bookmarkStart w:id="689" w:name="_Toc331772138"/>
      <w:bookmarkStart w:id="690" w:name="_Toc331773188"/>
      <w:bookmarkStart w:id="691" w:name="_Toc331797476"/>
      <w:bookmarkStart w:id="692" w:name="_Toc331798582"/>
      <w:bookmarkStart w:id="693" w:name="_Toc331772141"/>
      <w:bookmarkStart w:id="694" w:name="_Toc331773191"/>
      <w:bookmarkStart w:id="695" w:name="_Toc331797479"/>
      <w:bookmarkStart w:id="696" w:name="_Toc331798585"/>
      <w:bookmarkStart w:id="697" w:name="_Toc331772142"/>
      <w:bookmarkStart w:id="698" w:name="_Toc331773192"/>
      <w:bookmarkStart w:id="699" w:name="_Toc331797480"/>
      <w:bookmarkStart w:id="700" w:name="_Toc331798586"/>
      <w:bookmarkStart w:id="701" w:name="_Toc331772144"/>
      <w:bookmarkStart w:id="702" w:name="_Toc331773194"/>
      <w:bookmarkStart w:id="703" w:name="_Toc331797482"/>
      <w:bookmarkStart w:id="704" w:name="_Toc331798588"/>
      <w:bookmarkStart w:id="705" w:name="_Toc331772147"/>
      <w:bookmarkStart w:id="706" w:name="_Toc331773197"/>
      <w:bookmarkStart w:id="707" w:name="_Toc331797485"/>
      <w:bookmarkStart w:id="708" w:name="_Toc331798591"/>
      <w:bookmarkStart w:id="709" w:name="_Toc331772148"/>
      <w:bookmarkStart w:id="710" w:name="_Toc331773198"/>
      <w:bookmarkStart w:id="711" w:name="_Toc331797486"/>
      <w:bookmarkStart w:id="712" w:name="_Toc331798592"/>
      <w:bookmarkStart w:id="713" w:name="_Toc331772150"/>
      <w:bookmarkStart w:id="714" w:name="_Toc331773200"/>
      <w:bookmarkStart w:id="715" w:name="_Toc331797488"/>
      <w:bookmarkStart w:id="716" w:name="_Toc331798594"/>
      <w:bookmarkStart w:id="717" w:name="_Toc331772153"/>
      <w:bookmarkStart w:id="718" w:name="_Toc331773203"/>
      <w:bookmarkStart w:id="719" w:name="_Toc331797491"/>
      <w:bookmarkStart w:id="720" w:name="_Toc331798597"/>
      <w:bookmarkStart w:id="721" w:name="_Toc331772154"/>
      <w:bookmarkStart w:id="722" w:name="_Toc331773204"/>
      <w:bookmarkStart w:id="723" w:name="_Toc331797492"/>
      <w:bookmarkStart w:id="724" w:name="_Toc331798598"/>
      <w:bookmarkStart w:id="725" w:name="_Toc331772155"/>
      <w:bookmarkStart w:id="726" w:name="_Toc331773205"/>
      <w:bookmarkStart w:id="727" w:name="_Toc331797493"/>
      <w:bookmarkStart w:id="728" w:name="_Toc331798599"/>
      <w:bookmarkStart w:id="729" w:name="_Toc331772156"/>
      <w:bookmarkStart w:id="730" w:name="_Toc331773206"/>
      <w:bookmarkStart w:id="731" w:name="_Toc331797494"/>
      <w:bookmarkStart w:id="732" w:name="_Toc331798600"/>
      <w:bookmarkStart w:id="733" w:name="_Toc331772165"/>
      <w:bookmarkStart w:id="734" w:name="_Toc331773215"/>
      <w:bookmarkStart w:id="735" w:name="_Toc331797503"/>
      <w:bookmarkStart w:id="736" w:name="_Toc331798609"/>
      <w:bookmarkStart w:id="737" w:name="_Toc331772166"/>
      <w:bookmarkStart w:id="738" w:name="_Toc331773216"/>
      <w:bookmarkStart w:id="739" w:name="_Toc331797504"/>
      <w:bookmarkStart w:id="740" w:name="_Toc331798610"/>
      <w:bookmarkStart w:id="741" w:name="_Toc331772167"/>
      <w:bookmarkStart w:id="742" w:name="_Toc331773217"/>
      <w:bookmarkStart w:id="743" w:name="_Toc331797505"/>
      <w:bookmarkStart w:id="744" w:name="_Toc331798611"/>
      <w:bookmarkStart w:id="745" w:name="_Toc331772168"/>
      <w:bookmarkStart w:id="746" w:name="_Toc331773218"/>
      <w:bookmarkStart w:id="747" w:name="_Toc331797506"/>
      <w:bookmarkStart w:id="748" w:name="_Toc331798612"/>
      <w:bookmarkStart w:id="749" w:name="_Toc331772185"/>
      <w:bookmarkStart w:id="750" w:name="_Toc331773235"/>
      <w:bookmarkStart w:id="751" w:name="_Toc331797523"/>
      <w:bookmarkStart w:id="752" w:name="_Toc331798629"/>
      <w:bookmarkStart w:id="753" w:name="_Toc331772195"/>
      <w:bookmarkStart w:id="754" w:name="_Toc331773245"/>
      <w:bookmarkStart w:id="755" w:name="_Toc331797533"/>
      <w:bookmarkStart w:id="756" w:name="_Toc331798639"/>
      <w:bookmarkStart w:id="757" w:name="_Toc331772200"/>
      <w:bookmarkStart w:id="758" w:name="_Toc331773250"/>
      <w:bookmarkStart w:id="759" w:name="_Toc331797538"/>
      <w:bookmarkStart w:id="760" w:name="_Toc331798644"/>
      <w:bookmarkStart w:id="761" w:name="_Toc331772201"/>
      <w:bookmarkStart w:id="762" w:name="_Toc331773251"/>
      <w:bookmarkStart w:id="763" w:name="_Toc331797539"/>
      <w:bookmarkStart w:id="764" w:name="_Toc331798645"/>
      <w:bookmarkStart w:id="765" w:name="_Toc331772202"/>
      <w:bookmarkStart w:id="766" w:name="_Toc331773252"/>
      <w:bookmarkStart w:id="767" w:name="_Toc331797540"/>
      <w:bookmarkStart w:id="768" w:name="_Toc331798646"/>
      <w:bookmarkStart w:id="769" w:name="_Toc331772203"/>
      <w:bookmarkStart w:id="770" w:name="_Toc331773253"/>
      <w:bookmarkStart w:id="771" w:name="_Toc331797541"/>
      <w:bookmarkStart w:id="772" w:name="_Toc331798647"/>
      <w:bookmarkStart w:id="773" w:name="_Toc331772212"/>
      <w:bookmarkStart w:id="774" w:name="_Toc331773262"/>
      <w:bookmarkStart w:id="775" w:name="_Toc331797550"/>
      <w:bookmarkStart w:id="776" w:name="_Toc331798656"/>
      <w:bookmarkStart w:id="777" w:name="_Toc331772213"/>
      <w:bookmarkStart w:id="778" w:name="_Toc331773263"/>
      <w:bookmarkStart w:id="779" w:name="_Toc331797551"/>
      <w:bookmarkStart w:id="780" w:name="_Toc331798657"/>
      <w:bookmarkStart w:id="781" w:name="_Toc331772214"/>
      <w:bookmarkStart w:id="782" w:name="_Toc331773264"/>
      <w:bookmarkStart w:id="783" w:name="_Toc331797552"/>
      <w:bookmarkStart w:id="784" w:name="_Toc331798658"/>
      <w:bookmarkStart w:id="785" w:name="_Toc331772215"/>
      <w:bookmarkStart w:id="786" w:name="_Toc331773265"/>
      <w:bookmarkStart w:id="787" w:name="_Toc331797553"/>
      <w:bookmarkStart w:id="788" w:name="_Toc331798659"/>
      <w:bookmarkStart w:id="789" w:name="_Toc331772216"/>
      <w:bookmarkStart w:id="790" w:name="_Toc331773266"/>
      <w:bookmarkStart w:id="791" w:name="_Toc331797554"/>
      <w:bookmarkStart w:id="792" w:name="_Toc331798660"/>
      <w:bookmarkStart w:id="793" w:name="_Toc331772244"/>
      <w:bookmarkStart w:id="794" w:name="_Toc331773294"/>
      <w:bookmarkStart w:id="795" w:name="_Toc331797582"/>
      <w:bookmarkStart w:id="796" w:name="_Toc331798688"/>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r>
        <w:rPr>
          <w:b w:val="0"/>
        </w:rPr>
        <w:br w:type="page"/>
      </w:r>
      <w:bookmarkStart w:id="797" w:name="_Toc349335855"/>
      <w:r w:rsidRPr="00434255">
        <w:rPr>
          <w:b w:val="0"/>
        </w:rPr>
        <w:t>Case studies of PeCBz, HCB and PCDD/PCDF in articles and products</w:t>
      </w:r>
      <w:bookmarkEnd w:id="797"/>
      <w:r w:rsidRPr="00434255">
        <w:rPr>
          <w:b w:val="0"/>
        </w:rPr>
        <w:t xml:space="preserve">  </w:t>
      </w:r>
    </w:p>
    <w:p w:rsidR="00CC1C95" w:rsidRPr="00434255" w:rsidRDefault="00CC1C95" w:rsidP="00A165BC">
      <w:pPr>
        <w:pStyle w:val="Heading3"/>
        <w:numPr>
          <w:ilvl w:val="0"/>
          <w:numId w:val="0"/>
        </w:numPr>
        <w:snapToGrid/>
        <w:spacing w:before="240" w:after="60" w:line="276" w:lineRule="auto"/>
        <w:jc w:val="both"/>
      </w:pPr>
      <w:bookmarkStart w:id="798" w:name="_Toc349335856"/>
      <w:r w:rsidRPr="00434255">
        <w:t>Screening of unintentionall</w:t>
      </w:r>
      <w:r w:rsidR="00E45DCA">
        <w:t>y POPs in chloranil (Liu et al.</w:t>
      </w:r>
      <w:r w:rsidRPr="00434255">
        <w:t xml:space="preserve"> 2012</w:t>
      </w:r>
      <w:r w:rsidRPr="00434255">
        <w:rPr>
          <w:rStyle w:val="FootnoteReference"/>
        </w:rPr>
        <w:footnoteReference w:id="124"/>
      </w:r>
      <w:r w:rsidRPr="00434255">
        <w:t>)</w:t>
      </w:r>
      <w:bookmarkEnd w:id="798"/>
    </w:p>
    <w:p w:rsidR="00CC1C95" w:rsidRPr="00434255" w:rsidRDefault="00CC1C95" w:rsidP="00EE0DB2">
      <w:pPr>
        <w:ind w:firstLine="708"/>
      </w:pPr>
      <w:r w:rsidRPr="00434255">
        <w:t>Unintentionally POPs including PeCBz, HCB and PCDD/PCDF has recently been screened in chloranil samples from Chinese producers. Extremely high levels of PCDD/PCDF (522 µg TEQ/kg) were detected in one chloranil product and therefore with PCDD/PCDF levels 35 times above the low POPs threshold (15 µg TEQ/kg) of t</w:t>
      </w:r>
      <w:r w:rsidR="00E45DCA">
        <w:t>he Basel Convention for wastes.</w:t>
      </w:r>
      <w:r w:rsidRPr="00434255">
        <w:t xml:space="preserve"> The estimated total PCDD/PCDF content of this currently marketed chemical from China alone was 1044 g TEQ, which is about 10% of China’s total PCDD/PCDF inventory, but present directly in treated consumer products. PeCBz, HCB, and PCB were also detected in these chemicals in relevant concentrations (Liu et al., 2011).</w:t>
      </w:r>
    </w:p>
    <w:p w:rsidR="00CC1C95" w:rsidRPr="00434255" w:rsidRDefault="00CC1C95" w:rsidP="00A165BC">
      <w:pPr>
        <w:pStyle w:val="Heading3"/>
        <w:numPr>
          <w:ilvl w:val="0"/>
          <w:numId w:val="0"/>
        </w:numPr>
        <w:snapToGrid/>
        <w:spacing w:before="240" w:after="60" w:line="276" w:lineRule="auto"/>
        <w:jc w:val="both"/>
      </w:pPr>
      <w:bookmarkStart w:id="799" w:name="_Toc349335857"/>
      <w:r w:rsidRPr="00434255">
        <w:t>Monitoring of HCB in (</w:t>
      </w:r>
      <w:hyperlink r:id="rId92" w:history="1">
        <w:r w:rsidRPr="00434255">
          <w:rPr>
            <w:rStyle w:val="Hyperlink"/>
          </w:rPr>
          <w:t>Government of Japan 2006</w:t>
        </w:r>
      </w:hyperlink>
      <w:r w:rsidRPr="00434255">
        <w:rPr>
          <w:rStyle w:val="FootnoteReference"/>
        </w:rPr>
        <w:footnoteReference w:id="125"/>
      </w:r>
      <w:r w:rsidRPr="00434255">
        <w:t xml:space="preserve"> and </w:t>
      </w:r>
      <w:hyperlink r:id="rId93" w:history="1">
        <w:r w:rsidRPr="00434255">
          <w:rPr>
            <w:rStyle w:val="Hyperlink"/>
          </w:rPr>
          <w:t>2007</w:t>
        </w:r>
      </w:hyperlink>
      <w:r w:rsidR="0084077F">
        <w:t xml:space="preserve"> </w:t>
      </w:r>
      <w:r w:rsidRPr="00434255">
        <w:rPr>
          <w:rStyle w:val="FootnoteReference"/>
        </w:rPr>
        <w:footnoteReference w:id="126"/>
      </w:r>
      <w:r w:rsidRPr="00434255">
        <w:t>)</w:t>
      </w:r>
      <w:bookmarkEnd w:id="799"/>
    </w:p>
    <w:p w:rsidR="00CC1C95" w:rsidRPr="00434255" w:rsidRDefault="00CC1C95" w:rsidP="00EE0DB2">
      <w:pPr>
        <w:ind w:firstLine="708"/>
      </w:pPr>
      <w:r w:rsidRPr="00434255">
        <w:t>The Japanese government have submitted two reports on HCB in Tetrachlorophthalic acid (TCPA, tetrachloro-1,2-benzenedicarboxylic acid)</w:t>
      </w:r>
      <w:r w:rsidRPr="00434255">
        <w:rPr>
          <w:rStyle w:val="FootnoteReference"/>
        </w:rPr>
        <w:footnoteReference w:id="127"/>
      </w:r>
      <w:r w:rsidRPr="00434255">
        <w:t xml:space="preserve"> and related pigments (e.g. Pigment Yellow 110 (CAS Registry Number 5590-18-1), Pigment Yellow 138 (CAS Registry Number 30125-47-4), Solvent Red 135; Solvent Red 162; (CAS Registry Number 20749-68-2 and 71902-17-5)) to the COP4 (</w:t>
      </w:r>
      <w:hyperlink r:id="rId94" w:history="1">
        <w:r w:rsidRPr="00434255">
          <w:rPr>
            <w:rStyle w:val="Hyperlink"/>
          </w:rPr>
          <w:t>Government of Japan 2006</w:t>
        </w:r>
      </w:hyperlink>
      <w:r w:rsidRPr="00434255">
        <w:t xml:space="preserve"> and </w:t>
      </w:r>
      <w:hyperlink r:id="rId95" w:history="1">
        <w:r w:rsidRPr="0084077F">
          <w:rPr>
            <w:rStyle w:val="Hyperlink"/>
          </w:rPr>
          <w:t>2007</w:t>
        </w:r>
      </w:hyperlink>
      <w:r w:rsidRPr="00434255">
        <w:t>). These case studies can be seen from product coverage as state of art approach of monitoring unintentionally POPs in products. The limitation of the study is that no PeCBz or PCDD/PCDF has been reported. Unintentionally HCB levels for TCPA were found up to 3,000 ppm (</w:t>
      </w:r>
      <w:hyperlink r:id="rId96" w:history="1">
        <w:r w:rsidRPr="00434255">
          <w:rPr>
            <w:rStyle w:val="Hyperlink"/>
          </w:rPr>
          <w:t>Government of Japan 2006</w:t>
        </w:r>
      </w:hyperlink>
      <w:r w:rsidRPr="00434255">
        <w:t xml:space="preserve">) and the suggested BAT levels for TCPA and pigments were in ppm range (up to 200 ppm). </w:t>
      </w:r>
    </w:p>
    <w:p w:rsidR="00CC1C95" w:rsidRPr="00434255" w:rsidRDefault="00CC1C95" w:rsidP="00EE0DB2">
      <w:r w:rsidRPr="00434255">
        <w:t>Specific features of the reports</w:t>
      </w:r>
    </w:p>
    <w:p w:rsidR="00CC1C95" w:rsidRPr="00434255" w:rsidRDefault="00CC1C95" w:rsidP="000C33DE">
      <w:pPr>
        <w:numPr>
          <w:ilvl w:val="0"/>
          <w:numId w:val="31"/>
        </w:numPr>
        <w:snapToGrid/>
        <w:spacing w:after="0" w:line="276" w:lineRule="auto"/>
      </w:pPr>
      <w:r w:rsidRPr="00434255">
        <w:t>Comprehensive dataset on HCB in TCPA and key related pigments</w:t>
      </w:r>
    </w:p>
    <w:p w:rsidR="00CC1C95" w:rsidRPr="00434255" w:rsidRDefault="00CC1C95" w:rsidP="000C33DE">
      <w:pPr>
        <w:numPr>
          <w:ilvl w:val="0"/>
          <w:numId w:val="31"/>
        </w:numPr>
        <w:snapToGrid/>
        <w:spacing w:after="0" w:line="276" w:lineRule="auto"/>
      </w:pPr>
      <w:r w:rsidRPr="00434255">
        <w:t>Background information on production processes and cleaning steps for the products and related achievable HCB levels</w:t>
      </w:r>
    </w:p>
    <w:p w:rsidR="00CC1C95" w:rsidRPr="00434255" w:rsidRDefault="00CC1C95" w:rsidP="000C33DE">
      <w:pPr>
        <w:numPr>
          <w:ilvl w:val="0"/>
          <w:numId w:val="31"/>
        </w:numPr>
        <w:snapToGrid/>
        <w:spacing w:after="0" w:line="276" w:lineRule="auto"/>
      </w:pPr>
      <w:r w:rsidRPr="00434255">
        <w:t>Suggestion on BAT approach for minimizing HCB with suggested BAT/BEP levels</w:t>
      </w:r>
    </w:p>
    <w:p w:rsidR="00CC1C95" w:rsidRPr="00434255" w:rsidRDefault="00CC1C95" w:rsidP="00A165BC">
      <w:pPr>
        <w:pStyle w:val="Heading3"/>
        <w:numPr>
          <w:ilvl w:val="0"/>
          <w:numId w:val="0"/>
        </w:numPr>
        <w:snapToGrid/>
        <w:spacing w:before="240" w:after="60" w:line="276" w:lineRule="auto"/>
        <w:jc w:val="both"/>
      </w:pPr>
      <w:bookmarkStart w:id="800" w:name="_Toc349335858"/>
      <w:r w:rsidRPr="00434255">
        <w:t>Monitoring of pesticides for unintentionally POPs (</w:t>
      </w:r>
      <w:hyperlink r:id="rId97" w:history="1">
        <w:r w:rsidR="00E45DCA">
          <w:rPr>
            <w:rStyle w:val="Hyperlink"/>
          </w:rPr>
          <w:t>Huang et al.</w:t>
        </w:r>
        <w:r w:rsidRPr="0064493D">
          <w:rPr>
            <w:rStyle w:val="Hyperlink"/>
          </w:rPr>
          <w:t xml:space="preserve"> 2012</w:t>
        </w:r>
      </w:hyperlink>
      <w:r w:rsidRPr="00434255">
        <w:rPr>
          <w:rStyle w:val="FootnoteReference"/>
        </w:rPr>
        <w:footnoteReference w:id="128"/>
      </w:r>
      <w:r w:rsidRPr="00434255">
        <w:t>, Holt et al. 2010</w:t>
      </w:r>
      <w:r w:rsidRPr="00434255">
        <w:rPr>
          <w:rStyle w:val="FootnoteReference"/>
        </w:rPr>
        <w:footnoteReference w:id="129"/>
      </w:r>
      <w:r w:rsidRPr="00434255">
        <w:t>)</w:t>
      </w:r>
      <w:bookmarkEnd w:id="800"/>
    </w:p>
    <w:p w:rsidR="00CC1C95" w:rsidRPr="00434255" w:rsidRDefault="00CC1C95" w:rsidP="00EE0DB2">
      <w:pPr>
        <w:ind w:firstLine="708"/>
      </w:pPr>
      <w:r w:rsidRPr="00434255">
        <w:t xml:space="preserve">In a Chinese study five pentachloronitrobenzene (PCNB) pesticide products (including 2 raw pesticide products and 3 formulations) were analysed for unintentionally POPs including HCB, PeCBz, PCB and PCDD/PCDF. All investigated unintentionally POPs were detected in all formulations. For some formulation the TEQ contribution from PCB were higher compared to total PCDD/PCDF TEQ contribution.  </w:t>
      </w:r>
    </w:p>
    <w:p w:rsidR="00CC1C95" w:rsidRPr="00EC556A" w:rsidRDefault="00CC1C95" w:rsidP="0026421F">
      <w:r w:rsidRPr="00434255">
        <w:t>In another study current used pesticides in Australia were screened for unintentionally POPs PCDD/PCDF. PCDD/PCDF were detected in all pesticide formulation with high levels in pentachloro</w:t>
      </w:r>
      <w:r w:rsidR="0026421F">
        <w:t>nitrobenzene (PCNB) (Holt et al.</w:t>
      </w:r>
      <w:r w:rsidRPr="00434255">
        <w:t xml:space="preserve"> 2010</w:t>
      </w:r>
      <w:r w:rsidR="0026421F">
        <w:rPr>
          <w:rStyle w:val="FootnoteReference"/>
        </w:rPr>
        <w:footnoteReference w:id="130"/>
      </w:r>
      <w:r w:rsidR="0026421F">
        <w:t>, Huang et al. 2012</w:t>
      </w:r>
      <w:r w:rsidR="0026421F">
        <w:rPr>
          <w:rStyle w:val="FootnoteReference"/>
        </w:rPr>
        <w:footnoteReference w:id="131"/>
      </w:r>
      <w:r w:rsidRPr="00434255">
        <w:t>). PeCBz and HCB were not screened in this study but it was mentioned that PCNB degrades to PeCBz</w:t>
      </w:r>
      <w:r w:rsidR="00E45DCA">
        <w:t xml:space="preserve"> in the environment</w:t>
      </w:r>
      <w:r w:rsidRPr="00434255">
        <w:t xml:space="preserve"> (</w:t>
      </w:r>
      <w:r w:rsidR="00E45DCA">
        <w:t xml:space="preserve">approx. </w:t>
      </w:r>
      <w:r w:rsidRPr="00434255">
        <w:t>3%) and that this is the largest source of unintentionally PeCBz s higher than all other sources combined (UNEP 2010</w:t>
      </w:r>
      <w:r w:rsidRPr="00434255">
        <w:rPr>
          <w:rStyle w:val="FootnoteReference"/>
        </w:rPr>
        <w:footnoteReference w:id="132"/>
      </w:r>
      <w:r w:rsidRPr="00434255">
        <w:t>).</w:t>
      </w:r>
    </w:p>
    <w:p w:rsidR="00CC1C95" w:rsidRPr="00EC556A" w:rsidRDefault="00CC1C95" w:rsidP="00EE0DB2"/>
    <w:p w:rsidR="00CC1C95" w:rsidRPr="00EC556A" w:rsidRDefault="00CC1C95" w:rsidP="00EE0DB2">
      <w:pPr>
        <w:tabs>
          <w:tab w:val="left" w:pos="624"/>
          <w:tab w:val="left" w:pos="1247"/>
          <w:tab w:val="left" w:pos="1871"/>
          <w:tab w:val="left" w:pos="2495"/>
          <w:tab w:val="left" w:pos="3119"/>
        </w:tabs>
        <w:autoSpaceDE w:val="0"/>
        <w:autoSpaceDN w:val="0"/>
        <w:adjustRightInd w:val="0"/>
        <w:rPr>
          <w:i/>
        </w:rPr>
      </w:pPr>
    </w:p>
    <w:sectPr w:rsidR="00CC1C95" w:rsidRPr="00EC556A" w:rsidSect="00CC1C95">
      <w:headerReference w:type="even" r:id="rId98"/>
      <w:headerReference w:type="default" r:id="rId99"/>
      <w:headerReference w:type="first" r:id="rId100"/>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5819" w:rsidRDefault="00A25819" w:rsidP="00910B5E">
      <w:r>
        <w:separator/>
      </w:r>
    </w:p>
  </w:endnote>
  <w:endnote w:type="continuationSeparator" w:id="0">
    <w:p w:rsidR="00A25819" w:rsidRDefault="00A25819" w:rsidP="00910B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w:panose1 w:val="020B06020405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nterstate-BoldCondensed">
    <w:altName w:val="Impact"/>
    <w:panose1 w:val="00000000000000000000"/>
    <w:charset w:val="00"/>
    <w:family w:val="auto"/>
    <w:notTrueType/>
    <w:pitch w:val="variable"/>
    <w:sig w:usb0="00000003" w:usb1="00000000" w:usb2="00000000" w:usb3="00000000" w:csb0="00000001" w:csb1="00000000"/>
  </w:font>
  <w:font w:name="Interstate-RegularCondensed">
    <w:altName w:val="Franklin Gothic Medium Cond"/>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DemosEFOP-Medium">
    <w:panose1 w:val="00000000000000000000"/>
    <w:charset w:val="00"/>
    <w:family w:val="modern"/>
    <w:notTrueType/>
    <w:pitch w:val="variable"/>
    <w:sig w:usb0="00000003" w:usb1="00000000" w:usb2="00000000" w:usb3="00000000" w:csb0="00000001" w:csb1="00000000"/>
  </w:font>
  <w:font w:name="Times New Roman Bold">
    <w:panose1 w:val="02020803070505020304"/>
    <w:charset w:val="00"/>
    <w:family w:val="roman"/>
    <w:notTrueType/>
    <w:pitch w:val="default"/>
    <w:sig w:usb0="00000000" w:usb1="00000000" w:usb2="00000000" w:usb3="00000000" w:csb0="00000000" w:csb1="00000000"/>
  </w:font>
  <w:font w:name="Times-Roman">
    <w:altName w:val="MS Mincho"/>
    <w:panose1 w:val="00000000000000000000"/>
    <w:charset w:val="80"/>
    <w:family w:val="auto"/>
    <w:notTrueType/>
    <w:pitch w:val="default"/>
    <w:sig w:usb0="00000001" w:usb1="08070000" w:usb2="00000010" w:usb3="00000000" w:csb0="00020000" w:csb1="00000000"/>
  </w:font>
  <w:font w:name="(Asiatische Schriftart verwende">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MS PMincho">
    <w:panose1 w:val="02020600040205080304"/>
    <w:charset w:val="80"/>
    <w:family w:val="roman"/>
    <w:pitch w:val="variable"/>
    <w:sig w:usb0="E00002FF" w:usb1="6AC7FDFB" w:usb2="00000012" w:usb3="00000000" w:csb0="0002009F" w:csb1="00000000"/>
  </w:font>
  <w:font w:name="‚l‚r –¾’©">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5819" w:rsidRDefault="00A25819" w:rsidP="00910B5E">
      <w:r>
        <w:separator/>
      </w:r>
    </w:p>
  </w:footnote>
  <w:footnote w:type="continuationSeparator" w:id="0">
    <w:p w:rsidR="00A25819" w:rsidRDefault="00A25819" w:rsidP="00910B5E">
      <w:r>
        <w:continuationSeparator/>
      </w:r>
    </w:p>
  </w:footnote>
  <w:footnote w:id="1">
    <w:p w:rsidR="00C0598F" w:rsidRPr="00C00AF8" w:rsidRDefault="00C0598F" w:rsidP="007F2032">
      <w:pPr>
        <w:pStyle w:val="FootnoteText"/>
        <w:jc w:val="left"/>
        <w:rPr>
          <w:rFonts w:ascii="Calibri" w:hAnsi="Calibri"/>
        </w:rPr>
      </w:pPr>
      <w:r w:rsidRPr="00C00AF8">
        <w:rPr>
          <w:rStyle w:val="FootnoteReference"/>
          <w:rFonts w:ascii="Calibri" w:hAnsi="Calibri"/>
        </w:rPr>
        <w:footnoteRef/>
      </w:r>
      <w:r w:rsidRPr="00C00AF8">
        <w:rPr>
          <w:rFonts w:ascii="Calibri" w:hAnsi="Calibri"/>
        </w:rPr>
        <w:t xml:space="preserve"> Stockholm Convention (2012a) Guidance for the inventory of perfluorooctane sulfonic acid (PFOS) and related chemicals listed under the Stockholm Convention on POPs (Draft).</w:t>
      </w:r>
    </w:p>
  </w:footnote>
  <w:footnote w:id="2">
    <w:p w:rsidR="00C0598F" w:rsidRPr="00C00AF8" w:rsidRDefault="00C0598F" w:rsidP="007F2032">
      <w:pPr>
        <w:pStyle w:val="FootnoteText"/>
        <w:jc w:val="left"/>
        <w:rPr>
          <w:rFonts w:ascii="Calibri" w:hAnsi="Calibri"/>
        </w:rPr>
      </w:pPr>
      <w:r w:rsidRPr="00C00AF8">
        <w:rPr>
          <w:rStyle w:val="FootnoteReference"/>
          <w:rFonts w:ascii="Calibri" w:hAnsi="Calibri"/>
        </w:rPr>
        <w:footnoteRef/>
      </w:r>
      <w:r w:rsidRPr="00C00AF8">
        <w:rPr>
          <w:rFonts w:ascii="Calibri" w:hAnsi="Calibri"/>
        </w:rPr>
        <w:t xml:space="preserve"> Stockholm Convention (2012b) Guidance for the inventory of polybrominated diphenyl ethers (PBDEs) listed under the Stockholm Convention on POPs (Draft).</w:t>
      </w:r>
    </w:p>
  </w:footnote>
  <w:footnote w:id="3">
    <w:p w:rsidR="00C0598F" w:rsidRPr="00C00AF8" w:rsidRDefault="00C0598F" w:rsidP="007F2032">
      <w:pPr>
        <w:pStyle w:val="FootnoteText"/>
        <w:jc w:val="left"/>
        <w:rPr>
          <w:rFonts w:ascii="Calibri" w:hAnsi="Calibri"/>
        </w:rPr>
      </w:pPr>
      <w:r w:rsidRPr="00C00AF8">
        <w:rPr>
          <w:rStyle w:val="FootnoteReference"/>
          <w:rFonts w:ascii="Calibri" w:hAnsi="Calibri"/>
        </w:rPr>
        <w:footnoteRef/>
      </w:r>
      <w:r w:rsidRPr="00C00AF8">
        <w:rPr>
          <w:rFonts w:ascii="Calibri" w:hAnsi="Calibri"/>
        </w:rPr>
        <w:t xml:space="preserve"> Stockholm Convention (2012c) Guidelines for recycling and disposal of POP-PBDE containing articles (Draft).</w:t>
      </w:r>
    </w:p>
  </w:footnote>
  <w:footnote w:id="4">
    <w:p w:rsidR="00C0598F" w:rsidRPr="00C00AF8" w:rsidRDefault="00C0598F" w:rsidP="007F2032">
      <w:pPr>
        <w:pStyle w:val="FootnoteText"/>
        <w:jc w:val="left"/>
        <w:rPr>
          <w:rFonts w:ascii="Calibri" w:hAnsi="Calibri"/>
        </w:rPr>
      </w:pPr>
      <w:r w:rsidRPr="00C00AF8">
        <w:rPr>
          <w:rStyle w:val="FootnoteReference"/>
          <w:rFonts w:ascii="Calibri" w:hAnsi="Calibri"/>
        </w:rPr>
        <w:footnoteRef/>
      </w:r>
      <w:r w:rsidRPr="00C00AF8">
        <w:rPr>
          <w:rFonts w:ascii="Calibri" w:hAnsi="Calibri"/>
        </w:rPr>
        <w:t xml:space="preserve"> Stockholm Convention (2012d) Guidelines on best available techniques and best environmental practices for the production and use of perfluorooctane sulfonic acid (PFOS) and related chemicals listed under the Stockholm Convention on POPs (Draft). </w:t>
      </w:r>
    </w:p>
  </w:footnote>
  <w:footnote w:id="5">
    <w:p w:rsidR="00C0598F" w:rsidRPr="00C00AF8" w:rsidRDefault="00C0598F" w:rsidP="00EE0DB2">
      <w:pPr>
        <w:pStyle w:val="FootnoteText"/>
        <w:rPr>
          <w:rFonts w:ascii="Calibri" w:hAnsi="Calibri"/>
        </w:rPr>
      </w:pPr>
      <w:r w:rsidRPr="00C00AF8">
        <w:rPr>
          <w:rStyle w:val="FootnoteReference"/>
          <w:rFonts w:ascii="Calibri" w:hAnsi="Calibri"/>
        </w:rPr>
        <w:footnoteRef/>
      </w:r>
      <w:r w:rsidRPr="00C00AF8">
        <w:rPr>
          <w:rFonts w:ascii="Calibri" w:hAnsi="Calibri"/>
          <w:lang w:val="en-US"/>
        </w:rPr>
        <w:t xml:space="preserve"> </w:t>
      </w:r>
      <w:r w:rsidRPr="00C00AF8">
        <w:rPr>
          <w:rFonts w:ascii="Calibri" w:hAnsi="Calibri"/>
          <w:lang w:val="cs-CZ"/>
        </w:rPr>
        <w:t>PFOS, polybrominated diphenyl ethers and pentachlorobenzene</w:t>
      </w:r>
    </w:p>
  </w:footnote>
  <w:footnote w:id="6">
    <w:p w:rsidR="00C0598F" w:rsidRPr="00C00AF8" w:rsidRDefault="00C0598F" w:rsidP="004637E7">
      <w:pPr>
        <w:tabs>
          <w:tab w:val="num" w:pos="360"/>
        </w:tabs>
        <w:ind w:left="426" w:hanging="426"/>
      </w:pPr>
      <w:r w:rsidRPr="00C00AF8">
        <w:rPr>
          <w:rStyle w:val="FootnoteReference"/>
          <w:sz w:val="20"/>
        </w:rPr>
        <w:footnoteRef/>
      </w:r>
      <w:r w:rsidRPr="00C00AF8">
        <w:rPr>
          <w:sz w:val="20"/>
        </w:rPr>
        <w:t xml:space="preserve"> E.g. Wenclawiak, B.W., Koch, M., und Hadjicostas, E. (eds.): Quality Assurance in Analytical Chemistry - Training and Teaching. 2nd Edition, p. 247- 272, Springer-Verlag, Berlin Heidelberg 2010.</w:t>
      </w:r>
    </w:p>
  </w:footnote>
  <w:footnote w:id="7">
    <w:p w:rsidR="00C0598F" w:rsidRPr="00C00AF8" w:rsidRDefault="00C0598F" w:rsidP="004637E7">
      <w:pPr>
        <w:spacing w:after="0"/>
      </w:pPr>
      <w:r w:rsidRPr="00C00AF8">
        <w:rPr>
          <w:rStyle w:val="FootnoteReference"/>
          <w:sz w:val="20"/>
        </w:rPr>
        <w:footnoteRef/>
      </w:r>
      <w:r w:rsidRPr="00C00AF8">
        <w:rPr>
          <w:sz w:val="20"/>
        </w:rPr>
        <w:t xml:space="preserve"> Please note: The analysis of PFOSF listed in the Stockholm Convention is only to a limited extent possible or useful since the compound is not stable in the environment, products and in most solvents (including water) and not used in articles/products. Instead PFOSF is only used as intermediate for the production of PFOS related substances. Therefore no analysis need to be described in this guidance for PFOSF and it should not be requested in tenders for monitoring of newly listed POPs or if analysis of PFOS and related substances is asked to a commercial laboratory.</w:t>
      </w:r>
    </w:p>
  </w:footnote>
  <w:footnote w:id="8">
    <w:p w:rsidR="00C0598F" w:rsidRPr="00C00AF8" w:rsidRDefault="00C0598F" w:rsidP="004637E7">
      <w:pPr>
        <w:spacing w:after="0"/>
      </w:pPr>
      <w:r w:rsidRPr="00C00AF8">
        <w:rPr>
          <w:rStyle w:val="FootnoteReference"/>
          <w:sz w:val="20"/>
        </w:rPr>
        <w:footnoteRef/>
      </w:r>
      <w:r w:rsidRPr="00C00AF8">
        <w:rPr>
          <w:sz w:val="20"/>
        </w:rPr>
        <w:t xml:space="preserve"> A large part of PFOS containing substances have already been disposed to landfills. It is estimated that 200 to 1700 tonnes of the estimated 96000 tonnes (approximately 1%) have reached the ocean (Paul AG, Jones KC, Sweetman AJ (2010) A first global production, emission, and environmental inventory for perfluorooctane sulfo</w:t>
      </w:r>
      <w:r>
        <w:rPr>
          <w:sz w:val="20"/>
        </w:rPr>
        <w:t>nate. Environ. Sci. Technol. 43, 386–392.)</w:t>
      </w:r>
      <w:r w:rsidRPr="00C00AF8">
        <w:rPr>
          <w:sz w:val="20"/>
        </w:rPr>
        <w:t xml:space="preserve"> </w:t>
      </w:r>
    </w:p>
  </w:footnote>
  <w:footnote w:id="9">
    <w:p w:rsidR="00C0598F" w:rsidRPr="00C00AF8" w:rsidRDefault="00C0598F" w:rsidP="004637E7">
      <w:pPr>
        <w:pStyle w:val="FootnoteText"/>
        <w:jc w:val="left"/>
        <w:rPr>
          <w:rFonts w:ascii="Calibri" w:hAnsi="Calibri"/>
        </w:rPr>
      </w:pPr>
      <w:r w:rsidRPr="00C00AF8">
        <w:rPr>
          <w:rStyle w:val="FootnoteReference"/>
          <w:rFonts w:ascii="Calibri" w:hAnsi="Calibri"/>
        </w:rPr>
        <w:footnoteRef/>
      </w:r>
      <w:r w:rsidRPr="00C00AF8">
        <w:rPr>
          <w:rFonts w:ascii="Calibri" w:hAnsi="Calibri"/>
        </w:rPr>
        <w:t xml:space="preserve"> Zhang L, Liua J (2012) The inventory of sources, environmental releases and risk assessment for perfluorooctane sulfonate in China. Environmental Pollution 165, 193-198</w:t>
      </w:r>
      <w:r>
        <w:rPr>
          <w:rFonts w:ascii="Calibri" w:hAnsi="Calibri"/>
        </w:rPr>
        <w:t>.</w:t>
      </w:r>
    </w:p>
  </w:footnote>
  <w:footnote w:id="10">
    <w:p w:rsidR="00C0598F" w:rsidRPr="00C00AF8" w:rsidRDefault="00C0598F" w:rsidP="004637E7">
      <w:pPr>
        <w:pStyle w:val="FootnoteText"/>
        <w:ind w:left="142" w:hanging="142"/>
        <w:rPr>
          <w:rFonts w:ascii="Calibri" w:hAnsi="Calibri"/>
        </w:rPr>
      </w:pPr>
      <w:r w:rsidRPr="00C00AF8">
        <w:rPr>
          <w:rStyle w:val="FootnoteReference"/>
          <w:rFonts w:ascii="Calibri" w:hAnsi="Calibri"/>
        </w:rPr>
        <w:footnoteRef/>
      </w:r>
      <w:r w:rsidRPr="00C00AF8">
        <w:rPr>
          <w:rFonts w:ascii="Calibri" w:hAnsi="Calibri"/>
        </w:rPr>
        <w:t xml:space="preserve"> Stockholm Convention (2012) Guidance for the control of the import and export of POPs (Draft)</w:t>
      </w:r>
      <w:r>
        <w:rPr>
          <w:rFonts w:ascii="Calibri" w:hAnsi="Calibri"/>
        </w:rPr>
        <w:t>.</w:t>
      </w:r>
    </w:p>
  </w:footnote>
  <w:footnote w:id="11">
    <w:p w:rsidR="00C0598F" w:rsidRPr="00C00AF8" w:rsidRDefault="00C0598F" w:rsidP="004637E7">
      <w:pPr>
        <w:pStyle w:val="FootnoteText"/>
        <w:ind w:left="142" w:hanging="142"/>
        <w:rPr>
          <w:rFonts w:ascii="Calibri" w:hAnsi="Calibri"/>
        </w:rPr>
      </w:pPr>
      <w:r w:rsidRPr="00C00AF8">
        <w:rPr>
          <w:rStyle w:val="FootnoteReference"/>
          <w:rFonts w:ascii="Calibri" w:hAnsi="Calibri"/>
        </w:rPr>
        <w:footnoteRef/>
      </w:r>
      <w:r w:rsidRPr="00C00AF8">
        <w:rPr>
          <w:rFonts w:ascii="Calibri" w:hAnsi="Calibri"/>
        </w:rPr>
        <w:t xml:space="preserve"> Stockholm Convention (2012) Strengthening POPs Regulatory Framework Guidance (Draft)</w:t>
      </w:r>
      <w:r>
        <w:rPr>
          <w:rFonts w:ascii="Calibri" w:hAnsi="Calibri"/>
        </w:rPr>
        <w:t>.</w:t>
      </w:r>
    </w:p>
  </w:footnote>
  <w:footnote w:id="12">
    <w:p w:rsidR="00C0598F" w:rsidRPr="00C00AF8" w:rsidRDefault="00C0598F" w:rsidP="004637E7">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For articles made of polytetrafluoroethylene (PTFE), such as thread sealant tape, Teflon tubing and some dental floss, the fluorine content can be greater than 70%.</w:t>
      </w:r>
    </w:p>
  </w:footnote>
  <w:footnote w:id="13">
    <w:p w:rsidR="00C0598F" w:rsidRPr="00C00AF8" w:rsidRDefault="00C0598F" w:rsidP="004637E7">
      <w:pPr>
        <w:spacing w:after="0"/>
        <w:ind w:left="142" w:hanging="142"/>
        <w:jc w:val="left"/>
      </w:pPr>
      <w:r w:rsidRPr="00C00AF8">
        <w:rPr>
          <w:rStyle w:val="FootnoteReference"/>
          <w:sz w:val="20"/>
        </w:rPr>
        <w:footnoteRef/>
      </w:r>
      <w:r w:rsidRPr="00C00AF8">
        <w:rPr>
          <w:sz w:val="20"/>
        </w:rPr>
        <w:t xml:space="preserve"> USEPA 2009. </w:t>
      </w:r>
      <w:r w:rsidRPr="00C00AF8">
        <w:rPr>
          <w:sz w:val="20"/>
          <w:lang w:val="en-US"/>
        </w:rPr>
        <w:t>Perfluorocarboxylic acid content in 116 articles of commerce. U.S. Environmental Protection Agency, March 2009.</w:t>
      </w:r>
    </w:p>
  </w:footnote>
  <w:footnote w:id="14">
    <w:p w:rsidR="00C0598F" w:rsidRPr="00C00AF8" w:rsidRDefault="00C0598F" w:rsidP="004637E7">
      <w:pPr>
        <w:spacing w:after="0"/>
        <w:ind w:left="142" w:hanging="142"/>
        <w:jc w:val="left"/>
      </w:pPr>
      <w:r w:rsidRPr="00C00AF8">
        <w:rPr>
          <w:rStyle w:val="FootnoteReference"/>
          <w:sz w:val="20"/>
        </w:rPr>
        <w:footnoteRef/>
      </w:r>
      <w:r w:rsidRPr="00C00AF8">
        <w:rPr>
          <w:sz w:val="20"/>
        </w:rPr>
        <w:t xml:space="preserve"> Swerea 2004. Survey, screening and analyses of PFCs in consumer products. Dorte Herzke, Stefan Posner and Elisabeth Olsson. Swerea IVF project report 09/47. Climate and pollution agency in Norway</w:t>
      </w:r>
      <w:r w:rsidRPr="00C00AF8">
        <w:rPr>
          <w:rStyle w:val="PageNumber"/>
          <w:sz w:val="20"/>
        </w:rPr>
        <w:t>, TA-2587/2009.</w:t>
      </w:r>
    </w:p>
  </w:footnote>
  <w:footnote w:id="15">
    <w:p w:rsidR="00C0598F" w:rsidRPr="00C00AF8" w:rsidRDefault="00C0598F" w:rsidP="004637E7">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Trier X (2011) Polyfluorinated surfactants in food packaging of paper and board. PhD Danish Technical University, </w:t>
      </w:r>
      <w:r>
        <w:rPr>
          <w:rFonts w:ascii="Calibri" w:hAnsi="Calibri"/>
        </w:rPr>
        <w:t>C</w:t>
      </w:r>
      <w:r w:rsidRPr="00C00AF8">
        <w:rPr>
          <w:rFonts w:ascii="Calibri" w:hAnsi="Calibri"/>
        </w:rPr>
        <w:t>openhagen/Denmark</w:t>
      </w:r>
      <w:r>
        <w:rPr>
          <w:rFonts w:ascii="Calibri" w:hAnsi="Calibri"/>
        </w:rPr>
        <w:t>.</w:t>
      </w:r>
    </w:p>
  </w:footnote>
  <w:footnote w:id="16">
    <w:p w:rsidR="00C0598F" w:rsidRPr="00C00AF8" w:rsidRDefault="00C0598F" w:rsidP="004637E7">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Ellis DA, Martin JW, Muir DCG, Mabury SA (2000) Development of an 19F NMR Method for the Analysis of Fluorinated Acids in Environm</w:t>
      </w:r>
      <w:r>
        <w:rPr>
          <w:rFonts w:ascii="Calibri" w:hAnsi="Calibri"/>
        </w:rPr>
        <w:t>ental Water Samples Anal. Chem.</w:t>
      </w:r>
      <w:r w:rsidRPr="00C00AF8">
        <w:rPr>
          <w:rFonts w:ascii="Calibri" w:hAnsi="Calibri"/>
        </w:rPr>
        <w:t xml:space="preserve"> 72, 726-731.</w:t>
      </w:r>
    </w:p>
  </w:footnote>
  <w:footnote w:id="17">
    <w:p w:rsidR="00C0598F" w:rsidRPr="00C00AF8" w:rsidRDefault="00C0598F" w:rsidP="004637E7">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Wolz G, Gruber L, Fiedler D, Schlummer M (2011) Development of screening methods for fluorinated</w:t>
      </w:r>
    </w:p>
    <w:p w:rsidR="00C0598F" w:rsidRPr="00C00AF8" w:rsidRDefault="00C0598F" w:rsidP="004637E7">
      <w:pPr>
        <w:pStyle w:val="FootnoteText"/>
        <w:ind w:left="142" w:hanging="142"/>
        <w:jc w:val="left"/>
        <w:rPr>
          <w:rFonts w:ascii="Calibri" w:hAnsi="Calibri"/>
        </w:rPr>
      </w:pPr>
      <w:r w:rsidRPr="00C00AF8">
        <w:rPr>
          <w:rFonts w:ascii="Calibri" w:hAnsi="Calibri"/>
        </w:rPr>
        <w:t>coatings of food contact materials and other everyday commodities</w:t>
      </w:r>
      <w:r>
        <w:rPr>
          <w:rFonts w:ascii="Calibri" w:hAnsi="Calibri"/>
        </w:rPr>
        <w:t xml:space="preserve">. </w:t>
      </w:r>
      <w:hyperlink r:id="rId1" w:history="1">
        <w:r w:rsidRPr="00C00AF8">
          <w:rPr>
            <w:rStyle w:val="Hyperlink"/>
            <w:rFonts w:ascii="Calibri" w:hAnsi="Calibri"/>
          </w:rPr>
          <w:t>http://www.ivv.fraunhofer.de/no_html/gf3_29.pdf</w:t>
        </w:r>
      </w:hyperlink>
    </w:p>
  </w:footnote>
  <w:footnote w:id="18">
    <w:p w:rsidR="00C0598F" w:rsidRPr="00C00AF8" w:rsidRDefault="00C0598F" w:rsidP="004637E7">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Seidel T, Golloch A, Beerwald H, Böhm G, (1993) Fresenius' Journal of Analytical Chemistry 347, 92-102</w:t>
      </w:r>
      <w:r>
        <w:rPr>
          <w:rFonts w:ascii="Calibri" w:hAnsi="Calibri"/>
        </w:rPr>
        <w:t>.</w:t>
      </w:r>
    </w:p>
  </w:footnote>
  <w:footnote w:id="19">
    <w:p w:rsidR="00C0598F" w:rsidRPr="00C00AF8" w:rsidRDefault="00C0598F" w:rsidP="004637E7">
      <w:pPr>
        <w:pStyle w:val="FootnoteText"/>
        <w:rPr>
          <w:rFonts w:ascii="Calibri" w:hAnsi="Calibri"/>
        </w:rPr>
      </w:pPr>
      <w:r w:rsidRPr="00C00AF8">
        <w:rPr>
          <w:rStyle w:val="FootnoteReference"/>
          <w:rFonts w:ascii="Calibri" w:hAnsi="Calibri"/>
        </w:rPr>
        <w:footnoteRef/>
      </w:r>
      <w:r w:rsidRPr="00C00AF8">
        <w:rPr>
          <w:rFonts w:ascii="Calibri" w:hAnsi="Calibri"/>
        </w:rPr>
        <w:t xml:space="preserve"> 100 pg may be purged from 10 ml of extract from 0.5 g of coated paper corresponding to 200 pg/g paper.</w:t>
      </w:r>
    </w:p>
  </w:footnote>
  <w:footnote w:id="20">
    <w:p w:rsidR="00C0598F" w:rsidRPr="00C00AF8" w:rsidRDefault="00C0598F" w:rsidP="004637E7">
      <w:pPr>
        <w:pStyle w:val="FootnoteText"/>
        <w:rPr>
          <w:rFonts w:ascii="Calibri" w:hAnsi="Calibri"/>
        </w:rPr>
      </w:pPr>
      <w:r w:rsidRPr="00C00AF8">
        <w:rPr>
          <w:rStyle w:val="FootnoteReference"/>
          <w:rFonts w:ascii="Calibri" w:hAnsi="Calibri"/>
        </w:rPr>
        <w:footnoteRef/>
      </w:r>
      <w:r w:rsidRPr="00C00AF8">
        <w:rPr>
          <w:rFonts w:ascii="Calibri" w:hAnsi="Calibri"/>
        </w:rPr>
        <w:t xml:space="preserve"> Ackerman LK, Noonan GO, Begley TH (2009)</w:t>
      </w:r>
      <w:r w:rsidRPr="00C00AF8">
        <w:rPr>
          <w:rStyle w:val="FootnoteReference"/>
          <w:rFonts w:ascii="Calibri" w:hAnsi="Calibri"/>
        </w:rPr>
        <w:t xml:space="preserve"> </w:t>
      </w:r>
      <w:r w:rsidRPr="00C00AF8">
        <w:rPr>
          <w:rFonts w:ascii="Calibri" w:hAnsi="Calibri"/>
        </w:rPr>
        <w:t>Assessing direct analysis in real-time-mass spectrometry (DART-MS) for the rapid identification of additives in food packaging. Food Addit Contam Part A Chem Anal Control Expo Risk Assess. 26, 1611-1618.</w:t>
      </w:r>
    </w:p>
  </w:footnote>
  <w:footnote w:id="21">
    <w:p w:rsidR="00C0598F" w:rsidRPr="004637E7" w:rsidRDefault="00C0598F" w:rsidP="004637E7">
      <w:pPr>
        <w:ind w:left="142" w:hanging="142"/>
        <w:rPr>
          <w:sz w:val="20"/>
        </w:rPr>
      </w:pPr>
      <w:r w:rsidRPr="00C00AF8">
        <w:rPr>
          <w:rStyle w:val="FootnoteReference"/>
          <w:sz w:val="20"/>
        </w:rPr>
        <w:footnoteRef/>
      </w:r>
      <w:r w:rsidRPr="00C00AF8">
        <w:rPr>
          <w:sz w:val="20"/>
        </w:rPr>
        <w:t xml:space="preserve"> Martin JW, Kannan K, Berger U, de Voogt P, Field J, Franklin J, Giesy JP, Harner T, Muir DCG, Scott B, Kaiser M, Järnberg U, Jones KC, Mabury SA, Schroeder H, Simcik M, Sottani C, van Bavel B, Kärrman A, Lindström G, van Leeuwen S.</w:t>
      </w:r>
      <w:r>
        <w:rPr>
          <w:sz w:val="20"/>
        </w:rPr>
        <w:t xml:space="preserve"> (2004)</w:t>
      </w:r>
      <w:r w:rsidRPr="00C00AF8">
        <w:rPr>
          <w:sz w:val="20"/>
        </w:rPr>
        <w:t xml:space="preserve"> Analytical challenges hamper perfluoralkyl research. Env. Sci. &amp; Tech. </w:t>
      </w:r>
      <w:r>
        <w:rPr>
          <w:sz w:val="20"/>
        </w:rPr>
        <w:t xml:space="preserve">38, </w:t>
      </w:r>
      <w:r w:rsidRPr="004637E7">
        <w:rPr>
          <w:sz w:val="20"/>
        </w:rPr>
        <w:t>248A–255A</w:t>
      </w:r>
      <w:r w:rsidRPr="00C00AF8">
        <w:rPr>
          <w:sz w:val="20"/>
        </w:rPr>
        <w:t>.</w:t>
      </w:r>
    </w:p>
  </w:footnote>
  <w:footnote w:id="22">
    <w:p w:rsidR="00C0598F" w:rsidRPr="00C00AF8" w:rsidRDefault="00C0598F" w:rsidP="007E6B58">
      <w:pPr>
        <w:pStyle w:val="FootnoteText"/>
        <w:jc w:val="left"/>
        <w:rPr>
          <w:rFonts w:ascii="Calibri" w:hAnsi="Calibri"/>
        </w:rPr>
      </w:pPr>
      <w:r w:rsidRPr="00C00AF8">
        <w:rPr>
          <w:rStyle w:val="FootnoteReference"/>
          <w:rFonts w:ascii="Calibri" w:hAnsi="Calibri"/>
        </w:rPr>
        <w:footnoteRef/>
      </w:r>
      <w:r w:rsidRPr="00C00AF8">
        <w:rPr>
          <w:rFonts w:ascii="Calibri" w:hAnsi="Calibri"/>
        </w:rPr>
        <w:t xml:space="preserve"> Preview of </w:t>
      </w:r>
      <w:r w:rsidRPr="00C00AF8">
        <w:rPr>
          <w:rFonts w:ascii="Calibri" w:eastAsia="SimSun" w:hAnsi="Calibri"/>
          <w:lang w:eastAsia="zh-CN"/>
        </w:rPr>
        <w:t>NPR-CEN/TS 15968 content:</w:t>
      </w:r>
      <w:r w:rsidRPr="00C00AF8">
        <w:rPr>
          <w:rFonts w:ascii="Calibri" w:hAnsi="Calibri"/>
        </w:rPr>
        <w:t xml:space="preserve"> </w:t>
      </w:r>
      <w:hyperlink r:id="rId2" w:history="1">
        <w:r w:rsidRPr="00C00AF8">
          <w:rPr>
            <w:rStyle w:val="Hyperlink"/>
            <w:rFonts w:ascii="Calibri" w:hAnsi="Calibri"/>
          </w:rPr>
          <w:t>http://www.evs.ee/preview/cen-ts-15968-2010-en.pdf</w:t>
        </w:r>
      </w:hyperlink>
    </w:p>
  </w:footnote>
  <w:footnote w:id="23">
    <w:p w:rsidR="00C0598F" w:rsidRPr="00C00AF8" w:rsidRDefault="00C0598F" w:rsidP="007E6B58">
      <w:pPr>
        <w:pStyle w:val="FootnoteText"/>
        <w:jc w:val="left"/>
        <w:rPr>
          <w:rFonts w:ascii="Calibri" w:hAnsi="Calibri"/>
        </w:rPr>
      </w:pPr>
      <w:r w:rsidRPr="00C00AF8">
        <w:rPr>
          <w:rStyle w:val="FootnoteReference"/>
          <w:rFonts w:ascii="Calibri" w:hAnsi="Calibri"/>
        </w:rPr>
        <w:footnoteRef/>
      </w:r>
      <w:r w:rsidRPr="00C00AF8">
        <w:rPr>
          <w:rFonts w:ascii="Calibri" w:hAnsi="Calibri"/>
        </w:rPr>
        <w:t xml:space="preserve"> USEPA Method 537;  </w:t>
      </w:r>
      <w:hyperlink r:id="rId3" w:history="1">
        <w:r w:rsidRPr="00C00AF8">
          <w:rPr>
            <w:rStyle w:val="Hyperlink"/>
            <w:rFonts w:ascii="Calibri" w:hAnsi="Calibri"/>
          </w:rPr>
          <w:t>http://www.epa.gov/microbes/documents/Method%20537_FINAL_rev1.1.pdf</w:t>
        </w:r>
      </w:hyperlink>
    </w:p>
  </w:footnote>
  <w:footnote w:id="24">
    <w:p w:rsidR="00C0598F" w:rsidRPr="00C00AF8" w:rsidRDefault="00C0598F" w:rsidP="004637E7">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Determination of extractable perfluorooctanesulphonate (PFOS) in coated and impregnated solid articles, liquids and fire fighting foams - Method for sampling, extraction and analysis by LC-qMS or LC-tandem/MS</w:t>
      </w:r>
    </w:p>
  </w:footnote>
  <w:footnote w:id="25">
    <w:p w:rsidR="00C0598F" w:rsidRPr="0033045A" w:rsidRDefault="00C0598F" w:rsidP="004637E7">
      <w:pPr>
        <w:pStyle w:val="FootnoteText"/>
        <w:ind w:left="142" w:hanging="142"/>
        <w:rPr>
          <w:rFonts w:ascii="Calibri" w:hAnsi="Calibri"/>
        </w:rPr>
      </w:pPr>
      <w:r w:rsidRPr="0033045A">
        <w:rPr>
          <w:rStyle w:val="FootnoteReference"/>
          <w:rFonts w:ascii="Calibri" w:hAnsi="Calibri"/>
        </w:rPr>
        <w:footnoteRef/>
      </w:r>
      <w:r w:rsidRPr="0033045A">
        <w:rPr>
          <w:rFonts w:ascii="Calibri" w:hAnsi="Calibri"/>
        </w:rPr>
        <w:t xml:space="preserve"> Benskin JP, Ikonomou MG, Gobas FA, Woudneh MB, Cosgrove JR. (2012) Observation of a novel PFOS-precursor, the perfluorooctane sulfonamido ethanol-based phosphate (SAmPAP) diester, in marine sediments.</w:t>
      </w:r>
      <w:r>
        <w:rPr>
          <w:rFonts w:ascii="Calibri" w:hAnsi="Calibri"/>
        </w:rPr>
        <w:t xml:space="preserve"> </w:t>
      </w:r>
      <w:r w:rsidRPr="0033045A">
        <w:rPr>
          <w:rFonts w:ascii="Calibri" w:hAnsi="Calibri"/>
        </w:rPr>
        <w:t>Environ Sci Technol. 46</w:t>
      </w:r>
      <w:r>
        <w:rPr>
          <w:rFonts w:ascii="Calibri" w:hAnsi="Calibri"/>
        </w:rPr>
        <w:t xml:space="preserve">, </w:t>
      </w:r>
      <w:r w:rsidRPr="0033045A">
        <w:rPr>
          <w:rFonts w:ascii="Calibri" w:hAnsi="Calibri"/>
        </w:rPr>
        <w:t>6505-</w:t>
      </w:r>
      <w:r>
        <w:rPr>
          <w:rFonts w:ascii="Calibri" w:hAnsi="Calibri"/>
        </w:rPr>
        <w:t>65</w:t>
      </w:r>
      <w:r w:rsidRPr="0033045A">
        <w:rPr>
          <w:rFonts w:ascii="Calibri" w:hAnsi="Calibri"/>
        </w:rPr>
        <w:t>14</w:t>
      </w:r>
      <w:r>
        <w:rPr>
          <w:rFonts w:ascii="Calibri" w:hAnsi="Calibri"/>
        </w:rPr>
        <w:t>.</w:t>
      </w:r>
    </w:p>
  </w:footnote>
  <w:footnote w:id="26">
    <w:p w:rsidR="00C0598F" w:rsidRPr="00C00AF8" w:rsidRDefault="00C0598F" w:rsidP="004637E7">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With some uncertainty for possible production in China</w:t>
      </w:r>
    </w:p>
  </w:footnote>
  <w:footnote w:id="27">
    <w:p w:rsidR="00C0598F" w:rsidRPr="00C00AF8" w:rsidRDefault="00C0598F" w:rsidP="004637E7">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Wäger P, Schluep M, Müller E. (2010) RoHS substances in mixed plastics from Waste Electrical and Electronic Equipment. </w:t>
      </w:r>
      <w:hyperlink r:id="rId4" w:history="1">
        <w:r w:rsidRPr="004637E7">
          <w:rPr>
            <w:rStyle w:val="Hyperlink"/>
            <w:rFonts w:ascii="Calibri" w:hAnsi="Calibri"/>
          </w:rPr>
          <w:t>Final Report</w:t>
        </w:r>
      </w:hyperlink>
      <w:r w:rsidRPr="00C00AF8">
        <w:rPr>
          <w:rFonts w:ascii="Calibri" w:hAnsi="Calibri"/>
        </w:rPr>
        <w:t xml:space="preserve"> September 17, 2010. </w:t>
      </w:r>
    </w:p>
  </w:footnote>
  <w:footnote w:id="28">
    <w:p w:rsidR="00C0598F" w:rsidRPr="00C00AF8" w:rsidRDefault="00C0598F" w:rsidP="004637E7">
      <w:pPr>
        <w:pStyle w:val="FootnoteText"/>
        <w:ind w:left="142" w:hanging="142"/>
        <w:rPr>
          <w:rFonts w:ascii="Calibri" w:hAnsi="Calibri"/>
        </w:rPr>
      </w:pPr>
      <w:r w:rsidRPr="00C00AF8">
        <w:rPr>
          <w:rStyle w:val="FootnoteReference"/>
          <w:rFonts w:ascii="Calibri" w:hAnsi="Calibri"/>
        </w:rPr>
        <w:footnoteRef/>
      </w:r>
      <w:r>
        <w:rPr>
          <w:rFonts w:ascii="Calibri" w:hAnsi="Calibri"/>
        </w:rPr>
        <w:t xml:space="preserve"> Stepputat M, Noll R </w:t>
      </w:r>
      <w:r w:rsidRPr="00C00AF8">
        <w:rPr>
          <w:rFonts w:ascii="Calibri" w:hAnsi="Calibri"/>
        </w:rPr>
        <w:t>(2003)</w:t>
      </w:r>
      <w:r>
        <w:rPr>
          <w:rFonts w:ascii="Calibri" w:hAnsi="Calibri"/>
        </w:rPr>
        <w:t xml:space="preserve"> </w:t>
      </w:r>
      <w:r w:rsidRPr="00C00AF8">
        <w:rPr>
          <w:rFonts w:ascii="Calibri" w:hAnsi="Calibri"/>
        </w:rPr>
        <w:t xml:space="preserve">On-Line Detection of Heavy Metals and Brominated Flame Retardants in Technical Polymers with Laser-Induced Breakdown Spectrometry," </w:t>
      </w:r>
      <w:r w:rsidRPr="004637E7">
        <w:rPr>
          <w:rFonts w:ascii="Calibri" w:hAnsi="Calibri"/>
        </w:rPr>
        <w:t>Appl. Opt. 42, 6210</w:t>
      </w:r>
      <w:r>
        <w:rPr>
          <w:rFonts w:ascii="Calibri" w:hAnsi="Calibri"/>
        </w:rPr>
        <w:t>-6220.</w:t>
      </w:r>
    </w:p>
  </w:footnote>
  <w:footnote w:id="29">
    <w:p w:rsidR="00C0598F" w:rsidRPr="00C00AF8" w:rsidRDefault="00C0598F" w:rsidP="004637E7">
      <w:pPr>
        <w:pStyle w:val="FootnoteText"/>
        <w:ind w:left="142" w:hanging="142"/>
        <w:rPr>
          <w:rFonts w:ascii="Calibri" w:hAnsi="Calibri"/>
        </w:rPr>
      </w:pPr>
      <w:r w:rsidRPr="00C00AF8">
        <w:rPr>
          <w:rStyle w:val="FootnoteReference"/>
          <w:rFonts w:ascii="Calibri" w:hAnsi="Calibri"/>
        </w:rPr>
        <w:footnoteRef/>
      </w:r>
      <w:r w:rsidRPr="00C00AF8">
        <w:rPr>
          <w:rFonts w:ascii="Calibri" w:hAnsi="Calibri"/>
        </w:rPr>
        <w:t xml:space="preserve"> WRAP (2006) Develop a process to separate brominated flame retardants from WEEE plastics Final Report Project code: PLA- 037 November 2006. Banbury, Waste Resources Action Program</w:t>
      </w:r>
      <w:r>
        <w:rPr>
          <w:rFonts w:ascii="Calibri" w:hAnsi="Calibri"/>
        </w:rPr>
        <w:t>.</w:t>
      </w:r>
    </w:p>
  </w:footnote>
  <w:footnote w:id="30">
    <w:p w:rsidR="00C0598F" w:rsidRPr="00C00AF8" w:rsidRDefault="00C0598F" w:rsidP="004637E7">
      <w:pPr>
        <w:pStyle w:val="FootnoteText"/>
        <w:ind w:left="142" w:hanging="142"/>
        <w:rPr>
          <w:rFonts w:ascii="Calibri" w:hAnsi="Calibri"/>
        </w:rPr>
      </w:pPr>
      <w:r w:rsidRPr="00C00AF8">
        <w:rPr>
          <w:rStyle w:val="FootnoteReference"/>
          <w:rFonts w:ascii="Calibri" w:hAnsi="Calibri"/>
        </w:rPr>
        <w:footnoteRef/>
      </w:r>
      <w:r w:rsidRPr="00C00AF8">
        <w:rPr>
          <w:rFonts w:ascii="Calibri" w:hAnsi="Calibri"/>
        </w:rPr>
        <w:t xml:space="preserve"> Seidel T, Golloch A, Beerwald H, Böhm G (1993) Sliding spark spectroscopy. Fresenius' Journal of Analytical Chemistry 347, 92-102</w:t>
      </w:r>
      <w:r>
        <w:rPr>
          <w:rFonts w:ascii="Calibri" w:hAnsi="Calibri"/>
        </w:rPr>
        <w:t>.</w:t>
      </w:r>
    </w:p>
  </w:footnote>
  <w:footnote w:id="31">
    <w:p w:rsidR="00C0598F" w:rsidRPr="00C00AF8" w:rsidRDefault="00C0598F" w:rsidP="004637E7">
      <w:pPr>
        <w:pStyle w:val="FootnoteText"/>
        <w:ind w:left="142" w:hanging="142"/>
        <w:rPr>
          <w:rFonts w:ascii="Calibri" w:hAnsi="Calibri"/>
        </w:rPr>
      </w:pPr>
      <w:r w:rsidRPr="00C00AF8">
        <w:rPr>
          <w:rStyle w:val="FootnoteReference"/>
          <w:rFonts w:ascii="Calibri" w:hAnsi="Calibri"/>
        </w:rPr>
        <w:footnoteRef/>
      </w:r>
      <w:r>
        <w:rPr>
          <w:rFonts w:ascii="Calibri" w:hAnsi="Calibri"/>
        </w:rPr>
        <w:t xml:space="preserve"> Schlummer M, Maurer A </w:t>
      </w:r>
      <w:r w:rsidRPr="00C00AF8">
        <w:rPr>
          <w:rFonts w:ascii="Calibri" w:hAnsi="Calibri"/>
        </w:rPr>
        <w:t>(2006) Recycling of styrene polymers from shre</w:t>
      </w:r>
      <w:r>
        <w:rPr>
          <w:rFonts w:ascii="Calibri" w:hAnsi="Calibri"/>
        </w:rPr>
        <w:t xml:space="preserve">dded screen housings containing </w:t>
      </w:r>
      <w:r w:rsidRPr="00C00AF8">
        <w:rPr>
          <w:rFonts w:ascii="Calibri" w:hAnsi="Calibri"/>
        </w:rPr>
        <w:t xml:space="preserve">brominated flame retardants. Journal of </w:t>
      </w:r>
      <w:r>
        <w:rPr>
          <w:rFonts w:ascii="Calibri" w:hAnsi="Calibri"/>
        </w:rPr>
        <w:t xml:space="preserve">Applied Polymer Science 102, </w:t>
      </w:r>
      <w:r w:rsidRPr="00C00AF8">
        <w:rPr>
          <w:rFonts w:ascii="Calibri" w:hAnsi="Calibri"/>
        </w:rPr>
        <w:t>1262-1273</w:t>
      </w:r>
      <w:r>
        <w:rPr>
          <w:rFonts w:ascii="Calibri" w:hAnsi="Calibri"/>
        </w:rPr>
        <w:t>.</w:t>
      </w:r>
    </w:p>
  </w:footnote>
  <w:footnote w:id="32">
    <w:p w:rsidR="00C0598F" w:rsidRPr="00C00AF8" w:rsidRDefault="00C0598F" w:rsidP="004637E7">
      <w:pPr>
        <w:pStyle w:val="FootnoteText"/>
        <w:ind w:left="142" w:hanging="142"/>
        <w:rPr>
          <w:rFonts w:ascii="Calibri" w:hAnsi="Calibri"/>
          <w:lang w:val="de-DE"/>
        </w:rPr>
      </w:pPr>
      <w:r w:rsidRPr="00C00AF8">
        <w:rPr>
          <w:rStyle w:val="FootnoteReference"/>
          <w:rFonts w:ascii="Calibri" w:hAnsi="Calibri"/>
        </w:rPr>
        <w:footnoteRef/>
      </w:r>
      <w:r w:rsidRPr="00C00AF8">
        <w:rPr>
          <w:rFonts w:ascii="Calibri" w:hAnsi="Calibri"/>
        </w:rPr>
        <w:t xml:space="preserve"> Bantelmann E., Ammann A, Näf U, Tremp J (2010) Brominated flame retardants in products: Results of the Swiss market survey 2008 - pre-publication. Proceedings of the 5th International Symposium on Brominated Flame Retardants. </w:t>
      </w:r>
      <w:r w:rsidRPr="00C00AF8">
        <w:rPr>
          <w:rFonts w:ascii="Calibri" w:hAnsi="Calibri"/>
          <w:lang w:val="de-CH"/>
        </w:rPr>
        <w:t>April 7-9 2010, . Kyoto, Japan.</w:t>
      </w:r>
    </w:p>
  </w:footnote>
  <w:footnote w:id="33">
    <w:p w:rsidR="00C0598F" w:rsidRPr="004637E7" w:rsidRDefault="00C0598F">
      <w:pPr>
        <w:pStyle w:val="FootnoteText"/>
        <w:rPr>
          <w:rFonts w:ascii="Calibri" w:hAnsi="Calibri"/>
        </w:rPr>
      </w:pPr>
      <w:r w:rsidRPr="004637E7">
        <w:rPr>
          <w:rStyle w:val="FootnoteReference"/>
          <w:rFonts w:ascii="Calibri" w:hAnsi="Calibri"/>
        </w:rPr>
        <w:footnoteRef/>
      </w:r>
      <w:r>
        <w:rPr>
          <w:rFonts w:ascii="Calibri" w:hAnsi="Calibri"/>
        </w:rPr>
        <w:t xml:space="preserve"> Dietrich Braun, </w:t>
      </w:r>
      <w:r w:rsidRPr="004637E7">
        <w:rPr>
          <w:rFonts w:ascii="Calibri" w:hAnsi="Calibri"/>
        </w:rPr>
        <w:t>Simple methods for identi</w:t>
      </w:r>
      <w:r>
        <w:rPr>
          <w:rFonts w:ascii="Calibri" w:hAnsi="Calibri"/>
        </w:rPr>
        <w:t>fication of plastics,</w:t>
      </w:r>
      <w:r w:rsidRPr="004637E7">
        <w:rPr>
          <w:rFonts w:ascii="Calibri" w:hAnsi="Calibri"/>
        </w:rPr>
        <w:t xml:space="preserve"> 4th ed., 1999, Carl Hanser Verlag, Münich, Germany</w:t>
      </w:r>
      <w:r>
        <w:rPr>
          <w:rFonts w:ascii="Calibri" w:hAnsi="Calibri"/>
        </w:rPr>
        <w:t>.</w:t>
      </w:r>
    </w:p>
  </w:footnote>
  <w:footnote w:id="34">
    <w:p w:rsidR="00C0598F" w:rsidRPr="0033045A" w:rsidRDefault="00C0598F" w:rsidP="004637E7">
      <w:pPr>
        <w:pStyle w:val="FootnoteText"/>
        <w:ind w:left="142" w:hanging="142"/>
        <w:rPr>
          <w:rFonts w:ascii="Calibri" w:hAnsi="Calibri"/>
        </w:rPr>
      </w:pPr>
      <w:r w:rsidRPr="0033045A">
        <w:rPr>
          <w:rStyle w:val="FootnoteReference"/>
          <w:rFonts w:ascii="Calibri" w:hAnsi="Calibri"/>
        </w:rPr>
        <w:footnoteRef/>
      </w:r>
      <w:r w:rsidRPr="0033045A">
        <w:rPr>
          <w:rFonts w:ascii="Calibri" w:hAnsi="Calibri"/>
        </w:rPr>
        <w:t xml:space="preserve"> </w:t>
      </w:r>
      <w:r>
        <w:rPr>
          <w:rFonts w:ascii="Calibri" w:hAnsi="Calibri"/>
        </w:rPr>
        <w:t>Schlummer M, Mä</w:t>
      </w:r>
      <w:r w:rsidRPr="0033045A">
        <w:rPr>
          <w:rFonts w:ascii="Calibri" w:hAnsi="Calibri"/>
        </w:rPr>
        <w:t>urer A, Leitner T, Spruzina W (2006) Report: Recycling of flame-retarded plastics from waste electric and electronic equipment (WEEE). Waste Management Research 24, 573-583.</w:t>
      </w:r>
    </w:p>
  </w:footnote>
  <w:footnote w:id="35">
    <w:p w:rsidR="00C0598F" w:rsidRPr="0033045A" w:rsidRDefault="00C0598F" w:rsidP="004637E7">
      <w:pPr>
        <w:pStyle w:val="FootnoteText"/>
        <w:ind w:left="142" w:hanging="142"/>
        <w:rPr>
          <w:rFonts w:ascii="Calibri" w:hAnsi="Calibri"/>
        </w:rPr>
      </w:pPr>
      <w:r w:rsidRPr="0033045A">
        <w:rPr>
          <w:rStyle w:val="FootnoteReference"/>
          <w:rFonts w:ascii="Calibri" w:hAnsi="Calibri"/>
        </w:rPr>
        <w:footnoteRef/>
      </w:r>
      <w:r w:rsidRPr="0033045A">
        <w:rPr>
          <w:rFonts w:ascii="Calibri" w:hAnsi="Calibri"/>
        </w:rPr>
        <w:t xml:space="preserve"> </w:t>
      </w:r>
      <w:r>
        <w:rPr>
          <w:rFonts w:ascii="Calibri" w:hAnsi="Calibri"/>
        </w:rPr>
        <w:t>Schlummer</w:t>
      </w:r>
      <w:r w:rsidRPr="0033045A">
        <w:rPr>
          <w:rFonts w:ascii="Calibri" w:hAnsi="Calibri"/>
        </w:rPr>
        <w:t xml:space="preserve"> M</w:t>
      </w:r>
      <w:r>
        <w:rPr>
          <w:rFonts w:ascii="Calibri" w:hAnsi="Calibri"/>
        </w:rPr>
        <w:t>, Gruber</w:t>
      </w:r>
      <w:r w:rsidRPr="0033045A">
        <w:rPr>
          <w:rFonts w:ascii="Calibri" w:hAnsi="Calibri"/>
        </w:rPr>
        <w:t xml:space="preserve"> L, Mä</w:t>
      </w:r>
      <w:r>
        <w:rPr>
          <w:rFonts w:ascii="Calibri" w:hAnsi="Calibri"/>
        </w:rPr>
        <w:t>urer</w:t>
      </w:r>
      <w:r w:rsidRPr="0033045A">
        <w:rPr>
          <w:rFonts w:ascii="Calibri" w:hAnsi="Calibri"/>
        </w:rPr>
        <w:t xml:space="preserve"> A</w:t>
      </w:r>
      <w:r>
        <w:rPr>
          <w:rFonts w:ascii="Calibri" w:hAnsi="Calibri"/>
        </w:rPr>
        <w:t>, Wolz</w:t>
      </w:r>
      <w:r w:rsidRPr="0033045A">
        <w:rPr>
          <w:rFonts w:ascii="Calibri" w:hAnsi="Calibri"/>
        </w:rPr>
        <w:t xml:space="preserve"> G</w:t>
      </w:r>
      <w:r>
        <w:rPr>
          <w:rFonts w:ascii="Calibri" w:hAnsi="Calibri"/>
        </w:rPr>
        <w:t>, van Eldik</w:t>
      </w:r>
      <w:r w:rsidRPr="0033045A">
        <w:rPr>
          <w:rFonts w:ascii="Calibri" w:hAnsi="Calibri"/>
        </w:rPr>
        <w:t xml:space="preserve"> R (2007) Characterisation of polymer fractions from waste electrical and electronic equipment (WEEE) and implications for waste management.</w:t>
      </w:r>
      <w:r>
        <w:rPr>
          <w:rFonts w:ascii="Calibri" w:hAnsi="Calibri"/>
        </w:rPr>
        <w:t xml:space="preserve"> </w:t>
      </w:r>
      <w:r w:rsidRPr="0033045A">
        <w:rPr>
          <w:rFonts w:ascii="Calibri" w:hAnsi="Calibri"/>
        </w:rPr>
        <w:t>Chemosphere 67</w:t>
      </w:r>
      <w:r>
        <w:rPr>
          <w:rFonts w:ascii="Calibri" w:hAnsi="Calibri"/>
        </w:rPr>
        <w:t>,</w:t>
      </w:r>
      <w:r w:rsidRPr="0033045A">
        <w:rPr>
          <w:rFonts w:ascii="Calibri" w:hAnsi="Calibri"/>
        </w:rPr>
        <w:t xml:space="preserve"> </w:t>
      </w:r>
      <w:r>
        <w:rPr>
          <w:rFonts w:ascii="Calibri" w:hAnsi="Calibri"/>
        </w:rPr>
        <w:t>1</w:t>
      </w:r>
      <w:r w:rsidRPr="0033045A">
        <w:rPr>
          <w:rFonts w:ascii="Calibri" w:hAnsi="Calibri"/>
        </w:rPr>
        <w:t>866–1876.</w:t>
      </w:r>
    </w:p>
  </w:footnote>
  <w:footnote w:id="36">
    <w:p w:rsidR="00C0598F" w:rsidRPr="004637E7" w:rsidRDefault="00C0598F" w:rsidP="004637E7">
      <w:pPr>
        <w:pStyle w:val="FootnoteText"/>
        <w:rPr>
          <w:rFonts w:ascii="Calibri" w:hAnsi="Calibri"/>
        </w:rPr>
      </w:pPr>
      <w:r w:rsidRPr="004637E7">
        <w:rPr>
          <w:rStyle w:val="FootnoteReference"/>
          <w:rFonts w:ascii="Calibri" w:hAnsi="Calibri"/>
        </w:rPr>
        <w:footnoteRef/>
      </w:r>
      <w:r>
        <w:rPr>
          <w:rFonts w:ascii="Calibri" w:hAnsi="Calibri"/>
        </w:rPr>
        <w:t xml:space="preserve"> </w:t>
      </w:r>
      <w:r w:rsidRPr="004637E7">
        <w:rPr>
          <w:rFonts w:ascii="Calibri" w:hAnsi="Calibri"/>
        </w:rPr>
        <w:t>Braun</w:t>
      </w:r>
      <w:r>
        <w:rPr>
          <w:rFonts w:ascii="Calibri" w:hAnsi="Calibri"/>
        </w:rPr>
        <w:t xml:space="preserve"> D</w:t>
      </w:r>
      <w:r w:rsidRPr="004637E7">
        <w:rPr>
          <w:rFonts w:ascii="Calibri" w:hAnsi="Calibri"/>
          <w:sz w:val="16"/>
          <w:szCs w:val="16"/>
        </w:rPr>
        <w:t xml:space="preserve"> </w:t>
      </w:r>
      <w:r>
        <w:rPr>
          <w:rFonts w:ascii="Calibri" w:hAnsi="Calibri"/>
        </w:rPr>
        <w:t>(</w:t>
      </w:r>
      <w:r w:rsidRPr="004637E7">
        <w:rPr>
          <w:rFonts w:ascii="Calibri" w:hAnsi="Calibri"/>
        </w:rPr>
        <w:t>1999</w:t>
      </w:r>
      <w:r>
        <w:rPr>
          <w:rFonts w:ascii="Calibri" w:hAnsi="Calibri"/>
        </w:rPr>
        <w:t>)</w:t>
      </w:r>
      <w:r w:rsidRPr="004637E7">
        <w:rPr>
          <w:rFonts w:ascii="Calibri" w:hAnsi="Calibri"/>
          <w:sz w:val="16"/>
          <w:szCs w:val="16"/>
        </w:rPr>
        <w:t xml:space="preserve"> </w:t>
      </w:r>
      <w:r w:rsidRPr="004637E7">
        <w:rPr>
          <w:rFonts w:ascii="Calibri" w:hAnsi="Calibri"/>
        </w:rPr>
        <w:t>Simple methods for identification of plastics,</w:t>
      </w:r>
      <w:r>
        <w:rPr>
          <w:rFonts w:ascii="Calibri" w:hAnsi="Calibri"/>
        </w:rPr>
        <w:t xml:space="preserve"> 4th ed.</w:t>
      </w:r>
      <w:r w:rsidRPr="004637E7">
        <w:rPr>
          <w:rFonts w:ascii="Calibri" w:hAnsi="Calibri"/>
        </w:rPr>
        <w:t xml:space="preserve"> 1999, Carl Hanser Verlag, Münich, Germany</w:t>
      </w:r>
      <w:r>
        <w:rPr>
          <w:rFonts w:ascii="Calibri" w:hAnsi="Calibri"/>
        </w:rPr>
        <w:t>-</w:t>
      </w:r>
    </w:p>
  </w:footnote>
  <w:footnote w:id="37">
    <w:p w:rsidR="00C0598F" w:rsidRPr="00C00AF8" w:rsidRDefault="00C0598F" w:rsidP="004637E7">
      <w:pPr>
        <w:pStyle w:val="FootnoteText"/>
        <w:ind w:left="142" w:hanging="142"/>
        <w:jc w:val="left"/>
        <w:rPr>
          <w:rFonts w:ascii="Calibri" w:hAnsi="Calibri"/>
        </w:rPr>
      </w:pPr>
      <w:r w:rsidRPr="00C00AF8">
        <w:rPr>
          <w:rStyle w:val="FootnoteReference"/>
          <w:rFonts w:ascii="Calibri" w:hAnsi="Calibri"/>
        </w:rPr>
        <w:footnoteRef/>
      </w:r>
      <w:r w:rsidRPr="004637E7">
        <w:rPr>
          <w:rFonts w:ascii="Calibri" w:hAnsi="Calibri"/>
        </w:rPr>
        <w:t xml:space="preserve"> Meike Bergmann (2006) Bestimmung polybromierter Diphenylether in Kunststoffen und Untersuchungen zum Emissionsverhalten. </w:t>
      </w:r>
      <w:r w:rsidRPr="00C00AF8">
        <w:rPr>
          <w:rFonts w:ascii="Calibri" w:hAnsi="Calibri"/>
        </w:rPr>
        <w:t>PhD, Technical University Berlin</w:t>
      </w:r>
      <w:r>
        <w:rPr>
          <w:rFonts w:ascii="Calibri" w:hAnsi="Calibri"/>
        </w:rPr>
        <w:t>.</w:t>
      </w:r>
    </w:p>
  </w:footnote>
  <w:footnote w:id="38">
    <w:p w:rsidR="00C0598F" w:rsidRPr="00C00AF8" w:rsidRDefault="00C0598F" w:rsidP="004637E7">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Schlummer M, Maurer A, Leitner T, Spruzina W (2006) Report: Recycling of flame-retarded plastics from waste electric and electronic equipment (WEEE). Waste Management Research 24, 573-583.</w:t>
      </w:r>
    </w:p>
  </w:footnote>
  <w:footnote w:id="39">
    <w:p w:rsidR="00C0598F" w:rsidRPr="00C00AF8" w:rsidRDefault="00C0598F" w:rsidP="004637E7">
      <w:pPr>
        <w:pStyle w:val="FootnoteText"/>
        <w:ind w:left="142" w:hanging="142"/>
        <w:jc w:val="left"/>
        <w:rPr>
          <w:rFonts w:ascii="Calibri" w:hAnsi="Calibri"/>
        </w:rPr>
      </w:pPr>
      <w:r w:rsidRPr="00C00AF8">
        <w:rPr>
          <w:rStyle w:val="FootnoteReference"/>
          <w:rFonts w:ascii="Calibri" w:hAnsi="Calibri"/>
        </w:rPr>
        <w:footnoteRef/>
      </w:r>
      <w:r>
        <w:rPr>
          <w:rFonts w:ascii="Calibri" w:hAnsi="Calibri"/>
        </w:rPr>
        <w:t xml:space="preserve"> </w:t>
      </w:r>
      <w:r w:rsidRPr="00C00AF8">
        <w:rPr>
          <w:rFonts w:ascii="Calibri" w:hAnsi="Calibri"/>
        </w:rPr>
        <w:t>Major flame retardants should be included in the standard to ensure that BFRs are separated from POP-PBDEs especially when ECD detector is used. Also for the recycling of polymers it is important to know what BFR restricted by RoHS regulation are present. Therefore major BFRs used in EEE polymers are included.</w:t>
      </w:r>
    </w:p>
  </w:footnote>
  <w:footnote w:id="40">
    <w:p w:rsidR="00C0598F" w:rsidRPr="00C00AF8" w:rsidRDefault="00C0598F" w:rsidP="004637E7">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The 0.1% RoHS limit is not based on risk considerations and is 20 times higher than the current provisional ‘low POPs’ limit for POP pesticides and PCBs.</w:t>
      </w:r>
    </w:p>
  </w:footnote>
  <w:footnote w:id="41">
    <w:p w:rsidR="00C0598F" w:rsidRPr="00C00AF8" w:rsidRDefault="00C0598F" w:rsidP="004637E7">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Covaci A,</w:t>
      </w:r>
      <w:r>
        <w:rPr>
          <w:rFonts w:ascii="Calibri" w:hAnsi="Calibri"/>
        </w:rPr>
        <w:t xml:space="preserve"> </w:t>
      </w:r>
      <w:r w:rsidRPr="00C00AF8">
        <w:rPr>
          <w:rFonts w:ascii="Calibri" w:hAnsi="Calibri"/>
        </w:rPr>
        <w:t>Voorspoels S, de Boer J (2003) Determination of brominated flame retardants, with emphasis on</w:t>
      </w:r>
    </w:p>
    <w:p w:rsidR="00C0598F" w:rsidRPr="00C00AF8" w:rsidRDefault="00C0598F" w:rsidP="004637E7">
      <w:pPr>
        <w:pStyle w:val="FootnoteText"/>
        <w:ind w:left="142" w:hanging="142"/>
        <w:jc w:val="left"/>
        <w:rPr>
          <w:rFonts w:ascii="Calibri" w:hAnsi="Calibri"/>
        </w:rPr>
      </w:pPr>
      <w:r w:rsidRPr="00C00AF8">
        <w:rPr>
          <w:rFonts w:ascii="Calibri" w:hAnsi="Calibri"/>
        </w:rPr>
        <w:t>polybrominated diphenyl ethers in environmental and human sampl</w:t>
      </w:r>
      <w:r>
        <w:rPr>
          <w:rFonts w:ascii="Calibri" w:hAnsi="Calibri"/>
        </w:rPr>
        <w:t>es - a review. Environ Int 29,</w:t>
      </w:r>
      <w:r w:rsidRPr="00C00AF8">
        <w:rPr>
          <w:rFonts w:ascii="Calibri" w:hAnsi="Calibri"/>
        </w:rPr>
        <w:t xml:space="preserve"> 735-756</w:t>
      </w:r>
      <w:r>
        <w:rPr>
          <w:rFonts w:ascii="Calibri" w:hAnsi="Calibri"/>
        </w:rPr>
        <w:t>.</w:t>
      </w:r>
    </w:p>
  </w:footnote>
  <w:footnote w:id="42">
    <w:p w:rsidR="00C0598F" w:rsidRPr="00C00AF8" w:rsidRDefault="00C0598F" w:rsidP="004637E7">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International Electrotechnical Commission (2008). International Standard IEC 62321 Electrotechnical products - Determination of levels of six regulated substances (lead, mercury, cadmium, hexavalent chromium, polybrominated biphenyls, polybrominated diphenyl ethers). Edition 1.0 2008-12 (also adopted as EN 62321:2009), IEC Technical committee TC 111.</w:t>
      </w:r>
    </w:p>
  </w:footnote>
  <w:footnote w:id="43">
    <w:p w:rsidR="00C0598F" w:rsidRPr="00C00AF8" w:rsidRDefault="00C0598F" w:rsidP="004637E7">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If also DecaBDE is to be monitored, a shorter column (preferabl</w:t>
      </w:r>
      <w:r>
        <w:rPr>
          <w:rFonts w:ascii="Calibri" w:hAnsi="Calibri"/>
        </w:rPr>
        <w:t xml:space="preserve">y 15 meter) are normally used. </w:t>
      </w:r>
    </w:p>
  </w:footnote>
  <w:footnote w:id="44">
    <w:p w:rsidR="00C0598F" w:rsidRPr="00C00AF8" w:rsidRDefault="00C0598F" w:rsidP="004637E7">
      <w:pPr>
        <w:spacing w:after="0"/>
        <w:ind w:left="142" w:hanging="142"/>
      </w:pPr>
      <w:r w:rsidRPr="00C00AF8">
        <w:rPr>
          <w:rStyle w:val="FootnoteReference"/>
          <w:sz w:val="20"/>
        </w:rPr>
        <w:footnoteRef/>
      </w:r>
      <w:r w:rsidRPr="00C00AF8">
        <w:rPr>
          <w:sz w:val="20"/>
        </w:rPr>
        <w:t xml:space="preserve"> The more sensitive and expensive </w:t>
      </w:r>
      <w:r w:rsidRPr="00C00AF8">
        <w:rPr>
          <w:rFonts w:eastAsia="Times-Roman"/>
          <w:sz w:val="20"/>
        </w:rPr>
        <w:t>HRMS requires highly trained and experienced lab personnel is not needed for this matrix.</w:t>
      </w:r>
    </w:p>
  </w:footnote>
  <w:footnote w:id="45">
    <w:p w:rsidR="00C0598F" w:rsidRPr="00C00AF8" w:rsidRDefault="00C0598F" w:rsidP="004637E7">
      <w:pPr>
        <w:autoSpaceDE w:val="0"/>
        <w:autoSpaceDN w:val="0"/>
        <w:adjustRightInd w:val="0"/>
        <w:spacing w:after="0"/>
        <w:ind w:left="142" w:hanging="142"/>
        <w:jc w:val="left"/>
      </w:pPr>
      <w:r w:rsidRPr="00C00AF8">
        <w:rPr>
          <w:rStyle w:val="FootnoteReference"/>
          <w:sz w:val="20"/>
        </w:rPr>
        <w:footnoteRef/>
      </w:r>
      <w:r w:rsidRPr="004637E7">
        <w:rPr>
          <w:sz w:val="20"/>
        </w:rPr>
        <w:t xml:space="preserve"> </w:t>
      </w:r>
      <w:r w:rsidRPr="004637E7">
        <w:rPr>
          <w:rFonts w:eastAsia="SimSun"/>
          <w:sz w:val="20"/>
          <w:lang w:eastAsia="zh-CN"/>
        </w:rPr>
        <w:t xml:space="preserve">Covaci A, Voorspoels S, Ramos L, Neels H, Blust R (2007) </w:t>
      </w:r>
      <w:r w:rsidRPr="00C00AF8">
        <w:rPr>
          <w:rFonts w:eastAsia="SimSun"/>
          <w:sz w:val="20"/>
          <w:lang w:eastAsia="zh-CN"/>
        </w:rPr>
        <w:t>Recent developments in the analysis of brominated flame retardants and brominated natural compounds. J</w:t>
      </w:r>
      <w:r>
        <w:rPr>
          <w:rFonts w:eastAsia="SimSun"/>
          <w:sz w:val="20"/>
          <w:lang w:eastAsia="zh-CN"/>
        </w:rPr>
        <w:t>ournal of Chromatography A 1153,</w:t>
      </w:r>
      <w:r w:rsidRPr="00C00AF8">
        <w:rPr>
          <w:rFonts w:eastAsia="SimSun"/>
          <w:sz w:val="20"/>
          <w:lang w:eastAsia="zh-CN"/>
        </w:rPr>
        <w:t xml:space="preserve"> 145-171</w:t>
      </w:r>
      <w:r>
        <w:rPr>
          <w:rFonts w:eastAsia="SimSun"/>
          <w:sz w:val="20"/>
          <w:lang w:eastAsia="zh-CN"/>
        </w:rPr>
        <w:t>.</w:t>
      </w:r>
    </w:p>
  </w:footnote>
  <w:footnote w:id="46">
    <w:p w:rsidR="00C0598F" w:rsidRPr="00C00AF8" w:rsidRDefault="00C0598F" w:rsidP="004637E7">
      <w:pPr>
        <w:pStyle w:val="FootnoteText"/>
        <w:ind w:left="142" w:hanging="142"/>
        <w:rPr>
          <w:rFonts w:ascii="Calibri" w:hAnsi="Calibri"/>
        </w:rPr>
      </w:pPr>
      <w:r w:rsidRPr="00C00AF8">
        <w:rPr>
          <w:rStyle w:val="FootnoteReference"/>
          <w:rFonts w:ascii="Calibri" w:hAnsi="Calibri"/>
        </w:rPr>
        <w:footnoteRef/>
      </w:r>
      <w:r w:rsidRPr="00C0598F">
        <w:rPr>
          <w:rFonts w:ascii="Calibri" w:hAnsi="Calibri"/>
          <w:lang w:val="nl-NL"/>
        </w:rPr>
        <w:t xml:space="preserve"> Zeleny R, Voorspoels S et al. </w:t>
      </w:r>
      <w:r w:rsidRPr="00C00AF8">
        <w:rPr>
          <w:rFonts w:ascii="Calibri" w:hAnsi="Calibri"/>
        </w:rPr>
        <w:t>(2010) Evaluation of the state-of-the-art measurement capabilities for selected PBDE and decaBB in plastic by the international intercomparison CCQM-P114. Analytical an</w:t>
      </w:r>
      <w:r>
        <w:rPr>
          <w:rFonts w:ascii="Calibri" w:hAnsi="Calibri"/>
        </w:rPr>
        <w:t>d Bioanalytical Chemistry 396</w:t>
      </w:r>
      <w:r w:rsidRPr="00C00AF8">
        <w:rPr>
          <w:rFonts w:ascii="Calibri" w:hAnsi="Calibri"/>
        </w:rPr>
        <w:t>, 1501-1511.</w:t>
      </w:r>
    </w:p>
  </w:footnote>
  <w:footnote w:id="47">
    <w:p w:rsidR="00C0598F" w:rsidRPr="00B835E8" w:rsidRDefault="00C0598F" w:rsidP="004637E7">
      <w:pPr>
        <w:autoSpaceDE w:val="0"/>
        <w:autoSpaceDN w:val="0"/>
        <w:adjustRightInd w:val="0"/>
        <w:spacing w:after="0"/>
        <w:ind w:left="142" w:hanging="142"/>
        <w:rPr>
          <w:sz w:val="20"/>
          <w:szCs w:val="20"/>
        </w:rPr>
      </w:pPr>
      <w:r w:rsidRPr="00B835E8">
        <w:rPr>
          <w:rStyle w:val="FootnoteReference"/>
          <w:sz w:val="20"/>
          <w:szCs w:val="20"/>
        </w:rPr>
        <w:footnoteRef/>
      </w:r>
      <w:r w:rsidRPr="00B835E8">
        <w:rPr>
          <w:sz w:val="20"/>
          <w:szCs w:val="20"/>
        </w:rPr>
        <w:t xml:space="preserve"> </w:t>
      </w:r>
      <w:r w:rsidRPr="00B835E8">
        <w:rPr>
          <w:rFonts w:eastAsia="SimSun" w:cs="TimesNewRomanPSMT"/>
          <w:sz w:val="20"/>
          <w:szCs w:val="20"/>
          <w:lang w:eastAsia="zh-CN"/>
        </w:rPr>
        <w:t xml:space="preserve">International Electrotechnical Commission (2008). International Standard IEC 62321 Electrotechnical products -Determination of levels of six regulated substances (lead, mercury, cadmium, hexavalent chromium, polybrominated </w:t>
      </w:r>
      <w:r w:rsidRPr="00B835E8">
        <w:rPr>
          <w:rFonts w:eastAsia="SimSun"/>
          <w:sz w:val="20"/>
          <w:szCs w:val="20"/>
          <w:lang w:eastAsia="zh-CN"/>
        </w:rPr>
        <w:t>biphenyls, polybrominated diphenyl ethers). Edition 1.0 2008-12 (also adopted a</w:t>
      </w:r>
      <w:r w:rsidRPr="00B835E8">
        <w:rPr>
          <w:rStyle w:val="PageNumber"/>
          <w:sz w:val="20"/>
          <w:szCs w:val="20"/>
        </w:rPr>
        <w:t xml:space="preserve">s EN 62321:2009), IEC Technical </w:t>
      </w:r>
      <w:r w:rsidRPr="00B835E8">
        <w:rPr>
          <w:rFonts w:eastAsia="SimSun"/>
          <w:sz w:val="20"/>
          <w:szCs w:val="20"/>
          <w:lang w:eastAsia="zh-CN"/>
        </w:rPr>
        <w:t>committee TC 111.</w:t>
      </w:r>
    </w:p>
  </w:footnote>
  <w:footnote w:id="48">
    <w:p w:rsidR="00C0598F" w:rsidRPr="00B835E8" w:rsidRDefault="00C0598F" w:rsidP="004637E7">
      <w:pPr>
        <w:pStyle w:val="FootnoteText"/>
        <w:ind w:left="142" w:hanging="142"/>
        <w:rPr>
          <w:rFonts w:ascii="Calibri" w:hAnsi="Calibri"/>
        </w:rPr>
      </w:pPr>
      <w:r w:rsidRPr="00B835E8">
        <w:rPr>
          <w:rStyle w:val="FootnoteReference"/>
          <w:rFonts w:ascii="Calibri" w:hAnsi="Calibri"/>
        </w:rPr>
        <w:footnoteRef/>
      </w:r>
      <w:r w:rsidRPr="00B835E8">
        <w:rPr>
          <w:rFonts w:ascii="Calibri" w:hAnsi="Calibri"/>
        </w:rPr>
        <w:t xml:space="preserve"> Kemmlein, S.,Bergmann, M, Jann, O (2005) Standard measurement method for the determination of polybrominated flame retardants (pentabromo diphenylether, octabromo diphenylether) in products Nr. 31/2005 UBAFBNr 000839/e.Förderkennzeichen 202 67 300, Umweltbundesamt</w:t>
      </w:r>
      <w:r>
        <w:rPr>
          <w:rFonts w:ascii="Calibri" w:hAnsi="Calibri"/>
        </w:rPr>
        <w:t>.</w:t>
      </w:r>
    </w:p>
  </w:footnote>
  <w:footnote w:id="49">
    <w:p w:rsidR="00C0598F" w:rsidRPr="00B835E8" w:rsidRDefault="00C0598F" w:rsidP="004637E7">
      <w:pPr>
        <w:spacing w:after="0"/>
        <w:ind w:left="142" w:hanging="142"/>
        <w:rPr>
          <w:sz w:val="20"/>
          <w:szCs w:val="20"/>
        </w:rPr>
      </w:pPr>
      <w:r w:rsidRPr="00B835E8">
        <w:rPr>
          <w:rStyle w:val="FootnoteReference"/>
          <w:sz w:val="20"/>
          <w:szCs w:val="20"/>
        </w:rPr>
        <w:footnoteRef/>
      </w:r>
      <w:r w:rsidRPr="00B835E8">
        <w:rPr>
          <w:sz w:val="20"/>
          <w:szCs w:val="20"/>
        </w:rPr>
        <w:t xml:space="preserve"> US EPA method 1614</w:t>
      </w:r>
    </w:p>
    <w:p w:rsidR="00C0598F" w:rsidRPr="00B835E8" w:rsidRDefault="00C0598F" w:rsidP="004637E7">
      <w:pPr>
        <w:spacing w:after="0"/>
        <w:ind w:left="142" w:hanging="142"/>
        <w:rPr>
          <w:sz w:val="20"/>
          <w:szCs w:val="20"/>
        </w:rPr>
      </w:pPr>
      <w:r w:rsidRPr="00B835E8">
        <w:rPr>
          <w:sz w:val="20"/>
          <w:szCs w:val="20"/>
        </w:rPr>
        <w:t xml:space="preserve"> </w:t>
      </w:r>
      <w:hyperlink r:id="rId5" w:history="1">
        <w:r w:rsidRPr="00B835E8">
          <w:rPr>
            <w:rStyle w:val="Hyperlink"/>
            <w:sz w:val="20"/>
            <w:szCs w:val="20"/>
          </w:rPr>
          <w:t>http://water.epa.gov/scitech/methods/cwa/bioindicators/upload/2007_09_11_methods_method_1614.pdf</w:t>
        </w:r>
      </w:hyperlink>
    </w:p>
  </w:footnote>
  <w:footnote w:id="50">
    <w:p w:rsidR="00C0598F" w:rsidRPr="00C00AF8" w:rsidRDefault="00C0598F" w:rsidP="004637E7">
      <w:pPr>
        <w:pStyle w:val="FootnoteText"/>
        <w:ind w:left="142" w:hanging="142"/>
        <w:rPr>
          <w:rFonts w:ascii="Calibri" w:hAnsi="Calibri"/>
        </w:rPr>
      </w:pPr>
      <w:r w:rsidRPr="00C00AF8">
        <w:rPr>
          <w:rStyle w:val="FootnoteReference"/>
          <w:rFonts w:ascii="Calibri" w:hAnsi="Calibri"/>
        </w:rPr>
        <w:footnoteRef/>
      </w:r>
      <w:r w:rsidRPr="00C00AF8">
        <w:rPr>
          <w:rFonts w:ascii="Calibri" w:hAnsi="Calibri"/>
        </w:rPr>
        <w:t xml:space="preserve"> Pöhlein M, Bertran RU, Wolf M, van Eldik R (2008) Versatile and fast gas chromatographic determination of frequently used brominated flame retardants in styrenic polymers. J</w:t>
      </w:r>
      <w:r>
        <w:rPr>
          <w:rFonts w:ascii="Calibri" w:hAnsi="Calibri"/>
        </w:rPr>
        <w:t>. of Chromatography A 1203,</w:t>
      </w:r>
      <w:r w:rsidRPr="00C00AF8">
        <w:rPr>
          <w:rFonts w:ascii="Calibri" w:hAnsi="Calibri"/>
        </w:rPr>
        <w:t xml:space="preserve"> 217-228</w:t>
      </w:r>
      <w:r>
        <w:rPr>
          <w:rFonts w:ascii="Calibri" w:hAnsi="Calibri"/>
        </w:rPr>
        <w:t>.</w:t>
      </w:r>
    </w:p>
  </w:footnote>
  <w:footnote w:id="51">
    <w:p w:rsidR="00C0598F" w:rsidRPr="00C00AF8" w:rsidRDefault="00C0598F" w:rsidP="004637E7">
      <w:pPr>
        <w:pStyle w:val="FootnoteText"/>
        <w:ind w:left="142" w:hanging="142"/>
        <w:rPr>
          <w:rFonts w:ascii="Calibri" w:hAnsi="Calibri"/>
        </w:rPr>
      </w:pPr>
      <w:r w:rsidRPr="00C00AF8">
        <w:rPr>
          <w:rStyle w:val="FootnoteReference"/>
          <w:rFonts w:ascii="Calibri" w:hAnsi="Calibri"/>
        </w:rPr>
        <w:footnoteRef/>
      </w:r>
      <w:r w:rsidRPr="00C00AF8">
        <w:rPr>
          <w:rFonts w:ascii="Calibri" w:hAnsi="Calibri"/>
        </w:rPr>
        <w:t xml:space="preserve"> D</w:t>
      </w:r>
      <w:r>
        <w:rPr>
          <w:rFonts w:ascii="Calibri" w:hAnsi="Calibri"/>
        </w:rPr>
        <w:t>anzer B</w:t>
      </w:r>
      <w:r w:rsidRPr="00C00AF8">
        <w:rPr>
          <w:rFonts w:ascii="Calibri" w:hAnsi="Calibri"/>
        </w:rPr>
        <w:t>,</w:t>
      </w:r>
      <w:r>
        <w:rPr>
          <w:rFonts w:ascii="Calibri" w:hAnsi="Calibri"/>
        </w:rPr>
        <w:t xml:space="preserve"> Riess M</w:t>
      </w:r>
      <w:r w:rsidRPr="00C00AF8">
        <w:rPr>
          <w:rFonts w:ascii="Calibri" w:hAnsi="Calibri"/>
        </w:rPr>
        <w:t>,</w:t>
      </w:r>
      <w:r>
        <w:rPr>
          <w:rFonts w:ascii="Calibri" w:hAnsi="Calibri"/>
        </w:rPr>
        <w:t xml:space="preserve"> </w:t>
      </w:r>
      <w:r w:rsidRPr="00C00AF8">
        <w:rPr>
          <w:rFonts w:ascii="Calibri" w:hAnsi="Calibri"/>
        </w:rPr>
        <w:t>Th</w:t>
      </w:r>
      <w:r>
        <w:rPr>
          <w:rFonts w:ascii="Calibri" w:hAnsi="Calibri"/>
        </w:rPr>
        <w:t>oma H, Vierle O, van Eldik R (1997)</w:t>
      </w:r>
      <w:r w:rsidRPr="00C00AF8">
        <w:rPr>
          <w:rFonts w:ascii="Calibri" w:hAnsi="Calibri"/>
        </w:rPr>
        <w:t xml:space="preserve"> Pyrolysis of Plastics Containing Brominated Flame Retardants. Organohalogen Compounds 31, 108-113</w:t>
      </w:r>
    </w:p>
  </w:footnote>
  <w:footnote w:id="52">
    <w:p w:rsidR="00C0598F" w:rsidRPr="00C00AF8" w:rsidRDefault="00C0598F" w:rsidP="004637E7">
      <w:pPr>
        <w:pStyle w:val="FootnoteText"/>
        <w:ind w:left="142" w:hanging="142"/>
        <w:rPr>
          <w:rFonts w:ascii="Calibri" w:hAnsi="Calibri"/>
        </w:rPr>
      </w:pPr>
      <w:r w:rsidRPr="00C00AF8">
        <w:rPr>
          <w:rStyle w:val="FootnoteReference"/>
          <w:rFonts w:ascii="Calibri" w:hAnsi="Calibri"/>
        </w:rPr>
        <w:footnoteRef/>
      </w:r>
      <w:r w:rsidRPr="00C00AF8">
        <w:rPr>
          <w:rFonts w:ascii="Calibri" w:hAnsi="Calibri"/>
        </w:rPr>
        <w:t xml:space="preserve"> Rieß M, Ernst T, Popp R, Müller B, Thoma H, Vierle O, Wolf M, van Eldik R (2000) Analysis of flame retarded polymers and recycling</w:t>
      </w:r>
      <w:r>
        <w:rPr>
          <w:rFonts w:ascii="Calibri" w:hAnsi="Calibri"/>
        </w:rPr>
        <w:t xml:space="preserve"> materials. Chemosphere 40</w:t>
      </w:r>
      <w:r w:rsidRPr="00C00AF8">
        <w:rPr>
          <w:rFonts w:ascii="Calibri" w:hAnsi="Calibri"/>
        </w:rPr>
        <w:t>, 937-941</w:t>
      </w:r>
      <w:r>
        <w:rPr>
          <w:rFonts w:ascii="Calibri" w:hAnsi="Calibri"/>
        </w:rPr>
        <w:t>.</w:t>
      </w:r>
    </w:p>
  </w:footnote>
  <w:footnote w:id="53">
    <w:p w:rsidR="00C0598F" w:rsidRPr="00C00AF8" w:rsidRDefault="00C0598F" w:rsidP="004637E7">
      <w:pPr>
        <w:pStyle w:val="FootnoteText"/>
        <w:ind w:left="142" w:hanging="142"/>
        <w:rPr>
          <w:rFonts w:ascii="Calibri" w:hAnsi="Calibri"/>
        </w:rPr>
      </w:pPr>
      <w:r w:rsidRPr="00C00AF8">
        <w:rPr>
          <w:rStyle w:val="FootnoteReference"/>
          <w:rFonts w:ascii="Calibri" w:hAnsi="Calibri"/>
        </w:rPr>
        <w:footnoteRef/>
      </w:r>
      <w:r w:rsidRPr="00C00AF8">
        <w:rPr>
          <w:rFonts w:ascii="Calibri" w:hAnsi="Calibri"/>
        </w:rPr>
        <w:t xml:space="preserve"> Shimadzu (2010). Pyrolysis GC/MS of Brominated Flame retardants</w:t>
      </w:r>
    </w:p>
    <w:p w:rsidR="00C0598F" w:rsidRPr="00C00AF8" w:rsidRDefault="00322F03" w:rsidP="004637E7">
      <w:pPr>
        <w:pStyle w:val="FootnoteText"/>
        <w:ind w:left="142" w:hanging="142"/>
        <w:rPr>
          <w:rFonts w:ascii="Calibri" w:hAnsi="Calibri"/>
        </w:rPr>
      </w:pPr>
      <w:hyperlink r:id="rId6" w:history="1">
        <w:r w:rsidR="00C0598F" w:rsidRPr="00C00AF8">
          <w:rPr>
            <w:rStyle w:val="Hyperlink"/>
            <w:rFonts w:ascii="Calibri" w:hAnsi="Calibri"/>
          </w:rPr>
          <w:t>http://www2.shimadzu.com/applications/gcms/Appl_GCMS_PBDE_07C_070_en.pdf</w:t>
        </w:r>
      </w:hyperlink>
    </w:p>
  </w:footnote>
  <w:footnote w:id="54">
    <w:p w:rsidR="00C0598F" w:rsidRPr="00C00AF8" w:rsidRDefault="00C0598F" w:rsidP="002A5ACF">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This can be compared to PCB analysis in transformer oil which is currently available with GC/MS for approx. EURO 50 per sample. Much of this cost difference can be explained by the more complex and time consuming extraction and clean-up of the polymer matrix required for PBDE analysis compared to a PCB oil</w:t>
      </w:r>
      <w:r>
        <w:rPr>
          <w:rFonts w:ascii="Calibri" w:hAnsi="Calibri"/>
        </w:rPr>
        <w:t>.</w:t>
      </w:r>
    </w:p>
  </w:footnote>
  <w:footnote w:id="55">
    <w:p w:rsidR="00C0598F" w:rsidRPr="00C00AF8" w:rsidRDefault="00C0598F" w:rsidP="002A5ACF">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Garrigues P. Chlordecone in the French West Indies: Overview of research activities dealing with soil and aquatic ecosystems. Presentation at RECETOX workshop on “Research needs 10 years Stockholm Convention” 22-24 May 2011 Brno/Czech Republic. http://www.recetox.muni.cz/res/file/pdf/workshop/BrnoPG1-2.pdf </w:t>
      </w:r>
    </w:p>
  </w:footnote>
  <w:footnote w:id="56">
    <w:p w:rsidR="00C0598F" w:rsidRPr="00C00AF8" w:rsidRDefault="00C0598F" w:rsidP="002A5ACF">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Malisch R, WHO POPs reference laboratory, personal communication with Roland Weber 22.02.2012</w:t>
      </w:r>
      <w:r>
        <w:rPr>
          <w:rFonts w:ascii="Calibri" w:hAnsi="Calibri"/>
        </w:rPr>
        <w:t>.</w:t>
      </w:r>
    </w:p>
  </w:footnote>
  <w:footnote w:id="57">
    <w:p w:rsidR="00C0598F" w:rsidRPr="00C00AF8" w:rsidRDefault="00C0598F" w:rsidP="002A5ACF">
      <w:pPr>
        <w:pStyle w:val="FootnoteText"/>
        <w:ind w:left="142" w:hanging="142"/>
        <w:jc w:val="left"/>
        <w:rPr>
          <w:rFonts w:ascii="Calibri" w:hAnsi="Calibri"/>
        </w:rPr>
      </w:pPr>
      <w:r w:rsidRPr="00C00AF8">
        <w:rPr>
          <w:rStyle w:val="FootnoteReference"/>
          <w:rFonts w:ascii="Calibri" w:hAnsi="Calibri"/>
        </w:rPr>
        <w:footnoteRef/>
      </w:r>
      <w:r>
        <w:rPr>
          <w:rFonts w:ascii="Calibri" w:hAnsi="Calibri"/>
        </w:rPr>
        <w:t xml:space="preserve"> Takasuga T, Takemori H, Yamamoto T, Higashino K, Sasaki Y, Weber R. (2009)</w:t>
      </w:r>
      <w:r w:rsidRPr="00C00AF8">
        <w:rPr>
          <w:rFonts w:ascii="Calibri" w:hAnsi="Calibri"/>
        </w:rPr>
        <w:t xml:space="preserve"> The fingerprint of chlorinated aromatic compounds in contaminated sites from chloralkali process and a historic chlorine production using GC-HR-TOF-MS screening. </w:t>
      </w:r>
      <w:hyperlink r:id="rId7" w:history="1">
        <w:r w:rsidRPr="0002550C">
          <w:rPr>
            <w:rStyle w:val="Hyperlink"/>
            <w:rFonts w:ascii="Calibri" w:hAnsi="Calibri"/>
          </w:rPr>
          <w:t>Organohalogen Compounds 71, 2239-2244</w:t>
        </w:r>
      </w:hyperlink>
      <w:r w:rsidRPr="00C00AF8">
        <w:rPr>
          <w:rFonts w:ascii="Calibri" w:hAnsi="Calibri"/>
        </w:rPr>
        <w:t xml:space="preserve">. </w:t>
      </w:r>
    </w:p>
  </w:footnote>
  <w:footnote w:id="58">
    <w:p w:rsidR="00C0598F" w:rsidRPr="00C00AF8" w:rsidRDefault="00C0598F" w:rsidP="002A5ACF">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Government of Japan (2006) Assessment Committee on BAT Levels for Reduction of a Specified Chemical as a Contaminant By-product: Report on BAT Levels concerning By-product HCB in TCPA and Solvent Red 135. November 2006.</w:t>
      </w:r>
    </w:p>
  </w:footnote>
  <w:footnote w:id="59">
    <w:p w:rsidR="00C0598F" w:rsidRPr="00C00AF8" w:rsidRDefault="00C0598F" w:rsidP="002A5ACF">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Government of Japan (2007) Assessment Committee on BAT Levels for Reduction of a Specified Chemical as a Contaminant By-product: Report on BAT Levels concerning By-product HCB in Other Pigments Derived from TCPA and Phthalocyanine</w:t>
      </w:r>
    </w:p>
  </w:footnote>
  <w:footnote w:id="60">
    <w:p w:rsidR="00C0598F" w:rsidRPr="00C00AF8" w:rsidRDefault="00C0598F" w:rsidP="002A5ACF">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Jacoff F, Scarberry R, Rosa D (1986) Source assessment of hexachlorobenzene from the organic chemical manufacturing industry, in Morris, C.R.; Cabral, J.R.P. Hexachlorobenzene: Proceedings of an International Symposium; pp. 31-37.</w:t>
      </w:r>
    </w:p>
  </w:footnote>
  <w:footnote w:id="61">
    <w:p w:rsidR="00C0598F" w:rsidRPr="00C00AF8" w:rsidRDefault="00C0598F" w:rsidP="002A5ACF">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Weber</w:t>
      </w:r>
      <w:r>
        <w:rPr>
          <w:rFonts w:ascii="Calibri" w:hAnsi="Calibri"/>
        </w:rPr>
        <w:t xml:space="preserve"> R,</w:t>
      </w:r>
      <w:r w:rsidRPr="00C00AF8">
        <w:rPr>
          <w:rFonts w:ascii="Calibri" w:hAnsi="Calibri"/>
        </w:rPr>
        <w:t xml:space="preserve"> </w:t>
      </w:r>
      <w:r w:rsidRPr="0002550C">
        <w:rPr>
          <w:rFonts w:ascii="Calibri" w:hAnsi="Calibri"/>
        </w:rPr>
        <w:t xml:space="preserve">Watson A, Malkov M, Costner P, Vijgen J </w:t>
      </w:r>
      <w:r w:rsidRPr="00C00AF8">
        <w:rPr>
          <w:rFonts w:ascii="Calibri" w:hAnsi="Calibri"/>
        </w:rPr>
        <w:t xml:space="preserve">(2011) Unintentionally produced hexachlorobenzene and pentachlorobenzene POPs waste from solvent production – the need to establish emission factors and inventories. </w:t>
      </w:r>
      <w:hyperlink r:id="rId8" w:history="1">
        <w:r w:rsidRPr="0002550C">
          <w:rPr>
            <w:rStyle w:val="Hyperlink"/>
            <w:rFonts w:ascii="Calibri" w:hAnsi="Calibri"/>
          </w:rPr>
          <w:t>Organohal</w:t>
        </w:r>
        <w:r>
          <w:rPr>
            <w:rStyle w:val="Hyperlink"/>
            <w:rFonts w:ascii="Calibri" w:hAnsi="Calibri"/>
          </w:rPr>
          <w:t>ogen</w:t>
        </w:r>
        <w:r w:rsidRPr="0002550C">
          <w:rPr>
            <w:rStyle w:val="Hyperlink"/>
            <w:rFonts w:ascii="Calibri" w:hAnsi="Calibri"/>
          </w:rPr>
          <w:t xml:space="preserve"> Comp</w:t>
        </w:r>
        <w:r>
          <w:rPr>
            <w:rStyle w:val="Hyperlink"/>
            <w:rFonts w:ascii="Calibri" w:hAnsi="Calibri"/>
          </w:rPr>
          <w:t>oun</w:t>
        </w:r>
        <w:r w:rsidRPr="0002550C">
          <w:rPr>
            <w:rStyle w:val="Hyperlink"/>
            <w:rFonts w:ascii="Calibri" w:hAnsi="Calibri"/>
          </w:rPr>
          <w:t>ds 73, 2205-2208</w:t>
        </w:r>
      </w:hyperlink>
      <w:r>
        <w:rPr>
          <w:rFonts w:ascii="Calibri" w:hAnsi="Calibri"/>
        </w:rPr>
        <w:t xml:space="preserve">. </w:t>
      </w:r>
    </w:p>
  </w:footnote>
  <w:footnote w:id="62">
    <w:p w:rsidR="00C0598F" w:rsidRPr="00C00AF8" w:rsidRDefault="00C0598F" w:rsidP="007E6B58">
      <w:pPr>
        <w:pStyle w:val="FootnoteText"/>
        <w:jc w:val="left"/>
        <w:rPr>
          <w:rFonts w:ascii="Calibri" w:hAnsi="Calibri"/>
        </w:rPr>
      </w:pPr>
      <w:r w:rsidRPr="00C00AF8">
        <w:rPr>
          <w:rStyle w:val="FootnoteReference"/>
          <w:rFonts w:ascii="Calibri" w:hAnsi="Calibri"/>
        </w:rPr>
        <w:footnoteRef/>
      </w:r>
      <w:r w:rsidRPr="00C00AF8">
        <w:rPr>
          <w:rFonts w:ascii="Calibri" w:hAnsi="Calibri"/>
        </w:rPr>
        <w:t xml:space="preserve"> The use of heptane is preferred compared to hexane (neurotoxic; should be substituted were feasible).</w:t>
      </w:r>
    </w:p>
  </w:footnote>
  <w:footnote w:id="63">
    <w:p w:rsidR="00C0598F" w:rsidRPr="00C00AF8" w:rsidRDefault="00C0598F" w:rsidP="0033045A">
      <w:pPr>
        <w:pStyle w:val="FootnoteText"/>
        <w:jc w:val="left"/>
        <w:rPr>
          <w:rFonts w:ascii="Calibri" w:hAnsi="Calibri"/>
        </w:rPr>
      </w:pPr>
      <w:r w:rsidRPr="00C00AF8">
        <w:rPr>
          <w:rStyle w:val="FootnoteReference"/>
          <w:rFonts w:ascii="Calibri" w:hAnsi="Calibri"/>
        </w:rPr>
        <w:footnoteRef/>
      </w:r>
      <w:r>
        <w:rPr>
          <w:rFonts w:ascii="Calibri" w:hAnsi="Calibri"/>
        </w:rPr>
        <w:t xml:space="preserve"> </w:t>
      </w:r>
      <w:hyperlink r:id="rId9" w:history="1">
        <w:r w:rsidRPr="0033045A">
          <w:rPr>
            <w:rStyle w:val="Hyperlink"/>
            <w:rFonts w:ascii="Calibri" w:hAnsi="Calibri"/>
          </w:rPr>
          <w:t>US EPA method 8290A</w:t>
        </w:r>
      </w:hyperlink>
    </w:p>
  </w:footnote>
  <w:footnote w:id="64">
    <w:p w:rsidR="00C0598F" w:rsidRPr="00C00AF8" w:rsidRDefault="00C0598F" w:rsidP="0033045A">
      <w:pPr>
        <w:pStyle w:val="FootnoteText"/>
        <w:rPr>
          <w:rFonts w:ascii="Calibri" w:hAnsi="Calibri"/>
        </w:rPr>
      </w:pPr>
      <w:r w:rsidRPr="00C00AF8">
        <w:rPr>
          <w:rStyle w:val="FootnoteReference"/>
          <w:rFonts w:ascii="Calibri" w:hAnsi="Calibri"/>
        </w:rPr>
        <w:footnoteRef/>
      </w:r>
      <w:r w:rsidRPr="00C00AF8">
        <w:rPr>
          <w:rFonts w:ascii="Calibri" w:hAnsi="Calibri"/>
        </w:rPr>
        <w:t xml:space="preserve"> Stockholm Convention (2012) Guidance for the control of the im</w:t>
      </w:r>
      <w:r>
        <w:rPr>
          <w:rFonts w:ascii="Lucida Sans" w:hAnsi="Lucida Sans"/>
        </w:rPr>
        <w:t>port and export of POPs (Draft).</w:t>
      </w:r>
    </w:p>
  </w:footnote>
  <w:footnote w:id="65">
    <w:p w:rsidR="00C0598F" w:rsidRPr="00C00AF8" w:rsidRDefault="00C0598F" w:rsidP="002A5ACF">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CAS: 4151-50-2; N-ethyl-1,1,2,2,3,3,4,4,5,5,6,6,7,7,8,8,8-heptadecafluoro-1-octanesulfonamide</w:t>
      </w:r>
    </w:p>
  </w:footnote>
  <w:footnote w:id="66">
    <w:p w:rsidR="00C0598F" w:rsidRPr="00C00AF8" w:rsidRDefault="00C0598F" w:rsidP="002A5ACF">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Guidance on labelling of products or articles that contain new POPs or use new POPs during manufacture – initial considerations.</w:t>
      </w:r>
    </w:p>
  </w:footnote>
  <w:footnote w:id="67">
    <w:p w:rsidR="00C0598F" w:rsidRPr="002A5ACF" w:rsidRDefault="00C0598F" w:rsidP="002A5ACF">
      <w:pPr>
        <w:pStyle w:val="FootnoteText"/>
        <w:ind w:left="142" w:hanging="142"/>
        <w:rPr>
          <w:rFonts w:ascii="Calibri" w:hAnsi="Calibri"/>
        </w:rPr>
      </w:pPr>
      <w:r w:rsidRPr="002A5ACF">
        <w:rPr>
          <w:rStyle w:val="FootnoteReference"/>
          <w:rFonts w:ascii="Calibri" w:hAnsi="Calibri"/>
        </w:rPr>
        <w:footnoteRef/>
      </w:r>
      <w:r w:rsidRPr="002A5ACF">
        <w:rPr>
          <w:rFonts w:ascii="Calibri" w:hAnsi="Calibri"/>
        </w:rPr>
        <w:t xml:space="preserve"> Trier X, Granby K, Christensen JH (2011a) Polyfluorinated surfactants (PFS) in paper and board coatings for food packaging, Environ. Sci. Pollut. Res. 18, 1108-1120.</w:t>
      </w:r>
    </w:p>
  </w:footnote>
  <w:footnote w:id="68">
    <w:p w:rsidR="00C0598F" w:rsidRPr="00C00AF8" w:rsidRDefault="00C0598F" w:rsidP="002A5ACF">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In 2002, 3M ended PFOS production.</w:t>
      </w:r>
    </w:p>
  </w:footnote>
  <w:footnote w:id="69">
    <w:p w:rsidR="00C0598F" w:rsidRPr="00C00AF8" w:rsidRDefault="00C0598F" w:rsidP="002A5ACF">
      <w:pPr>
        <w:pStyle w:val="FootnoteText"/>
        <w:ind w:left="142" w:hanging="142"/>
        <w:jc w:val="left"/>
        <w:rPr>
          <w:rFonts w:ascii="Calibri" w:hAnsi="Calibri"/>
        </w:rPr>
      </w:pPr>
      <w:r w:rsidRPr="00C00AF8">
        <w:rPr>
          <w:rStyle w:val="FootnoteReference"/>
          <w:rFonts w:ascii="Calibri" w:hAnsi="Calibri"/>
        </w:rPr>
        <w:footnoteRef/>
      </w:r>
      <w:r w:rsidRPr="002A5ACF">
        <w:rPr>
          <w:rFonts w:ascii="Calibri" w:hAnsi="Calibri"/>
        </w:rPr>
        <w:t xml:space="preserve"> Paul AG, Jones KC, Sweetman AJ </w:t>
      </w:r>
      <w:r w:rsidRPr="00C00AF8">
        <w:rPr>
          <w:rFonts w:ascii="Calibri" w:hAnsi="Calibri"/>
        </w:rPr>
        <w:t xml:space="preserve">(2009) A First Global Production, Emission, And Environmental Inventory for Perfluorooctane Sulfonate. </w:t>
      </w:r>
      <w:r w:rsidRPr="002A5ACF">
        <w:rPr>
          <w:rFonts w:ascii="Calibri" w:hAnsi="Calibri"/>
        </w:rPr>
        <w:t>Environ Sci Technol</w:t>
      </w:r>
      <w:r>
        <w:rPr>
          <w:rFonts w:ascii="Calibri" w:hAnsi="Calibri"/>
        </w:rPr>
        <w:t>.</w:t>
      </w:r>
      <w:r w:rsidRPr="00C00AF8">
        <w:rPr>
          <w:rFonts w:ascii="Calibri" w:hAnsi="Calibri"/>
        </w:rPr>
        <w:t xml:space="preserve"> 43, 386-392.</w:t>
      </w:r>
    </w:p>
  </w:footnote>
  <w:footnote w:id="70">
    <w:p w:rsidR="00C0598F" w:rsidRPr="002A5ACF" w:rsidRDefault="00C0598F" w:rsidP="002A5ACF">
      <w:pPr>
        <w:pStyle w:val="FootnoteText"/>
        <w:ind w:left="142" w:hanging="142"/>
        <w:jc w:val="left"/>
        <w:rPr>
          <w:rFonts w:ascii="Calibri" w:hAnsi="Calibri"/>
          <w:lang w:val="fr-FR"/>
        </w:rPr>
      </w:pPr>
      <w:r w:rsidRPr="00C00AF8">
        <w:rPr>
          <w:rStyle w:val="FootnoteReference"/>
          <w:rFonts w:ascii="Calibri" w:hAnsi="Calibri"/>
        </w:rPr>
        <w:footnoteRef/>
      </w:r>
      <w:r w:rsidRPr="00C00AF8">
        <w:rPr>
          <w:rFonts w:ascii="Calibri" w:hAnsi="Calibri"/>
        </w:rPr>
        <w:t xml:space="preserve"> Oliaei F, Kriens D, Weber R. Watson A (2012) Assessment of PFOS and PFC pollution from a PFC production plant in Minnesota (USA</w:t>
      </w:r>
      <w:r>
        <w:rPr>
          <w:rFonts w:ascii="Calibri" w:hAnsi="Calibri"/>
        </w:rPr>
        <w:t>).</w:t>
      </w:r>
      <w:r w:rsidRPr="00C00AF8">
        <w:rPr>
          <w:rFonts w:ascii="Calibri" w:hAnsi="Calibri"/>
        </w:rPr>
        <w:t xml:space="preserve"> </w:t>
      </w:r>
      <w:r w:rsidRPr="002A5ACF">
        <w:rPr>
          <w:rFonts w:ascii="Calibri" w:hAnsi="Calibri"/>
          <w:lang w:val="fr-FR"/>
        </w:rPr>
        <w:t xml:space="preserve">Environ Sci Pollut Res Int. </w:t>
      </w:r>
      <w:hyperlink r:id="rId10" w:history="1">
        <w:r w:rsidRPr="002A5ACF">
          <w:rPr>
            <w:rStyle w:val="Hyperlink"/>
            <w:rFonts w:ascii="Calibri" w:hAnsi="Calibri"/>
            <w:lang w:val="fr-FR"/>
          </w:rPr>
          <w:t>DOI 10.1007/s11356-012-1275-4</w:t>
        </w:r>
      </w:hyperlink>
      <w:r w:rsidRPr="002A5ACF">
        <w:rPr>
          <w:rFonts w:ascii="Calibri" w:hAnsi="Calibri"/>
          <w:lang w:val="fr-FR"/>
        </w:rPr>
        <w:t>.</w:t>
      </w:r>
    </w:p>
    <w:p w:rsidR="00C0598F" w:rsidRPr="00C00AF8" w:rsidRDefault="00C0598F" w:rsidP="002A5ACF">
      <w:pPr>
        <w:pStyle w:val="FootnoteText"/>
        <w:ind w:left="142" w:hanging="142"/>
        <w:jc w:val="left"/>
        <w:rPr>
          <w:rFonts w:ascii="Calibri" w:hAnsi="Calibri"/>
          <w:lang w:val="en-US"/>
        </w:rPr>
      </w:pPr>
      <w:r w:rsidRPr="00C00AF8">
        <w:rPr>
          <w:rFonts w:ascii="Calibri" w:hAnsi="Calibri"/>
        </w:rPr>
        <w:t xml:space="preserve">Oliaei F, Kriens D, Weber R. (2010) Discovery and investigation of PFOS/PFCs contamination from a PFC manufacturing facility in Minnesota – environmental releases and exposure risks. Organohalogen Compounds 72, 1338-1341. </w:t>
      </w:r>
      <w:hyperlink r:id="rId11" w:history="1">
        <w:r w:rsidRPr="00C00AF8">
          <w:rPr>
            <w:rStyle w:val="Hyperlink"/>
            <w:rFonts w:ascii="Calibri" w:hAnsi="Calibri"/>
          </w:rPr>
          <w:t>http://www.dioxin20xx.org/pdfs/2010/10-1507.pdf</w:t>
        </w:r>
      </w:hyperlink>
    </w:p>
    <w:p w:rsidR="00C0598F" w:rsidRPr="00C00AF8" w:rsidRDefault="00C0598F" w:rsidP="002A5ACF">
      <w:pPr>
        <w:pStyle w:val="FootnoteText"/>
        <w:ind w:left="142" w:hanging="142"/>
        <w:jc w:val="left"/>
        <w:rPr>
          <w:rFonts w:ascii="Calibri" w:hAnsi="Calibri"/>
        </w:rPr>
      </w:pPr>
      <w:r w:rsidRPr="00C00AF8">
        <w:rPr>
          <w:rFonts w:ascii="Calibri" w:hAnsi="Calibri"/>
          <w:lang w:val="en-US"/>
        </w:rPr>
        <w:t>Oliaei F, Kriens D, Weber R. Watson A (2012) Assessment of PFOS and PFC pollution from a PFC production plant in Minnesota (USA</w:t>
      </w:r>
      <w:r>
        <w:rPr>
          <w:rFonts w:ascii="Calibri" w:hAnsi="Calibri"/>
          <w:lang w:val="en-US"/>
        </w:rPr>
        <w:t>).</w:t>
      </w:r>
      <w:r w:rsidRPr="00C00AF8">
        <w:rPr>
          <w:rFonts w:ascii="Calibri" w:hAnsi="Calibri"/>
          <w:lang w:val="en-US"/>
        </w:rPr>
        <w:t xml:space="preserve"> </w:t>
      </w:r>
      <w:r w:rsidRPr="002A5ACF">
        <w:rPr>
          <w:rFonts w:ascii="Calibri" w:hAnsi="Calibri"/>
          <w:lang w:val="en-US"/>
        </w:rPr>
        <w:t xml:space="preserve">Environ Sci Pollut Res Int. </w:t>
      </w:r>
      <w:hyperlink r:id="rId12" w:history="1">
        <w:r w:rsidRPr="002A5ACF">
          <w:rPr>
            <w:rStyle w:val="Hyperlink"/>
            <w:rFonts w:ascii="Calibri" w:hAnsi="Calibri"/>
            <w:lang w:val="en-US"/>
          </w:rPr>
          <w:t>DOI 10.1007/s11356-012-1275-4</w:t>
        </w:r>
      </w:hyperlink>
      <w:r w:rsidRPr="00C00AF8">
        <w:rPr>
          <w:rFonts w:ascii="Calibri" w:hAnsi="Calibri"/>
          <w:lang w:val="en-US"/>
        </w:rPr>
        <w:t>.</w:t>
      </w:r>
    </w:p>
  </w:footnote>
  <w:footnote w:id="71">
    <w:p w:rsidR="00C0598F" w:rsidRPr="00C00AF8" w:rsidRDefault="00C0598F" w:rsidP="002A5ACF">
      <w:pPr>
        <w:ind w:left="142" w:hanging="142"/>
        <w:jc w:val="left"/>
      </w:pPr>
      <w:r w:rsidRPr="00C00AF8">
        <w:rPr>
          <w:rStyle w:val="FootnoteReference"/>
          <w:sz w:val="20"/>
          <w:szCs w:val="20"/>
        </w:rPr>
        <w:footnoteRef/>
      </w:r>
      <w:r w:rsidRPr="00C00AF8">
        <w:rPr>
          <w:sz w:val="20"/>
          <w:szCs w:val="20"/>
          <w:lang w:val="en-US"/>
        </w:rPr>
        <w:t xml:space="preserve"> USEPA </w:t>
      </w:r>
      <w:hyperlink r:id="rId13" w:history="1">
        <w:r w:rsidRPr="00C00AF8">
          <w:rPr>
            <w:rStyle w:val="Hyperlink"/>
            <w:sz w:val="20"/>
            <w:szCs w:val="20"/>
            <w:lang w:val="en-US"/>
          </w:rPr>
          <w:t>http://www.epa.gov/region4/water/PFCindex.html</w:t>
        </w:r>
      </w:hyperlink>
    </w:p>
  </w:footnote>
  <w:footnote w:id="72">
    <w:p w:rsidR="00C0598F" w:rsidRPr="002A5ACF" w:rsidRDefault="00C0598F" w:rsidP="002A5ACF">
      <w:pPr>
        <w:pStyle w:val="FootnoteText"/>
        <w:jc w:val="left"/>
        <w:rPr>
          <w:rFonts w:ascii="Calibri" w:hAnsi="Calibri"/>
        </w:rPr>
      </w:pPr>
      <w:r w:rsidRPr="00C00AF8">
        <w:rPr>
          <w:rStyle w:val="FootnoteReference"/>
          <w:rFonts w:ascii="Calibri" w:hAnsi="Calibri"/>
        </w:rPr>
        <w:footnoteRef/>
      </w:r>
      <w:r w:rsidRPr="00C00AF8">
        <w:rPr>
          <w:rFonts w:ascii="Calibri" w:hAnsi="Calibri"/>
        </w:rPr>
        <w:t xml:space="preserve"> Kröfges</w:t>
      </w:r>
      <w:r>
        <w:rPr>
          <w:rFonts w:ascii="Calibri" w:hAnsi="Calibri"/>
        </w:rPr>
        <w:t xml:space="preserve"> P,</w:t>
      </w:r>
      <w:r w:rsidRPr="00C00AF8">
        <w:rPr>
          <w:rFonts w:ascii="Calibri" w:hAnsi="Calibri"/>
        </w:rPr>
        <w:t xml:space="preserve"> </w:t>
      </w:r>
      <w:r w:rsidRPr="002A5ACF">
        <w:rPr>
          <w:rFonts w:ascii="Calibri" w:hAnsi="Calibri"/>
        </w:rPr>
        <w:t xml:space="preserve">Skutlarek D, Färber H, Baitinger C, Gödeke I, Weber R </w:t>
      </w:r>
      <w:r w:rsidRPr="00C00AF8">
        <w:rPr>
          <w:rFonts w:ascii="Calibri" w:hAnsi="Calibri"/>
        </w:rPr>
        <w:t xml:space="preserve">(2007) PFOS/PFOA Contaminated Megasites in Germany Polluting the Drinking water Supply of Millions of People. </w:t>
      </w:r>
      <w:hyperlink r:id="rId14" w:history="1">
        <w:r w:rsidRPr="002A5ACF">
          <w:rPr>
            <w:rStyle w:val="Hyperlink"/>
            <w:rFonts w:ascii="Calibri" w:hAnsi="Calibri"/>
          </w:rPr>
          <w:t>Organohalogen Compounds 69, 877-880</w:t>
        </w:r>
      </w:hyperlink>
      <w:r w:rsidRPr="002A5ACF">
        <w:rPr>
          <w:rFonts w:ascii="Calibri" w:hAnsi="Calibri"/>
        </w:rPr>
        <w:t xml:space="preserve">. </w:t>
      </w:r>
    </w:p>
  </w:footnote>
  <w:footnote w:id="73">
    <w:p w:rsidR="00C0598F" w:rsidRPr="00C00AF8" w:rsidRDefault="00C0598F" w:rsidP="00474223">
      <w:pPr>
        <w:pStyle w:val="FootnoteText"/>
        <w:jc w:val="left"/>
        <w:rPr>
          <w:rFonts w:ascii="Calibri" w:hAnsi="Calibri"/>
        </w:rPr>
      </w:pPr>
      <w:r w:rsidRPr="00C00AF8">
        <w:rPr>
          <w:rStyle w:val="FootnoteReference"/>
          <w:rFonts w:ascii="Calibri" w:hAnsi="Calibri"/>
        </w:rPr>
        <w:footnoteRef/>
      </w:r>
      <w:r w:rsidRPr="002A5ACF">
        <w:rPr>
          <w:rFonts w:ascii="Calibri" w:hAnsi="Calibri"/>
        </w:rPr>
        <w:t xml:space="preserve"> Düngemittelverordnung 16. December 2008 (BGBl. I S. 2524), last modified 23. </w:t>
      </w:r>
      <w:r w:rsidRPr="00C00AF8">
        <w:rPr>
          <w:rFonts w:ascii="Calibri" w:hAnsi="Calibri"/>
          <w:lang w:val="en-US"/>
        </w:rPr>
        <w:t>April 2012 (BGB</w:t>
      </w:r>
      <w:r>
        <w:rPr>
          <w:rFonts w:ascii="Calibri" w:hAnsi="Calibri"/>
          <w:lang w:val="en-US"/>
        </w:rPr>
        <w:t>l. I S. 611).</w:t>
      </w:r>
    </w:p>
  </w:footnote>
  <w:footnote w:id="74">
    <w:p w:rsidR="00C0598F" w:rsidRPr="00C00AF8" w:rsidRDefault="00C0598F" w:rsidP="002A5ACF">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Production of HBB stopped in 1976 and it is therefore not considered for the regular monitoring of articles.</w:t>
      </w:r>
    </w:p>
  </w:footnote>
  <w:footnote w:id="75">
    <w:p w:rsidR="00C0598F" w:rsidRPr="002A5ACF" w:rsidRDefault="00C0598F" w:rsidP="002A5ACF">
      <w:pPr>
        <w:pStyle w:val="FootnoteText"/>
        <w:ind w:left="142" w:hanging="142"/>
        <w:jc w:val="left"/>
        <w:rPr>
          <w:rFonts w:ascii="Calibri" w:hAnsi="Calibri"/>
        </w:rPr>
      </w:pPr>
      <w:r w:rsidRPr="002A5ACF">
        <w:rPr>
          <w:rStyle w:val="FootnoteReference"/>
          <w:rFonts w:ascii="Calibri" w:hAnsi="Calibri"/>
        </w:rPr>
        <w:footnoteRef/>
      </w:r>
      <w:r w:rsidRPr="002A5ACF">
        <w:rPr>
          <w:rFonts w:ascii="Calibri" w:hAnsi="Calibri"/>
        </w:rPr>
        <w:t xml:space="preserve"> See </w:t>
      </w:r>
      <w:r w:rsidRPr="002A5ACF">
        <w:rPr>
          <w:rFonts w:ascii="Calibri" w:hAnsi="Calibri"/>
          <w:lang w:eastAsia="zh-CN"/>
        </w:rPr>
        <w:t xml:space="preserve">Section 4 of </w:t>
      </w:r>
      <w:r w:rsidRPr="002A5ACF">
        <w:rPr>
          <w:rFonts w:ascii="Calibri" w:hAnsi="Calibri"/>
        </w:rPr>
        <w:t>Guidance for the inventory of PBDEs listed under the Stockholm Convention (Draft)</w:t>
      </w:r>
      <w:r w:rsidRPr="002A5ACF">
        <w:rPr>
          <w:rFonts w:ascii="Calibri" w:hAnsi="Calibri"/>
          <w:lang w:eastAsia="zh-CN"/>
        </w:rPr>
        <w:t>.</w:t>
      </w:r>
    </w:p>
  </w:footnote>
  <w:footnote w:id="76">
    <w:p w:rsidR="00C0598F" w:rsidRPr="00C00AF8" w:rsidRDefault="00C0598F" w:rsidP="002A5ACF">
      <w:pPr>
        <w:spacing w:after="0"/>
        <w:ind w:left="142" w:hanging="142"/>
        <w:jc w:val="left"/>
      </w:pPr>
      <w:r w:rsidRPr="00C00AF8">
        <w:rPr>
          <w:rStyle w:val="FootnoteReference"/>
          <w:sz w:val="20"/>
          <w:szCs w:val="20"/>
        </w:rPr>
        <w:footnoteRef/>
      </w:r>
      <w:r w:rsidRPr="00C00AF8">
        <w:rPr>
          <w:sz w:val="20"/>
          <w:szCs w:val="20"/>
        </w:rPr>
        <w:t xml:space="preserve"> UNEP (2010) Technical review of the implications of recycling commercial penta and octabromodiphenyl ethers.  (</w:t>
      </w:r>
      <w:hyperlink r:id="rId15" w:history="1">
        <w:r w:rsidRPr="00C00AF8">
          <w:rPr>
            <w:rStyle w:val="Hyperlink"/>
            <w:sz w:val="20"/>
            <w:szCs w:val="20"/>
          </w:rPr>
          <w:t>UNEP/POPS/POPRC.6/2</w:t>
        </w:r>
      </w:hyperlink>
      <w:r w:rsidRPr="00C00AF8">
        <w:rPr>
          <w:sz w:val="20"/>
          <w:szCs w:val="20"/>
        </w:rPr>
        <w:t>)</w:t>
      </w:r>
    </w:p>
  </w:footnote>
  <w:footnote w:id="77">
    <w:p w:rsidR="00C0598F" w:rsidRPr="00C00AF8" w:rsidRDefault="00C0598F" w:rsidP="002A5ACF">
      <w:pPr>
        <w:spacing w:after="0"/>
        <w:ind w:left="142" w:hanging="142"/>
        <w:jc w:val="left"/>
      </w:pPr>
      <w:r w:rsidRPr="00C00AF8">
        <w:rPr>
          <w:rStyle w:val="FootnoteReference"/>
          <w:sz w:val="20"/>
          <w:szCs w:val="20"/>
        </w:rPr>
        <w:footnoteRef/>
      </w:r>
      <w:r w:rsidRPr="00C00AF8">
        <w:rPr>
          <w:sz w:val="20"/>
          <w:szCs w:val="20"/>
        </w:rPr>
        <w:t xml:space="preserve"> Examples include: Shi Jiazhuang Luchi Chemical Co., Ltd.; Yick-Vic Chemicals &amp; Pharmaceuticals (HK) Ltd; Weifang Sinobrom Imp &amp; Exp Corp.,Ltd.; Tianjin Chengyi International Trading Co., Ltd.; Dalian Jinbosheng Chemical Co., Ltd; Jia Xiang Industry Co.,Ltd; XiaoShuLin, HeBei District, TianJin; Shenyang Jiutongyuan Chemicals Co., Ltd; Shijiazhuang Hengsikai Chemical Imp&amp;Exp Co.,Ltd; and Shijiazhuang Kunli Chemical Co. Ltd; Zenith Chemicals Ltd. (HK).</w:t>
      </w:r>
    </w:p>
  </w:footnote>
  <w:footnote w:id="78">
    <w:p w:rsidR="00C0598F" w:rsidRPr="00C00AF8" w:rsidRDefault="00C0598F" w:rsidP="002A5ACF">
      <w:pPr>
        <w:pStyle w:val="FootnoteText"/>
        <w:ind w:left="142" w:hanging="142"/>
        <w:rPr>
          <w:rFonts w:ascii="Calibri" w:hAnsi="Calibri"/>
        </w:rPr>
      </w:pPr>
      <w:r w:rsidRPr="00C00AF8">
        <w:rPr>
          <w:rStyle w:val="FootnoteReference"/>
          <w:rFonts w:ascii="Calibri" w:hAnsi="Calibri"/>
        </w:rPr>
        <w:footnoteRef/>
      </w:r>
      <w:r w:rsidRPr="00C00AF8">
        <w:rPr>
          <w:rFonts w:ascii="Calibri" w:hAnsi="Calibri"/>
        </w:rPr>
        <w:t xml:space="preserve"> Stockholm Convention (2012) Guidance for the control of the import and export of POPs (Draft)</w:t>
      </w:r>
    </w:p>
  </w:footnote>
  <w:footnote w:id="79">
    <w:p w:rsidR="00C0598F" w:rsidRPr="00C00AF8" w:rsidRDefault="00C0598F" w:rsidP="002A5ACF">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Plastic in electronics produced from 2005 on can contain trace amount of c-OctaBDE from recycling of c-OctaBDE containing polymers.</w:t>
      </w:r>
    </w:p>
  </w:footnote>
  <w:footnote w:id="80">
    <w:p w:rsidR="00C0598F" w:rsidRPr="00C00AF8" w:rsidRDefault="00C0598F" w:rsidP="002A5ACF">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Basel Convention (2011) Technical guidelines on transboundary movements of e-waste, in particular regarding the distinction between waste and non-waste. 15. July 2011, UNEP/CHW.10/INF/5.</w:t>
      </w:r>
    </w:p>
  </w:footnote>
  <w:footnote w:id="81">
    <w:p w:rsidR="00C0598F" w:rsidRPr="00C00AF8" w:rsidRDefault="00C0598F" w:rsidP="002A5ACF">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Directive on the restriction of the use of certain hazardous substances in EEE 2002/95/EC</w:t>
      </w:r>
      <w:r>
        <w:rPr>
          <w:rFonts w:ascii="Calibri" w:hAnsi="Calibri"/>
        </w:rPr>
        <w:t>.</w:t>
      </w:r>
    </w:p>
  </w:footnote>
  <w:footnote w:id="82">
    <w:p w:rsidR="00C0598F" w:rsidRPr="00C00AF8" w:rsidRDefault="00C0598F" w:rsidP="00C0598F">
      <w:pPr>
        <w:pStyle w:val="FootnoteText"/>
        <w:ind w:left="142" w:hanging="142"/>
        <w:rPr>
          <w:rFonts w:ascii="Calibri" w:hAnsi="Calibri"/>
        </w:rPr>
      </w:pPr>
      <w:r w:rsidRPr="00C00AF8">
        <w:rPr>
          <w:rStyle w:val="FootnoteReference"/>
          <w:rFonts w:ascii="Calibri" w:hAnsi="Calibri"/>
        </w:rPr>
        <w:footnoteRef/>
      </w:r>
      <w:r w:rsidRPr="00C00AF8">
        <w:rPr>
          <w:rFonts w:ascii="Calibri" w:hAnsi="Calibri"/>
        </w:rPr>
        <w:t xml:space="preserve"> Plastic parts from vehicles are partly recycled and could have been used in new vehicles.</w:t>
      </w:r>
    </w:p>
  </w:footnote>
  <w:footnote w:id="83">
    <w:p w:rsidR="00C0598F" w:rsidRPr="00C00AF8" w:rsidRDefault="00C0598F" w:rsidP="00C0598F">
      <w:pPr>
        <w:spacing w:after="0"/>
        <w:ind w:left="142" w:hanging="142"/>
      </w:pPr>
      <w:r w:rsidRPr="00C00AF8">
        <w:rPr>
          <w:rStyle w:val="FootnoteReference"/>
          <w:sz w:val="20"/>
        </w:rPr>
        <w:footnoteRef/>
      </w:r>
      <w:r w:rsidRPr="00C00AF8">
        <w:rPr>
          <w:sz w:val="20"/>
        </w:rPr>
        <w:t xml:space="preserve"> Please note that Japanese and European car manufacturers have also produced within the US and therefore these cars produced in the US might contain POP-PBDEs until 2005.</w:t>
      </w:r>
    </w:p>
  </w:footnote>
  <w:footnote w:id="84">
    <w:p w:rsidR="00C0598F" w:rsidRPr="00C0598F" w:rsidRDefault="00C0598F" w:rsidP="00C0598F">
      <w:pPr>
        <w:pStyle w:val="FootnoteText"/>
        <w:ind w:left="142" w:hanging="142"/>
        <w:rPr>
          <w:rFonts w:ascii="Calibri" w:hAnsi="Calibri"/>
        </w:rPr>
      </w:pPr>
      <w:r w:rsidRPr="00C0598F">
        <w:rPr>
          <w:rStyle w:val="FootnoteReference"/>
          <w:rFonts w:ascii="Calibri" w:hAnsi="Calibri"/>
        </w:rPr>
        <w:footnoteRef/>
      </w:r>
      <w:r w:rsidRPr="00C0598F">
        <w:rPr>
          <w:rFonts w:ascii="Calibri" w:hAnsi="Calibri"/>
        </w:rPr>
        <w:t xml:space="preserve"> Shaw SD, Blum A, Weber R, Kannan K, Rich D, Lucas D, Koshland CP, Dobraca D, Hanson S,  Birnbaum LS. (2010) Halogenated Flame Retardants: Do the Fire Safety Benefits Justify the Risks? </w:t>
      </w:r>
      <w:hyperlink r:id="rId16" w:history="1">
        <w:r w:rsidRPr="00C0598F">
          <w:rPr>
            <w:rStyle w:val="Hyperlink"/>
            <w:rFonts w:ascii="Calibri" w:hAnsi="Calibri"/>
          </w:rPr>
          <w:t>Reviews on Environmental Health 25(4) 261-305</w:t>
        </w:r>
      </w:hyperlink>
      <w:r>
        <w:rPr>
          <w:rFonts w:ascii="Calibri" w:hAnsi="Calibri"/>
        </w:rPr>
        <w:t>.</w:t>
      </w:r>
    </w:p>
  </w:footnote>
  <w:footnote w:id="85">
    <w:p w:rsidR="00C0598F" w:rsidRPr="00C00AF8" w:rsidRDefault="00C0598F" w:rsidP="00EE0DB2">
      <w:r w:rsidRPr="00C00AF8">
        <w:rPr>
          <w:rStyle w:val="FootnoteReference"/>
          <w:sz w:val="20"/>
        </w:rPr>
        <w:footnoteRef/>
      </w:r>
      <w:r w:rsidRPr="00C00AF8">
        <w:rPr>
          <w:sz w:val="20"/>
        </w:rPr>
        <w:t xml:space="preserve"> C-DecaBDE and HBCDD are still used in the impregnation of textiles.</w:t>
      </w:r>
    </w:p>
  </w:footnote>
  <w:footnote w:id="86">
    <w:p w:rsidR="00C0598F" w:rsidRPr="002A5ACF" w:rsidRDefault="00C0598F" w:rsidP="002A5ACF">
      <w:pPr>
        <w:spacing w:after="0"/>
        <w:ind w:left="142" w:hanging="142"/>
        <w:jc w:val="left"/>
        <w:rPr>
          <w:sz w:val="20"/>
        </w:rPr>
      </w:pPr>
      <w:r w:rsidRPr="00C00AF8">
        <w:rPr>
          <w:rStyle w:val="FootnoteReference"/>
          <w:sz w:val="20"/>
        </w:rPr>
        <w:footnoteRef/>
      </w:r>
      <w:r w:rsidRPr="00C00AF8">
        <w:rPr>
          <w:sz w:val="20"/>
        </w:rPr>
        <w:t xml:space="preserve"> </w:t>
      </w:r>
      <w:r w:rsidRPr="002A5ACF">
        <w:rPr>
          <w:sz w:val="20"/>
        </w:rPr>
        <w:t xml:space="preserve">Liu W, Tao F, Zhang W, Li S, Zheng M </w:t>
      </w:r>
      <w:r w:rsidRPr="00C00AF8">
        <w:rPr>
          <w:sz w:val="20"/>
        </w:rPr>
        <w:t xml:space="preserve">(2011) Contamination and emission factors of PCDD/Fs, unintentional PCBs, HxCBz, PeCBz and polychlorophenols in chloranil in China. Chemosphere </w:t>
      </w:r>
      <w:r w:rsidRPr="002A5ACF">
        <w:rPr>
          <w:sz w:val="20"/>
        </w:rPr>
        <w:t>86</w:t>
      </w:r>
      <w:r>
        <w:rPr>
          <w:sz w:val="20"/>
        </w:rPr>
        <w:t xml:space="preserve">, </w:t>
      </w:r>
      <w:r w:rsidRPr="002A5ACF">
        <w:rPr>
          <w:sz w:val="20"/>
        </w:rPr>
        <w:t>248-</w:t>
      </w:r>
      <w:r>
        <w:rPr>
          <w:sz w:val="20"/>
        </w:rPr>
        <w:t>2</w:t>
      </w:r>
      <w:r w:rsidRPr="002A5ACF">
        <w:rPr>
          <w:sz w:val="20"/>
        </w:rPr>
        <w:t>51</w:t>
      </w:r>
      <w:r>
        <w:rPr>
          <w:sz w:val="20"/>
        </w:rPr>
        <w:t>.</w:t>
      </w:r>
    </w:p>
  </w:footnote>
  <w:footnote w:id="87">
    <w:p w:rsidR="00C0598F" w:rsidRPr="00C00AF8" w:rsidRDefault="00C0598F" w:rsidP="002A5ACF">
      <w:pPr>
        <w:pStyle w:val="FootnoteText"/>
        <w:ind w:left="142" w:hanging="142"/>
        <w:rPr>
          <w:rFonts w:ascii="Calibri" w:hAnsi="Calibri"/>
        </w:rPr>
      </w:pPr>
      <w:r w:rsidRPr="00C00AF8">
        <w:rPr>
          <w:rStyle w:val="FootnoteReference"/>
          <w:rFonts w:ascii="Calibri" w:hAnsi="Calibri"/>
        </w:rPr>
        <w:footnoteRef/>
      </w:r>
      <w:r w:rsidRPr="00C00AF8">
        <w:rPr>
          <w:rFonts w:ascii="Calibri" w:hAnsi="Calibri"/>
        </w:rPr>
        <w:t xml:space="preserve"> Stockholm Convention (2012) Guidance for the control of the import and export of POPs (Draft)</w:t>
      </w:r>
      <w:r>
        <w:rPr>
          <w:rFonts w:ascii="Calibri" w:hAnsi="Calibri"/>
        </w:rPr>
        <w:t>.</w:t>
      </w:r>
    </w:p>
  </w:footnote>
  <w:footnote w:id="88">
    <w:p w:rsidR="00C0598F" w:rsidRPr="00C00AF8" w:rsidRDefault="00C0598F" w:rsidP="002A5ACF">
      <w:pPr>
        <w:spacing w:after="0"/>
        <w:ind w:left="142" w:hanging="142"/>
        <w:jc w:val="left"/>
      </w:pPr>
      <w:r w:rsidRPr="00C00AF8">
        <w:rPr>
          <w:rStyle w:val="FootnoteReference"/>
          <w:sz w:val="20"/>
        </w:rPr>
        <w:footnoteRef/>
      </w:r>
      <w:r w:rsidRPr="00C00AF8">
        <w:rPr>
          <w:sz w:val="20"/>
        </w:rPr>
        <w:t xml:space="preserve"> Tobin P (1986) Known and potential sources of hexachlorobenzene. In: Morris, C.R.; Cabral, J.R.P. Hexachlorobenzene: Proceedings of an International</w:t>
      </w:r>
      <w:r w:rsidRPr="00C00AF8">
        <w:rPr>
          <w:bCs/>
          <w:sz w:val="20"/>
        </w:rPr>
        <w:t xml:space="preserve"> </w:t>
      </w:r>
      <w:r w:rsidRPr="00C00AF8">
        <w:rPr>
          <w:sz w:val="20"/>
        </w:rPr>
        <w:t>Symposium. Lyon, IARC Sci. Publ. 77, 1-12.</w:t>
      </w:r>
    </w:p>
  </w:footnote>
  <w:footnote w:id="89">
    <w:p w:rsidR="00C0598F" w:rsidRPr="00C00AF8" w:rsidRDefault="00C0598F" w:rsidP="002A5ACF">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Government of Japan (2006) Assessment Committee on BAT Levels for Reduction of a Specified Chemical as a Contaminant By-product No</w:t>
      </w:r>
      <w:r>
        <w:rPr>
          <w:rFonts w:ascii="Calibri" w:hAnsi="Calibri"/>
        </w:rPr>
        <w:t>vember 2006. Submission to COP3.</w:t>
      </w:r>
    </w:p>
  </w:footnote>
  <w:footnote w:id="90">
    <w:p w:rsidR="00C0598F" w:rsidRPr="00C00AF8" w:rsidRDefault="00C0598F" w:rsidP="002A5ACF">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Government of Japan (2007) Assessment Committee on BAT Levels for Reduction of a Specified Chemical as a Contaminant By-product. April 2007</w:t>
      </w:r>
      <w:r>
        <w:rPr>
          <w:rFonts w:ascii="Calibri" w:hAnsi="Calibri"/>
        </w:rPr>
        <w:t>. Submission to COP3.</w:t>
      </w:r>
    </w:p>
  </w:footnote>
  <w:footnote w:id="91">
    <w:p w:rsidR="00C0598F" w:rsidRPr="00C00AF8" w:rsidRDefault="00C0598F" w:rsidP="002A5ACF">
      <w:pPr>
        <w:spacing w:after="0"/>
        <w:ind w:left="142" w:hanging="142"/>
        <w:jc w:val="left"/>
      </w:pPr>
      <w:r w:rsidRPr="00C00AF8">
        <w:rPr>
          <w:rStyle w:val="FootnoteReference"/>
          <w:sz w:val="20"/>
          <w:szCs w:val="20"/>
        </w:rPr>
        <w:footnoteRef/>
      </w:r>
      <w:r w:rsidRPr="00C00AF8">
        <w:rPr>
          <w:sz w:val="20"/>
          <w:szCs w:val="20"/>
        </w:rPr>
        <w:t xml:space="preserve"> Due to its stability, Pigment Green 7 is used in inks, coatings, and many plastics. In application, it is transparent. The pigment is insoluble and has no tendency to migrate in the material. It is a standard pigment used in printing ink and packaging industry. It is also allowed in cosmetics except those used around the eyes, and is used in some tattoos.</w:t>
      </w:r>
    </w:p>
  </w:footnote>
  <w:footnote w:id="92">
    <w:p w:rsidR="00C0598F" w:rsidRPr="00C00AF8" w:rsidRDefault="00C0598F" w:rsidP="002A5ACF">
      <w:pPr>
        <w:spacing w:after="0"/>
        <w:ind w:left="142" w:hanging="142"/>
        <w:jc w:val="left"/>
      </w:pPr>
      <w:r w:rsidRPr="00C00AF8">
        <w:rPr>
          <w:rStyle w:val="FootnoteReference"/>
          <w:sz w:val="20"/>
          <w:szCs w:val="20"/>
        </w:rPr>
        <w:footnoteRef/>
      </w:r>
      <w:r w:rsidRPr="00C00AF8">
        <w:rPr>
          <w:sz w:val="20"/>
          <w:szCs w:val="20"/>
        </w:rPr>
        <w:t xml:space="preserve"> UNEP (2010) Additional consideration of new persistent organic pollutants: pentachlorobenzene. Stockholm Convention document for 6th POP Reviewing Committee meeting (</w:t>
      </w:r>
      <w:hyperlink r:id="rId17" w:history="1">
        <w:r w:rsidRPr="00C00AF8">
          <w:rPr>
            <w:rStyle w:val="Hyperlink"/>
            <w:sz w:val="20"/>
            <w:szCs w:val="20"/>
          </w:rPr>
          <w:t>UNEP/POPS/POPRC.6/INF/21</w:t>
        </w:r>
      </w:hyperlink>
      <w:r w:rsidRPr="00C00AF8">
        <w:rPr>
          <w:sz w:val="20"/>
          <w:szCs w:val="20"/>
        </w:rPr>
        <w:t>) Geneva 11-15. October 2010.</w:t>
      </w:r>
    </w:p>
  </w:footnote>
  <w:footnote w:id="93">
    <w:p w:rsidR="00C0598F" w:rsidRPr="00591585" w:rsidRDefault="00C0598F" w:rsidP="002A5ACF">
      <w:pPr>
        <w:pStyle w:val="FootnoteText"/>
        <w:ind w:left="142" w:hanging="142"/>
        <w:jc w:val="left"/>
        <w:rPr>
          <w:rFonts w:ascii="Calibri" w:hAnsi="Calibri"/>
        </w:rPr>
      </w:pPr>
      <w:r w:rsidRPr="00591585">
        <w:rPr>
          <w:rStyle w:val="FootnoteReference"/>
          <w:rFonts w:ascii="Calibri" w:hAnsi="Calibri"/>
        </w:rPr>
        <w:footnoteRef/>
      </w:r>
      <w:r w:rsidRPr="00591585">
        <w:rPr>
          <w:rFonts w:ascii="Calibri" w:hAnsi="Calibri"/>
        </w:rPr>
        <w:t xml:space="preserve"> UNEP, OCHA, and EU Commission (2010) A Joint United Nations – European Commission Environmental Emergency Response Mission: Technical Scoping Mission Kalush Area, Ukraine March 2010.</w:t>
      </w:r>
    </w:p>
  </w:footnote>
  <w:footnote w:id="94">
    <w:p w:rsidR="00C0598F" w:rsidRPr="00591585" w:rsidRDefault="00C0598F" w:rsidP="002A5ACF">
      <w:pPr>
        <w:pStyle w:val="FootnoteText"/>
        <w:ind w:left="142" w:hanging="142"/>
        <w:jc w:val="left"/>
        <w:rPr>
          <w:rFonts w:ascii="Calibri" w:hAnsi="Calibri"/>
        </w:rPr>
      </w:pPr>
      <w:r w:rsidRPr="00591585">
        <w:rPr>
          <w:rStyle w:val="FootnoteReference"/>
          <w:rFonts w:ascii="Calibri" w:hAnsi="Calibri"/>
        </w:rPr>
        <w:footnoteRef/>
      </w:r>
      <w:r w:rsidRPr="00591585">
        <w:rPr>
          <w:rFonts w:ascii="Calibri" w:hAnsi="Calibri"/>
        </w:rPr>
        <w:t xml:space="preserve"> Weber R, Watson A, Malkov M, Costner P, Vijgen J (2011) Unintentionally produced hexachlorobenzene and pentachlorobenzene POPs waste from solvent production – the need to establish emission factors and inventories. </w:t>
      </w:r>
      <w:hyperlink r:id="rId18" w:history="1">
        <w:r w:rsidRPr="00C214DA">
          <w:rPr>
            <w:rStyle w:val="Hyperlink"/>
            <w:rFonts w:ascii="Calibri" w:hAnsi="Calibri"/>
          </w:rPr>
          <w:t>Organohalogen Compounds 73, 2205-2208</w:t>
        </w:r>
      </w:hyperlink>
      <w:r w:rsidRPr="00591585">
        <w:rPr>
          <w:rFonts w:ascii="Calibri" w:hAnsi="Calibri"/>
        </w:rPr>
        <w:t xml:space="preserve">. </w:t>
      </w:r>
    </w:p>
  </w:footnote>
  <w:footnote w:id="95">
    <w:p w:rsidR="00C0598F" w:rsidRPr="00591585" w:rsidRDefault="00C0598F" w:rsidP="002A5ACF">
      <w:pPr>
        <w:pStyle w:val="FootnoteText"/>
        <w:ind w:left="142" w:hanging="142"/>
        <w:jc w:val="left"/>
        <w:rPr>
          <w:rFonts w:ascii="Calibri" w:hAnsi="Calibri"/>
        </w:rPr>
      </w:pPr>
      <w:r w:rsidRPr="00591585">
        <w:rPr>
          <w:rStyle w:val="FootnoteReference"/>
          <w:rFonts w:ascii="Calibri" w:hAnsi="Calibri"/>
        </w:rPr>
        <w:footnoteRef/>
      </w:r>
      <w:r w:rsidRPr="00591585">
        <w:rPr>
          <w:rFonts w:ascii="Calibri" w:hAnsi="Calibri"/>
        </w:rPr>
        <w:t>UNEP (2010) Additional consideration of new persistent organic pollutants: pentachlorobenzene. Stockholm Convention document for 6th POP Reviewing Committee meeting (UNEP/POPS/POPRC.6/INF/21) Geneva 11-15. October 2010.</w:t>
      </w:r>
    </w:p>
  </w:footnote>
  <w:footnote w:id="96">
    <w:p w:rsidR="00C0598F" w:rsidRPr="00591585" w:rsidRDefault="00C0598F" w:rsidP="002A5ACF">
      <w:pPr>
        <w:pStyle w:val="FootnoteText"/>
        <w:ind w:left="142" w:hanging="142"/>
        <w:jc w:val="left"/>
        <w:rPr>
          <w:rFonts w:ascii="Calibri" w:hAnsi="Calibri"/>
        </w:rPr>
      </w:pPr>
      <w:r w:rsidRPr="00591585">
        <w:rPr>
          <w:rStyle w:val="FootnoteReference"/>
          <w:rFonts w:ascii="Calibri" w:hAnsi="Calibri"/>
        </w:rPr>
        <w:footnoteRef/>
      </w:r>
      <w:r w:rsidRPr="00591585">
        <w:rPr>
          <w:rFonts w:ascii="Calibri" w:hAnsi="Calibri"/>
        </w:rPr>
        <w:t>Kuch B, Schneider C, Metzger JW, Weber R (2005) Hexabromobenzene and Pentabromophenol in German Sewage Sludge – Indication of Significant Comm</w:t>
      </w:r>
      <w:r>
        <w:rPr>
          <w:rFonts w:ascii="Calibri" w:hAnsi="Calibri"/>
        </w:rPr>
        <w:t xml:space="preserve">ercial Use. </w:t>
      </w:r>
      <w:hyperlink r:id="rId19" w:history="1">
        <w:r w:rsidRPr="00591585">
          <w:rPr>
            <w:rStyle w:val="Hyperlink"/>
            <w:rFonts w:ascii="Calibri" w:hAnsi="Calibri"/>
          </w:rPr>
          <w:t>Organohalogen Compdounds 67, 434-437</w:t>
        </w:r>
      </w:hyperlink>
      <w:r w:rsidRPr="00591585">
        <w:rPr>
          <w:rFonts w:ascii="Calibri" w:hAnsi="Calibri"/>
        </w:rPr>
        <w:t xml:space="preserve">. </w:t>
      </w:r>
    </w:p>
  </w:footnote>
  <w:footnote w:id="97">
    <w:p w:rsidR="00C0598F" w:rsidRPr="00591585" w:rsidRDefault="00C0598F" w:rsidP="002A5ACF">
      <w:pPr>
        <w:pStyle w:val="FootnoteText"/>
        <w:ind w:left="142" w:hanging="142"/>
        <w:jc w:val="left"/>
        <w:rPr>
          <w:rFonts w:ascii="Calibri" w:hAnsi="Calibri"/>
        </w:rPr>
      </w:pPr>
      <w:r w:rsidRPr="00591585">
        <w:rPr>
          <w:rStyle w:val="FootnoteReference"/>
          <w:rFonts w:ascii="Calibri" w:hAnsi="Calibri"/>
        </w:rPr>
        <w:footnoteRef/>
      </w:r>
      <w:r w:rsidRPr="00591585">
        <w:rPr>
          <w:rFonts w:ascii="Calibri" w:hAnsi="Calibri"/>
        </w:rPr>
        <w:t xml:space="preserve"> Fuentes MJ, Font R, Gomez-Rico MF, Molto J (2007) Multivariant statistical analysis of PCDD/FS in sewage sludges from different areas of the Valencian Community (Spain). Chemosphere 67, 1423–1433.</w:t>
      </w:r>
    </w:p>
  </w:footnote>
  <w:footnote w:id="98">
    <w:p w:rsidR="00C0598F" w:rsidRPr="00591585" w:rsidRDefault="00C0598F" w:rsidP="002A5ACF">
      <w:pPr>
        <w:pStyle w:val="FootnoteText"/>
        <w:ind w:left="142" w:hanging="142"/>
        <w:jc w:val="left"/>
        <w:rPr>
          <w:rFonts w:ascii="Calibri" w:hAnsi="Calibri"/>
        </w:rPr>
      </w:pPr>
      <w:r w:rsidRPr="00591585">
        <w:rPr>
          <w:rStyle w:val="FootnoteReference"/>
          <w:rFonts w:ascii="Calibri" w:hAnsi="Calibri"/>
        </w:rPr>
        <w:footnoteRef/>
      </w:r>
      <w:r w:rsidRPr="00591585">
        <w:rPr>
          <w:rFonts w:ascii="Calibri" w:hAnsi="Calibri"/>
        </w:rPr>
        <w:t xml:space="preserve"> UNEP Stockholm Convention (2012) ibidem, Weber et al. (2008) Dioxin- and POP-contaminated sites—contemporary and future relevance and challenges. Env Sci Pollut Res</w:t>
      </w:r>
      <w:r>
        <w:rPr>
          <w:rFonts w:ascii="Calibri" w:hAnsi="Calibri"/>
        </w:rPr>
        <w:t>.</w:t>
      </w:r>
      <w:r w:rsidRPr="00591585">
        <w:rPr>
          <w:rFonts w:ascii="Calibri" w:hAnsi="Calibri"/>
        </w:rPr>
        <w:t xml:space="preserve"> 15, 363-393.</w:t>
      </w:r>
    </w:p>
  </w:footnote>
  <w:footnote w:id="99">
    <w:p w:rsidR="00C0598F" w:rsidRPr="00591585" w:rsidRDefault="00C0598F" w:rsidP="002A5ACF">
      <w:pPr>
        <w:pStyle w:val="FootnoteText"/>
        <w:ind w:left="142" w:hanging="142"/>
        <w:jc w:val="left"/>
        <w:rPr>
          <w:rFonts w:ascii="Calibri" w:hAnsi="Calibri"/>
        </w:rPr>
      </w:pPr>
      <w:r w:rsidRPr="00591585">
        <w:rPr>
          <w:rStyle w:val="FootnoteReference"/>
          <w:rFonts w:ascii="Calibri" w:hAnsi="Calibri"/>
        </w:rPr>
        <w:footnoteRef/>
      </w:r>
      <w:r w:rsidRPr="00591585">
        <w:rPr>
          <w:rFonts w:ascii="Calibri" w:hAnsi="Calibri"/>
        </w:rPr>
        <w:t xml:space="preserve"> Birch GF, Harrington C, Symons RK, Hunt JW (2007) The source and distribution of </w:t>
      </w:r>
      <w:r>
        <w:rPr>
          <w:rFonts w:ascii="Calibri" w:hAnsi="Calibri"/>
        </w:rPr>
        <w:t xml:space="preserve">PCDDs </w:t>
      </w:r>
      <w:r w:rsidRPr="00591585">
        <w:rPr>
          <w:rFonts w:ascii="Calibri" w:hAnsi="Calibri"/>
        </w:rPr>
        <w:t xml:space="preserve">and </w:t>
      </w:r>
      <w:r>
        <w:rPr>
          <w:rFonts w:ascii="Calibri" w:hAnsi="Calibri"/>
        </w:rPr>
        <w:t>PCDF</w:t>
      </w:r>
      <w:r w:rsidRPr="00591585">
        <w:rPr>
          <w:rFonts w:ascii="Calibri" w:hAnsi="Calibri"/>
        </w:rPr>
        <w:t>s in sediments of Port Jackson, Australia. Marine Pollution Bulletin 54, 295-308.</w:t>
      </w:r>
    </w:p>
  </w:footnote>
  <w:footnote w:id="100">
    <w:p w:rsidR="00C0598F" w:rsidRPr="00591585" w:rsidRDefault="00C0598F" w:rsidP="002A5ACF">
      <w:pPr>
        <w:pStyle w:val="FootnoteText"/>
        <w:ind w:left="142" w:hanging="142"/>
        <w:jc w:val="left"/>
        <w:rPr>
          <w:rFonts w:ascii="Calibri" w:hAnsi="Calibri"/>
        </w:rPr>
      </w:pPr>
      <w:r w:rsidRPr="00591585">
        <w:rPr>
          <w:rStyle w:val="FootnoteReference"/>
          <w:rFonts w:ascii="Calibri" w:hAnsi="Calibri"/>
        </w:rPr>
        <w:footnoteRef/>
      </w:r>
      <w:r w:rsidRPr="00591585">
        <w:rPr>
          <w:rFonts w:ascii="Calibri" w:hAnsi="Calibri"/>
        </w:rPr>
        <w:t xml:space="preserve"> Assmuth T, Jalonen P (2005) Risks and management of dioxin-like compounds in Baltic Sea fish: An integrated assessment. </w:t>
      </w:r>
      <w:hyperlink r:id="rId20" w:history="1">
        <w:r w:rsidRPr="00C214DA">
          <w:rPr>
            <w:rStyle w:val="Hyperlink"/>
            <w:rFonts w:ascii="Calibri" w:hAnsi="Calibri"/>
          </w:rPr>
          <w:t>TemaNord 2005:568</w:t>
        </w:r>
      </w:hyperlink>
    </w:p>
  </w:footnote>
  <w:footnote w:id="101">
    <w:p w:rsidR="00C0598F" w:rsidRPr="00591585" w:rsidRDefault="00C0598F" w:rsidP="002A5ACF">
      <w:pPr>
        <w:pStyle w:val="FootnoteText"/>
        <w:ind w:left="142" w:hanging="142"/>
        <w:jc w:val="left"/>
        <w:rPr>
          <w:rFonts w:ascii="Calibri" w:hAnsi="Calibri"/>
        </w:rPr>
      </w:pPr>
      <w:r w:rsidRPr="00591585">
        <w:rPr>
          <w:rStyle w:val="FootnoteReference"/>
          <w:rFonts w:ascii="Calibri" w:hAnsi="Calibri"/>
        </w:rPr>
        <w:footnoteRef/>
      </w:r>
      <w:r w:rsidRPr="00591585">
        <w:rPr>
          <w:rFonts w:ascii="Calibri" w:hAnsi="Calibri"/>
        </w:rPr>
        <w:t xml:space="preserve"> Schulz AJ, Wiesmueller T, et al. (2005) Dioxin concentration in cows´ milk in dependence on feed and soil contamination. Proc. Soc. Nutr. Physiol., 14, 52; Schulz AJ, Wiesmueller T, et al.  (2005) Dioxin concentration in milk and tissues of cows and sheep related to feed and soil contamination. J. Anim. Physiol. Anim. Nutr. 89, 72-78; Kamphues et al. (2011) Organohalogen Compd. 73, 2040-2041.</w:t>
      </w:r>
    </w:p>
  </w:footnote>
  <w:footnote w:id="102">
    <w:p w:rsidR="00C0598F" w:rsidRPr="002A5ACF" w:rsidRDefault="00C0598F" w:rsidP="002A5ACF">
      <w:pPr>
        <w:pStyle w:val="FootnoteText"/>
        <w:ind w:left="142" w:hanging="142"/>
        <w:jc w:val="left"/>
        <w:rPr>
          <w:rFonts w:ascii="Calibri" w:hAnsi="Calibri"/>
        </w:rPr>
      </w:pPr>
      <w:r w:rsidRPr="002A5ACF">
        <w:rPr>
          <w:rStyle w:val="FootnoteReference"/>
          <w:rFonts w:ascii="Calibri" w:hAnsi="Calibri"/>
        </w:rPr>
        <w:footnoteRef/>
      </w:r>
      <w:r w:rsidRPr="002A5ACF">
        <w:rPr>
          <w:rFonts w:ascii="Calibri" w:hAnsi="Calibri"/>
        </w:rPr>
        <w:t xml:space="preserve"> Weber R, Watson A (2011) Assessment of the PCDD/PCDF Fingerprint of the Dioxin Food Scandal from Bio-Diesel in Germany and Possible PCDD/F Sources</w:t>
      </w:r>
      <w:r>
        <w:rPr>
          <w:rFonts w:ascii="Calibri" w:hAnsi="Calibri"/>
        </w:rPr>
        <w:t xml:space="preserve">. </w:t>
      </w:r>
      <w:hyperlink r:id="rId21" w:history="1">
        <w:r w:rsidRPr="002A5ACF">
          <w:rPr>
            <w:rStyle w:val="Hyperlink"/>
            <w:rFonts w:ascii="Calibri" w:hAnsi="Calibri"/>
          </w:rPr>
          <w:t>Organohalogen Compounds 73, 400-403</w:t>
        </w:r>
      </w:hyperlink>
      <w:r w:rsidRPr="002A5ACF">
        <w:rPr>
          <w:rFonts w:ascii="Calibri" w:hAnsi="Calibri"/>
        </w:rPr>
        <w:t xml:space="preserve">. </w:t>
      </w:r>
    </w:p>
  </w:footnote>
  <w:footnote w:id="103">
    <w:p w:rsidR="00C0598F" w:rsidRPr="002A5ACF" w:rsidRDefault="00C0598F" w:rsidP="002A5ACF">
      <w:pPr>
        <w:pStyle w:val="FootnoteText"/>
        <w:ind w:left="142" w:hanging="142"/>
        <w:jc w:val="left"/>
        <w:rPr>
          <w:rFonts w:ascii="Calibri" w:hAnsi="Calibri"/>
        </w:rPr>
      </w:pPr>
      <w:r w:rsidRPr="002A5ACF">
        <w:rPr>
          <w:rStyle w:val="FootnoteReference"/>
          <w:rFonts w:ascii="Calibri" w:hAnsi="Calibri"/>
        </w:rPr>
        <w:footnoteRef/>
      </w:r>
      <w:r w:rsidRPr="002A5ACF">
        <w:rPr>
          <w:rFonts w:ascii="Calibri" w:hAnsi="Calibri"/>
          <w:lang w:val="en-US"/>
        </w:rPr>
        <w:t xml:space="preserve"> Hussain A, Dashti B, Gevao B, Al-Wadi M, Brouwer A, Behnisch PA (2011) First Surveillance monitoring results of feed and food samples from markets in Kuwait from international origin for PCDD/PCDF/PCB-TEQ by DR CALUX. </w:t>
      </w:r>
      <w:hyperlink r:id="rId22" w:history="1">
        <w:r w:rsidRPr="002A5ACF">
          <w:rPr>
            <w:rStyle w:val="Hyperlink"/>
            <w:rFonts w:ascii="Calibri" w:hAnsi="Calibri"/>
            <w:lang w:val="en-US"/>
          </w:rPr>
          <w:t>Organohalogen Compounds 73, 2000-2003</w:t>
        </w:r>
      </w:hyperlink>
      <w:r>
        <w:rPr>
          <w:rFonts w:ascii="Calibri" w:hAnsi="Calibri"/>
          <w:lang w:val="en-US"/>
        </w:rPr>
        <w:t>.</w:t>
      </w:r>
    </w:p>
  </w:footnote>
  <w:footnote w:id="104">
    <w:p w:rsidR="00C0598F" w:rsidRPr="00C00AF8" w:rsidRDefault="00C0598F" w:rsidP="002A5ACF">
      <w:pPr>
        <w:pStyle w:val="FootnoteText"/>
        <w:ind w:left="142" w:hanging="142"/>
        <w:rPr>
          <w:rFonts w:ascii="Calibri" w:hAnsi="Calibri"/>
        </w:rPr>
      </w:pPr>
      <w:r w:rsidRPr="00C00AF8">
        <w:rPr>
          <w:rStyle w:val="FootnoteReference"/>
          <w:rFonts w:ascii="Calibri" w:hAnsi="Calibri"/>
        </w:rPr>
        <w:footnoteRef/>
      </w:r>
      <w:r w:rsidRPr="00C00AF8">
        <w:rPr>
          <w:rFonts w:ascii="Calibri" w:hAnsi="Calibri"/>
          <w:lang w:val="en-US"/>
        </w:rPr>
        <w:t xml:space="preserve">La Guardia MJ, Hale RC, Harvey E (2006) Detailed Polybrominated Diphenyl Ether (PBDE) Congener Composition of the Widely Used Penta-, Octa-, and Deca-PBDE Technical Flame-retardant Mixtures, Environ. </w:t>
      </w:r>
      <w:r>
        <w:rPr>
          <w:rFonts w:ascii="Calibri" w:hAnsi="Calibri"/>
        </w:rPr>
        <w:t>Sci. Technol. 40, 6247–6254.</w:t>
      </w:r>
      <w:r w:rsidRPr="00C00AF8">
        <w:rPr>
          <w:rFonts w:ascii="Calibri" w:hAnsi="Calibri"/>
        </w:rPr>
        <w:t xml:space="preserve"> </w:t>
      </w:r>
    </w:p>
  </w:footnote>
  <w:footnote w:id="105">
    <w:p w:rsidR="00C0598F" w:rsidRPr="00C00AF8" w:rsidRDefault="00C0598F" w:rsidP="002A5ACF">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The USEPA (2009) did a monitoring study on “</w:t>
      </w:r>
      <w:hyperlink r:id="rId23" w:history="1">
        <w:r w:rsidRPr="00C00AF8">
          <w:rPr>
            <w:rStyle w:val="Hyperlink"/>
            <w:rFonts w:ascii="Calibri" w:hAnsi="Calibri"/>
          </w:rPr>
          <w:t>Perfluorocarboxylic Acid Content in 116 Articles of Commerce</w:t>
        </w:r>
      </w:hyperlink>
      <w:r w:rsidRPr="00C00AF8">
        <w:rPr>
          <w:rFonts w:ascii="Calibri" w:hAnsi="Calibri"/>
        </w:rPr>
        <w:t>”. Since the study did not monitor for PFOS it is not described here.</w:t>
      </w:r>
    </w:p>
  </w:footnote>
  <w:footnote w:id="106">
    <w:p w:rsidR="00C0598F" w:rsidRPr="00C00AF8" w:rsidRDefault="00C0598F" w:rsidP="002A5ACF">
      <w:pPr>
        <w:pStyle w:val="FootnoteText"/>
        <w:ind w:left="142" w:hanging="142"/>
        <w:jc w:val="left"/>
        <w:rPr>
          <w:rFonts w:ascii="Calibri" w:eastAsia="Batang" w:hAnsi="Calibri" w:cs="Batang"/>
        </w:rPr>
      </w:pPr>
      <w:r w:rsidRPr="00C00AF8">
        <w:rPr>
          <w:rStyle w:val="FootnoteReference"/>
          <w:rFonts w:ascii="Calibri" w:hAnsi="Calibri"/>
        </w:rPr>
        <w:footnoteRef/>
      </w:r>
      <w:r w:rsidRPr="00C00AF8">
        <w:rPr>
          <w:rFonts w:ascii="Calibri" w:hAnsi="Calibri"/>
        </w:rPr>
        <w:t xml:space="preserve"> Herzke D, Posner S, Olsson E (2009) Survey, screening and analyses of PFCs in consumer products. TA</w:t>
      </w:r>
      <w:r w:rsidRPr="00C00AF8">
        <w:rPr>
          <w:rFonts w:ascii="Calibri" w:hAnsi="Calibri" w:cs="MS Mincho"/>
        </w:rPr>
        <w:t>‐</w:t>
      </w:r>
    </w:p>
    <w:p w:rsidR="00C0598F" w:rsidRPr="00C00AF8" w:rsidRDefault="00C0598F" w:rsidP="002A5ACF">
      <w:pPr>
        <w:pStyle w:val="FootnoteText"/>
        <w:ind w:left="142" w:hanging="142"/>
        <w:jc w:val="left"/>
        <w:rPr>
          <w:rFonts w:ascii="Calibri" w:hAnsi="Calibri"/>
        </w:rPr>
      </w:pPr>
      <w:r w:rsidRPr="00C00AF8">
        <w:rPr>
          <w:rFonts w:ascii="Calibri" w:hAnsi="Calibri"/>
        </w:rPr>
        <w:t xml:space="preserve">2578/2009; Swerea IVF Project report 09/47. </w:t>
      </w:r>
      <w:hyperlink r:id="rId24" w:history="1">
        <w:r w:rsidRPr="00C00AF8">
          <w:rPr>
            <w:rStyle w:val="Hyperlink"/>
            <w:rFonts w:ascii="Calibri" w:hAnsi="Calibri"/>
          </w:rPr>
          <w:t>http://www.klif.no/publikasjoner/2578/ta2578.pdf</w:t>
        </w:r>
      </w:hyperlink>
    </w:p>
  </w:footnote>
  <w:footnote w:id="107">
    <w:p w:rsidR="00C0598F" w:rsidRPr="00C00AF8" w:rsidRDefault="00C0598F" w:rsidP="002A5ACF">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Regulation EC No 552/2009 of 22 June 2009 amending Regulation (EC) No 1907/2006 of the European Parliament and of the Council on the Registration, Evaluation, Authorisation and Restriction of Chemicals (REACH) as regards Annex XVII , p.53</w:t>
      </w:r>
      <w:r>
        <w:rPr>
          <w:rFonts w:ascii="Calibri" w:hAnsi="Calibri"/>
        </w:rPr>
        <w:t>.</w:t>
      </w:r>
    </w:p>
  </w:footnote>
  <w:footnote w:id="108">
    <w:p w:rsidR="00C0598F" w:rsidRPr="00C00AF8" w:rsidRDefault="00C0598F" w:rsidP="002A5ACF">
      <w:pPr>
        <w:pStyle w:val="FootnoteText"/>
        <w:ind w:left="142" w:hanging="142"/>
        <w:rPr>
          <w:rFonts w:ascii="Calibri" w:hAnsi="Calibri"/>
        </w:rPr>
      </w:pPr>
      <w:r w:rsidRPr="00C00AF8">
        <w:rPr>
          <w:rStyle w:val="FootnoteReference"/>
          <w:rFonts w:ascii="Calibri" w:hAnsi="Calibri"/>
        </w:rPr>
        <w:footnoteRef/>
      </w:r>
      <w:r w:rsidRPr="00C00AF8">
        <w:rPr>
          <w:rFonts w:ascii="Calibri" w:hAnsi="Calibri"/>
        </w:rPr>
        <w:t xml:space="preserve">Schlummer M, Gruber L, Fengler R, Fiedler D, Wolz G (2011) How Poly- And Perfluoroalkyl Substances (PFAS) May Enter Our Food From Food Contact Materials (FCM). </w:t>
      </w:r>
      <w:hyperlink r:id="rId25" w:history="1">
        <w:r w:rsidRPr="002A5ACF">
          <w:rPr>
            <w:rStyle w:val="Hyperlink"/>
            <w:rFonts w:ascii="Calibri" w:hAnsi="Calibri"/>
          </w:rPr>
          <w:t>Perfood Newsletter, Issue 2</w:t>
        </w:r>
      </w:hyperlink>
      <w:r w:rsidRPr="00C00AF8">
        <w:rPr>
          <w:rFonts w:ascii="Calibri" w:hAnsi="Calibri"/>
        </w:rPr>
        <w:t>: November 2011</w:t>
      </w:r>
    </w:p>
  </w:footnote>
  <w:footnote w:id="109">
    <w:p w:rsidR="00C0598F" w:rsidRPr="00C00AF8" w:rsidRDefault="00C0598F" w:rsidP="002A5ACF">
      <w:pPr>
        <w:pStyle w:val="FootnoteText"/>
        <w:ind w:left="142" w:hanging="142"/>
        <w:rPr>
          <w:rFonts w:ascii="Calibri" w:hAnsi="Calibri"/>
        </w:rPr>
      </w:pPr>
      <w:r w:rsidRPr="00C00AF8">
        <w:rPr>
          <w:rStyle w:val="FootnoteReference"/>
          <w:rFonts w:ascii="Calibri" w:hAnsi="Calibri"/>
        </w:rPr>
        <w:footnoteRef/>
      </w:r>
      <w:r w:rsidRPr="00C00AF8">
        <w:rPr>
          <w:rFonts w:ascii="Calibri" w:hAnsi="Calibri"/>
        </w:rPr>
        <w:t xml:space="preserve"> Danish Veterinary and Food Administration (2012) Danish Technical University Report (not published).</w:t>
      </w:r>
    </w:p>
  </w:footnote>
  <w:footnote w:id="110">
    <w:p w:rsidR="00C0598F" w:rsidRPr="00C00AF8" w:rsidRDefault="00C0598F" w:rsidP="002A5ACF">
      <w:pPr>
        <w:pStyle w:val="FootnoteText"/>
        <w:ind w:left="142" w:hanging="142"/>
        <w:rPr>
          <w:rFonts w:ascii="Calibri" w:hAnsi="Calibri"/>
        </w:rPr>
      </w:pPr>
      <w:r w:rsidRPr="00C00AF8">
        <w:rPr>
          <w:rStyle w:val="FootnoteReference"/>
          <w:rFonts w:ascii="Calibri" w:hAnsi="Calibri"/>
        </w:rPr>
        <w:footnoteRef/>
      </w:r>
      <w:r w:rsidRPr="00C00AF8">
        <w:rPr>
          <w:rFonts w:ascii="Calibri" w:hAnsi="Calibri"/>
        </w:rPr>
        <w:t xml:space="preserve"> Danish Ministry of Environment (2008) Survey and environmental/health assessment of fluorinated substances in impregnated consumer products and impregnating agents. Survey of Chemical Substances in</w:t>
      </w:r>
      <w:r>
        <w:rPr>
          <w:rFonts w:ascii="Calibri" w:hAnsi="Calibri"/>
        </w:rPr>
        <w:t xml:space="preserve"> </w:t>
      </w:r>
      <w:r w:rsidRPr="00C00AF8">
        <w:rPr>
          <w:rFonts w:ascii="Calibri" w:hAnsi="Calibri"/>
        </w:rPr>
        <w:t xml:space="preserve">Consumer Products, No. 99, 2008. </w:t>
      </w:r>
    </w:p>
  </w:footnote>
  <w:footnote w:id="111">
    <w:p w:rsidR="00C0598F" w:rsidRPr="00C00AF8" w:rsidRDefault="00C0598F" w:rsidP="002A5ACF">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lang w:val="de-CH"/>
        </w:rPr>
        <w:t xml:space="preserve"> Wäger P, Schluep M, Müller E. 2010. </w:t>
      </w:r>
      <w:r w:rsidRPr="00C00AF8">
        <w:rPr>
          <w:rFonts w:ascii="Calibri" w:hAnsi="Calibri"/>
        </w:rPr>
        <w:t xml:space="preserve">RoHS substances in mixed plastics from Waste Electrical and Electronic Equipment. </w:t>
      </w:r>
      <w:hyperlink r:id="rId26" w:history="1">
        <w:r w:rsidRPr="002A5ACF">
          <w:rPr>
            <w:rStyle w:val="Hyperlink"/>
            <w:rFonts w:ascii="Calibri" w:hAnsi="Calibri"/>
          </w:rPr>
          <w:t>Final Report September 17, 2010</w:t>
        </w:r>
      </w:hyperlink>
      <w:r w:rsidRPr="00C00AF8">
        <w:rPr>
          <w:rFonts w:ascii="Calibri" w:hAnsi="Calibri"/>
        </w:rPr>
        <w:t xml:space="preserve">. </w:t>
      </w:r>
    </w:p>
  </w:footnote>
  <w:footnote w:id="112">
    <w:p w:rsidR="00C0598F" w:rsidRPr="00C00AF8" w:rsidRDefault="00C0598F" w:rsidP="002A5ACF">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lang w:val="de-CH"/>
        </w:rPr>
        <w:t xml:space="preserve"> Wäger P, Schluep M, Müller E. 2010. </w:t>
      </w:r>
      <w:r w:rsidRPr="00C00AF8">
        <w:rPr>
          <w:rFonts w:ascii="Calibri" w:hAnsi="Calibri"/>
        </w:rPr>
        <w:t xml:space="preserve">RoHS substances in mixed plastics from Waste Electrical and Electronic Equipment. </w:t>
      </w:r>
      <w:hyperlink r:id="rId27" w:history="1">
        <w:r w:rsidRPr="002A5ACF">
          <w:rPr>
            <w:rStyle w:val="Hyperlink"/>
            <w:rFonts w:ascii="Calibri" w:hAnsi="Calibri"/>
          </w:rPr>
          <w:t>Final Report September 17, 2010</w:t>
        </w:r>
      </w:hyperlink>
      <w:r w:rsidRPr="00C00AF8">
        <w:rPr>
          <w:rFonts w:ascii="Calibri" w:hAnsi="Calibri"/>
        </w:rPr>
        <w:t xml:space="preserve">. </w:t>
      </w:r>
    </w:p>
  </w:footnote>
  <w:footnote w:id="113">
    <w:p w:rsidR="00C0598F" w:rsidRPr="00C00AF8" w:rsidRDefault="00C0598F" w:rsidP="002A5ACF">
      <w:pPr>
        <w:spacing w:after="0"/>
        <w:ind w:left="142" w:hanging="142"/>
        <w:jc w:val="left"/>
      </w:pPr>
      <w:r w:rsidRPr="00C00AF8">
        <w:rPr>
          <w:rStyle w:val="FootnoteReference"/>
          <w:sz w:val="20"/>
        </w:rPr>
        <w:footnoteRef/>
      </w:r>
      <w:r w:rsidRPr="00C00AF8">
        <w:rPr>
          <w:sz w:val="20"/>
        </w:rPr>
        <w:t xml:space="preserve"> </w:t>
      </w:r>
      <w:r w:rsidRPr="00C00AF8">
        <w:rPr>
          <w:rFonts w:eastAsia="SimSun"/>
          <w:sz w:val="20"/>
          <w:lang w:eastAsia="zh-CN"/>
        </w:rPr>
        <w:t>Sindiku et al.</w:t>
      </w:r>
      <w:r w:rsidRPr="00C00AF8">
        <w:rPr>
          <w:sz w:val="20"/>
        </w:rPr>
        <w:t xml:space="preserve"> (2011) Screening E-waste plastic in Nigeria for BFR using XRF – towards a methodology for assessing POPs PBDE in Ewaste exports</w:t>
      </w:r>
      <w:r w:rsidRPr="00C00AF8">
        <w:rPr>
          <w:rFonts w:eastAsia="SimSun"/>
          <w:sz w:val="20"/>
          <w:lang w:eastAsia="zh-CN"/>
        </w:rPr>
        <w:t xml:space="preserve">. </w:t>
      </w:r>
      <w:hyperlink r:id="rId28" w:history="1">
        <w:r w:rsidRPr="002A5ACF">
          <w:rPr>
            <w:rStyle w:val="Hyperlink"/>
            <w:rFonts w:eastAsia="SimSun"/>
            <w:sz w:val="20"/>
            <w:lang w:eastAsia="zh-CN"/>
          </w:rPr>
          <w:t xml:space="preserve">Organohalogen Compounds 73. </w:t>
        </w:r>
        <w:r w:rsidRPr="002A5ACF">
          <w:rPr>
            <w:rStyle w:val="Hyperlink"/>
            <w:sz w:val="20"/>
            <w:lang w:val="en-US"/>
          </w:rPr>
          <w:t>785-788</w:t>
        </w:r>
      </w:hyperlink>
      <w:r>
        <w:rPr>
          <w:sz w:val="20"/>
          <w:lang w:val="en-US"/>
        </w:rPr>
        <w:t>.</w:t>
      </w:r>
    </w:p>
  </w:footnote>
  <w:footnote w:id="114">
    <w:p w:rsidR="00C0598F" w:rsidRPr="00C00AF8" w:rsidRDefault="00C0598F" w:rsidP="002A5ACF">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Sindiku O, Babayemi JO, Osibanjo O, Schlummer M, Schluep M, Weber R (2012) Assessing POP-PBDEs and BFRs in E-waste polymers in Nigeria. </w:t>
      </w:r>
      <w:hyperlink r:id="rId29" w:history="1">
        <w:r w:rsidRPr="00FC5C19">
          <w:rPr>
            <w:rStyle w:val="Hyperlink"/>
            <w:rFonts w:ascii="Calibri" w:hAnsi="Calibri"/>
          </w:rPr>
          <w:t>Organohalogen Compounds 74, 1320-1323</w:t>
        </w:r>
      </w:hyperlink>
      <w:r>
        <w:rPr>
          <w:rFonts w:ascii="Calibri" w:hAnsi="Calibri"/>
        </w:rPr>
        <w:t>.</w:t>
      </w:r>
    </w:p>
  </w:footnote>
  <w:footnote w:id="115">
    <w:p w:rsidR="00C0598F" w:rsidRPr="00C00AF8" w:rsidRDefault="00C0598F" w:rsidP="00FC5C19">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Ogungbuyi O, Nnorom IC, Osibanjo O, Schluep M (2012) Nigeria e-Waste Country Assessment. Basel Convention Coordinating Centre for Africa (BCCC-Nigeria) and Swiss EMPA, Ibadan,Nigeria and St.Gallen,</w:t>
      </w:r>
      <w:r>
        <w:rPr>
          <w:rFonts w:ascii="Calibri" w:hAnsi="Calibri"/>
        </w:rPr>
        <w:t xml:space="preserve"> </w:t>
      </w:r>
      <w:r w:rsidRPr="00C00AF8">
        <w:rPr>
          <w:rFonts w:ascii="Calibri" w:hAnsi="Calibri"/>
        </w:rPr>
        <w:t>Switzerland May 2012.</w:t>
      </w:r>
    </w:p>
  </w:footnote>
  <w:footnote w:id="116">
    <w:p w:rsidR="00C0598F" w:rsidRPr="00C00AF8" w:rsidRDefault="00C0598F" w:rsidP="00FC5C19">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Bantelmann E, Ammann A, Näf U, Tremp J. (2010) Brominated flame retardants in products: Results of the Swiss market survey 2008. BFR 2010, April 7-9, Kyoto, Japan </w:t>
      </w:r>
      <w:hyperlink r:id="rId30" w:history="1">
        <w:r w:rsidRPr="00C00AF8">
          <w:rPr>
            <w:rStyle w:val="Hyperlink"/>
            <w:rFonts w:ascii="Calibri" w:hAnsi="Calibri"/>
          </w:rPr>
          <w:t>http://www.bfr2010.com/abstract-download/2010/90004.pdf</w:t>
        </w:r>
      </w:hyperlink>
      <w:r>
        <w:rPr>
          <w:rFonts w:ascii="Calibri" w:hAnsi="Calibri"/>
        </w:rPr>
        <w:t>.</w:t>
      </w:r>
    </w:p>
  </w:footnote>
  <w:footnote w:id="117">
    <w:p w:rsidR="00C0598F" w:rsidRPr="00C00AF8" w:rsidRDefault="00C0598F" w:rsidP="00FC5C19">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Zennegg M (2011) Identification of "Novel” Brominated flame retardants in new products of the Swiss market. </w:t>
      </w:r>
      <w:hyperlink r:id="rId31" w:history="1">
        <w:r w:rsidRPr="00FC5C19">
          <w:rPr>
            <w:rStyle w:val="Hyperlink"/>
            <w:rFonts w:ascii="Calibri" w:hAnsi="Calibri"/>
          </w:rPr>
          <w:t>Organohalogen Compounds 73, 1238-1241</w:t>
        </w:r>
      </w:hyperlink>
      <w:r w:rsidRPr="00C00AF8">
        <w:rPr>
          <w:rFonts w:ascii="Calibri" w:hAnsi="Calibri"/>
        </w:rPr>
        <w:t xml:space="preserve">. </w:t>
      </w:r>
    </w:p>
  </w:footnote>
  <w:footnote w:id="118">
    <w:p w:rsidR="00C0598F" w:rsidRPr="00C00AF8" w:rsidRDefault="00C0598F" w:rsidP="00FC5C19">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w:t>
      </w:r>
      <w:r w:rsidRPr="00C00AF8">
        <w:rPr>
          <w:rFonts w:ascii="Calibri" w:hAnsi="Calibri"/>
          <w:lang w:eastAsia="zh-CN"/>
        </w:rPr>
        <w:t>DiGangi J, Strakova J, Watson A (2011) A Survey of PBDES in Recycled Carpet Padding</w:t>
      </w:r>
      <w:r w:rsidRPr="00C00AF8">
        <w:rPr>
          <w:rFonts w:ascii="Calibri" w:hAnsi="Calibri"/>
        </w:rPr>
        <w:t xml:space="preserve">. </w:t>
      </w:r>
      <w:hyperlink r:id="rId32" w:history="1">
        <w:r w:rsidRPr="00FC5C19">
          <w:rPr>
            <w:rStyle w:val="Hyperlink"/>
            <w:rFonts w:ascii="Calibri" w:hAnsi="Calibri"/>
            <w:lang w:eastAsia="zh-CN"/>
          </w:rPr>
          <w:t>Organohalogen Compounds 73, 2067-2070</w:t>
        </w:r>
      </w:hyperlink>
      <w:r>
        <w:rPr>
          <w:rFonts w:ascii="Calibri" w:hAnsi="Calibri"/>
          <w:lang w:eastAsia="zh-CN"/>
        </w:rPr>
        <w:t>.</w:t>
      </w:r>
    </w:p>
  </w:footnote>
  <w:footnote w:id="119">
    <w:p w:rsidR="00C0598F" w:rsidRPr="00C00AF8" w:rsidRDefault="00C0598F" w:rsidP="00FC5C19">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Stapleton MH, Klosterhaus S, Keller A, Ferguson PL, van Bergen S, Cooper E, Webster TF, Blum A (2011) Identification of Flame Retardants in Polyurethane Foam Collected from Baby Products. </w:t>
      </w:r>
      <w:hyperlink r:id="rId33" w:history="1">
        <w:r w:rsidRPr="00FC5C19">
          <w:rPr>
            <w:rStyle w:val="Hyperlink"/>
            <w:rFonts w:ascii="Calibri" w:hAnsi="Calibri"/>
          </w:rPr>
          <w:t>Env. Sci. Technol. 45. 5323-5331</w:t>
        </w:r>
      </w:hyperlink>
      <w:r>
        <w:rPr>
          <w:rFonts w:ascii="Calibri" w:hAnsi="Calibri"/>
        </w:rPr>
        <w:t>.</w:t>
      </w:r>
    </w:p>
  </w:footnote>
  <w:footnote w:id="120">
    <w:p w:rsidR="00C0598F" w:rsidRPr="00C00AF8" w:rsidRDefault="00C0598F" w:rsidP="00FC5C19">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With some uncertainties for the c-PentaBDE production in China which might have stopped later.</w:t>
      </w:r>
    </w:p>
  </w:footnote>
  <w:footnote w:id="121">
    <w:p w:rsidR="00C0598F" w:rsidRPr="00C00AF8" w:rsidRDefault="00C0598F" w:rsidP="00FC5C19">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Baby products containing </w:t>
      </w:r>
      <w:r>
        <w:rPr>
          <w:rFonts w:ascii="Calibri" w:hAnsi="Calibri"/>
        </w:rPr>
        <w:t>PUR</w:t>
      </w:r>
      <w:r w:rsidRPr="00C00AF8">
        <w:rPr>
          <w:rFonts w:ascii="Calibri" w:hAnsi="Calibri"/>
        </w:rPr>
        <w:t xml:space="preserve"> foam must meet California state furniture flammability standards, which likely affects the use of flame retardants in baby products throughout the U.S and possibly North America.</w:t>
      </w:r>
    </w:p>
  </w:footnote>
  <w:footnote w:id="122">
    <w:p w:rsidR="00C0598F" w:rsidRPr="00C00AF8" w:rsidRDefault="00C0598F" w:rsidP="00FC5C19">
      <w:pPr>
        <w:pStyle w:val="FootnoteText"/>
        <w:ind w:left="142" w:hanging="142"/>
        <w:jc w:val="left"/>
        <w:rPr>
          <w:rFonts w:ascii="Calibri" w:hAnsi="Calibri"/>
        </w:rPr>
      </w:pPr>
      <w:r w:rsidRPr="00C00AF8">
        <w:rPr>
          <w:rStyle w:val="FootnoteReference"/>
          <w:rFonts w:ascii="Calibri" w:hAnsi="Calibri"/>
        </w:rPr>
        <w:footnoteRef/>
      </w:r>
      <w:r>
        <w:rPr>
          <w:rFonts w:ascii="Calibri" w:hAnsi="Calibri"/>
        </w:rPr>
        <w:t xml:space="preserve"> Chen S-J, Ma Y</w:t>
      </w:r>
      <w:r w:rsidRPr="00C00AF8">
        <w:rPr>
          <w:rFonts w:ascii="Calibri" w:hAnsi="Calibri"/>
        </w:rPr>
        <w:t xml:space="preserve">-J, </w:t>
      </w:r>
      <w:r>
        <w:rPr>
          <w:rFonts w:ascii="Calibri" w:hAnsi="Calibri"/>
        </w:rPr>
        <w:t>Wang J, Chen D, Luo X-J, Mai B</w:t>
      </w:r>
      <w:r w:rsidRPr="00C00AF8">
        <w:rPr>
          <w:rFonts w:ascii="Calibri" w:hAnsi="Calibri"/>
        </w:rPr>
        <w:t xml:space="preserve">-X (2009) Brominated Flame Retardants in Children's Toys: Concentration, Composition, and Children's Exposure </w:t>
      </w:r>
      <w:r>
        <w:rPr>
          <w:rFonts w:ascii="Calibri" w:hAnsi="Calibri"/>
        </w:rPr>
        <w:t>&amp;</w:t>
      </w:r>
      <w:r w:rsidRPr="00C00AF8">
        <w:rPr>
          <w:rFonts w:ascii="Calibri" w:hAnsi="Calibri"/>
        </w:rPr>
        <w:t xml:space="preserve"> Risk Assessment. </w:t>
      </w:r>
      <w:r>
        <w:rPr>
          <w:rFonts w:ascii="Calibri" w:hAnsi="Calibri"/>
        </w:rPr>
        <w:t>Environ Sci Technol 43,</w:t>
      </w:r>
      <w:r w:rsidRPr="00C00AF8">
        <w:rPr>
          <w:rFonts w:ascii="Calibri" w:hAnsi="Calibri"/>
        </w:rPr>
        <w:t xml:space="preserve"> 4200- 4206</w:t>
      </w:r>
      <w:r>
        <w:rPr>
          <w:rFonts w:ascii="Calibri" w:hAnsi="Calibri"/>
        </w:rPr>
        <w:t>.</w:t>
      </w:r>
    </w:p>
  </w:footnote>
  <w:footnote w:id="123">
    <w:p w:rsidR="00C0598F" w:rsidRPr="00C00AF8" w:rsidRDefault="00C0598F" w:rsidP="00FC5C19">
      <w:pPr>
        <w:pStyle w:val="FootnoteText"/>
        <w:ind w:left="142" w:hanging="142"/>
        <w:rPr>
          <w:rFonts w:ascii="Calibri" w:hAnsi="Calibri"/>
        </w:rPr>
      </w:pPr>
      <w:r w:rsidRPr="00C00AF8">
        <w:rPr>
          <w:rStyle w:val="FootnoteReference"/>
          <w:rFonts w:ascii="Calibri" w:hAnsi="Calibri"/>
        </w:rPr>
        <w:footnoteRef/>
      </w:r>
      <w:r>
        <w:rPr>
          <w:rFonts w:ascii="Calibri" w:hAnsi="Calibri"/>
        </w:rPr>
        <w:t>Chen S-J, Ma Y-J</w:t>
      </w:r>
      <w:r w:rsidRPr="00C00AF8">
        <w:rPr>
          <w:rFonts w:ascii="Calibri" w:hAnsi="Calibri"/>
        </w:rPr>
        <w:t>,</w:t>
      </w:r>
      <w:r>
        <w:rPr>
          <w:rFonts w:ascii="Calibri" w:hAnsi="Calibri"/>
        </w:rPr>
        <w:t xml:space="preserve"> </w:t>
      </w:r>
      <w:r w:rsidRPr="00C00AF8">
        <w:rPr>
          <w:rFonts w:ascii="Calibri" w:hAnsi="Calibri"/>
        </w:rPr>
        <w:t>Wang J,Tian M,</w:t>
      </w:r>
      <w:r>
        <w:rPr>
          <w:rFonts w:ascii="Calibri" w:hAnsi="Calibri"/>
        </w:rPr>
        <w:t xml:space="preserve"> </w:t>
      </w:r>
      <w:r w:rsidRPr="00C00AF8">
        <w:rPr>
          <w:rFonts w:ascii="Calibri" w:hAnsi="Calibri"/>
        </w:rPr>
        <w:t>Luo</w:t>
      </w:r>
      <w:r>
        <w:rPr>
          <w:rFonts w:ascii="Calibri" w:hAnsi="Calibri"/>
        </w:rPr>
        <w:t xml:space="preserve"> X-J, Chen D, Mai B-X (2010)</w:t>
      </w:r>
      <w:r w:rsidRPr="00C00AF8">
        <w:rPr>
          <w:rFonts w:ascii="Calibri" w:hAnsi="Calibri"/>
        </w:rPr>
        <w:t xml:space="preserve"> Measurement and human exposure assessment of brominated flame retardants in household products from South China. </w:t>
      </w:r>
      <w:r w:rsidRPr="00FC5C19">
        <w:rPr>
          <w:rFonts w:ascii="Calibri" w:hAnsi="Calibri"/>
        </w:rPr>
        <w:t>J. Hazard. Mater.</w:t>
      </w:r>
      <w:r>
        <w:rPr>
          <w:rFonts w:ascii="Calibri" w:hAnsi="Calibri"/>
        </w:rPr>
        <w:t xml:space="preserve"> 176, </w:t>
      </w:r>
      <w:r w:rsidRPr="00C00AF8">
        <w:rPr>
          <w:rFonts w:ascii="Calibri" w:hAnsi="Calibri"/>
        </w:rPr>
        <w:t>979-984</w:t>
      </w:r>
      <w:r>
        <w:rPr>
          <w:rFonts w:ascii="Calibri" w:hAnsi="Calibri"/>
        </w:rPr>
        <w:t>.</w:t>
      </w:r>
    </w:p>
  </w:footnote>
  <w:footnote w:id="124">
    <w:p w:rsidR="00C0598F" w:rsidRPr="00C00AF8" w:rsidRDefault="00C0598F" w:rsidP="0026421F">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Liu W, Tao F, Zhang W, Li S, Zheng M, (2012) Contamination and emission factors of PCDD/Fs, unintentional PCBs, HxCBz, PeCBz and polychlorophenols in chloranil in China. Chemosphere 86, 248-251</w:t>
      </w:r>
      <w:r>
        <w:rPr>
          <w:rFonts w:ascii="Calibri" w:hAnsi="Calibri"/>
        </w:rPr>
        <w:t>.</w:t>
      </w:r>
    </w:p>
  </w:footnote>
  <w:footnote w:id="125">
    <w:p w:rsidR="00C0598F" w:rsidRPr="00C00AF8" w:rsidRDefault="00C0598F" w:rsidP="0026421F">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Government of Japan (2006) Assessment Committee on BAT Levels for Reduction of a Specified Chemical as a Contaminant By-product: Report on BAT Levels concerning By-product HCB in TCPA and Solvent Red 135. November 2006.</w:t>
      </w:r>
    </w:p>
  </w:footnote>
  <w:footnote w:id="126">
    <w:p w:rsidR="00C0598F" w:rsidRPr="00C00AF8" w:rsidRDefault="00C0598F" w:rsidP="0026421F">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Government of Japan (2007) Assessment Committee on BAT Levels for Reduction of a Specified Chemical as a Contaminant By-product: Report on BAT Levels concerning By-product HCB in Other Pigments Derived from TCPA and Phthalocyanine</w:t>
      </w:r>
      <w:r>
        <w:rPr>
          <w:rFonts w:ascii="Calibri" w:hAnsi="Calibri"/>
        </w:rPr>
        <w:t>.</w:t>
      </w:r>
    </w:p>
  </w:footnote>
  <w:footnote w:id="127">
    <w:p w:rsidR="00C0598F" w:rsidRPr="00C00AF8" w:rsidRDefault="00C0598F" w:rsidP="0026421F">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The dimethyl ester of tetrachlorophthalic acid is used as an herbicide, Dachtal.</w:t>
      </w:r>
    </w:p>
  </w:footnote>
  <w:footnote w:id="128">
    <w:p w:rsidR="00C0598F" w:rsidRPr="00C00AF8" w:rsidRDefault="00C0598F" w:rsidP="0026421F">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Huang J, Yu G, Deng S, Wang B, Wu C, Yamazaki N, Weber R (2012) Determination of PCDD/FS and dl-PCBs as impurities in Chinese pentachloronitrobenzene pesticides. O</w:t>
      </w:r>
      <w:r>
        <w:rPr>
          <w:rFonts w:ascii="Calibri" w:hAnsi="Calibri"/>
        </w:rPr>
        <w:t>r</w:t>
      </w:r>
      <w:r w:rsidRPr="00C00AF8">
        <w:rPr>
          <w:rFonts w:ascii="Calibri" w:hAnsi="Calibri"/>
        </w:rPr>
        <w:t>ganohalogen Compds 74</w:t>
      </w:r>
      <w:r>
        <w:rPr>
          <w:rFonts w:ascii="Calibri" w:hAnsi="Calibri"/>
        </w:rPr>
        <w:t>, 1429-1432</w:t>
      </w:r>
      <w:r w:rsidRPr="00C00AF8">
        <w:rPr>
          <w:rFonts w:ascii="Calibri" w:hAnsi="Calibri"/>
        </w:rPr>
        <w:t xml:space="preserve">. </w:t>
      </w:r>
    </w:p>
  </w:footnote>
  <w:footnote w:id="129">
    <w:p w:rsidR="00C0598F" w:rsidRPr="00C00AF8" w:rsidRDefault="00C0598F" w:rsidP="0026421F">
      <w:pPr>
        <w:pStyle w:val="FootnoteText"/>
        <w:ind w:left="142" w:hanging="142"/>
        <w:jc w:val="left"/>
        <w:rPr>
          <w:rFonts w:ascii="Calibri" w:hAnsi="Calibri"/>
        </w:rPr>
      </w:pPr>
      <w:r w:rsidRPr="00C00AF8">
        <w:rPr>
          <w:rStyle w:val="FootnoteReference"/>
          <w:rFonts w:ascii="Calibri" w:hAnsi="Calibri"/>
        </w:rPr>
        <w:footnoteRef/>
      </w:r>
      <w:r w:rsidRPr="00C00AF8">
        <w:rPr>
          <w:rFonts w:ascii="Calibri" w:hAnsi="Calibri"/>
        </w:rPr>
        <w:t xml:space="preserve"> Holt E, Weber R, Stevenson G, Gaus C (2010) Polychlorinated Dibenzo-p-Dioxins and Dibenzofurans (PCDD/Fs) Impurities in Pesticides: A Neglected Source of Contemporary Relev</w:t>
      </w:r>
      <w:r>
        <w:rPr>
          <w:rFonts w:ascii="Calibri" w:hAnsi="Calibri"/>
        </w:rPr>
        <w:t>ance. Environ. Sci. Technol. 44,</w:t>
      </w:r>
      <w:r w:rsidRPr="00C00AF8">
        <w:rPr>
          <w:rFonts w:ascii="Calibri" w:hAnsi="Calibri"/>
        </w:rPr>
        <w:t xml:space="preserve"> 5409–5415.</w:t>
      </w:r>
    </w:p>
  </w:footnote>
  <w:footnote w:id="130">
    <w:p w:rsidR="00C0598F" w:rsidRPr="0026421F" w:rsidRDefault="00C0598F" w:rsidP="0026421F">
      <w:pPr>
        <w:pStyle w:val="FootnoteText"/>
        <w:ind w:left="142" w:hanging="142"/>
        <w:rPr>
          <w:rFonts w:ascii="Calibri" w:hAnsi="Calibri"/>
        </w:rPr>
      </w:pPr>
      <w:r w:rsidRPr="00C00AF8">
        <w:rPr>
          <w:rStyle w:val="FootnoteReference"/>
          <w:rFonts w:ascii="Calibri" w:hAnsi="Calibri"/>
        </w:rPr>
        <w:footnoteRef/>
      </w:r>
      <w:r w:rsidRPr="00C00AF8">
        <w:rPr>
          <w:rFonts w:ascii="Calibri" w:hAnsi="Calibri"/>
        </w:rPr>
        <w:t xml:space="preserve"> Holt E, Weber R, Stevenson G, Gaus C (2010) Polychlorinated Dibenzo-p-Dioxins and Dibenzofurans (PCDD/Fs) Impurities in Pesticides: A Neglected Source of Contemporary Relevance. Environ. Sci. Technol. 44: </w:t>
      </w:r>
      <w:r w:rsidRPr="0026421F">
        <w:rPr>
          <w:rFonts w:ascii="Calibri" w:hAnsi="Calibri"/>
        </w:rPr>
        <w:t>5409–5415.</w:t>
      </w:r>
    </w:p>
  </w:footnote>
  <w:footnote w:id="131">
    <w:p w:rsidR="00C0598F" w:rsidRPr="0026421F" w:rsidRDefault="00C0598F" w:rsidP="0026421F">
      <w:pPr>
        <w:pStyle w:val="FootnoteText"/>
        <w:rPr>
          <w:rFonts w:ascii="Calibri" w:hAnsi="Calibri"/>
        </w:rPr>
      </w:pPr>
      <w:r w:rsidRPr="0026421F">
        <w:rPr>
          <w:rStyle w:val="FootnoteReference"/>
          <w:rFonts w:ascii="Calibri" w:hAnsi="Calibri"/>
        </w:rPr>
        <w:footnoteRef/>
      </w:r>
      <w:r w:rsidRPr="0026421F">
        <w:rPr>
          <w:rFonts w:ascii="Calibri" w:hAnsi="Calibri"/>
        </w:rPr>
        <w:t xml:space="preserve"> </w:t>
      </w:r>
      <w:r>
        <w:rPr>
          <w:rFonts w:ascii="Calibri" w:hAnsi="Calibri"/>
        </w:rPr>
        <w:t>Huang J, Yu G, Deng</w:t>
      </w:r>
      <w:r w:rsidRPr="0026421F">
        <w:rPr>
          <w:rFonts w:ascii="Calibri" w:hAnsi="Calibri"/>
        </w:rPr>
        <w:t xml:space="preserve"> S, Wan</w:t>
      </w:r>
      <w:r>
        <w:rPr>
          <w:rFonts w:ascii="Calibri" w:hAnsi="Calibri"/>
        </w:rPr>
        <w:t>g B, Wu C, Yamazaki N, Weber</w:t>
      </w:r>
      <w:r w:rsidRPr="0026421F">
        <w:rPr>
          <w:rFonts w:ascii="Calibri" w:hAnsi="Calibri"/>
        </w:rPr>
        <w:t xml:space="preserve"> R (2012) Determination of PCDD/Fs and DL-PCBs as impurities in Chinese pentachloronitrobenzene pesticides</w:t>
      </w:r>
      <w:r>
        <w:rPr>
          <w:rFonts w:ascii="Calibri" w:hAnsi="Calibri"/>
        </w:rPr>
        <w:t xml:space="preserve">. </w:t>
      </w:r>
      <w:hyperlink r:id="rId34" w:history="1">
        <w:r w:rsidRPr="0026421F">
          <w:rPr>
            <w:rStyle w:val="Hyperlink"/>
            <w:rFonts w:ascii="Calibri" w:hAnsi="Calibri"/>
          </w:rPr>
          <w:t>Organohalogen Compounds 74, 1429-1432</w:t>
        </w:r>
      </w:hyperlink>
      <w:r>
        <w:rPr>
          <w:rFonts w:ascii="Calibri" w:hAnsi="Calibri"/>
        </w:rPr>
        <w:t>.</w:t>
      </w:r>
    </w:p>
  </w:footnote>
  <w:footnote w:id="132">
    <w:p w:rsidR="00C0598F" w:rsidRPr="00C00AF8" w:rsidRDefault="00C0598F" w:rsidP="0026421F">
      <w:pPr>
        <w:pStyle w:val="FootnoteText"/>
        <w:ind w:left="142" w:hanging="142"/>
        <w:jc w:val="left"/>
        <w:rPr>
          <w:rFonts w:ascii="Calibri" w:hAnsi="Calibri"/>
        </w:rPr>
      </w:pPr>
      <w:r w:rsidRPr="0026421F">
        <w:rPr>
          <w:rStyle w:val="FootnoteReference"/>
          <w:rFonts w:ascii="Calibri" w:hAnsi="Calibri"/>
        </w:rPr>
        <w:footnoteRef/>
      </w:r>
      <w:r w:rsidRPr="0026421F">
        <w:rPr>
          <w:rFonts w:ascii="Calibri" w:hAnsi="Calibri"/>
        </w:rPr>
        <w:t xml:space="preserve"> UNEP (2010) Additional consideration of new persistent organic pollutants: pentachlorobenzene. Stockholm</w:t>
      </w:r>
      <w:r w:rsidRPr="00C00AF8">
        <w:rPr>
          <w:rFonts w:ascii="Calibri" w:hAnsi="Calibri"/>
        </w:rPr>
        <w:t xml:space="preserve"> Convention document for 6th POP Reviewing Committee meeting (UNEP/POPS/POPRC.6/INF/21) Geneva 11-15. October 2010.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98F" w:rsidRDefault="00322F03">
    <w:pPr>
      <w:pStyle w:val="Header"/>
    </w:pPr>
    <w:r w:rsidRPr="00322F03">
      <w:rPr>
        <w:noProof/>
        <w:lang w:val="de-DE" w:eastAsia="zh-C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822470" o:spid="_x0000_s2052" type="#_x0000_t136" style="position:absolute;left:0;text-align:left;margin-left:0;margin-top:0;width:392.55pt;height:235.5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Pr="00322F03">
      <w:rPr>
        <w:noProof/>
        <w:lang w:val="de-DE" w:eastAsia="zh-CN"/>
      </w:rPr>
      <w:pict>
        <v:shapetype id="_x0000_t202" coordsize="21600,21600" o:spt="202" path="m,l,21600r21600,l21600,xe">
          <v:stroke joinstyle="miter"/>
          <v:path gradientshapeok="t" o:connecttype="rect"/>
        </v:shapetype>
        <v:shape id="Text Box 1" o:spid="_x0000_s2050" type="#_x0000_t202" style="position:absolute;left:0;text-align:left;margin-left:0;margin-top:23.2pt;width:76.5pt;height:12.45pt;z-index:251656704;visibility:visible;mso-position-horizontal-relative:page;mso-position-vertical-relative:page;v-text-anchor:middle" o:allowincell="f" fillcolor="#4f81bd" stroked="f">
          <v:textbox style="mso-fit-shape-to-text:t" inset=",0,,0">
            <w:txbxContent>
              <w:p w:rsidR="00C0598F" w:rsidRPr="00DE2B58" w:rsidRDefault="00322F03" w:rsidP="000B329C">
                <w:pPr>
                  <w:spacing w:after="0"/>
                  <w:jc w:val="right"/>
                  <w:rPr>
                    <w:rFonts w:ascii="Lucida Sans" w:hAnsi="Lucida Sans"/>
                    <w:color w:val="FFFFFF"/>
                  </w:rPr>
                </w:pPr>
                <w:r w:rsidRPr="002A395E">
                  <w:rPr>
                    <w:rFonts w:ascii="Lucida Sans" w:hAnsi="Lucida Sans"/>
                  </w:rPr>
                  <w:fldChar w:fldCharType="begin"/>
                </w:r>
                <w:r w:rsidR="00C0598F" w:rsidRPr="002A395E">
                  <w:rPr>
                    <w:rFonts w:ascii="Lucida Sans" w:hAnsi="Lucida Sans"/>
                  </w:rPr>
                  <w:instrText xml:space="preserve"> PAGE   \* MERGEFORMAT </w:instrText>
                </w:r>
                <w:r w:rsidRPr="002A395E">
                  <w:rPr>
                    <w:rFonts w:ascii="Lucida Sans" w:hAnsi="Lucida Sans"/>
                  </w:rPr>
                  <w:fldChar w:fldCharType="separate"/>
                </w:r>
                <w:r w:rsidR="009808BA">
                  <w:rPr>
                    <w:rFonts w:ascii="Lucida Sans" w:hAnsi="Lucida Sans"/>
                    <w:noProof/>
                  </w:rPr>
                  <w:t>14</w:t>
                </w:r>
                <w:r w:rsidRPr="002A395E">
                  <w:rPr>
                    <w:rFonts w:ascii="Lucida Sans" w:hAnsi="Lucida Sans"/>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98F" w:rsidRDefault="00322F03">
    <w:pPr>
      <w:pStyle w:val="Header"/>
    </w:pPr>
    <w:r w:rsidRPr="00322F03">
      <w:rPr>
        <w:noProof/>
        <w:lang w:val="de-DE" w:eastAsia="zh-C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822471" o:spid="_x0000_s2053" type="#_x0000_t136" style="position:absolute;left:0;text-align:left;margin-left:0;margin-top:0;width:392.55pt;height:235.5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Pr="00322F03">
      <w:rPr>
        <w:noProof/>
        <w:lang w:val="de-DE" w:eastAsia="zh-CN"/>
      </w:rPr>
      <w:pict>
        <v:shapetype id="_x0000_t202" coordsize="21600,21600" o:spt="202" path="m,l,21600r21600,l21600,xe">
          <v:stroke joinstyle="miter"/>
          <v:path gradientshapeok="t" o:connecttype="rect"/>
        </v:shapetype>
        <v:shape id="Text Box 2" o:spid="_x0000_s2049" type="#_x0000_t202" style="position:absolute;left:0;text-align:left;margin-left:539.05pt;margin-top:23.3pt;width:75.2pt;height:12.45pt;z-index:251655680;visibility:visible;mso-position-horizontal-relative:page;mso-position-vertical-relative:page;v-text-anchor:middle" o:allowincell="f" fillcolor="#4f81bd" stroked="f">
          <v:textbox style="mso-fit-shape-to-text:t" inset=",0,,0">
            <w:txbxContent>
              <w:p w:rsidR="00C0598F" w:rsidRPr="00DE2B58" w:rsidRDefault="00322F03" w:rsidP="000B329C">
                <w:pPr>
                  <w:spacing w:after="0"/>
                  <w:rPr>
                    <w:rFonts w:ascii="Lucida Sans" w:hAnsi="Lucida Sans"/>
                    <w:color w:val="FFFFFF"/>
                  </w:rPr>
                </w:pPr>
                <w:r w:rsidRPr="00030F08">
                  <w:rPr>
                    <w:rFonts w:ascii="Lucida Sans" w:hAnsi="Lucida Sans"/>
                  </w:rPr>
                  <w:fldChar w:fldCharType="begin"/>
                </w:r>
                <w:r w:rsidR="00C0598F" w:rsidRPr="00030F08">
                  <w:rPr>
                    <w:rFonts w:ascii="Lucida Sans" w:hAnsi="Lucida Sans"/>
                  </w:rPr>
                  <w:instrText xml:space="preserve"> PAGE   \* MERGEFORMAT </w:instrText>
                </w:r>
                <w:r w:rsidRPr="00030F08">
                  <w:rPr>
                    <w:rFonts w:ascii="Lucida Sans" w:hAnsi="Lucida Sans"/>
                  </w:rPr>
                  <w:fldChar w:fldCharType="separate"/>
                </w:r>
                <w:r w:rsidR="009808BA">
                  <w:rPr>
                    <w:rFonts w:ascii="Lucida Sans" w:hAnsi="Lucida Sans"/>
                    <w:noProof/>
                  </w:rPr>
                  <w:t>1</w:t>
                </w:r>
                <w:r w:rsidRPr="00030F08">
                  <w:rPr>
                    <w:rFonts w:ascii="Lucida Sans" w:hAnsi="Lucida Sans"/>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98F" w:rsidRDefault="00322F03">
    <w:pPr>
      <w:pStyle w:val="Header"/>
    </w:pPr>
    <w:r w:rsidRPr="00322F03">
      <w:rPr>
        <w:noProof/>
        <w:lang w:val="de-DE" w:eastAsia="zh-C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822469" o:spid="_x0000_s2051" type="#_x0000_t136" style="position:absolute;left:0;text-align:left;margin-left:0;margin-top:0;width:392.55pt;height:235.5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A0264D84"/>
    <w:lvl w:ilvl="0">
      <w:start w:val="1"/>
      <w:numFmt w:val="decimal"/>
      <w:lvlText w:val="%1."/>
      <w:lvlJc w:val="left"/>
      <w:pPr>
        <w:tabs>
          <w:tab w:val="num" w:pos="360"/>
        </w:tabs>
        <w:ind w:left="360" w:hanging="360"/>
      </w:pPr>
      <w:rPr>
        <w:rFonts w:cs="Times New Roman"/>
      </w:rPr>
    </w:lvl>
  </w:abstractNum>
  <w:abstractNum w:abstractNumId="1">
    <w:nsid w:val="FFFFFF89"/>
    <w:multiLevelType w:val="singleLevel"/>
    <w:tmpl w:val="AE740B6A"/>
    <w:lvl w:ilvl="0">
      <w:start w:val="1"/>
      <w:numFmt w:val="bullet"/>
      <w:lvlText w:val=""/>
      <w:lvlJc w:val="left"/>
      <w:pPr>
        <w:tabs>
          <w:tab w:val="num" w:pos="360"/>
        </w:tabs>
        <w:ind w:left="360" w:hanging="360"/>
      </w:pPr>
      <w:rPr>
        <w:rFonts w:ascii="Symbol" w:hAnsi="Symbol" w:hint="default"/>
      </w:rPr>
    </w:lvl>
  </w:abstractNum>
  <w:abstractNum w:abstractNumId="2">
    <w:nsid w:val="015D6EBC"/>
    <w:multiLevelType w:val="hybridMultilevel"/>
    <w:tmpl w:val="C6F074A8"/>
    <w:lvl w:ilvl="0" w:tplc="115AF7C2">
      <w:start w:val="1"/>
      <w:numFmt w:val="bullet"/>
      <w:lvlText w:val=""/>
      <w:lvlJc w:val="left"/>
      <w:pPr>
        <w:tabs>
          <w:tab w:val="num" w:pos="720"/>
        </w:tabs>
        <w:ind w:left="720" w:hanging="360"/>
      </w:pPr>
      <w:rPr>
        <w:rFonts w:ascii="Symbol" w:hAnsi="Symbol" w:hint="default"/>
      </w:rPr>
    </w:lvl>
    <w:lvl w:ilvl="1" w:tplc="8214C6C8">
      <w:start w:val="1"/>
      <w:numFmt w:val="bullet"/>
      <w:lvlText w:val="o"/>
      <w:lvlJc w:val="left"/>
      <w:pPr>
        <w:tabs>
          <w:tab w:val="num" w:pos="1440"/>
        </w:tabs>
        <w:ind w:left="1440" w:hanging="360"/>
      </w:pPr>
      <w:rPr>
        <w:rFonts w:ascii="Courier New" w:hAnsi="Courier New" w:hint="default"/>
      </w:rPr>
    </w:lvl>
    <w:lvl w:ilvl="2" w:tplc="6614A73C">
      <w:start w:val="1"/>
      <w:numFmt w:val="bullet"/>
      <w:lvlText w:val=""/>
      <w:lvlJc w:val="left"/>
      <w:pPr>
        <w:tabs>
          <w:tab w:val="num" w:pos="2160"/>
        </w:tabs>
        <w:ind w:left="2160" w:hanging="360"/>
      </w:pPr>
      <w:rPr>
        <w:rFonts w:ascii="Wingdings" w:hAnsi="Wingdings" w:hint="default"/>
      </w:rPr>
    </w:lvl>
    <w:lvl w:ilvl="3" w:tplc="2D8CBF4E">
      <w:start w:val="1"/>
      <w:numFmt w:val="bullet"/>
      <w:lvlText w:val=""/>
      <w:lvlJc w:val="left"/>
      <w:pPr>
        <w:tabs>
          <w:tab w:val="num" w:pos="2880"/>
        </w:tabs>
        <w:ind w:left="2880" w:hanging="360"/>
      </w:pPr>
      <w:rPr>
        <w:rFonts w:ascii="Symbol" w:hAnsi="Symbol" w:hint="default"/>
      </w:rPr>
    </w:lvl>
    <w:lvl w:ilvl="4" w:tplc="CB4E1FD4">
      <w:start w:val="1"/>
      <w:numFmt w:val="bullet"/>
      <w:lvlText w:val="o"/>
      <w:lvlJc w:val="left"/>
      <w:pPr>
        <w:tabs>
          <w:tab w:val="num" w:pos="3600"/>
        </w:tabs>
        <w:ind w:left="3600" w:hanging="360"/>
      </w:pPr>
      <w:rPr>
        <w:rFonts w:ascii="Courier New" w:hAnsi="Courier New" w:hint="default"/>
      </w:rPr>
    </w:lvl>
    <w:lvl w:ilvl="5" w:tplc="5268B976">
      <w:start w:val="1"/>
      <w:numFmt w:val="bullet"/>
      <w:lvlText w:val=""/>
      <w:lvlJc w:val="left"/>
      <w:pPr>
        <w:tabs>
          <w:tab w:val="num" w:pos="4320"/>
        </w:tabs>
        <w:ind w:left="4320" w:hanging="360"/>
      </w:pPr>
      <w:rPr>
        <w:rFonts w:ascii="Wingdings" w:hAnsi="Wingdings" w:hint="default"/>
      </w:rPr>
    </w:lvl>
    <w:lvl w:ilvl="6" w:tplc="55A03E58">
      <w:start w:val="1"/>
      <w:numFmt w:val="bullet"/>
      <w:lvlText w:val=""/>
      <w:lvlJc w:val="left"/>
      <w:pPr>
        <w:tabs>
          <w:tab w:val="num" w:pos="5040"/>
        </w:tabs>
        <w:ind w:left="5040" w:hanging="360"/>
      </w:pPr>
      <w:rPr>
        <w:rFonts w:ascii="Symbol" w:hAnsi="Symbol" w:hint="default"/>
      </w:rPr>
    </w:lvl>
    <w:lvl w:ilvl="7" w:tplc="3A868138">
      <w:start w:val="1"/>
      <w:numFmt w:val="bullet"/>
      <w:lvlText w:val="o"/>
      <w:lvlJc w:val="left"/>
      <w:pPr>
        <w:tabs>
          <w:tab w:val="num" w:pos="5760"/>
        </w:tabs>
        <w:ind w:left="5760" w:hanging="360"/>
      </w:pPr>
      <w:rPr>
        <w:rFonts w:ascii="Courier New" w:hAnsi="Courier New" w:hint="default"/>
      </w:rPr>
    </w:lvl>
    <w:lvl w:ilvl="8" w:tplc="D5468486">
      <w:start w:val="1"/>
      <w:numFmt w:val="bullet"/>
      <w:lvlText w:val=""/>
      <w:lvlJc w:val="left"/>
      <w:pPr>
        <w:tabs>
          <w:tab w:val="num" w:pos="6480"/>
        </w:tabs>
        <w:ind w:left="6480" w:hanging="360"/>
      </w:pPr>
      <w:rPr>
        <w:rFonts w:ascii="Wingdings" w:hAnsi="Wingdings" w:hint="default"/>
      </w:rPr>
    </w:lvl>
  </w:abstractNum>
  <w:abstractNum w:abstractNumId="3">
    <w:nsid w:val="06076FF7"/>
    <w:multiLevelType w:val="multilevel"/>
    <w:tmpl w:val="69E88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662561"/>
    <w:multiLevelType w:val="hybridMultilevel"/>
    <w:tmpl w:val="48F2E4A8"/>
    <w:lvl w:ilvl="0" w:tplc="BDDE9E6A">
      <w:start w:val="1"/>
      <w:numFmt w:val="bullet"/>
      <w:lvlText w:val=""/>
      <w:lvlJc w:val="left"/>
      <w:pPr>
        <w:tabs>
          <w:tab w:val="num" w:pos="720"/>
        </w:tabs>
        <w:ind w:left="720" w:hanging="360"/>
      </w:pPr>
      <w:rPr>
        <w:rFonts w:ascii="Symbol" w:hAnsi="Symbol" w:hint="default"/>
      </w:rPr>
    </w:lvl>
    <w:lvl w:ilvl="1" w:tplc="D9A881F2">
      <w:start w:val="1"/>
      <w:numFmt w:val="bullet"/>
      <w:lvlText w:val="o"/>
      <w:lvlJc w:val="left"/>
      <w:pPr>
        <w:tabs>
          <w:tab w:val="num" w:pos="1440"/>
        </w:tabs>
        <w:ind w:left="1440" w:hanging="360"/>
      </w:pPr>
      <w:rPr>
        <w:rFonts w:ascii="Courier New" w:hAnsi="Courier New" w:hint="default"/>
      </w:rPr>
    </w:lvl>
    <w:lvl w:ilvl="2" w:tplc="A9B40B58">
      <w:start w:val="1"/>
      <w:numFmt w:val="bullet"/>
      <w:lvlText w:val=""/>
      <w:lvlJc w:val="left"/>
      <w:pPr>
        <w:tabs>
          <w:tab w:val="num" w:pos="2160"/>
        </w:tabs>
        <w:ind w:left="2160" w:hanging="360"/>
      </w:pPr>
      <w:rPr>
        <w:rFonts w:ascii="Wingdings" w:hAnsi="Wingdings" w:hint="default"/>
      </w:rPr>
    </w:lvl>
    <w:lvl w:ilvl="3" w:tplc="8BCA5E38">
      <w:start w:val="1"/>
      <w:numFmt w:val="bullet"/>
      <w:lvlText w:val=""/>
      <w:lvlJc w:val="left"/>
      <w:pPr>
        <w:tabs>
          <w:tab w:val="num" w:pos="2880"/>
        </w:tabs>
        <w:ind w:left="2880" w:hanging="360"/>
      </w:pPr>
      <w:rPr>
        <w:rFonts w:ascii="Symbol" w:hAnsi="Symbol" w:hint="default"/>
      </w:rPr>
    </w:lvl>
    <w:lvl w:ilvl="4" w:tplc="ED6E37F8">
      <w:start w:val="1"/>
      <w:numFmt w:val="bullet"/>
      <w:lvlText w:val="o"/>
      <w:lvlJc w:val="left"/>
      <w:pPr>
        <w:tabs>
          <w:tab w:val="num" w:pos="3600"/>
        </w:tabs>
        <w:ind w:left="3600" w:hanging="360"/>
      </w:pPr>
      <w:rPr>
        <w:rFonts w:ascii="Courier New" w:hAnsi="Courier New" w:hint="default"/>
      </w:rPr>
    </w:lvl>
    <w:lvl w:ilvl="5" w:tplc="9ED86184">
      <w:start w:val="1"/>
      <w:numFmt w:val="bullet"/>
      <w:lvlText w:val=""/>
      <w:lvlJc w:val="left"/>
      <w:pPr>
        <w:tabs>
          <w:tab w:val="num" w:pos="4320"/>
        </w:tabs>
        <w:ind w:left="4320" w:hanging="360"/>
      </w:pPr>
      <w:rPr>
        <w:rFonts w:ascii="Wingdings" w:hAnsi="Wingdings" w:hint="default"/>
      </w:rPr>
    </w:lvl>
    <w:lvl w:ilvl="6" w:tplc="5A04AFAA">
      <w:start w:val="1"/>
      <w:numFmt w:val="bullet"/>
      <w:lvlText w:val=""/>
      <w:lvlJc w:val="left"/>
      <w:pPr>
        <w:tabs>
          <w:tab w:val="num" w:pos="5040"/>
        </w:tabs>
        <w:ind w:left="5040" w:hanging="360"/>
      </w:pPr>
      <w:rPr>
        <w:rFonts w:ascii="Symbol" w:hAnsi="Symbol" w:hint="default"/>
      </w:rPr>
    </w:lvl>
    <w:lvl w:ilvl="7" w:tplc="79068022">
      <w:start w:val="1"/>
      <w:numFmt w:val="bullet"/>
      <w:lvlText w:val="o"/>
      <w:lvlJc w:val="left"/>
      <w:pPr>
        <w:tabs>
          <w:tab w:val="num" w:pos="5760"/>
        </w:tabs>
        <w:ind w:left="5760" w:hanging="360"/>
      </w:pPr>
      <w:rPr>
        <w:rFonts w:ascii="Courier New" w:hAnsi="Courier New" w:hint="default"/>
      </w:rPr>
    </w:lvl>
    <w:lvl w:ilvl="8" w:tplc="0B564FA2">
      <w:start w:val="1"/>
      <w:numFmt w:val="bullet"/>
      <w:lvlText w:val=""/>
      <w:lvlJc w:val="left"/>
      <w:pPr>
        <w:tabs>
          <w:tab w:val="num" w:pos="6480"/>
        </w:tabs>
        <w:ind w:left="6480" w:hanging="360"/>
      </w:pPr>
      <w:rPr>
        <w:rFonts w:ascii="Wingdings" w:hAnsi="Wingdings" w:hint="default"/>
      </w:rPr>
    </w:lvl>
  </w:abstractNum>
  <w:abstractNum w:abstractNumId="5">
    <w:nsid w:val="09FF2974"/>
    <w:multiLevelType w:val="hybridMultilevel"/>
    <w:tmpl w:val="3E00F64C"/>
    <w:lvl w:ilvl="0" w:tplc="2EA84B08">
      <w:start w:val="1"/>
      <w:numFmt w:val="bullet"/>
      <w:lvlText w:val=""/>
      <w:lvlJc w:val="left"/>
      <w:pPr>
        <w:ind w:left="720" w:hanging="360"/>
      </w:pPr>
      <w:rPr>
        <w:rFonts w:ascii="Symbol" w:hAnsi="Symbol" w:hint="default"/>
      </w:rPr>
    </w:lvl>
    <w:lvl w:ilvl="1" w:tplc="EC0070C6">
      <w:start w:val="1"/>
      <w:numFmt w:val="bullet"/>
      <w:lvlText w:val="o"/>
      <w:lvlJc w:val="left"/>
      <w:pPr>
        <w:ind w:left="1440" w:hanging="360"/>
      </w:pPr>
      <w:rPr>
        <w:rFonts w:ascii="Courier New" w:hAnsi="Courier New" w:hint="default"/>
      </w:rPr>
    </w:lvl>
    <w:lvl w:ilvl="2" w:tplc="BC4C6250">
      <w:start w:val="1"/>
      <w:numFmt w:val="bullet"/>
      <w:lvlText w:val=""/>
      <w:lvlJc w:val="left"/>
      <w:pPr>
        <w:ind w:left="2160" w:hanging="360"/>
      </w:pPr>
      <w:rPr>
        <w:rFonts w:ascii="Wingdings" w:hAnsi="Wingdings" w:hint="default"/>
      </w:rPr>
    </w:lvl>
    <w:lvl w:ilvl="3" w:tplc="142404EA">
      <w:start w:val="1"/>
      <w:numFmt w:val="bullet"/>
      <w:lvlText w:val=""/>
      <w:lvlJc w:val="left"/>
      <w:pPr>
        <w:ind w:left="2880" w:hanging="360"/>
      </w:pPr>
      <w:rPr>
        <w:rFonts w:ascii="Symbol" w:hAnsi="Symbol" w:hint="default"/>
      </w:rPr>
    </w:lvl>
    <w:lvl w:ilvl="4" w:tplc="E8DE1B0E">
      <w:start w:val="1"/>
      <w:numFmt w:val="bullet"/>
      <w:lvlText w:val="o"/>
      <w:lvlJc w:val="left"/>
      <w:pPr>
        <w:ind w:left="3600" w:hanging="360"/>
      </w:pPr>
      <w:rPr>
        <w:rFonts w:ascii="Courier New" w:hAnsi="Courier New" w:hint="default"/>
      </w:rPr>
    </w:lvl>
    <w:lvl w:ilvl="5" w:tplc="5590CAA6">
      <w:start w:val="1"/>
      <w:numFmt w:val="bullet"/>
      <w:lvlText w:val=""/>
      <w:lvlJc w:val="left"/>
      <w:pPr>
        <w:ind w:left="4320" w:hanging="360"/>
      </w:pPr>
      <w:rPr>
        <w:rFonts w:ascii="Wingdings" w:hAnsi="Wingdings" w:hint="default"/>
      </w:rPr>
    </w:lvl>
    <w:lvl w:ilvl="6" w:tplc="EFB810E6">
      <w:start w:val="1"/>
      <w:numFmt w:val="bullet"/>
      <w:lvlText w:val=""/>
      <w:lvlJc w:val="left"/>
      <w:pPr>
        <w:ind w:left="5040" w:hanging="360"/>
      </w:pPr>
      <w:rPr>
        <w:rFonts w:ascii="Symbol" w:hAnsi="Symbol" w:hint="default"/>
      </w:rPr>
    </w:lvl>
    <w:lvl w:ilvl="7" w:tplc="BD70ED12">
      <w:start w:val="1"/>
      <w:numFmt w:val="bullet"/>
      <w:lvlText w:val="o"/>
      <w:lvlJc w:val="left"/>
      <w:pPr>
        <w:ind w:left="5760" w:hanging="360"/>
      </w:pPr>
      <w:rPr>
        <w:rFonts w:ascii="Courier New" w:hAnsi="Courier New" w:hint="default"/>
      </w:rPr>
    </w:lvl>
    <w:lvl w:ilvl="8" w:tplc="508C5AC2">
      <w:start w:val="1"/>
      <w:numFmt w:val="bullet"/>
      <w:lvlText w:val=""/>
      <w:lvlJc w:val="left"/>
      <w:pPr>
        <w:ind w:left="6480" w:hanging="360"/>
      </w:pPr>
      <w:rPr>
        <w:rFonts w:ascii="Wingdings" w:hAnsi="Wingdings" w:hint="default"/>
      </w:rPr>
    </w:lvl>
  </w:abstractNum>
  <w:abstractNum w:abstractNumId="6">
    <w:nsid w:val="0FC116B3"/>
    <w:multiLevelType w:val="hybridMultilevel"/>
    <w:tmpl w:val="56C2B1C6"/>
    <w:lvl w:ilvl="0" w:tplc="1A58109E">
      <w:start w:val="1"/>
      <w:numFmt w:val="bullet"/>
      <w:pStyle w:val="BulletLevel1"/>
      <w:lvlText w:val=""/>
      <w:lvlJc w:val="left"/>
      <w:pPr>
        <w:ind w:left="644" w:hanging="360"/>
      </w:pPr>
      <w:rPr>
        <w:rFonts w:ascii="Symbol" w:hAnsi="Symbol" w:hint="default"/>
      </w:rPr>
    </w:lvl>
    <w:lvl w:ilvl="1" w:tplc="001A5F7A">
      <w:start w:val="1"/>
      <w:numFmt w:val="bullet"/>
      <w:lvlText w:val="o"/>
      <w:lvlJc w:val="left"/>
      <w:pPr>
        <w:ind w:left="1364" w:hanging="360"/>
      </w:pPr>
      <w:rPr>
        <w:rFonts w:ascii="Courier New" w:hAnsi="Courier New" w:hint="default"/>
      </w:rPr>
    </w:lvl>
    <w:lvl w:ilvl="2" w:tplc="53F08C16">
      <w:start w:val="1"/>
      <w:numFmt w:val="bullet"/>
      <w:lvlText w:val=""/>
      <w:lvlJc w:val="left"/>
      <w:pPr>
        <w:ind w:left="2084" w:hanging="360"/>
      </w:pPr>
      <w:rPr>
        <w:rFonts w:ascii="Wingdings" w:hAnsi="Wingdings" w:hint="default"/>
      </w:rPr>
    </w:lvl>
    <w:lvl w:ilvl="3" w:tplc="8A14A90C">
      <w:start w:val="1"/>
      <w:numFmt w:val="bullet"/>
      <w:lvlText w:val=""/>
      <w:lvlJc w:val="left"/>
      <w:pPr>
        <w:ind w:left="2804" w:hanging="360"/>
      </w:pPr>
      <w:rPr>
        <w:rFonts w:ascii="Symbol" w:hAnsi="Symbol" w:hint="default"/>
      </w:rPr>
    </w:lvl>
    <w:lvl w:ilvl="4" w:tplc="DE1EA100">
      <w:start w:val="1"/>
      <w:numFmt w:val="bullet"/>
      <w:lvlText w:val="o"/>
      <w:lvlJc w:val="left"/>
      <w:pPr>
        <w:ind w:left="3524" w:hanging="360"/>
      </w:pPr>
      <w:rPr>
        <w:rFonts w:ascii="Courier New" w:hAnsi="Courier New" w:hint="default"/>
      </w:rPr>
    </w:lvl>
    <w:lvl w:ilvl="5" w:tplc="25E2DA96">
      <w:start w:val="1"/>
      <w:numFmt w:val="bullet"/>
      <w:lvlText w:val=""/>
      <w:lvlJc w:val="left"/>
      <w:pPr>
        <w:ind w:left="4244" w:hanging="360"/>
      </w:pPr>
      <w:rPr>
        <w:rFonts w:ascii="Wingdings" w:hAnsi="Wingdings" w:hint="default"/>
      </w:rPr>
    </w:lvl>
    <w:lvl w:ilvl="6" w:tplc="25407E72">
      <w:start w:val="1"/>
      <w:numFmt w:val="bullet"/>
      <w:lvlText w:val=""/>
      <w:lvlJc w:val="left"/>
      <w:pPr>
        <w:ind w:left="4964" w:hanging="360"/>
      </w:pPr>
      <w:rPr>
        <w:rFonts w:ascii="Symbol" w:hAnsi="Symbol" w:hint="default"/>
      </w:rPr>
    </w:lvl>
    <w:lvl w:ilvl="7" w:tplc="6FD00EE2">
      <w:start w:val="1"/>
      <w:numFmt w:val="bullet"/>
      <w:lvlText w:val="o"/>
      <w:lvlJc w:val="left"/>
      <w:pPr>
        <w:ind w:left="5684" w:hanging="360"/>
      </w:pPr>
      <w:rPr>
        <w:rFonts w:ascii="Courier New" w:hAnsi="Courier New" w:hint="default"/>
      </w:rPr>
    </w:lvl>
    <w:lvl w:ilvl="8" w:tplc="3926E84A">
      <w:start w:val="1"/>
      <w:numFmt w:val="bullet"/>
      <w:lvlText w:val=""/>
      <w:lvlJc w:val="left"/>
      <w:pPr>
        <w:ind w:left="6404" w:hanging="360"/>
      </w:pPr>
      <w:rPr>
        <w:rFonts w:ascii="Wingdings" w:hAnsi="Wingdings" w:hint="default"/>
      </w:rPr>
    </w:lvl>
  </w:abstractNum>
  <w:abstractNum w:abstractNumId="7">
    <w:nsid w:val="115D3FB7"/>
    <w:multiLevelType w:val="hybridMultilevel"/>
    <w:tmpl w:val="A01849EE"/>
    <w:lvl w:ilvl="0" w:tplc="04090001">
      <w:start w:val="1"/>
      <w:numFmt w:val="lowerLetter"/>
      <w:lvlText w:val="%1)"/>
      <w:lvlJc w:val="left"/>
      <w:pPr>
        <w:tabs>
          <w:tab w:val="num" w:pos="720"/>
        </w:tabs>
        <w:ind w:left="720" w:hanging="360"/>
      </w:pPr>
      <w:rPr>
        <w:rFonts w:cs="Times New Roman" w:hint="default"/>
      </w:rPr>
    </w:lvl>
    <w:lvl w:ilvl="1" w:tplc="10090003">
      <w:start w:val="1"/>
      <w:numFmt w:val="lowerLetter"/>
      <w:lvlText w:val="%2."/>
      <w:lvlJc w:val="left"/>
      <w:pPr>
        <w:tabs>
          <w:tab w:val="num" w:pos="1440"/>
        </w:tabs>
        <w:ind w:left="1440" w:hanging="360"/>
      </w:pPr>
      <w:rPr>
        <w:rFonts w:cs="Times New Roman"/>
      </w:rPr>
    </w:lvl>
    <w:lvl w:ilvl="2" w:tplc="10090005">
      <w:start w:val="1"/>
      <w:numFmt w:val="lowerRoman"/>
      <w:lvlText w:val="%3."/>
      <w:lvlJc w:val="right"/>
      <w:pPr>
        <w:tabs>
          <w:tab w:val="num" w:pos="2160"/>
        </w:tabs>
        <w:ind w:left="2160" w:hanging="180"/>
      </w:pPr>
      <w:rPr>
        <w:rFonts w:cs="Times New Roman"/>
      </w:rPr>
    </w:lvl>
    <w:lvl w:ilvl="3" w:tplc="10090001">
      <w:start w:val="1"/>
      <w:numFmt w:val="decimal"/>
      <w:lvlText w:val="%4."/>
      <w:lvlJc w:val="left"/>
      <w:pPr>
        <w:tabs>
          <w:tab w:val="num" w:pos="2880"/>
        </w:tabs>
        <w:ind w:left="2880" w:hanging="360"/>
      </w:pPr>
      <w:rPr>
        <w:rFonts w:cs="Times New Roman"/>
      </w:rPr>
    </w:lvl>
    <w:lvl w:ilvl="4" w:tplc="10090003">
      <w:start w:val="1"/>
      <w:numFmt w:val="lowerLetter"/>
      <w:lvlText w:val="%5."/>
      <w:lvlJc w:val="left"/>
      <w:pPr>
        <w:tabs>
          <w:tab w:val="num" w:pos="3600"/>
        </w:tabs>
        <w:ind w:left="3600" w:hanging="360"/>
      </w:pPr>
      <w:rPr>
        <w:rFonts w:cs="Times New Roman"/>
      </w:rPr>
    </w:lvl>
    <w:lvl w:ilvl="5" w:tplc="10090005">
      <w:start w:val="1"/>
      <w:numFmt w:val="lowerRoman"/>
      <w:lvlText w:val="%6."/>
      <w:lvlJc w:val="right"/>
      <w:pPr>
        <w:tabs>
          <w:tab w:val="num" w:pos="4320"/>
        </w:tabs>
        <w:ind w:left="4320" w:hanging="180"/>
      </w:pPr>
      <w:rPr>
        <w:rFonts w:cs="Times New Roman"/>
      </w:rPr>
    </w:lvl>
    <w:lvl w:ilvl="6" w:tplc="10090001">
      <w:start w:val="1"/>
      <w:numFmt w:val="decimal"/>
      <w:lvlText w:val="%7."/>
      <w:lvlJc w:val="left"/>
      <w:pPr>
        <w:tabs>
          <w:tab w:val="num" w:pos="5040"/>
        </w:tabs>
        <w:ind w:left="5040" w:hanging="360"/>
      </w:pPr>
      <w:rPr>
        <w:rFonts w:cs="Times New Roman"/>
      </w:rPr>
    </w:lvl>
    <w:lvl w:ilvl="7" w:tplc="10090003">
      <w:start w:val="1"/>
      <w:numFmt w:val="lowerLetter"/>
      <w:lvlText w:val="%8."/>
      <w:lvlJc w:val="left"/>
      <w:pPr>
        <w:tabs>
          <w:tab w:val="num" w:pos="5760"/>
        </w:tabs>
        <w:ind w:left="5760" w:hanging="360"/>
      </w:pPr>
      <w:rPr>
        <w:rFonts w:cs="Times New Roman"/>
      </w:rPr>
    </w:lvl>
    <w:lvl w:ilvl="8" w:tplc="10090005">
      <w:start w:val="1"/>
      <w:numFmt w:val="lowerRoman"/>
      <w:lvlText w:val="%9."/>
      <w:lvlJc w:val="right"/>
      <w:pPr>
        <w:tabs>
          <w:tab w:val="num" w:pos="6480"/>
        </w:tabs>
        <w:ind w:left="6480" w:hanging="180"/>
      </w:pPr>
      <w:rPr>
        <w:rFonts w:cs="Times New Roman"/>
      </w:rPr>
    </w:lvl>
  </w:abstractNum>
  <w:abstractNum w:abstractNumId="8">
    <w:nsid w:val="11756EB1"/>
    <w:multiLevelType w:val="hybridMultilevel"/>
    <w:tmpl w:val="A85E9CE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9">
    <w:nsid w:val="1DE51CA3"/>
    <w:multiLevelType w:val="multilevel"/>
    <w:tmpl w:val="56C2B5E6"/>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color w:val="548DD4"/>
      </w:rPr>
    </w:lvl>
    <w:lvl w:ilvl="3">
      <w:start w:val="1"/>
      <w:numFmt w:val="decimal"/>
      <w:lvlText w:val="%1.%2.%3.%4"/>
      <w:lvlJc w:val="left"/>
      <w:pPr>
        <w:ind w:left="141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0">
    <w:nsid w:val="1E597B3F"/>
    <w:multiLevelType w:val="hybridMultilevel"/>
    <w:tmpl w:val="F6EC5C9A"/>
    <w:lvl w:ilvl="0" w:tplc="10090001">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pStyle w:val="Heading5"/>
      <w:lvlText w:val="o"/>
      <w:lvlJc w:val="left"/>
      <w:pPr>
        <w:ind w:left="3600" w:hanging="360"/>
      </w:pPr>
      <w:rPr>
        <w:rFonts w:ascii="Courier New" w:hAnsi="Courier New" w:hint="default"/>
      </w:rPr>
    </w:lvl>
    <w:lvl w:ilvl="5" w:tplc="08090005">
      <w:start w:val="1"/>
      <w:numFmt w:val="bullet"/>
      <w:pStyle w:val="Heading6"/>
      <w:lvlText w:val=""/>
      <w:lvlJc w:val="left"/>
      <w:pPr>
        <w:ind w:left="4320" w:hanging="360"/>
      </w:pPr>
      <w:rPr>
        <w:rFonts w:ascii="Wingdings" w:hAnsi="Wingdings" w:hint="default"/>
      </w:rPr>
    </w:lvl>
    <w:lvl w:ilvl="6" w:tplc="08090001">
      <w:start w:val="1"/>
      <w:numFmt w:val="bullet"/>
      <w:pStyle w:val="Heading7"/>
      <w:lvlText w:val=""/>
      <w:lvlJc w:val="left"/>
      <w:pPr>
        <w:ind w:left="5040" w:hanging="360"/>
      </w:pPr>
      <w:rPr>
        <w:rFonts w:ascii="Symbol" w:hAnsi="Symbol" w:hint="default"/>
      </w:rPr>
    </w:lvl>
    <w:lvl w:ilvl="7" w:tplc="08090003">
      <w:start w:val="1"/>
      <w:numFmt w:val="bullet"/>
      <w:pStyle w:val="Heading8"/>
      <w:lvlText w:val="o"/>
      <w:lvlJc w:val="left"/>
      <w:pPr>
        <w:ind w:left="5760" w:hanging="360"/>
      </w:pPr>
      <w:rPr>
        <w:rFonts w:ascii="Courier New" w:hAnsi="Courier New" w:hint="default"/>
      </w:rPr>
    </w:lvl>
    <w:lvl w:ilvl="8" w:tplc="08090005">
      <w:start w:val="1"/>
      <w:numFmt w:val="bullet"/>
      <w:pStyle w:val="Heading9"/>
      <w:lvlText w:val=""/>
      <w:lvlJc w:val="left"/>
      <w:pPr>
        <w:ind w:left="6480" w:hanging="360"/>
      </w:pPr>
      <w:rPr>
        <w:rFonts w:ascii="Wingdings" w:hAnsi="Wingdings" w:hint="default"/>
      </w:rPr>
    </w:lvl>
  </w:abstractNum>
  <w:abstractNum w:abstractNumId="11">
    <w:nsid w:val="29FF4363"/>
    <w:multiLevelType w:val="hybridMultilevel"/>
    <w:tmpl w:val="CEF2A54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3047400A"/>
    <w:multiLevelType w:val="hybridMultilevel"/>
    <w:tmpl w:val="EBE8A0B0"/>
    <w:lvl w:ilvl="0" w:tplc="69D23DD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319439E6"/>
    <w:multiLevelType w:val="multilevel"/>
    <w:tmpl w:val="37FC51BC"/>
    <w:lvl w:ilvl="0">
      <w:start w:val="1"/>
      <w:numFmt w:val="none"/>
      <w:pStyle w:val="Heading1a"/>
      <w:suff w:val="nothing"/>
      <w:lvlText w:val="%1"/>
      <w:lvlJc w:val="left"/>
      <w:rPr>
        <w:rFonts w:cs="Times New Roman" w:hint="default"/>
      </w:rPr>
    </w:lvl>
    <w:lvl w:ilvl="1">
      <w:start w:val="1"/>
      <w:numFmt w:val="decimal"/>
      <w:lvlText w:val="%2."/>
      <w:lvlJc w:val="left"/>
      <w:pPr>
        <w:tabs>
          <w:tab w:val="num" w:pos="720"/>
        </w:tabs>
        <w:ind w:left="720" w:hanging="720"/>
      </w:pPr>
      <w:rPr>
        <w:rFonts w:cs="Times New Roman" w:hint="default"/>
      </w:rPr>
    </w:lvl>
    <w:lvl w:ilvl="2">
      <w:start w:val="1"/>
      <w:numFmt w:val="lowerLetter"/>
      <w:lvlText w:val="(%3)"/>
      <w:lvlJc w:val="left"/>
      <w:pPr>
        <w:tabs>
          <w:tab w:val="num" w:pos="1080"/>
        </w:tabs>
        <w:ind w:left="720" w:hanging="360"/>
      </w:pPr>
      <w:rPr>
        <w:rFonts w:cs="Times New Roman" w:hint="default"/>
      </w:rPr>
    </w:lvl>
    <w:lvl w:ilvl="3">
      <w:start w:val="1"/>
      <w:numFmt w:val="lowerRoman"/>
      <w:lvlText w:val="(%4)"/>
      <w:lvlJc w:val="left"/>
      <w:pPr>
        <w:tabs>
          <w:tab w:val="num" w:pos="1800"/>
        </w:tabs>
        <w:ind w:left="1080" w:hanging="360"/>
      </w:pPr>
      <w:rPr>
        <w:rFonts w:cs="Times New Roman" w:hint="default"/>
      </w:rPr>
    </w:lvl>
    <w:lvl w:ilvl="4">
      <w:start w:val="1"/>
      <w:numFmt w:val="lowerLetter"/>
      <w:pStyle w:val="Sub-Para4underX"/>
      <w:lvlText w:val="%5."/>
      <w:lvlJc w:val="left"/>
      <w:pPr>
        <w:tabs>
          <w:tab w:val="num" w:pos="1440"/>
        </w:tabs>
        <w:ind w:left="1440" w:hanging="360"/>
      </w:pPr>
      <w:rPr>
        <w:rFonts w:cs="Times New Roman" w:hint="default"/>
      </w:rPr>
    </w:lvl>
    <w:lvl w:ilvl="5">
      <w:start w:val="1"/>
      <w:numFmt w:val="lowerRoman"/>
      <w:pStyle w:val="Sub-Para4underX"/>
      <w:lvlText w:val="%6."/>
      <w:lvlJc w:val="left"/>
      <w:pPr>
        <w:tabs>
          <w:tab w:val="num" w:pos="2160"/>
        </w:tabs>
        <w:ind w:left="180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nsid w:val="3814238C"/>
    <w:multiLevelType w:val="hybridMultilevel"/>
    <w:tmpl w:val="C87CED6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5">
    <w:nsid w:val="38AA1640"/>
    <w:multiLevelType w:val="hybridMultilevel"/>
    <w:tmpl w:val="82D49F40"/>
    <w:lvl w:ilvl="0" w:tplc="C6B46E3E">
      <w:start w:val="1"/>
      <w:numFmt w:val="bullet"/>
      <w:lvlText w:val=""/>
      <w:lvlJc w:val="left"/>
      <w:pPr>
        <w:tabs>
          <w:tab w:val="num" w:pos="720"/>
        </w:tabs>
        <w:ind w:left="720" w:hanging="360"/>
      </w:pPr>
      <w:rPr>
        <w:rFonts w:ascii="Symbol" w:hAnsi="Symbol" w:hint="default"/>
      </w:rPr>
    </w:lvl>
    <w:lvl w:ilvl="1" w:tplc="08070019">
      <w:start w:val="1"/>
      <w:numFmt w:val="bullet"/>
      <w:lvlText w:val="o"/>
      <w:lvlJc w:val="left"/>
      <w:pPr>
        <w:tabs>
          <w:tab w:val="num" w:pos="1440"/>
        </w:tabs>
        <w:ind w:left="1440" w:hanging="360"/>
      </w:pPr>
      <w:rPr>
        <w:rFonts w:ascii="Courier New" w:hAnsi="Courier New" w:hint="default"/>
      </w:rPr>
    </w:lvl>
    <w:lvl w:ilvl="2" w:tplc="0807001B">
      <w:start w:val="1"/>
      <w:numFmt w:val="bullet"/>
      <w:lvlText w:val=""/>
      <w:lvlJc w:val="left"/>
      <w:pPr>
        <w:tabs>
          <w:tab w:val="num" w:pos="2160"/>
        </w:tabs>
        <w:ind w:left="2160" w:hanging="360"/>
      </w:pPr>
      <w:rPr>
        <w:rFonts w:ascii="Wingdings" w:hAnsi="Wingdings" w:hint="default"/>
      </w:rPr>
    </w:lvl>
    <w:lvl w:ilvl="3" w:tplc="0807000F">
      <w:start w:val="1"/>
      <w:numFmt w:val="bullet"/>
      <w:lvlText w:val=""/>
      <w:lvlJc w:val="left"/>
      <w:pPr>
        <w:tabs>
          <w:tab w:val="num" w:pos="2880"/>
        </w:tabs>
        <w:ind w:left="2880" w:hanging="360"/>
      </w:pPr>
      <w:rPr>
        <w:rFonts w:ascii="Symbol" w:hAnsi="Symbol" w:hint="default"/>
      </w:rPr>
    </w:lvl>
    <w:lvl w:ilvl="4" w:tplc="08070019">
      <w:start w:val="1"/>
      <w:numFmt w:val="bullet"/>
      <w:lvlText w:val="o"/>
      <w:lvlJc w:val="left"/>
      <w:pPr>
        <w:tabs>
          <w:tab w:val="num" w:pos="3600"/>
        </w:tabs>
        <w:ind w:left="3600" w:hanging="360"/>
      </w:pPr>
      <w:rPr>
        <w:rFonts w:ascii="Courier New" w:hAnsi="Courier New" w:hint="default"/>
      </w:rPr>
    </w:lvl>
    <w:lvl w:ilvl="5" w:tplc="0807001B">
      <w:start w:val="1"/>
      <w:numFmt w:val="bullet"/>
      <w:lvlText w:val=""/>
      <w:lvlJc w:val="left"/>
      <w:pPr>
        <w:tabs>
          <w:tab w:val="num" w:pos="4320"/>
        </w:tabs>
        <w:ind w:left="4320" w:hanging="360"/>
      </w:pPr>
      <w:rPr>
        <w:rFonts w:ascii="Wingdings" w:hAnsi="Wingdings" w:hint="default"/>
      </w:rPr>
    </w:lvl>
    <w:lvl w:ilvl="6" w:tplc="0807000F">
      <w:start w:val="1"/>
      <w:numFmt w:val="bullet"/>
      <w:lvlText w:val=""/>
      <w:lvlJc w:val="left"/>
      <w:pPr>
        <w:tabs>
          <w:tab w:val="num" w:pos="5040"/>
        </w:tabs>
        <w:ind w:left="5040" w:hanging="360"/>
      </w:pPr>
      <w:rPr>
        <w:rFonts w:ascii="Symbol" w:hAnsi="Symbol" w:hint="default"/>
      </w:rPr>
    </w:lvl>
    <w:lvl w:ilvl="7" w:tplc="08070019">
      <w:start w:val="1"/>
      <w:numFmt w:val="bullet"/>
      <w:lvlText w:val="o"/>
      <w:lvlJc w:val="left"/>
      <w:pPr>
        <w:tabs>
          <w:tab w:val="num" w:pos="5760"/>
        </w:tabs>
        <w:ind w:left="5760" w:hanging="360"/>
      </w:pPr>
      <w:rPr>
        <w:rFonts w:ascii="Courier New" w:hAnsi="Courier New" w:hint="default"/>
      </w:rPr>
    </w:lvl>
    <w:lvl w:ilvl="8" w:tplc="0807001B">
      <w:start w:val="1"/>
      <w:numFmt w:val="bullet"/>
      <w:lvlText w:val=""/>
      <w:lvlJc w:val="left"/>
      <w:pPr>
        <w:tabs>
          <w:tab w:val="num" w:pos="6480"/>
        </w:tabs>
        <w:ind w:left="6480" w:hanging="360"/>
      </w:pPr>
      <w:rPr>
        <w:rFonts w:ascii="Wingdings" w:hAnsi="Wingdings" w:hint="default"/>
      </w:rPr>
    </w:lvl>
  </w:abstractNum>
  <w:abstractNum w:abstractNumId="16">
    <w:nsid w:val="3A771D66"/>
    <w:multiLevelType w:val="hybridMultilevel"/>
    <w:tmpl w:val="01FA4BCE"/>
    <w:lvl w:ilvl="0" w:tplc="798C8CE0">
      <w:start w:val="1"/>
      <w:numFmt w:val="bullet"/>
      <w:lvlText w:val=""/>
      <w:lvlJc w:val="left"/>
      <w:pPr>
        <w:tabs>
          <w:tab w:val="num" w:pos="720"/>
        </w:tabs>
        <w:ind w:left="720" w:hanging="360"/>
      </w:pPr>
      <w:rPr>
        <w:rFonts w:ascii="Symbol" w:hAnsi="Symbol" w:hint="default"/>
      </w:rPr>
    </w:lvl>
    <w:lvl w:ilvl="1" w:tplc="EAEE5344">
      <w:start w:val="1"/>
      <w:numFmt w:val="bullet"/>
      <w:lvlText w:val="o"/>
      <w:lvlJc w:val="left"/>
      <w:pPr>
        <w:tabs>
          <w:tab w:val="num" w:pos="1440"/>
        </w:tabs>
        <w:ind w:left="1440" w:hanging="360"/>
      </w:pPr>
      <w:rPr>
        <w:rFonts w:ascii="Courier New" w:hAnsi="Courier New" w:hint="default"/>
      </w:rPr>
    </w:lvl>
    <w:lvl w:ilvl="2" w:tplc="C74ADA12">
      <w:start w:val="1"/>
      <w:numFmt w:val="bullet"/>
      <w:lvlText w:val=""/>
      <w:lvlJc w:val="left"/>
      <w:pPr>
        <w:tabs>
          <w:tab w:val="num" w:pos="2160"/>
        </w:tabs>
        <w:ind w:left="2160" w:hanging="360"/>
      </w:pPr>
      <w:rPr>
        <w:rFonts w:ascii="Wingdings" w:hAnsi="Wingdings" w:hint="default"/>
      </w:rPr>
    </w:lvl>
    <w:lvl w:ilvl="3" w:tplc="8DEAB5D4">
      <w:start w:val="1"/>
      <w:numFmt w:val="bullet"/>
      <w:lvlText w:val=""/>
      <w:lvlJc w:val="left"/>
      <w:pPr>
        <w:tabs>
          <w:tab w:val="num" w:pos="2880"/>
        </w:tabs>
        <w:ind w:left="2880" w:hanging="360"/>
      </w:pPr>
      <w:rPr>
        <w:rFonts w:ascii="Symbol" w:hAnsi="Symbol" w:hint="default"/>
      </w:rPr>
    </w:lvl>
    <w:lvl w:ilvl="4" w:tplc="2334F932">
      <w:start w:val="1"/>
      <w:numFmt w:val="bullet"/>
      <w:lvlText w:val="o"/>
      <w:lvlJc w:val="left"/>
      <w:pPr>
        <w:tabs>
          <w:tab w:val="num" w:pos="3600"/>
        </w:tabs>
        <w:ind w:left="3600" w:hanging="360"/>
      </w:pPr>
      <w:rPr>
        <w:rFonts w:ascii="Courier New" w:hAnsi="Courier New" w:hint="default"/>
      </w:rPr>
    </w:lvl>
    <w:lvl w:ilvl="5" w:tplc="B07E8784">
      <w:start w:val="1"/>
      <w:numFmt w:val="bullet"/>
      <w:lvlText w:val=""/>
      <w:lvlJc w:val="left"/>
      <w:pPr>
        <w:tabs>
          <w:tab w:val="num" w:pos="4320"/>
        </w:tabs>
        <w:ind w:left="4320" w:hanging="360"/>
      </w:pPr>
      <w:rPr>
        <w:rFonts w:ascii="Wingdings" w:hAnsi="Wingdings" w:hint="default"/>
      </w:rPr>
    </w:lvl>
    <w:lvl w:ilvl="6" w:tplc="71A8B8E0">
      <w:start w:val="1"/>
      <w:numFmt w:val="bullet"/>
      <w:lvlText w:val=""/>
      <w:lvlJc w:val="left"/>
      <w:pPr>
        <w:tabs>
          <w:tab w:val="num" w:pos="5040"/>
        </w:tabs>
        <w:ind w:left="5040" w:hanging="360"/>
      </w:pPr>
      <w:rPr>
        <w:rFonts w:ascii="Symbol" w:hAnsi="Symbol" w:hint="default"/>
      </w:rPr>
    </w:lvl>
    <w:lvl w:ilvl="7" w:tplc="FF60AC38">
      <w:start w:val="1"/>
      <w:numFmt w:val="bullet"/>
      <w:lvlText w:val="o"/>
      <w:lvlJc w:val="left"/>
      <w:pPr>
        <w:tabs>
          <w:tab w:val="num" w:pos="5760"/>
        </w:tabs>
        <w:ind w:left="5760" w:hanging="360"/>
      </w:pPr>
      <w:rPr>
        <w:rFonts w:ascii="Courier New" w:hAnsi="Courier New" w:hint="default"/>
      </w:rPr>
    </w:lvl>
    <w:lvl w:ilvl="8" w:tplc="59360194">
      <w:start w:val="1"/>
      <w:numFmt w:val="bullet"/>
      <w:lvlText w:val=""/>
      <w:lvlJc w:val="left"/>
      <w:pPr>
        <w:tabs>
          <w:tab w:val="num" w:pos="6480"/>
        </w:tabs>
        <w:ind w:left="6480" w:hanging="360"/>
      </w:pPr>
      <w:rPr>
        <w:rFonts w:ascii="Wingdings" w:hAnsi="Wingdings" w:hint="default"/>
      </w:rPr>
    </w:lvl>
  </w:abstractNum>
  <w:abstractNum w:abstractNumId="17">
    <w:nsid w:val="3D0F280D"/>
    <w:multiLevelType w:val="hybridMultilevel"/>
    <w:tmpl w:val="A3E07376"/>
    <w:lvl w:ilvl="0" w:tplc="04070001">
      <w:start w:val="1"/>
      <w:numFmt w:val="lowerLetter"/>
      <w:lvlText w:val="%1)"/>
      <w:lvlJc w:val="left"/>
      <w:pPr>
        <w:tabs>
          <w:tab w:val="num" w:pos="720"/>
        </w:tabs>
        <w:ind w:left="720" w:hanging="360"/>
      </w:pPr>
      <w:rPr>
        <w:rFonts w:cs="Times New Roman" w:hint="default"/>
      </w:rPr>
    </w:lvl>
    <w:lvl w:ilvl="1" w:tplc="04070003">
      <w:start w:val="1"/>
      <w:numFmt w:val="lowerLetter"/>
      <w:lvlText w:val="%2."/>
      <w:lvlJc w:val="left"/>
      <w:pPr>
        <w:tabs>
          <w:tab w:val="num" w:pos="1440"/>
        </w:tabs>
        <w:ind w:left="1440" w:hanging="360"/>
      </w:pPr>
      <w:rPr>
        <w:rFonts w:cs="Times New Roman"/>
      </w:rPr>
    </w:lvl>
    <w:lvl w:ilvl="2" w:tplc="04070005">
      <w:start w:val="1"/>
      <w:numFmt w:val="lowerRoman"/>
      <w:lvlText w:val="%3."/>
      <w:lvlJc w:val="right"/>
      <w:pPr>
        <w:tabs>
          <w:tab w:val="num" w:pos="2160"/>
        </w:tabs>
        <w:ind w:left="2160" w:hanging="18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lowerLetter"/>
      <w:lvlText w:val="%5."/>
      <w:lvlJc w:val="left"/>
      <w:pPr>
        <w:tabs>
          <w:tab w:val="num" w:pos="3600"/>
        </w:tabs>
        <w:ind w:left="3600" w:hanging="360"/>
      </w:pPr>
      <w:rPr>
        <w:rFonts w:cs="Times New Roman"/>
      </w:rPr>
    </w:lvl>
    <w:lvl w:ilvl="5" w:tplc="04070005">
      <w:start w:val="1"/>
      <w:numFmt w:val="lowerRoman"/>
      <w:lvlText w:val="%6."/>
      <w:lvlJc w:val="right"/>
      <w:pPr>
        <w:tabs>
          <w:tab w:val="num" w:pos="4320"/>
        </w:tabs>
        <w:ind w:left="4320" w:hanging="18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lowerLetter"/>
      <w:lvlText w:val="%8."/>
      <w:lvlJc w:val="left"/>
      <w:pPr>
        <w:tabs>
          <w:tab w:val="num" w:pos="5760"/>
        </w:tabs>
        <w:ind w:left="5760" w:hanging="360"/>
      </w:pPr>
      <w:rPr>
        <w:rFonts w:cs="Times New Roman"/>
      </w:rPr>
    </w:lvl>
    <w:lvl w:ilvl="8" w:tplc="04070005">
      <w:start w:val="1"/>
      <w:numFmt w:val="lowerRoman"/>
      <w:lvlText w:val="%9."/>
      <w:lvlJc w:val="right"/>
      <w:pPr>
        <w:tabs>
          <w:tab w:val="num" w:pos="6480"/>
        </w:tabs>
        <w:ind w:left="6480" w:hanging="180"/>
      </w:pPr>
      <w:rPr>
        <w:rFonts w:cs="Times New Roman"/>
      </w:rPr>
    </w:lvl>
  </w:abstractNum>
  <w:abstractNum w:abstractNumId="18">
    <w:nsid w:val="42A33981"/>
    <w:multiLevelType w:val="hybridMultilevel"/>
    <w:tmpl w:val="B02E751A"/>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start w:val="1"/>
      <w:numFmt w:val="bullet"/>
      <w:lvlText w:val="o"/>
      <w:lvlJc w:val="left"/>
      <w:pPr>
        <w:tabs>
          <w:tab w:val="num" w:pos="3600"/>
        </w:tabs>
        <w:ind w:left="3600" w:hanging="360"/>
      </w:pPr>
      <w:rPr>
        <w:rFonts w:ascii="Courier New" w:hAnsi="Courier New" w:hint="default"/>
      </w:rPr>
    </w:lvl>
    <w:lvl w:ilvl="5" w:tplc="10090005">
      <w:start w:val="1"/>
      <w:numFmt w:val="bullet"/>
      <w:lvlText w:val=""/>
      <w:lvlJc w:val="left"/>
      <w:pPr>
        <w:tabs>
          <w:tab w:val="num" w:pos="4320"/>
        </w:tabs>
        <w:ind w:left="4320" w:hanging="360"/>
      </w:pPr>
      <w:rPr>
        <w:rFonts w:ascii="Wingdings" w:hAnsi="Wingdings" w:hint="default"/>
      </w:rPr>
    </w:lvl>
    <w:lvl w:ilvl="6" w:tplc="10090001">
      <w:start w:val="1"/>
      <w:numFmt w:val="bullet"/>
      <w:lvlText w:val=""/>
      <w:lvlJc w:val="left"/>
      <w:pPr>
        <w:tabs>
          <w:tab w:val="num" w:pos="5040"/>
        </w:tabs>
        <w:ind w:left="5040" w:hanging="360"/>
      </w:pPr>
      <w:rPr>
        <w:rFonts w:ascii="Symbol" w:hAnsi="Symbol" w:hint="default"/>
      </w:rPr>
    </w:lvl>
    <w:lvl w:ilvl="7" w:tplc="10090003">
      <w:start w:val="1"/>
      <w:numFmt w:val="bullet"/>
      <w:lvlText w:val="o"/>
      <w:lvlJc w:val="left"/>
      <w:pPr>
        <w:tabs>
          <w:tab w:val="num" w:pos="5760"/>
        </w:tabs>
        <w:ind w:left="5760" w:hanging="360"/>
      </w:pPr>
      <w:rPr>
        <w:rFonts w:ascii="Courier New" w:hAnsi="Courier New" w:hint="default"/>
      </w:rPr>
    </w:lvl>
    <w:lvl w:ilvl="8" w:tplc="10090005">
      <w:start w:val="1"/>
      <w:numFmt w:val="bullet"/>
      <w:lvlText w:val=""/>
      <w:lvlJc w:val="left"/>
      <w:pPr>
        <w:tabs>
          <w:tab w:val="num" w:pos="6480"/>
        </w:tabs>
        <w:ind w:left="6480" w:hanging="360"/>
      </w:pPr>
      <w:rPr>
        <w:rFonts w:ascii="Wingdings" w:hAnsi="Wingdings" w:hint="default"/>
      </w:rPr>
    </w:lvl>
  </w:abstractNum>
  <w:abstractNum w:abstractNumId="19">
    <w:nsid w:val="46F02F9F"/>
    <w:multiLevelType w:val="hybridMultilevel"/>
    <w:tmpl w:val="489E44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4E706344"/>
    <w:multiLevelType w:val="hybridMultilevel"/>
    <w:tmpl w:val="329A85CC"/>
    <w:lvl w:ilvl="0" w:tplc="9244C930">
      <w:start w:val="1"/>
      <w:numFmt w:val="upperLetter"/>
      <w:pStyle w:val="Alfabetotitulo"/>
      <w:lvlText w:val="%1."/>
      <w:lvlJc w:val="left"/>
      <w:pPr>
        <w:tabs>
          <w:tab w:val="num" w:pos="720"/>
        </w:tabs>
        <w:ind w:left="720" w:hanging="360"/>
      </w:pPr>
      <w:rPr>
        <w:rFonts w:cs="Times New Roman" w:hint="default"/>
      </w:rPr>
    </w:lvl>
    <w:lvl w:ilvl="1" w:tplc="04140003">
      <w:start w:val="1"/>
      <w:numFmt w:val="lowerLetter"/>
      <w:lvlText w:val="%2."/>
      <w:lvlJc w:val="left"/>
      <w:pPr>
        <w:tabs>
          <w:tab w:val="num" w:pos="1440"/>
        </w:tabs>
        <w:ind w:left="1440" w:hanging="360"/>
      </w:pPr>
      <w:rPr>
        <w:rFonts w:cs="Times New Roman"/>
      </w:rPr>
    </w:lvl>
    <w:lvl w:ilvl="2" w:tplc="04140005">
      <w:start w:val="1"/>
      <w:numFmt w:val="lowerRoman"/>
      <w:lvlText w:val="%3."/>
      <w:lvlJc w:val="right"/>
      <w:pPr>
        <w:tabs>
          <w:tab w:val="num" w:pos="2160"/>
        </w:tabs>
        <w:ind w:left="2160" w:hanging="180"/>
      </w:pPr>
      <w:rPr>
        <w:rFonts w:cs="Times New Roman"/>
      </w:rPr>
    </w:lvl>
    <w:lvl w:ilvl="3" w:tplc="04140001">
      <w:start w:val="1"/>
      <w:numFmt w:val="decimal"/>
      <w:lvlText w:val="%4."/>
      <w:lvlJc w:val="left"/>
      <w:pPr>
        <w:tabs>
          <w:tab w:val="num" w:pos="2880"/>
        </w:tabs>
        <w:ind w:left="2880" w:hanging="360"/>
      </w:pPr>
      <w:rPr>
        <w:rFonts w:cs="Times New Roman"/>
      </w:rPr>
    </w:lvl>
    <w:lvl w:ilvl="4" w:tplc="04140003">
      <w:start w:val="1"/>
      <w:numFmt w:val="lowerLetter"/>
      <w:lvlText w:val="%5."/>
      <w:lvlJc w:val="left"/>
      <w:pPr>
        <w:tabs>
          <w:tab w:val="num" w:pos="3600"/>
        </w:tabs>
        <w:ind w:left="3600" w:hanging="360"/>
      </w:pPr>
      <w:rPr>
        <w:rFonts w:cs="Times New Roman"/>
      </w:rPr>
    </w:lvl>
    <w:lvl w:ilvl="5" w:tplc="04140005">
      <w:start w:val="1"/>
      <w:numFmt w:val="lowerRoman"/>
      <w:lvlText w:val="%6."/>
      <w:lvlJc w:val="right"/>
      <w:pPr>
        <w:tabs>
          <w:tab w:val="num" w:pos="4320"/>
        </w:tabs>
        <w:ind w:left="4320" w:hanging="180"/>
      </w:pPr>
      <w:rPr>
        <w:rFonts w:cs="Times New Roman"/>
      </w:rPr>
    </w:lvl>
    <w:lvl w:ilvl="6" w:tplc="04140001">
      <w:start w:val="1"/>
      <w:numFmt w:val="decimal"/>
      <w:lvlText w:val="%7."/>
      <w:lvlJc w:val="left"/>
      <w:pPr>
        <w:tabs>
          <w:tab w:val="num" w:pos="5040"/>
        </w:tabs>
        <w:ind w:left="5040" w:hanging="360"/>
      </w:pPr>
      <w:rPr>
        <w:rFonts w:cs="Times New Roman"/>
      </w:rPr>
    </w:lvl>
    <w:lvl w:ilvl="7" w:tplc="04140003">
      <w:start w:val="1"/>
      <w:numFmt w:val="lowerLetter"/>
      <w:lvlText w:val="%8."/>
      <w:lvlJc w:val="left"/>
      <w:pPr>
        <w:tabs>
          <w:tab w:val="num" w:pos="5760"/>
        </w:tabs>
        <w:ind w:left="5760" w:hanging="360"/>
      </w:pPr>
      <w:rPr>
        <w:rFonts w:cs="Times New Roman"/>
      </w:rPr>
    </w:lvl>
    <w:lvl w:ilvl="8" w:tplc="04140005">
      <w:start w:val="1"/>
      <w:numFmt w:val="lowerRoman"/>
      <w:lvlText w:val="%9."/>
      <w:lvlJc w:val="right"/>
      <w:pPr>
        <w:tabs>
          <w:tab w:val="num" w:pos="6480"/>
        </w:tabs>
        <w:ind w:left="6480" w:hanging="180"/>
      </w:pPr>
      <w:rPr>
        <w:rFonts w:cs="Times New Roman"/>
      </w:rPr>
    </w:lvl>
  </w:abstractNum>
  <w:abstractNum w:abstractNumId="21">
    <w:nsid w:val="511C701C"/>
    <w:multiLevelType w:val="hybridMultilevel"/>
    <w:tmpl w:val="7C4279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548F3B89"/>
    <w:multiLevelType w:val="hybridMultilevel"/>
    <w:tmpl w:val="88209576"/>
    <w:lvl w:ilvl="0" w:tplc="610A1BD4">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3">
    <w:nsid w:val="5D217EB5"/>
    <w:multiLevelType w:val="multilevel"/>
    <w:tmpl w:val="6986D9D8"/>
    <w:lvl w:ilvl="0">
      <w:start w:val="1"/>
      <w:numFmt w:val="decimal"/>
      <w:pStyle w:val="Style"/>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4">
    <w:nsid w:val="5D666118"/>
    <w:multiLevelType w:val="hybridMultilevel"/>
    <w:tmpl w:val="5EEE6212"/>
    <w:lvl w:ilvl="0" w:tplc="10090001">
      <w:start w:val="1"/>
      <w:numFmt w:val="lowerLetter"/>
      <w:pStyle w:val="NumerierungAnfang"/>
      <w:lvlText w:val="%1."/>
      <w:lvlJc w:val="left"/>
      <w:pPr>
        <w:tabs>
          <w:tab w:val="num" w:pos="360"/>
        </w:tabs>
      </w:pPr>
      <w:rPr>
        <w:rFonts w:cs="Times New Roman" w:hint="default"/>
      </w:rPr>
    </w:lvl>
    <w:lvl w:ilvl="1" w:tplc="10090003">
      <w:start w:val="1"/>
      <w:numFmt w:val="lowerLetter"/>
      <w:lvlText w:val="%2."/>
      <w:lvlJc w:val="left"/>
      <w:pPr>
        <w:tabs>
          <w:tab w:val="num" w:pos="1800"/>
        </w:tabs>
        <w:ind w:left="1800" w:hanging="360"/>
      </w:pPr>
      <w:rPr>
        <w:rFonts w:cs="Times New Roman"/>
      </w:rPr>
    </w:lvl>
    <w:lvl w:ilvl="2" w:tplc="10090005">
      <w:start w:val="1"/>
      <w:numFmt w:val="lowerRoman"/>
      <w:lvlText w:val="%3."/>
      <w:lvlJc w:val="right"/>
      <w:pPr>
        <w:tabs>
          <w:tab w:val="num" w:pos="2520"/>
        </w:tabs>
        <w:ind w:left="2520" w:hanging="180"/>
      </w:pPr>
      <w:rPr>
        <w:rFonts w:cs="Times New Roman"/>
      </w:rPr>
    </w:lvl>
    <w:lvl w:ilvl="3" w:tplc="10090001">
      <w:start w:val="1"/>
      <w:numFmt w:val="decimal"/>
      <w:lvlText w:val="%4."/>
      <w:lvlJc w:val="left"/>
      <w:pPr>
        <w:tabs>
          <w:tab w:val="num" w:pos="3240"/>
        </w:tabs>
        <w:ind w:left="3240" w:hanging="360"/>
      </w:pPr>
      <w:rPr>
        <w:rFonts w:cs="Times New Roman"/>
      </w:rPr>
    </w:lvl>
    <w:lvl w:ilvl="4" w:tplc="10090003">
      <w:start w:val="1"/>
      <w:numFmt w:val="lowerLetter"/>
      <w:lvlText w:val="%5."/>
      <w:lvlJc w:val="left"/>
      <w:pPr>
        <w:tabs>
          <w:tab w:val="num" w:pos="3960"/>
        </w:tabs>
        <w:ind w:left="3960" w:hanging="360"/>
      </w:pPr>
      <w:rPr>
        <w:rFonts w:cs="Times New Roman"/>
      </w:rPr>
    </w:lvl>
    <w:lvl w:ilvl="5" w:tplc="10090005">
      <w:start w:val="1"/>
      <w:numFmt w:val="lowerRoman"/>
      <w:lvlText w:val="%6."/>
      <w:lvlJc w:val="right"/>
      <w:pPr>
        <w:tabs>
          <w:tab w:val="num" w:pos="4680"/>
        </w:tabs>
        <w:ind w:left="4680" w:hanging="180"/>
      </w:pPr>
      <w:rPr>
        <w:rFonts w:cs="Times New Roman"/>
      </w:rPr>
    </w:lvl>
    <w:lvl w:ilvl="6" w:tplc="10090001">
      <w:start w:val="1"/>
      <w:numFmt w:val="decimal"/>
      <w:lvlText w:val="%7."/>
      <w:lvlJc w:val="left"/>
      <w:pPr>
        <w:tabs>
          <w:tab w:val="num" w:pos="5400"/>
        </w:tabs>
        <w:ind w:left="5400" w:hanging="360"/>
      </w:pPr>
      <w:rPr>
        <w:rFonts w:cs="Times New Roman"/>
      </w:rPr>
    </w:lvl>
    <w:lvl w:ilvl="7" w:tplc="10090003">
      <w:start w:val="1"/>
      <w:numFmt w:val="lowerLetter"/>
      <w:lvlText w:val="%8."/>
      <w:lvlJc w:val="left"/>
      <w:pPr>
        <w:tabs>
          <w:tab w:val="num" w:pos="6120"/>
        </w:tabs>
        <w:ind w:left="6120" w:hanging="360"/>
      </w:pPr>
      <w:rPr>
        <w:rFonts w:cs="Times New Roman"/>
      </w:rPr>
    </w:lvl>
    <w:lvl w:ilvl="8" w:tplc="10090005">
      <w:start w:val="1"/>
      <w:numFmt w:val="lowerRoman"/>
      <w:lvlText w:val="%9."/>
      <w:lvlJc w:val="right"/>
      <w:pPr>
        <w:tabs>
          <w:tab w:val="num" w:pos="6840"/>
        </w:tabs>
        <w:ind w:left="6840" w:hanging="180"/>
      </w:pPr>
      <w:rPr>
        <w:rFonts w:cs="Times New Roman"/>
      </w:rPr>
    </w:lvl>
  </w:abstractNum>
  <w:abstractNum w:abstractNumId="25">
    <w:nsid w:val="617D5234"/>
    <w:multiLevelType w:val="hybridMultilevel"/>
    <w:tmpl w:val="C840DB3E"/>
    <w:lvl w:ilvl="0" w:tplc="44142174">
      <w:start w:val="1"/>
      <w:numFmt w:val="bullet"/>
      <w:lvlText w:val=""/>
      <w:lvlJc w:val="left"/>
      <w:pPr>
        <w:tabs>
          <w:tab w:val="num" w:pos="720"/>
        </w:tabs>
        <w:ind w:left="720" w:hanging="360"/>
      </w:pPr>
      <w:rPr>
        <w:rFonts w:ascii="Symbol" w:hAnsi="Symbol" w:hint="default"/>
      </w:rPr>
    </w:lvl>
    <w:lvl w:ilvl="1" w:tplc="B91E2456">
      <w:start w:val="1"/>
      <w:numFmt w:val="bullet"/>
      <w:lvlText w:val="o"/>
      <w:lvlJc w:val="left"/>
      <w:pPr>
        <w:tabs>
          <w:tab w:val="num" w:pos="1440"/>
        </w:tabs>
        <w:ind w:left="1440" w:hanging="360"/>
      </w:pPr>
      <w:rPr>
        <w:rFonts w:ascii="Courier New" w:hAnsi="Courier New" w:hint="default"/>
      </w:rPr>
    </w:lvl>
    <w:lvl w:ilvl="2" w:tplc="5600D912">
      <w:start w:val="1"/>
      <w:numFmt w:val="bullet"/>
      <w:lvlText w:val=""/>
      <w:lvlJc w:val="left"/>
      <w:pPr>
        <w:tabs>
          <w:tab w:val="num" w:pos="2160"/>
        </w:tabs>
        <w:ind w:left="2160" w:hanging="360"/>
      </w:pPr>
      <w:rPr>
        <w:rFonts w:ascii="Wingdings" w:hAnsi="Wingdings" w:hint="default"/>
      </w:rPr>
    </w:lvl>
    <w:lvl w:ilvl="3" w:tplc="0B448A7C">
      <w:start w:val="1"/>
      <w:numFmt w:val="bullet"/>
      <w:lvlText w:val=""/>
      <w:lvlJc w:val="left"/>
      <w:pPr>
        <w:tabs>
          <w:tab w:val="num" w:pos="2880"/>
        </w:tabs>
        <w:ind w:left="2880" w:hanging="360"/>
      </w:pPr>
      <w:rPr>
        <w:rFonts w:ascii="Symbol" w:hAnsi="Symbol" w:hint="default"/>
      </w:rPr>
    </w:lvl>
    <w:lvl w:ilvl="4" w:tplc="2A684292">
      <w:start w:val="1"/>
      <w:numFmt w:val="bullet"/>
      <w:lvlText w:val="o"/>
      <w:lvlJc w:val="left"/>
      <w:pPr>
        <w:tabs>
          <w:tab w:val="num" w:pos="3600"/>
        </w:tabs>
        <w:ind w:left="3600" w:hanging="360"/>
      </w:pPr>
      <w:rPr>
        <w:rFonts w:ascii="Courier New" w:hAnsi="Courier New" w:hint="default"/>
      </w:rPr>
    </w:lvl>
    <w:lvl w:ilvl="5" w:tplc="394A1CA0">
      <w:start w:val="1"/>
      <w:numFmt w:val="bullet"/>
      <w:lvlText w:val=""/>
      <w:lvlJc w:val="left"/>
      <w:pPr>
        <w:tabs>
          <w:tab w:val="num" w:pos="4320"/>
        </w:tabs>
        <w:ind w:left="4320" w:hanging="360"/>
      </w:pPr>
      <w:rPr>
        <w:rFonts w:ascii="Wingdings" w:hAnsi="Wingdings" w:hint="default"/>
      </w:rPr>
    </w:lvl>
    <w:lvl w:ilvl="6" w:tplc="827AE716">
      <w:start w:val="1"/>
      <w:numFmt w:val="bullet"/>
      <w:lvlText w:val=""/>
      <w:lvlJc w:val="left"/>
      <w:pPr>
        <w:tabs>
          <w:tab w:val="num" w:pos="5040"/>
        </w:tabs>
        <w:ind w:left="5040" w:hanging="360"/>
      </w:pPr>
      <w:rPr>
        <w:rFonts w:ascii="Symbol" w:hAnsi="Symbol" w:hint="default"/>
      </w:rPr>
    </w:lvl>
    <w:lvl w:ilvl="7" w:tplc="CA4C66D0">
      <w:start w:val="1"/>
      <w:numFmt w:val="bullet"/>
      <w:lvlText w:val="o"/>
      <w:lvlJc w:val="left"/>
      <w:pPr>
        <w:tabs>
          <w:tab w:val="num" w:pos="5760"/>
        </w:tabs>
        <w:ind w:left="5760" w:hanging="360"/>
      </w:pPr>
      <w:rPr>
        <w:rFonts w:ascii="Courier New" w:hAnsi="Courier New" w:hint="default"/>
      </w:rPr>
    </w:lvl>
    <w:lvl w:ilvl="8" w:tplc="B8E002E8">
      <w:start w:val="1"/>
      <w:numFmt w:val="bullet"/>
      <w:lvlText w:val=""/>
      <w:lvlJc w:val="left"/>
      <w:pPr>
        <w:tabs>
          <w:tab w:val="num" w:pos="6480"/>
        </w:tabs>
        <w:ind w:left="6480" w:hanging="360"/>
      </w:pPr>
      <w:rPr>
        <w:rFonts w:ascii="Wingdings" w:hAnsi="Wingdings" w:hint="default"/>
      </w:rPr>
    </w:lvl>
  </w:abstractNum>
  <w:abstractNum w:abstractNumId="26">
    <w:nsid w:val="694840F4"/>
    <w:multiLevelType w:val="hybridMultilevel"/>
    <w:tmpl w:val="1DF498B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7">
    <w:nsid w:val="6B474E0E"/>
    <w:multiLevelType w:val="multilevel"/>
    <w:tmpl w:val="5178C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5D20EA"/>
    <w:multiLevelType w:val="multilevel"/>
    <w:tmpl w:val="E474E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A310A72"/>
    <w:multiLevelType w:val="singleLevel"/>
    <w:tmpl w:val="3B3CBCB2"/>
    <w:lvl w:ilvl="0">
      <w:start w:val="1"/>
      <w:numFmt w:val="bullet"/>
      <w:pStyle w:val="BodyText1"/>
      <w:lvlText w:val=""/>
      <w:lvlJc w:val="left"/>
      <w:pPr>
        <w:tabs>
          <w:tab w:val="num" w:pos="360"/>
        </w:tabs>
        <w:ind w:left="357" w:hanging="357"/>
      </w:pPr>
      <w:rPr>
        <w:rFonts w:ascii="Symbol" w:hAnsi="Symbol" w:hint="default"/>
      </w:rPr>
    </w:lvl>
  </w:abstractNum>
  <w:abstractNum w:abstractNumId="30">
    <w:nsid w:val="7D7B3D45"/>
    <w:multiLevelType w:val="hybridMultilevel"/>
    <w:tmpl w:val="75B4DE0E"/>
    <w:lvl w:ilvl="0" w:tplc="9BDE26B8">
      <w:start w:val="1"/>
      <w:numFmt w:val="bullet"/>
      <w:lvlText w:val=""/>
      <w:lvlJc w:val="left"/>
      <w:pPr>
        <w:tabs>
          <w:tab w:val="num" w:pos="720"/>
        </w:tabs>
        <w:ind w:left="720" w:hanging="360"/>
      </w:pPr>
      <w:rPr>
        <w:rFonts w:ascii="Symbol" w:hAnsi="Symbol" w:hint="default"/>
      </w:rPr>
    </w:lvl>
    <w:lvl w:ilvl="1" w:tplc="BCACC8AE">
      <w:start w:val="1"/>
      <w:numFmt w:val="bullet"/>
      <w:lvlText w:val="o"/>
      <w:lvlJc w:val="left"/>
      <w:pPr>
        <w:tabs>
          <w:tab w:val="num" w:pos="1440"/>
        </w:tabs>
        <w:ind w:left="1440" w:hanging="360"/>
      </w:pPr>
      <w:rPr>
        <w:rFonts w:ascii="Courier New" w:hAnsi="Courier New" w:hint="default"/>
      </w:rPr>
    </w:lvl>
    <w:lvl w:ilvl="2" w:tplc="79787D70">
      <w:start w:val="1"/>
      <w:numFmt w:val="bullet"/>
      <w:lvlText w:val=""/>
      <w:lvlJc w:val="left"/>
      <w:pPr>
        <w:tabs>
          <w:tab w:val="num" w:pos="2160"/>
        </w:tabs>
        <w:ind w:left="2160" w:hanging="360"/>
      </w:pPr>
      <w:rPr>
        <w:rFonts w:ascii="Wingdings" w:hAnsi="Wingdings" w:hint="default"/>
      </w:rPr>
    </w:lvl>
    <w:lvl w:ilvl="3" w:tplc="98E40E7A">
      <w:start w:val="1"/>
      <w:numFmt w:val="bullet"/>
      <w:lvlText w:val=""/>
      <w:lvlJc w:val="left"/>
      <w:pPr>
        <w:tabs>
          <w:tab w:val="num" w:pos="2880"/>
        </w:tabs>
        <w:ind w:left="2880" w:hanging="360"/>
      </w:pPr>
      <w:rPr>
        <w:rFonts w:ascii="Symbol" w:hAnsi="Symbol" w:hint="default"/>
      </w:rPr>
    </w:lvl>
    <w:lvl w:ilvl="4" w:tplc="B7F0F41A">
      <w:start w:val="1"/>
      <w:numFmt w:val="bullet"/>
      <w:lvlText w:val="o"/>
      <w:lvlJc w:val="left"/>
      <w:pPr>
        <w:tabs>
          <w:tab w:val="num" w:pos="3600"/>
        </w:tabs>
        <w:ind w:left="3600" w:hanging="360"/>
      </w:pPr>
      <w:rPr>
        <w:rFonts w:ascii="Courier New" w:hAnsi="Courier New" w:hint="default"/>
      </w:rPr>
    </w:lvl>
    <w:lvl w:ilvl="5" w:tplc="3EB64A9C">
      <w:start w:val="1"/>
      <w:numFmt w:val="bullet"/>
      <w:lvlText w:val=""/>
      <w:lvlJc w:val="left"/>
      <w:pPr>
        <w:tabs>
          <w:tab w:val="num" w:pos="4320"/>
        </w:tabs>
        <w:ind w:left="4320" w:hanging="360"/>
      </w:pPr>
      <w:rPr>
        <w:rFonts w:ascii="Wingdings" w:hAnsi="Wingdings" w:hint="default"/>
      </w:rPr>
    </w:lvl>
    <w:lvl w:ilvl="6" w:tplc="B8B8F576">
      <w:start w:val="1"/>
      <w:numFmt w:val="bullet"/>
      <w:lvlText w:val=""/>
      <w:lvlJc w:val="left"/>
      <w:pPr>
        <w:tabs>
          <w:tab w:val="num" w:pos="5040"/>
        </w:tabs>
        <w:ind w:left="5040" w:hanging="360"/>
      </w:pPr>
      <w:rPr>
        <w:rFonts w:ascii="Symbol" w:hAnsi="Symbol" w:hint="default"/>
      </w:rPr>
    </w:lvl>
    <w:lvl w:ilvl="7" w:tplc="37AAE126">
      <w:start w:val="1"/>
      <w:numFmt w:val="bullet"/>
      <w:lvlText w:val="o"/>
      <w:lvlJc w:val="left"/>
      <w:pPr>
        <w:tabs>
          <w:tab w:val="num" w:pos="5760"/>
        </w:tabs>
        <w:ind w:left="5760" w:hanging="360"/>
      </w:pPr>
      <w:rPr>
        <w:rFonts w:ascii="Courier New" w:hAnsi="Courier New" w:hint="default"/>
      </w:rPr>
    </w:lvl>
    <w:lvl w:ilvl="8" w:tplc="F4307602">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0"/>
  </w:num>
  <w:num w:numId="8">
    <w:abstractNumId w:val="6"/>
  </w:num>
  <w:num w:numId="9">
    <w:abstractNumId w:val="9"/>
  </w:num>
  <w:num w:numId="10">
    <w:abstractNumId w:val="24"/>
  </w:num>
  <w:num w:numId="11">
    <w:abstractNumId w:val="20"/>
  </w:num>
  <w:num w:numId="12">
    <w:abstractNumId w:val="23"/>
  </w:num>
  <w:num w:numId="13">
    <w:abstractNumId w:val="29"/>
  </w:num>
  <w:num w:numId="14">
    <w:abstractNumId w:val="13"/>
  </w:num>
  <w:num w:numId="15">
    <w:abstractNumId w:val="2"/>
  </w:num>
  <w:num w:numId="16">
    <w:abstractNumId w:val="7"/>
  </w:num>
  <w:num w:numId="17">
    <w:abstractNumId w:val="22"/>
  </w:num>
  <w:num w:numId="18">
    <w:abstractNumId w:val="5"/>
  </w:num>
  <w:num w:numId="19">
    <w:abstractNumId w:val="19"/>
  </w:num>
  <w:num w:numId="20">
    <w:abstractNumId w:val="26"/>
  </w:num>
  <w:num w:numId="21">
    <w:abstractNumId w:val="21"/>
  </w:num>
  <w:num w:numId="22">
    <w:abstractNumId w:val="12"/>
  </w:num>
  <w:num w:numId="23">
    <w:abstractNumId w:val="25"/>
  </w:num>
  <w:num w:numId="24">
    <w:abstractNumId w:val="14"/>
  </w:num>
  <w:num w:numId="25">
    <w:abstractNumId w:val="18"/>
  </w:num>
  <w:num w:numId="26">
    <w:abstractNumId w:val="15"/>
  </w:num>
  <w:num w:numId="27">
    <w:abstractNumId w:val="30"/>
  </w:num>
  <w:num w:numId="28">
    <w:abstractNumId w:val="8"/>
  </w:num>
  <w:num w:numId="29">
    <w:abstractNumId w:val="16"/>
  </w:num>
  <w:num w:numId="30">
    <w:abstractNumId w:val="17"/>
  </w:num>
  <w:num w:numId="31">
    <w:abstractNumId w:val="4"/>
  </w:num>
  <w:num w:numId="32">
    <w:abstractNumId w:val="9"/>
  </w:num>
  <w:num w:numId="33">
    <w:abstractNumId w:val="3"/>
  </w:num>
  <w:num w:numId="34">
    <w:abstractNumId w:val="28"/>
  </w:num>
  <w:num w:numId="35">
    <w:abstractNumId w:val="11"/>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hyphenationZone w:val="425"/>
  <w:doNotHyphenateCaps/>
  <w:evenAndOddHeaders/>
  <w:drawingGridHorizontalSpacing w:val="110"/>
  <w:displayHorizontalDrawingGridEvery w:val="2"/>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DF4C45"/>
    <w:rsid w:val="00000FBF"/>
    <w:rsid w:val="000020B8"/>
    <w:rsid w:val="0000291F"/>
    <w:rsid w:val="00002C17"/>
    <w:rsid w:val="000038D6"/>
    <w:rsid w:val="0000439D"/>
    <w:rsid w:val="000058C3"/>
    <w:rsid w:val="00005AE0"/>
    <w:rsid w:val="000060E5"/>
    <w:rsid w:val="00006237"/>
    <w:rsid w:val="000065E9"/>
    <w:rsid w:val="000074DB"/>
    <w:rsid w:val="00007578"/>
    <w:rsid w:val="000109FE"/>
    <w:rsid w:val="00010B86"/>
    <w:rsid w:val="00010FC4"/>
    <w:rsid w:val="0001131B"/>
    <w:rsid w:val="00014148"/>
    <w:rsid w:val="000144E8"/>
    <w:rsid w:val="00015572"/>
    <w:rsid w:val="000159A9"/>
    <w:rsid w:val="00017D40"/>
    <w:rsid w:val="00020323"/>
    <w:rsid w:val="00021390"/>
    <w:rsid w:val="00023715"/>
    <w:rsid w:val="00024540"/>
    <w:rsid w:val="00024A6E"/>
    <w:rsid w:val="00024B28"/>
    <w:rsid w:val="00024CAC"/>
    <w:rsid w:val="0002550C"/>
    <w:rsid w:val="00025A84"/>
    <w:rsid w:val="00025E0F"/>
    <w:rsid w:val="00026037"/>
    <w:rsid w:val="000266BB"/>
    <w:rsid w:val="00026A6A"/>
    <w:rsid w:val="00027534"/>
    <w:rsid w:val="00027D84"/>
    <w:rsid w:val="000304E8"/>
    <w:rsid w:val="000309BA"/>
    <w:rsid w:val="00030F08"/>
    <w:rsid w:val="000310DA"/>
    <w:rsid w:val="00031364"/>
    <w:rsid w:val="000315AB"/>
    <w:rsid w:val="00031A8E"/>
    <w:rsid w:val="00031ADD"/>
    <w:rsid w:val="00031AF9"/>
    <w:rsid w:val="00033143"/>
    <w:rsid w:val="000337D4"/>
    <w:rsid w:val="00033F0F"/>
    <w:rsid w:val="000351E5"/>
    <w:rsid w:val="00035BB9"/>
    <w:rsid w:val="00035E5B"/>
    <w:rsid w:val="00035E6D"/>
    <w:rsid w:val="000362DF"/>
    <w:rsid w:val="0003783F"/>
    <w:rsid w:val="00037916"/>
    <w:rsid w:val="00037B2C"/>
    <w:rsid w:val="00037EF6"/>
    <w:rsid w:val="0004184D"/>
    <w:rsid w:val="000418F1"/>
    <w:rsid w:val="00042763"/>
    <w:rsid w:val="000433A1"/>
    <w:rsid w:val="000435E4"/>
    <w:rsid w:val="00043EE6"/>
    <w:rsid w:val="00046280"/>
    <w:rsid w:val="000463AA"/>
    <w:rsid w:val="00046532"/>
    <w:rsid w:val="00046A6E"/>
    <w:rsid w:val="00046C9D"/>
    <w:rsid w:val="00046F3F"/>
    <w:rsid w:val="0004744A"/>
    <w:rsid w:val="000476C5"/>
    <w:rsid w:val="000507E2"/>
    <w:rsid w:val="00050E92"/>
    <w:rsid w:val="0005103D"/>
    <w:rsid w:val="00051066"/>
    <w:rsid w:val="000519E8"/>
    <w:rsid w:val="00052B93"/>
    <w:rsid w:val="000540B6"/>
    <w:rsid w:val="00054DF4"/>
    <w:rsid w:val="00055920"/>
    <w:rsid w:val="00055A21"/>
    <w:rsid w:val="00056A0A"/>
    <w:rsid w:val="00057289"/>
    <w:rsid w:val="00061BA7"/>
    <w:rsid w:val="000629DA"/>
    <w:rsid w:val="000631D2"/>
    <w:rsid w:val="000639C5"/>
    <w:rsid w:val="00063BBF"/>
    <w:rsid w:val="00064784"/>
    <w:rsid w:val="00065AC6"/>
    <w:rsid w:val="00065EC1"/>
    <w:rsid w:val="0006604E"/>
    <w:rsid w:val="00067410"/>
    <w:rsid w:val="0006745F"/>
    <w:rsid w:val="00067B1B"/>
    <w:rsid w:val="00067F51"/>
    <w:rsid w:val="00070024"/>
    <w:rsid w:val="000708CE"/>
    <w:rsid w:val="00070D6C"/>
    <w:rsid w:val="0007141B"/>
    <w:rsid w:val="000714E4"/>
    <w:rsid w:val="00071593"/>
    <w:rsid w:val="0007162C"/>
    <w:rsid w:val="00071831"/>
    <w:rsid w:val="00072040"/>
    <w:rsid w:val="0007238E"/>
    <w:rsid w:val="00072F9D"/>
    <w:rsid w:val="000735AF"/>
    <w:rsid w:val="00074814"/>
    <w:rsid w:val="000748B6"/>
    <w:rsid w:val="00074B13"/>
    <w:rsid w:val="00075907"/>
    <w:rsid w:val="000767AD"/>
    <w:rsid w:val="00076821"/>
    <w:rsid w:val="00076B4E"/>
    <w:rsid w:val="00076B90"/>
    <w:rsid w:val="000774A8"/>
    <w:rsid w:val="00077B5A"/>
    <w:rsid w:val="00077BCA"/>
    <w:rsid w:val="000804C3"/>
    <w:rsid w:val="000807BD"/>
    <w:rsid w:val="00083056"/>
    <w:rsid w:val="000835A8"/>
    <w:rsid w:val="000837B6"/>
    <w:rsid w:val="00084F82"/>
    <w:rsid w:val="0008559F"/>
    <w:rsid w:val="000858ED"/>
    <w:rsid w:val="0008661D"/>
    <w:rsid w:val="000868BC"/>
    <w:rsid w:val="00086B54"/>
    <w:rsid w:val="00087005"/>
    <w:rsid w:val="000871A6"/>
    <w:rsid w:val="0008772E"/>
    <w:rsid w:val="00087C64"/>
    <w:rsid w:val="00087E42"/>
    <w:rsid w:val="00090AB5"/>
    <w:rsid w:val="00091E5E"/>
    <w:rsid w:val="000930CA"/>
    <w:rsid w:val="0009315F"/>
    <w:rsid w:val="00093911"/>
    <w:rsid w:val="00093CD4"/>
    <w:rsid w:val="00093E01"/>
    <w:rsid w:val="00093F57"/>
    <w:rsid w:val="000942AC"/>
    <w:rsid w:val="00095FDE"/>
    <w:rsid w:val="00096228"/>
    <w:rsid w:val="00097F30"/>
    <w:rsid w:val="000A10CD"/>
    <w:rsid w:val="000A17A4"/>
    <w:rsid w:val="000A25F1"/>
    <w:rsid w:val="000A2D73"/>
    <w:rsid w:val="000A2E1D"/>
    <w:rsid w:val="000A2E86"/>
    <w:rsid w:val="000A3704"/>
    <w:rsid w:val="000A3C36"/>
    <w:rsid w:val="000A3D03"/>
    <w:rsid w:val="000A4E98"/>
    <w:rsid w:val="000A563A"/>
    <w:rsid w:val="000A586B"/>
    <w:rsid w:val="000A5AA0"/>
    <w:rsid w:val="000A5B00"/>
    <w:rsid w:val="000A5B46"/>
    <w:rsid w:val="000A624A"/>
    <w:rsid w:val="000A66BD"/>
    <w:rsid w:val="000A68AB"/>
    <w:rsid w:val="000A69AB"/>
    <w:rsid w:val="000A79E1"/>
    <w:rsid w:val="000A7B91"/>
    <w:rsid w:val="000B03B7"/>
    <w:rsid w:val="000B0410"/>
    <w:rsid w:val="000B059D"/>
    <w:rsid w:val="000B111B"/>
    <w:rsid w:val="000B11B3"/>
    <w:rsid w:val="000B21FD"/>
    <w:rsid w:val="000B2306"/>
    <w:rsid w:val="000B329C"/>
    <w:rsid w:val="000B35D6"/>
    <w:rsid w:val="000B46E6"/>
    <w:rsid w:val="000B4CAA"/>
    <w:rsid w:val="000B52EA"/>
    <w:rsid w:val="000C0F5E"/>
    <w:rsid w:val="000C149A"/>
    <w:rsid w:val="000C16A1"/>
    <w:rsid w:val="000C261D"/>
    <w:rsid w:val="000C2BA0"/>
    <w:rsid w:val="000C2CED"/>
    <w:rsid w:val="000C325A"/>
    <w:rsid w:val="000C33DE"/>
    <w:rsid w:val="000C3C01"/>
    <w:rsid w:val="000C4552"/>
    <w:rsid w:val="000C46DC"/>
    <w:rsid w:val="000C57EC"/>
    <w:rsid w:val="000C628C"/>
    <w:rsid w:val="000C6E06"/>
    <w:rsid w:val="000C7188"/>
    <w:rsid w:val="000C7C59"/>
    <w:rsid w:val="000C7FBB"/>
    <w:rsid w:val="000D03D6"/>
    <w:rsid w:val="000D0A43"/>
    <w:rsid w:val="000D110E"/>
    <w:rsid w:val="000D1175"/>
    <w:rsid w:val="000D1361"/>
    <w:rsid w:val="000D21DC"/>
    <w:rsid w:val="000D341D"/>
    <w:rsid w:val="000D35C8"/>
    <w:rsid w:val="000D5858"/>
    <w:rsid w:val="000D5C68"/>
    <w:rsid w:val="000D6A0B"/>
    <w:rsid w:val="000E01E4"/>
    <w:rsid w:val="000E04EC"/>
    <w:rsid w:val="000E055D"/>
    <w:rsid w:val="000E2673"/>
    <w:rsid w:val="000E35D6"/>
    <w:rsid w:val="000E428F"/>
    <w:rsid w:val="000E4B34"/>
    <w:rsid w:val="000E57A7"/>
    <w:rsid w:val="000E6042"/>
    <w:rsid w:val="000E65E1"/>
    <w:rsid w:val="000E740C"/>
    <w:rsid w:val="000F007D"/>
    <w:rsid w:val="000F09B6"/>
    <w:rsid w:val="000F2A59"/>
    <w:rsid w:val="000F58A7"/>
    <w:rsid w:val="000F60E5"/>
    <w:rsid w:val="000F6BCE"/>
    <w:rsid w:val="000F73E6"/>
    <w:rsid w:val="000F7DF5"/>
    <w:rsid w:val="000F7E98"/>
    <w:rsid w:val="001003C8"/>
    <w:rsid w:val="001007B3"/>
    <w:rsid w:val="001007DE"/>
    <w:rsid w:val="001009B6"/>
    <w:rsid w:val="001009D8"/>
    <w:rsid w:val="00100D2F"/>
    <w:rsid w:val="00100F4E"/>
    <w:rsid w:val="00101458"/>
    <w:rsid w:val="00101C26"/>
    <w:rsid w:val="00101EF2"/>
    <w:rsid w:val="0010308B"/>
    <w:rsid w:val="00104944"/>
    <w:rsid w:val="0010498E"/>
    <w:rsid w:val="00104B7E"/>
    <w:rsid w:val="00105F4B"/>
    <w:rsid w:val="00106E09"/>
    <w:rsid w:val="00107026"/>
    <w:rsid w:val="00107148"/>
    <w:rsid w:val="00107B01"/>
    <w:rsid w:val="001103A0"/>
    <w:rsid w:val="00110C68"/>
    <w:rsid w:val="00110CD9"/>
    <w:rsid w:val="00113128"/>
    <w:rsid w:val="0011426C"/>
    <w:rsid w:val="001149DF"/>
    <w:rsid w:val="001154EE"/>
    <w:rsid w:val="001172BA"/>
    <w:rsid w:val="0011789B"/>
    <w:rsid w:val="0011793D"/>
    <w:rsid w:val="00121D84"/>
    <w:rsid w:val="00122EB3"/>
    <w:rsid w:val="0012447F"/>
    <w:rsid w:val="001244D6"/>
    <w:rsid w:val="00124ADE"/>
    <w:rsid w:val="00124EA1"/>
    <w:rsid w:val="00125009"/>
    <w:rsid w:val="00125F82"/>
    <w:rsid w:val="001261D8"/>
    <w:rsid w:val="00126C8B"/>
    <w:rsid w:val="00126F2F"/>
    <w:rsid w:val="00127213"/>
    <w:rsid w:val="0012736A"/>
    <w:rsid w:val="00130546"/>
    <w:rsid w:val="00130692"/>
    <w:rsid w:val="001318F3"/>
    <w:rsid w:val="001328EE"/>
    <w:rsid w:val="0013363D"/>
    <w:rsid w:val="00135ADA"/>
    <w:rsid w:val="00135BEB"/>
    <w:rsid w:val="00136833"/>
    <w:rsid w:val="00136B74"/>
    <w:rsid w:val="001370CD"/>
    <w:rsid w:val="00137713"/>
    <w:rsid w:val="001378EC"/>
    <w:rsid w:val="00137B14"/>
    <w:rsid w:val="00137DAE"/>
    <w:rsid w:val="00137E9B"/>
    <w:rsid w:val="001403DD"/>
    <w:rsid w:val="00140D3A"/>
    <w:rsid w:val="0014115A"/>
    <w:rsid w:val="0014264D"/>
    <w:rsid w:val="001427B8"/>
    <w:rsid w:val="00142986"/>
    <w:rsid w:val="00143302"/>
    <w:rsid w:val="001437E6"/>
    <w:rsid w:val="001453BC"/>
    <w:rsid w:val="00145DA8"/>
    <w:rsid w:val="00147077"/>
    <w:rsid w:val="00147714"/>
    <w:rsid w:val="00151965"/>
    <w:rsid w:val="00151F43"/>
    <w:rsid w:val="001536A0"/>
    <w:rsid w:val="00154B31"/>
    <w:rsid w:val="0015513A"/>
    <w:rsid w:val="001564A3"/>
    <w:rsid w:val="00156CDA"/>
    <w:rsid w:val="00157779"/>
    <w:rsid w:val="00157A04"/>
    <w:rsid w:val="00160D2C"/>
    <w:rsid w:val="00160E3D"/>
    <w:rsid w:val="001623F7"/>
    <w:rsid w:val="001627DC"/>
    <w:rsid w:val="00163A58"/>
    <w:rsid w:val="00163F61"/>
    <w:rsid w:val="001654F0"/>
    <w:rsid w:val="00165A83"/>
    <w:rsid w:val="00165D6A"/>
    <w:rsid w:val="001666F3"/>
    <w:rsid w:val="00166AC0"/>
    <w:rsid w:val="00166E26"/>
    <w:rsid w:val="001671C9"/>
    <w:rsid w:val="00167491"/>
    <w:rsid w:val="00167801"/>
    <w:rsid w:val="0017060A"/>
    <w:rsid w:val="0017135B"/>
    <w:rsid w:val="00171928"/>
    <w:rsid w:val="001725B0"/>
    <w:rsid w:val="00172DB2"/>
    <w:rsid w:val="00173022"/>
    <w:rsid w:val="001732F1"/>
    <w:rsid w:val="001735FF"/>
    <w:rsid w:val="00173923"/>
    <w:rsid w:val="001740C8"/>
    <w:rsid w:val="00174AF2"/>
    <w:rsid w:val="00174B3D"/>
    <w:rsid w:val="00174D28"/>
    <w:rsid w:val="001751B6"/>
    <w:rsid w:val="00175546"/>
    <w:rsid w:val="0017619C"/>
    <w:rsid w:val="00176565"/>
    <w:rsid w:val="0017674D"/>
    <w:rsid w:val="00176BBD"/>
    <w:rsid w:val="00177149"/>
    <w:rsid w:val="0017735F"/>
    <w:rsid w:val="00180D99"/>
    <w:rsid w:val="00180ED6"/>
    <w:rsid w:val="0018105E"/>
    <w:rsid w:val="00181314"/>
    <w:rsid w:val="001815A6"/>
    <w:rsid w:val="00181D1F"/>
    <w:rsid w:val="001822A3"/>
    <w:rsid w:val="001825A5"/>
    <w:rsid w:val="0018276D"/>
    <w:rsid w:val="00182DCB"/>
    <w:rsid w:val="00183012"/>
    <w:rsid w:val="00183761"/>
    <w:rsid w:val="001843BB"/>
    <w:rsid w:val="00184A73"/>
    <w:rsid w:val="00184A8C"/>
    <w:rsid w:val="001874E4"/>
    <w:rsid w:val="00190650"/>
    <w:rsid w:val="001907FB"/>
    <w:rsid w:val="001917EB"/>
    <w:rsid w:val="00191AE1"/>
    <w:rsid w:val="00193C74"/>
    <w:rsid w:val="0019435A"/>
    <w:rsid w:val="00194774"/>
    <w:rsid w:val="00194C0F"/>
    <w:rsid w:val="001952BC"/>
    <w:rsid w:val="00195842"/>
    <w:rsid w:val="0019727B"/>
    <w:rsid w:val="00197495"/>
    <w:rsid w:val="001A01E1"/>
    <w:rsid w:val="001A07AB"/>
    <w:rsid w:val="001A10E3"/>
    <w:rsid w:val="001A161F"/>
    <w:rsid w:val="001A170D"/>
    <w:rsid w:val="001A1A49"/>
    <w:rsid w:val="001A1FE5"/>
    <w:rsid w:val="001A2E59"/>
    <w:rsid w:val="001A362A"/>
    <w:rsid w:val="001A3EF2"/>
    <w:rsid w:val="001A49E9"/>
    <w:rsid w:val="001A663A"/>
    <w:rsid w:val="001A6FD6"/>
    <w:rsid w:val="001A7E77"/>
    <w:rsid w:val="001B044C"/>
    <w:rsid w:val="001B126C"/>
    <w:rsid w:val="001B166D"/>
    <w:rsid w:val="001B1D62"/>
    <w:rsid w:val="001B1FAB"/>
    <w:rsid w:val="001B25FF"/>
    <w:rsid w:val="001B2A41"/>
    <w:rsid w:val="001B2D1B"/>
    <w:rsid w:val="001B2EE2"/>
    <w:rsid w:val="001B4515"/>
    <w:rsid w:val="001B4DC2"/>
    <w:rsid w:val="001B6137"/>
    <w:rsid w:val="001B63FF"/>
    <w:rsid w:val="001B6B26"/>
    <w:rsid w:val="001B75E8"/>
    <w:rsid w:val="001B764F"/>
    <w:rsid w:val="001B7F87"/>
    <w:rsid w:val="001C0DD4"/>
    <w:rsid w:val="001C1361"/>
    <w:rsid w:val="001C154D"/>
    <w:rsid w:val="001C1574"/>
    <w:rsid w:val="001C2EE3"/>
    <w:rsid w:val="001C356D"/>
    <w:rsid w:val="001C3C06"/>
    <w:rsid w:val="001C3FFD"/>
    <w:rsid w:val="001C4114"/>
    <w:rsid w:val="001C4BEC"/>
    <w:rsid w:val="001C4C96"/>
    <w:rsid w:val="001C63A9"/>
    <w:rsid w:val="001C6A4A"/>
    <w:rsid w:val="001C732C"/>
    <w:rsid w:val="001C76D9"/>
    <w:rsid w:val="001C7B32"/>
    <w:rsid w:val="001D0357"/>
    <w:rsid w:val="001D100B"/>
    <w:rsid w:val="001D1694"/>
    <w:rsid w:val="001D1BB6"/>
    <w:rsid w:val="001D2561"/>
    <w:rsid w:val="001D3A85"/>
    <w:rsid w:val="001D3E3C"/>
    <w:rsid w:val="001D4240"/>
    <w:rsid w:val="001D43D5"/>
    <w:rsid w:val="001D53D8"/>
    <w:rsid w:val="001D5CF2"/>
    <w:rsid w:val="001D60F1"/>
    <w:rsid w:val="001D69D3"/>
    <w:rsid w:val="001D6B24"/>
    <w:rsid w:val="001D72C4"/>
    <w:rsid w:val="001E0166"/>
    <w:rsid w:val="001E0A4D"/>
    <w:rsid w:val="001E1391"/>
    <w:rsid w:val="001E19E1"/>
    <w:rsid w:val="001E2278"/>
    <w:rsid w:val="001E2413"/>
    <w:rsid w:val="001E380E"/>
    <w:rsid w:val="001E3CCC"/>
    <w:rsid w:val="001E3E8B"/>
    <w:rsid w:val="001E4508"/>
    <w:rsid w:val="001E4B44"/>
    <w:rsid w:val="001E6463"/>
    <w:rsid w:val="001E683E"/>
    <w:rsid w:val="001F16D4"/>
    <w:rsid w:val="001F19C3"/>
    <w:rsid w:val="001F1A41"/>
    <w:rsid w:val="001F1D41"/>
    <w:rsid w:val="001F29E6"/>
    <w:rsid w:val="001F33C6"/>
    <w:rsid w:val="001F3B1E"/>
    <w:rsid w:val="001F5AD9"/>
    <w:rsid w:val="001F66A2"/>
    <w:rsid w:val="001F6C3E"/>
    <w:rsid w:val="001F7B9C"/>
    <w:rsid w:val="00200617"/>
    <w:rsid w:val="002014E1"/>
    <w:rsid w:val="00201D21"/>
    <w:rsid w:val="00201D6A"/>
    <w:rsid w:val="002022C0"/>
    <w:rsid w:val="0020293E"/>
    <w:rsid w:val="00203114"/>
    <w:rsid w:val="00203C06"/>
    <w:rsid w:val="00204618"/>
    <w:rsid w:val="0020497F"/>
    <w:rsid w:val="00204BD3"/>
    <w:rsid w:val="00204C42"/>
    <w:rsid w:val="00205D16"/>
    <w:rsid w:val="00205DF4"/>
    <w:rsid w:val="00205EE0"/>
    <w:rsid w:val="002075B0"/>
    <w:rsid w:val="00211A5F"/>
    <w:rsid w:val="0021310E"/>
    <w:rsid w:val="00213BAE"/>
    <w:rsid w:val="00213F57"/>
    <w:rsid w:val="0021472A"/>
    <w:rsid w:val="0021525B"/>
    <w:rsid w:val="00215616"/>
    <w:rsid w:val="0021623B"/>
    <w:rsid w:val="00216515"/>
    <w:rsid w:val="00216558"/>
    <w:rsid w:val="00216685"/>
    <w:rsid w:val="00216A31"/>
    <w:rsid w:val="00217025"/>
    <w:rsid w:val="00217C6B"/>
    <w:rsid w:val="002204D1"/>
    <w:rsid w:val="00220A2D"/>
    <w:rsid w:val="00220DD7"/>
    <w:rsid w:val="00221825"/>
    <w:rsid w:val="00223B70"/>
    <w:rsid w:val="002257D2"/>
    <w:rsid w:val="0022652F"/>
    <w:rsid w:val="00226957"/>
    <w:rsid w:val="0023014D"/>
    <w:rsid w:val="0023114B"/>
    <w:rsid w:val="00231864"/>
    <w:rsid w:val="00231B52"/>
    <w:rsid w:val="00231C8A"/>
    <w:rsid w:val="0023210C"/>
    <w:rsid w:val="002321EF"/>
    <w:rsid w:val="0023340B"/>
    <w:rsid w:val="00233DBD"/>
    <w:rsid w:val="002342E4"/>
    <w:rsid w:val="00234409"/>
    <w:rsid w:val="0023532D"/>
    <w:rsid w:val="0023613F"/>
    <w:rsid w:val="00236B4E"/>
    <w:rsid w:val="002373FF"/>
    <w:rsid w:val="002378F0"/>
    <w:rsid w:val="00240377"/>
    <w:rsid w:val="0024237B"/>
    <w:rsid w:val="00242A28"/>
    <w:rsid w:val="002437CC"/>
    <w:rsid w:val="0024420B"/>
    <w:rsid w:val="002446AF"/>
    <w:rsid w:val="002457AE"/>
    <w:rsid w:val="0024582F"/>
    <w:rsid w:val="00245EFE"/>
    <w:rsid w:val="0024731E"/>
    <w:rsid w:val="002502FF"/>
    <w:rsid w:val="0025140C"/>
    <w:rsid w:val="00251C83"/>
    <w:rsid w:val="00252A26"/>
    <w:rsid w:val="00252A49"/>
    <w:rsid w:val="00252FA8"/>
    <w:rsid w:val="00253A9E"/>
    <w:rsid w:val="00253B8B"/>
    <w:rsid w:val="0025405A"/>
    <w:rsid w:val="0025413B"/>
    <w:rsid w:val="00254632"/>
    <w:rsid w:val="00254663"/>
    <w:rsid w:val="00254DEA"/>
    <w:rsid w:val="00255C96"/>
    <w:rsid w:val="002572A9"/>
    <w:rsid w:val="0025762A"/>
    <w:rsid w:val="0025794C"/>
    <w:rsid w:val="002628B0"/>
    <w:rsid w:val="00262E6C"/>
    <w:rsid w:val="00263D75"/>
    <w:rsid w:val="00263DA8"/>
    <w:rsid w:val="0026421F"/>
    <w:rsid w:val="002658FE"/>
    <w:rsid w:val="0026662A"/>
    <w:rsid w:val="00266F13"/>
    <w:rsid w:val="00267142"/>
    <w:rsid w:val="00270DCB"/>
    <w:rsid w:val="002727A2"/>
    <w:rsid w:val="002727D6"/>
    <w:rsid w:val="00273A17"/>
    <w:rsid w:val="00273A9D"/>
    <w:rsid w:val="002743F2"/>
    <w:rsid w:val="00274434"/>
    <w:rsid w:val="00276020"/>
    <w:rsid w:val="002768B5"/>
    <w:rsid w:val="00276E9D"/>
    <w:rsid w:val="002772D6"/>
    <w:rsid w:val="002776FA"/>
    <w:rsid w:val="002779AD"/>
    <w:rsid w:val="00281101"/>
    <w:rsid w:val="0028178E"/>
    <w:rsid w:val="002832F1"/>
    <w:rsid w:val="00283B33"/>
    <w:rsid w:val="00284068"/>
    <w:rsid w:val="00285B09"/>
    <w:rsid w:val="00285E1F"/>
    <w:rsid w:val="00287D8C"/>
    <w:rsid w:val="00287E44"/>
    <w:rsid w:val="0029093D"/>
    <w:rsid w:val="0029282B"/>
    <w:rsid w:val="00292BAC"/>
    <w:rsid w:val="00293577"/>
    <w:rsid w:val="00293EE0"/>
    <w:rsid w:val="0029465D"/>
    <w:rsid w:val="00295308"/>
    <w:rsid w:val="00295ACF"/>
    <w:rsid w:val="002966EA"/>
    <w:rsid w:val="002973A7"/>
    <w:rsid w:val="002A015D"/>
    <w:rsid w:val="002A0C5C"/>
    <w:rsid w:val="002A0FA5"/>
    <w:rsid w:val="002A14CC"/>
    <w:rsid w:val="002A395E"/>
    <w:rsid w:val="002A456B"/>
    <w:rsid w:val="002A4598"/>
    <w:rsid w:val="002A5ACF"/>
    <w:rsid w:val="002A5F72"/>
    <w:rsid w:val="002A61A2"/>
    <w:rsid w:val="002A62A0"/>
    <w:rsid w:val="002A6318"/>
    <w:rsid w:val="002A7F9B"/>
    <w:rsid w:val="002B0C06"/>
    <w:rsid w:val="002B112F"/>
    <w:rsid w:val="002B17CC"/>
    <w:rsid w:val="002B21EC"/>
    <w:rsid w:val="002B40DB"/>
    <w:rsid w:val="002B4ADB"/>
    <w:rsid w:val="002B4CBE"/>
    <w:rsid w:val="002B6969"/>
    <w:rsid w:val="002B6CA5"/>
    <w:rsid w:val="002B7193"/>
    <w:rsid w:val="002B720D"/>
    <w:rsid w:val="002C1F5C"/>
    <w:rsid w:val="002C2637"/>
    <w:rsid w:val="002C30EF"/>
    <w:rsid w:val="002C3458"/>
    <w:rsid w:val="002C3578"/>
    <w:rsid w:val="002C36AB"/>
    <w:rsid w:val="002C58E7"/>
    <w:rsid w:val="002C6E7D"/>
    <w:rsid w:val="002C7CCF"/>
    <w:rsid w:val="002C7EA7"/>
    <w:rsid w:val="002D2B35"/>
    <w:rsid w:val="002D508A"/>
    <w:rsid w:val="002D6203"/>
    <w:rsid w:val="002D7C1E"/>
    <w:rsid w:val="002D7DC3"/>
    <w:rsid w:val="002E0045"/>
    <w:rsid w:val="002E0815"/>
    <w:rsid w:val="002E26DF"/>
    <w:rsid w:val="002E2BD8"/>
    <w:rsid w:val="002E638F"/>
    <w:rsid w:val="002E66E5"/>
    <w:rsid w:val="002E70CE"/>
    <w:rsid w:val="002F1B21"/>
    <w:rsid w:val="002F1B23"/>
    <w:rsid w:val="002F1D77"/>
    <w:rsid w:val="002F2D66"/>
    <w:rsid w:val="002F2F78"/>
    <w:rsid w:val="002F46D8"/>
    <w:rsid w:val="002F4A65"/>
    <w:rsid w:val="002F5712"/>
    <w:rsid w:val="002F5F4A"/>
    <w:rsid w:val="002F6B18"/>
    <w:rsid w:val="002F78AC"/>
    <w:rsid w:val="002F7B79"/>
    <w:rsid w:val="003010FC"/>
    <w:rsid w:val="00301557"/>
    <w:rsid w:val="00302ABD"/>
    <w:rsid w:val="00303634"/>
    <w:rsid w:val="00304DBA"/>
    <w:rsid w:val="00304F97"/>
    <w:rsid w:val="00305838"/>
    <w:rsid w:val="00307755"/>
    <w:rsid w:val="00310252"/>
    <w:rsid w:val="0031070C"/>
    <w:rsid w:val="00311133"/>
    <w:rsid w:val="00311D31"/>
    <w:rsid w:val="00311D8F"/>
    <w:rsid w:val="0031239D"/>
    <w:rsid w:val="00312808"/>
    <w:rsid w:val="0031295E"/>
    <w:rsid w:val="00312A05"/>
    <w:rsid w:val="003139D1"/>
    <w:rsid w:val="0031435C"/>
    <w:rsid w:val="00315CF6"/>
    <w:rsid w:val="00317079"/>
    <w:rsid w:val="00317829"/>
    <w:rsid w:val="00317F17"/>
    <w:rsid w:val="003211D6"/>
    <w:rsid w:val="00321D86"/>
    <w:rsid w:val="00322F03"/>
    <w:rsid w:val="00323789"/>
    <w:rsid w:val="00325301"/>
    <w:rsid w:val="003256BD"/>
    <w:rsid w:val="00325AC3"/>
    <w:rsid w:val="00325B15"/>
    <w:rsid w:val="00326B07"/>
    <w:rsid w:val="00327197"/>
    <w:rsid w:val="0032761D"/>
    <w:rsid w:val="00327EBB"/>
    <w:rsid w:val="0033045A"/>
    <w:rsid w:val="003304DA"/>
    <w:rsid w:val="00330EA7"/>
    <w:rsid w:val="00331025"/>
    <w:rsid w:val="0033118F"/>
    <w:rsid w:val="0033159F"/>
    <w:rsid w:val="00331AAF"/>
    <w:rsid w:val="00331E5B"/>
    <w:rsid w:val="0033476D"/>
    <w:rsid w:val="00334F79"/>
    <w:rsid w:val="0033569A"/>
    <w:rsid w:val="003357EE"/>
    <w:rsid w:val="00335FEA"/>
    <w:rsid w:val="00336A8B"/>
    <w:rsid w:val="0034011F"/>
    <w:rsid w:val="0034075F"/>
    <w:rsid w:val="0034177B"/>
    <w:rsid w:val="003425A8"/>
    <w:rsid w:val="00342992"/>
    <w:rsid w:val="00342FF5"/>
    <w:rsid w:val="00343318"/>
    <w:rsid w:val="003440ED"/>
    <w:rsid w:val="003457BD"/>
    <w:rsid w:val="00346AD6"/>
    <w:rsid w:val="00347096"/>
    <w:rsid w:val="003477B6"/>
    <w:rsid w:val="00347ACD"/>
    <w:rsid w:val="00350359"/>
    <w:rsid w:val="00350925"/>
    <w:rsid w:val="00351039"/>
    <w:rsid w:val="0035142D"/>
    <w:rsid w:val="00351AB0"/>
    <w:rsid w:val="00352177"/>
    <w:rsid w:val="00352375"/>
    <w:rsid w:val="00353332"/>
    <w:rsid w:val="00354A07"/>
    <w:rsid w:val="003558A2"/>
    <w:rsid w:val="00356253"/>
    <w:rsid w:val="00356602"/>
    <w:rsid w:val="003569E2"/>
    <w:rsid w:val="00356B99"/>
    <w:rsid w:val="00360505"/>
    <w:rsid w:val="003608D7"/>
    <w:rsid w:val="00360AF1"/>
    <w:rsid w:val="003611B5"/>
    <w:rsid w:val="00361A92"/>
    <w:rsid w:val="00361D11"/>
    <w:rsid w:val="00362740"/>
    <w:rsid w:val="00362958"/>
    <w:rsid w:val="00363170"/>
    <w:rsid w:val="003633F3"/>
    <w:rsid w:val="003635A0"/>
    <w:rsid w:val="00363833"/>
    <w:rsid w:val="00363ABD"/>
    <w:rsid w:val="00363DA9"/>
    <w:rsid w:val="0036470D"/>
    <w:rsid w:val="00364CCA"/>
    <w:rsid w:val="003652F9"/>
    <w:rsid w:val="0036559B"/>
    <w:rsid w:val="00365944"/>
    <w:rsid w:val="00365B0E"/>
    <w:rsid w:val="003667F2"/>
    <w:rsid w:val="00366DEF"/>
    <w:rsid w:val="003670AA"/>
    <w:rsid w:val="003672BE"/>
    <w:rsid w:val="00367893"/>
    <w:rsid w:val="0037035C"/>
    <w:rsid w:val="003713D8"/>
    <w:rsid w:val="00371478"/>
    <w:rsid w:val="00371DCE"/>
    <w:rsid w:val="00372BD7"/>
    <w:rsid w:val="00373D12"/>
    <w:rsid w:val="00374681"/>
    <w:rsid w:val="00374EBF"/>
    <w:rsid w:val="00375076"/>
    <w:rsid w:val="00375517"/>
    <w:rsid w:val="003766DB"/>
    <w:rsid w:val="00376BDA"/>
    <w:rsid w:val="00377429"/>
    <w:rsid w:val="00380393"/>
    <w:rsid w:val="00381A5F"/>
    <w:rsid w:val="00382B36"/>
    <w:rsid w:val="00382C9A"/>
    <w:rsid w:val="00382D58"/>
    <w:rsid w:val="00385857"/>
    <w:rsid w:val="00386E14"/>
    <w:rsid w:val="00386E55"/>
    <w:rsid w:val="00387FE5"/>
    <w:rsid w:val="00390620"/>
    <w:rsid w:val="00391E8A"/>
    <w:rsid w:val="003923FC"/>
    <w:rsid w:val="00392CB5"/>
    <w:rsid w:val="00394D41"/>
    <w:rsid w:val="003952FE"/>
    <w:rsid w:val="0039638F"/>
    <w:rsid w:val="003965EB"/>
    <w:rsid w:val="0039745C"/>
    <w:rsid w:val="00397B4D"/>
    <w:rsid w:val="00397F05"/>
    <w:rsid w:val="003A04CF"/>
    <w:rsid w:val="003A07F2"/>
    <w:rsid w:val="003A2E89"/>
    <w:rsid w:val="003A342D"/>
    <w:rsid w:val="003A3AAA"/>
    <w:rsid w:val="003A3D5C"/>
    <w:rsid w:val="003A3DFF"/>
    <w:rsid w:val="003A3E2C"/>
    <w:rsid w:val="003A40CE"/>
    <w:rsid w:val="003A447A"/>
    <w:rsid w:val="003A7C12"/>
    <w:rsid w:val="003B0DBF"/>
    <w:rsid w:val="003B2751"/>
    <w:rsid w:val="003B34A5"/>
    <w:rsid w:val="003B3638"/>
    <w:rsid w:val="003B397D"/>
    <w:rsid w:val="003B3C20"/>
    <w:rsid w:val="003B3EF6"/>
    <w:rsid w:val="003B40B1"/>
    <w:rsid w:val="003B481C"/>
    <w:rsid w:val="003B48D3"/>
    <w:rsid w:val="003B5C1A"/>
    <w:rsid w:val="003B5D22"/>
    <w:rsid w:val="003B64BC"/>
    <w:rsid w:val="003B70A8"/>
    <w:rsid w:val="003B7754"/>
    <w:rsid w:val="003B7B93"/>
    <w:rsid w:val="003B7FD8"/>
    <w:rsid w:val="003B7FDE"/>
    <w:rsid w:val="003C03A8"/>
    <w:rsid w:val="003C19FC"/>
    <w:rsid w:val="003C2384"/>
    <w:rsid w:val="003C2EFF"/>
    <w:rsid w:val="003C3B00"/>
    <w:rsid w:val="003C465A"/>
    <w:rsid w:val="003C4D81"/>
    <w:rsid w:val="003C5DD7"/>
    <w:rsid w:val="003C5FF4"/>
    <w:rsid w:val="003C6E0B"/>
    <w:rsid w:val="003C71C3"/>
    <w:rsid w:val="003C75CE"/>
    <w:rsid w:val="003C7709"/>
    <w:rsid w:val="003D0582"/>
    <w:rsid w:val="003D060D"/>
    <w:rsid w:val="003D1E6D"/>
    <w:rsid w:val="003D2D2F"/>
    <w:rsid w:val="003D54F6"/>
    <w:rsid w:val="003D5638"/>
    <w:rsid w:val="003D6281"/>
    <w:rsid w:val="003D7AB8"/>
    <w:rsid w:val="003E0F35"/>
    <w:rsid w:val="003E3915"/>
    <w:rsid w:val="003E4AAB"/>
    <w:rsid w:val="003E5A02"/>
    <w:rsid w:val="003E5A66"/>
    <w:rsid w:val="003E5D5A"/>
    <w:rsid w:val="003E5FFE"/>
    <w:rsid w:val="003E65CB"/>
    <w:rsid w:val="003E754A"/>
    <w:rsid w:val="003E78A6"/>
    <w:rsid w:val="003E7B29"/>
    <w:rsid w:val="003F156F"/>
    <w:rsid w:val="003F15CF"/>
    <w:rsid w:val="003F1785"/>
    <w:rsid w:val="003F179E"/>
    <w:rsid w:val="003F2D33"/>
    <w:rsid w:val="003F34F3"/>
    <w:rsid w:val="003F4D64"/>
    <w:rsid w:val="003F6259"/>
    <w:rsid w:val="003F68BA"/>
    <w:rsid w:val="003F6B44"/>
    <w:rsid w:val="003F6DEC"/>
    <w:rsid w:val="003F7181"/>
    <w:rsid w:val="003F77A0"/>
    <w:rsid w:val="003F7D0C"/>
    <w:rsid w:val="004003D1"/>
    <w:rsid w:val="0040084F"/>
    <w:rsid w:val="00402073"/>
    <w:rsid w:val="0040237C"/>
    <w:rsid w:val="0040240A"/>
    <w:rsid w:val="0040286E"/>
    <w:rsid w:val="00402A5D"/>
    <w:rsid w:val="0040325A"/>
    <w:rsid w:val="0040336C"/>
    <w:rsid w:val="00404655"/>
    <w:rsid w:val="0040466B"/>
    <w:rsid w:val="00404F3C"/>
    <w:rsid w:val="0040679D"/>
    <w:rsid w:val="00406837"/>
    <w:rsid w:val="00406D56"/>
    <w:rsid w:val="00407036"/>
    <w:rsid w:val="00407094"/>
    <w:rsid w:val="00407324"/>
    <w:rsid w:val="004078C0"/>
    <w:rsid w:val="00407B03"/>
    <w:rsid w:val="00411220"/>
    <w:rsid w:val="0041122F"/>
    <w:rsid w:val="00414473"/>
    <w:rsid w:val="00414FA4"/>
    <w:rsid w:val="00415912"/>
    <w:rsid w:val="00415A97"/>
    <w:rsid w:val="00416115"/>
    <w:rsid w:val="00416259"/>
    <w:rsid w:val="00417363"/>
    <w:rsid w:val="00417657"/>
    <w:rsid w:val="004218E2"/>
    <w:rsid w:val="00421CA8"/>
    <w:rsid w:val="004224A6"/>
    <w:rsid w:val="004230C5"/>
    <w:rsid w:val="004236B1"/>
    <w:rsid w:val="00424ACF"/>
    <w:rsid w:val="00425945"/>
    <w:rsid w:val="0042728A"/>
    <w:rsid w:val="004276D0"/>
    <w:rsid w:val="004301AE"/>
    <w:rsid w:val="00430358"/>
    <w:rsid w:val="004303B5"/>
    <w:rsid w:val="0043096E"/>
    <w:rsid w:val="00430BDA"/>
    <w:rsid w:val="00430DB7"/>
    <w:rsid w:val="00431964"/>
    <w:rsid w:val="00431BA7"/>
    <w:rsid w:val="00432343"/>
    <w:rsid w:val="00433792"/>
    <w:rsid w:val="00433926"/>
    <w:rsid w:val="004341BA"/>
    <w:rsid w:val="00434255"/>
    <w:rsid w:val="00434BB5"/>
    <w:rsid w:val="00434E2C"/>
    <w:rsid w:val="00435CA6"/>
    <w:rsid w:val="00435EAA"/>
    <w:rsid w:val="00436A6F"/>
    <w:rsid w:val="00440649"/>
    <w:rsid w:val="00440A5C"/>
    <w:rsid w:val="00440D7F"/>
    <w:rsid w:val="0044162A"/>
    <w:rsid w:val="00441C79"/>
    <w:rsid w:val="00441CE2"/>
    <w:rsid w:val="00442A4A"/>
    <w:rsid w:val="00442DC8"/>
    <w:rsid w:val="00443AA4"/>
    <w:rsid w:val="004462D3"/>
    <w:rsid w:val="00446E5F"/>
    <w:rsid w:val="00447594"/>
    <w:rsid w:val="0045026E"/>
    <w:rsid w:val="00450AF4"/>
    <w:rsid w:val="00451B8F"/>
    <w:rsid w:val="00451D66"/>
    <w:rsid w:val="0045249E"/>
    <w:rsid w:val="0045269C"/>
    <w:rsid w:val="004532AB"/>
    <w:rsid w:val="0045404D"/>
    <w:rsid w:val="00454B94"/>
    <w:rsid w:val="00454BD4"/>
    <w:rsid w:val="00456859"/>
    <w:rsid w:val="00456D3D"/>
    <w:rsid w:val="00456FD5"/>
    <w:rsid w:val="0045707D"/>
    <w:rsid w:val="0045715F"/>
    <w:rsid w:val="004577AF"/>
    <w:rsid w:val="004606C8"/>
    <w:rsid w:val="00460DBF"/>
    <w:rsid w:val="004615E0"/>
    <w:rsid w:val="00461A7A"/>
    <w:rsid w:val="00462127"/>
    <w:rsid w:val="00462F4A"/>
    <w:rsid w:val="004637E7"/>
    <w:rsid w:val="00463C70"/>
    <w:rsid w:val="004642DB"/>
    <w:rsid w:val="0046459E"/>
    <w:rsid w:val="00465068"/>
    <w:rsid w:val="00465EDB"/>
    <w:rsid w:val="00467995"/>
    <w:rsid w:val="00471A59"/>
    <w:rsid w:val="00471FC9"/>
    <w:rsid w:val="004723EF"/>
    <w:rsid w:val="004726FA"/>
    <w:rsid w:val="00472988"/>
    <w:rsid w:val="00473616"/>
    <w:rsid w:val="004736F6"/>
    <w:rsid w:val="0047401E"/>
    <w:rsid w:val="00474223"/>
    <w:rsid w:val="0047438E"/>
    <w:rsid w:val="00474EF1"/>
    <w:rsid w:val="00476E89"/>
    <w:rsid w:val="00477282"/>
    <w:rsid w:val="0047734D"/>
    <w:rsid w:val="00477635"/>
    <w:rsid w:val="00477714"/>
    <w:rsid w:val="00477A89"/>
    <w:rsid w:val="00477F7A"/>
    <w:rsid w:val="00481A54"/>
    <w:rsid w:val="004824C3"/>
    <w:rsid w:val="004825D4"/>
    <w:rsid w:val="0048386B"/>
    <w:rsid w:val="00483AE2"/>
    <w:rsid w:val="00483C0A"/>
    <w:rsid w:val="00483CB3"/>
    <w:rsid w:val="0048416A"/>
    <w:rsid w:val="004842C4"/>
    <w:rsid w:val="00484681"/>
    <w:rsid w:val="00484885"/>
    <w:rsid w:val="00484954"/>
    <w:rsid w:val="0048542C"/>
    <w:rsid w:val="00486860"/>
    <w:rsid w:val="00486AFF"/>
    <w:rsid w:val="00486B3B"/>
    <w:rsid w:val="004870CD"/>
    <w:rsid w:val="00487222"/>
    <w:rsid w:val="004877E1"/>
    <w:rsid w:val="00491D9F"/>
    <w:rsid w:val="00491E03"/>
    <w:rsid w:val="00491EF9"/>
    <w:rsid w:val="004924A6"/>
    <w:rsid w:val="00492C88"/>
    <w:rsid w:val="00492E5F"/>
    <w:rsid w:val="00493DE5"/>
    <w:rsid w:val="00494B05"/>
    <w:rsid w:val="00494E34"/>
    <w:rsid w:val="00495499"/>
    <w:rsid w:val="004A0C20"/>
    <w:rsid w:val="004A1409"/>
    <w:rsid w:val="004A1481"/>
    <w:rsid w:val="004A1C13"/>
    <w:rsid w:val="004A1E41"/>
    <w:rsid w:val="004A2027"/>
    <w:rsid w:val="004A20CD"/>
    <w:rsid w:val="004A273D"/>
    <w:rsid w:val="004A3CA7"/>
    <w:rsid w:val="004A5469"/>
    <w:rsid w:val="004A5E80"/>
    <w:rsid w:val="004A6C9B"/>
    <w:rsid w:val="004A7460"/>
    <w:rsid w:val="004B0226"/>
    <w:rsid w:val="004B05D5"/>
    <w:rsid w:val="004B0F54"/>
    <w:rsid w:val="004B0F75"/>
    <w:rsid w:val="004B1415"/>
    <w:rsid w:val="004B2811"/>
    <w:rsid w:val="004B2C0B"/>
    <w:rsid w:val="004B31C6"/>
    <w:rsid w:val="004B3F44"/>
    <w:rsid w:val="004B4806"/>
    <w:rsid w:val="004B4979"/>
    <w:rsid w:val="004B4D1B"/>
    <w:rsid w:val="004B6E19"/>
    <w:rsid w:val="004B6FA0"/>
    <w:rsid w:val="004B7F7A"/>
    <w:rsid w:val="004C0060"/>
    <w:rsid w:val="004C055A"/>
    <w:rsid w:val="004C1986"/>
    <w:rsid w:val="004C2101"/>
    <w:rsid w:val="004C2377"/>
    <w:rsid w:val="004C2745"/>
    <w:rsid w:val="004C2D28"/>
    <w:rsid w:val="004C348A"/>
    <w:rsid w:val="004C45B3"/>
    <w:rsid w:val="004C4AB1"/>
    <w:rsid w:val="004C51E4"/>
    <w:rsid w:val="004C574C"/>
    <w:rsid w:val="004C5779"/>
    <w:rsid w:val="004C5EC8"/>
    <w:rsid w:val="004C6E90"/>
    <w:rsid w:val="004C72EC"/>
    <w:rsid w:val="004D0434"/>
    <w:rsid w:val="004D05F1"/>
    <w:rsid w:val="004D0E5B"/>
    <w:rsid w:val="004D1276"/>
    <w:rsid w:val="004D1741"/>
    <w:rsid w:val="004D17BD"/>
    <w:rsid w:val="004D1C8F"/>
    <w:rsid w:val="004D2163"/>
    <w:rsid w:val="004D2356"/>
    <w:rsid w:val="004D2FC8"/>
    <w:rsid w:val="004D33A5"/>
    <w:rsid w:val="004D3488"/>
    <w:rsid w:val="004D5C94"/>
    <w:rsid w:val="004D600F"/>
    <w:rsid w:val="004D615E"/>
    <w:rsid w:val="004D7629"/>
    <w:rsid w:val="004D7FA5"/>
    <w:rsid w:val="004E00AC"/>
    <w:rsid w:val="004E0472"/>
    <w:rsid w:val="004E0A1B"/>
    <w:rsid w:val="004E1894"/>
    <w:rsid w:val="004E2545"/>
    <w:rsid w:val="004E2905"/>
    <w:rsid w:val="004E3327"/>
    <w:rsid w:val="004E5072"/>
    <w:rsid w:val="004E5A12"/>
    <w:rsid w:val="004E5C43"/>
    <w:rsid w:val="004E7573"/>
    <w:rsid w:val="004F03A7"/>
    <w:rsid w:val="004F048F"/>
    <w:rsid w:val="004F0FC2"/>
    <w:rsid w:val="004F11BF"/>
    <w:rsid w:val="004F15EB"/>
    <w:rsid w:val="004F16F0"/>
    <w:rsid w:val="004F1D74"/>
    <w:rsid w:val="004F386E"/>
    <w:rsid w:val="004F57D5"/>
    <w:rsid w:val="004F5872"/>
    <w:rsid w:val="004F5BB1"/>
    <w:rsid w:val="004F6667"/>
    <w:rsid w:val="004F7E6A"/>
    <w:rsid w:val="004F7EE9"/>
    <w:rsid w:val="005001B2"/>
    <w:rsid w:val="00500C56"/>
    <w:rsid w:val="005011A4"/>
    <w:rsid w:val="005012F6"/>
    <w:rsid w:val="00502EFC"/>
    <w:rsid w:val="005030E7"/>
    <w:rsid w:val="00503572"/>
    <w:rsid w:val="00503E86"/>
    <w:rsid w:val="00504BF4"/>
    <w:rsid w:val="00505388"/>
    <w:rsid w:val="0050553C"/>
    <w:rsid w:val="00505975"/>
    <w:rsid w:val="00505F29"/>
    <w:rsid w:val="005067ED"/>
    <w:rsid w:val="00507403"/>
    <w:rsid w:val="00507771"/>
    <w:rsid w:val="00507A30"/>
    <w:rsid w:val="0051002E"/>
    <w:rsid w:val="00510AA0"/>
    <w:rsid w:val="00511921"/>
    <w:rsid w:val="00511EE9"/>
    <w:rsid w:val="00512899"/>
    <w:rsid w:val="00513FC1"/>
    <w:rsid w:val="005146AE"/>
    <w:rsid w:val="00514A07"/>
    <w:rsid w:val="00515482"/>
    <w:rsid w:val="00520701"/>
    <w:rsid w:val="005209E6"/>
    <w:rsid w:val="00520F38"/>
    <w:rsid w:val="00520FFF"/>
    <w:rsid w:val="0052140E"/>
    <w:rsid w:val="00521425"/>
    <w:rsid w:val="00522992"/>
    <w:rsid w:val="005241CD"/>
    <w:rsid w:val="005241DF"/>
    <w:rsid w:val="00524762"/>
    <w:rsid w:val="005266CD"/>
    <w:rsid w:val="0052683C"/>
    <w:rsid w:val="005268E3"/>
    <w:rsid w:val="00526B5A"/>
    <w:rsid w:val="0052709F"/>
    <w:rsid w:val="00531A75"/>
    <w:rsid w:val="00531C49"/>
    <w:rsid w:val="00532599"/>
    <w:rsid w:val="00532BB5"/>
    <w:rsid w:val="00533E1A"/>
    <w:rsid w:val="005346DD"/>
    <w:rsid w:val="00535845"/>
    <w:rsid w:val="00535B97"/>
    <w:rsid w:val="00535F0B"/>
    <w:rsid w:val="0053657B"/>
    <w:rsid w:val="00536D73"/>
    <w:rsid w:val="005403E3"/>
    <w:rsid w:val="005408F4"/>
    <w:rsid w:val="00540EFB"/>
    <w:rsid w:val="0054158E"/>
    <w:rsid w:val="00541C3D"/>
    <w:rsid w:val="00543F6B"/>
    <w:rsid w:val="00544658"/>
    <w:rsid w:val="00545D03"/>
    <w:rsid w:val="00545EC2"/>
    <w:rsid w:val="0054606B"/>
    <w:rsid w:val="00546780"/>
    <w:rsid w:val="00546804"/>
    <w:rsid w:val="00547607"/>
    <w:rsid w:val="00547720"/>
    <w:rsid w:val="0054784E"/>
    <w:rsid w:val="00547D42"/>
    <w:rsid w:val="00550053"/>
    <w:rsid w:val="00551815"/>
    <w:rsid w:val="00551F40"/>
    <w:rsid w:val="00552B5A"/>
    <w:rsid w:val="00553569"/>
    <w:rsid w:val="005547EA"/>
    <w:rsid w:val="00554D4D"/>
    <w:rsid w:val="005555D9"/>
    <w:rsid w:val="00555705"/>
    <w:rsid w:val="0055684B"/>
    <w:rsid w:val="0055689F"/>
    <w:rsid w:val="00557D76"/>
    <w:rsid w:val="00557E09"/>
    <w:rsid w:val="0056023F"/>
    <w:rsid w:val="00561147"/>
    <w:rsid w:val="005612A6"/>
    <w:rsid w:val="0056134D"/>
    <w:rsid w:val="00561917"/>
    <w:rsid w:val="005621F5"/>
    <w:rsid w:val="00562831"/>
    <w:rsid w:val="00562A08"/>
    <w:rsid w:val="00562A49"/>
    <w:rsid w:val="00563182"/>
    <w:rsid w:val="00563ED8"/>
    <w:rsid w:val="00564024"/>
    <w:rsid w:val="005640E7"/>
    <w:rsid w:val="00565405"/>
    <w:rsid w:val="00565759"/>
    <w:rsid w:val="005657CB"/>
    <w:rsid w:val="00565D49"/>
    <w:rsid w:val="00565E5F"/>
    <w:rsid w:val="00566A7D"/>
    <w:rsid w:val="00566A87"/>
    <w:rsid w:val="005671B6"/>
    <w:rsid w:val="00567392"/>
    <w:rsid w:val="00567F61"/>
    <w:rsid w:val="00570DC6"/>
    <w:rsid w:val="005712BB"/>
    <w:rsid w:val="005712C4"/>
    <w:rsid w:val="005717A0"/>
    <w:rsid w:val="00573618"/>
    <w:rsid w:val="00573D38"/>
    <w:rsid w:val="00573D97"/>
    <w:rsid w:val="00573DED"/>
    <w:rsid w:val="00573EDB"/>
    <w:rsid w:val="00574015"/>
    <w:rsid w:val="00574AE7"/>
    <w:rsid w:val="00575712"/>
    <w:rsid w:val="005760DE"/>
    <w:rsid w:val="0057630C"/>
    <w:rsid w:val="00576EDC"/>
    <w:rsid w:val="00576FE1"/>
    <w:rsid w:val="00577440"/>
    <w:rsid w:val="00577F41"/>
    <w:rsid w:val="0058049E"/>
    <w:rsid w:val="0058283F"/>
    <w:rsid w:val="00582BA4"/>
    <w:rsid w:val="005838DE"/>
    <w:rsid w:val="00583BA9"/>
    <w:rsid w:val="00583F9F"/>
    <w:rsid w:val="00584247"/>
    <w:rsid w:val="005848EF"/>
    <w:rsid w:val="0058490A"/>
    <w:rsid w:val="00585AA5"/>
    <w:rsid w:val="005860BA"/>
    <w:rsid w:val="00586186"/>
    <w:rsid w:val="00586D45"/>
    <w:rsid w:val="00587237"/>
    <w:rsid w:val="005877B3"/>
    <w:rsid w:val="005900EA"/>
    <w:rsid w:val="005905E4"/>
    <w:rsid w:val="00591585"/>
    <w:rsid w:val="00591A85"/>
    <w:rsid w:val="0059248C"/>
    <w:rsid w:val="00592F06"/>
    <w:rsid w:val="00593B48"/>
    <w:rsid w:val="0059425A"/>
    <w:rsid w:val="00594290"/>
    <w:rsid w:val="00594996"/>
    <w:rsid w:val="0059499D"/>
    <w:rsid w:val="00595E6B"/>
    <w:rsid w:val="00596192"/>
    <w:rsid w:val="005A0155"/>
    <w:rsid w:val="005A0405"/>
    <w:rsid w:val="005A0888"/>
    <w:rsid w:val="005A1017"/>
    <w:rsid w:val="005A137C"/>
    <w:rsid w:val="005A1D4C"/>
    <w:rsid w:val="005A248F"/>
    <w:rsid w:val="005A2510"/>
    <w:rsid w:val="005A4755"/>
    <w:rsid w:val="005A4B02"/>
    <w:rsid w:val="005A4E44"/>
    <w:rsid w:val="005A536D"/>
    <w:rsid w:val="005A5457"/>
    <w:rsid w:val="005A5F8B"/>
    <w:rsid w:val="005B0A62"/>
    <w:rsid w:val="005B105B"/>
    <w:rsid w:val="005B1881"/>
    <w:rsid w:val="005B20D5"/>
    <w:rsid w:val="005B2427"/>
    <w:rsid w:val="005B2434"/>
    <w:rsid w:val="005B2490"/>
    <w:rsid w:val="005B2637"/>
    <w:rsid w:val="005B3BBD"/>
    <w:rsid w:val="005B3C78"/>
    <w:rsid w:val="005B3E5A"/>
    <w:rsid w:val="005B448E"/>
    <w:rsid w:val="005B4CAE"/>
    <w:rsid w:val="005B4DC5"/>
    <w:rsid w:val="005B5088"/>
    <w:rsid w:val="005B5446"/>
    <w:rsid w:val="005B5DE6"/>
    <w:rsid w:val="005B66A9"/>
    <w:rsid w:val="005B7102"/>
    <w:rsid w:val="005B732C"/>
    <w:rsid w:val="005B7BA4"/>
    <w:rsid w:val="005B7BB8"/>
    <w:rsid w:val="005C0F1B"/>
    <w:rsid w:val="005C1151"/>
    <w:rsid w:val="005C13AC"/>
    <w:rsid w:val="005C173B"/>
    <w:rsid w:val="005C18C9"/>
    <w:rsid w:val="005C1FFB"/>
    <w:rsid w:val="005C2635"/>
    <w:rsid w:val="005C2DD5"/>
    <w:rsid w:val="005C2F07"/>
    <w:rsid w:val="005C32E8"/>
    <w:rsid w:val="005C484F"/>
    <w:rsid w:val="005C4B06"/>
    <w:rsid w:val="005C5134"/>
    <w:rsid w:val="005C51E0"/>
    <w:rsid w:val="005C5F2D"/>
    <w:rsid w:val="005C70CF"/>
    <w:rsid w:val="005C72E1"/>
    <w:rsid w:val="005C79C4"/>
    <w:rsid w:val="005C7AD1"/>
    <w:rsid w:val="005D02EC"/>
    <w:rsid w:val="005D17C7"/>
    <w:rsid w:val="005D1BE0"/>
    <w:rsid w:val="005D2088"/>
    <w:rsid w:val="005D36B6"/>
    <w:rsid w:val="005D3912"/>
    <w:rsid w:val="005D39BB"/>
    <w:rsid w:val="005D4EE1"/>
    <w:rsid w:val="005D5001"/>
    <w:rsid w:val="005D5F17"/>
    <w:rsid w:val="005D7E58"/>
    <w:rsid w:val="005E1171"/>
    <w:rsid w:val="005E1810"/>
    <w:rsid w:val="005E2443"/>
    <w:rsid w:val="005E2AC2"/>
    <w:rsid w:val="005E301D"/>
    <w:rsid w:val="005E41EC"/>
    <w:rsid w:val="005E4279"/>
    <w:rsid w:val="005E4B74"/>
    <w:rsid w:val="005E5CFE"/>
    <w:rsid w:val="005E5D5B"/>
    <w:rsid w:val="005E70F0"/>
    <w:rsid w:val="005E7127"/>
    <w:rsid w:val="005E7514"/>
    <w:rsid w:val="005E7B73"/>
    <w:rsid w:val="005F0125"/>
    <w:rsid w:val="005F045E"/>
    <w:rsid w:val="005F05E2"/>
    <w:rsid w:val="005F0D77"/>
    <w:rsid w:val="005F0F47"/>
    <w:rsid w:val="005F0F6D"/>
    <w:rsid w:val="005F15BE"/>
    <w:rsid w:val="005F219A"/>
    <w:rsid w:val="005F35C6"/>
    <w:rsid w:val="005F36F0"/>
    <w:rsid w:val="005F3949"/>
    <w:rsid w:val="005F4130"/>
    <w:rsid w:val="005F466B"/>
    <w:rsid w:val="005F506F"/>
    <w:rsid w:val="005F586E"/>
    <w:rsid w:val="005F6849"/>
    <w:rsid w:val="005F6DB5"/>
    <w:rsid w:val="005F72E5"/>
    <w:rsid w:val="005F7EC4"/>
    <w:rsid w:val="0060025B"/>
    <w:rsid w:val="00600943"/>
    <w:rsid w:val="006009FF"/>
    <w:rsid w:val="00601AFD"/>
    <w:rsid w:val="00601C06"/>
    <w:rsid w:val="00601F11"/>
    <w:rsid w:val="00601FEA"/>
    <w:rsid w:val="00602EF2"/>
    <w:rsid w:val="00603561"/>
    <w:rsid w:val="00603920"/>
    <w:rsid w:val="00603A87"/>
    <w:rsid w:val="00603D88"/>
    <w:rsid w:val="006047DC"/>
    <w:rsid w:val="00605671"/>
    <w:rsid w:val="00605B43"/>
    <w:rsid w:val="00605B9C"/>
    <w:rsid w:val="0060626A"/>
    <w:rsid w:val="00606F4C"/>
    <w:rsid w:val="0060749C"/>
    <w:rsid w:val="006077B3"/>
    <w:rsid w:val="00607850"/>
    <w:rsid w:val="00610187"/>
    <w:rsid w:val="006109AF"/>
    <w:rsid w:val="00610C05"/>
    <w:rsid w:val="00610D10"/>
    <w:rsid w:val="00610EA4"/>
    <w:rsid w:val="00610F9B"/>
    <w:rsid w:val="0061190C"/>
    <w:rsid w:val="00612315"/>
    <w:rsid w:val="00612532"/>
    <w:rsid w:val="0061260C"/>
    <w:rsid w:val="006128D6"/>
    <w:rsid w:val="00613926"/>
    <w:rsid w:val="00613AEB"/>
    <w:rsid w:val="00613BD8"/>
    <w:rsid w:val="0061401F"/>
    <w:rsid w:val="006142AC"/>
    <w:rsid w:val="00614747"/>
    <w:rsid w:val="0061474D"/>
    <w:rsid w:val="006147DE"/>
    <w:rsid w:val="0061544E"/>
    <w:rsid w:val="006154B4"/>
    <w:rsid w:val="00616113"/>
    <w:rsid w:val="00616A61"/>
    <w:rsid w:val="00616F2B"/>
    <w:rsid w:val="00617AD3"/>
    <w:rsid w:val="00617C6A"/>
    <w:rsid w:val="00620222"/>
    <w:rsid w:val="00620B0B"/>
    <w:rsid w:val="00621579"/>
    <w:rsid w:val="00622257"/>
    <w:rsid w:val="0062290B"/>
    <w:rsid w:val="00622DCE"/>
    <w:rsid w:val="00622FCE"/>
    <w:rsid w:val="00623B51"/>
    <w:rsid w:val="006244F3"/>
    <w:rsid w:val="00624875"/>
    <w:rsid w:val="006249E1"/>
    <w:rsid w:val="00625C6C"/>
    <w:rsid w:val="00630078"/>
    <w:rsid w:val="006300A1"/>
    <w:rsid w:val="0063082A"/>
    <w:rsid w:val="00630B20"/>
    <w:rsid w:val="00630B84"/>
    <w:rsid w:val="006311D5"/>
    <w:rsid w:val="00631551"/>
    <w:rsid w:val="00631EC9"/>
    <w:rsid w:val="00632686"/>
    <w:rsid w:val="00632B47"/>
    <w:rsid w:val="006331CA"/>
    <w:rsid w:val="006333BD"/>
    <w:rsid w:val="00633873"/>
    <w:rsid w:val="006340BC"/>
    <w:rsid w:val="006347AA"/>
    <w:rsid w:val="00634F0B"/>
    <w:rsid w:val="00635142"/>
    <w:rsid w:val="00635CD4"/>
    <w:rsid w:val="00635EEE"/>
    <w:rsid w:val="006363FB"/>
    <w:rsid w:val="00637E87"/>
    <w:rsid w:val="00640470"/>
    <w:rsid w:val="006404D8"/>
    <w:rsid w:val="00640823"/>
    <w:rsid w:val="00640874"/>
    <w:rsid w:val="0064132A"/>
    <w:rsid w:val="006414B8"/>
    <w:rsid w:val="00641504"/>
    <w:rsid w:val="0064162F"/>
    <w:rsid w:val="00641BC6"/>
    <w:rsid w:val="00641EE6"/>
    <w:rsid w:val="006427C8"/>
    <w:rsid w:val="00642BC5"/>
    <w:rsid w:val="006435E4"/>
    <w:rsid w:val="006439EC"/>
    <w:rsid w:val="00643A92"/>
    <w:rsid w:val="00644293"/>
    <w:rsid w:val="0064493D"/>
    <w:rsid w:val="006452E9"/>
    <w:rsid w:val="006456AE"/>
    <w:rsid w:val="006456F3"/>
    <w:rsid w:val="00645B2F"/>
    <w:rsid w:val="00645D28"/>
    <w:rsid w:val="00645E89"/>
    <w:rsid w:val="00646294"/>
    <w:rsid w:val="00646833"/>
    <w:rsid w:val="00646BDD"/>
    <w:rsid w:val="00647D24"/>
    <w:rsid w:val="00647E06"/>
    <w:rsid w:val="0065025F"/>
    <w:rsid w:val="00650E8C"/>
    <w:rsid w:val="006522F3"/>
    <w:rsid w:val="00652985"/>
    <w:rsid w:val="0065315D"/>
    <w:rsid w:val="006537CC"/>
    <w:rsid w:val="006541CB"/>
    <w:rsid w:val="006549CE"/>
    <w:rsid w:val="00655028"/>
    <w:rsid w:val="006550EC"/>
    <w:rsid w:val="0065712D"/>
    <w:rsid w:val="00657ADC"/>
    <w:rsid w:val="0066051A"/>
    <w:rsid w:val="00660776"/>
    <w:rsid w:val="00661382"/>
    <w:rsid w:val="006633CC"/>
    <w:rsid w:val="006638D4"/>
    <w:rsid w:val="00663B4C"/>
    <w:rsid w:val="006649A1"/>
    <w:rsid w:val="00664B1D"/>
    <w:rsid w:val="006652BE"/>
    <w:rsid w:val="00665F81"/>
    <w:rsid w:val="006668A2"/>
    <w:rsid w:val="00666D38"/>
    <w:rsid w:val="00667CD6"/>
    <w:rsid w:val="006711F5"/>
    <w:rsid w:val="00671707"/>
    <w:rsid w:val="00672927"/>
    <w:rsid w:val="006753B0"/>
    <w:rsid w:val="006758A9"/>
    <w:rsid w:val="00676319"/>
    <w:rsid w:val="00676A40"/>
    <w:rsid w:val="00677235"/>
    <w:rsid w:val="00677D19"/>
    <w:rsid w:val="00681016"/>
    <w:rsid w:val="0068115E"/>
    <w:rsid w:val="00681527"/>
    <w:rsid w:val="006824E8"/>
    <w:rsid w:val="00682924"/>
    <w:rsid w:val="006829D5"/>
    <w:rsid w:val="00682B09"/>
    <w:rsid w:val="00682D0B"/>
    <w:rsid w:val="0068312C"/>
    <w:rsid w:val="006831A3"/>
    <w:rsid w:val="00683214"/>
    <w:rsid w:val="006836AA"/>
    <w:rsid w:val="00683884"/>
    <w:rsid w:val="00684709"/>
    <w:rsid w:val="00684B75"/>
    <w:rsid w:val="00684DA3"/>
    <w:rsid w:val="0068527D"/>
    <w:rsid w:val="00685767"/>
    <w:rsid w:val="00686552"/>
    <w:rsid w:val="0068687E"/>
    <w:rsid w:val="00686A28"/>
    <w:rsid w:val="00686E2B"/>
    <w:rsid w:val="0068707F"/>
    <w:rsid w:val="006871C4"/>
    <w:rsid w:val="0068766A"/>
    <w:rsid w:val="006878C0"/>
    <w:rsid w:val="006900A8"/>
    <w:rsid w:val="006915F8"/>
    <w:rsid w:val="00691AA5"/>
    <w:rsid w:val="00691B92"/>
    <w:rsid w:val="0069202A"/>
    <w:rsid w:val="00692087"/>
    <w:rsid w:val="006929ED"/>
    <w:rsid w:val="00693304"/>
    <w:rsid w:val="00693598"/>
    <w:rsid w:val="006942E1"/>
    <w:rsid w:val="0069480D"/>
    <w:rsid w:val="00694922"/>
    <w:rsid w:val="006955A8"/>
    <w:rsid w:val="006963E1"/>
    <w:rsid w:val="006965B2"/>
    <w:rsid w:val="00696A57"/>
    <w:rsid w:val="00696E84"/>
    <w:rsid w:val="006972F4"/>
    <w:rsid w:val="00697427"/>
    <w:rsid w:val="006975B0"/>
    <w:rsid w:val="00697A26"/>
    <w:rsid w:val="006A0FCB"/>
    <w:rsid w:val="006A13EC"/>
    <w:rsid w:val="006A1EEF"/>
    <w:rsid w:val="006A2CBD"/>
    <w:rsid w:val="006A392E"/>
    <w:rsid w:val="006A3F82"/>
    <w:rsid w:val="006A4FCD"/>
    <w:rsid w:val="006A5095"/>
    <w:rsid w:val="006A546F"/>
    <w:rsid w:val="006A5542"/>
    <w:rsid w:val="006A5859"/>
    <w:rsid w:val="006A6737"/>
    <w:rsid w:val="006A7E1E"/>
    <w:rsid w:val="006B04D3"/>
    <w:rsid w:val="006B0515"/>
    <w:rsid w:val="006B0D1E"/>
    <w:rsid w:val="006B1A87"/>
    <w:rsid w:val="006B1B16"/>
    <w:rsid w:val="006B1CFF"/>
    <w:rsid w:val="006B238D"/>
    <w:rsid w:val="006B280F"/>
    <w:rsid w:val="006B282C"/>
    <w:rsid w:val="006B478C"/>
    <w:rsid w:val="006B51C5"/>
    <w:rsid w:val="006B51FD"/>
    <w:rsid w:val="006B697F"/>
    <w:rsid w:val="006B6DE0"/>
    <w:rsid w:val="006B6E8F"/>
    <w:rsid w:val="006B7285"/>
    <w:rsid w:val="006B77C8"/>
    <w:rsid w:val="006B79C5"/>
    <w:rsid w:val="006B7B3D"/>
    <w:rsid w:val="006C01CE"/>
    <w:rsid w:val="006C0A99"/>
    <w:rsid w:val="006C4192"/>
    <w:rsid w:val="006C4605"/>
    <w:rsid w:val="006C46AC"/>
    <w:rsid w:val="006C5411"/>
    <w:rsid w:val="006C5620"/>
    <w:rsid w:val="006C5775"/>
    <w:rsid w:val="006C7114"/>
    <w:rsid w:val="006C7CE9"/>
    <w:rsid w:val="006D0107"/>
    <w:rsid w:val="006D0792"/>
    <w:rsid w:val="006D0A3F"/>
    <w:rsid w:val="006D2385"/>
    <w:rsid w:val="006D41AA"/>
    <w:rsid w:val="006D4522"/>
    <w:rsid w:val="006D46F3"/>
    <w:rsid w:val="006D66B2"/>
    <w:rsid w:val="006D6FEF"/>
    <w:rsid w:val="006D7419"/>
    <w:rsid w:val="006E0F94"/>
    <w:rsid w:val="006E1E8A"/>
    <w:rsid w:val="006E2C2E"/>
    <w:rsid w:val="006E4D31"/>
    <w:rsid w:val="006E4DB4"/>
    <w:rsid w:val="006E5CD4"/>
    <w:rsid w:val="006E5EC4"/>
    <w:rsid w:val="006E6C6D"/>
    <w:rsid w:val="006E6E65"/>
    <w:rsid w:val="006E7844"/>
    <w:rsid w:val="006F0DF2"/>
    <w:rsid w:val="006F0E17"/>
    <w:rsid w:val="006F1692"/>
    <w:rsid w:val="006F1996"/>
    <w:rsid w:val="006F24AB"/>
    <w:rsid w:val="006F28CB"/>
    <w:rsid w:val="006F449D"/>
    <w:rsid w:val="006F5BDD"/>
    <w:rsid w:val="006F6C70"/>
    <w:rsid w:val="006F6DE3"/>
    <w:rsid w:val="006F788B"/>
    <w:rsid w:val="00700DCA"/>
    <w:rsid w:val="00700F36"/>
    <w:rsid w:val="00701458"/>
    <w:rsid w:val="0070160A"/>
    <w:rsid w:val="00701894"/>
    <w:rsid w:val="00701AE2"/>
    <w:rsid w:val="00702B46"/>
    <w:rsid w:val="00703614"/>
    <w:rsid w:val="00703B84"/>
    <w:rsid w:val="00703BFC"/>
    <w:rsid w:val="00703E0E"/>
    <w:rsid w:val="007045E9"/>
    <w:rsid w:val="00706C1C"/>
    <w:rsid w:val="007070FC"/>
    <w:rsid w:val="00707F68"/>
    <w:rsid w:val="00710BAF"/>
    <w:rsid w:val="00712A0C"/>
    <w:rsid w:val="00712AEA"/>
    <w:rsid w:val="00712BFC"/>
    <w:rsid w:val="00713329"/>
    <w:rsid w:val="0071374E"/>
    <w:rsid w:val="00715B76"/>
    <w:rsid w:val="00715E3C"/>
    <w:rsid w:val="0071689E"/>
    <w:rsid w:val="00717C4B"/>
    <w:rsid w:val="0072174B"/>
    <w:rsid w:val="00721961"/>
    <w:rsid w:val="00722327"/>
    <w:rsid w:val="00722AA3"/>
    <w:rsid w:val="0072343A"/>
    <w:rsid w:val="007238C3"/>
    <w:rsid w:val="00724058"/>
    <w:rsid w:val="007245DF"/>
    <w:rsid w:val="00725616"/>
    <w:rsid w:val="007259C6"/>
    <w:rsid w:val="00727E7A"/>
    <w:rsid w:val="007303F7"/>
    <w:rsid w:val="0073083F"/>
    <w:rsid w:val="00731741"/>
    <w:rsid w:val="00731970"/>
    <w:rsid w:val="0073197D"/>
    <w:rsid w:val="00732318"/>
    <w:rsid w:val="00733751"/>
    <w:rsid w:val="007337E3"/>
    <w:rsid w:val="0073472C"/>
    <w:rsid w:val="00734828"/>
    <w:rsid w:val="007356FF"/>
    <w:rsid w:val="00735839"/>
    <w:rsid w:val="0073592A"/>
    <w:rsid w:val="00736063"/>
    <w:rsid w:val="007367C2"/>
    <w:rsid w:val="00736AEC"/>
    <w:rsid w:val="0073745B"/>
    <w:rsid w:val="007379B1"/>
    <w:rsid w:val="00737E61"/>
    <w:rsid w:val="00741879"/>
    <w:rsid w:val="00742ED7"/>
    <w:rsid w:val="00742FDE"/>
    <w:rsid w:val="007436F6"/>
    <w:rsid w:val="00743A48"/>
    <w:rsid w:val="00743E40"/>
    <w:rsid w:val="00744229"/>
    <w:rsid w:val="0074470E"/>
    <w:rsid w:val="00744BB4"/>
    <w:rsid w:val="007451EC"/>
    <w:rsid w:val="007454E8"/>
    <w:rsid w:val="00745D93"/>
    <w:rsid w:val="007479E3"/>
    <w:rsid w:val="0075047C"/>
    <w:rsid w:val="007510FA"/>
    <w:rsid w:val="00751577"/>
    <w:rsid w:val="007523C9"/>
    <w:rsid w:val="007524C3"/>
    <w:rsid w:val="00753497"/>
    <w:rsid w:val="007552D7"/>
    <w:rsid w:val="00755E24"/>
    <w:rsid w:val="00756C43"/>
    <w:rsid w:val="00757FF0"/>
    <w:rsid w:val="007615DE"/>
    <w:rsid w:val="00761921"/>
    <w:rsid w:val="007622CC"/>
    <w:rsid w:val="007623DE"/>
    <w:rsid w:val="00762603"/>
    <w:rsid w:val="00763481"/>
    <w:rsid w:val="00764412"/>
    <w:rsid w:val="00764E85"/>
    <w:rsid w:val="0076536F"/>
    <w:rsid w:val="007654ED"/>
    <w:rsid w:val="007656C3"/>
    <w:rsid w:val="00765BB2"/>
    <w:rsid w:val="007662B1"/>
    <w:rsid w:val="007667A9"/>
    <w:rsid w:val="00766DD2"/>
    <w:rsid w:val="00767476"/>
    <w:rsid w:val="007674EF"/>
    <w:rsid w:val="00767F2D"/>
    <w:rsid w:val="0077121F"/>
    <w:rsid w:val="00771E9D"/>
    <w:rsid w:val="007727B6"/>
    <w:rsid w:val="007730E8"/>
    <w:rsid w:val="00773188"/>
    <w:rsid w:val="0077352C"/>
    <w:rsid w:val="007740ED"/>
    <w:rsid w:val="00774F70"/>
    <w:rsid w:val="00775108"/>
    <w:rsid w:val="00775C19"/>
    <w:rsid w:val="00775F1C"/>
    <w:rsid w:val="00775F99"/>
    <w:rsid w:val="00776456"/>
    <w:rsid w:val="007765CF"/>
    <w:rsid w:val="007765DC"/>
    <w:rsid w:val="00777449"/>
    <w:rsid w:val="00777885"/>
    <w:rsid w:val="00777AD7"/>
    <w:rsid w:val="007803FE"/>
    <w:rsid w:val="007828D4"/>
    <w:rsid w:val="0078308C"/>
    <w:rsid w:val="00783D24"/>
    <w:rsid w:val="00784B78"/>
    <w:rsid w:val="00785442"/>
    <w:rsid w:val="00786E56"/>
    <w:rsid w:val="007926FF"/>
    <w:rsid w:val="00792ADF"/>
    <w:rsid w:val="0079408E"/>
    <w:rsid w:val="007941B3"/>
    <w:rsid w:val="007955E2"/>
    <w:rsid w:val="00796A00"/>
    <w:rsid w:val="007A1048"/>
    <w:rsid w:val="007A1F5B"/>
    <w:rsid w:val="007A2155"/>
    <w:rsid w:val="007A4AE5"/>
    <w:rsid w:val="007A4C38"/>
    <w:rsid w:val="007A5F5C"/>
    <w:rsid w:val="007A78A1"/>
    <w:rsid w:val="007A7CB8"/>
    <w:rsid w:val="007A7DCD"/>
    <w:rsid w:val="007B20F8"/>
    <w:rsid w:val="007B299F"/>
    <w:rsid w:val="007B2F49"/>
    <w:rsid w:val="007B365D"/>
    <w:rsid w:val="007B4C45"/>
    <w:rsid w:val="007B4C9B"/>
    <w:rsid w:val="007B5A9B"/>
    <w:rsid w:val="007B6357"/>
    <w:rsid w:val="007B6A07"/>
    <w:rsid w:val="007B72FA"/>
    <w:rsid w:val="007B78CA"/>
    <w:rsid w:val="007C0034"/>
    <w:rsid w:val="007C1B29"/>
    <w:rsid w:val="007C365B"/>
    <w:rsid w:val="007C395F"/>
    <w:rsid w:val="007C3A26"/>
    <w:rsid w:val="007C4311"/>
    <w:rsid w:val="007C6202"/>
    <w:rsid w:val="007C6D5A"/>
    <w:rsid w:val="007C7C1F"/>
    <w:rsid w:val="007D3128"/>
    <w:rsid w:val="007D3BC5"/>
    <w:rsid w:val="007D430D"/>
    <w:rsid w:val="007D5E3F"/>
    <w:rsid w:val="007D7204"/>
    <w:rsid w:val="007D7F5D"/>
    <w:rsid w:val="007E0A78"/>
    <w:rsid w:val="007E0D9D"/>
    <w:rsid w:val="007E1320"/>
    <w:rsid w:val="007E2573"/>
    <w:rsid w:val="007E26A9"/>
    <w:rsid w:val="007E2B30"/>
    <w:rsid w:val="007E37F4"/>
    <w:rsid w:val="007E49CF"/>
    <w:rsid w:val="007E6B58"/>
    <w:rsid w:val="007E6D53"/>
    <w:rsid w:val="007E6F33"/>
    <w:rsid w:val="007E735E"/>
    <w:rsid w:val="007E737E"/>
    <w:rsid w:val="007E74E3"/>
    <w:rsid w:val="007E7F86"/>
    <w:rsid w:val="007F0148"/>
    <w:rsid w:val="007F016B"/>
    <w:rsid w:val="007F0902"/>
    <w:rsid w:val="007F2032"/>
    <w:rsid w:val="007F430B"/>
    <w:rsid w:val="007F46CF"/>
    <w:rsid w:val="007F6DF8"/>
    <w:rsid w:val="007F73BF"/>
    <w:rsid w:val="007F752B"/>
    <w:rsid w:val="007F759C"/>
    <w:rsid w:val="007F7785"/>
    <w:rsid w:val="007F7A06"/>
    <w:rsid w:val="00800C74"/>
    <w:rsid w:val="00802FA4"/>
    <w:rsid w:val="008033FB"/>
    <w:rsid w:val="008036EC"/>
    <w:rsid w:val="00803867"/>
    <w:rsid w:val="00803BFD"/>
    <w:rsid w:val="00805FFD"/>
    <w:rsid w:val="00806A58"/>
    <w:rsid w:val="0080714B"/>
    <w:rsid w:val="00810168"/>
    <w:rsid w:val="008106F6"/>
    <w:rsid w:val="008111A2"/>
    <w:rsid w:val="00811595"/>
    <w:rsid w:val="00811ED4"/>
    <w:rsid w:val="00813507"/>
    <w:rsid w:val="0081356A"/>
    <w:rsid w:val="00813DB5"/>
    <w:rsid w:val="00814048"/>
    <w:rsid w:val="00815289"/>
    <w:rsid w:val="0081625B"/>
    <w:rsid w:val="008167BF"/>
    <w:rsid w:val="00816864"/>
    <w:rsid w:val="00816E76"/>
    <w:rsid w:val="008174A0"/>
    <w:rsid w:val="00820758"/>
    <w:rsid w:val="00820B84"/>
    <w:rsid w:val="00821917"/>
    <w:rsid w:val="008221EC"/>
    <w:rsid w:val="008233B6"/>
    <w:rsid w:val="00823543"/>
    <w:rsid w:val="00823E9C"/>
    <w:rsid w:val="00823FE7"/>
    <w:rsid w:val="0082405D"/>
    <w:rsid w:val="008244E5"/>
    <w:rsid w:val="00824C4C"/>
    <w:rsid w:val="00824FB3"/>
    <w:rsid w:val="00825708"/>
    <w:rsid w:val="00825D2E"/>
    <w:rsid w:val="0082640F"/>
    <w:rsid w:val="00826489"/>
    <w:rsid w:val="00826F39"/>
    <w:rsid w:val="0082758B"/>
    <w:rsid w:val="00827778"/>
    <w:rsid w:val="00827FFD"/>
    <w:rsid w:val="008301EC"/>
    <w:rsid w:val="00830DBD"/>
    <w:rsid w:val="008310B9"/>
    <w:rsid w:val="00831105"/>
    <w:rsid w:val="0083139A"/>
    <w:rsid w:val="008334C7"/>
    <w:rsid w:val="008338A1"/>
    <w:rsid w:val="00833D0F"/>
    <w:rsid w:val="00833D2B"/>
    <w:rsid w:val="00833D2D"/>
    <w:rsid w:val="00834B0F"/>
    <w:rsid w:val="0083503D"/>
    <w:rsid w:val="00835ED1"/>
    <w:rsid w:val="0083646E"/>
    <w:rsid w:val="00836A16"/>
    <w:rsid w:val="00836EB4"/>
    <w:rsid w:val="00836F05"/>
    <w:rsid w:val="00840048"/>
    <w:rsid w:val="0084077F"/>
    <w:rsid w:val="008414D9"/>
    <w:rsid w:val="00842128"/>
    <w:rsid w:val="00843550"/>
    <w:rsid w:val="00843D4E"/>
    <w:rsid w:val="00844D73"/>
    <w:rsid w:val="008452D0"/>
    <w:rsid w:val="0084559A"/>
    <w:rsid w:val="008467B8"/>
    <w:rsid w:val="00846893"/>
    <w:rsid w:val="00846A91"/>
    <w:rsid w:val="00846CF3"/>
    <w:rsid w:val="00846E65"/>
    <w:rsid w:val="00853078"/>
    <w:rsid w:val="00853B0A"/>
    <w:rsid w:val="00853F29"/>
    <w:rsid w:val="00854CC9"/>
    <w:rsid w:val="008554CA"/>
    <w:rsid w:val="00855F64"/>
    <w:rsid w:val="0085643B"/>
    <w:rsid w:val="00856776"/>
    <w:rsid w:val="00860E5C"/>
    <w:rsid w:val="00861148"/>
    <w:rsid w:val="00862B2A"/>
    <w:rsid w:val="00862D19"/>
    <w:rsid w:val="0086301C"/>
    <w:rsid w:val="0086392A"/>
    <w:rsid w:val="00863D97"/>
    <w:rsid w:val="008642D9"/>
    <w:rsid w:val="00864388"/>
    <w:rsid w:val="00864537"/>
    <w:rsid w:val="00864C81"/>
    <w:rsid w:val="00865C8E"/>
    <w:rsid w:val="00865D2C"/>
    <w:rsid w:val="00866108"/>
    <w:rsid w:val="00866629"/>
    <w:rsid w:val="008676A6"/>
    <w:rsid w:val="0087019A"/>
    <w:rsid w:val="0087021B"/>
    <w:rsid w:val="0087080E"/>
    <w:rsid w:val="00870DD0"/>
    <w:rsid w:val="00871715"/>
    <w:rsid w:val="00871AE8"/>
    <w:rsid w:val="00872BA8"/>
    <w:rsid w:val="008739E1"/>
    <w:rsid w:val="00873B36"/>
    <w:rsid w:val="00873BB5"/>
    <w:rsid w:val="00873FD7"/>
    <w:rsid w:val="00874003"/>
    <w:rsid w:val="00874549"/>
    <w:rsid w:val="008756B6"/>
    <w:rsid w:val="00875740"/>
    <w:rsid w:val="0087575A"/>
    <w:rsid w:val="00876622"/>
    <w:rsid w:val="00876B74"/>
    <w:rsid w:val="00876D76"/>
    <w:rsid w:val="00876FBE"/>
    <w:rsid w:val="008776D3"/>
    <w:rsid w:val="0088166F"/>
    <w:rsid w:val="0088278A"/>
    <w:rsid w:val="008831BA"/>
    <w:rsid w:val="00883A3C"/>
    <w:rsid w:val="00883B96"/>
    <w:rsid w:val="00883CEF"/>
    <w:rsid w:val="008847E8"/>
    <w:rsid w:val="00884E14"/>
    <w:rsid w:val="00886054"/>
    <w:rsid w:val="008862DD"/>
    <w:rsid w:val="00886968"/>
    <w:rsid w:val="00887470"/>
    <w:rsid w:val="008878A4"/>
    <w:rsid w:val="00887E5B"/>
    <w:rsid w:val="00887EF0"/>
    <w:rsid w:val="0089136B"/>
    <w:rsid w:val="0089168B"/>
    <w:rsid w:val="00891E09"/>
    <w:rsid w:val="00891EE5"/>
    <w:rsid w:val="00894C5D"/>
    <w:rsid w:val="008959BD"/>
    <w:rsid w:val="008964CA"/>
    <w:rsid w:val="00896C9D"/>
    <w:rsid w:val="0089724F"/>
    <w:rsid w:val="0089763D"/>
    <w:rsid w:val="008A01A0"/>
    <w:rsid w:val="008A0323"/>
    <w:rsid w:val="008A0BE1"/>
    <w:rsid w:val="008A16C4"/>
    <w:rsid w:val="008A292F"/>
    <w:rsid w:val="008A3D1B"/>
    <w:rsid w:val="008A40E4"/>
    <w:rsid w:val="008A432B"/>
    <w:rsid w:val="008A4844"/>
    <w:rsid w:val="008A5FD2"/>
    <w:rsid w:val="008A6356"/>
    <w:rsid w:val="008A6C08"/>
    <w:rsid w:val="008A6F87"/>
    <w:rsid w:val="008B0CE8"/>
    <w:rsid w:val="008B0E3B"/>
    <w:rsid w:val="008B13E4"/>
    <w:rsid w:val="008B1522"/>
    <w:rsid w:val="008B1DAB"/>
    <w:rsid w:val="008B2A1F"/>
    <w:rsid w:val="008B328A"/>
    <w:rsid w:val="008B40A3"/>
    <w:rsid w:val="008B5658"/>
    <w:rsid w:val="008B664F"/>
    <w:rsid w:val="008B66C5"/>
    <w:rsid w:val="008B7441"/>
    <w:rsid w:val="008B7743"/>
    <w:rsid w:val="008C10E6"/>
    <w:rsid w:val="008C1EB5"/>
    <w:rsid w:val="008C33BE"/>
    <w:rsid w:val="008C35A9"/>
    <w:rsid w:val="008C5CFF"/>
    <w:rsid w:val="008C6806"/>
    <w:rsid w:val="008C6D33"/>
    <w:rsid w:val="008C7627"/>
    <w:rsid w:val="008C76BF"/>
    <w:rsid w:val="008D07AB"/>
    <w:rsid w:val="008D10CA"/>
    <w:rsid w:val="008D11AA"/>
    <w:rsid w:val="008D121E"/>
    <w:rsid w:val="008D13DA"/>
    <w:rsid w:val="008D172F"/>
    <w:rsid w:val="008D21F6"/>
    <w:rsid w:val="008D2338"/>
    <w:rsid w:val="008D2379"/>
    <w:rsid w:val="008D2847"/>
    <w:rsid w:val="008D2A2E"/>
    <w:rsid w:val="008D2C88"/>
    <w:rsid w:val="008D2ECE"/>
    <w:rsid w:val="008D30E3"/>
    <w:rsid w:val="008D3AC3"/>
    <w:rsid w:val="008D4352"/>
    <w:rsid w:val="008D436F"/>
    <w:rsid w:val="008D4E6E"/>
    <w:rsid w:val="008D4E9B"/>
    <w:rsid w:val="008D54B0"/>
    <w:rsid w:val="008D5B5A"/>
    <w:rsid w:val="008D62B2"/>
    <w:rsid w:val="008D70C0"/>
    <w:rsid w:val="008D7B2E"/>
    <w:rsid w:val="008E0122"/>
    <w:rsid w:val="008E22C9"/>
    <w:rsid w:val="008E258C"/>
    <w:rsid w:val="008E2EB4"/>
    <w:rsid w:val="008E3388"/>
    <w:rsid w:val="008E5137"/>
    <w:rsid w:val="008E65E1"/>
    <w:rsid w:val="008E72EB"/>
    <w:rsid w:val="008E7851"/>
    <w:rsid w:val="008E7A09"/>
    <w:rsid w:val="008F0599"/>
    <w:rsid w:val="008F1517"/>
    <w:rsid w:val="008F19C2"/>
    <w:rsid w:val="008F212E"/>
    <w:rsid w:val="008F23B0"/>
    <w:rsid w:val="008F2504"/>
    <w:rsid w:val="008F3A72"/>
    <w:rsid w:val="008F3A94"/>
    <w:rsid w:val="008F4510"/>
    <w:rsid w:val="008F46E3"/>
    <w:rsid w:val="008F4F9A"/>
    <w:rsid w:val="008F506E"/>
    <w:rsid w:val="008F6506"/>
    <w:rsid w:val="008F6E27"/>
    <w:rsid w:val="008F7136"/>
    <w:rsid w:val="008F7504"/>
    <w:rsid w:val="008F7909"/>
    <w:rsid w:val="009002B8"/>
    <w:rsid w:val="00900B28"/>
    <w:rsid w:val="00900C47"/>
    <w:rsid w:val="009019F3"/>
    <w:rsid w:val="009021E6"/>
    <w:rsid w:val="00902A9F"/>
    <w:rsid w:val="00902DE9"/>
    <w:rsid w:val="00903688"/>
    <w:rsid w:val="00904000"/>
    <w:rsid w:val="00904369"/>
    <w:rsid w:val="009047DB"/>
    <w:rsid w:val="00905C92"/>
    <w:rsid w:val="00906452"/>
    <w:rsid w:val="00906904"/>
    <w:rsid w:val="0090738C"/>
    <w:rsid w:val="00907A1E"/>
    <w:rsid w:val="00907FC9"/>
    <w:rsid w:val="00910496"/>
    <w:rsid w:val="00910B5E"/>
    <w:rsid w:val="00910F92"/>
    <w:rsid w:val="009112EC"/>
    <w:rsid w:val="0091132A"/>
    <w:rsid w:val="00911C7F"/>
    <w:rsid w:val="00913906"/>
    <w:rsid w:val="00913B54"/>
    <w:rsid w:val="00914958"/>
    <w:rsid w:val="00915013"/>
    <w:rsid w:val="009153D1"/>
    <w:rsid w:val="00915626"/>
    <w:rsid w:val="009161F0"/>
    <w:rsid w:val="009165A0"/>
    <w:rsid w:val="00916DD0"/>
    <w:rsid w:val="009172FB"/>
    <w:rsid w:val="0092081E"/>
    <w:rsid w:val="00920B81"/>
    <w:rsid w:val="00920E27"/>
    <w:rsid w:val="00920EFC"/>
    <w:rsid w:val="00921444"/>
    <w:rsid w:val="00921F46"/>
    <w:rsid w:val="009221E6"/>
    <w:rsid w:val="0092272B"/>
    <w:rsid w:val="00922BCC"/>
    <w:rsid w:val="00922C11"/>
    <w:rsid w:val="009238D7"/>
    <w:rsid w:val="00925A05"/>
    <w:rsid w:val="00926171"/>
    <w:rsid w:val="009271CD"/>
    <w:rsid w:val="00927B1A"/>
    <w:rsid w:val="009305B3"/>
    <w:rsid w:val="009308C9"/>
    <w:rsid w:val="00931C60"/>
    <w:rsid w:val="00932AB9"/>
    <w:rsid w:val="0093303B"/>
    <w:rsid w:val="0093343C"/>
    <w:rsid w:val="00933985"/>
    <w:rsid w:val="00933C44"/>
    <w:rsid w:val="0093553B"/>
    <w:rsid w:val="0093588D"/>
    <w:rsid w:val="00935947"/>
    <w:rsid w:val="00937FA5"/>
    <w:rsid w:val="00941154"/>
    <w:rsid w:val="00942146"/>
    <w:rsid w:val="00943F01"/>
    <w:rsid w:val="0094415F"/>
    <w:rsid w:val="009448B9"/>
    <w:rsid w:val="009451A9"/>
    <w:rsid w:val="00946D2D"/>
    <w:rsid w:val="00947522"/>
    <w:rsid w:val="00947D4F"/>
    <w:rsid w:val="00950042"/>
    <w:rsid w:val="00950152"/>
    <w:rsid w:val="0095198D"/>
    <w:rsid w:val="00952559"/>
    <w:rsid w:val="00952EEE"/>
    <w:rsid w:val="00953F34"/>
    <w:rsid w:val="009549AB"/>
    <w:rsid w:val="00955A7B"/>
    <w:rsid w:val="00956436"/>
    <w:rsid w:val="00956CAB"/>
    <w:rsid w:val="009573C2"/>
    <w:rsid w:val="00960CD7"/>
    <w:rsid w:val="009612CB"/>
    <w:rsid w:val="00962056"/>
    <w:rsid w:val="00962DF1"/>
    <w:rsid w:val="0096323E"/>
    <w:rsid w:val="00964B95"/>
    <w:rsid w:val="009668BC"/>
    <w:rsid w:val="00967677"/>
    <w:rsid w:val="009677FF"/>
    <w:rsid w:val="00967B44"/>
    <w:rsid w:val="00967D30"/>
    <w:rsid w:val="00970577"/>
    <w:rsid w:val="0097061A"/>
    <w:rsid w:val="00970A0C"/>
    <w:rsid w:val="00970DDC"/>
    <w:rsid w:val="00971216"/>
    <w:rsid w:val="009713FC"/>
    <w:rsid w:val="0097179B"/>
    <w:rsid w:val="00971B00"/>
    <w:rsid w:val="00972E28"/>
    <w:rsid w:val="009730B7"/>
    <w:rsid w:val="00974A82"/>
    <w:rsid w:val="009759B6"/>
    <w:rsid w:val="00975B83"/>
    <w:rsid w:val="00975E06"/>
    <w:rsid w:val="00976863"/>
    <w:rsid w:val="009773DB"/>
    <w:rsid w:val="009777E0"/>
    <w:rsid w:val="00980493"/>
    <w:rsid w:val="009808BA"/>
    <w:rsid w:val="00980D00"/>
    <w:rsid w:val="009817D9"/>
    <w:rsid w:val="00981F09"/>
    <w:rsid w:val="00982A21"/>
    <w:rsid w:val="00984207"/>
    <w:rsid w:val="00984D9F"/>
    <w:rsid w:val="0098579C"/>
    <w:rsid w:val="00985805"/>
    <w:rsid w:val="009869A5"/>
    <w:rsid w:val="00987C56"/>
    <w:rsid w:val="00990676"/>
    <w:rsid w:val="00990BC1"/>
    <w:rsid w:val="00991EAD"/>
    <w:rsid w:val="00992D44"/>
    <w:rsid w:val="00992DFD"/>
    <w:rsid w:val="009932B0"/>
    <w:rsid w:val="00993488"/>
    <w:rsid w:val="009946DF"/>
    <w:rsid w:val="00994F61"/>
    <w:rsid w:val="00994FD0"/>
    <w:rsid w:val="00995F7A"/>
    <w:rsid w:val="00997015"/>
    <w:rsid w:val="00997267"/>
    <w:rsid w:val="009975C0"/>
    <w:rsid w:val="00997B91"/>
    <w:rsid w:val="009A01E0"/>
    <w:rsid w:val="009A06EC"/>
    <w:rsid w:val="009A0FD0"/>
    <w:rsid w:val="009A3CE9"/>
    <w:rsid w:val="009A416F"/>
    <w:rsid w:val="009A434A"/>
    <w:rsid w:val="009A497E"/>
    <w:rsid w:val="009A5B22"/>
    <w:rsid w:val="009A6E80"/>
    <w:rsid w:val="009A7987"/>
    <w:rsid w:val="009B1186"/>
    <w:rsid w:val="009B19F3"/>
    <w:rsid w:val="009B26A6"/>
    <w:rsid w:val="009B38DA"/>
    <w:rsid w:val="009B390E"/>
    <w:rsid w:val="009B490B"/>
    <w:rsid w:val="009B5131"/>
    <w:rsid w:val="009B5C21"/>
    <w:rsid w:val="009B63ED"/>
    <w:rsid w:val="009B6418"/>
    <w:rsid w:val="009B78CF"/>
    <w:rsid w:val="009B7CD5"/>
    <w:rsid w:val="009B7EF0"/>
    <w:rsid w:val="009C10B4"/>
    <w:rsid w:val="009C14E7"/>
    <w:rsid w:val="009C2178"/>
    <w:rsid w:val="009C21AA"/>
    <w:rsid w:val="009C42DF"/>
    <w:rsid w:val="009C4322"/>
    <w:rsid w:val="009C4B55"/>
    <w:rsid w:val="009C52F3"/>
    <w:rsid w:val="009C5760"/>
    <w:rsid w:val="009C59D3"/>
    <w:rsid w:val="009C5CF0"/>
    <w:rsid w:val="009C5DEA"/>
    <w:rsid w:val="009C61D9"/>
    <w:rsid w:val="009C6FF9"/>
    <w:rsid w:val="009C7B46"/>
    <w:rsid w:val="009C7CD9"/>
    <w:rsid w:val="009D076A"/>
    <w:rsid w:val="009D0FE4"/>
    <w:rsid w:val="009D2288"/>
    <w:rsid w:val="009D3D83"/>
    <w:rsid w:val="009D4166"/>
    <w:rsid w:val="009D4564"/>
    <w:rsid w:val="009D4BEA"/>
    <w:rsid w:val="009D4F4E"/>
    <w:rsid w:val="009D5241"/>
    <w:rsid w:val="009D5601"/>
    <w:rsid w:val="009D5BCB"/>
    <w:rsid w:val="009D5C4C"/>
    <w:rsid w:val="009D6173"/>
    <w:rsid w:val="009D6228"/>
    <w:rsid w:val="009D6DD4"/>
    <w:rsid w:val="009D7457"/>
    <w:rsid w:val="009D766F"/>
    <w:rsid w:val="009D7D76"/>
    <w:rsid w:val="009D7EE0"/>
    <w:rsid w:val="009E007B"/>
    <w:rsid w:val="009E1A85"/>
    <w:rsid w:val="009E26D3"/>
    <w:rsid w:val="009E3A55"/>
    <w:rsid w:val="009E4040"/>
    <w:rsid w:val="009E56B4"/>
    <w:rsid w:val="009E6005"/>
    <w:rsid w:val="009E65B2"/>
    <w:rsid w:val="009E73C4"/>
    <w:rsid w:val="009E7631"/>
    <w:rsid w:val="009E7E08"/>
    <w:rsid w:val="009F0541"/>
    <w:rsid w:val="009F10C9"/>
    <w:rsid w:val="009F13CF"/>
    <w:rsid w:val="009F18A4"/>
    <w:rsid w:val="009F211E"/>
    <w:rsid w:val="009F22EC"/>
    <w:rsid w:val="009F2A63"/>
    <w:rsid w:val="009F4BC3"/>
    <w:rsid w:val="009F578C"/>
    <w:rsid w:val="009F57DB"/>
    <w:rsid w:val="009F6877"/>
    <w:rsid w:val="009F7FD2"/>
    <w:rsid w:val="00A01A3C"/>
    <w:rsid w:val="00A022F2"/>
    <w:rsid w:val="00A02743"/>
    <w:rsid w:val="00A028CF"/>
    <w:rsid w:val="00A03067"/>
    <w:rsid w:val="00A03545"/>
    <w:rsid w:val="00A04452"/>
    <w:rsid w:val="00A04571"/>
    <w:rsid w:val="00A0481F"/>
    <w:rsid w:val="00A04D2C"/>
    <w:rsid w:val="00A050C7"/>
    <w:rsid w:val="00A05870"/>
    <w:rsid w:val="00A05F63"/>
    <w:rsid w:val="00A06EEA"/>
    <w:rsid w:val="00A06F58"/>
    <w:rsid w:val="00A07439"/>
    <w:rsid w:val="00A10E64"/>
    <w:rsid w:val="00A11292"/>
    <w:rsid w:val="00A11EA1"/>
    <w:rsid w:val="00A126B1"/>
    <w:rsid w:val="00A127D8"/>
    <w:rsid w:val="00A12CBD"/>
    <w:rsid w:val="00A14421"/>
    <w:rsid w:val="00A1457A"/>
    <w:rsid w:val="00A1545F"/>
    <w:rsid w:val="00A163CC"/>
    <w:rsid w:val="00A165BC"/>
    <w:rsid w:val="00A16B2A"/>
    <w:rsid w:val="00A204AB"/>
    <w:rsid w:val="00A207B2"/>
    <w:rsid w:val="00A217BA"/>
    <w:rsid w:val="00A21BB1"/>
    <w:rsid w:val="00A22709"/>
    <w:rsid w:val="00A22DBC"/>
    <w:rsid w:val="00A22DF7"/>
    <w:rsid w:val="00A23250"/>
    <w:rsid w:val="00A233A1"/>
    <w:rsid w:val="00A23896"/>
    <w:rsid w:val="00A23C6B"/>
    <w:rsid w:val="00A24ABB"/>
    <w:rsid w:val="00A253BF"/>
    <w:rsid w:val="00A25819"/>
    <w:rsid w:val="00A25A22"/>
    <w:rsid w:val="00A26350"/>
    <w:rsid w:val="00A274F9"/>
    <w:rsid w:val="00A2788C"/>
    <w:rsid w:val="00A27A9E"/>
    <w:rsid w:val="00A27F92"/>
    <w:rsid w:val="00A30EBF"/>
    <w:rsid w:val="00A31217"/>
    <w:rsid w:val="00A31457"/>
    <w:rsid w:val="00A31779"/>
    <w:rsid w:val="00A32549"/>
    <w:rsid w:val="00A34146"/>
    <w:rsid w:val="00A343E9"/>
    <w:rsid w:val="00A34F51"/>
    <w:rsid w:val="00A3573B"/>
    <w:rsid w:val="00A3699D"/>
    <w:rsid w:val="00A36C01"/>
    <w:rsid w:val="00A3746C"/>
    <w:rsid w:val="00A37A9C"/>
    <w:rsid w:val="00A40364"/>
    <w:rsid w:val="00A4148C"/>
    <w:rsid w:val="00A42DF1"/>
    <w:rsid w:val="00A4414F"/>
    <w:rsid w:val="00A4425C"/>
    <w:rsid w:val="00A45560"/>
    <w:rsid w:val="00A45848"/>
    <w:rsid w:val="00A46055"/>
    <w:rsid w:val="00A468A4"/>
    <w:rsid w:val="00A47BEC"/>
    <w:rsid w:val="00A47ED2"/>
    <w:rsid w:val="00A502D7"/>
    <w:rsid w:val="00A50A6F"/>
    <w:rsid w:val="00A51209"/>
    <w:rsid w:val="00A51B5C"/>
    <w:rsid w:val="00A51CEC"/>
    <w:rsid w:val="00A52A09"/>
    <w:rsid w:val="00A52FA5"/>
    <w:rsid w:val="00A53B1F"/>
    <w:rsid w:val="00A53DFE"/>
    <w:rsid w:val="00A53E49"/>
    <w:rsid w:val="00A549CE"/>
    <w:rsid w:val="00A54F5D"/>
    <w:rsid w:val="00A56EDE"/>
    <w:rsid w:val="00A5731B"/>
    <w:rsid w:val="00A60BE1"/>
    <w:rsid w:val="00A61133"/>
    <w:rsid w:val="00A62875"/>
    <w:rsid w:val="00A63107"/>
    <w:rsid w:val="00A635C1"/>
    <w:rsid w:val="00A639AD"/>
    <w:rsid w:val="00A6451C"/>
    <w:rsid w:val="00A64544"/>
    <w:rsid w:val="00A648A8"/>
    <w:rsid w:val="00A6583C"/>
    <w:rsid w:val="00A65C78"/>
    <w:rsid w:val="00A6691D"/>
    <w:rsid w:val="00A669BE"/>
    <w:rsid w:val="00A679D3"/>
    <w:rsid w:val="00A70983"/>
    <w:rsid w:val="00A714D3"/>
    <w:rsid w:val="00A7166F"/>
    <w:rsid w:val="00A71BBF"/>
    <w:rsid w:val="00A72D86"/>
    <w:rsid w:val="00A746E5"/>
    <w:rsid w:val="00A74A77"/>
    <w:rsid w:val="00A753E5"/>
    <w:rsid w:val="00A75556"/>
    <w:rsid w:val="00A75604"/>
    <w:rsid w:val="00A75DEB"/>
    <w:rsid w:val="00A76609"/>
    <w:rsid w:val="00A76798"/>
    <w:rsid w:val="00A80CF7"/>
    <w:rsid w:val="00A81612"/>
    <w:rsid w:val="00A81B62"/>
    <w:rsid w:val="00A81C4E"/>
    <w:rsid w:val="00A83658"/>
    <w:rsid w:val="00A840CB"/>
    <w:rsid w:val="00A849A6"/>
    <w:rsid w:val="00A849FF"/>
    <w:rsid w:val="00A84E0B"/>
    <w:rsid w:val="00A84FFA"/>
    <w:rsid w:val="00A85277"/>
    <w:rsid w:val="00A86D2A"/>
    <w:rsid w:val="00A87CBC"/>
    <w:rsid w:val="00A92BB8"/>
    <w:rsid w:val="00A92CF4"/>
    <w:rsid w:val="00A93D75"/>
    <w:rsid w:val="00A94672"/>
    <w:rsid w:val="00A95590"/>
    <w:rsid w:val="00A961B8"/>
    <w:rsid w:val="00A9717D"/>
    <w:rsid w:val="00A97913"/>
    <w:rsid w:val="00AA05A1"/>
    <w:rsid w:val="00AA0709"/>
    <w:rsid w:val="00AA137B"/>
    <w:rsid w:val="00AA1595"/>
    <w:rsid w:val="00AA2389"/>
    <w:rsid w:val="00AA279A"/>
    <w:rsid w:val="00AA3BBE"/>
    <w:rsid w:val="00AA3D93"/>
    <w:rsid w:val="00AA3EF6"/>
    <w:rsid w:val="00AA3F9D"/>
    <w:rsid w:val="00AA4A50"/>
    <w:rsid w:val="00AA4D6B"/>
    <w:rsid w:val="00AA4E31"/>
    <w:rsid w:val="00AA53B3"/>
    <w:rsid w:val="00AA69F9"/>
    <w:rsid w:val="00AB01F9"/>
    <w:rsid w:val="00AB1AD1"/>
    <w:rsid w:val="00AB1D10"/>
    <w:rsid w:val="00AB1EB4"/>
    <w:rsid w:val="00AB1ED0"/>
    <w:rsid w:val="00AB2B06"/>
    <w:rsid w:val="00AB45D0"/>
    <w:rsid w:val="00AB51E2"/>
    <w:rsid w:val="00AB59E0"/>
    <w:rsid w:val="00AB5F26"/>
    <w:rsid w:val="00AB6698"/>
    <w:rsid w:val="00AB671B"/>
    <w:rsid w:val="00AB7869"/>
    <w:rsid w:val="00AC1549"/>
    <w:rsid w:val="00AC1885"/>
    <w:rsid w:val="00AC18B1"/>
    <w:rsid w:val="00AC3A51"/>
    <w:rsid w:val="00AC3E7D"/>
    <w:rsid w:val="00AC4B05"/>
    <w:rsid w:val="00AC5B01"/>
    <w:rsid w:val="00AC5DF7"/>
    <w:rsid w:val="00AC62BD"/>
    <w:rsid w:val="00AC64DF"/>
    <w:rsid w:val="00AC66B8"/>
    <w:rsid w:val="00AC67D2"/>
    <w:rsid w:val="00AC7733"/>
    <w:rsid w:val="00AC7D43"/>
    <w:rsid w:val="00AD0101"/>
    <w:rsid w:val="00AD1749"/>
    <w:rsid w:val="00AD31E8"/>
    <w:rsid w:val="00AD3A15"/>
    <w:rsid w:val="00AD3F68"/>
    <w:rsid w:val="00AD52D8"/>
    <w:rsid w:val="00AD5CCA"/>
    <w:rsid w:val="00AD754E"/>
    <w:rsid w:val="00AD759D"/>
    <w:rsid w:val="00AD79AC"/>
    <w:rsid w:val="00AE063B"/>
    <w:rsid w:val="00AE0871"/>
    <w:rsid w:val="00AE0A95"/>
    <w:rsid w:val="00AE2204"/>
    <w:rsid w:val="00AE230F"/>
    <w:rsid w:val="00AE2596"/>
    <w:rsid w:val="00AE2F02"/>
    <w:rsid w:val="00AE30D0"/>
    <w:rsid w:val="00AE31DC"/>
    <w:rsid w:val="00AE325C"/>
    <w:rsid w:val="00AE3922"/>
    <w:rsid w:val="00AE40B2"/>
    <w:rsid w:val="00AE45A5"/>
    <w:rsid w:val="00AE4A60"/>
    <w:rsid w:val="00AE5107"/>
    <w:rsid w:val="00AE53F5"/>
    <w:rsid w:val="00AE54E4"/>
    <w:rsid w:val="00AE67DA"/>
    <w:rsid w:val="00AE6DE3"/>
    <w:rsid w:val="00AE71B6"/>
    <w:rsid w:val="00AE76FF"/>
    <w:rsid w:val="00AF011F"/>
    <w:rsid w:val="00AF0673"/>
    <w:rsid w:val="00AF1BE6"/>
    <w:rsid w:val="00AF2022"/>
    <w:rsid w:val="00AF2072"/>
    <w:rsid w:val="00AF24F2"/>
    <w:rsid w:val="00AF28C0"/>
    <w:rsid w:val="00AF2E69"/>
    <w:rsid w:val="00AF314C"/>
    <w:rsid w:val="00AF6394"/>
    <w:rsid w:val="00AF69E5"/>
    <w:rsid w:val="00AF6C56"/>
    <w:rsid w:val="00B000E7"/>
    <w:rsid w:val="00B00140"/>
    <w:rsid w:val="00B001D0"/>
    <w:rsid w:val="00B00327"/>
    <w:rsid w:val="00B00F04"/>
    <w:rsid w:val="00B029EB"/>
    <w:rsid w:val="00B02B96"/>
    <w:rsid w:val="00B02BD5"/>
    <w:rsid w:val="00B04EBF"/>
    <w:rsid w:val="00B05554"/>
    <w:rsid w:val="00B0581A"/>
    <w:rsid w:val="00B05C32"/>
    <w:rsid w:val="00B05DB9"/>
    <w:rsid w:val="00B06AA8"/>
    <w:rsid w:val="00B075EE"/>
    <w:rsid w:val="00B07DED"/>
    <w:rsid w:val="00B10067"/>
    <w:rsid w:val="00B12088"/>
    <w:rsid w:val="00B127CD"/>
    <w:rsid w:val="00B13BC6"/>
    <w:rsid w:val="00B145DB"/>
    <w:rsid w:val="00B14696"/>
    <w:rsid w:val="00B15471"/>
    <w:rsid w:val="00B15DCE"/>
    <w:rsid w:val="00B167A7"/>
    <w:rsid w:val="00B168BE"/>
    <w:rsid w:val="00B17D53"/>
    <w:rsid w:val="00B211E9"/>
    <w:rsid w:val="00B213AC"/>
    <w:rsid w:val="00B2258D"/>
    <w:rsid w:val="00B230C0"/>
    <w:rsid w:val="00B24A50"/>
    <w:rsid w:val="00B257FB"/>
    <w:rsid w:val="00B275BD"/>
    <w:rsid w:val="00B27A74"/>
    <w:rsid w:val="00B27DAC"/>
    <w:rsid w:val="00B27FD1"/>
    <w:rsid w:val="00B312EB"/>
    <w:rsid w:val="00B31409"/>
    <w:rsid w:val="00B3142C"/>
    <w:rsid w:val="00B3168A"/>
    <w:rsid w:val="00B318B0"/>
    <w:rsid w:val="00B322C7"/>
    <w:rsid w:val="00B32B60"/>
    <w:rsid w:val="00B32F93"/>
    <w:rsid w:val="00B331B1"/>
    <w:rsid w:val="00B335FC"/>
    <w:rsid w:val="00B33741"/>
    <w:rsid w:val="00B34623"/>
    <w:rsid w:val="00B348B4"/>
    <w:rsid w:val="00B34D5D"/>
    <w:rsid w:val="00B353DE"/>
    <w:rsid w:val="00B3551D"/>
    <w:rsid w:val="00B36C33"/>
    <w:rsid w:val="00B37383"/>
    <w:rsid w:val="00B3773E"/>
    <w:rsid w:val="00B41F11"/>
    <w:rsid w:val="00B421D0"/>
    <w:rsid w:val="00B429DB"/>
    <w:rsid w:val="00B42A2F"/>
    <w:rsid w:val="00B45E3D"/>
    <w:rsid w:val="00B4608A"/>
    <w:rsid w:val="00B46337"/>
    <w:rsid w:val="00B47085"/>
    <w:rsid w:val="00B47537"/>
    <w:rsid w:val="00B47A5C"/>
    <w:rsid w:val="00B47CB7"/>
    <w:rsid w:val="00B50697"/>
    <w:rsid w:val="00B50C75"/>
    <w:rsid w:val="00B51B0C"/>
    <w:rsid w:val="00B53580"/>
    <w:rsid w:val="00B53B4E"/>
    <w:rsid w:val="00B53DB2"/>
    <w:rsid w:val="00B550BE"/>
    <w:rsid w:val="00B550D5"/>
    <w:rsid w:val="00B55577"/>
    <w:rsid w:val="00B5559E"/>
    <w:rsid w:val="00B55973"/>
    <w:rsid w:val="00B55B73"/>
    <w:rsid w:val="00B55E4E"/>
    <w:rsid w:val="00B56C88"/>
    <w:rsid w:val="00B56FB8"/>
    <w:rsid w:val="00B57142"/>
    <w:rsid w:val="00B60023"/>
    <w:rsid w:val="00B600A2"/>
    <w:rsid w:val="00B601A3"/>
    <w:rsid w:val="00B60A8E"/>
    <w:rsid w:val="00B61259"/>
    <w:rsid w:val="00B6130D"/>
    <w:rsid w:val="00B615A7"/>
    <w:rsid w:val="00B63F00"/>
    <w:rsid w:val="00B64061"/>
    <w:rsid w:val="00B6457A"/>
    <w:rsid w:val="00B645B2"/>
    <w:rsid w:val="00B647DB"/>
    <w:rsid w:val="00B64B7F"/>
    <w:rsid w:val="00B6578D"/>
    <w:rsid w:val="00B65793"/>
    <w:rsid w:val="00B66636"/>
    <w:rsid w:val="00B66F80"/>
    <w:rsid w:val="00B70211"/>
    <w:rsid w:val="00B702DA"/>
    <w:rsid w:val="00B71016"/>
    <w:rsid w:val="00B71108"/>
    <w:rsid w:val="00B72E33"/>
    <w:rsid w:val="00B74136"/>
    <w:rsid w:val="00B7556C"/>
    <w:rsid w:val="00B76653"/>
    <w:rsid w:val="00B7672C"/>
    <w:rsid w:val="00B813E2"/>
    <w:rsid w:val="00B81573"/>
    <w:rsid w:val="00B81B53"/>
    <w:rsid w:val="00B8339D"/>
    <w:rsid w:val="00B835E8"/>
    <w:rsid w:val="00B85CDC"/>
    <w:rsid w:val="00B86014"/>
    <w:rsid w:val="00B86407"/>
    <w:rsid w:val="00B866A7"/>
    <w:rsid w:val="00B8675F"/>
    <w:rsid w:val="00B91472"/>
    <w:rsid w:val="00B918E3"/>
    <w:rsid w:val="00B91982"/>
    <w:rsid w:val="00B92A66"/>
    <w:rsid w:val="00B92BAE"/>
    <w:rsid w:val="00B92E0D"/>
    <w:rsid w:val="00B92EF5"/>
    <w:rsid w:val="00B93C9E"/>
    <w:rsid w:val="00B941A0"/>
    <w:rsid w:val="00B947C8"/>
    <w:rsid w:val="00B95984"/>
    <w:rsid w:val="00B97443"/>
    <w:rsid w:val="00B97A81"/>
    <w:rsid w:val="00BA028C"/>
    <w:rsid w:val="00BA0C8E"/>
    <w:rsid w:val="00BA0DD3"/>
    <w:rsid w:val="00BA1B97"/>
    <w:rsid w:val="00BA1D17"/>
    <w:rsid w:val="00BA203F"/>
    <w:rsid w:val="00BA53A4"/>
    <w:rsid w:val="00BA53EC"/>
    <w:rsid w:val="00BA6ADD"/>
    <w:rsid w:val="00BB0664"/>
    <w:rsid w:val="00BB0D37"/>
    <w:rsid w:val="00BB1F0D"/>
    <w:rsid w:val="00BB1F8E"/>
    <w:rsid w:val="00BB2500"/>
    <w:rsid w:val="00BB287A"/>
    <w:rsid w:val="00BB2B2C"/>
    <w:rsid w:val="00BB30DE"/>
    <w:rsid w:val="00BB3BD7"/>
    <w:rsid w:val="00BB4BB0"/>
    <w:rsid w:val="00BB624D"/>
    <w:rsid w:val="00BB6B16"/>
    <w:rsid w:val="00BB6E2B"/>
    <w:rsid w:val="00BB7174"/>
    <w:rsid w:val="00BB723F"/>
    <w:rsid w:val="00BC06AC"/>
    <w:rsid w:val="00BC1409"/>
    <w:rsid w:val="00BC1A1F"/>
    <w:rsid w:val="00BC1B4F"/>
    <w:rsid w:val="00BC3104"/>
    <w:rsid w:val="00BC3AD4"/>
    <w:rsid w:val="00BC3DB3"/>
    <w:rsid w:val="00BC3E60"/>
    <w:rsid w:val="00BC4A69"/>
    <w:rsid w:val="00BC4F87"/>
    <w:rsid w:val="00BC613D"/>
    <w:rsid w:val="00BC6309"/>
    <w:rsid w:val="00BC65DE"/>
    <w:rsid w:val="00BC670F"/>
    <w:rsid w:val="00BC6BD6"/>
    <w:rsid w:val="00BC7E6D"/>
    <w:rsid w:val="00BD0EC4"/>
    <w:rsid w:val="00BD20F5"/>
    <w:rsid w:val="00BD2109"/>
    <w:rsid w:val="00BD33FC"/>
    <w:rsid w:val="00BD37AA"/>
    <w:rsid w:val="00BD37D4"/>
    <w:rsid w:val="00BD3898"/>
    <w:rsid w:val="00BD3B71"/>
    <w:rsid w:val="00BD41A4"/>
    <w:rsid w:val="00BD5085"/>
    <w:rsid w:val="00BD5C37"/>
    <w:rsid w:val="00BD7185"/>
    <w:rsid w:val="00BD731C"/>
    <w:rsid w:val="00BD7CA3"/>
    <w:rsid w:val="00BE194A"/>
    <w:rsid w:val="00BE41E2"/>
    <w:rsid w:val="00BE4582"/>
    <w:rsid w:val="00BE4B24"/>
    <w:rsid w:val="00BE569D"/>
    <w:rsid w:val="00BE5BE2"/>
    <w:rsid w:val="00BE7FE2"/>
    <w:rsid w:val="00BF0C99"/>
    <w:rsid w:val="00BF360E"/>
    <w:rsid w:val="00BF3F51"/>
    <w:rsid w:val="00BF439E"/>
    <w:rsid w:val="00BF479F"/>
    <w:rsid w:val="00BF5E40"/>
    <w:rsid w:val="00BF6718"/>
    <w:rsid w:val="00BF716B"/>
    <w:rsid w:val="00BF7BF6"/>
    <w:rsid w:val="00C00AF8"/>
    <w:rsid w:val="00C01736"/>
    <w:rsid w:val="00C01934"/>
    <w:rsid w:val="00C0243F"/>
    <w:rsid w:val="00C0294A"/>
    <w:rsid w:val="00C02F9E"/>
    <w:rsid w:val="00C03EC1"/>
    <w:rsid w:val="00C03ED7"/>
    <w:rsid w:val="00C046D8"/>
    <w:rsid w:val="00C04C96"/>
    <w:rsid w:val="00C0598F"/>
    <w:rsid w:val="00C0644B"/>
    <w:rsid w:val="00C06653"/>
    <w:rsid w:val="00C066ED"/>
    <w:rsid w:val="00C0701F"/>
    <w:rsid w:val="00C07491"/>
    <w:rsid w:val="00C075AC"/>
    <w:rsid w:val="00C07BF7"/>
    <w:rsid w:val="00C07CCF"/>
    <w:rsid w:val="00C10488"/>
    <w:rsid w:val="00C1194C"/>
    <w:rsid w:val="00C11BF2"/>
    <w:rsid w:val="00C12078"/>
    <w:rsid w:val="00C1251A"/>
    <w:rsid w:val="00C13B9B"/>
    <w:rsid w:val="00C13F1E"/>
    <w:rsid w:val="00C14FFE"/>
    <w:rsid w:val="00C15002"/>
    <w:rsid w:val="00C15458"/>
    <w:rsid w:val="00C1561B"/>
    <w:rsid w:val="00C168B4"/>
    <w:rsid w:val="00C16E20"/>
    <w:rsid w:val="00C16ED6"/>
    <w:rsid w:val="00C17451"/>
    <w:rsid w:val="00C17B9E"/>
    <w:rsid w:val="00C205E5"/>
    <w:rsid w:val="00C20A2C"/>
    <w:rsid w:val="00C214DA"/>
    <w:rsid w:val="00C218C2"/>
    <w:rsid w:val="00C21BFD"/>
    <w:rsid w:val="00C22B55"/>
    <w:rsid w:val="00C23759"/>
    <w:rsid w:val="00C24510"/>
    <w:rsid w:val="00C25313"/>
    <w:rsid w:val="00C26237"/>
    <w:rsid w:val="00C26BF1"/>
    <w:rsid w:val="00C2731A"/>
    <w:rsid w:val="00C27B4D"/>
    <w:rsid w:val="00C30228"/>
    <w:rsid w:val="00C30326"/>
    <w:rsid w:val="00C30327"/>
    <w:rsid w:val="00C30867"/>
    <w:rsid w:val="00C30E13"/>
    <w:rsid w:val="00C31FF3"/>
    <w:rsid w:val="00C33707"/>
    <w:rsid w:val="00C33D75"/>
    <w:rsid w:val="00C3434F"/>
    <w:rsid w:val="00C34D38"/>
    <w:rsid w:val="00C35733"/>
    <w:rsid w:val="00C35AE8"/>
    <w:rsid w:val="00C372D6"/>
    <w:rsid w:val="00C405EE"/>
    <w:rsid w:val="00C40CC1"/>
    <w:rsid w:val="00C413CB"/>
    <w:rsid w:val="00C42060"/>
    <w:rsid w:val="00C42554"/>
    <w:rsid w:val="00C42675"/>
    <w:rsid w:val="00C428DD"/>
    <w:rsid w:val="00C42BF9"/>
    <w:rsid w:val="00C42D19"/>
    <w:rsid w:val="00C43EAD"/>
    <w:rsid w:val="00C445FD"/>
    <w:rsid w:val="00C4534B"/>
    <w:rsid w:val="00C45772"/>
    <w:rsid w:val="00C45BA6"/>
    <w:rsid w:val="00C46186"/>
    <w:rsid w:val="00C47437"/>
    <w:rsid w:val="00C47FE2"/>
    <w:rsid w:val="00C5138E"/>
    <w:rsid w:val="00C52C27"/>
    <w:rsid w:val="00C538F6"/>
    <w:rsid w:val="00C53AB6"/>
    <w:rsid w:val="00C54342"/>
    <w:rsid w:val="00C54C94"/>
    <w:rsid w:val="00C55736"/>
    <w:rsid w:val="00C55881"/>
    <w:rsid w:val="00C56575"/>
    <w:rsid w:val="00C5682F"/>
    <w:rsid w:val="00C56F1B"/>
    <w:rsid w:val="00C605DE"/>
    <w:rsid w:val="00C60816"/>
    <w:rsid w:val="00C608C9"/>
    <w:rsid w:val="00C60A1F"/>
    <w:rsid w:val="00C60A5A"/>
    <w:rsid w:val="00C610A0"/>
    <w:rsid w:val="00C61321"/>
    <w:rsid w:val="00C6155B"/>
    <w:rsid w:val="00C6155C"/>
    <w:rsid w:val="00C62ADF"/>
    <w:rsid w:val="00C6441B"/>
    <w:rsid w:val="00C64B9F"/>
    <w:rsid w:val="00C64E07"/>
    <w:rsid w:val="00C6512E"/>
    <w:rsid w:val="00C65400"/>
    <w:rsid w:val="00C659E3"/>
    <w:rsid w:val="00C659F5"/>
    <w:rsid w:val="00C665E4"/>
    <w:rsid w:val="00C66A0D"/>
    <w:rsid w:val="00C67812"/>
    <w:rsid w:val="00C67EFA"/>
    <w:rsid w:val="00C70A9D"/>
    <w:rsid w:val="00C722D2"/>
    <w:rsid w:val="00C72462"/>
    <w:rsid w:val="00C72A3A"/>
    <w:rsid w:val="00C7411D"/>
    <w:rsid w:val="00C758E6"/>
    <w:rsid w:val="00C75AFC"/>
    <w:rsid w:val="00C76441"/>
    <w:rsid w:val="00C778DB"/>
    <w:rsid w:val="00C805DD"/>
    <w:rsid w:val="00C8065A"/>
    <w:rsid w:val="00C81358"/>
    <w:rsid w:val="00C81597"/>
    <w:rsid w:val="00C82D76"/>
    <w:rsid w:val="00C83FE8"/>
    <w:rsid w:val="00C87918"/>
    <w:rsid w:val="00C90B2D"/>
    <w:rsid w:val="00C90CBB"/>
    <w:rsid w:val="00C919CD"/>
    <w:rsid w:val="00C91E05"/>
    <w:rsid w:val="00C928A6"/>
    <w:rsid w:val="00C92E03"/>
    <w:rsid w:val="00C935B7"/>
    <w:rsid w:val="00C93F49"/>
    <w:rsid w:val="00C93F70"/>
    <w:rsid w:val="00C9419C"/>
    <w:rsid w:val="00C948B5"/>
    <w:rsid w:val="00C94F57"/>
    <w:rsid w:val="00C96543"/>
    <w:rsid w:val="00C96FE4"/>
    <w:rsid w:val="00C97858"/>
    <w:rsid w:val="00CA0DF7"/>
    <w:rsid w:val="00CA1DAB"/>
    <w:rsid w:val="00CA2238"/>
    <w:rsid w:val="00CA322E"/>
    <w:rsid w:val="00CA347E"/>
    <w:rsid w:val="00CA39DE"/>
    <w:rsid w:val="00CA4586"/>
    <w:rsid w:val="00CA4E16"/>
    <w:rsid w:val="00CA57FC"/>
    <w:rsid w:val="00CA601C"/>
    <w:rsid w:val="00CA648D"/>
    <w:rsid w:val="00CA66FA"/>
    <w:rsid w:val="00CA705C"/>
    <w:rsid w:val="00CA7553"/>
    <w:rsid w:val="00CA7766"/>
    <w:rsid w:val="00CA78BF"/>
    <w:rsid w:val="00CA7C9F"/>
    <w:rsid w:val="00CA7F89"/>
    <w:rsid w:val="00CB3C3B"/>
    <w:rsid w:val="00CB3F6D"/>
    <w:rsid w:val="00CB580F"/>
    <w:rsid w:val="00CB5C0E"/>
    <w:rsid w:val="00CC0338"/>
    <w:rsid w:val="00CC04C8"/>
    <w:rsid w:val="00CC07FC"/>
    <w:rsid w:val="00CC1236"/>
    <w:rsid w:val="00CC1386"/>
    <w:rsid w:val="00CC1490"/>
    <w:rsid w:val="00CC1B1D"/>
    <w:rsid w:val="00CC1C95"/>
    <w:rsid w:val="00CC1CDA"/>
    <w:rsid w:val="00CC231E"/>
    <w:rsid w:val="00CC26B4"/>
    <w:rsid w:val="00CC3725"/>
    <w:rsid w:val="00CC3ED8"/>
    <w:rsid w:val="00CC4240"/>
    <w:rsid w:val="00CC5C25"/>
    <w:rsid w:val="00CC6078"/>
    <w:rsid w:val="00CC608E"/>
    <w:rsid w:val="00CC65EE"/>
    <w:rsid w:val="00CC6BB7"/>
    <w:rsid w:val="00CC7B76"/>
    <w:rsid w:val="00CD0D32"/>
    <w:rsid w:val="00CD0F2F"/>
    <w:rsid w:val="00CD240A"/>
    <w:rsid w:val="00CD2558"/>
    <w:rsid w:val="00CD3F11"/>
    <w:rsid w:val="00CD4DE4"/>
    <w:rsid w:val="00CD5102"/>
    <w:rsid w:val="00CD5EED"/>
    <w:rsid w:val="00CD6201"/>
    <w:rsid w:val="00CD75A5"/>
    <w:rsid w:val="00CD78ED"/>
    <w:rsid w:val="00CE08DB"/>
    <w:rsid w:val="00CE101B"/>
    <w:rsid w:val="00CE122B"/>
    <w:rsid w:val="00CE1530"/>
    <w:rsid w:val="00CE1D9E"/>
    <w:rsid w:val="00CE2B2A"/>
    <w:rsid w:val="00CE4436"/>
    <w:rsid w:val="00CE44E4"/>
    <w:rsid w:val="00CE5CC8"/>
    <w:rsid w:val="00CE634E"/>
    <w:rsid w:val="00CE6966"/>
    <w:rsid w:val="00CE6A5A"/>
    <w:rsid w:val="00CE6CA0"/>
    <w:rsid w:val="00CE726D"/>
    <w:rsid w:val="00CE79B9"/>
    <w:rsid w:val="00CE7EED"/>
    <w:rsid w:val="00CF0CE3"/>
    <w:rsid w:val="00CF0D1C"/>
    <w:rsid w:val="00CF2A02"/>
    <w:rsid w:val="00CF330D"/>
    <w:rsid w:val="00CF33F0"/>
    <w:rsid w:val="00CF515A"/>
    <w:rsid w:val="00CF543F"/>
    <w:rsid w:val="00CF5EFF"/>
    <w:rsid w:val="00CF6237"/>
    <w:rsid w:val="00CF6598"/>
    <w:rsid w:val="00CF7A45"/>
    <w:rsid w:val="00CF7CFF"/>
    <w:rsid w:val="00D01423"/>
    <w:rsid w:val="00D017C1"/>
    <w:rsid w:val="00D02900"/>
    <w:rsid w:val="00D029D5"/>
    <w:rsid w:val="00D02AF2"/>
    <w:rsid w:val="00D03116"/>
    <w:rsid w:val="00D031E7"/>
    <w:rsid w:val="00D0435C"/>
    <w:rsid w:val="00D049BB"/>
    <w:rsid w:val="00D05587"/>
    <w:rsid w:val="00D05D05"/>
    <w:rsid w:val="00D066D5"/>
    <w:rsid w:val="00D06A72"/>
    <w:rsid w:val="00D07652"/>
    <w:rsid w:val="00D07823"/>
    <w:rsid w:val="00D07A71"/>
    <w:rsid w:val="00D07C1F"/>
    <w:rsid w:val="00D1016C"/>
    <w:rsid w:val="00D103A9"/>
    <w:rsid w:val="00D104AE"/>
    <w:rsid w:val="00D10C05"/>
    <w:rsid w:val="00D119C0"/>
    <w:rsid w:val="00D130AE"/>
    <w:rsid w:val="00D13571"/>
    <w:rsid w:val="00D135C5"/>
    <w:rsid w:val="00D136D7"/>
    <w:rsid w:val="00D13F4E"/>
    <w:rsid w:val="00D149D8"/>
    <w:rsid w:val="00D15720"/>
    <w:rsid w:val="00D16F48"/>
    <w:rsid w:val="00D16F95"/>
    <w:rsid w:val="00D171D1"/>
    <w:rsid w:val="00D20BB6"/>
    <w:rsid w:val="00D20DFD"/>
    <w:rsid w:val="00D21B8E"/>
    <w:rsid w:val="00D21BDD"/>
    <w:rsid w:val="00D21C2E"/>
    <w:rsid w:val="00D21CD3"/>
    <w:rsid w:val="00D21F84"/>
    <w:rsid w:val="00D22919"/>
    <w:rsid w:val="00D22CD6"/>
    <w:rsid w:val="00D23B48"/>
    <w:rsid w:val="00D23CEB"/>
    <w:rsid w:val="00D24EAA"/>
    <w:rsid w:val="00D252AB"/>
    <w:rsid w:val="00D25875"/>
    <w:rsid w:val="00D2596A"/>
    <w:rsid w:val="00D26097"/>
    <w:rsid w:val="00D26B9A"/>
    <w:rsid w:val="00D271E6"/>
    <w:rsid w:val="00D27560"/>
    <w:rsid w:val="00D27B4F"/>
    <w:rsid w:val="00D27B86"/>
    <w:rsid w:val="00D27E11"/>
    <w:rsid w:val="00D30E8B"/>
    <w:rsid w:val="00D3101B"/>
    <w:rsid w:val="00D317D9"/>
    <w:rsid w:val="00D322BD"/>
    <w:rsid w:val="00D32597"/>
    <w:rsid w:val="00D3397C"/>
    <w:rsid w:val="00D3407A"/>
    <w:rsid w:val="00D34638"/>
    <w:rsid w:val="00D35417"/>
    <w:rsid w:val="00D3748C"/>
    <w:rsid w:val="00D37AAC"/>
    <w:rsid w:val="00D37B74"/>
    <w:rsid w:val="00D37C87"/>
    <w:rsid w:val="00D40046"/>
    <w:rsid w:val="00D4023F"/>
    <w:rsid w:val="00D40C57"/>
    <w:rsid w:val="00D40F61"/>
    <w:rsid w:val="00D427F8"/>
    <w:rsid w:val="00D42A1B"/>
    <w:rsid w:val="00D431D7"/>
    <w:rsid w:val="00D4460B"/>
    <w:rsid w:val="00D44FFD"/>
    <w:rsid w:val="00D451D5"/>
    <w:rsid w:val="00D4551A"/>
    <w:rsid w:val="00D45535"/>
    <w:rsid w:val="00D45BB3"/>
    <w:rsid w:val="00D470BB"/>
    <w:rsid w:val="00D472BB"/>
    <w:rsid w:val="00D504FF"/>
    <w:rsid w:val="00D51BE4"/>
    <w:rsid w:val="00D525B5"/>
    <w:rsid w:val="00D52CCF"/>
    <w:rsid w:val="00D52D09"/>
    <w:rsid w:val="00D549EB"/>
    <w:rsid w:val="00D566CE"/>
    <w:rsid w:val="00D579B1"/>
    <w:rsid w:val="00D57A4F"/>
    <w:rsid w:val="00D57B29"/>
    <w:rsid w:val="00D60C50"/>
    <w:rsid w:val="00D60FBD"/>
    <w:rsid w:val="00D61BC9"/>
    <w:rsid w:val="00D62731"/>
    <w:rsid w:val="00D627D4"/>
    <w:rsid w:val="00D62BAD"/>
    <w:rsid w:val="00D631C5"/>
    <w:rsid w:val="00D636C5"/>
    <w:rsid w:val="00D63721"/>
    <w:rsid w:val="00D63DB8"/>
    <w:rsid w:val="00D6477B"/>
    <w:rsid w:val="00D66C99"/>
    <w:rsid w:val="00D670AC"/>
    <w:rsid w:val="00D70EF1"/>
    <w:rsid w:val="00D71466"/>
    <w:rsid w:val="00D71AD8"/>
    <w:rsid w:val="00D71DBC"/>
    <w:rsid w:val="00D72CCB"/>
    <w:rsid w:val="00D74C0D"/>
    <w:rsid w:val="00D74E16"/>
    <w:rsid w:val="00D75643"/>
    <w:rsid w:val="00D75E7E"/>
    <w:rsid w:val="00D7631B"/>
    <w:rsid w:val="00D768F4"/>
    <w:rsid w:val="00D7719A"/>
    <w:rsid w:val="00D80B9C"/>
    <w:rsid w:val="00D8274E"/>
    <w:rsid w:val="00D827FB"/>
    <w:rsid w:val="00D839FC"/>
    <w:rsid w:val="00D83D7A"/>
    <w:rsid w:val="00D83DB0"/>
    <w:rsid w:val="00D8415D"/>
    <w:rsid w:val="00D847F1"/>
    <w:rsid w:val="00D85504"/>
    <w:rsid w:val="00D86CF1"/>
    <w:rsid w:val="00D87633"/>
    <w:rsid w:val="00D87A31"/>
    <w:rsid w:val="00D87C8C"/>
    <w:rsid w:val="00D901AF"/>
    <w:rsid w:val="00D91EFA"/>
    <w:rsid w:val="00D91F84"/>
    <w:rsid w:val="00D9247F"/>
    <w:rsid w:val="00D9252A"/>
    <w:rsid w:val="00D928C2"/>
    <w:rsid w:val="00D94A75"/>
    <w:rsid w:val="00D94B7B"/>
    <w:rsid w:val="00D95DA8"/>
    <w:rsid w:val="00D95E95"/>
    <w:rsid w:val="00D966A8"/>
    <w:rsid w:val="00D9671A"/>
    <w:rsid w:val="00D96729"/>
    <w:rsid w:val="00D96F5C"/>
    <w:rsid w:val="00D97798"/>
    <w:rsid w:val="00D97984"/>
    <w:rsid w:val="00D979B1"/>
    <w:rsid w:val="00DA0805"/>
    <w:rsid w:val="00DA0B58"/>
    <w:rsid w:val="00DA114E"/>
    <w:rsid w:val="00DA18CE"/>
    <w:rsid w:val="00DA1ACF"/>
    <w:rsid w:val="00DA33A1"/>
    <w:rsid w:val="00DA43F6"/>
    <w:rsid w:val="00DA4E4D"/>
    <w:rsid w:val="00DA6273"/>
    <w:rsid w:val="00DA6872"/>
    <w:rsid w:val="00DA69CB"/>
    <w:rsid w:val="00DA6C00"/>
    <w:rsid w:val="00DA7277"/>
    <w:rsid w:val="00DA72B3"/>
    <w:rsid w:val="00DB00B8"/>
    <w:rsid w:val="00DB05A7"/>
    <w:rsid w:val="00DB11EB"/>
    <w:rsid w:val="00DB1295"/>
    <w:rsid w:val="00DB15BA"/>
    <w:rsid w:val="00DB16F4"/>
    <w:rsid w:val="00DB1F4A"/>
    <w:rsid w:val="00DB2897"/>
    <w:rsid w:val="00DB29C0"/>
    <w:rsid w:val="00DB2C26"/>
    <w:rsid w:val="00DB3813"/>
    <w:rsid w:val="00DB39BC"/>
    <w:rsid w:val="00DB3F7D"/>
    <w:rsid w:val="00DB40CF"/>
    <w:rsid w:val="00DB4D5D"/>
    <w:rsid w:val="00DB5211"/>
    <w:rsid w:val="00DB5636"/>
    <w:rsid w:val="00DB606F"/>
    <w:rsid w:val="00DB6885"/>
    <w:rsid w:val="00DB6B38"/>
    <w:rsid w:val="00DB753D"/>
    <w:rsid w:val="00DC02E7"/>
    <w:rsid w:val="00DC13CD"/>
    <w:rsid w:val="00DC263E"/>
    <w:rsid w:val="00DC293E"/>
    <w:rsid w:val="00DC296C"/>
    <w:rsid w:val="00DC29BB"/>
    <w:rsid w:val="00DC2E8F"/>
    <w:rsid w:val="00DC384A"/>
    <w:rsid w:val="00DC3D7B"/>
    <w:rsid w:val="00DC47F2"/>
    <w:rsid w:val="00DC5737"/>
    <w:rsid w:val="00DC673A"/>
    <w:rsid w:val="00DC6A4A"/>
    <w:rsid w:val="00DC6E7F"/>
    <w:rsid w:val="00DC6F1F"/>
    <w:rsid w:val="00DC7CD8"/>
    <w:rsid w:val="00DD2166"/>
    <w:rsid w:val="00DD2325"/>
    <w:rsid w:val="00DD2A0C"/>
    <w:rsid w:val="00DD3555"/>
    <w:rsid w:val="00DD3619"/>
    <w:rsid w:val="00DD36AE"/>
    <w:rsid w:val="00DD4513"/>
    <w:rsid w:val="00DD4D0E"/>
    <w:rsid w:val="00DD568C"/>
    <w:rsid w:val="00DD6F25"/>
    <w:rsid w:val="00DD7E85"/>
    <w:rsid w:val="00DD7EA2"/>
    <w:rsid w:val="00DE162B"/>
    <w:rsid w:val="00DE1734"/>
    <w:rsid w:val="00DE1A5E"/>
    <w:rsid w:val="00DE1FDE"/>
    <w:rsid w:val="00DE2B58"/>
    <w:rsid w:val="00DE2C3C"/>
    <w:rsid w:val="00DE3D9D"/>
    <w:rsid w:val="00DE451F"/>
    <w:rsid w:val="00DE45A1"/>
    <w:rsid w:val="00DE4E4B"/>
    <w:rsid w:val="00DE5335"/>
    <w:rsid w:val="00DE5689"/>
    <w:rsid w:val="00DE587A"/>
    <w:rsid w:val="00DE5CEA"/>
    <w:rsid w:val="00DE5DD3"/>
    <w:rsid w:val="00DE6484"/>
    <w:rsid w:val="00DE7177"/>
    <w:rsid w:val="00DE748B"/>
    <w:rsid w:val="00DE74B4"/>
    <w:rsid w:val="00DF0208"/>
    <w:rsid w:val="00DF0B81"/>
    <w:rsid w:val="00DF0E40"/>
    <w:rsid w:val="00DF169E"/>
    <w:rsid w:val="00DF17D5"/>
    <w:rsid w:val="00DF29ED"/>
    <w:rsid w:val="00DF2CB5"/>
    <w:rsid w:val="00DF3442"/>
    <w:rsid w:val="00DF34BD"/>
    <w:rsid w:val="00DF3B58"/>
    <w:rsid w:val="00DF42C2"/>
    <w:rsid w:val="00DF4C45"/>
    <w:rsid w:val="00DF5404"/>
    <w:rsid w:val="00DF5C94"/>
    <w:rsid w:val="00DF5DA0"/>
    <w:rsid w:val="00DF695A"/>
    <w:rsid w:val="00DF731E"/>
    <w:rsid w:val="00DF7A3A"/>
    <w:rsid w:val="00DF7A79"/>
    <w:rsid w:val="00E0042E"/>
    <w:rsid w:val="00E0150E"/>
    <w:rsid w:val="00E02305"/>
    <w:rsid w:val="00E02CB0"/>
    <w:rsid w:val="00E02F2B"/>
    <w:rsid w:val="00E033ED"/>
    <w:rsid w:val="00E035DA"/>
    <w:rsid w:val="00E03831"/>
    <w:rsid w:val="00E04716"/>
    <w:rsid w:val="00E04CF7"/>
    <w:rsid w:val="00E051D3"/>
    <w:rsid w:val="00E0599E"/>
    <w:rsid w:val="00E064DD"/>
    <w:rsid w:val="00E06776"/>
    <w:rsid w:val="00E06A38"/>
    <w:rsid w:val="00E06E37"/>
    <w:rsid w:val="00E07195"/>
    <w:rsid w:val="00E072FF"/>
    <w:rsid w:val="00E074B7"/>
    <w:rsid w:val="00E07DD8"/>
    <w:rsid w:val="00E106F8"/>
    <w:rsid w:val="00E10F11"/>
    <w:rsid w:val="00E10F1D"/>
    <w:rsid w:val="00E11DE0"/>
    <w:rsid w:val="00E12509"/>
    <w:rsid w:val="00E139CA"/>
    <w:rsid w:val="00E13EF6"/>
    <w:rsid w:val="00E14D7F"/>
    <w:rsid w:val="00E15008"/>
    <w:rsid w:val="00E15AD4"/>
    <w:rsid w:val="00E15C49"/>
    <w:rsid w:val="00E171BF"/>
    <w:rsid w:val="00E1764D"/>
    <w:rsid w:val="00E1771F"/>
    <w:rsid w:val="00E208B8"/>
    <w:rsid w:val="00E212BD"/>
    <w:rsid w:val="00E215CF"/>
    <w:rsid w:val="00E22A16"/>
    <w:rsid w:val="00E22CAB"/>
    <w:rsid w:val="00E23B11"/>
    <w:rsid w:val="00E23B18"/>
    <w:rsid w:val="00E268A2"/>
    <w:rsid w:val="00E302A0"/>
    <w:rsid w:val="00E30A3C"/>
    <w:rsid w:val="00E32283"/>
    <w:rsid w:val="00E3319E"/>
    <w:rsid w:val="00E34113"/>
    <w:rsid w:val="00E34703"/>
    <w:rsid w:val="00E347E2"/>
    <w:rsid w:val="00E34E4E"/>
    <w:rsid w:val="00E3526B"/>
    <w:rsid w:val="00E35AA3"/>
    <w:rsid w:val="00E3709C"/>
    <w:rsid w:val="00E379DB"/>
    <w:rsid w:val="00E400E8"/>
    <w:rsid w:val="00E40591"/>
    <w:rsid w:val="00E40A1F"/>
    <w:rsid w:val="00E4113E"/>
    <w:rsid w:val="00E41AF8"/>
    <w:rsid w:val="00E41EC2"/>
    <w:rsid w:val="00E41F97"/>
    <w:rsid w:val="00E423D5"/>
    <w:rsid w:val="00E42F2D"/>
    <w:rsid w:val="00E42F39"/>
    <w:rsid w:val="00E434AA"/>
    <w:rsid w:val="00E43592"/>
    <w:rsid w:val="00E44285"/>
    <w:rsid w:val="00E442FE"/>
    <w:rsid w:val="00E44327"/>
    <w:rsid w:val="00E44A3D"/>
    <w:rsid w:val="00E4520F"/>
    <w:rsid w:val="00E45DCA"/>
    <w:rsid w:val="00E46284"/>
    <w:rsid w:val="00E46FFE"/>
    <w:rsid w:val="00E47557"/>
    <w:rsid w:val="00E47CF1"/>
    <w:rsid w:val="00E47FA6"/>
    <w:rsid w:val="00E5008D"/>
    <w:rsid w:val="00E50BC2"/>
    <w:rsid w:val="00E50DA9"/>
    <w:rsid w:val="00E51536"/>
    <w:rsid w:val="00E51875"/>
    <w:rsid w:val="00E524CD"/>
    <w:rsid w:val="00E52523"/>
    <w:rsid w:val="00E52861"/>
    <w:rsid w:val="00E537B9"/>
    <w:rsid w:val="00E53B54"/>
    <w:rsid w:val="00E53E37"/>
    <w:rsid w:val="00E54309"/>
    <w:rsid w:val="00E543EE"/>
    <w:rsid w:val="00E54CD6"/>
    <w:rsid w:val="00E55140"/>
    <w:rsid w:val="00E5593A"/>
    <w:rsid w:val="00E56356"/>
    <w:rsid w:val="00E564A9"/>
    <w:rsid w:val="00E56B25"/>
    <w:rsid w:val="00E60DA6"/>
    <w:rsid w:val="00E6151F"/>
    <w:rsid w:val="00E61B1D"/>
    <w:rsid w:val="00E61E49"/>
    <w:rsid w:val="00E61FFC"/>
    <w:rsid w:val="00E62940"/>
    <w:rsid w:val="00E65CD1"/>
    <w:rsid w:val="00E66199"/>
    <w:rsid w:val="00E66EC7"/>
    <w:rsid w:val="00E67207"/>
    <w:rsid w:val="00E6774E"/>
    <w:rsid w:val="00E677BB"/>
    <w:rsid w:val="00E705F6"/>
    <w:rsid w:val="00E718DF"/>
    <w:rsid w:val="00E72163"/>
    <w:rsid w:val="00E72234"/>
    <w:rsid w:val="00E72296"/>
    <w:rsid w:val="00E7356F"/>
    <w:rsid w:val="00E73848"/>
    <w:rsid w:val="00E7578A"/>
    <w:rsid w:val="00E76748"/>
    <w:rsid w:val="00E76A9A"/>
    <w:rsid w:val="00E76D06"/>
    <w:rsid w:val="00E775B8"/>
    <w:rsid w:val="00E77A35"/>
    <w:rsid w:val="00E811C9"/>
    <w:rsid w:val="00E8148E"/>
    <w:rsid w:val="00E81D54"/>
    <w:rsid w:val="00E82245"/>
    <w:rsid w:val="00E82560"/>
    <w:rsid w:val="00E8315D"/>
    <w:rsid w:val="00E8373D"/>
    <w:rsid w:val="00E83A77"/>
    <w:rsid w:val="00E841CA"/>
    <w:rsid w:val="00E846EF"/>
    <w:rsid w:val="00E84A73"/>
    <w:rsid w:val="00E857BA"/>
    <w:rsid w:val="00E85A17"/>
    <w:rsid w:val="00E86C83"/>
    <w:rsid w:val="00E875EA"/>
    <w:rsid w:val="00E90EE2"/>
    <w:rsid w:val="00E90F60"/>
    <w:rsid w:val="00E91734"/>
    <w:rsid w:val="00E91762"/>
    <w:rsid w:val="00E91FF6"/>
    <w:rsid w:val="00E9213D"/>
    <w:rsid w:val="00E93C67"/>
    <w:rsid w:val="00E94897"/>
    <w:rsid w:val="00E94F93"/>
    <w:rsid w:val="00E951FC"/>
    <w:rsid w:val="00E9547D"/>
    <w:rsid w:val="00E95D6E"/>
    <w:rsid w:val="00E95F6A"/>
    <w:rsid w:val="00E96D03"/>
    <w:rsid w:val="00E9757B"/>
    <w:rsid w:val="00EA16E2"/>
    <w:rsid w:val="00EA3E21"/>
    <w:rsid w:val="00EA457F"/>
    <w:rsid w:val="00EA683F"/>
    <w:rsid w:val="00EA708A"/>
    <w:rsid w:val="00EA7C73"/>
    <w:rsid w:val="00EA7EFD"/>
    <w:rsid w:val="00EB01BE"/>
    <w:rsid w:val="00EB0784"/>
    <w:rsid w:val="00EB1443"/>
    <w:rsid w:val="00EB1F3D"/>
    <w:rsid w:val="00EB2195"/>
    <w:rsid w:val="00EB282A"/>
    <w:rsid w:val="00EB2F4B"/>
    <w:rsid w:val="00EB3DB3"/>
    <w:rsid w:val="00EB415B"/>
    <w:rsid w:val="00EB4A73"/>
    <w:rsid w:val="00EB4F3E"/>
    <w:rsid w:val="00EB5D19"/>
    <w:rsid w:val="00EB616A"/>
    <w:rsid w:val="00EB63AB"/>
    <w:rsid w:val="00EB70B5"/>
    <w:rsid w:val="00EC09A3"/>
    <w:rsid w:val="00EC0CA7"/>
    <w:rsid w:val="00EC27F2"/>
    <w:rsid w:val="00EC3248"/>
    <w:rsid w:val="00EC34CB"/>
    <w:rsid w:val="00EC3881"/>
    <w:rsid w:val="00EC3A51"/>
    <w:rsid w:val="00EC4002"/>
    <w:rsid w:val="00EC487D"/>
    <w:rsid w:val="00EC556A"/>
    <w:rsid w:val="00EC5B08"/>
    <w:rsid w:val="00EC5EC4"/>
    <w:rsid w:val="00EC6587"/>
    <w:rsid w:val="00EC6885"/>
    <w:rsid w:val="00EC6A28"/>
    <w:rsid w:val="00EC6B07"/>
    <w:rsid w:val="00EC6F6C"/>
    <w:rsid w:val="00EC70E3"/>
    <w:rsid w:val="00EC7106"/>
    <w:rsid w:val="00EC75A2"/>
    <w:rsid w:val="00EC7663"/>
    <w:rsid w:val="00ED089C"/>
    <w:rsid w:val="00ED1107"/>
    <w:rsid w:val="00ED1709"/>
    <w:rsid w:val="00ED1921"/>
    <w:rsid w:val="00ED1C0D"/>
    <w:rsid w:val="00ED1E8F"/>
    <w:rsid w:val="00ED205C"/>
    <w:rsid w:val="00ED34E1"/>
    <w:rsid w:val="00ED4615"/>
    <w:rsid w:val="00ED4E88"/>
    <w:rsid w:val="00ED4F35"/>
    <w:rsid w:val="00ED5B73"/>
    <w:rsid w:val="00ED6A94"/>
    <w:rsid w:val="00ED7035"/>
    <w:rsid w:val="00ED751D"/>
    <w:rsid w:val="00EE0DB2"/>
    <w:rsid w:val="00EE13F6"/>
    <w:rsid w:val="00EE19DE"/>
    <w:rsid w:val="00EE1F73"/>
    <w:rsid w:val="00EE285D"/>
    <w:rsid w:val="00EE2BC1"/>
    <w:rsid w:val="00EE3D8E"/>
    <w:rsid w:val="00EE5943"/>
    <w:rsid w:val="00EE5BBD"/>
    <w:rsid w:val="00EE6465"/>
    <w:rsid w:val="00EE647E"/>
    <w:rsid w:val="00EE7814"/>
    <w:rsid w:val="00EE7B15"/>
    <w:rsid w:val="00EF0E16"/>
    <w:rsid w:val="00EF1897"/>
    <w:rsid w:val="00EF37F5"/>
    <w:rsid w:val="00EF5289"/>
    <w:rsid w:val="00EF5D4E"/>
    <w:rsid w:val="00EF655F"/>
    <w:rsid w:val="00EF66E6"/>
    <w:rsid w:val="00EF67DB"/>
    <w:rsid w:val="00EF7EE8"/>
    <w:rsid w:val="00F015EB"/>
    <w:rsid w:val="00F01CB7"/>
    <w:rsid w:val="00F02B34"/>
    <w:rsid w:val="00F0348C"/>
    <w:rsid w:val="00F03CD0"/>
    <w:rsid w:val="00F04DA0"/>
    <w:rsid w:val="00F05101"/>
    <w:rsid w:val="00F060B5"/>
    <w:rsid w:val="00F06829"/>
    <w:rsid w:val="00F06B5D"/>
    <w:rsid w:val="00F102D8"/>
    <w:rsid w:val="00F10723"/>
    <w:rsid w:val="00F10BFC"/>
    <w:rsid w:val="00F11779"/>
    <w:rsid w:val="00F11B26"/>
    <w:rsid w:val="00F11E33"/>
    <w:rsid w:val="00F11F96"/>
    <w:rsid w:val="00F12174"/>
    <w:rsid w:val="00F12493"/>
    <w:rsid w:val="00F13996"/>
    <w:rsid w:val="00F15447"/>
    <w:rsid w:val="00F1551E"/>
    <w:rsid w:val="00F15D29"/>
    <w:rsid w:val="00F16297"/>
    <w:rsid w:val="00F17C16"/>
    <w:rsid w:val="00F17C23"/>
    <w:rsid w:val="00F20733"/>
    <w:rsid w:val="00F21031"/>
    <w:rsid w:val="00F21824"/>
    <w:rsid w:val="00F22386"/>
    <w:rsid w:val="00F2257F"/>
    <w:rsid w:val="00F234E3"/>
    <w:rsid w:val="00F250D9"/>
    <w:rsid w:val="00F26256"/>
    <w:rsid w:val="00F26BD2"/>
    <w:rsid w:val="00F27214"/>
    <w:rsid w:val="00F2772F"/>
    <w:rsid w:val="00F31147"/>
    <w:rsid w:val="00F31F9A"/>
    <w:rsid w:val="00F32185"/>
    <w:rsid w:val="00F32383"/>
    <w:rsid w:val="00F32690"/>
    <w:rsid w:val="00F329A0"/>
    <w:rsid w:val="00F34A2B"/>
    <w:rsid w:val="00F35CA7"/>
    <w:rsid w:val="00F3674E"/>
    <w:rsid w:val="00F36764"/>
    <w:rsid w:val="00F373DA"/>
    <w:rsid w:val="00F4056B"/>
    <w:rsid w:val="00F40629"/>
    <w:rsid w:val="00F40EF8"/>
    <w:rsid w:val="00F41BB7"/>
    <w:rsid w:val="00F42720"/>
    <w:rsid w:val="00F42A90"/>
    <w:rsid w:val="00F42F75"/>
    <w:rsid w:val="00F43C5C"/>
    <w:rsid w:val="00F46834"/>
    <w:rsid w:val="00F46A36"/>
    <w:rsid w:val="00F475E9"/>
    <w:rsid w:val="00F477FB"/>
    <w:rsid w:val="00F50F4F"/>
    <w:rsid w:val="00F513B3"/>
    <w:rsid w:val="00F513EC"/>
    <w:rsid w:val="00F515CF"/>
    <w:rsid w:val="00F51C4B"/>
    <w:rsid w:val="00F51D43"/>
    <w:rsid w:val="00F528C0"/>
    <w:rsid w:val="00F52E78"/>
    <w:rsid w:val="00F54291"/>
    <w:rsid w:val="00F54973"/>
    <w:rsid w:val="00F55362"/>
    <w:rsid w:val="00F55546"/>
    <w:rsid w:val="00F5672C"/>
    <w:rsid w:val="00F569A3"/>
    <w:rsid w:val="00F56C6F"/>
    <w:rsid w:val="00F57342"/>
    <w:rsid w:val="00F576BF"/>
    <w:rsid w:val="00F57765"/>
    <w:rsid w:val="00F57A2C"/>
    <w:rsid w:val="00F62094"/>
    <w:rsid w:val="00F6223D"/>
    <w:rsid w:val="00F62B17"/>
    <w:rsid w:val="00F62BC7"/>
    <w:rsid w:val="00F62DE9"/>
    <w:rsid w:val="00F63743"/>
    <w:rsid w:val="00F6379F"/>
    <w:rsid w:val="00F6465F"/>
    <w:rsid w:val="00F65A6C"/>
    <w:rsid w:val="00F65C88"/>
    <w:rsid w:val="00F675A5"/>
    <w:rsid w:val="00F67CB8"/>
    <w:rsid w:val="00F70001"/>
    <w:rsid w:val="00F708C1"/>
    <w:rsid w:val="00F70A40"/>
    <w:rsid w:val="00F71532"/>
    <w:rsid w:val="00F7290A"/>
    <w:rsid w:val="00F72B10"/>
    <w:rsid w:val="00F72EF8"/>
    <w:rsid w:val="00F73825"/>
    <w:rsid w:val="00F73DA2"/>
    <w:rsid w:val="00F73E68"/>
    <w:rsid w:val="00F7404C"/>
    <w:rsid w:val="00F74053"/>
    <w:rsid w:val="00F744A2"/>
    <w:rsid w:val="00F7473D"/>
    <w:rsid w:val="00F747EA"/>
    <w:rsid w:val="00F75380"/>
    <w:rsid w:val="00F7617F"/>
    <w:rsid w:val="00F763AD"/>
    <w:rsid w:val="00F779FF"/>
    <w:rsid w:val="00F80E54"/>
    <w:rsid w:val="00F8168D"/>
    <w:rsid w:val="00F82D8F"/>
    <w:rsid w:val="00F833CC"/>
    <w:rsid w:val="00F8390B"/>
    <w:rsid w:val="00F842D6"/>
    <w:rsid w:val="00F85AAC"/>
    <w:rsid w:val="00F8647B"/>
    <w:rsid w:val="00F868B0"/>
    <w:rsid w:val="00F8719F"/>
    <w:rsid w:val="00F87201"/>
    <w:rsid w:val="00F87C58"/>
    <w:rsid w:val="00F9021A"/>
    <w:rsid w:val="00F90C64"/>
    <w:rsid w:val="00F91661"/>
    <w:rsid w:val="00F951E8"/>
    <w:rsid w:val="00F962FC"/>
    <w:rsid w:val="00F96A15"/>
    <w:rsid w:val="00F96DA6"/>
    <w:rsid w:val="00F97113"/>
    <w:rsid w:val="00FA02C0"/>
    <w:rsid w:val="00FA1975"/>
    <w:rsid w:val="00FA29DE"/>
    <w:rsid w:val="00FA354D"/>
    <w:rsid w:val="00FA47AE"/>
    <w:rsid w:val="00FA48C9"/>
    <w:rsid w:val="00FA558B"/>
    <w:rsid w:val="00FB0CFE"/>
    <w:rsid w:val="00FB15BE"/>
    <w:rsid w:val="00FB21D0"/>
    <w:rsid w:val="00FB32BD"/>
    <w:rsid w:val="00FB3D91"/>
    <w:rsid w:val="00FB4763"/>
    <w:rsid w:val="00FB5685"/>
    <w:rsid w:val="00FB5781"/>
    <w:rsid w:val="00FB5E36"/>
    <w:rsid w:val="00FB60FB"/>
    <w:rsid w:val="00FB6E32"/>
    <w:rsid w:val="00FB6F9D"/>
    <w:rsid w:val="00FC08EB"/>
    <w:rsid w:val="00FC0A67"/>
    <w:rsid w:val="00FC10EA"/>
    <w:rsid w:val="00FC1175"/>
    <w:rsid w:val="00FC3DE0"/>
    <w:rsid w:val="00FC46AB"/>
    <w:rsid w:val="00FC4765"/>
    <w:rsid w:val="00FC5589"/>
    <w:rsid w:val="00FC59D0"/>
    <w:rsid w:val="00FC5C19"/>
    <w:rsid w:val="00FC5D01"/>
    <w:rsid w:val="00FC71A7"/>
    <w:rsid w:val="00FC77EE"/>
    <w:rsid w:val="00FD0555"/>
    <w:rsid w:val="00FD1531"/>
    <w:rsid w:val="00FD165A"/>
    <w:rsid w:val="00FD1C2D"/>
    <w:rsid w:val="00FD1C42"/>
    <w:rsid w:val="00FD1F94"/>
    <w:rsid w:val="00FD28B8"/>
    <w:rsid w:val="00FD44EC"/>
    <w:rsid w:val="00FD6356"/>
    <w:rsid w:val="00FD6711"/>
    <w:rsid w:val="00FD6856"/>
    <w:rsid w:val="00FD6DFE"/>
    <w:rsid w:val="00FD79B0"/>
    <w:rsid w:val="00FD7A3A"/>
    <w:rsid w:val="00FD7ECD"/>
    <w:rsid w:val="00FE0397"/>
    <w:rsid w:val="00FE0D35"/>
    <w:rsid w:val="00FE1199"/>
    <w:rsid w:val="00FE1490"/>
    <w:rsid w:val="00FE1A9A"/>
    <w:rsid w:val="00FE223D"/>
    <w:rsid w:val="00FE227D"/>
    <w:rsid w:val="00FE2654"/>
    <w:rsid w:val="00FE2842"/>
    <w:rsid w:val="00FE3362"/>
    <w:rsid w:val="00FE3A0F"/>
    <w:rsid w:val="00FE3F97"/>
    <w:rsid w:val="00FE5AC4"/>
    <w:rsid w:val="00FE5E66"/>
    <w:rsid w:val="00FE5F5D"/>
    <w:rsid w:val="00FE6240"/>
    <w:rsid w:val="00FF1AE3"/>
    <w:rsid w:val="00FF2FDD"/>
    <w:rsid w:val="00FF34FE"/>
    <w:rsid w:val="00FF41D6"/>
    <w:rsid w:val="00FF477D"/>
    <w:rsid w:val="00FF4E8A"/>
    <w:rsid w:val="00FF59AF"/>
    <w:rsid w:val="00FF5B9A"/>
    <w:rsid w:val="00FF5C45"/>
    <w:rsid w:val="00FF6FA7"/>
    <w:rsid w:val="00FF7065"/>
    <w:rsid w:val="00FF7AEF"/>
    <w:rsid w:val="00FF7D7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10B5E"/>
    <w:pPr>
      <w:snapToGrid w:val="0"/>
      <w:spacing w:after="120"/>
      <w:jc w:val="both"/>
    </w:pPr>
    <w:rPr>
      <w:rFonts w:eastAsia="MS Mincho"/>
      <w:sz w:val="22"/>
      <w:szCs w:val="22"/>
      <w:lang w:eastAsia="en-US"/>
    </w:rPr>
  </w:style>
  <w:style w:type="paragraph" w:styleId="Heading1">
    <w:name w:val="heading 1"/>
    <w:basedOn w:val="Normal"/>
    <w:next w:val="Normal"/>
    <w:link w:val="Heading1Char"/>
    <w:qFormat/>
    <w:rsid w:val="00783D24"/>
    <w:pPr>
      <w:keepNext/>
      <w:spacing w:after="240"/>
      <w:ind w:left="720" w:hanging="720"/>
      <w:jc w:val="left"/>
      <w:outlineLvl w:val="0"/>
    </w:pPr>
    <w:rPr>
      <w:rFonts w:ascii="Lucida Sans" w:eastAsia="MS Gothic" w:hAnsi="Lucida Sans"/>
      <w:b/>
      <w:bCs/>
      <w:color w:val="4F81BD"/>
      <w:kern w:val="32"/>
      <w:sz w:val="28"/>
      <w:szCs w:val="20"/>
    </w:rPr>
  </w:style>
  <w:style w:type="paragraph" w:styleId="Heading2">
    <w:name w:val="heading 2"/>
    <w:aliases w:val="Überschrift 2 Char Char Char Char Char Char Char Char Char Char Char,Überschrift 21,Überschrift 2 Char Char Char Char Char Char Char Char Char Char1,Überschrift 2 Char Char Char Char Char Char Char Char Char Char Char Char Char"/>
    <w:basedOn w:val="Heading1"/>
    <w:next w:val="Normal"/>
    <w:link w:val="Heading2Char1"/>
    <w:qFormat/>
    <w:rsid w:val="00783D24"/>
    <w:pPr>
      <w:numPr>
        <w:ilvl w:val="1"/>
      </w:numPr>
      <w:ind w:left="576" w:hanging="576"/>
      <w:outlineLvl w:val="1"/>
    </w:pPr>
    <w:rPr>
      <w:bCs w:val="0"/>
      <w:sz w:val="24"/>
    </w:rPr>
  </w:style>
  <w:style w:type="paragraph" w:styleId="Heading3">
    <w:name w:val="heading 3"/>
    <w:aliases w:val="HTML Preformatted Char,förformaterad Char,Char2 Char Char"/>
    <w:basedOn w:val="Heading2"/>
    <w:next w:val="Normal"/>
    <w:link w:val="Heading3Char"/>
    <w:qFormat/>
    <w:rsid w:val="00783D24"/>
    <w:pPr>
      <w:numPr>
        <w:ilvl w:val="2"/>
      </w:numPr>
      <w:ind w:left="720" w:hanging="720"/>
      <w:outlineLvl w:val="2"/>
    </w:pPr>
    <w:rPr>
      <w:rFonts w:ascii="Cambria" w:eastAsia="Times New Roman" w:hAnsi="Cambria"/>
      <w:bCs/>
      <w:color w:val="auto"/>
      <w:kern w:val="0"/>
      <w:sz w:val="26"/>
      <w:szCs w:val="26"/>
    </w:rPr>
  </w:style>
  <w:style w:type="paragraph" w:styleId="Heading4">
    <w:name w:val="heading 4"/>
    <w:aliases w:val="Char9"/>
    <w:basedOn w:val="Heading2"/>
    <w:next w:val="Normal"/>
    <w:link w:val="Heading4Char"/>
    <w:qFormat/>
    <w:rsid w:val="00783D24"/>
    <w:pPr>
      <w:numPr>
        <w:ilvl w:val="0"/>
      </w:numPr>
      <w:ind w:left="576" w:hanging="576"/>
      <w:outlineLvl w:val="3"/>
    </w:pPr>
    <w:rPr>
      <w:b w:val="0"/>
      <w:i/>
    </w:rPr>
  </w:style>
  <w:style w:type="paragraph" w:styleId="Heading5">
    <w:name w:val="heading 5"/>
    <w:basedOn w:val="Normal"/>
    <w:next w:val="Normal"/>
    <w:link w:val="Heading5Char"/>
    <w:qFormat/>
    <w:rsid w:val="00360AF1"/>
    <w:pPr>
      <w:keepNext/>
      <w:keepLines/>
      <w:numPr>
        <w:ilvl w:val="4"/>
        <w:numId w:val="7"/>
      </w:numPr>
      <w:spacing w:before="200" w:after="0"/>
      <w:ind w:left="1008" w:hanging="1008"/>
      <w:outlineLvl w:val="4"/>
    </w:pPr>
    <w:rPr>
      <w:rFonts w:ascii="Cambria" w:eastAsia="SimSun" w:hAnsi="Cambria"/>
      <w:color w:val="243F60"/>
    </w:rPr>
  </w:style>
  <w:style w:type="paragraph" w:styleId="Heading6">
    <w:name w:val="heading 6"/>
    <w:basedOn w:val="Normal"/>
    <w:next w:val="Normal"/>
    <w:link w:val="Heading6Char"/>
    <w:qFormat/>
    <w:rsid w:val="00360AF1"/>
    <w:pPr>
      <w:keepNext/>
      <w:keepLines/>
      <w:numPr>
        <w:ilvl w:val="5"/>
        <w:numId w:val="7"/>
      </w:numPr>
      <w:spacing w:before="200" w:after="0"/>
      <w:ind w:left="1152" w:hanging="1152"/>
      <w:outlineLvl w:val="5"/>
    </w:pPr>
    <w:rPr>
      <w:rFonts w:ascii="Cambria" w:eastAsia="SimSun" w:hAnsi="Cambria"/>
      <w:i/>
      <w:iCs/>
      <w:color w:val="243F60"/>
    </w:rPr>
  </w:style>
  <w:style w:type="paragraph" w:styleId="Heading7">
    <w:name w:val="heading 7"/>
    <w:basedOn w:val="Normal"/>
    <w:next w:val="Normal"/>
    <w:link w:val="Heading7Char"/>
    <w:qFormat/>
    <w:rsid w:val="00360AF1"/>
    <w:pPr>
      <w:keepNext/>
      <w:keepLines/>
      <w:numPr>
        <w:ilvl w:val="6"/>
        <w:numId w:val="7"/>
      </w:numPr>
      <w:spacing w:before="200" w:after="0"/>
      <w:ind w:left="1296" w:hanging="1296"/>
      <w:outlineLvl w:val="6"/>
    </w:pPr>
    <w:rPr>
      <w:rFonts w:ascii="Cambria" w:eastAsia="SimSun" w:hAnsi="Cambria"/>
      <w:i/>
      <w:iCs/>
      <w:color w:val="404040"/>
    </w:rPr>
  </w:style>
  <w:style w:type="paragraph" w:styleId="Heading8">
    <w:name w:val="heading 8"/>
    <w:basedOn w:val="Normal"/>
    <w:next w:val="Normal"/>
    <w:link w:val="Heading8Char"/>
    <w:qFormat/>
    <w:rsid w:val="00360AF1"/>
    <w:pPr>
      <w:keepNext/>
      <w:keepLines/>
      <w:numPr>
        <w:ilvl w:val="7"/>
        <w:numId w:val="7"/>
      </w:numPr>
      <w:spacing w:before="200" w:after="0"/>
      <w:ind w:left="1440" w:hanging="1440"/>
      <w:outlineLvl w:val="7"/>
    </w:pPr>
    <w:rPr>
      <w:rFonts w:ascii="Cambria" w:eastAsia="SimSun" w:hAnsi="Cambria"/>
      <w:color w:val="404040"/>
      <w:sz w:val="20"/>
      <w:szCs w:val="20"/>
    </w:rPr>
  </w:style>
  <w:style w:type="paragraph" w:styleId="Heading9">
    <w:name w:val="heading 9"/>
    <w:basedOn w:val="Normal"/>
    <w:next w:val="Normal"/>
    <w:link w:val="Heading9Char"/>
    <w:qFormat/>
    <w:rsid w:val="00360AF1"/>
    <w:pPr>
      <w:keepNext/>
      <w:keepLines/>
      <w:numPr>
        <w:ilvl w:val="8"/>
        <w:numId w:val="7"/>
      </w:numPr>
      <w:spacing w:before="200" w:after="0"/>
      <w:ind w:left="1584" w:hanging="1584"/>
      <w:outlineLvl w:val="8"/>
    </w:pPr>
    <w:rPr>
      <w:rFonts w:ascii="Cambria" w:eastAsia="SimSu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aliases w:val="Char1"/>
    <w:basedOn w:val="Normal"/>
    <w:link w:val="BalloonTextChar"/>
    <w:semiHidden/>
    <w:rsid w:val="00E051D3"/>
    <w:pPr>
      <w:spacing w:after="0"/>
    </w:pPr>
    <w:rPr>
      <w:rFonts w:ascii="Tahoma" w:eastAsia="Times New Roman" w:hAnsi="Tahoma"/>
      <w:sz w:val="16"/>
      <w:szCs w:val="20"/>
    </w:rPr>
  </w:style>
  <w:style w:type="character" w:customStyle="1" w:styleId="Heading1Char">
    <w:name w:val="Heading 1 Char"/>
    <w:link w:val="Heading1"/>
    <w:rsid w:val="00783D24"/>
    <w:rPr>
      <w:rFonts w:ascii="Lucida Sans" w:eastAsia="MS Gothic" w:hAnsi="Lucida Sans" w:cs="Times New Roman"/>
      <w:b/>
      <w:bCs/>
      <w:color w:val="4F81BD"/>
      <w:kern w:val="32"/>
      <w:sz w:val="28"/>
      <w:lang w:val="en-GB" w:eastAsia="en-US"/>
    </w:rPr>
  </w:style>
  <w:style w:type="character" w:customStyle="1" w:styleId="Heading2Char">
    <w:name w:val="Heading 2 Char"/>
    <w:aliases w:val="Überschrift 2 Char Char Char Char Char Char Char Char Char Char Char Char,Überschrift 21 Char,Überschrift 2 Char Char Char Char Char Char Char Char Char Char1 Char"/>
    <w:semiHidden/>
    <w:rsid w:val="00322F03"/>
    <w:rPr>
      <w:rFonts w:ascii="Cambria" w:hAnsi="Cambria" w:cs="Times New Roman"/>
      <w:b/>
      <w:bCs/>
      <w:i/>
      <w:iCs/>
      <w:sz w:val="28"/>
      <w:szCs w:val="28"/>
      <w:lang w:val="en-GB" w:eastAsia="en-US"/>
    </w:rPr>
  </w:style>
  <w:style w:type="character" w:customStyle="1" w:styleId="Heading3Char">
    <w:name w:val="Heading 3 Char"/>
    <w:aliases w:val="HTML Preformatted Char Char,förformaterad Char Char,Char2 Char Char Char"/>
    <w:link w:val="Heading3"/>
    <w:semiHidden/>
    <w:rsid w:val="00322F03"/>
    <w:rPr>
      <w:rFonts w:ascii="Cambria" w:hAnsi="Cambria" w:cs="Times New Roman"/>
      <w:b/>
      <w:bCs/>
      <w:sz w:val="26"/>
      <w:szCs w:val="26"/>
      <w:lang w:val="en-GB" w:eastAsia="en-US"/>
    </w:rPr>
  </w:style>
  <w:style w:type="character" w:customStyle="1" w:styleId="Heading4Char">
    <w:name w:val="Heading 4 Char"/>
    <w:aliases w:val="Char9 Char"/>
    <w:link w:val="Heading4"/>
    <w:rsid w:val="00783D24"/>
    <w:rPr>
      <w:rFonts w:ascii="Lucida Sans" w:eastAsia="MS Gothic" w:hAnsi="Lucida Sans" w:cs="Times New Roman"/>
      <w:i/>
      <w:color w:val="4F81BD"/>
      <w:kern w:val="32"/>
      <w:sz w:val="24"/>
      <w:lang w:val="en-GB" w:eastAsia="en-US"/>
    </w:rPr>
  </w:style>
  <w:style w:type="character" w:customStyle="1" w:styleId="Heading5Char">
    <w:name w:val="Heading 5 Char"/>
    <w:link w:val="Heading5"/>
    <w:rsid w:val="00360AF1"/>
    <w:rPr>
      <w:rFonts w:ascii="Cambria" w:eastAsia="SimSun" w:hAnsi="Cambria"/>
      <w:color w:val="243F60"/>
      <w:sz w:val="22"/>
      <w:szCs w:val="22"/>
      <w:lang w:val="en-GB" w:eastAsia="en-US" w:bidi="ar-SA"/>
    </w:rPr>
  </w:style>
  <w:style w:type="character" w:customStyle="1" w:styleId="Heading6Char">
    <w:name w:val="Heading 6 Char"/>
    <w:link w:val="Heading6"/>
    <w:rsid w:val="00360AF1"/>
    <w:rPr>
      <w:rFonts w:ascii="Cambria" w:eastAsia="SimSun" w:hAnsi="Cambria"/>
      <w:i/>
      <w:iCs/>
      <w:color w:val="243F60"/>
      <w:sz w:val="22"/>
      <w:szCs w:val="22"/>
      <w:lang w:val="en-GB" w:eastAsia="en-US" w:bidi="ar-SA"/>
    </w:rPr>
  </w:style>
  <w:style w:type="character" w:customStyle="1" w:styleId="Heading7Char">
    <w:name w:val="Heading 7 Char"/>
    <w:link w:val="Heading7"/>
    <w:rsid w:val="00360AF1"/>
    <w:rPr>
      <w:rFonts w:ascii="Cambria" w:eastAsia="SimSun" w:hAnsi="Cambria"/>
      <w:i/>
      <w:iCs/>
      <w:color w:val="404040"/>
      <w:sz w:val="22"/>
      <w:szCs w:val="22"/>
      <w:lang w:val="en-GB" w:eastAsia="en-US" w:bidi="ar-SA"/>
    </w:rPr>
  </w:style>
  <w:style w:type="character" w:customStyle="1" w:styleId="Heading8Char">
    <w:name w:val="Heading 8 Char"/>
    <w:link w:val="Heading8"/>
    <w:rsid w:val="00360AF1"/>
    <w:rPr>
      <w:rFonts w:ascii="Cambria" w:eastAsia="SimSun" w:hAnsi="Cambria"/>
      <w:color w:val="404040"/>
      <w:lang w:val="en-GB" w:eastAsia="en-US" w:bidi="ar-SA"/>
    </w:rPr>
  </w:style>
  <w:style w:type="character" w:customStyle="1" w:styleId="Heading9Char">
    <w:name w:val="Heading 9 Char"/>
    <w:link w:val="Heading9"/>
    <w:rsid w:val="00360AF1"/>
    <w:rPr>
      <w:rFonts w:ascii="Cambria" w:eastAsia="SimSun" w:hAnsi="Cambria"/>
      <w:i/>
      <w:iCs/>
      <w:color w:val="404040"/>
      <w:lang w:val="en-GB" w:eastAsia="en-US" w:bidi="ar-SA"/>
    </w:rPr>
  </w:style>
  <w:style w:type="character" w:customStyle="1" w:styleId="BalloonTextChar">
    <w:name w:val="Balloon Text Char"/>
    <w:aliases w:val="Char1 Char"/>
    <w:link w:val="BalloonText"/>
    <w:semiHidden/>
    <w:rsid w:val="00E051D3"/>
    <w:rPr>
      <w:rFonts w:ascii="Tahoma" w:hAnsi="Tahoma" w:cs="Times New Roman"/>
      <w:sz w:val="16"/>
      <w:lang w:eastAsia="en-US"/>
    </w:rPr>
  </w:style>
  <w:style w:type="character" w:customStyle="1" w:styleId="Heading2Char1">
    <w:name w:val="Heading 2 Char1"/>
    <w:aliases w:val="Überschrift 2 Char Char Char Char Char Char Char Char Char Char Char Char1,Überschrift 21 Char1,Überschrift 2 Char Char Char Char Char Char Char Char Char Char1 Char1"/>
    <w:link w:val="Heading2"/>
    <w:rsid w:val="00783D24"/>
    <w:rPr>
      <w:rFonts w:ascii="Lucida Sans" w:eastAsia="MS Gothic" w:hAnsi="Lucida Sans"/>
      <w:b/>
      <w:color w:val="4F81BD"/>
      <w:kern w:val="32"/>
      <w:sz w:val="24"/>
      <w:lang w:val="en-GB" w:eastAsia="en-US"/>
    </w:rPr>
  </w:style>
  <w:style w:type="paragraph" w:customStyle="1" w:styleId="Paralevel1">
    <w:name w:val="Para level1"/>
    <w:basedOn w:val="Normal"/>
    <w:link w:val="Paralevel1Char"/>
    <w:autoRedefine/>
    <w:rsid w:val="00F747EA"/>
    <w:pPr>
      <w:suppressAutoHyphens/>
    </w:pPr>
    <w:rPr>
      <w:rFonts w:eastAsia="Times New Roman"/>
      <w:szCs w:val="20"/>
    </w:rPr>
  </w:style>
  <w:style w:type="character" w:customStyle="1" w:styleId="Paralevel1Char">
    <w:name w:val="Para level1 Char"/>
    <w:link w:val="Paralevel1"/>
    <w:rsid w:val="007803FE"/>
    <w:rPr>
      <w:rFonts w:ascii="Calibri" w:hAnsi="Calibri"/>
      <w:sz w:val="22"/>
      <w:lang w:val="en-GB" w:eastAsia="en-US"/>
    </w:rPr>
  </w:style>
  <w:style w:type="character" w:styleId="Hyperlink">
    <w:name w:val="Hyperlink"/>
    <w:rsid w:val="001C4114"/>
    <w:rPr>
      <w:rFonts w:cs="Times New Roman"/>
      <w:color w:val="0000FF"/>
      <w:u w:val="single"/>
    </w:rPr>
  </w:style>
  <w:style w:type="paragraph" w:customStyle="1" w:styleId="ListParagraph1">
    <w:name w:val="List Paragraph1"/>
    <w:aliases w:val="List Paragraph3,List Paragraph 2,List Paragraph31,Listeavsnitt1,Odstavec se seznamem1"/>
    <w:basedOn w:val="Normal"/>
    <w:rsid w:val="00DF169E"/>
    <w:pPr>
      <w:ind w:left="720"/>
    </w:pPr>
  </w:style>
  <w:style w:type="paragraph" w:customStyle="1" w:styleId="Char2TegnCharCharTegnCharCharCharCharCharCharCharCharCharCharCharCharChar">
    <w:name w:val="Char2 Tegn Char Char Tegn Char Char Char Char Char Char Char Char Char Char Char Char Char"/>
    <w:basedOn w:val="Normal"/>
    <w:rsid w:val="00826489"/>
    <w:pPr>
      <w:spacing w:after="160" w:line="240" w:lineRule="exact"/>
    </w:pPr>
    <w:rPr>
      <w:rFonts w:ascii="Tahoma" w:eastAsia="Times New Roman" w:hAnsi="Tahoma"/>
      <w:sz w:val="20"/>
      <w:szCs w:val="20"/>
      <w:lang w:val="en-US"/>
    </w:rPr>
  </w:style>
  <w:style w:type="table" w:styleId="TableGrid">
    <w:name w:val="Table Grid"/>
    <w:basedOn w:val="TableNormal"/>
    <w:rsid w:val="0025413B"/>
    <w:rPr>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aliases w:val="Char3 Char"/>
    <w:basedOn w:val="Normal"/>
    <w:link w:val="FooterChar"/>
    <w:rsid w:val="002A6318"/>
    <w:pPr>
      <w:tabs>
        <w:tab w:val="center" w:pos="4320"/>
        <w:tab w:val="right" w:pos="8640"/>
      </w:tabs>
      <w:spacing w:line="252" w:lineRule="auto"/>
    </w:pPr>
    <w:rPr>
      <w:rFonts w:ascii="Cambria" w:eastAsia="Times New Roman" w:hAnsi="Cambria"/>
      <w:szCs w:val="20"/>
    </w:rPr>
  </w:style>
  <w:style w:type="character" w:customStyle="1" w:styleId="FooterChar">
    <w:name w:val="Footer Char"/>
    <w:aliases w:val="Char3 Char Char"/>
    <w:link w:val="Footer"/>
    <w:rsid w:val="002A6318"/>
    <w:rPr>
      <w:rFonts w:ascii="Cambria" w:hAnsi="Cambria" w:cs="Times New Roman"/>
      <w:sz w:val="22"/>
      <w:lang w:eastAsia="en-US"/>
    </w:rPr>
  </w:style>
  <w:style w:type="paragraph" w:customStyle="1" w:styleId="para1">
    <w:name w:val="para1"/>
    <w:basedOn w:val="Normal"/>
    <w:autoRedefine/>
    <w:rsid w:val="002A6318"/>
    <w:pPr>
      <w:tabs>
        <w:tab w:val="left" w:pos="567"/>
        <w:tab w:val="left" w:pos="1157"/>
        <w:tab w:val="left" w:pos="1735"/>
      </w:tabs>
      <w:spacing w:after="0"/>
    </w:pPr>
    <w:rPr>
      <w:rFonts w:ascii="Cambria" w:eastAsia="Times New Roman" w:hAnsi="Cambria"/>
      <w:color w:val="999999"/>
      <w:lang w:eastAsia="en-GB"/>
    </w:rPr>
  </w:style>
  <w:style w:type="paragraph" w:customStyle="1" w:styleId="Normaali">
    <w:name w:val="Normaali"/>
    <w:rsid w:val="002A6318"/>
    <w:pPr>
      <w:widowControl w:val="0"/>
    </w:pPr>
    <w:rPr>
      <w:rFonts w:ascii="Cambria" w:hAnsi="Cambria"/>
      <w:lang w:val="fi-FI"/>
    </w:rPr>
  </w:style>
  <w:style w:type="paragraph" w:styleId="TOCHeading">
    <w:name w:val="TOC Heading"/>
    <w:basedOn w:val="Heading1"/>
    <w:next w:val="Normal"/>
    <w:qFormat/>
    <w:rsid w:val="00EE647E"/>
    <w:pPr>
      <w:keepLines/>
      <w:spacing w:before="480"/>
      <w:ind w:left="0" w:firstLine="0"/>
      <w:outlineLvl w:val="9"/>
    </w:pPr>
    <w:rPr>
      <w:color w:val="365F91"/>
      <w:kern w:val="0"/>
      <w:szCs w:val="28"/>
      <w:lang w:val="en-US"/>
    </w:rPr>
  </w:style>
  <w:style w:type="paragraph" w:styleId="TOC1">
    <w:name w:val="toc 1"/>
    <w:basedOn w:val="Normal"/>
    <w:next w:val="Normal"/>
    <w:autoRedefine/>
    <w:semiHidden/>
    <w:rsid w:val="00D271E6"/>
    <w:pPr>
      <w:tabs>
        <w:tab w:val="left" w:pos="440"/>
        <w:tab w:val="right" w:leader="dot" w:pos="9090"/>
      </w:tabs>
    </w:pPr>
    <w:rPr>
      <w:b/>
      <w:noProof/>
    </w:rPr>
  </w:style>
  <w:style w:type="paragraph" w:styleId="TOC2">
    <w:name w:val="toc 2"/>
    <w:basedOn w:val="Normal"/>
    <w:next w:val="Normal"/>
    <w:autoRedefine/>
    <w:semiHidden/>
    <w:rsid w:val="0045026E"/>
    <w:pPr>
      <w:tabs>
        <w:tab w:val="left" w:pos="880"/>
        <w:tab w:val="right" w:leader="dot" w:pos="9090"/>
      </w:tabs>
      <w:ind w:left="1350" w:hanging="900"/>
    </w:pPr>
  </w:style>
  <w:style w:type="paragraph" w:styleId="Header">
    <w:name w:val="header"/>
    <w:aliases w:val="Header1 Char"/>
    <w:basedOn w:val="Normal"/>
    <w:link w:val="HeaderChar"/>
    <w:rsid w:val="004C6E90"/>
    <w:pPr>
      <w:tabs>
        <w:tab w:val="center" w:pos="4419"/>
        <w:tab w:val="right" w:pos="8838"/>
      </w:tabs>
    </w:pPr>
    <w:rPr>
      <w:rFonts w:eastAsia="Times New Roman"/>
      <w:szCs w:val="20"/>
    </w:rPr>
  </w:style>
  <w:style w:type="character" w:customStyle="1" w:styleId="HeaderChar">
    <w:name w:val="Header Char"/>
    <w:aliases w:val="Header1 Char Char"/>
    <w:link w:val="Header"/>
    <w:rsid w:val="004C6E90"/>
    <w:rPr>
      <w:rFonts w:cs="Times New Roman"/>
      <w:sz w:val="22"/>
      <w:lang w:val="en-GB" w:eastAsia="en-US"/>
    </w:rPr>
  </w:style>
  <w:style w:type="character" w:styleId="CommentReference">
    <w:name w:val="annotation reference"/>
    <w:semiHidden/>
    <w:rsid w:val="00E051D3"/>
    <w:rPr>
      <w:rFonts w:cs="Times New Roman"/>
      <w:sz w:val="16"/>
    </w:rPr>
  </w:style>
  <w:style w:type="paragraph" w:styleId="CommentText">
    <w:name w:val="annotation text"/>
    <w:aliases w:val="Comment Text Char,Char Char Char Char Char Char Char Char,Char Char Char Char Char Char Char Char Char,Kommentartext1,Char Char Char Char Char Char Char Char1,Char3 Char Char Char Char Ch"/>
    <w:basedOn w:val="Normal"/>
    <w:link w:val="CommentTextChar2"/>
    <w:semiHidden/>
    <w:rsid w:val="00E051D3"/>
    <w:rPr>
      <w:rFonts w:eastAsia="Times New Roman"/>
      <w:sz w:val="20"/>
      <w:szCs w:val="20"/>
    </w:rPr>
  </w:style>
  <w:style w:type="character" w:customStyle="1" w:styleId="CommentTextChar1">
    <w:name w:val="Comment Text Char1"/>
    <w:aliases w:val="Comment Text Char Char,Char Char Char Char Char Char Char Char Char1,Char Char Char Char Char Char Char Char Char Char,Kommentartext1 Char,Char Char Char Char Char Char Char Char1 Char,Char3 Char Char Char Char Ch Char"/>
    <w:semiHidden/>
    <w:rsid w:val="00322F03"/>
    <w:rPr>
      <w:rFonts w:eastAsia="MS Mincho" w:cs="Times New Roman"/>
      <w:sz w:val="20"/>
      <w:szCs w:val="20"/>
      <w:lang w:val="en-GB" w:eastAsia="en-US"/>
    </w:rPr>
  </w:style>
  <w:style w:type="character" w:customStyle="1" w:styleId="CommentTextChar2">
    <w:name w:val="Comment Text Char2"/>
    <w:aliases w:val="Comment Text Char Char1,Char Char Char Char Char Char Char Char Char2,Char Char Char Char Char Char Char Char Char Char1,Kommentartext1 Char1,Char Char Char Char Char Char Char Char1 Char2,Char3 Char Char Char Char Ch Char1"/>
    <w:link w:val="CommentText"/>
    <w:semiHidden/>
    <w:rsid w:val="00E051D3"/>
    <w:rPr>
      <w:lang w:eastAsia="en-US"/>
    </w:rPr>
  </w:style>
  <w:style w:type="paragraph" w:styleId="CommentSubject">
    <w:name w:val="annotation subject"/>
    <w:aliases w:val="Char"/>
    <w:basedOn w:val="CommentText"/>
    <w:next w:val="CommentText"/>
    <w:link w:val="CommentSubjectChar"/>
    <w:semiHidden/>
    <w:rsid w:val="00E051D3"/>
    <w:rPr>
      <w:b/>
    </w:rPr>
  </w:style>
  <w:style w:type="character" w:customStyle="1" w:styleId="CommentSubjectChar">
    <w:name w:val="Comment Subject Char"/>
    <w:aliases w:val="Char Char"/>
    <w:link w:val="CommentSubject"/>
    <w:rsid w:val="00E051D3"/>
    <w:rPr>
      <w:rFonts w:cs="Times New Roman"/>
      <w:b/>
      <w:lang w:eastAsia="en-US"/>
    </w:rPr>
  </w:style>
  <w:style w:type="paragraph" w:styleId="Revision">
    <w:name w:val="Revision"/>
    <w:hidden/>
    <w:semiHidden/>
    <w:rsid w:val="00E051D3"/>
    <w:rPr>
      <w:sz w:val="22"/>
      <w:szCs w:val="22"/>
      <w:lang w:eastAsia="en-US"/>
    </w:rPr>
  </w:style>
  <w:style w:type="character" w:styleId="PageNumber">
    <w:name w:val="page number"/>
    <w:rsid w:val="00566A7D"/>
    <w:rPr>
      <w:rFonts w:cs="Times New Roman"/>
    </w:rPr>
  </w:style>
  <w:style w:type="paragraph" w:customStyle="1" w:styleId="Char2TegnCharCharTegnCharCharCharCharCharCharCharCharCharCharCharCharChar1">
    <w:name w:val="Char2 Tegn Char Char Tegn Char Char Char Char Char Char Char Char Char Char Char Char Char1"/>
    <w:basedOn w:val="Normal"/>
    <w:rsid w:val="00566A7D"/>
    <w:pPr>
      <w:spacing w:after="160" w:line="240" w:lineRule="exact"/>
    </w:pPr>
    <w:rPr>
      <w:rFonts w:ascii="Tahoma" w:eastAsia="Times New Roman" w:hAnsi="Tahoma"/>
      <w:szCs w:val="20"/>
      <w:lang w:val="en-US"/>
    </w:rPr>
  </w:style>
  <w:style w:type="paragraph" w:styleId="Title">
    <w:name w:val="Title"/>
    <w:aliases w:val="Title 1 Char"/>
    <w:basedOn w:val="Normal"/>
    <w:link w:val="TitleChar"/>
    <w:qFormat/>
    <w:rsid w:val="00B918E3"/>
    <w:pPr>
      <w:jc w:val="left"/>
    </w:pPr>
    <w:rPr>
      <w:rFonts w:ascii="Lucida Sans" w:hAnsi="Lucida Sans"/>
      <w:b/>
      <w:noProof/>
      <w:color w:val="FF9900"/>
      <w:sz w:val="60"/>
      <w:szCs w:val="20"/>
    </w:rPr>
  </w:style>
  <w:style w:type="character" w:customStyle="1" w:styleId="TitleChar">
    <w:name w:val="Title Char"/>
    <w:aliases w:val="Title 1 Char Char"/>
    <w:link w:val="Title"/>
    <w:rsid w:val="00B918E3"/>
    <w:rPr>
      <w:rFonts w:ascii="Lucida Sans" w:eastAsia="MS Mincho" w:hAnsi="Lucida Sans" w:cs="Times New Roman"/>
      <w:b/>
      <w:noProof/>
      <w:color w:val="FF9900"/>
      <w:sz w:val="60"/>
      <w:lang w:val="en-GB" w:eastAsia="en-US"/>
    </w:rPr>
  </w:style>
  <w:style w:type="paragraph" w:customStyle="1" w:styleId="Subtitle">
    <w:name w:val="Sub title"/>
    <w:basedOn w:val="Heading2"/>
    <w:rsid w:val="00566A7D"/>
    <w:pPr>
      <w:spacing w:after="0"/>
      <w:ind w:left="1247"/>
    </w:pPr>
    <w:rPr>
      <w:rFonts w:eastAsia="Times New Roman"/>
    </w:rPr>
  </w:style>
  <w:style w:type="paragraph" w:styleId="FootnoteText">
    <w:name w:val="footnote text"/>
    <w:aliases w:val="Geneva 9,Font: Geneva 9,Boston 10,f,f Char Char,Footnote Text Char,Geneva 9 Char,Font: Geneva 9 Char,Boston 10 Char,f Char1,f Char Char Char Char Char Char,f Char,f Char Char Char Char Char,f Char Char Char Char,f Char1 Char,Fußnote"/>
    <w:basedOn w:val="Normal"/>
    <w:link w:val="FootnoteTextChar2"/>
    <w:semiHidden/>
    <w:rsid w:val="0068766A"/>
    <w:pPr>
      <w:spacing w:after="0"/>
    </w:pPr>
    <w:rPr>
      <w:rFonts w:ascii="Times New Roman" w:hAnsi="Times New Roman"/>
      <w:sz w:val="20"/>
      <w:szCs w:val="20"/>
    </w:rPr>
  </w:style>
  <w:style w:type="character" w:customStyle="1" w:styleId="FootnoteTextChar1">
    <w:name w:val="Footnote Text Char1"/>
    <w:aliases w:val="Geneva 9 Char1,Font: Geneva 9 Char1,Boston 10 Char1,f Char2,f Char Char Char,Footnote Text Char Char,Geneva 9 Char Char,Font: Geneva 9 Char Char,Boston 10 Char Char,f Char1 Char1,f Char Char Char Char Char Char Char,f Char Char1"/>
    <w:semiHidden/>
    <w:rsid w:val="00322F03"/>
    <w:rPr>
      <w:rFonts w:eastAsia="MS Mincho" w:cs="Times New Roman"/>
      <w:sz w:val="20"/>
      <w:szCs w:val="20"/>
      <w:lang w:val="en-GB" w:eastAsia="en-US"/>
    </w:rPr>
  </w:style>
  <w:style w:type="character" w:customStyle="1" w:styleId="FootnoteTextChar2">
    <w:name w:val="Footnote Text Char2"/>
    <w:aliases w:val="Geneva 9 Char3,Font: Geneva 9 Char3,Boston 10 Char3,f Char4,f Char Char Char3,Footnote Text Char Char2,Geneva 9 Char Char2,Font: Geneva 9 Char Char2,Boston 10 Char Char2,f Char1 Char2,f Char Char Char Char Char Char Char2"/>
    <w:link w:val="FootnoteText"/>
    <w:rsid w:val="0068766A"/>
    <w:rPr>
      <w:rFonts w:ascii="Times New Roman" w:eastAsia="MS Mincho" w:hAnsi="Times New Roman"/>
      <w:lang w:val="en-GB" w:eastAsia="en-US"/>
    </w:rPr>
  </w:style>
  <w:style w:type="character" w:styleId="FootnoteReference">
    <w:name w:val="footnote reference"/>
    <w:aliases w:val="16 Point,Superscript 6 Point,Footnote number,IOEW,E FNZ,-E Fußnotenzeichen"/>
    <w:semiHidden/>
    <w:rsid w:val="0068766A"/>
    <w:rPr>
      <w:rFonts w:cs="Times New Roman"/>
      <w:vertAlign w:val="superscript"/>
    </w:rPr>
  </w:style>
  <w:style w:type="paragraph" w:customStyle="1" w:styleId="Subtitle1">
    <w:name w:val="Subtitle 1"/>
    <w:basedOn w:val="Normal"/>
    <w:link w:val="Subtitle1Char"/>
    <w:rsid w:val="00B918E3"/>
    <w:pPr>
      <w:jc w:val="left"/>
    </w:pPr>
    <w:rPr>
      <w:rFonts w:ascii="Lucida Sans" w:hAnsi="Lucida Sans"/>
      <w:b/>
      <w:noProof/>
      <w:color w:val="808080"/>
      <w:sz w:val="44"/>
      <w:szCs w:val="20"/>
    </w:rPr>
  </w:style>
  <w:style w:type="character" w:customStyle="1" w:styleId="Subtitle1Char">
    <w:name w:val="Subtitle 1 Char"/>
    <w:link w:val="Subtitle1"/>
    <w:rsid w:val="00B918E3"/>
    <w:rPr>
      <w:rFonts w:ascii="Lucida Sans" w:eastAsia="MS Mincho" w:hAnsi="Lucida Sans"/>
      <w:b/>
      <w:noProof/>
      <w:color w:val="808080"/>
      <w:sz w:val="44"/>
      <w:lang w:val="en-GB" w:eastAsia="en-US"/>
    </w:rPr>
  </w:style>
  <w:style w:type="paragraph" w:customStyle="1" w:styleId="Subtitle2">
    <w:name w:val="Subtitle 2"/>
    <w:basedOn w:val="Title"/>
    <w:link w:val="Subtitle2Char"/>
    <w:rsid w:val="00E44285"/>
    <w:rPr>
      <w:color w:val="808080"/>
      <w:sz w:val="32"/>
    </w:rPr>
  </w:style>
  <w:style w:type="character" w:customStyle="1" w:styleId="Subtitle2Char">
    <w:name w:val="Subtitle 2 Char"/>
    <w:link w:val="Subtitle2"/>
    <w:rsid w:val="00E44285"/>
    <w:rPr>
      <w:rFonts w:ascii="Lucida Sans" w:eastAsia="MS Mincho" w:hAnsi="Lucida Sans"/>
      <w:b/>
      <w:noProof/>
      <w:color w:val="808080"/>
      <w:sz w:val="32"/>
      <w:lang w:val="en-GB" w:eastAsia="en-US"/>
    </w:rPr>
  </w:style>
  <w:style w:type="paragraph" w:customStyle="1" w:styleId="BulletLevel1">
    <w:name w:val="Bullet Level 1"/>
    <w:basedOn w:val="Normal"/>
    <w:link w:val="BulletLevel1Char"/>
    <w:rsid w:val="00EC6B07"/>
    <w:pPr>
      <w:numPr>
        <w:numId w:val="8"/>
      </w:numPr>
      <w:spacing w:after="60"/>
      <w:ind w:left="461" w:hanging="274"/>
      <w:jc w:val="left"/>
    </w:pPr>
    <w:rPr>
      <w:rFonts w:eastAsia="Times New Roman"/>
      <w:color w:val="000000"/>
      <w:sz w:val="20"/>
      <w:szCs w:val="20"/>
      <w:lang w:eastAsia="en-GB"/>
    </w:rPr>
  </w:style>
  <w:style w:type="character" w:customStyle="1" w:styleId="BulletLevel1Char">
    <w:name w:val="Bullet Level 1 Char"/>
    <w:link w:val="BulletLevel1"/>
    <w:rsid w:val="00EC6B07"/>
    <w:rPr>
      <w:rFonts w:ascii="Calibri" w:hAnsi="Calibri"/>
      <w:color w:val="000000"/>
      <w:lang w:val="en-GB" w:eastAsia="en-GB" w:bidi="ar-SA"/>
    </w:rPr>
  </w:style>
  <w:style w:type="paragraph" w:customStyle="1" w:styleId="BulletLevel2">
    <w:name w:val="Bullet Level 2"/>
    <w:basedOn w:val="BulletLevel1"/>
    <w:link w:val="BulletLevel2Char"/>
    <w:rsid w:val="00EC6B07"/>
    <w:pPr>
      <w:ind w:left="810"/>
    </w:pPr>
    <w:rPr>
      <w:sz w:val="22"/>
    </w:rPr>
  </w:style>
  <w:style w:type="character" w:customStyle="1" w:styleId="BulletLevel2Char">
    <w:name w:val="Bullet Level 2 Char"/>
    <w:link w:val="BulletLevel2"/>
    <w:rsid w:val="00EC6B07"/>
    <w:rPr>
      <w:color w:val="000000"/>
      <w:sz w:val="22"/>
      <w:lang w:val="en-GB" w:eastAsia="en-GB"/>
    </w:rPr>
  </w:style>
  <w:style w:type="paragraph" w:styleId="TOC3">
    <w:name w:val="toc 3"/>
    <w:basedOn w:val="Normal"/>
    <w:next w:val="Normal"/>
    <w:autoRedefine/>
    <w:semiHidden/>
    <w:rsid w:val="004637E7"/>
    <w:pPr>
      <w:tabs>
        <w:tab w:val="left" w:pos="1418"/>
        <w:tab w:val="right" w:leader="dot" w:pos="9062"/>
      </w:tabs>
      <w:spacing w:after="100"/>
      <w:ind w:left="864"/>
      <w:jc w:val="left"/>
    </w:pPr>
  </w:style>
  <w:style w:type="character" w:customStyle="1" w:styleId="Geneva9Char2">
    <w:name w:val="Geneva 9 Char2"/>
    <w:aliases w:val="Font: Geneva 9 Char2,Boston 10 Char2,f Char3,f Char Char Char1,Footnote Text Char Char1,Geneva 9 Char Char1,Font: Geneva 9 Char Char1,Boston 10 Char Char1,f Char1 Char11,f Char Char Char Char Char Char Char1,f Char Char3,f Char Char Char2"/>
    <w:semiHidden/>
    <w:rsid w:val="000A3D03"/>
    <w:rPr>
      <w:lang w:val="de-DE" w:eastAsia="de-DE"/>
    </w:rPr>
  </w:style>
  <w:style w:type="paragraph" w:customStyle="1" w:styleId="Bullet1">
    <w:name w:val="Bullet 1"/>
    <w:basedOn w:val="BodyText"/>
    <w:rsid w:val="005146AE"/>
    <w:pPr>
      <w:widowControl w:val="0"/>
      <w:numPr>
        <w:numId w:val="7"/>
      </w:numPr>
      <w:tabs>
        <w:tab w:val="num" w:pos="270"/>
      </w:tabs>
      <w:snapToGrid/>
      <w:ind w:left="270" w:hanging="270"/>
      <w:jc w:val="left"/>
    </w:pPr>
    <w:rPr>
      <w:rFonts w:eastAsia="Times New Roman"/>
      <w:sz w:val="20"/>
      <w:szCs w:val="20"/>
    </w:rPr>
  </w:style>
  <w:style w:type="paragraph" w:styleId="BodyText">
    <w:name w:val="Body Text"/>
    <w:basedOn w:val="Normal"/>
    <w:link w:val="BodyTextChar"/>
    <w:rsid w:val="005146AE"/>
  </w:style>
  <w:style w:type="character" w:customStyle="1" w:styleId="BodyTextChar">
    <w:name w:val="Body Text Char"/>
    <w:link w:val="BodyText"/>
    <w:rsid w:val="00FE1A9A"/>
    <w:rPr>
      <w:rFonts w:ascii="Calibri" w:eastAsia="MS Mincho" w:hAnsi="Calibri" w:cs="Times New Roman"/>
      <w:sz w:val="22"/>
      <w:szCs w:val="22"/>
      <w:lang w:val="en-GB" w:eastAsia="en-US" w:bidi="ar-SA"/>
    </w:rPr>
  </w:style>
  <w:style w:type="paragraph" w:styleId="Caption">
    <w:name w:val="caption"/>
    <w:aliases w:val="Tabelle,Tabelle Char Char Char,Tabelle Char Char Char Char,Tabelle Char Char,Tabelle1,Tabelle Char Char Char1,TabelOverskrift,Tabeloverskrift Char,TabelOverskrift Char"/>
    <w:basedOn w:val="Normal"/>
    <w:next w:val="Normal"/>
    <w:link w:val="CaptionChar"/>
    <w:qFormat/>
    <w:rsid w:val="00F17C23"/>
    <w:pPr>
      <w:snapToGrid/>
      <w:spacing w:before="120" w:after="160" w:line="360" w:lineRule="auto"/>
    </w:pPr>
    <w:rPr>
      <w:rFonts w:ascii="Arial" w:eastAsia="Times New Roman" w:hAnsi="Arial"/>
      <w:i/>
      <w:sz w:val="24"/>
      <w:szCs w:val="20"/>
      <w:lang w:val="de-DE" w:eastAsia="de-DE"/>
    </w:rPr>
  </w:style>
  <w:style w:type="character" w:customStyle="1" w:styleId="CaptionChar">
    <w:name w:val="Caption Char"/>
    <w:aliases w:val="Tabelle Char,Tabelle Char Char Char Char1,Tabelle Char Char Char Char Char,Tabelle Char Char Char2,Tabelle1 Char,Tabelle Char Char Char1 Char,TabelOverskrift Char1,Tabeloverskrift Char Char,TabelOverskrift Char Char"/>
    <w:link w:val="Caption"/>
    <w:rsid w:val="00F17C23"/>
    <w:rPr>
      <w:rFonts w:ascii="Arial" w:hAnsi="Arial"/>
      <w:i/>
      <w:sz w:val="24"/>
      <w:lang w:val="de-DE" w:eastAsia="de-DE"/>
    </w:rPr>
  </w:style>
  <w:style w:type="paragraph" w:styleId="NormalWeb">
    <w:name w:val="Normal (Web)"/>
    <w:basedOn w:val="Normal"/>
    <w:rsid w:val="00F17C23"/>
    <w:pPr>
      <w:snapToGrid/>
      <w:spacing w:before="100" w:beforeAutospacing="1" w:after="100" w:afterAutospacing="1"/>
      <w:jc w:val="left"/>
    </w:pPr>
    <w:rPr>
      <w:rFonts w:ascii="Arial Unicode MS" w:eastAsia="Arial Unicode MS" w:hAnsi="Times New Roman" w:cs="Arial Unicode MS"/>
      <w:sz w:val="24"/>
      <w:szCs w:val="24"/>
      <w:lang w:val="de-DE" w:eastAsia="de-DE"/>
    </w:rPr>
  </w:style>
  <w:style w:type="paragraph" w:customStyle="1" w:styleId="paragraphnumbered">
    <w:name w:val="paragraphnumbered"/>
    <w:basedOn w:val="Normal"/>
    <w:autoRedefine/>
    <w:rsid w:val="00F17C23"/>
    <w:pPr>
      <w:snapToGrid/>
      <w:spacing w:after="0"/>
    </w:pPr>
    <w:rPr>
      <w:rFonts w:eastAsia="Times New Roman"/>
      <w:lang w:eastAsia="zh-CN"/>
    </w:rPr>
  </w:style>
  <w:style w:type="paragraph" w:styleId="HTMLPreformatted">
    <w:name w:val="HTML Preformatted"/>
    <w:aliases w:val="förformaterad,Char2"/>
    <w:basedOn w:val="Normal"/>
    <w:link w:val="HTMLPreformattedChar1"/>
    <w:rsid w:val="00F17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after="0"/>
      <w:jc w:val="left"/>
    </w:pPr>
    <w:rPr>
      <w:rFonts w:ascii="Courier New" w:hAnsi="Courier New"/>
      <w:sz w:val="20"/>
      <w:szCs w:val="20"/>
    </w:rPr>
  </w:style>
  <w:style w:type="character" w:customStyle="1" w:styleId="HTMLPreformattedChar1">
    <w:name w:val="HTML Preformatted Char1"/>
    <w:aliases w:val="förformaterad Char1,Char2 Char"/>
    <w:link w:val="HTMLPreformatted"/>
    <w:semiHidden/>
    <w:rsid w:val="00322F03"/>
    <w:rPr>
      <w:rFonts w:ascii="Courier New" w:eastAsia="MS Mincho" w:hAnsi="Courier New" w:cs="Courier New"/>
      <w:sz w:val="20"/>
      <w:szCs w:val="20"/>
      <w:lang w:val="en-GB" w:eastAsia="en-US"/>
    </w:rPr>
  </w:style>
  <w:style w:type="paragraph" w:customStyle="1" w:styleId="paragraphnumberedChar">
    <w:name w:val="paragraphnumbered Char"/>
    <w:basedOn w:val="Normal"/>
    <w:autoRedefine/>
    <w:rsid w:val="003670AA"/>
    <w:pPr>
      <w:snapToGrid/>
    </w:pPr>
    <w:rPr>
      <w:rFonts w:eastAsia="Times New Roman"/>
      <w:sz w:val="20"/>
      <w:szCs w:val="20"/>
    </w:rPr>
  </w:style>
  <w:style w:type="paragraph" w:customStyle="1" w:styleId="Brdtekst1">
    <w:name w:val="Brødtekst 1"/>
    <w:basedOn w:val="Normal"/>
    <w:rsid w:val="00F17C23"/>
    <w:pPr>
      <w:snapToGrid/>
      <w:spacing w:after="0"/>
      <w:jc w:val="left"/>
    </w:pPr>
    <w:rPr>
      <w:rFonts w:eastAsia="Times New Roman"/>
      <w:sz w:val="24"/>
      <w:szCs w:val="24"/>
      <w:lang w:eastAsia="sv-SE"/>
    </w:rPr>
  </w:style>
  <w:style w:type="character" w:customStyle="1" w:styleId="StyleCaptionBoldCharCharChar1">
    <w:name w:val="Style Caption + Bold Char Char Char1"/>
    <w:rsid w:val="00F17C23"/>
    <w:rPr>
      <w:rFonts w:ascii="Arial" w:eastAsia="MS Mincho" w:hAnsi="Arial"/>
      <w:b/>
      <w:sz w:val="24"/>
      <w:lang w:val="en-US" w:eastAsia="ja-JP"/>
    </w:rPr>
  </w:style>
  <w:style w:type="paragraph" w:customStyle="1" w:styleId="Tabellentextfett">
    <w:name w:val="Tabellentext fett"/>
    <w:basedOn w:val="Tabellentext"/>
    <w:rsid w:val="00F17C23"/>
    <w:rPr>
      <w:rFonts w:ascii="Interstate-BoldCondensed" w:hAnsi="Interstate-BoldCondensed"/>
    </w:rPr>
  </w:style>
  <w:style w:type="paragraph" w:customStyle="1" w:styleId="Tabellentext">
    <w:name w:val="Tabellentext"/>
    <w:basedOn w:val="BodyText"/>
    <w:link w:val="TabellentextZchn"/>
    <w:rsid w:val="00F17C23"/>
    <w:pPr>
      <w:keepLines/>
      <w:snapToGrid/>
      <w:spacing w:after="0"/>
      <w:jc w:val="left"/>
    </w:pPr>
    <w:rPr>
      <w:rFonts w:ascii="Interstate-RegularCondensed" w:eastAsia="Times New Roman" w:hAnsi="Interstate-RegularCondensed"/>
      <w:sz w:val="24"/>
      <w:szCs w:val="20"/>
      <w:lang w:val="de-DE" w:eastAsia="de-DE"/>
    </w:rPr>
  </w:style>
  <w:style w:type="character" w:customStyle="1" w:styleId="TabellentextZchn">
    <w:name w:val="Tabellentext Zchn"/>
    <w:link w:val="Tabellentext"/>
    <w:rsid w:val="00F17C23"/>
    <w:rPr>
      <w:rFonts w:ascii="Interstate-RegularCondensed" w:hAnsi="Interstate-RegularCondensed"/>
      <w:sz w:val="24"/>
      <w:lang w:val="de-DE" w:eastAsia="de-DE"/>
    </w:rPr>
  </w:style>
  <w:style w:type="character" w:customStyle="1" w:styleId="shorttext">
    <w:name w:val="short_text"/>
    <w:rsid w:val="00F17C23"/>
  </w:style>
  <w:style w:type="character" w:customStyle="1" w:styleId="hps">
    <w:name w:val="hps"/>
    <w:rsid w:val="00F17C23"/>
  </w:style>
  <w:style w:type="paragraph" w:customStyle="1" w:styleId="msolistparagraph0">
    <w:name w:val="msolistparagraph"/>
    <w:basedOn w:val="Normal"/>
    <w:rsid w:val="004C2377"/>
    <w:pPr>
      <w:snapToGrid/>
      <w:spacing w:before="100" w:beforeAutospacing="1" w:after="100" w:afterAutospacing="1"/>
      <w:jc w:val="left"/>
    </w:pPr>
    <w:rPr>
      <w:rFonts w:ascii="Times New Roman" w:eastAsia="SimSun" w:hAnsi="Times New Roman"/>
      <w:sz w:val="24"/>
      <w:szCs w:val="24"/>
      <w:lang w:val="de-DE" w:eastAsia="zh-CN"/>
    </w:rPr>
  </w:style>
  <w:style w:type="paragraph" w:customStyle="1" w:styleId="TableText">
    <w:name w:val="Table Text"/>
    <w:basedOn w:val="Normal"/>
    <w:link w:val="TableTextChar"/>
    <w:rsid w:val="00FF5C45"/>
    <w:pPr>
      <w:keepNext/>
      <w:keepLines/>
      <w:snapToGrid/>
      <w:spacing w:before="60" w:after="60"/>
      <w:jc w:val="left"/>
    </w:pPr>
    <w:rPr>
      <w:rFonts w:ascii="Segoe UI" w:eastAsia="Times New Roman" w:hAnsi="Segoe UI"/>
      <w:sz w:val="24"/>
      <w:szCs w:val="20"/>
      <w:lang w:val="en-US" w:eastAsia="ar-SA"/>
    </w:rPr>
  </w:style>
  <w:style w:type="character" w:customStyle="1" w:styleId="TableTextChar">
    <w:name w:val="Table Text Char"/>
    <w:link w:val="TableText"/>
    <w:rsid w:val="00FF5C45"/>
    <w:rPr>
      <w:rFonts w:ascii="Segoe UI" w:hAnsi="Segoe UI"/>
      <w:sz w:val="24"/>
      <w:lang w:val="en-US" w:eastAsia="ar-SA" w:bidi="ar-SA"/>
    </w:rPr>
  </w:style>
  <w:style w:type="paragraph" w:customStyle="1" w:styleId="Default">
    <w:name w:val="Default"/>
    <w:rsid w:val="00FF7AEF"/>
    <w:pPr>
      <w:autoSpaceDE w:val="0"/>
      <w:autoSpaceDN w:val="0"/>
      <w:adjustRightInd w:val="0"/>
    </w:pPr>
    <w:rPr>
      <w:rFonts w:ascii="Times New Roman" w:eastAsia="MS Mincho" w:hAnsi="Times New Roman"/>
      <w:color w:val="000000"/>
      <w:sz w:val="24"/>
      <w:szCs w:val="24"/>
      <w:lang w:val="en-US" w:eastAsia="ja-JP"/>
    </w:rPr>
  </w:style>
  <w:style w:type="character" w:customStyle="1" w:styleId="st">
    <w:name w:val="st"/>
    <w:rsid w:val="001F6C3E"/>
    <w:rPr>
      <w:rFonts w:cs="Times New Roman"/>
    </w:rPr>
  </w:style>
  <w:style w:type="character" w:customStyle="1" w:styleId="DateChar1">
    <w:name w:val="Date Char1"/>
    <w:aliases w:val="Date Char Char"/>
    <w:rsid w:val="00821917"/>
    <w:rPr>
      <w:b/>
      <w:sz w:val="22"/>
      <w:lang w:val="en-GB" w:eastAsia="de-DE"/>
    </w:rPr>
  </w:style>
  <w:style w:type="paragraph" w:customStyle="1" w:styleId="Quellenverzeichnis">
    <w:name w:val="Quellenverzeichnis"/>
    <w:basedOn w:val="BodyText"/>
    <w:link w:val="QuellenverzeichnisChar"/>
    <w:rsid w:val="00821917"/>
    <w:pPr>
      <w:snapToGrid/>
      <w:spacing w:before="120" w:after="0" w:line="300" w:lineRule="atLeast"/>
      <w:ind w:left="284" w:hanging="284"/>
      <w:jc w:val="left"/>
    </w:pPr>
    <w:rPr>
      <w:rFonts w:ascii="DemosEFOP-Medium" w:eastAsia="Times New Roman" w:hAnsi="DemosEFOP-Medium"/>
      <w:sz w:val="24"/>
      <w:szCs w:val="20"/>
      <w:lang w:val="de-DE" w:eastAsia="de-DE"/>
    </w:rPr>
  </w:style>
  <w:style w:type="character" w:customStyle="1" w:styleId="QuellenverzeichnisChar">
    <w:name w:val="Quellenverzeichnis Char"/>
    <w:link w:val="Quellenverzeichnis"/>
    <w:rsid w:val="00821917"/>
    <w:rPr>
      <w:rFonts w:ascii="DemosEFOP-Medium" w:hAnsi="DemosEFOP-Medium"/>
      <w:sz w:val="24"/>
      <w:lang w:val="de-DE" w:eastAsia="de-DE"/>
    </w:rPr>
  </w:style>
  <w:style w:type="paragraph" w:customStyle="1" w:styleId="TabellenInhalt">
    <w:name w:val="Tabellen Inhalt"/>
    <w:basedOn w:val="Normal"/>
    <w:rsid w:val="00D66C99"/>
    <w:pPr>
      <w:widowControl w:val="0"/>
      <w:suppressLineNumbers/>
      <w:suppressAutoHyphens/>
      <w:snapToGrid/>
      <w:spacing w:before="40" w:after="0"/>
      <w:jc w:val="left"/>
    </w:pPr>
    <w:rPr>
      <w:rFonts w:ascii="Arial" w:eastAsia="Times New Roman" w:hAnsi="Arial"/>
      <w:kern w:val="1"/>
      <w:sz w:val="18"/>
      <w:szCs w:val="24"/>
      <w:lang w:val="en-ZA"/>
    </w:rPr>
  </w:style>
  <w:style w:type="paragraph" w:styleId="TableofFigures">
    <w:name w:val="table of figures"/>
    <w:basedOn w:val="Normal"/>
    <w:next w:val="Normal"/>
    <w:semiHidden/>
    <w:rsid w:val="00342992"/>
  </w:style>
  <w:style w:type="paragraph" w:customStyle="1" w:styleId="Normal2">
    <w:name w:val="Normal2"/>
    <w:basedOn w:val="TabellenInhalt"/>
    <w:rsid w:val="00D66C99"/>
    <w:pPr>
      <w:snapToGrid w:val="0"/>
      <w:spacing w:after="40" w:line="260" w:lineRule="exact"/>
    </w:pPr>
    <w:rPr>
      <w:noProof/>
      <w:sz w:val="20"/>
      <w:lang w:eastAsia="de-CH"/>
    </w:rPr>
  </w:style>
  <w:style w:type="paragraph" w:customStyle="1" w:styleId="Fabian1">
    <w:name w:val="Fabian1"/>
    <w:basedOn w:val="Normal"/>
    <w:rsid w:val="00741879"/>
    <w:pPr>
      <w:snapToGrid/>
      <w:spacing w:before="120"/>
      <w:jc w:val="center"/>
    </w:pPr>
    <w:rPr>
      <w:rFonts w:ascii="Arial" w:eastAsia="Times New Roman" w:hAnsi="Arial" w:cs="Arial"/>
      <w:b/>
      <w:sz w:val="20"/>
      <w:szCs w:val="20"/>
    </w:rPr>
  </w:style>
  <w:style w:type="character" w:styleId="EndnoteReference">
    <w:name w:val="endnote reference"/>
    <w:semiHidden/>
    <w:rsid w:val="00FE2654"/>
    <w:rPr>
      <w:rFonts w:cs="Times New Roman"/>
      <w:vertAlign w:val="superscript"/>
    </w:rPr>
  </w:style>
  <w:style w:type="character" w:customStyle="1" w:styleId="QuellenverzeichnisCharChar">
    <w:name w:val="Quellenverzeichnis Char Char"/>
    <w:rsid w:val="00F85AAC"/>
    <w:rPr>
      <w:rFonts w:ascii="DemosEFOP-Medium" w:hAnsi="DemosEFOP-Medium"/>
      <w:sz w:val="24"/>
      <w:lang w:val="de-DE" w:eastAsia="de-DE"/>
    </w:rPr>
  </w:style>
  <w:style w:type="paragraph" w:customStyle="1" w:styleId="Absatz-Standardschriftart1Zchn111CharChar1">
    <w:name w:val="Absatz-Standardschriftart1 Zchn111 Char Char1"/>
    <w:aliases w:val="Char Char Char Char Zchn Zchn111 Char Char1,Absatz-Standardschriftart1 Zchn Char Char Char1 Char Char Char Char Char"/>
    <w:basedOn w:val="Normal"/>
    <w:rsid w:val="00491E03"/>
    <w:pPr>
      <w:tabs>
        <w:tab w:val="left" w:pos="709"/>
      </w:tabs>
      <w:snapToGrid/>
      <w:spacing w:after="0"/>
      <w:jc w:val="left"/>
    </w:pPr>
    <w:rPr>
      <w:rFonts w:ascii="Tahoma" w:eastAsia="Times New Roman" w:hAnsi="Tahoma"/>
      <w:sz w:val="24"/>
      <w:szCs w:val="24"/>
      <w:lang w:val="pl-PL" w:eastAsia="pl-PL"/>
    </w:rPr>
  </w:style>
  <w:style w:type="character" w:customStyle="1" w:styleId="Heading2Char2">
    <w:name w:val="Heading 2 Char2"/>
    <w:aliases w:val="Überschrift 21 Char Char,Überschrift 22 Char"/>
    <w:rsid w:val="006549CE"/>
    <w:rPr>
      <w:rFonts w:ascii="Lucida Sans" w:eastAsia="MS Gothic" w:hAnsi="Lucida Sans"/>
      <w:b/>
      <w:color w:val="4F81BD"/>
      <w:kern w:val="32"/>
      <w:sz w:val="24"/>
      <w:lang w:val="en-GB" w:eastAsia="en-US"/>
    </w:rPr>
  </w:style>
  <w:style w:type="paragraph" w:customStyle="1" w:styleId="Absatz-Standardschriftart1ZchnCharCharChar1CharCharCharCharCharCharCharChar">
    <w:name w:val="Absatz-Standardschriftart1 Zchn Char Char Char1 Char Char Char Char Char Char Char Char"/>
    <w:basedOn w:val="Normal"/>
    <w:rsid w:val="00BE7FE2"/>
    <w:pPr>
      <w:tabs>
        <w:tab w:val="left" w:pos="709"/>
      </w:tabs>
      <w:snapToGrid/>
      <w:spacing w:after="0"/>
      <w:jc w:val="left"/>
    </w:pPr>
    <w:rPr>
      <w:rFonts w:ascii="Tahoma" w:eastAsia="Times New Roman" w:hAnsi="Tahoma"/>
      <w:sz w:val="24"/>
      <w:szCs w:val="24"/>
      <w:lang w:val="pl-PL" w:eastAsia="pl-PL"/>
    </w:rPr>
  </w:style>
  <w:style w:type="character" w:customStyle="1" w:styleId="Char9CharChar">
    <w:name w:val="Char9 Char Char"/>
    <w:rsid w:val="00F87201"/>
    <w:rPr>
      <w:rFonts w:ascii="Lucida Sans" w:eastAsia="MS Gothic" w:hAnsi="Lucida Sans"/>
      <w:i/>
      <w:color w:val="4F81BD"/>
      <w:kern w:val="32"/>
      <w:sz w:val="24"/>
      <w:lang w:val="en-GB" w:eastAsia="en-US"/>
    </w:rPr>
  </w:style>
  <w:style w:type="paragraph" w:customStyle="1" w:styleId="tabletext0">
    <w:name w:val="tabletext"/>
    <w:basedOn w:val="Normal"/>
    <w:rsid w:val="006829D5"/>
    <w:pPr>
      <w:snapToGrid/>
      <w:spacing w:before="100" w:beforeAutospacing="1" w:after="100" w:afterAutospacing="1"/>
      <w:jc w:val="left"/>
    </w:pPr>
    <w:rPr>
      <w:rFonts w:ascii="Times New Roman" w:eastAsia="SimSun" w:hAnsi="Times New Roman"/>
      <w:sz w:val="24"/>
      <w:szCs w:val="24"/>
      <w:lang w:val="de-DE" w:eastAsia="zh-CN"/>
    </w:rPr>
  </w:style>
  <w:style w:type="paragraph" w:customStyle="1" w:styleId="msobibliography0">
    <w:name w:val="msobibliography"/>
    <w:basedOn w:val="Normal"/>
    <w:rsid w:val="006829D5"/>
    <w:pPr>
      <w:snapToGrid/>
      <w:spacing w:before="100" w:beforeAutospacing="1" w:after="100" w:afterAutospacing="1"/>
      <w:jc w:val="left"/>
    </w:pPr>
    <w:rPr>
      <w:rFonts w:ascii="Times New Roman" w:eastAsia="SimSun" w:hAnsi="Times New Roman"/>
      <w:sz w:val="24"/>
      <w:szCs w:val="24"/>
      <w:lang w:val="de-DE" w:eastAsia="zh-CN"/>
    </w:rPr>
  </w:style>
  <w:style w:type="paragraph" w:customStyle="1" w:styleId="Absatz-Standardschriftart1ZchnCharCharChar1CharCharCharCharCharCharCharCharChar">
    <w:name w:val="Absatz-Standardschriftart1 Zchn Char Char Char1 Char Char Char Char Char Char Char Char Char"/>
    <w:basedOn w:val="Normal"/>
    <w:rsid w:val="00F35CA7"/>
    <w:pPr>
      <w:tabs>
        <w:tab w:val="left" w:pos="709"/>
      </w:tabs>
      <w:snapToGrid/>
      <w:spacing w:after="0"/>
      <w:jc w:val="left"/>
    </w:pPr>
    <w:rPr>
      <w:rFonts w:ascii="Tahoma" w:eastAsia="Times New Roman" w:hAnsi="Tahoma"/>
      <w:sz w:val="24"/>
      <w:szCs w:val="24"/>
      <w:lang w:val="pl-PL" w:eastAsia="pl-PL"/>
    </w:rPr>
  </w:style>
  <w:style w:type="paragraph" w:customStyle="1" w:styleId="Absatz-Standardschriftart1Zchn111CharChar">
    <w:name w:val="Absatz-Standardschriftart1 Zchn111 Char Char"/>
    <w:aliases w:val="Char Char Char Char Zchn Zchn111 Char Char,Absatz-Standardschriftart1 Zchn Char Char Char1 Char Char Char Char,Absatz-Standardschriftart1 Zchn Char Char Char1 Char Char Char"/>
    <w:basedOn w:val="Normal"/>
    <w:rsid w:val="00AD754E"/>
    <w:pPr>
      <w:tabs>
        <w:tab w:val="left" w:pos="709"/>
      </w:tabs>
      <w:snapToGrid/>
      <w:spacing w:after="0"/>
      <w:jc w:val="left"/>
    </w:pPr>
    <w:rPr>
      <w:rFonts w:ascii="Tahoma" w:eastAsia="Times New Roman" w:hAnsi="Tahoma"/>
      <w:sz w:val="24"/>
      <w:szCs w:val="24"/>
      <w:lang w:val="pl-PL" w:eastAsia="pl-PL"/>
    </w:rPr>
  </w:style>
  <w:style w:type="paragraph" w:styleId="Bibliography">
    <w:name w:val="Bibliography"/>
    <w:basedOn w:val="Normal"/>
    <w:next w:val="Normal"/>
    <w:semiHidden/>
    <w:rsid w:val="00AD754E"/>
  </w:style>
  <w:style w:type="character" w:customStyle="1" w:styleId="CharChar9">
    <w:name w:val="Char Char9"/>
    <w:rsid w:val="001671C9"/>
    <w:rPr>
      <w:rFonts w:ascii="Cambria" w:eastAsia="SimSun" w:hAnsi="Cambria"/>
      <w:color w:val="243F60"/>
    </w:rPr>
  </w:style>
  <w:style w:type="paragraph" w:styleId="TOC4">
    <w:name w:val="toc 4"/>
    <w:basedOn w:val="Normal"/>
    <w:next w:val="Normal"/>
    <w:autoRedefine/>
    <w:semiHidden/>
    <w:rsid w:val="00DB16F4"/>
    <w:pPr>
      <w:snapToGrid/>
      <w:spacing w:after="100" w:line="276" w:lineRule="auto"/>
      <w:ind w:left="660"/>
      <w:jc w:val="left"/>
    </w:pPr>
    <w:rPr>
      <w:rFonts w:eastAsia="Times New Roman"/>
      <w:lang w:val="en-US"/>
    </w:rPr>
  </w:style>
  <w:style w:type="paragraph" w:styleId="TOC5">
    <w:name w:val="toc 5"/>
    <w:basedOn w:val="Normal"/>
    <w:next w:val="Normal"/>
    <w:autoRedefine/>
    <w:semiHidden/>
    <w:rsid w:val="00DB16F4"/>
    <w:pPr>
      <w:snapToGrid/>
      <w:spacing w:after="100" w:line="276" w:lineRule="auto"/>
      <w:ind w:left="880"/>
      <w:jc w:val="left"/>
    </w:pPr>
    <w:rPr>
      <w:rFonts w:eastAsia="Times New Roman"/>
      <w:lang w:val="en-US"/>
    </w:rPr>
  </w:style>
  <w:style w:type="paragraph" w:styleId="TOC6">
    <w:name w:val="toc 6"/>
    <w:basedOn w:val="Normal"/>
    <w:next w:val="Normal"/>
    <w:autoRedefine/>
    <w:semiHidden/>
    <w:rsid w:val="00DB16F4"/>
    <w:pPr>
      <w:snapToGrid/>
      <w:spacing w:after="100" w:line="276" w:lineRule="auto"/>
      <w:ind w:left="1100"/>
      <w:jc w:val="left"/>
    </w:pPr>
    <w:rPr>
      <w:rFonts w:eastAsia="Times New Roman"/>
      <w:lang w:val="en-US"/>
    </w:rPr>
  </w:style>
  <w:style w:type="paragraph" w:styleId="TOC7">
    <w:name w:val="toc 7"/>
    <w:basedOn w:val="Normal"/>
    <w:next w:val="Normal"/>
    <w:autoRedefine/>
    <w:semiHidden/>
    <w:rsid w:val="00DB16F4"/>
    <w:pPr>
      <w:snapToGrid/>
      <w:spacing w:after="100" w:line="276" w:lineRule="auto"/>
      <w:ind w:left="1320"/>
      <w:jc w:val="left"/>
    </w:pPr>
    <w:rPr>
      <w:rFonts w:eastAsia="Times New Roman"/>
      <w:lang w:val="en-US"/>
    </w:rPr>
  </w:style>
  <w:style w:type="paragraph" w:styleId="TOC8">
    <w:name w:val="toc 8"/>
    <w:basedOn w:val="Normal"/>
    <w:next w:val="Normal"/>
    <w:autoRedefine/>
    <w:semiHidden/>
    <w:rsid w:val="00DB16F4"/>
    <w:pPr>
      <w:snapToGrid/>
      <w:spacing w:after="100" w:line="276" w:lineRule="auto"/>
      <w:ind w:left="1540"/>
      <w:jc w:val="left"/>
    </w:pPr>
    <w:rPr>
      <w:rFonts w:eastAsia="Times New Roman"/>
      <w:lang w:val="en-US"/>
    </w:rPr>
  </w:style>
  <w:style w:type="paragraph" w:styleId="TOC9">
    <w:name w:val="toc 9"/>
    <w:basedOn w:val="Normal"/>
    <w:next w:val="Normal"/>
    <w:autoRedefine/>
    <w:semiHidden/>
    <w:rsid w:val="00DB16F4"/>
    <w:pPr>
      <w:snapToGrid/>
      <w:spacing w:after="100" w:line="276" w:lineRule="auto"/>
      <w:ind w:left="1760"/>
      <w:jc w:val="left"/>
    </w:pPr>
    <w:rPr>
      <w:rFonts w:eastAsia="Times New Roman"/>
      <w:lang w:val="en-US"/>
    </w:rPr>
  </w:style>
  <w:style w:type="paragraph" w:customStyle="1" w:styleId="Absatz-Standardschriftart111">
    <w:name w:val="Absatz-Standardschriftart111"/>
    <w:aliases w:val="Char Char Char"/>
    <w:basedOn w:val="Normal"/>
    <w:rsid w:val="0054606B"/>
    <w:pPr>
      <w:snapToGrid/>
      <w:spacing w:after="160" w:line="240" w:lineRule="exact"/>
      <w:jc w:val="left"/>
    </w:pPr>
    <w:rPr>
      <w:rFonts w:ascii="Tahoma" w:eastAsia="Times New Roman" w:hAnsi="Tahoma"/>
      <w:sz w:val="20"/>
      <w:szCs w:val="20"/>
      <w:lang w:val="en-US"/>
    </w:rPr>
  </w:style>
  <w:style w:type="character" w:styleId="FollowedHyperlink">
    <w:name w:val="FollowedHyperlink"/>
    <w:rsid w:val="00B47A5C"/>
    <w:rPr>
      <w:rFonts w:cs="Times New Roman"/>
      <w:color w:val="800080"/>
      <w:u w:val="single"/>
    </w:rPr>
  </w:style>
  <w:style w:type="paragraph" w:customStyle="1" w:styleId="ListParagraph2">
    <w:name w:val="List Paragraph2"/>
    <w:basedOn w:val="Normal"/>
    <w:rsid w:val="008A6356"/>
    <w:pPr>
      <w:snapToGrid/>
      <w:spacing w:after="0"/>
      <w:ind w:left="720"/>
      <w:jc w:val="left"/>
    </w:pPr>
    <w:rPr>
      <w:rFonts w:ascii="Times New Roman" w:eastAsia="SimSun" w:hAnsi="Times New Roman"/>
      <w:sz w:val="24"/>
      <w:szCs w:val="20"/>
      <w:lang w:val="nb-NO" w:eastAsia="nb-NO"/>
    </w:rPr>
  </w:style>
  <w:style w:type="paragraph" w:styleId="ListParagraph">
    <w:name w:val="List Paragraph"/>
    <w:basedOn w:val="Normal"/>
    <w:qFormat/>
    <w:rsid w:val="00A23250"/>
    <w:pPr>
      <w:ind w:left="720"/>
    </w:pPr>
  </w:style>
  <w:style w:type="character" w:customStyle="1" w:styleId="Kommentartext1Char2">
    <w:name w:val="Kommentartext1 Char2"/>
    <w:aliases w:val="Char1 Char1,Char Char Char Char Char Char Char Char1 Char1,Char Char Char Char Char Char Char Char Char1 Char,Char3 Char Char Char Char Char1 Char,Char3 Char Char Char Char Char Char Char Char,Char110 Char"/>
    <w:semiHidden/>
    <w:rsid w:val="00167491"/>
    <w:rPr>
      <w:lang w:eastAsia="en-US"/>
    </w:rPr>
  </w:style>
  <w:style w:type="character" w:customStyle="1" w:styleId="CharChar1">
    <w:name w:val="Char Char1"/>
    <w:aliases w:val="Char Char Char1"/>
    <w:rsid w:val="00873B36"/>
    <w:rPr>
      <w:lang w:val="nb-NO" w:eastAsia="nb-NO"/>
    </w:rPr>
  </w:style>
  <w:style w:type="paragraph" w:customStyle="1" w:styleId="Abstzezusammenhalten">
    <w:name w:val="Absätze zusammenhalten"/>
    <w:basedOn w:val="BodyText"/>
    <w:rsid w:val="00EE0DB2"/>
    <w:pPr>
      <w:keepNext/>
      <w:snapToGrid/>
      <w:spacing w:after="160" w:line="480" w:lineRule="auto"/>
    </w:pPr>
    <w:rPr>
      <w:rFonts w:eastAsia="Times New Roman"/>
      <w:sz w:val="24"/>
      <w:lang w:eastAsia="de-DE"/>
    </w:rPr>
  </w:style>
  <w:style w:type="paragraph" w:customStyle="1" w:styleId="Basis-berschrift">
    <w:name w:val="Basis-Überschrift"/>
    <w:basedOn w:val="Normal"/>
    <w:next w:val="BodyText"/>
    <w:rsid w:val="00EE0DB2"/>
    <w:pPr>
      <w:keepNext/>
      <w:keepLines/>
      <w:snapToGrid/>
      <w:spacing w:before="240" w:line="360" w:lineRule="auto"/>
    </w:pPr>
    <w:rPr>
      <w:rFonts w:ascii="Arial" w:eastAsia="Times New Roman" w:hAnsi="Arial"/>
      <w:b/>
      <w:kern w:val="28"/>
      <w:sz w:val="36"/>
      <w:szCs w:val="20"/>
      <w:lang w:val="de-DE" w:eastAsia="de-DE"/>
    </w:rPr>
  </w:style>
  <w:style w:type="paragraph" w:customStyle="1" w:styleId="Abschnittsbezeichnung">
    <w:name w:val="Abschnittsbezeichnung"/>
    <w:basedOn w:val="Basis-berschrift"/>
    <w:next w:val="BodyText"/>
    <w:rsid w:val="00EE0DB2"/>
    <w:pPr>
      <w:spacing w:after="360"/>
      <w:jc w:val="center"/>
    </w:pPr>
  </w:style>
  <w:style w:type="paragraph" w:styleId="List">
    <w:name w:val="List"/>
    <w:basedOn w:val="BodyText"/>
    <w:rsid w:val="00EE0DB2"/>
    <w:pPr>
      <w:tabs>
        <w:tab w:val="left" w:pos="720"/>
      </w:tabs>
      <w:snapToGrid/>
      <w:spacing w:after="80" w:line="480" w:lineRule="auto"/>
      <w:ind w:left="720" w:hanging="360"/>
    </w:pPr>
    <w:rPr>
      <w:rFonts w:eastAsia="Times New Roman"/>
      <w:sz w:val="24"/>
      <w:lang w:eastAsia="de-DE"/>
    </w:rPr>
  </w:style>
  <w:style w:type="paragraph" w:styleId="ListBullet">
    <w:name w:val="List Bullet"/>
    <w:basedOn w:val="List"/>
    <w:autoRedefine/>
    <w:rsid w:val="00EE0DB2"/>
    <w:pPr>
      <w:tabs>
        <w:tab w:val="clear" w:pos="720"/>
      </w:tabs>
      <w:spacing w:after="160"/>
    </w:pPr>
  </w:style>
  <w:style w:type="paragraph" w:customStyle="1" w:styleId="AufzhlungAnfang">
    <w:name w:val="Aufzählung Anfang"/>
    <w:basedOn w:val="ListBullet"/>
    <w:next w:val="ListBullet"/>
    <w:rsid w:val="00EE0DB2"/>
    <w:pPr>
      <w:spacing w:before="80"/>
    </w:pPr>
  </w:style>
  <w:style w:type="paragraph" w:customStyle="1" w:styleId="AufzhlungEnde">
    <w:name w:val="Aufzählung Ende"/>
    <w:basedOn w:val="ListBullet"/>
    <w:next w:val="BodyText"/>
    <w:rsid w:val="00EE0DB2"/>
    <w:pPr>
      <w:spacing w:after="240"/>
    </w:pPr>
  </w:style>
  <w:style w:type="paragraph" w:customStyle="1" w:styleId="Autor">
    <w:name w:val="Autor"/>
    <w:basedOn w:val="BodyText"/>
    <w:rsid w:val="00EE0DB2"/>
    <w:pPr>
      <w:snapToGrid/>
      <w:spacing w:before="960" w:after="160" w:line="480" w:lineRule="auto"/>
      <w:jc w:val="center"/>
    </w:pPr>
    <w:rPr>
      <w:rFonts w:eastAsia="Times New Roman"/>
      <w:b/>
      <w:sz w:val="28"/>
      <w:lang w:eastAsia="de-DE"/>
    </w:rPr>
  </w:style>
  <w:style w:type="paragraph" w:customStyle="1" w:styleId="Basis-Funote">
    <w:name w:val="Basis-Fußnote"/>
    <w:basedOn w:val="Normal"/>
    <w:rsid w:val="00EE0DB2"/>
    <w:pPr>
      <w:tabs>
        <w:tab w:val="left" w:pos="187"/>
      </w:tabs>
      <w:snapToGrid/>
      <w:spacing w:after="0" w:line="220" w:lineRule="exact"/>
      <w:ind w:left="187" w:hanging="187"/>
    </w:pPr>
    <w:rPr>
      <w:rFonts w:ascii="Arial" w:eastAsia="Times New Roman" w:hAnsi="Arial"/>
      <w:sz w:val="18"/>
      <w:szCs w:val="20"/>
      <w:lang w:val="de-DE" w:eastAsia="de-DE"/>
    </w:rPr>
  </w:style>
  <w:style w:type="paragraph" w:customStyle="1" w:styleId="Basis-Index">
    <w:name w:val="Basis-Index"/>
    <w:basedOn w:val="Normal"/>
    <w:rsid w:val="00EE0DB2"/>
    <w:pPr>
      <w:tabs>
        <w:tab w:val="right" w:leader="dot" w:pos="3960"/>
      </w:tabs>
      <w:snapToGrid/>
      <w:spacing w:after="0" w:line="360" w:lineRule="auto"/>
      <w:ind w:left="720" w:hanging="720"/>
    </w:pPr>
    <w:rPr>
      <w:rFonts w:ascii="Arial" w:eastAsia="Times New Roman" w:hAnsi="Arial"/>
      <w:sz w:val="24"/>
      <w:szCs w:val="20"/>
      <w:lang w:val="de-DE" w:eastAsia="de-DE"/>
    </w:rPr>
  </w:style>
  <w:style w:type="paragraph" w:customStyle="1" w:styleId="Basis-Kopfzeile">
    <w:name w:val="Basis-Kopfzeile"/>
    <w:basedOn w:val="Normal"/>
    <w:rsid w:val="00EE0DB2"/>
    <w:pPr>
      <w:keepLines/>
      <w:tabs>
        <w:tab w:val="center" w:pos="4320"/>
        <w:tab w:val="right" w:pos="8640"/>
      </w:tabs>
      <w:snapToGrid/>
      <w:spacing w:after="0" w:line="360" w:lineRule="auto"/>
    </w:pPr>
    <w:rPr>
      <w:rFonts w:ascii="Arial" w:eastAsia="Times New Roman" w:hAnsi="Arial"/>
      <w:sz w:val="24"/>
      <w:szCs w:val="20"/>
      <w:lang w:val="de-DE" w:eastAsia="de-DE"/>
    </w:rPr>
  </w:style>
  <w:style w:type="paragraph" w:customStyle="1" w:styleId="Basis-Verzeichnis">
    <w:name w:val="Basis-Verzeichnis"/>
    <w:basedOn w:val="Normal"/>
    <w:rsid w:val="00EE0DB2"/>
    <w:pPr>
      <w:tabs>
        <w:tab w:val="right" w:leader="dot" w:pos="8640"/>
      </w:tabs>
      <w:snapToGrid/>
      <w:spacing w:after="0" w:line="360" w:lineRule="auto"/>
    </w:pPr>
    <w:rPr>
      <w:rFonts w:ascii="Arial" w:eastAsia="Times New Roman" w:hAnsi="Arial"/>
      <w:sz w:val="24"/>
      <w:szCs w:val="20"/>
      <w:lang w:val="de-DE" w:eastAsia="de-DE"/>
    </w:rPr>
  </w:style>
  <w:style w:type="paragraph" w:customStyle="1" w:styleId="Begriffsdefinition">
    <w:name w:val="Begriffsdefinition"/>
    <w:basedOn w:val="BodyText"/>
    <w:rsid w:val="00EE0DB2"/>
    <w:pPr>
      <w:snapToGrid/>
      <w:spacing w:after="160"/>
      <w:ind w:left="547" w:hanging="547"/>
    </w:pPr>
    <w:rPr>
      <w:rFonts w:eastAsia="Times New Roman"/>
      <w:sz w:val="24"/>
      <w:lang w:eastAsia="de-DE"/>
    </w:rPr>
  </w:style>
  <w:style w:type="paragraph" w:customStyle="1" w:styleId="Bezeichnung">
    <w:name w:val="Bezeichnung"/>
    <w:basedOn w:val="Normal"/>
    <w:rsid w:val="00EE0DB2"/>
    <w:pPr>
      <w:keepNext/>
      <w:snapToGrid/>
      <w:spacing w:before="240" w:after="360" w:line="360" w:lineRule="auto"/>
    </w:pPr>
    <w:rPr>
      <w:rFonts w:ascii="Arial" w:eastAsia="Times New Roman" w:hAnsi="Arial"/>
      <w:b/>
      <w:kern w:val="28"/>
      <w:sz w:val="36"/>
      <w:szCs w:val="20"/>
      <w:lang w:val="de-DE" w:eastAsia="de-DE"/>
    </w:rPr>
  </w:style>
  <w:style w:type="paragraph" w:customStyle="1" w:styleId="Blockzitat">
    <w:name w:val="Blockzitat"/>
    <w:basedOn w:val="BodyText"/>
    <w:rsid w:val="00EE0DB2"/>
    <w:pPr>
      <w:keepLines/>
      <w:snapToGrid/>
      <w:spacing w:after="160" w:line="480" w:lineRule="auto"/>
      <w:ind w:left="720" w:right="720"/>
    </w:pPr>
    <w:rPr>
      <w:rFonts w:eastAsia="Times New Roman"/>
      <w:i/>
      <w:sz w:val="24"/>
      <w:lang w:eastAsia="de-DE"/>
    </w:rPr>
  </w:style>
  <w:style w:type="paragraph" w:customStyle="1" w:styleId="BlockzitatAnfang">
    <w:name w:val="Blockzitat Anfang"/>
    <w:basedOn w:val="Blockzitat"/>
    <w:next w:val="Blockzitat"/>
    <w:rsid w:val="00EE0DB2"/>
    <w:pPr>
      <w:spacing w:before="120"/>
    </w:pPr>
  </w:style>
  <w:style w:type="paragraph" w:customStyle="1" w:styleId="BlockzitatEnde">
    <w:name w:val="Blockzitat Ende"/>
    <w:basedOn w:val="Blockzitat"/>
    <w:next w:val="BodyText"/>
    <w:rsid w:val="00EE0DB2"/>
    <w:pPr>
      <w:spacing w:after="240"/>
    </w:pPr>
  </w:style>
  <w:style w:type="paragraph" w:styleId="Date">
    <w:name w:val="Date"/>
    <w:basedOn w:val="BodyText"/>
    <w:link w:val="DateChar"/>
    <w:rsid w:val="00EE0DB2"/>
    <w:pPr>
      <w:snapToGrid/>
      <w:spacing w:before="960" w:after="160" w:line="480" w:lineRule="auto"/>
      <w:jc w:val="center"/>
    </w:pPr>
    <w:rPr>
      <w:rFonts w:ascii="Times New Roman" w:eastAsia="Times New Roman" w:hAnsi="Times New Roman"/>
      <w:b/>
      <w:lang w:eastAsia="de-DE"/>
    </w:rPr>
  </w:style>
  <w:style w:type="character" w:customStyle="1" w:styleId="DateChar">
    <w:name w:val="Date Char"/>
    <w:link w:val="Date"/>
    <w:rsid w:val="00EE0DB2"/>
    <w:rPr>
      <w:rFonts w:ascii="Times New Roman" w:hAnsi="Times New Roman" w:cs="Times New Roman"/>
      <w:b/>
      <w:sz w:val="22"/>
      <w:szCs w:val="22"/>
      <w:lang w:val="en-GB" w:eastAsia="de-DE"/>
    </w:rPr>
  </w:style>
  <w:style w:type="character" w:customStyle="1" w:styleId="DocumentMapChar">
    <w:name w:val="Document Map Char"/>
    <w:semiHidden/>
    <w:rsid w:val="00EE0DB2"/>
    <w:rPr>
      <w:rFonts w:ascii="Tahoma" w:hAnsi="Tahoma"/>
      <w:sz w:val="24"/>
      <w:shd w:val="clear" w:color="auto" w:fill="000080"/>
      <w:lang w:val="de-DE" w:eastAsia="de-DE"/>
    </w:rPr>
  </w:style>
  <w:style w:type="paragraph" w:styleId="DocumentMap">
    <w:name w:val="Document Map"/>
    <w:basedOn w:val="Normal"/>
    <w:link w:val="DocumentMapChar1"/>
    <w:semiHidden/>
    <w:rsid w:val="00EE0DB2"/>
    <w:pPr>
      <w:shd w:val="clear" w:color="auto" w:fill="000080"/>
      <w:snapToGrid/>
      <w:spacing w:after="0" w:line="360" w:lineRule="auto"/>
    </w:pPr>
    <w:rPr>
      <w:rFonts w:ascii="Tahoma" w:hAnsi="Tahoma"/>
      <w:sz w:val="16"/>
      <w:szCs w:val="16"/>
    </w:rPr>
  </w:style>
  <w:style w:type="character" w:customStyle="1" w:styleId="DocumentMapChar1">
    <w:name w:val="Document Map Char1"/>
    <w:link w:val="DocumentMap"/>
    <w:semiHidden/>
    <w:rsid w:val="00EE0DB2"/>
    <w:rPr>
      <w:rFonts w:ascii="Tahoma" w:eastAsia="MS Mincho" w:hAnsi="Tahoma" w:cs="Tahoma"/>
      <w:sz w:val="16"/>
      <w:szCs w:val="16"/>
      <w:lang w:val="en-GB" w:eastAsia="en-US"/>
    </w:rPr>
  </w:style>
  <w:style w:type="character" w:customStyle="1" w:styleId="Einleitung">
    <w:name w:val="Einleitung"/>
    <w:rsid w:val="00EE0DB2"/>
    <w:rPr>
      <w:b/>
      <w:i/>
    </w:rPr>
  </w:style>
  <w:style w:type="character" w:customStyle="1" w:styleId="EndnoteTextChar">
    <w:name w:val="Endnote Text Char"/>
    <w:semiHidden/>
    <w:rsid w:val="00EE0DB2"/>
    <w:rPr>
      <w:rFonts w:ascii="Arial" w:hAnsi="Arial"/>
      <w:lang w:val="de-DE" w:eastAsia="de-DE"/>
    </w:rPr>
  </w:style>
  <w:style w:type="paragraph" w:styleId="EndnoteText">
    <w:name w:val="endnote text"/>
    <w:basedOn w:val="Normal"/>
    <w:link w:val="EndnoteTextChar1"/>
    <w:semiHidden/>
    <w:rsid w:val="00EE0DB2"/>
    <w:pPr>
      <w:snapToGrid/>
      <w:spacing w:after="0" w:line="360" w:lineRule="auto"/>
    </w:pPr>
    <w:rPr>
      <w:sz w:val="20"/>
      <w:szCs w:val="20"/>
    </w:rPr>
  </w:style>
  <w:style w:type="character" w:customStyle="1" w:styleId="EndnoteTextChar1">
    <w:name w:val="Endnote Text Char1"/>
    <w:link w:val="EndnoteText"/>
    <w:semiHidden/>
    <w:rsid w:val="00EE0DB2"/>
    <w:rPr>
      <w:rFonts w:eastAsia="MS Mincho" w:cs="Times New Roman"/>
      <w:lang w:val="en-GB" w:eastAsia="en-US"/>
    </w:rPr>
  </w:style>
  <w:style w:type="paragraph" w:customStyle="1" w:styleId="Formatvorlage1">
    <w:name w:val="Formatvorlage1"/>
    <w:basedOn w:val="BodyText"/>
    <w:rsid w:val="00EE0DB2"/>
    <w:pPr>
      <w:snapToGrid/>
      <w:spacing w:line="264" w:lineRule="auto"/>
    </w:pPr>
    <w:rPr>
      <w:rFonts w:eastAsia="Times New Roman"/>
      <w:sz w:val="24"/>
      <w:lang w:eastAsia="de-DE"/>
    </w:rPr>
  </w:style>
  <w:style w:type="paragraph" w:customStyle="1" w:styleId="Formatvorlage2">
    <w:name w:val="Formatvorlage2"/>
    <w:basedOn w:val="Normal"/>
    <w:rsid w:val="00EE0DB2"/>
    <w:pPr>
      <w:snapToGrid/>
      <w:spacing w:after="0" w:line="360" w:lineRule="auto"/>
    </w:pPr>
    <w:rPr>
      <w:rFonts w:ascii="Arial" w:eastAsia="Times New Roman" w:hAnsi="Arial"/>
      <w:sz w:val="24"/>
      <w:szCs w:val="20"/>
      <w:lang w:val="de-DE" w:eastAsia="de-DE"/>
    </w:rPr>
  </w:style>
  <w:style w:type="paragraph" w:customStyle="1" w:styleId="FuzeileErste">
    <w:name w:val="Fußzeile Erste"/>
    <w:basedOn w:val="Footer"/>
    <w:rsid w:val="00EE0DB2"/>
  </w:style>
  <w:style w:type="paragraph" w:customStyle="1" w:styleId="Fuzeilegerade">
    <w:name w:val="Fußzeile gerade"/>
    <w:basedOn w:val="Footer"/>
    <w:rsid w:val="00EE0DB2"/>
  </w:style>
  <w:style w:type="paragraph" w:customStyle="1" w:styleId="Fuzeileungerade">
    <w:name w:val="Fußzeile ungerade"/>
    <w:basedOn w:val="Footer"/>
    <w:rsid w:val="00EE0DB2"/>
  </w:style>
  <w:style w:type="character" w:customStyle="1" w:styleId="Glossarbegriff">
    <w:name w:val="Glossarbegriff"/>
    <w:rsid w:val="00EE0DB2"/>
    <w:rPr>
      <w:b/>
    </w:rPr>
  </w:style>
  <w:style w:type="paragraph" w:customStyle="1" w:styleId="Grafik">
    <w:name w:val="Grafik"/>
    <w:basedOn w:val="BodyText"/>
    <w:next w:val="Caption"/>
    <w:rsid w:val="00EE0DB2"/>
    <w:pPr>
      <w:keepNext/>
      <w:snapToGrid/>
      <w:spacing w:after="160"/>
    </w:pPr>
    <w:rPr>
      <w:rFonts w:eastAsia="Times New Roman"/>
      <w:sz w:val="24"/>
      <w:lang w:eastAsia="de-DE"/>
    </w:rPr>
  </w:style>
  <w:style w:type="character" w:styleId="Emphasis">
    <w:name w:val="Emphasis"/>
    <w:qFormat/>
    <w:rsid w:val="00EE0DB2"/>
    <w:rPr>
      <w:rFonts w:cs="Times New Roman"/>
      <w:i/>
    </w:rPr>
  </w:style>
  <w:style w:type="character" w:customStyle="1" w:styleId="Hochgestellt">
    <w:name w:val="Hochgestellt"/>
    <w:rsid w:val="00EE0DB2"/>
    <w:rPr>
      <w:rFonts w:ascii="Arial" w:hAnsi="Arial"/>
      <w:vertAlign w:val="superscript"/>
    </w:rPr>
  </w:style>
  <w:style w:type="paragraph" w:customStyle="1" w:styleId="Kapitelbezeichnung">
    <w:name w:val="Kapitelbezeichnung"/>
    <w:basedOn w:val="Normal"/>
    <w:next w:val="Normal"/>
    <w:rsid w:val="00EE0DB2"/>
    <w:pPr>
      <w:keepNext/>
      <w:snapToGrid/>
      <w:spacing w:before="360" w:after="0" w:line="360" w:lineRule="auto"/>
      <w:jc w:val="center"/>
    </w:pPr>
    <w:rPr>
      <w:rFonts w:ascii="Arial" w:eastAsia="Times New Roman" w:hAnsi="Arial"/>
      <w:b/>
      <w:kern w:val="28"/>
      <w:sz w:val="24"/>
      <w:szCs w:val="20"/>
      <w:u w:val="single"/>
      <w:lang w:val="de-DE" w:eastAsia="de-DE"/>
    </w:rPr>
  </w:style>
  <w:style w:type="paragraph" w:customStyle="1" w:styleId="Kapitelberschrift">
    <w:name w:val="Kapitelüberschrift"/>
    <w:basedOn w:val="Normal"/>
    <w:next w:val="Normal"/>
    <w:rsid w:val="00EE0DB2"/>
    <w:pPr>
      <w:keepNext/>
      <w:keepLines/>
      <w:snapToGrid/>
      <w:spacing w:before="600" w:after="0" w:line="360" w:lineRule="auto"/>
      <w:jc w:val="center"/>
    </w:pPr>
    <w:rPr>
      <w:rFonts w:ascii="Arial" w:eastAsia="Times New Roman" w:hAnsi="Arial"/>
      <w:b/>
      <w:kern w:val="28"/>
      <w:sz w:val="32"/>
      <w:szCs w:val="20"/>
      <w:lang w:val="de-DE" w:eastAsia="de-DE"/>
    </w:rPr>
  </w:style>
  <w:style w:type="paragraph" w:customStyle="1" w:styleId="Kapitelunterberschrift">
    <w:name w:val="Kapitelunterüberschrift"/>
    <w:basedOn w:val="Normal"/>
    <w:next w:val="BodyText"/>
    <w:rsid w:val="00EE0DB2"/>
    <w:pPr>
      <w:keepNext/>
      <w:keepLines/>
      <w:snapToGrid/>
      <w:spacing w:before="360" w:after="360" w:line="360" w:lineRule="auto"/>
      <w:jc w:val="center"/>
    </w:pPr>
    <w:rPr>
      <w:rFonts w:ascii="Arial" w:eastAsia="Times New Roman" w:hAnsi="Arial"/>
      <w:i/>
      <w:kern w:val="28"/>
      <w:sz w:val="28"/>
      <w:szCs w:val="20"/>
      <w:lang w:val="de-DE" w:eastAsia="de-DE"/>
    </w:rPr>
  </w:style>
  <w:style w:type="paragraph" w:customStyle="1" w:styleId="KopfzeileErste">
    <w:name w:val="Kopfzeile Erste"/>
    <w:basedOn w:val="Header"/>
    <w:rsid w:val="00EE0DB2"/>
  </w:style>
  <w:style w:type="paragraph" w:customStyle="1" w:styleId="Kopfzeilegerade">
    <w:name w:val="Kopfzeile gerade"/>
    <w:basedOn w:val="Header"/>
    <w:rsid w:val="00EE0DB2"/>
  </w:style>
  <w:style w:type="paragraph" w:customStyle="1" w:styleId="Kopfzeileungerade">
    <w:name w:val="Kopfzeile ungerade"/>
    <w:basedOn w:val="Header"/>
    <w:rsid w:val="00EE0DB2"/>
  </w:style>
  <w:style w:type="paragraph" w:customStyle="1" w:styleId="ListeAnfang">
    <w:name w:val="Liste Anfang"/>
    <w:basedOn w:val="List"/>
    <w:next w:val="List"/>
    <w:rsid w:val="00EE0DB2"/>
  </w:style>
  <w:style w:type="paragraph" w:customStyle="1" w:styleId="ListeEnde">
    <w:name w:val="Liste Ende"/>
    <w:basedOn w:val="List"/>
    <w:next w:val="BodyText"/>
    <w:rsid w:val="00EE0DB2"/>
  </w:style>
  <w:style w:type="paragraph" w:styleId="ListContinue">
    <w:name w:val="List Continue"/>
    <w:basedOn w:val="Normal"/>
    <w:rsid w:val="00EE0DB2"/>
    <w:pPr>
      <w:snapToGrid/>
      <w:spacing w:line="360" w:lineRule="auto"/>
      <w:ind w:left="283"/>
    </w:pPr>
    <w:rPr>
      <w:rFonts w:ascii="Arial" w:eastAsia="Times New Roman" w:hAnsi="Arial"/>
      <w:sz w:val="24"/>
      <w:szCs w:val="20"/>
      <w:lang w:val="de-DE" w:eastAsia="de-DE"/>
    </w:rPr>
  </w:style>
  <w:style w:type="paragraph" w:styleId="ListNumber">
    <w:name w:val="List Number"/>
    <w:basedOn w:val="List"/>
    <w:rsid w:val="00EE0DB2"/>
    <w:pPr>
      <w:tabs>
        <w:tab w:val="clear" w:pos="720"/>
      </w:tabs>
      <w:spacing w:after="160"/>
    </w:pPr>
  </w:style>
  <w:style w:type="paragraph" w:customStyle="1" w:styleId="Name">
    <w:name w:val="Name"/>
    <w:basedOn w:val="BodyText"/>
    <w:rsid w:val="00EE0DB2"/>
    <w:pPr>
      <w:snapToGrid/>
      <w:spacing w:after="160" w:line="480" w:lineRule="auto"/>
      <w:jc w:val="center"/>
    </w:pPr>
    <w:rPr>
      <w:rFonts w:eastAsia="Times New Roman"/>
      <w:sz w:val="24"/>
      <w:lang w:eastAsia="de-DE"/>
    </w:rPr>
  </w:style>
  <w:style w:type="paragraph" w:customStyle="1" w:styleId="NumerierungAnfang">
    <w:name w:val="Numerierung Anfang"/>
    <w:basedOn w:val="Heading4"/>
    <w:next w:val="Normal"/>
    <w:rsid w:val="00EE0DB2"/>
    <w:pPr>
      <w:numPr>
        <w:numId w:val="10"/>
      </w:numPr>
      <w:tabs>
        <w:tab w:val="clear" w:pos="360"/>
      </w:tabs>
      <w:snapToGrid/>
      <w:spacing w:before="240" w:after="60" w:line="360" w:lineRule="auto"/>
      <w:ind w:left="0" w:firstLine="0"/>
      <w:jc w:val="both"/>
    </w:pPr>
    <w:rPr>
      <w:rFonts w:ascii="Calibri" w:eastAsia="Times New Roman" w:hAnsi="Calibri"/>
      <w:i w:val="0"/>
      <w:color w:val="auto"/>
      <w:kern w:val="0"/>
      <w:lang w:val="de-DE" w:eastAsia="de-DE"/>
    </w:rPr>
  </w:style>
  <w:style w:type="paragraph" w:customStyle="1" w:styleId="NumerierungEnde">
    <w:name w:val="Numerierung Ende"/>
    <w:basedOn w:val="ListNumber"/>
    <w:next w:val="BodyText"/>
    <w:rsid w:val="00EE0DB2"/>
    <w:pPr>
      <w:spacing w:after="240"/>
    </w:pPr>
  </w:style>
  <w:style w:type="paragraph" w:customStyle="1" w:styleId="Tabellen">
    <w:name w:val="Tabellen"/>
    <w:basedOn w:val="Caption"/>
    <w:rsid w:val="00EE0DB2"/>
  </w:style>
  <w:style w:type="paragraph" w:customStyle="1" w:styleId="TeilBeschriftung">
    <w:name w:val="Teil Beschriftung"/>
    <w:basedOn w:val="Basis-berschrift"/>
    <w:next w:val="Normal"/>
    <w:rsid w:val="00EE0DB2"/>
    <w:pPr>
      <w:spacing w:before="600" w:after="160"/>
      <w:jc w:val="center"/>
    </w:pPr>
    <w:rPr>
      <w:b w:val="0"/>
      <w:sz w:val="24"/>
      <w:u w:val="single"/>
    </w:rPr>
  </w:style>
  <w:style w:type="paragraph" w:customStyle="1" w:styleId="TeilTitel">
    <w:name w:val="Teil Titel"/>
    <w:basedOn w:val="Basis-berschrift"/>
    <w:next w:val="Normal"/>
    <w:rsid w:val="00EE0DB2"/>
    <w:pPr>
      <w:spacing w:before="600"/>
      <w:jc w:val="center"/>
    </w:pPr>
  </w:style>
  <w:style w:type="paragraph" w:customStyle="1" w:styleId="TeilUntertitel">
    <w:name w:val="Teil Untertitel"/>
    <w:basedOn w:val="Normal"/>
    <w:next w:val="BodyText"/>
    <w:rsid w:val="00EE0DB2"/>
    <w:pPr>
      <w:keepNext/>
      <w:snapToGrid/>
      <w:spacing w:before="360" w:line="276" w:lineRule="auto"/>
      <w:jc w:val="center"/>
    </w:pPr>
    <w:rPr>
      <w:rFonts w:eastAsia="Times New Roman"/>
      <w:i/>
      <w:kern w:val="28"/>
      <w:sz w:val="32"/>
      <w:szCs w:val="20"/>
      <w:lang w:val="de-DE" w:eastAsia="de-DE"/>
    </w:rPr>
  </w:style>
  <w:style w:type="paragraph" w:customStyle="1" w:styleId="BodyTextIndent1">
    <w:name w:val="Body Text Indent1"/>
    <w:aliases w:val="Textkörper-Einzug"/>
    <w:basedOn w:val="Normal"/>
    <w:link w:val="BodyTextIndentChar"/>
    <w:rsid w:val="00EE0DB2"/>
    <w:pPr>
      <w:snapToGrid/>
      <w:spacing w:line="276" w:lineRule="auto"/>
      <w:ind w:left="283"/>
    </w:pPr>
    <w:rPr>
      <w:rFonts w:ascii="Times New Roman" w:eastAsia="Times New Roman" w:hAnsi="Times New Roman"/>
      <w:sz w:val="24"/>
      <w:szCs w:val="20"/>
      <w:lang w:val="de-DE" w:eastAsia="de-DE"/>
    </w:rPr>
  </w:style>
  <w:style w:type="character" w:customStyle="1" w:styleId="BodyTextIndentChar">
    <w:name w:val="Body Text Indent Char"/>
    <w:aliases w:val="Textkörper-Einzug Char"/>
    <w:link w:val="BodyTextIndent1"/>
    <w:rsid w:val="00EE0DB2"/>
    <w:rPr>
      <w:rFonts w:ascii="Times New Roman" w:hAnsi="Times New Roman" w:cs="Times New Roman"/>
      <w:sz w:val="24"/>
      <w:lang w:val="de-DE" w:eastAsia="de-DE"/>
    </w:rPr>
  </w:style>
  <w:style w:type="paragraph" w:styleId="BodyTextIndent2">
    <w:name w:val="Body Text Indent 2"/>
    <w:basedOn w:val="Normal"/>
    <w:link w:val="BodyTextIndent2Char"/>
    <w:rsid w:val="00EE0DB2"/>
    <w:pPr>
      <w:snapToGrid/>
      <w:spacing w:after="0" w:line="276" w:lineRule="auto"/>
      <w:ind w:left="2127"/>
    </w:pPr>
    <w:rPr>
      <w:rFonts w:ascii="Times New Roman" w:eastAsia="Times New Roman" w:hAnsi="Times New Roman"/>
      <w:sz w:val="24"/>
      <w:szCs w:val="20"/>
      <w:lang w:val="de-DE" w:eastAsia="de-DE"/>
    </w:rPr>
  </w:style>
  <w:style w:type="character" w:customStyle="1" w:styleId="BodyTextIndent2Char">
    <w:name w:val="Body Text Indent 2 Char"/>
    <w:link w:val="BodyTextIndent2"/>
    <w:rsid w:val="00EE0DB2"/>
    <w:rPr>
      <w:rFonts w:ascii="Times New Roman" w:hAnsi="Times New Roman" w:cs="Times New Roman"/>
      <w:sz w:val="24"/>
      <w:lang w:val="de-DE" w:eastAsia="de-DE"/>
    </w:rPr>
  </w:style>
  <w:style w:type="paragraph" w:customStyle="1" w:styleId="berschriftAbschnitt">
    <w:name w:val="Überschrift Abschnitt"/>
    <w:basedOn w:val="Basis-berschrift"/>
    <w:rsid w:val="00EE0DB2"/>
    <w:pPr>
      <w:spacing w:before="120" w:after="160"/>
    </w:pPr>
    <w:rPr>
      <w:sz w:val="28"/>
    </w:rPr>
  </w:style>
  <w:style w:type="paragraph" w:customStyle="1" w:styleId="berschriftTitelseite">
    <w:name w:val="Überschrift Titelseite"/>
    <w:basedOn w:val="Basis-berschrift"/>
    <w:next w:val="Normal"/>
    <w:rsid w:val="00EE0DB2"/>
    <w:pPr>
      <w:spacing w:before="720" w:after="160"/>
      <w:jc w:val="center"/>
    </w:pPr>
    <w:rPr>
      <w:sz w:val="48"/>
    </w:rPr>
  </w:style>
  <w:style w:type="paragraph" w:styleId="Subtitle0">
    <w:name w:val="Subtitle"/>
    <w:basedOn w:val="Normal"/>
    <w:link w:val="SubtitleChar"/>
    <w:qFormat/>
    <w:rsid w:val="00EE0DB2"/>
    <w:pPr>
      <w:snapToGrid/>
      <w:spacing w:after="60" w:line="276" w:lineRule="auto"/>
      <w:jc w:val="center"/>
    </w:pPr>
    <w:rPr>
      <w:rFonts w:ascii="Times New Roman" w:eastAsia="Times New Roman" w:hAnsi="Times New Roman"/>
      <w:i/>
      <w:sz w:val="24"/>
      <w:szCs w:val="20"/>
      <w:lang w:val="de-DE" w:eastAsia="de-DE"/>
    </w:rPr>
  </w:style>
  <w:style w:type="character" w:customStyle="1" w:styleId="SubtitleChar">
    <w:name w:val="Subtitle Char"/>
    <w:link w:val="Subtitle0"/>
    <w:rsid w:val="00EE0DB2"/>
    <w:rPr>
      <w:rFonts w:ascii="Times New Roman" w:hAnsi="Times New Roman" w:cs="Times New Roman"/>
      <w:i/>
      <w:sz w:val="24"/>
      <w:lang w:val="de-DE" w:eastAsia="de-DE"/>
    </w:rPr>
  </w:style>
  <w:style w:type="paragraph" w:customStyle="1" w:styleId="UnterberschriftTitelseite">
    <w:name w:val="Unterüberschrift Titelseite"/>
    <w:basedOn w:val="Normal"/>
    <w:next w:val="BodyText"/>
    <w:rsid w:val="00EE0DB2"/>
    <w:pPr>
      <w:keepNext/>
      <w:snapToGrid/>
      <w:spacing w:before="240" w:after="160" w:line="276" w:lineRule="auto"/>
      <w:jc w:val="center"/>
    </w:pPr>
    <w:rPr>
      <w:rFonts w:eastAsia="Times New Roman"/>
      <w:i/>
      <w:kern w:val="28"/>
      <w:sz w:val="36"/>
      <w:szCs w:val="20"/>
      <w:lang w:val="de-DE" w:eastAsia="de-DE"/>
    </w:rPr>
  </w:style>
  <w:style w:type="paragraph" w:customStyle="1" w:styleId="ZuHndenvon">
    <w:name w:val="Zu Händen von"/>
    <w:basedOn w:val="BodyText"/>
    <w:rsid w:val="00EE0DB2"/>
    <w:pPr>
      <w:snapToGrid/>
      <w:spacing w:after="160" w:line="480" w:lineRule="auto"/>
    </w:pPr>
    <w:rPr>
      <w:rFonts w:eastAsia="Times New Roman"/>
      <w:b/>
      <w:i/>
      <w:sz w:val="24"/>
      <w:lang w:eastAsia="de-DE"/>
    </w:rPr>
  </w:style>
  <w:style w:type="paragraph" w:styleId="BodyTextIndent">
    <w:name w:val="Body Text Indent"/>
    <w:basedOn w:val="Normal"/>
    <w:link w:val="BodyTextIndentChar1"/>
    <w:rsid w:val="00EE0DB2"/>
    <w:pPr>
      <w:snapToGrid/>
      <w:spacing w:after="0" w:line="276" w:lineRule="auto"/>
      <w:jc w:val="left"/>
    </w:pPr>
    <w:rPr>
      <w:rFonts w:ascii="Times New Roman" w:eastAsia="Times New Roman" w:hAnsi="Times New Roman"/>
      <w:sz w:val="24"/>
      <w:szCs w:val="20"/>
      <w:lang w:val="de-DE" w:eastAsia="de-DE"/>
    </w:rPr>
  </w:style>
  <w:style w:type="character" w:customStyle="1" w:styleId="BodyTextIndentChar1">
    <w:name w:val="Body Text Indent Char1"/>
    <w:link w:val="BodyTextIndent"/>
    <w:rsid w:val="00EE0DB2"/>
    <w:rPr>
      <w:rFonts w:ascii="Times New Roman" w:hAnsi="Times New Roman" w:cs="Times New Roman"/>
      <w:sz w:val="24"/>
      <w:lang w:val="de-DE" w:eastAsia="de-DE"/>
    </w:rPr>
  </w:style>
  <w:style w:type="paragraph" w:styleId="BodyTextIndent3">
    <w:name w:val="Body Text Indent 3"/>
    <w:basedOn w:val="Normal"/>
    <w:link w:val="BodyTextIndent3Char"/>
    <w:rsid w:val="00EE0DB2"/>
    <w:pPr>
      <w:snapToGrid/>
      <w:spacing w:after="0" w:line="276" w:lineRule="auto"/>
      <w:ind w:left="360"/>
    </w:pPr>
    <w:rPr>
      <w:rFonts w:ascii="Times New Roman" w:eastAsia="Times New Roman" w:hAnsi="Times New Roman"/>
      <w:sz w:val="24"/>
      <w:szCs w:val="20"/>
      <w:lang w:val="de-DE" w:eastAsia="de-DE"/>
    </w:rPr>
  </w:style>
  <w:style w:type="character" w:customStyle="1" w:styleId="BodyTextIndent3Char">
    <w:name w:val="Body Text Indent 3 Char"/>
    <w:link w:val="BodyTextIndent3"/>
    <w:rsid w:val="00EE0DB2"/>
    <w:rPr>
      <w:rFonts w:ascii="Times New Roman" w:hAnsi="Times New Roman" w:cs="Arial"/>
      <w:sz w:val="24"/>
      <w:lang w:val="de-DE" w:eastAsia="de-DE"/>
    </w:rPr>
  </w:style>
  <w:style w:type="paragraph" w:customStyle="1" w:styleId="BodyText22">
    <w:name w:val="Body Text 22"/>
    <w:basedOn w:val="Normal"/>
    <w:rsid w:val="00EE0DB2"/>
    <w:pPr>
      <w:overflowPunct w:val="0"/>
      <w:autoSpaceDE w:val="0"/>
      <w:autoSpaceDN w:val="0"/>
      <w:adjustRightInd w:val="0"/>
      <w:snapToGrid/>
      <w:spacing w:after="0"/>
      <w:textAlignment w:val="baseline"/>
    </w:pPr>
    <w:rPr>
      <w:rFonts w:eastAsia="Times New Roman"/>
      <w:sz w:val="20"/>
      <w:szCs w:val="20"/>
      <w:lang w:val="de-DE" w:eastAsia="de-DE"/>
    </w:rPr>
  </w:style>
  <w:style w:type="paragraph" w:styleId="BodyText3">
    <w:name w:val="Body Text 3"/>
    <w:basedOn w:val="Normal"/>
    <w:link w:val="BodyText3Char"/>
    <w:rsid w:val="00EE0DB2"/>
    <w:pPr>
      <w:snapToGrid/>
      <w:spacing w:after="0" w:line="276" w:lineRule="auto"/>
    </w:pPr>
    <w:rPr>
      <w:rFonts w:ascii="Times New Roman" w:eastAsia="Times New Roman" w:hAnsi="Times New Roman"/>
      <w:szCs w:val="20"/>
      <w:lang w:val="de-DE" w:eastAsia="de-DE"/>
    </w:rPr>
  </w:style>
  <w:style w:type="character" w:customStyle="1" w:styleId="BodyText3Char">
    <w:name w:val="Body Text 3 Char"/>
    <w:link w:val="BodyText3"/>
    <w:rsid w:val="00EE0DB2"/>
    <w:rPr>
      <w:rFonts w:ascii="Times New Roman" w:hAnsi="Times New Roman" w:cs="Arial"/>
      <w:sz w:val="22"/>
      <w:lang w:val="de-DE" w:eastAsia="de-DE"/>
    </w:rPr>
  </w:style>
  <w:style w:type="paragraph" w:customStyle="1" w:styleId="Alfabetotitulo">
    <w:name w:val="Alfabeto titulo"/>
    <w:basedOn w:val="Normal"/>
    <w:next w:val="Normal"/>
    <w:rsid w:val="00EE0DB2"/>
    <w:pPr>
      <w:numPr>
        <w:numId w:val="11"/>
      </w:numPr>
      <w:snapToGrid/>
      <w:jc w:val="left"/>
    </w:pPr>
    <w:rPr>
      <w:rFonts w:ascii="Times New Roman Bold" w:eastAsia="Times New Roman" w:hAnsi="Times New Roman Bold"/>
      <w:b/>
      <w:smallCaps/>
      <w:spacing w:val="60"/>
      <w:sz w:val="24"/>
      <w:szCs w:val="24"/>
      <w:lang w:val="en-US"/>
    </w:rPr>
  </w:style>
  <w:style w:type="paragraph" w:customStyle="1" w:styleId="Style">
    <w:name w:val="Style"/>
    <w:basedOn w:val="Normal"/>
    <w:next w:val="Normal"/>
    <w:rsid w:val="00EE0DB2"/>
    <w:pPr>
      <w:keepNext/>
      <w:numPr>
        <w:numId w:val="12"/>
      </w:numPr>
      <w:snapToGrid/>
      <w:jc w:val="left"/>
    </w:pPr>
    <w:rPr>
      <w:rFonts w:eastAsia="Times New Roman"/>
      <w:b/>
      <w:szCs w:val="24"/>
      <w:lang w:val="en-US"/>
    </w:rPr>
  </w:style>
  <w:style w:type="paragraph" w:customStyle="1" w:styleId="Style1">
    <w:name w:val="Style1"/>
    <w:basedOn w:val="Heading1"/>
    <w:rsid w:val="00EE0DB2"/>
    <w:pPr>
      <w:tabs>
        <w:tab w:val="num" w:pos="720"/>
      </w:tabs>
      <w:snapToGrid/>
      <w:spacing w:after="120"/>
      <w:ind w:left="360" w:hanging="360"/>
    </w:pPr>
    <w:rPr>
      <w:rFonts w:ascii="Calibri" w:eastAsia="Times New Roman" w:hAnsi="Calibri"/>
      <w:color w:val="000000"/>
      <w:kern w:val="0"/>
      <w:sz w:val="22"/>
      <w:szCs w:val="24"/>
      <w:lang w:val="en-US"/>
    </w:rPr>
  </w:style>
  <w:style w:type="paragraph" w:customStyle="1" w:styleId="tituloconnumero1bis">
    <w:name w:val="titulo con numero 1bis"/>
    <w:basedOn w:val="Normal"/>
    <w:next w:val="Normalbat"/>
    <w:rsid w:val="00EE0DB2"/>
    <w:pPr>
      <w:tabs>
        <w:tab w:val="num" w:pos="288"/>
      </w:tabs>
      <w:snapToGrid/>
      <w:spacing w:after="0"/>
      <w:jc w:val="left"/>
      <w:outlineLvl w:val="0"/>
    </w:pPr>
    <w:rPr>
      <w:rFonts w:eastAsia="Times New Roman" w:cs="Arial"/>
      <w:b/>
      <w:bCs/>
      <w:color w:val="000000"/>
    </w:rPr>
  </w:style>
  <w:style w:type="paragraph" w:customStyle="1" w:styleId="Normalbat">
    <w:name w:val="Normal bat"/>
    <w:basedOn w:val="Normal"/>
    <w:rsid w:val="00EE0DB2"/>
    <w:pPr>
      <w:snapToGrid/>
      <w:jc w:val="left"/>
    </w:pPr>
    <w:rPr>
      <w:rFonts w:eastAsia="Times New Roman"/>
      <w:szCs w:val="24"/>
      <w:lang w:val="en-US"/>
    </w:rPr>
  </w:style>
  <w:style w:type="paragraph" w:customStyle="1" w:styleId="Einrcken4">
    <w:name w:val="Einrücken 4"/>
    <w:basedOn w:val="Normal"/>
    <w:rsid w:val="00EE0DB2"/>
    <w:pPr>
      <w:tabs>
        <w:tab w:val="num" w:pos="360"/>
        <w:tab w:val="left" w:pos="720"/>
      </w:tabs>
      <w:snapToGrid/>
      <w:spacing w:after="0" w:line="240" w:lineRule="atLeast"/>
      <w:ind w:left="360" w:hanging="360"/>
      <w:jc w:val="left"/>
    </w:pPr>
    <w:rPr>
      <w:rFonts w:eastAsia="Times New Roman"/>
      <w:sz w:val="24"/>
      <w:szCs w:val="20"/>
      <w:lang w:val="en-US" w:eastAsia="es-ES"/>
    </w:rPr>
  </w:style>
  <w:style w:type="paragraph" w:customStyle="1" w:styleId="Einrcken1">
    <w:name w:val="Einrücken 1"/>
    <w:basedOn w:val="BodyText"/>
    <w:rsid w:val="00EE0DB2"/>
    <w:pPr>
      <w:tabs>
        <w:tab w:val="num" w:pos="227"/>
      </w:tabs>
      <w:snapToGrid/>
      <w:spacing w:before="240" w:after="0" w:line="240" w:lineRule="atLeast"/>
      <w:ind w:left="340" w:hanging="227"/>
    </w:pPr>
    <w:rPr>
      <w:rFonts w:ascii="Times New Roman" w:hAnsi="Times New Roman"/>
      <w:color w:val="000000"/>
      <w:sz w:val="24"/>
      <w:szCs w:val="24"/>
      <w:lang w:val="en-US" w:eastAsia="es-ES"/>
    </w:rPr>
  </w:style>
  <w:style w:type="paragraph" w:customStyle="1" w:styleId="Level1">
    <w:name w:val="Level1"/>
    <w:basedOn w:val="Normal"/>
    <w:rsid w:val="00EE0DB2"/>
    <w:pPr>
      <w:tabs>
        <w:tab w:val="left" w:pos="578"/>
        <w:tab w:val="num" w:pos="720"/>
        <w:tab w:val="left" w:pos="1157"/>
      </w:tabs>
      <w:snapToGrid/>
      <w:spacing w:after="240"/>
      <w:ind w:left="720" w:hanging="720"/>
      <w:jc w:val="left"/>
    </w:pPr>
    <w:rPr>
      <w:rFonts w:eastAsia="Times New Roman" w:cs="Arial"/>
      <w:szCs w:val="24"/>
    </w:rPr>
  </w:style>
  <w:style w:type="paragraph" w:customStyle="1" w:styleId="Footnote">
    <w:name w:val="Footnote"/>
    <w:basedOn w:val="BodyText"/>
    <w:rsid w:val="00EE0DB2"/>
    <w:pPr>
      <w:keepLines/>
      <w:tabs>
        <w:tab w:val="num" w:pos="360"/>
      </w:tabs>
      <w:snapToGrid/>
      <w:spacing w:before="120" w:after="0" w:line="240" w:lineRule="atLeast"/>
      <w:ind w:left="360" w:hanging="360"/>
      <w:jc w:val="left"/>
    </w:pPr>
    <w:rPr>
      <w:rFonts w:eastAsia="Times New Roman"/>
      <w:color w:val="000000"/>
      <w:lang w:val="en-US"/>
    </w:rPr>
  </w:style>
  <w:style w:type="paragraph" w:customStyle="1" w:styleId="categoriatitulo">
    <w:name w:val="categoria titulo"/>
    <w:basedOn w:val="Normal"/>
    <w:rsid w:val="00EE0DB2"/>
    <w:pPr>
      <w:tabs>
        <w:tab w:val="num" w:pos="360"/>
      </w:tabs>
      <w:snapToGrid/>
      <w:spacing w:before="120" w:after="240"/>
      <w:ind w:left="360" w:hanging="360"/>
      <w:jc w:val="left"/>
      <w:outlineLvl w:val="0"/>
    </w:pPr>
    <w:rPr>
      <w:rFonts w:ascii="Times New Roman Bold" w:eastAsia="Times New Roman" w:hAnsi="Times New Roman Bold"/>
      <w:b/>
      <w:smallCaps/>
      <w:sz w:val="24"/>
      <w:szCs w:val="24"/>
      <w:lang w:val="en-US"/>
    </w:rPr>
  </w:style>
  <w:style w:type="paragraph" w:customStyle="1" w:styleId="categorianumeral">
    <w:name w:val="categoria numeral"/>
    <w:basedOn w:val="Normal"/>
    <w:rsid w:val="00EE0DB2"/>
    <w:pPr>
      <w:tabs>
        <w:tab w:val="num" w:pos="360"/>
      </w:tabs>
      <w:snapToGrid/>
      <w:spacing w:before="120"/>
      <w:ind w:left="360" w:hanging="360"/>
      <w:jc w:val="left"/>
    </w:pPr>
    <w:rPr>
      <w:rFonts w:ascii="Times New Roman Bold" w:eastAsia="Times New Roman" w:hAnsi="Times New Roman Bold"/>
      <w:b/>
      <w:smallCaps/>
      <w:sz w:val="24"/>
      <w:szCs w:val="24"/>
      <w:lang w:val="en-US"/>
    </w:rPr>
  </w:style>
  <w:style w:type="paragraph" w:customStyle="1" w:styleId="StylecategoriatituloExpandedby3pt">
    <w:name w:val="Style categoria titulo + Expanded by  3 pt"/>
    <w:basedOn w:val="categoriatitulo"/>
    <w:rsid w:val="00EE0DB2"/>
    <w:rPr>
      <w:bCs/>
      <w:spacing w:val="60"/>
    </w:rPr>
  </w:style>
  <w:style w:type="paragraph" w:customStyle="1" w:styleId="StyleAfter2pt">
    <w:name w:val="Style After:  2 pt"/>
    <w:basedOn w:val="Normal"/>
    <w:autoRedefine/>
    <w:rsid w:val="00EE0DB2"/>
    <w:pPr>
      <w:snapToGrid/>
      <w:spacing w:after="40"/>
      <w:jc w:val="left"/>
    </w:pPr>
    <w:rPr>
      <w:rFonts w:eastAsia="Times New Roman"/>
      <w:lang w:val="en-US" w:eastAsia="sk-SK"/>
    </w:rPr>
  </w:style>
  <w:style w:type="paragraph" w:customStyle="1" w:styleId="BodyText21">
    <w:name w:val="Body Text 21"/>
    <w:basedOn w:val="Normal"/>
    <w:rsid w:val="00EE0DB2"/>
    <w:pPr>
      <w:snapToGrid/>
      <w:spacing w:after="0"/>
    </w:pPr>
    <w:rPr>
      <w:rFonts w:eastAsia="Times New Roman"/>
      <w:sz w:val="24"/>
      <w:szCs w:val="20"/>
      <w:lang w:val="de-DE" w:eastAsia="de-DE"/>
    </w:rPr>
  </w:style>
  <w:style w:type="paragraph" w:customStyle="1" w:styleId="StyleHeading1LatinTimesNewRoman1">
    <w:name w:val="Style Heading 1 + (Latin) Times New Roman1"/>
    <w:basedOn w:val="Heading1"/>
    <w:autoRedefine/>
    <w:rsid w:val="00EE0DB2"/>
    <w:pPr>
      <w:keepNext w:val="0"/>
      <w:snapToGrid/>
      <w:spacing w:after="0"/>
      <w:ind w:left="0" w:firstLine="0"/>
    </w:pPr>
    <w:rPr>
      <w:rFonts w:ascii="Calibri" w:eastAsia="Times New Roman" w:hAnsi="Calibri"/>
      <w:color w:val="000000"/>
      <w:kern w:val="0"/>
      <w:sz w:val="20"/>
      <w:vertAlign w:val="superscript"/>
      <w:lang w:val="en-US"/>
    </w:rPr>
  </w:style>
  <w:style w:type="paragraph" w:customStyle="1" w:styleId="Bodytextnumbered">
    <w:name w:val="Body text numbered"/>
    <w:basedOn w:val="BodyText"/>
    <w:rsid w:val="00EE0DB2"/>
    <w:pPr>
      <w:tabs>
        <w:tab w:val="num" w:pos="720"/>
      </w:tabs>
      <w:snapToGrid/>
      <w:spacing w:before="240" w:after="0" w:line="240" w:lineRule="atLeast"/>
      <w:ind w:left="720" w:hanging="360"/>
      <w:jc w:val="left"/>
    </w:pPr>
    <w:rPr>
      <w:rFonts w:eastAsia="Times New Roman"/>
      <w:sz w:val="24"/>
      <w:lang w:val="en-US"/>
    </w:rPr>
  </w:style>
  <w:style w:type="paragraph" w:customStyle="1" w:styleId="Level10">
    <w:name w:val="Level 1"/>
    <w:basedOn w:val="Normal"/>
    <w:rsid w:val="00EE0DB2"/>
    <w:pPr>
      <w:tabs>
        <w:tab w:val="num" w:pos="360"/>
      </w:tabs>
      <w:snapToGrid/>
      <w:spacing w:after="0"/>
      <w:jc w:val="left"/>
    </w:pPr>
    <w:rPr>
      <w:rFonts w:eastAsia="Times New Roman"/>
      <w:sz w:val="20"/>
      <w:szCs w:val="20"/>
    </w:rPr>
  </w:style>
  <w:style w:type="paragraph" w:customStyle="1" w:styleId="bodytext0">
    <w:name w:val="bodytext"/>
    <w:basedOn w:val="Normal"/>
    <w:rsid w:val="00EE0DB2"/>
    <w:pPr>
      <w:snapToGrid/>
      <w:spacing w:before="100" w:beforeAutospacing="1" w:after="100" w:afterAutospacing="1"/>
      <w:jc w:val="left"/>
    </w:pPr>
    <w:rPr>
      <w:rFonts w:ascii="Arial Unicode MS" w:eastAsia="Arial Unicode MS" w:hAnsi="Arial Unicode MS" w:cs="Arial Unicode MS"/>
      <w:sz w:val="24"/>
      <w:szCs w:val="24"/>
      <w:lang w:val="de-DE" w:eastAsia="de-DE"/>
    </w:rPr>
  </w:style>
  <w:style w:type="character" w:customStyle="1" w:styleId="bodyheading">
    <w:name w:val="bodyheading"/>
    <w:rsid w:val="00EE0DB2"/>
    <w:rPr>
      <w:rFonts w:cs="Times New Roman"/>
    </w:rPr>
  </w:style>
  <w:style w:type="character" w:customStyle="1" w:styleId="spelle">
    <w:name w:val="spelle"/>
    <w:rsid w:val="00EE0DB2"/>
    <w:rPr>
      <w:rFonts w:cs="Times New Roman"/>
    </w:rPr>
  </w:style>
  <w:style w:type="character" w:styleId="HTMLCode">
    <w:name w:val="HTML Code"/>
    <w:rsid w:val="00EE0DB2"/>
    <w:rPr>
      <w:rFonts w:ascii="Arial Unicode MS" w:eastAsia="Arial Unicode MS" w:hAnsi="Arial Unicode MS" w:cs="Times New Roman"/>
      <w:sz w:val="20"/>
    </w:rPr>
  </w:style>
  <w:style w:type="character" w:styleId="Strong">
    <w:name w:val="Strong"/>
    <w:uiPriority w:val="22"/>
    <w:qFormat/>
    <w:rsid w:val="00EE0DB2"/>
    <w:rPr>
      <w:rFonts w:cs="Times New Roman"/>
      <w:b/>
    </w:rPr>
  </w:style>
  <w:style w:type="paragraph" w:customStyle="1" w:styleId="Kaynormal">
    <w:name w:val="Kaynormal"/>
    <w:basedOn w:val="Normal"/>
    <w:rsid w:val="00EE0DB2"/>
    <w:pPr>
      <w:widowControl w:val="0"/>
      <w:autoSpaceDE w:val="0"/>
      <w:autoSpaceDN w:val="0"/>
      <w:snapToGrid/>
      <w:spacing w:after="0" w:line="-312" w:lineRule="auto"/>
    </w:pPr>
    <w:rPr>
      <w:rFonts w:ascii="Arial" w:eastAsia="Times New Roman" w:hAnsi="Arial"/>
      <w:lang w:val="de-DE" w:eastAsia="de-DE"/>
    </w:rPr>
  </w:style>
  <w:style w:type="paragraph" w:customStyle="1" w:styleId="Style12ptJustifiedAfter3pt">
    <w:name w:val="Style 12 pt Justified After:  3 pt"/>
    <w:basedOn w:val="Normal"/>
    <w:autoRedefine/>
    <w:rsid w:val="00EE0DB2"/>
    <w:pPr>
      <w:snapToGrid/>
      <w:spacing w:after="60" w:line="288" w:lineRule="auto"/>
    </w:pPr>
    <w:rPr>
      <w:rFonts w:eastAsia="Times New Roman"/>
      <w:sz w:val="24"/>
      <w:szCs w:val="20"/>
    </w:rPr>
  </w:style>
  <w:style w:type="paragraph" w:styleId="HTMLAddress">
    <w:name w:val="HTML Address"/>
    <w:basedOn w:val="Normal"/>
    <w:link w:val="HTMLAddressChar"/>
    <w:rsid w:val="00EE0DB2"/>
    <w:pPr>
      <w:snapToGrid/>
      <w:spacing w:after="0"/>
      <w:jc w:val="left"/>
    </w:pPr>
    <w:rPr>
      <w:rFonts w:ascii="Arial Unicode MS" w:eastAsia="Arial Unicode MS" w:hAnsi="Arial Unicode MS"/>
      <w:i/>
      <w:iCs/>
      <w:sz w:val="24"/>
      <w:szCs w:val="24"/>
      <w:lang w:val="de-DE" w:eastAsia="de-DE"/>
    </w:rPr>
  </w:style>
  <w:style w:type="character" w:customStyle="1" w:styleId="HTMLAddressChar">
    <w:name w:val="HTML Address Char"/>
    <w:link w:val="HTMLAddress"/>
    <w:rsid w:val="00EE0DB2"/>
    <w:rPr>
      <w:rFonts w:ascii="Arial Unicode MS" w:eastAsia="Arial Unicode MS" w:hAnsi="Arial Unicode MS" w:cs="Arial Unicode MS"/>
      <w:i/>
      <w:iCs/>
      <w:sz w:val="24"/>
      <w:szCs w:val="24"/>
      <w:lang w:val="de-DE" w:eastAsia="de-DE"/>
    </w:rPr>
  </w:style>
  <w:style w:type="character" w:customStyle="1" w:styleId="gruppe1">
    <w:name w:val="gruppe1"/>
    <w:rsid w:val="00EE0DB2"/>
    <w:rPr>
      <w:rFonts w:cs="Times New Roman"/>
    </w:rPr>
  </w:style>
  <w:style w:type="character" w:customStyle="1" w:styleId="wsbbig">
    <w:name w:val="wsbbig"/>
    <w:rsid w:val="00EE0DB2"/>
    <w:rPr>
      <w:rFonts w:cs="Times New Roman"/>
    </w:rPr>
  </w:style>
  <w:style w:type="character" w:customStyle="1" w:styleId="articlebyline">
    <w:name w:val="articlebyline"/>
    <w:rsid w:val="00EE0DB2"/>
    <w:rPr>
      <w:rFonts w:cs="Times New Roman"/>
    </w:rPr>
  </w:style>
  <w:style w:type="paragraph" w:customStyle="1" w:styleId="Heading1a">
    <w:name w:val="Heading 1a"/>
    <w:basedOn w:val="Normal"/>
    <w:next w:val="Normal"/>
    <w:rsid w:val="00EE0DB2"/>
    <w:pPr>
      <w:keepNext/>
      <w:keepLines/>
      <w:numPr>
        <w:numId w:val="14"/>
      </w:numPr>
      <w:snapToGrid/>
      <w:spacing w:before="1440" w:after="240"/>
      <w:jc w:val="center"/>
      <w:outlineLvl w:val="0"/>
    </w:pPr>
    <w:rPr>
      <w:rFonts w:ascii="Times New Roman" w:hAnsi="Times New Roman"/>
      <w:b/>
      <w:caps/>
      <w:sz w:val="32"/>
      <w:szCs w:val="24"/>
      <w:lang w:val="en-US"/>
    </w:rPr>
  </w:style>
  <w:style w:type="paragraph" w:customStyle="1" w:styleId="BodyText1">
    <w:name w:val="Body Text 1"/>
    <w:basedOn w:val="BodyText"/>
    <w:rsid w:val="00EE0DB2"/>
    <w:pPr>
      <w:numPr>
        <w:numId w:val="13"/>
      </w:numPr>
      <w:snapToGrid/>
      <w:spacing w:before="240" w:after="0" w:line="240" w:lineRule="atLeast"/>
    </w:pPr>
    <w:rPr>
      <w:rFonts w:ascii="Times New Roman" w:hAnsi="Times New Roman"/>
      <w:sz w:val="24"/>
      <w:szCs w:val="20"/>
      <w:lang w:val="en-US"/>
    </w:rPr>
  </w:style>
  <w:style w:type="paragraph" w:customStyle="1" w:styleId="MainParanoChapter">
    <w:name w:val="Main Para no Chapter #"/>
    <w:basedOn w:val="Normal"/>
    <w:rsid w:val="00EE0DB2"/>
    <w:pPr>
      <w:snapToGrid/>
      <w:spacing w:after="240"/>
      <w:jc w:val="left"/>
      <w:outlineLvl w:val="1"/>
    </w:pPr>
    <w:rPr>
      <w:rFonts w:ascii="Times New Roman" w:hAnsi="Times New Roman"/>
      <w:sz w:val="24"/>
      <w:szCs w:val="24"/>
      <w:lang w:val="en-US"/>
    </w:rPr>
  </w:style>
  <w:style w:type="paragraph" w:customStyle="1" w:styleId="Sub-Para1underX">
    <w:name w:val="Sub-Para 1 under X."/>
    <w:basedOn w:val="Normal"/>
    <w:rsid w:val="00EE0DB2"/>
    <w:pPr>
      <w:snapToGrid/>
      <w:spacing w:after="240"/>
      <w:ind w:left="1440" w:hanging="720"/>
      <w:jc w:val="left"/>
      <w:outlineLvl w:val="2"/>
    </w:pPr>
    <w:rPr>
      <w:rFonts w:ascii="Times New Roman" w:hAnsi="Times New Roman"/>
      <w:sz w:val="24"/>
      <w:szCs w:val="24"/>
      <w:lang w:val="en-US"/>
    </w:rPr>
  </w:style>
  <w:style w:type="paragraph" w:customStyle="1" w:styleId="Sub-Para2underX">
    <w:name w:val="Sub-Para 2 under X."/>
    <w:basedOn w:val="Normal"/>
    <w:rsid w:val="00EE0DB2"/>
    <w:pPr>
      <w:snapToGrid/>
      <w:spacing w:after="240"/>
      <w:ind w:left="2160" w:hanging="720"/>
      <w:jc w:val="left"/>
      <w:outlineLvl w:val="3"/>
    </w:pPr>
    <w:rPr>
      <w:rFonts w:ascii="Times New Roman" w:hAnsi="Times New Roman"/>
      <w:sz w:val="24"/>
      <w:szCs w:val="24"/>
      <w:lang w:val="en-US"/>
    </w:rPr>
  </w:style>
  <w:style w:type="paragraph" w:customStyle="1" w:styleId="Sub-Para3underX">
    <w:name w:val="Sub-Para 3 under X."/>
    <w:basedOn w:val="Normal"/>
    <w:rsid w:val="00EE0DB2"/>
    <w:pPr>
      <w:snapToGrid/>
      <w:spacing w:after="240"/>
      <w:ind w:left="2880" w:hanging="720"/>
      <w:jc w:val="left"/>
      <w:outlineLvl w:val="4"/>
    </w:pPr>
    <w:rPr>
      <w:rFonts w:ascii="Times New Roman" w:hAnsi="Times New Roman"/>
      <w:sz w:val="24"/>
      <w:szCs w:val="24"/>
      <w:lang w:val="en-US"/>
    </w:rPr>
  </w:style>
  <w:style w:type="paragraph" w:customStyle="1" w:styleId="Sub-Para4underX">
    <w:name w:val="Sub-Para 4 under X."/>
    <w:basedOn w:val="Normal"/>
    <w:rsid w:val="00EE0DB2"/>
    <w:pPr>
      <w:numPr>
        <w:ilvl w:val="5"/>
        <w:numId w:val="14"/>
      </w:numPr>
      <w:tabs>
        <w:tab w:val="clear" w:pos="2160"/>
      </w:tabs>
      <w:snapToGrid/>
      <w:spacing w:after="240"/>
      <w:ind w:left="3600" w:hanging="720"/>
      <w:jc w:val="left"/>
      <w:outlineLvl w:val="5"/>
    </w:pPr>
    <w:rPr>
      <w:rFonts w:ascii="Times New Roman" w:hAnsi="Times New Roman"/>
      <w:sz w:val="24"/>
      <w:szCs w:val="24"/>
      <w:lang w:val="en-US"/>
    </w:rPr>
  </w:style>
  <w:style w:type="paragraph" w:customStyle="1" w:styleId="pheader3">
    <w:name w:val="pheader3"/>
    <w:basedOn w:val="Normal"/>
    <w:rsid w:val="00EE0DB2"/>
    <w:pPr>
      <w:snapToGrid/>
      <w:spacing w:before="100" w:beforeAutospacing="1" w:after="100" w:afterAutospacing="1"/>
      <w:jc w:val="left"/>
    </w:pPr>
    <w:rPr>
      <w:rFonts w:ascii="Arial Unicode MS" w:eastAsia="Arial Unicode MS" w:hAnsi="Arial Unicode MS" w:cs="Arial Unicode MS"/>
      <w:sz w:val="24"/>
      <w:szCs w:val="24"/>
      <w:lang w:val="de-DE" w:eastAsia="de-DE"/>
    </w:rPr>
  </w:style>
  <w:style w:type="paragraph" w:customStyle="1" w:styleId="a">
    <w:name w:val=".."/>
    <w:basedOn w:val="Normal"/>
    <w:next w:val="Normal"/>
    <w:rsid w:val="00EE0DB2"/>
    <w:pPr>
      <w:autoSpaceDE w:val="0"/>
      <w:autoSpaceDN w:val="0"/>
      <w:adjustRightInd w:val="0"/>
      <w:snapToGrid/>
      <w:spacing w:after="0"/>
      <w:jc w:val="left"/>
    </w:pPr>
    <w:rPr>
      <w:rFonts w:eastAsia="Times New Roman"/>
      <w:sz w:val="20"/>
      <w:szCs w:val="24"/>
      <w:lang w:val="de-DE" w:eastAsia="de-DE"/>
    </w:rPr>
  </w:style>
  <w:style w:type="paragraph" w:customStyle="1" w:styleId="Title1">
    <w:name w:val="Title1"/>
    <w:basedOn w:val="Normal"/>
    <w:rsid w:val="00EE0DB2"/>
    <w:pPr>
      <w:snapToGrid/>
      <w:spacing w:before="100" w:beforeAutospacing="1" w:after="100" w:afterAutospacing="1"/>
      <w:jc w:val="left"/>
    </w:pPr>
    <w:rPr>
      <w:rFonts w:eastAsia="Times New Roman"/>
      <w:sz w:val="24"/>
      <w:szCs w:val="24"/>
      <w:lang w:val="de-DE" w:eastAsia="de-DE"/>
    </w:rPr>
  </w:style>
  <w:style w:type="paragraph" w:customStyle="1" w:styleId="citation">
    <w:name w:val="citation"/>
    <w:basedOn w:val="Normal"/>
    <w:rsid w:val="00EE0DB2"/>
    <w:pPr>
      <w:snapToGrid/>
      <w:spacing w:before="100" w:beforeAutospacing="1" w:after="100" w:afterAutospacing="1"/>
      <w:jc w:val="left"/>
    </w:pPr>
    <w:rPr>
      <w:rFonts w:eastAsia="Times New Roman"/>
      <w:sz w:val="24"/>
      <w:szCs w:val="24"/>
      <w:lang w:val="de-DE" w:eastAsia="de-DE"/>
    </w:rPr>
  </w:style>
  <w:style w:type="character" w:customStyle="1" w:styleId="sub2">
    <w:name w:val="sub2"/>
    <w:rsid w:val="00EE0DB2"/>
    <w:rPr>
      <w:rFonts w:cs="Times New Roman"/>
    </w:rPr>
  </w:style>
  <w:style w:type="character" w:customStyle="1" w:styleId="rhbaslik">
    <w:name w:val="rhbaslik"/>
    <w:rsid w:val="00EE0DB2"/>
    <w:rPr>
      <w:rFonts w:cs="Times New Roman"/>
    </w:rPr>
  </w:style>
  <w:style w:type="character" w:customStyle="1" w:styleId="rhicerik">
    <w:name w:val="rhicerik"/>
    <w:rsid w:val="00EE0DB2"/>
    <w:rPr>
      <w:rFonts w:cs="Times New Roman"/>
    </w:rPr>
  </w:style>
  <w:style w:type="paragraph" w:customStyle="1" w:styleId="list-newstitle">
    <w:name w:val="list-newstitle"/>
    <w:basedOn w:val="Normal"/>
    <w:rsid w:val="00EE0DB2"/>
    <w:pPr>
      <w:snapToGrid/>
      <w:spacing w:before="100" w:beforeAutospacing="1" w:after="100" w:afterAutospacing="1"/>
      <w:jc w:val="left"/>
    </w:pPr>
    <w:rPr>
      <w:rFonts w:ascii="Times New Roman" w:hAnsi="Times New Roman"/>
      <w:sz w:val="24"/>
      <w:szCs w:val="24"/>
      <w:lang w:val="de-DE" w:eastAsia="ja-JP"/>
    </w:rPr>
  </w:style>
  <w:style w:type="paragraph" w:customStyle="1" w:styleId="CharCharCharCharCharChar1TegnTegn">
    <w:name w:val="Char Char Char Char Char Char1 Tegn Tegn"/>
    <w:basedOn w:val="Normal"/>
    <w:rsid w:val="00EE0DB2"/>
    <w:pPr>
      <w:tabs>
        <w:tab w:val="left" w:pos="709"/>
      </w:tabs>
      <w:snapToGrid/>
      <w:spacing w:after="0"/>
      <w:jc w:val="left"/>
    </w:pPr>
    <w:rPr>
      <w:rFonts w:ascii="Tahoma" w:eastAsia="Times New Roman" w:hAnsi="Tahoma"/>
      <w:sz w:val="24"/>
      <w:szCs w:val="24"/>
      <w:lang w:val="pl-PL" w:eastAsia="pl-PL"/>
    </w:rPr>
  </w:style>
  <w:style w:type="character" w:customStyle="1" w:styleId="skypepnhcontainer">
    <w:name w:val="skype_pnh_container"/>
    <w:rsid w:val="00EE0DB2"/>
    <w:rPr>
      <w:rFonts w:cs="Times New Roman"/>
    </w:rPr>
  </w:style>
  <w:style w:type="character" w:customStyle="1" w:styleId="skypepnhtextspan">
    <w:name w:val="skype_pnh_text_span"/>
    <w:rsid w:val="00EE0DB2"/>
    <w:rPr>
      <w:rFonts w:cs="Times New Roman"/>
    </w:rPr>
  </w:style>
  <w:style w:type="character" w:customStyle="1" w:styleId="skypepnhrightspan">
    <w:name w:val="skype_pnh_right_span"/>
    <w:rsid w:val="00EE0DB2"/>
    <w:rPr>
      <w:rFonts w:cs="Times New Roman"/>
    </w:rPr>
  </w:style>
  <w:style w:type="paragraph" w:customStyle="1" w:styleId="msonospacing0">
    <w:name w:val="msonospacing"/>
    <w:basedOn w:val="Normal"/>
    <w:rsid w:val="00EE0DB2"/>
    <w:pPr>
      <w:snapToGrid/>
      <w:spacing w:before="100" w:beforeAutospacing="1" w:after="100" w:afterAutospacing="1"/>
      <w:jc w:val="left"/>
    </w:pPr>
    <w:rPr>
      <w:rFonts w:ascii="Times New Roman" w:eastAsia="SimSun" w:hAnsi="Times New Roman"/>
      <w:sz w:val="24"/>
      <w:szCs w:val="24"/>
      <w:lang w:val="de-DE" w:eastAsia="zh-CN"/>
    </w:rPr>
  </w:style>
  <w:style w:type="paragraph" w:customStyle="1" w:styleId="Char2TegnCharCharTegnCharCharCharCharCharCharCharCharCharCharCharCharCharCharCharChar">
    <w:name w:val="Char2 Tegn Char Char Tegn Char Char Char Char Char Char Char Char Char Char Char Char Char Char Char Char"/>
    <w:basedOn w:val="Normal"/>
    <w:rsid w:val="00EE0DB2"/>
    <w:pPr>
      <w:snapToGrid/>
      <w:spacing w:after="160" w:line="240" w:lineRule="exact"/>
      <w:jc w:val="left"/>
    </w:pPr>
    <w:rPr>
      <w:rFonts w:ascii="Tahoma" w:eastAsia="Times New Roman" w:hAnsi="Tahoma"/>
      <w:sz w:val="20"/>
      <w:szCs w:val="20"/>
      <w:lang w:val="en-US"/>
    </w:rPr>
  </w:style>
  <w:style w:type="paragraph" w:customStyle="1" w:styleId="CM21">
    <w:name w:val="CM21"/>
    <w:basedOn w:val="Default"/>
    <w:next w:val="Default"/>
    <w:rsid w:val="00EE0DB2"/>
    <w:rPr>
      <w:rFonts w:ascii="Calibri" w:eastAsia="Times New Roman" w:hAnsi="Calibri"/>
      <w:color w:val="auto"/>
      <w:lang w:val="nb-NO" w:eastAsia="nb-NO"/>
    </w:rPr>
  </w:style>
  <w:style w:type="paragraph" w:customStyle="1" w:styleId="CharCharCharZchnZchn">
    <w:name w:val="Char Char Char Zchn Zchn"/>
    <w:basedOn w:val="Normal"/>
    <w:rsid w:val="00EE0DB2"/>
    <w:pPr>
      <w:tabs>
        <w:tab w:val="left" w:pos="709"/>
      </w:tabs>
      <w:snapToGrid/>
      <w:spacing w:after="0"/>
      <w:jc w:val="left"/>
    </w:pPr>
    <w:rPr>
      <w:rFonts w:ascii="Tahoma" w:eastAsia="Times New Roman" w:hAnsi="Tahoma"/>
      <w:sz w:val="24"/>
      <w:szCs w:val="24"/>
      <w:lang w:val="pl-PL" w:eastAsia="pl-PL"/>
    </w:rPr>
  </w:style>
  <w:style w:type="paragraph" w:customStyle="1" w:styleId="Absatz-Standardschriftart1Zchn1">
    <w:name w:val="Absatz-Standardschriftart1 Zchn1"/>
    <w:aliases w:val="Char Char Char Char Zchn Zchn1,Absatz-Standardschriftart1 Zchn"/>
    <w:basedOn w:val="Normal"/>
    <w:rsid w:val="00EE0DB2"/>
    <w:pPr>
      <w:tabs>
        <w:tab w:val="left" w:pos="709"/>
      </w:tabs>
      <w:snapToGrid/>
      <w:spacing w:after="0"/>
      <w:jc w:val="left"/>
    </w:pPr>
    <w:rPr>
      <w:rFonts w:ascii="Tahoma" w:eastAsia="Times New Roman" w:hAnsi="Tahoma"/>
      <w:sz w:val="24"/>
      <w:szCs w:val="24"/>
      <w:lang w:val="pl-PL" w:eastAsia="pl-PL"/>
    </w:rPr>
  </w:style>
  <w:style w:type="character" w:customStyle="1" w:styleId="Funotentext3">
    <w:name w:val="Fußnotentext3"/>
    <w:aliases w:val="Geneva 94,Font: Geneva 93,Boston 103,f4,Fußnotentext-Final3,Fußnote3,Fußnote Char Char Char3,Fußnote Char Char3,Fußnote Char Char Char Char Char Char3,Fußnote Char Char Char Char3,Footnote text3,f Char Char5,f Char Char Char Char1"/>
    <w:rsid w:val="00EE0DB2"/>
    <w:rPr>
      <w:lang w:val="de-DE" w:eastAsia="de-DE"/>
    </w:rPr>
  </w:style>
  <w:style w:type="paragraph" w:customStyle="1" w:styleId="BulletLevel1CharChar">
    <w:name w:val="Bullet Level 1 Char Char"/>
    <w:basedOn w:val="Normal"/>
    <w:link w:val="BulletLevel1CharCharChar"/>
    <w:rsid w:val="00EE0DB2"/>
    <w:pPr>
      <w:spacing w:after="60"/>
      <w:ind w:left="450" w:hanging="270"/>
      <w:jc w:val="left"/>
    </w:pPr>
    <w:rPr>
      <w:rFonts w:ascii="Times New Roman" w:eastAsia="Times New Roman" w:hAnsi="Times New Roman"/>
      <w:color w:val="000000"/>
      <w:szCs w:val="20"/>
      <w:lang w:val="de-DE" w:eastAsia="en-GB"/>
    </w:rPr>
  </w:style>
  <w:style w:type="character" w:customStyle="1" w:styleId="BulletLevel1CharCharChar">
    <w:name w:val="Bullet Level 1 Char Char Char"/>
    <w:link w:val="BulletLevel1CharChar"/>
    <w:rsid w:val="00EE0DB2"/>
    <w:rPr>
      <w:rFonts w:ascii="Times New Roman" w:hAnsi="Times New Roman"/>
      <w:color w:val="000000"/>
      <w:sz w:val="22"/>
      <w:lang w:val="de-DE" w:eastAsia="en-GB"/>
    </w:rPr>
  </w:style>
  <w:style w:type="paragraph" w:customStyle="1" w:styleId="a0">
    <w:name w:val="一太郎８"/>
    <w:rsid w:val="00EE0DB2"/>
    <w:pPr>
      <w:widowControl w:val="0"/>
      <w:wordWrap w:val="0"/>
      <w:autoSpaceDE w:val="0"/>
      <w:autoSpaceDN w:val="0"/>
      <w:adjustRightInd w:val="0"/>
      <w:spacing w:line="364" w:lineRule="atLeast"/>
      <w:jc w:val="both"/>
    </w:pPr>
    <w:rPr>
      <w:rFonts w:ascii="Arial" w:eastAsia="MS Gothic" w:hAnsi="Arial"/>
      <w:spacing w:val="1"/>
      <w:sz w:val="24"/>
      <w:lang w:val="en-US" w:eastAsia="ja-JP"/>
    </w:rPr>
  </w:style>
  <w:style w:type="paragraph" w:customStyle="1" w:styleId="CharChar2">
    <w:name w:val="Char Char2"/>
    <w:basedOn w:val="Normal"/>
    <w:rsid w:val="00EE0DB2"/>
    <w:pPr>
      <w:tabs>
        <w:tab w:val="left" w:pos="709"/>
      </w:tabs>
      <w:snapToGrid/>
      <w:spacing w:after="0"/>
      <w:jc w:val="left"/>
    </w:pPr>
    <w:rPr>
      <w:rFonts w:ascii="Tahoma" w:eastAsia="Times New Roman" w:hAnsi="Tahoma"/>
      <w:sz w:val="24"/>
      <w:szCs w:val="24"/>
      <w:lang w:val="pl-PL" w:eastAsia="pl-PL"/>
    </w:rPr>
  </w:style>
  <w:style w:type="paragraph" w:customStyle="1" w:styleId="Absatz-Standardschriftart1Zchn111CharChar1Char">
    <w:name w:val="Absatz-Standardschriftart1 Zchn111 Char Char1 Char"/>
    <w:aliases w:val="Char Char Char Char Zchn Zchn111 Char Char1 Char,Absatz-Standardschriftart1 Zchn Char Char Char1 Char Char Char Char Char Char Char"/>
    <w:basedOn w:val="Normal"/>
    <w:rsid w:val="00EE0DB2"/>
    <w:pPr>
      <w:tabs>
        <w:tab w:val="left" w:pos="709"/>
      </w:tabs>
      <w:snapToGrid/>
      <w:spacing w:after="0"/>
      <w:jc w:val="left"/>
    </w:pPr>
    <w:rPr>
      <w:rFonts w:ascii="Tahoma" w:eastAsia="Times New Roman" w:hAnsi="Tahoma"/>
      <w:sz w:val="24"/>
      <w:szCs w:val="24"/>
      <w:lang w:val="pl-PL" w:eastAsia="pl-PL"/>
    </w:rPr>
  </w:style>
  <w:style w:type="character" w:customStyle="1" w:styleId="BulletLevel2CharChar">
    <w:name w:val="Bullet Level 2 Char Char"/>
    <w:rsid w:val="00EE0DB2"/>
    <w:rPr>
      <w:rFonts w:ascii="Calibri" w:eastAsia="SimSun" w:hAnsi="Calibri" w:cs="Calibri"/>
      <w:color w:val="000000"/>
      <w:lang w:val="en-GB" w:eastAsia="en-GB"/>
    </w:rPr>
  </w:style>
  <w:style w:type="character" w:customStyle="1" w:styleId="Geneva96">
    <w:name w:val="Geneva 96"/>
    <w:aliases w:val="Font: Geneva 95,Boston 105,f5,Fußnotentext-Final5,Fußnote5,Fußnote Char Char Char5,Fußnote Char Char5,Fußnote Char Char Char Char Char Char5,Fußnote Char Char Char Char5,Footnote text5,f Char Char8,f Char Char Char Char3,f Char Char9"/>
    <w:rsid w:val="00EE0DB2"/>
    <w:rPr>
      <w:rFonts w:ascii="Times New Roman" w:eastAsia="MS Mincho" w:hAnsi="Times New Roman" w:cs="Times New Roman"/>
      <w:lang w:val="en-GB" w:eastAsia="en-US"/>
    </w:rPr>
  </w:style>
  <w:style w:type="paragraph" w:customStyle="1" w:styleId="CharCharCharCharCharChar1TegnTegnChar">
    <w:name w:val="Char Char Char Char Char Char1 Tegn Tegn Char"/>
    <w:basedOn w:val="Normal"/>
    <w:rsid w:val="00D768F4"/>
    <w:pPr>
      <w:tabs>
        <w:tab w:val="left" w:pos="709"/>
      </w:tabs>
      <w:snapToGrid/>
      <w:spacing w:after="0"/>
      <w:jc w:val="left"/>
    </w:pPr>
    <w:rPr>
      <w:rFonts w:ascii="Tahoma" w:eastAsia="Times New Roman" w:hAnsi="Tahoma"/>
      <w:sz w:val="24"/>
      <w:szCs w:val="24"/>
      <w:lang w:val="pl-PL" w:eastAsia="pl-PL"/>
    </w:rPr>
  </w:style>
  <w:style w:type="character" w:styleId="HTMLCite">
    <w:name w:val="HTML Cite"/>
    <w:uiPriority w:val="99"/>
    <w:semiHidden/>
    <w:unhideWhenUsed/>
    <w:rsid w:val="009D766F"/>
    <w:rPr>
      <w:i/>
      <w:iCs/>
    </w:rPr>
  </w:style>
  <w:style w:type="character" w:customStyle="1" w:styleId="citationyear1">
    <w:name w:val="citation_year1"/>
    <w:rsid w:val="009D766F"/>
    <w:rPr>
      <w:b/>
      <w:bCs/>
    </w:rPr>
  </w:style>
  <w:style w:type="character" w:customStyle="1" w:styleId="citationvolume1">
    <w:name w:val="citation_volume1"/>
    <w:rsid w:val="009D766F"/>
    <w:rPr>
      <w:i/>
      <w:iC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6121705">
      <w:bodyDiv w:val="1"/>
      <w:marLeft w:val="0"/>
      <w:marRight w:val="0"/>
      <w:marTop w:val="0"/>
      <w:marBottom w:val="0"/>
      <w:divBdr>
        <w:top w:val="none" w:sz="0" w:space="0" w:color="auto"/>
        <w:left w:val="none" w:sz="0" w:space="0" w:color="auto"/>
        <w:bottom w:val="none" w:sz="0" w:space="0" w:color="auto"/>
        <w:right w:val="none" w:sz="0" w:space="0" w:color="auto"/>
      </w:divBdr>
      <w:divsChild>
        <w:div w:id="1112089469">
          <w:marLeft w:val="0"/>
          <w:marRight w:val="0"/>
          <w:marTop w:val="0"/>
          <w:marBottom w:val="0"/>
          <w:divBdr>
            <w:top w:val="single" w:sz="2" w:space="0" w:color="2E2E2E"/>
            <w:left w:val="single" w:sz="2" w:space="0" w:color="2E2E2E"/>
            <w:bottom w:val="single" w:sz="2" w:space="0" w:color="2E2E2E"/>
            <w:right w:val="single" w:sz="2" w:space="0" w:color="2E2E2E"/>
          </w:divBdr>
          <w:divsChild>
            <w:div w:id="1795782723">
              <w:marLeft w:val="0"/>
              <w:marRight w:val="0"/>
              <w:marTop w:val="15"/>
              <w:marBottom w:val="0"/>
              <w:divBdr>
                <w:top w:val="none" w:sz="0" w:space="0" w:color="auto"/>
                <w:left w:val="none" w:sz="0" w:space="0" w:color="auto"/>
                <w:bottom w:val="none" w:sz="0" w:space="0" w:color="auto"/>
                <w:right w:val="none" w:sz="0" w:space="0" w:color="auto"/>
              </w:divBdr>
              <w:divsChild>
                <w:div w:id="184740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4819">
      <w:bodyDiv w:val="1"/>
      <w:marLeft w:val="0"/>
      <w:marRight w:val="0"/>
      <w:marTop w:val="0"/>
      <w:marBottom w:val="0"/>
      <w:divBdr>
        <w:top w:val="none" w:sz="0" w:space="0" w:color="auto"/>
        <w:left w:val="none" w:sz="0" w:space="0" w:color="auto"/>
        <w:bottom w:val="none" w:sz="0" w:space="0" w:color="auto"/>
        <w:right w:val="none" w:sz="0" w:space="0" w:color="auto"/>
      </w:divBdr>
      <w:divsChild>
        <w:div w:id="2069524115">
          <w:marLeft w:val="0"/>
          <w:marRight w:val="0"/>
          <w:marTop w:val="0"/>
          <w:marBottom w:val="0"/>
          <w:divBdr>
            <w:top w:val="single" w:sz="2" w:space="0" w:color="2E2E2E"/>
            <w:left w:val="single" w:sz="2" w:space="0" w:color="2E2E2E"/>
            <w:bottom w:val="single" w:sz="2" w:space="0" w:color="2E2E2E"/>
            <w:right w:val="single" w:sz="2" w:space="0" w:color="2E2E2E"/>
          </w:divBdr>
          <w:divsChild>
            <w:div w:id="1522669493">
              <w:marLeft w:val="0"/>
              <w:marRight w:val="0"/>
              <w:marTop w:val="15"/>
              <w:marBottom w:val="0"/>
              <w:divBdr>
                <w:top w:val="none" w:sz="0" w:space="0" w:color="auto"/>
                <w:left w:val="none" w:sz="0" w:space="0" w:color="auto"/>
                <w:bottom w:val="none" w:sz="0" w:space="0" w:color="auto"/>
                <w:right w:val="none" w:sz="0" w:space="0" w:color="auto"/>
              </w:divBdr>
              <w:divsChild>
                <w:div w:id="87191218">
                  <w:marLeft w:val="0"/>
                  <w:marRight w:val="0"/>
                  <w:marTop w:val="0"/>
                  <w:marBottom w:val="0"/>
                  <w:divBdr>
                    <w:top w:val="none" w:sz="0" w:space="0" w:color="auto"/>
                    <w:left w:val="none" w:sz="0" w:space="0" w:color="auto"/>
                    <w:bottom w:val="none" w:sz="0" w:space="0" w:color="auto"/>
                    <w:right w:val="none" w:sz="0" w:space="0" w:color="auto"/>
                  </w:divBdr>
                  <w:divsChild>
                    <w:div w:id="1944073610">
                      <w:marLeft w:val="0"/>
                      <w:marRight w:val="0"/>
                      <w:marTop w:val="0"/>
                      <w:marBottom w:val="315"/>
                      <w:divBdr>
                        <w:top w:val="single" w:sz="6" w:space="0" w:color="D7D7D7"/>
                        <w:left w:val="single" w:sz="2" w:space="0" w:color="D7D7D7"/>
                        <w:bottom w:val="single" w:sz="6" w:space="0" w:color="D7D7D7"/>
                        <w:right w:val="single" w:sz="2" w:space="0" w:color="D7D7D7"/>
                      </w:divBdr>
                      <w:divsChild>
                        <w:div w:id="71751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146418">
      <w:bodyDiv w:val="1"/>
      <w:marLeft w:val="0"/>
      <w:marRight w:val="0"/>
      <w:marTop w:val="0"/>
      <w:marBottom w:val="0"/>
      <w:divBdr>
        <w:top w:val="none" w:sz="0" w:space="0" w:color="auto"/>
        <w:left w:val="none" w:sz="0" w:space="0" w:color="auto"/>
        <w:bottom w:val="none" w:sz="0" w:space="0" w:color="auto"/>
        <w:right w:val="none" w:sz="0" w:space="0" w:color="auto"/>
      </w:divBdr>
      <w:divsChild>
        <w:div w:id="220482650">
          <w:marLeft w:val="0"/>
          <w:marRight w:val="0"/>
          <w:marTop w:val="150"/>
          <w:marBottom w:val="300"/>
          <w:divBdr>
            <w:top w:val="none" w:sz="0" w:space="0" w:color="auto"/>
            <w:left w:val="none" w:sz="0" w:space="0" w:color="auto"/>
            <w:bottom w:val="none" w:sz="0" w:space="0" w:color="auto"/>
            <w:right w:val="none" w:sz="0" w:space="0" w:color="auto"/>
          </w:divBdr>
          <w:divsChild>
            <w:div w:id="631328293">
              <w:marLeft w:val="0"/>
              <w:marRight w:val="0"/>
              <w:marTop w:val="0"/>
              <w:marBottom w:val="105"/>
              <w:divBdr>
                <w:top w:val="none" w:sz="0" w:space="0" w:color="auto"/>
                <w:left w:val="none" w:sz="0" w:space="0" w:color="auto"/>
                <w:bottom w:val="none" w:sz="0" w:space="0" w:color="auto"/>
                <w:right w:val="none" w:sz="0" w:space="0" w:color="auto"/>
              </w:divBdr>
              <w:divsChild>
                <w:div w:id="1225989587">
                  <w:marLeft w:val="75"/>
                  <w:marRight w:val="0"/>
                  <w:marTop w:val="0"/>
                  <w:marBottom w:val="300"/>
                  <w:divBdr>
                    <w:top w:val="single" w:sz="6" w:space="0" w:color="B6B6E1"/>
                    <w:left w:val="single" w:sz="6" w:space="0" w:color="B6B6E1"/>
                    <w:bottom w:val="single" w:sz="6" w:space="0" w:color="B6B6E1"/>
                    <w:right w:val="single" w:sz="6" w:space="0" w:color="B6B6E1"/>
                  </w:divBdr>
                  <w:divsChild>
                    <w:div w:id="1961644610">
                      <w:marLeft w:val="150"/>
                      <w:marRight w:val="0"/>
                      <w:marTop w:val="0"/>
                      <w:marBottom w:val="0"/>
                      <w:divBdr>
                        <w:top w:val="none" w:sz="0" w:space="0" w:color="auto"/>
                        <w:left w:val="none" w:sz="0" w:space="0" w:color="auto"/>
                        <w:bottom w:val="none" w:sz="0" w:space="0" w:color="auto"/>
                        <w:right w:val="none" w:sz="0" w:space="0" w:color="auto"/>
                      </w:divBdr>
                      <w:divsChild>
                        <w:div w:id="518012311">
                          <w:marLeft w:val="0"/>
                          <w:marRight w:val="0"/>
                          <w:marTop w:val="225"/>
                          <w:marBottom w:val="0"/>
                          <w:divBdr>
                            <w:top w:val="none" w:sz="0" w:space="0" w:color="auto"/>
                            <w:left w:val="none" w:sz="0" w:space="0" w:color="auto"/>
                            <w:bottom w:val="none" w:sz="0" w:space="0" w:color="auto"/>
                            <w:right w:val="none" w:sz="0" w:space="0" w:color="auto"/>
                          </w:divBdr>
                          <w:divsChild>
                            <w:div w:id="722563218">
                              <w:marLeft w:val="0"/>
                              <w:marRight w:val="0"/>
                              <w:marTop w:val="0"/>
                              <w:marBottom w:val="0"/>
                              <w:divBdr>
                                <w:top w:val="none" w:sz="0" w:space="0" w:color="auto"/>
                                <w:left w:val="none" w:sz="0" w:space="0" w:color="auto"/>
                                <w:bottom w:val="none" w:sz="0" w:space="0" w:color="auto"/>
                                <w:right w:val="none" w:sz="0" w:space="0" w:color="auto"/>
                              </w:divBdr>
                            </w:div>
                            <w:div w:id="938022267">
                              <w:marLeft w:val="0"/>
                              <w:marRight w:val="0"/>
                              <w:marTop w:val="0"/>
                              <w:marBottom w:val="0"/>
                              <w:divBdr>
                                <w:top w:val="none" w:sz="0" w:space="0" w:color="auto"/>
                                <w:left w:val="none" w:sz="0" w:space="0" w:color="auto"/>
                                <w:bottom w:val="none" w:sz="0" w:space="0" w:color="auto"/>
                                <w:right w:val="none" w:sz="0" w:space="0" w:color="auto"/>
                              </w:divBdr>
                            </w:div>
                            <w:div w:id="1335769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427246">
      <w:bodyDiv w:val="1"/>
      <w:marLeft w:val="0"/>
      <w:marRight w:val="0"/>
      <w:marTop w:val="0"/>
      <w:marBottom w:val="0"/>
      <w:divBdr>
        <w:top w:val="none" w:sz="0" w:space="0" w:color="auto"/>
        <w:left w:val="none" w:sz="0" w:space="0" w:color="auto"/>
        <w:bottom w:val="none" w:sz="0" w:space="0" w:color="auto"/>
        <w:right w:val="none" w:sz="0" w:space="0" w:color="auto"/>
      </w:divBdr>
      <w:divsChild>
        <w:div w:id="1460293897">
          <w:marLeft w:val="0"/>
          <w:marRight w:val="0"/>
          <w:marTop w:val="150"/>
          <w:marBottom w:val="300"/>
          <w:divBdr>
            <w:top w:val="none" w:sz="0" w:space="0" w:color="auto"/>
            <w:left w:val="none" w:sz="0" w:space="0" w:color="auto"/>
            <w:bottom w:val="none" w:sz="0" w:space="0" w:color="auto"/>
            <w:right w:val="none" w:sz="0" w:space="0" w:color="auto"/>
          </w:divBdr>
          <w:divsChild>
            <w:div w:id="447432464">
              <w:marLeft w:val="0"/>
              <w:marRight w:val="0"/>
              <w:marTop w:val="0"/>
              <w:marBottom w:val="105"/>
              <w:divBdr>
                <w:top w:val="none" w:sz="0" w:space="0" w:color="auto"/>
                <w:left w:val="none" w:sz="0" w:space="0" w:color="auto"/>
                <w:bottom w:val="none" w:sz="0" w:space="0" w:color="auto"/>
                <w:right w:val="none" w:sz="0" w:space="0" w:color="auto"/>
              </w:divBdr>
              <w:divsChild>
                <w:div w:id="1085611074">
                  <w:marLeft w:val="75"/>
                  <w:marRight w:val="0"/>
                  <w:marTop w:val="0"/>
                  <w:marBottom w:val="300"/>
                  <w:divBdr>
                    <w:top w:val="single" w:sz="6" w:space="0" w:color="B6B6E1"/>
                    <w:left w:val="single" w:sz="6" w:space="0" w:color="B6B6E1"/>
                    <w:bottom w:val="single" w:sz="6" w:space="0" w:color="B6B6E1"/>
                    <w:right w:val="single" w:sz="6" w:space="0" w:color="B6B6E1"/>
                  </w:divBdr>
                  <w:divsChild>
                    <w:div w:id="49488360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8400">
      <w:bodyDiv w:val="1"/>
      <w:marLeft w:val="0"/>
      <w:marRight w:val="0"/>
      <w:marTop w:val="0"/>
      <w:marBottom w:val="0"/>
      <w:divBdr>
        <w:top w:val="none" w:sz="0" w:space="0" w:color="auto"/>
        <w:left w:val="none" w:sz="0" w:space="0" w:color="auto"/>
        <w:bottom w:val="none" w:sz="0" w:space="0" w:color="auto"/>
        <w:right w:val="none" w:sz="0" w:space="0" w:color="auto"/>
      </w:divBdr>
      <w:divsChild>
        <w:div w:id="1086880673">
          <w:marLeft w:val="0"/>
          <w:marRight w:val="0"/>
          <w:marTop w:val="0"/>
          <w:marBottom w:val="0"/>
          <w:divBdr>
            <w:top w:val="single" w:sz="2" w:space="0" w:color="2E2E2E"/>
            <w:left w:val="single" w:sz="2" w:space="0" w:color="2E2E2E"/>
            <w:bottom w:val="single" w:sz="2" w:space="0" w:color="2E2E2E"/>
            <w:right w:val="single" w:sz="2" w:space="0" w:color="2E2E2E"/>
          </w:divBdr>
          <w:divsChild>
            <w:div w:id="1654941324">
              <w:marLeft w:val="0"/>
              <w:marRight w:val="0"/>
              <w:marTop w:val="15"/>
              <w:marBottom w:val="0"/>
              <w:divBdr>
                <w:top w:val="none" w:sz="0" w:space="0" w:color="auto"/>
                <w:left w:val="none" w:sz="0" w:space="0" w:color="auto"/>
                <w:bottom w:val="none" w:sz="0" w:space="0" w:color="auto"/>
                <w:right w:val="none" w:sz="0" w:space="0" w:color="auto"/>
              </w:divBdr>
              <w:divsChild>
                <w:div w:id="210017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60173">
      <w:bodyDiv w:val="1"/>
      <w:marLeft w:val="0"/>
      <w:marRight w:val="0"/>
      <w:marTop w:val="0"/>
      <w:marBottom w:val="0"/>
      <w:divBdr>
        <w:top w:val="none" w:sz="0" w:space="0" w:color="auto"/>
        <w:left w:val="none" w:sz="0" w:space="0" w:color="auto"/>
        <w:bottom w:val="none" w:sz="0" w:space="0" w:color="auto"/>
        <w:right w:val="none" w:sz="0" w:space="0" w:color="auto"/>
      </w:divBdr>
      <w:divsChild>
        <w:div w:id="446579963">
          <w:marLeft w:val="0"/>
          <w:marRight w:val="0"/>
          <w:marTop w:val="0"/>
          <w:marBottom w:val="0"/>
          <w:divBdr>
            <w:top w:val="single" w:sz="2" w:space="0" w:color="2E2E2E"/>
            <w:left w:val="single" w:sz="2" w:space="0" w:color="2E2E2E"/>
            <w:bottom w:val="single" w:sz="2" w:space="0" w:color="2E2E2E"/>
            <w:right w:val="single" w:sz="2" w:space="0" w:color="2E2E2E"/>
          </w:divBdr>
          <w:divsChild>
            <w:div w:id="654841294">
              <w:marLeft w:val="0"/>
              <w:marRight w:val="0"/>
              <w:marTop w:val="15"/>
              <w:marBottom w:val="0"/>
              <w:divBdr>
                <w:top w:val="none" w:sz="0" w:space="0" w:color="auto"/>
                <w:left w:val="none" w:sz="0" w:space="0" w:color="auto"/>
                <w:bottom w:val="none" w:sz="0" w:space="0" w:color="auto"/>
                <w:right w:val="none" w:sz="0" w:space="0" w:color="auto"/>
              </w:divBdr>
              <w:divsChild>
                <w:div w:id="166751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recetox.muni.cz/res/file/pdf/workshop/BrnoPG1-2.pdf" TargetMode="External"/><Relationship Id="rId21" Type="http://schemas.openxmlformats.org/officeDocument/2006/relationships/image" Target="media/image5.png"/><Relationship Id="rId34" Type="http://schemas.openxmlformats.org/officeDocument/2006/relationships/hyperlink" Target="http://www.epa.gov/osw/hazard/testmethods/sw846/pdfs/8290a.pdf" TargetMode="External"/><Relationship Id="rId42" Type="http://schemas.openxmlformats.org/officeDocument/2006/relationships/image" Target="media/image9.emf"/><Relationship Id="rId47" Type="http://schemas.openxmlformats.org/officeDocument/2006/relationships/hyperlink" Target="http://en.wikipedia.org/wiki/File:BDE-99.svg" TargetMode="External"/><Relationship Id="rId50" Type="http://schemas.openxmlformats.org/officeDocument/2006/relationships/image" Target="media/image13.png"/><Relationship Id="rId55" Type="http://schemas.openxmlformats.org/officeDocument/2006/relationships/hyperlink" Target="http://en.wikipedia.org/wiki/File:BDE-171.svg" TargetMode="External"/><Relationship Id="rId63" Type="http://schemas.openxmlformats.org/officeDocument/2006/relationships/hyperlink" Target="http://en.wikipedia.org/wiki/File:BDE-197.svg" TargetMode="External"/><Relationship Id="rId68" Type="http://schemas.openxmlformats.org/officeDocument/2006/relationships/image" Target="media/image23.wmf"/><Relationship Id="rId76" Type="http://schemas.openxmlformats.org/officeDocument/2006/relationships/hyperlink" Target="http://ewasteguide.info/files/Waeger_2010_Empa-WEEEForum.pdf" TargetMode="External"/><Relationship Id="rId84" Type="http://schemas.openxmlformats.org/officeDocument/2006/relationships/image" Target="media/image31.jpeg"/><Relationship Id="rId89" Type="http://schemas.openxmlformats.org/officeDocument/2006/relationships/hyperlink" Target="http://www.dioxin20xx.org/pdfs/2011/4511.pdf" TargetMode="External"/><Relationship Id="rId97" Type="http://schemas.openxmlformats.org/officeDocument/2006/relationships/hyperlink" Target="http://www.dioxin20xx.org/pdfs/2012/1368.pdf" TargetMode="External"/><Relationship Id="rId7" Type="http://schemas.openxmlformats.org/officeDocument/2006/relationships/image" Target="media/image1.wmf"/><Relationship Id="rId71" Type="http://schemas.openxmlformats.org/officeDocument/2006/relationships/image" Target="media/image26.wmf"/><Relationship Id="rId92" Type="http://schemas.openxmlformats.org/officeDocument/2006/relationships/hyperlink" Target="http://www.env.go.jp/en/chemi/bat/BAT_first_report1.pdf" TargetMode="External"/><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hyperlink" Target="http://www.env.go.jp/en/chemi/bat/BAT_first_report1.pdf" TargetMode="External"/><Relationship Id="rId11" Type="http://schemas.openxmlformats.org/officeDocument/2006/relationships/hyperlink" Target="http://www.ivv.fraunhofer.de/no_html/gf3_29.pdf" TargetMode="External"/><Relationship Id="rId24" Type="http://schemas.openxmlformats.org/officeDocument/2006/relationships/image" Target="media/image8.emf"/><Relationship Id="rId32" Type="http://schemas.openxmlformats.org/officeDocument/2006/relationships/hyperlink" Target="http://www.env.go.jp/en/chemi/bat/BAT_first_report1.pdf" TargetMode="External"/><Relationship Id="rId37" Type="http://schemas.openxmlformats.org/officeDocument/2006/relationships/hyperlink" Target="http://www.env.go.jp/en/chemi/bat/BAT_first_report1.pdf" TargetMode="External"/><Relationship Id="rId40" Type="http://schemas.openxmlformats.org/officeDocument/2006/relationships/hyperlink" Target="http://www.dioxin20xx.org/pdfs/2011/5002.pdf" TargetMode="External"/><Relationship Id="rId45" Type="http://schemas.openxmlformats.org/officeDocument/2006/relationships/hyperlink" Target="http://en.wikipedia.org/wiki/File:BDE-85.svg" TargetMode="External"/><Relationship Id="rId53" Type="http://schemas.openxmlformats.org/officeDocument/2006/relationships/hyperlink" Target="http://en.wikipedia.org/wiki/File:BDE-154.svg" TargetMode="External"/><Relationship Id="rId58" Type="http://schemas.openxmlformats.org/officeDocument/2006/relationships/image" Target="media/image17.png"/><Relationship Id="rId66" Type="http://schemas.openxmlformats.org/officeDocument/2006/relationships/image" Target="media/image21.png"/><Relationship Id="rId74" Type="http://schemas.openxmlformats.org/officeDocument/2006/relationships/hyperlink" Target="http://www.perfood.eu/" TargetMode="External"/><Relationship Id="rId79" Type="http://schemas.openxmlformats.org/officeDocument/2006/relationships/hyperlink" Target="http://www.dioxin20xx.org/pdfs/2012/1338.pdf" TargetMode="External"/><Relationship Id="rId87" Type="http://schemas.openxmlformats.org/officeDocument/2006/relationships/hyperlink" Target="http://www.bfr2010.com/abstract-download/2010/90004.pdf" TargetMode="External"/><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en.wikipedia.org/wiki/File:BDE-196.svg" TargetMode="External"/><Relationship Id="rId82" Type="http://schemas.openxmlformats.org/officeDocument/2006/relationships/image" Target="media/image29.jpeg"/><Relationship Id="rId90" Type="http://schemas.openxmlformats.org/officeDocument/2006/relationships/hyperlink" Target="http://pubs.acs.org/doi/full/10.1021/es2007462" TargetMode="External"/><Relationship Id="rId95" Type="http://schemas.openxmlformats.org/officeDocument/2006/relationships/hyperlink" Target="http://www.meti.go.jp/english/report/downloadfiles/BATReport_2nd.pdf" TargetMode="External"/><Relationship Id="rId19" Type="http://schemas.openxmlformats.org/officeDocument/2006/relationships/hyperlink" Target="file:///C:\Users\jalvarez.CONVENTIONS\AppData\Documents%20and%20Settings\Roland\Application%20Data\Microsoft\Word\&#8226;%09http:\www.olympus-ims.com\en\xrf-xrd\delta-handheld\" TargetMode="External"/><Relationship Id="rId14" Type="http://schemas.openxmlformats.org/officeDocument/2006/relationships/hyperlink" Target="http://www.chem.unep.ch/gmn/gmnlabs/default.htm" TargetMode="External"/><Relationship Id="rId22" Type="http://schemas.openxmlformats.org/officeDocument/2006/relationships/image" Target="media/image6.emf"/><Relationship Id="rId27" Type="http://schemas.openxmlformats.org/officeDocument/2006/relationships/hyperlink" Target="http://toolkit.pops.int" TargetMode="External"/><Relationship Id="rId30" Type="http://schemas.openxmlformats.org/officeDocument/2006/relationships/hyperlink" Target="http://www.meti.go.jp/english/report/downloadfiles/BATReport_2nd.pdf" TargetMode="External"/><Relationship Id="rId35" Type="http://schemas.openxmlformats.org/officeDocument/2006/relationships/hyperlink" Target="http://www.gesetze-im-internet.de/bundesrecht/d_mv_2008/gesamt.pdf" TargetMode="External"/><Relationship Id="rId43" Type="http://schemas.openxmlformats.org/officeDocument/2006/relationships/hyperlink" Target="http://en.wikipedia.org/wiki/File:BDE-47.svg" TargetMode="External"/><Relationship Id="rId48" Type="http://schemas.openxmlformats.org/officeDocument/2006/relationships/image" Target="media/image12.png"/><Relationship Id="rId56" Type="http://schemas.openxmlformats.org/officeDocument/2006/relationships/image" Target="media/image16.png"/><Relationship Id="rId64" Type="http://schemas.openxmlformats.org/officeDocument/2006/relationships/image" Target="media/image20.png"/><Relationship Id="rId69" Type="http://schemas.openxmlformats.org/officeDocument/2006/relationships/image" Target="media/image24.wmf"/><Relationship Id="rId77" Type="http://schemas.openxmlformats.org/officeDocument/2006/relationships/hyperlink" Target="http://ewasteguide.info/files/Waeger_2010_Empa-WEEEForum.pdf" TargetMode="External"/><Relationship Id="rId100" Type="http://schemas.openxmlformats.org/officeDocument/2006/relationships/header" Target="header3.xml"/><Relationship Id="rId8" Type="http://schemas.openxmlformats.org/officeDocument/2006/relationships/hyperlink" Target="http://www.oecd.org/env/48125746.pdf" TargetMode="External"/><Relationship Id="rId51" Type="http://schemas.openxmlformats.org/officeDocument/2006/relationships/hyperlink" Target="http://en.wikipedia.org/wiki/File:BDE-153.svg" TargetMode="External"/><Relationship Id="rId72" Type="http://schemas.openxmlformats.org/officeDocument/2006/relationships/image" Target="media/image27.emf"/><Relationship Id="rId80" Type="http://schemas.openxmlformats.org/officeDocument/2006/relationships/hyperlink" Target="http://www.dioxin20xx.org/pdfs/2011/1909.pdf" TargetMode="External"/><Relationship Id="rId85" Type="http://schemas.openxmlformats.org/officeDocument/2006/relationships/image" Target="media/image32.jpeg"/><Relationship Id="rId93" Type="http://schemas.openxmlformats.org/officeDocument/2006/relationships/hyperlink" Target="http://www.meti.go.jp/english/report/downloadfiles/BATReport_2nd.pdf" TargetMode="External"/><Relationship Id="rId9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www.ivv.fraunhofer.de/no_html/gf3_29.pdf" TargetMode="External"/><Relationship Id="rId17" Type="http://schemas.openxmlformats.org/officeDocument/2006/relationships/hyperlink" Target="http://ewasteguide.info/files/Waeger_2010_Empa-WEEEForum.pdf" TargetMode="External"/><Relationship Id="rId25" Type="http://schemas.openxmlformats.org/officeDocument/2006/relationships/hyperlink" Target="http://water.epa.gov/scitech/methods/cwa/bioindicators/upload/2007_09_11_methods_method_1614.pdf" TargetMode="External"/><Relationship Id="rId33" Type="http://schemas.openxmlformats.org/officeDocument/2006/relationships/hyperlink" Target="http://www.meti.go.jp/english/report/downloadfiles/BATReport_2nd.pdf" TargetMode="External"/><Relationship Id="rId38" Type="http://schemas.openxmlformats.org/officeDocument/2006/relationships/hyperlink" Target="http://www.meti.go.jp/english/report/downloadfiles/BATReport_2nd.pdf" TargetMode="External"/><Relationship Id="rId46" Type="http://schemas.openxmlformats.org/officeDocument/2006/relationships/image" Target="media/image11.png"/><Relationship Id="rId59" Type="http://schemas.openxmlformats.org/officeDocument/2006/relationships/hyperlink" Target="http://en.wikipedia.org/wiki/File:BDE-183.svg" TargetMode="External"/><Relationship Id="rId67" Type="http://schemas.openxmlformats.org/officeDocument/2006/relationships/image" Target="media/image22.wmf"/><Relationship Id="rId20" Type="http://schemas.openxmlformats.org/officeDocument/2006/relationships/hyperlink" Target="http://www.bruker-axs.com/handheldx-rayspectrometry.html" TargetMode="External"/><Relationship Id="rId41" Type="http://schemas.openxmlformats.org/officeDocument/2006/relationships/hyperlink" Target="http://www.dioxin20xx.org/pdfs/2005/05-498.pdf" TargetMode="External"/><Relationship Id="rId54" Type="http://schemas.openxmlformats.org/officeDocument/2006/relationships/image" Target="media/image15.png"/><Relationship Id="rId62" Type="http://schemas.openxmlformats.org/officeDocument/2006/relationships/image" Target="media/image19.png"/><Relationship Id="rId70" Type="http://schemas.openxmlformats.org/officeDocument/2006/relationships/image" Target="media/image25.wmf"/><Relationship Id="rId75" Type="http://schemas.openxmlformats.org/officeDocument/2006/relationships/hyperlink" Target="http://www2.mst.dk/udgiv/publications/2008/978-87-7052-845-0/pdf/978-87-7052-846-7.pdf" TargetMode="External"/><Relationship Id="rId83" Type="http://schemas.openxmlformats.org/officeDocument/2006/relationships/image" Target="media/image30.jpeg"/><Relationship Id="rId88" Type="http://schemas.openxmlformats.org/officeDocument/2006/relationships/hyperlink" Target="http://www.dioxin20xx.org/pdfs/2011/4511.pdf" TargetMode="External"/><Relationship Id="rId91" Type="http://schemas.openxmlformats.org/officeDocument/2006/relationships/hyperlink" Target="http://pubs.acs.org/doi/full/10.1021/es2007462" TargetMode="External"/><Relationship Id="rId96" Type="http://schemas.openxmlformats.org/officeDocument/2006/relationships/hyperlink" Target="http://www.env.go.jp/en/chemi/bat/BAT_first_report1.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youtube.com/watch?feature=player_embedded&amp;v=Rcjgq8HTMxs" TargetMode="External"/><Relationship Id="rId23" Type="http://schemas.openxmlformats.org/officeDocument/2006/relationships/image" Target="media/image7.emf"/><Relationship Id="rId28" Type="http://schemas.openxmlformats.org/officeDocument/2006/relationships/hyperlink" Target="http://www.dioxin20xx.org/pdfs/2009/09-454.pdf" TargetMode="External"/><Relationship Id="rId36" Type="http://schemas.openxmlformats.org/officeDocument/2006/relationships/hyperlink" Target="http://pubs.acs.org/doi/pdf/10.1021/es2007462" TargetMode="External"/><Relationship Id="rId49" Type="http://schemas.openxmlformats.org/officeDocument/2006/relationships/hyperlink" Target="http://en.wikipedia.org/wiki/File:BDE-100.svg" TargetMode="External"/><Relationship Id="rId57" Type="http://schemas.openxmlformats.org/officeDocument/2006/relationships/hyperlink" Target="http://en.wikipedia.org/wiki/File:BDE-180.svg" TargetMode="External"/><Relationship Id="rId10" Type="http://schemas.openxmlformats.org/officeDocument/2006/relationships/image" Target="media/image3.emf"/><Relationship Id="rId31" Type="http://schemas.openxmlformats.org/officeDocument/2006/relationships/hyperlink" Target="http://www.dioxin20xx.org/pdfs/2011/5002.pdf" TargetMode="External"/><Relationship Id="rId44" Type="http://schemas.openxmlformats.org/officeDocument/2006/relationships/image" Target="media/image10.png"/><Relationship Id="rId52" Type="http://schemas.openxmlformats.org/officeDocument/2006/relationships/image" Target="media/image14.png"/><Relationship Id="rId60" Type="http://schemas.openxmlformats.org/officeDocument/2006/relationships/image" Target="media/image18.png"/><Relationship Id="rId65" Type="http://schemas.openxmlformats.org/officeDocument/2006/relationships/hyperlink" Target="http://en.wikipedia.org/wiki/File:BDE-206.svg" TargetMode="External"/><Relationship Id="rId73" Type="http://schemas.openxmlformats.org/officeDocument/2006/relationships/image" Target="media/image28.emf"/><Relationship Id="rId78" Type="http://schemas.openxmlformats.org/officeDocument/2006/relationships/hyperlink" Target="http://www.dioxin20xx.org/pdfs/2011/1909.pdf" TargetMode="External"/><Relationship Id="rId81" Type="http://schemas.openxmlformats.org/officeDocument/2006/relationships/hyperlink" Target="http://www.dioxin20xx.org/pdfs/2012/1338.pdf" TargetMode="External"/><Relationship Id="rId86" Type="http://schemas.openxmlformats.org/officeDocument/2006/relationships/image" Target="media/image33.jpeg"/><Relationship Id="rId94" Type="http://schemas.openxmlformats.org/officeDocument/2006/relationships/hyperlink" Target="http://www.env.go.jp/en/chemi/bat/BAT_first_report1.pdf" TargetMode="External"/><Relationship Id="rId99" Type="http://schemas.openxmlformats.org/officeDocument/2006/relationships/header" Target="header2.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www.youtube.com/watch?feature=player_embedded&amp;v=Rcjgq8HTMxs" TargetMode="External"/><Relationship Id="rId18" Type="http://schemas.openxmlformats.org/officeDocument/2006/relationships/hyperlink" Target="http://www.niton.com/RoHS-Compliance-Hi-Rel.aspx?sflang=de" TargetMode="External"/><Relationship Id="rId39" Type="http://schemas.openxmlformats.org/officeDocument/2006/relationships/hyperlink" Target="http://ochanet.unocha.org/p/Documents/UN-EC%20Technical%20Scoping%20Mission%20-%20Kalush%20(16Apr10).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dioxin20xx.org/pdfs/2011/5002.pdf" TargetMode="External"/><Relationship Id="rId13" Type="http://schemas.openxmlformats.org/officeDocument/2006/relationships/hyperlink" Target="http://www.epa.gov/region4/water/PFCindex.html" TargetMode="External"/><Relationship Id="rId18" Type="http://schemas.openxmlformats.org/officeDocument/2006/relationships/hyperlink" Target="http://www.dioxin20xx.org/pdfs/2011/5002.pdf" TargetMode="External"/><Relationship Id="rId26" Type="http://schemas.openxmlformats.org/officeDocument/2006/relationships/hyperlink" Target="http://ewasteguide.info/files/Waeger_2010_Empa-WEEEForum.pdf" TargetMode="External"/><Relationship Id="rId3" Type="http://schemas.openxmlformats.org/officeDocument/2006/relationships/hyperlink" Target="http://www.epa.gov/microbes/documents/Method%20537_FINAL_rev1.1.pdf" TargetMode="External"/><Relationship Id="rId21" Type="http://schemas.openxmlformats.org/officeDocument/2006/relationships/hyperlink" Target="http://www.dioxin20xx.org/pdfs/2011/0805.pdf" TargetMode="External"/><Relationship Id="rId34" Type="http://schemas.openxmlformats.org/officeDocument/2006/relationships/hyperlink" Target="http://www.dioxin20xx.org/pdfs/2012/1368.pdf" TargetMode="External"/><Relationship Id="rId7" Type="http://schemas.openxmlformats.org/officeDocument/2006/relationships/hyperlink" Target="http://www.dioxin20xx.org/pdfs/2009/09-454.pdf" TargetMode="External"/><Relationship Id="rId12" Type="http://schemas.openxmlformats.org/officeDocument/2006/relationships/hyperlink" Target="http://www.springerlink.com/content/k1635458q81135h2/fulltext.pdf" TargetMode="External"/><Relationship Id="rId17" Type="http://schemas.openxmlformats.org/officeDocument/2006/relationships/hyperlink" Target="http://chm.pops.int/Convention/POPsReviewCommittee/POPRCMeetings/POPRC6/POPRC6Documents/tabid/783/Default.aspx" TargetMode="External"/><Relationship Id="rId25" Type="http://schemas.openxmlformats.org/officeDocument/2006/relationships/hyperlink" Target="http://www.science.uva.nl/sites/perfood/images/stories/docman/issue%202%20incl%20jana%202011.pdf" TargetMode="External"/><Relationship Id="rId33" Type="http://schemas.openxmlformats.org/officeDocument/2006/relationships/hyperlink" Target="http://pubs.acs.org/doi/pdfplus/10.1021/es2007462" TargetMode="External"/><Relationship Id="rId2" Type="http://schemas.openxmlformats.org/officeDocument/2006/relationships/hyperlink" Target="http://www.evs.ee/preview/cen-ts-15968-2010-en.pdf" TargetMode="External"/><Relationship Id="rId16" Type="http://schemas.openxmlformats.org/officeDocument/2006/relationships/hyperlink" Target="http://www.meriresearch.org/Portals/0/Documents/01-REH%2025(4)2010%20SHAW%20FINAL%20printed.pdf" TargetMode="External"/><Relationship Id="rId20" Type="http://schemas.openxmlformats.org/officeDocument/2006/relationships/hyperlink" Target="http://www.norden.org/en/publications/publikationer/2005-568/at_download/publicationfile" TargetMode="External"/><Relationship Id="rId29" Type="http://schemas.openxmlformats.org/officeDocument/2006/relationships/hyperlink" Target="http://www.dioxin20xx.org/pdfs/2011/1909.pdf" TargetMode="External"/><Relationship Id="rId1" Type="http://schemas.openxmlformats.org/officeDocument/2006/relationships/hyperlink" Target="http://www.ivv.fraunhofer.de/no_html/gf3_29.pdf" TargetMode="External"/><Relationship Id="rId6" Type="http://schemas.openxmlformats.org/officeDocument/2006/relationships/hyperlink" Target="http://www2.shimadzu.com/applications/gcms/Appl_GCMS_PBDE_07C_070_en.pdf" TargetMode="External"/><Relationship Id="rId11" Type="http://schemas.openxmlformats.org/officeDocument/2006/relationships/hyperlink" Target="http://www.dioxin20xx.org/pdfs/2010/10-1507.pdf" TargetMode="External"/><Relationship Id="rId24" Type="http://schemas.openxmlformats.org/officeDocument/2006/relationships/hyperlink" Target="http://www.klif.no/publikasjoner/2578/ta2578.pdf" TargetMode="External"/><Relationship Id="rId32" Type="http://schemas.openxmlformats.org/officeDocument/2006/relationships/hyperlink" Target="http://www.dioxin20xx.org/pdfs/2011/4511.pdf" TargetMode="External"/><Relationship Id="rId5" Type="http://schemas.openxmlformats.org/officeDocument/2006/relationships/hyperlink" Target="http://water.epa.gov/scitech/methods/cwa/bioindicators/upload/2007_09_11_methods_method_1614.pdf" TargetMode="External"/><Relationship Id="rId15" Type="http://schemas.openxmlformats.org/officeDocument/2006/relationships/hyperlink" Target="http://chm.pops.int/Convention/POPsReviewCommittee/POPRCMeetings/POPRC6/POPRC6Documents/tabid/783/Default.aspx" TargetMode="External"/><Relationship Id="rId23" Type="http://schemas.openxmlformats.org/officeDocument/2006/relationships/hyperlink" Target="http://www.oecd.org/env/48125746.pdf" TargetMode="External"/><Relationship Id="rId28" Type="http://schemas.openxmlformats.org/officeDocument/2006/relationships/hyperlink" Target="http://www.dioxin20xx.org/pdfs/2011/1909.pdf" TargetMode="External"/><Relationship Id="rId10" Type="http://schemas.openxmlformats.org/officeDocument/2006/relationships/hyperlink" Target="http://www.springerlink.com/content/k1635458q81135h2/fulltext.pdf" TargetMode="External"/><Relationship Id="rId19" Type="http://schemas.openxmlformats.org/officeDocument/2006/relationships/hyperlink" Target="http://www.dioxin20xx.org/pdfs/2005/05-498.pdf" TargetMode="External"/><Relationship Id="rId31" Type="http://schemas.openxmlformats.org/officeDocument/2006/relationships/hyperlink" Target="http://www.dioxin20xx.org/pdfs/2011/3101.pdf" TargetMode="External"/><Relationship Id="rId4" Type="http://schemas.openxmlformats.org/officeDocument/2006/relationships/hyperlink" Target="http://ewasteguide.info/files/Waeger_2010_Empa%20%20WEEEForum.pdf" TargetMode="External"/><Relationship Id="rId9" Type="http://schemas.openxmlformats.org/officeDocument/2006/relationships/hyperlink" Target="http://www.epa.gov/osw/hazard/testmethods/sw846/pdfs/8290a.pdf" TargetMode="External"/><Relationship Id="rId14" Type="http://schemas.openxmlformats.org/officeDocument/2006/relationships/hyperlink" Target="http://www.dioxin20xx.org/pdfs/2007/07-634.pdf" TargetMode="External"/><Relationship Id="rId22" Type="http://schemas.openxmlformats.org/officeDocument/2006/relationships/hyperlink" Target="http://www.dioxin20xx.org/pdfs/2011/4702.pdf" TargetMode="External"/><Relationship Id="rId27" Type="http://schemas.openxmlformats.org/officeDocument/2006/relationships/hyperlink" Target="http://ewasteguide.info/files/Waeger_2010_Empa-WEEEForum.pdf" TargetMode="External"/><Relationship Id="rId30" Type="http://schemas.openxmlformats.org/officeDocument/2006/relationships/hyperlink" Target="http://www.bfr2010.com/abstract-download/2010/9000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30248</Words>
  <Characters>172414</Characters>
  <Application>Microsoft Office Word</Application>
  <DocSecurity>0</DocSecurity>
  <Lines>1436</Lines>
  <Paragraphs>404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Introduction</vt:lpstr>
      <vt:lpstr>Introduction</vt:lpstr>
    </vt:vector>
  </TitlesOfParts>
  <Company>Civil Engineering</Company>
  <LinksUpToDate>false</LinksUpToDate>
  <CharactersWithSpaces>202258</CharactersWithSpaces>
  <SharedDoc>false</SharedDoc>
  <HLinks>
    <vt:vector size="1506" baseType="variant">
      <vt:variant>
        <vt:i4>5636121</vt:i4>
      </vt:variant>
      <vt:variant>
        <vt:i4>1122</vt:i4>
      </vt:variant>
      <vt:variant>
        <vt:i4>0</vt:i4>
      </vt:variant>
      <vt:variant>
        <vt:i4>5</vt:i4>
      </vt:variant>
      <vt:variant>
        <vt:lpwstr>http://www.dioxin20xx.org/pdfs/2012/1368.pdf</vt:lpwstr>
      </vt:variant>
      <vt:variant>
        <vt:lpwstr/>
      </vt:variant>
      <vt:variant>
        <vt:i4>6291562</vt:i4>
      </vt:variant>
      <vt:variant>
        <vt:i4>1119</vt:i4>
      </vt:variant>
      <vt:variant>
        <vt:i4>0</vt:i4>
      </vt:variant>
      <vt:variant>
        <vt:i4>5</vt:i4>
      </vt:variant>
      <vt:variant>
        <vt:lpwstr>http://www.env.go.jp/en/chemi/bat/BAT_first_report1.pdf</vt:lpwstr>
      </vt:variant>
      <vt:variant>
        <vt:lpwstr/>
      </vt:variant>
      <vt:variant>
        <vt:i4>5832826</vt:i4>
      </vt:variant>
      <vt:variant>
        <vt:i4>1116</vt:i4>
      </vt:variant>
      <vt:variant>
        <vt:i4>0</vt:i4>
      </vt:variant>
      <vt:variant>
        <vt:i4>5</vt:i4>
      </vt:variant>
      <vt:variant>
        <vt:lpwstr>http://www.meti.go.jp/english/report/downloadfiles/BATReport_2nd.pdf</vt:lpwstr>
      </vt:variant>
      <vt:variant>
        <vt:lpwstr/>
      </vt:variant>
      <vt:variant>
        <vt:i4>6291562</vt:i4>
      </vt:variant>
      <vt:variant>
        <vt:i4>1113</vt:i4>
      </vt:variant>
      <vt:variant>
        <vt:i4>0</vt:i4>
      </vt:variant>
      <vt:variant>
        <vt:i4>5</vt:i4>
      </vt:variant>
      <vt:variant>
        <vt:lpwstr>http://www.env.go.jp/en/chemi/bat/BAT_first_report1.pdf</vt:lpwstr>
      </vt:variant>
      <vt:variant>
        <vt:lpwstr/>
      </vt:variant>
      <vt:variant>
        <vt:i4>5832826</vt:i4>
      </vt:variant>
      <vt:variant>
        <vt:i4>1110</vt:i4>
      </vt:variant>
      <vt:variant>
        <vt:i4>0</vt:i4>
      </vt:variant>
      <vt:variant>
        <vt:i4>5</vt:i4>
      </vt:variant>
      <vt:variant>
        <vt:lpwstr>http://www.meti.go.jp/english/report/downloadfiles/BATReport_2nd.pdf</vt:lpwstr>
      </vt:variant>
      <vt:variant>
        <vt:lpwstr/>
      </vt:variant>
      <vt:variant>
        <vt:i4>6291562</vt:i4>
      </vt:variant>
      <vt:variant>
        <vt:i4>1107</vt:i4>
      </vt:variant>
      <vt:variant>
        <vt:i4>0</vt:i4>
      </vt:variant>
      <vt:variant>
        <vt:i4>5</vt:i4>
      </vt:variant>
      <vt:variant>
        <vt:lpwstr>http://www.env.go.jp/en/chemi/bat/BAT_first_report1.pdf</vt:lpwstr>
      </vt:variant>
      <vt:variant>
        <vt:lpwstr/>
      </vt:variant>
      <vt:variant>
        <vt:i4>2162787</vt:i4>
      </vt:variant>
      <vt:variant>
        <vt:i4>1104</vt:i4>
      </vt:variant>
      <vt:variant>
        <vt:i4>0</vt:i4>
      </vt:variant>
      <vt:variant>
        <vt:i4>5</vt:i4>
      </vt:variant>
      <vt:variant>
        <vt:lpwstr>http://pubs.acs.org/doi/full/10.1021/es2007462</vt:lpwstr>
      </vt:variant>
      <vt:variant>
        <vt:lpwstr/>
      </vt:variant>
      <vt:variant>
        <vt:i4>2162787</vt:i4>
      </vt:variant>
      <vt:variant>
        <vt:i4>1101</vt:i4>
      </vt:variant>
      <vt:variant>
        <vt:i4>0</vt:i4>
      </vt:variant>
      <vt:variant>
        <vt:i4>5</vt:i4>
      </vt:variant>
      <vt:variant>
        <vt:lpwstr>http://pubs.acs.org/doi/full/10.1021/es2007462</vt:lpwstr>
      </vt:variant>
      <vt:variant>
        <vt:lpwstr/>
      </vt:variant>
      <vt:variant>
        <vt:i4>5832728</vt:i4>
      </vt:variant>
      <vt:variant>
        <vt:i4>1098</vt:i4>
      </vt:variant>
      <vt:variant>
        <vt:i4>0</vt:i4>
      </vt:variant>
      <vt:variant>
        <vt:i4>5</vt:i4>
      </vt:variant>
      <vt:variant>
        <vt:lpwstr>http://www.dioxin20xx.org/pdfs/2011/4511.pdf</vt:lpwstr>
      </vt:variant>
      <vt:variant>
        <vt:lpwstr/>
      </vt:variant>
      <vt:variant>
        <vt:i4>5832728</vt:i4>
      </vt:variant>
      <vt:variant>
        <vt:i4>1095</vt:i4>
      </vt:variant>
      <vt:variant>
        <vt:i4>0</vt:i4>
      </vt:variant>
      <vt:variant>
        <vt:i4>5</vt:i4>
      </vt:variant>
      <vt:variant>
        <vt:lpwstr>http://www.dioxin20xx.org/pdfs/2011/4511.pdf</vt:lpwstr>
      </vt:variant>
      <vt:variant>
        <vt:lpwstr/>
      </vt:variant>
      <vt:variant>
        <vt:i4>7798820</vt:i4>
      </vt:variant>
      <vt:variant>
        <vt:i4>1092</vt:i4>
      </vt:variant>
      <vt:variant>
        <vt:i4>0</vt:i4>
      </vt:variant>
      <vt:variant>
        <vt:i4>5</vt:i4>
      </vt:variant>
      <vt:variant>
        <vt:lpwstr>http://www.bfr2010.com/abstract-download/2010/90004.pdf</vt:lpwstr>
      </vt:variant>
      <vt:variant>
        <vt:lpwstr/>
      </vt:variant>
      <vt:variant>
        <vt:i4>5636124</vt:i4>
      </vt:variant>
      <vt:variant>
        <vt:i4>1089</vt:i4>
      </vt:variant>
      <vt:variant>
        <vt:i4>0</vt:i4>
      </vt:variant>
      <vt:variant>
        <vt:i4>5</vt:i4>
      </vt:variant>
      <vt:variant>
        <vt:lpwstr>http://www.dioxin20xx.org/pdfs/2012/1338.pdf</vt:lpwstr>
      </vt:variant>
      <vt:variant>
        <vt:lpwstr/>
      </vt:variant>
      <vt:variant>
        <vt:i4>6094876</vt:i4>
      </vt:variant>
      <vt:variant>
        <vt:i4>1086</vt:i4>
      </vt:variant>
      <vt:variant>
        <vt:i4>0</vt:i4>
      </vt:variant>
      <vt:variant>
        <vt:i4>5</vt:i4>
      </vt:variant>
      <vt:variant>
        <vt:lpwstr>http://www.dioxin20xx.org/pdfs/2011/1909.pdf</vt:lpwstr>
      </vt:variant>
      <vt:variant>
        <vt:lpwstr/>
      </vt:variant>
      <vt:variant>
        <vt:i4>5636124</vt:i4>
      </vt:variant>
      <vt:variant>
        <vt:i4>1083</vt:i4>
      </vt:variant>
      <vt:variant>
        <vt:i4>0</vt:i4>
      </vt:variant>
      <vt:variant>
        <vt:i4>5</vt:i4>
      </vt:variant>
      <vt:variant>
        <vt:lpwstr>http://www.dioxin20xx.org/pdfs/2012/1338.pdf</vt:lpwstr>
      </vt:variant>
      <vt:variant>
        <vt:lpwstr/>
      </vt:variant>
      <vt:variant>
        <vt:i4>6094876</vt:i4>
      </vt:variant>
      <vt:variant>
        <vt:i4>1080</vt:i4>
      </vt:variant>
      <vt:variant>
        <vt:i4>0</vt:i4>
      </vt:variant>
      <vt:variant>
        <vt:i4>5</vt:i4>
      </vt:variant>
      <vt:variant>
        <vt:lpwstr>http://www.dioxin20xx.org/pdfs/2011/1909.pdf</vt:lpwstr>
      </vt:variant>
      <vt:variant>
        <vt:lpwstr/>
      </vt:variant>
      <vt:variant>
        <vt:i4>6946927</vt:i4>
      </vt:variant>
      <vt:variant>
        <vt:i4>1077</vt:i4>
      </vt:variant>
      <vt:variant>
        <vt:i4>0</vt:i4>
      </vt:variant>
      <vt:variant>
        <vt:i4>5</vt:i4>
      </vt:variant>
      <vt:variant>
        <vt:lpwstr>http://ewasteguide.info/files/Waeger_2010_Empa-WEEEForum.pdf</vt:lpwstr>
      </vt:variant>
      <vt:variant>
        <vt:lpwstr/>
      </vt:variant>
      <vt:variant>
        <vt:i4>6946927</vt:i4>
      </vt:variant>
      <vt:variant>
        <vt:i4>1074</vt:i4>
      </vt:variant>
      <vt:variant>
        <vt:i4>0</vt:i4>
      </vt:variant>
      <vt:variant>
        <vt:i4>5</vt:i4>
      </vt:variant>
      <vt:variant>
        <vt:lpwstr>http://ewasteguide.info/files/Waeger_2010_Empa-WEEEForum.pdf</vt:lpwstr>
      </vt:variant>
      <vt:variant>
        <vt:lpwstr/>
      </vt:variant>
      <vt:variant>
        <vt:i4>6881325</vt:i4>
      </vt:variant>
      <vt:variant>
        <vt:i4>1071</vt:i4>
      </vt:variant>
      <vt:variant>
        <vt:i4>0</vt:i4>
      </vt:variant>
      <vt:variant>
        <vt:i4>5</vt:i4>
      </vt:variant>
      <vt:variant>
        <vt:lpwstr>http://www2.mst.dk/udgiv/publications/2008/978-87-7052-845-0/pdf/978-87-7052-846-7.pdf</vt:lpwstr>
      </vt:variant>
      <vt:variant>
        <vt:lpwstr/>
      </vt:variant>
      <vt:variant>
        <vt:i4>6815847</vt:i4>
      </vt:variant>
      <vt:variant>
        <vt:i4>1068</vt:i4>
      </vt:variant>
      <vt:variant>
        <vt:i4>0</vt:i4>
      </vt:variant>
      <vt:variant>
        <vt:i4>5</vt:i4>
      </vt:variant>
      <vt:variant>
        <vt:lpwstr>http://www.perfood.eu/</vt:lpwstr>
      </vt:variant>
      <vt:variant>
        <vt:lpwstr/>
      </vt:variant>
      <vt:variant>
        <vt:i4>917577</vt:i4>
      </vt:variant>
      <vt:variant>
        <vt:i4>1065</vt:i4>
      </vt:variant>
      <vt:variant>
        <vt:i4>0</vt:i4>
      </vt:variant>
      <vt:variant>
        <vt:i4>5</vt:i4>
      </vt:variant>
      <vt:variant>
        <vt:lpwstr>http://en.wikipedia.org/wiki/File:BDE-206.svg</vt:lpwstr>
      </vt:variant>
      <vt:variant>
        <vt:lpwstr/>
      </vt:variant>
      <vt:variant>
        <vt:i4>458827</vt:i4>
      </vt:variant>
      <vt:variant>
        <vt:i4>1062</vt:i4>
      </vt:variant>
      <vt:variant>
        <vt:i4>0</vt:i4>
      </vt:variant>
      <vt:variant>
        <vt:i4>5</vt:i4>
      </vt:variant>
      <vt:variant>
        <vt:lpwstr>http://en.wikipedia.org/wiki/File:BDE-197.svg</vt:lpwstr>
      </vt:variant>
      <vt:variant>
        <vt:lpwstr/>
      </vt:variant>
      <vt:variant>
        <vt:i4>458826</vt:i4>
      </vt:variant>
      <vt:variant>
        <vt:i4>1059</vt:i4>
      </vt:variant>
      <vt:variant>
        <vt:i4>0</vt:i4>
      </vt:variant>
      <vt:variant>
        <vt:i4>5</vt:i4>
      </vt:variant>
      <vt:variant>
        <vt:lpwstr>http://en.wikipedia.org/wiki/File:BDE-196.svg</vt:lpwstr>
      </vt:variant>
      <vt:variant>
        <vt:lpwstr/>
      </vt:variant>
      <vt:variant>
        <vt:i4>393295</vt:i4>
      </vt:variant>
      <vt:variant>
        <vt:i4>1056</vt:i4>
      </vt:variant>
      <vt:variant>
        <vt:i4>0</vt:i4>
      </vt:variant>
      <vt:variant>
        <vt:i4>5</vt:i4>
      </vt:variant>
      <vt:variant>
        <vt:lpwstr>http://en.wikipedia.org/wiki/File:BDE-183.svg</vt:lpwstr>
      </vt:variant>
      <vt:variant>
        <vt:lpwstr/>
      </vt:variant>
      <vt:variant>
        <vt:i4>393292</vt:i4>
      </vt:variant>
      <vt:variant>
        <vt:i4>1053</vt:i4>
      </vt:variant>
      <vt:variant>
        <vt:i4>0</vt:i4>
      </vt:variant>
      <vt:variant>
        <vt:i4>5</vt:i4>
      </vt:variant>
      <vt:variant>
        <vt:lpwstr>http://en.wikipedia.org/wiki/File:BDE-180.svg</vt:lpwstr>
      </vt:variant>
      <vt:variant>
        <vt:lpwstr/>
      </vt:variant>
      <vt:variant>
        <vt:i4>589901</vt:i4>
      </vt:variant>
      <vt:variant>
        <vt:i4>1050</vt:i4>
      </vt:variant>
      <vt:variant>
        <vt:i4>0</vt:i4>
      </vt:variant>
      <vt:variant>
        <vt:i4>5</vt:i4>
      </vt:variant>
      <vt:variant>
        <vt:lpwstr>http://en.wikipedia.org/wiki/File:BDE-171.svg</vt:lpwstr>
      </vt:variant>
      <vt:variant>
        <vt:lpwstr/>
      </vt:variant>
      <vt:variant>
        <vt:i4>720968</vt:i4>
      </vt:variant>
      <vt:variant>
        <vt:i4>1047</vt:i4>
      </vt:variant>
      <vt:variant>
        <vt:i4>0</vt:i4>
      </vt:variant>
      <vt:variant>
        <vt:i4>5</vt:i4>
      </vt:variant>
      <vt:variant>
        <vt:lpwstr>http://en.wikipedia.org/wiki/File:BDE-154.svg</vt:lpwstr>
      </vt:variant>
      <vt:variant>
        <vt:lpwstr/>
      </vt:variant>
      <vt:variant>
        <vt:i4>720975</vt:i4>
      </vt:variant>
      <vt:variant>
        <vt:i4>1044</vt:i4>
      </vt:variant>
      <vt:variant>
        <vt:i4>0</vt:i4>
      </vt:variant>
      <vt:variant>
        <vt:i4>5</vt:i4>
      </vt:variant>
      <vt:variant>
        <vt:lpwstr>http://en.wikipedia.org/wiki/File:BDE-153.svg</vt:lpwstr>
      </vt:variant>
      <vt:variant>
        <vt:lpwstr/>
      </vt:variant>
      <vt:variant>
        <vt:i4>720968</vt:i4>
      </vt:variant>
      <vt:variant>
        <vt:i4>1041</vt:i4>
      </vt:variant>
      <vt:variant>
        <vt:i4>0</vt:i4>
      </vt:variant>
      <vt:variant>
        <vt:i4>5</vt:i4>
      </vt:variant>
      <vt:variant>
        <vt:lpwstr>http://en.wikipedia.org/wiki/File:BDE-154.svg</vt:lpwstr>
      </vt:variant>
      <vt:variant>
        <vt:lpwstr/>
      </vt:variant>
      <vt:variant>
        <vt:i4>720975</vt:i4>
      </vt:variant>
      <vt:variant>
        <vt:i4>1038</vt:i4>
      </vt:variant>
      <vt:variant>
        <vt:i4>0</vt:i4>
      </vt:variant>
      <vt:variant>
        <vt:i4>5</vt:i4>
      </vt:variant>
      <vt:variant>
        <vt:lpwstr>http://en.wikipedia.org/wiki/File:BDE-153.svg</vt:lpwstr>
      </vt:variant>
      <vt:variant>
        <vt:lpwstr/>
      </vt:variant>
      <vt:variant>
        <vt:i4>917580</vt:i4>
      </vt:variant>
      <vt:variant>
        <vt:i4>1035</vt:i4>
      </vt:variant>
      <vt:variant>
        <vt:i4>0</vt:i4>
      </vt:variant>
      <vt:variant>
        <vt:i4>5</vt:i4>
      </vt:variant>
      <vt:variant>
        <vt:lpwstr>http://en.wikipedia.org/wiki/File:BDE-100.svg</vt:lpwstr>
      </vt:variant>
      <vt:variant>
        <vt:lpwstr/>
      </vt:variant>
      <vt:variant>
        <vt:i4>4915295</vt:i4>
      </vt:variant>
      <vt:variant>
        <vt:i4>1032</vt:i4>
      </vt:variant>
      <vt:variant>
        <vt:i4>0</vt:i4>
      </vt:variant>
      <vt:variant>
        <vt:i4>5</vt:i4>
      </vt:variant>
      <vt:variant>
        <vt:lpwstr>http://en.wikipedia.org/wiki/File:BDE-99.svg</vt:lpwstr>
      </vt:variant>
      <vt:variant>
        <vt:lpwstr/>
      </vt:variant>
      <vt:variant>
        <vt:i4>4653150</vt:i4>
      </vt:variant>
      <vt:variant>
        <vt:i4>1029</vt:i4>
      </vt:variant>
      <vt:variant>
        <vt:i4>0</vt:i4>
      </vt:variant>
      <vt:variant>
        <vt:i4>5</vt:i4>
      </vt:variant>
      <vt:variant>
        <vt:lpwstr>http://en.wikipedia.org/wiki/File:BDE-85.svg</vt:lpwstr>
      </vt:variant>
      <vt:variant>
        <vt:lpwstr/>
      </vt:variant>
      <vt:variant>
        <vt:i4>4522066</vt:i4>
      </vt:variant>
      <vt:variant>
        <vt:i4>1026</vt:i4>
      </vt:variant>
      <vt:variant>
        <vt:i4>0</vt:i4>
      </vt:variant>
      <vt:variant>
        <vt:i4>5</vt:i4>
      </vt:variant>
      <vt:variant>
        <vt:lpwstr>http://en.wikipedia.org/wiki/File:BDE-47.svg</vt:lpwstr>
      </vt:variant>
      <vt:variant>
        <vt:lpwstr/>
      </vt:variant>
      <vt:variant>
        <vt:i4>6619197</vt:i4>
      </vt:variant>
      <vt:variant>
        <vt:i4>1023</vt:i4>
      </vt:variant>
      <vt:variant>
        <vt:i4>0</vt:i4>
      </vt:variant>
      <vt:variant>
        <vt:i4>5</vt:i4>
      </vt:variant>
      <vt:variant>
        <vt:lpwstr>http://www.dioxin20xx.org/pdfs/2005/05-498.pdf</vt:lpwstr>
      </vt:variant>
      <vt:variant>
        <vt:lpwstr/>
      </vt:variant>
      <vt:variant>
        <vt:i4>6225944</vt:i4>
      </vt:variant>
      <vt:variant>
        <vt:i4>1020</vt:i4>
      </vt:variant>
      <vt:variant>
        <vt:i4>0</vt:i4>
      </vt:variant>
      <vt:variant>
        <vt:i4>5</vt:i4>
      </vt:variant>
      <vt:variant>
        <vt:lpwstr>http://www.dioxin20xx.org/pdfs/2011/5002.pdf</vt:lpwstr>
      </vt:variant>
      <vt:variant>
        <vt:lpwstr/>
      </vt:variant>
      <vt:variant>
        <vt:i4>393284</vt:i4>
      </vt:variant>
      <vt:variant>
        <vt:i4>1017</vt:i4>
      </vt:variant>
      <vt:variant>
        <vt:i4>0</vt:i4>
      </vt:variant>
      <vt:variant>
        <vt:i4>5</vt:i4>
      </vt:variant>
      <vt:variant>
        <vt:lpwstr>http://ochanet.unocha.org/p/Documents/UN-EC Technical Scoping Mission - Kalush (16Apr10).pdf</vt:lpwstr>
      </vt:variant>
      <vt:variant>
        <vt:lpwstr/>
      </vt:variant>
      <vt:variant>
        <vt:i4>5832826</vt:i4>
      </vt:variant>
      <vt:variant>
        <vt:i4>1014</vt:i4>
      </vt:variant>
      <vt:variant>
        <vt:i4>0</vt:i4>
      </vt:variant>
      <vt:variant>
        <vt:i4>5</vt:i4>
      </vt:variant>
      <vt:variant>
        <vt:lpwstr>http://www.meti.go.jp/english/report/downloadfiles/BATReport_2nd.pdf</vt:lpwstr>
      </vt:variant>
      <vt:variant>
        <vt:lpwstr/>
      </vt:variant>
      <vt:variant>
        <vt:i4>6291562</vt:i4>
      </vt:variant>
      <vt:variant>
        <vt:i4>1011</vt:i4>
      </vt:variant>
      <vt:variant>
        <vt:i4>0</vt:i4>
      </vt:variant>
      <vt:variant>
        <vt:i4>5</vt:i4>
      </vt:variant>
      <vt:variant>
        <vt:lpwstr>http://www.env.go.jp/en/chemi/bat/BAT_first_report1.pdf</vt:lpwstr>
      </vt:variant>
      <vt:variant>
        <vt:lpwstr/>
      </vt:variant>
      <vt:variant>
        <vt:i4>5374019</vt:i4>
      </vt:variant>
      <vt:variant>
        <vt:i4>1008</vt:i4>
      </vt:variant>
      <vt:variant>
        <vt:i4>0</vt:i4>
      </vt:variant>
      <vt:variant>
        <vt:i4>5</vt:i4>
      </vt:variant>
      <vt:variant>
        <vt:lpwstr>http://pubs.acs.org/doi/pdf/10.1021/es2007462</vt:lpwstr>
      </vt:variant>
      <vt:variant>
        <vt:lpwstr/>
      </vt:variant>
      <vt:variant>
        <vt:i4>1179722</vt:i4>
      </vt:variant>
      <vt:variant>
        <vt:i4>1005</vt:i4>
      </vt:variant>
      <vt:variant>
        <vt:i4>0</vt:i4>
      </vt:variant>
      <vt:variant>
        <vt:i4>5</vt:i4>
      </vt:variant>
      <vt:variant>
        <vt:lpwstr>http://www.gesetze-im-internet.de/bundesrecht/d_mv_2008/gesamt.pdf</vt:lpwstr>
      </vt:variant>
      <vt:variant>
        <vt:lpwstr/>
      </vt:variant>
      <vt:variant>
        <vt:i4>3342456</vt:i4>
      </vt:variant>
      <vt:variant>
        <vt:i4>1002</vt:i4>
      </vt:variant>
      <vt:variant>
        <vt:i4>0</vt:i4>
      </vt:variant>
      <vt:variant>
        <vt:i4>5</vt:i4>
      </vt:variant>
      <vt:variant>
        <vt:lpwstr>http://www.epa.gov/osw/hazard/testmethods/sw846/pdfs/8290a.pdf</vt:lpwstr>
      </vt:variant>
      <vt:variant>
        <vt:lpwstr/>
      </vt:variant>
      <vt:variant>
        <vt:i4>5832826</vt:i4>
      </vt:variant>
      <vt:variant>
        <vt:i4>999</vt:i4>
      </vt:variant>
      <vt:variant>
        <vt:i4>0</vt:i4>
      </vt:variant>
      <vt:variant>
        <vt:i4>5</vt:i4>
      </vt:variant>
      <vt:variant>
        <vt:lpwstr>http://www.meti.go.jp/english/report/downloadfiles/BATReport_2nd.pdf</vt:lpwstr>
      </vt:variant>
      <vt:variant>
        <vt:lpwstr/>
      </vt:variant>
      <vt:variant>
        <vt:i4>6291562</vt:i4>
      </vt:variant>
      <vt:variant>
        <vt:i4>996</vt:i4>
      </vt:variant>
      <vt:variant>
        <vt:i4>0</vt:i4>
      </vt:variant>
      <vt:variant>
        <vt:i4>5</vt:i4>
      </vt:variant>
      <vt:variant>
        <vt:lpwstr>http://www.env.go.jp/en/chemi/bat/BAT_first_report1.pdf</vt:lpwstr>
      </vt:variant>
      <vt:variant>
        <vt:lpwstr/>
      </vt:variant>
      <vt:variant>
        <vt:i4>6225944</vt:i4>
      </vt:variant>
      <vt:variant>
        <vt:i4>993</vt:i4>
      </vt:variant>
      <vt:variant>
        <vt:i4>0</vt:i4>
      </vt:variant>
      <vt:variant>
        <vt:i4>5</vt:i4>
      </vt:variant>
      <vt:variant>
        <vt:lpwstr>http://www.dioxin20xx.org/pdfs/2011/5002.pdf</vt:lpwstr>
      </vt:variant>
      <vt:variant>
        <vt:lpwstr/>
      </vt:variant>
      <vt:variant>
        <vt:i4>5832826</vt:i4>
      </vt:variant>
      <vt:variant>
        <vt:i4>990</vt:i4>
      </vt:variant>
      <vt:variant>
        <vt:i4>0</vt:i4>
      </vt:variant>
      <vt:variant>
        <vt:i4>5</vt:i4>
      </vt:variant>
      <vt:variant>
        <vt:lpwstr>http://www.meti.go.jp/english/report/downloadfiles/BATReport_2nd.pdf</vt:lpwstr>
      </vt:variant>
      <vt:variant>
        <vt:lpwstr/>
      </vt:variant>
      <vt:variant>
        <vt:i4>6291562</vt:i4>
      </vt:variant>
      <vt:variant>
        <vt:i4>987</vt:i4>
      </vt:variant>
      <vt:variant>
        <vt:i4>0</vt:i4>
      </vt:variant>
      <vt:variant>
        <vt:i4>5</vt:i4>
      </vt:variant>
      <vt:variant>
        <vt:lpwstr>http://www.env.go.jp/en/chemi/bat/BAT_first_report1.pdf</vt:lpwstr>
      </vt:variant>
      <vt:variant>
        <vt:lpwstr/>
      </vt:variant>
      <vt:variant>
        <vt:i4>6619197</vt:i4>
      </vt:variant>
      <vt:variant>
        <vt:i4>984</vt:i4>
      </vt:variant>
      <vt:variant>
        <vt:i4>0</vt:i4>
      </vt:variant>
      <vt:variant>
        <vt:i4>5</vt:i4>
      </vt:variant>
      <vt:variant>
        <vt:lpwstr>http://www.dioxin20xx.org/pdfs/2009/09-454.pdf</vt:lpwstr>
      </vt:variant>
      <vt:variant>
        <vt:lpwstr/>
      </vt:variant>
      <vt:variant>
        <vt:i4>4194380</vt:i4>
      </vt:variant>
      <vt:variant>
        <vt:i4>981</vt:i4>
      </vt:variant>
      <vt:variant>
        <vt:i4>0</vt:i4>
      </vt:variant>
      <vt:variant>
        <vt:i4>5</vt:i4>
      </vt:variant>
      <vt:variant>
        <vt:lpwstr>http://toolkit.pops.int/</vt:lpwstr>
      </vt:variant>
      <vt:variant>
        <vt:lpwstr/>
      </vt:variant>
      <vt:variant>
        <vt:i4>8060986</vt:i4>
      </vt:variant>
      <vt:variant>
        <vt:i4>978</vt:i4>
      </vt:variant>
      <vt:variant>
        <vt:i4>0</vt:i4>
      </vt:variant>
      <vt:variant>
        <vt:i4>5</vt:i4>
      </vt:variant>
      <vt:variant>
        <vt:lpwstr>http://www.recetox.muni.cz/res/file/pdf/workshop/BrnoPG1-2.pdf</vt:lpwstr>
      </vt:variant>
      <vt:variant>
        <vt:lpwstr/>
      </vt:variant>
      <vt:variant>
        <vt:i4>1966130</vt:i4>
      </vt:variant>
      <vt:variant>
        <vt:i4>975</vt:i4>
      </vt:variant>
      <vt:variant>
        <vt:i4>0</vt:i4>
      </vt:variant>
      <vt:variant>
        <vt:i4>5</vt:i4>
      </vt:variant>
      <vt:variant>
        <vt:lpwstr>http://water.epa.gov/scitech/methods/cwa/bioindicators/upload/2007_09_11_methods_method_1614.pdf</vt:lpwstr>
      </vt:variant>
      <vt:variant>
        <vt:lpwstr/>
      </vt:variant>
      <vt:variant>
        <vt:i4>393298</vt:i4>
      </vt:variant>
      <vt:variant>
        <vt:i4>972</vt:i4>
      </vt:variant>
      <vt:variant>
        <vt:i4>0</vt:i4>
      </vt:variant>
      <vt:variant>
        <vt:i4>5</vt:i4>
      </vt:variant>
      <vt:variant>
        <vt:lpwstr>http://www.bruker-axs.com/handheldx-rayspectrometry.html</vt:lpwstr>
      </vt:variant>
      <vt:variant>
        <vt:lpwstr/>
      </vt:variant>
      <vt:variant>
        <vt:i4>542048351</vt:i4>
      </vt:variant>
      <vt:variant>
        <vt:i4>969</vt:i4>
      </vt:variant>
      <vt:variant>
        <vt:i4>0</vt:i4>
      </vt:variant>
      <vt:variant>
        <vt:i4>5</vt:i4>
      </vt:variant>
      <vt:variant>
        <vt:lpwstr>../AppData/Documents and Settings/Roland/Application Data/Microsoft/Word/•%09http:/www.olympus-ims.com/en/xrf-xrd/delta-handheld/</vt:lpwstr>
      </vt:variant>
      <vt:variant>
        <vt:lpwstr/>
      </vt:variant>
      <vt:variant>
        <vt:i4>3604532</vt:i4>
      </vt:variant>
      <vt:variant>
        <vt:i4>966</vt:i4>
      </vt:variant>
      <vt:variant>
        <vt:i4>0</vt:i4>
      </vt:variant>
      <vt:variant>
        <vt:i4>5</vt:i4>
      </vt:variant>
      <vt:variant>
        <vt:lpwstr>http://www.niton.com/RoHS-Compliance-Hi-Rel.aspx?sflang=de</vt:lpwstr>
      </vt:variant>
      <vt:variant>
        <vt:lpwstr/>
      </vt:variant>
      <vt:variant>
        <vt:i4>6946927</vt:i4>
      </vt:variant>
      <vt:variant>
        <vt:i4>963</vt:i4>
      </vt:variant>
      <vt:variant>
        <vt:i4>0</vt:i4>
      </vt:variant>
      <vt:variant>
        <vt:i4>5</vt:i4>
      </vt:variant>
      <vt:variant>
        <vt:lpwstr>http://ewasteguide.info/files/Waeger_2010_Empa-WEEEForum.pdf</vt:lpwstr>
      </vt:variant>
      <vt:variant>
        <vt:lpwstr/>
      </vt:variant>
      <vt:variant>
        <vt:i4>983150</vt:i4>
      </vt:variant>
      <vt:variant>
        <vt:i4>960</vt:i4>
      </vt:variant>
      <vt:variant>
        <vt:i4>0</vt:i4>
      </vt:variant>
      <vt:variant>
        <vt:i4>5</vt:i4>
      </vt:variant>
      <vt:variant>
        <vt:lpwstr>http://www.youtube.com/watch?feature=player_embedded&amp;v=Rcjgq8HTMxs</vt:lpwstr>
      </vt:variant>
      <vt:variant>
        <vt:lpwstr/>
      </vt:variant>
      <vt:variant>
        <vt:i4>7143546</vt:i4>
      </vt:variant>
      <vt:variant>
        <vt:i4>957</vt:i4>
      </vt:variant>
      <vt:variant>
        <vt:i4>0</vt:i4>
      </vt:variant>
      <vt:variant>
        <vt:i4>5</vt:i4>
      </vt:variant>
      <vt:variant>
        <vt:lpwstr>http://www.chem.unep.ch/gmn/gmnlabs/default.htm</vt:lpwstr>
      </vt:variant>
      <vt:variant>
        <vt:lpwstr/>
      </vt:variant>
      <vt:variant>
        <vt:i4>983150</vt:i4>
      </vt:variant>
      <vt:variant>
        <vt:i4>954</vt:i4>
      </vt:variant>
      <vt:variant>
        <vt:i4>0</vt:i4>
      </vt:variant>
      <vt:variant>
        <vt:i4>5</vt:i4>
      </vt:variant>
      <vt:variant>
        <vt:lpwstr>http://www.youtube.com/watch?feature=player_embedded&amp;v=Rcjgq8HTMxs</vt:lpwstr>
      </vt:variant>
      <vt:variant>
        <vt:lpwstr/>
      </vt:variant>
      <vt:variant>
        <vt:i4>1638413</vt:i4>
      </vt:variant>
      <vt:variant>
        <vt:i4>951</vt:i4>
      </vt:variant>
      <vt:variant>
        <vt:i4>0</vt:i4>
      </vt:variant>
      <vt:variant>
        <vt:i4>5</vt:i4>
      </vt:variant>
      <vt:variant>
        <vt:lpwstr>http://www.ivv.fraunhofer.de/no_html/gf3_29.pdf</vt:lpwstr>
      </vt:variant>
      <vt:variant>
        <vt:lpwstr/>
      </vt:variant>
      <vt:variant>
        <vt:i4>1638413</vt:i4>
      </vt:variant>
      <vt:variant>
        <vt:i4>948</vt:i4>
      </vt:variant>
      <vt:variant>
        <vt:i4>0</vt:i4>
      </vt:variant>
      <vt:variant>
        <vt:i4>5</vt:i4>
      </vt:variant>
      <vt:variant>
        <vt:lpwstr>http://www.ivv.fraunhofer.de/no_html/gf3_29.pdf</vt:lpwstr>
      </vt:variant>
      <vt:variant>
        <vt:lpwstr/>
      </vt:variant>
      <vt:variant>
        <vt:i4>524292</vt:i4>
      </vt:variant>
      <vt:variant>
        <vt:i4>945</vt:i4>
      </vt:variant>
      <vt:variant>
        <vt:i4>0</vt:i4>
      </vt:variant>
      <vt:variant>
        <vt:i4>5</vt:i4>
      </vt:variant>
      <vt:variant>
        <vt:lpwstr>http://www.oecd.org/env/48125746.pdf</vt:lpwstr>
      </vt:variant>
      <vt:variant>
        <vt:lpwstr/>
      </vt:variant>
      <vt:variant>
        <vt:i4>1048625</vt:i4>
      </vt:variant>
      <vt:variant>
        <vt:i4>938</vt:i4>
      </vt:variant>
      <vt:variant>
        <vt:i4>0</vt:i4>
      </vt:variant>
      <vt:variant>
        <vt:i4>5</vt:i4>
      </vt:variant>
      <vt:variant>
        <vt:lpwstr/>
      </vt:variant>
      <vt:variant>
        <vt:lpwstr>_Toc349335858</vt:lpwstr>
      </vt:variant>
      <vt:variant>
        <vt:i4>1048625</vt:i4>
      </vt:variant>
      <vt:variant>
        <vt:i4>932</vt:i4>
      </vt:variant>
      <vt:variant>
        <vt:i4>0</vt:i4>
      </vt:variant>
      <vt:variant>
        <vt:i4>5</vt:i4>
      </vt:variant>
      <vt:variant>
        <vt:lpwstr/>
      </vt:variant>
      <vt:variant>
        <vt:lpwstr>_Toc349335857</vt:lpwstr>
      </vt:variant>
      <vt:variant>
        <vt:i4>1048625</vt:i4>
      </vt:variant>
      <vt:variant>
        <vt:i4>926</vt:i4>
      </vt:variant>
      <vt:variant>
        <vt:i4>0</vt:i4>
      </vt:variant>
      <vt:variant>
        <vt:i4>5</vt:i4>
      </vt:variant>
      <vt:variant>
        <vt:lpwstr/>
      </vt:variant>
      <vt:variant>
        <vt:lpwstr>_Toc349335856</vt:lpwstr>
      </vt:variant>
      <vt:variant>
        <vt:i4>1048625</vt:i4>
      </vt:variant>
      <vt:variant>
        <vt:i4>920</vt:i4>
      </vt:variant>
      <vt:variant>
        <vt:i4>0</vt:i4>
      </vt:variant>
      <vt:variant>
        <vt:i4>5</vt:i4>
      </vt:variant>
      <vt:variant>
        <vt:lpwstr/>
      </vt:variant>
      <vt:variant>
        <vt:lpwstr>_Toc349335855</vt:lpwstr>
      </vt:variant>
      <vt:variant>
        <vt:i4>1048625</vt:i4>
      </vt:variant>
      <vt:variant>
        <vt:i4>914</vt:i4>
      </vt:variant>
      <vt:variant>
        <vt:i4>0</vt:i4>
      </vt:variant>
      <vt:variant>
        <vt:i4>5</vt:i4>
      </vt:variant>
      <vt:variant>
        <vt:lpwstr/>
      </vt:variant>
      <vt:variant>
        <vt:lpwstr>_Toc349335854</vt:lpwstr>
      </vt:variant>
      <vt:variant>
        <vt:i4>1048625</vt:i4>
      </vt:variant>
      <vt:variant>
        <vt:i4>908</vt:i4>
      </vt:variant>
      <vt:variant>
        <vt:i4>0</vt:i4>
      </vt:variant>
      <vt:variant>
        <vt:i4>5</vt:i4>
      </vt:variant>
      <vt:variant>
        <vt:lpwstr/>
      </vt:variant>
      <vt:variant>
        <vt:lpwstr>_Toc349335853</vt:lpwstr>
      </vt:variant>
      <vt:variant>
        <vt:i4>1048625</vt:i4>
      </vt:variant>
      <vt:variant>
        <vt:i4>902</vt:i4>
      </vt:variant>
      <vt:variant>
        <vt:i4>0</vt:i4>
      </vt:variant>
      <vt:variant>
        <vt:i4>5</vt:i4>
      </vt:variant>
      <vt:variant>
        <vt:lpwstr/>
      </vt:variant>
      <vt:variant>
        <vt:lpwstr>_Toc349335852</vt:lpwstr>
      </vt:variant>
      <vt:variant>
        <vt:i4>1048625</vt:i4>
      </vt:variant>
      <vt:variant>
        <vt:i4>896</vt:i4>
      </vt:variant>
      <vt:variant>
        <vt:i4>0</vt:i4>
      </vt:variant>
      <vt:variant>
        <vt:i4>5</vt:i4>
      </vt:variant>
      <vt:variant>
        <vt:lpwstr/>
      </vt:variant>
      <vt:variant>
        <vt:lpwstr>_Toc349335851</vt:lpwstr>
      </vt:variant>
      <vt:variant>
        <vt:i4>1048625</vt:i4>
      </vt:variant>
      <vt:variant>
        <vt:i4>890</vt:i4>
      </vt:variant>
      <vt:variant>
        <vt:i4>0</vt:i4>
      </vt:variant>
      <vt:variant>
        <vt:i4>5</vt:i4>
      </vt:variant>
      <vt:variant>
        <vt:lpwstr/>
      </vt:variant>
      <vt:variant>
        <vt:lpwstr>_Toc349335850</vt:lpwstr>
      </vt:variant>
      <vt:variant>
        <vt:i4>1114161</vt:i4>
      </vt:variant>
      <vt:variant>
        <vt:i4>884</vt:i4>
      </vt:variant>
      <vt:variant>
        <vt:i4>0</vt:i4>
      </vt:variant>
      <vt:variant>
        <vt:i4>5</vt:i4>
      </vt:variant>
      <vt:variant>
        <vt:lpwstr/>
      </vt:variant>
      <vt:variant>
        <vt:lpwstr>_Toc349335849</vt:lpwstr>
      </vt:variant>
      <vt:variant>
        <vt:i4>1114161</vt:i4>
      </vt:variant>
      <vt:variant>
        <vt:i4>878</vt:i4>
      </vt:variant>
      <vt:variant>
        <vt:i4>0</vt:i4>
      </vt:variant>
      <vt:variant>
        <vt:i4>5</vt:i4>
      </vt:variant>
      <vt:variant>
        <vt:lpwstr/>
      </vt:variant>
      <vt:variant>
        <vt:lpwstr>_Toc349335848</vt:lpwstr>
      </vt:variant>
      <vt:variant>
        <vt:i4>1114161</vt:i4>
      </vt:variant>
      <vt:variant>
        <vt:i4>872</vt:i4>
      </vt:variant>
      <vt:variant>
        <vt:i4>0</vt:i4>
      </vt:variant>
      <vt:variant>
        <vt:i4>5</vt:i4>
      </vt:variant>
      <vt:variant>
        <vt:lpwstr/>
      </vt:variant>
      <vt:variant>
        <vt:lpwstr>_Toc349335847</vt:lpwstr>
      </vt:variant>
      <vt:variant>
        <vt:i4>1114161</vt:i4>
      </vt:variant>
      <vt:variant>
        <vt:i4>866</vt:i4>
      </vt:variant>
      <vt:variant>
        <vt:i4>0</vt:i4>
      </vt:variant>
      <vt:variant>
        <vt:i4>5</vt:i4>
      </vt:variant>
      <vt:variant>
        <vt:lpwstr/>
      </vt:variant>
      <vt:variant>
        <vt:lpwstr>_Toc349335846</vt:lpwstr>
      </vt:variant>
      <vt:variant>
        <vt:i4>1114161</vt:i4>
      </vt:variant>
      <vt:variant>
        <vt:i4>860</vt:i4>
      </vt:variant>
      <vt:variant>
        <vt:i4>0</vt:i4>
      </vt:variant>
      <vt:variant>
        <vt:i4>5</vt:i4>
      </vt:variant>
      <vt:variant>
        <vt:lpwstr/>
      </vt:variant>
      <vt:variant>
        <vt:lpwstr>_Toc349335845</vt:lpwstr>
      </vt:variant>
      <vt:variant>
        <vt:i4>1114161</vt:i4>
      </vt:variant>
      <vt:variant>
        <vt:i4>854</vt:i4>
      </vt:variant>
      <vt:variant>
        <vt:i4>0</vt:i4>
      </vt:variant>
      <vt:variant>
        <vt:i4>5</vt:i4>
      </vt:variant>
      <vt:variant>
        <vt:lpwstr/>
      </vt:variant>
      <vt:variant>
        <vt:lpwstr>_Toc349335844</vt:lpwstr>
      </vt:variant>
      <vt:variant>
        <vt:i4>1114161</vt:i4>
      </vt:variant>
      <vt:variant>
        <vt:i4>848</vt:i4>
      </vt:variant>
      <vt:variant>
        <vt:i4>0</vt:i4>
      </vt:variant>
      <vt:variant>
        <vt:i4>5</vt:i4>
      </vt:variant>
      <vt:variant>
        <vt:lpwstr/>
      </vt:variant>
      <vt:variant>
        <vt:lpwstr>_Toc349335843</vt:lpwstr>
      </vt:variant>
      <vt:variant>
        <vt:i4>1114161</vt:i4>
      </vt:variant>
      <vt:variant>
        <vt:i4>842</vt:i4>
      </vt:variant>
      <vt:variant>
        <vt:i4>0</vt:i4>
      </vt:variant>
      <vt:variant>
        <vt:i4>5</vt:i4>
      </vt:variant>
      <vt:variant>
        <vt:lpwstr/>
      </vt:variant>
      <vt:variant>
        <vt:lpwstr>_Toc349335842</vt:lpwstr>
      </vt:variant>
      <vt:variant>
        <vt:i4>1114161</vt:i4>
      </vt:variant>
      <vt:variant>
        <vt:i4>836</vt:i4>
      </vt:variant>
      <vt:variant>
        <vt:i4>0</vt:i4>
      </vt:variant>
      <vt:variant>
        <vt:i4>5</vt:i4>
      </vt:variant>
      <vt:variant>
        <vt:lpwstr/>
      </vt:variant>
      <vt:variant>
        <vt:lpwstr>_Toc349335841</vt:lpwstr>
      </vt:variant>
      <vt:variant>
        <vt:i4>1114161</vt:i4>
      </vt:variant>
      <vt:variant>
        <vt:i4>830</vt:i4>
      </vt:variant>
      <vt:variant>
        <vt:i4>0</vt:i4>
      </vt:variant>
      <vt:variant>
        <vt:i4>5</vt:i4>
      </vt:variant>
      <vt:variant>
        <vt:lpwstr/>
      </vt:variant>
      <vt:variant>
        <vt:lpwstr>_Toc349335840</vt:lpwstr>
      </vt:variant>
      <vt:variant>
        <vt:i4>1441841</vt:i4>
      </vt:variant>
      <vt:variant>
        <vt:i4>824</vt:i4>
      </vt:variant>
      <vt:variant>
        <vt:i4>0</vt:i4>
      </vt:variant>
      <vt:variant>
        <vt:i4>5</vt:i4>
      </vt:variant>
      <vt:variant>
        <vt:lpwstr/>
      </vt:variant>
      <vt:variant>
        <vt:lpwstr>_Toc349335839</vt:lpwstr>
      </vt:variant>
      <vt:variant>
        <vt:i4>1441841</vt:i4>
      </vt:variant>
      <vt:variant>
        <vt:i4>818</vt:i4>
      </vt:variant>
      <vt:variant>
        <vt:i4>0</vt:i4>
      </vt:variant>
      <vt:variant>
        <vt:i4>5</vt:i4>
      </vt:variant>
      <vt:variant>
        <vt:lpwstr/>
      </vt:variant>
      <vt:variant>
        <vt:lpwstr>_Toc349335838</vt:lpwstr>
      </vt:variant>
      <vt:variant>
        <vt:i4>1441841</vt:i4>
      </vt:variant>
      <vt:variant>
        <vt:i4>812</vt:i4>
      </vt:variant>
      <vt:variant>
        <vt:i4>0</vt:i4>
      </vt:variant>
      <vt:variant>
        <vt:i4>5</vt:i4>
      </vt:variant>
      <vt:variant>
        <vt:lpwstr/>
      </vt:variant>
      <vt:variant>
        <vt:lpwstr>_Toc349335837</vt:lpwstr>
      </vt:variant>
      <vt:variant>
        <vt:i4>1441841</vt:i4>
      </vt:variant>
      <vt:variant>
        <vt:i4>806</vt:i4>
      </vt:variant>
      <vt:variant>
        <vt:i4>0</vt:i4>
      </vt:variant>
      <vt:variant>
        <vt:i4>5</vt:i4>
      </vt:variant>
      <vt:variant>
        <vt:lpwstr/>
      </vt:variant>
      <vt:variant>
        <vt:lpwstr>_Toc349335836</vt:lpwstr>
      </vt:variant>
      <vt:variant>
        <vt:i4>1441841</vt:i4>
      </vt:variant>
      <vt:variant>
        <vt:i4>800</vt:i4>
      </vt:variant>
      <vt:variant>
        <vt:i4>0</vt:i4>
      </vt:variant>
      <vt:variant>
        <vt:i4>5</vt:i4>
      </vt:variant>
      <vt:variant>
        <vt:lpwstr/>
      </vt:variant>
      <vt:variant>
        <vt:lpwstr>_Toc349335835</vt:lpwstr>
      </vt:variant>
      <vt:variant>
        <vt:i4>1441841</vt:i4>
      </vt:variant>
      <vt:variant>
        <vt:i4>794</vt:i4>
      </vt:variant>
      <vt:variant>
        <vt:i4>0</vt:i4>
      </vt:variant>
      <vt:variant>
        <vt:i4>5</vt:i4>
      </vt:variant>
      <vt:variant>
        <vt:lpwstr/>
      </vt:variant>
      <vt:variant>
        <vt:lpwstr>_Toc349335834</vt:lpwstr>
      </vt:variant>
      <vt:variant>
        <vt:i4>1441841</vt:i4>
      </vt:variant>
      <vt:variant>
        <vt:i4>788</vt:i4>
      </vt:variant>
      <vt:variant>
        <vt:i4>0</vt:i4>
      </vt:variant>
      <vt:variant>
        <vt:i4>5</vt:i4>
      </vt:variant>
      <vt:variant>
        <vt:lpwstr/>
      </vt:variant>
      <vt:variant>
        <vt:lpwstr>_Toc349335833</vt:lpwstr>
      </vt:variant>
      <vt:variant>
        <vt:i4>1441841</vt:i4>
      </vt:variant>
      <vt:variant>
        <vt:i4>782</vt:i4>
      </vt:variant>
      <vt:variant>
        <vt:i4>0</vt:i4>
      </vt:variant>
      <vt:variant>
        <vt:i4>5</vt:i4>
      </vt:variant>
      <vt:variant>
        <vt:lpwstr/>
      </vt:variant>
      <vt:variant>
        <vt:lpwstr>_Toc349335832</vt:lpwstr>
      </vt:variant>
      <vt:variant>
        <vt:i4>1441841</vt:i4>
      </vt:variant>
      <vt:variant>
        <vt:i4>776</vt:i4>
      </vt:variant>
      <vt:variant>
        <vt:i4>0</vt:i4>
      </vt:variant>
      <vt:variant>
        <vt:i4>5</vt:i4>
      </vt:variant>
      <vt:variant>
        <vt:lpwstr/>
      </vt:variant>
      <vt:variant>
        <vt:lpwstr>_Toc349335831</vt:lpwstr>
      </vt:variant>
      <vt:variant>
        <vt:i4>1441841</vt:i4>
      </vt:variant>
      <vt:variant>
        <vt:i4>770</vt:i4>
      </vt:variant>
      <vt:variant>
        <vt:i4>0</vt:i4>
      </vt:variant>
      <vt:variant>
        <vt:i4>5</vt:i4>
      </vt:variant>
      <vt:variant>
        <vt:lpwstr/>
      </vt:variant>
      <vt:variant>
        <vt:lpwstr>_Toc349335830</vt:lpwstr>
      </vt:variant>
      <vt:variant>
        <vt:i4>1507377</vt:i4>
      </vt:variant>
      <vt:variant>
        <vt:i4>764</vt:i4>
      </vt:variant>
      <vt:variant>
        <vt:i4>0</vt:i4>
      </vt:variant>
      <vt:variant>
        <vt:i4>5</vt:i4>
      </vt:variant>
      <vt:variant>
        <vt:lpwstr/>
      </vt:variant>
      <vt:variant>
        <vt:lpwstr>_Toc349335829</vt:lpwstr>
      </vt:variant>
      <vt:variant>
        <vt:i4>1507377</vt:i4>
      </vt:variant>
      <vt:variant>
        <vt:i4>758</vt:i4>
      </vt:variant>
      <vt:variant>
        <vt:i4>0</vt:i4>
      </vt:variant>
      <vt:variant>
        <vt:i4>5</vt:i4>
      </vt:variant>
      <vt:variant>
        <vt:lpwstr/>
      </vt:variant>
      <vt:variant>
        <vt:lpwstr>_Toc349335828</vt:lpwstr>
      </vt:variant>
      <vt:variant>
        <vt:i4>1507377</vt:i4>
      </vt:variant>
      <vt:variant>
        <vt:i4>752</vt:i4>
      </vt:variant>
      <vt:variant>
        <vt:i4>0</vt:i4>
      </vt:variant>
      <vt:variant>
        <vt:i4>5</vt:i4>
      </vt:variant>
      <vt:variant>
        <vt:lpwstr/>
      </vt:variant>
      <vt:variant>
        <vt:lpwstr>_Toc349335827</vt:lpwstr>
      </vt:variant>
      <vt:variant>
        <vt:i4>1507377</vt:i4>
      </vt:variant>
      <vt:variant>
        <vt:i4>746</vt:i4>
      </vt:variant>
      <vt:variant>
        <vt:i4>0</vt:i4>
      </vt:variant>
      <vt:variant>
        <vt:i4>5</vt:i4>
      </vt:variant>
      <vt:variant>
        <vt:lpwstr/>
      </vt:variant>
      <vt:variant>
        <vt:lpwstr>_Toc349335826</vt:lpwstr>
      </vt:variant>
      <vt:variant>
        <vt:i4>1507377</vt:i4>
      </vt:variant>
      <vt:variant>
        <vt:i4>740</vt:i4>
      </vt:variant>
      <vt:variant>
        <vt:i4>0</vt:i4>
      </vt:variant>
      <vt:variant>
        <vt:i4>5</vt:i4>
      </vt:variant>
      <vt:variant>
        <vt:lpwstr/>
      </vt:variant>
      <vt:variant>
        <vt:lpwstr>_Toc349335825</vt:lpwstr>
      </vt:variant>
      <vt:variant>
        <vt:i4>1507377</vt:i4>
      </vt:variant>
      <vt:variant>
        <vt:i4>734</vt:i4>
      </vt:variant>
      <vt:variant>
        <vt:i4>0</vt:i4>
      </vt:variant>
      <vt:variant>
        <vt:i4>5</vt:i4>
      </vt:variant>
      <vt:variant>
        <vt:lpwstr/>
      </vt:variant>
      <vt:variant>
        <vt:lpwstr>_Toc349335824</vt:lpwstr>
      </vt:variant>
      <vt:variant>
        <vt:i4>1507377</vt:i4>
      </vt:variant>
      <vt:variant>
        <vt:i4>728</vt:i4>
      </vt:variant>
      <vt:variant>
        <vt:i4>0</vt:i4>
      </vt:variant>
      <vt:variant>
        <vt:i4>5</vt:i4>
      </vt:variant>
      <vt:variant>
        <vt:lpwstr/>
      </vt:variant>
      <vt:variant>
        <vt:lpwstr>_Toc349335823</vt:lpwstr>
      </vt:variant>
      <vt:variant>
        <vt:i4>1507377</vt:i4>
      </vt:variant>
      <vt:variant>
        <vt:i4>722</vt:i4>
      </vt:variant>
      <vt:variant>
        <vt:i4>0</vt:i4>
      </vt:variant>
      <vt:variant>
        <vt:i4>5</vt:i4>
      </vt:variant>
      <vt:variant>
        <vt:lpwstr/>
      </vt:variant>
      <vt:variant>
        <vt:lpwstr>_Toc349335822</vt:lpwstr>
      </vt:variant>
      <vt:variant>
        <vt:i4>1507377</vt:i4>
      </vt:variant>
      <vt:variant>
        <vt:i4>716</vt:i4>
      </vt:variant>
      <vt:variant>
        <vt:i4>0</vt:i4>
      </vt:variant>
      <vt:variant>
        <vt:i4>5</vt:i4>
      </vt:variant>
      <vt:variant>
        <vt:lpwstr/>
      </vt:variant>
      <vt:variant>
        <vt:lpwstr>_Toc349335821</vt:lpwstr>
      </vt:variant>
      <vt:variant>
        <vt:i4>1507377</vt:i4>
      </vt:variant>
      <vt:variant>
        <vt:i4>710</vt:i4>
      </vt:variant>
      <vt:variant>
        <vt:i4>0</vt:i4>
      </vt:variant>
      <vt:variant>
        <vt:i4>5</vt:i4>
      </vt:variant>
      <vt:variant>
        <vt:lpwstr/>
      </vt:variant>
      <vt:variant>
        <vt:lpwstr>_Toc349335820</vt:lpwstr>
      </vt:variant>
      <vt:variant>
        <vt:i4>1310769</vt:i4>
      </vt:variant>
      <vt:variant>
        <vt:i4>704</vt:i4>
      </vt:variant>
      <vt:variant>
        <vt:i4>0</vt:i4>
      </vt:variant>
      <vt:variant>
        <vt:i4>5</vt:i4>
      </vt:variant>
      <vt:variant>
        <vt:lpwstr/>
      </vt:variant>
      <vt:variant>
        <vt:lpwstr>_Toc349335819</vt:lpwstr>
      </vt:variant>
      <vt:variant>
        <vt:i4>1310769</vt:i4>
      </vt:variant>
      <vt:variant>
        <vt:i4>698</vt:i4>
      </vt:variant>
      <vt:variant>
        <vt:i4>0</vt:i4>
      </vt:variant>
      <vt:variant>
        <vt:i4>5</vt:i4>
      </vt:variant>
      <vt:variant>
        <vt:lpwstr/>
      </vt:variant>
      <vt:variant>
        <vt:lpwstr>_Toc349335818</vt:lpwstr>
      </vt:variant>
      <vt:variant>
        <vt:i4>1310769</vt:i4>
      </vt:variant>
      <vt:variant>
        <vt:i4>692</vt:i4>
      </vt:variant>
      <vt:variant>
        <vt:i4>0</vt:i4>
      </vt:variant>
      <vt:variant>
        <vt:i4>5</vt:i4>
      </vt:variant>
      <vt:variant>
        <vt:lpwstr/>
      </vt:variant>
      <vt:variant>
        <vt:lpwstr>_Toc349335817</vt:lpwstr>
      </vt:variant>
      <vt:variant>
        <vt:i4>1310769</vt:i4>
      </vt:variant>
      <vt:variant>
        <vt:i4>686</vt:i4>
      </vt:variant>
      <vt:variant>
        <vt:i4>0</vt:i4>
      </vt:variant>
      <vt:variant>
        <vt:i4>5</vt:i4>
      </vt:variant>
      <vt:variant>
        <vt:lpwstr/>
      </vt:variant>
      <vt:variant>
        <vt:lpwstr>_Toc349335816</vt:lpwstr>
      </vt:variant>
      <vt:variant>
        <vt:i4>1310769</vt:i4>
      </vt:variant>
      <vt:variant>
        <vt:i4>680</vt:i4>
      </vt:variant>
      <vt:variant>
        <vt:i4>0</vt:i4>
      </vt:variant>
      <vt:variant>
        <vt:i4>5</vt:i4>
      </vt:variant>
      <vt:variant>
        <vt:lpwstr/>
      </vt:variant>
      <vt:variant>
        <vt:lpwstr>_Toc349335815</vt:lpwstr>
      </vt:variant>
      <vt:variant>
        <vt:i4>1310769</vt:i4>
      </vt:variant>
      <vt:variant>
        <vt:i4>674</vt:i4>
      </vt:variant>
      <vt:variant>
        <vt:i4>0</vt:i4>
      </vt:variant>
      <vt:variant>
        <vt:i4>5</vt:i4>
      </vt:variant>
      <vt:variant>
        <vt:lpwstr/>
      </vt:variant>
      <vt:variant>
        <vt:lpwstr>_Toc349335814</vt:lpwstr>
      </vt:variant>
      <vt:variant>
        <vt:i4>1310769</vt:i4>
      </vt:variant>
      <vt:variant>
        <vt:i4>668</vt:i4>
      </vt:variant>
      <vt:variant>
        <vt:i4>0</vt:i4>
      </vt:variant>
      <vt:variant>
        <vt:i4>5</vt:i4>
      </vt:variant>
      <vt:variant>
        <vt:lpwstr/>
      </vt:variant>
      <vt:variant>
        <vt:lpwstr>_Toc349335813</vt:lpwstr>
      </vt:variant>
      <vt:variant>
        <vt:i4>1310769</vt:i4>
      </vt:variant>
      <vt:variant>
        <vt:i4>662</vt:i4>
      </vt:variant>
      <vt:variant>
        <vt:i4>0</vt:i4>
      </vt:variant>
      <vt:variant>
        <vt:i4>5</vt:i4>
      </vt:variant>
      <vt:variant>
        <vt:lpwstr/>
      </vt:variant>
      <vt:variant>
        <vt:lpwstr>_Toc349335812</vt:lpwstr>
      </vt:variant>
      <vt:variant>
        <vt:i4>1310769</vt:i4>
      </vt:variant>
      <vt:variant>
        <vt:i4>656</vt:i4>
      </vt:variant>
      <vt:variant>
        <vt:i4>0</vt:i4>
      </vt:variant>
      <vt:variant>
        <vt:i4>5</vt:i4>
      </vt:variant>
      <vt:variant>
        <vt:lpwstr/>
      </vt:variant>
      <vt:variant>
        <vt:lpwstr>_Toc349335811</vt:lpwstr>
      </vt:variant>
      <vt:variant>
        <vt:i4>1310769</vt:i4>
      </vt:variant>
      <vt:variant>
        <vt:i4>650</vt:i4>
      </vt:variant>
      <vt:variant>
        <vt:i4>0</vt:i4>
      </vt:variant>
      <vt:variant>
        <vt:i4>5</vt:i4>
      </vt:variant>
      <vt:variant>
        <vt:lpwstr/>
      </vt:variant>
      <vt:variant>
        <vt:lpwstr>_Toc349335810</vt:lpwstr>
      </vt:variant>
      <vt:variant>
        <vt:i4>1376305</vt:i4>
      </vt:variant>
      <vt:variant>
        <vt:i4>644</vt:i4>
      </vt:variant>
      <vt:variant>
        <vt:i4>0</vt:i4>
      </vt:variant>
      <vt:variant>
        <vt:i4>5</vt:i4>
      </vt:variant>
      <vt:variant>
        <vt:lpwstr/>
      </vt:variant>
      <vt:variant>
        <vt:lpwstr>_Toc349335809</vt:lpwstr>
      </vt:variant>
      <vt:variant>
        <vt:i4>1376305</vt:i4>
      </vt:variant>
      <vt:variant>
        <vt:i4>638</vt:i4>
      </vt:variant>
      <vt:variant>
        <vt:i4>0</vt:i4>
      </vt:variant>
      <vt:variant>
        <vt:i4>5</vt:i4>
      </vt:variant>
      <vt:variant>
        <vt:lpwstr/>
      </vt:variant>
      <vt:variant>
        <vt:lpwstr>_Toc349335808</vt:lpwstr>
      </vt:variant>
      <vt:variant>
        <vt:i4>1376305</vt:i4>
      </vt:variant>
      <vt:variant>
        <vt:i4>632</vt:i4>
      </vt:variant>
      <vt:variant>
        <vt:i4>0</vt:i4>
      </vt:variant>
      <vt:variant>
        <vt:i4>5</vt:i4>
      </vt:variant>
      <vt:variant>
        <vt:lpwstr/>
      </vt:variant>
      <vt:variant>
        <vt:lpwstr>_Toc349335807</vt:lpwstr>
      </vt:variant>
      <vt:variant>
        <vt:i4>1376305</vt:i4>
      </vt:variant>
      <vt:variant>
        <vt:i4>626</vt:i4>
      </vt:variant>
      <vt:variant>
        <vt:i4>0</vt:i4>
      </vt:variant>
      <vt:variant>
        <vt:i4>5</vt:i4>
      </vt:variant>
      <vt:variant>
        <vt:lpwstr/>
      </vt:variant>
      <vt:variant>
        <vt:lpwstr>_Toc349335806</vt:lpwstr>
      </vt:variant>
      <vt:variant>
        <vt:i4>1376305</vt:i4>
      </vt:variant>
      <vt:variant>
        <vt:i4>620</vt:i4>
      </vt:variant>
      <vt:variant>
        <vt:i4>0</vt:i4>
      </vt:variant>
      <vt:variant>
        <vt:i4>5</vt:i4>
      </vt:variant>
      <vt:variant>
        <vt:lpwstr/>
      </vt:variant>
      <vt:variant>
        <vt:lpwstr>_Toc349335805</vt:lpwstr>
      </vt:variant>
      <vt:variant>
        <vt:i4>1376305</vt:i4>
      </vt:variant>
      <vt:variant>
        <vt:i4>614</vt:i4>
      </vt:variant>
      <vt:variant>
        <vt:i4>0</vt:i4>
      </vt:variant>
      <vt:variant>
        <vt:i4>5</vt:i4>
      </vt:variant>
      <vt:variant>
        <vt:lpwstr/>
      </vt:variant>
      <vt:variant>
        <vt:lpwstr>_Toc349335804</vt:lpwstr>
      </vt:variant>
      <vt:variant>
        <vt:i4>1376305</vt:i4>
      </vt:variant>
      <vt:variant>
        <vt:i4>608</vt:i4>
      </vt:variant>
      <vt:variant>
        <vt:i4>0</vt:i4>
      </vt:variant>
      <vt:variant>
        <vt:i4>5</vt:i4>
      </vt:variant>
      <vt:variant>
        <vt:lpwstr/>
      </vt:variant>
      <vt:variant>
        <vt:lpwstr>_Toc349335803</vt:lpwstr>
      </vt:variant>
      <vt:variant>
        <vt:i4>1376305</vt:i4>
      </vt:variant>
      <vt:variant>
        <vt:i4>602</vt:i4>
      </vt:variant>
      <vt:variant>
        <vt:i4>0</vt:i4>
      </vt:variant>
      <vt:variant>
        <vt:i4>5</vt:i4>
      </vt:variant>
      <vt:variant>
        <vt:lpwstr/>
      </vt:variant>
      <vt:variant>
        <vt:lpwstr>_Toc349335802</vt:lpwstr>
      </vt:variant>
      <vt:variant>
        <vt:i4>1376305</vt:i4>
      </vt:variant>
      <vt:variant>
        <vt:i4>596</vt:i4>
      </vt:variant>
      <vt:variant>
        <vt:i4>0</vt:i4>
      </vt:variant>
      <vt:variant>
        <vt:i4>5</vt:i4>
      </vt:variant>
      <vt:variant>
        <vt:lpwstr/>
      </vt:variant>
      <vt:variant>
        <vt:lpwstr>_Toc349335801</vt:lpwstr>
      </vt:variant>
      <vt:variant>
        <vt:i4>1376305</vt:i4>
      </vt:variant>
      <vt:variant>
        <vt:i4>590</vt:i4>
      </vt:variant>
      <vt:variant>
        <vt:i4>0</vt:i4>
      </vt:variant>
      <vt:variant>
        <vt:i4>5</vt:i4>
      </vt:variant>
      <vt:variant>
        <vt:lpwstr/>
      </vt:variant>
      <vt:variant>
        <vt:lpwstr>_Toc349335800</vt:lpwstr>
      </vt:variant>
      <vt:variant>
        <vt:i4>1835070</vt:i4>
      </vt:variant>
      <vt:variant>
        <vt:i4>584</vt:i4>
      </vt:variant>
      <vt:variant>
        <vt:i4>0</vt:i4>
      </vt:variant>
      <vt:variant>
        <vt:i4>5</vt:i4>
      </vt:variant>
      <vt:variant>
        <vt:lpwstr/>
      </vt:variant>
      <vt:variant>
        <vt:lpwstr>_Toc349335799</vt:lpwstr>
      </vt:variant>
      <vt:variant>
        <vt:i4>1835070</vt:i4>
      </vt:variant>
      <vt:variant>
        <vt:i4>578</vt:i4>
      </vt:variant>
      <vt:variant>
        <vt:i4>0</vt:i4>
      </vt:variant>
      <vt:variant>
        <vt:i4>5</vt:i4>
      </vt:variant>
      <vt:variant>
        <vt:lpwstr/>
      </vt:variant>
      <vt:variant>
        <vt:lpwstr>_Toc349335798</vt:lpwstr>
      </vt:variant>
      <vt:variant>
        <vt:i4>1835070</vt:i4>
      </vt:variant>
      <vt:variant>
        <vt:i4>572</vt:i4>
      </vt:variant>
      <vt:variant>
        <vt:i4>0</vt:i4>
      </vt:variant>
      <vt:variant>
        <vt:i4>5</vt:i4>
      </vt:variant>
      <vt:variant>
        <vt:lpwstr/>
      </vt:variant>
      <vt:variant>
        <vt:lpwstr>_Toc349335797</vt:lpwstr>
      </vt:variant>
      <vt:variant>
        <vt:i4>1835070</vt:i4>
      </vt:variant>
      <vt:variant>
        <vt:i4>566</vt:i4>
      </vt:variant>
      <vt:variant>
        <vt:i4>0</vt:i4>
      </vt:variant>
      <vt:variant>
        <vt:i4>5</vt:i4>
      </vt:variant>
      <vt:variant>
        <vt:lpwstr/>
      </vt:variant>
      <vt:variant>
        <vt:lpwstr>_Toc349335796</vt:lpwstr>
      </vt:variant>
      <vt:variant>
        <vt:i4>1835070</vt:i4>
      </vt:variant>
      <vt:variant>
        <vt:i4>560</vt:i4>
      </vt:variant>
      <vt:variant>
        <vt:i4>0</vt:i4>
      </vt:variant>
      <vt:variant>
        <vt:i4>5</vt:i4>
      </vt:variant>
      <vt:variant>
        <vt:lpwstr/>
      </vt:variant>
      <vt:variant>
        <vt:lpwstr>_Toc349335795</vt:lpwstr>
      </vt:variant>
      <vt:variant>
        <vt:i4>1835070</vt:i4>
      </vt:variant>
      <vt:variant>
        <vt:i4>554</vt:i4>
      </vt:variant>
      <vt:variant>
        <vt:i4>0</vt:i4>
      </vt:variant>
      <vt:variant>
        <vt:i4>5</vt:i4>
      </vt:variant>
      <vt:variant>
        <vt:lpwstr/>
      </vt:variant>
      <vt:variant>
        <vt:lpwstr>_Toc349335794</vt:lpwstr>
      </vt:variant>
      <vt:variant>
        <vt:i4>1835070</vt:i4>
      </vt:variant>
      <vt:variant>
        <vt:i4>548</vt:i4>
      </vt:variant>
      <vt:variant>
        <vt:i4>0</vt:i4>
      </vt:variant>
      <vt:variant>
        <vt:i4>5</vt:i4>
      </vt:variant>
      <vt:variant>
        <vt:lpwstr/>
      </vt:variant>
      <vt:variant>
        <vt:lpwstr>_Toc349335793</vt:lpwstr>
      </vt:variant>
      <vt:variant>
        <vt:i4>1835070</vt:i4>
      </vt:variant>
      <vt:variant>
        <vt:i4>542</vt:i4>
      </vt:variant>
      <vt:variant>
        <vt:i4>0</vt:i4>
      </vt:variant>
      <vt:variant>
        <vt:i4>5</vt:i4>
      </vt:variant>
      <vt:variant>
        <vt:lpwstr/>
      </vt:variant>
      <vt:variant>
        <vt:lpwstr>_Toc349335792</vt:lpwstr>
      </vt:variant>
      <vt:variant>
        <vt:i4>1835070</vt:i4>
      </vt:variant>
      <vt:variant>
        <vt:i4>536</vt:i4>
      </vt:variant>
      <vt:variant>
        <vt:i4>0</vt:i4>
      </vt:variant>
      <vt:variant>
        <vt:i4>5</vt:i4>
      </vt:variant>
      <vt:variant>
        <vt:lpwstr/>
      </vt:variant>
      <vt:variant>
        <vt:lpwstr>_Toc349335791</vt:lpwstr>
      </vt:variant>
      <vt:variant>
        <vt:i4>1835070</vt:i4>
      </vt:variant>
      <vt:variant>
        <vt:i4>530</vt:i4>
      </vt:variant>
      <vt:variant>
        <vt:i4>0</vt:i4>
      </vt:variant>
      <vt:variant>
        <vt:i4>5</vt:i4>
      </vt:variant>
      <vt:variant>
        <vt:lpwstr/>
      </vt:variant>
      <vt:variant>
        <vt:lpwstr>_Toc349335790</vt:lpwstr>
      </vt:variant>
      <vt:variant>
        <vt:i4>1900606</vt:i4>
      </vt:variant>
      <vt:variant>
        <vt:i4>524</vt:i4>
      </vt:variant>
      <vt:variant>
        <vt:i4>0</vt:i4>
      </vt:variant>
      <vt:variant>
        <vt:i4>5</vt:i4>
      </vt:variant>
      <vt:variant>
        <vt:lpwstr/>
      </vt:variant>
      <vt:variant>
        <vt:lpwstr>_Toc349335789</vt:lpwstr>
      </vt:variant>
      <vt:variant>
        <vt:i4>1900606</vt:i4>
      </vt:variant>
      <vt:variant>
        <vt:i4>518</vt:i4>
      </vt:variant>
      <vt:variant>
        <vt:i4>0</vt:i4>
      </vt:variant>
      <vt:variant>
        <vt:i4>5</vt:i4>
      </vt:variant>
      <vt:variant>
        <vt:lpwstr/>
      </vt:variant>
      <vt:variant>
        <vt:lpwstr>_Toc349335788</vt:lpwstr>
      </vt:variant>
      <vt:variant>
        <vt:i4>1900606</vt:i4>
      </vt:variant>
      <vt:variant>
        <vt:i4>512</vt:i4>
      </vt:variant>
      <vt:variant>
        <vt:i4>0</vt:i4>
      </vt:variant>
      <vt:variant>
        <vt:i4>5</vt:i4>
      </vt:variant>
      <vt:variant>
        <vt:lpwstr/>
      </vt:variant>
      <vt:variant>
        <vt:lpwstr>_Toc349335787</vt:lpwstr>
      </vt:variant>
      <vt:variant>
        <vt:i4>1900606</vt:i4>
      </vt:variant>
      <vt:variant>
        <vt:i4>506</vt:i4>
      </vt:variant>
      <vt:variant>
        <vt:i4>0</vt:i4>
      </vt:variant>
      <vt:variant>
        <vt:i4>5</vt:i4>
      </vt:variant>
      <vt:variant>
        <vt:lpwstr/>
      </vt:variant>
      <vt:variant>
        <vt:lpwstr>_Toc349335786</vt:lpwstr>
      </vt:variant>
      <vt:variant>
        <vt:i4>1900606</vt:i4>
      </vt:variant>
      <vt:variant>
        <vt:i4>500</vt:i4>
      </vt:variant>
      <vt:variant>
        <vt:i4>0</vt:i4>
      </vt:variant>
      <vt:variant>
        <vt:i4>5</vt:i4>
      </vt:variant>
      <vt:variant>
        <vt:lpwstr/>
      </vt:variant>
      <vt:variant>
        <vt:lpwstr>_Toc349335785</vt:lpwstr>
      </vt:variant>
      <vt:variant>
        <vt:i4>1900606</vt:i4>
      </vt:variant>
      <vt:variant>
        <vt:i4>494</vt:i4>
      </vt:variant>
      <vt:variant>
        <vt:i4>0</vt:i4>
      </vt:variant>
      <vt:variant>
        <vt:i4>5</vt:i4>
      </vt:variant>
      <vt:variant>
        <vt:lpwstr/>
      </vt:variant>
      <vt:variant>
        <vt:lpwstr>_Toc349335784</vt:lpwstr>
      </vt:variant>
      <vt:variant>
        <vt:i4>1900606</vt:i4>
      </vt:variant>
      <vt:variant>
        <vt:i4>488</vt:i4>
      </vt:variant>
      <vt:variant>
        <vt:i4>0</vt:i4>
      </vt:variant>
      <vt:variant>
        <vt:i4>5</vt:i4>
      </vt:variant>
      <vt:variant>
        <vt:lpwstr/>
      </vt:variant>
      <vt:variant>
        <vt:lpwstr>_Toc349335783</vt:lpwstr>
      </vt:variant>
      <vt:variant>
        <vt:i4>1900606</vt:i4>
      </vt:variant>
      <vt:variant>
        <vt:i4>482</vt:i4>
      </vt:variant>
      <vt:variant>
        <vt:i4>0</vt:i4>
      </vt:variant>
      <vt:variant>
        <vt:i4>5</vt:i4>
      </vt:variant>
      <vt:variant>
        <vt:lpwstr/>
      </vt:variant>
      <vt:variant>
        <vt:lpwstr>_Toc349335782</vt:lpwstr>
      </vt:variant>
      <vt:variant>
        <vt:i4>1900606</vt:i4>
      </vt:variant>
      <vt:variant>
        <vt:i4>476</vt:i4>
      </vt:variant>
      <vt:variant>
        <vt:i4>0</vt:i4>
      </vt:variant>
      <vt:variant>
        <vt:i4>5</vt:i4>
      </vt:variant>
      <vt:variant>
        <vt:lpwstr/>
      </vt:variant>
      <vt:variant>
        <vt:lpwstr>_Toc349335781</vt:lpwstr>
      </vt:variant>
      <vt:variant>
        <vt:i4>1900606</vt:i4>
      </vt:variant>
      <vt:variant>
        <vt:i4>470</vt:i4>
      </vt:variant>
      <vt:variant>
        <vt:i4>0</vt:i4>
      </vt:variant>
      <vt:variant>
        <vt:i4>5</vt:i4>
      </vt:variant>
      <vt:variant>
        <vt:lpwstr/>
      </vt:variant>
      <vt:variant>
        <vt:lpwstr>_Toc349335780</vt:lpwstr>
      </vt:variant>
      <vt:variant>
        <vt:i4>1179710</vt:i4>
      </vt:variant>
      <vt:variant>
        <vt:i4>464</vt:i4>
      </vt:variant>
      <vt:variant>
        <vt:i4>0</vt:i4>
      </vt:variant>
      <vt:variant>
        <vt:i4>5</vt:i4>
      </vt:variant>
      <vt:variant>
        <vt:lpwstr/>
      </vt:variant>
      <vt:variant>
        <vt:lpwstr>_Toc349335779</vt:lpwstr>
      </vt:variant>
      <vt:variant>
        <vt:i4>1179710</vt:i4>
      </vt:variant>
      <vt:variant>
        <vt:i4>458</vt:i4>
      </vt:variant>
      <vt:variant>
        <vt:i4>0</vt:i4>
      </vt:variant>
      <vt:variant>
        <vt:i4>5</vt:i4>
      </vt:variant>
      <vt:variant>
        <vt:lpwstr/>
      </vt:variant>
      <vt:variant>
        <vt:lpwstr>_Toc349335778</vt:lpwstr>
      </vt:variant>
      <vt:variant>
        <vt:i4>1179710</vt:i4>
      </vt:variant>
      <vt:variant>
        <vt:i4>452</vt:i4>
      </vt:variant>
      <vt:variant>
        <vt:i4>0</vt:i4>
      </vt:variant>
      <vt:variant>
        <vt:i4>5</vt:i4>
      </vt:variant>
      <vt:variant>
        <vt:lpwstr/>
      </vt:variant>
      <vt:variant>
        <vt:lpwstr>_Toc349335777</vt:lpwstr>
      </vt:variant>
      <vt:variant>
        <vt:i4>1179710</vt:i4>
      </vt:variant>
      <vt:variant>
        <vt:i4>446</vt:i4>
      </vt:variant>
      <vt:variant>
        <vt:i4>0</vt:i4>
      </vt:variant>
      <vt:variant>
        <vt:i4>5</vt:i4>
      </vt:variant>
      <vt:variant>
        <vt:lpwstr/>
      </vt:variant>
      <vt:variant>
        <vt:lpwstr>_Toc349335776</vt:lpwstr>
      </vt:variant>
      <vt:variant>
        <vt:i4>1179710</vt:i4>
      </vt:variant>
      <vt:variant>
        <vt:i4>440</vt:i4>
      </vt:variant>
      <vt:variant>
        <vt:i4>0</vt:i4>
      </vt:variant>
      <vt:variant>
        <vt:i4>5</vt:i4>
      </vt:variant>
      <vt:variant>
        <vt:lpwstr/>
      </vt:variant>
      <vt:variant>
        <vt:lpwstr>_Toc349335775</vt:lpwstr>
      </vt:variant>
      <vt:variant>
        <vt:i4>1179710</vt:i4>
      </vt:variant>
      <vt:variant>
        <vt:i4>434</vt:i4>
      </vt:variant>
      <vt:variant>
        <vt:i4>0</vt:i4>
      </vt:variant>
      <vt:variant>
        <vt:i4>5</vt:i4>
      </vt:variant>
      <vt:variant>
        <vt:lpwstr/>
      </vt:variant>
      <vt:variant>
        <vt:lpwstr>_Toc349335774</vt:lpwstr>
      </vt:variant>
      <vt:variant>
        <vt:i4>1179710</vt:i4>
      </vt:variant>
      <vt:variant>
        <vt:i4>428</vt:i4>
      </vt:variant>
      <vt:variant>
        <vt:i4>0</vt:i4>
      </vt:variant>
      <vt:variant>
        <vt:i4>5</vt:i4>
      </vt:variant>
      <vt:variant>
        <vt:lpwstr/>
      </vt:variant>
      <vt:variant>
        <vt:lpwstr>_Toc349335773</vt:lpwstr>
      </vt:variant>
      <vt:variant>
        <vt:i4>1179710</vt:i4>
      </vt:variant>
      <vt:variant>
        <vt:i4>422</vt:i4>
      </vt:variant>
      <vt:variant>
        <vt:i4>0</vt:i4>
      </vt:variant>
      <vt:variant>
        <vt:i4>5</vt:i4>
      </vt:variant>
      <vt:variant>
        <vt:lpwstr/>
      </vt:variant>
      <vt:variant>
        <vt:lpwstr>_Toc349335772</vt:lpwstr>
      </vt:variant>
      <vt:variant>
        <vt:i4>1179710</vt:i4>
      </vt:variant>
      <vt:variant>
        <vt:i4>416</vt:i4>
      </vt:variant>
      <vt:variant>
        <vt:i4>0</vt:i4>
      </vt:variant>
      <vt:variant>
        <vt:i4>5</vt:i4>
      </vt:variant>
      <vt:variant>
        <vt:lpwstr/>
      </vt:variant>
      <vt:variant>
        <vt:lpwstr>_Toc349335771</vt:lpwstr>
      </vt:variant>
      <vt:variant>
        <vt:i4>1179710</vt:i4>
      </vt:variant>
      <vt:variant>
        <vt:i4>410</vt:i4>
      </vt:variant>
      <vt:variant>
        <vt:i4>0</vt:i4>
      </vt:variant>
      <vt:variant>
        <vt:i4>5</vt:i4>
      </vt:variant>
      <vt:variant>
        <vt:lpwstr/>
      </vt:variant>
      <vt:variant>
        <vt:lpwstr>_Toc349335770</vt:lpwstr>
      </vt:variant>
      <vt:variant>
        <vt:i4>1245246</vt:i4>
      </vt:variant>
      <vt:variant>
        <vt:i4>404</vt:i4>
      </vt:variant>
      <vt:variant>
        <vt:i4>0</vt:i4>
      </vt:variant>
      <vt:variant>
        <vt:i4>5</vt:i4>
      </vt:variant>
      <vt:variant>
        <vt:lpwstr/>
      </vt:variant>
      <vt:variant>
        <vt:lpwstr>_Toc349335769</vt:lpwstr>
      </vt:variant>
      <vt:variant>
        <vt:i4>1245246</vt:i4>
      </vt:variant>
      <vt:variant>
        <vt:i4>398</vt:i4>
      </vt:variant>
      <vt:variant>
        <vt:i4>0</vt:i4>
      </vt:variant>
      <vt:variant>
        <vt:i4>5</vt:i4>
      </vt:variant>
      <vt:variant>
        <vt:lpwstr/>
      </vt:variant>
      <vt:variant>
        <vt:lpwstr>_Toc349335768</vt:lpwstr>
      </vt:variant>
      <vt:variant>
        <vt:i4>1245246</vt:i4>
      </vt:variant>
      <vt:variant>
        <vt:i4>392</vt:i4>
      </vt:variant>
      <vt:variant>
        <vt:i4>0</vt:i4>
      </vt:variant>
      <vt:variant>
        <vt:i4>5</vt:i4>
      </vt:variant>
      <vt:variant>
        <vt:lpwstr/>
      </vt:variant>
      <vt:variant>
        <vt:lpwstr>_Toc349335767</vt:lpwstr>
      </vt:variant>
      <vt:variant>
        <vt:i4>1245246</vt:i4>
      </vt:variant>
      <vt:variant>
        <vt:i4>386</vt:i4>
      </vt:variant>
      <vt:variant>
        <vt:i4>0</vt:i4>
      </vt:variant>
      <vt:variant>
        <vt:i4>5</vt:i4>
      </vt:variant>
      <vt:variant>
        <vt:lpwstr/>
      </vt:variant>
      <vt:variant>
        <vt:lpwstr>_Toc349335766</vt:lpwstr>
      </vt:variant>
      <vt:variant>
        <vt:i4>1245246</vt:i4>
      </vt:variant>
      <vt:variant>
        <vt:i4>380</vt:i4>
      </vt:variant>
      <vt:variant>
        <vt:i4>0</vt:i4>
      </vt:variant>
      <vt:variant>
        <vt:i4>5</vt:i4>
      </vt:variant>
      <vt:variant>
        <vt:lpwstr/>
      </vt:variant>
      <vt:variant>
        <vt:lpwstr>_Toc349335765</vt:lpwstr>
      </vt:variant>
      <vt:variant>
        <vt:i4>1245246</vt:i4>
      </vt:variant>
      <vt:variant>
        <vt:i4>374</vt:i4>
      </vt:variant>
      <vt:variant>
        <vt:i4>0</vt:i4>
      </vt:variant>
      <vt:variant>
        <vt:i4>5</vt:i4>
      </vt:variant>
      <vt:variant>
        <vt:lpwstr/>
      </vt:variant>
      <vt:variant>
        <vt:lpwstr>_Toc349335764</vt:lpwstr>
      </vt:variant>
      <vt:variant>
        <vt:i4>1245246</vt:i4>
      </vt:variant>
      <vt:variant>
        <vt:i4>368</vt:i4>
      </vt:variant>
      <vt:variant>
        <vt:i4>0</vt:i4>
      </vt:variant>
      <vt:variant>
        <vt:i4>5</vt:i4>
      </vt:variant>
      <vt:variant>
        <vt:lpwstr/>
      </vt:variant>
      <vt:variant>
        <vt:lpwstr>_Toc349335763</vt:lpwstr>
      </vt:variant>
      <vt:variant>
        <vt:i4>1245246</vt:i4>
      </vt:variant>
      <vt:variant>
        <vt:i4>362</vt:i4>
      </vt:variant>
      <vt:variant>
        <vt:i4>0</vt:i4>
      </vt:variant>
      <vt:variant>
        <vt:i4>5</vt:i4>
      </vt:variant>
      <vt:variant>
        <vt:lpwstr/>
      </vt:variant>
      <vt:variant>
        <vt:lpwstr>_Toc349335762</vt:lpwstr>
      </vt:variant>
      <vt:variant>
        <vt:i4>1245246</vt:i4>
      </vt:variant>
      <vt:variant>
        <vt:i4>356</vt:i4>
      </vt:variant>
      <vt:variant>
        <vt:i4>0</vt:i4>
      </vt:variant>
      <vt:variant>
        <vt:i4>5</vt:i4>
      </vt:variant>
      <vt:variant>
        <vt:lpwstr/>
      </vt:variant>
      <vt:variant>
        <vt:lpwstr>_Toc349335761</vt:lpwstr>
      </vt:variant>
      <vt:variant>
        <vt:i4>1245246</vt:i4>
      </vt:variant>
      <vt:variant>
        <vt:i4>350</vt:i4>
      </vt:variant>
      <vt:variant>
        <vt:i4>0</vt:i4>
      </vt:variant>
      <vt:variant>
        <vt:i4>5</vt:i4>
      </vt:variant>
      <vt:variant>
        <vt:lpwstr/>
      </vt:variant>
      <vt:variant>
        <vt:lpwstr>_Toc349335760</vt:lpwstr>
      </vt:variant>
      <vt:variant>
        <vt:i4>1048638</vt:i4>
      </vt:variant>
      <vt:variant>
        <vt:i4>344</vt:i4>
      </vt:variant>
      <vt:variant>
        <vt:i4>0</vt:i4>
      </vt:variant>
      <vt:variant>
        <vt:i4>5</vt:i4>
      </vt:variant>
      <vt:variant>
        <vt:lpwstr/>
      </vt:variant>
      <vt:variant>
        <vt:lpwstr>_Toc349335759</vt:lpwstr>
      </vt:variant>
      <vt:variant>
        <vt:i4>1048638</vt:i4>
      </vt:variant>
      <vt:variant>
        <vt:i4>338</vt:i4>
      </vt:variant>
      <vt:variant>
        <vt:i4>0</vt:i4>
      </vt:variant>
      <vt:variant>
        <vt:i4>5</vt:i4>
      </vt:variant>
      <vt:variant>
        <vt:lpwstr/>
      </vt:variant>
      <vt:variant>
        <vt:lpwstr>_Toc349335758</vt:lpwstr>
      </vt:variant>
      <vt:variant>
        <vt:i4>1048638</vt:i4>
      </vt:variant>
      <vt:variant>
        <vt:i4>332</vt:i4>
      </vt:variant>
      <vt:variant>
        <vt:i4>0</vt:i4>
      </vt:variant>
      <vt:variant>
        <vt:i4>5</vt:i4>
      </vt:variant>
      <vt:variant>
        <vt:lpwstr/>
      </vt:variant>
      <vt:variant>
        <vt:lpwstr>_Toc349335757</vt:lpwstr>
      </vt:variant>
      <vt:variant>
        <vt:i4>1048638</vt:i4>
      </vt:variant>
      <vt:variant>
        <vt:i4>326</vt:i4>
      </vt:variant>
      <vt:variant>
        <vt:i4>0</vt:i4>
      </vt:variant>
      <vt:variant>
        <vt:i4>5</vt:i4>
      </vt:variant>
      <vt:variant>
        <vt:lpwstr/>
      </vt:variant>
      <vt:variant>
        <vt:lpwstr>_Toc349335756</vt:lpwstr>
      </vt:variant>
      <vt:variant>
        <vt:i4>1048638</vt:i4>
      </vt:variant>
      <vt:variant>
        <vt:i4>320</vt:i4>
      </vt:variant>
      <vt:variant>
        <vt:i4>0</vt:i4>
      </vt:variant>
      <vt:variant>
        <vt:i4>5</vt:i4>
      </vt:variant>
      <vt:variant>
        <vt:lpwstr/>
      </vt:variant>
      <vt:variant>
        <vt:lpwstr>_Toc349335755</vt:lpwstr>
      </vt:variant>
      <vt:variant>
        <vt:i4>1048638</vt:i4>
      </vt:variant>
      <vt:variant>
        <vt:i4>314</vt:i4>
      </vt:variant>
      <vt:variant>
        <vt:i4>0</vt:i4>
      </vt:variant>
      <vt:variant>
        <vt:i4>5</vt:i4>
      </vt:variant>
      <vt:variant>
        <vt:lpwstr/>
      </vt:variant>
      <vt:variant>
        <vt:lpwstr>_Toc349335754</vt:lpwstr>
      </vt:variant>
      <vt:variant>
        <vt:i4>1048638</vt:i4>
      </vt:variant>
      <vt:variant>
        <vt:i4>308</vt:i4>
      </vt:variant>
      <vt:variant>
        <vt:i4>0</vt:i4>
      </vt:variant>
      <vt:variant>
        <vt:i4>5</vt:i4>
      </vt:variant>
      <vt:variant>
        <vt:lpwstr/>
      </vt:variant>
      <vt:variant>
        <vt:lpwstr>_Toc349335753</vt:lpwstr>
      </vt:variant>
      <vt:variant>
        <vt:i4>1048638</vt:i4>
      </vt:variant>
      <vt:variant>
        <vt:i4>302</vt:i4>
      </vt:variant>
      <vt:variant>
        <vt:i4>0</vt:i4>
      </vt:variant>
      <vt:variant>
        <vt:i4>5</vt:i4>
      </vt:variant>
      <vt:variant>
        <vt:lpwstr/>
      </vt:variant>
      <vt:variant>
        <vt:lpwstr>_Toc349335752</vt:lpwstr>
      </vt:variant>
      <vt:variant>
        <vt:i4>1048638</vt:i4>
      </vt:variant>
      <vt:variant>
        <vt:i4>296</vt:i4>
      </vt:variant>
      <vt:variant>
        <vt:i4>0</vt:i4>
      </vt:variant>
      <vt:variant>
        <vt:i4>5</vt:i4>
      </vt:variant>
      <vt:variant>
        <vt:lpwstr/>
      </vt:variant>
      <vt:variant>
        <vt:lpwstr>_Toc349335751</vt:lpwstr>
      </vt:variant>
      <vt:variant>
        <vt:i4>1048638</vt:i4>
      </vt:variant>
      <vt:variant>
        <vt:i4>290</vt:i4>
      </vt:variant>
      <vt:variant>
        <vt:i4>0</vt:i4>
      </vt:variant>
      <vt:variant>
        <vt:i4>5</vt:i4>
      </vt:variant>
      <vt:variant>
        <vt:lpwstr/>
      </vt:variant>
      <vt:variant>
        <vt:lpwstr>_Toc349335750</vt:lpwstr>
      </vt:variant>
      <vt:variant>
        <vt:i4>1114174</vt:i4>
      </vt:variant>
      <vt:variant>
        <vt:i4>284</vt:i4>
      </vt:variant>
      <vt:variant>
        <vt:i4>0</vt:i4>
      </vt:variant>
      <vt:variant>
        <vt:i4>5</vt:i4>
      </vt:variant>
      <vt:variant>
        <vt:lpwstr/>
      </vt:variant>
      <vt:variant>
        <vt:lpwstr>_Toc349335749</vt:lpwstr>
      </vt:variant>
      <vt:variant>
        <vt:i4>1114174</vt:i4>
      </vt:variant>
      <vt:variant>
        <vt:i4>278</vt:i4>
      </vt:variant>
      <vt:variant>
        <vt:i4>0</vt:i4>
      </vt:variant>
      <vt:variant>
        <vt:i4>5</vt:i4>
      </vt:variant>
      <vt:variant>
        <vt:lpwstr/>
      </vt:variant>
      <vt:variant>
        <vt:lpwstr>_Toc349335748</vt:lpwstr>
      </vt:variant>
      <vt:variant>
        <vt:i4>1114174</vt:i4>
      </vt:variant>
      <vt:variant>
        <vt:i4>272</vt:i4>
      </vt:variant>
      <vt:variant>
        <vt:i4>0</vt:i4>
      </vt:variant>
      <vt:variant>
        <vt:i4>5</vt:i4>
      </vt:variant>
      <vt:variant>
        <vt:lpwstr/>
      </vt:variant>
      <vt:variant>
        <vt:lpwstr>_Toc349335747</vt:lpwstr>
      </vt:variant>
      <vt:variant>
        <vt:i4>1114174</vt:i4>
      </vt:variant>
      <vt:variant>
        <vt:i4>266</vt:i4>
      </vt:variant>
      <vt:variant>
        <vt:i4>0</vt:i4>
      </vt:variant>
      <vt:variant>
        <vt:i4>5</vt:i4>
      </vt:variant>
      <vt:variant>
        <vt:lpwstr/>
      </vt:variant>
      <vt:variant>
        <vt:lpwstr>_Toc349335746</vt:lpwstr>
      </vt:variant>
      <vt:variant>
        <vt:i4>1114174</vt:i4>
      </vt:variant>
      <vt:variant>
        <vt:i4>260</vt:i4>
      </vt:variant>
      <vt:variant>
        <vt:i4>0</vt:i4>
      </vt:variant>
      <vt:variant>
        <vt:i4>5</vt:i4>
      </vt:variant>
      <vt:variant>
        <vt:lpwstr/>
      </vt:variant>
      <vt:variant>
        <vt:lpwstr>_Toc349335745</vt:lpwstr>
      </vt:variant>
      <vt:variant>
        <vt:i4>1114174</vt:i4>
      </vt:variant>
      <vt:variant>
        <vt:i4>254</vt:i4>
      </vt:variant>
      <vt:variant>
        <vt:i4>0</vt:i4>
      </vt:variant>
      <vt:variant>
        <vt:i4>5</vt:i4>
      </vt:variant>
      <vt:variant>
        <vt:lpwstr/>
      </vt:variant>
      <vt:variant>
        <vt:lpwstr>_Toc349335744</vt:lpwstr>
      </vt:variant>
      <vt:variant>
        <vt:i4>1114174</vt:i4>
      </vt:variant>
      <vt:variant>
        <vt:i4>248</vt:i4>
      </vt:variant>
      <vt:variant>
        <vt:i4>0</vt:i4>
      </vt:variant>
      <vt:variant>
        <vt:i4>5</vt:i4>
      </vt:variant>
      <vt:variant>
        <vt:lpwstr/>
      </vt:variant>
      <vt:variant>
        <vt:lpwstr>_Toc349335743</vt:lpwstr>
      </vt:variant>
      <vt:variant>
        <vt:i4>1114174</vt:i4>
      </vt:variant>
      <vt:variant>
        <vt:i4>242</vt:i4>
      </vt:variant>
      <vt:variant>
        <vt:i4>0</vt:i4>
      </vt:variant>
      <vt:variant>
        <vt:i4>5</vt:i4>
      </vt:variant>
      <vt:variant>
        <vt:lpwstr/>
      </vt:variant>
      <vt:variant>
        <vt:lpwstr>_Toc349335742</vt:lpwstr>
      </vt:variant>
      <vt:variant>
        <vt:i4>1114174</vt:i4>
      </vt:variant>
      <vt:variant>
        <vt:i4>236</vt:i4>
      </vt:variant>
      <vt:variant>
        <vt:i4>0</vt:i4>
      </vt:variant>
      <vt:variant>
        <vt:i4>5</vt:i4>
      </vt:variant>
      <vt:variant>
        <vt:lpwstr/>
      </vt:variant>
      <vt:variant>
        <vt:lpwstr>_Toc349335741</vt:lpwstr>
      </vt:variant>
      <vt:variant>
        <vt:i4>1114174</vt:i4>
      </vt:variant>
      <vt:variant>
        <vt:i4>230</vt:i4>
      </vt:variant>
      <vt:variant>
        <vt:i4>0</vt:i4>
      </vt:variant>
      <vt:variant>
        <vt:i4>5</vt:i4>
      </vt:variant>
      <vt:variant>
        <vt:lpwstr/>
      </vt:variant>
      <vt:variant>
        <vt:lpwstr>_Toc349335740</vt:lpwstr>
      </vt:variant>
      <vt:variant>
        <vt:i4>1441854</vt:i4>
      </vt:variant>
      <vt:variant>
        <vt:i4>224</vt:i4>
      </vt:variant>
      <vt:variant>
        <vt:i4>0</vt:i4>
      </vt:variant>
      <vt:variant>
        <vt:i4>5</vt:i4>
      </vt:variant>
      <vt:variant>
        <vt:lpwstr/>
      </vt:variant>
      <vt:variant>
        <vt:lpwstr>_Toc349335739</vt:lpwstr>
      </vt:variant>
      <vt:variant>
        <vt:i4>1441854</vt:i4>
      </vt:variant>
      <vt:variant>
        <vt:i4>218</vt:i4>
      </vt:variant>
      <vt:variant>
        <vt:i4>0</vt:i4>
      </vt:variant>
      <vt:variant>
        <vt:i4>5</vt:i4>
      </vt:variant>
      <vt:variant>
        <vt:lpwstr/>
      </vt:variant>
      <vt:variant>
        <vt:lpwstr>_Toc349335738</vt:lpwstr>
      </vt:variant>
      <vt:variant>
        <vt:i4>1441854</vt:i4>
      </vt:variant>
      <vt:variant>
        <vt:i4>212</vt:i4>
      </vt:variant>
      <vt:variant>
        <vt:i4>0</vt:i4>
      </vt:variant>
      <vt:variant>
        <vt:i4>5</vt:i4>
      </vt:variant>
      <vt:variant>
        <vt:lpwstr/>
      </vt:variant>
      <vt:variant>
        <vt:lpwstr>_Toc349335737</vt:lpwstr>
      </vt:variant>
      <vt:variant>
        <vt:i4>1441854</vt:i4>
      </vt:variant>
      <vt:variant>
        <vt:i4>206</vt:i4>
      </vt:variant>
      <vt:variant>
        <vt:i4>0</vt:i4>
      </vt:variant>
      <vt:variant>
        <vt:i4>5</vt:i4>
      </vt:variant>
      <vt:variant>
        <vt:lpwstr/>
      </vt:variant>
      <vt:variant>
        <vt:lpwstr>_Toc349335736</vt:lpwstr>
      </vt:variant>
      <vt:variant>
        <vt:i4>1441854</vt:i4>
      </vt:variant>
      <vt:variant>
        <vt:i4>200</vt:i4>
      </vt:variant>
      <vt:variant>
        <vt:i4>0</vt:i4>
      </vt:variant>
      <vt:variant>
        <vt:i4>5</vt:i4>
      </vt:variant>
      <vt:variant>
        <vt:lpwstr/>
      </vt:variant>
      <vt:variant>
        <vt:lpwstr>_Toc349335735</vt:lpwstr>
      </vt:variant>
      <vt:variant>
        <vt:i4>1441854</vt:i4>
      </vt:variant>
      <vt:variant>
        <vt:i4>194</vt:i4>
      </vt:variant>
      <vt:variant>
        <vt:i4>0</vt:i4>
      </vt:variant>
      <vt:variant>
        <vt:i4>5</vt:i4>
      </vt:variant>
      <vt:variant>
        <vt:lpwstr/>
      </vt:variant>
      <vt:variant>
        <vt:lpwstr>_Toc349335734</vt:lpwstr>
      </vt:variant>
      <vt:variant>
        <vt:i4>1441854</vt:i4>
      </vt:variant>
      <vt:variant>
        <vt:i4>188</vt:i4>
      </vt:variant>
      <vt:variant>
        <vt:i4>0</vt:i4>
      </vt:variant>
      <vt:variant>
        <vt:i4>5</vt:i4>
      </vt:variant>
      <vt:variant>
        <vt:lpwstr/>
      </vt:variant>
      <vt:variant>
        <vt:lpwstr>_Toc349335733</vt:lpwstr>
      </vt:variant>
      <vt:variant>
        <vt:i4>1441854</vt:i4>
      </vt:variant>
      <vt:variant>
        <vt:i4>182</vt:i4>
      </vt:variant>
      <vt:variant>
        <vt:i4>0</vt:i4>
      </vt:variant>
      <vt:variant>
        <vt:i4>5</vt:i4>
      </vt:variant>
      <vt:variant>
        <vt:lpwstr/>
      </vt:variant>
      <vt:variant>
        <vt:lpwstr>_Toc349335732</vt:lpwstr>
      </vt:variant>
      <vt:variant>
        <vt:i4>1441854</vt:i4>
      </vt:variant>
      <vt:variant>
        <vt:i4>176</vt:i4>
      </vt:variant>
      <vt:variant>
        <vt:i4>0</vt:i4>
      </vt:variant>
      <vt:variant>
        <vt:i4>5</vt:i4>
      </vt:variant>
      <vt:variant>
        <vt:lpwstr/>
      </vt:variant>
      <vt:variant>
        <vt:lpwstr>_Toc349335731</vt:lpwstr>
      </vt:variant>
      <vt:variant>
        <vt:i4>1441854</vt:i4>
      </vt:variant>
      <vt:variant>
        <vt:i4>170</vt:i4>
      </vt:variant>
      <vt:variant>
        <vt:i4>0</vt:i4>
      </vt:variant>
      <vt:variant>
        <vt:i4>5</vt:i4>
      </vt:variant>
      <vt:variant>
        <vt:lpwstr/>
      </vt:variant>
      <vt:variant>
        <vt:lpwstr>_Toc349335730</vt:lpwstr>
      </vt:variant>
      <vt:variant>
        <vt:i4>1507390</vt:i4>
      </vt:variant>
      <vt:variant>
        <vt:i4>164</vt:i4>
      </vt:variant>
      <vt:variant>
        <vt:i4>0</vt:i4>
      </vt:variant>
      <vt:variant>
        <vt:i4>5</vt:i4>
      </vt:variant>
      <vt:variant>
        <vt:lpwstr/>
      </vt:variant>
      <vt:variant>
        <vt:lpwstr>_Toc349335729</vt:lpwstr>
      </vt:variant>
      <vt:variant>
        <vt:i4>1507390</vt:i4>
      </vt:variant>
      <vt:variant>
        <vt:i4>158</vt:i4>
      </vt:variant>
      <vt:variant>
        <vt:i4>0</vt:i4>
      </vt:variant>
      <vt:variant>
        <vt:i4>5</vt:i4>
      </vt:variant>
      <vt:variant>
        <vt:lpwstr/>
      </vt:variant>
      <vt:variant>
        <vt:lpwstr>_Toc349335728</vt:lpwstr>
      </vt:variant>
      <vt:variant>
        <vt:i4>1507390</vt:i4>
      </vt:variant>
      <vt:variant>
        <vt:i4>152</vt:i4>
      </vt:variant>
      <vt:variant>
        <vt:i4>0</vt:i4>
      </vt:variant>
      <vt:variant>
        <vt:i4>5</vt:i4>
      </vt:variant>
      <vt:variant>
        <vt:lpwstr/>
      </vt:variant>
      <vt:variant>
        <vt:lpwstr>_Toc349335727</vt:lpwstr>
      </vt:variant>
      <vt:variant>
        <vt:i4>1507390</vt:i4>
      </vt:variant>
      <vt:variant>
        <vt:i4>146</vt:i4>
      </vt:variant>
      <vt:variant>
        <vt:i4>0</vt:i4>
      </vt:variant>
      <vt:variant>
        <vt:i4>5</vt:i4>
      </vt:variant>
      <vt:variant>
        <vt:lpwstr/>
      </vt:variant>
      <vt:variant>
        <vt:lpwstr>_Toc349335726</vt:lpwstr>
      </vt:variant>
      <vt:variant>
        <vt:i4>1507390</vt:i4>
      </vt:variant>
      <vt:variant>
        <vt:i4>140</vt:i4>
      </vt:variant>
      <vt:variant>
        <vt:i4>0</vt:i4>
      </vt:variant>
      <vt:variant>
        <vt:i4>5</vt:i4>
      </vt:variant>
      <vt:variant>
        <vt:lpwstr/>
      </vt:variant>
      <vt:variant>
        <vt:lpwstr>_Toc349335725</vt:lpwstr>
      </vt:variant>
      <vt:variant>
        <vt:i4>1507390</vt:i4>
      </vt:variant>
      <vt:variant>
        <vt:i4>134</vt:i4>
      </vt:variant>
      <vt:variant>
        <vt:i4>0</vt:i4>
      </vt:variant>
      <vt:variant>
        <vt:i4>5</vt:i4>
      </vt:variant>
      <vt:variant>
        <vt:lpwstr/>
      </vt:variant>
      <vt:variant>
        <vt:lpwstr>_Toc349335724</vt:lpwstr>
      </vt:variant>
      <vt:variant>
        <vt:i4>1507390</vt:i4>
      </vt:variant>
      <vt:variant>
        <vt:i4>128</vt:i4>
      </vt:variant>
      <vt:variant>
        <vt:i4>0</vt:i4>
      </vt:variant>
      <vt:variant>
        <vt:i4>5</vt:i4>
      </vt:variant>
      <vt:variant>
        <vt:lpwstr/>
      </vt:variant>
      <vt:variant>
        <vt:lpwstr>_Toc349335723</vt:lpwstr>
      </vt:variant>
      <vt:variant>
        <vt:i4>1507390</vt:i4>
      </vt:variant>
      <vt:variant>
        <vt:i4>122</vt:i4>
      </vt:variant>
      <vt:variant>
        <vt:i4>0</vt:i4>
      </vt:variant>
      <vt:variant>
        <vt:i4>5</vt:i4>
      </vt:variant>
      <vt:variant>
        <vt:lpwstr/>
      </vt:variant>
      <vt:variant>
        <vt:lpwstr>_Toc349335722</vt:lpwstr>
      </vt:variant>
      <vt:variant>
        <vt:i4>1507390</vt:i4>
      </vt:variant>
      <vt:variant>
        <vt:i4>116</vt:i4>
      </vt:variant>
      <vt:variant>
        <vt:i4>0</vt:i4>
      </vt:variant>
      <vt:variant>
        <vt:i4>5</vt:i4>
      </vt:variant>
      <vt:variant>
        <vt:lpwstr/>
      </vt:variant>
      <vt:variant>
        <vt:lpwstr>_Toc349335721</vt:lpwstr>
      </vt:variant>
      <vt:variant>
        <vt:i4>1507390</vt:i4>
      </vt:variant>
      <vt:variant>
        <vt:i4>110</vt:i4>
      </vt:variant>
      <vt:variant>
        <vt:i4>0</vt:i4>
      </vt:variant>
      <vt:variant>
        <vt:i4>5</vt:i4>
      </vt:variant>
      <vt:variant>
        <vt:lpwstr/>
      </vt:variant>
      <vt:variant>
        <vt:lpwstr>_Toc349335720</vt:lpwstr>
      </vt:variant>
      <vt:variant>
        <vt:i4>1310782</vt:i4>
      </vt:variant>
      <vt:variant>
        <vt:i4>104</vt:i4>
      </vt:variant>
      <vt:variant>
        <vt:i4>0</vt:i4>
      </vt:variant>
      <vt:variant>
        <vt:i4>5</vt:i4>
      </vt:variant>
      <vt:variant>
        <vt:lpwstr/>
      </vt:variant>
      <vt:variant>
        <vt:lpwstr>_Toc349335719</vt:lpwstr>
      </vt:variant>
      <vt:variant>
        <vt:i4>1310782</vt:i4>
      </vt:variant>
      <vt:variant>
        <vt:i4>98</vt:i4>
      </vt:variant>
      <vt:variant>
        <vt:i4>0</vt:i4>
      </vt:variant>
      <vt:variant>
        <vt:i4>5</vt:i4>
      </vt:variant>
      <vt:variant>
        <vt:lpwstr/>
      </vt:variant>
      <vt:variant>
        <vt:lpwstr>_Toc349335718</vt:lpwstr>
      </vt:variant>
      <vt:variant>
        <vt:i4>1310782</vt:i4>
      </vt:variant>
      <vt:variant>
        <vt:i4>92</vt:i4>
      </vt:variant>
      <vt:variant>
        <vt:i4>0</vt:i4>
      </vt:variant>
      <vt:variant>
        <vt:i4>5</vt:i4>
      </vt:variant>
      <vt:variant>
        <vt:lpwstr/>
      </vt:variant>
      <vt:variant>
        <vt:lpwstr>_Toc349335717</vt:lpwstr>
      </vt:variant>
      <vt:variant>
        <vt:i4>1310782</vt:i4>
      </vt:variant>
      <vt:variant>
        <vt:i4>86</vt:i4>
      </vt:variant>
      <vt:variant>
        <vt:i4>0</vt:i4>
      </vt:variant>
      <vt:variant>
        <vt:i4>5</vt:i4>
      </vt:variant>
      <vt:variant>
        <vt:lpwstr/>
      </vt:variant>
      <vt:variant>
        <vt:lpwstr>_Toc349335716</vt:lpwstr>
      </vt:variant>
      <vt:variant>
        <vt:i4>1310782</vt:i4>
      </vt:variant>
      <vt:variant>
        <vt:i4>80</vt:i4>
      </vt:variant>
      <vt:variant>
        <vt:i4>0</vt:i4>
      </vt:variant>
      <vt:variant>
        <vt:i4>5</vt:i4>
      </vt:variant>
      <vt:variant>
        <vt:lpwstr/>
      </vt:variant>
      <vt:variant>
        <vt:lpwstr>_Toc349335715</vt:lpwstr>
      </vt:variant>
      <vt:variant>
        <vt:i4>1310782</vt:i4>
      </vt:variant>
      <vt:variant>
        <vt:i4>74</vt:i4>
      </vt:variant>
      <vt:variant>
        <vt:i4>0</vt:i4>
      </vt:variant>
      <vt:variant>
        <vt:i4>5</vt:i4>
      </vt:variant>
      <vt:variant>
        <vt:lpwstr/>
      </vt:variant>
      <vt:variant>
        <vt:lpwstr>_Toc349335714</vt:lpwstr>
      </vt:variant>
      <vt:variant>
        <vt:i4>1310782</vt:i4>
      </vt:variant>
      <vt:variant>
        <vt:i4>68</vt:i4>
      </vt:variant>
      <vt:variant>
        <vt:i4>0</vt:i4>
      </vt:variant>
      <vt:variant>
        <vt:i4>5</vt:i4>
      </vt:variant>
      <vt:variant>
        <vt:lpwstr/>
      </vt:variant>
      <vt:variant>
        <vt:lpwstr>_Toc349335713</vt:lpwstr>
      </vt:variant>
      <vt:variant>
        <vt:i4>1310782</vt:i4>
      </vt:variant>
      <vt:variant>
        <vt:i4>62</vt:i4>
      </vt:variant>
      <vt:variant>
        <vt:i4>0</vt:i4>
      </vt:variant>
      <vt:variant>
        <vt:i4>5</vt:i4>
      </vt:variant>
      <vt:variant>
        <vt:lpwstr/>
      </vt:variant>
      <vt:variant>
        <vt:lpwstr>_Toc349335712</vt:lpwstr>
      </vt:variant>
      <vt:variant>
        <vt:i4>1310782</vt:i4>
      </vt:variant>
      <vt:variant>
        <vt:i4>56</vt:i4>
      </vt:variant>
      <vt:variant>
        <vt:i4>0</vt:i4>
      </vt:variant>
      <vt:variant>
        <vt:i4>5</vt:i4>
      </vt:variant>
      <vt:variant>
        <vt:lpwstr/>
      </vt:variant>
      <vt:variant>
        <vt:lpwstr>_Toc349335711</vt:lpwstr>
      </vt:variant>
      <vt:variant>
        <vt:i4>1310782</vt:i4>
      </vt:variant>
      <vt:variant>
        <vt:i4>50</vt:i4>
      </vt:variant>
      <vt:variant>
        <vt:i4>0</vt:i4>
      </vt:variant>
      <vt:variant>
        <vt:i4>5</vt:i4>
      </vt:variant>
      <vt:variant>
        <vt:lpwstr/>
      </vt:variant>
      <vt:variant>
        <vt:lpwstr>_Toc349335710</vt:lpwstr>
      </vt:variant>
      <vt:variant>
        <vt:i4>1376318</vt:i4>
      </vt:variant>
      <vt:variant>
        <vt:i4>44</vt:i4>
      </vt:variant>
      <vt:variant>
        <vt:i4>0</vt:i4>
      </vt:variant>
      <vt:variant>
        <vt:i4>5</vt:i4>
      </vt:variant>
      <vt:variant>
        <vt:lpwstr/>
      </vt:variant>
      <vt:variant>
        <vt:lpwstr>_Toc349335709</vt:lpwstr>
      </vt:variant>
      <vt:variant>
        <vt:i4>1376318</vt:i4>
      </vt:variant>
      <vt:variant>
        <vt:i4>38</vt:i4>
      </vt:variant>
      <vt:variant>
        <vt:i4>0</vt:i4>
      </vt:variant>
      <vt:variant>
        <vt:i4>5</vt:i4>
      </vt:variant>
      <vt:variant>
        <vt:lpwstr/>
      </vt:variant>
      <vt:variant>
        <vt:lpwstr>_Toc349335708</vt:lpwstr>
      </vt:variant>
      <vt:variant>
        <vt:i4>1376318</vt:i4>
      </vt:variant>
      <vt:variant>
        <vt:i4>32</vt:i4>
      </vt:variant>
      <vt:variant>
        <vt:i4>0</vt:i4>
      </vt:variant>
      <vt:variant>
        <vt:i4>5</vt:i4>
      </vt:variant>
      <vt:variant>
        <vt:lpwstr/>
      </vt:variant>
      <vt:variant>
        <vt:lpwstr>_Toc349335707</vt:lpwstr>
      </vt:variant>
      <vt:variant>
        <vt:i4>1376318</vt:i4>
      </vt:variant>
      <vt:variant>
        <vt:i4>26</vt:i4>
      </vt:variant>
      <vt:variant>
        <vt:i4>0</vt:i4>
      </vt:variant>
      <vt:variant>
        <vt:i4>5</vt:i4>
      </vt:variant>
      <vt:variant>
        <vt:lpwstr/>
      </vt:variant>
      <vt:variant>
        <vt:lpwstr>_Toc349335706</vt:lpwstr>
      </vt:variant>
      <vt:variant>
        <vt:i4>1376318</vt:i4>
      </vt:variant>
      <vt:variant>
        <vt:i4>20</vt:i4>
      </vt:variant>
      <vt:variant>
        <vt:i4>0</vt:i4>
      </vt:variant>
      <vt:variant>
        <vt:i4>5</vt:i4>
      </vt:variant>
      <vt:variant>
        <vt:lpwstr/>
      </vt:variant>
      <vt:variant>
        <vt:lpwstr>_Toc349335705</vt:lpwstr>
      </vt:variant>
      <vt:variant>
        <vt:i4>1376318</vt:i4>
      </vt:variant>
      <vt:variant>
        <vt:i4>14</vt:i4>
      </vt:variant>
      <vt:variant>
        <vt:i4>0</vt:i4>
      </vt:variant>
      <vt:variant>
        <vt:i4>5</vt:i4>
      </vt:variant>
      <vt:variant>
        <vt:lpwstr/>
      </vt:variant>
      <vt:variant>
        <vt:lpwstr>_Toc349335704</vt:lpwstr>
      </vt:variant>
      <vt:variant>
        <vt:i4>1376318</vt:i4>
      </vt:variant>
      <vt:variant>
        <vt:i4>8</vt:i4>
      </vt:variant>
      <vt:variant>
        <vt:i4>0</vt:i4>
      </vt:variant>
      <vt:variant>
        <vt:i4>5</vt:i4>
      </vt:variant>
      <vt:variant>
        <vt:lpwstr/>
      </vt:variant>
      <vt:variant>
        <vt:lpwstr>_Toc349335703</vt:lpwstr>
      </vt:variant>
      <vt:variant>
        <vt:i4>1376318</vt:i4>
      </vt:variant>
      <vt:variant>
        <vt:i4>2</vt:i4>
      </vt:variant>
      <vt:variant>
        <vt:i4>0</vt:i4>
      </vt:variant>
      <vt:variant>
        <vt:i4>5</vt:i4>
      </vt:variant>
      <vt:variant>
        <vt:lpwstr/>
      </vt:variant>
      <vt:variant>
        <vt:lpwstr>_Toc349335702</vt:lpwstr>
      </vt:variant>
      <vt:variant>
        <vt:i4>5636121</vt:i4>
      </vt:variant>
      <vt:variant>
        <vt:i4>99</vt:i4>
      </vt:variant>
      <vt:variant>
        <vt:i4>0</vt:i4>
      </vt:variant>
      <vt:variant>
        <vt:i4>5</vt:i4>
      </vt:variant>
      <vt:variant>
        <vt:lpwstr>http://www.dioxin20xx.org/pdfs/2012/1368.pdf</vt:lpwstr>
      </vt:variant>
      <vt:variant>
        <vt:lpwstr/>
      </vt:variant>
      <vt:variant>
        <vt:i4>5701724</vt:i4>
      </vt:variant>
      <vt:variant>
        <vt:i4>96</vt:i4>
      </vt:variant>
      <vt:variant>
        <vt:i4>0</vt:i4>
      </vt:variant>
      <vt:variant>
        <vt:i4>5</vt:i4>
      </vt:variant>
      <vt:variant>
        <vt:lpwstr>http://pubs.acs.org/doi/pdfplus/10.1021/es2007462</vt:lpwstr>
      </vt:variant>
      <vt:variant>
        <vt:lpwstr/>
      </vt:variant>
      <vt:variant>
        <vt:i4>5832728</vt:i4>
      </vt:variant>
      <vt:variant>
        <vt:i4>93</vt:i4>
      </vt:variant>
      <vt:variant>
        <vt:i4>0</vt:i4>
      </vt:variant>
      <vt:variant>
        <vt:i4>5</vt:i4>
      </vt:variant>
      <vt:variant>
        <vt:lpwstr>http://www.dioxin20xx.org/pdfs/2011/4511.pdf</vt:lpwstr>
      </vt:variant>
      <vt:variant>
        <vt:lpwstr/>
      </vt:variant>
      <vt:variant>
        <vt:i4>6094878</vt:i4>
      </vt:variant>
      <vt:variant>
        <vt:i4>90</vt:i4>
      </vt:variant>
      <vt:variant>
        <vt:i4>0</vt:i4>
      </vt:variant>
      <vt:variant>
        <vt:i4>5</vt:i4>
      </vt:variant>
      <vt:variant>
        <vt:lpwstr>http://www.dioxin20xx.org/pdfs/2011/3101.pdf</vt:lpwstr>
      </vt:variant>
      <vt:variant>
        <vt:lpwstr/>
      </vt:variant>
      <vt:variant>
        <vt:i4>7798820</vt:i4>
      </vt:variant>
      <vt:variant>
        <vt:i4>87</vt:i4>
      </vt:variant>
      <vt:variant>
        <vt:i4>0</vt:i4>
      </vt:variant>
      <vt:variant>
        <vt:i4>5</vt:i4>
      </vt:variant>
      <vt:variant>
        <vt:lpwstr>http://www.bfr2010.com/abstract-download/2010/90004.pdf</vt:lpwstr>
      </vt:variant>
      <vt:variant>
        <vt:lpwstr/>
      </vt:variant>
      <vt:variant>
        <vt:i4>6094876</vt:i4>
      </vt:variant>
      <vt:variant>
        <vt:i4>84</vt:i4>
      </vt:variant>
      <vt:variant>
        <vt:i4>0</vt:i4>
      </vt:variant>
      <vt:variant>
        <vt:i4>5</vt:i4>
      </vt:variant>
      <vt:variant>
        <vt:lpwstr>http://www.dioxin20xx.org/pdfs/2011/1909.pdf</vt:lpwstr>
      </vt:variant>
      <vt:variant>
        <vt:lpwstr/>
      </vt:variant>
      <vt:variant>
        <vt:i4>6094876</vt:i4>
      </vt:variant>
      <vt:variant>
        <vt:i4>81</vt:i4>
      </vt:variant>
      <vt:variant>
        <vt:i4>0</vt:i4>
      </vt:variant>
      <vt:variant>
        <vt:i4>5</vt:i4>
      </vt:variant>
      <vt:variant>
        <vt:lpwstr>http://www.dioxin20xx.org/pdfs/2011/1909.pdf</vt:lpwstr>
      </vt:variant>
      <vt:variant>
        <vt:lpwstr/>
      </vt:variant>
      <vt:variant>
        <vt:i4>6946927</vt:i4>
      </vt:variant>
      <vt:variant>
        <vt:i4>78</vt:i4>
      </vt:variant>
      <vt:variant>
        <vt:i4>0</vt:i4>
      </vt:variant>
      <vt:variant>
        <vt:i4>5</vt:i4>
      </vt:variant>
      <vt:variant>
        <vt:lpwstr>http://ewasteguide.info/files/Waeger_2010_Empa-WEEEForum.pdf</vt:lpwstr>
      </vt:variant>
      <vt:variant>
        <vt:lpwstr/>
      </vt:variant>
      <vt:variant>
        <vt:i4>6946927</vt:i4>
      </vt:variant>
      <vt:variant>
        <vt:i4>75</vt:i4>
      </vt:variant>
      <vt:variant>
        <vt:i4>0</vt:i4>
      </vt:variant>
      <vt:variant>
        <vt:i4>5</vt:i4>
      </vt:variant>
      <vt:variant>
        <vt:lpwstr>http://ewasteguide.info/files/Waeger_2010_Empa-WEEEForum.pdf</vt:lpwstr>
      </vt:variant>
      <vt:variant>
        <vt:lpwstr/>
      </vt:variant>
      <vt:variant>
        <vt:i4>917534</vt:i4>
      </vt:variant>
      <vt:variant>
        <vt:i4>72</vt:i4>
      </vt:variant>
      <vt:variant>
        <vt:i4>0</vt:i4>
      </vt:variant>
      <vt:variant>
        <vt:i4>5</vt:i4>
      </vt:variant>
      <vt:variant>
        <vt:lpwstr>http://www.science.uva.nl/sites/perfood/images/stories/docman/issue 2 incl jana 2011.pdf</vt:lpwstr>
      </vt:variant>
      <vt:variant>
        <vt:lpwstr/>
      </vt:variant>
      <vt:variant>
        <vt:i4>5505033</vt:i4>
      </vt:variant>
      <vt:variant>
        <vt:i4>69</vt:i4>
      </vt:variant>
      <vt:variant>
        <vt:i4>0</vt:i4>
      </vt:variant>
      <vt:variant>
        <vt:i4>5</vt:i4>
      </vt:variant>
      <vt:variant>
        <vt:lpwstr>http://www.klif.no/publikasjoner/2578/ta2578.pdf</vt:lpwstr>
      </vt:variant>
      <vt:variant>
        <vt:lpwstr/>
      </vt:variant>
      <vt:variant>
        <vt:i4>524292</vt:i4>
      </vt:variant>
      <vt:variant>
        <vt:i4>66</vt:i4>
      </vt:variant>
      <vt:variant>
        <vt:i4>0</vt:i4>
      </vt:variant>
      <vt:variant>
        <vt:i4>5</vt:i4>
      </vt:variant>
      <vt:variant>
        <vt:lpwstr>http://www.oecd.org/env/48125746.pdf</vt:lpwstr>
      </vt:variant>
      <vt:variant>
        <vt:lpwstr/>
      </vt:variant>
      <vt:variant>
        <vt:i4>5767193</vt:i4>
      </vt:variant>
      <vt:variant>
        <vt:i4>63</vt:i4>
      </vt:variant>
      <vt:variant>
        <vt:i4>0</vt:i4>
      </vt:variant>
      <vt:variant>
        <vt:i4>5</vt:i4>
      </vt:variant>
      <vt:variant>
        <vt:lpwstr>http://www.dioxin20xx.org/pdfs/2011/4702.pdf</vt:lpwstr>
      </vt:variant>
      <vt:variant>
        <vt:lpwstr/>
      </vt:variant>
      <vt:variant>
        <vt:i4>5242909</vt:i4>
      </vt:variant>
      <vt:variant>
        <vt:i4>60</vt:i4>
      </vt:variant>
      <vt:variant>
        <vt:i4>0</vt:i4>
      </vt:variant>
      <vt:variant>
        <vt:i4>5</vt:i4>
      </vt:variant>
      <vt:variant>
        <vt:lpwstr>http://www.dioxin20xx.org/pdfs/2011/0805.pdf</vt:lpwstr>
      </vt:variant>
      <vt:variant>
        <vt:lpwstr/>
      </vt:variant>
      <vt:variant>
        <vt:i4>7536658</vt:i4>
      </vt:variant>
      <vt:variant>
        <vt:i4>57</vt:i4>
      </vt:variant>
      <vt:variant>
        <vt:i4>0</vt:i4>
      </vt:variant>
      <vt:variant>
        <vt:i4>5</vt:i4>
      </vt:variant>
      <vt:variant>
        <vt:lpwstr>http://www.norden.org/en/publications/publikationer/2005-568/at_download/publicationfile</vt:lpwstr>
      </vt:variant>
      <vt:variant>
        <vt:lpwstr/>
      </vt:variant>
      <vt:variant>
        <vt:i4>6619197</vt:i4>
      </vt:variant>
      <vt:variant>
        <vt:i4>54</vt:i4>
      </vt:variant>
      <vt:variant>
        <vt:i4>0</vt:i4>
      </vt:variant>
      <vt:variant>
        <vt:i4>5</vt:i4>
      </vt:variant>
      <vt:variant>
        <vt:lpwstr>http://www.dioxin20xx.org/pdfs/2005/05-498.pdf</vt:lpwstr>
      </vt:variant>
      <vt:variant>
        <vt:lpwstr/>
      </vt:variant>
      <vt:variant>
        <vt:i4>6225944</vt:i4>
      </vt:variant>
      <vt:variant>
        <vt:i4>51</vt:i4>
      </vt:variant>
      <vt:variant>
        <vt:i4>0</vt:i4>
      </vt:variant>
      <vt:variant>
        <vt:i4>5</vt:i4>
      </vt:variant>
      <vt:variant>
        <vt:lpwstr>http://www.dioxin20xx.org/pdfs/2011/5002.pdf</vt:lpwstr>
      </vt:variant>
      <vt:variant>
        <vt:lpwstr/>
      </vt:variant>
      <vt:variant>
        <vt:i4>8126502</vt:i4>
      </vt:variant>
      <vt:variant>
        <vt:i4>48</vt:i4>
      </vt:variant>
      <vt:variant>
        <vt:i4>0</vt:i4>
      </vt:variant>
      <vt:variant>
        <vt:i4>5</vt:i4>
      </vt:variant>
      <vt:variant>
        <vt:lpwstr>http://chm.pops.int/Convention/POPsReviewCommittee/POPRCMeetings/POPRC6/POPRC6Documents/tabid/783/Default.aspx</vt:lpwstr>
      </vt:variant>
      <vt:variant>
        <vt:lpwstr/>
      </vt:variant>
      <vt:variant>
        <vt:i4>2490465</vt:i4>
      </vt:variant>
      <vt:variant>
        <vt:i4>45</vt:i4>
      </vt:variant>
      <vt:variant>
        <vt:i4>0</vt:i4>
      </vt:variant>
      <vt:variant>
        <vt:i4>5</vt:i4>
      </vt:variant>
      <vt:variant>
        <vt:lpwstr>http://www.meriresearch.org/Portals/0/Documents/01-REH 25(4)2010 SHAW FINAL printed.pdf</vt:lpwstr>
      </vt:variant>
      <vt:variant>
        <vt:lpwstr/>
      </vt:variant>
      <vt:variant>
        <vt:i4>8126502</vt:i4>
      </vt:variant>
      <vt:variant>
        <vt:i4>42</vt:i4>
      </vt:variant>
      <vt:variant>
        <vt:i4>0</vt:i4>
      </vt:variant>
      <vt:variant>
        <vt:i4>5</vt:i4>
      </vt:variant>
      <vt:variant>
        <vt:lpwstr>http://chm.pops.int/Convention/POPsReviewCommittee/POPRCMeetings/POPRC6/POPRC6Documents/tabid/783/Default.aspx</vt:lpwstr>
      </vt:variant>
      <vt:variant>
        <vt:lpwstr/>
      </vt:variant>
      <vt:variant>
        <vt:i4>6881333</vt:i4>
      </vt:variant>
      <vt:variant>
        <vt:i4>39</vt:i4>
      </vt:variant>
      <vt:variant>
        <vt:i4>0</vt:i4>
      </vt:variant>
      <vt:variant>
        <vt:i4>5</vt:i4>
      </vt:variant>
      <vt:variant>
        <vt:lpwstr>http://www.dioxin20xx.org/pdfs/2007/07-634.pdf</vt:lpwstr>
      </vt:variant>
      <vt:variant>
        <vt:lpwstr/>
      </vt:variant>
      <vt:variant>
        <vt:i4>3080254</vt:i4>
      </vt:variant>
      <vt:variant>
        <vt:i4>36</vt:i4>
      </vt:variant>
      <vt:variant>
        <vt:i4>0</vt:i4>
      </vt:variant>
      <vt:variant>
        <vt:i4>5</vt:i4>
      </vt:variant>
      <vt:variant>
        <vt:lpwstr>http://www.epa.gov/region4/water/PFCindex.html</vt:lpwstr>
      </vt:variant>
      <vt:variant>
        <vt:lpwstr/>
      </vt:variant>
      <vt:variant>
        <vt:i4>5963869</vt:i4>
      </vt:variant>
      <vt:variant>
        <vt:i4>33</vt:i4>
      </vt:variant>
      <vt:variant>
        <vt:i4>0</vt:i4>
      </vt:variant>
      <vt:variant>
        <vt:i4>5</vt:i4>
      </vt:variant>
      <vt:variant>
        <vt:lpwstr>http://www.springerlink.com/content/k1635458q81135h2/fulltext.pdf</vt:lpwstr>
      </vt:variant>
      <vt:variant>
        <vt:lpwstr/>
      </vt:variant>
      <vt:variant>
        <vt:i4>3145784</vt:i4>
      </vt:variant>
      <vt:variant>
        <vt:i4>30</vt:i4>
      </vt:variant>
      <vt:variant>
        <vt:i4>0</vt:i4>
      </vt:variant>
      <vt:variant>
        <vt:i4>5</vt:i4>
      </vt:variant>
      <vt:variant>
        <vt:lpwstr>http://www.dioxin20xx.org/pdfs/2010/10-1507.pdf</vt:lpwstr>
      </vt:variant>
      <vt:variant>
        <vt:lpwstr/>
      </vt:variant>
      <vt:variant>
        <vt:i4>5963869</vt:i4>
      </vt:variant>
      <vt:variant>
        <vt:i4>27</vt:i4>
      </vt:variant>
      <vt:variant>
        <vt:i4>0</vt:i4>
      </vt:variant>
      <vt:variant>
        <vt:i4>5</vt:i4>
      </vt:variant>
      <vt:variant>
        <vt:lpwstr>http://www.springerlink.com/content/k1635458q81135h2/fulltext.pdf</vt:lpwstr>
      </vt:variant>
      <vt:variant>
        <vt:lpwstr/>
      </vt:variant>
      <vt:variant>
        <vt:i4>3342456</vt:i4>
      </vt:variant>
      <vt:variant>
        <vt:i4>24</vt:i4>
      </vt:variant>
      <vt:variant>
        <vt:i4>0</vt:i4>
      </vt:variant>
      <vt:variant>
        <vt:i4>5</vt:i4>
      </vt:variant>
      <vt:variant>
        <vt:lpwstr>http://www.epa.gov/osw/hazard/testmethods/sw846/pdfs/8290a.pdf</vt:lpwstr>
      </vt:variant>
      <vt:variant>
        <vt:lpwstr/>
      </vt:variant>
      <vt:variant>
        <vt:i4>6225944</vt:i4>
      </vt:variant>
      <vt:variant>
        <vt:i4>21</vt:i4>
      </vt:variant>
      <vt:variant>
        <vt:i4>0</vt:i4>
      </vt:variant>
      <vt:variant>
        <vt:i4>5</vt:i4>
      </vt:variant>
      <vt:variant>
        <vt:lpwstr>http://www.dioxin20xx.org/pdfs/2011/5002.pdf</vt:lpwstr>
      </vt:variant>
      <vt:variant>
        <vt:lpwstr/>
      </vt:variant>
      <vt:variant>
        <vt:i4>6619197</vt:i4>
      </vt:variant>
      <vt:variant>
        <vt:i4>18</vt:i4>
      </vt:variant>
      <vt:variant>
        <vt:i4>0</vt:i4>
      </vt:variant>
      <vt:variant>
        <vt:i4>5</vt:i4>
      </vt:variant>
      <vt:variant>
        <vt:lpwstr>http://www.dioxin20xx.org/pdfs/2009/09-454.pdf</vt:lpwstr>
      </vt:variant>
      <vt:variant>
        <vt:lpwstr/>
      </vt:variant>
      <vt:variant>
        <vt:i4>5439523</vt:i4>
      </vt:variant>
      <vt:variant>
        <vt:i4>15</vt:i4>
      </vt:variant>
      <vt:variant>
        <vt:i4>0</vt:i4>
      </vt:variant>
      <vt:variant>
        <vt:i4>5</vt:i4>
      </vt:variant>
      <vt:variant>
        <vt:lpwstr>http://www2.shimadzu.com/applications/gcms/Appl_GCMS_PBDE_07C_070_en.pdf</vt:lpwstr>
      </vt:variant>
      <vt:variant>
        <vt:lpwstr/>
      </vt:variant>
      <vt:variant>
        <vt:i4>1966130</vt:i4>
      </vt:variant>
      <vt:variant>
        <vt:i4>12</vt:i4>
      </vt:variant>
      <vt:variant>
        <vt:i4>0</vt:i4>
      </vt:variant>
      <vt:variant>
        <vt:i4>5</vt:i4>
      </vt:variant>
      <vt:variant>
        <vt:lpwstr>http://water.epa.gov/scitech/methods/cwa/bioindicators/upload/2007_09_11_methods_method_1614.pdf</vt:lpwstr>
      </vt:variant>
      <vt:variant>
        <vt:lpwstr/>
      </vt:variant>
      <vt:variant>
        <vt:i4>6750249</vt:i4>
      </vt:variant>
      <vt:variant>
        <vt:i4>9</vt:i4>
      </vt:variant>
      <vt:variant>
        <vt:i4>0</vt:i4>
      </vt:variant>
      <vt:variant>
        <vt:i4>5</vt:i4>
      </vt:variant>
      <vt:variant>
        <vt:lpwstr>http://ewasteguide.info/files/Waeger_2010_Empa  WEEEForum.pdf</vt:lpwstr>
      </vt:variant>
      <vt:variant>
        <vt:lpwstr/>
      </vt:variant>
      <vt:variant>
        <vt:i4>6160459</vt:i4>
      </vt:variant>
      <vt:variant>
        <vt:i4>6</vt:i4>
      </vt:variant>
      <vt:variant>
        <vt:i4>0</vt:i4>
      </vt:variant>
      <vt:variant>
        <vt:i4>5</vt:i4>
      </vt:variant>
      <vt:variant>
        <vt:lpwstr>http://www.epa.gov/microbes/documents/Method 537_FINAL_rev1.1.pdf</vt:lpwstr>
      </vt:variant>
      <vt:variant>
        <vt:lpwstr/>
      </vt:variant>
      <vt:variant>
        <vt:i4>6553651</vt:i4>
      </vt:variant>
      <vt:variant>
        <vt:i4>3</vt:i4>
      </vt:variant>
      <vt:variant>
        <vt:i4>0</vt:i4>
      </vt:variant>
      <vt:variant>
        <vt:i4>5</vt:i4>
      </vt:variant>
      <vt:variant>
        <vt:lpwstr>http://www.evs.ee/preview/cen-ts-15968-2010-en.pdf</vt:lpwstr>
      </vt:variant>
      <vt:variant>
        <vt:lpwstr/>
      </vt:variant>
      <vt:variant>
        <vt:i4>1638413</vt:i4>
      </vt:variant>
      <vt:variant>
        <vt:i4>0</vt:i4>
      </vt:variant>
      <vt:variant>
        <vt:i4>0</vt:i4>
      </vt:variant>
      <vt:variant>
        <vt:i4>5</vt:i4>
      </vt:variant>
      <vt:variant>
        <vt:lpwstr>http://www.ivv.fraunhofer.de/no_html/gf3_29.pdf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mlim</dc:creator>
  <cp:lastModifiedBy>jalvarez</cp:lastModifiedBy>
  <cp:revision>3</cp:revision>
  <cp:lastPrinted>2012-06-13T15:37:00Z</cp:lastPrinted>
  <dcterms:created xsi:type="dcterms:W3CDTF">2014-12-12T08:49:00Z</dcterms:created>
  <dcterms:modified xsi:type="dcterms:W3CDTF">2015-02-05T08:15:00Z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-700899100</vt:i4>
  </property>
</Properties>
</file>