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C6C07" w14:textId="77777777" w:rsidR="00265F9C" w:rsidRPr="00711EF0" w:rsidRDefault="008821B5" w:rsidP="00711EF0">
      <w:pPr>
        <w:spacing w:after="0" w:line="240" w:lineRule="auto"/>
        <w:jc w:val="center"/>
        <w:rPr>
          <w:rFonts w:ascii="Times New Roman" w:eastAsia="Times New Roman" w:hAnsi="Times New Roman" w:cs="Times New Roman"/>
          <w:b/>
          <w:color w:val="000000"/>
          <w:lang w:val="en-US" w:eastAsia="en-CA"/>
        </w:rPr>
      </w:pPr>
      <w:r w:rsidRPr="008821B5">
        <w:rPr>
          <w:rFonts w:ascii="Times New Roman" w:eastAsia="Times New Roman" w:hAnsi="Times New Roman" w:cs="Times New Roman"/>
          <w:b/>
          <w:color w:val="000000"/>
          <w:lang w:val="en-US" w:eastAsia="en-CA"/>
        </w:rPr>
        <w:t xml:space="preserve">Comments and responses on </w:t>
      </w:r>
      <w:r w:rsidR="00711EF0">
        <w:rPr>
          <w:rFonts w:ascii="Times New Roman" w:eastAsia="Times New Roman" w:hAnsi="Times New Roman" w:cs="Times New Roman"/>
          <w:b/>
          <w:color w:val="000000"/>
          <w:lang w:val="en-US" w:eastAsia="en-CA"/>
        </w:rPr>
        <w:t xml:space="preserve">the </w:t>
      </w:r>
      <w:r w:rsidR="00F72C3D" w:rsidRPr="00F72C3D">
        <w:rPr>
          <w:rFonts w:ascii="Times New Roman" w:eastAsia="Times New Roman" w:hAnsi="Times New Roman" w:cs="Times New Roman"/>
          <w:b/>
          <w:color w:val="000000"/>
          <w:lang w:val="en-US" w:eastAsia="en-CA"/>
        </w:rPr>
        <w:t>Draft guidance on sampling, screening and analysis of persistent organic pollutants in products and articles (2013) </w:t>
      </w:r>
    </w:p>
    <w:p w14:paraId="30391D10" w14:textId="77777777" w:rsidR="00265F9C" w:rsidRPr="00265F9C" w:rsidRDefault="00265F9C" w:rsidP="00265F9C">
      <w:pPr>
        <w:spacing w:after="0" w:line="240" w:lineRule="auto"/>
        <w:rPr>
          <w:rFonts w:ascii="Symbol" w:eastAsia="Times New Roman" w:hAnsi="Symbol" w:cs="Times New Roman"/>
          <w:b/>
          <w:sz w:val="28"/>
          <w:szCs w:val="28"/>
          <w:lang w:eastAsia="en-CA"/>
        </w:rPr>
      </w:pPr>
    </w:p>
    <w:tbl>
      <w:tblPr>
        <w:tblStyle w:val="TableGrid"/>
        <w:tblW w:w="13176" w:type="dxa"/>
        <w:tblLayout w:type="fixed"/>
        <w:tblLook w:val="04A0" w:firstRow="1" w:lastRow="0" w:firstColumn="1" w:lastColumn="0" w:noHBand="0" w:noVBand="1"/>
      </w:tblPr>
      <w:tblGrid>
        <w:gridCol w:w="1098"/>
        <w:gridCol w:w="1710"/>
        <w:gridCol w:w="7200"/>
        <w:gridCol w:w="3168"/>
      </w:tblGrid>
      <w:tr w:rsidR="008821B5" w:rsidRPr="009037BE" w14:paraId="23C03360" w14:textId="77777777" w:rsidTr="00056CA4">
        <w:trPr>
          <w:tblHeader/>
        </w:trPr>
        <w:tc>
          <w:tcPr>
            <w:tcW w:w="1098" w:type="dxa"/>
            <w:vAlign w:val="center"/>
          </w:tcPr>
          <w:p w14:paraId="1A1CC475" w14:textId="77777777" w:rsidR="008821B5" w:rsidRPr="0038717E" w:rsidRDefault="008821B5" w:rsidP="001E6201">
            <w:pPr>
              <w:jc w:val="center"/>
              <w:rPr>
                <w:rFonts w:ascii="Times New Roman" w:hAnsi="Times New Roman" w:cs="Times New Roman"/>
                <w:b/>
                <w:sz w:val="20"/>
                <w:szCs w:val="20"/>
              </w:rPr>
            </w:pPr>
            <w:r w:rsidRPr="0038717E">
              <w:rPr>
                <w:rFonts w:ascii="Times New Roman" w:hAnsi="Times New Roman" w:cs="Times New Roman"/>
                <w:b/>
                <w:sz w:val="20"/>
                <w:szCs w:val="20"/>
              </w:rPr>
              <w:t>Origin</w:t>
            </w:r>
          </w:p>
        </w:tc>
        <w:tc>
          <w:tcPr>
            <w:tcW w:w="1710" w:type="dxa"/>
          </w:tcPr>
          <w:p w14:paraId="5CA98795" w14:textId="77777777" w:rsidR="008821B5" w:rsidRPr="009037BE" w:rsidRDefault="008821B5" w:rsidP="001E6201">
            <w:pPr>
              <w:rPr>
                <w:rFonts w:ascii="Times New Roman" w:hAnsi="Times New Roman" w:cs="Times New Roman"/>
                <w:b/>
                <w:sz w:val="20"/>
                <w:szCs w:val="20"/>
              </w:rPr>
            </w:pPr>
            <w:r w:rsidRPr="009037BE">
              <w:rPr>
                <w:rFonts w:ascii="Times New Roman" w:hAnsi="Times New Roman" w:cs="Times New Roman"/>
                <w:b/>
                <w:sz w:val="20"/>
                <w:szCs w:val="20"/>
              </w:rPr>
              <w:t>Issue area</w:t>
            </w:r>
          </w:p>
        </w:tc>
        <w:tc>
          <w:tcPr>
            <w:tcW w:w="7200" w:type="dxa"/>
          </w:tcPr>
          <w:p w14:paraId="6EC3391E" w14:textId="77777777" w:rsidR="008821B5" w:rsidRPr="009037BE" w:rsidRDefault="008821B5" w:rsidP="001E6201">
            <w:pPr>
              <w:rPr>
                <w:rFonts w:ascii="Times New Roman" w:hAnsi="Times New Roman" w:cs="Times New Roman"/>
                <w:b/>
                <w:sz w:val="20"/>
                <w:szCs w:val="20"/>
              </w:rPr>
            </w:pPr>
            <w:r w:rsidRPr="009037BE">
              <w:rPr>
                <w:rFonts w:ascii="Times New Roman" w:hAnsi="Times New Roman" w:cs="Times New Roman"/>
                <w:b/>
                <w:sz w:val="20"/>
                <w:szCs w:val="20"/>
              </w:rPr>
              <w:t>Comment</w:t>
            </w:r>
          </w:p>
        </w:tc>
        <w:tc>
          <w:tcPr>
            <w:tcW w:w="3168" w:type="dxa"/>
          </w:tcPr>
          <w:p w14:paraId="52731382" w14:textId="77777777" w:rsidR="008821B5" w:rsidRPr="009037BE" w:rsidRDefault="008821B5" w:rsidP="001E6201">
            <w:pPr>
              <w:rPr>
                <w:rFonts w:ascii="Times New Roman" w:hAnsi="Times New Roman" w:cs="Times New Roman"/>
                <w:b/>
                <w:sz w:val="20"/>
                <w:szCs w:val="20"/>
              </w:rPr>
            </w:pPr>
            <w:r w:rsidRPr="009037BE">
              <w:rPr>
                <w:rFonts w:ascii="Times New Roman" w:hAnsi="Times New Roman" w:cs="Times New Roman"/>
                <w:b/>
                <w:sz w:val="20"/>
                <w:szCs w:val="20"/>
              </w:rPr>
              <w:t>Response</w:t>
            </w:r>
          </w:p>
        </w:tc>
      </w:tr>
      <w:tr w:rsidR="00AD0494" w:rsidRPr="009037BE" w14:paraId="2FC03A30" w14:textId="77777777" w:rsidTr="00056CA4">
        <w:tc>
          <w:tcPr>
            <w:tcW w:w="1098" w:type="dxa"/>
            <w:vAlign w:val="center"/>
          </w:tcPr>
          <w:p w14:paraId="1F7FB8DA" w14:textId="77777777" w:rsidR="00AD0494" w:rsidRPr="0038717E" w:rsidRDefault="004C2BC4" w:rsidP="001E6201">
            <w:pPr>
              <w:autoSpaceDE w:val="0"/>
              <w:autoSpaceDN w:val="0"/>
              <w:adjustRightInd w:val="0"/>
              <w:spacing w:before="120" w:after="120"/>
              <w:jc w:val="center"/>
              <w:rPr>
                <w:rFonts w:ascii="Times New Roman" w:eastAsia="Calibri" w:hAnsi="Times New Roman" w:cs="Times New Roman"/>
                <w:b/>
                <w:color w:val="000000"/>
                <w:sz w:val="20"/>
                <w:szCs w:val="20"/>
              </w:rPr>
            </w:pPr>
            <w:r w:rsidRPr="0038717E">
              <w:rPr>
                <w:rFonts w:ascii="Times New Roman" w:eastAsia="Calibri" w:hAnsi="Times New Roman" w:cs="Times New Roman"/>
                <w:b/>
                <w:color w:val="000000"/>
                <w:sz w:val="20"/>
                <w:szCs w:val="20"/>
              </w:rPr>
              <w:t>Canada</w:t>
            </w:r>
          </w:p>
        </w:tc>
        <w:tc>
          <w:tcPr>
            <w:tcW w:w="1710" w:type="dxa"/>
            <w:vAlign w:val="center"/>
          </w:tcPr>
          <w:p w14:paraId="01E347E9" w14:textId="77777777" w:rsidR="00AD0494" w:rsidRDefault="004C5808" w:rsidP="000827DD">
            <w:pPr>
              <w:autoSpaceDE w:val="0"/>
              <w:autoSpaceDN w:val="0"/>
              <w:adjustRightInd w:val="0"/>
              <w:spacing w:before="120" w:after="120"/>
              <w:rPr>
                <w:rFonts w:ascii="Times New Roman" w:eastAsia="Calibri" w:hAnsi="Times New Roman" w:cs="Times New Roman"/>
                <w:color w:val="000000"/>
                <w:sz w:val="20"/>
                <w:szCs w:val="20"/>
              </w:rPr>
            </w:pPr>
            <w:r w:rsidRPr="004C5808">
              <w:rPr>
                <w:rFonts w:ascii="Times New Roman" w:eastAsia="Calibri" w:hAnsi="Times New Roman" w:cs="Times New Roman"/>
                <w:color w:val="000000"/>
                <w:sz w:val="20"/>
                <w:szCs w:val="20"/>
              </w:rPr>
              <w:t>Overarching:</w:t>
            </w:r>
          </w:p>
          <w:p w14:paraId="074A586A" w14:textId="77777777" w:rsidR="00E14FDC" w:rsidRPr="008A7601" w:rsidRDefault="00E14FDC" w:rsidP="000827DD">
            <w:pPr>
              <w:autoSpaceDE w:val="0"/>
              <w:autoSpaceDN w:val="0"/>
              <w:adjustRightInd w:val="0"/>
              <w:spacing w:before="120" w:after="120"/>
              <w:rPr>
                <w:rFonts w:ascii="Times New Roman" w:eastAsia="Calibri" w:hAnsi="Times New Roman" w:cs="Times New Roman"/>
                <w:color w:val="000000"/>
                <w:sz w:val="20"/>
                <w:szCs w:val="20"/>
              </w:rPr>
            </w:pPr>
          </w:p>
        </w:tc>
        <w:tc>
          <w:tcPr>
            <w:tcW w:w="7200" w:type="dxa"/>
          </w:tcPr>
          <w:p w14:paraId="4A2E98C6" w14:textId="77777777" w:rsidR="004C2BC4" w:rsidRPr="004C2BC4" w:rsidRDefault="004C2BC4" w:rsidP="004C2BC4">
            <w:pPr>
              <w:spacing w:after="200"/>
              <w:rPr>
                <w:rFonts w:ascii="Times New Roman" w:eastAsia="Calibri" w:hAnsi="Times New Roman" w:cs="Times New Roman"/>
                <w:color w:val="000000"/>
                <w:sz w:val="20"/>
                <w:szCs w:val="20"/>
              </w:rPr>
            </w:pPr>
            <w:r w:rsidRPr="004C2BC4">
              <w:rPr>
                <w:rFonts w:ascii="Times New Roman" w:eastAsia="Calibri" w:hAnsi="Times New Roman" w:cs="Times New Roman"/>
                <w:color w:val="000000"/>
                <w:sz w:val="20"/>
                <w:szCs w:val="20"/>
              </w:rPr>
              <w:t>We have reviewed to ensure (1) the guidance presented is consistent with other documents already issued by the Basel and Stockholm Convention; (2) the information is valuable for the intended audience; (3) the text is clear and unambiguous and supported by existing references.  See below for high-level comments, and the changes tracked in the documents attached.</w:t>
            </w:r>
          </w:p>
          <w:p w14:paraId="78A7D296" w14:textId="77777777" w:rsidR="007330AF" w:rsidRPr="004C5808" w:rsidRDefault="004C2BC4" w:rsidP="004C5808">
            <w:pPr>
              <w:spacing w:after="200"/>
              <w:rPr>
                <w:rFonts w:ascii="Times New Roman" w:eastAsia="Calibri" w:hAnsi="Times New Roman" w:cs="Times New Roman"/>
                <w:color w:val="000000"/>
                <w:sz w:val="20"/>
                <w:szCs w:val="20"/>
              </w:rPr>
            </w:pPr>
            <w:r w:rsidRPr="004C5808">
              <w:rPr>
                <w:rFonts w:ascii="Times New Roman" w:eastAsia="Calibri" w:hAnsi="Times New Roman" w:cs="Times New Roman"/>
                <w:color w:val="000000"/>
                <w:sz w:val="20"/>
                <w:szCs w:val="20"/>
              </w:rPr>
              <w:t xml:space="preserve">We suggest that the disclaimers be strengthened to remind the reader that, while reasonable efforts have been made in reviewing the guidance document, in the case of any discrepancy between the information contained in the guidance document and the Stockholm Convention on POPs, the text of the Convention would prevail.  </w:t>
            </w:r>
          </w:p>
        </w:tc>
        <w:tc>
          <w:tcPr>
            <w:tcW w:w="3168" w:type="dxa"/>
          </w:tcPr>
          <w:p w14:paraId="5946C046" w14:textId="77777777" w:rsidR="00AD0494" w:rsidRDefault="00AD0494" w:rsidP="001E6201">
            <w:pPr>
              <w:autoSpaceDE w:val="0"/>
              <w:autoSpaceDN w:val="0"/>
              <w:adjustRightInd w:val="0"/>
              <w:spacing w:before="120" w:after="120"/>
              <w:rPr>
                <w:rFonts w:ascii="Times New Roman" w:eastAsia="Calibri" w:hAnsi="Times New Roman" w:cs="Times New Roman"/>
                <w:color w:val="000000"/>
                <w:sz w:val="20"/>
                <w:szCs w:val="20"/>
              </w:rPr>
            </w:pPr>
          </w:p>
          <w:p w14:paraId="0A4B19F8" w14:textId="77777777" w:rsidR="001444D7" w:rsidRDefault="001444D7" w:rsidP="001E6201">
            <w:pPr>
              <w:autoSpaceDE w:val="0"/>
              <w:autoSpaceDN w:val="0"/>
              <w:adjustRightInd w:val="0"/>
              <w:spacing w:before="120" w:after="120"/>
              <w:rPr>
                <w:rFonts w:ascii="Times New Roman" w:eastAsia="Calibri" w:hAnsi="Times New Roman" w:cs="Times New Roman"/>
                <w:color w:val="000000"/>
                <w:sz w:val="20"/>
                <w:szCs w:val="20"/>
              </w:rPr>
            </w:pPr>
          </w:p>
          <w:p w14:paraId="7E2FFF14" w14:textId="77777777" w:rsidR="001444D7" w:rsidRDefault="001444D7" w:rsidP="001E6201">
            <w:pPr>
              <w:autoSpaceDE w:val="0"/>
              <w:autoSpaceDN w:val="0"/>
              <w:adjustRightInd w:val="0"/>
              <w:spacing w:before="120" w:after="120"/>
              <w:rPr>
                <w:rFonts w:ascii="Times New Roman" w:eastAsia="Calibri" w:hAnsi="Times New Roman" w:cs="Times New Roman"/>
                <w:color w:val="000000"/>
                <w:sz w:val="20"/>
                <w:szCs w:val="20"/>
              </w:rPr>
            </w:pPr>
          </w:p>
          <w:p w14:paraId="1259A71E" w14:textId="77777777" w:rsidR="001444D7" w:rsidRDefault="001444D7" w:rsidP="001E6201">
            <w:pPr>
              <w:autoSpaceDE w:val="0"/>
              <w:autoSpaceDN w:val="0"/>
              <w:adjustRightInd w:val="0"/>
              <w:spacing w:before="120" w:after="120"/>
              <w:rPr>
                <w:rFonts w:ascii="Times New Roman" w:eastAsia="Calibri" w:hAnsi="Times New Roman" w:cs="Times New Roman"/>
                <w:color w:val="000000"/>
                <w:sz w:val="20"/>
                <w:szCs w:val="20"/>
              </w:rPr>
            </w:pPr>
          </w:p>
          <w:p w14:paraId="146CDF53" w14:textId="77777777" w:rsidR="001444D7" w:rsidRPr="008A7601" w:rsidRDefault="001444D7" w:rsidP="001E6201">
            <w:pPr>
              <w:autoSpaceDE w:val="0"/>
              <w:autoSpaceDN w:val="0"/>
              <w:adjustRightInd w:val="0"/>
              <w:spacing w:before="120" w:after="12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Considered and modified</w:t>
            </w:r>
          </w:p>
        </w:tc>
      </w:tr>
      <w:tr w:rsidR="004C5808" w:rsidRPr="009037BE" w14:paraId="7DDAFE6A" w14:textId="77777777" w:rsidTr="00056CA4">
        <w:tc>
          <w:tcPr>
            <w:tcW w:w="1098" w:type="dxa"/>
            <w:vAlign w:val="center"/>
          </w:tcPr>
          <w:p w14:paraId="7C84FE67" w14:textId="77777777" w:rsidR="004C5808" w:rsidRDefault="00C27A84" w:rsidP="001E6201">
            <w:pPr>
              <w:autoSpaceDE w:val="0"/>
              <w:autoSpaceDN w:val="0"/>
              <w:adjustRightInd w:val="0"/>
              <w:spacing w:before="120" w:after="120"/>
              <w:jc w:val="center"/>
              <w:rPr>
                <w:rFonts w:ascii="Times New Roman" w:eastAsia="Calibri" w:hAnsi="Times New Roman" w:cs="Times New Roman"/>
                <w:b/>
                <w:color w:val="000000"/>
                <w:sz w:val="20"/>
                <w:szCs w:val="20"/>
              </w:rPr>
            </w:pPr>
            <w:r w:rsidRPr="0038717E">
              <w:rPr>
                <w:rFonts w:ascii="Times New Roman" w:eastAsia="Calibri" w:hAnsi="Times New Roman" w:cs="Times New Roman"/>
                <w:b/>
                <w:color w:val="000000"/>
                <w:sz w:val="20"/>
                <w:szCs w:val="20"/>
              </w:rPr>
              <w:t>Canada</w:t>
            </w:r>
          </w:p>
        </w:tc>
        <w:tc>
          <w:tcPr>
            <w:tcW w:w="1710" w:type="dxa"/>
            <w:vAlign w:val="center"/>
          </w:tcPr>
          <w:p w14:paraId="1520B3C0" w14:textId="77777777" w:rsidR="004C5808" w:rsidRDefault="004C5808" w:rsidP="000827DD">
            <w:pPr>
              <w:autoSpaceDE w:val="0"/>
              <w:autoSpaceDN w:val="0"/>
              <w:adjustRightInd w:val="0"/>
              <w:spacing w:before="120" w:after="120"/>
              <w:rPr>
                <w:rFonts w:ascii="Times New Roman" w:eastAsia="Calibri" w:hAnsi="Times New Roman" w:cs="Times New Roman"/>
                <w:color w:val="000000"/>
                <w:sz w:val="20"/>
                <w:szCs w:val="20"/>
              </w:rPr>
            </w:pPr>
            <w:r w:rsidRPr="004C5808">
              <w:rPr>
                <w:rFonts w:ascii="Times New Roman" w:eastAsia="Calibri" w:hAnsi="Times New Roman" w:cs="Times New Roman"/>
                <w:color w:val="000000"/>
                <w:sz w:val="20"/>
                <w:szCs w:val="20"/>
              </w:rPr>
              <w:t>Overarching:</w:t>
            </w:r>
          </w:p>
        </w:tc>
        <w:tc>
          <w:tcPr>
            <w:tcW w:w="7200" w:type="dxa"/>
          </w:tcPr>
          <w:p w14:paraId="229C89D2" w14:textId="77777777" w:rsidR="004C5808" w:rsidRPr="002D5DC6" w:rsidRDefault="004C5808" w:rsidP="00554380">
            <w:pPr>
              <w:pStyle w:val="Default"/>
              <w:rPr>
                <w:rFonts w:ascii="Times New Roman" w:eastAsia="Calibri" w:hAnsi="Times New Roman" w:cs="Times New Roman"/>
                <w:sz w:val="20"/>
                <w:szCs w:val="20"/>
              </w:rPr>
            </w:pPr>
            <w:r w:rsidRPr="004C5808">
              <w:rPr>
                <w:rFonts w:ascii="Times New Roman" w:eastAsia="Calibri" w:hAnsi="Times New Roman" w:cs="Times New Roman"/>
                <w:sz w:val="20"/>
                <w:szCs w:val="20"/>
              </w:rPr>
              <w:t>We are concerned with the level of resources required to review, and the potential for errors caused by, the duplication between these documents and guidance material that already exists under other agreements, particularly as it relates to environmentally sound management of wastes and the availability of existing guidance under Basel. This area might be a good candidate for efficiencies between BRS conventions.</w:t>
            </w:r>
          </w:p>
        </w:tc>
        <w:tc>
          <w:tcPr>
            <w:tcW w:w="3168" w:type="dxa"/>
          </w:tcPr>
          <w:p w14:paraId="6A5FF230" w14:textId="68039F47" w:rsidR="004C5808" w:rsidRPr="008A7601" w:rsidRDefault="001444D7" w:rsidP="00841F92">
            <w:pPr>
              <w:autoSpaceDE w:val="0"/>
              <w:autoSpaceDN w:val="0"/>
              <w:adjustRightInd w:val="0"/>
              <w:spacing w:before="120" w:after="12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Considered and references to Basel Guidelines </w:t>
            </w:r>
            <w:r w:rsidR="00841F92">
              <w:rPr>
                <w:rFonts w:ascii="Times New Roman" w:eastAsia="Calibri" w:hAnsi="Times New Roman" w:cs="Times New Roman"/>
                <w:color w:val="000000"/>
                <w:sz w:val="20"/>
                <w:szCs w:val="20"/>
              </w:rPr>
              <w:t>have been inclu</w:t>
            </w:r>
            <w:r w:rsidR="000E3625">
              <w:rPr>
                <w:rFonts w:ascii="Times New Roman" w:eastAsia="Calibri" w:hAnsi="Times New Roman" w:cs="Times New Roman"/>
                <w:color w:val="000000"/>
                <w:sz w:val="20"/>
                <w:szCs w:val="20"/>
              </w:rPr>
              <w:t>d</w:t>
            </w:r>
            <w:r w:rsidR="00841F92">
              <w:rPr>
                <w:rFonts w:ascii="Times New Roman" w:eastAsia="Calibri" w:hAnsi="Times New Roman" w:cs="Times New Roman"/>
                <w:color w:val="000000"/>
                <w:sz w:val="20"/>
                <w:szCs w:val="20"/>
              </w:rPr>
              <w:t>ed</w:t>
            </w:r>
          </w:p>
        </w:tc>
      </w:tr>
      <w:tr w:rsidR="004C5808" w:rsidRPr="009037BE" w14:paraId="55C1B48D" w14:textId="77777777" w:rsidTr="00056CA4">
        <w:tc>
          <w:tcPr>
            <w:tcW w:w="1098" w:type="dxa"/>
            <w:vAlign w:val="center"/>
          </w:tcPr>
          <w:p w14:paraId="555F26B0" w14:textId="77777777" w:rsidR="004C5808" w:rsidRDefault="00C27A84" w:rsidP="001E6201">
            <w:pPr>
              <w:autoSpaceDE w:val="0"/>
              <w:autoSpaceDN w:val="0"/>
              <w:adjustRightInd w:val="0"/>
              <w:spacing w:before="120" w:after="120"/>
              <w:jc w:val="center"/>
              <w:rPr>
                <w:rFonts w:ascii="Times New Roman" w:eastAsia="Calibri" w:hAnsi="Times New Roman" w:cs="Times New Roman"/>
                <w:b/>
                <w:color w:val="000000"/>
                <w:sz w:val="20"/>
                <w:szCs w:val="20"/>
              </w:rPr>
            </w:pPr>
            <w:r w:rsidRPr="0038717E">
              <w:rPr>
                <w:rFonts w:ascii="Times New Roman" w:eastAsia="Calibri" w:hAnsi="Times New Roman" w:cs="Times New Roman"/>
                <w:b/>
                <w:color w:val="000000"/>
                <w:sz w:val="20"/>
                <w:szCs w:val="20"/>
              </w:rPr>
              <w:t>Canada</w:t>
            </w:r>
          </w:p>
        </w:tc>
        <w:tc>
          <w:tcPr>
            <w:tcW w:w="1710" w:type="dxa"/>
            <w:vAlign w:val="center"/>
          </w:tcPr>
          <w:p w14:paraId="3E5C0348" w14:textId="77777777" w:rsidR="004C5808" w:rsidRDefault="004C5808" w:rsidP="000827DD">
            <w:pPr>
              <w:autoSpaceDE w:val="0"/>
              <w:autoSpaceDN w:val="0"/>
              <w:adjustRightInd w:val="0"/>
              <w:spacing w:before="120" w:after="12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S</w:t>
            </w:r>
            <w:r w:rsidRPr="004C5808">
              <w:rPr>
                <w:rFonts w:ascii="Times New Roman" w:eastAsia="Calibri" w:hAnsi="Times New Roman" w:cs="Times New Roman"/>
                <w:color w:val="000000"/>
                <w:sz w:val="20"/>
                <w:szCs w:val="20"/>
              </w:rPr>
              <w:t>ampling, Screening and Analysis of POPs in Articles</w:t>
            </w:r>
          </w:p>
        </w:tc>
        <w:tc>
          <w:tcPr>
            <w:tcW w:w="7200" w:type="dxa"/>
          </w:tcPr>
          <w:p w14:paraId="6AF6B6B9" w14:textId="77777777" w:rsidR="005336DF" w:rsidRDefault="004C5808" w:rsidP="004C5808">
            <w:pPr>
              <w:pStyle w:val="Default"/>
              <w:spacing w:after="154"/>
              <w:rPr>
                <w:rFonts w:ascii="Times New Roman" w:eastAsia="Calibri" w:hAnsi="Times New Roman" w:cs="Times New Roman"/>
                <w:sz w:val="20"/>
                <w:szCs w:val="20"/>
              </w:rPr>
            </w:pPr>
            <w:r w:rsidRPr="002D5DC6">
              <w:rPr>
                <w:rFonts w:ascii="Times New Roman" w:eastAsia="Calibri" w:hAnsi="Times New Roman" w:cs="Times New Roman"/>
                <w:sz w:val="20"/>
                <w:szCs w:val="20"/>
              </w:rPr>
              <w:t xml:space="preserve">The scope of chemicals addressed in this guidance document should be clarified. For example, although it says all new POP from 2009 and 2011, it appears to be missing Hexachlorocyclohexane and Lindane (2009), and Endosulfan (2011). </w:t>
            </w:r>
          </w:p>
          <w:p w14:paraId="15CCC1AF" w14:textId="77777777" w:rsidR="005336DF" w:rsidRDefault="005336DF" w:rsidP="004C5808">
            <w:pPr>
              <w:pStyle w:val="Default"/>
              <w:spacing w:after="154"/>
              <w:rPr>
                <w:rFonts w:ascii="Times New Roman" w:eastAsia="Calibri" w:hAnsi="Times New Roman" w:cs="Times New Roman"/>
                <w:sz w:val="20"/>
                <w:szCs w:val="20"/>
              </w:rPr>
            </w:pPr>
          </w:p>
          <w:p w14:paraId="6B2F0E65" w14:textId="77777777" w:rsidR="005336DF" w:rsidRDefault="005336DF" w:rsidP="004C5808">
            <w:pPr>
              <w:pStyle w:val="Default"/>
              <w:spacing w:after="154"/>
              <w:rPr>
                <w:rFonts w:ascii="Times New Roman" w:eastAsia="Calibri" w:hAnsi="Times New Roman" w:cs="Times New Roman"/>
                <w:sz w:val="20"/>
                <w:szCs w:val="20"/>
              </w:rPr>
            </w:pPr>
          </w:p>
          <w:p w14:paraId="07481EE6" w14:textId="77777777" w:rsidR="005336DF" w:rsidRDefault="005336DF" w:rsidP="004C5808">
            <w:pPr>
              <w:pStyle w:val="Default"/>
              <w:spacing w:after="154"/>
              <w:rPr>
                <w:rFonts w:ascii="Times New Roman" w:eastAsia="Calibri" w:hAnsi="Times New Roman" w:cs="Times New Roman"/>
                <w:sz w:val="20"/>
                <w:szCs w:val="20"/>
              </w:rPr>
            </w:pPr>
          </w:p>
          <w:p w14:paraId="74D607BD" w14:textId="77777777" w:rsidR="00137627" w:rsidRDefault="00137627" w:rsidP="004C5808">
            <w:pPr>
              <w:pStyle w:val="Default"/>
              <w:spacing w:after="154"/>
              <w:rPr>
                <w:rFonts w:ascii="Times New Roman" w:eastAsia="Calibri" w:hAnsi="Times New Roman" w:cs="Times New Roman"/>
                <w:sz w:val="20"/>
                <w:szCs w:val="20"/>
              </w:rPr>
            </w:pPr>
          </w:p>
          <w:p w14:paraId="51F3C19D" w14:textId="77777777" w:rsidR="00137627" w:rsidRDefault="00137627" w:rsidP="004C5808">
            <w:pPr>
              <w:pStyle w:val="Default"/>
              <w:spacing w:after="154"/>
              <w:rPr>
                <w:rFonts w:ascii="Times New Roman" w:eastAsia="Calibri" w:hAnsi="Times New Roman" w:cs="Times New Roman"/>
                <w:sz w:val="20"/>
                <w:szCs w:val="20"/>
              </w:rPr>
            </w:pPr>
          </w:p>
          <w:p w14:paraId="0F5789DE" w14:textId="77777777" w:rsidR="004C5808" w:rsidRPr="002D5DC6" w:rsidRDefault="004C5808" w:rsidP="004C5808">
            <w:pPr>
              <w:pStyle w:val="Default"/>
              <w:spacing w:after="154"/>
              <w:rPr>
                <w:rFonts w:ascii="Times New Roman" w:eastAsia="Calibri" w:hAnsi="Times New Roman" w:cs="Times New Roman"/>
                <w:sz w:val="20"/>
                <w:szCs w:val="20"/>
              </w:rPr>
            </w:pPr>
            <w:r w:rsidRPr="002D5DC6">
              <w:rPr>
                <w:rFonts w:ascii="Times New Roman" w:eastAsia="Calibri" w:hAnsi="Times New Roman" w:cs="Times New Roman"/>
                <w:sz w:val="20"/>
                <w:szCs w:val="20"/>
              </w:rPr>
              <w:t xml:space="preserve">The document should also be careful not to mention substances which, to date, have not been adopted for listing to the Convention, such as SCCAs, octa and decaBDE, and all PFCs. While HBCD is another new POP (2013), it is the subject of a separate guidance document and can be left out from this one. </w:t>
            </w:r>
          </w:p>
        </w:tc>
        <w:tc>
          <w:tcPr>
            <w:tcW w:w="3168" w:type="dxa"/>
          </w:tcPr>
          <w:p w14:paraId="2C50B75B" w14:textId="77777777" w:rsidR="005336DF" w:rsidRPr="001444D7" w:rsidRDefault="00841F92" w:rsidP="001E6201">
            <w:pPr>
              <w:autoSpaceDE w:val="0"/>
              <w:autoSpaceDN w:val="0"/>
              <w:adjustRightInd w:val="0"/>
              <w:spacing w:before="120" w:after="12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The scope of the guidance is only for </w:t>
            </w:r>
            <w:r w:rsidR="005336DF" w:rsidRPr="001444D7">
              <w:rPr>
                <w:rFonts w:ascii="Times New Roman" w:eastAsia="Calibri" w:hAnsi="Times New Roman" w:cs="Times New Roman"/>
                <w:color w:val="000000"/>
                <w:sz w:val="20"/>
                <w:szCs w:val="20"/>
              </w:rPr>
              <w:t xml:space="preserve">industrial and unintentional POPs in articles and products. The guidance does not address </w:t>
            </w:r>
            <w:r w:rsidR="00137627" w:rsidRPr="001444D7">
              <w:rPr>
                <w:rFonts w:ascii="Times New Roman" w:eastAsia="Calibri" w:hAnsi="Times New Roman" w:cs="Times New Roman"/>
                <w:color w:val="000000"/>
                <w:sz w:val="20"/>
                <w:szCs w:val="20"/>
              </w:rPr>
              <w:t xml:space="preserve">POPs </w:t>
            </w:r>
            <w:r w:rsidR="005336DF" w:rsidRPr="001444D7">
              <w:rPr>
                <w:rFonts w:ascii="Times New Roman" w:eastAsia="Calibri" w:hAnsi="Times New Roman" w:cs="Times New Roman"/>
                <w:color w:val="000000"/>
                <w:sz w:val="20"/>
                <w:szCs w:val="20"/>
              </w:rPr>
              <w:t>Pesticides</w:t>
            </w:r>
            <w:r>
              <w:rPr>
                <w:rFonts w:ascii="Times New Roman" w:eastAsia="Calibri" w:hAnsi="Times New Roman" w:cs="Times New Roman"/>
                <w:color w:val="000000"/>
                <w:sz w:val="20"/>
                <w:szCs w:val="20"/>
              </w:rPr>
              <w:t>, as stated in the introductory section.</w:t>
            </w:r>
          </w:p>
          <w:p w14:paraId="2F96F042" w14:textId="77777777" w:rsidR="005336DF" w:rsidRPr="001444D7" w:rsidRDefault="001444D7" w:rsidP="001E6201">
            <w:pPr>
              <w:autoSpaceDE w:val="0"/>
              <w:autoSpaceDN w:val="0"/>
              <w:adjustRightInd w:val="0"/>
              <w:spacing w:before="120" w:after="120"/>
              <w:rPr>
                <w:rFonts w:ascii="Times New Roman" w:eastAsia="Calibri" w:hAnsi="Times New Roman" w:cs="Times New Roman"/>
                <w:color w:val="000000"/>
                <w:sz w:val="20"/>
                <w:szCs w:val="20"/>
              </w:rPr>
            </w:pPr>
            <w:r w:rsidRPr="001444D7">
              <w:rPr>
                <w:rFonts w:ascii="Times New Roman" w:eastAsia="Calibri" w:hAnsi="Times New Roman" w:cs="Times New Roman"/>
                <w:color w:val="000000"/>
                <w:sz w:val="20"/>
                <w:szCs w:val="20"/>
              </w:rPr>
              <w:t xml:space="preserve">PCN, PCP and HCBD </w:t>
            </w:r>
            <w:r w:rsidR="00841F92">
              <w:rPr>
                <w:rFonts w:ascii="Times New Roman" w:eastAsia="Calibri" w:hAnsi="Times New Roman" w:cs="Times New Roman"/>
                <w:color w:val="000000"/>
                <w:sz w:val="20"/>
                <w:szCs w:val="20"/>
              </w:rPr>
              <w:t>have been incorporated to the guidance</w:t>
            </w:r>
          </w:p>
          <w:p w14:paraId="4C8BD16B" w14:textId="77777777" w:rsidR="005336DF" w:rsidRPr="005A5BCB" w:rsidRDefault="005336DF" w:rsidP="001E6201">
            <w:pPr>
              <w:autoSpaceDE w:val="0"/>
              <w:autoSpaceDN w:val="0"/>
              <w:adjustRightInd w:val="0"/>
              <w:spacing w:before="120" w:after="120"/>
              <w:rPr>
                <w:rFonts w:ascii="Times New Roman" w:eastAsia="Calibri" w:hAnsi="Times New Roman" w:cs="Times New Roman"/>
                <w:color w:val="000000"/>
                <w:sz w:val="20"/>
                <w:szCs w:val="20"/>
                <w:highlight w:val="yellow"/>
              </w:rPr>
            </w:pPr>
          </w:p>
          <w:p w14:paraId="2AEDCD9D" w14:textId="77777777" w:rsidR="00137627" w:rsidRDefault="00137627" w:rsidP="001E6201">
            <w:pPr>
              <w:autoSpaceDE w:val="0"/>
              <w:autoSpaceDN w:val="0"/>
              <w:adjustRightInd w:val="0"/>
              <w:spacing w:before="120" w:after="120"/>
              <w:rPr>
                <w:rFonts w:ascii="Times New Roman" w:eastAsia="Calibri" w:hAnsi="Times New Roman" w:cs="Times New Roman"/>
                <w:color w:val="000000"/>
                <w:sz w:val="20"/>
                <w:szCs w:val="20"/>
                <w:highlight w:val="yellow"/>
              </w:rPr>
            </w:pPr>
          </w:p>
          <w:p w14:paraId="7FF5CE68" w14:textId="77777777" w:rsidR="00137627" w:rsidRPr="001444D7" w:rsidRDefault="00137627" w:rsidP="001E6201">
            <w:pPr>
              <w:autoSpaceDE w:val="0"/>
              <w:autoSpaceDN w:val="0"/>
              <w:adjustRightInd w:val="0"/>
              <w:spacing w:before="120" w:after="120"/>
              <w:rPr>
                <w:rFonts w:ascii="Times New Roman" w:eastAsia="Calibri" w:hAnsi="Times New Roman" w:cs="Times New Roman"/>
                <w:color w:val="000000"/>
                <w:sz w:val="20"/>
                <w:szCs w:val="20"/>
              </w:rPr>
            </w:pPr>
            <w:r w:rsidRPr="001444D7">
              <w:rPr>
                <w:rFonts w:ascii="Times New Roman" w:eastAsia="Calibri" w:hAnsi="Times New Roman" w:cs="Times New Roman"/>
                <w:color w:val="000000"/>
                <w:sz w:val="20"/>
                <w:szCs w:val="20"/>
              </w:rPr>
              <w:t xml:space="preserve">SCCP and DecaBDE are </w:t>
            </w:r>
            <w:r w:rsidR="00841F92">
              <w:rPr>
                <w:rFonts w:ascii="Times New Roman" w:eastAsia="Calibri" w:hAnsi="Times New Roman" w:cs="Times New Roman"/>
                <w:color w:val="000000"/>
                <w:sz w:val="20"/>
                <w:szCs w:val="20"/>
              </w:rPr>
              <w:t xml:space="preserve">recommended </w:t>
            </w:r>
            <w:r w:rsidRPr="001444D7">
              <w:rPr>
                <w:rFonts w:ascii="Times New Roman" w:eastAsia="Calibri" w:hAnsi="Times New Roman" w:cs="Times New Roman"/>
                <w:color w:val="000000"/>
                <w:sz w:val="20"/>
                <w:szCs w:val="20"/>
              </w:rPr>
              <w:t xml:space="preserve">for listing </w:t>
            </w:r>
            <w:r w:rsidR="00841F92">
              <w:rPr>
                <w:rFonts w:ascii="Times New Roman" w:eastAsia="Calibri" w:hAnsi="Times New Roman" w:cs="Times New Roman"/>
                <w:color w:val="000000"/>
                <w:sz w:val="20"/>
                <w:szCs w:val="20"/>
              </w:rPr>
              <w:t>at COP-8</w:t>
            </w:r>
            <w:r w:rsidRPr="001444D7">
              <w:rPr>
                <w:rFonts w:ascii="Times New Roman" w:eastAsia="Calibri" w:hAnsi="Times New Roman" w:cs="Times New Roman"/>
                <w:color w:val="000000"/>
                <w:sz w:val="20"/>
                <w:szCs w:val="20"/>
              </w:rPr>
              <w:t xml:space="preserve"> in May 2017</w:t>
            </w:r>
            <w:r w:rsidR="00841F92">
              <w:rPr>
                <w:rFonts w:ascii="Times New Roman" w:eastAsia="Calibri" w:hAnsi="Times New Roman" w:cs="Times New Roman"/>
                <w:color w:val="000000"/>
                <w:sz w:val="20"/>
                <w:szCs w:val="20"/>
              </w:rPr>
              <w:t>. This is mentioned in the guidance with relevant reference to</w:t>
            </w:r>
            <w:r w:rsidRPr="001444D7">
              <w:rPr>
                <w:rFonts w:ascii="Times New Roman" w:eastAsia="Calibri" w:hAnsi="Times New Roman" w:cs="Times New Roman"/>
                <w:color w:val="000000"/>
                <w:sz w:val="20"/>
                <w:szCs w:val="20"/>
              </w:rPr>
              <w:t xml:space="preserve"> COP</w:t>
            </w:r>
            <w:r w:rsidR="001444D7">
              <w:rPr>
                <w:rFonts w:ascii="Times New Roman" w:eastAsia="Calibri" w:hAnsi="Times New Roman" w:cs="Times New Roman"/>
                <w:color w:val="000000"/>
                <w:sz w:val="20"/>
                <w:szCs w:val="20"/>
              </w:rPr>
              <w:t>8</w:t>
            </w:r>
            <w:r w:rsidRPr="001444D7">
              <w:rPr>
                <w:rFonts w:ascii="Times New Roman" w:eastAsia="Calibri" w:hAnsi="Times New Roman" w:cs="Times New Roman"/>
                <w:color w:val="000000"/>
                <w:sz w:val="20"/>
                <w:szCs w:val="20"/>
              </w:rPr>
              <w:t xml:space="preserve"> Working Documents.</w:t>
            </w:r>
          </w:p>
          <w:p w14:paraId="13FC6BD6" w14:textId="77777777" w:rsidR="005336DF" w:rsidRPr="008A7601" w:rsidRDefault="005336DF" w:rsidP="00841F92">
            <w:pPr>
              <w:autoSpaceDE w:val="0"/>
              <w:autoSpaceDN w:val="0"/>
              <w:adjustRightInd w:val="0"/>
              <w:spacing w:before="120" w:after="120"/>
              <w:rPr>
                <w:rFonts w:ascii="Times New Roman" w:eastAsia="Calibri" w:hAnsi="Times New Roman" w:cs="Times New Roman"/>
                <w:color w:val="000000"/>
                <w:sz w:val="20"/>
                <w:szCs w:val="20"/>
              </w:rPr>
            </w:pPr>
            <w:r w:rsidRPr="001444D7">
              <w:rPr>
                <w:rFonts w:ascii="Times New Roman" w:eastAsia="Calibri" w:hAnsi="Times New Roman" w:cs="Times New Roman"/>
                <w:color w:val="000000"/>
                <w:sz w:val="20"/>
                <w:szCs w:val="20"/>
              </w:rPr>
              <w:t>PFC</w:t>
            </w:r>
            <w:r w:rsidR="00841F92">
              <w:rPr>
                <w:rFonts w:ascii="Times New Roman" w:eastAsia="Calibri" w:hAnsi="Times New Roman" w:cs="Times New Roman"/>
                <w:color w:val="000000"/>
                <w:sz w:val="20"/>
                <w:szCs w:val="20"/>
              </w:rPr>
              <w:t>s</w:t>
            </w:r>
            <w:r w:rsidRPr="001444D7">
              <w:rPr>
                <w:rFonts w:ascii="Times New Roman" w:eastAsia="Calibri" w:hAnsi="Times New Roman" w:cs="Times New Roman"/>
                <w:color w:val="000000"/>
                <w:sz w:val="20"/>
                <w:szCs w:val="20"/>
              </w:rPr>
              <w:t xml:space="preserve"> are mentioned to some </w:t>
            </w:r>
            <w:r w:rsidR="00841F92">
              <w:rPr>
                <w:rFonts w:ascii="Times New Roman" w:eastAsia="Calibri" w:hAnsi="Times New Roman" w:cs="Times New Roman"/>
                <w:color w:val="000000"/>
                <w:sz w:val="20"/>
                <w:szCs w:val="20"/>
              </w:rPr>
              <w:t xml:space="preserve">extent </w:t>
            </w:r>
            <w:r w:rsidR="00841F92">
              <w:rPr>
                <w:rFonts w:ascii="Times New Roman" w:eastAsia="Calibri" w:hAnsi="Times New Roman" w:cs="Times New Roman"/>
                <w:color w:val="000000"/>
                <w:sz w:val="20"/>
                <w:szCs w:val="20"/>
              </w:rPr>
              <w:lastRenderedPageBreak/>
              <w:t>in the guidance,</w:t>
            </w:r>
            <w:r w:rsidRPr="001444D7">
              <w:rPr>
                <w:rFonts w:ascii="Times New Roman" w:eastAsia="Calibri" w:hAnsi="Times New Roman" w:cs="Times New Roman"/>
                <w:color w:val="000000"/>
                <w:sz w:val="20"/>
                <w:szCs w:val="20"/>
              </w:rPr>
              <w:t xml:space="preserve"> </w:t>
            </w:r>
            <w:r w:rsidR="00841F92">
              <w:rPr>
                <w:rFonts w:ascii="Times New Roman" w:eastAsia="Calibri" w:hAnsi="Times New Roman" w:cs="Times New Roman"/>
                <w:color w:val="000000"/>
                <w:sz w:val="20"/>
                <w:szCs w:val="20"/>
              </w:rPr>
              <w:t xml:space="preserve">however noting </w:t>
            </w:r>
            <w:r w:rsidRPr="001444D7">
              <w:rPr>
                <w:rFonts w:ascii="Times New Roman" w:eastAsia="Calibri" w:hAnsi="Times New Roman" w:cs="Times New Roman"/>
                <w:color w:val="000000"/>
                <w:sz w:val="20"/>
                <w:szCs w:val="20"/>
              </w:rPr>
              <w:t>that they are not listed in the Stockholm Convention</w:t>
            </w:r>
            <w:r w:rsidR="00841F92">
              <w:rPr>
                <w:rFonts w:ascii="Times New Roman" w:eastAsia="Calibri" w:hAnsi="Times New Roman" w:cs="Times New Roman"/>
                <w:color w:val="000000"/>
                <w:sz w:val="20"/>
                <w:szCs w:val="20"/>
              </w:rPr>
              <w:t>. These chemicals are</w:t>
            </w:r>
            <w:r w:rsidRPr="001444D7">
              <w:rPr>
                <w:rFonts w:ascii="Times New Roman" w:eastAsia="Calibri" w:hAnsi="Times New Roman" w:cs="Times New Roman"/>
                <w:color w:val="000000"/>
                <w:sz w:val="20"/>
                <w:szCs w:val="20"/>
              </w:rPr>
              <w:t xml:space="preserve"> </w:t>
            </w:r>
            <w:r w:rsidR="00841F92">
              <w:rPr>
                <w:rFonts w:ascii="Times New Roman" w:eastAsia="Calibri" w:hAnsi="Times New Roman" w:cs="Times New Roman"/>
                <w:color w:val="000000"/>
                <w:sz w:val="20"/>
                <w:szCs w:val="20"/>
              </w:rPr>
              <w:t>considered under SAICM, and the relevance of synergies is therefore highlighted.</w:t>
            </w:r>
          </w:p>
        </w:tc>
      </w:tr>
      <w:tr w:rsidR="005336DF" w:rsidRPr="009037BE" w14:paraId="76D18EBF" w14:textId="77777777" w:rsidTr="00056CA4">
        <w:tc>
          <w:tcPr>
            <w:tcW w:w="1098" w:type="dxa"/>
            <w:vAlign w:val="center"/>
          </w:tcPr>
          <w:p w14:paraId="03386DD4" w14:textId="77777777" w:rsidR="005336DF" w:rsidRPr="0038717E" w:rsidRDefault="005336DF" w:rsidP="001E6201">
            <w:pPr>
              <w:autoSpaceDE w:val="0"/>
              <w:autoSpaceDN w:val="0"/>
              <w:adjustRightInd w:val="0"/>
              <w:spacing w:before="120" w:after="120"/>
              <w:jc w:val="center"/>
              <w:rPr>
                <w:rFonts w:ascii="Times New Roman" w:eastAsia="Calibri" w:hAnsi="Times New Roman" w:cs="Times New Roman"/>
                <w:b/>
                <w:color w:val="000000"/>
                <w:sz w:val="20"/>
                <w:szCs w:val="20"/>
              </w:rPr>
            </w:pPr>
          </w:p>
        </w:tc>
        <w:tc>
          <w:tcPr>
            <w:tcW w:w="1710" w:type="dxa"/>
            <w:vAlign w:val="center"/>
          </w:tcPr>
          <w:p w14:paraId="26DA0102" w14:textId="77777777" w:rsidR="005336DF" w:rsidRDefault="005336DF" w:rsidP="000827DD">
            <w:pPr>
              <w:autoSpaceDE w:val="0"/>
              <w:autoSpaceDN w:val="0"/>
              <w:adjustRightInd w:val="0"/>
              <w:spacing w:before="120" w:after="120"/>
              <w:rPr>
                <w:rFonts w:ascii="Times New Roman" w:eastAsia="Calibri" w:hAnsi="Times New Roman" w:cs="Times New Roman"/>
                <w:color w:val="000000"/>
                <w:sz w:val="20"/>
                <w:szCs w:val="20"/>
              </w:rPr>
            </w:pPr>
          </w:p>
        </w:tc>
        <w:tc>
          <w:tcPr>
            <w:tcW w:w="7200" w:type="dxa"/>
          </w:tcPr>
          <w:p w14:paraId="14657CE7" w14:textId="77777777" w:rsidR="005336DF" w:rsidRPr="002D5DC6" w:rsidRDefault="005336DF" w:rsidP="004C5808">
            <w:pPr>
              <w:pStyle w:val="Default"/>
              <w:spacing w:after="154"/>
              <w:rPr>
                <w:rFonts w:ascii="Times New Roman" w:eastAsia="Calibri" w:hAnsi="Times New Roman" w:cs="Times New Roman"/>
                <w:sz w:val="20"/>
                <w:szCs w:val="20"/>
              </w:rPr>
            </w:pPr>
          </w:p>
        </w:tc>
        <w:tc>
          <w:tcPr>
            <w:tcW w:w="3168" w:type="dxa"/>
          </w:tcPr>
          <w:p w14:paraId="147565DD" w14:textId="77777777" w:rsidR="005336DF" w:rsidRPr="008A7601" w:rsidRDefault="005336DF" w:rsidP="001E6201">
            <w:pPr>
              <w:autoSpaceDE w:val="0"/>
              <w:autoSpaceDN w:val="0"/>
              <w:adjustRightInd w:val="0"/>
              <w:spacing w:before="120" w:after="120"/>
              <w:rPr>
                <w:rFonts w:ascii="Times New Roman" w:eastAsia="Calibri" w:hAnsi="Times New Roman" w:cs="Times New Roman"/>
                <w:color w:val="000000"/>
                <w:sz w:val="20"/>
                <w:szCs w:val="20"/>
              </w:rPr>
            </w:pPr>
          </w:p>
        </w:tc>
      </w:tr>
      <w:tr w:rsidR="004C5808" w:rsidRPr="009037BE" w14:paraId="6365A8F7" w14:textId="77777777" w:rsidTr="00056CA4">
        <w:tc>
          <w:tcPr>
            <w:tcW w:w="1098" w:type="dxa"/>
            <w:vAlign w:val="center"/>
          </w:tcPr>
          <w:p w14:paraId="605E2FD1" w14:textId="77777777" w:rsidR="004C5808" w:rsidRDefault="004C5808" w:rsidP="001E6201">
            <w:pPr>
              <w:autoSpaceDE w:val="0"/>
              <w:autoSpaceDN w:val="0"/>
              <w:adjustRightInd w:val="0"/>
              <w:spacing w:before="120" w:after="120"/>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Canada</w:t>
            </w:r>
          </w:p>
        </w:tc>
        <w:tc>
          <w:tcPr>
            <w:tcW w:w="1710" w:type="dxa"/>
            <w:vAlign w:val="center"/>
          </w:tcPr>
          <w:p w14:paraId="185D5DA3" w14:textId="77777777" w:rsidR="004C5808" w:rsidRDefault="004C5808" w:rsidP="000827DD">
            <w:pPr>
              <w:autoSpaceDE w:val="0"/>
              <w:autoSpaceDN w:val="0"/>
              <w:adjustRightInd w:val="0"/>
              <w:spacing w:before="120" w:after="12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S</w:t>
            </w:r>
            <w:r w:rsidRPr="004C5808">
              <w:rPr>
                <w:rFonts w:ascii="Times New Roman" w:eastAsia="Calibri" w:hAnsi="Times New Roman" w:cs="Times New Roman"/>
                <w:color w:val="000000"/>
                <w:sz w:val="20"/>
                <w:szCs w:val="20"/>
              </w:rPr>
              <w:t>ampling, Screening and Analysis of POPs in Articles</w:t>
            </w:r>
          </w:p>
        </w:tc>
        <w:tc>
          <w:tcPr>
            <w:tcW w:w="7200" w:type="dxa"/>
          </w:tcPr>
          <w:p w14:paraId="50DE0198" w14:textId="77777777" w:rsidR="004C5808" w:rsidRPr="002D5DC6" w:rsidRDefault="004C5808" w:rsidP="00554380">
            <w:pPr>
              <w:pStyle w:val="Default"/>
              <w:rPr>
                <w:rFonts w:ascii="Times New Roman" w:eastAsia="Calibri" w:hAnsi="Times New Roman" w:cs="Times New Roman"/>
                <w:sz w:val="20"/>
                <w:szCs w:val="20"/>
              </w:rPr>
            </w:pPr>
            <w:r w:rsidRPr="002D5DC6">
              <w:rPr>
                <w:rFonts w:ascii="Times New Roman" w:eastAsia="Calibri" w:hAnsi="Times New Roman" w:cs="Times New Roman"/>
                <w:sz w:val="20"/>
                <w:szCs w:val="20"/>
              </w:rPr>
              <w:t xml:space="preserve">It may be difficult for some parties to implement the analysis of all treated articles proposed. Going forward, it may be helpful if guidance was given on the more hazardous articles or those that contribute the most to the overall environmental loading so that countries could focus their efforts where it is most valuable. </w:t>
            </w:r>
          </w:p>
        </w:tc>
        <w:tc>
          <w:tcPr>
            <w:tcW w:w="3168" w:type="dxa"/>
          </w:tcPr>
          <w:p w14:paraId="6FEFF3B7" w14:textId="77777777" w:rsidR="004C5808" w:rsidRPr="008A7601" w:rsidRDefault="001444D7" w:rsidP="00841F92">
            <w:pPr>
              <w:autoSpaceDE w:val="0"/>
              <w:autoSpaceDN w:val="0"/>
              <w:adjustRightInd w:val="0"/>
              <w:spacing w:before="120" w:after="12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The relevance of articles </w:t>
            </w:r>
            <w:r w:rsidR="00841F92">
              <w:rPr>
                <w:rFonts w:ascii="Times New Roman" w:eastAsia="Calibri" w:hAnsi="Times New Roman" w:cs="Times New Roman"/>
                <w:color w:val="000000"/>
                <w:sz w:val="20"/>
                <w:szCs w:val="20"/>
              </w:rPr>
              <w:t xml:space="preserve">is </w:t>
            </w:r>
            <w:r>
              <w:rPr>
                <w:rFonts w:ascii="Times New Roman" w:eastAsia="Calibri" w:hAnsi="Times New Roman" w:cs="Times New Roman"/>
                <w:color w:val="000000"/>
                <w:sz w:val="20"/>
                <w:szCs w:val="20"/>
              </w:rPr>
              <w:t>mentioned where information is available.</w:t>
            </w:r>
          </w:p>
        </w:tc>
      </w:tr>
      <w:tr w:rsidR="00554380" w:rsidRPr="009037BE" w14:paraId="314A7266" w14:textId="77777777" w:rsidTr="00056CA4">
        <w:tc>
          <w:tcPr>
            <w:tcW w:w="1098" w:type="dxa"/>
            <w:vAlign w:val="center"/>
          </w:tcPr>
          <w:p w14:paraId="4E1004BD" w14:textId="77777777" w:rsidR="00554380" w:rsidRDefault="00554380" w:rsidP="001E6201">
            <w:pPr>
              <w:autoSpaceDE w:val="0"/>
              <w:autoSpaceDN w:val="0"/>
              <w:adjustRightInd w:val="0"/>
              <w:spacing w:before="120" w:after="120"/>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Canada</w:t>
            </w:r>
          </w:p>
        </w:tc>
        <w:tc>
          <w:tcPr>
            <w:tcW w:w="1710" w:type="dxa"/>
            <w:vAlign w:val="center"/>
          </w:tcPr>
          <w:p w14:paraId="5792ADE9" w14:textId="77777777" w:rsidR="00554380" w:rsidRDefault="004C5808" w:rsidP="000827DD">
            <w:pPr>
              <w:autoSpaceDE w:val="0"/>
              <w:autoSpaceDN w:val="0"/>
              <w:adjustRightInd w:val="0"/>
              <w:spacing w:before="120" w:after="12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S</w:t>
            </w:r>
            <w:r w:rsidRPr="004C5808">
              <w:rPr>
                <w:rFonts w:ascii="Times New Roman" w:eastAsia="Calibri" w:hAnsi="Times New Roman" w:cs="Times New Roman"/>
                <w:color w:val="000000"/>
                <w:sz w:val="20"/>
                <w:szCs w:val="20"/>
              </w:rPr>
              <w:t>ampling, Screening and Analysis of POPs in Articles</w:t>
            </w:r>
          </w:p>
        </w:tc>
        <w:tc>
          <w:tcPr>
            <w:tcW w:w="7200" w:type="dxa"/>
          </w:tcPr>
          <w:p w14:paraId="38102650" w14:textId="77777777" w:rsidR="00554380" w:rsidRDefault="00554380" w:rsidP="00554380">
            <w:pPr>
              <w:pStyle w:val="Default"/>
              <w:rPr>
                <w:rFonts w:ascii="Times New Roman" w:eastAsia="Calibri" w:hAnsi="Times New Roman" w:cs="Times New Roman"/>
                <w:sz w:val="20"/>
                <w:szCs w:val="20"/>
              </w:rPr>
            </w:pPr>
            <w:r w:rsidRPr="002D5DC6">
              <w:rPr>
                <w:rFonts w:ascii="Times New Roman" w:eastAsia="Calibri" w:hAnsi="Times New Roman" w:cs="Times New Roman"/>
                <w:sz w:val="20"/>
                <w:szCs w:val="20"/>
              </w:rPr>
              <w:t>We are concerned with the overlap between some of the information presented in this document and in the seven technical guidelines of the Basel Convention on POPs, which also cover sampling, monitoring and analysis. While the information appears to be accurate and consistent, we would like to suggest that the document defer to the authority of the Basel Convention and guidance developed under it instead of duplicated here.</w:t>
            </w:r>
          </w:p>
          <w:p w14:paraId="3126A906" w14:textId="2B88A70E" w:rsidR="002A2DCF" w:rsidRPr="002D5DC6" w:rsidRDefault="002A2DCF" w:rsidP="00554380">
            <w:pPr>
              <w:pStyle w:val="Default"/>
              <w:rPr>
                <w:rFonts w:ascii="Times New Roman" w:eastAsia="Calibri" w:hAnsi="Times New Roman" w:cs="Times New Roman"/>
                <w:sz w:val="20"/>
                <w:szCs w:val="20"/>
              </w:rPr>
            </w:pPr>
          </w:p>
        </w:tc>
        <w:tc>
          <w:tcPr>
            <w:tcW w:w="3168" w:type="dxa"/>
          </w:tcPr>
          <w:p w14:paraId="1637D8F3" w14:textId="45027EF7" w:rsidR="00774593" w:rsidRDefault="001444D7" w:rsidP="00774593">
            <w:pPr>
              <w:autoSpaceDE w:val="0"/>
              <w:autoSpaceDN w:val="0"/>
              <w:adjustRightInd w:val="0"/>
              <w:spacing w:before="120" w:after="12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The Stockholm Convention address</w:t>
            </w:r>
            <w:r w:rsidR="00841F92">
              <w:rPr>
                <w:rFonts w:ascii="Times New Roman" w:eastAsia="Calibri" w:hAnsi="Times New Roman" w:cs="Times New Roman"/>
                <w:color w:val="000000"/>
                <w:sz w:val="20"/>
                <w:szCs w:val="20"/>
              </w:rPr>
              <w:t>es</w:t>
            </w:r>
            <w:r>
              <w:rPr>
                <w:rFonts w:ascii="Times New Roman" w:eastAsia="Calibri" w:hAnsi="Times New Roman" w:cs="Times New Roman"/>
                <w:color w:val="000000"/>
                <w:sz w:val="20"/>
                <w:szCs w:val="20"/>
              </w:rPr>
              <w:t xml:space="preserve"> POPs </w:t>
            </w:r>
            <w:r w:rsidR="00841F92">
              <w:rPr>
                <w:rFonts w:ascii="Times New Roman" w:eastAsia="Calibri" w:hAnsi="Times New Roman" w:cs="Times New Roman"/>
                <w:color w:val="000000"/>
                <w:sz w:val="20"/>
                <w:szCs w:val="20"/>
              </w:rPr>
              <w:t>through a</w:t>
            </w:r>
            <w:r>
              <w:rPr>
                <w:rFonts w:ascii="Times New Roman" w:eastAsia="Calibri" w:hAnsi="Times New Roman" w:cs="Times New Roman"/>
                <w:color w:val="000000"/>
                <w:sz w:val="20"/>
                <w:szCs w:val="20"/>
              </w:rPr>
              <w:t xml:space="preserve"> life cycle</w:t>
            </w:r>
            <w:r w:rsidR="00841F92">
              <w:rPr>
                <w:rFonts w:ascii="Times New Roman" w:eastAsia="Calibri" w:hAnsi="Times New Roman" w:cs="Times New Roman"/>
                <w:color w:val="000000"/>
                <w:sz w:val="20"/>
                <w:szCs w:val="20"/>
              </w:rPr>
              <w:t xml:space="preserve"> approach</w:t>
            </w:r>
            <w:r w:rsidR="00774593">
              <w:rPr>
                <w:rFonts w:ascii="Times New Roman" w:eastAsia="Calibri" w:hAnsi="Times New Roman" w:cs="Times New Roman"/>
                <w:color w:val="000000"/>
                <w:sz w:val="20"/>
                <w:szCs w:val="20"/>
              </w:rPr>
              <w:t xml:space="preserve"> and their presence in</w:t>
            </w:r>
            <w:r>
              <w:rPr>
                <w:rFonts w:ascii="Times New Roman" w:eastAsia="Calibri" w:hAnsi="Times New Roman" w:cs="Times New Roman"/>
                <w:color w:val="000000"/>
                <w:sz w:val="20"/>
                <w:szCs w:val="20"/>
              </w:rPr>
              <w:t>. articles and products are better addressed under the Stockholm Convention</w:t>
            </w:r>
            <w:r w:rsidR="00774593">
              <w:rPr>
                <w:rFonts w:ascii="Times New Roman" w:eastAsia="Calibri" w:hAnsi="Times New Roman" w:cs="Times New Roman"/>
                <w:color w:val="000000"/>
                <w:sz w:val="20"/>
                <w:szCs w:val="20"/>
              </w:rPr>
              <w:t xml:space="preserve">. </w:t>
            </w:r>
            <w:r w:rsidR="000E3625">
              <w:rPr>
                <w:rFonts w:ascii="Times New Roman" w:eastAsia="Calibri" w:hAnsi="Times New Roman" w:cs="Times New Roman"/>
                <w:color w:val="000000"/>
                <w:sz w:val="20"/>
                <w:szCs w:val="20"/>
              </w:rPr>
              <w:t>Practical</w:t>
            </w:r>
            <w:r w:rsidR="00057BDA">
              <w:rPr>
                <w:rFonts w:ascii="Times New Roman" w:eastAsia="Calibri" w:hAnsi="Times New Roman" w:cs="Times New Roman"/>
                <w:color w:val="000000"/>
                <w:sz w:val="20"/>
                <w:szCs w:val="20"/>
              </w:rPr>
              <w:t xml:space="preserve"> examples </w:t>
            </w:r>
            <w:r w:rsidR="00774593">
              <w:rPr>
                <w:rFonts w:ascii="Times New Roman" w:eastAsia="Calibri" w:hAnsi="Times New Roman" w:cs="Times New Roman"/>
                <w:color w:val="000000"/>
                <w:sz w:val="20"/>
                <w:szCs w:val="20"/>
              </w:rPr>
              <w:t>have been included in</w:t>
            </w:r>
            <w:r w:rsidR="00057BDA">
              <w:rPr>
                <w:rFonts w:ascii="Times New Roman" w:eastAsia="Calibri" w:hAnsi="Times New Roman" w:cs="Times New Roman"/>
                <w:color w:val="000000"/>
                <w:sz w:val="20"/>
                <w:szCs w:val="20"/>
              </w:rPr>
              <w:t xml:space="preserve"> the gu</w:t>
            </w:r>
            <w:r w:rsidR="00774593">
              <w:rPr>
                <w:rFonts w:ascii="Times New Roman" w:eastAsia="Calibri" w:hAnsi="Times New Roman" w:cs="Times New Roman"/>
                <w:color w:val="000000"/>
                <w:sz w:val="20"/>
                <w:szCs w:val="20"/>
              </w:rPr>
              <w:t xml:space="preserve">idance. </w:t>
            </w:r>
          </w:p>
          <w:p w14:paraId="332F1BCE" w14:textId="1D04F573" w:rsidR="00554380" w:rsidRPr="008A7601" w:rsidRDefault="00774593" w:rsidP="00774593">
            <w:pPr>
              <w:autoSpaceDE w:val="0"/>
              <w:autoSpaceDN w:val="0"/>
              <w:adjustRightInd w:val="0"/>
              <w:spacing w:before="120" w:after="12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Waste is a minor part of</w:t>
            </w:r>
            <w:r w:rsidR="00057BDA">
              <w:rPr>
                <w:rFonts w:ascii="Times New Roman" w:eastAsia="Calibri" w:hAnsi="Times New Roman" w:cs="Times New Roman"/>
                <w:color w:val="000000"/>
                <w:sz w:val="20"/>
                <w:szCs w:val="20"/>
              </w:rPr>
              <w:t xml:space="preserve"> the current </w:t>
            </w:r>
            <w:r>
              <w:rPr>
                <w:rFonts w:ascii="Times New Roman" w:eastAsia="Calibri" w:hAnsi="Times New Roman" w:cs="Times New Roman"/>
                <w:color w:val="000000"/>
                <w:sz w:val="20"/>
                <w:szCs w:val="20"/>
              </w:rPr>
              <w:t xml:space="preserve">SC </w:t>
            </w:r>
            <w:r w:rsidR="00057BDA">
              <w:rPr>
                <w:rFonts w:ascii="Times New Roman" w:eastAsia="Calibri" w:hAnsi="Times New Roman" w:cs="Times New Roman"/>
                <w:color w:val="000000"/>
                <w:sz w:val="20"/>
                <w:szCs w:val="20"/>
              </w:rPr>
              <w:t xml:space="preserve">guidance and </w:t>
            </w:r>
            <w:r>
              <w:rPr>
                <w:rFonts w:ascii="Times New Roman" w:eastAsia="Calibri" w:hAnsi="Times New Roman" w:cs="Times New Roman"/>
                <w:color w:val="000000"/>
                <w:sz w:val="20"/>
                <w:szCs w:val="20"/>
              </w:rPr>
              <w:t xml:space="preserve">where relevant, </w:t>
            </w:r>
            <w:r w:rsidR="00057BDA">
              <w:rPr>
                <w:rFonts w:ascii="Times New Roman" w:eastAsia="Calibri" w:hAnsi="Times New Roman" w:cs="Times New Roman"/>
                <w:color w:val="000000"/>
                <w:sz w:val="20"/>
                <w:szCs w:val="20"/>
              </w:rPr>
              <w:t>links to Basel</w:t>
            </w:r>
            <w:r>
              <w:rPr>
                <w:rFonts w:ascii="Times New Roman" w:eastAsia="Calibri" w:hAnsi="Times New Roman" w:cs="Times New Roman"/>
                <w:color w:val="000000"/>
                <w:sz w:val="20"/>
                <w:szCs w:val="20"/>
              </w:rPr>
              <w:t xml:space="preserve"> Convention</w:t>
            </w:r>
            <w:r w:rsidR="00057BDA">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rPr>
              <w:t>guidelines are highlighted.</w:t>
            </w:r>
          </w:p>
        </w:tc>
      </w:tr>
      <w:tr w:rsidR="00554380" w:rsidRPr="009037BE" w14:paraId="0E2262BD" w14:textId="77777777" w:rsidTr="00056CA4">
        <w:tc>
          <w:tcPr>
            <w:tcW w:w="1098" w:type="dxa"/>
            <w:vAlign w:val="center"/>
          </w:tcPr>
          <w:p w14:paraId="10136E40" w14:textId="77777777" w:rsidR="00554380" w:rsidRDefault="00554380" w:rsidP="001E6201">
            <w:pPr>
              <w:autoSpaceDE w:val="0"/>
              <w:autoSpaceDN w:val="0"/>
              <w:adjustRightInd w:val="0"/>
              <w:spacing w:before="120" w:after="120"/>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Canada</w:t>
            </w:r>
          </w:p>
        </w:tc>
        <w:tc>
          <w:tcPr>
            <w:tcW w:w="1710" w:type="dxa"/>
            <w:vAlign w:val="center"/>
          </w:tcPr>
          <w:p w14:paraId="547953C2" w14:textId="77777777" w:rsidR="00554380" w:rsidRDefault="00554380" w:rsidP="000827DD">
            <w:pPr>
              <w:autoSpaceDE w:val="0"/>
              <w:autoSpaceDN w:val="0"/>
              <w:adjustRightInd w:val="0"/>
              <w:spacing w:before="120" w:after="120"/>
              <w:rPr>
                <w:rFonts w:ascii="Times New Roman" w:eastAsia="Calibri" w:hAnsi="Times New Roman" w:cs="Times New Roman"/>
                <w:color w:val="000000"/>
                <w:sz w:val="20"/>
                <w:szCs w:val="20"/>
              </w:rPr>
            </w:pPr>
          </w:p>
        </w:tc>
        <w:tc>
          <w:tcPr>
            <w:tcW w:w="7200" w:type="dxa"/>
          </w:tcPr>
          <w:p w14:paraId="4D8F1065" w14:textId="77777777" w:rsidR="00554380" w:rsidRPr="002D5DC6" w:rsidRDefault="00554380" w:rsidP="00554380">
            <w:pPr>
              <w:pStyle w:val="Default"/>
              <w:rPr>
                <w:rFonts w:ascii="Times New Roman" w:eastAsia="Calibri" w:hAnsi="Times New Roman" w:cs="Times New Roman"/>
                <w:sz w:val="20"/>
                <w:szCs w:val="20"/>
              </w:rPr>
            </w:pPr>
            <w:r w:rsidRPr="002D5DC6">
              <w:rPr>
                <w:rFonts w:ascii="Times New Roman" w:eastAsia="Calibri" w:hAnsi="Times New Roman" w:cs="Times New Roman"/>
                <w:sz w:val="20"/>
                <w:szCs w:val="20"/>
              </w:rPr>
              <w:t>Care should be taken to ensure the document is aimed at helping Parties develop their national implementation plans (NIP). As such, statements like “companies need to assure” (in Annex 1-B) could be reformulated to focus on what a NIP should consider, and avoid statements that appear to put obligations on companies directly.</w:t>
            </w:r>
          </w:p>
        </w:tc>
        <w:tc>
          <w:tcPr>
            <w:tcW w:w="3168" w:type="dxa"/>
          </w:tcPr>
          <w:p w14:paraId="0474C125" w14:textId="77777777" w:rsidR="00554380" w:rsidRPr="008A7601" w:rsidRDefault="00057BDA" w:rsidP="001E6201">
            <w:pPr>
              <w:autoSpaceDE w:val="0"/>
              <w:autoSpaceDN w:val="0"/>
              <w:adjustRightInd w:val="0"/>
              <w:spacing w:before="120" w:after="12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Considered and modified</w:t>
            </w:r>
          </w:p>
        </w:tc>
      </w:tr>
      <w:tr w:rsidR="00554380" w:rsidRPr="009037BE" w14:paraId="3D544040" w14:textId="77777777" w:rsidTr="00056CA4">
        <w:tc>
          <w:tcPr>
            <w:tcW w:w="1098" w:type="dxa"/>
            <w:vAlign w:val="center"/>
          </w:tcPr>
          <w:p w14:paraId="5832AC46" w14:textId="77777777" w:rsidR="00554380" w:rsidRPr="0038717E" w:rsidRDefault="00554380" w:rsidP="001E6201">
            <w:pPr>
              <w:autoSpaceDE w:val="0"/>
              <w:autoSpaceDN w:val="0"/>
              <w:adjustRightInd w:val="0"/>
              <w:spacing w:before="120" w:after="120"/>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Canada</w:t>
            </w:r>
          </w:p>
        </w:tc>
        <w:tc>
          <w:tcPr>
            <w:tcW w:w="1710" w:type="dxa"/>
            <w:vAlign w:val="center"/>
          </w:tcPr>
          <w:p w14:paraId="2B07DB70" w14:textId="77777777" w:rsidR="00554380" w:rsidRDefault="00554380" w:rsidP="000827DD">
            <w:pPr>
              <w:autoSpaceDE w:val="0"/>
              <w:autoSpaceDN w:val="0"/>
              <w:adjustRightInd w:val="0"/>
              <w:spacing w:before="120" w:after="120"/>
              <w:rPr>
                <w:rFonts w:ascii="Times New Roman" w:eastAsia="Calibri" w:hAnsi="Times New Roman" w:cs="Times New Roman"/>
                <w:color w:val="000000"/>
                <w:sz w:val="20"/>
                <w:szCs w:val="20"/>
              </w:rPr>
            </w:pPr>
          </w:p>
        </w:tc>
        <w:tc>
          <w:tcPr>
            <w:tcW w:w="7200" w:type="dxa"/>
          </w:tcPr>
          <w:p w14:paraId="677A21A4" w14:textId="77777777" w:rsidR="00554380" w:rsidRPr="002D5DC6" w:rsidRDefault="00554380" w:rsidP="00554380">
            <w:pPr>
              <w:pStyle w:val="Default"/>
              <w:rPr>
                <w:rFonts w:ascii="Times New Roman" w:eastAsia="Calibri" w:hAnsi="Times New Roman" w:cs="Times New Roman"/>
                <w:sz w:val="20"/>
                <w:szCs w:val="20"/>
              </w:rPr>
            </w:pPr>
            <w:r w:rsidRPr="002D5DC6">
              <w:rPr>
                <w:rFonts w:ascii="Times New Roman" w:eastAsia="Calibri" w:hAnsi="Times New Roman" w:cs="Times New Roman"/>
                <w:sz w:val="20"/>
                <w:szCs w:val="20"/>
              </w:rPr>
              <w:t xml:space="preserve">Certain references need to be validated, taking into account documents that have since been updated. </w:t>
            </w:r>
          </w:p>
          <w:p w14:paraId="53697522" w14:textId="77777777" w:rsidR="00554380" w:rsidRPr="004C2BC4" w:rsidRDefault="00554380" w:rsidP="004C2BC4">
            <w:pPr>
              <w:rPr>
                <w:rFonts w:ascii="Times New Roman" w:eastAsia="Calibri" w:hAnsi="Times New Roman" w:cs="Times New Roman"/>
                <w:color w:val="000000"/>
                <w:sz w:val="20"/>
                <w:szCs w:val="20"/>
              </w:rPr>
            </w:pPr>
          </w:p>
        </w:tc>
        <w:tc>
          <w:tcPr>
            <w:tcW w:w="3168" w:type="dxa"/>
          </w:tcPr>
          <w:p w14:paraId="0FBF6A0D" w14:textId="77777777" w:rsidR="00554380" w:rsidRPr="008A7601" w:rsidRDefault="00057BDA" w:rsidP="001E6201">
            <w:pPr>
              <w:autoSpaceDE w:val="0"/>
              <w:autoSpaceDN w:val="0"/>
              <w:adjustRightInd w:val="0"/>
              <w:spacing w:before="120" w:after="12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References where updated and considerably extended</w:t>
            </w:r>
          </w:p>
        </w:tc>
      </w:tr>
      <w:tr w:rsidR="00056CA4" w:rsidRPr="009037BE" w14:paraId="7FAE852F" w14:textId="77777777" w:rsidTr="00056CA4">
        <w:tc>
          <w:tcPr>
            <w:tcW w:w="1098" w:type="dxa"/>
            <w:vAlign w:val="center"/>
          </w:tcPr>
          <w:p w14:paraId="6431B4AF" w14:textId="77777777" w:rsidR="00056CA4" w:rsidRDefault="00056CA4" w:rsidP="001E6201">
            <w:pPr>
              <w:autoSpaceDE w:val="0"/>
              <w:autoSpaceDN w:val="0"/>
              <w:adjustRightInd w:val="0"/>
              <w:spacing w:before="120" w:after="120"/>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Canada</w:t>
            </w:r>
          </w:p>
        </w:tc>
        <w:tc>
          <w:tcPr>
            <w:tcW w:w="1710" w:type="dxa"/>
            <w:vAlign w:val="center"/>
          </w:tcPr>
          <w:p w14:paraId="61ED8AD1" w14:textId="77777777" w:rsidR="00056CA4" w:rsidRDefault="00056CA4" w:rsidP="000827DD">
            <w:pPr>
              <w:autoSpaceDE w:val="0"/>
              <w:autoSpaceDN w:val="0"/>
              <w:adjustRightInd w:val="0"/>
              <w:spacing w:before="120" w:after="12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Page 11</w:t>
            </w:r>
          </w:p>
        </w:tc>
        <w:tc>
          <w:tcPr>
            <w:tcW w:w="7200" w:type="dxa"/>
          </w:tcPr>
          <w:p w14:paraId="70F36DAE" w14:textId="77777777" w:rsidR="00056CA4" w:rsidRPr="002D5DC6" w:rsidRDefault="00056CA4" w:rsidP="00554380">
            <w:pPr>
              <w:pStyle w:val="Default"/>
              <w:rPr>
                <w:rFonts w:ascii="Times New Roman" w:eastAsia="Calibri" w:hAnsi="Times New Roman" w:cs="Times New Roman"/>
                <w:sz w:val="20"/>
                <w:szCs w:val="20"/>
              </w:rPr>
            </w:pPr>
            <w:r w:rsidRPr="00056CA4">
              <w:rPr>
                <w:rFonts w:ascii="Times New Roman" w:eastAsia="Calibri" w:hAnsi="Times New Roman" w:cs="Times New Roman"/>
                <w:sz w:val="20"/>
                <w:szCs w:val="20"/>
              </w:rPr>
              <w:t>Best to identify specifically which PBDEs are being referred to</w:t>
            </w:r>
          </w:p>
        </w:tc>
        <w:tc>
          <w:tcPr>
            <w:tcW w:w="3168" w:type="dxa"/>
          </w:tcPr>
          <w:p w14:paraId="45C3B2C8" w14:textId="77777777" w:rsidR="00056CA4" w:rsidRPr="008A7601" w:rsidRDefault="00056CA4" w:rsidP="001E6201">
            <w:pPr>
              <w:autoSpaceDE w:val="0"/>
              <w:autoSpaceDN w:val="0"/>
              <w:adjustRightInd w:val="0"/>
              <w:spacing w:before="120" w:after="12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Considered and modified</w:t>
            </w:r>
          </w:p>
        </w:tc>
      </w:tr>
      <w:tr w:rsidR="00056CA4" w:rsidRPr="009037BE" w14:paraId="67936C21" w14:textId="77777777" w:rsidTr="00056CA4">
        <w:tc>
          <w:tcPr>
            <w:tcW w:w="1098" w:type="dxa"/>
            <w:vAlign w:val="center"/>
          </w:tcPr>
          <w:p w14:paraId="653856CE" w14:textId="77777777" w:rsidR="00056CA4" w:rsidRDefault="00056CA4" w:rsidP="00056CA4">
            <w:pPr>
              <w:autoSpaceDE w:val="0"/>
              <w:autoSpaceDN w:val="0"/>
              <w:adjustRightInd w:val="0"/>
              <w:spacing w:before="120" w:after="120"/>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Canada</w:t>
            </w:r>
          </w:p>
        </w:tc>
        <w:tc>
          <w:tcPr>
            <w:tcW w:w="1710" w:type="dxa"/>
            <w:vAlign w:val="center"/>
          </w:tcPr>
          <w:p w14:paraId="3D670B0E" w14:textId="77777777" w:rsidR="00056CA4" w:rsidRDefault="00056CA4" w:rsidP="00056CA4">
            <w:pPr>
              <w:autoSpaceDE w:val="0"/>
              <w:autoSpaceDN w:val="0"/>
              <w:adjustRightInd w:val="0"/>
              <w:spacing w:before="120" w:after="12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Page 11</w:t>
            </w:r>
          </w:p>
        </w:tc>
        <w:tc>
          <w:tcPr>
            <w:tcW w:w="7200" w:type="dxa"/>
          </w:tcPr>
          <w:p w14:paraId="351FF958" w14:textId="77777777" w:rsidR="00056CA4" w:rsidRPr="00056CA4" w:rsidRDefault="00056CA4" w:rsidP="00056CA4">
            <w:pPr>
              <w:pStyle w:val="Default"/>
              <w:rPr>
                <w:rFonts w:ascii="Times New Roman" w:eastAsia="Calibri" w:hAnsi="Times New Roman" w:cs="Times New Roman"/>
                <w:sz w:val="20"/>
                <w:szCs w:val="20"/>
              </w:rPr>
            </w:pPr>
            <w:r w:rsidRPr="00056CA4">
              <w:rPr>
                <w:rFonts w:ascii="Times New Roman" w:eastAsia="Calibri" w:hAnsi="Times New Roman" w:cs="Times New Roman"/>
                <w:sz w:val="20"/>
                <w:szCs w:val="20"/>
              </w:rPr>
              <w:t>Should list them explicitly for certainty. It is no longer accurate to say “newly listed” since HBCD was added in 2013 but not included in this document. Care should be taken to ensure the information is current and relevant, and not affected by the passage of time.</w:t>
            </w:r>
          </w:p>
        </w:tc>
        <w:tc>
          <w:tcPr>
            <w:tcW w:w="3168" w:type="dxa"/>
          </w:tcPr>
          <w:p w14:paraId="26AD75F8" w14:textId="77777777" w:rsidR="00056CA4" w:rsidRDefault="00FA2E7D" w:rsidP="00056CA4">
            <w:pPr>
              <w:autoSpaceDE w:val="0"/>
              <w:autoSpaceDN w:val="0"/>
              <w:adjustRightInd w:val="0"/>
              <w:spacing w:before="120" w:after="12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Modified to “additionally listed”</w:t>
            </w:r>
          </w:p>
        </w:tc>
      </w:tr>
      <w:tr w:rsidR="00056CA4" w:rsidRPr="009037BE" w14:paraId="03C7083D" w14:textId="77777777" w:rsidTr="00056CA4">
        <w:tc>
          <w:tcPr>
            <w:tcW w:w="1098" w:type="dxa"/>
            <w:vAlign w:val="center"/>
          </w:tcPr>
          <w:p w14:paraId="1DA8214E" w14:textId="77777777" w:rsidR="00056CA4" w:rsidRDefault="00056CA4" w:rsidP="00056CA4">
            <w:pPr>
              <w:autoSpaceDE w:val="0"/>
              <w:autoSpaceDN w:val="0"/>
              <w:adjustRightInd w:val="0"/>
              <w:spacing w:before="120" w:after="120"/>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lastRenderedPageBreak/>
              <w:t>Canada</w:t>
            </w:r>
          </w:p>
        </w:tc>
        <w:tc>
          <w:tcPr>
            <w:tcW w:w="1710" w:type="dxa"/>
            <w:vAlign w:val="center"/>
          </w:tcPr>
          <w:p w14:paraId="561275B7" w14:textId="77777777" w:rsidR="00056CA4" w:rsidRDefault="00056CA4" w:rsidP="00056CA4">
            <w:pPr>
              <w:autoSpaceDE w:val="0"/>
              <w:autoSpaceDN w:val="0"/>
              <w:adjustRightInd w:val="0"/>
              <w:spacing w:before="120" w:after="12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Page 13</w:t>
            </w:r>
          </w:p>
        </w:tc>
        <w:tc>
          <w:tcPr>
            <w:tcW w:w="7200" w:type="dxa"/>
          </w:tcPr>
          <w:p w14:paraId="1D3AD928" w14:textId="77777777" w:rsidR="00056CA4" w:rsidRPr="00056CA4" w:rsidRDefault="00FA2E7D" w:rsidP="00056CA4">
            <w:pPr>
              <w:pStyle w:val="Default"/>
              <w:rPr>
                <w:rFonts w:ascii="Times New Roman" w:eastAsia="Calibri" w:hAnsi="Times New Roman" w:cs="Times New Roman"/>
                <w:sz w:val="20"/>
                <w:szCs w:val="20"/>
              </w:rPr>
            </w:pPr>
            <w:r w:rsidRPr="00FA2E7D">
              <w:rPr>
                <w:rFonts w:ascii="Times New Roman" w:eastAsia="Calibri" w:hAnsi="Times New Roman" w:cs="Times New Roman"/>
                <w:sz w:val="20"/>
                <w:szCs w:val="20"/>
              </w:rPr>
              <w:t>Recommend keeping language as consistent as possible with the Convention, which lists PeCB (not PeCBz).  This correction applies throughout.</w:t>
            </w:r>
          </w:p>
        </w:tc>
        <w:tc>
          <w:tcPr>
            <w:tcW w:w="3168" w:type="dxa"/>
          </w:tcPr>
          <w:p w14:paraId="75A987AE" w14:textId="77777777" w:rsidR="00056CA4" w:rsidRDefault="00FA2E7D" w:rsidP="00FA2E7D">
            <w:pPr>
              <w:autoSpaceDE w:val="0"/>
              <w:autoSpaceDN w:val="0"/>
              <w:adjustRightInd w:val="0"/>
              <w:spacing w:before="120" w:after="12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PeCBz was substituted by PeCB as in Convention text (although this is </w:t>
            </w:r>
            <w:r w:rsidR="00A22E09">
              <w:rPr>
                <w:rFonts w:ascii="Times New Roman" w:eastAsia="Calibri" w:hAnsi="Times New Roman" w:cs="Times New Roman"/>
                <w:color w:val="000000"/>
                <w:sz w:val="20"/>
                <w:szCs w:val="20"/>
              </w:rPr>
              <w:t xml:space="preserve">rather </w:t>
            </w:r>
            <w:r>
              <w:rPr>
                <w:rFonts w:ascii="Times New Roman" w:eastAsia="Calibri" w:hAnsi="Times New Roman" w:cs="Times New Roman"/>
                <w:color w:val="000000"/>
                <w:sz w:val="20"/>
                <w:szCs w:val="20"/>
              </w:rPr>
              <w:t>the abbreviation of Pentachlorobiphenyl)</w:t>
            </w:r>
          </w:p>
        </w:tc>
      </w:tr>
      <w:tr w:rsidR="00056CA4" w:rsidRPr="009037BE" w14:paraId="7D787032" w14:textId="77777777" w:rsidTr="00056CA4">
        <w:tc>
          <w:tcPr>
            <w:tcW w:w="1098" w:type="dxa"/>
            <w:vAlign w:val="center"/>
          </w:tcPr>
          <w:p w14:paraId="0593C08A" w14:textId="77777777" w:rsidR="00056CA4" w:rsidRDefault="00056CA4" w:rsidP="00056CA4">
            <w:pPr>
              <w:autoSpaceDE w:val="0"/>
              <w:autoSpaceDN w:val="0"/>
              <w:adjustRightInd w:val="0"/>
              <w:spacing w:before="120" w:after="120"/>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Canada</w:t>
            </w:r>
          </w:p>
        </w:tc>
        <w:tc>
          <w:tcPr>
            <w:tcW w:w="1710" w:type="dxa"/>
            <w:vAlign w:val="center"/>
          </w:tcPr>
          <w:p w14:paraId="104E2057" w14:textId="77777777" w:rsidR="00056CA4" w:rsidRDefault="00A22E09" w:rsidP="00056CA4">
            <w:pPr>
              <w:autoSpaceDE w:val="0"/>
              <w:autoSpaceDN w:val="0"/>
              <w:adjustRightInd w:val="0"/>
              <w:spacing w:before="120" w:after="12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Page 13</w:t>
            </w:r>
          </w:p>
        </w:tc>
        <w:tc>
          <w:tcPr>
            <w:tcW w:w="7200" w:type="dxa"/>
          </w:tcPr>
          <w:p w14:paraId="203B518B" w14:textId="77777777" w:rsidR="00056CA4" w:rsidRPr="00056CA4" w:rsidRDefault="00A22E09" w:rsidP="00056CA4">
            <w:pPr>
              <w:pStyle w:val="Default"/>
              <w:rPr>
                <w:rFonts w:ascii="Times New Roman" w:eastAsia="Calibri" w:hAnsi="Times New Roman" w:cs="Times New Roman"/>
                <w:sz w:val="20"/>
                <w:szCs w:val="20"/>
              </w:rPr>
            </w:pPr>
            <w:r w:rsidRPr="00A22E09">
              <w:rPr>
                <w:rFonts w:ascii="Times New Roman" w:eastAsia="Calibri" w:hAnsi="Times New Roman" w:cs="Times New Roman"/>
                <w:sz w:val="20"/>
                <w:szCs w:val="20"/>
              </w:rPr>
              <w:t>Verify reference number and title, also reference 4 (2012d) was revised in May 2015</w:t>
            </w:r>
          </w:p>
        </w:tc>
        <w:tc>
          <w:tcPr>
            <w:tcW w:w="3168" w:type="dxa"/>
          </w:tcPr>
          <w:p w14:paraId="1EB41438" w14:textId="5D377D18" w:rsidR="00056CA4" w:rsidRDefault="00A22E09" w:rsidP="00056CA4">
            <w:pPr>
              <w:autoSpaceDE w:val="0"/>
              <w:autoSpaceDN w:val="0"/>
              <w:adjustRightInd w:val="0"/>
              <w:spacing w:before="120" w:after="12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The reference has been update </w:t>
            </w:r>
            <w:r w:rsidR="004827E9">
              <w:rPr>
                <w:rFonts w:ascii="Times New Roman" w:eastAsia="Calibri" w:hAnsi="Times New Roman" w:cs="Times New Roman"/>
                <w:color w:val="000000"/>
                <w:sz w:val="20"/>
                <w:szCs w:val="20"/>
              </w:rPr>
              <w:t>d</w:t>
            </w:r>
          </w:p>
        </w:tc>
      </w:tr>
      <w:tr w:rsidR="00056CA4" w:rsidRPr="009037BE" w14:paraId="1738A51F" w14:textId="77777777" w:rsidTr="00056CA4">
        <w:tc>
          <w:tcPr>
            <w:tcW w:w="1098" w:type="dxa"/>
            <w:vAlign w:val="center"/>
          </w:tcPr>
          <w:p w14:paraId="107535CA" w14:textId="77777777" w:rsidR="00056CA4" w:rsidRDefault="00056CA4" w:rsidP="00056CA4">
            <w:pPr>
              <w:autoSpaceDE w:val="0"/>
              <w:autoSpaceDN w:val="0"/>
              <w:adjustRightInd w:val="0"/>
              <w:spacing w:before="120" w:after="120"/>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Canada</w:t>
            </w:r>
          </w:p>
        </w:tc>
        <w:tc>
          <w:tcPr>
            <w:tcW w:w="1710" w:type="dxa"/>
            <w:vAlign w:val="center"/>
          </w:tcPr>
          <w:p w14:paraId="7B9D312A" w14:textId="77777777" w:rsidR="00056CA4" w:rsidRDefault="00A22E09" w:rsidP="00056CA4">
            <w:pPr>
              <w:autoSpaceDE w:val="0"/>
              <w:autoSpaceDN w:val="0"/>
              <w:adjustRightInd w:val="0"/>
              <w:spacing w:before="120" w:after="12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Page 13</w:t>
            </w:r>
          </w:p>
        </w:tc>
        <w:tc>
          <w:tcPr>
            <w:tcW w:w="7200" w:type="dxa"/>
          </w:tcPr>
          <w:p w14:paraId="58740D98" w14:textId="77777777" w:rsidR="00056CA4" w:rsidRPr="00056CA4" w:rsidRDefault="00A22E09" w:rsidP="00056CA4">
            <w:pPr>
              <w:pStyle w:val="Default"/>
              <w:rPr>
                <w:rFonts w:ascii="Times New Roman" w:eastAsia="Calibri" w:hAnsi="Times New Roman" w:cs="Times New Roman"/>
                <w:sz w:val="20"/>
                <w:szCs w:val="20"/>
              </w:rPr>
            </w:pPr>
            <w:r>
              <w:rPr>
                <w:rFonts w:ascii="Times New Roman" w:eastAsia="Calibri" w:hAnsi="Times New Roman" w:cs="Times New Roman"/>
                <w:sz w:val="20"/>
                <w:szCs w:val="20"/>
              </w:rPr>
              <w:t>Addition of text referencing to Basel Guidelines</w:t>
            </w:r>
          </w:p>
        </w:tc>
        <w:tc>
          <w:tcPr>
            <w:tcW w:w="3168" w:type="dxa"/>
          </w:tcPr>
          <w:p w14:paraId="773A6B70" w14:textId="77777777" w:rsidR="00056CA4" w:rsidRDefault="00A22E09" w:rsidP="00056CA4">
            <w:pPr>
              <w:autoSpaceDE w:val="0"/>
              <w:autoSpaceDN w:val="0"/>
              <w:adjustRightInd w:val="0"/>
              <w:spacing w:before="120" w:after="12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Text was added</w:t>
            </w:r>
          </w:p>
        </w:tc>
      </w:tr>
      <w:tr w:rsidR="00A22E09" w:rsidRPr="009037BE" w14:paraId="6C19AA10" w14:textId="77777777" w:rsidTr="00056CA4">
        <w:tc>
          <w:tcPr>
            <w:tcW w:w="1098" w:type="dxa"/>
            <w:vAlign w:val="center"/>
          </w:tcPr>
          <w:p w14:paraId="73234C6F" w14:textId="77777777" w:rsidR="00A22E09" w:rsidRDefault="00A22E09" w:rsidP="00A22E09">
            <w:pPr>
              <w:autoSpaceDE w:val="0"/>
              <w:autoSpaceDN w:val="0"/>
              <w:adjustRightInd w:val="0"/>
              <w:spacing w:before="120" w:after="120"/>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Canada</w:t>
            </w:r>
          </w:p>
        </w:tc>
        <w:tc>
          <w:tcPr>
            <w:tcW w:w="1710" w:type="dxa"/>
            <w:vAlign w:val="center"/>
          </w:tcPr>
          <w:p w14:paraId="2C3824AE" w14:textId="77777777" w:rsidR="00A22E09" w:rsidRDefault="00A22E09" w:rsidP="00A22E09">
            <w:pPr>
              <w:autoSpaceDE w:val="0"/>
              <w:autoSpaceDN w:val="0"/>
              <w:adjustRightInd w:val="0"/>
              <w:spacing w:before="120" w:after="12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Page 14</w:t>
            </w:r>
          </w:p>
        </w:tc>
        <w:tc>
          <w:tcPr>
            <w:tcW w:w="7200" w:type="dxa"/>
          </w:tcPr>
          <w:p w14:paraId="00E3DF7C" w14:textId="77777777" w:rsidR="00A22E09" w:rsidRDefault="00A22E09" w:rsidP="00A22E09">
            <w:pPr>
              <w:pStyle w:val="Default"/>
              <w:rPr>
                <w:rFonts w:ascii="Times New Roman" w:eastAsia="Calibri" w:hAnsi="Times New Roman" w:cs="Times New Roman"/>
                <w:sz w:val="20"/>
                <w:szCs w:val="20"/>
              </w:rPr>
            </w:pPr>
            <w:r w:rsidRPr="00A22E09">
              <w:rPr>
                <w:rFonts w:ascii="Times New Roman" w:eastAsia="Calibri" w:hAnsi="Times New Roman" w:cs="Times New Roman"/>
                <w:sz w:val="20"/>
                <w:szCs w:val="20"/>
              </w:rPr>
              <w:t>Care should be taken to ensure the information is current and relevant.  In this case, each POP addressed by this guidance should be explicitly listed for certainty.</w:t>
            </w:r>
          </w:p>
        </w:tc>
        <w:tc>
          <w:tcPr>
            <w:tcW w:w="3168" w:type="dxa"/>
          </w:tcPr>
          <w:p w14:paraId="41015B55" w14:textId="77777777" w:rsidR="00A22E09" w:rsidRDefault="00057BDA" w:rsidP="00A22E09">
            <w:pPr>
              <w:autoSpaceDE w:val="0"/>
              <w:autoSpaceDN w:val="0"/>
              <w:adjustRightInd w:val="0"/>
              <w:spacing w:before="120" w:after="12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Paragraph is added to clarify the scope of the guidance</w:t>
            </w:r>
          </w:p>
        </w:tc>
      </w:tr>
      <w:tr w:rsidR="00A22E09" w:rsidRPr="009037BE" w14:paraId="0275B096" w14:textId="77777777" w:rsidTr="00056CA4">
        <w:tc>
          <w:tcPr>
            <w:tcW w:w="1098" w:type="dxa"/>
            <w:vAlign w:val="center"/>
          </w:tcPr>
          <w:p w14:paraId="2F9E197B" w14:textId="77777777" w:rsidR="00A22E09" w:rsidRDefault="00A22E09" w:rsidP="00A22E09">
            <w:pPr>
              <w:autoSpaceDE w:val="0"/>
              <w:autoSpaceDN w:val="0"/>
              <w:adjustRightInd w:val="0"/>
              <w:spacing w:before="120" w:after="120"/>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Canada</w:t>
            </w:r>
          </w:p>
        </w:tc>
        <w:tc>
          <w:tcPr>
            <w:tcW w:w="1710" w:type="dxa"/>
            <w:vAlign w:val="center"/>
          </w:tcPr>
          <w:p w14:paraId="5F444C4A" w14:textId="77777777" w:rsidR="00A22E09" w:rsidRDefault="00A22E09" w:rsidP="00A22E09">
            <w:pPr>
              <w:autoSpaceDE w:val="0"/>
              <w:autoSpaceDN w:val="0"/>
              <w:adjustRightInd w:val="0"/>
              <w:spacing w:before="120" w:after="12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Page 14</w:t>
            </w:r>
          </w:p>
        </w:tc>
        <w:tc>
          <w:tcPr>
            <w:tcW w:w="7200" w:type="dxa"/>
          </w:tcPr>
          <w:p w14:paraId="5A2F8D18" w14:textId="77777777" w:rsidR="00A22E09" w:rsidRDefault="00A22E09" w:rsidP="00A22E09">
            <w:pPr>
              <w:pStyle w:val="Default"/>
              <w:rPr>
                <w:rFonts w:ascii="Times New Roman" w:eastAsia="Calibri" w:hAnsi="Times New Roman" w:cs="Times New Roman"/>
                <w:sz w:val="20"/>
                <w:szCs w:val="20"/>
              </w:rPr>
            </w:pPr>
            <w:r w:rsidRPr="00A22E09">
              <w:rPr>
                <w:rFonts w:ascii="Times New Roman" w:eastAsia="Calibri" w:hAnsi="Times New Roman" w:cs="Times New Roman"/>
                <w:sz w:val="20"/>
                <w:szCs w:val="20"/>
              </w:rPr>
              <w:t>Inventory development is addressed through separate guidance documents</w:t>
            </w:r>
          </w:p>
        </w:tc>
        <w:tc>
          <w:tcPr>
            <w:tcW w:w="3168" w:type="dxa"/>
          </w:tcPr>
          <w:p w14:paraId="6D44C63B" w14:textId="6C16E16B" w:rsidR="00A22E09" w:rsidRDefault="00A22E09" w:rsidP="00370E45">
            <w:pPr>
              <w:autoSpaceDE w:val="0"/>
              <w:autoSpaceDN w:val="0"/>
              <w:adjustRightInd w:val="0"/>
              <w:spacing w:before="120" w:after="12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This guidance support</w:t>
            </w:r>
            <w:r w:rsidR="004827E9">
              <w:rPr>
                <w:rFonts w:ascii="Times New Roman" w:eastAsia="Calibri" w:hAnsi="Times New Roman" w:cs="Times New Roman"/>
                <w:color w:val="000000"/>
                <w:sz w:val="20"/>
                <w:szCs w:val="20"/>
              </w:rPr>
              <w:t>s</w:t>
            </w:r>
            <w:r>
              <w:rPr>
                <w:rFonts w:ascii="Times New Roman" w:eastAsia="Calibri" w:hAnsi="Times New Roman" w:cs="Times New Roman"/>
                <w:color w:val="000000"/>
                <w:sz w:val="20"/>
                <w:szCs w:val="20"/>
              </w:rPr>
              <w:t xml:space="preserve"> the inventory development on Tier III level</w:t>
            </w:r>
            <w:r w:rsidR="004827E9">
              <w:rPr>
                <w:rFonts w:ascii="Times New Roman" w:eastAsia="Calibri" w:hAnsi="Times New Roman" w:cs="Times New Roman"/>
                <w:color w:val="000000"/>
                <w:sz w:val="20"/>
                <w:szCs w:val="20"/>
              </w:rPr>
              <w:t xml:space="preserve"> and </w:t>
            </w:r>
            <w:r w:rsidR="00370E45">
              <w:rPr>
                <w:rFonts w:ascii="Times New Roman" w:eastAsia="Calibri" w:hAnsi="Times New Roman" w:cs="Times New Roman"/>
                <w:color w:val="000000"/>
                <w:sz w:val="20"/>
                <w:szCs w:val="20"/>
              </w:rPr>
              <w:t>reference is made to it where deemed appropriate. For example, i</w:t>
            </w:r>
            <w:r>
              <w:rPr>
                <w:rFonts w:ascii="Times New Roman" w:eastAsia="Calibri" w:hAnsi="Times New Roman" w:cs="Times New Roman"/>
                <w:color w:val="000000"/>
                <w:sz w:val="20"/>
                <w:szCs w:val="20"/>
              </w:rPr>
              <w:t xml:space="preserve">mpact factors </w:t>
            </w:r>
            <w:r w:rsidR="00A069EA">
              <w:rPr>
                <w:rFonts w:ascii="Times New Roman" w:eastAsia="Calibri" w:hAnsi="Times New Roman" w:cs="Times New Roman"/>
                <w:color w:val="000000"/>
                <w:sz w:val="20"/>
                <w:szCs w:val="20"/>
              </w:rPr>
              <w:t xml:space="preserve">of plastic for recycling </w:t>
            </w:r>
            <w:r>
              <w:rPr>
                <w:rFonts w:ascii="Times New Roman" w:eastAsia="Calibri" w:hAnsi="Times New Roman" w:cs="Times New Roman"/>
                <w:color w:val="000000"/>
                <w:sz w:val="20"/>
                <w:szCs w:val="20"/>
              </w:rPr>
              <w:t>need to be determined</w:t>
            </w:r>
            <w:r w:rsidR="00A069EA">
              <w:rPr>
                <w:rFonts w:ascii="Times New Roman" w:eastAsia="Calibri" w:hAnsi="Times New Roman" w:cs="Times New Roman"/>
                <w:color w:val="000000"/>
                <w:sz w:val="20"/>
                <w:szCs w:val="20"/>
              </w:rPr>
              <w:t xml:space="preserve"> and th</w:t>
            </w:r>
            <w:r w:rsidR="00370E45">
              <w:rPr>
                <w:rFonts w:ascii="Times New Roman" w:eastAsia="Calibri" w:hAnsi="Times New Roman" w:cs="Times New Roman"/>
                <w:color w:val="000000"/>
                <w:sz w:val="20"/>
                <w:szCs w:val="20"/>
              </w:rPr>
              <w:t>is guidance may be used for this</w:t>
            </w:r>
            <w:r w:rsidR="00A069EA">
              <w:rPr>
                <w:rFonts w:ascii="Times New Roman" w:eastAsia="Calibri" w:hAnsi="Times New Roman" w:cs="Times New Roman"/>
                <w:color w:val="000000"/>
                <w:sz w:val="20"/>
                <w:szCs w:val="20"/>
              </w:rPr>
              <w:t xml:space="preserve"> purpose</w:t>
            </w:r>
            <w:r>
              <w:rPr>
                <w:rFonts w:ascii="Times New Roman" w:eastAsia="Calibri" w:hAnsi="Times New Roman" w:cs="Times New Roman"/>
                <w:color w:val="000000"/>
                <w:sz w:val="20"/>
                <w:szCs w:val="20"/>
              </w:rPr>
              <w:t xml:space="preserve">. </w:t>
            </w:r>
          </w:p>
        </w:tc>
      </w:tr>
      <w:tr w:rsidR="00A069EA" w:rsidRPr="009037BE" w14:paraId="1B0B4543" w14:textId="77777777" w:rsidTr="00056CA4">
        <w:tc>
          <w:tcPr>
            <w:tcW w:w="1098" w:type="dxa"/>
            <w:vAlign w:val="center"/>
          </w:tcPr>
          <w:p w14:paraId="78041460" w14:textId="77777777" w:rsidR="00A069EA" w:rsidRDefault="00A069EA" w:rsidP="00A069EA">
            <w:pPr>
              <w:autoSpaceDE w:val="0"/>
              <w:autoSpaceDN w:val="0"/>
              <w:adjustRightInd w:val="0"/>
              <w:spacing w:before="120" w:after="120"/>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Canada</w:t>
            </w:r>
          </w:p>
        </w:tc>
        <w:tc>
          <w:tcPr>
            <w:tcW w:w="1710" w:type="dxa"/>
            <w:vAlign w:val="center"/>
          </w:tcPr>
          <w:p w14:paraId="4F8E9552" w14:textId="77777777" w:rsidR="00A069EA" w:rsidRDefault="00A069EA" w:rsidP="00A069EA">
            <w:pPr>
              <w:autoSpaceDE w:val="0"/>
              <w:autoSpaceDN w:val="0"/>
              <w:adjustRightInd w:val="0"/>
              <w:spacing w:before="120" w:after="12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Page 14</w:t>
            </w:r>
          </w:p>
        </w:tc>
        <w:tc>
          <w:tcPr>
            <w:tcW w:w="7200" w:type="dxa"/>
          </w:tcPr>
          <w:p w14:paraId="2C0351AB" w14:textId="77777777" w:rsidR="00A069EA" w:rsidRDefault="00A069EA" w:rsidP="00787E17">
            <w:pPr>
              <w:pStyle w:val="Default"/>
              <w:rPr>
                <w:rFonts w:ascii="Times New Roman" w:eastAsia="Calibri" w:hAnsi="Times New Roman" w:cs="Times New Roman"/>
                <w:sz w:val="20"/>
                <w:szCs w:val="20"/>
              </w:rPr>
            </w:pPr>
            <w:r w:rsidRPr="00A069EA">
              <w:rPr>
                <w:rFonts w:ascii="Times New Roman" w:eastAsia="Calibri" w:hAnsi="Times New Roman" w:cs="Times New Roman"/>
                <w:sz w:val="20"/>
                <w:szCs w:val="20"/>
              </w:rPr>
              <w:t xml:space="preserve">It may be helpful to provide a small paragraph explaining why the original 12 POPs (other than HCB, PCDD, PCDF and PCB?) are not discussed in this document.  </w:t>
            </w:r>
          </w:p>
        </w:tc>
        <w:tc>
          <w:tcPr>
            <w:tcW w:w="3168" w:type="dxa"/>
          </w:tcPr>
          <w:p w14:paraId="1660CFA9" w14:textId="77777777" w:rsidR="00A069EA" w:rsidRDefault="00A069EA" w:rsidP="00A069EA">
            <w:pPr>
              <w:autoSpaceDE w:val="0"/>
              <w:autoSpaceDN w:val="0"/>
              <w:adjustRightInd w:val="0"/>
              <w:spacing w:before="120" w:after="12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Considered and added</w:t>
            </w:r>
          </w:p>
        </w:tc>
      </w:tr>
      <w:tr w:rsidR="00787E17" w:rsidRPr="009037BE" w14:paraId="168A063C" w14:textId="77777777" w:rsidTr="00056CA4">
        <w:tc>
          <w:tcPr>
            <w:tcW w:w="1098" w:type="dxa"/>
            <w:vAlign w:val="center"/>
          </w:tcPr>
          <w:p w14:paraId="1A6CDE07" w14:textId="77777777" w:rsidR="00787E17" w:rsidRDefault="00787E17" w:rsidP="00787E17">
            <w:pPr>
              <w:autoSpaceDE w:val="0"/>
              <w:autoSpaceDN w:val="0"/>
              <w:adjustRightInd w:val="0"/>
              <w:spacing w:before="120" w:after="120"/>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Canada</w:t>
            </w:r>
          </w:p>
        </w:tc>
        <w:tc>
          <w:tcPr>
            <w:tcW w:w="1710" w:type="dxa"/>
            <w:vAlign w:val="center"/>
          </w:tcPr>
          <w:p w14:paraId="5D8E7F58" w14:textId="77777777" w:rsidR="00787E17" w:rsidRDefault="000D48F6" w:rsidP="00787E17">
            <w:pPr>
              <w:autoSpaceDE w:val="0"/>
              <w:autoSpaceDN w:val="0"/>
              <w:adjustRightInd w:val="0"/>
              <w:spacing w:before="120" w:after="12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Page 15</w:t>
            </w:r>
          </w:p>
        </w:tc>
        <w:tc>
          <w:tcPr>
            <w:tcW w:w="7200" w:type="dxa"/>
          </w:tcPr>
          <w:p w14:paraId="3EB833C7" w14:textId="77777777" w:rsidR="00787E17" w:rsidRDefault="00787E17" w:rsidP="00787E17">
            <w:pPr>
              <w:pStyle w:val="Default"/>
              <w:rPr>
                <w:rFonts w:ascii="Times New Roman" w:eastAsia="Calibri" w:hAnsi="Times New Roman" w:cs="Times New Roman"/>
                <w:sz w:val="20"/>
                <w:szCs w:val="20"/>
              </w:rPr>
            </w:pPr>
            <w:r w:rsidRPr="00787E17">
              <w:rPr>
                <w:rFonts w:ascii="Times New Roman" w:eastAsia="Calibri" w:hAnsi="Times New Roman" w:cs="Times New Roman"/>
                <w:sz w:val="20"/>
                <w:szCs w:val="20"/>
              </w:rPr>
              <w:t>Please specify for clarity</w:t>
            </w:r>
          </w:p>
        </w:tc>
        <w:tc>
          <w:tcPr>
            <w:tcW w:w="3168" w:type="dxa"/>
          </w:tcPr>
          <w:p w14:paraId="3BA726D8" w14:textId="77777777" w:rsidR="00787E17" w:rsidRDefault="00787E17" w:rsidP="00787E17">
            <w:pPr>
              <w:autoSpaceDE w:val="0"/>
              <w:autoSpaceDN w:val="0"/>
              <w:adjustRightInd w:val="0"/>
              <w:spacing w:before="120" w:after="12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Considered and specified</w:t>
            </w:r>
          </w:p>
        </w:tc>
      </w:tr>
      <w:tr w:rsidR="007B2023" w:rsidRPr="009037BE" w14:paraId="28118D63" w14:textId="77777777" w:rsidTr="00056CA4">
        <w:tc>
          <w:tcPr>
            <w:tcW w:w="1098" w:type="dxa"/>
            <w:vAlign w:val="center"/>
          </w:tcPr>
          <w:p w14:paraId="481DF680" w14:textId="77777777" w:rsidR="007B2023" w:rsidRDefault="007B2023" w:rsidP="007B2023">
            <w:pPr>
              <w:autoSpaceDE w:val="0"/>
              <w:autoSpaceDN w:val="0"/>
              <w:adjustRightInd w:val="0"/>
              <w:spacing w:before="120" w:after="120"/>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Canada</w:t>
            </w:r>
          </w:p>
        </w:tc>
        <w:tc>
          <w:tcPr>
            <w:tcW w:w="1710" w:type="dxa"/>
            <w:vAlign w:val="center"/>
          </w:tcPr>
          <w:p w14:paraId="40866A03" w14:textId="77777777" w:rsidR="007B2023" w:rsidRDefault="000D48F6" w:rsidP="007B2023">
            <w:pPr>
              <w:autoSpaceDE w:val="0"/>
              <w:autoSpaceDN w:val="0"/>
              <w:adjustRightInd w:val="0"/>
              <w:spacing w:before="120" w:after="12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Page 17</w:t>
            </w:r>
          </w:p>
        </w:tc>
        <w:tc>
          <w:tcPr>
            <w:tcW w:w="7200" w:type="dxa"/>
          </w:tcPr>
          <w:p w14:paraId="7F9DC2F0" w14:textId="77777777" w:rsidR="007B2023" w:rsidRPr="00787E17" w:rsidRDefault="007B2023" w:rsidP="007B2023">
            <w:pPr>
              <w:pStyle w:val="Default"/>
              <w:rPr>
                <w:rFonts w:ascii="Times New Roman" w:eastAsia="Calibri" w:hAnsi="Times New Roman" w:cs="Times New Roman"/>
                <w:sz w:val="20"/>
                <w:szCs w:val="20"/>
              </w:rPr>
            </w:pPr>
            <w:r w:rsidRPr="007B2023">
              <w:rPr>
                <w:rFonts w:ascii="Times New Roman" w:eastAsia="Calibri" w:hAnsi="Times New Roman" w:cs="Times New Roman"/>
                <w:sz w:val="20"/>
                <w:szCs w:val="20"/>
              </w:rPr>
              <w:t>Care should be taken to ensure the information is current.</w:t>
            </w:r>
          </w:p>
        </w:tc>
        <w:tc>
          <w:tcPr>
            <w:tcW w:w="3168" w:type="dxa"/>
          </w:tcPr>
          <w:p w14:paraId="624C66D3" w14:textId="1DE31F1B" w:rsidR="007B2023" w:rsidRDefault="007B2023" w:rsidP="00DF04DF">
            <w:pPr>
              <w:autoSpaceDE w:val="0"/>
              <w:autoSpaceDN w:val="0"/>
              <w:adjustRightInd w:val="0"/>
              <w:spacing w:before="120" w:after="12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Information was updated. </w:t>
            </w:r>
            <w:r w:rsidR="00DF04DF">
              <w:rPr>
                <w:rFonts w:ascii="Times New Roman" w:eastAsia="Calibri" w:hAnsi="Times New Roman" w:cs="Times New Roman"/>
                <w:color w:val="000000"/>
                <w:sz w:val="20"/>
                <w:szCs w:val="20"/>
              </w:rPr>
              <w:t>The</w:t>
            </w:r>
            <w:r>
              <w:rPr>
                <w:rFonts w:ascii="Times New Roman" w:eastAsia="Calibri" w:hAnsi="Times New Roman" w:cs="Times New Roman"/>
                <w:color w:val="000000"/>
                <w:sz w:val="20"/>
                <w:szCs w:val="20"/>
              </w:rPr>
              <w:t xml:space="preserve"> </w:t>
            </w:r>
            <w:r w:rsidR="006C2B4A" w:rsidRPr="006C2B4A">
              <w:rPr>
                <w:rFonts w:ascii="Times New Roman" w:eastAsia="Calibri" w:hAnsi="Times New Roman" w:cs="Times New Roman"/>
                <w:color w:val="000000"/>
                <w:sz w:val="20"/>
                <w:szCs w:val="20"/>
              </w:rPr>
              <w:t>IEC 62321-6</w:t>
            </w:r>
            <w:r w:rsidR="006C2B4A">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rPr>
              <w:t xml:space="preserve">standard </w:t>
            </w:r>
            <w:r w:rsidR="00DF04DF">
              <w:rPr>
                <w:rFonts w:ascii="Times New Roman" w:eastAsia="Calibri" w:hAnsi="Times New Roman" w:cs="Times New Roman"/>
                <w:color w:val="000000"/>
                <w:sz w:val="20"/>
                <w:szCs w:val="20"/>
              </w:rPr>
              <w:t>has been developed and</w:t>
            </w:r>
            <w:r w:rsidR="00137627">
              <w:rPr>
                <w:rFonts w:ascii="Times New Roman" w:eastAsia="Calibri" w:hAnsi="Times New Roman" w:cs="Times New Roman"/>
                <w:color w:val="000000"/>
                <w:sz w:val="20"/>
                <w:szCs w:val="20"/>
              </w:rPr>
              <w:t xml:space="preserve"> published and reference to it is made</w:t>
            </w:r>
            <w:r w:rsidR="00DF04DF">
              <w:rPr>
                <w:rFonts w:ascii="Times New Roman" w:eastAsia="Calibri" w:hAnsi="Times New Roman" w:cs="Times New Roman"/>
                <w:color w:val="000000"/>
                <w:sz w:val="20"/>
                <w:szCs w:val="20"/>
              </w:rPr>
              <w:t xml:space="preserve"> here</w:t>
            </w:r>
            <w:r w:rsidR="00137627">
              <w:rPr>
                <w:rFonts w:ascii="Times New Roman" w:eastAsia="Calibri" w:hAnsi="Times New Roman" w:cs="Times New Roman"/>
                <w:color w:val="000000"/>
                <w:sz w:val="20"/>
                <w:szCs w:val="20"/>
              </w:rPr>
              <w:t>.</w:t>
            </w:r>
          </w:p>
        </w:tc>
      </w:tr>
      <w:tr w:rsidR="000709FA" w:rsidRPr="009037BE" w14:paraId="40BE0B0C" w14:textId="77777777" w:rsidTr="00056CA4">
        <w:tc>
          <w:tcPr>
            <w:tcW w:w="1098" w:type="dxa"/>
            <w:vAlign w:val="center"/>
          </w:tcPr>
          <w:p w14:paraId="4469D58C" w14:textId="77777777" w:rsidR="000709FA" w:rsidRDefault="000709FA" w:rsidP="000709FA">
            <w:pPr>
              <w:autoSpaceDE w:val="0"/>
              <w:autoSpaceDN w:val="0"/>
              <w:adjustRightInd w:val="0"/>
              <w:spacing w:before="120" w:after="120"/>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Canada</w:t>
            </w:r>
          </w:p>
        </w:tc>
        <w:tc>
          <w:tcPr>
            <w:tcW w:w="1710" w:type="dxa"/>
            <w:vAlign w:val="center"/>
          </w:tcPr>
          <w:p w14:paraId="2B3239BF" w14:textId="77777777" w:rsidR="000709FA" w:rsidRDefault="000709FA" w:rsidP="000709FA">
            <w:pPr>
              <w:autoSpaceDE w:val="0"/>
              <w:autoSpaceDN w:val="0"/>
              <w:adjustRightInd w:val="0"/>
              <w:spacing w:before="120" w:after="12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Page 18</w:t>
            </w:r>
          </w:p>
        </w:tc>
        <w:tc>
          <w:tcPr>
            <w:tcW w:w="7200" w:type="dxa"/>
          </w:tcPr>
          <w:p w14:paraId="40DE1EB7" w14:textId="77777777" w:rsidR="000709FA" w:rsidRPr="00787E17" w:rsidRDefault="000709FA" w:rsidP="000709FA">
            <w:pPr>
              <w:pStyle w:val="Default"/>
              <w:rPr>
                <w:rFonts w:ascii="Times New Roman" w:eastAsia="Calibri" w:hAnsi="Times New Roman" w:cs="Times New Roman"/>
                <w:sz w:val="20"/>
                <w:szCs w:val="20"/>
              </w:rPr>
            </w:pPr>
            <w:r w:rsidRPr="000709FA">
              <w:rPr>
                <w:rFonts w:ascii="Times New Roman" w:eastAsia="Calibri" w:hAnsi="Times New Roman" w:cs="Times New Roman"/>
                <w:sz w:val="20"/>
                <w:szCs w:val="20"/>
              </w:rPr>
              <w:t>Not all PFCs are listed on the Convention.  If this is meant to include specific POPs they should be listed.</w:t>
            </w:r>
          </w:p>
        </w:tc>
        <w:tc>
          <w:tcPr>
            <w:tcW w:w="3168" w:type="dxa"/>
          </w:tcPr>
          <w:p w14:paraId="244D3384" w14:textId="77777777" w:rsidR="000709FA" w:rsidRDefault="000D48F6" w:rsidP="000709FA">
            <w:pPr>
              <w:autoSpaceDE w:val="0"/>
              <w:autoSpaceDN w:val="0"/>
              <w:adjustRightInd w:val="0"/>
              <w:spacing w:before="120" w:after="12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Considered</w:t>
            </w:r>
          </w:p>
        </w:tc>
      </w:tr>
      <w:tr w:rsidR="003D066F" w:rsidRPr="009037BE" w14:paraId="71C3EAF3" w14:textId="77777777" w:rsidTr="00056CA4">
        <w:tc>
          <w:tcPr>
            <w:tcW w:w="1098" w:type="dxa"/>
            <w:vAlign w:val="center"/>
          </w:tcPr>
          <w:p w14:paraId="55BA98C2" w14:textId="77777777" w:rsidR="003D066F" w:rsidRDefault="003D066F" w:rsidP="003D066F">
            <w:pPr>
              <w:autoSpaceDE w:val="0"/>
              <w:autoSpaceDN w:val="0"/>
              <w:adjustRightInd w:val="0"/>
              <w:spacing w:before="120" w:after="120"/>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Canada</w:t>
            </w:r>
          </w:p>
        </w:tc>
        <w:tc>
          <w:tcPr>
            <w:tcW w:w="1710" w:type="dxa"/>
            <w:vAlign w:val="center"/>
          </w:tcPr>
          <w:p w14:paraId="72833CAA" w14:textId="77777777" w:rsidR="003D066F" w:rsidRDefault="003D066F" w:rsidP="003F26BB">
            <w:pPr>
              <w:autoSpaceDE w:val="0"/>
              <w:autoSpaceDN w:val="0"/>
              <w:adjustRightInd w:val="0"/>
              <w:spacing w:before="120" w:after="12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Page </w:t>
            </w:r>
            <w:r w:rsidR="003F26BB">
              <w:rPr>
                <w:rFonts w:ascii="Times New Roman" w:eastAsia="Calibri" w:hAnsi="Times New Roman" w:cs="Times New Roman"/>
                <w:color w:val="000000"/>
                <w:sz w:val="20"/>
                <w:szCs w:val="20"/>
              </w:rPr>
              <w:t>20</w:t>
            </w:r>
          </w:p>
        </w:tc>
        <w:tc>
          <w:tcPr>
            <w:tcW w:w="7200" w:type="dxa"/>
          </w:tcPr>
          <w:p w14:paraId="2FBB3F11" w14:textId="77777777" w:rsidR="003D066F" w:rsidRPr="00787E17" w:rsidRDefault="003F26BB" w:rsidP="003D066F">
            <w:pPr>
              <w:pStyle w:val="Default"/>
              <w:rPr>
                <w:rFonts w:ascii="Times New Roman" w:eastAsia="Calibri" w:hAnsi="Times New Roman" w:cs="Times New Roman"/>
                <w:sz w:val="20"/>
                <w:szCs w:val="20"/>
              </w:rPr>
            </w:pPr>
            <w:r w:rsidRPr="003F26BB">
              <w:rPr>
                <w:rFonts w:ascii="Times New Roman" w:eastAsia="Calibri" w:hAnsi="Times New Roman" w:cs="Times New Roman"/>
                <w:sz w:val="20"/>
                <w:szCs w:val="20"/>
              </w:rPr>
              <w:t>SCCPs and PFOA have not been listed</w:t>
            </w:r>
          </w:p>
        </w:tc>
        <w:tc>
          <w:tcPr>
            <w:tcW w:w="3168" w:type="dxa"/>
          </w:tcPr>
          <w:p w14:paraId="3D6F4C03" w14:textId="6D4AAFB7" w:rsidR="003D066F" w:rsidRDefault="003D066F" w:rsidP="00DF04DF">
            <w:pPr>
              <w:autoSpaceDE w:val="0"/>
              <w:autoSpaceDN w:val="0"/>
              <w:adjustRightInd w:val="0"/>
              <w:spacing w:before="120" w:after="12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Considered and added that “</w:t>
            </w:r>
            <w:r w:rsidRPr="003D066F">
              <w:rPr>
                <w:rFonts w:ascii="Times New Roman" w:eastAsia="Calibri" w:hAnsi="Times New Roman" w:cs="Times New Roman"/>
                <w:color w:val="000000"/>
                <w:sz w:val="20"/>
                <w:szCs w:val="20"/>
              </w:rPr>
              <w:t xml:space="preserve">SCCPs are </w:t>
            </w:r>
            <w:r w:rsidR="00DF04DF">
              <w:rPr>
                <w:rFonts w:ascii="Times New Roman" w:eastAsia="Calibri" w:hAnsi="Times New Roman" w:cs="Times New Roman"/>
                <w:color w:val="000000"/>
                <w:sz w:val="20"/>
                <w:szCs w:val="20"/>
              </w:rPr>
              <w:t>recommended</w:t>
            </w:r>
            <w:r w:rsidRPr="003D066F">
              <w:rPr>
                <w:rFonts w:ascii="Times New Roman" w:eastAsia="Calibri" w:hAnsi="Times New Roman" w:cs="Times New Roman"/>
                <w:color w:val="000000"/>
                <w:sz w:val="20"/>
                <w:szCs w:val="20"/>
              </w:rPr>
              <w:t xml:space="preserve"> for listing at COP8 and </w:t>
            </w:r>
            <w:r w:rsidR="00DF04DF">
              <w:rPr>
                <w:rFonts w:ascii="Times New Roman" w:eastAsia="Calibri" w:hAnsi="Times New Roman" w:cs="Times New Roman"/>
                <w:color w:val="000000"/>
                <w:sz w:val="20"/>
                <w:szCs w:val="20"/>
              </w:rPr>
              <w:t xml:space="preserve">that </w:t>
            </w:r>
            <w:r w:rsidRPr="003D066F">
              <w:rPr>
                <w:rFonts w:ascii="Times New Roman" w:eastAsia="Calibri" w:hAnsi="Times New Roman" w:cs="Times New Roman"/>
                <w:color w:val="000000"/>
                <w:sz w:val="20"/>
                <w:szCs w:val="20"/>
              </w:rPr>
              <w:t>PFOA is not listed in the Stockholm Convention but</w:t>
            </w:r>
            <w:r w:rsidR="00DF04DF">
              <w:rPr>
                <w:rFonts w:ascii="Times New Roman" w:eastAsia="Calibri" w:hAnsi="Times New Roman" w:cs="Times New Roman"/>
                <w:color w:val="000000"/>
                <w:sz w:val="20"/>
                <w:szCs w:val="20"/>
              </w:rPr>
              <w:t xml:space="preserve"> </w:t>
            </w:r>
            <w:r w:rsidR="000E3625">
              <w:rPr>
                <w:rFonts w:ascii="Times New Roman" w:eastAsia="Calibri" w:hAnsi="Times New Roman" w:cs="Times New Roman"/>
                <w:color w:val="000000"/>
                <w:sz w:val="20"/>
                <w:szCs w:val="20"/>
              </w:rPr>
              <w:t>currently</w:t>
            </w:r>
            <w:r w:rsidRPr="003D066F">
              <w:rPr>
                <w:rFonts w:ascii="Times New Roman" w:eastAsia="Calibri" w:hAnsi="Times New Roman" w:cs="Times New Roman"/>
                <w:color w:val="000000"/>
                <w:sz w:val="20"/>
                <w:szCs w:val="20"/>
              </w:rPr>
              <w:t xml:space="preserve"> assessed by POPRC and </w:t>
            </w:r>
            <w:r w:rsidRPr="003D066F">
              <w:rPr>
                <w:rFonts w:ascii="Times New Roman" w:eastAsia="Calibri" w:hAnsi="Times New Roman" w:cs="Times New Roman"/>
                <w:color w:val="000000"/>
                <w:sz w:val="20"/>
                <w:szCs w:val="20"/>
              </w:rPr>
              <w:lastRenderedPageBreak/>
              <w:t>found to meet the POP criteria</w:t>
            </w:r>
            <w:r>
              <w:rPr>
                <w:rFonts w:ascii="Times New Roman" w:eastAsia="Calibri" w:hAnsi="Times New Roman" w:cs="Times New Roman"/>
                <w:color w:val="000000"/>
                <w:sz w:val="20"/>
                <w:szCs w:val="20"/>
              </w:rPr>
              <w:t>”</w:t>
            </w:r>
          </w:p>
        </w:tc>
      </w:tr>
      <w:tr w:rsidR="003F26BB" w:rsidRPr="009037BE" w14:paraId="74A2C004" w14:textId="77777777" w:rsidTr="00056CA4">
        <w:tc>
          <w:tcPr>
            <w:tcW w:w="1098" w:type="dxa"/>
            <w:vAlign w:val="center"/>
          </w:tcPr>
          <w:p w14:paraId="041960A5" w14:textId="77777777" w:rsidR="003F26BB" w:rsidRDefault="003F26BB" w:rsidP="003F26BB">
            <w:pPr>
              <w:autoSpaceDE w:val="0"/>
              <w:autoSpaceDN w:val="0"/>
              <w:adjustRightInd w:val="0"/>
              <w:spacing w:before="120" w:after="120"/>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lastRenderedPageBreak/>
              <w:t>Canada</w:t>
            </w:r>
          </w:p>
        </w:tc>
        <w:tc>
          <w:tcPr>
            <w:tcW w:w="1710" w:type="dxa"/>
            <w:vAlign w:val="center"/>
          </w:tcPr>
          <w:p w14:paraId="5C9D50DD" w14:textId="77777777" w:rsidR="003F26BB" w:rsidRDefault="003F26BB" w:rsidP="003F26BB">
            <w:pPr>
              <w:autoSpaceDE w:val="0"/>
              <w:autoSpaceDN w:val="0"/>
              <w:adjustRightInd w:val="0"/>
              <w:spacing w:before="120" w:after="12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Page 21</w:t>
            </w:r>
          </w:p>
        </w:tc>
        <w:tc>
          <w:tcPr>
            <w:tcW w:w="7200" w:type="dxa"/>
          </w:tcPr>
          <w:p w14:paraId="1A340D99" w14:textId="77777777" w:rsidR="003F26BB" w:rsidRPr="00787E17" w:rsidRDefault="003F26BB" w:rsidP="003F26BB">
            <w:pPr>
              <w:pStyle w:val="Default"/>
              <w:rPr>
                <w:rFonts w:ascii="Times New Roman" w:eastAsia="Calibri" w:hAnsi="Times New Roman" w:cs="Times New Roman"/>
                <w:sz w:val="20"/>
                <w:szCs w:val="20"/>
              </w:rPr>
            </w:pPr>
            <w:r w:rsidRPr="003F26BB">
              <w:rPr>
                <w:rFonts w:ascii="Times New Roman" w:eastAsia="Calibri" w:hAnsi="Times New Roman" w:cs="Times New Roman"/>
                <w:sz w:val="20"/>
                <w:szCs w:val="20"/>
              </w:rPr>
              <w:t>The footnote contains helpful text and should be added to the main body as suggested below.</w:t>
            </w:r>
          </w:p>
        </w:tc>
        <w:tc>
          <w:tcPr>
            <w:tcW w:w="3168" w:type="dxa"/>
          </w:tcPr>
          <w:p w14:paraId="59FA5BDB" w14:textId="77777777" w:rsidR="003F26BB" w:rsidRDefault="003F26BB" w:rsidP="003F26BB">
            <w:pPr>
              <w:autoSpaceDE w:val="0"/>
              <w:autoSpaceDN w:val="0"/>
              <w:adjustRightInd w:val="0"/>
              <w:spacing w:before="120" w:after="12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Considered and modified</w:t>
            </w:r>
          </w:p>
        </w:tc>
      </w:tr>
      <w:tr w:rsidR="00763AC1" w:rsidRPr="009037BE" w14:paraId="297B579F" w14:textId="77777777" w:rsidTr="00056CA4">
        <w:tc>
          <w:tcPr>
            <w:tcW w:w="1098" w:type="dxa"/>
            <w:vAlign w:val="center"/>
          </w:tcPr>
          <w:p w14:paraId="22AD4307" w14:textId="77777777" w:rsidR="00763AC1" w:rsidRDefault="00763AC1" w:rsidP="00763AC1">
            <w:pPr>
              <w:autoSpaceDE w:val="0"/>
              <w:autoSpaceDN w:val="0"/>
              <w:adjustRightInd w:val="0"/>
              <w:spacing w:before="120" w:after="120"/>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Canada</w:t>
            </w:r>
          </w:p>
        </w:tc>
        <w:tc>
          <w:tcPr>
            <w:tcW w:w="1710" w:type="dxa"/>
            <w:vAlign w:val="center"/>
          </w:tcPr>
          <w:p w14:paraId="6BF13AD5" w14:textId="77777777" w:rsidR="00763AC1" w:rsidRDefault="00763AC1" w:rsidP="00763AC1">
            <w:pPr>
              <w:autoSpaceDE w:val="0"/>
              <w:autoSpaceDN w:val="0"/>
              <w:adjustRightInd w:val="0"/>
              <w:spacing w:before="120" w:after="12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Page 37</w:t>
            </w:r>
          </w:p>
        </w:tc>
        <w:tc>
          <w:tcPr>
            <w:tcW w:w="7200" w:type="dxa"/>
          </w:tcPr>
          <w:p w14:paraId="206AEEAC" w14:textId="77777777" w:rsidR="00763AC1" w:rsidRPr="00787E17" w:rsidRDefault="00763AC1" w:rsidP="00763AC1">
            <w:pPr>
              <w:pStyle w:val="Default"/>
              <w:rPr>
                <w:rFonts w:ascii="Times New Roman" w:eastAsia="Calibri" w:hAnsi="Times New Roman" w:cs="Times New Roman"/>
                <w:sz w:val="20"/>
                <w:szCs w:val="20"/>
              </w:rPr>
            </w:pPr>
            <w:r w:rsidRPr="00763AC1">
              <w:rPr>
                <w:rFonts w:ascii="Times New Roman" w:eastAsia="Calibri" w:hAnsi="Times New Roman" w:cs="Times New Roman"/>
                <w:sz w:val="20"/>
                <w:szCs w:val="20"/>
              </w:rPr>
              <w:t>Consider introducing the two commercial mixtures as related to the PBDEs actually listed in Annex A of the Convention.</w:t>
            </w:r>
          </w:p>
        </w:tc>
        <w:tc>
          <w:tcPr>
            <w:tcW w:w="3168" w:type="dxa"/>
          </w:tcPr>
          <w:p w14:paraId="41530889" w14:textId="77777777" w:rsidR="00763AC1" w:rsidRDefault="00763AC1" w:rsidP="00763AC1">
            <w:pPr>
              <w:autoSpaceDE w:val="0"/>
              <w:autoSpaceDN w:val="0"/>
              <w:adjustRightInd w:val="0"/>
              <w:spacing w:before="120" w:after="12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A paragraph was added to introduce PBDEs and PBB listed in the convention</w:t>
            </w:r>
          </w:p>
        </w:tc>
      </w:tr>
      <w:tr w:rsidR="00230D84" w:rsidRPr="009037BE" w14:paraId="554B69CD" w14:textId="77777777" w:rsidTr="00056CA4">
        <w:tc>
          <w:tcPr>
            <w:tcW w:w="1098" w:type="dxa"/>
            <w:vAlign w:val="center"/>
          </w:tcPr>
          <w:p w14:paraId="7BDD3F28" w14:textId="77777777" w:rsidR="00230D84" w:rsidRDefault="00230D84" w:rsidP="00230D84">
            <w:pPr>
              <w:autoSpaceDE w:val="0"/>
              <w:autoSpaceDN w:val="0"/>
              <w:adjustRightInd w:val="0"/>
              <w:spacing w:before="120" w:after="120"/>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Canada</w:t>
            </w:r>
          </w:p>
        </w:tc>
        <w:tc>
          <w:tcPr>
            <w:tcW w:w="1710" w:type="dxa"/>
            <w:vAlign w:val="center"/>
          </w:tcPr>
          <w:p w14:paraId="71CCDDE9" w14:textId="77777777" w:rsidR="00230D84" w:rsidRDefault="00230D84" w:rsidP="00230D84">
            <w:pPr>
              <w:autoSpaceDE w:val="0"/>
              <w:autoSpaceDN w:val="0"/>
              <w:adjustRightInd w:val="0"/>
              <w:spacing w:before="120" w:after="12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Page 45</w:t>
            </w:r>
          </w:p>
        </w:tc>
        <w:tc>
          <w:tcPr>
            <w:tcW w:w="7200" w:type="dxa"/>
          </w:tcPr>
          <w:p w14:paraId="5B6A2190" w14:textId="77777777" w:rsidR="00230D84" w:rsidRPr="00787E17" w:rsidRDefault="00230D84" w:rsidP="00230D84">
            <w:pPr>
              <w:pStyle w:val="Default"/>
              <w:rPr>
                <w:rFonts w:ascii="Times New Roman" w:eastAsia="Calibri" w:hAnsi="Times New Roman" w:cs="Times New Roman"/>
                <w:sz w:val="20"/>
                <w:szCs w:val="20"/>
              </w:rPr>
            </w:pPr>
            <w:r w:rsidRPr="00230D84">
              <w:rPr>
                <w:rFonts w:ascii="Times New Roman" w:eastAsia="Calibri" w:hAnsi="Times New Roman" w:cs="Times New Roman"/>
                <w:sz w:val="20"/>
                <w:szCs w:val="20"/>
              </w:rPr>
              <w:t>Please be consistent when referring to the commercial mixtures</w:t>
            </w:r>
          </w:p>
        </w:tc>
        <w:tc>
          <w:tcPr>
            <w:tcW w:w="3168" w:type="dxa"/>
          </w:tcPr>
          <w:p w14:paraId="11967D23" w14:textId="77777777" w:rsidR="00230D84" w:rsidRDefault="00230D84" w:rsidP="00230D84">
            <w:pPr>
              <w:autoSpaceDE w:val="0"/>
              <w:autoSpaceDN w:val="0"/>
              <w:adjustRightInd w:val="0"/>
              <w:spacing w:before="120" w:after="12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Considered and modified</w:t>
            </w:r>
          </w:p>
        </w:tc>
      </w:tr>
      <w:tr w:rsidR="00230D84" w:rsidRPr="009037BE" w14:paraId="3D4D33FF" w14:textId="77777777" w:rsidTr="00056CA4">
        <w:tc>
          <w:tcPr>
            <w:tcW w:w="1098" w:type="dxa"/>
            <w:vAlign w:val="center"/>
          </w:tcPr>
          <w:p w14:paraId="4926BF41" w14:textId="77777777" w:rsidR="00230D84" w:rsidRDefault="00230D84" w:rsidP="00230D84">
            <w:pPr>
              <w:autoSpaceDE w:val="0"/>
              <w:autoSpaceDN w:val="0"/>
              <w:adjustRightInd w:val="0"/>
              <w:spacing w:before="120" w:after="120"/>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Canada</w:t>
            </w:r>
          </w:p>
        </w:tc>
        <w:tc>
          <w:tcPr>
            <w:tcW w:w="1710" w:type="dxa"/>
            <w:vAlign w:val="center"/>
          </w:tcPr>
          <w:p w14:paraId="6E83FC06" w14:textId="77777777" w:rsidR="00230D84" w:rsidRDefault="00152392" w:rsidP="00230D84">
            <w:pPr>
              <w:autoSpaceDE w:val="0"/>
              <w:autoSpaceDN w:val="0"/>
              <w:adjustRightInd w:val="0"/>
              <w:spacing w:before="120" w:after="12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Page 46</w:t>
            </w:r>
          </w:p>
        </w:tc>
        <w:tc>
          <w:tcPr>
            <w:tcW w:w="7200" w:type="dxa"/>
          </w:tcPr>
          <w:p w14:paraId="58686318" w14:textId="77777777" w:rsidR="00230D84" w:rsidRPr="00787E17" w:rsidRDefault="00230D84" w:rsidP="00230D84">
            <w:pPr>
              <w:pStyle w:val="Default"/>
              <w:rPr>
                <w:rFonts w:ascii="Times New Roman" w:eastAsia="Calibri" w:hAnsi="Times New Roman" w:cs="Times New Roman"/>
                <w:sz w:val="20"/>
                <w:szCs w:val="20"/>
              </w:rPr>
            </w:pPr>
            <w:r w:rsidRPr="00230D84">
              <w:rPr>
                <w:rFonts w:ascii="Times New Roman" w:eastAsia="Calibri" w:hAnsi="Times New Roman" w:cs="Times New Roman"/>
                <w:sz w:val="20"/>
                <w:szCs w:val="20"/>
              </w:rPr>
              <w:t>Please be consistent when referring to the commercial mixtures.  In this case, not clear if “technical OctaBDE”  = c-Octa, or pure octaBDE (note lowercase).</w:t>
            </w:r>
          </w:p>
        </w:tc>
        <w:tc>
          <w:tcPr>
            <w:tcW w:w="3168" w:type="dxa"/>
          </w:tcPr>
          <w:p w14:paraId="37AE85BB" w14:textId="77777777" w:rsidR="00230D84" w:rsidRDefault="002916DA" w:rsidP="00230D84">
            <w:pPr>
              <w:autoSpaceDE w:val="0"/>
              <w:autoSpaceDN w:val="0"/>
              <w:adjustRightInd w:val="0"/>
              <w:spacing w:before="120" w:after="12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It is c-OctaBDE. M</w:t>
            </w:r>
            <w:r w:rsidR="00230D84">
              <w:rPr>
                <w:rFonts w:ascii="Times New Roman" w:eastAsia="Calibri" w:hAnsi="Times New Roman" w:cs="Times New Roman"/>
                <w:color w:val="000000"/>
                <w:sz w:val="20"/>
                <w:szCs w:val="20"/>
              </w:rPr>
              <w:t>odified</w:t>
            </w:r>
          </w:p>
        </w:tc>
      </w:tr>
      <w:tr w:rsidR="002916DA" w:rsidRPr="009037BE" w14:paraId="6364C149" w14:textId="77777777" w:rsidTr="00056CA4">
        <w:tc>
          <w:tcPr>
            <w:tcW w:w="1098" w:type="dxa"/>
            <w:vAlign w:val="center"/>
          </w:tcPr>
          <w:p w14:paraId="55D0880A" w14:textId="77777777" w:rsidR="002916DA" w:rsidRDefault="002916DA" w:rsidP="002916DA">
            <w:pPr>
              <w:autoSpaceDE w:val="0"/>
              <w:autoSpaceDN w:val="0"/>
              <w:adjustRightInd w:val="0"/>
              <w:spacing w:before="120" w:after="120"/>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Canada</w:t>
            </w:r>
          </w:p>
        </w:tc>
        <w:tc>
          <w:tcPr>
            <w:tcW w:w="1710" w:type="dxa"/>
            <w:vAlign w:val="center"/>
          </w:tcPr>
          <w:p w14:paraId="3BFFCFA2" w14:textId="77777777" w:rsidR="002916DA" w:rsidRDefault="002916DA" w:rsidP="002916DA">
            <w:pPr>
              <w:autoSpaceDE w:val="0"/>
              <w:autoSpaceDN w:val="0"/>
              <w:adjustRightInd w:val="0"/>
              <w:spacing w:before="120" w:after="12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Page 4</w:t>
            </w:r>
            <w:r w:rsidR="00152392">
              <w:rPr>
                <w:rFonts w:ascii="Times New Roman" w:eastAsia="Calibri" w:hAnsi="Times New Roman" w:cs="Times New Roman"/>
                <w:color w:val="000000"/>
                <w:sz w:val="20"/>
                <w:szCs w:val="20"/>
              </w:rPr>
              <w:t>7</w:t>
            </w:r>
          </w:p>
        </w:tc>
        <w:tc>
          <w:tcPr>
            <w:tcW w:w="7200" w:type="dxa"/>
          </w:tcPr>
          <w:p w14:paraId="5FCD582F" w14:textId="77777777" w:rsidR="002916DA" w:rsidRPr="00787E17" w:rsidRDefault="00152392" w:rsidP="00152392">
            <w:pPr>
              <w:pStyle w:val="Default"/>
              <w:rPr>
                <w:rFonts w:ascii="Times New Roman" w:eastAsia="Calibri" w:hAnsi="Times New Roman" w:cs="Times New Roman"/>
                <w:sz w:val="20"/>
                <w:szCs w:val="20"/>
              </w:rPr>
            </w:pPr>
            <w:r w:rsidRPr="00152392">
              <w:rPr>
                <w:rFonts w:ascii="Times New Roman" w:eastAsia="Calibri" w:hAnsi="Times New Roman" w:cs="Times New Roman"/>
                <w:sz w:val="20"/>
                <w:szCs w:val="20"/>
              </w:rPr>
              <w:t>Please be consistent with the c- preface for the commercial mixtures to avoid possible confusion</w:t>
            </w:r>
          </w:p>
        </w:tc>
        <w:tc>
          <w:tcPr>
            <w:tcW w:w="3168" w:type="dxa"/>
          </w:tcPr>
          <w:p w14:paraId="63BCF736" w14:textId="77777777" w:rsidR="002916DA" w:rsidRDefault="00152392" w:rsidP="002916DA">
            <w:pPr>
              <w:autoSpaceDE w:val="0"/>
              <w:autoSpaceDN w:val="0"/>
              <w:adjustRightInd w:val="0"/>
              <w:spacing w:before="120" w:after="12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Considered and modified</w:t>
            </w:r>
          </w:p>
        </w:tc>
      </w:tr>
      <w:tr w:rsidR="002916DA" w:rsidRPr="009037BE" w14:paraId="5BC8314F" w14:textId="77777777" w:rsidTr="00056CA4">
        <w:tc>
          <w:tcPr>
            <w:tcW w:w="1098" w:type="dxa"/>
            <w:vAlign w:val="center"/>
          </w:tcPr>
          <w:p w14:paraId="2B57F23A" w14:textId="77777777" w:rsidR="002916DA" w:rsidRDefault="002916DA" w:rsidP="002916DA">
            <w:pPr>
              <w:autoSpaceDE w:val="0"/>
              <w:autoSpaceDN w:val="0"/>
              <w:adjustRightInd w:val="0"/>
              <w:spacing w:before="120" w:after="120"/>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Canada</w:t>
            </w:r>
          </w:p>
        </w:tc>
        <w:tc>
          <w:tcPr>
            <w:tcW w:w="1710" w:type="dxa"/>
            <w:vAlign w:val="center"/>
          </w:tcPr>
          <w:p w14:paraId="67F45357" w14:textId="77777777" w:rsidR="002916DA" w:rsidRDefault="00152392" w:rsidP="00152392">
            <w:pPr>
              <w:autoSpaceDE w:val="0"/>
              <w:autoSpaceDN w:val="0"/>
              <w:adjustRightInd w:val="0"/>
              <w:spacing w:before="120" w:after="12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Page 50</w:t>
            </w:r>
          </w:p>
        </w:tc>
        <w:tc>
          <w:tcPr>
            <w:tcW w:w="7200" w:type="dxa"/>
          </w:tcPr>
          <w:p w14:paraId="232E1A42" w14:textId="77777777" w:rsidR="002916DA" w:rsidRPr="00787E17" w:rsidRDefault="00152392" w:rsidP="002916DA">
            <w:pPr>
              <w:pStyle w:val="Default"/>
              <w:rPr>
                <w:rFonts w:ascii="Times New Roman" w:eastAsia="Calibri" w:hAnsi="Times New Roman" w:cs="Times New Roman"/>
                <w:sz w:val="20"/>
                <w:szCs w:val="20"/>
              </w:rPr>
            </w:pPr>
            <w:r w:rsidRPr="00152392">
              <w:rPr>
                <w:rFonts w:ascii="Times New Roman" w:eastAsia="Calibri" w:hAnsi="Times New Roman" w:cs="Times New Roman"/>
                <w:sz w:val="20"/>
                <w:szCs w:val="20"/>
              </w:rPr>
              <w:t>Recommend keeping language as consistent as possible with the Convention, which says “formed and released unintentionally”.  The Convention does not state “unintentionally produced”.  In this case, however, it is not necessary to specify.</w:t>
            </w:r>
          </w:p>
        </w:tc>
        <w:tc>
          <w:tcPr>
            <w:tcW w:w="3168" w:type="dxa"/>
          </w:tcPr>
          <w:p w14:paraId="3AB20DCC" w14:textId="77777777" w:rsidR="002916DA" w:rsidRDefault="00152392" w:rsidP="002916DA">
            <w:pPr>
              <w:autoSpaceDE w:val="0"/>
              <w:autoSpaceDN w:val="0"/>
              <w:adjustRightInd w:val="0"/>
              <w:spacing w:before="120" w:after="12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Considered and modified</w:t>
            </w:r>
          </w:p>
        </w:tc>
      </w:tr>
      <w:tr w:rsidR="002916DA" w:rsidRPr="009037BE" w14:paraId="4ADBBD88" w14:textId="77777777" w:rsidTr="00056CA4">
        <w:tc>
          <w:tcPr>
            <w:tcW w:w="1098" w:type="dxa"/>
            <w:vAlign w:val="center"/>
          </w:tcPr>
          <w:p w14:paraId="2A189A9D" w14:textId="77777777" w:rsidR="002916DA" w:rsidRDefault="002916DA" w:rsidP="002916DA">
            <w:pPr>
              <w:autoSpaceDE w:val="0"/>
              <w:autoSpaceDN w:val="0"/>
              <w:adjustRightInd w:val="0"/>
              <w:spacing w:before="120" w:after="120"/>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Canada</w:t>
            </w:r>
          </w:p>
        </w:tc>
        <w:tc>
          <w:tcPr>
            <w:tcW w:w="1710" w:type="dxa"/>
            <w:vAlign w:val="center"/>
          </w:tcPr>
          <w:p w14:paraId="0CF036A1" w14:textId="77777777" w:rsidR="002916DA" w:rsidRDefault="002916DA" w:rsidP="00152392">
            <w:pPr>
              <w:autoSpaceDE w:val="0"/>
              <w:autoSpaceDN w:val="0"/>
              <w:adjustRightInd w:val="0"/>
              <w:spacing w:before="120" w:after="12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Page </w:t>
            </w:r>
            <w:r w:rsidR="00152392">
              <w:rPr>
                <w:rFonts w:ascii="Times New Roman" w:eastAsia="Calibri" w:hAnsi="Times New Roman" w:cs="Times New Roman"/>
                <w:color w:val="000000"/>
                <w:sz w:val="20"/>
                <w:szCs w:val="20"/>
              </w:rPr>
              <w:t>50</w:t>
            </w:r>
          </w:p>
        </w:tc>
        <w:tc>
          <w:tcPr>
            <w:tcW w:w="7200" w:type="dxa"/>
          </w:tcPr>
          <w:p w14:paraId="766C7DCD" w14:textId="77777777" w:rsidR="002916DA" w:rsidRPr="00787E17" w:rsidRDefault="00152392" w:rsidP="002916DA">
            <w:pPr>
              <w:pStyle w:val="Default"/>
              <w:rPr>
                <w:rFonts w:ascii="Times New Roman" w:eastAsia="Calibri" w:hAnsi="Times New Roman" w:cs="Times New Roman"/>
                <w:sz w:val="20"/>
                <w:szCs w:val="20"/>
              </w:rPr>
            </w:pPr>
            <w:r w:rsidRPr="00152392">
              <w:rPr>
                <w:rFonts w:ascii="Times New Roman" w:eastAsia="Calibri" w:hAnsi="Times New Roman" w:cs="Times New Roman"/>
                <w:sz w:val="20"/>
                <w:szCs w:val="20"/>
              </w:rPr>
              <w:t>Note that “mixtures” is not used in the convention, and using this term without proper introduction may cause confusion.  If this guidance document is meant to draw attention to mixtures, this could be introduced more clearly.</w:t>
            </w:r>
          </w:p>
        </w:tc>
        <w:tc>
          <w:tcPr>
            <w:tcW w:w="3168" w:type="dxa"/>
          </w:tcPr>
          <w:p w14:paraId="3B230DF8" w14:textId="77777777" w:rsidR="002916DA" w:rsidRDefault="00152392" w:rsidP="002916DA">
            <w:pPr>
              <w:autoSpaceDE w:val="0"/>
              <w:autoSpaceDN w:val="0"/>
              <w:adjustRightInd w:val="0"/>
              <w:spacing w:before="120" w:after="12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Considered and deleted</w:t>
            </w:r>
          </w:p>
        </w:tc>
      </w:tr>
      <w:tr w:rsidR="00152392" w:rsidRPr="009037BE" w14:paraId="5473E368" w14:textId="77777777" w:rsidTr="00056CA4">
        <w:tc>
          <w:tcPr>
            <w:tcW w:w="1098" w:type="dxa"/>
            <w:vAlign w:val="center"/>
          </w:tcPr>
          <w:p w14:paraId="6B02ED76" w14:textId="77777777" w:rsidR="00152392" w:rsidRDefault="00152392" w:rsidP="00152392">
            <w:pPr>
              <w:autoSpaceDE w:val="0"/>
              <w:autoSpaceDN w:val="0"/>
              <w:adjustRightInd w:val="0"/>
              <w:spacing w:before="120" w:after="120"/>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Canada</w:t>
            </w:r>
          </w:p>
        </w:tc>
        <w:tc>
          <w:tcPr>
            <w:tcW w:w="1710" w:type="dxa"/>
            <w:vAlign w:val="center"/>
          </w:tcPr>
          <w:p w14:paraId="6A5CA6A6" w14:textId="77777777" w:rsidR="00152392" w:rsidRDefault="00152392" w:rsidP="00152392">
            <w:pPr>
              <w:autoSpaceDE w:val="0"/>
              <w:autoSpaceDN w:val="0"/>
              <w:adjustRightInd w:val="0"/>
              <w:spacing w:before="120" w:after="12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Page 52</w:t>
            </w:r>
          </w:p>
        </w:tc>
        <w:tc>
          <w:tcPr>
            <w:tcW w:w="7200" w:type="dxa"/>
          </w:tcPr>
          <w:p w14:paraId="7F7225F6" w14:textId="77777777" w:rsidR="00152392" w:rsidRPr="00787E17" w:rsidRDefault="00152392" w:rsidP="00152392">
            <w:pPr>
              <w:pStyle w:val="Default"/>
              <w:rPr>
                <w:rFonts w:ascii="Times New Roman" w:eastAsia="Calibri" w:hAnsi="Times New Roman" w:cs="Times New Roman"/>
                <w:sz w:val="20"/>
                <w:szCs w:val="20"/>
              </w:rPr>
            </w:pPr>
            <w:r w:rsidRPr="00152392">
              <w:rPr>
                <w:rFonts w:ascii="Times New Roman" w:eastAsia="Calibri" w:hAnsi="Times New Roman" w:cs="Times New Roman"/>
                <w:sz w:val="20"/>
                <w:szCs w:val="20"/>
              </w:rPr>
              <w:t>Recommend keeping language as consistent as possible with the Convention, including specific references wherever applicable</w:t>
            </w:r>
          </w:p>
        </w:tc>
        <w:tc>
          <w:tcPr>
            <w:tcW w:w="3168" w:type="dxa"/>
          </w:tcPr>
          <w:p w14:paraId="592751A4" w14:textId="77777777" w:rsidR="00152392" w:rsidRDefault="00152392" w:rsidP="00152392">
            <w:pPr>
              <w:autoSpaceDE w:val="0"/>
              <w:autoSpaceDN w:val="0"/>
              <w:adjustRightInd w:val="0"/>
              <w:spacing w:before="120" w:after="12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Conside</w:t>
            </w:r>
            <w:r w:rsidR="007F6419">
              <w:rPr>
                <w:rFonts w:ascii="Times New Roman" w:eastAsia="Calibri" w:hAnsi="Times New Roman" w:cs="Times New Roman"/>
                <w:color w:val="000000"/>
                <w:sz w:val="20"/>
                <w:szCs w:val="20"/>
              </w:rPr>
              <w:t>r</w:t>
            </w:r>
            <w:r>
              <w:rPr>
                <w:rFonts w:ascii="Times New Roman" w:eastAsia="Calibri" w:hAnsi="Times New Roman" w:cs="Times New Roman"/>
                <w:color w:val="000000"/>
                <w:sz w:val="20"/>
                <w:szCs w:val="20"/>
              </w:rPr>
              <w:t>ed and added</w:t>
            </w:r>
          </w:p>
        </w:tc>
      </w:tr>
      <w:tr w:rsidR="00152392" w:rsidRPr="009037BE" w14:paraId="1EF6649A" w14:textId="77777777" w:rsidTr="00056CA4">
        <w:tc>
          <w:tcPr>
            <w:tcW w:w="1098" w:type="dxa"/>
            <w:vAlign w:val="center"/>
          </w:tcPr>
          <w:p w14:paraId="7CE7FD05" w14:textId="77777777" w:rsidR="00152392" w:rsidRDefault="00152392" w:rsidP="00152392">
            <w:pPr>
              <w:autoSpaceDE w:val="0"/>
              <w:autoSpaceDN w:val="0"/>
              <w:adjustRightInd w:val="0"/>
              <w:spacing w:before="120" w:after="120"/>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Canada</w:t>
            </w:r>
          </w:p>
        </w:tc>
        <w:tc>
          <w:tcPr>
            <w:tcW w:w="1710" w:type="dxa"/>
            <w:vAlign w:val="center"/>
          </w:tcPr>
          <w:p w14:paraId="6AE2ACC3" w14:textId="77777777" w:rsidR="00152392" w:rsidRDefault="00152392" w:rsidP="00152392">
            <w:pPr>
              <w:autoSpaceDE w:val="0"/>
              <w:autoSpaceDN w:val="0"/>
              <w:adjustRightInd w:val="0"/>
              <w:spacing w:before="120" w:after="12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Page </w:t>
            </w:r>
            <w:r w:rsidR="00B65AC7">
              <w:rPr>
                <w:rFonts w:ascii="Times New Roman" w:eastAsia="Calibri" w:hAnsi="Times New Roman" w:cs="Times New Roman"/>
                <w:color w:val="000000"/>
                <w:sz w:val="20"/>
                <w:szCs w:val="20"/>
              </w:rPr>
              <w:t>60</w:t>
            </w:r>
          </w:p>
        </w:tc>
        <w:tc>
          <w:tcPr>
            <w:tcW w:w="7200" w:type="dxa"/>
          </w:tcPr>
          <w:p w14:paraId="150AB01A" w14:textId="77777777" w:rsidR="00152392" w:rsidRPr="00787E17" w:rsidRDefault="00B65AC7" w:rsidP="00152392">
            <w:pPr>
              <w:pStyle w:val="Default"/>
              <w:rPr>
                <w:rFonts w:ascii="Times New Roman" w:eastAsia="Calibri" w:hAnsi="Times New Roman" w:cs="Times New Roman"/>
                <w:sz w:val="20"/>
                <w:szCs w:val="20"/>
              </w:rPr>
            </w:pPr>
            <w:r w:rsidRPr="00B65AC7">
              <w:rPr>
                <w:rFonts w:ascii="Times New Roman" w:eastAsia="Calibri" w:hAnsi="Times New Roman" w:cs="Times New Roman"/>
                <w:sz w:val="20"/>
                <w:szCs w:val="20"/>
              </w:rPr>
              <w:t>While the term “good” in this sense has been used under Basel, its definition has been the subject of many discussions (under Basel) and we suggest avoiding its use.  Recommend keeping language here as consistent as possible with the Stockholm Convention.</w:t>
            </w:r>
          </w:p>
        </w:tc>
        <w:tc>
          <w:tcPr>
            <w:tcW w:w="3168" w:type="dxa"/>
          </w:tcPr>
          <w:p w14:paraId="56128147" w14:textId="77777777" w:rsidR="00152392" w:rsidRDefault="00B65AC7" w:rsidP="00152392">
            <w:pPr>
              <w:autoSpaceDE w:val="0"/>
              <w:autoSpaceDN w:val="0"/>
              <w:adjustRightInd w:val="0"/>
              <w:spacing w:before="120" w:after="12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Considered and deleted and included suggested text</w:t>
            </w:r>
          </w:p>
        </w:tc>
      </w:tr>
      <w:tr w:rsidR="00152392" w:rsidRPr="009037BE" w14:paraId="27C66B52" w14:textId="77777777" w:rsidTr="00056CA4">
        <w:tc>
          <w:tcPr>
            <w:tcW w:w="1098" w:type="dxa"/>
            <w:vAlign w:val="center"/>
          </w:tcPr>
          <w:p w14:paraId="6D7E1952" w14:textId="77777777" w:rsidR="00152392" w:rsidRDefault="00152392" w:rsidP="00152392">
            <w:pPr>
              <w:autoSpaceDE w:val="0"/>
              <w:autoSpaceDN w:val="0"/>
              <w:adjustRightInd w:val="0"/>
              <w:spacing w:before="120" w:after="120"/>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Canada</w:t>
            </w:r>
          </w:p>
        </w:tc>
        <w:tc>
          <w:tcPr>
            <w:tcW w:w="1710" w:type="dxa"/>
            <w:vAlign w:val="center"/>
          </w:tcPr>
          <w:p w14:paraId="199E5388" w14:textId="77777777" w:rsidR="00152392" w:rsidRDefault="00152392" w:rsidP="00B65AC7">
            <w:pPr>
              <w:autoSpaceDE w:val="0"/>
              <w:autoSpaceDN w:val="0"/>
              <w:adjustRightInd w:val="0"/>
              <w:spacing w:before="120" w:after="12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Page </w:t>
            </w:r>
            <w:r w:rsidR="00B65AC7">
              <w:rPr>
                <w:rFonts w:ascii="Times New Roman" w:eastAsia="Calibri" w:hAnsi="Times New Roman" w:cs="Times New Roman"/>
                <w:color w:val="000000"/>
                <w:sz w:val="20"/>
                <w:szCs w:val="20"/>
              </w:rPr>
              <w:t>60</w:t>
            </w:r>
          </w:p>
        </w:tc>
        <w:tc>
          <w:tcPr>
            <w:tcW w:w="7200" w:type="dxa"/>
          </w:tcPr>
          <w:p w14:paraId="69F73BE1" w14:textId="77777777" w:rsidR="00152392" w:rsidRPr="00787E17" w:rsidRDefault="00B65AC7" w:rsidP="00152392">
            <w:pPr>
              <w:pStyle w:val="Default"/>
              <w:rPr>
                <w:rFonts w:ascii="Times New Roman" w:eastAsia="Calibri" w:hAnsi="Times New Roman" w:cs="Times New Roman"/>
                <w:sz w:val="20"/>
                <w:szCs w:val="20"/>
              </w:rPr>
            </w:pPr>
            <w:r w:rsidRPr="00B65AC7">
              <w:rPr>
                <w:rFonts w:ascii="Times New Roman" w:eastAsia="Calibri" w:hAnsi="Times New Roman" w:cs="Times New Roman"/>
                <w:sz w:val="20"/>
                <w:szCs w:val="20"/>
              </w:rPr>
              <w:t>Please include reference.</w:t>
            </w:r>
          </w:p>
        </w:tc>
        <w:tc>
          <w:tcPr>
            <w:tcW w:w="3168" w:type="dxa"/>
          </w:tcPr>
          <w:p w14:paraId="4CC11EC6" w14:textId="77777777" w:rsidR="00152392" w:rsidRDefault="00B65AC7" w:rsidP="00152392">
            <w:pPr>
              <w:autoSpaceDE w:val="0"/>
              <w:autoSpaceDN w:val="0"/>
              <w:adjustRightInd w:val="0"/>
              <w:spacing w:before="120" w:after="12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Reference included</w:t>
            </w:r>
          </w:p>
        </w:tc>
      </w:tr>
      <w:tr w:rsidR="001C7511" w:rsidRPr="009037BE" w14:paraId="7D254D3D" w14:textId="77777777" w:rsidTr="00056CA4">
        <w:tc>
          <w:tcPr>
            <w:tcW w:w="1098" w:type="dxa"/>
            <w:vAlign w:val="center"/>
          </w:tcPr>
          <w:p w14:paraId="020FF705" w14:textId="77777777" w:rsidR="001C7511" w:rsidRDefault="001C7511" w:rsidP="001C7511">
            <w:pPr>
              <w:autoSpaceDE w:val="0"/>
              <w:autoSpaceDN w:val="0"/>
              <w:adjustRightInd w:val="0"/>
              <w:spacing w:before="120" w:after="120"/>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Canada</w:t>
            </w:r>
          </w:p>
        </w:tc>
        <w:tc>
          <w:tcPr>
            <w:tcW w:w="1710" w:type="dxa"/>
            <w:vAlign w:val="center"/>
          </w:tcPr>
          <w:p w14:paraId="39842035" w14:textId="77777777" w:rsidR="001C7511" w:rsidRDefault="001C7511" w:rsidP="001C7511">
            <w:pPr>
              <w:autoSpaceDE w:val="0"/>
              <w:autoSpaceDN w:val="0"/>
              <w:adjustRightInd w:val="0"/>
              <w:spacing w:before="120" w:after="12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Page 63</w:t>
            </w:r>
          </w:p>
        </w:tc>
        <w:tc>
          <w:tcPr>
            <w:tcW w:w="7200" w:type="dxa"/>
          </w:tcPr>
          <w:p w14:paraId="1CD45D3C" w14:textId="77777777" w:rsidR="001C7511" w:rsidRPr="00787E17" w:rsidRDefault="001C7511" w:rsidP="001C7511">
            <w:pPr>
              <w:pStyle w:val="Default"/>
              <w:rPr>
                <w:rFonts w:ascii="Times New Roman" w:eastAsia="Calibri" w:hAnsi="Times New Roman" w:cs="Times New Roman"/>
                <w:sz w:val="20"/>
                <w:szCs w:val="20"/>
              </w:rPr>
            </w:pPr>
            <w:r w:rsidRPr="001C7511">
              <w:rPr>
                <w:rFonts w:ascii="Times New Roman" w:eastAsia="Calibri" w:hAnsi="Times New Roman" w:cs="Times New Roman"/>
                <w:sz w:val="20"/>
                <w:szCs w:val="20"/>
              </w:rPr>
              <w:t>Recommend avoiding the use of such qualifiers given the rapid decline of residual PentaBDE in-service.</w:t>
            </w:r>
          </w:p>
        </w:tc>
        <w:tc>
          <w:tcPr>
            <w:tcW w:w="3168" w:type="dxa"/>
          </w:tcPr>
          <w:p w14:paraId="1A099852" w14:textId="77777777" w:rsidR="001C7511" w:rsidRDefault="001C7511" w:rsidP="001C7511">
            <w:pPr>
              <w:autoSpaceDE w:val="0"/>
              <w:autoSpaceDN w:val="0"/>
              <w:adjustRightInd w:val="0"/>
              <w:spacing w:before="120" w:after="12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Considered and deleted</w:t>
            </w:r>
          </w:p>
        </w:tc>
      </w:tr>
      <w:tr w:rsidR="001C7511" w:rsidRPr="009037BE" w14:paraId="0A96372B" w14:textId="77777777" w:rsidTr="00056CA4">
        <w:tc>
          <w:tcPr>
            <w:tcW w:w="1098" w:type="dxa"/>
            <w:vAlign w:val="center"/>
          </w:tcPr>
          <w:p w14:paraId="1B1119FE" w14:textId="77777777" w:rsidR="001C7511" w:rsidRDefault="001C7511" w:rsidP="001C7511">
            <w:pPr>
              <w:autoSpaceDE w:val="0"/>
              <w:autoSpaceDN w:val="0"/>
              <w:adjustRightInd w:val="0"/>
              <w:spacing w:before="120" w:after="120"/>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Canada</w:t>
            </w:r>
          </w:p>
        </w:tc>
        <w:tc>
          <w:tcPr>
            <w:tcW w:w="1710" w:type="dxa"/>
            <w:vAlign w:val="center"/>
          </w:tcPr>
          <w:p w14:paraId="7A1EF06C" w14:textId="77777777" w:rsidR="001C7511" w:rsidRDefault="001C7511" w:rsidP="001C7511">
            <w:pPr>
              <w:autoSpaceDE w:val="0"/>
              <w:autoSpaceDN w:val="0"/>
              <w:adjustRightInd w:val="0"/>
              <w:spacing w:before="120" w:after="12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Page 63</w:t>
            </w:r>
          </w:p>
        </w:tc>
        <w:tc>
          <w:tcPr>
            <w:tcW w:w="7200" w:type="dxa"/>
          </w:tcPr>
          <w:p w14:paraId="0FFA668F" w14:textId="77777777" w:rsidR="001C7511" w:rsidRPr="00787E17" w:rsidRDefault="001C7511" w:rsidP="001C7511">
            <w:pPr>
              <w:pStyle w:val="Default"/>
              <w:rPr>
                <w:rFonts w:ascii="Times New Roman" w:eastAsia="Calibri" w:hAnsi="Times New Roman" w:cs="Times New Roman"/>
                <w:sz w:val="20"/>
                <w:szCs w:val="20"/>
              </w:rPr>
            </w:pPr>
            <w:r w:rsidRPr="001C7511">
              <w:rPr>
                <w:rFonts w:ascii="Times New Roman" w:eastAsia="Calibri" w:hAnsi="Times New Roman" w:cs="Times New Roman"/>
                <w:sz w:val="20"/>
                <w:szCs w:val="20"/>
              </w:rPr>
              <w:t>Care should be taken to ensure the document is written with a view to help Parties develop their national implementation plans (NIP), and avoid statements that appear to put obligations on companies directly.</w:t>
            </w:r>
          </w:p>
        </w:tc>
        <w:tc>
          <w:tcPr>
            <w:tcW w:w="3168" w:type="dxa"/>
          </w:tcPr>
          <w:p w14:paraId="143D313A" w14:textId="77777777" w:rsidR="001C7511" w:rsidRDefault="00EC7A9A" w:rsidP="00EC7A9A">
            <w:pPr>
              <w:autoSpaceDE w:val="0"/>
              <w:autoSpaceDN w:val="0"/>
              <w:adjustRightInd w:val="0"/>
              <w:spacing w:before="120" w:after="12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Considered and modified</w:t>
            </w:r>
          </w:p>
        </w:tc>
      </w:tr>
      <w:tr w:rsidR="00EC7A9A" w:rsidRPr="009037BE" w14:paraId="65E83D98" w14:textId="77777777" w:rsidTr="00056CA4">
        <w:tc>
          <w:tcPr>
            <w:tcW w:w="1098" w:type="dxa"/>
            <w:vAlign w:val="center"/>
          </w:tcPr>
          <w:p w14:paraId="3FCF2FD5" w14:textId="77777777" w:rsidR="00EC7A9A" w:rsidRDefault="00EC7A9A" w:rsidP="00EC7A9A">
            <w:pPr>
              <w:autoSpaceDE w:val="0"/>
              <w:autoSpaceDN w:val="0"/>
              <w:adjustRightInd w:val="0"/>
              <w:spacing w:before="120" w:after="120"/>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Canada</w:t>
            </w:r>
          </w:p>
        </w:tc>
        <w:tc>
          <w:tcPr>
            <w:tcW w:w="1710" w:type="dxa"/>
            <w:vAlign w:val="center"/>
          </w:tcPr>
          <w:p w14:paraId="0A6AD599" w14:textId="77777777" w:rsidR="00EC7A9A" w:rsidRDefault="00EC7A9A" w:rsidP="00EC7A9A">
            <w:pPr>
              <w:autoSpaceDE w:val="0"/>
              <w:autoSpaceDN w:val="0"/>
              <w:adjustRightInd w:val="0"/>
              <w:spacing w:before="120" w:after="12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Page 64</w:t>
            </w:r>
          </w:p>
        </w:tc>
        <w:tc>
          <w:tcPr>
            <w:tcW w:w="7200" w:type="dxa"/>
          </w:tcPr>
          <w:p w14:paraId="3F91128B" w14:textId="77777777" w:rsidR="00EC7A9A" w:rsidRPr="00787E17" w:rsidRDefault="00EC7A9A" w:rsidP="00EC7A9A">
            <w:pPr>
              <w:pStyle w:val="Default"/>
              <w:rPr>
                <w:rFonts w:ascii="Times New Roman" w:eastAsia="Calibri" w:hAnsi="Times New Roman" w:cs="Times New Roman"/>
                <w:sz w:val="20"/>
                <w:szCs w:val="20"/>
              </w:rPr>
            </w:pPr>
            <w:r w:rsidRPr="00EC7A9A">
              <w:rPr>
                <w:rFonts w:ascii="Times New Roman" w:eastAsia="Calibri" w:hAnsi="Times New Roman" w:cs="Times New Roman"/>
                <w:sz w:val="20"/>
                <w:szCs w:val="20"/>
              </w:rPr>
              <w:t>Note that “Mixtures” is not used in the convention, and using this term without proper introduction may cause confusion.  If this guidance document is meant to draw attention to mixtures, this could be introduced more clearly.</w:t>
            </w:r>
          </w:p>
        </w:tc>
        <w:tc>
          <w:tcPr>
            <w:tcW w:w="3168" w:type="dxa"/>
          </w:tcPr>
          <w:p w14:paraId="3B812EAC" w14:textId="77777777" w:rsidR="00EC7A9A" w:rsidRDefault="00EC7A9A" w:rsidP="00EC7A9A">
            <w:pPr>
              <w:autoSpaceDE w:val="0"/>
              <w:autoSpaceDN w:val="0"/>
              <w:adjustRightInd w:val="0"/>
              <w:spacing w:before="120" w:after="12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Considered and modified</w:t>
            </w:r>
          </w:p>
        </w:tc>
      </w:tr>
      <w:tr w:rsidR="00EC7A9A" w:rsidRPr="009037BE" w14:paraId="407094B8" w14:textId="77777777" w:rsidTr="00056CA4">
        <w:tc>
          <w:tcPr>
            <w:tcW w:w="1098" w:type="dxa"/>
            <w:vAlign w:val="center"/>
          </w:tcPr>
          <w:p w14:paraId="198FEA81" w14:textId="77777777" w:rsidR="00EC7A9A" w:rsidRDefault="00EC7A9A" w:rsidP="00EC7A9A">
            <w:pPr>
              <w:autoSpaceDE w:val="0"/>
              <w:autoSpaceDN w:val="0"/>
              <w:adjustRightInd w:val="0"/>
              <w:spacing w:before="120" w:after="120"/>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Canada</w:t>
            </w:r>
          </w:p>
        </w:tc>
        <w:tc>
          <w:tcPr>
            <w:tcW w:w="1710" w:type="dxa"/>
            <w:vAlign w:val="center"/>
          </w:tcPr>
          <w:p w14:paraId="41241B20" w14:textId="77777777" w:rsidR="00EC7A9A" w:rsidRDefault="00EC7A9A" w:rsidP="00EC7A9A">
            <w:pPr>
              <w:autoSpaceDE w:val="0"/>
              <w:autoSpaceDN w:val="0"/>
              <w:adjustRightInd w:val="0"/>
              <w:spacing w:before="120" w:after="12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Page 64</w:t>
            </w:r>
          </w:p>
        </w:tc>
        <w:tc>
          <w:tcPr>
            <w:tcW w:w="7200" w:type="dxa"/>
          </w:tcPr>
          <w:p w14:paraId="2131604F" w14:textId="77777777" w:rsidR="00EC7A9A" w:rsidRPr="00EC7A9A" w:rsidRDefault="00EC7A9A" w:rsidP="00EC7A9A">
            <w:pPr>
              <w:pStyle w:val="CommentText"/>
              <w:spacing w:after="200"/>
            </w:pPr>
            <w:r w:rsidRPr="007B3B48">
              <w:t>Recommend keeping language as consistent as possible with the Convention</w:t>
            </w:r>
            <w:r>
              <w:t>, including specific references where applicable.</w:t>
            </w:r>
          </w:p>
        </w:tc>
        <w:tc>
          <w:tcPr>
            <w:tcW w:w="3168" w:type="dxa"/>
          </w:tcPr>
          <w:p w14:paraId="7E488DB0" w14:textId="77777777" w:rsidR="00EC7A9A" w:rsidRDefault="00EC7A9A" w:rsidP="00EC7A9A">
            <w:pPr>
              <w:autoSpaceDE w:val="0"/>
              <w:autoSpaceDN w:val="0"/>
              <w:adjustRightInd w:val="0"/>
              <w:spacing w:before="120" w:after="12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Considered and modified</w:t>
            </w:r>
          </w:p>
        </w:tc>
      </w:tr>
      <w:tr w:rsidR="007F6419" w:rsidRPr="009037BE" w14:paraId="40F6BFDA" w14:textId="77777777" w:rsidTr="00056CA4">
        <w:tc>
          <w:tcPr>
            <w:tcW w:w="1098" w:type="dxa"/>
            <w:vAlign w:val="center"/>
          </w:tcPr>
          <w:p w14:paraId="3A063362" w14:textId="77777777" w:rsidR="007F6419" w:rsidRDefault="007F6419" w:rsidP="007F6419">
            <w:pPr>
              <w:autoSpaceDE w:val="0"/>
              <w:autoSpaceDN w:val="0"/>
              <w:adjustRightInd w:val="0"/>
              <w:spacing w:before="120" w:after="120"/>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lastRenderedPageBreak/>
              <w:t>Canada</w:t>
            </w:r>
          </w:p>
        </w:tc>
        <w:tc>
          <w:tcPr>
            <w:tcW w:w="1710" w:type="dxa"/>
            <w:vAlign w:val="center"/>
          </w:tcPr>
          <w:p w14:paraId="1AEDF698" w14:textId="77777777" w:rsidR="007F6419" w:rsidRDefault="007F6419" w:rsidP="007F6419">
            <w:pPr>
              <w:autoSpaceDE w:val="0"/>
              <w:autoSpaceDN w:val="0"/>
              <w:adjustRightInd w:val="0"/>
              <w:spacing w:before="120" w:after="12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Page </w:t>
            </w:r>
            <w:r w:rsidR="000D37D8">
              <w:rPr>
                <w:rFonts w:ascii="Times New Roman" w:eastAsia="Calibri" w:hAnsi="Times New Roman" w:cs="Times New Roman"/>
                <w:color w:val="000000"/>
                <w:sz w:val="20"/>
                <w:szCs w:val="20"/>
              </w:rPr>
              <w:t xml:space="preserve">71 and </w:t>
            </w:r>
            <w:r>
              <w:rPr>
                <w:rFonts w:ascii="Times New Roman" w:eastAsia="Calibri" w:hAnsi="Times New Roman" w:cs="Times New Roman"/>
                <w:color w:val="000000"/>
                <w:sz w:val="20"/>
                <w:szCs w:val="20"/>
              </w:rPr>
              <w:t>72</w:t>
            </w:r>
          </w:p>
        </w:tc>
        <w:tc>
          <w:tcPr>
            <w:tcW w:w="7200" w:type="dxa"/>
          </w:tcPr>
          <w:p w14:paraId="3619DD57" w14:textId="77777777" w:rsidR="007F6419" w:rsidRPr="007B3B48" w:rsidRDefault="007F6419" w:rsidP="007F6419">
            <w:pPr>
              <w:pStyle w:val="CommentText"/>
            </w:pPr>
            <w:r w:rsidRPr="007F6419">
              <w:t>Please be consistent when referring to the commercial mixtures</w:t>
            </w:r>
          </w:p>
        </w:tc>
        <w:tc>
          <w:tcPr>
            <w:tcW w:w="3168" w:type="dxa"/>
          </w:tcPr>
          <w:p w14:paraId="194D2E52" w14:textId="77777777" w:rsidR="007F6419" w:rsidRDefault="007F6419" w:rsidP="007F6419">
            <w:pPr>
              <w:autoSpaceDE w:val="0"/>
              <w:autoSpaceDN w:val="0"/>
              <w:adjustRightInd w:val="0"/>
              <w:spacing w:before="120" w:after="12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Modified</w:t>
            </w:r>
          </w:p>
        </w:tc>
      </w:tr>
      <w:tr w:rsidR="007F6419" w:rsidRPr="009037BE" w14:paraId="4CB9C350" w14:textId="77777777" w:rsidTr="00056CA4">
        <w:tc>
          <w:tcPr>
            <w:tcW w:w="1098" w:type="dxa"/>
            <w:vAlign w:val="center"/>
          </w:tcPr>
          <w:p w14:paraId="552AF3A6" w14:textId="77777777" w:rsidR="007F6419" w:rsidRDefault="007F6419" w:rsidP="007F6419">
            <w:pPr>
              <w:autoSpaceDE w:val="0"/>
              <w:autoSpaceDN w:val="0"/>
              <w:adjustRightInd w:val="0"/>
              <w:spacing w:before="120" w:after="120"/>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Canada</w:t>
            </w:r>
          </w:p>
        </w:tc>
        <w:tc>
          <w:tcPr>
            <w:tcW w:w="1710" w:type="dxa"/>
            <w:vAlign w:val="center"/>
          </w:tcPr>
          <w:p w14:paraId="6BD1FEE5" w14:textId="77777777" w:rsidR="007F6419" w:rsidRDefault="007F6419" w:rsidP="007F6419">
            <w:pPr>
              <w:autoSpaceDE w:val="0"/>
              <w:autoSpaceDN w:val="0"/>
              <w:adjustRightInd w:val="0"/>
              <w:spacing w:before="120" w:after="12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Page 90</w:t>
            </w:r>
          </w:p>
        </w:tc>
        <w:tc>
          <w:tcPr>
            <w:tcW w:w="7200" w:type="dxa"/>
          </w:tcPr>
          <w:p w14:paraId="722C7DFE" w14:textId="77777777" w:rsidR="007F6419" w:rsidRPr="00787E17" w:rsidRDefault="007F6419" w:rsidP="007F6419">
            <w:pPr>
              <w:pStyle w:val="Default"/>
              <w:rPr>
                <w:rFonts w:ascii="Times New Roman" w:eastAsia="Calibri" w:hAnsi="Times New Roman" w:cs="Times New Roman"/>
                <w:sz w:val="20"/>
                <w:szCs w:val="20"/>
              </w:rPr>
            </w:pPr>
            <w:r w:rsidRPr="007F6419">
              <w:rPr>
                <w:rFonts w:ascii="Times New Roman" w:eastAsia="Calibri" w:hAnsi="Times New Roman" w:cs="Times New Roman"/>
                <w:sz w:val="20"/>
                <w:szCs w:val="20"/>
              </w:rPr>
              <w:t>Please be consistent when referring to the commercial mixtures. In this case, not clear if c-Octa or pure octaBDE.</w:t>
            </w:r>
          </w:p>
        </w:tc>
        <w:tc>
          <w:tcPr>
            <w:tcW w:w="3168" w:type="dxa"/>
          </w:tcPr>
          <w:p w14:paraId="2FEA5B35" w14:textId="77777777" w:rsidR="007F6419" w:rsidRDefault="007F6419" w:rsidP="007F6419">
            <w:pPr>
              <w:autoSpaceDE w:val="0"/>
              <w:autoSpaceDN w:val="0"/>
              <w:adjustRightInd w:val="0"/>
              <w:spacing w:before="120" w:after="12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It is c-OcaBDE. Modified</w:t>
            </w:r>
          </w:p>
        </w:tc>
      </w:tr>
      <w:tr w:rsidR="007F6419" w:rsidRPr="009037BE" w14:paraId="5E265E5A" w14:textId="77777777" w:rsidTr="00056CA4">
        <w:tc>
          <w:tcPr>
            <w:tcW w:w="1098" w:type="dxa"/>
            <w:vAlign w:val="center"/>
          </w:tcPr>
          <w:p w14:paraId="71038581" w14:textId="77777777" w:rsidR="007F6419" w:rsidRPr="0038717E" w:rsidRDefault="007F6419" w:rsidP="007F6419">
            <w:pPr>
              <w:autoSpaceDE w:val="0"/>
              <w:autoSpaceDN w:val="0"/>
              <w:adjustRightInd w:val="0"/>
              <w:spacing w:before="120" w:after="120"/>
              <w:jc w:val="center"/>
              <w:rPr>
                <w:rFonts w:ascii="Times New Roman" w:eastAsia="Calibri" w:hAnsi="Times New Roman" w:cs="Times New Roman"/>
                <w:b/>
                <w:color w:val="000000"/>
                <w:sz w:val="20"/>
                <w:szCs w:val="20"/>
              </w:rPr>
            </w:pPr>
            <w:r w:rsidRPr="0038717E">
              <w:rPr>
                <w:rFonts w:ascii="Times New Roman" w:eastAsia="Calibri" w:hAnsi="Times New Roman" w:cs="Times New Roman"/>
                <w:b/>
                <w:color w:val="000000"/>
                <w:sz w:val="20"/>
                <w:szCs w:val="20"/>
              </w:rPr>
              <w:t>Romania</w:t>
            </w:r>
          </w:p>
        </w:tc>
        <w:tc>
          <w:tcPr>
            <w:tcW w:w="1710" w:type="dxa"/>
            <w:vAlign w:val="center"/>
          </w:tcPr>
          <w:p w14:paraId="2F258AA5" w14:textId="77777777" w:rsidR="007F6419" w:rsidRDefault="007F6419" w:rsidP="007F6419">
            <w:pPr>
              <w:autoSpaceDE w:val="0"/>
              <w:autoSpaceDN w:val="0"/>
              <w:adjustRightInd w:val="0"/>
              <w:spacing w:before="120" w:after="12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Overall comment</w:t>
            </w:r>
          </w:p>
        </w:tc>
        <w:tc>
          <w:tcPr>
            <w:tcW w:w="7200" w:type="dxa"/>
          </w:tcPr>
          <w:p w14:paraId="4E449B41" w14:textId="77777777" w:rsidR="007F6419" w:rsidRDefault="007F6419" w:rsidP="007F6419">
            <w:pPr>
              <w:pStyle w:val="Default"/>
              <w:rPr>
                <w:rFonts w:ascii="Times New Roman" w:eastAsia="Calibri" w:hAnsi="Times New Roman" w:cs="Times New Roman"/>
                <w:sz w:val="20"/>
                <w:szCs w:val="20"/>
              </w:rPr>
            </w:pPr>
          </w:p>
          <w:p w14:paraId="3904F91C" w14:textId="77777777" w:rsidR="007F6419" w:rsidRPr="008D7160" w:rsidRDefault="007F6419" w:rsidP="007F6419">
            <w:pPr>
              <w:pStyle w:val="Default"/>
              <w:rPr>
                <w:rFonts w:ascii="Times New Roman" w:eastAsia="Calibri" w:hAnsi="Times New Roman" w:cs="Times New Roman"/>
                <w:sz w:val="20"/>
                <w:szCs w:val="20"/>
              </w:rPr>
            </w:pPr>
            <w:r w:rsidRPr="008D7160">
              <w:rPr>
                <w:rFonts w:ascii="Times New Roman" w:eastAsia="Calibri" w:hAnsi="Times New Roman" w:cs="Times New Roman"/>
                <w:sz w:val="20"/>
                <w:szCs w:val="20"/>
              </w:rPr>
              <w:t xml:space="preserve">We propose to be completed with information for new added POPs which may be present in products and articles (HBCD, PCP, its salts and esters and PCN). </w:t>
            </w:r>
          </w:p>
          <w:p w14:paraId="0ED5819D" w14:textId="77777777" w:rsidR="007F6419" w:rsidRPr="004C2BC4" w:rsidRDefault="007F6419" w:rsidP="007F6419">
            <w:pPr>
              <w:rPr>
                <w:rFonts w:ascii="Times New Roman" w:eastAsia="Calibri" w:hAnsi="Times New Roman" w:cs="Times New Roman"/>
                <w:color w:val="000000"/>
                <w:sz w:val="20"/>
                <w:szCs w:val="20"/>
              </w:rPr>
            </w:pPr>
          </w:p>
        </w:tc>
        <w:tc>
          <w:tcPr>
            <w:tcW w:w="3168" w:type="dxa"/>
          </w:tcPr>
          <w:p w14:paraId="2FDA20BA" w14:textId="24DBC5C7" w:rsidR="007F6419" w:rsidRPr="008A7601" w:rsidRDefault="007F6419" w:rsidP="00DF04DF">
            <w:pPr>
              <w:autoSpaceDE w:val="0"/>
              <w:autoSpaceDN w:val="0"/>
              <w:adjustRightInd w:val="0"/>
              <w:spacing w:before="120" w:after="12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Considered</w:t>
            </w:r>
            <w:r w:rsidR="00DF04DF">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t xml:space="preserve"> HBCD, PCP</w:t>
            </w:r>
            <w:r w:rsidRPr="008D7160">
              <w:rPr>
                <w:rFonts w:ascii="Times New Roman" w:eastAsia="Calibri" w:hAnsi="Times New Roman" w:cs="Times New Roman"/>
                <w:sz w:val="20"/>
                <w:szCs w:val="20"/>
              </w:rPr>
              <w:t xml:space="preserve"> its salts and esters and </w:t>
            </w:r>
            <w:r>
              <w:rPr>
                <w:rFonts w:ascii="Times New Roman" w:eastAsia="Calibri" w:hAnsi="Times New Roman" w:cs="Times New Roman"/>
                <w:color w:val="000000"/>
                <w:sz w:val="20"/>
                <w:szCs w:val="20"/>
              </w:rPr>
              <w:t>PCN as well as HCBD</w:t>
            </w:r>
            <w:r w:rsidR="00DF04DF">
              <w:rPr>
                <w:rFonts w:ascii="Times New Roman" w:eastAsia="Calibri" w:hAnsi="Times New Roman" w:cs="Times New Roman"/>
                <w:color w:val="000000"/>
                <w:sz w:val="20"/>
                <w:szCs w:val="20"/>
              </w:rPr>
              <w:t xml:space="preserve"> have been incorporated.</w:t>
            </w:r>
          </w:p>
        </w:tc>
      </w:tr>
      <w:tr w:rsidR="002A2DCF" w:rsidRPr="0033374C" w14:paraId="346D0BDD" w14:textId="77777777" w:rsidTr="00401DCF">
        <w:tc>
          <w:tcPr>
            <w:tcW w:w="1098" w:type="dxa"/>
            <w:vAlign w:val="center"/>
          </w:tcPr>
          <w:p w14:paraId="337599DE" w14:textId="77777777" w:rsidR="002A2DCF" w:rsidRPr="0033374C" w:rsidRDefault="002A2DCF" w:rsidP="00401DCF">
            <w:pPr>
              <w:autoSpaceDE w:val="0"/>
              <w:autoSpaceDN w:val="0"/>
              <w:adjustRightInd w:val="0"/>
              <w:spacing w:before="120" w:after="120"/>
              <w:jc w:val="center"/>
              <w:rPr>
                <w:rFonts w:ascii="Times New Roman" w:eastAsia="Calibri" w:hAnsi="Times New Roman" w:cs="Times New Roman"/>
                <w:color w:val="000000"/>
                <w:sz w:val="20"/>
                <w:szCs w:val="20"/>
              </w:rPr>
            </w:pPr>
            <w:r w:rsidRPr="0033374C">
              <w:rPr>
                <w:rFonts w:ascii="Times New Roman" w:eastAsia="Calibri" w:hAnsi="Times New Roman" w:cs="Times New Roman"/>
                <w:color w:val="000000"/>
                <w:sz w:val="20"/>
                <w:szCs w:val="20"/>
              </w:rPr>
              <w:t>HBCD Industry Group</w:t>
            </w:r>
          </w:p>
        </w:tc>
        <w:tc>
          <w:tcPr>
            <w:tcW w:w="1710" w:type="dxa"/>
            <w:vAlign w:val="center"/>
          </w:tcPr>
          <w:p w14:paraId="419C9E5C" w14:textId="77777777" w:rsidR="002A2DCF" w:rsidRPr="0033374C" w:rsidRDefault="002A2DCF" w:rsidP="00401DCF">
            <w:pPr>
              <w:rPr>
                <w:rFonts w:ascii="Times New Roman" w:eastAsia="Calibri" w:hAnsi="Times New Roman" w:cs="Times New Roman"/>
                <w:color w:val="000000"/>
                <w:sz w:val="20"/>
                <w:szCs w:val="20"/>
              </w:rPr>
            </w:pPr>
            <w:r w:rsidRPr="0033374C">
              <w:rPr>
                <w:rFonts w:ascii="Times New Roman" w:eastAsia="Calibri" w:hAnsi="Times New Roman" w:cs="Times New Roman"/>
                <w:color w:val="000000"/>
                <w:sz w:val="20"/>
                <w:szCs w:val="20"/>
              </w:rPr>
              <w:t>Comments made  to the monitoring part of HBCD inventory guidance (comment A 99 to A 102)</w:t>
            </w:r>
          </w:p>
        </w:tc>
        <w:tc>
          <w:tcPr>
            <w:tcW w:w="7200" w:type="dxa"/>
          </w:tcPr>
          <w:p w14:paraId="3073F88E" w14:textId="77777777" w:rsidR="002A2DCF" w:rsidRPr="0033374C" w:rsidRDefault="002A2DCF" w:rsidP="00401DCF">
            <w:pPr>
              <w:pStyle w:val="CommentText"/>
              <w:rPr>
                <w:rFonts w:ascii="Times New Roman" w:hAnsi="Times New Roman" w:cs="Times New Roman"/>
              </w:rPr>
            </w:pPr>
            <w:r w:rsidRPr="0033374C">
              <w:rPr>
                <w:rFonts w:ascii="Times New Roman" w:hAnsi="Times New Roman" w:cs="Times New Roman"/>
              </w:rPr>
              <w:t xml:space="preserve">Background: The HBCD inventory guidance contained in the Annex a part on sampling and analysis of HBCD. This part was commented and corrected by the HBCD Industry Group. </w:t>
            </w:r>
          </w:p>
        </w:tc>
        <w:tc>
          <w:tcPr>
            <w:tcW w:w="3168" w:type="dxa"/>
          </w:tcPr>
          <w:p w14:paraId="6C131DD9" w14:textId="40BE3105" w:rsidR="002A2DCF" w:rsidRPr="0033374C" w:rsidRDefault="002A2DCF" w:rsidP="002A2DCF">
            <w:pPr>
              <w:pStyle w:val="CommentText"/>
              <w:rPr>
                <w:rFonts w:ascii="Times New Roman" w:hAnsi="Times New Roman" w:cs="Times New Roman"/>
              </w:rPr>
            </w:pPr>
            <w:r>
              <w:rPr>
                <w:rFonts w:ascii="Times New Roman" w:hAnsi="Times New Roman" w:cs="Times New Roman"/>
              </w:rPr>
              <w:t>S</w:t>
            </w:r>
            <w:r w:rsidRPr="0033374C">
              <w:rPr>
                <w:rFonts w:ascii="Times New Roman" w:hAnsi="Times New Roman" w:cs="Times New Roman"/>
              </w:rPr>
              <w:t xml:space="preserve">ections of the monitoring part from the Annex </w:t>
            </w:r>
            <w:r>
              <w:rPr>
                <w:rFonts w:ascii="Times New Roman" w:hAnsi="Times New Roman" w:cs="Times New Roman"/>
              </w:rPr>
              <w:t>of the inventory guidance have been incorporated</w:t>
            </w:r>
            <w:r w:rsidRPr="0033374C">
              <w:rPr>
                <w:rFonts w:ascii="Times New Roman" w:hAnsi="Times New Roman" w:cs="Times New Roman"/>
              </w:rPr>
              <w:t xml:space="preserve"> in the </w:t>
            </w:r>
            <w:r w:rsidRPr="002A2DCF">
              <w:rPr>
                <w:rFonts w:ascii="Times New Roman" w:eastAsia="Calibri" w:hAnsi="Times New Roman" w:cs="Times New Roman"/>
              </w:rPr>
              <w:t>Guidance on Sampling, Screening and Analysis</w:t>
            </w:r>
            <w:r>
              <w:rPr>
                <w:rFonts w:ascii="Times New Roman" w:hAnsi="Times New Roman" w:cs="Times New Roman"/>
              </w:rPr>
              <w:t>.</w:t>
            </w:r>
            <w:r w:rsidRPr="0033374C">
              <w:rPr>
                <w:rFonts w:ascii="Times New Roman" w:hAnsi="Times New Roman" w:cs="Times New Roman"/>
              </w:rPr>
              <w:t xml:space="preserve"> </w:t>
            </w:r>
            <w:r>
              <w:rPr>
                <w:rFonts w:ascii="Times New Roman" w:hAnsi="Times New Roman" w:cs="Times New Roman"/>
              </w:rPr>
              <w:t>T</w:t>
            </w:r>
            <w:bookmarkStart w:id="0" w:name="_GoBack"/>
            <w:bookmarkEnd w:id="0"/>
            <w:r w:rsidRPr="0033374C">
              <w:rPr>
                <w:rFonts w:ascii="Times New Roman" w:hAnsi="Times New Roman" w:cs="Times New Roman"/>
              </w:rPr>
              <w:t>he comments and corrections were considered and integrated</w:t>
            </w:r>
          </w:p>
        </w:tc>
      </w:tr>
      <w:tr w:rsidR="002A2DCF" w:rsidRPr="0033374C" w14:paraId="7C007874" w14:textId="77777777" w:rsidTr="00401DCF">
        <w:tc>
          <w:tcPr>
            <w:tcW w:w="1098" w:type="dxa"/>
            <w:vAlign w:val="center"/>
          </w:tcPr>
          <w:p w14:paraId="566CE4D7" w14:textId="77777777" w:rsidR="002A2DCF" w:rsidRPr="0033374C" w:rsidRDefault="002A2DCF" w:rsidP="00401DCF">
            <w:pPr>
              <w:autoSpaceDE w:val="0"/>
              <w:autoSpaceDN w:val="0"/>
              <w:adjustRightInd w:val="0"/>
              <w:spacing w:before="120" w:after="120"/>
              <w:jc w:val="center"/>
              <w:rPr>
                <w:rFonts w:ascii="Times New Roman" w:eastAsia="Calibri" w:hAnsi="Times New Roman" w:cs="Times New Roman"/>
                <w:color w:val="000000"/>
                <w:sz w:val="20"/>
                <w:szCs w:val="20"/>
              </w:rPr>
            </w:pPr>
            <w:r w:rsidRPr="0033374C">
              <w:rPr>
                <w:rFonts w:ascii="Times New Roman" w:eastAsia="Calibri" w:hAnsi="Times New Roman" w:cs="Times New Roman"/>
                <w:color w:val="000000"/>
                <w:sz w:val="20"/>
                <w:szCs w:val="20"/>
              </w:rPr>
              <w:t>HBCD Industry Group</w:t>
            </w:r>
          </w:p>
        </w:tc>
        <w:tc>
          <w:tcPr>
            <w:tcW w:w="1710" w:type="dxa"/>
            <w:vAlign w:val="center"/>
          </w:tcPr>
          <w:p w14:paraId="2A93F7DB" w14:textId="77777777" w:rsidR="002A2DCF" w:rsidRPr="0033374C" w:rsidRDefault="002A2DCF" w:rsidP="00401DCF">
            <w:pPr>
              <w:rPr>
                <w:rFonts w:ascii="Times New Roman" w:eastAsia="Calibri" w:hAnsi="Times New Roman" w:cs="Times New Roman"/>
                <w:color w:val="000000"/>
                <w:sz w:val="20"/>
                <w:szCs w:val="20"/>
              </w:rPr>
            </w:pPr>
            <w:r w:rsidRPr="0033374C">
              <w:rPr>
                <w:rFonts w:ascii="Times New Roman" w:eastAsia="Calibri" w:hAnsi="Times New Roman" w:cs="Times New Roman"/>
                <w:color w:val="000000"/>
                <w:sz w:val="20"/>
                <w:szCs w:val="20"/>
              </w:rPr>
              <w:t xml:space="preserve">Comments made  to the monitoring part of HBCD inventory guidance </w:t>
            </w:r>
          </w:p>
        </w:tc>
        <w:tc>
          <w:tcPr>
            <w:tcW w:w="7200" w:type="dxa"/>
          </w:tcPr>
          <w:p w14:paraId="099847AE" w14:textId="77777777" w:rsidR="002A2DCF" w:rsidRPr="0033374C" w:rsidRDefault="002A2DCF" w:rsidP="00401DCF">
            <w:pPr>
              <w:pStyle w:val="CommentText"/>
              <w:rPr>
                <w:rFonts w:ascii="Times New Roman" w:hAnsi="Times New Roman" w:cs="Times New Roman"/>
              </w:rPr>
            </w:pPr>
            <w:r w:rsidRPr="0033374C">
              <w:rPr>
                <w:rFonts w:ascii="Times New Roman" w:hAnsi="Times New Roman" w:cs="Times New Roman"/>
              </w:rPr>
              <w:t>Please note that the study is available here:</w:t>
            </w:r>
          </w:p>
          <w:p w14:paraId="32029DC0" w14:textId="77777777" w:rsidR="002A2DCF" w:rsidRPr="0033374C" w:rsidRDefault="002A2DCF" w:rsidP="00401DCF">
            <w:pPr>
              <w:pStyle w:val="CommentText"/>
              <w:rPr>
                <w:rFonts w:ascii="Times New Roman" w:hAnsi="Times New Roman" w:cs="Times New Roman"/>
              </w:rPr>
            </w:pPr>
            <w:proofErr w:type="spellStart"/>
            <w:r w:rsidRPr="0033374C">
              <w:rPr>
                <w:rFonts w:ascii="Times New Roman" w:hAnsi="Times New Roman" w:cs="Times New Roman"/>
              </w:rPr>
              <w:t>Schlummer</w:t>
            </w:r>
            <w:proofErr w:type="spellEnd"/>
            <w:r w:rsidRPr="0033374C">
              <w:rPr>
                <w:rFonts w:ascii="Times New Roman" w:hAnsi="Times New Roman" w:cs="Times New Roman"/>
              </w:rPr>
              <w:t xml:space="preserve"> M., </w:t>
            </w:r>
            <w:proofErr w:type="spellStart"/>
            <w:r w:rsidRPr="0033374C">
              <w:rPr>
                <w:rFonts w:ascii="Times New Roman" w:hAnsi="Times New Roman" w:cs="Times New Roman"/>
              </w:rPr>
              <w:t>Vogelsang</w:t>
            </w:r>
            <w:proofErr w:type="spellEnd"/>
            <w:r w:rsidRPr="0033374C">
              <w:rPr>
                <w:rFonts w:ascii="Times New Roman" w:hAnsi="Times New Roman" w:cs="Times New Roman"/>
              </w:rPr>
              <w:t xml:space="preserve"> J., Fiedler D., Gruber L., </w:t>
            </w:r>
            <w:proofErr w:type="spellStart"/>
            <w:r w:rsidRPr="0033374C">
              <w:rPr>
                <w:rFonts w:ascii="Times New Roman" w:hAnsi="Times New Roman" w:cs="Times New Roman"/>
              </w:rPr>
              <w:t>Wolz</w:t>
            </w:r>
            <w:proofErr w:type="spellEnd"/>
            <w:r w:rsidRPr="0033374C">
              <w:rPr>
                <w:rFonts w:ascii="Times New Roman" w:hAnsi="Times New Roman" w:cs="Times New Roman"/>
              </w:rPr>
              <w:t xml:space="preserve"> G., 2015 ,Rapid identification of polystyrene foam wastes containing </w:t>
            </w:r>
            <w:proofErr w:type="spellStart"/>
            <w:r w:rsidRPr="0033374C">
              <w:rPr>
                <w:rFonts w:ascii="Times New Roman" w:hAnsi="Times New Roman" w:cs="Times New Roman"/>
              </w:rPr>
              <w:t>hexabromocyclododecane</w:t>
            </w:r>
            <w:proofErr w:type="spellEnd"/>
            <w:r w:rsidRPr="0033374C">
              <w:rPr>
                <w:rFonts w:ascii="Times New Roman" w:hAnsi="Times New Roman" w:cs="Times New Roman"/>
              </w:rPr>
              <w:t xml:space="preserve"> or its alternative polymeric brominated flame retardant by X-ray fluorescence spectroscopy (Waste Management Research July 2015, Vol. 33, No. 7, 662-670) http://wmr.sagepub.com/content/33/7/662</w:t>
            </w:r>
          </w:p>
        </w:tc>
        <w:tc>
          <w:tcPr>
            <w:tcW w:w="3168" w:type="dxa"/>
          </w:tcPr>
          <w:p w14:paraId="296AA9CA" w14:textId="77777777" w:rsidR="002A2DCF" w:rsidRPr="0033374C" w:rsidRDefault="002A2DCF" w:rsidP="00401DCF">
            <w:pPr>
              <w:pStyle w:val="CommentText"/>
              <w:rPr>
                <w:rFonts w:ascii="Times New Roman" w:hAnsi="Times New Roman" w:cs="Times New Roman"/>
              </w:rPr>
            </w:pPr>
            <w:r w:rsidRPr="0033374C">
              <w:rPr>
                <w:rFonts w:ascii="Times New Roman" w:hAnsi="Times New Roman" w:cs="Times New Roman"/>
              </w:rPr>
              <w:t>The publication is considered in the update</w:t>
            </w:r>
            <w:r>
              <w:rPr>
                <w:rFonts w:ascii="Times New Roman" w:hAnsi="Times New Roman" w:cs="Times New Roman"/>
              </w:rPr>
              <w:t>d</w:t>
            </w:r>
            <w:r w:rsidRPr="0033374C">
              <w:rPr>
                <w:rFonts w:ascii="Times New Roman" w:hAnsi="Times New Roman" w:cs="Times New Roman"/>
              </w:rPr>
              <w:t xml:space="preserve"> </w:t>
            </w:r>
            <w:r w:rsidRPr="002A2DCF">
              <w:rPr>
                <w:rFonts w:ascii="Times New Roman" w:eastAsia="Calibri" w:hAnsi="Times New Roman" w:cs="Times New Roman"/>
              </w:rPr>
              <w:t>Guidance on Sampling, Screening and Analysis</w:t>
            </w:r>
            <w:r w:rsidRPr="0033374C">
              <w:rPr>
                <w:rFonts w:ascii="Times New Roman" w:hAnsi="Times New Roman" w:cs="Times New Roman"/>
              </w:rPr>
              <w:t xml:space="preserve"> and is additionally described as a case study for screening of HBCD in the Annex.</w:t>
            </w:r>
          </w:p>
        </w:tc>
      </w:tr>
      <w:tr w:rsidR="002A2DCF" w:rsidRPr="0033374C" w14:paraId="7F4381AA" w14:textId="77777777" w:rsidTr="00401DCF">
        <w:tc>
          <w:tcPr>
            <w:tcW w:w="1098" w:type="dxa"/>
            <w:vAlign w:val="center"/>
          </w:tcPr>
          <w:p w14:paraId="391A04AF" w14:textId="77777777" w:rsidR="002A2DCF" w:rsidRPr="0033374C" w:rsidRDefault="002A2DCF" w:rsidP="00401DCF">
            <w:pPr>
              <w:autoSpaceDE w:val="0"/>
              <w:autoSpaceDN w:val="0"/>
              <w:adjustRightInd w:val="0"/>
              <w:spacing w:before="120" w:after="120"/>
              <w:jc w:val="center"/>
              <w:rPr>
                <w:rFonts w:ascii="Times New Roman" w:eastAsia="Calibri" w:hAnsi="Times New Roman" w:cs="Times New Roman"/>
                <w:color w:val="000000"/>
                <w:sz w:val="20"/>
                <w:szCs w:val="20"/>
              </w:rPr>
            </w:pPr>
            <w:r w:rsidRPr="0033374C">
              <w:rPr>
                <w:rFonts w:ascii="Times New Roman" w:eastAsia="Calibri" w:hAnsi="Times New Roman" w:cs="Times New Roman"/>
                <w:color w:val="000000"/>
                <w:sz w:val="20"/>
                <w:szCs w:val="20"/>
              </w:rPr>
              <w:t>HBCD Industry Group</w:t>
            </w:r>
          </w:p>
        </w:tc>
        <w:tc>
          <w:tcPr>
            <w:tcW w:w="1710" w:type="dxa"/>
            <w:vAlign w:val="center"/>
          </w:tcPr>
          <w:p w14:paraId="363281DF" w14:textId="77777777" w:rsidR="002A2DCF" w:rsidRPr="0033374C" w:rsidRDefault="002A2DCF" w:rsidP="00401DCF">
            <w:pPr>
              <w:rPr>
                <w:rFonts w:ascii="Times New Roman" w:eastAsia="Calibri" w:hAnsi="Times New Roman" w:cs="Times New Roman"/>
                <w:color w:val="000000"/>
                <w:sz w:val="20"/>
                <w:szCs w:val="20"/>
              </w:rPr>
            </w:pPr>
            <w:r w:rsidRPr="0033374C">
              <w:rPr>
                <w:rFonts w:ascii="Times New Roman" w:eastAsia="Calibri" w:hAnsi="Times New Roman" w:cs="Times New Roman"/>
                <w:color w:val="000000"/>
                <w:sz w:val="20"/>
                <w:szCs w:val="20"/>
              </w:rPr>
              <w:t>Comments made  to the monitoring part of HBCD inventory guidance</w:t>
            </w:r>
          </w:p>
        </w:tc>
        <w:tc>
          <w:tcPr>
            <w:tcW w:w="7200" w:type="dxa"/>
          </w:tcPr>
          <w:p w14:paraId="4AAD08C0" w14:textId="77777777" w:rsidR="002A2DCF" w:rsidRPr="0033374C" w:rsidRDefault="002A2DCF" w:rsidP="00401DCF">
            <w:pPr>
              <w:pStyle w:val="CommentText"/>
              <w:rPr>
                <w:rFonts w:ascii="Times New Roman" w:hAnsi="Times New Roman" w:cs="Times New Roman"/>
              </w:rPr>
            </w:pPr>
            <w:r w:rsidRPr="0033374C">
              <w:rPr>
                <w:rFonts w:ascii="Times New Roman" w:hAnsi="Times New Roman" w:cs="Times New Roman"/>
              </w:rPr>
              <w:t>Please refer to the document submitted together with the comments of the HBCD IG on the Inventory Guidance. (Referring to: Determination of HBCD in Polystyrene Foams with the GC-FID Technique, HBCD Industry Group, September 2015).</w:t>
            </w:r>
          </w:p>
        </w:tc>
        <w:tc>
          <w:tcPr>
            <w:tcW w:w="3168" w:type="dxa"/>
          </w:tcPr>
          <w:p w14:paraId="6B358530" w14:textId="77777777" w:rsidR="002A2DCF" w:rsidRPr="0033374C" w:rsidRDefault="002A2DCF" w:rsidP="00401DCF">
            <w:pPr>
              <w:pStyle w:val="CommentText"/>
              <w:rPr>
                <w:rFonts w:ascii="Times New Roman" w:hAnsi="Times New Roman" w:cs="Times New Roman"/>
              </w:rPr>
            </w:pPr>
            <w:r w:rsidRPr="0033374C">
              <w:rPr>
                <w:rFonts w:ascii="Times New Roman" w:hAnsi="Times New Roman" w:cs="Times New Roman"/>
              </w:rPr>
              <w:t>The analytical method was considered and is included as method in the updated HBCD monitoring part</w:t>
            </w:r>
            <w:r>
              <w:rPr>
                <w:rFonts w:ascii="Times New Roman" w:hAnsi="Times New Roman" w:cs="Times New Roman"/>
              </w:rPr>
              <w:t xml:space="preserve"> in the </w:t>
            </w:r>
            <w:r w:rsidRPr="002A2DCF">
              <w:rPr>
                <w:rFonts w:ascii="Times New Roman" w:eastAsia="Calibri" w:hAnsi="Times New Roman" w:cs="Times New Roman"/>
              </w:rPr>
              <w:t>Guidance on Sampling, Screening and Analysis</w:t>
            </w:r>
          </w:p>
        </w:tc>
      </w:tr>
      <w:tr w:rsidR="002A2DCF" w:rsidRPr="0033374C" w14:paraId="15A0EFFE" w14:textId="77777777" w:rsidTr="00401DCF">
        <w:tc>
          <w:tcPr>
            <w:tcW w:w="1098" w:type="dxa"/>
            <w:vAlign w:val="center"/>
          </w:tcPr>
          <w:p w14:paraId="5BD24114" w14:textId="77777777" w:rsidR="002A2DCF" w:rsidRPr="0033374C" w:rsidRDefault="002A2DCF" w:rsidP="00401DCF">
            <w:pPr>
              <w:autoSpaceDE w:val="0"/>
              <w:autoSpaceDN w:val="0"/>
              <w:adjustRightInd w:val="0"/>
              <w:spacing w:before="120" w:after="120"/>
              <w:jc w:val="center"/>
              <w:rPr>
                <w:rFonts w:ascii="Times New Roman" w:eastAsia="Calibri" w:hAnsi="Times New Roman" w:cs="Times New Roman"/>
                <w:color w:val="000000"/>
                <w:sz w:val="20"/>
                <w:szCs w:val="20"/>
              </w:rPr>
            </w:pPr>
            <w:r w:rsidRPr="0033374C">
              <w:rPr>
                <w:rFonts w:ascii="Times New Roman" w:eastAsia="Calibri" w:hAnsi="Times New Roman" w:cs="Times New Roman"/>
                <w:color w:val="000000"/>
                <w:sz w:val="20"/>
                <w:szCs w:val="20"/>
              </w:rPr>
              <w:t>HBCD Industry Group</w:t>
            </w:r>
          </w:p>
        </w:tc>
        <w:tc>
          <w:tcPr>
            <w:tcW w:w="1710" w:type="dxa"/>
            <w:vAlign w:val="center"/>
          </w:tcPr>
          <w:p w14:paraId="2C1792E1" w14:textId="77777777" w:rsidR="002A2DCF" w:rsidRPr="0033374C" w:rsidRDefault="002A2DCF" w:rsidP="00401DCF">
            <w:pPr>
              <w:rPr>
                <w:rFonts w:ascii="Times New Roman" w:eastAsia="Calibri" w:hAnsi="Times New Roman" w:cs="Times New Roman"/>
                <w:color w:val="000000"/>
                <w:sz w:val="20"/>
                <w:szCs w:val="20"/>
              </w:rPr>
            </w:pPr>
            <w:r w:rsidRPr="0033374C">
              <w:rPr>
                <w:rFonts w:ascii="Times New Roman" w:eastAsia="Calibri" w:hAnsi="Times New Roman" w:cs="Times New Roman"/>
                <w:color w:val="000000"/>
                <w:sz w:val="20"/>
                <w:szCs w:val="20"/>
              </w:rPr>
              <w:t>Comments made  to the monitoring part of HBCD inventory guidance</w:t>
            </w:r>
          </w:p>
        </w:tc>
        <w:tc>
          <w:tcPr>
            <w:tcW w:w="7200" w:type="dxa"/>
          </w:tcPr>
          <w:p w14:paraId="1F6A89D2" w14:textId="77777777" w:rsidR="002A2DCF" w:rsidRPr="0033374C" w:rsidRDefault="002A2DCF" w:rsidP="00401DCF">
            <w:pPr>
              <w:pStyle w:val="CommentText"/>
              <w:rPr>
                <w:rFonts w:ascii="Times New Roman" w:hAnsi="Times New Roman" w:cs="Times New Roman"/>
                <w:lang w:val="de-DE"/>
              </w:rPr>
            </w:pPr>
            <w:r w:rsidRPr="0033374C">
              <w:rPr>
                <w:rFonts w:ascii="Times New Roman" w:hAnsi="Times New Roman" w:cs="Times New Roman"/>
              </w:rPr>
              <w:t xml:space="preserve">Suggestion on adding NMR technology as screening tool. </w:t>
            </w:r>
            <w:r w:rsidRPr="0033374C">
              <w:rPr>
                <w:rFonts w:ascii="Times New Roman" w:hAnsi="Times New Roman" w:cs="Times New Roman"/>
                <w:lang w:val="de-DE"/>
              </w:rPr>
              <w:t xml:space="preserve">D. Jeanerat, M. Pupier, S. Schweizer, Y. N. Mitrev, P. Favreau, M. Kohler, Chemosphere 144 (2016), 1391-1397). </w:t>
            </w:r>
          </w:p>
        </w:tc>
        <w:tc>
          <w:tcPr>
            <w:tcW w:w="3168" w:type="dxa"/>
          </w:tcPr>
          <w:p w14:paraId="55360D16" w14:textId="77777777" w:rsidR="002A2DCF" w:rsidRPr="0033374C" w:rsidRDefault="002A2DCF" w:rsidP="00401DCF">
            <w:pPr>
              <w:pStyle w:val="CommentText"/>
              <w:rPr>
                <w:rFonts w:ascii="Times New Roman" w:hAnsi="Times New Roman" w:cs="Times New Roman"/>
              </w:rPr>
            </w:pPr>
            <w:r w:rsidRPr="0033374C">
              <w:rPr>
                <w:rFonts w:ascii="Times New Roman" w:hAnsi="Times New Roman" w:cs="Times New Roman"/>
              </w:rPr>
              <w:t xml:space="preserve">The NMR screening method was considered and is included as screening method in the updated HBCD monitoring part </w:t>
            </w:r>
            <w:r>
              <w:rPr>
                <w:rFonts w:ascii="Times New Roman" w:hAnsi="Times New Roman" w:cs="Times New Roman"/>
              </w:rPr>
              <w:t xml:space="preserve">in the </w:t>
            </w:r>
            <w:r w:rsidRPr="002A2DCF">
              <w:rPr>
                <w:rFonts w:ascii="Times New Roman" w:eastAsia="Calibri" w:hAnsi="Times New Roman" w:cs="Times New Roman"/>
              </w:rPr>
              <w:t>Guidance on Sampling, Screening and Analysis</w:t>
            </w:r>
          </w:p>
        </w:tc>
      </w:tr>
      <w:tr w:rsidR="002A2DCF" w:rsidRPr="009037BE" w14:paraId="6EAB0F44" w14:textId="77777777" w:rsidTr="00056CA4">
        <w:tc>
          <w:tcPr>
            <w:tcW w:w="1098" w:type="dxa"/>
            <w:vAlign w:val="center"/>
          </w:tcPr>
          <w:p w14:paraId="62D8E288" w14:textId="77777777" w:rsidR="002A2DCF" w:rsidRPr="002A2DCF" w:rsidRDefault="002A2DCF" w:rsidP="007F6419">
            <w:pPr>
              <w:autoSpaceDE w:val="0"/>
              <w:autoSpaceDN w:val="0"/>
              <w:adjustRightInd w:val="0"/>
              <w:spacing w:before="120" w:after="120"/>
              <w:jc w:val="center"/>
              <w:rPr>
                <w:rFonts w:ascii="Times New Roman" w:eastAsia="Calibri" w:hAnsi="Times New Roman" w:cs="Times New Roman"/>
                <w:b/>
                <w:color w:val="000000"/>
                <w:sz w:val="20"/>
                <w:szCs w:val="20"/>
                <w:lang w:val="en-CA"/>
              </w:rPr>
            </w:pPr>
          </w:p>
        </w:tc>
        <w:tc>
          <w:tcPr>
            <w:tcW w:w="1710" w:type="dxa"/>
            <w:vAlign w:val="center"/>
          </w:tcPr>
          <w:p w14:paraId="35775BB1" w14:textId="77777777" w:rsidR="002A2DCF" w:rsidRDefault="002A2DCF" w:rsidP="007F6419">
            <w:pPr>
              <w:autoSpaceDE w:val="0"/>
              <w:autoSpaceDN w:val="0"/>
              <w:adjustRightInd w:val="0"/>
              <w:spacing w:before="120" w:after="120"/>
              <w:rPr>
                <w:rFonts w:ascii="Times New Roman" w:eastAsia="Calibri" w:hAnsi="Times New Roman" w:cs="Times New Roman"/>
                <w:color w:val="000000"/>
                <w:sz w:val="20"/>
                <w:szCs w:val="20"/>
              </w:rPr>
            </w:pPr>
          </w:p>
        </w:tc>
        <w:tc>
          <w:tcPr>
            <w:tcW w:w="7200" w:type="dxa"/>
          </w:tcPr>
          <w:p w14:paraId="3F055870" w14:textId="77777777" w:rsidR="002A2DCF" w:rsidRDefault="002A2DCF" w:rsidP="007F6419">
            <w:pPr>
              <w:pStyle w:val="Default"/>
              <w:rPr>
                <w:rFonts w:ascii="Times New Roman" w:eastAsia="Calibri" w:hAnsi="Times New Roman" w:cs="Times New Roman"/>
                <w:sz w:val="20"/>
                <w:szCs w:val="20"/>
              </w:rPr>
            </w:pPr>
          </w:p>
        </w:tc>
        <w:tc>
          <w:tcPr>
            <w:tcW w:w="3168" w:type="dxa"/>
          </w:tcPr>
          <w:p w14:paraId="4B1E90EF" w14:textId="77777777" w:rsidR="002A2DCF" w:rsidRDefault="002A2DCF" w:rsidP="00DF04DF">
            <w:pPr>
              <w:autoSpaceDE w:val="0"/>
              <w:autoSpaceDN w:val="0"/>
              <w:adjustRightInd w:val="0"/>
              <w:spacing w:before="120" w:after="120"/>
              <w:rPr>
                <w:rFonts w:ascii="Times New Roman" w:eastAsia="Calibri" w:hAnsi="Times New Roman" w:cs="Times New Roman"/>
                <w:color w:val="000000"/>
                <w:sz w:val="20"/>
                <w:szCs w:val="20"/>
              </w:rPr>
            </w:pPr>
          </w:p>
        </w:tc>
      </w:tr>
    </w:tbl>
    <w:p w14:paraId="00FE9A49" w14:textId="77777777" w:rsidR="008821B5" w:rsidRDefault="008821B5" w:rsidP="00265F9C">
      <w:pPr>
        <w:spacing w:after="0" w:line="240" w:lineRule="auto"/>
        <w:rPr>
          <w:rFonts w:ascii="Arial" w:eastAsia="Times New Roman" w:hAnsi="Arial" w:cs="Times New Roman"/>
          <w:sz w:val="24"/>
          <w:szCs w:val="24"/>
          <w:lang w:eastAsia="en-CA"/>
        </w:rPr>
      </w:pPr>
    </w:p>
    <w:p w14:paraId="42719219" w14:textId="77777777" w:rsidR="008821B5" w:rsidRDefault="008821B5" w:rsidP="00265F9C">
      <w:pPr>
        <w:spacing w:after="0" w:line="240" w:lineRule="auto"/>
        <w:rPr>
          <w:rFonts w:ascii="Arial" w:eastAsia="Times New Roman" w:hAnsi="Arial" w:cs="Times New Roman"/>
          <w:sz w:val="24"/>
          <w:szCs w:val="24"/>
          <w:lang w:eastAsia="en-CA"/>
        </w:rPr>
      </w:pPr>
    </w:p>
    <w:sectPr w:rsidR="008821B5" w:rsidSect="001E6201">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B7724" w14:textId="77777777" w:rsidR="00272F53" w:rsidRDefault="00272F53" w:rsidP="008821B5">
      <w:pPr>
        <w:spacing w:after="0" w:line="240" w:lineRule="auto"/>
      </w:pPr>
      <w:r>
        <w:separator/>
      </w:r>
    </w:p>
  </w:endnote>
  <w:endnote w:type="continuationSeparator" w:id="0">
    <w:p w14:paraId="75BFB27C" w14:textId="77777777" w:rsidR="00272F53" w:rsidRDefault="00272F53" w:rsidP="00882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558B1" w14:textId="77777777" w:rsidR="00272F53" w:rsidRDefault="00272F53" w:rsidP="008821B5">
      <w:pPr>
        <w:spacing w:after="0" w:line="240" w:lineRule="auto"/>
      </w:pPr>
      <w:r>
        <w:separator/>
      </w:r>
    </w:p>
  </w:footnote>
  <w:footnote w:type="continuationSeparator" w:id="0">
    <w:p w14:paraId="43326CF1" w14:textId="77777777" w:rsidR="00272F53" w:rsidRDefault="00272F53" w:rsidP="008821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C7276"/>
    <w:multiLevelType w:val="hybridMultilevel"/>
    <w:tmpl w:val="B9ACB4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B4E3F94"/>
    <w:multiLevelType w:val="hybridMultilevel"/>
    <w:tmpl w:val="C6DE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AF1CF2"/>
    <w:multiLevelType w:val="hybridMultilevel"/>
    <w:tmpl w:val="48A69B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1D071EE"/>
    <w:multiLevelType w:val="hybridMultilevel"/>
    <w:tmpl w:val="ED3248FE"/>
    <w:lvl w:ilvl="0" w:tplc="956A8C8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1A699E"/>
    <w:multiLevelType w:val="hybridMultilevel"/>
    <w:tmpl w:val="6428E3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76A2729"/>
    <w:multiLevelType w:val="hybridMultilevel"/>
    <w:tmpl w:val="32D80D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401687F"/>
    <w:multiLevelType w:val="hybridMultilevel"/>
    <w:tmpl w:val="52FA9210"/>
    <w:lvl w:ilvl="0" w:tplc="86C6BF46">
      <w:numFmt w:val="bullet"/>
      <w:lvlText w:val=""/>
      <w:lvlJc w:val="left"/>
      <w:pPr>
        <w:ind w:left="720" w:hanging="360"/>
      </w:pPr>
      <w:rPr>
        <w:rFonts w:ascii="Symbol" w:eastAsia="Calibr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5FA3CDC"/>
    <w:multiLevelType w:val="hybridMultilevel"/>
    <w:tmpl w:val="087CF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F9C"/>
    <w:rsid w:val="00005DA8"/>
    <w:rsid w:val="00011970"/>
    <w:rsid w:val="000158E1"/>
    <w:rsid w:val="0002581F"/>
    <w:rsid w:val="00056CA4"/>
    <w:rsid w:val="00057BDA"/>
    <w:rsid w:val="000709FA"/>
    <w:rsid w:val="000827DD"/>
    <w:rsid w:val="00086306"/>
    <w:rsid w:val="000969BF"/>
    <w:rsid w:val="000D37D8"/>
    <w:rsid w:val="000D48F6"/>
    <w:rsid w:val="000D7BB2"/>
    <w:rsid w:val="000E3625"/>
    <w:rsid w:val="00117993"/>
    <w:rsid w:val="00137627"/>
    <w:rsid w:val="001444D7"/>
    <w:rsid w:val="00152392"/>
    <w:rsid w:val="0016341D"/>
    <w:rsid w:val="00175353"/>
    <w:rsid w:val="001968C1"/>
    <w:rsid w:val="001A73C1"/>
    <w:rsid w:val="001C2A9D"/>
    <w:rsid w:val="001C47CF"/>
    <w:rsid w:val="001C7511"/>
    <w:rsid w:val="001E6201"/>
    <w:rsid w:val="001E74BC"/>
    <w:rsid w:val="00230D84"/>
    <w:rsid w:val="00265F9C"/>
    <w:rsid w:val="00272F53"/>
    <w:rsid w:val="002916DA"/>
    <w:rsid w:val="002A2DCF"/>
    <w:rsid w:val="002A33E7"/>
    <w:rsid w:val="002A7CE5"/>
    <w:rsid w:val="002D5DC6"/>
    <w:rsid w:val="00307D1B"/>
    <w:rsid w:val="00330310"/>
    <w:rsid w:val="00367656"/>
    <w:rsid w:val="00370E45"/>
    <w:rsid w:val="0038717E"/>
    <w:rsid w:val="003C10F7"/>
    <w:rsid w:val="003D066F"/>
    <w:rsid w:val="003F26BB"/>
    <w:rsid w:val="00424612"/>
    <w:rsid w:val="00461C79"/>
    <w:rsid w:val="00473B00"/>
    <w:rsid w:val="004827E9"/>
    <w:rsid w:val="004C2BC4"/>
    <w:rsid w:val="004C5808"/>
    <w:rsid w:val="004C6804"/>
    <w:rsid w:val="005336DF"/>
    <w:rsid w:val="00554380"/>
    <w:rsid w:val="00592AB4"/>
    <w:rsid w:val="005A0351"/>
    <w:rsid w:val="005A3B21"/>
    <w:rsid w:val="005A5BCB"/>
    <w:rsid w:val="005D011E"/>
    <w:rsid w:val="005D446A"/>
    <w:rsid w:val="005F2C8D"/>
    <w:rsid w:val="006236E3"/>
    <w:rsid w:val="0064037E"/>
    <w:rsid w:val="006566C4"/>
    <w:rsid w:val="00662770"/>
    <w:rsid w:val="006738A4"/>
    <w:rsid w:val="006768A1"/>
    <w:rsid w:val="00694826"/>
    <w:rsid w:val="006C2B4A"/>
    <w:rsid w:val="006C7064"/>
    <w:rsid w:val="00701E32"/>
    <w:rsid w:val="007030D7"/>
    <w:rsid w:val="00711EF0"/>
    <w:rsid w:val="00727080"/>
    <w:rsid w:val="007330AF"/>
    <w:rsid w:val="007443A7"/>
    <w:rsid w:val="00763AC1"/>
    <w:rsid w:val="00774593"/>
    <w:rsid w:val="007809C2"/>
    <w:rsid w:val="00787E17"/>
    <w:rsid w:val="007B2023"/>
    <w:rsid w:val="007F6419"/>
    <w:rsid w:val="00816EBB"/>
    <w:rsid w:val="00822508"/>
    <w:rsid w:val="00826D23"/>
    <w:rsid w:val="00834E49"/>
    <w:rsid w:val="008377E6"/>
    <w:rsid w:val="00841F92"/>
    <w:rsid w:val="00864F07"/>
    <w:rsid w:val="008821B5"/>
    <w:rsid w:val="008B4D37"/>
    <w:rsid w:val="008D7160"/>
    <w:rsid w:val="008E5435"/>
    <w:rsid w:val="009D5C46"/>
    <w:rsid w:val="00A069EA"/>
    <w:rsid w:val="00A106A6"/>
    <w:rsid w:val="00A22E09"/>
    <w:rsid w:val="00A278E5"/>
    <w:rsid w:val="00A51E34"/>
    <w:rsid w:val="00A93B31"/>
    <w:rsid w:val="00AA44A2"/>
    <w:rsid w:val="00AB6CDE"/>
    <w:rsid w:val="00AD0494"/>
    <w:rsid w:val="00B1519B"/>
    <w:rsid w:val="00B162AD"/>
    <w:rsid w:val="00B65AC7"/>
    <w:rsid w:val="00BB345D"/>
    <w:rsid w:val="00C27A84"/>
    <w:rsid w:val="00D2043E"/>
    <w:rsid w:val="00DC3028"/>
    <w:rsid w:val="00DD0574"/>
    <w:rsid w:val="00DF04DF"/>
    <w:rsid w:val="00DF54F8"/>
    <w:rsid w:val="00DF756C"/>
    <w:rsid w:val="00E14A29"/>
    <w:rsid w:val="00E14FDC"/>
    <w:rsid w:val="00E21F6D"/>
    <w:rsid w:val="00E73D27"/>
    <w:rsid w:val="00EA292C"/>
    <w:rsid w:val="00EC7A9A"/>
    <w:rsid w:val="00EF2DB5"/>
    <w:rsid w:val="00EF365E"/>
    <w:rsid w:val="00EF4C35"/>
    <w:rsid w:val="00F11CDE"/>
    <w:rsid w:val="00F202D7"/>
    <w:rsid w:val="00F5636E"/>
    <w:rsid w:val="00F72C3D"/>
    <w:rsid w:val="00F90835"/>
    <w:rsid w:val="00F90B6B"/>
    <w:rsid w:val="00FA2E7D"/>
    <w:rsid w:val="00FB2A83"/>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512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aliases w:val="Comment Text Char,Char Char Char Char Char Char Char Char,Char Char Char Char Char Char Char Char Char,Kommentartext1,Char Char Char Char Char Char Char Char1,Char3 Char Char Char Char Ch,Char3 Char Char Char Char Char1,Kommentartext11"/>
    <w:basedOn w:val="Normal"/>
    <w:link w:val="CommentTextChar1"/>
    <w:unhideWhenUsed/>
    <w:rsid w:val="00265F9C"/>
    <w:pPr>
      <w:spacing w:line="240" w:lineRule="auto"/>
    </w:pPr>
    <w:rPr>
      <w:sz w:val="20"/>
      <w:szCs w:val="20"/>
    </w:rPr>
  </w:style>
  <w:style w:type="character" w:customStyle="1" w:styleId="CommentTextChar1">
    <w:name w:val="Comment Text Char1"/>
    <w:aliases w:val="Comment Text Char Char,Char Char Char Char Char Char Char Char Char1,Char Char Char Char Char Char Char Char Char Char,Kommentartext1 Char,Char Char Char Char Char Char Char Char1 Char,Char3 Char Char Char Char Ch Char"/>
    <w:basedOn w:val="DefaultParagraphFont"/>
    <w:link w:val="CommentText"/>
    <w:rsid w:val="00265F9C"/>
    <w:rPr>
      <w:sz w:val="20"/>
      <w:szCs w:val="20"/>
    </w:rPr>
  </w:style>
  <w:style w:type="character" w:styleId="CommentReference">
    <w:name w:val="annotation reference"/>
    <w:basedOn w:val="DefaultParagraphFont"/>
    <w:uiPriority w:val="99"/>
    <w:semiHidden/>
    <w:unhideWhenUsed/>
    <w:rsid w:val="00265F9C"/>
    <w:rPr>
      <w:sz w:val="16"/>
      <w:szCs w:val="16"/>
    </w:rPr>
  </w:style>
  <w:style w:type="paragraph" w:styleId="BalloonText">
    <w:name w:val="Balloon Text"/>
    <w:basedOn w:val="Normal"/>
    <w:link w:val="BalloonTextChar"/>
    <w:uiPriority w:val="99"/>
    <w:semiHidden/>
    <w:unhideWhenUsed/>
    <w:rsid w:val="00265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F9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D7BB2"/>
    <w:rPr>
      <w:b/>
      <w:bCs/>
    </w:rPr>
  </w:style>
  <w:style w:type="character" w:customStyle="1" w:styleId="CommentSubjectChar">
    <w:name w:val="Comment Subject Char"/>
    <w:basedOn w:val="CommentTextChar1"/>
    <w:link w:val="CommentSubject"/>
    <w:uiPriority w:val="99"/>
    <w:semiHidden/>
    <w:rsid w:val="000D7BB2"/>
    <w:rPr>
      <w:b/>
      <w:bCs/>
      <w:sz w:val="20"/>
      <w:szCs w:val="20"/>
    </w:rPr>
  </w:style>
  <w:style w:type="character" w:styleId="FootnoteReference">
    <w:name w:val="footnote reference"/>
    <w:basedOn w:val="DefaultParagraphFont"/>
    <w:uiPriority w:val="99"/>
    <w:semiHidden/>
    <w:unhideWhenUsed/>
    <w:rsid w:val="008821B5"/>
  </w:style>
  <w:style w:type="paragraph" w:styleId="FootnoteText">
    <w:name w:val="footnote text"/>
    <w:basedOn w:val="Normal"/>
    <w:link w:val="FootnoteTextChar"/>
    <w:uiPriority w:val="99"/>
    <w:unhideWhenUsed/>
    <w:rsid w:val="008821B5"/>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8821B5"/>
    <w:rPr>
      <w:sz w:val="20"/>
      <w:szCs w:val="20"/>
      <w:lang w:val="en-US"/>
    </w:rPr>
  </w:style>
  <w:style w:type="table" w:styleId="TableGrid">
    <w:name w:val="Table Grid"/>
    <w:basedOn w:val="TableNormal"/>
    <w:uiPriority w:val="59"/>
    <w:rsid w:val="008821B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2BC4"/>
    <w:pPr>
      <w:spacing w:after="60" w:line="240" w:lineRule="auto"/>
      <w:ind w:left="720"/>
      <w:contextualSpacing/>
    </w:pPr>
  </w:style>
  <w:style w:type="paragraph" w:customStyle="1" w:styleId="Default">
    <w:name w:val="Default"/>
    <w:rsid w:val="000827DD"/>
    <w:pPr>
      <w:autoSpaceDE w:val="0"/>
      <w:autoSpaceDN w:val="0"/>
      <w:adjustRightInd w:val="0"/>
      <w:spacing w:after="0" w:line="240" w:lineRule="auto"/>
    </w:pPr>
    <w:rPr>
      <w:rFonts w:ascii="Calibri" w:hAnsi="Calibri" w:cs="Calibri"/>
      <w:color w:val="000000"/>
      <w:sz w:val="24"/>
      <w:szCs w:val="24"/>
      <w:lang w:val="en-US"/>
    </w:rPr>
  </w:style>
  <w:style w:type="character" w:customStyle="1" w:styleId="apple-converted-space">
    <w:name w:val="apple-converted-space"/>
    <w:basedOn w:val="DefaultParagraphFont"/>
    <w:rsid w:val="00F72C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aliases w:val="Comment Text Char,Char Char Char Char Char Char Char Char,Char Char Char Char Char Char Char Char Char,Kommentartext1,Char Char Char Char Char Char Char Char1,Char3 Char Char Char Char Ch,Char3 Char Char Char Char Char1,Kommentartext11"/>
    <w:basedOn w:val="Normal"/>
    <w:link w:val="CommentTextChar1"/>
    <w:unhideWhenUsed/>
    <w:rsid w:val="00265F9C"/>
    <w:pPr>
      <w:spacing w:line="240" w:lineRule="auto"/>
    </w:pPr>
    <w:rPr>
      <w:sz w:val="20"/>
      <w:szCs w:val="20"/>
    </w:rPr>
  </w:style>
  <w:style w:type="character" w:customStyle="1" w:styleId="CommentTextChar1">
    <w:name w:val="Comment Text Char1"/>
    <w:aliases w:val="Comment Text Char Char,Char Char Char Char Char Char Char Char Char1,Char Char Char Char Char Char Char Char Char Char,Kommentartext1 Char,Char Char Char Char Char Char Char Char1 Char,Char3 Char Char Char Char Ch Char"/>
    <w:basedOn w:val="DefaultParagraphFont"/>
    <w:link w:val="CommentText"/>
    <w:rsid w:val="00265F9C"/>
    <w:rPr>
      <w:sz w:val="20"/>
      <w:szCs w:val="20"/>
    </w:rPr>
  </w:style>
  <w:style w:type="character" w:styleId="CommentReference">
    <w:name w:val="annotation reference"/>
    <w:basedOn w:val="DefaultParagraphFont"/>
    <w:uiPriority w:val="99"/>
    <w:semiHidden/>
    <w:unhideWhenUsed/>
    <w:rsid w:val="00265F9C"/>
    <w:rPr>
      <w:sz w:val="16"/>
      <w:szCs w:val="16"/>
    </w:rPr>
  </w:style>
  <w:style w:type="paragraph" w:styleId="BalloonText">
    <w:name w:val="Balloon Text"/>
    <w:basedOn w:val="Normal"/>
    <w:link w:val="BalloonTextChar"/>
    <w:uiPriority w:val="99"/>
    <w:semiHidden/>
    <w:unhideWhenUsed/>
    <w:rsid w:val="00265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F9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D7BB2"/>
    <w:rPr>
      <w:b/>
      <w:bCs/>
    </w:rPr>
  </w:style>
  <w:style w:type="character" w:customStyle="1" w:styleId="CommentSubjectChar">
    <w:name w:val="Comment Subject Char"/>
    <w:basedOn w:val="CommentTextChar1"/>
    <w:link w:val="CommentSubject"/>
    <w:uiPriority w:val="99"/>
    <w:semiHidden/>
    <w:rsid w:val="000D7BB2"/>
    <w:rPr>
      <w:b/>
      <w:bCs/>
      <w:sz w:val="20"/>
      <w:szCs w:val="20"/>
    </w:rPr>
  </w:style>
  <w:style w:type="character" w:styleId="FootnoteReference">
    <w:name w:val="footnote reference"/>
    <w:basedOn w:val="DefaultParagraphFont"/>
    <w:uiPriority w:val="99"/>
    <w:semiHidden/>
    <w:unhideWhenUsed/>
    <w:rsid w:val="008821B5"/>
  </w:style>
  <w:style w:type="paragraph" w:styleId="FootnoteText">
    <w:name w:val="footnote text"/>
    <w:basedOn w:val="Normal"/>
    <w:link w:val="FootnoteTextChar"/>
    <w:uiPriority w:val="99"/>
    <w:unhideWhenUsed/>
    <w:rsid w:val="008821B5"/>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8821B5"/>
    <w:rPr>
      <w:sz w:val="20"/>
      <w:szCs w:val="20"/>
      <w:lang w:val="en-US"/>
    </w:rPr>
  </w:style>
  <w:style w:type="table" w:styleId="TableGrid">
    <w:name w:val="Table Grid"/>
    <w:basedOn w:val="TableNormal"/>
    <w:uiPriority w:val="59"/>
    <w:rsid w:val="008821B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2BC4"/>
    <w:pPr>
      <w:spacing w:after="60" w:line="240" w:lineRule="auto"/>
      <w:ind w:left="720"/>
      <w:contextualSpacing/>
    </w:pPr>
  </w:style>
  <w:style w:type="paragraph" w:customStyle="1" w:styleId="Default">
    <w:name w:val="Default"/>
    <w:rsid w:val="000827DD"/>
    <w:pPr>
      <w:autoSpaceDE w:val="0"/>
      <w:autoSpaceDN w:val="0"/>
      <w:adjustRightInd w:val="0"/>
      <w:spacing w:after="0" w:line="240" w:lineRule="auto"/>
    </w:pPr>
    <w:rPr>
      <w:rFonts w:ascii="Calibri" w:hAnsi="Calibri" w:cs="Calibri"/>
      <w:color w:val="000000"/>
      <w:sz w:val="24"/>
      <w:szCs w:val="24"/>
      <w:lang w:val="en-US"/>
    </w:rPr>
  </w:style>
  <w:style w:type="character" w:customStyle="1" w:styleId="apple-converted-space">
    <w:name w:val="apple-converted-space"/>
    <w:basedOn w:val="DefaultParagraphFont"/>
    <w:rsid w:val="00F72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612123">
      <w:bodyDiv w:val="1"/>
      <w:marLeft w:val="0"/>
      <w:marRight w:val="0"/>
      <w:marTop w:val="0"/>
      <w:marBottom w:val="0"/>
      <w:divBdr>
        <w:top w:val="none" w:sz="0" w:space="0" w:color="auto"/>
        <w:left w:val="none" w:sz="0" w:space="0" w:color="auto"/>
        <w:bottom w:val="none" w:sz="0" w:space="0" w:color="auto"/>
        <w:right w:val="none" w:sz="0" w:space="0" w:color="auto"/>
      </w:divBdr>
    </w:div>
    <w:div w:id="159023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CC9A0-46C0-43F5-8134-8B5899B41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1794</Words>
  <Characters>10226</Characters>
  <Application>Microsoft Office Word</Application>
  <DocSecurity>0</DocSecurity>
  <Lines>85</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Consultant</Company>
  <LinksUpToDate>false</LinksUpToDate>
  <CharactersWithSpaces>11997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ssharma</cp:lastModifiedBy>
  <cp:revision>2</cp:revision>
  <cp:lastPrinted>2016-06-27T12:50:00Z</cp:lastPrinted>
  <dcterms:created xsi:type="dcterms:W3CDTF">2017-04-18T16:04:00Z</dcterms:created>
  <dcterms:modified xsi:type="dcterms:W3CDTF">2017-04-18T16:04:00Z</dcterms:modified>
</cp:coreProperties>
</file>